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19396" w14:textId="77777777" w:rsidR="000679DC" w:rsidRPr="000679DC" w:rsidRDefault="000679DC" w:rsidP="000679DC">
      <w:pPr>
        <w:spacing w:after="0" w:line="276" w:lineRule="auto"/>
        <w:jc w:val="both"/>
        <w:rPr>
          <w:rFonts w:ascii="Verdana" w:eastAsia="Calibri" w:hAnsi="Verdana" w:cs="Times New Roman"/>
          <w:lang w:eastAsia="es-MX"/>
        </w:rPr>
      </w:pPr>
      <w:bookmarkStart w:id="0" w:name="_Hlk143780582"/>
      <w:r w:rsidRPr="000679DC">
        <w:rPr>
          <w:rFonts w:ascii="Verdana" w:eastAsia="Calibri" w:hAnsi="Verdana" w:cs="Arial"/>
          <w:b/>
          <w:bCs/>
          <w:lang w:val="es-ES_tradnl" w:eastAsia="es-ES"/>
        </w:rPr>
        <w:t xml:space="preserve">DOCUMENTOS TIPO – Generalidades – </w:t>
      </w:r>
      <w:r w:rsidRPr="000679DC">
        <w:rPr>
          <w:rFonts w:ascii="Verdana" w:eastAsia="Aptos" w:hAnsi="Verdana" w:cs="Times New Roman"/>
          <w:b/>
          <w:bCs/>
          <w:lang w:val="es-ES_tradnl" w:eastAsia="es-ES"/>
        </w:rPr>
        <w:t xml:space="preserve">Obligatoriedad </w:t>
      </w:r>
    </w:p>
    <w:p w14:paraId="0167C9DF" w14:textId="77777777" w:rsidR="000679DC" w:rsidRPr="000679DC" w:rsidRDefault="000679DC" w:rsidP="000679DC">
      <w:pPr>
        <w:snapToGrid w:val="0"/>
        <w:spacing w:after="0" w:line="240" w:lineRule="auto"/>
        <w:jc w:val="both"/>
        <w:rPr>
          <w:rFonts w:ascii="Verdana" w:eastAsia="Calibri" w:hAnsi="Verdana" w:cs="Arial"/>
          <w:b/>
          <w:bCs/>
          <w:lang w:val="es-ES_tradnl" w:eastAsia="es-ES"/>
        </w:rPr>
      </w:pPr>
    </w:p>
    <w:p w14:paraId="05B8248A" w14:textId="77777777" w:rsidR="000679DC" w:rsidRPr="000679DC" w:rsidRDefault="000679DC" w:rsidP="000679DC">
      <w:pPr>
        <w:snapToGrid w:val="0"/>
        <w:spacing w:after="0" w:line="240" w:lineRule="auto"/>
        <w:jc w:val="both"/>
        <w:rPr>
          <w:rFonts w:ascii="Verdana" w:eastAsia="Calibri" w:hAnsi="Verdana" w:cs="Arial"/>
          <w:sz w:val="20"/>
          <w:szCs w:val="20"/>
          <w:lang w:val="es-ES_tradnl" w:eastAsia="es-MX"/>
        </w:rPr>
      </w:pPr>
      <w:r w:rsidRPr="000679DC">
        <w:rPr>
          <w:rFonts w:ascii="Verdana" w:eastAsia="Calibri" w:hAnsi="Verdana" w:cs="Arial"/>
          <w:sz w:val="20"/>
          <w:szCs w:val="20"/>
          <w:lang w:val="es-ES_tradnl" w:eastAsia="es-MX"/>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45E8247" w14:textId="77777777" w:rsidR="000679DC" w:rsidRPr="000679DC" w:rsidRDefault="000679DC" w:rsidP="000679DC">
      <w:pPr>
        <w:widowControl w:val="0"/>
        <w:autoSpaceDE w:val="0"/>
        <w:autoSpaceDN w:val="0"/>
        <w:snapToGrid w:val="0"/>
        <w:spacing w:after="0" w:line="240" w:lineRule="auto"/>
        <w:jc w:val="both"/>
        <w:rPr>
          <w:rFonts w:ascii="Verdana" w:eastAsia="Calibri" w:hAnsi="Verdana" w:cs="Arial"/>
          <w:sz w:val="20"/>
          <w:szCs w:val="20"/>
          <w:lang w:val="es-ES" w:eastAsia="es-MX"/>
        </w:rPr>
      </w:pPr>
    </w:p>
    <w:p w14:paraId="38B888FD" w14:textId="77777777" w:rsidR="000679DC" w:rsidRPr="000679DC" w:rsidRDefault="000679DC" w:rsidP="000679DC">
      <w:pPr>
        <w:snapToGrid w:val="0"/>
        <w:spacing w:after="0" w:line="276" w:lineRule="auto"/>
        <w:jc w:val="both"/>
        <w:rPr>
          <w:rFonts w:ascii="Verdana" w:eastAsia="Geomanist Light" w:hAnsi="Verdana" w:cs="Arial"/>
          <w:b/>
          <w:bCs/>
          <w:lang w:val="es-ES_tradnl" w:eastAsia="es-MX"/>
        </w:rPr>
      </w:pPr>
      <w:r w:rsidRPr="000679DC">
        <w:rPr>
          <w:rFonts w:ascii="Verdana" w:eastAsia="Geomanist Light" w:hAnsi="Verdana" w:cs="Arial"/>
          <w:b/>
          <w:bCs/>
          <w:lang w:val="es-ES_tradnl" w:eastAsia="es-MX"/>
        </w:rPr>
        <w:t>DOCUMENTO BASE – Documentos tipo – Infraestructura de transporte –Versión 4 – Numeral 2.3.2 – Nota – Alcance</w:t>
      </w:r>
    </w:p>
    <w:p w14:paraId="1A6C3408" w14:textId="77777777" w:rsidR="000679DC" w:rsidRPr="000679DC" w:rsidRDefault="000679DC" w:rsidP="000679DC">
      <w:pPr>
        <w:widowControl w:val="0"/>
        <w:autoSpaceDE w:val="0"/>
        <w:autoSpaceDN w:val="0"/>
        <w:snapToGrid w:val="0"/>
        <w:spacing w:after="0" w:line="240" w:lineRule="auto"/>
        <w:jc w:val="both"/>
        <w:rPr>
          <w:rFonts w:ascii="Verdana" w:eastAsia="Calibri" w:hAnsi="Verdana" w:cs="Arial"/>
          <w:sz w:val="20"/>
          <w:szCs w:val="20"/>
          <w:lang w:val="es-ES_tradnl" w:eastAsia="es-MX"/>
        </w:rPr>
      </w:pPr>
    </w:p>
    <w:p w14:paraId="4414D82B" w14:textId="77777777" w:rsidR="000679DC" w:rsidRPr="000679DC" w:rsidRDefault="000679DC" w:rsidP="000679DC">
      <w:pPr>
        <w:snapToGrid w:val="0"/>
        <w:spacing w:after="0" w:line="240" w:lineRule="auto"/>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En este sentido, se indica que dicha nota debe aplicarse únicamente cuando la entidad que adelanta el proceso de selección con los documentos tipo de licitación de obra pública de infraestructura de transporte – versión 4 configure el formulario del SECOP II en las mismas condiciones definidas en el Formulario 1 – Formulario de Presupuesto Oficial.</w:t>
      </w:r>
    </w:p>
    <w:p w14:paraId="6EB5CB7A" w14:textId="77777777" w:rsidR="000679DC" w:rsidRPr="000679DC" w:rsidRDefault="000679DC" w:rsidP="000679DC">
      <w:pPr>
        <w:snapToGrid w:val="0"/>
        <w:spacing w:after="0" w:line="240" w:lineRule="auto"/>
        <w:jc w:val="both"/>
        <w:rPr>
          <w:rFonts w:ascii="Verdana" w:eastAsia="Times New Roman" w:hAnsi="Verdana" w:cs="Times New Roman"/>
          <w:sz w:val="20"/>
          <w:szCs w:val="20"/>
          <w:lang w:eastAsia="es-MX"/>
        </w:rPr>
      </w:pPr>
    </w:p>
    <w:p w14:paraId="4F4BE9B3" w14:textId="77777777" w:rsidR="000679DC" w:rsidRPr="000679DC" w:rsidRDefault="000679DC" w:rsidP="000679DC">
      <w:pPr>
        <w:snapToGrid w:val="0"/>
        <w:spacing w:after="0" w:line="240" w:lineRule="auto"/>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Es así como, en los casos en que la plataforma SECOP II cuente con la misma cantidad de ítems del Formulario 1 – Formulario de Presupuesto Oficial, y se presenten discrepancias entre ambos documentos, la entidad deberá efectuar la evaluación económica con base en la información registrada en el SECOP II, de conformidad con la nota prevista en el numeral 2.3., por prevalecer esta sobre la consignada en el Formulario 1 de Oferta Económica.</w:t>
      </w:r>
    </w:p>
    <w:p w14:paraId="2E5164E6" w14:textId="77777777" w:rsidR="000679DC" w:rsidRPr="000679DC" w:rsidRDefault="000679DC" w:rsidP="000679DC">
      <w:pPr>
        <w:widowControl w:val="0"/>
        <w:autoSpaceDE w:val="0"/>
        <w:autoSpaceDN w:val="0"/>
        <w:snapToGrid w:val="0"/>
        <w:spacing w:after="120" w:line="240" w:lineRule="auto"/>
        <w:jc w:val="both"/>
        <w:rPr>
          <w:rFonts w:ascii="Verdana" w:eastAsia="Arial" w:hAnsi="Verdana" w:cs="Arial"/>
          <w:iCs/>
          <w:sz w:val="20"/>
          <w:szCs w:val="20"/>
          <w:lang w:val="es-ES" w:eastAsia="es-ES" w:bidi="es-ES"/>
        </w:rPr>
      </w:pPr>
    </w:p>
    <w:p w14:paraId="0398A27A" w14:textId="77777777" w:rsidR="000679DC" w:rsidRPr="000679DC" w:rsidRDefault="000679DC" w:rsidP="000679DC">
      <w:pPr>
        <w:widowControl w:val="0"/>
        <w:autoSpaceDE w:val="0"/>
        <w:autoSpaceDN w:val="0"/>
        <w:snapToGrid w:val="0"/>
        <w:spacing w:after="0" w:line="240" w:lineRule="auto"/>
        <w:jc w:val="both"/>
        <w:rPr>
          <w:rFonts w:ascii="Verdana" w:eastAsia="Arial" w:hAnsi="Verdana" w:cs="Arial"/>
          <w:iCs/>
          <w:sz w:val="20"/>
          <w:szCs w:val="20"/>
          <w:lang w:val="es-ES" w:eastAsia="es-ES" w:bidi="es-ES"/>
        </w:rPr>
      </w:pPr>
      <w:r w:rsidRPr="000679DC">
        <w:rPr>
          <w:rFonts w:ascii="Verdana" w:eastAsia="Calibri" w:hAnsi="Verdana" w:cs="Arial"/>
          <w:b/>
          <w:bCs/>
          <w:lang w:val="es-ES_tradnl" w:eastAsia="es-MX"/>
        </w:rPr>
        <w:t>FORMULARIO 1 – Formulario de presupuesto oficial – Reglas de prevalencia – Oferta económica – Posibilidad de configuración – Procedencia</w:t>
      </w:r>
    </w:p>
    <w:p w14:paraId="119DCA69" w14:textId="77777777" w:rsidR="000679DC" w:rsidRPr="000679DC" w:rsidRDefault="000679DC" w:rsidP="000679DC">
      <w:pPr>
        <w:spacing w:after="0" w:line="240" w:lineRule="auto"/>
        <w:jc w:val="both"/>
        <w:rPr>
          <w:rFonts w:ascii="Verdana" w:eastAsia="Geomanist Light" w:hAnsi="Verdana" w:cs="Arial"/>
          <w:sz w:val="20"/>
          <w:szCs w:val="20"/>
          <w:lang w:val="es-ES" w:eastAsia="es-MX"/>
        </w:rPr>
      </w:pPr>
    </w:p>
    <w:p w14:paraId="6D6AD870"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r w:rsidRPr="000679DC">
        <w:rPr>
          <w:rFonts w:ascii="Verdana" w:eastAsia="Arial" w:hAnsi="Verdana" w:cs="Arial"/>
          <w:bCs/>
          <w:sz w:val="20"/>
          <w:szCs w:val="20"/>
          <w:lang w:val="es-ES" w:eastAsia="es-MX"/>
        </w:rPr>
        <w:t>Con el fin de atender el primer interrogante planteado, la entidad cuenta con la potestad de ajustar o adoptar un Formulario 1 – Formulario de Presupuesto Oficial distinto al propuesto por la Agencia, siempre que dicha modificación se enmarque en los principios que rigen la contratación pública, en especial los de transparencia, selección objetiva y responsabilidad.</w:t>
      </w:r>
    </w:p>
    <w:p w14:paraId="36FE26AA"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p>
    <w:p w14:paraId="4F1E29D7"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r w:rsidRPr="000679DC">
        <w:rPr>
          <w:rFonts w:ascii="Verdana" w:eastAsia="Arial" w:hAnsi="Verdana" w:cs="Arial"/>
          <w:bCs/>
          <w:sz w:val="20"/>
          <w:szCs w:val="20"/>
          <w:lang w:val="es-ES" w:eastAsia="es-MX"/>
        </w:rPr>
        <w:t xml:space="preserve">En ejercicio de esta facultad, la entidad deberá establecer en dicho formulario a cuál información otorgará prevalencia respecto de la oferta económica, cuando configure el formulario económico en el SECOP II de manera distinta a la prevista en el Formulario 1 – Formulario de Presupuesto Oficial. Para estos efectos, la Agencia Nacional de Contratación Pública – Colombia Compra Eficiente considera –a modo indicativo– que los escenarios que puede utilizar la entidad sobre la prevalencia de la oferta económica pueden ser los siguientes: </w:t>
      </w:r>
    </w:p>
    <w:p w14:paraId="5337EE07"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p>
    <w:p w14:paraId="23B362FA"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r w:rsidRPr="000679DC">
        <w:rPr>
          <w:rFonts w:ascii="Verdana" w:eastAsia="Arial" w:hAnsi="Verdana" w:cs="Arial"/>
          <w:bCs/>
          <w:sz w:val="20"/>
          <w:szCs w:val="20"/>
          <w:lang w:val="es-ES" w:eastAsia="es-MX"/>
        </w:rPr>
        <w:t>(…)</w:t>
      </w:r>
    </w:p>
    <w:p w14:paraId="33E8E1E5"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MX" w:eastAsia="es-MX"/>
        </w:rPr>
      </w:pPr>
    </w:p>
    <w:p w14:paraId="082ED634" w14:textId="77777777" w:rsidR="000679DC" w:rsidRPr="000679DC" w:rsidRDefault="000679DC" w:rsidP="000679DC">
      <w:pPr>
        <w:widowControl w:val="0"/>
        <w:autoSpaceDE w:val="0"/>
        <w:autoSpaceDN w:val="0"/>
        <w:spacing w:after="0" w:line="240" w:lineRule="auto"/>
        <w:jc w:val="both"/>
        <w:rPr>
          <w:rFonts w:ascii="Verdana" w:eastAsia="Arial" w:hAnsi="Verdana" w:cs="Arial"/>
          <w:bCs/>
          <w:sz w:val="20"/>
          <w:szCs w:val="20"/>
          <w:lang w:val="es-ES" w:eastAsia="es-MX"/>
        </w:rPr>
      </w:pPr>
      <w:r w:rsidRPr="000679DC">
        <w:rPr>
          <w:rFonts w:ascii="Verdana" w:eastAsia="Arial" w:hAnsi="Verdana" w:cs="Arial"/>
          <w:bCs/>
          <w:sz w:val="20"/>
          <w:szCs w:val="20"/>
          <w:lang w:val="es-ES" w:eastAsia="es-MX"/>
        </w:rPr>
        <w:lastRenderedPageBreak/>
        <w:t xml:space="preserve">Se reitera que esta facultad: i) debe quedar previamente definida por la entidad al momento de la estructuración del Formulario 1 – Presupuesto Oficial, y no con posterioridad; y </w:t>
      </w:r>
      <w:proofErr w:type="spellStart"/>
      <w:r w:rsidRPr="000679DC">
        <w:rPr>
          <w:rFonts w:ascii="Verdana" w:eastAsia="Arial" w:hAnsi="Verdana" w:cs="Arial"/>
          <w:bCs/>
          <w:sz w:val="20"/>
          <w:szCs w:val="20"/>
          <w:lang w:val="es-ES" w:eastAsia="es-MX"/>
        </w:rPr>
        <w:t>ii</w:t>
      </w:r>
      <w:proofErr w:type="spellEnd"/>
      <w:r w:rsidRPr="000679DC">
        <w:rPr>
          <w:rFonts w:ascii="Verdana" w:eastAsia="Arial" w:hAnsi="Verdana" w:cs="Arial"/>
          <w:bCs/>
          <w:sz w:val="20"/>
          <w:szCs w:val="20"/>
          <w:lang w:val="es-ES" w:eastAsia="es-MX"/>
        </w:rPr>
        <w:t>) debe ser ejercida por la entidad cuando ello resulte procedente, es decir, en el evento en que haya configurado el SECOP II de manera distinta a la prevista en el Formulario 1 – Formulario de Presupuesto Oficial y deba definir cuál información prevalecerá en caso de presentarse discrepancias entre ambos documentos.</w:t>
      </w:r>
    </w:p>
    <w:p w14:paraId="07DC2B5D" w14:textId="77777777" w:rsidR="000679DC" w:rsidRPr="000679DC" w:rsidRDefault="000679DC" w:rsidP="000679DC">
      <w:pPr>
        <w:spacing w:after="0" w:line="240" w:lineRule="auto"/>
        <w:jc w:val="both"/>
        <w:rPr>
          <w:rFonts w:ascii="Verdana" w:eastAsia="Geomanist Light" w:hAnsi="Verdana" w:cs="Arial"/>
          <w:sz w:val="20"/>
          <w:szCs w:val="20"/>
          <w:lang w:val="es-ES" w:eastAsia="es-MX"/>
        </w:rPr>
      </w:pPr>
    </w:p>
    <w:p w14:paraId="2478312E" w14:textId="77777777" w:rsidR="000679DC" w:rsidRPr="000679DC" w:rsidRDefault="000679DC" w:rsidP="000679DC">
      <w:pPr>
        <w:spacing w:after="0"/>
        <w:rPr>
          <w:rFonts w:ascii="Verdana" w:eastAsia="Calibri" w:hAnsi="Verdana" w:cs="Times New Roman"/>
          <w:lang w:eastAsia="es-MX"/>
        </w:rPr>
      </w:pPr>
    </w:p>
    <w:p w14:paraId="32037380" w14:textId="77777777" w:rsidR="000679DC" w:rsidRPr="000679DC" w:rsidRDefault="000679DC" w:rsidP="000679DC">
      <w:pPr>
        <w:spacing w:after="0"/>
        <w:rPr>
          <w:rFonts w:ascii="Verdana" w:eastAsia="Calibri" w:hAnsi="Verdana" w:cs="Times New Roman"/>
          <w:lang w:eastAsia="es-MX"/>
        </w:rPr>
      </w:pPr>
    </w:p>
    <w:p w14:paraId="4972BB68" w14:textId="77777777" w:rsidR="000679DC" w:rsidRPr="000679DC" w:rsidRDefault="000679DC" w:rsidP="000679DC">
      <w:pPr>
        <w:spacing w:after="0"/>
        <w:rPr>
          <w:rFonts w:ascii="Verdana" w:eastAsia="Calibri" w:hAnsi="Verdana" w:cs="Times New Roman"/>
          <w:lang w:eastAsia="es-MX"/>
        </w:rPr>
      </w:pPr>
    </w:p>
    <w:p w14:paraId="518C70AD" w14:textId="77777777" w:rsidR="000679DC" w:rsidRPr="000679DC" w:rsidRDefault="000679DC" w:rsidP="000679DC">
      <w:pPr>
        <w:spacing w:after="0"/>
        <w:rPr>
          <w:rFonts w:ascii="Verdana" w:eastAsia="Calibri" w:hAnsi="Verdana" w:cs="Times New Roman"/>
          <w:lang w:eastAsia="es-MX"/>
        </w:rPr>
      </w:pPr>
    </w:p>
    <w:p w14:paraId="13CB8C45" w14:textId="77777777" w:rsidR="000679DC" w:rsidRPr="000679DC" w:rsidRDefault="000679DC" w:rsidP="000679DC">
      <w:pPr>
        <w:spacing w:after="0"/>
        <w:rPr>
          <w:rFonts w:ascii="Verdana" w:eastAsia="Calibri" w:hAnsi="Verdana" w:cs="Times New Roman"/>
          <w:lang w:eastAsia="es-MX"/>
        </w:rPr>
      </w:pPr>
    </w:p>
    <w:p w14:paraId="02D0EA5E" w14:textId="77777777" w:rsidR="000679DC" w:rsidRPr="000679DC" w:rsidRDefault="000679DC" w:rsidP="000679DC">
      <w:pPr>
        <w:spacing w:after="0"/>
        <w:rPr>
          <w:rFonts w:ascii="Verdana" w:eastAsia="Calibri" w:hAnsi="Verdana" w:cs="Times New Roman"/>
          <w:lang w:eastAsia="es-MX"/>
        </w:rPr>
      </w:pPr>
    </w:p>
    <w:p w14:paraId="23BBCD93" w14:textId="77777777" w:rsidR="000679DC" w:rsidRPr="000679DC" w:rsidRDefault="000679DC" w:rsidP="000679DC">
      <w:pPr>
        <w:spacing w:after="0"/>
        <w:rPr>
          <w:rFonts w:ascii="Verdana" w:eastAsia="Calibri" w:hAnsi="Verdana" w:cs="Times New Roman"/>
          <w:lang w:eastAsia="es-MX"/>
        </w:rPr>
      </w:pPr>
    </w:p>
    <w:p w14:paraId="76CA476F" w14:textId="77777777" w:rsidR="000679DC" w:rsidRPr="000679DC" w:rsidRDefault="000679DC" w:rsidP="000679DC">
      <w:pPr>
        <w:spacing w:after="0"/>
        <w:rPr>
          <w:rFonts w:ascii="Verdana" w:eastAsia="Calibri" w:hAnsi="Verdana" w:cs="Times New Roman"/>
          <w:lang w:eastAsia="es-MX"/>
        </w:rPr>
      </w:pPr>
    </w:p>
    <w:p w14:paraId="492365A9" w14:textId="77777777" w:rsidR="000679DC" w:rsidRPr="000679DC" w:rsidRDefault="000679DC" w:rsidP="000679DC">
      <w:pPr>
        <w:spacing w:after="0"/>
        <w:rPr>
          <w:rFonts w:ascii="Verdana" w:eastAsia="Calibri" w:hAnsi="Verdana" w:cs="Times New Roman"/>
          <w:lang w:eastAsia="es-MX"/>
        </w:rPr>
      </w:pPr>
    </w:p>
    <w:p w14:paraId="6DFFD34B" w14:textId="77777777" w:rsidR="000679DC" w:rsidRPr="000679DC" w:rsidRDefault="000679DC" w:rsidP="000679DC">
      <w:pPr>
        <w:spacing w:after="0"/>
        <w:rPr>
          <w:rFonts w:ascii="Verdana" w:eastAsia="Calibri" w:hAnsi="Verdana" w:cs="Times New Roman"/>
          <w:lang w:eastAsia="es-MX"/>
        </w:rPr>
      </w:pPr>
    </w:p>
    <w:p w14:paraId="0A59C85B" w14:textId="77777777" w:rsidR="000679DC" w:rsidRPr="000679DC" w:rsidRDefault="000679DC" w:rsidP="000679DC">
      <w:pPr>
        <w:spacing w:after="0"/>
        <w:rPr>
          <w:rFonts w:ascii="Verdana" w:eastAsia="Calibri" w:hAnsi="Verdana" w:cs="Times New Roman"/>
          <w:lang w:eastAsia="es-MX"/>
        </w:rPr>
      </w:pPr>
    </w:p>
    <w:p w14:paraId="3167F1F3" w14:textId="77777777" w:rsidR="000679DC" w:rsidRPr="000679DC" w:rsidRDefault="000679DC" w:rsidP="000679DC">
      <w:pPr>
        <w:spacing w:after="0"/>
        <w:rPr>
          <w:rFonts w:ascii="Verdana" w:eastAsia="Calibri" w:hAnsi="Verdana" w:cs="Times New Roman"/>
          <w:lang w:eastAsia="es-MX"/>
        </w:rPr>
      </w:pPr>
    </w:p>
    <w:p w14:paraId="7BB9B52A" w14:textId="77777777" w:rsidR="000679DC" w:rsidRPr="000679DC" w:rsidRDefault="000679DC" w:rsidP="000679DC">
      <w:pPr>
        <w:spacing w:after="0"/>
        <w:rPr>
          <w:rFonts w:ascii="Verdana" w:eastAsia="Calibri" w:hAnsi="Verdana" w:cs="Times New Roman"/>
          <w:lang w:eastAsia="es-MX"/>
        </w:rPr>
      </w:pPr>
    </w:p>
    <w:p w14:paraId="1E680DD0" w14:textId="77777777" w:rsidR="000679DC" w:rsidRPr="000679DC" w:rsidRDefault="000679DC" w:rsidP="000679DC">
      <w:pPr>
        <w:spacing w:after="0"/>
        <w:rPr>
          <w:rFonts w:ascii="Verdana" w:eastAsia="Calibri" w:hAnsi="Verdana" w:cs="Times New Roman"/>
          <w:lang w:eastAsia="es-MX"/>
        </w:rPr>
      </w:pPr>
    </w:p>
    <w:p w14:paraId="18E69A4A" w14:textId="77777777" w:rsidR="000679DC" w:rsidRPr="000679DC" w:rsidRDefault="000679DC" w:rsidP="000679DC">
      <w:pPr>
        <w:spacing w:after="0"/>
        <w:rPr>
          <w:rFonts w:ascii="Verdana" w:eastAsia="Calibri" w:hAnsi="Verdana" w:cs="Times New Roman"/>
          <w:lang w:eastAsia="es-MX"/>
        </w:rPr>
      </w:pPr>
    </w:p>
    <w:p w14:paraId="61B9C56C" w14:textId="77777777" w:rsidR="000679DC" w:rsidRPr="000679DC" w:rsidRDefault="000679DC" w:rsidP="000679DC">
      <w:pPr>
        <w:spacing w:after="0"/>
        <w:rPr>
          <w:rFonts w:ascii="Verdana" w:eastAsia="Calibri" w:hAnsi="Verdana" w:cs="Times New Roman"/>
          <w:lang w:eastAsia="es-MX"/>
        </w:rPr>
      </w:pPr>
    </w:p>
    <w:p w14:paraId="2ED7B772" w14:textId="77777777" w:rsidR="000679DC" w:rsidRPr="000679DC" w:rsidRDefault="000679DC" w:rsidP="000679DC">
      <w:pPr>
        <w:spacing w:after="0"/>
        <w:rPr>
          <w:rFonts w:ascii="Verdana" w:eastAsia="Calibri" w:hAnsi="Verdana" w:cs="Times New Roman"/>
          <w:lang w:eastAsia="es-MX"/>
        </w:rPr>
      </w:pPr>
    </w:p>
    <w:p w14:paraId="24A569E1" w14:textId="77777777" w:rsidR="000679DC" w:rsidRPr="000679DC" w:rsidRDefault="000679DC" w:rsidP="000679DC">
      <w:pPr>
        <w:spacing w:after="0"/>
        <w:rPr>
          <w:rFonts w:ascii="Verdana" w:eastAsia="Calibri" w:hAnsi="Verdana" w:cs="Times New Roman"/>
          <w:lang w:eastAsia="es-MX"/>
        </w:rPr>
      </w:pPr>
    </w:p>
    <w:p w14:paraId="78DBB1EE" w14:textId="77777777" w:rsidR="000679DC" w:rsidRPr="000679DC" w:rsidRDefault="000679DC" w:rsidP="000679DC">
      <w:pPr>
        <w:spacing w:after="0"/>
        <w:rPr>
          <w:rFonts w:ascii="Verdana" w:eastAsia="Calibri" w:hAnsi="Verdana" w:cs="Times New Roman"/>
          <w:lang w:eastAsia="es-MX"/>
        </w:rPr>
      </w:pPr>
    </w:p>
    <w:p w14:paraId="1F45E575" w14:textId="77777777" w:rsidR="000679DC" w:rsidRPr="000679DC" w:rsidRDefault="000679DC" w:rsidP="000679DC">
      <w:pPr>
        <w:spacing w:after="0"/>
        <w:rPr>
          <w:rFonts w:ascii="Verdana" w:eastAsia="Calibri" w:hAnsi="Verdana" w:cs="Times New Roman"/>
          <w:lang w:eastAsia="es-MX"/>
        </w:rPr>
      </w:pPr>
    </w:p>
    <w:p w14:paraId="578085DB" w14:textId="77777777" w:rsidR="000679DC" w:rsidRPr="000679DC" w:rsidRDefault="000679DC" w:rsidP="000679DC">
      <w:pPr>
        <w:spacing w:after="0"/>
        <w:rPr>
          <w:rFonts w:ascii="Verdana" w:eastAsia="Calibri" w:hAnsi="Verdana" w:cs="Times New Roman"/>
          <w:lang w:eastAsia="es-MX"/>
        </w:rPr>
      </w:pPr>
    </w:p>
    <w:p w14:paraId="789BFFEB" w14:textId="77777777" w:rsidR="000679DC" w:rsidRPr="000679DC" w:rsidRDefault="000679DC" w:rsidP="000679DC">
      <w:pPr>
        <w:spacing w:after="0"/>
        <w:rPr>
          <w:rFonts w:ascii="Verdana" w:eastAsia="Calibri" w:hAnsi="Verdana" w:cs="Times New Roman"/>
          <w:lang w:eastAsia="es-MX"/>
        </w:rPr>
      </w:pPr>
    </w:p>
    <w:p w14:paraId="13B5C0A7" w14:textId="77777777" w:rsidR="000679DC" w:rsidRPr="000679DC" w:rsidRDefault="000679DC" w:rsidP="000679DC">
      <w:pPr>
        <w:spacing w:after="0"/>
        <w:rPr>
          <w:rFonts w:ascii="Verdana" w:eastAsia="Calibri" w:hAnsi="Verdana" w:cs="Times New Roman"/>
          <w:lang w:eastAsia="es-MX"/>
        </w:rPr>
      </w:pPr>
    </w:p>
    <w:p w14:paraId="3EAC77E5" w14:textId="77777777" w:rsidR="000679DC" w:rsidRPr="000679DC" w:rsidRDefault="000679DC" w:rsidP="000679DC">
      <w:pPr>
        <w:spacing w:after="0"/>
        <w:rPr>
          <w:rFonts w:ascii="Verdana" w:eastAsia="Calibri" w:hAnsi="Verdana" w:cs="Times New Roman"/>
          <w:lang w:eastAsia="es-MX"/>
        </w:rPr>
      </w:pPr>
    </w:p>
    <w:p w14:paraId="798072FD" w14:textId="77777777" w:rsidR="000679DC" w:rsidRPr="000679DC" w:rsidRDefault="000679DC" w:rsidP="000679DC">
      <w:pPr>
        <w:spacing w:after="0"/>
        <w:rPr>
          <w:rFonts w:ascii="Verdana" w:eastAsia="Calibri" w:hAnsi="Verdana" w:cs="Times New Roman"/>
          <w:lang w:eastAsia="es-MX"/>
        </w:rPr>
      </w:pPr>
    </w:p>
    <w:p w14:paraId="4FC85C34" w14:textId="77777777" w:rsidR="000679DC" w:rsidRPr="000679DC" w:rsidRDefault="000679DC" w:rsidP="000679DC">
      <w:pPr>
        <w:spacing w:after="0"/>
        <w:rPr>
          <w:rFonts w:ascii="Verdana" w:eastAsia="Calibri" w:hAnsi="Verdana" w:cs="Times New Roman"/>
          <w:lang w:eastAsia="es-MX"/>
        </w:rPr>
      </w:pPr>
    </w:p>
    <w:p w14:paraId="54862050" w14:textId="77777777" w:rsidR="000679DC" w:rsidRPr="000679DC" w:rsidRDefault="000679DC" w:rsidP="000679DC">
      <w:pPr>
        <w:spacing w:after="0"/>
        <w:rPr>
          <w:rFonts w:ascii="Verdana" w:eastAsia="Calibri" w:hAnsi="Verdana" w:cs="Times New Roman"/>
          <w:lang w:eastAsia="es-MX"/>
        </w:rPr>
      </w:pPr>
    </w:p>
    <w:p w14:paraId="38928CB5" w14:textId="77777777" w:rsidR="000679DC" w:rsidRPr="000679DC" w:rsidRDefault="000679DC" w:rsidP="000679DC">
      <w:pPr>
        <w:spacing w:after="0"/>
        <w:rPr>
          <w:rFonts w:ascii="Verdana" w:eastAsia="Calibri" w:hAnsi="Verdana" w:cs="Times New Roman"/>
          <w:lang w:eastAsia="es-MX"/>
        </w:rPr>
      </w:pPr>
    </w:p>
    <w:p w14:paraId="692CC7F4" w14:textId="77777777" w:rsidR="000679DC" w:rsidRPr="000679DC" w:rsidRDefault="000679DC" w:rsidP="000679DC">
      <w:pPr>
        <w:spacing w:after="0"/>
        <w:rPr>
          <w:rFonts w:ascii="Verdana" w:eastAsia="Calibri" w:hAnsi="Verdana" w:cs="Times New Roman"/>
          <w:lang w:eastAsia="es-MX"/>
        </w:rPr>
      </w:pPr>
    </w:p>
    <w:p w14:paraId="75FFD16D" w14:textId="77777777" w:rsidR="000679DC" w:rsidRPr="000679DC" w:rsidRDefault="000679DC" w:rsidP="000679DC">
      <w:pPr>
        <w:spacing w:after="0"/>
        <w:rPr>
          <w:rFonts w:ascii="Verdana" w:eastAsia="Calibri" w:hAnsi="Verdana" w:cs="Times New Roman"/>
          <w:lang w:eastAsia="es-MX"/>
        </w:rPr>
      </w:pPr>
    </w:p>
    <w:p w14:paraId="7212311D" w14:textId="77777777" w:rsidR="000679DC" w:rsidRPr="000679DC" w:rsidRDefault="000679DC" w:rsidP="000679DC">
      <w:pPr>
        <w:spacing w:after="0"/>
        <w:rPr>
          <w:rFonts w:ascii="Verdana" w:eastAsia="Calibri" w:hAnsi="Verdana" w:cs="Times New Roman"/>
          <w:lang w:eastAsia="es-MX"/>
        </w:rPr>
      </w:pPr>
    </w:p>
    <w:p w14:paraId="3EF322BE" w14:textId="77777777" w:rsidR="000679DC" w:rsidRPr="000679DC" w:rsidRDefault="000679DC" w:rsidP="000679DC">
      <w:pPr>
        <w:spacing w:after="0"/>
        <w:rPr>
          <w:rFonts w:ascii="Verdana" w:eastAsia="Calibri" w:hAnsi="Verdana" w:cs="Times New Roman"/>
          <w:lang w:eastAsia="es-MX"/>
        </w:rPr>
      </w:pPr>
    </w:p>
    <w:p w14:paraId="10889A95" w14:textId="77777777" w:rsidR="000679DC" w:rsidRPr="000679DC" w:rsidRDefault="000679DC" w:rsidP="000679DC">
      <w:pPr>
        <w:spacing w:after="0"/>
        <w:rPr>
          <w:rFonts w:ascii="Verdana" w:eastAsia="Calibri" w:hAnsi="Verdana" w:cs="Times New Roman"/>
          <w:lang w:eastAsia="es-MX"/>
        </w:rPr>
      </w:pPr>
    </w:p>
    <w:p w14:paraId="639F0B83" w14:textId="47656D2F" w:rsidR="000679DC" w:rsidRDefault="000679DC" w:rsidP="000679DC">
      <w:pPr>
        <w:spacing w:after="0" w:line="240" w:lineRule="auto"/>
        <w:rPr>
          <w:rFonts w:ascii="Verdana" w:eastAsia="Calibri" w:hAnsi="Verdana" w:cs="Vrinda"/>
          <w:sz w:val="24"/>
          <w:szCs w:val="24"/>
          <w:lang w:eastAsia="es-MX"/>
        </w:rPr>
      </w:pPr>
      <w:r w:rsidRPr="000679DC">
        <w:rPr>
          <w:rFonts w:ascii="Verdana" w:eastAsia="Calibri" w:hAnsi="Verdana" w:cs="Vrinda"/>
          <w:sz w:val="24"/>
          <w:szCs w:val="24"/>
          <w:lang w:eastAsia="es-MX"/>
        </w:rPr>
        <w:lastRenderedPageBreak/>
        <w:t>Bogotá D.C.,</w:t>
      </w:r>
      <w:r w:rsidR="004C2B6E">
        <w:rPr>
          <w:rFonts w:ascii="Verdana" w:eastAsia="Calibri" w:hAnsi="Verdana" w:cs="Vrinda"/>
          <w:sz w:val="24"/>
          <w:szCs w:val="24"/>
          <w:lang w:eastAsia="es-MX"/>
        </w:rPr>
        <w:t xml:space="preserve"> 22 de junio de 2026</w:t>
      </w:r>
    </w:p>
    <w:p w14:paraId="2AA7B14C" w14:textId="77777777" w:rsidR="004C2B6E" w:rsidRDefault="004C2B6E" w:rsidP="000679DC">
      <w:pPr>
        <w:spacing w:after="0" w:line="240" w:lineRule="auto"/>
        <w:rPr>
          <w:rFonts w:ascii="Verdana" w:eastAsia="Calibri" w:hAnsi="Verdana" w:cs="Vrinda"/>
          <w:sz w:val="24"/>
          <w:szCs w:val="24"/>
          <w:lang w:eastAsia="es-MX"/>
        </w:rPr>
      </w:pPr>
    </w:p>
    <w:p w14:paraId="66BE6A88" w14:textId="13E0FB12" w:rsidR="004C2B6E" w:rsidRPr="000679DC" w:rsidRDefault="004C2B6E" w:rsidP="004C2B6E">
      <w:pPr>
        <w:spacing w:after="0" w:line="240" w:lineRule="auto"/>
        <w:jc w:val="right"/>
        <w:rPr>
          <w:rFonts w:ascii="Verdana" w:eastAsia="Calibri" w:hAnsi="Verdana" w:cs="Vrinda"/>
          <w:sz w:val="24"/>
          <w:szCs w:val="24"/>
          <w:lang w:eastAsia="es-MX"/>
        </w:rPr>
      </w:pPr>
      <w:r w:rsidRPr="004C2B6E">
        <w:rPr>
          <w:rFonts w:ascii="Verdana" w:eastAsia="Calibri" w:hAnsi="Verdana" w:cs="Vrinda"/>
          <w:noProof/>
          <w:sz w:val="24"/>
          <w:szCs w:val="24"/>
          <w:lang w:eastAsia="es-MX"/>
        </w:rPr>
        <w:drawing>
          <wp:inline distT="0" distB="0" distL="0" distR="0" wp14:anchorId="390C90E5" wp14:editId="6712C1B3">
            <wp:extent cx="2540000" cy="744625"/>
            <wp:effectExtent l="0" t="0" r="0" b="5080"/>
            <wp:docPr id="6717710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71075" name=""/>
                    <pic:cNvPicPr/>
                  </pic:nvPicPr>
                  <pic:blipFill>
                    <a:blip r:embed="rId10"/>
                    <a:stretch>
                      <a:fillRect/>
                    </a:stretch>
                  </pic:blipFill>
                  <pic:spPr>
                    <a:xfrm>
                      <a:off x="0" y="0"/>
                      <a:ext cx="2567106" cy="752571"/>
                    </a:xfrm>
                    <a:prstGeom prst="rect">
                      <a:avLst/>
                    </a:prstGeom>
                  </pic:spPr>
                </pic:pic>
              </a:graphicData>
            </a:graphic>
          </wp:inline>
        </w:drawing>
      </w:r>
    </w:p>
    <w:p w14:paraId="67898212" w14:textId="77777777" w:rsidR="000679DC" w:rsidRPr="000679DC" w:rsidRDefault="000679DC" w:rsidP="000679DC">
      <w:pPr>
        <w:spacing w:after="0" w:line="240" w:lineRule="auto"/>
        <w:rPr>
          <w:rFonts w:ascii="Verdana" w:eastAsia="Calibri" w:hAnsi="Verdana" w:cs="Vrinda"/>
          <w:sz w:val="24"/>
          <w:szCs w:val="24"/>
          <w:lang w:eastAsia="es-MX"/>
        </w:rPr>
      </w:pPr>
    </w:p>
    <w:p w14:paraId="214FD272" w14:textId="77777777" w:rsidR="000679DC" w:rsidRPr="00C92470" w:rsidRDefault="000679DC" w:rsidP="000679DC">
      <w:pPr>
        <w:spacing w:after="0" w:line="240" w:lineRule="auto"/>
        <w:jc w:val="both"/>
        <w:rPr>
          <w:rFonts w:ascii="Verdana" w:eastAsia="Calibri" w:hAnsi="Verdana" w:cs="Vrinda"/>
          <w:lang w:eastAsia="es-ES"/>
        </w:rPr>
      </w:pPr>
      <w:r w:rsidRPr="00C92470">
        <w:rPr>
          <w:rFonts w:ascii="Verdana" w:eastAsia="Calibri" w:hAnsi="Verdana" w:cs="Vrinda"/>
          <w:lang w:eastAsia="es-ES"/>
        </w:rPr>
        <w:t>Doctora</w:t>
      </w:r>
    </w:p>
    <w:p w14:paraId="0E491418" w14:textId="77777777" w:rsidR="000679DC" w:rsidRPr="00C92470" w:rsidRDefault="000679DC" w:rsidP="000679DC">
      <w:pPr>
        <w:spacing w:after="0" w:line="240" w:lineRule="auto"/>
        <w:jc w:val="both"/>
        <w:rPr>
          <w:rFonts w:ascii="Verdana" w:eastAsia="Times New Roman" w:hAnsi="Verdana" w:cs="Vrinda"/>
          <w:b/>
          <w:bCs/>
          <w:lang w:eastAsia="es-CO"/>
        </w:rPr>
      </w:pPr>
      <w:r w:rsidRPr="00C92470">
        <w:rPr>
          <w:rFonts w:ascii="Verdana" w:eastAsia="Times New Roman" w:hAnsi="Verdana" w:cs="Vrinda"/>
          <w:b/>
          <w:bCs/>
          <w:lang w:eastAsia="es-CO"/>
        </w:rPr>
        <w:t xml:space="preserve">Martha Liliana González Martínez </w:t>
      </w:r>
    </w:p>
    <w:p w14:paraId="2494846F" w14:textId="77777777" w:rsidR="000679DC" w:rsidRPr="00C92470" w:rsidRDefault="000679DC" w:rsidP="000679DC">
      <w:pPr>
        <w:spacing w:after="0" w:line="240" w:lineRule="auto"/>
        <w:jc w:val="both"/>
        <w:rPr>
          <w:rFonts w:ascii="Verdana" w:eastAsia="Times New Roman" w:hAnsi="Verdana" w:cs="Vrinda"/>
          <w:lang w:eastAsia="es-CO"/>
        </w:rPr>
      </w:pPr>
      <w:r w:rsidRPr="00C92470">
        <w:rPr>
          <w:rFonts w:ascii="Verdana" w:eastAsia="Times New Roman" w:hAnsi="Verdana" w:cs="Vrinda"/>
          <w:lang w:eastAsia="es-CO"/>
        </w:rPr>
        <w:t>Subdirectora General Jurídica</w:t>
      </w:r>
    </w:p>
    <w:p w14:paraId="70A95423" w14:textId="77777777" w:rsidR="000679DC" w:rsidRPr="00C92470" w:rsidRDefault="000679DC" w:rsidP="000679DC">
      <w:pPr>
        <w:spacing w:after="0" w:line="240" w:lineRule="auto"/>
        <w:jc w:val="both"/>
        <w:rPr>
          <w:rFonts w:ascii="Verdana" w:eastAsia="Times New Roman" w:hAnsi="Verdana" w:cs="Vrinda"/>
          <w:lang w:eastAsia="es-CO"/>
        </w:rPr>
      </w:pPr>
      <w:r w:rsidRPr="00C92470">
        <w:rPr>
          <w:rFonts w:ascii="Verdana" w:eastAsia="Times New Roman" w:hAnsi="Verdana" w:cs="Vrinda"/>
          <w:lang w:eastAsia="es-CO"/>
        </w:rPr>
        <w:t>Instituto de Desarrollo Urbano – IDU</w:t>
      </w:r>
    </w:p>
    <w:p w14:paraId="2B0DBD4D" w14:textId="77777777" w:rsidR="000679DC" w:rsidRPr="00C92470" w:rsidRDefault="000679DC" w:rsidP="000679DC">
      <w:pPr>
        <w:spacing w:after="0" w:line="240" w:lineRule="auto"/>
        <w:jc w:val="both"/>
        <w:rPr>
          <w:rFonts w:ascii="Verdana" w:eastAsia="Times New Roman" w:hAnsi="Verdana" w:cs="Vrinda"/>
          <w:lang w:eastAsia="es-CO"/>
        </w:rPr>
      </w:pPr>
      <w:r w:rsidRPr="00C92470">
        <w:rPr>
          <w:rFonts w:ascii="Verdana" w:eastAsia="Times New Roman" w:hAnsi="Verdana" w:cs="Vrinda"/>
          <w:lang w:eastAsia="es-CO"/>
        </w:rPr>
        <w:t>Bogotá D.C</w:t>
      </w:r>
    </w:p>
    <w:p w14:paraId="4923ECBE" w14:textId="77777777" w:rsidR="000679DC" w:rsidRPr="000679DC" w:rsidRDefault="000679DC" w:rsidP="000679DC">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679DC" w:rsidRPr="000679DC" w14:paraId="39BDE4E2" w14:textId="77777777" w:rsidTr="00C669B1">
        <w:trPr>
          <w:trHeight w:val="884"/>
        </w:trPr>
        <w:tc>
          <w:tcPr>
            <w:tcW w:w="2689" w:type="dxa"/>
          </w:tcPr>
          <w:p w14:paraId="023E1097" w14:textId="77777777" w:rsidR="000679DC" w:rsidRPr="000679DC" w:rsidRDefault="000679DC" w:rsidP="000679DC">
            <w:pPr>
              <w:jc w:val="both"/>
              <w:rPr>
                <w:rFonts w:ascii="Verdana" w:eastAsia="Calibri" w:hAnsi="Verdana" w:cs="Arial"/>
                <w:b/>
                <w:bCs/>
                <w:lang w:val="es-ES_tradnl" w:eastAsia="es-ES_tradnl"/>
              </w:rPr>
            </w:pPr>
          </w:p>
        </w:tc>
        <w:tc>
          <w:tcPr>
            <w:tcW w:w="6100" w:type="dxa"/>
          </w:tcPr>
          <w:p w14:paraId="220F22FC" w14:textId="77777777" w:rsidR="000679DC" w:rsidRPr="000679DC" w:rsidRDefault="000679DC" w:rsidP="000679DC">
            <w:pPr>
              <w:jc w:val="both"/>
              <w:rPr>
                <w:rFonts w:ascii="Verdana" w:eastAsia="Calibri" w:hAnsi="Verdana" w:cs="Arial"/>
                <w:b/>
                <w:bCs/>
                <w:lang w:val="es-ES_tradnl" w:eastAsia="es-ES"/>
              </w:rPr>
            </w:pPr>
            <w:r w:rsidRPr="000679DC">
              <w:rPr>
                <w:rFonts w:ascii="Verdana" w:eastAsia="Calibri" w:hAnsi="Verdana" w:cs="Arial"/>
                <w:b/>
                <w:bCs/>
                <w:lang w:val="es-ES_tradnl" w:eastAsia="es-ES"/>
              </w:rPr>
              <w:t>Concepto C – 828 de 2026</w:t>
            </w:r>
          </w:p>
        </w:tc>
      </w:tr>
      <w:tr w:rsidR="000679DC" w:rsidRPr="000679DC" w14:paraId="28287DA2" w14:textId="77777777" w:rsidTr="00C669B1">
        <w:trPr>
          <w:trHeight w:val="884"/>
        </w:trPr>
        <w:tc>
          <w:tcPr>
            <w:tcW w:w="2689" w:type="dxa"/>
          </w:tcPr>
          <w:p w14:paraId="45027995" w14:textId="77777777" w:rsidR="000679DC" w:rsidRPr="000679DC" w:rsidRDefault="000679DC" w:rsidP="000679DC">
            <w:pPr>
              <w:jc w:val="both"/>
              <w:rPr>
                <w:rFonts w:ascii="Verdana" w:eastAsia="Calibri" w:hAnsi="Verdana" w:cs="Arial"/>
                <w:lang w:val="es-ES_tradnl" w:eastAsia="es-ES_tradnl"/>
              </w:rPr>
            </w:pPr>
            <w:r w:rsidRPr="000679DC">
              <w:rPr>
                <w:rFonts w:ascii="Verdana" w:eastAsia="Calibri" w:hAnsi="Verdana" w:cs="Arial"/>
                <w:b/>
                <w:lang w:val="es-ES_tradnl" w:eastAsia="es-ES_tradnl"/>
              </w:rPr>
              <w:t>Temas:</w:t>
            </w:r>
            <w:r w:rsidRPr="000679DC">
              <w:rPr>
                <w:rFonts w:ascii="Verdana" w:eastAsia="Calibri" w:hAnsi="Verdana" w:cs="Arial"/>
                <w:lang w:val="es-ES_tradnl" w:eastAsia="es-ES_tradnl"/>
              </w:rPr>
              <w:t xml:space="preserve">                   </w:t>
            </w:r>
          </w:p>
        </w:tc>
        <w:tc>
          <w:tcPr>
            <w:tcW w:w="6100" w:type="dxa"/>
          </w:tcPr>
          <w:p w14:paraId="0AFF2DE9" w14:textId="77777777" w:rsidR="000679DC" w:rsidRPr="000679DC" w:rsidRDefault="000679DC" w:rsidP="000679DC">
            <w:pPr>
              <w:snapToGrid w:val="0"/>
              <w:spacing w:line="276" w:lineRule="auto"/>
              <w:jc w:val="both"/>
              <w:rPr>
                <w:rFonts w:ascii="Verdana" w:eastAsia="Geomanist Light" w:hAnsi="Verdana" w:cs="Arial"/>
                <w:lang w:val="es-ES_tradnl" w:eastAsia="es-MX"/>
              </w:rPr>
            </w:pPr>
            <w:r w:rsidRPr="000679DC">
              <w:rPr>
                <w:rFonts w:ascii="Verdana" w:eastAsia="Calibri" w:hAnsi="Verdana" w:cs="Arial"/>
                <w:lang w:val="es-ES_tradnl" w:eastAsia="es-ES"/>
              </w:rPr>
              <w:t xml:space="preserve">DOCUMENTOS TIPO – Generalidades – </w:t>
            </w:r>
            <w:r w:rsidRPr="000679DC">
              <w:rPr>
                <w:rFonts w:ascii="Verdana" w:eastAsia="Aptos" w:hAnsi="Verdana" w:cs="Times New Roman"/>
                <w:lang w:val="es-ES_tradnl" w:eastAsia="es-ES"/>
              </w:rPr>
              <w:t xml:space="preserve">Obligatoriedad / </w:t>
            </w:r>
            <w:r w:rsidRPr="000679DC">
              <w:rPr>
                <w:rFonts w:ascii="Verdana" w:eastAsia="Geomanist Light" w:hAnsi="Verdana" w:cs="Arial"/>
                <w:lang w:val="es-ES_tradnl" w:eastAsia="es-MX"/>
              </w:rPr>
              <w:t xml:space="preserve">DOCUMENTO BASE – Documentos tipo – Infraestructura de transporte –Versión 4 – Numeral 2.3.2 – Nota – Alcance / – </w:t>
            </w:r>
            <w:r w:rsidRPr="000679DC">
              <w:rPr>
                <w:rFonts w:ascii="Verdana" w:eastAsia="Calibri" w:hAnsi="Verdana" w:cs="Arial"/>
                <w:lang w:val="es-ES_tradnl" w:eastAsia="es-MX"/>
              </w:rPr>
              <w:t>FORMULARIO 1 – Formulario de presupuesto oficial – Reglas de prevalencia – Oferta económica – Posibilidad de configuración – Procedencia</w:t>
            </w:r>
          </w:p>
          <w:p w14:paraId="7A9102E1" w14:textId="77777777" w:rsidR="000679DC" w:rsidRPr="000679DC" w:rsidRDefault="000679DC" w:rsidP="000679DC">
            <w:pPr>
              <w:spacing w:line="276" w:lineRule="auto"/>
              <w:jc w:val="both"/>
              <w:rPr>
                <w:rFonts w:ascii="Verdana" w:eastAsia="Calibri" w:hAnsi="Verdana" w:cs="Arial"/>
                <w:lang w:val="es-ES_tradnl" w:eastAsia="es-ES"/>
              </w:rPr>
            </w:pPr>
          </w:p>
        </w:tc>
      </w:tr>
      <w:tr w:rsidR="000679DC" w:rsidRPr="000679DC" w14:paraId="5E6606D4" w14:textId="77777777" w:rsidTr="00C669B1">
        <w:tc>
          <w:tcPr>
            <w:tcW w:w="2689" w:type="dxa"/>
          </w:tcPr>
          <w:p w14:paraId="34686820" w14:textId="77777777" w:rsidR="000679DC" w:rsidRPr="000679DC" w:rsidRDefault="000679DC" w:rsidP="000679DC">
            <w:pPr>
              <w:jc w:val="both"/>
              <w:rPr>
                <w:rFonts w:ascii="Verdana" w:eastAsia="Calibri" w:hAnsi="Verdana" w:cs="Arial"/>
                <w:b/>
                <w:lang w:val="es-ES_tradnl" w:eastAsia="es-ES_tradnl"/>
              </w:rPr>
            </w:pPr>
            <w:r w:rsidRPr="000679DC">
              <w:rPr>
                <w:rFonts w:ascii="Verdana" w:eastAsia="Calibri" w:hAnsi="Verdana" w:cs="Arial"/>
                <w:b/>
                <w:lang w:val="es-ES_tradnl" w:eastAsia="es-ES_tradnl"/>
              </w:rPr>
              <w:t>Radicación:</w:t>
            </w:r>
            <w:r w:rsidRPr="000679DC">
              <w:rPr>
                <w:rFonts w:ascii="Verdana" w:eastAsia="Calibri" w:hAnsi="Verdana" w:cs="Arial"/>
                <w:lang w:val="es-ES_tradnl" w:eastAsia="es-ES_tradnl"/>
              </w:rPr>
              <w:t xml:space="preserve">               </w:t>
            </w:r>
          </w:p>
        </w:tc>
        <w:tc>
          <w:tcPr>
            <w:tcW w:w="6100" w:type="dxa"/>
          </w:tcPr>
          <w:p w14:paraId="246F56EA" w14:textId="77777777" w:rsidR="000679DC" w:rsidRPr="000679DC" w:rsidRDefault="000679DC" w:rsidP="000679DC">
            <w:pPr>
              <w:jc w:val="both"/>
              <w:rPr>
                <w:rFonts w:ascii="Verdana" w:eastAsia="Calibri" w:hAnsi="Verdana" w:cs="Arial"/>
                <w:lang w:val="es-ES_tradnl" w:eastAsia="es-ES_tradnl"/>
              </w:rPr>
            </w:pPr>
            <w:r w:rsidRPr="000679DC">
              <w:rPr>
                <w:rFonts w:ascii="Verdana" w:eastAsia="Calibri" w:hAnsi="Verdana" w:cs="Arial"/>
                <w:lang w:val="es-ES_tradnl" w:eastAsia="es-ES_tradnl"/>
              </w:rPr>
              <w:t>Respuesta a consultas con radicados Nos. 1_2026_05_19_006719 y 1_2026_05_20_006783</w:t>
            </w:r>
          </w:p>
        </w:tc>
      </w:tr>
    </w:tbl>
    <w:p w14:paraId="0B20D939" w14:textId="77777777" w:rsidR="000679DC" w:rsidRPr="000679DC" w:rsidRDefault="000679DC" w:rsidP="000679DC">
      <w:pPr>
        <w:spacing w:after="0" w:line="240" w:lineRule="auto"/>
        <w:jc w:val="both"/>
        <w:rPr>
          <w:rFonts w:ascii="Verdana" w:eastAsia="Calibri" w:hAnsi="Verdana" w:cs="Arial"/>
          <w:lang w:val="es-ES_tradnl" w:eastAsia="es-ES_tradnl"/>
        </w:rPr>
      </w:pPr>
    </w:p>
    <w:p w14:paraId="063A09E5" w14:textId="77777777" w:rsidR="000679DC" w:rsidRPr="000679DC" w:rsidRDefault="000679DC" w:rsidP="000679DC">
      <w:pPr>
        <w:spacing w:after="0" w:line="276" w:lineRule="auto"/>
        <w:jc w:val="both"/>
        <w:rPr>
          <w:rFonts w:ascii="Verdana" w:eastAsia="Calibri" w:hAnsi="Verdana" w:cs="Vrinda"/>
          <w:lang w:val="es-ES" w:eastAsia="es-ES"/>
        </w:rPr>
      </w:pPr>
      <w:r w:rsidRPr="000679DC">
        <w:rPr>
          <w:rFonts w:ascii="Verdana" w:eastAsia="Calibri" w:hAnsi="Verdana" w:cs="Vrinda"/>
          <w:lang w:val="es-ES" w:eastAsia="es-ES"/>
        </w:rPr>
        <w:t xml:space="preserve">Estimada Doctora </w:t>
      </w:r>
      <w:r w:rsidRPr="000679DC">
        <w:rPr>
          <w:rFonts w:ascii="Verdana" w:eastAsia="Times New Roman" w:hAnsi="Verdana" w:cs="Vrinda"/>
          <w:lang w:eastAsia="es-CO"/>
        </w:rPr>
        <w:t>González Martínez</w:t>
      </w:r>
      <w:r w:rsidRPr="000679DC">
        <w:rPr>
          <w:rFonts w:ascii="Verdana" w:eastAsia="Calibri" w:hAnsi="Verdana" w:cs="Vrinda"/>
          <w:lang w:val="es-ES" w:eastAsia="es-ES"/>
        </w:rPr>
        <w:t xml:space="preserve">: </w:t>
      </w:r>
    </w:p>
    <w:p w14:paraId="7B9A53C7" w14:textId="77777777" w:rsidR="000679DC" w:rsidRPr="000679DC" w:rsidRDefault="000679DC" w:rsidP="000679DC">
      <w:pPr>
        <w:tabs>
          <w:tab w:val="left" w:pos="3768"/>
        </w:tabs>
        <w:spacing w:after="0" w:line="276" w:lineRule="auto"/>
        <w:jc w:val="both"/>
        <w:rPr>
          <w:rFonts w:ascii="Verdana" w:eastAsia="Calibri" w:hAnsi="Verdana" w:cs="Arial"/>
          <w:lang w:val="es-ES_tradnl" w:eastAsia="es-ES"/>
        </w:rPr>
      </w:pPr>
      <w:r w:rsidRPr="000679DC">
        <w:rPr>
          <w:rFonts w:ascii="Verdana" w:eastAsia="Calibri" w:hAnsi="Verdana" w:cs="Arial"/>
          <w:lang w:val="es-ES_tradnl" w:eastAsia="es-ES"/>
        </w:rPr>
        <w:tab/>
      </w:r>
    </w:p>
    <w:p w14:paraId="6A8D0555" w14:textId="77777777" w:rsidR="000679DC" w:rsidRPr="000679DC" w:rsidRDefault="000679DC" w:rsidP="000679DC">
      <w:pPr>
        <w:spacing w:after="0" w:line="276" w:lineRule="auto"/>
        <w:jc w:val="both"/>
        <w:rPr>
          <w:rFonts w:ascii="Verdana" w:eastAsia="Calibri" w:hAnsi="Verdana" w:cs="Vrinda"/>
          <w:lang w:val="es-ES" w:eastAsia="es-ES"/>
        </w:rPr>
      </w:pPr>
      <w:r w:rsidRPr="000679DC">
        <w:rPr>
          <w:rFonts w:ascii="Verdana" w:eastAsia="Calibri" w:hAnsi="Verdana" w:cs="Vrinda"/>
          <w:lang w:val="es-ES" w:eastAsia="es-ES"/>
        </w:rPr>
        <w:t>En ejercicio de la competencia otorgada por los artículos 3, numeral 5º, y 11, numeral 8º, del Decreto Ley 4170 de 2011,</w:t>
      </w:r>
      <w:r w:rsidRPr="000679DC">
        <w:rPr>
          <w:rFonts w:ascii="Verdana" w:eastAsia="Arial MT" w:hAnsi="Verdana" w:cs="Vrinda"/>
          <w:lang w:val="es-ES" w:eastAsia="es-ES"/>
        </w:rPr>
        <w:t xml:space="preserve"> </w:t>
      </w:r>
      <w:r w:rsidRPr="000679DC">
        <w:rPr>
          <w:rFonts w:ascii="Verdana" w:eastAsia="Calibri" w:hAnsi="Verdana" w:cs="Vrinda"/>
          <w:lang w:eastAsia="es-MX"/>
        </w:rPr>
        <w:t xml:space="preserve">así como lo establecido en la Resolución 469 de 2025 expedida por esta Entidad, </w:t>
      </w:r>
      <w:r w:rsidRPr="000679DC">
        <w:rPr>
          <w:rFonts w:ascii="Verdana" w:eastAsia="Calibri" w:hAnsi="Verdana" w:cs="Vrinda"/>
          <w:lang w:val="es-ES" w:eastAsia="es-ES"/>
        </w:rPr>
        <w:t>la Agencia Nacional de Contratación Pública – Colombia Compra Eficiente– responde sus solicitudes del 19 de mayo de 2026. En dicha petición usted manifiesta lo siguiente:</w:t>
      </w:r>
    </w:p>
    <w:p w14:paraId="3F127A73" w14:textId="77777777" w:rsidR="000679DC" w:rsidRPr="000679DC" w:rsidRDefault="000679DC" w:rsidP="000679DC">
      <w:pPr>
        <w:tabs>
          <w:tab w:val="left" w:pos="142"/>
          <w:tab w:val="left" w:pos="284"/>
        </w:tabs>
        <w:snapToGrid w:val="0"/>
        <w:spacing w:after="0" w:line="240" w:lineRule="auto"/>
        <w:jc w:val="both"/>
        <w:rPr>
          <w:rFonts w:ascii="Verdana" w:eastAsia="Century Gothic" w:hAnsi="Verdana" w:cs="Century Gothic"/>
          <w:b/>
          <w:bCs/>
          <w:sz w:val="21"/>
          <w:szCs w:val="21"/>
          <w:lang w:val="es-ES_tradnl" w:eastAsia="es-MX"/>
        </w:rPr>
      </w:pPr>
    </w:p>
    <w:p w14:paraId="42F06F2F"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Century Gothic" w:hAnsi="Verdana" w:cs="Arial"/>
          <w:sz w:val="20"/>
          <w:szCs w:val="20"/>
          <w:lang w:val="es-ES_tradnl" w:eastAsia="es-MX"/>
        </w:rPr>
        <w:t>“</w:t>
      </w:r>
      <w:r w:rsidRPr="000679DC">
        <w:rPr>
          <w:rFonts w:ascii="Verdana" w:eastAsia="Times New Roman" w:hAnsi="Verdana" w:cs="Times New Roman"/>
          <w:sz w:val="20"/>
          <w:szCs w:val="20"/>
          <w:lang w:eastAsia="es-MX"/>
        </w:rPr>
        <w:t xml:space="preserve">Desde el Instituto de Desarrollo Urbano - IDU, agradecemos el acompañamiento que esa Agencia ha venido brindando a la entidad en la implementación y aplicación de los documentos tipo en los procesos de selección para la contratación de obra pública. </w:t>
      </w:r>
    </w:p>
    <w:p w14:paraId="1CE63D03"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lastRenderedPageBreak/>
        <w:t xml:space="preserve">En el marco de la aplicación de los Documentos Tipo de Obra Pública (Versión 4) y con ocasión de la mesa de trabajo realizada el 21 de abril de 2026, el IDU considera pertinente solicitar precisiones sobre el alcance de la nota contenida en el </w:t>
      </w:r>
      <w:proofErr w:type="spellStart"/>
      <w:r w:rsidRPr="000679DC">
        <w:rPr>
          <w:rFonts w:ascii="Verdana" w:eastAsia="Times New Roman" w:hAnsi="Verdana" w:cs="Times New Roman"/>
          <w:sz w:val="20"/>
          <w:szCs w:val="20"/>
          <w:lang w:eastAsia="es-MX"/>
        </w:rPr>
        <w:t>subnumeral</w:t>
      </w:r>
      <w:proofErr w:type="spellEnd"/>
      <w:r w:rsidRPr="000679DC">
        <w:rPr>
          <w:rFonts w:ascii="Verdana" w:eastAsia="Times New Roman" w:hAnsi="Verdana" w:cs="Times New Roman"/>
          <w:sz w:val="20"/>
          <w:szCs w:val="20"/>
          <w:lang w:eastAsia="es-MX"/>
        </w:rPr>
        <w:t xml:space="preserve"> 2.3.2 del Título 2.3 "Elaboración y presentación de la oferta", la cual señala:</w:t>
      </w:r>
    </w:p>
    <w:p w14:paraId="47BF54E3"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p>
    <w:p w14:paraId="1228562B"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 Nota: En caso de discrepancias entre los valores señalados en el Formulario 1 - Formulario de Presupuesto Oficial y el valor presentado en el SECOP II, prevalecerá el valor presentado en el SECOР II. (...)" Subrayado y negrilla fuera del texto original.</w:t>
      </w:r>
    </w:p>
    <w:p w14:paraId="307E70F6"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Lo anterior en concordancia con lo señalado por la Agencia en el Concepto C1731 del 30 de diciembre de 2025, en el que estableció lo siguiente:</w:t>
      </w:r>
    </w:p>
    <w:p w14:paraId="7DC04FD3"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 xml:space="preserve">"(...) Al respecto, debe advertirse que, indistintamente de los valores que figuren en el Formulario 1 y el SECOP II, prevalecerán los consignados en el SECOP II. Por lo tanto, cuando este tipo de situaciones se presenten en desarrollo de procesos de contratación, </w:t>
      </w:r>
      <w:r w:rsidRPr="000679DC">
        <w:rPr>
          <w:rFonts w:ascii="Verdana" w:eastAsia="Times New Roman" w:hAnsi="Verdana" w:cs="Times New Roman"/>
          <w:i/>
          <w:iCs/>
          <w:sz w:val="20"/>
          <w:szCs w:val="20"/>
          <w:u w:val="single"/>
          <w:lang w:eastAsia="es-MX"/>
        </w:rPr>
        <w:t>corresponderá a las entidades estatales. en el marco de su autonomía, adelantar las acciones procedentes y necesarias. con el fin hacer prevalecer los valores de la oferta contemplados en el SECOP II y continuar con el desarrollo del proceso. conforme al régimen jurídico aplicable</w:t>
      </w:r>
      <w:r w:rsidRPr="000679DC">
        <w:rPr>
          <w:rFonts w:ascii="Verdana" w:eastAsia="Times New Roman" w:hAnsi="Verdana" w:cs="Times New Roman"/>
          <w:sz w:val="20"/>
          <w:szCs w:val="20"/>
          <w:lang w:eastAsia="es-MX"/>
        </w:rPr>
        <w:t xml:space="preserve"> (...)" (Subrayado fuera del texto original).</w:t>
      </w:r>
    </w:p>
    <w:p w14:paraId="55C35646"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 xml:space="preserve">En ese contexto y en consideración al principio de inalterabilidad de los Documentos Tipo, el Instituto, con el propósito de brindar mayor claridad en los procesos que adelanta, y conforme a lo expuesto en la mesa de trabajo considera procedente indicar en el Formulario 1 - Formulario de Presupuesto Oficial, de manera expresa, la forma de aplicación de la nota del </w:t>
      </w:r>
      <w:proofErr w:type="spellStart"/>
      <w:r w:rsidRPr="000679DC">
        <w:rPr>
          <w:rFonts w:ascii="Verdana" w:eastAsia="Times New Roman" w:hAnsi="Verdana" w:cs="Times New Roman"/>
          <w:sz w:val="20"/>
          <w:szCs w:val="20"/>
          <w:lang w:eastAsia="es-MX"/>
        </w:rPr>
        <w:t>subnumeral</w:t>
      </w:r>
      <w:proofErr w:type="spellEnd"/>
      <w:r w:rsidRPr="000679DC">
        <w:rPr>
          <w:rFonts w:ascii="Verdana" w:eastAsia="Times New Roman" w:hAnsi="Verdana" w:cs="Times New Roman"/>
          <w:sz w:val="20"/>
          <w:szCs w:val="20"/>
          <w:lang w:eastAsia="es-MX"/>
        </w:rPr>
        <w:t xml:space="preserve"> 2.3.2 del Numeral 2.3 "Elaboración y presentación de la oferta". </w:t>
      </w:r>
    </w:p>
    <w:p w14:paraId="41D1A89A"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 xml:space="preserve">En particular, dicha precisión está orientada a prever que, en caso de que el proponente ubicado en el primer lugar en el orden de elegibilidad presente discrepancias entre el valor consignado en el Formulario 1 y el registrado en la plataforma </w:t>
      </w:r>
      <w:proofErr w:type="spellStart"/>
      <w:r w:rsidRPr="000679DC">
        <w:rPr>
          <w:rFonts w:ascii="Verdana" w:eastAsia="Times New Roman" w:hAnsi="Verdana" w:cs="Times New Roman"/>
          <w:sz w:val="20"/>
          <w:szCs w:val="20"/>
          <w:lang w:eastAsia="es-MX"/>
        </w:rPr>
        <w:t>Secop</w:t>
      </w:r>
      <w:proofErr w:type="spellEnd"/>
      <w:r w:rsidRPr="000679DC">
        <w:rPr>
          <w:rFonts w:ascii="Verdana" w:eastAsia="Times New Roman" w:hAnsi="Verdana" w:cs="Times New Roman"/>
          <w:sz w:val="20"/>
          <w:szCs w:val="20"/>
          <w:lang w:eastAsia="es-MX"/>
        </w:rPr>
        <w:t xml:space="preserve"> II, pueda requerirse la presentación del Formulario 1 ajustado conforme al valor indicado en dicha plataforma. </w:t>
      </w:r>
    </w:p>
    <w:p w14:paraId="233DE860"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Para tal efecto, se plantea la inclusión de la siguiente nota en el Formulario 1:</w:t>
      </w:r>
    </w:p>
    <w:p w14:paraId="190868D8"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t>"Nota: En atención a la nota del numeral 2.3.2 del pliego de condiciones del Título 2.3 "Elaboración y presentación de la oferta", que señala que prevalecerá el valor presentado en el SECOP II frente al valor total señalado en el presente Formulario, el proponente adjudicatario deberá aportar, en el término señalado por la Entidad, el Formulario 1 - Formulario de Presupuesto Oficial, ajustando los ítems y los valores totales, acorde con el valor presentado en la Plataforma SECOP II."</w:t>
      </w:r>
    </w:p>
    <w:p w14:paraId="72AAE242"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Times New Roman"/>
          <w:sz w:val="20"/>
          <w:szCs w:val="20"/>
          <w:lang w:eastAsia="es-MX"/>
        </w:rPr>
      </w:pPr>
      <w:r w:rsidRPr="000679DC">
        <w:rPr>
          <w:rFonts w:ascii="Verdana" w:eastAsia="Times New Roman" w:hAnsi="Verdana" w:cs="Times New Roman"/>
          <w:sz w:val="20"/>
          <w:szCs w:val="20"/>
          <w:lang w:eastAsia="es-MX"/>
        </w:rPr>
        <w:lastRenderedPageBreak/>
        <w:t xml:space="preserve">Al respecto, de manera respetuosa solicitamos a esta Agencia que, en caso de que la nota aquí expuesta difiera del alcance que la Agencia Nacional de Contratación Pública - Colombia Compra Eficiente ha previsto frente a la aplicación de los documentos tipo, y en particular, si se considera que la aclaración propuesta podría afectar el principio de inalterabilidad de los mismos, nos sea informado a la mayor brevedad posible, toda vez que como se ha indicado en la actualidad el IDU se encuentra adelantando proyectos de selección de vital importancia para el mejoramiento de la movilidad. </w:t>
      </w:r>
    </w:p>
    <w:p w14:paraId="20B6FC3C" w14:textId="77777777" w:rsidR="000679DC" w:rsidRPr="000679DC" w:rsidRDefault="000679DC" w:rsidP="000679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color w:val="000000"/>
          <w:sz w:val="20"/>
          <w:szCs w:val="20"/>
          <w:lang w:val="es-MX" w:eastAsia="es-MX"/>
        </w:rPr>
      </w:pPr>
      <w:r w:rsidRPr="000679DC">
        <w:rPr>
          <w:rFonts w:ascii="Verdana" w:eastAsia="Times New Roman" w:hAnsi="Verdana" w:cs="Times New Roman"/>
          <w:sz w:val="20"/>
          <w:szCs w:val="20"/>
          <w:lang w:eastAsia="es-MX"/>
        </w:rPr>
        <w:t>En este sentido reiteramos nuestro agradecimiento por la permanente disposición de la Agencia, así como por los espacios de articulación generados en el marco de las mesas de trabajo y jornadas de socialización relacionadas con la implementación de los documentos tipo</w:t>
      </w:r>
      <w:r w:rsidRPr="000679DC">
        <w:rPr>
          <w:rFonts w:ascii="Verdana" w:eastAsia="Calibri" w:hAnsi="Verdana" w:cs="Arial"/>
          <w:color w:val="000000"/>
          <w:sz w:val="20"/>
          <w:szCs w:val="20"/>
          <w:lang w:val="es-MX" w:eastAsia="es-MX"/>
        </w:rPr>
        <w:t>”.</w:t>
      </w:r>
    </w:p>
    <w:p w14:paraId="26F73FD2" w14:textId="77777777" w:rsidR="000679DC" w:rsidRPr="000679DC" w:rsidRDefault="000679DC" w:rsidP="000679DC">
      <w:pPr>
        <w:tabs>
          <w:tab w:val="left" w:pos="142"/>
          <w:tab w:val="left" w:pos="1020"/>
        </w:tabs>
        <w:spacing w:after="0" w:line="276" w:lineRule="auto"/>
        <w:contextualSpacing/>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ab/>
      </w:r>
      <w:r w:rsidRPr="000679DC">
        <w:rPr>
          <w:rFonts w:ascii="Verdana" w:eastAsia="Century Gothic" w:hAnsi="Verdana" w:cs="Century Gothic"/>
          <w:b/>
          <w:bCs/>
          <w:lang w:val="es-ES_tradnl" w:eastAsia="es-MX"/>
        </w:rPr>
        <w:tab/>
      </w:r>
    </w:p>
    <w:p w14:paraId="765833B4" w14:textId="77777777" w:rsidR="000679DC" w:rsidRPr="000679DC" w:rsidRDefault="000679DC" w:rsidP="000679DC">
      <w:pPr>
        <w:spacing w:after="120" w:line="276" w:lineRule="auto"/>
        <w:ind w:firstLine="709"/>
        <w:jc w:val="both"/>
        <w:rPr>
          <w:rFonts w:ascii="Verdana" w:eastAsia="Calibri" w:hAnsi="Verdana" w:cs="Arial"/>
          <w:lang w:val="es-ES" w:eastAsia="es-ES"/>
        </w:rPr>
      </w:pPr>
      <w:r w:rsidRPr="000679D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679DC">
        <w:rPr>
          <w:rFonts w:ascii="Calibri" w:eastAsia="Calibri" w:hAnsi="Calibri" w:cs="Times New Roman"/>
          <w:lang w:eastAsia="es-MX"/>
        </w:rPr>
        <w:tab/>
      </w:r>
    </w:p>
    <w:p w14:paraId="30C4671E" w14:textId="77777777" w:rsidR="000679DC" w:rsidRPr="000679DC" w:rsidRDefault="000679DC" w:rsidP="000679DC">
      <w:pPr>
        <w:snapToGrid w:val="0"/>
        <w:spacing w:after="0" w:line="276" w:lineRule="auto"/>
        <w:ind w:firstLine="709"/>
        <w:jc w:val="both"/>
        <w:rPr>
          <w:rFonts w:ascii="Verdana" w:eastAsia="Calibri" w:hAnsi="Verdana" w:cs="Arial"/>
          <w:lang w:val="es-ES_tradnl" w:eastAsia="es-ES"/>
        </w:rPr>
      </w:pPr>
      <w:r w:rsidRPr="000679DC">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9B4C4EF" w14:textId="77777777" w:rsidR="000679DC" w:rsidRPr="000679DC" w:rsidRDefault="000679DC" w:rsidP="000679DC">
      <w:pPr>
        <w:snapToGrid w:val="0"/>
        <w:spacing w:after="0" w:line="276" w:lineRule="auto"/>
        <w:ind w:firstLine="709"/>
        <w:jc w:val="both"/>
        <w:rPr>
          <w:rFonts w:ascii="Verdana" w:eastAsia="Calibri" w:hAnsi="Verdana" w:cs="Arial"/>
          <w:lang w:val="es-ES_tradnl" w:eastAsia="es-ES"/>
        </w:rPr>
      </w:pPr>
    </w:p>
    <w:p w14:paraId="26F3F944" w14:textId="77777777" w:rsidR="000679DC" w:rsidRPr="000679DC" w:rsidRDefault="000679DC" w:rsidP="000679D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Problema planteado:</w:t>
      </w:r>
    </w:p>
    <w:p w14:paraId="78AE6384" w14:textId="77777777" w:rsidR="000679DC" w:rsidRPr="000679DC" w:rsidRDefault="000679DC" w:rsidP="000679DC">
      <w:pPr>
        <w:tabs>
          <w:tab w:val="left" w:pos="426"/>
        </w:tabs>
        <w:snapToGrid w:val="0"/>
        <w:spacing w:after="0" w:line="276" w:lineRule="auto"/>
        <w:jc w:val="both"/>
        <w:rPr>
          <w:rFonts w:ascii="Verdana" w:eastAsia="Century Gothic" w:hAnsi="Verdana" w:cs="Century Gothic"/>
          <w:lang w:val="es-ES_tradnl" w:eastAsia="es-MX"/>
        </w:rPr>
      </w:pPr>
    </w:p>
    <w:p w14:paraId="552CB989" w14:textId="77777777" w:rsidR="000679DC" w:rsidRPr="000679DC" w:rsidRDefault="000679DC" w:rsidP="000679DC">
      <w:pPr>
        <w:spacing w:after="0" w:line="240" w:lineRule="auto"/>
        <w:jc w:val="both"/>
        <w:rPr>
          <w:rFonts w:ascii="Verdana" w:eastAsia="Century Gothic" w:hAnsi="Verdana" w:cs="Century Gothic"/>
          <w:lang w:val="es-ES" w:eastAsia="es-MX"/>
        </w:rPr>
      </w:pPr>
      <w:r w:rsidRPr="000679DC">
        <w:rPr>
          <w:rFonts w:ascii="Verdana" w:eastAsia="Century Gothic" w:hAnsi="Verdana" w:cs="Century Gothic"/>
          <w:lang w:val="es-ES" w:eastAsia="es-MX"/>
        </w:rPr>
        <w:t xml:space="preserve">De acuerdo con el contenido de su solicitud, en relación con los documentos tipo de licitación de obra pública de infraestructura de transporte – versión 4, esta Agencia resolverá los siguientes problemas jurídicos: i) </w:t>
      </w:r>
      <w:proofErr w:type="gramStart"/>
      <w:r w:rsidRPr="000679DC">
        <w:rPr>
          <w:rFonts w:ascii="Verdana" w:eastAsia="Century Gothic" w:hAnsi="Verdana" w:cs="Century Gothic"/>
          <w:lang w:val="es-ES" w:eastAsia="es-MX"/>
        </w:rPr>
        <w:t>¿Cuál es el alcance de la nota contenida en el numeral 2.</w:t>
      </w:r>
      <w:proofErr w:type="gramEnd"/>
      <w:r w:rsidRPr="000679DC">
        <w:rPr>
          <w:rFonts w:ascii="Verdana" w:eastAsia="Century Gothic" w:hAnsi="Verdana" w:cs="Century Gothic"/>
          <w:lang w:val="es-ES" w:eastAsia="es-MX"/>
        </w:rPr>
        <w:t xml:space="preserve">3. del documento base?, </w:t>
      </w:r>
      <w:proofErr w:type="spellStart"/>
      <w:r w:rsidRPr="000679DC">
        <w:rPr>
          <w:rFonts w:ascii="Verdana" w:eastAsia="Century Gothic" w:hAnsi="Verdana" w:cs="Century Gothic"/>
          <w:lang w:val="es-ES" w:eastAsia="es-MX"/>
        </w:rPr>
        <w:t>ii</w:t>
      </w:r>
      <w:proofErr w:type="spellEnd"/>
      <w:r w:rsidRPr="000679DC">
        <w:rPr>
          <w:rFonts w:ascii="Verdana" w:eastAsia="Century Gothic" w:hAnsi="Verdana" w:cs="Century Gothic"/>
          <w:lang w:val="es-ES" w:eastAsia="es-MX"/>
        </w:rPr>
        <w:t xml:space="preserve">) ¿Puede la entidad </w:t>
      </w:r>
      <w:r w:rsidRPr="000679DC">
        <w:rPr>
          <w:rFonts w:ascii="Verdana" w:eastAsia="Century Gothic" w:hAnsi="Verdana" w:cs="Century Gothic"/>
          <w:lang w:val="es-ES" w:eastAsia="es-MX"/>
        </w:rPr>
        <w:lastRenderedPageBreak/>
        <w:t xml:space="preserve">estatal incorporar en el Formulario 1 – </w:t>
      </w:r>
      <w:proofErr w:type="gramStart"/>
      <w:r w:rsidRPr="000679DC">
        <w:rPr>
          <w:rFonts w:ascii="Verdana" w:eastAsia="Century Gothic" w:hAnsi="Verdana" w:cs="Century Gothic"/>
          <w:lang w:val="es-ES" w:eastAsia="es-MX"/>
        </w:rPr>
        <w:t>Formulario de Presupuesto Oficial notas o reglas orientadas a definir cuál información prevalecerá entre dicho formulario y el cuestionario transaccional del SECOP II para efectos de la evaluación de la oferta económica, cuando ambos hayan sido configurados de manera distinta?</w:t>
      </w:r>
      <w:proofErr w:type="gramEnd"/>
      <w:r w:rsidRPr="000679DC">
        <w:rPr>
          <w:rFonts w:ascii="Verdana" w:eastAsia="Century Gothic" w:hAnsi="Verdana" w:cs="Century Gothic"/>
          <w:lang w:val="es-ES" w:eastAsia="es-MX"/>
        </w:rPr>
        <w:t xml:space="preserve"> Y </w:t>
      </w:r>
      <w:proofErr w:type="spellStart"/>
      <w:r w:rsidRPr="000679DC">
        <w:rPr>
          <w:rFonts w:ascii="Verdana" w:eastAsia="Century Gothic" w:hAnsi="Verdana" w:cs="Century Gothic"/>
          <w:lang w:val="es-ES" w:eastAsia="es-MX"/>
        </w:rPr>
        <w:t>iii</w:t>
      </w:r>
      <w:proofErr w:type="spellEnd"/>
      <w:r w:rsidRPr="000679DC">
        <w:rPr>
          <w:rFonts w:ascii="Verdana" w:eastAsia="Century Gothic" w:hAnsi="Verdana" w:cs="Century Gothic"/>
          <w:lang w:val="es-ES" w:eastAsia="es-MX"/>
        </w:rPr>
        <w:t xml:space="preserve">) ¿Qué criterios y límites debe observar la entidad estatal al definir, en el Formulario 1 – </w:t>
      </w:r>
      <w:proofErr w:type="gramStart"/>
      <w:r w:rsidRPr="000679DC">
        <w:rPr>
          <w:rFonts w:ascii="Verdana" w:eastAsia="Century Gothic" w:hAnsi="Verdana" w:cs="Century Gothic"/>
          <w:lang w:val="es-ES" w:eastAsia="es-MX"/>
        </w:rPr>
        <w:t>Formulario de Presupuesto Oficial, reglas sobre la prevalencia de la información de la oferta económica en dicho formulario, con el fin de garantizar los principios de transparencia, selección objetiva, igualdad y seguridad jurídica?</w:t>
      </w:r>
      <w:proofErr w:type="gramEnd"/>
    </w:p>
    <w:p w14:paraId="2FD69CE7" w14:textId="77777777" w:rsidR="000679DC" w:rsidRPr="000679DC" w:rsidRDefault="000679DC" w:rsidP="000679DC">
      <w:pPr>
        <w:snapToGrid w:val="0"/>
        <w:spacing w:after="0" w:line="276" w:lineRule="auto"/>
        <w:jc w:val="both"/>
        <w:rPr>
          <w:rFonts w:ascii="Verdana" w:eastAsia="Calibri" w:hAnsi="Verdana" w:cs="Arial"/>
          <w:lang w:val="es-ES_tradnl" w:eastAsia="es-MX"/>
        </w:rPr>
      </w:pPr>
    </w:p>
    <w:p w14:paraId="574E257B" w14:textId="77777777" w:rsidR="000679DC" w:rsidRPr="000679DC" w:rsidRDefault="000679DC" w:rsidP="000679D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Respuesta:</w:t>
      </w:r>
    </w:p>
    <w:p w14:paraId="6C00B82C" w14:textId="77777777" w:rsidR="000679DC" w:rsidRPr="000679DC" w:rsidRDefault="000679DC" w:rsidP="000679DC">
      <w:pPr>
        <w:tabs>
          <w:tab w:val="left" w:pos="142"/>
          <w:tab w:val="left" w:pos="284"/>
        </w:tabs>
        <w:snapToGrid w:val="0"/>
        <w:spacing w:after="0" w:line="276" w:lineRule="auto"/>
        <w:jc w:val="both"/>
        <w:rPr>
          <w:rFonts w:ascii="Verdana" w:eastAsia="Century Gothic" w:hAnsi="Verdana" w:cs="Century Gothic"/>
          <w:b/>
          <w:bCs/>
          <w:lang w:val="es-ES_tradnl"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679DC" w:rsidRPr="000679DC" w14:paraId="48A5E5F6" w14:textId="77777777" w:rsidTr="00C669B1">
        <w:tc>
          <w:tcPr>
            <w:tcW w:w="8828" w:type="dxa"/>
          </w:tcPr>
          <w:p w14:paraId="72A65DAD" w14:textId="77777777" w:rsidR="000679DC" w:rsidRPr="000679DC" w:rsidRDefault="000679DC" w:rsidP="000679DC">
            <w:pPr>
              <w:snapToGrid w:val="0"/>
              <w:spacing w:after="120" w:line="276" w:lineRule="auto"/>
              <w:jc w:val="both"/>
              <w:rPr>
                <w:rFonts w:ascii="Verdana" w:eastAsia="Arial" w:hAnsi="Verdana" w:cs="Arial"/>
                <w:i/>
                <w:iCs/>
                <w:lang w:val="es-ES" w:eastAsia="es-ES" w:bidi="es-ES"/>
              </w:rPr>
            </w:pPr>
            <w:r w:rsidRPr="000679DC">
              <w:rPr>
                <w:rFonts w:ascii="Verdana" w:eastAsia="Calibri" w:hAnsi="Verdana" w:cs="Arial"/>
                <w:lang w:val="es-ES_tradnl" w:eastAsia="es-MX"/>
              </w:rPr>
              <w:t xml:space="preserve">i. El numeral “2.3. ELABORACIÓN Y PRESENTACIÓN DE LA OFERTA” del documento base de los documentos tipo de licitación de obra pública de infraestructura de transporte – versión 4, contiene una </w:t>
            </w:r>
            <w:r w:rsidRPr="000679DC">
              <w:rPr>
                <w:rFonts w:ascii="Verdana" w:eastAsia="Calibri" w:hAnsi="Verdana" w:cs="Arial"/>
                <w:i/>
                <w:iCs/>
                <w:lang w:val="es-ES_tradnl" w:eastAsia="es-MX"/>
              </w:rPr>
              <w:t>Nota,</w:t>
            </w:r>
            <w:r w:rsidRPr="000679DC">
              <w:rPr>
                <w:rFonts w:ascii="Verdana" w:eastAsia="Calibri" w:hAnsi="Verdana" w:cs="Arial"/>
                <w:lang w:val="es-ES_tradnl" w:eastAsia="es-MX"/>
              </w:rPr>
              <w:t xml:space="preserve"> que establece que, </w:t>
            </w:r>
            <w:r w:rsidRPr="000679DC">
              <w:rPr>
                <w:rFonts w:ascii="Verdana" w:eastAsia="Calibri" w:hAnsi="Verdana" w:cs="Arial"/>
                <w:i/>
                <w:iCs/>
                <w:lang w:val="es-ES_tradnl" w:eastAsia="es-MX"/>
              </w:rPr>
              <w:t>“[e]n caso de discrepancias entre los valores señalados en el Formulario 1 – Formulario de Presupuesto Oficial y el valor presentado en el SECOP II, prevalecerá el valor presentado en el SECOP II.”</w:t>
            </w:r>
          </w:p>
          <w:p w14:paraId="7364B30D" w14:textId="77777777" w:rsidR="000679DC" w:rsidRPr="000679DC" w:rsidRDefault="000679DC" w:rsidP="000679DC">
            <w:pPr>
              <w:snapToGrid w:val="0"/>
              <w:spacing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 xml:space="preserve">Sobre esta nota, la Agencia Nacional de Contratación Pública – Colombia Compra Eficiente en los conceptos </w:t>
            </w:r>
            <w:r w:rsidRPr="000679DC">
              <w:rPr>
                <w:rFonts w:ascii="Verdana" w:eastAsia="Calibri" w:hAnsi="Verdana" w:cs="Arial"/>
                <w:kern w:val="2"/>
                <w:shd w:val="clear" w:color="auto" w:fill="FFFFFF"/>
                <w:lang w:val="es-ES" w:eastAsia="es-MX"/>
                <w14:ligatures w14:val="standardContextual"/>
              </w:rPr>
              <w:t>C-640 del 5 de noviembre de 2024, C-352 del 2 de mayo de 2025, C-974 del 10 de septiembre de 2025, C-1255 del 9 de octubre de 2025</w:t>
            </w:r>
            <w:r w:rsidRPr="000679DC">
              <w:rPr>
                <w:rFonts w:ascii="Verdana" w:eastAsia="Times New Roman" w:hAnsi="Verdana" w:cs="Times New Roman"/>
                <w:lang w:eastAsia="es-MX"/>
              </w:rPr>
              <w:t xml:space="preserve"> y C-1731 del 30 de diciembre de 2025, sostuvo lo siguiente:</w:t>
            </w:r>
          </w:p>
          <w:p w14:paraId="7935E7A4" w14:textId="77777777" w:rsidR="000679DC" w:rsidRPr="000679DC" w:rsidRDefault="000679DC" w:rsidP="000679DC">
            <w:pPr>
              <w:snapToGrid w:val="0"/>
              <w:spacing w:line="276" w:lineRule="auto"/>
              <w:ind w:firstLine="709"/>
              <w:jc w:val="both"/>
              <w:rPr>
                <w:rFonts w:ascii="Verdana" w:eastAsia="Times New Roman" w:hAnsi="Verdana" w:cs="Times New Roman"/>
                <w:lang w:eastAsia="es-MX"/>
              </w:rPr>
            </w:pPr>
          </w:p>
          <w:p w14:paraId="24046A67" w14:textId="77777777" w:rsidR="000679DC" w:rsidRPr="000679DC" w:rsidRDefault="000679DC" w:rsidP="000679DC">
            <w:pPr>
              <w:snapToGrid w:val="0"/>
              <w:spacing w:after="120"/>
              <w:ind w:left="709" w:right="709"/>
              <w:jc w:val="both"/>
              <w:rPr>
                <w:rFonts w:ascii="Verdana" w:eastAsia="Calibri" w:hAnsi="Verdana" w:cs="Arial"/>
                <w:sz w:val="21"/>
                <w:szCs w:val="21"/>
                <w:lang w:val="es-ES_tradnl" w:eastAsia="es-MX"/>
              </w:rPr>
            </w:pPr>
            <w:r w:rsidRPr="000679DC">
              <w:rPr>
                <w:rFonts w:ascii="Verdana" w:eastAsia="Calibri" w:hAnsi="Verdana" w:cs="Arial"/>
                <w:sz w:val="21"/>
                <w:szCs w:val="21"/>
                <w:lang w:val="es-ES_tradnl" w:eastAsia="es-MX"/>
              </w:rPr>
              <w:t>“(…) indistintamente de los valores que figuren en el Formulario 1 y el SECOP II, prevalecerán los consignados en el SECOP II.</w:t>
            </w:r>
          </w:p>
          <w:p w14:paraId="5872B394" w14:textId="77777777" w:rsidR="000679DC" w:rsidRPr="000679DC" w:rsidRDefault="000679DC" w:rsidP="000679DC">
            <w:pPr>
              <w:snapToGrid w:val="0"/>
              <w:spacing w:after="120"/>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t>Por lo tanto, cuando este tipo de situaciones se presenten en desarrollo de procesos de contratación, corresponderá a las entidades estatales, en el marco de su autonomía, adelantar las acciones procedentes y necesarias, con el fin hacer prevalecer los valores de la oferta contemplados en el SECOP II y continuar con el desarrollo del proceso, conforme al régimen jurídico aplicable.</w:t>
            </w:r>
          </w:p>
          <w:p w14:paraId="43601D84" w14:textId="77777777" w:rsidR="000679DC" w:rsidRPr="000679DC" w:rsidRDefault="000679DC" w:rsidP="000679DC">
            <w:pPr>
              <w:snapToGrid w:val="0"/>
              <w:spacing w:after="120"/>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t xml:space="preserve">En todo caso, debe advertirse que, la precitada </w:t>
            </w:r>
            <w:r w:rsidRPr="000679DC">
              <w:rPr>
                <w:rFonts w:ascii="Verdana" w:eastAsia="Calibri" w:hAnsi="Verdana" w:cs="Arial"/>
                <w:i/>
                <w:iCs/>
                <w:sz w:val="21"/>
                <w:szCs w:val="21"/>
                <w:lang w:val="es-ES" w:eastAsia="es-MX"/>
              </w:rPr>
              <w:t xml:space="preserve">Nota </w:t>
            </w:r>
            <w:r w:rsidRPr="000679DC">
              <w:rPr>
                <w:rFonts w:ascii="Verdana" w:eastAsia="Calibri" w:hAnsi="Verdana" w:cs="Arial"/>
                <w:sz w:val="21"/>
                <w:szCs w:val="21"/>
                <w:lang w:val="es-ES" w:eastAsia="es-MX"/>
              </w:rPr>
              <w:t xml:space="preserve">debe ser entendida respecto al valor total consignado en el Formulario 1 y aquel presentado en SECOP II. De esta manera, lo importante será que ambos valores totales coincidan –tanto el del Formulario 1 como el del SECOP II– cuando, conforme al proceso de contratación, la entidad solicite lo mismo, so pena de que prevalezca el valor señalado en SECOP II.  </w:t>
            </w:r>
          </w:p>
          <w:p w14:paraId="5959283E" w14:textId="77777777" w:rsidR="000679DC" w:rsidRPr="000679DC" w:rsidRDefault="000679DC" w:rsidP="000679DC">
            <w:pPr>
              <w:snapToGrid w:val="0"/>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lastRenderedPageBreak/>
              <w:t xml:space="preserve">Por el contrario, en los casos en que no se solicite lo mismo, la entidad deberá definir, desde el principio, a qué le dará preferencia, esto es, si a los valores del SECOP II o del Formulario 1”. </w:t>
            </w:r>
          </w:p>
          <w:p w14:paraId="4C69C3D1" w14:textId="77777777" w:rsidR="000679DC" w:rsidRPr="000679DC" w:rsidRDefault="000679DC" w:rsidP="000679DC">
            <w:pPr>
              <w:snapToGrid w:val="0"/>
              <w:spacing w:line="276" w:lineRule="auto"/>
              <w:ind w:firstLine="709"/>
              <w:jc w:val="both"/>
              <w:rPr>
                <w:rFonts w:ascii="Verdana" w:eastAsia="Times New Roman" w:hAnsi="Verdana" w:cs="Times New Roman"/>
                <w:lang w:eastAsia="es-MX"/>
              </w:rPr>
            </w:pPr>
          </w:p>
          <w:p w14:paraId="1089F4FB" w14:textId="77777777" w:rsidR="000679DC" w:rsidRPr="000679DC" w:rsidRDefault="000679DC" w:rsidP="000679DC">
            <w:pPr>
              <w:snapToGrid w:val="0"/>
              <w:spacing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En efecto, de acuerdo con la postura de esta Agencia expuesta en los conceptos señalados, en caso de discrepancia entre los valores consignados en el Formulario 1 y los registrados en el SECOP II, prevalecerían estos últimos. En consecuencia, la entidad que adelanta el proceso debía adoptar las acciones procedentes para hacer prevalecer dichos valores. No obstante, esta Agencia considera que este criterio debe ser aclarado y complementado.</w:t>
            </w:r>
          </w:p>
          <w:p w14:paraId="178802AC" w14:textId="77777777" w:rsidR="000679DC" w:rsidRPr="000679DC" w:rsidRDefault="000679DC" w:rsidP="000679DC">
            <w:pPr>
              <w:snapToGrid w:val="0"/>
              <w:spacing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En este sentido, se indica que dicha nota debe aplicarse únicamente cuando la entidad que adelanta el proceso de selección con los documentos tipo de licitación de obra pública de infraestructura de transporte – versión 4 configure el formulario del SECOP II en las mismas condiciones definidas en el Formulario 1 – Formulario de Presupuesto Oficial.</w:t>
            </w:r>
          </w:p>
          <w:p w14:paraId="57DB50E2" w14:textId="77777777" w:rsidR="000679DC" w:rsidRPr="000679DC" w:rsidRDefault="000679DC" w:rsidP="000679DC">
            <w:pPr>
              <w:snapToGrid w:val="0"/>
              <w:spacing w:before="120"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Es así como, en los casos en que la plataforma SECOP II cuente con la misma cantidad de ítems del Formulario 1 – Formulario de Presupuesto Oficial, y se presenten discrepancias entre ambos documentos, la entidad deberá efectuar la evaluación económica con base en la información registrada en el SECOP II, de conformidad con la nota prevista en el numeral 2.3., por prevalecer esta sobre la consignada en el Formulario 1 de Oferta Económica.</w:t>
            </w:r>
          </w:p>
          <w:p w14:paraId="13BAC41F" w14:textId="77777777" w:rsidR="000679DC" w:rsidRPr="000679DC" w:rsidRDefault="000679DC" w:rsidP="000679DC">
            <w:pPr>
              <w:snapToGrid w:val="0"/>
              <w:spacing w:line="276" w:lineRule="auto"/>
              <w:ind w:firstLine="709"/>
              <w:jc w:val="both"/>
              <w:rPr>
                <w:rFonts w:ascii="Verdana" w:eastAsia="Times New Roman" w:hAnsi="Verdana" w:cs="Times New Roman"/>
                <w:bCs/>
                <w:sz w:val="21"/>
                <w:szCs w:val="21"/>
                <w:lang w:eastAsia="es-MX"/>
              </w:rPr>
            </w:pPr>
            <w:r w:rsidRPr="000679DC">
              <w:rPr>
                <w:rFonts w:ascii="Verdana" w:eastAsia="Times New Roman" w:hAnsi="Verdana" w:cs="Times New Roman"/>
                <w:lang w:eastAsia="es-MX"/>
              </w:rPr>
              <w:t xml:space="preserve">Por el contrario, en los casos en que no se solicite la misma información, es decir, cuando la entidad que adelanta el proceso de selección no haya configurado el formulario del SECOP II en las mismas condiciones previstas en el Formulario 1 – Formulario de Presupuesto Oficial, deberá definir desde el inicio del proceso a cuál información otorgará prevalencia; esto es, si a los valores registrados en el SECOP II o a los contenidos en el Formulario 1, de acuerdo con la configuración efectivamente realizada. </w:t>
            </w:r>
          </w:p>
          <w:p w14:paraId="7F02A0D1" w14:textId="77777777" w:rsidR="000679DC" w:rsidRPr="000679DC" w:rsidRDefault="000679DC" w:rsidP="000679DC">
            <w:pPr>
              <w:snapToGrid w:val="0"/>
              <w:ind w:right="709"/>
              <w:jc w:val="both"/>
              <w:rPr>
                <w:rFonts w:ascii="Verdana" w:eastAsia="Times New Roman" w:hAnsi="Verdana" w:cs="Times New Roman"/>
                <w:bCs/>
                <w:sz w:val="21"/>
                <w:szCs w:val="21"/>
                <w:lang w:eastAsia="es-MX"/>
              </w:rPr>
            </w:pPr>
            <w:r w:rsidRPr="000679DC">
              <w:rPr>
                <w:rFonts w:ascii="Verdana" w:eastAsia="Times New Roman" w:hAnsi="Verdana" w:cs="Times New Roman"/>
                <w:bCs/>
                <w:sz w:val="21"/>
                <w:szCs w:val="21"/>
                <w:lang w:eastAsia="es-MX"/>
              </w:rPr>
              <w:t xml:space="preserve"> </w:t>
            </w:r>
          </w:p>
          <w:p w14:paraId="22E05DAD" w14:textId="77777777" w:rsidR="000679DC" w:rsidRPr="000679DC" w:rsidRDefault="000679DC" w:rsidP="000679DC">
            <w:pPr>
              <w:snapToGrid w:val="0"/>
              <w:spacing w:after="120" w:line="276" w:lineRule="auto"/>
              <w:jc w:val="both"/>
              <w:rPr>
                <w:rFonts w:ascii="Verdana" w:eastAsia="Times New Roman" w:hAnsi="Verdana" w:cs="Times New Roman"/>
                <w:lang w:eastAsia="es-MX"/>
              </w:rPr>
            </w:pPr>
            <w:proofErr w:type="spellStart"/>
            <w:r w:rsidRPr="000679DC">
              <w:rPr>
                <w:rFonts w:ascii="Verdana" w:eastAsia="Times New Roman" w:hAnsi="Verdana" w:cs="Times New Roman"/>
                <w:lang w:eastAsia="es-MX"/>
              </w:rPr>
              <w:t>ii</w:t>
            </w:r>
            <w:proofErr w:type="spellEnd"/>
            <w:r w:rsidRPr="000679DC">
              <w:rPr>
                <w:rFonts w:ascii="Verdana" w:eastAsia="Times New Roman" w:hAnsi="Verdana" w:cs="Times New Roman"/>
                <w:lang w:eastAsia="es-MX"/>
              </w:rPr>
              <w:t>. Los problemas jurídicos dos (2) y tres (3) por unidad de materia de responderán de forma conjunta en los siguientes términos:</w:t>
            </w:r>
          </w:p>
          <w:p w14:paraId="147670F8" w14:textId="77777777" w:rsidR="000679DC" w:rsidRPr="000679DC" w:rsidRDefault="000679DC" w:rsidP="000679DC">
            <w:pPr>
              <w:snapToGrid w:val="0"/>
              <w:spacing w:after="120" w:line="276" w:lineRule="auto"/>
              <w:jc w:val="both"/>
              <w:rPr>
                <w:rFonts w:ascii="Verdana" w:eastAsia="Times New Roman" w:hAnsi="Verdana" w:cs="Times New Roman"/>
                <w:lang w:eastAsia="es-MX"/>
              </w:rPr>
            </w:pPr>
            <w:r w:rsidRPr="000679DC">
              <w:rPr>
                <w:rFonts w:ascii="Verdana" w:eastAsia="Times New Roman" w:hAnsi="Verdana" w:cs="Times New Roman"/>
                <w:lang w:eastAsia="es-MX"/>
              </w:rPr>
              <w:t xml:space="preserve">Cuando la entidad estatal configure el SECOP II de manera distinta a la prevista en el Formulario 1 – Formulario de Presupuesto Oficial, deberá establecer de forma clara y previa en los documentos del proceso el criterio de prevalencia aplicable para la evaluación de la oferta económica, con el fin </w:t>
            </w:r>
            <w:r w:rsidRPr="000679DC">
              <w:rPr>
                <w:rFonts w:ascii="Verdana" w:eastAsia="Times New Roman" w:hAnsi="Verdana" w:cs="Times New Roman"/>
                <w:lang w:eastAsia="es-MX"/>
              </w:rPr>
              <w:lastRenderedPageBreak/>
              <w:t xml:space="preserve">de garantizar los principios de transparencia, selección objetiva y seguridad jurídica. </w:t>
            </w:r>
          </w:p>
          <w:p w14:paraId="1ED899A3" w14:textId="77777777" w:rsidR="000679DC" w:rsidRPr="000679DC" w:rsidRDefault="000679DC" w:rsidP="000679DC">
            <w:pPr>
              <w:widowControl w:val="0"/>
              <w:autoSpaceDE w:val="0"/>
              <w:autoSpaceDN w:val="0"/>
              <w:snapToGrid w:val="0"/>
              <w:spacing w:after="120" w:line="276" w:lineRule="auto"/>
              <w:ind w:firstLine="709"/>
              <w:jc w:val="both"/>
              <w:rPr>
                <w:rFonts w:ascii="Verdana" w:eastAsia="Calibri" w:hAnsi="Verdana" w:cs="Arial"/>
                <w:lang w:val="es-ES" w:eastAsia="es-MX"/>
              </w:rPr>
            </w:pPr>
            <w:r w:rsidRPr="000679DC">
              <w:rPr>
                <w:rFonts w:ascii="Verdana" w:eastAsia="Calibri" w:hAnsi="Verdana" w:cs="Arial"/>
                <w:lang w:val="es-ES_tradnl" w:eastAsia="es-MX"/>
              </w:rPr>
              <w:t xml:space="preserve">Ahora bien, como lo estableció esta Agencia en el Radicado de salida No. 2_2026_04_10_003662 del 10 de abril de 2026, frente a la posibilidad de que se pueda “adecuar” la nota contenida en el numeral 2.3, considerando que esta no corresponde a aquellos apartes susceptibles de modificación por parte de las entidades que implementan los documentos tipo –esto es, no se encuentra dentro de los segmentos entre corchetes ni resaltados en gris–, ninguna entidad se encuentra facultada para introducir variaciones que impliquen su modificación o sustitución. </w:t>
            </w:r>
            <w:r w:rsidRPr="000679DC">
              <w:rPr>
                <w:rFonts w:ascii="Verdana" w:eastAsia="Calibri" w:hAnsi="Verdana" w:cs="Arial"/>
                <w:lang w:val="es-ES" w:eastAsia="es-MX"/>
              </w:rPr>
              <w:t xml:space="preserve">En consecuencia, la nota deberá aplicarse con el alcance allí previsto. </w:t>
            </w:r>
          </w:p>
          <w:p w14:paraId="768AB6E3" w14:textId="77777777" w:rsidR="000679DC" w:rsidRPr="000679DC" w:rsidRDefault="000679DC" w:rsidP="000679DC">
            <w:pPr>
              <w:spacing w:after="120" w:line="276" w:lineRule="auto"/>
              <w:ind w:firstLine="708"/>
              <w:jc w:val="both"/>
              <w:rPr>
                <w:rFonts w:ascii="Verdana" w:eastAsia="Calibri" w:hAnsi="Verdana" w:cs="Arial"/>
                <w:kern w:val="2"/>
                <w:lang w:val="es-ES_tradnl" w:eastAsia="es-MX"/>
                <w14:ligatures w14:val="standardContextual"/>
              </w:rPr>
            </w:pPr>
            <w:r w:rsidRPr="000679DC">
              <w:rPr>
                <w:rFonts w:ascii="Verdana" w:eastAsia="Calibri" w:hAnsi="Verdana" w:cs="Arial"/>
                <w:kern w:val="2"/>
                <w:lang w:val="es-ES_tradnl" w:eastAsia="es-MX"/>
                <w14:ligatures w14:val="standardContextual"/>
              </w:rPr>
              <w:t>No obstante, cuando la entidad deba señalar a cuál información dará prevalencia, dicha definición deberá incorporarse en el Formulario 1 – Formulario de Presupuesto Oficial, el cual, a diferencia del documento base, sí permite su configuración por parte de la entidad, en los términos que se señalarán a continuación:</w:t>
            </w:r>
          </w:p>
          <w:p w14:paraId="429716E7"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lang w:val="es-ES" w:eastAsia="es-ES" w:bidi="es-ES"/>
              </w:rPr>
            </w:pPr>
            <w:r w:rsidRPr="000679DC">
              <w:rPr>
                <w:rFonts w:ascii="Verdana" w:eastAsia="Arial" w:hAnsi="Verdana" w:cs="Arial"/>
                <w:lang w:val="es-ES" w:eastAsia="es-ES" w:bidi="es-ES"/>
              </w:rPr>
              <w:t>En los documentos tipo para procesos de licitación pública de obras de infraestructura de transporte – versión 4, el “Formulario 1</w:t>
            </w:r>
            <w:r w:rsidRPr="000679DC">
              <w:rPr>
                <w:rFonts w:ascii="Verdana" w:eastAsia="Calibri" w:hAnsi="Verdana" w:cs="Arial"/>
                <w:lang w:val="es-ES" w:eastAsia="es-ES" w:bidi="es-ES"/>
              </w:rPr>
              <w:t>” en su segunda pestaña en Excel, titulada “Formulario 1 propuesta económica”</w:t>
            </w:r>
            <w:r w:rsidRPr="000679DC">
              <w:rPr>
                <w:rFonts w:ascii="Verdana" w:eastAsia="Arial" w:hAnsi="Verdana" w:cs="Arial"/>
                <w:lang w:val="es-ES" w:eastAsia="es-ES" w:bidi="es-ES"/>
              </w:rPr>
              <w:t xml:space="preserve"> señala en la parte superior derecha: “</w:t>
            </w:r>
            <w:r w:rsidRPr="000679DC">
              <w:rPr>
                <w:rFonts w:ascii="Verdana" w:eastAsia="Arial" w:hAnsi="Verdana" w:cs="Arial"/>
                <w:highlight w:val="lightGray"/>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0679DC">
              <w:rPr>
                <w:rFonts w:ascii="Verdana" w:eastAsia="Arial" w:hAnsi="Verdana" w:cs="Arial"/>
                <w:lang w:val="es-ES" w:eastAsia="es-ES" w:bidi="es-ES"/>
              </w:rPr>
              <w:t xml:space="preserve">”. </w:t>
            </w:r>
            <w:r w:rsidRPr="000679DC">
              <w:rPr>
                <w:rFonts w:ascii="Verdana" w:eastAsia="Calibri" w:hAnsi="Verdana" w:cs="Arial"/>
                <w:color w:val="000000"/>
                <w:lang w:val="es-ES_tradnl" w:eastAsia="es-MX"/>
              </w:rPr>
              <w:t>Igualmente, se indica que los proponentes emplearán el formulario establecido por la entidad para determinar su propuesta económica conforme al Formulario 1 - Presupuesto Oficial publicado por la Entidad. Esto</w:t>
            </w:r>
            <w:r w:rsidRPr="000679DC">
              <w:rPr>
                <w:rFonts w:ascii="Verdana" w:eastAsia="Calibri" w:hAnsi="Verdana" w:cs="Arial"/>
                <w:lang w:val="es-ES_tradnl" w:eastAsia="es-MX"/>
              </w:rPr>
              <w:t xml:space="preserve"> significa </w:t>
            </w:r>
            <w:r w:rsidRPr="000679DC">
              <w:rPr>
                <w:rFonts w:ascii="Verdana" w:eastAsia="Calibri" w:hAnsi="Verdana" w:cs="Arial"/>
                <w:lang w:val="es-ES" w:eastAsia="es-MX"/>
              </w:rPr>
              <w:t>que las entidades pueden diseñar un formulario para que los proponentes presenten su oferta económica, sin que sea obligatorio sujetarse al formulario que los documentos tipo proponen para el efecto.</w:t>
            </w:r>
            <w:r w:rsidRPr="000679DC">
              <w:rPr>
                <w:rFonts w:ascii="Verdana" w:eastAsia="Arial" w:hAnsi="Verdana" w:cs="Arial"/>
                <w:bCs/>
                <w:lang w:val="es-ES" w:eastAsia="es-MX"/>
              </w:rPr>
              <w:t xml:space="preserve"> En todo caso, el proponente deberá emplear el formulario que establezca la entidad. </w:t>
            </w:r>
          </w:p>
          <w:p w14:paraId="39568019"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MX" w:eastAsia="es-MX"/>
              </w:rPr>
            </w:pPr>
            <w:r w:rsidRPr="000679DC">
              <w:rPr>
                <w:rFonts w:ascii="Verdana" w:eastAsia="Arial" w:hAnsi="Verdana" w:cs="Arial"/>
                <w:bCs/>
                <w:lang w:val="es-ES" w:eastAsia="es-MX"/>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w:t>
            </w:r>
            <w:r w:rsidRPr="000679DC">
              <w:rPr>
                <w:rFonts w:ascii="Verdana" w:eastAsia="Arial" w:hAnsi="Verdana" w:cs="Arial"/>
                <w:bCs/>
                <w:lang w:val="es-ES" w:eastAsia="es-MX"/>
              </w:rPr>
              <w:lastRenderedPageBreak/>
              <w:t xml:space="preserve">realizará teniendo en cuenta el formato determinado por la entidad, sea el que configure de acuerdo con el Formulario 1 o aquel que disponga sobre el particular. Así mismo, este numeral establece que, </w:t>
            </w:r>
            <w:r w:rsidRPr="000679DC">
              <w:rPr>
                <w:rFonts w:ascii="Verdana" w:eastAsia="Arial" w:hAnsi="Verdana" w:cs="Arial"/>
                <w:bCs/>
                <w:highlight w:val="lightGray"/>
                <w:lang w:val="es-ES" w:eastAsia="es-MX"/>
              </w:rPr>
              <w:t>“[Cuando el presupuesto del proceso de contratación es estructurado por precios unitarios, la entidad debe aplicar las notas señaladas en el Formulario 1 – Formulario de Presupuesto oficial. Cuando se estructura a través de otra modalidad de pago, la entidad debe definir las notas que debe tener en cuenta el proponente para presentar su oferta económica]”.</w:t>
            </w:r>
            <w:r w:rsidRPr="000679DC">
              <w:rPr>
                <w:rFonts w:ascii="Verdana" w:eastAsia="Arial" w:hAnsi="Verdana" w:cs="Arial"/>
                <w:bCs/>
                <w:lang w:val="es-ES" w:eastAsia="es-MX"/>
              </w:rPr>
              <w:t xml:space="preserve"> </w:t>
            </w:r>
          </w:p>
          <w:p w14:paraId="467D134D"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Así las cosas, los oferentes deben usar la segunda pestaña del “Formulario 1 – Formulario de Presupuesto Oficial” puesta a disposición en formato Excel por la respectiva entidad, titulada “propuesta económica”, sin perjuicio de que las entidades estatales modifiquen o establezcan la presentación de la oferta económica en un formulario distinto.</w:t>
            </w:r>
          </w:p>
          <w:p w14:paraId="475A511B"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Con el fin de atender el primer interrogante planteado, la entidad cuenta con la potestad de ajustar o adoptar un Formulario 1 – Formulario de Presupuesto Oficial distinto al propuesto por la Agencia, siempre que dicha modificación se enmarque en los principios que rigen la contratación pública, en especial los de transparencia, selección objetiva y responsabilidad.</w:t>
            </w:r>
          </w:p>
          <w:p w14:paraId="6EE6545E"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En ejercicio de esta facultad, la entidad deberá establecer en dicho formulario a cuál información otorgará prevalencia respecto de la oferta económica, cuando configure el formulario económico en el SECOP II de manera distinta a la prevista en el Formulario 1 – Formulario de Presupuesto Oficial. Para estos efectos, la Agencia Nacional de Contratación Pública – Colombia Compra Eficiente considera –a modo indicativo– que los escenarios que puede utilizar la entidad sobre la prevalencia de la oferta económica pueden ser los siguientes: </w:t>
            </w:r>
          </w:p>
          <w:p w14:paraId="153F9901"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p>
          <w:p w14:paraId="43DD82C5" w14:textId="77777777" w:rsidR="000679DC" w:rsidRPr="000679DC" w:rsidRDefault="000679DC" w:rsidP="000679DC">
            <w:pPr>
              <w:spacing w:after="120"/>
              <w:ind w:left="709" w:right="709"/>
              <w:contextualSpacing/>
              <w:jc w:val="both"/>
              <w:rPr>
                <w:rFonts w:ascii="Verdana" w:eastAsia="Arial" w:hAnsi="Verdana" w:cs="Arial"/>
                <w:sz w:val="21"/>
                <w:szCs w:val="21"/>
                <w:highlight w:val="lightGray"/>
                <w:lang w:val="es-MX" w:eastAsia="es-MX"/>
              </w:rPr>
            </w:pPr>
            <w:r w:rsidRPr="000679DC">
              <w:rPr>
                <w:rFonts w:ascii="Verdana" w:eastAsia="Times New Roman" w:hAnsi="Verdana" w:cs="Times New Roman"/>
                <w:sz w:val="21"/>
                <w:szCs w:val="21"/>
                <w:highlight w:val="lightGray"/>
                <w:lang w:eastAsia="es-MX"/>
              </w:rPr>
              <w:t>[</w:t>
            </w:r>
            <w:r w:rsidRPr="000679DC">
              <w:rPr>
                <w:rFonts w:ascii="Verdana" w:eastAsia="Arial" w:hAnsi="Verdana" w:cs="Arial"/>
                <w:sz w:val="21"/>
                <w:szCs w:val="21"/>
                <w:highlight w:val="lightGray"/>
                <w:lang w:val="es-MX" w:eastAsia="es-MX"/>
              </w:rPr>
              <w:t>Nota: La entidad deberá definir en esta nota, desde la publicación del prepliego, para los casos en que se presente discrepancia entre el Formulario 1 – Presupuesto Oficial y el cuestionario transaccional de SECOP II, para efectos de la evaluación económica, cual de estos, según  el caso prevalecerá frente al otro, para ello deberá tener en cuenta la Guía que se encuentre vigente sobre el uso del SECOP II modalidades – licitación Pública de Obra, para dar cumplimiento a lo indicado la Agencia establece las siguientes opciones:</w:t>
            </w:r>
            <w:r w:rsidRPr="000679DC">
              <w:rPr>
                <w:rFonts w:ascii="Arial" w:eastAsia="Arial" w:hAnsi="Arial" w:cs="Arial"/>
                <w:sz w:val="21"/>
                <w:szCs w:val="21"/>
                <w:highlight w:val="lightGray"/>
                <w:lang w:val="es-MX" w:eastAsia="es-MX"/>
              </w:rPr>
              <w:t>​</w:t>
            </w:r>
          </w:p>
          <w:p w14:paraId="23EE9D61" w14:textId="77777777" w:rsidR="000679DC" w:rsidRPr="000679DC" w:rsidRDefault="000679DC" w:rsidP="000679DC">
            <w:pPr>
              <w:ind w:left="709" w:right="709"/>
              <w:jc w:val="both"/>
              <w:rPr>
                <w:rFonts w:ascii="Verdana" w:eastAsia="Arial" w:hAnsi="Verdana" w:cs="Arial"/>
                <w:sz w:val="21"/>
                <w:szCs w:val="21"/>
                <w:highlight w:val="lightGray"/>
                <w:lang w:val="es-MX" w:eastAsia="es-MX"/>
              </w:rPr>
            </w:pPr>
            <w:r w:rsidRPr="000679DC">
              <w:rPr>
                <w:rFonts w:ascii="Verdana" w:eastAsia="Arial" w:hAnsi="Verdana" w:cs="Arial"/>
                <w:sz w:val="21"/>
                <w:szCs w:val="21"/>
                <w:highlight w:val="lightGray"/>
                <w:lang w:val="es-MX" w:eastAsia="es-MX"/>
              </w:rPr>
              <w:lastRenderedPageBreak/>
              <w:t>En casos donde en la plataforma SECOP II solo se indique una pregunta precio, prevalecerá el Formulario 1 de Oferta Económica Sobre el SECOP II</w:t>
            </w:r>
            <w:r w:rsidRPr="000679DC">
              <w:rPr>
                <w:rFonts w:ascii="Arial" w:eastAsia="Arial" w:hAnsi="Arial" w:cs="Arial"/>
                <w:sz w:val="21"/>
                <w:szCs w:val="21"/>
                <w:highlight w:val="lightGray"/>
                <w:lang w:val="es-MX" w:eastAsia="es-MX"/>
              </w:rPr>
              <w:t>​</w:t>
            </w:r>
          </w:p>
          <w:p w14:paraId="1418559A" w14:textId="09546454" w:rsidR="000679DC" w:rsidRPr="000679DC" w:rsidRDefault="000679DC" w:rsidP="000679DC">
            <w:pPr>
              <w:ind w:left="709" w:right="709"/>
              <w:jc w:val="both"/>
              <w:rPr>
                <w:rFonts w:ascii="Verdana" w:eastAsia="Arial" w:hAnsi="Verdana" w:cs="Arial"/>
                <w:sz w:val="21"/>
                <w:szCs w:val="21"/>
                <w:highlight w:val="lightGray"/>
                <w:lang w:val="es-MX" w:eastAsia="es-MX"/>
              </w:rPr>
            </w:pPr>
            <w:r w:rsidRPr="000679DC">
              <w:rPr>
                <w:rFonts w:ascii="Verdana" w:eastAsia="Arial" w:hAnsi="Verdana" w:cs="Arial"/>
                <w:sz w:val="21"/>
                <w:szCs w:val="21"/>
                <w:highlight w:val="lightGray"/>
                <w:lang w:val="es-MX" w:eastAsia="es-MX"/>
              </w:rPr>
              <w:t>En los casos que la entidad adjudique el proceso por el valor del presupuesto oficial, pero la evaluación la realice sobre el valor de los ítems relacionados en el Formulario 1 de Oferta Económica, deberá establecer en este acápite claramente, que el proponente deberá indicar en el cuestionario de la plataforma SECOP II el valor total del presupuesto, pero su evaluación económica se realizara sobre los valores que relacione en el Formulario 1 de Oferta Económica, en consecuencia no prevalecerá un documento sobre otro, sino que se complementaran.</w:t>
            </w:r>
          </w:p>
          <w:p w14:paraId="0498B3BD" w14:textId="77777777" w:rsidR="000679DC" w:rsidRPr="000679DC" w:rsidRDefault="000679DC" w:rsidP="000679DC">
            <w:pPr>
              <w:ind w:left="709" w:right="709"/>
              <w:jc w:val="both"/>
              <w:rPr>
                <w:rFonts w:ascii="Verdana" w:eastAsia="Arial" w:hAnsi="Verdana" w:cs="Arial"/>
                <w:sz w:val="21"/>
                <w:szCs w:val="21"/>
                <w:lang w:val="es-MX" w:eastAsia="es-MX"/>
              </w:rPr>
            </w:pPr>
            <w:r w:rsidRPr="000679DC">
              <w:rPr>
                <w:rFonts w:ascii="Verdana" w:eastAsia="Arial" w:hAnsi="Verdana" w:cs="Arial"/>
                <w:sz w:val="21"/>
                <w:szCs w:val="21"/>
                <w:highlight w:val="lightGray"/>
                <w:lang w:val="es-MX" w:eastAsia="es-MX"/>
              </w:rPr>
              <w:t>En caso de discrepancias entre el Formulario 1 – Presupuesto Oficial y el cuestionario transaccional de SECOP II, y cuando según las reglas anteriores, la entidad verificada las prevalencias determine que no se cumple con las condiciones de la oferta económica deberá aplicar la causal de rechazo que corresponda.</w:t>
            </w:r>
            <w:r w:rsidRPr="000679DC">
              <w:rPr>
                <w:rFonts w:ascii="Verdana" w:eastAsia="Arial" w:hAnsi="Verdana" w:cs="Arial"/>
                <w:sz w:val="21"/>
                <w:szCs w:val="21"/>
                <w:lang w:val="es-MX" w:eastAsia="es-MX"/>
              </w:rPr>
              <w:t xml:space="preserve">] </w:t>
            </w:r>
          </w:p>
          <w:p w14:paraId="71341560"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MX" w:eastAsia="es-MX"/>
              </w:rPr>
            </w:pPr>
          </w:p>
          <w:p w14:paraId="7624FB28"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Se reitera que esta facultad: i) debe quedar previamente definida por la entidad al momento de la estructuración del Formulario 1 – Presupuesto Oficial, y no con posterioridad; y </w:t>
            </w:r>
            <w:proofErr w:type="spellStart"/>
            <w:r w:rsidRPr="000679DC">
              <w:rPr>
                <w:rFonts w:ascii="Verdana" w:eastAsia="Arial" w:hAnsi="Verdana" w:cs="Arial"/>
                <w:bCs/>
                <w:lang w:val="es-ES" w:eastAsia="es-MX"/>
              </w:rPr>
              <w:t>ii</w:t>
            </w:r>
            <w:proofErr w:type="spellEnd"/>
            <w:r w:rsidRPr="000679DC">
              <w:rPr>
                <w:rFonts w:ascii="Verdana" w:eastAsia="Arial" w:hAnsi="Verdana" w:cs="Arial"/>
                <w:bCs/>
                <w:lang w:val="es-ES" w:eastAsia="es-MX"/>
              </w:rPr>
              <w:t>) debe ser ejercida por la entidad cuando ello resulte procedente, es decir, en el evento en que haya configurado el SECOP II de manera distinta a la prevista en el Formulario 1 – Formulario de Presupuesto Oficial y deba definir cuál información prevalecerá en caso de presentarse discrepancias entre ambos documentos.</w:t>
            </w:r>
          </w:p>
          <w:p w14:paraId="03C43455"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Para la definición de la nota, la entidad deberá tener en cuenta que la facultad otorgada por el documento tipo para la inclusión de notas en el Formulario 1 – Formulario de Presupuesto Oficial, como ocurre en el presente caso para aclarar la prevalencia de la oferta económica, “(…) se contempló</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para</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realizar</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aclaraciones</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respecto</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a</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temas</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forma que</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faciliten</w:t>
            </w:r>
            <w:r w:rsidRPr="000679DC">
              <w:rPr>
                <w:rFonts w:ascii="Verdana" w:eastAsia="Verdana" w:hAnsi="Verdana" w:cs="Verdana"/>
                <w:spacing w:val="-3"/>
                <w:lang w:val="es-ES" w:eastAsia="es-MX"/>
              </w:rPr>
              <w:t xml:space="preserve"> </w:t>
            </w:r>
            <w:r w:rsidRPr="000679DC">
              <w:rPr>
                <w:rFonts w:ascii="Verdana" w:eastAsia="Verdana" w:hAnsi="Verdana" w:cs="Verdana"/>
                <w:lang w:val="es-ES" w:eastAsia="es-MX"/>
              </w:rPr>
              <w:t>el</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diligenciamiento</w:t>
            </w:r>
            <w:r w:rsidRPr="000679DC">
              <w:rPr>
                <w:rFonts w:ascii="Verdana" w:eastAsia="Verdana" w:hAnsi="Verdana" w:cs="Verdana"/>
                <w:spacing w:val="-1"/>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la</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oferta</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económica</w:t>
            </w:r>
            <w:r w:rsidRPr="000679DC">
              <w:rPr>
                <w:rFonts w:ascii="Verdana" w:eastAsia="Verdana" w:hAnsi="Verdana" w:cs="Verdana"/>
                <w:spacing w:val="-3"/>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acuerdo</w:t>
            </w:r>
            <w:r w:rsidRPr="000679DC">
              <w:rPr>
                <w:rFonts w:ascii="Verdana" w:eastAsia="Verdana" w:hAnsi="Verdana" w:cs="Verdana"/>
                <w:spacing w:val="-4"/>
                <w:lang w:val="es-ES" w:eastAsia="es-MX"/>
              </w:rPr>
              <w:t xml:space="preserve"> </w:t>
            </w:r>
            <w:r w:rsidRPr="000679DC">
              <w:rPr>
                <w:rFonts w:ascii="Verdana" w:eastAsia="Verdana" w:hAnsi="Verdana" w:cs="Verdana"/>
                <w:lang w:val="es-ES" w:eastAsia="es-MX"/>
              </w:rPr>
              <w:t>con</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la modalidad</w:t>
            </w:r>
            <w:r w:rsidRPr="000679DC">
              <w:rPr>
                <w:rFonts w:ascii="Verdana" w:eastAsia="Verdana" w:hAnsi="Verdana" w:cs="Verdana"/>
                <w:spacing w:val="-9"/>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11"/>
                <w:lang w:val="es-ES" w:eastAsia="es-MX"/>
              </w:rPr>
              <w:t xml:space="preserve"> </w:t>
            </w:r>
            <w:r w:rsidRPr="000679DC">
              <w:rPr>
                <w:rFonts w:ascii="Verdana" w:eastAsia="Verdana" w:hAnsi="Verdana" w:cs="Verdana"/>
                <w:lang w:val="es-ES" w:eastAsia="es-MX"/>
              </w:rPr>
              <w:t>pacto</w:t>
            </w:r>
            <w:r w:rsidRPr="000679DC">
              <w:rPr>
                <w:rFonts w:ascii="Verdana" w:eastAsia="Verdana" w:hAnsi="Verdana" w:cs="Verdana"/>
                <w:spacing w:val="-10"/>
                <w:lang w:val="es-ES" w:eastAsia="es-MX"/>
              </w:rPr>
              <w:t xml:space="preserve"> </w:t>
            </w:r>
            <w:r w:rsidRPr="000679DC">
              <w:rPr>
                <w:rFonts w:ascii="Verdana" w:eastAsia="Verdana" w:hAnsi="Verdana" w:cs="Verdana"/>
                <w:lang w:val="es-ES" w:eastAsia="es-MX"/>
              </w:rPr>
              <w:t>contractual</w:t>
            </w:r>
            <w:r w:rsidRPr="000679DC">
              <w:rPr>
                <w:rFonts w:ascii="Verdana" w:eastAsia="Verdana" w:hAnsi="Verdana" w:cs="Verdana"/>
                <w:spacing w:val="-8"/>
                <w:lang w:val="es-ES" w:eastAsia="es-MX"/>
              </w:rPr>
              <w:t xml:space="preserve"> </w:t>
            </w:r>
            <w:r w:rsidRPr="000679DC">
              <w:rPr>
                <w:rFonts w:ascii="Verdana" w:eastAsia="Verdana" w:hAnsi="Verdana" w:cs="Verdana"/>
                <w:lang w:val="es-ES" w:eastAsia="es-MX"/>
              </w:rPr>
              <w:t>que</w:t>
            </w:r>
            <w:r w:rsidRPr="000679DC">
              <w:rPr>
                <w:rFonts w:ascii="Verdana" w:eastAsia="Verdana" w:hAnsi="Verdana" w:cs="Verdana"/>
                <w:spacing w:val="-10"/>
                <w:lang w:val="es-ES" w:eastAsia="es-MX"/>
              </w:rPr>
              <w:t xml:space="preserve"> </w:t>
            </w:r>
            <w:r w:rsidRPr="000679DC">
              <w:rPr>
                <w:rFonts w:ascii="Verdana" w:eastAsia="Verdana" w:hAnsi="Verdana" w:cs="Verdana"/>
                <w:lang w:val="es-ES" w:eastAsia="es-MX"/>
              </w:rPr>
              <w:t>se</w:t>
            </w:r>
            <w:r w:rsidRPr="000679DC">
              <w:rPr>
                <w:rFonts w:ascii="Verdana" w:eastAsia="Verdana" w:hAnsi="Verdana" w:cs="Verdana"/>
                <w:spacing w:val="-11"/>
                <w:lang w:val="es-ES" w:eastAsia="es-MX"/>
              </w:rPr>
              <w:t xml:space="preserve"> </w:t>
            </w:r>
            <w:r w:rsidRPr="000679DC">
              <w:rPr>
                <w:rFonts w:ascii="Verdana" w:eastAsia="Verdana" w:hAnsi="Verdana" w:cs="Verdana"/>
                <w:lang w:val="es-ES" w:eastAsia="es-MX"/>
              </w:rPr>
              <w:t>pretende</w:t>
            </w:r>
            <w:r w:rsidRPr="000679DC">
              <w:rPr>
                <w:rFonts w:ascii="Verdana" w:eastAsia="Verdana" w:hAnsi="Verdana" w:cs="Verdana"/>
                <w:spacing w:val="-9"/>
                <w:lang w:val="es-ES" w:eastAsia="es-MX"/>
              </w:rPr>
              <w:t xml:space="preserve"> </w:t>
            </w:r>
            <w:r w:rsidRPr="000679DC">
              <w:rPr>
                <w:rFonts w:ascii="Verdana" w:eastAsia="Verdana" w:hAnsi="Verdana" w:cs="Verdana"/>
                <w:lang w:val="es-ES" w:eastAsia="es-MX"/>
              </w:rPr>
              <w:t>suscribir”</w:t>
            </w:r>
            <w:r w:rsidRPr="000679DC">
              <w:rPr>
                <w:rFonts w:ascii="Verdana" w:eastAsia="Verdana" w:hAnsi="Verdana" w:cs="Verdana"/>
                <w:vertAlign w:val="superscript"/>
                <w:lang w:val="es-ES" w:eastAsia="es-MX"/>
              </w:rPr>
              <w:footnoteReference w:id="2"/>
            </w:r>
            <w:r w:rsidRPr="000679DC">
              <w:rPr>
                <w:rFonts w:ascii="Verdana" w:eastAsia="Verdana" w:hAnsi="Verdana" w:cs="Verdana"/>
                <w:lang w:val="es-ES" w:eastAsia="es-MX"/>
              </w:rPr>
              <w:t xml:space="preserve">. </w:t>
            </w:r>
          </w:p>
          <w:p w14:paraId="19184BAA"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En este sentido, dicha facultad no es absoluta. Jurídicamente, la entidad no puede utilizar esta prerrogativa para incorporar en el formulario condiciones, variables o criterios que incidan directa o indirectamente en la elaboración de la oferta por parte de los proponentes, generando ambigüedad, inducción al error o afectando la igualdad de condiciones. Cualquier </w:t>
            </w:r>
            <w:r w:rsidRPr="000679DC">
              <w:rPr>
                <w:rFonts w:ascii="Verdana" w:eastAsia="Arial" w:hAnsi="Verdana" w:cs="Arial"/>
                <w:bCs/>
                <w:lang w:val="es-ES" w:eastAsia="es-MX"/>
              </w:rPr>
              <w:lastRenderedPageBreak/>
              <w:t>modificación que altere la forma en que los oferentes deben estructurar sus propuestas económicas, o que introduzca factores que puedan direccionar la oferta hacia determinados resultados, vulnera los principios de planeación y selección objetiva, en tanto compromete la transparencia del proceso y la libre concurrencia en el proceso de selección que se adelanta con los documentos tipo implementados por esa Agencia.</w:t>
            </w:r>
          </w:p>
          <w:p w14:paraId="541B87BB"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En igual sentido, la inclusión de notas, aclaraciones o requisitos adicionales dentro del formulario que puedan derivar en causales de rechazo constituye una extralimitación de la facultad de configuración del Formulario 1 – Presupuesto Oficial, por lo que sobre este aspecto esta Agencia sostuvo que:</w:t>
            </w:r>
          </w:p>
          <w:p w14:paraId="3F32FC02"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p>
          <w:p w14:paraId="21FAA1DC" w14:textId="77777777" w:rsidR="000679DC" w:rsidRPr="000679DC" w:rsidRDefault="000679DC" w:rsidP="000679DC">
            <w:pPr>
              <w:widowControl w:val="0"/>
              <w:autoSpaceDE w:val="0"/>
              <w:autoSpaceDN w:val="0"/>
              <w:ind w:left="709" w:right="709"/>
              <w:jc w:val="both"/>
              <w:rPr>
                <w:rFonts w:ascii="Verdana" w:eastAsia="Verdana" w:hAnsi="Verdana" w:cs="Verdana"/>
                <w:spacing w:val="-2"/>
                <w:sz w:val="21"/>
                <w:szCs w:val="21"/>
                <w:lang w:val="es-ES" w:eastAsia="es-MX"/>
              </w:rPr>
            </w:pPr>
            <w:r w:rsidRPr="000679DC">
              <w:rPr>
                <w:rFonts w:ascii="Verdana" w:eastAsia="Arial" w:hAnsi="Verdana" w:cs="Arial"/>
                <w:bCs/>
                <w:sz w:val="21"/>
                <w:szCs w:val="21"/>
                <w:lang w:val="es-ES" w:eastAsia="es-MX"/>
              </w:rPr>
              <w:t xml:space="preserve"> “(…) la Entidad no solo debe abstenerse de introducir nuevas causales de rechazo, sino también de la inclusión de notas aclaratorias en el documento base o en algún otro formulario o anexo del documento tipo que configuren causales de rechazo adicionales o que vayan en contravía de las causales definidas en los documentos tipo (…) </w:t>
            </w:r>
            <w:r w:rsidRPr="000679DC">
              <w:rPr>
                <w:rFonts w:ascii="Verdana" w:eastAsia="Verdana" w:hAnsi="Verdana" w:cs="Verdana"/>
                <w:sz w:val="21"/>
                <w:szCs w:val="21"/>
                <w:lang w:val="es-ES" w:eastAsia="es-MX"/>
              </w:rPr>
              <w:t>Por</w:t>
            </w:r>
            <w:r w:rsidRPr="000679DC">
              <w:rPr>
                <w:rFonts w:ascii="Verdana" w:eastAsia="Verdana" w:hAnsi="Verdana" w:cs="Verdana"/>
                <w:spacing w:val="-11"/>
                <w:sz w:val="21"/>
                <w:szCs w:val="21"/>
                <w:lang w:val="es-ES" w:eastAsia="es-MX"/>
              </w:rPr>
              <w:t xml:space="preserve"> </w:t>
            </w:r>
            <w:r w:rsidRPr="000679DC">
              <w:rPr>
                <w:rFonts w:ascii="Verdana" w:eastAsia="Verdana" w:hAnsi="Verdana" w:cs="Verdana"/>
                <w:sz w:val="21"/>
                <w:szCs w:val="21"/>
                <w:lang w:val="es-ES" w:eastAsia="es-MX"/>
              </w:rPr>
              <w:t>lo</w:t>
            </w:r>
            <w:r w:rsidRPr="000679DC">
              <w:rPr>
                <w:rFonts w:ascii="Verdana" w:eastAsia="Verdana" w:hAnsi="Verdana" w:cs="Verdana"/>
                <w:spacing w:val="-11"/>
                <w:sz w:val="21"/>
                <w:szCs w:val="21"/>
                <w:lang w:val="es-ES" w:eastAsia="es-MX"/>
              </w:rPr>
              <w:t xml:space="preserve"> </w:t>
            </w:r>
            <w:r w:rsidRPr="000679DC">
              <w:rPr>
                <w:rFonts w:ascii="Verdana" w:eastAsia="Verdana" w:hAnsi="Verdana" w:cs="Verdana"/>
                <w:sz w:val="21"/>
                <w:szCs w:val="21"/>
                <w:lang w:val="es-ES" w:eastAsia="es-MX"/>
              </w:rPr>
              <w:t xml:space="preserve">anterior, es importante resaltar que las notas en el formulario 1 no deben ser utilizadas para configurar como causales de rechazo adicionales o que vaya en contravía de las causales definidas en el pliego los documentos </w:t>
            </w:r>
            <w:r w:rsidRPr="000679DC">
              <w:rPr>
                <w:rFonts w:ascii="Verdana" w:eastAsia="Verdana" w:hAnsi="Verdana" w:cs="Verdana"/>
                <w:spacing w:val="-2"/>
                <w:sz w:val="21"/>
                <w:szCs w:val="21"/>
                <w:lang w:val="es-ES" w:eastAsia="es-MX"/>
              </w:rPr>
              <w:t>tipo”</w:t>
            </w:r>
            <w:r w:rsidRPr="000679DC">
              <w:rPr>
                <w:rFonts w:ascii="Verdana" w:eastAsia="Verdana" w:hAnsi="Verdana" w:cs="Verdana"/>
                <w:spacing w:val="-2"/>
                <w:sz w:val="21"/>
                <w:szCs w:val="21"/>
                <w:vertAlign w:val="superscript"/>
                <w:lang w:val="es-ES" w:eastAsia="es-MX"/>
              </w:rPr>
              <w:footnoteReference w:id="3"/>
            </w:r>
            <w:r w:rsidRPr="000679DC">
              <w:rPr>
                <w:rFonts w:ascii="Verdana" w:eastAsia="Verdana" w:hAnsi="Verdana" w:cs="Verdana"/>
                <w:spacing w:val="-2"/>
                <w:sz w:val="21"/>
                <w:szCs w:val="21"/>
                <w:lang w:val="es-ES" w:eastAsia="es-MX"/>
              </w:rPr>
              <w:t>.</w:t>
            </w:r>
          </w:p>
          <w:p w14:paraId="27203330" w14:textId="77777777" w:rsidR="000679DC" w:rsidRPr="000679DC" w:rsidRDefault="000679DC" w:rsidP="000679DC">
            <w:pPr>
              <w:widowControl w:val="0"/>
              <w:autoSpaceDE w:val="0"/>
              <w:autoSpaceDN w:val="0"/>
              <w:spacing w:line="276" w:lineRule="auto"/>
              <w:ind w:left="709" w:right="709"/>
              <w:jc w:val="both"/>
              <w:rPr>
                <w:rFonts w:ascii="Verdana" w:eastAsia="Arial" w:hAnsi="Verdana" w:cs="Arial"/>
                <w:bCs/>
                <w:lang w:val="es-ES" w:eastAsia="es-MX"/>
              </w:rPr>
            </w:pPr>
          </w:p>
          <w:p w14:paraId="1958901B"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Es así como, las causales de rechazo deben estar claramente definidos en los pliegos de condiciones y no incorporarse de manera implícita o sorpresiva en formatos anexos, pues ello podría generar inseguridad jurídica.</w:t>
            </w:r>
          </w:p>
          <w:p w14:paraId="759D2336" w14:textId="77777777" w:rsidR="000679DC" w:rsidRPr="000679DC" w:rsidRDefault="000679DC" w:rsidP="000679DC">
            <w:pPr>
              <w:widowControl w:val="0"/>
              <w:autoSpaceDE w:val="0"/>
              <w:autoSpaceDN w:val="0"/>
              <w:spacing w:line="276" w:lineRule="auto"/>
              <w:ind w:firstLine="709"/>
              <w:jc w:val="both"/>
              <w:rPr>
                <w:rFonts w:ascii="Verdana" w:eastAsia="Arial" w:hAnsi="Verdana" w:cs="Arial"/>
                <w:bCs/>
                <w:lang w:val="es-ES" w:eastAsia="es-MX"/>
              </w:rPr>
            </w:pPr>
          </w:p>
          <w:p w14:paraId="285CD2CB" w14:textId="77777777" w:rsidR="000679DC" w:rsidRPr="000679DC" w:rsidRDefault="000679DC" w:rsidP="000679DC">
            <w:pPr>
              <w:snapToGrid w:val="0"/>
              <w:spacing w:after="120" w:line="276" w:lineRule="auto"/>
              <w:jc w:val="both"/>
              <w:rPr>
                <w:rFonts w:ascii="Verdana" w:eastAsia="Calibri" w:hAnsi="Verdana" w:cs="Arial"/>
                <w:lang w:eastAsia="es-MX"/>
              </w:rPr>
            </w:pPr>
            <w:r w:rsidRPr="000679DC">
              <w:rPr>
                <w:rFonts w:ascii="Verdana" w:eastAsia="Calibri" w:hAnsi="Verdana" w:cs="Arial"/>
                <w:lang w:eastAsia="es-MX"/>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C0F791C" w14:textId="77777777" w:rsidR="000679DC" w:rsidRPr="000679DC" w:rsidRDefault="000679DC" w:rsidP="000679DC">
            <w:pPr>
              <w:snapToGrid w:val="0"/>
              <w:spacing w:line="276" w:lineRule="auto"/>
              <w:ind w:firstLine="708"/>
              <w:jc w:val="both"/>
              <w:rPr>
                <w:rFonts w:ascii="Verdana" w:eastAsia="Calibri" w:hAnsi="Verdana" w:cs="Arial"/>
                <w:lang w:eastAsia="es-MX"/>
              </w:rPr>
            </w:pPr>
            <w:r w:rsidRPr="000679DC">
              <w:rPr>
                <w:rFonts w:ascii="Verdana" w:eastAsia="Calibri" w:hAnsi="Verdana" w:cs="Arial"/>
                <w:lang w:eastAsia="es-MX"/>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1F73F073" w14:textId="77777777" w:rsidR="000679DC" w:rsidRPr="000679DC" w:rsidRDefault="000679DC" w:rsidP="000679DC">
      <w:pPr>
        <w:tabs>
          <w:tab w:val="left" w:pos="142"/>
          <w:tab w:val="left" w:pos="284"/>
        </w:tabs>
        <w:snapToGrid w:val="0"/>
        <w:spacing w:after="0" w:line="276" w:lineRule="auto"/>
        <w:jc w:val="both"/>
        <w:rPr>
          <w:rFonts w:ascii="Verdana" w:eastAsia="Century Gothic" w:hAnsi="Verdana" w:cs="Century Gothic"/>
          <w:b/>
          <w:bCs/>
          <w:lang w:val="es-ES_tradnl" w:eastAsia="es-MX"/>
        </w:rPr>
      </w:pPr>
    </w:p>
    <w:p w14:paraId="3DDC3CB3" w14:textId="77777777" w:rsidR="000679DC" w:rsidRPr="000679DC" w:rsidRDefault="000679DC" w:rsidP="000679D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Razones de la respuesta:</w:t>
      </w:r>
    </w:p>
    <w:p w14:paraId="45117F76" w14:textId="77777777" w:rsidR="000679DC" w:rsidRPr="000679DC" w:rsidRDefault="000679DC" w:rsidP="000679DC">
      <w:pPr>
        <w:snapToGrid w:val="0"/>
        <w:spacing w:after="0" w:line="276" w:lineRule="auto"/>
        <w:jc w:val="both"/>
        <w:rPr>
          <w:rFonts w:ascii="Verdana" w:eastAsia="Calibri" w:hAnsi="Verdana" w:cs="Arial"/>
          <w:lang w:val="es-ES_tradnl" w:eastAsia="es-MX"/>
        </w:rPr>
      </w:pPr>
    </w:p>
    <w:p w14:paraId="4B53A2F0" w14:textId="77777777" w:rsidR="000679DC" w:rsidRPr="000679DC" w:rsidRDefault="000679DC" w:rsidP="000679DC">
      <w:pPr>
        <w:spacing w:after="0" w:line="276" w:lineRule="auto"/>
        <w:jc w:val="both"/>
        <w:rPr>
          <w:rFonts w:ascii="Verdana" w:eastAsia="Calibri" w:hAnsi="Verdana" w:cs="Arial"/>
          <w:lang w:eastAsia="es-MX"/>
        </w:rPr>
      </w:pPr>
      <w:r w:rsidRPr="000679DC">
        <w:rPr>
          <w:rFonts w:ascii="Verdana" w:eastAsia="Calibri" w:hAnsi="Verdana" w:cs="Arial"/>
          <w:lang w:eastAsia="es-MX"/>
        </w:rPr>
        <w:t xml:space="preserve">Lo anterior se sustenta en las siguientes consideraciones: </w:t>
      </w:r>
    </w:p>
    <w:p w14:paraId="629EBF8E" w14:textId="77777777" w:rsidR="000679DC" w:rsidRPr="000679DC" w:rsidRDefault="000679DC" w:rsidP="000679DC">
      <w:pPr>
        <w:snapToGrid w:val="0"/>
        <w:spacing w:after="0" w:line="276" w:lineRule="auto"/>
        <w:jc w:val="both"/>
        <w:rPr>
          <w:rFonts w:ascii="Verdana" w:eastAsia="Calibri" w:hAnsi="Verdana" w:cs="Arial"/>
          <w:lang w:eastAsia="es-MX"/>
        </w:rPr>
      </w:pPr>
    </w:p>
    <w:p w14:paraId="7F2799C7" w14:textId="77777777" w:rsidR="000679DC" w:rsidRPr="000679DC" w:rsidRDefault="000679DC" w:rsidP="000679DC">
      <w:pPr>
        <w:spacing w:after="120" w:line="276" w:lineRule="auto"/>
        <w:jc w:val="both"/>
        <w:rPr>
          <w:rFonts w:ascii="Verdana" w:eastAsia="Aptos" w:hAnsi="Verdana" w:cs="ArialMT"/>
          <w:lang w:eastAsia="es-MX"/>
        </w:rPr>
      </w:pPr>
      <w:r w:rsidRPr="000679DC">
        <w:rPr>
          <w:rFonts w:ascii="Verdana" w:eastAsia="Aptos" w:hAnsi="Verdana" w:cs="Arial"/>
          <w:lang w:eastAsia="es-MX"/>
        </w:rPr>
        <w:t xml:space="preserve">i. Los documentos tipo expedidos por la Agencia Nacional de Contratación Pública </w:t>
      </w:r>
      <w:r w:rsidRPr="000679DC">
        <w:rPr>
          <w:rFonts w:ascii="Verdana" w:eastAsia="Aptos" w:hAnsi="Verdana" w:cs="ArialMT"/>
          <w:lang w:eastAsia="es-MX"/>
        </w:rPr>
        <w:t xml:space="preserve">– Colombia Compra Eficiente </w:t>
      </w:r>
      <w:r w:rsidRPr="000679DC">
        <w:rPr>
          <w:rFonts w:ascii="Verdana" w:eastAsia="Aptos" w:hAnsi="Verdana" w:cs="Arial"/>
          <w:lang w:eastAsia="es-MX"/>
        </w:rPr>
        <w:t>en ejercicio de la potestad otorgada</w:t>
      </w:r>
      <w:r w:rsidRPr="000679DC">
        <w:rPr>
          <w:rFonts w:ascii="Verdana" w:eastAsia="Aptos" w:hAnsi="Verdana" w:cs="ArialMT"/>
          <w:lang w:eastAsia="es-MX"/>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2D43566A" w14:textId="77777777" w:rsidR="000679DC" w:rsidRPr="000679DC" w:rsidRDefault="000679DC" w:rsidP="000679DC">
      <w:pPr>
        <w:spacing w:after="120" w:line="276" w:lineRule="auto"/>
        <w:ind w:firstLine="708"/>
        <w:jc w:val="both"/>
        <w:rPr>
          <w:rFonts w:ascii="Verdana" w:eastAsia="Aptos" w:hAnsi="Verdana" w:cs="ArialMT"/>
          <w:lang w:eastAsia="es-MX"/>
        </w:rPr>
      </w:pPr>
      <w:r w:rsidRPr="000679DC">
        <w:rPr>
          <w:rFonts w:ascii="Verdana" w:eastAsia="Aptos" w:hAnsi="Verdana" w:cs="ArialMT"/>
          <w:lang w:eastAsia="es-MX"/>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679DC">
        <w:rPr>
          <w:rFonts w:ascii="Verdana" w:eastAsia="Calibri" w:hAnsi="Verdana" w:cs="Times New Roman"/>
          <w:vertAlign w:val="superscript"/>
          <w:lang w:eastAsia="es-MX"/>
        </w:rPr>
        <w:footnoteReference w:id="4"/>
      </w:r>
      <w:r w:rsidRPr="000679DC">
        <w:rPr>
          <w:rFonts w:ascii="Verdana" w:eastAsia="Aptos" w:hAnsi="Verdana" w:cs="ArialMT"/>
          <w:lang w:eastAsia="es-MX"/>
        </w:rPr>
        <w:t xml:space="preserve">. </w:t>
      </w:r>
    </w:p>
    <w:p w14:paraId="0B56E260" w14:textId="77777777" w:rsidR="000679DC" w:rsidRPr="000679DC" w:rsidRDefault="000679DC" w:rsidP="000679DC">
      <w:pPr>
        <w:spacing w:after="120" w:line="276" w:lineRule="auto"/>
        <w:ind w:firstLine="708"/>
        <w:jc w:val="both"/>
        <w:rPr>
          <w:rFonts w:ascii="Verdana" w:eastAsia="Aptos" w:hAnsi="Verdana" w:cs="ArialMT"/>
          <w:lang w:eastAsia="es-MX"/>
        </w:rPr>
      </w:pPr>
      <w:r w:rsidRPr="000679DC">
        <w:rPr>
          <w:rFonts w:ascii="Verdana" w:eastAsia="Aptos" w:hAnsi="Verdana" w:cs="ArialMT"/>
          <w:lang w:eastAsia="es-MX"/>
        </w:rPr>
        <w:t xml:space="preserve">En el sector de infraestructura de transporte, la Agencia Nacional de Contratación Pública – Colombia Compra Eficiente expidió documentos tipo para </w:t>
      </w:r>
      <w:r w:rsidRPr="000679DC">
        <w:rPr>
          <w:rFonts w:ascii="Verdana" w:eastAsia="Aptos" w:hAnsi="Verdana" w:cs="ArialMT"/>
          <w:lang w:eastAsia="es-MX"/>
        </w:rPr>
        <w:lastRenderedPageBreak/>
        <w:t>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0679DC">
        <w:rPr>
          <w:rFonts w:ascii="Verdana" w:eastAsia="Calibri" w:hAnsi="Verdana" w:cs="Times New Roman"/>
          <w:vertAlign w:val="superscript"/>
          <w:lang w:eastAsia="es-MX"/>
        </w:rPr>
        <w:footnoteReference w:id="5"/>
      </w:r>
      <w:r w:rsidRPr="000679DC">
        <w:rPr>
          <w:rFonts w:ascii="Verdana" w:eastAsia="Aptos" w:hAnsi="Verdana" w:cs="ArialMT"/>
          <w:lang w:eastAsia="es-MX"/>
        </w:rPr>
        <w:t xml:space="preserve">. </w:t>
      </w:r>
    </w:p>
    <w:p w14:paraId="1F372364" w14:textId="77777777" w:rsidR="000679DC" w:rsidRPr="000679DC" w:rsidRDefault="000679DC" w:rsidP="000679DC">
      <w:pPr>
        <w:spacing w:after="120" w:line="276" w:lineRule="auto"/>
        <w:ind w:firstLine="708"/>
        <w:jc w:val="both"/>
        <w:rPr>
          <w:rFonts w:ascii="Verdana" w:eastAsia="Aptos" w:hAnsi="Verdana" w:cs="ArialMT"/>
          <w:lang w:eastAsia="es-MX"/>
        </w:rPr>
      </w:pPr>
      <w:r w:rsidRPr="000679DC">
        <w:rPr>
          <w:rFonts w:ascii="Verdana" w:eastAsia="Aptos" w:hAnsi="Verdana" w:cs="ArialMT"/>
          <w:lang w:eastAsia="es-MX"/>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215574BE" w14:textId="77777777" w:rsidR="000679DC" w:rsidRPr="000679DC" w:rsidRDefault="000679DC" w:rsidP="000679DC">
      <w:pPr>
        <w:spacing w:after="120" w:line="276" w:lineRule="auto"/>
        <w:ind w:firstLine="708"/>
        <w:jc w:val="both"/>
        <w:rPr>
          <w:rFonts w:ascii="Verdana" w:eastAsia="Aptos" w:hAnsi="Verdana" w:cs="ArialMT"/>
          <w:lang w:eastAsia="es-MX"/>
        </w:rPr>
      </w:pPr>
      <w:r w:rsidRPr="000679DC">
        <w:rPr>
          <w:rFonts w:ascii="Verdana" w:eastAsia="Aptos" w:hAnsi="Verdana" w:cs="ArialMT"/>
          <w:lang w:eastAsia="es-MX"/>
        </w:rPr>
        <w:lastRenderedPageBreak/>
        <w:t xml:space="preserve">Así, los documentos tipo del sector de infraestructura de transporte fueron modificados después de surtir el procedimiento interno establecido por esta Agencia. </w:t>
      </w:r>
      <w:r w:rsidRPr="000679DC">
        <w:rPr>
          <w:rFonts w:ascii="Verdana" w:eastAsia="Aptos" w:hAnsi="Verdana" w:cs="ArialMT"/>
          <w:i/>
          <w:iCs/>
          <w:u w:val="single"/>
          <w:lang w:eastAsia="es-MX"/>
        </w:rPr>
        <w:t>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w:t>
      </w:r>
      <w:r w:rsidRPr="000679DC">
        <w:rPr>
          <w:rFonts w:ascii="Verdana" w:eastAsia="Aptos" w:hAnsi="Verdana" w:cs="ArialMT"/>
          <w:lang w:eastAsia="es-MX"/>
        </w:rPr>
        <w:t xml:space="preserve">. </w:t>
      </w:r>
    </w:p>
    <w:p w14:paraId="666C6673" w14:textId="77777777" w:rsidR="000679DC" w:rsidRPr="000679DC" w:rsidRDefault="000679DC" w:rsidP="000679DC">
      <w:pPr>
        <w:spacing w:after="0" w:line="276" w:lineRule="auto"/>
        <w:ind w:firstLine="708"/>
        <w:jc w:val="both"/>
        <w:rPr>
          <w:rFonts w:ascii="Verdana" w:eastAsia="Aptos" w:hAnsi="Verdana" w:cs="ArialMT"/>
          <w:lang w:eastAsia="es-MX"/>
        </w:rPr>
      </w:pPr>
      <w:r w:rsidRPr="000679DC">
        <w:rPr>
          <w:rFonts w:ascii="Verdana" w:eastAsia="Aptos" w:hAnsi="Verdana" w:cs="ArialMT"/>
          <w:lang w:eastAsia="es-MX"/>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67A34A47" w14:textId="77777777" w:rsidR="000679DC" w:rsidRPr="000679DC" w:rsidRDefault="000679DC" w:rsidP="000679DC">
      <w:pPr>
        <w:spacing w:after="0" w:line="276" w:lineRule="auto"/>
        <w:ind w:firstLine="708"/>
        <w:jc w:val="both"/>
        <w:rPr>
          <w:rFonts w:ascii="Verdana" w:eastAsia="Aptos" w:hAnsi="Verdana" w:cs="ArialMT"/>
          <w:lang w:eastAsia="es-MX"/>
        </w:rPr>
      </w:pPr>
    </w:p>
    <w:p w14:paraId="7E657356" w14:textId="77777777" w:rsidR="000679DC" w:rsidRPr="000679DC" w:rsidRDefault="000679DC" w:rsidP="000679DC">
      <w:pPr>
        <w:spacing w:after="0" w:line="276" w:lineRule="auto"/>
        <w:jc w:val="both"/>
        <w:rPr>
          <w:rFonts w:ascii="Verdana" w:eastAsia="Calibri" w:hAnsi="Verdana" w:cs="Arial"/>
          <w:color w:val="000000"/>
          <w:lang w:val="es-ES" w:eastAsia="es-MX"/>
        </w:rPr>
      </w:pPr>
      <w:proofErr w:type="spellStart"/>
      <w:r w:rsidRPr="000679DC">
        <w:rPr>
          <w:rFonts w:ascii="Verdana" w:eastAsia="Times New Roman" w:hAnsi="Verdana" w:cs="Arial"/>
          <w:shd w:val="clear" w:color="auto" w:fill="FFFFFF"/>
          <w:lang w:val="es-ES_tradnl" w:eastAsia="es-ES_tradnl"/>
        </w:rPr>
        <w:t>ii</w:t>
      </w:r>
      <w:proofErr w:type="spellEnd"/>
      <w:r w:rsidRPr="000679DC">
        <w:rPr>
          <w:rFonts w:ascii="Verdana" w:eastAsia="Times New Roman" w:hAnsi="Verdana" w:cs="Arial"/>
          <w:shd w:val="clear" w:color="auto" w:fill="FFFFFF"/>
          <w:lang w:val="es-ES_tradnl" w:eastAsia="es-ES_tradnl"/>
        </w:rPr>
        <w:t xml:space="preserve">.  </w:t>
      </w:r>
      <w:r w:rsidRPr="000679DC">
        <w:rPr>
          <w:rFonts w:ascii="Verdana" w:eastAsia="Calibri" w:hAnsi="Verdana" w:cs="Arial"/>
          <w:color w:val="000000"/>
          <w:lang w:val="es-ES" w:eastAsia="es-MX"/>
        </w:rPr>
        <w:t>Todas las resoluciones</w:t>
      </w:r>
      <w:r w:rsidRPr="000679DC">
        <w:rPr>
          <w:rFonts w:ascii="Verdana" w:eastAsia="Calibri" w:hAnsi="Verdana" w:cs="Arial"/>
          <w:color w:val="000000"/>
          <w:vertAlign w:val="superscript"/>
          <w:lang w:val="es-ES" w:eastAsia="es-MX"/>
        </w:rPr>
        <w:footnoteReference w:id="6"/>
      </w:r>
      <w:r w:rsidRPr="000679DC">
        <w:rPr>
          <w:rFonts w:ascii="Verdana" w:eastAsia="Calibri" w:hAnsi="Verdana" w:cs="Arial"/>
          <w:color w:val="000000"/>
          <w:lang w:val="es-ES" w:eastAsia="es-MX"/>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0679DC">
        <w:rPr>
          <w:rFonts w:ascii="Verdana" w:eastAsia="Calibri" w:hAnsi="Verdana" w:cs="Arial"/>
          <w:i/>
          <w:iCs/>
          <w:color w:val="000000"/>
          <w:lang w:val="es-ES" w:eastAsia="es-MX"/>
        </w:rPr>
        <w:t>Documentos del Proceso</w:t>
      </w:r>
      <w:r w:rsidRPr="000679DC">
        <w:rPr>
          <w:rFonts w:ascii="Verdana" w:eastAsia="Calibri" w:hAnsi="Verdana" w:cs="Arial"/>
          <w:color w:val="000000"/>
          <w:lang w:val="es-ES" w:eastAsia="es-MX"/>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5069983" w14:textId="77777777" w:rsidR="000679DC" w:rsidRPr="000679DC" w:rsidRDefault="000679DC" w:rsidP="000679DC">
      <w:pPr>
        <w:spacing w:before="120" w:after="120" w:line="276" w:lineRule="auto"/>
        <w:ind w:firstLine="709"/>
        <w:jc w:val="both"/>
        <w:rPr>
          <w:rFonts w:ascii="Verdana" w:eastAsia="Calibri" w:hAnsi="Verdana" w:cs="Arial"/>
          <w:lang w:val="es-ES_tradnl" w:eastAsia="es-MX"/>
        </w:rPr>
      </w:pPr>
      <w:r w:rsidRPr="000679DC">
        <w:rPr>
          <w:rFonts w:ascii="Verdana" w:eastAsia="Calibri" w:hAnsi="Verdana" w:cs="Arial"/>
          <w:lang w:val="es-ES_tradnl" w:eastAsia="es-MX"/>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w:t>
      </w:r>
      <w:r w:rsidRPr="000679DC">
        <w:rPr>
          <w:rFonts w:ascii="Verdana" w:eastAsia="Calibri" w:hAnsi="Verdana" w:cs="Arial"/>
          <w:lang w:val="es-ES_tradnl" w:eastAsia="es-MX"/>
        </w:rPr>
        <w:lastRenderedPageBreak/>
        <w:t xml:space="preserve">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93C0664" w14:textId="77777777" w:rsidR="000679DC" w:rsidRPr="000679DC" w:rsidRDefault="000679DC" w:rsidP="000679DC">
      <w:pPr>
        <w:spacing w:before="120" w:after="120" w:line="276" w:lineRule="auto"/>
        <w:ind w:firstLine="709"/>
        <w:jc w:val="both"/>
        <w:rPr>
          <w:rFonts w:ascii="Verdana" w:eastAsia="Calibri" w:hAnsi="Verdana" w:cs="Arial"/>
          <w:lang w:val="es-ES_tradnl" w:eastAsia="es-MX"/>
        </w:rPr>
      </w:pPr>
      <w:r w:rsidRPr="000679DC">
        <w:rPr>
          <w:rFonts w:ascii="Verdana" w:eastAsia="Calibri" w:hAnsi="Verdana" w:cs="Arial"/>
          <w:lang w:val="es-ES_tradnl" w:eastAsia="es-MX"/>
        </w:rPr>
        <w:t>La inalterabilidad de los documentos tipo es una manifestación en mayor grado de las potestades regladas, lo cual implica una reducción de la discrecionalidad de la Administración en el momento de tomar una decisión en el proceso de contratación</w:t>
      </w:r>
      <w:r w:rsidRPr="000679DC">
        <w:rPr>
          <w:rFonts w:ascii="Verdana" w:eastAsia="Calibri" w:hAnsi="Verdana" w:cs="Arial"/>
          <w:vertAlign w:val="superscript"/>
          <w:lang w:val="es-ES_tradnl" w:eastAsia="es-MX"/>
        </w:rPr>
        <w:footnoteReference w:id="7"/>
      </w:r>
      <w:r w:rsidRPr="000679DC">
        <w:rPr>
          <w:rFonts w:ascii="Verdana" w:eastAsia="Calibri" w:hAnsi="Verdana" w:cs="Arial"/>
          <w:lang w:val="es-ES_tradnl" w:eastAsia="es-MX"/>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4ECDEEF6" w14:textId="77777777" w:rsidR="000679DC" w:rsidRPr="000679DC" w:rsidRDefault="000679DC" w:rsidP="000679DC">
      <w:pPr>
        <w:spacing w:before="120" w:after="120" w:line="276" w:lineRule="auto"/>
        <w:ind w:firstLine="709"/>
        <w:jc w:val="both"/>
        <w:rPr>
          <w:rFonts w:ascii="Verdana" w:eastAsia="Calibri" w:hAnsi="Verdana" w:cs="Arial"/>
          <w:lang w:val="es-ES" w:eastAsia="es-MX"/>
        </w:rPr>
      </w:pPr>
      <w:r w:rsidRPr="000679DC">
        <w:rPr>
          <w:rFonts w:ascii="Verdana" w:eastAsia="Calibri" w:hAnsi="Verdana" w:cs="Arial"/>
          <w:lang w:val="es-ES" w:eastAsia="es-MX"/>
        </w:rPr>
        <w:t xml:space="preserve">Además, las entidades estatales deben garantizar el </w:t>
      </w:r>
      <w:r w:rsidRPr="000679DC">
        <w:rPr>
          <w:rFonts w:ascii="Verdana" w:eastAsia="Calibri" w:hAnsi="Verdana" w:cs="Arial"/>
          <w:i/>
          <w:iCs/>
          <w:lang w:val="es-ES" w:eastAsia="es-MX"/>
        </w:rPr>
        <w:t>principio de economía</w:t>
      </w:r>
      <w:r w:rsidRPr="000679DC">
        <w:rPr>
          <w:rFonts w:ascii="Verdana" w:eastAsia="Calibri" w:hAnsi="Verdana" w:cs="Arial"/>
          <w:lang w:val="es-ES" w:eastAsia="es-MX"/>
        </w:rPr>
        <w:t>, del cual se desprende que no pueden exigir documentos o requisitos más allá de los que permitan la Constitución, la ley y los reglamentos. Este postulado ha sido recogido no solo en la contratación estatal</w:t>
      </w:r>
      <w:r w:rsidRPr="000679DC">
        <w:rPr>
          <w:rFonts w:ascii="Verdana" w:eastAsia="Calibri" w:hAnsi="Verdana" w:cs="Arial"/>
          <w:vertAlign w:val="superscript"/>
          <w:lang w:val="es-ES" w:eastAsia="es-MX"/>
        </w:rPr>
        <w:footnoteReference w:id="8"/>
      </w:r>
      <w:r w:rsidRPr="000679DC">
        <w:rPr>
          <w:rFonts w:ascii="Verdana" w:eastAsia="Calibri" w:hAnsi="Verdana" w:cs="Arial"/>
          <w:lang w:val="es-ES" w:eastAsia="es-MX"/>
        </w:rPr>
        <w:t xml:space="preserve"> sino además en la normativa </w:t>
      </w:r>
      <w:proofErr w:type="spellStart"/>
      <w:r w:rsidRPr="000679DC">
        <w:rPr>
          <w:rFonts w:ascii="Verdana" w:eastAsia="Calibri" w:hAnsi="Verdana" w:cs="Arial"/>
          <w:lang w:val="es-ES" w:eastAsia="es-MX"/>
        </w:rPr>
        <w:t>antitrámites</w:t>
      </w:r>
      <w:proofErr w:type="spellEnd"/>
      <w:r w:rsidRPr="000679DC">
        <w:rPr>
          <w:rFonts w:ascii="Verdana" w:eastAsia="Calibri" w:hAnsi="Verdana" w:cs="Arial"/>
          <w:vertAlign w:val="superscript"/>
          <w:lang w:val="es-ES" w:eastAsia="es-MX"/>
        </w:rPr>
        <w:footnoteReference w:id="9"/>
      </w:r>
      <w:r w:rsidRPr="000679DC">
        <w:rPr>
          <w:rFonts w:ascii="Verdana" w:eastAsia="Calibri" w:hAnsi="Verdana" w:cs="Arial"/>
          <w:lang w:val="es-ES" w:eastAsia="es-MX"/>
        </w:rPr>
        <w:t xml:space="preserve">; pues se inscribe dentro de la tendencia de </w:t>
      </w:r>
      <w:r w:rsidRPr="000679DC">
        <w:rPr>
          <w:rFonts w:ascii="Verdana" w:eastAsia="Calibri" w:hAnsi="Verdana" w:cs="Arial"/>
          <w:lang w:val="es-ES" w:eastAsia="es-MX"/>
        </w:rPr>
        <w:lastRenderedPageBreak/>
        <w:t>simplificación y racionalización de los procedimientos administrativos. De ahí que cuando las autoridades solicitan la entrega de documentación innecesaria, desconocen el principio de economía.</w:t>
      </w:r>
    </w:p>
    <w:p w14:paraId="4D553BE4" w14:textId="77777777" w:rsidR="000679DC" w:rsidRPr="000679DC" w:rsidRDefault="000679DC" w:rsidP="000679DC">
      <w:pPr>
        <w:spacing w:after="120" w:line="276" w:lineRule="auto"/>
        <w:ind w:firstLine="708"/>
        <w:jc w:val="both"/>
        <w:rPr>
          <w:rFonts w:ascii="Verdana" w:eastAsia="Calibri" w:hAnsi="Verdana" w:cs="Arial"/>
          <w:color w:val="000000"/>
          <w:lang w:val="es-ES" w:eastAsia="es-MX"/>
        </w:rPr>
      </w:pPr>
      <w:r w:rsidRPr="000679DC">
        <w:rPr>
          <w:rFonts w:ascii="Verdana" w:eastAsia="Calibri" w:hAnsi="Verdana" w:cs="Arial"/>
          <w:color w:val="000000"/>
          <w:lang w:val="es-ES" w:eastAsia="es-MX"/>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0679DC">
        <w:rPr>
          <w:rFonts w:ascii="Verdana" w:eastAsia="Calibri" w:hAnsi="Verdana" w:cs="Arial"/>
          <w:color w:val="000000"/>
          <w:vertAlign w:val="superscript"/>
          <w:lang w:val="es-ES" w:eastAsia="es-MX"/>
        </w:rPr>
        <w:footnoteReference w:id="10"/>
      </w:r>
      <w:r w:rsidRPr="000679DC">
        <w:rPr>
          <w:rFonts w:ascii="Verdana" w:eastAsia="Calibri" w:hAnsi="Verdana" w:cs="Arial"/>
          <w:color w:val="000000"/>
          <w:lang w:val="es-ES" w:eastAsia="es-MX"/>
        </w:rPr>
        <w:t xml:space="preserve">. Si las autoridades pudiesen agregar, eliminar o modificar todos y cada uno de los aspectos contenidos en los pliegos tipo, estos documentos, llanamente, no podrían ser llamados pliegos tipo. </w:t>
      </w:r>
    </w:p>
    <w:p w14:paraId="59E78294" w14:textId="77777777" w:rsidR="000679DC" w:rsidRPr="000679DC" w:rsidRDefault="000679DC" w:rsidP="000679DC">
      <w:pPr>
        <w:spacing w:after="120" w:line="276" w:lineRule="auto"/>
        <w:jc w:val="both"/>
        <w:rPr>
          <w:rFonts w:ascii="Verdana" w:eastAsia="Calibri" w:hAnsi="Verdana" w:cs="Arial"/>
          <w:color w:val="000000"/>
          <w:lang w:val="es-ES" w:eastAsia="es-MX"/>
        </w:rPr>
      </w:pPr>
      <w:r w:rsidRPr="000679DC">
        <w:rPr>
          <w:rFonts w:ascii="Verdana" w:eastAsia="Calibri" w:hAnsi="Verdana" w:cs="Arial"/>
          <w:color w:val="000000"/>
          <w:lang w:val="es-ES" w:eastAsia="es-MX"/>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1893F0F" w14:textId="77777777" w:rsidR="000679DC" w:rsidRPr="000679DC" w:rsidRDefault="000679DC" w:rsidP="000679DC">
      <w:pPr>
        <w:spacing w:after="0" w:line="276" w:lineRule="auto"/>
        <w:jc w:val="both"/>
        <w:rPr>
          <w:rFonts w:ascii="Verdana" w:eastAsia="Calibri" w:hAnsi="Verdana" w:cs="Arial"/>
          <w:color w:val="000000"/>
          <w:lang w:val="es-ES" w:eastAsia="es-MX"/>
        </w:rPr>
      </w:pPr>
      <w:r w:rsidRPr="000679DC">
        <w:rPr>
          <w:rFonts w:ascii="Verdana" w:eastAsia="Calibri" w:hAnsi="Verdana" w:cs="Arial"/>
          <w:color w:val="000000"/>
          <w:lang w:val="es-ES" w:eastAsia="es-MX"/>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2944ED61" w14:textId="77777777" w:rsidR="000679DC" w:rsidRPr="000679DC" w:rsidRDefault="000679DC" w:rsidP="000679DC">
      <w:pPr>
        <w:spacing w:after="0" w:line="276" w:lineRule="auto"/>
        <w:ind w:firstLine="708"/>
        <w:jc w:val="both"/>
        <w:rPr>
          <w:rFonts w:ascii="Verdana" w:eastAsia="Calibri" w:hAnsi="Verdana" w:cs="Arial"/>
          <w:lang w:val="es-MX" w:eastAsia="es-MX"/>
        </w:rPr>
      </w:pPr>
      <w:r w:rsidRPr="000679DC">
        <w:rPr>
          <w:rFonts w:ascii="Verdana" w:eastAsia="Calibri" w:hAnsi="Verdana" w:cs="Arial"/>
          <w:lang w:val="es-MX" w:eastAsia="es-MX"/>
        </w:rPr>
        <w:lastRenderedPageBreak/>
        <w:t xml:space="preserve">No obstante, la parte introductoria de los documentos base de los documentos tipo disponen que los aspectos incluidos en corchetes y resaltados en gris </w:t>
      </w:r>
      <w:r w:rsidRPr="000679DC">
        <w:rPr>
          <w:rFonts w:ascii="Verdana" w:eastAsia="Aptos" w:hAnsi="Verdana" w:cs="Arial"/>
          <w:lang w:eastAsia="es-MX"/>
        </w:rPr>
        <w:t>–[</w:t>
      </w:r>
      <w:r w:rsidRPr="000679DC">
        <w:rPr>
          <w:rFonts w:ascii="Verdana" w:eastAsia="Aptos" w:hAnsi="Verdana" w:cs="Arial"/>
          <w:highlight w:val="lightGray"/>
          <w:lang w:eastAsia="es-MX"/>
        </w:rPr>
        <w:t>texto de ejemplo</w:t>
      </w:r>
      <w:r w:rsidRPr="000679DC">
        <w:rPr>
          <w:rFonts w:ascii="Verdana" w:eastAsia="Aptos" w:hAnsi="Verdana" w:cs="Arial"/>
          <w:lang w:eastAsia="es-MX"/>
        </w:rPr>
        <w:t xml:space="preserve">]– </w:t>
      </w:r>
      <w:r w:rsidRPr="000679DC">
        <w:rPr>
          <w:rFonts w:ascii="Verdana" w:eastAsia="Calibri" w:hAnsi="Verdana" w:cs="Arial"/>
          <w:lang w:val="es-MX" w:eastAsia="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4536E4A" w14:textId="77777777" w:rsidR="000679DC" w:rsidRPr="000679DC" w:rsidRDefault="000679DC" w:rsidP="000679DC">
      <w:pPr>
        <w:spacing w:after="0"/>
        <w:ind w:firstLine="708"/>
        <w:jc w:val="both"/>
        <w:rPr>
          <w:rFonts w:ascii="Aptos" w:eastAsia="Aptos" w:hAnsi="Aptos" w:cs="Times New Roman"/>
          <w:sz w:val="24"/>
          <w:szCs w:val="24"/>
          <w:lang w:val="es-MX" w:eastAsia="es-MX"/>
        </w:rPr>
      </w:pPr>
      <w:r w:rsidRPr="000679DC">
        <w:rPr>
          <w:rFonts w:ascii="Verdana" w:eastAsia="Calibri" w:hAnsi="Verdana" w:cs="Arial"/>
          <w:lang w:val="es-MX" w:eastAsia="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0679DC">
        <w:rPr>
          <w:rFonts w:ascii="Verdana" w:eastAsia="Calibri" w:hAnsi="Verdana" w:cs="Arial"/>
          <w:i/>
          <w:iCs/>
          <w:lang w:val="es-MX" w:eastAsia="es-MX"/>
        </w:rPr>
        <w:t>“</w:t>
      </w:r>
      <w:r w:rsidRPr="000679DC">
        <w:rPr>
          <w:rFonts w:ascii="Verdana" w:eastAsia="Aptos" w:hAnsi="Verdana" w:cs="Times New Roman"/>
          <w:i/>
          <w:iCs/>
          <w:lang w:val="es-MX" w:eastAsia="es-MX"/>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0679DC">
        <w:rPr>
          <w:rFonts w:ascii="Aptos" w:eastAsia="Aptos" w:hAnsi="Aptos" w:cs="Times New Roman"/>
          <w:sz w:val="24"/>
          <w:szCs w:val="24"/>
          <w:lang w:val="es-MX" w:eastAsia="es-MX"/>
        </w:rPr>
        <w:t xml:space="preserve"> </w:t>
      </w:r>
    </w:p>
    <w:p w14:paraId="1FBAF4BC" w14:textId="77777777" w:rsidR="000679DC" w:rsidRPr="000679DC" w:rsidRDefault="000679DC" w:rsidP="000679DC">
      <w:pPr>
        <w:spacing w:before="120" w:after="120" w:line="276" w:lineRule="auto"/>
        <w:ind w:firstLine="709"/>
        <w:jc w:val="both"/>
        <w:rPr>
          <w:rFonts w:ascii="Verdana" w:eastAsia="Calibri" w:hAnsi="Verdana" w:cs="Arial"/>
          <w:bCs/>
          <w:lang w:val="es-MX" w:eastAsia="es-MX"/>
        </w:rPr>
      </w:pPr>
      <w:r w:rsidRPr="000679DC">
        <w:rPr>
          <w:rFonts w:ascii="Verdana" w:eastAsia="Calibri" w:hAnsi="Verdana" w:cs="Arial"/>
          <w:bCs/>
          <w:lang w:val="es-MX" w:eastAsia="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24BA0B1" w14:textId="77777777" w:rsidR="000679DC" w:rsidRPr="000679DC" w:rsidRDefault="000679DC" w:rsidP="000679DC">
      <w:pPr>
        <w:spacing w:before="120" w:after="120" w:line="276" w:lineRule="auto"/>
        <w:ind w:firstLine="709"/>
        <w:jc w:val="both"/>
        <w:rPr>
          <w:rFonts w:ascii="Verdana" w:eastAsia="Calibri" w:hAnsi="Verdana" w:cs="Arial"/>
          <w:bCs/>
          <w:lang w:val="es-MX" w:eastAsia="es-MX"/>
        </w:rPr>
      </w:pPr>
      <w:r w:rsidRPr="000679DC">
        <w:rPr>
          <w:rFonts w:ascii="Verdana" w:eastAsia="Calibri" w:hAnsi="Verdana" w:cs="Arial"/>
          <w:bCs/>
          <w:lang w:val="es-MX" w:eastAsia="es-MX"/>
        </w:rPr>
        <w:t xml:space="preserve">Esta regla de inalterabilidad </w:t>
      </w:r>
      <w:r w:rsidRPr="000679DC">
        <w:rPr>
          <w:rFonts w:ascii="Verdana" w:eastAsia="Calibri" w:hAnsi="Verdana" w:cs="Arial"/>
          <w:bCs/>
          <w:i/>
          <w:iCs/>
          <w:lang w:val="es-MX" w:eastAsia="es-MX"/>
        </w:rPr>
        <w:t>también aplica a los formatos, formularios, anexos y matrices</w:t>
      </w:r>
      <w:r w:rsidRPr="000679DC">
        <w:rPr>
          <w:rFonts w:ascii="Verdana" w:eastAsia="Calibri" w:hAnsi="Verdana" w:cs="Arial"/>
          <w:bCs/>
          <w:lang w:val="es-MX" w:eastAsia="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A60A2AF" w14:textId="77777777" w:rsidR="000679DC" w:rsidRPr="000679DC" w:rsidRDefault="000679DC" w:rsidP="000679DC">
      <w:pPr>
        <w:spacing w:before="120" w:after="120" w:line="276" w:lineRule="auto"/>
        <w:ind w:firstLine="709"/>
        <w:jc w:val="both"/>
        <w:rPr>
          <w:rFonts w:ascii="Verdana" w:eastAsia="Calibri" w:hAnsi="Verdana" w:cs="Arial"/>
          <w:lang w:val="es-MX" w:eastAsia="es-MX"/>
        </w:rPr>
      </w:pPr>
      <w:r w:rsidRPr="000679DC">
        <w:rPr>
          <w:rFonts w:ascii="Verdana" w:eastAsia="Calibri" w:hAnsi="Verdana" w:cs="Arial"/>
          <w:lang w:val="es-MX" w:eastAsia="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w:t>
      </w:r>
      <w:r w:rsidRPr="000679DC">
        <w:rPr>
          <w:rFonts w:ascii="Verdana" w:eastAsia="Calibri" w:hAnsi="Verdana" w:cs="Arial"/>
          <w:lang w:val="es-MX" w:eastAsia="es-MX"/>
        </w:rPr>
        <w:lastRenderedPageBreak/>
        <w:t xml:space="preserve">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84DDB22" w14:textId="77777777" w:rsidR="000679DC" w:rsidRPr="000679DC" w:rsidRDefault="000679DC" w:rsidP="000679DC">
      <w:pPr>
        <w:spacing w:before="120" w:after="120" w:line="276" w:lineRule="auto"/>
        <w:ind w:firstLine="709"/>
        <w:jc w:val="both"/>
        <w:rPr>
          <w:rFonts w:ascii="Verdana" w:eastAsia="Aptos" w:hAnsi="Verdana" w:cs="Arial"/>
          <w:lang w:eastAsia="es-MX"/>
        </w:rPr>
      </w:pPr>
      <w:r w:rsidRPr="000679DC">
        <w:rPr>
          <w:rFonts w:ascii="Verdana" w:eastAsia="Aptos" w:hAnsi="Verdana" w:cs="Arial"/>
          <w:lang w:eastAsia="es-MX"/>
        </w:rPr>
        <w:t xml:space="preserve">En relación con el principio constitucional </w:t>
      </w:r>
      <w:r w:rsidRPr="000679DC">
        <w:rPr>
          <w:rFonts w:ascii="Verdana" w:eastAsia="Aptos" w:hAnsi="Verdana" w:cs="Arial"/>
          <w:i/>
          <w:iCs/>
          <w:lang w:eastAsia="es-MX"/>
        </w:rPr>
        <w:t>sub examine</w:t>
      </w:r>
      <w:r w:rsidRPr="000679DC">
        <w:rPr>
          <w:rFonts w:ascii="Verdana" w:eastAsia="Aptos" w:hAnsi="Verdana" w:cs="Arial"/>
          <w:lang w:eastAsia="es-MX"/>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0679DC">
        <w:rPr>
          <w:rFonts w:ascii="Verdana" w:eastAsia="Aptos" w:hAnsi="Verdana" w:cs="Arial"/>
          <w:vertAlign w:val="superscript"/>
          <w:lang w:eastAsia="es-MX"/>
        </w:rPr>
        <w:footnoteReference w:id="11"/>
      </w:r>
      <w:r w:rsidRPr="000679DC">
        <w:rPr>
          <w:rFonts w:ascii="Verdana" w:eastAsia="Aptos" w:hAnsi="Verdana" w:cs="Arial"/>
          <w:lang w:eastAsia="es-MX"/>
        </w:rPr>
        <w:t xml:space="preserve">. </w:t>
      </w:r>
    </w:p>
    <w:p w14:paraId="1DDC6CBD" w14:textId="77777777" w:rsidR="000679DC" w:rsidRPr="000679DC" w:rsidRDefault="000679DC" w:rsidP="000679DC">
      <w:pPr>
        <w:spacing w:after="0" w:line="276" w:lineRule="auto"/>
        <w:ind w:firstLine="709"/>
        <w:jc w:val="both"/>
        <w:rPr>
          <w:rFonts w:ascii="Verdana" w:eastAsia="Calibri" w:hAnsi="Verdana" w:cs="Arial"/>
          <w:lang w:val="es-MX" w:eastAsia="es-MX"/>
        </w:rPr>
      </w:pPr>
      <w:r w:rsidRPr="000679DC">
        <w:rPr>
          <w:rFonts w:ascii="Verdana" w:eastAsia="Calibri" w:hAnsi="Verdana" w:cs="Arial"/>
          <w:lang w:val="es-MX" w:eastAsia="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2C4449C8" w14:textId="77777777" w:rsidR="000679DC" w:rsidRPr="000679DC" w:rsidRDefault="000679DC" w:rsidP="000679DC">
      <w:pPr>
        <w:spacing w:after="0" w:line="276" w:lineRule="auto"/>
        <w:ind w:firstLine="709"/>
        <w:jc w:val="both"/>
        <w:rPr>
          <w:rFonts w:ascii="Verdana" w:eastAsia="Calibri" w:hAnsi="Verdana" w:cs="Arial"/>
          <w:lang w:val="es-MX" w:eastAsia="es-MX"/>
        </w:rPr>
      </w:pPr>
    </w:p>
    <w:p w14:paraId="52CF3D32" w14:textId="77777777" w:rsidR="000679DC" w:rsidRPr="000679DC" w:rsidRDefault="000679DC" w:rsidP="000679DC">
      <w:pPr>
        <w:snapToGrid w:val="0"/>
        <w:spacing w:after="120" w:line="276" w:lineRule="auto"/>
        <w:jc w:val="both"/>
        <w:rPr>
          <w:rFonts w:ascii="Verdana" w:eastAsia="Arial" w:hAnsi="Verdana" w:cs="Arial"/>
          <w:i/>
          <w:iCs/>
          <w:lang w:val="es-ES" w:eastAsia="es-ES" w:bidi="es-ES"/>
        </w:rPr>
      </w:pPr>
      <w:proofErr w:type="spellStart"/>
      <w:r w:rsidRPr="000679DC">
        <w:rPr>
          <w:rFonts w:ascii="Verdana" w:eastAsia="Calibri" w:hAnsi="Verdana" w:cs="Arial"/>
          <w:lang w:val="es-ES" w:eastAsia="es-MX"/>
        </w:rPr>
        <w:t>iii</w:t>
      </w:r>
      <w:proofErr w:type="spellEnd"/>
      <w:r w:rsidRPr="000679DC">
        <w:rPr>
          <w:rFonts w:ascii="Verdana" w:eastAsia="Calibri" w:hAnsi="Verdana" w:cs="Arial"/>
          <w:lang w:val="es-ES" w:eastAsia="es-MX"/>
        </w:rPr>
        <w:t xml:space="preserve">. </w:t>
      </w:r>
      <w:r w:rsidRPr="000679DC">
        <w:rPr>
          <w:rFonts w:ascii="Verdana" w:eastAsia="Calibri" w:hAnsi="Verdana" w:cs="Arial"/>
          <w:lang w:val="es-ES_tradnl" w:eastAsia="es-MX"/>
        </w:rPr>
        <w:t xml:space="preserve">El numeral “2.3. ELABORACIÓN Y PRESENTACIÓN DE LA OFERTA” del documento base de los documentos tipo de licitación de obra pública de infraestructura de transporte – versión 4, contiene una </w:t>
      </w:r>
      <w:r w:rsidRPr="000679DC">
        <w:rPr>
          <w:rFonts w:ascii="Verdana" w:eastAsia="Calibri" w:hAnsi="Verdana" w:cs="Arial"/>
          <w:i/>
          <w:iCs/>
          <w:lang w:val="es-ES_tradnl" w:eastAsia="es-MX"/>
        </w:rPr>
        <w:t>Nota,</w:t>
      </w:r>
      <w:r w:rsidRPr="000679DC">
        <w:rPr>
          <w:rFonts w:ascii="Verdana" w:eastAsia="Calibri" w:hAnsi="Verdana" w:cs="Arial"/>
          <w:lang w:val="es-ES_tradnl" w:eastAsia="es-MX"/>
        </w:rPr>
        <w:t xml:space="preserve"> que establece que, </w:t>
      </w:r>
      <w:r w:rsidRPr="000679DC">
        <w:rPr>
          <w:rFonts w:ascii="Verdana" w:eastAsia="Calibri" w:hAnsi="Verdana" w:cs="Arial"/>
          <w:i/>
          <w:iCs/>
          <w:lang w:val="es-ES_tradnl" w:eastAsia="es-MX"/>
        </w:rPr>
        <w:t>“[e]n caso de discrepancias entre los valores señalados en el Formulario 1 – Formulario de Presupuesto Oficial y el valor presentado en el SECOP II, prevalecerá el valor presentado en el SECOP II.”</w:t>
      </w:r>
    </w:p>
    <w:p w14:paraId="736B8233" w14:textId="77777777" w:rsidR="000679DC" w:rsidRPr="000679DC" w:rsidRDefault="000679DC" w:rsidP="000679DC">
      <w:pPr>
        <w:snapToGrid w:val="0"/>
        <w:spacing w:after="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 xml:space="preserve">Sobre esta nota, la Agencia Nacional de Contratación Pública – Colombia Compra Eficiente en los conceptos </w:t>
      </w:r>
      <w:r w:rsidRPr="000679DC">
        <w:rPr>
          <w:rFonts w:ascii="Verdana" w:eastAsia="Calibri" w:hAnsi="Verdana" w:cs="Arial"/>
          <w:kern w:val="2"/>
          <w:shd w:val="clear" w:color="auto" w:fill="FFFFFF"/>
          <w:lang w:val="es-ES" w:eastAsia="es-MX"/>
          <w14:ligatures w14:val="standardContextual"/>
        </w:rPr>
        <w:t>C-640 del 5 de noviembre de 2024, C-352 del 2 de mayo de 2025, C-974 del 10 de septiembre de 2025, C-1255 del 9 de octubre de 2025</w:t>
      </w:r>
      <w:r w:rsidRPr="000679DC">
        <w:rPr>
          <w:rFonts w:ascii="Verdana" w:eastAsia="Times New Roman" w:hAnsi="Verdana" w:cs="Times New Roman"/>
          <w:lang w:eastAsia="es-MX"/>
        </w:rPr>
        <w:t xml:space="preserve"> y C-1731 del 30 de diciembre de 2025, sostuvo lo siguiente:</w:t>
      </w:r>
    </w:p>
    <w:p w14:paraId="7E6ED2F6" w14:textId="77777777" w:rsidR="000679DC" w:rsidRPr="000679DC" w:rsidRDefault="000679DC" w:rsidP="000679DC">
      <w:pPr>
        <w:snapToGrid w:val="0"/>
        <w:spacing w:after="0" w:line="276" w:lineRule="auto"/>
        <w:ind w:firstLine="709"/>
        <w:jc w:val="both"/>
        <w:rPr>
          <w:rFonts w:ascii="Verdana" w:eastAsia="Times New Roman" w:hAnsi="Verdana" w:cs="Times New Roman"/>
          <w:lang w:eastAsia="es-MX"/>
        </w:rPr>
      </w:pPr>
    </w:p>
    <w:p w14:paraId="7CA031E8" w14:textId="77777777" w:rsidR="000679DC" w:rsidRPr="000679DC" w:rsidRDefault="000679DC" w:rsidP="000679DC">
      <w:pPr>
        <w:snapToGrid w:val="0"/>
        <w:spacing w:after="120" w:line="240" w:lineRule="auto"/>
        <w:ind w:left="709" w:right="709"/>
        <w:jc w:val="both"/>
        <w:rPr>
          <w:rFonts w:ascii="Verdana" w:eastAsia="Calibri" w:hAnsi="Verdana" w:cs="Arial"/>
          <w:sz w:val="21"/>
          <w:szCs w:val="21"/>
          <w:lang w:val="es-ES_tradnl" w:eastAsia="es-MX"/>
        </w:rPr>
      </w:pPr>
      <w:r w:rsidRPr="000679DC">
        <w:rPr>
          <w:rFonts w:ascii="Verdana" w:eastAsia="Calibri" w:hAnsi="Verdana" w:cs="Arial"/>
          <w:sz w:val="21"/>
          <w:szCs w:val="21"/>
          <w:lang w:val="es-ES_tradnl" w:eastAsia="es-MX"/>
        </w:rPr>
        <w:lastRenderedPageBreak/>
        <w:t>“(…) indistintamente de los valores que figuren en el Formulario 1 y el SECOP II, prevalecerán los consignados en el SECOP II.</w:t>
      </w:r>
    </w:p>
    <w:p w14:paraId="28A78BF1" w14:textId="77777777" w:rsidR="000679DC" w:rsidRPr="000679DC" w:rsidRDefault="000679DC" w:rsidP="000679DC">
      <w:pPr>
        <w:snapToGrid w:val="0"/>
        <w:spacing w:after="120" w:line="240" w:lineRule="auto"/>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t>Por lo tanto, cuando este tipo de situaciones se presenten en desarrollo de procesos de contratación, corresponderá a las entidades estatales, en el marco de su autonomía, adelantar las acciones procedentes y necesarias, con el fin hacer prevalecer los valores de la oferta contemplados en el SECOP II y continuar con el desarrollo del proceso, conforme al régimen jurídico aplicable.</w:t>
      </w:r>
    </w:p>
    <w:p w14:paraId="3EB05D5D" w14:textId="77777777" w:rsidR="000679DC" w:rsidRPr="000679DC" w:rsidRDefault="000679DC" w:rsidP="000679DC">
      <w:pPr>
        <w:snapToGrid w:val="0"/>
        <w:spacing w:after="120" w:line="240" w:lineRule="auto"/>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t xml:space="preserve">En todo caso, debe advertirse que, la precitada </w:t>
      </w:r>
      <w:r w:rsidRPr="000679DC">
        <w:rPr>
          <w:rFonts w:ascii="Verdana" w:eastAsia="Calibri" w:hAnsi="Verdana" w:cs="Arial"/>
          <w:i/>
          <w:iCs/>
          <w:sz w:val="21"/>
          <w:szCs w:val="21"/>
          <w:lang w:val="es-ES" w:eastAsia="es-MX"/>
        </w:rPr>
        <w:t xml:space="preserve">Nota </w:t>
      </w:r>
      <w:r w:rsidRPr="000679DC">
        <w:rPr>
          <w:rFonts w:ascii="Verdana" w:eastAsia="Calibri" w:hAnsi="Verdana" w:cs="Arial"/>
          <w:sz w:val="21"/>
          <w:szCs w:val="21"/>
          <w:lang w:val="es-ES" w:eastAsia="es-MX"/>
        </w:rPr>
        <w:t xml:space="preserve">debe ser entendida respecto al valor total consignado en el Formulario 1 y aquel presentado en SECOP II. De esta manera, lo importante será que ambos valores totales coincidan –tanto el del Formulario 1 como el del SECOP II– cuando, conforme al proceso de contratación, la entidad solicite lo mismo, so pena de que prevalezca el valor señalado en SECOP II.  </w:t>
      </w:r>
    </w:p>
    <w:p w14:paraId="0EFA9733" w14:textId="77777777" w:rsidR="000679DC" w:rsidRPr="000679DC" w:rsidRDefault="000679DC" w:rsidP="000679DC">
      <w:pPr>
        <w:snapToGrid w:val="0"/>
        <w:spacing w:after="0" w:line="240" w:lineRule="auto"/>
        <w:ind w:left="709" w:right="709"/>
        <w:jc w:val="both"/>
        <w:rPr>
          <w:rFonts w:ascii="Verdana" w:eastAsia="Calibri" w:hAnsi="Verdana" w:cs="Arial"/>
          <w:sz w:val="21"/>
          <w:szCs w:val="21"/>
          <w:lang w:val="es-ES" w:eastAsia="es-MX"/>
        </w:rPr>
      </w:pPr>
      <w:r w:rsidRPr="000679DC">
        <w:rPr>
          <w:rFonts w:ascii="Verdana" w:eastAsia="Calibri" w:hAnsi="Verdana" w:cs="Arial"/>
          <w:sz w:val="21"/>
          <w:szCs w:val="21"/>
          <w:lang w:val="es-ES" w:eastAsia="es-MX"/>
        </w:rPr>
        <w:t xml:space="preserve">Por el contrario, en los casos en que no se solicite lo mismo, la entidad deberá definir, desde el principio, a qué le dará preferencia, esto es, si a los valores del SECOP II o del Formulario 1”. </w:t>
      </w:r>
    </w:p>
    <w:p w14:paraId="3E872DE9" w14:textId="77777777" w:rsidR="000679DC" w:rsidRPr="000679DC" w:rsidRDefault="000679DC" w:rsidP="000679DC">
      <w:pPr>
        <w:snapToGrid w:val="0"/>
        <w:spacing w:after="0" w:line="276" w:lineRule="auto"/>
        <w:ind w:firstLine="709"/>
        <w:jc w:val="both"/>
        <w:rPr>
          <w:rFonts w:ascii="Verdana" w:eastAsia="Times New Roman" w:hAnsi="Verdana" w:cs="Times New Roman"/>
          <w:lang w:eastAsia="es-MX"/>
        </w:rPr>
      </w:pPr>
    </w:p>
    <w:p w14:paraId="62F907D4" w14:textId="77777777" w:rsidR="000679DC" w:rsidRPr="000679DC" w:rsidRDefault="000679DC" w:rsidP="000679DC">
      <w:pPr>
        <w:snapToGrid w:val="0"/>
        <w:spacing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En efecto, de acuerdo con la postura de esta Agencia expuesta en los conceptos señalados, en caso de discrepancia entre los valores consignados en el Formulario 1 y los registrados en el SECOP II, prevalecerían estos últimos. En consecuencia, la entidad que adelanta el proceso debía adoptar las acciones procedentes para hacer prevalecer dichos valores. No obstante, esta Agencia considera que este criterio debe ser aclarado y complementado.</w:t>
      </w:r>
    </w:p>
    <w:p w14:paraId="06AE3519" w14:textId="77777777" w:rsidR="000679DC" w:rsidRPr="000679DC" w:rsidRDefault="000679DC" w:rsidP="000679DC">
      <w:pPr>
        <w:snapToGrid w:val="0"/>
        <w:spacing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En este sentido, se indica que dicha nota debe aplicarse únicamente cuando la entidad que adelanta el proceso de selección con los documentos tipo de licitación de obra pública de infraestructura de transporte – versión 4 configure el formulario del SECOP II en las mismas condiciones definidas en el Formulario 1 – Formulario de Presupuesto Oficial.</w:t>
      </w:r>
    </w:p>
    <w:p w14:paraId="6437B4D4" w14:textId="77777777" w:rsidR="000679DC" w:rsidRPr="000679DC" w:rsidRDefault="000679DC" w:rsidP="000679DC">
      <w:pPr>
        <w:snapToGrid w:val="0"/>
        <w:spacing w:before="120"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Es así como, en los casos en que la plataforma SECOP II cuente con la misma cantidad de ítems del Formulario 1 – Formulario de Presupuesto Oficial, y se presenten discrepancias entre ambos documentos, la entidad deberá efectuar la evaluación económica con base en la información registrada en el SECOP II, de conformidad con la nota prevista en el numeral 2.3., por prevalecer esta sobre la consignada en el Formulario 1 de Oferta Económica.</w:t>
      </w:r>
    </w:p>
    <w:p w14:paraId="4821246C" w14:textId="77777777" w:rsidR="000679DC" w:rsidRPr="000679DC" w:rsidRDefault="000679DC" w:rsidP="000679DC">
      <w:pPr>
        <w:snapToGrid w:val="0"/>
        <w:spacing w:after="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lastRenderedPageBreak/>
        <w:t>Por el contrario, en los casos en que no se solicite la misma información, es decir, cuando la entidad que adelanta el proceso de selección no haya configurado el formulario del SECOP II en las mismas condiciones previstas en el Formulario 1 – Formulario de Presupuesto Oficial, deberá definir desde el inicio del proceso a cuál información otorgará prevalencia; esto es, si a los valores registrados en el SECOP II o a los contenidos en el Formulario 1, de acuerdo con la configuración efectivamente realizada. Lo anterior, de conformidad con lo señalado en la “Guía de uso del SECOP II – Modalidades de contratación: licitación pública”, la cual establece lo siguiente:</w:t>
      </w:r>
    </w:p>
    <w:p w14:paraId="3A7F234B" w14:textId="77777777" w:rsidR="000679DC" w:rsidRPr="000679DC" w:rsidRDefault="000679DC" w:rsidP="000679DC">
      <w:pPr>
        <w:spacing w:after="0" w:line="278" w:lineRule="auto"/>
        <w:ind w:left="709" w:right="709"/>
        <w:contextualSpacing/>
        <w:rPr>
          <w:rFonts w:ascii="Verdana" w:eastAsia="Aptos" w:hAnsi="Verdana" w:cs="Times New Roman"/>
          <w:bCs/>
          <w:kern w:val="2"/>
          <w:szCs w:val="24"/>
          <w14:ligatures w14:val="standardContextual"/>
        </w:rPr>
      </w:pPr>
    </w:p>
    <w:p w14:paraId="3A79C8D7" w14:textId="77777777" w:rsidR="000679DC" w:rsidRPr="000679DC" w:rsidRDefault="000679DC" w:rsidP="000679DC">
      <w:pPr>
        <w:snapToGrid w:val="0"/>
        <w:spacing w:after="120" w:line="240" w:lineRule="auto"/>
        <w:ind w:left="709" w:right="709"/>
        <w:jc w:val="both"/>
        <w:rPr>
          <w:rFonts w:ascii="Verdana" w:eastAsia="Aptos" w:hAnsi="Verdana" w:cs="Times New Roman"/>
          <w:bCs/>
          <w:kern w:val="2"/>
          <w:sz w:val="21"/>
          <w:szCs w:val="21"/>
          <w14:ligatures w14:val="standardContextual"/>
        </w:rPr>
      </w:pPr>
      <w:r w:rsidRPr="000679DC">
        <w:rPr>
          <w:rFonts w:ascii="Verdana" w:eastAsia="Aptos" w:hAnsi="Verdana" w:cs="Times New Roman"/>
          <w:bCs/>
          <w:kern w:val="2"/>
          <w:sz w:val="21"/>
          <w:szCs w:val="21"/>
          <w14:ligatures w14:val="standardContextual"/>
        </w:rPr>
        <w:t xml:space="preserve">“Nota: para los procesos de contratación en los cuales se haya solicitado un evidencia (Por ejemplo: Formato de oferta económica de la Entidad Estatal) en la pregunta tipo “Lista de precios”, y se presenten diferencias en los valores discriminados respecto al valor total diligenciado en la plataforma, en virtud de la autonomía administrativa de la que gozan las Entidades Estatales para estructurar sus procesos de contratación, deberá:  </w:t>
      </w:r>
    </w:p>
    <w:p w14:paraId="6D1ABCB7" w14:textId="77777777" w:rsidR="000679DC" w:rsidRPr="000679DC" w:rsidRDefault="000679DC" w:rsidP="000679DC">
      <w:pPr>
        <w:snapToGrid w:val="0"/>
        <w:spacing w:after="120" w:line="240" w:lineRule="auto"/>
        <w:ind w:left="709" w:right="709"/>
        <w:jc w:val="both"/>
        <w:rPr>
          <w:rFonts w:ascii="Verdana" w:eastAsia="Aptos" w:hAnsi="Verdana" w:cs="Times New Roman"/>
          <w:bCs/>
          <w:kern w:val="2"/>
          <w:sz w:val="21"/>
          <w:szCs w:val="21"/>
          <w14:ligatures w14:val="standardContextual"/>
        </w:rPr>
      </w:pPr>
      <w:r w:rsidRPr="000679DC">
        <w:rPr>
          <w:rFonts w:ascii="Verdana" w:eastAsia="Aptos" w:hAnsi="Verdana" w:cs="Times New Roman"/>
          <w:bCs/>
          <w:kern w:val="2"/>
          <w:sz w:val="21"/>
          <w:szCs w:val="21"/>
          <w14:ligatures w14:val="standardContextual"/>
        </w:rPr>
        <w:t xml:space="preserve">1) Verificar si el documento anexo enviado por el Proveedor cuenta con todos los requerimientos definidos en los documentos del proceso; y </w:t>
      </w:r>
    </w:p>
    <w:p w14:paraId="35C6A5CD" w14:textId="77777777" w:rsidR="000679DC" w:rsidRPr="000679DC" w:rsidRDefault="000679DC" w:rsidP="000679DC">
      <w:pPr>
        <w:snapToGrid w:val="0"/>
        <w:spacing w:after="0" w:line="240" w:lineRule="auto"/>
        <w:ind w:left="709" w:right="709"/>
        <w:jc w:val="both"/>
        <w:rPr>
          <w:rFonts w:ascii="Verdana" w:eastAsia="Aptos" w:hAnsi="Verdana" w:cs="Times New Roman"/>
          <w:bCs/>
          <w:kern w:val="2"/>
          <w:sz w:val="21"/>
          <w:szCs w:val="21"/>
          <w14:ligatures w14:val="standardContextual"/>
        </w:rPr>
      </w:pPr>
      <w:r w:rsidRPr="000679DC">
        <w:rPr>
          <w:rFonts w:ascii="Verdana" w:eastAsia="Aptos" w:hAnsi="Verdana" w:cs="Times New Roman"/>
          <w:bCs/>
          <w:kern w:val="2"/>
          <w:sz w:val="21"/>
          <w:szCs w:val="21"/>
          <w14:ligatures w14:val="standardContextual"/>
        </w:rPr>
        <w:t>2) Verificar si el documento es susceptible a que se le realice corrección aritmética”.</w:t>
      </w:r>
    </w:p>
    <w:p w14:paraId="20D383EA" w14:textId="77777777" w:rsidR="000679DC" w:rsidRPr="000679DC" w:rsidRDefault="000679DC" w:rsidP="000679DC">
      <w:pPr>
        <w:snapToGrid w:val="0"/>
        <w:spacing w:after="0" w:line="240" w:lineRule="auto"/>
        <w:ind w:right="709"/>
        <w:jc w:val="both"/>
        <w:rPr>
          <w:rFonts w:ascii="Verdana" w:eastAsia="Times New Roman" w:hAnsi="Verdana" w:cs="Times New Roman"/>
          <w:bCs/>
          <w:sz w:val="21"/>
          <w:szCs w:val="21"/>
          <w:lang w:eastAsia="es-MX"/>
        </w:rPr>
      </w:pPr>
      <w:r w:rsidRPr="000679DC">
        <w:rPr>
          <w:rFonts w:ascii="Verdana" w:eastAsia="Times New Roman" w:hAnsi="Verdana" w:cs="Times New Roman"/>
          <w:bCs/>
          <w:sz w:val="21"/>
          <w:szCs w:val="21"/>
          <w:lang w:eastAsia="es-MX"/>
        </w:rPr>
        <w:t xml:space="preserve"> </w:t>
      </w:r>
    </w:p>
    <w:p w14:paraId="6D7864B3" w14:textId="77777777" w:rsidR="000679DC" w:rsidRPr="000679DC" w:rsidRDefault="000679DC" w:rsidP="000679DC">
      <w:pPr>
        <w:snapToGrid w:val="0"/>
        <w:spacing w:after="120" w:line="276" w:lineRule="auto"/>
        <w:ind w:firstLine="709"/>
        <w:jc w:val="both"/>
        <w:rPr>
          <w:rFonts w:ascii="Verdana" w:eastAsia="Times New Roman" w:hAnsi="Verdana" w:cs="Times New Roman"/>
          <w:lang w:eastAsia="es-MX"/>
        </w:rPr>
      </w:pPr>
      <w:r w:rsidRPr="000679DC">
        <w:rPr>
          <w:rFonts w:ascii="Verdana" w:eastAsia="Times New Roman" w:hAnsi="Verdana" w:cs="Times New Roman"/>
          <w:lang w:eastAsia="es-MX"/>
        </w:rPr>
        <w:t xml:space="preserve">En consecuencia, cuando la entidad estatal configure el SECOP II de manera distinta a la prevista en el Formulario 1 – Formulario de Presupuesto Oficial, deberá establecer de forma clara y previa en los documentos del proceso el criterio de prevalencia aplicable para la evaluación de la oferta económica, con el fin de garantizar los principios de transparencia, selección objetiva y seguridad jurídica. </w:t>
      </w:r>
    </w:p>
    <w:p w14:paraId="3EBC05D0" w14:textId="77777777" w:rsidR="000679DC" w:rsidRPr="000679DC" w:rsidRDefault="000679DC" w:rsidP="10BE0921">
      <w:pPr>
        <w:spacing w:after="120" w:line="276" w:lineRule="auto"/>
        <w:ind w:firstLine="708"/>
        <w:jc w:val="both"/>
        <w:rPr>
          <w:rFonts w:ascii="Verdana" w:eastAsia="Calibri" w:hAnsi="Verdana" w:cs="Arial"/>
          <w:kern w:val="2"/>
          <w:lang w:val="es-ES" w:eastAsia="es-MX"/>
          <w14:ligatures w14:val="standardContextual"/>
        </w:rPr>
      </w:pPr>
      <w:r w:rsidRPr="10BE0921">
        <w:rPr>
          <w:rFonts w:ascii="Verdana" w:eastAsia="Calibri" w:hAnsi="Verdana" w:cs="Arial"/>
          <w:kern w:val="2"/>
          <w:lang w:val="es-ES" w:eastAsia="es-MX"/>
          <w14:ligatures w14:val="standardContextual"/>
        </w:rPr>
        <w:t xml:space="preserve">De lo señalado surge la inquietud acerca de en qué documento deben establecerse las reglas sobre la prevalencia aplicable a la oferta económica y cuáles pueden ser las que eventualmente utilice la entidad que adelanta el proceso. El primer aspecto adquiere relevancia si se considera el principio de inalterabilidad que recae sobre los documentos tipo expedidos por esta Agencia. Por lo tanto, a </w:t>
      </w:r>
      <w:proofErr w:type="gramStart"/>
      <w:r w:rsidRPr="10BE0921">
        <w:rPr>
          <w:rFonts w:ascii="Verdana" w:eastAsia="Calibri" w:hAnsi="Verdana" w:cs="Arial"/>
          <w:kern w:val="2"/>
          <w:lang w:val="es-ES" w:eastAsia="es-MX"/>
          <w14:ligatures w14:val="standardContextual"/>
        </w:rPr>
        <w:t>continuación</w:t>
      </w:r>
      <w:proofErr w:type="gramEnd"/>
      <w:r w:rsidRPr="10BE0921">
        <w:rPr>
          <w:rFonts w:ascii="Verdana" w:eastAsia="Calibri" w:hAnsi="Verdana" w:cs="Arial"/>
          <w:kern w:val="2"/>
          <w:lang w:val="es-ES" w:eastAsia="es-MX"/>
          <w14:ligatures w14:val="standardContextual"/>
        </w:rPr>
        <w:t xml:space="preserve"> se resolverán dichas inquietudes.</w:t>
      </w:r>
    </w:p>
    <w:p w14:paraId="4E37CDDC" w14:textId="77777777" w:rsidR="000679DC" w:rsidRPr="000679DC" w:rsidRDefault="000679DC" w:rsidP="000679DC">
      <w:pPr>
        <w:widowControl w:val="0"/>
        <w:autoSpaceDE w:val="0"/>
        <w:autoSpaceDN w:val="0"/>
        <w:snapToGrid w:val="0"/>
        <w:spacing w:after="120" w:line="276" w:lineRule="auto"/>
        <w:ind w:firstLine="709"/>
        <w:jc w:val="both"/>
        <w:rPr>
          <w:rFonts w:ascii="Verdana" w:eastAsia="Calibri" w:hAnsi="Verdana" w:cs="Arial"/>
          <w:lang w:val="es-ES" w:eastAsia="es-MX"/>
        </w:rPr>
      </w:pPr>
      <w:r w:rsidRPr="000679DC">
        <w:rPr>
          <w:rFonts w:ascii="Verdana" w:eastAsia="Calibri" w:hAnsi="Verdana" w:cs="Arial"/>
          <w:lang w:val="es-ES_tradnl" w:eastAsia="es-MX"/>
        </w:rPr>
        <w:t xml:space="preserve">Como lo estableció esta Agencia en el Radicado de salida No. 2_2026_04_10_003662 del 10 de abril de 2026, frente a la posibilidad de que se pueda “adecuar” la nota contenida en el numeral 2.3, considerando que esta </w:t>
      </w:r>
      <w:r w:rsidRPr="000679DC">
        <w:rPr>
          <w:rFonts w:ascii="Verdana" w:eastAsia="Calibri" w:hAnsi="Verdana" w:cs="Arial"/>
          <w:lang w:val="es-ES_tradnl" w:eastAsia="es-MX"/>
        </w:rPr>
        <w:lastRenderedPageBreak/>
        <w:t xml:space="preserve">no corresponde a aquellos apartes susceptibles de modificación por parte de las entidades que implementan los documentos tipo –esto es, no se encuentra dentro de los segmentos entre corchetes ni resaltados en gris–, ninguna entidad se encuentra facultada para introducir variaciones que impliquen su modificación o sustitución. </w:t>
      </w:r>
      <w:r w:rsidRPr="000679DC">
        <w:rPr>
          <w:rFonts w:ascii="Verdana" w:eastAsia="Calibri" w:hAnsi="Verdana" w:cs="Arial"/>
          <w:lang w:val="es-ES" w:eastAsia="es-MX"/>
        </w:rPr>
        <w:t xml:space="preserve">En consecuencia, la nota deberá aplicarse con el alcance allí previsto. </w:t>
      </w:r>
    </w:p>
    <w:p w14:paraId="4DE14DD5" w14:textId="77777777" w:rsidR="000679DC" w:rsidRPr="000679DC" w:rsidRDefault="000679DC" w:rsidP="000679DC">
      <w:pPr>
        <w:spacing w:after="120" w:line="276" w:lineRule="auto"/>
        <w:ind w:firstLine="708"/>
        <w:jc w:val="both"/>
        <w:rPr>
          <w:rFonts w:ascii="Verdana" w:eastAsia="Calibri" w:hAnsi="Verdana" w:cs="Arial"/>
          <w:kern w:val="2"/>
          <w:lang w:val="es-ES_tradnl" w:eastAsia="es-MX"/>
          <w14:ligatures w14:val="standardContextual"/>
        </w:rPr>
      </w:pPr>
      <w:r w:rsidRPr="000679DC">
        <w:rPr>
          <w:rFonts w:ascii="Verdana" w:eastAsia="Calibri" w:hAnsi="Verdana" w:cs="Arial"/>
          <w:kern w:val="2"/>
          <w:lang w:val="es-ES_tradnl" w:eastAsia="es-MX"/>
          <w14:ligatures w14:val="standardContextual"/>
        </w:rPr>
        <w:t>No obstante, considerando que, tal como se señaló, en los casos correspondientes al supuesto dos (2), es decir, cuando la entidad deba señalar a cuál información dará prevalencia, dicha definición deberá incorporarse en el Formulario 1 – Formulario de Presupuesto Oficial, el cual, a diferencia del documento base, sí permite su configuración por parte de la entidad, en los términos que se señalarán a continuación:</w:t>
      </w:r>
    </w:p>
    <w:p w14:paraId="5773C735"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lang w:val="es-ES" w:eastAsia="es-ES" w:bidi="es-ES"/>
        </w:rPr>
      </w:pPr>
      <w:r w:rsidRPr="000679DC">
        <w:rPr>
          <w:rFonts w:ascii="Verdana" w:eastAsia="Arial" w:hAnsi="Verdana" w:cs="Arial"/>
          <w:lang w:val="es-ES" w:eastAsia="es-ES" w:bidi="es-ES"/>
        </w:rPr>
        <w:t>En los documentos tipo para procesos de licitación pública de obras de infraestructura de transporte – versión 4, el “Formulario 1</w:t>
      </w:r>
      <w:r w:rsidRPr="000679DC">
        <w:rPr>
          <w:rFonts w:ascii="Verdana" w:eastAsia="Calibri" w:hAnsi="Verdana" w:cs="Arial"/>
          <w:lang w:val="es-ES" w:eastAsia="es-ES" w:bidi="es-ES"/>
        </w:rPr>
        <w:t>” en su segunda pestaña en Excel, titulada “Formulario 1 propuesta económica”</w:t>
      </w:r>
      <w:r w:rsidRPr="000679DC">
        <w:rPr>
          <w:rFonts w:ascii="Verdana" w:eastAsia="Arial" w:hAnsi="Verdana" w:cs="Arial"/>
          <w:lang w:val="es-ES" w:eastAsia="es-ES" w:bidi="es-ES"/>
        </w:rPr>
        <w:t xml:space="preserve"> señala en la parte superior derecha: “</w:t>
      </w:r>
      <w:r w:rsidRPr="000679DC">
        <w:rPr>
          <w:rFonts w:ascii="Verdana" w:eastAsia="Arial" w:hAnsi="Verdana" w:cs="Arial"/>
          <w:highlight w:val="lightGray"/>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0679DC">
        <w:rPr>
          <w:rFonts w:ascii="Verdana" w:eastAsia="Arial" w:hAnsi="Verdana" w:cs="Arial"/>
          <w:lang w:val="es-ES" w:eastAsia="es-ES" w:bidi="es-ES"/>
        </w:rPr>
        <w:t xml:space="preserve">”. </w:t>
      </w:r>
      <w:r w:rsidRPr="000679DC">
        <w:rPr>
          <w:rFonts w:ascii="Verdana" w:eastAsia="Calibri" w:hAnsi="Verdana" w:cs="Arial"/>
          <w:color w:val="000000"/>
          <w:lang w:val="es-ES_tradnl" w:eastAsia="es-MX"/>
        </w:rPr>
        <w:t>Igualmente, se indica que los proponentes emplearán el formulario establecido por la entidad para determinar su propuesta económica conforme al Formulario 1 - Presupuesto Oficial publicado por la Entidad. Esto</w:t>
      </w:r>
      <w:r w:rsidRPr="000679DC">
        <w:rPr>
          <w:rFonts w:ascii="Verdana" w:eastAsia="Calibri" w:hAnsi="Verdana" w:cs="Arial"/>
          <w:lang w:val="es-ES_tradnl" w:eastAsia="es-MX"/>
        </w:rPr>
        <w:t xml:space="preserve"> significa </w:t>
      </w:r>
      <w:r w:rsidRPr="000679DC">
        <w:rPr>
          <w:rFonts w:ascii="Verdana" w:eastAsia="Calibri" w:hAnsi="Verdana" w:cs="Arial"/>
          <w:lang w:val="es-ES" w:eastAsia="es-MX"/>
        </w:rPr>
        <w:t>que las entidades pueden diseñar un formulario para que los proponentes presenten su oferta económica, sin que sea obligatorio sujetarse al formulario que los documentos tipo proponen para el efecto.</w:t>
      </w:r>
      <w:r w:rsidRPr="000679DC">
        <w:rPr>
          <w:rFonts w:ascii="Verdana" w:eastAsia="Arial" w:hAnsi="Verdana" w:cs="Arial"/>
          <w:bCs/>
          <w:lang w:val="es-ES" w:eastAsia="es-MX"/>
        </w:rPr>
        <w:t xml:space="preserve"> En todo caso, el proponente deberá emplear el formulario que establezca la entidad. </w:t>
      </w:r>
    </w:p>
    <w:p w14:paraId="0FAE2C80"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MX" w:eastAsia="es-MX"/>
        </w:rPr>
      </w:pPr>
      <w:r w:rsidRPr="000679DC">
        <w:rPr>
          <w:rFonts w:ascii="Verdana" w:eastAsia="Arial" w:hAnsi="Verdana" w:cs="Arial"/>
          <w:bCs/>
          <w:lang w:val="es-ES" w:eastAsia="es-MX"/>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 Así mismo, este numeral establece que, </w:t>
      </w:r>
      <w:r w:rsidRPr="000679DC">
        <w:rPr>
          <w:rFonts w:ascii="Verdana" w:eastAsia="Arial" w:hAnsi="Verdana" w:cs="Arial"/>
          <w:bCs/>
          <w:highlight w:val="lightGray"/>
          <w:lang w:val="es-ES" w:eastAsia="es-MX"/>
        </w:rPr>
        <w:t xml:space="preserve">“[Cuando el presupuesto del proceso de contratación es estructurado por precios unitarios, la entidad debe aplicar las notas señaladas en el Formulario 1 – Formulario de Presupuesto </w:t>
      </w:r>
      <w:r w:rsidRPr="000679DC">
        <w:rPr>
          <w:rFonts w:ascii="Verdana" w:eastAsia="Arial" w:hAnsi="Verdana" w:cs="Arial"/>
          <w:bCs/>
          <w:highlight w:val="lightGray"/>
          <w:lang w:val="es-ES" w:eastAsia="es-MX"/>
        </w:rPr>
        <w:lastRenderedPageBreak/>
        <w:t>oficial. Cuando se estructura a través de otra modalidad de pago, la entidad debe definir las notas que debe tener en cuenta el proponente para presentar su oferta económica]”.</w:t>
      </w:r>
      <w:r w:rsidRPr="000679DC">
        <w:rPr>
          <w:rFonts w:ascii="Verdana" w:eastAsia="Arial" w:hAnsi="Verdana" w:cs="Arial"/>
          <w:bCs/>
          <w:lang w:val="es-ES" w:eastAsia="es-MX"/>
        </w:rPr>
        <w:t xml:space="preserve"> </w:t>
      </w:r>
    </w:p>
    <w:p w14:paraId="27EDE1B9"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Así las cosas, los oferentes deben usar la segunda pestaña del “Formulario 1 – Formulario de Presupuesto Oficial” puesta a disposición en formato Excel por la respectiva entidad, titulada “propuesta económica”, sin perjuicio de que las entidades estatales modifiquen o establezcan la presentación de la oferta económica en un formulario distinto.</w:t>
      </w:r>
    </w:p>
    <w:p w14:paraId="6BF94B06"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Con el fin de atender el primer interrogante planteado, la entidad cuenta con la potestad de ajustar o adoptar un Formulario 1 – Formulario de Presupuesto Oficial distinto al propuesto por la Agencia, siempre que dicha modificación se enmarque en los principios que rigen la contratación pública, en especial los de transparencia, selección objetiva y responsabilidad.</w:t>
      </w:r>
    </w:p>
    <w:p w14:paraId="55C016B2"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En ejercicio de esta facultad, la entidad deberá establecer en dicho formulario a cuál información otorgará prevalencia respecto de la oferta económica, cuando configure el formulario económico en el SECOP II de manera distinta a la prevista en el Formulario 1 – Formulario de Presupuesto Oficial. Para estos efectos, la Agencia Nacional de Contratación Pública – Colombia Compra Eficiente considera –a modo indicativo– que los escenarios que puede utilizar la entidad sobre la prevalencia de la oferta económica pueden ser los siguientes: </w:t>
      </w:r>
    </w:p>
    <w:p w14:paraId="45338BB2"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p>
    <w:p w14:paraId="65830E1E" w14:textId="77777777" w:rsidR="000679DC" w:rsidRPr="000679DC" w:rsidRDefault="000679DC" w:rsidP="000679DC">
      <w:pPr>
        <w:spacing w:after="120" w:line="240" w:lineRule="auto"/>
        <w:ind w:left="709" w:right="709"/>
        <w:contextualSpacing/>
        <w:jc w:val="both"/>
        <w:rPr>
          <w:rFonts w:ascii="Verdana" w:eastAsia="Arial" w:hAnsi="Verdana" w:cs="Arial"/>
          <w:kern w:val="2"/>
          <w:sz w:val="21"/>
          <w:szCs w:val="21"/>
          <w:highlight w:val="lightGray"/>
          <w:lang w:val="es-MX"/>
          <w14:ligatures w14:val="standardContextual"/>
        </w:rPr>
      </w:pPr>
      <w:r w:rsidRPr="000679DC">
        <w:rPr>
          <w:rFonts w:ascii="Verdana" w:eastAsia="Aptos" w:hAnsi="Verdana" w:cs="Times New Roman"/>
          <w:kern w:val="2"/>
          <w:sz w:val="21"/>
          <w:szCs w:val="21"/>
          <w:highlight w:val="lightGray"/>
          <w14:ligatures w14:val="standardContextual"/>
        </w:rPr>
        <w:t>[</w:t>
      </w:r>
      <w:r w:rsidRPr="000679DC">
        <w:rPr>
          <w:rFonts w:ascii="Verdana" w:eastAsia="Arial" w:hAnsi="Verdana" w:cs="Arial"/>
          <w:kern w:val="2"/>
          <w:sz w:val="21"/>
          <w:szCs w:val="21"/>
          <w:highlight w:val="lightGray"/>
          <w:lang w:val="es-MX"/>
          <w14:ligatures w14:val="standardContextual"/>
        </w:rPr>
        <w:t>Nota: La entidad deberá definir en esta nota, desde la publicación del prepliego, para los casos en que se presente discrepancia entre el Formulario 1 – Presupuesto Oficial y el cuestionario transaccional de SECOP II, para efectos de la evaluación económica, cual de estos, según  el caso prevalecerá frente al otro, para ello deberá tener en cuenta la Guía que se encuentre vigente sobre el uso del SECOP II modalidades – licitación Pública de Obra, para dar cumplimiento a lo indicado la Agencia establece las siguientes opciones:</w:t>
      </w:r>
      <w:r w:rsidRPr="000679DC">
        <w:rPr>
          <w:rFonts w:ascii="Arial" w:eastAsia="Arial" w:hAnsi="Arial" w:cs="Arial"/>
          <w:kern w:val="2"/>
          <w:sz w:val="21"/>
          <w:szCs w:val="21"/>
          <w:highlight w:val="lightGray"/>
          <w:lang w:val="es-MX"/>
          <w14:ligatures w14:val="standardContextual"/>
        </w:rPr>
        <w:t>​</w:t>
      </w:r>
    </w:p>
    <w:p w14:paraId="6FC188A9" w14:textId="77777777" w:rsidR="000679DC" w:rsidRPr="000679DC" w:rsidRDefault="000679DC" w:rsidP="000679DC">
      <w:pPr>
        <w:spacing w:after="0" w:line="240" w:lineRule="auto"/>
        <w:ind w:left="709" w:right="709"/>
        <w:jc w:val="both"/>
        <w:rPr>
          <w:rFonts w:ascii="Verdana" w:eastAsia="Arial" w:hAnsi="Verdana" w:cs="Arial"/>
          <w:sz w:val="21"/>
          <w:szCs w:val="21"/>
          <w:highlight w:val="lightGray"/>
          <w:lang w:val="es-MX" w:eastAsia="es-MX"/>
        </w:rPr>
      </w:pPr>
      <w:r w:rsidRPr="000679DC">
        <w:rPr>
          <w:rFonts w:ascii="Verdana" w:eastAsia="Arial" w:hAnsi="Verdana" w:cs="Arial"/>
          <w:sz w:val="21"/>
          <w:szCs w:val="21"/>
          <w:highlight w:val="lightGray"/>
          <w:lang w:val="es-MX" w:eastAsia="es-MX"/>
        </w:rPr>
        <w:t>En casos donde en la plataforma SECOP II solo se indique una pregunta precio, prevalecerá el Formulario 1 de Oferta Económica Sobre el SECOP II</w:t>
      </w:r>
      <w:r w:rsidRPr="000679DC">
        <w:rPr>
          <w:rFonts w:ascii="Arial" w:eastAsia="Arial" w:hAnsi="Arial" w:cs="Arial"/>
          <w:sz w:val="21"/>
          <w:szCs w:val="21"/>
          <w:highlight w:val="lightGray"/>
          <w:lang w:val="es-MX" w:eastAsia="es-MX"/>
        </w:rPr>
        <w:t>​</w:t>
      </w:r>
    </w:p>
    <w:p w14:paraId="6EA4AD95" w14:textId="77777777" w:rsidR="000679DC" w:rsidRPr="000679DC" w:rsidRDefault="000679DC" w:rsidP="000679DC">
      <w:pPr>
        <w:spacing w:after="0" w:line="240" w:lineRule="auto"/>
        <w:ind w:left="709" w:right="709"/>
        <w:jc w:val="both"/>
        <w:rPr>
          <w:rFonts w:ascii="Verdana" w:eastAsia="Arial" w:hAnsi="Verdana" w:cs="Arial"/>
          <w:sz w:val="21"/>
          <w:szCs w:val="21"/>
          <w:highlight w:val="lightGray"/>
          <w:lang w:val="es-MX" w:eastAsia="es-MX"/>
        </w:rPr>
      </w:pPr>
      <w:r w:rsidRPr="000679DC">
        <w:rPr>
          <w:rFonts w:ascii="Verdana" w:eastAsia="Arial" w:hAnsi="Verdana" w:cs="Arial"/>
          <w:sz w:val="21"/>
          <w:szCs w:val="21"/>
          <w:highlight w:val="lightGray"/>
          <w:lang w:val="es-MX" w:eastAsia="es-MX"/>
        </w:rPr>
        <w:t xml:space="preserve">En los casos que la entidad adjudique el proceso por el valor del presupuesto oficial, pero la evaluación la realice sobre el valor de los ítems relacionados en el Formulario 1 de Oferta Económica, deberá establecer en este acápite claramente, que el proponente deberá indicar en el cuestionario de la plataforma SECOP II el valor total del presupuesto, pero  su evaluación económica se realizara sobre los </w:t>
      </w:r>
      <w:r w:rsidRPr="000679DC">
        <w:rPr>
          <w:rFonts w:ascii="Verdana" w:eastAsia="Arial" w:hAnsi="Verdana" w:cs="Arial"/>
          <w:sz w:val="21"/>
          <w:szCs w:val="21"/>
          <w:highlight w:val="lightGray"/>
          <w:lang w:val="es-MX" w:eastAsia="es-MX"/>
        </w:rPr>
        <w:lastRenderedPageBreak/>
        <w:t>valores que relacione en el Formulario 1 de Oferta Económica, en consecuencia no prevalecerá un documento sobre otro, sino que se complementaran.</w:t>
      </w:r>
    </w:p>
    <w:p w14:paraId="3EA42670" w14:textId="77777777" w:rsidR="000679DC" w:rsidRPr="000679DC" w:rsidRDefault="000679DC" w:rsidP="000679DC">
      <w:pPr>
        <w:spacing w:after="0" w:line="240" w:lineRule="auto"/>
        <w:ind w:left="709" w:right="709"/>
        <w:jc w:val="both"/>
        <w:rPr>
          <w:rFonts w:ascii="Verdana" w:eastAsia="Arial" w:hAnsi="Verdana" w:cs="Arial"/>
          <w:sz w:val="21"/>
          <w:szCs w:val="21"/>
          <w:lang w:val="es-MX" w:eastAsia="es-MX"/>
        </w:rPr>
      </w:pPr>
      <w:r w:rsidRPr="000679DC">
        <w:rPr>
          <w:rFonts w:ascii="Verdana" w:eastAsia="Arial" w:hAnsi="Verdana" w:cs="Arial"/>
          <w:sz w:val="21"/>
          <w:szCs w:val="21"/>
          <w:highlight w:val="lightGray"/>
          <w:lang w:val="es-MX" w:eastAsia="es-MX"/>
        </w:rPr>
        <w:t>En caso de discrepancias entre el Formulario 1 – Presupuesto Oficial y el cuestionario transaccional de SECOP II, y cuando según las reglas anteriores, la entidad verificada las prevalencias determine que no se cumple con las condiciones de la oferta económica deberá aplicar la causal de rechazo que corresponda.</w:t>
      </w:r>
      <w:r w:rsidRPr="000679DC">
        <w:rPr>
          <w:rFonts w:ascii="Verdana" w:eastAsia="Arial" w:hAnsi="Verdana" w:cs="Arial"/>
          <w:sz w:val="21"/>
          <w:szCs w:val="21"/>
          <w:lang w:val="es-MX" w:eastAsia="es-MX"/>
        </w:rPr>
        <w:t xml:space="preserve">] </w:t>
      </w:r>
    </w:p>
    <w:p w14:paraId="3A637386"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MX" w:eastAsia="es-MX"/>
        </w:rPr>
      </w:pPr>
    </w:p>
    <w:p w14:paraId="1453B78B"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Se reitera que esta facultad: i) debe quedar previamente definida por la entidad al momento de la estructuración del Formulario 1 – Presupuesto Oficial, y no con posterioridad; y </w:t>
      </w:r>
      <w:proofErr w:type="spellStart"/>
      <w:r w:rsidRPr="000679DC">
        <w:rPr>
          <w:rFonts w:ascii="Verdana" w:eastAsia="Arial" w:hAnsi="Verdana" w:cs="Arial"/>
          <w:bCs/>
          <w:lang w:val="es-ES" w:eastAsia="es-MX"/>
        </w:rPr>
        <w:t>ii</w:t>
      </w:r>
      <w:proofErr w:type="spellEnd"/>
      <w:r w:rsidRPr="000679DC">
        <w:rPr>
          <w:rFonts w:ascii="Verdana" w:eastAsia="Arial" w:hAnsi="Verdana" w:cs="Arial"/>
          <w:bCs/>
          <w:lang w:val="es-ES" w:eastAsia="es-MX"/>
        </w:rPr>
        <w:t>) debe ser ejercida por la entidad cuando ello resulte procedente, es decir, en el evento en que haya configurado el SECOP II de manera distinta a la prevista en el Formulario 1 – Formulario de Presupuesto Oficial y deba definir cuál información prevalecerá en caso de presentarse discrepancias entre ambos documentos.</w:t>
      </w:r>
    </w:p>
    <w:p w14:paraId="6AB51D7F" w14:textId="77777777" w:rsidR="000679DC" w:rsidRPr="000679DC" w:rsidRDefault="000679DC" w:rsidP="000679DC">
      <w:pPr>
        <w:widowControl w:val="0"/>
        <w:autoSpaceDE w:val="0"/>
        <w:autoSpaceDN w:val="0"/>
        <w:spacing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Para la definición de la nota, la entidad deberá tener en cuenta que la facultad otorgada por el documento tipo para la inclusión de notas en el Formulario 1 – Formulario de Presupuesto Oficial, como ocurre en el presente caso para aclarar la prevalencia de la oferta económica, “(…) se contempló</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para</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realizar</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aclaraciones</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respecto</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a</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temas</w:t>
      </w:r>
      <w:r w:rsidRPr="000679DC">
        <w:rPr>
          <w:rFonts w:ascii="Verdana" w:eastAsia="Verdana" w:hAnsi="Verdana" w:cs="Verdana"/>
          <w:spacing w:val="-19"/>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20"/>
          <w:lang w:val="es-ES" w:eastAsia="es-MX"/>
        </w:rPr>
        <w:t xml:space="preserve"> </w:t>
      </w:r>
      <w:r w:rsidRPr="000679DC">
        <w:rPr>
          <w:rFonts w:ascii="Verdana" w:eastAsia="Verdana" w:hAnsi="Verdana" w:cs="Verdana"/>
          <w:lang w:val="es-ES" w:eastAsia="es-MX"/>
        </w:rPr>
        <w:t>forma que</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faciliten</w:t>
      </w:r>
      <w:r w:rsidRPr="000679DC">
        <w:rPr>
          <w:rFonts w:ascii="Verdana" w:eastAsia="Verdana" w:hAnsi="Verdana" w:cs="Verdana"/>
          <w:spacing w:val="-3"/>
          <w:lang w:val="es-ES" w:eastAsia="es-MX"/>
        </w:rPr>
        <w:t xml:space="preserve"> </w:t>
      </w:r>
      <w:r w:rsidRPr="000679DC">
        <w:rPr>
          <w:rFonts w:ascii="Verdana" w:eastAsia="Verdana" w:hAnsi="Verdana" w:cs="Verdana"/>
          <w:lang w:val="es-ES" w:eastAsia="es-MX"/>
        </w:rPr>
        <w:t>el</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diligenciamiento</w:t>
      </w:r>
      <w:r w:rsidRPr="000679DC">
        <w:rPr>
          <w:rFonts w:ascii="Verdana" w:eastAsia="Verdana" w:hAnsi="Verdana" w:cs="Verdana"/>
          <w:spacing w:val="-1"/>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la</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oferta</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económica</w:t>
      </w:r>
      <w:r w:rsidRPr="000679DC">
        <w:rPr>
          <w:rFonts w:ascii="Verdana" w:eastAsia="Verdana" w:hAnsi="Verdana" w:cs="Verdana"/>
          <w:spacing w:val="-3"/>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6"/>
          <w:lang w:val="es-ES" w:eastAsia="es-MX"/>
        </w:rPr>
        <w:t xml:space="preserve"> </w:t>
      </w:r>
      <w:r w:rsidRPr="000679DC">
        <w:rPr>
          <w:rFonts w:ascii="Verdana" w:eastAsia="Verdana" w:hAnsi="Verdana" w:cs="Verdana"/>
          <w:lang w:val="es-ES" w:eastAsia="es-MX"/>
        </w:rPr>
        <w:t>acuerdo</w:t>
      </w:r>
      <w:r w:rsidRPr="000679DC">
        <w:rPr>
          <w:rFonts w:ascii="Verdana" w:eastAsia="Verdana" w:hAnsi="Verdana" w:cs="Verdana"/>
          <w:spacing w:val="-4"/>
          <w:lang w:val="es-ES" w:eastAsia="es-MX"/>
        </w:rPr>
        <w:t xml:space="preserve"> </w:t>
      </w:r>
      <w:r w:rsidRPr="000679DC">
        <w:rPr>
          <w:rFonts w:ascii="Verdana" w:eastAsia="Verdana" w:hAnsi="Verdana" w:cs="Verdana"/>
          <w:lang w:val="es-ES" w:eastAsia="es-MX"/>
        </w:rPr>
        <w:t>con</w:t>
      </w:r>
      <w:r w:rsidRPr="000679DC">
        <w:rPr>
          <w:rFonts w:ascii="Verdana" w:eastAsia="Verdana" w:hAnsi="Verdana" w:cs="Verdana"/>
          <w:spacing w:val="-5"/>
          <w:lang w:val="es-ES" w:eastAsia="es-MX"/>
        </w:rPr>
        <w:t xml:space="preserve"> </w:t>
      </w:r>
      <w:r w:rsidRPr="000679DC">
        <w:rPr>
          <w:rFonts w:ascii="Verdana" w:eastAsia="Verdana" w:hAnsi="Verdana" w:cs="Verdana"/>
          <w:lang w:val="es-ES" w:eastAsia="es-MX"/>
        </w:rPr>
        <w:t>la modalidad</w:t>
      </w:r>
      <w:r w:rsidRPr="000679DC">
        <w:rPr>
          <w:rFonts w:ascii="Verdana" w:eastAsia="Verdana" w:hAnsi="Verdana" w:cs="Verdana"/>
          <w:spacing w:val="-9"/>
          <w:lang w:val="es-ES" w:eastAsia="es-MX"/>
        </w:rPr>
        <w:t xml:space="preserve"> </w:t>
      </w:r>
      <w:r w:rsidRPr="000679DC">
        <w:rPr>
          <w:rFonts w:ascii="Verdana" w:eastAsia="Verdana" w:hAnsi="Verdana" w:cs="Verdana"/>
          <w:lang w:val="es-ES" w:eastAsia="es-MX"/>
        </w:rPr>
        <w:t>de</w:t>
      </w:r>
      <w:r w:rsidRPr="000679DC">
        <w:rPr>
          <w:rFonts w:ascii="Verdana" w:eastAsia="Verdana" w:hAnsi="Verdana" w:cs="Verdana"/>
          <w:spacing w:val="-11"/>
          <w:lang w:val="es-ES" w:eastAsia="es-MX"/>
        </w:rPr>
        <w:t xml:space="preserve"> </w:t>
      </w:r>
      <w:r w:rsidRPr="000679DC">
        <w:rPr>
          <w:rFonts w:ascii="Verdana" w:eastAsia="Verdana" w:hAnsi="Verdana" w:cs="Verdana"/>
          <w:lang w:val="es-ES" w:eastAsia="es-MX"/>
        </w:rPr>
        <w:t>pacto</w:t>
      </w:r>
      <w:r w:rsidRPr="000679DC">
        <w:rPr>
          <w:rFonts w:ascii="Verdana" w:eastAsia="Verdana" w:hAnsi="Verdana" w:cs="Verdana"/>
          <w:spacing w:val="-10"/>
          <w:lang w:val="es-ES" w:eastAsia="es-MX"/>
        </w:rPr>
        <w:t xml:space="preserve"> </w:t>
      </w:r>
      <w:r w:rsidRPr="000679DC">
        <w:rPr>
          <w:rFonts w:ascii="Verdana" w:eastAsia="Verdana" w:hAnsi="Verdana" w:cs="Verdana"/>
          <w:lang w:val="es-ES" w:eastAsia="es-MX"/>
        </w:rPr>
        <w:t>contractual</w:t>
      </w:r>
      <w:r w:rsidRPr="000679DC">
        <w:rPr>
          <w:rFonts w:ascii="Verdana" w:eastAsia="Verdana" w:hAnsi="Verdana" w:cs="Verdana"/>
          <w:spacing w:val="-8"/>
          <w:lang w:val="es-ES" w:eastAsia="es-MX"/>
        </w:rPr>
        <w:t xml:space="preserve"> </w:t>
      </w:r>
      <w:r w:rsidRPr="000679DC">
        <w:rPr>
          <w:rFonts w:ascii="Verdana" w:eastAsia="Verdana" w:hAnsi="Verdana" w:cs="Verdana"/>
          <w:lang w:val="es-ES" w:eastAsia="es-MX"/>
        </w:rPr>
        <w:t>que</w:t>
      </w:r>
      <w:r w:rsidRPr="000679DC">
        <w:rPr>
          <w:rFonts w:ascii="Verdana" w:eastAsia="Verdana" w:hAnsi="Verdana" w:cs="Verdana"/>
          <w:spacing w:val="-10"/>
          <w:lang w:val="es-ES" w:eastAsia="es-MX"/>
        </w:rPr>
        <w:t xml:space="preserve"> </w:t>
      </w:r>
      <w:r w:rsidRPr="000679DC">
        <w:rPr>
          <w:rFonts w:ascii="Verdana" w:eastAsia="Verdana" w:hAnsi="Verdana" w:cs="Verdana"/>
          <w:lang w:val="es-ES" w:eastAsia="es-MX"/>
        </w:rPr>
        <w:t>se</w:t>
      </w:r>
      <w:r w:rsidRPr="000679DC">
        <w:rPr>
          <w:rFonts w:ascii="Verdana" w:eastAsia="Verdana" w:hAnsi="Verdana" w:cs="Verdana"/>
          <w:spacing w:val="-11"/>
          <w:lang w:val="es-ES" w:eastAsia="es-MX"/>
        </w:rPr>
        <w:t xml:space="preserve"> </w:t>
      </w:r>
      <w:r w:rsidRPr="000679DC">
        <w:rPr>
          <w:rFonts w:ascii="Verdana" w:eastAsia="Verdana" w:hAnsi="Verdana" w:cs="Verdana"/>
          <w:lang w:val="es-ES" w:eastAsia="es-MX"/>
        </w:rPr>
        <w:t>pretende</w:t>
      </w:r>
      <w:r w:rsidRPr="000679DC">
        <w:rPr>
          <w:rFonts w:ascii="Verdana" w:eastAsia="Verdana" w:hAnsi="Verdana" w:cs="Verdana"/>
          <w:spacing w:val="-9"/>
          <w:lang w:val="es-ES" w:eastAsia="es-MX"/>
        </w:rPr>
        <w:t xml:space="preserve"> </w:t>
      </w:r>
      <w:r w:rsidRPr="000679DC">
        <w:rPr>
          <w:rFonts w:ascii="Verdana" w:eastAsia="Verdana" w:hAnsi="Verdana" w:cs="Verdana"/>
          <w:lang w:val="es-ES" w:eastAsia="es-MX"/>
        </w:rPr>
        <w:t>suscribir”</w:t>
      </w:r>
      <w:r w:rsidRPr="000679DC">
        <w:rPr>
          <w:rFonts w:ascii="Verdana" w:eastAsia="Verdana" w:hAnsi="Verdana" w:cs="Verdana"/>
          <w:vertAlign w:val="superscript"/>
          <w:lang w:val="es-ES" w:eastAsia="es-MX"/>
        </w:rPr>
        <w:footnoteReference w:id="12"/>
      </w:r>
      <w:r w:rsidRPr="000679DC">
        <w:rPr>
          <w:rFonts w:ascii="Verdana" w:eastAsia="Verdana" w:hAnsi="Verdana" w:cs="Verdana"/>
          <w:lang w:val="es-ES" w:eastAsia="es-MX"/>
        </w:rPr>
        <w:t xml:space="preserve">. </w:t>
      </w:r>
    </w:p>
    <w:p w14:paraId="41396E59" w14:textId="77777777" w:rsidR="000679DC" w:rsidRPr="000679DC" w:rsidRDefault="000679DC" w:rsidP="000679DC">
      <w:pPr>
        <w:widowControl w:val="0"/>
        <w:autoSpaceDE w:val="0"/>
        <w:autoSpaceDN w:val="0"/>
        <w:spacing w:before="120" w:after="12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En este sentido, dicha facultad no es absoluta. Jurídicamente, la entidad no puede utilizar esta prerrogativa para incorporar en el formulario condiciones, variables o criterios que incidan directa o indirectamente en la elaboración de la oferta por parte de los proponentes, generando ambigüedad, inducción al error o afectando la igualdad de condiciones. Cualquier modificación que altere la forma en que los oferentes deben estructurar sus propuestas económicas, o que introduzca factores que puedan direccionar la oferta hacia determinados resultados, vulnera los principios de planeación y selección objetiva, en tanto compromete la transparencia del proceso y la libre concurrencia en el proceso de selección que se adelanta con los documentos tipo implementados por esa Agencia.</w:t>
      </w:r>
    </w:p>
    <w:p w14:paraId="534B24AC"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 xml:space="preserve">En igual sentido, la inclusión de notas, aclaraciones o requisitos </w:t>
      </w:r>
      <w:r w:rsidRPr="000679DC">
        <w:rPr>
          <w:rFonts w:ascii="Verdana" w:eastAsia="Arial" w:hAnsi="Verdana" w:cs="Arial"/>
          <w:bCs/>
          <w:lang w:val="es-ES" w:eastAsia="es-MX"/>
        </w:rPr>
        <w:lastRenderedPageBreak/>
        <w:t>adicionales dentro del formulario que puedan derivar en causales de rechazo constituye una extralimitación de la facultad de configuración del Formulario 1 – Presupuesto Oficial, por lo que sobre este aspecto esta Agencia sostuvo que:</w:t>
      </w:r>
    </w:p>
    <w:p w14:paraId="04CABA3F"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p>
    <w:p w14:paraId="7057BB9B" w14:textId="77777777" w:rsidR="000679DC" w:rsidRPr="000679DC" w:rsidRDefault="000679DC" w:rsidP="000679DC">
      <w:pPr>
        <w:widowControl w:val="0"/>
        <w:autoSpaceDE w:val="0"/>
        <w:autoSpaceDN w:val="0"/>
        <w:spacing w:after="0" w:line="240" w:lineRule="auto"/>
        <w:ind w:left="709" w:right="709"/>
        <w:jc w:val="both"/>
        <w:rPr>
          <w:rFonts w:ascii="Verdana" w:eastAsia="Verdana" w:hAnsi="Verdana" w:cs="Verdana"/>
          <w:spacing w:val="-2"/>
          <w:sz w:val="21"/>
          <w:szCs w:val="21"/>
          <w:lang w:val="es-ES" w:eastAsia="es-MX"/>
        </w:rPr>
      </w:pPr>
      <w:r w:rsidRPr="000679DC">
        <w:rPr>
          <w:rFonts w:ascii="Verdana" w:eastAsia="Arial" w:hAnsi="Verdana" w:cs="Arial"/>
          <w:bCs/>
          <w:sz w:val="21"/>
          <w:szCs w:val="21"/>
          <w:lang w:val="es-ES" w:eastAsia="es-MX"/>
        </w:rPr>
        <w:t xml:space="preserve"> “(…) la Entidad no solo debe abstenerse de introducir nuevas causales de rechazo, sino también de la inclusión de notas aclaratorias en el documento base o en algún otro formulario o anexo del documento tipo que configuren causales de rechazo adicionales o que vayan en contravía de las causales definidas en los documentos tipo (…) </w:t>
      </w:r>
      <w:r w:rsidRPr="000679DC">
        <w:rPr>
          <w:rFonts w:ascii="Verdana" w:eastAsia="Verdana" w:hAnsi="Verdana" w:cs="Verdana"/>
          <w:sz w:val="21"/>
          <w:szCs w:val="21"/>
          <w:lang w:val="es-ES" w:eastAsia="es-MX"/>
        </w:rPr>
        <w:t>Por</w:t>
      </w:r>
      <w:r w:rsidRPr="000679DC">
        <w:rPr>
          <w:rFonts w:ascii="Verdana" w:eastAsia="Verdana" w:hAnsi="Verdana" w:cs="Verdana"/>
          <w:spacing w:val="-11"/>
          <w:sz w:val="21"/>
          <w:szCs w:val="21"/>
          <w:lang w:val="es-ES" w:eastAsia="es-MX"/>
        </w:rPr>
        <w:t xml:space="preserve"> </w:t>
      </w:r>
      <w:r w:rsidRPr="000679DC">
        <w:rPr>
          <w:rFonts w:ascii="Verdana" w:eastAsia="Verdana" w:hAnsi="Verdana" w:cs="Verdana"/>
          <w:sz w:val="21"/>
          <w:szCs w:val="21"/>
          <w:lang w:val="es-ES" w:eastAsia="es-MX"/>
        </w:rPr>
        <w:t>lo</w:t>
      </w:r>
      <w:r w:rsidRPr="000679DC">
        <w:rPr>
          <w:rFonts w:ascii="Verdana" w:eastAsia="Verdana" w:hAnsi="Verdana" w:cs="Verdana"/>
          <w:spacing w:val="-11"/>
          <w:sz w:val="21"/>
          <w:szCs w:val="21"/>
          <w:lang w:val="es-ES" w:eastAsia="es-MX"/>
        </w:rPr>
        <w:t xml:space="preserve"> </w:t>
      </w:r>
      <w:r w:rsidRPr="000679DC">
        <w:rPr>
          <w:rFonts w:ascii="Verdana" w:eastAsia="Verdana" w:hAnsi="Verdana" w:cs="Verdana"/>
          <w:sz w:val="21"/>
          <w:szCs w:val="21"/>
          <w:lang w:val="es-ES" w:eastAsia="es-MX"/>
        </w:rPr>
        <w:t xml:space="preserve">anterior, es importante resaltar que las notas en el formulario 1 no deben ser utilizadas para configurar como causales de rechazo adicionales o que vaya en contravía de las causales definidas en el pliego los documentos </w:t>
      </w:r>
      <w:r w:rsidRPr="000679DC">
        <w:rPr>
          <w:rFonts w:ascii="Verdana" w:eastAsia="Verdana" w:hAnsi="Verdana" w:cs="Verdana"/>
          <w:spacing w:val="-2"/>
          <w:sz w:val="21"/>
          <w:szCs w:val="21"/>
          <w:lang w:val="es-ES" w:eastAsia="es-MX"/>
        </w:rPr>
        <w:t>tipo”</w:t>
      </w:r>
      <w:r w:rsidRPr="000679DC">
        <w:rPr>
          <w:rFonts w:ascii="Verdana" w:eastAsia="Verdana" w:hAnsi="Verdana" w:cs="Verdana"/>
          <w:spacing w:val="-2"/>
          <w:sz w:val="21"/>
          <w:szCs w:val="21"/>
          <w:vertAlign w:val="superscript"/>
          <w:lang w:val="es-ES" w:eastAsia="es-MX"/>
        </w:rPr>
        <w:footnoteReference w:id="13"/>
      </w:r>
      <w:r w:rsidRPr="000679DC">
        <w:rPr>
          <w:rFonts w:ascii="Verdana" w:eastAsia="Verdana" w:hAnsi="Verdana" w:cs="Verdana"/>
          <w:spacing w:val="-2"/>
          <w:sz w:val="21"/>
          <w:szCs w:val="21"/>
          <w:lang w:val="es-ES" w:eastAsia="es-MX"/>
        </w:rPr>
        <w:t>.</w:t>
      </w:r>
    </w:p>
    <w:p w14:paraId="70C51667" w14:textId="77777777" w:rsidR="000679DC" w:rsidRPr="000679DC" w:rsidRDefault="000679DC" w:rsidP="000679DC">
      <w:pPr>
        <w:widowControl w:val="0"/>
        <w:autoSpaceDE w:val="0"/>
        <w:autoSpaceDN w:val="0"/>
        <w:spacing w:after="0" w:line="276" w:lineRule="auto"/>
        <w:ind w:left="709" w:right="709"/>
        <w:jc w:val="both"/>
        <w:rPr>
          <w:rFonts w:ascii="Verdana" w:eastAsia="Arial" w:hAnsi="Verdana" w:cs="Arial"/>
          <w:bCs/>
          <w:lang w:val="es-ES" w:eastAsia="es-MX"/>
        </w:rPr>
      </w:pPr>
    </w:p>
    <w:p w14:paraId="53F9593D"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r w:rsidRPr="000679DC">
        <w:rPr>
          <w:rFonts w:ascii="Verdana" w:eastAsia="Arial" w:hAnsi="Verdana" w:cs="Arial"/>
          <w:bCs/>
          <w:lang w:val="es-ES" w:eastAsia="es-MX"/>
        </w:rPr>
        <w:t>Es así como, las causales de rechazo deben estar claramente definidos en los pliegos de condiciones y no incorporarse de manera implícita o sorpresiva en formatos anexos, pues ello podría generar inseguridad jurídica.</w:t>
      </w:r>
    </w:p>
    <w:p w14:paraId="1FE161B0" w14:textId="77777777" w:rsidR="000679DC" w:rsidRPr="000679DC" w:rsidRDefault="000679DC" w:rsidP="000679DC">
      <w:pPr>
        <w:widowControl w:val="0"/>
        <w:autoSpaceDE w:val="0"/>
        <w:autoSpaceDN w:val="0"/>
        <w:spacing w:after="0" w:line="276" w:lineRule="auto"/>
        <w:ind w:firstLine="709"/>
        <w:jc w:val="both"/>
        <w:rPr>
          <w:rFonts w:ascii="Verdana" w:eastAsia="Arial" w:hAnsi="Verdana" w:cs="Arial"/>
          <w:bCs/>
          <w:lang w:val="es-ES" w:eastAsia="es-MX"/>
        </w:rPr>
      </w:pPr>
    </w:p>
    <w:p w14:paraId="246D5F53" w14:textId="77777777" w:rsidR="000679DC" w:rsidRPr="000679DC" w:rsidRDefault="000679DC" w:rsidP="000679DC">
      <w:pPr>
        <w:snapToGrid w:val="0"/>
        <w:spacing w:after="120" w:line="276" w:lineRule="auto"/>
        <w:jc w:val="both"/>
        <w:rPr>
          <w:rFonts w:ascii="Verdana" w:eastAsia="Calibri" w:hAnsi="Verdana" w:cs="Arial"/>
          <w:lang w:eastAsia="es-MX"/>
        </w:rPr>
      </w:pPr>
      <w:proofErr w:type="spellStart"/>
      <w:r w:rsidRPr="000679DC">
        <w:rPr>
          <w:rFonts w:ascii="Verdana" w:eastAsia="Calibri" w:hAnsi="Verdana" w:cs="Arial"/>
          <w:lang w:val="es-ES" w:eastAsia="es-MX"/>
        </w:rPr>
        <w:t>iv</w:t>
      </w:r>
      <w:proofErr w:type="spellEnd"/>
      <w:r w:rsidRPr="000679DC">
        <w:rPr>
          <w:rFonts w:ascii="Verdana" w:eastAsia="Calibri" w:hAnsi="Verdana" w:cs="Arial"/>
          <w:lang w:val="es-ES" w:eastAsia="es-MX"/>
        </w:rPr>
        <w:t xml:space="preserve">. </w:t>
      </w:r>
      <w:r w:rsidRPr="000679DC">
        <w:rPr>
          <w:rFonts w:ascii="Verdana" w:eastAsia="Calibri" w:hAnsi="Verdana" w:cs="Arial"/>
          <w:lang w:eastAsia="es-MX"/>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2EECA72" w14:textId="77777777" w:rsidR="000679DC" w:rsidRPr="000679DC" w:rsidRDefault="000679DC" w:rsidP="000679DC">
      <w:pPr>
        <w:snapToGrid w:val="0"/>
        <w:spacing w:after="0" w:line="276" w:lineRule="auto"/>
        <w:ind w:firstLine="708"/>
        <w:jc w:val="both"/>
        <w:rPr>
          <w:rFonts w:ascii="Verdana" w:eastAsia="Calibri" w:hAnsi="Verdana" w:cs="Arial"/>
          <w:lang w:eastAsia="es-MX"/>
        </w:rPr>
      </w:pPr>
      <w:r w:rsidRPr="000679DC">
        <w:rPr>
          <w:rFonts w:ascii="Verdana" w:eastAsia="Calibri" w:hAnsi="Verdana" w:cs="Arial"/>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0679DC">
        <w:rPr>
          <w:rFonts w:ascii="Verdana" w:eastAsia="Calibri" w:hAnsi="Verdana" w:cs="Arial"/>
          <w:lang w:eastAsia="es-MX"/>
        </w:rPr>
        <w:lastRenderedPageBreak/>
        <w:t xml:space="preserve">gestión contractual, sin que sea atribución de Colombia Compra Eficiente validar sus actuaciones. </w:t>
      </w:r>
    </w:p>
    <w:p w14:paraId="6DD94257" w14:textId="77777777" w:rsidR="000679DC" w:rsidRPr="000679DC" w:rsidRDefault="000679DC" w:rsidP="000679DC">
      <w:pPr>
        <w:snapToGrid w:val="0"/>
        <w:spacing w:after="0" w:line="276" w:lineRule="auto"/>
        <w:jc w:val="both"/>
        <w:rPr>
          <w:rFonts w:ascii="Verdana" w:eastAsia="Calibri" w:hAnsi="Verdana" w:cs="Arial"/>
          <w:lang w:val="es-ES_tradnl" w:eastAsia="es-MX"/>
        </w:rPr>
      </w:pPr>
    </w:p>
    <w:p w14:paraId="42D2F605" w14:textId="77777777" w:rsidR="000679DC" w:rsidRPr="000679DC" w:rsidRDefault="000679DC" w:rsidP="000679D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Referencias normativas, jurisprudenciales y otras fuentes:</w:t>
      </w:r>
    </w:p>
    <w:p w14:paraId="323505BE" w14:textId="77777777" w:rsidR="000679DC" w:rsidRPr="000679DC" w:rsidRDefault="000679DC" w:rsidP="000679DC">
      <w:pPr>
        <w:widowControl w:val="0"/>
        <w:autoSpaceDE w:val="0"/>
        <w:autoSpaceDN w:val="0"/>
        <w:snapToGrid w:val="0"/>
        <w:spacing w:after="0" w:line="276" w:lineRule="auto"/>
        <w:jc w:val="both"/>
        <w:rPr>
          <w:rFonts w:ascii="Verdana" w:eastAsia="Calibri" w:hAnsi="Verdana" w:cs="Arial"/>
          <w:lang w:val="es-ES_tradnl"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679DC" w:rsidRPr="000679DC" w14:paraId="1E343801" w14:textId="77777777" w:rsidTr="00C669B1">
        <w:trPr>
          <w:trHeight w:val="870"/>
        </w:trPr>
        <w:tc>
          <w:tcPr>
            <w:tcW w:w="8647" w:type="dxa"/>
          </w:tcPr>
          <w:p w14:paraId="372A2164" w14:textId="77777777" w:rsidR="000679DC" w:rsidRPr="000679DC" w:rsidRDefault="000679DC" w:rsidP="000679DC">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eastAsia="es-MX"/>
              </w:rPr>
            </w:pPr>
            <w:r w:rsidRPr="000679DC">
              <w:rPr>
                <w:rFonts w:ascii="Verdana" w:eastAsia="Calibri" w:hAnsi="Verdana" w:cs="Arial"/>
                <w:lang w:val="es-ES_tradnl" w:eastAsia="es-MX"/>
              </w:rPr>
              <w:t xml:space="preserve">Ley 2022 de 2020, artículo 1. </w:t>
            </w:r>
          </w:p>
          <w:p w14:paraId="664FCB39" w14:textId="77777777" w:rsidR="000679DC" w:rsidRPr="000679DC" w:rsidRDefault="000679DC" w:rsidP="000679DC">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eastAsia="es-MX"/>
              </w:rPr>
            </w:pPr>
            <w:r w:rsidRPr="000679DC">
              <w:rPr>
                <w:rFonts w:ascii="Verdana" w:eastAsia="Calibri" w:hAnsi="Verdana" w:cs="Arial"/>
                <w:lang w:val="es-ES_tradnl" w:eastAsia="es-MX"/>
              </w:rPr>
              <w:t xml:space="preserve">Documentos Tipo de licitación de obra pública de infraestructura de transporte –versión 4–. Disponibles en: </w:t>
            </w:r>
            <w:hyperlink r:id="rId11" w:history="1">
              <w:r w:rsidRPr="000679DC">
                <w:rPr>
                  <w:rFonts w:ascii="Verdana" w:eastAsia="Calibri" w:hAnsi="Verdana" w:cs="Arial"/>
                  <w:color w:val="0000FF"/>
                  <w:u w:val="single"/>
                  <w:lang w:val="es-ES_tradnl" w:eastAsia="es-MX"/>
                </w:rPr>
                <w:t>https://www.colombiacompra.gov.co/normativa-y-relatoria/documentos-tipo</w:t>
              </w:r>
            </w:hyperlink>
            <w:r w:rsidRPr="000679DC">
              <w:rPr>
                <w:rFonts w:ascii="Verdana" w:eastAsia="Calibri" w:hAnsi="Verdana" w:cs="Arial"/>
                <w:lang w:val="es-ES_tradnl" w:eastAsia="es-MX"/>
              </w:rPr>
              <w:t xml:space="preserve">. </w:t>
            </w:r>
          </w:p>
        </w:tc>
      </w:tr>
    </w:tbl>
    <w:p w14:paraId="54554039" w14:textId="77777777" w:rsidR="000679DC" w:rsidRPr="000679DC" w:rsidRDefault="000679DC" w:rsidP="000679DC">
      <w:pPr>
        <w:widowControl w:val="0"/>
        <w:autoSpaceDE w:val="0"/>
        <w:autoSpaceDN w:val="0"/>
        <w:snapToGrid w:val="0"/>
        <w:spacing w:after="0" w:line="276" w:lineRule="auto"/>
        <w:jc w:val="both"/>
        <w:rPr>
          <w:rFonts w:ascii="Verdana" w:eastAsia="Calibri" w:hAnsi="Verdana" w:cs="Arial"/>
          <w:lang w:val="es-ES_tradnl" w:eastAsia="es-MX"/>
        </w:rPr>
      </w:pPr>
    </w:p>
    <w:p w14:paraId="658DBDF2" w14:textId="77777777" w:rsidR="000679DC" w:rsidRPr="000679DC" w:rsidRDefault="000679DC" w:rsidP="000679D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0679DC">
        <w:rPr>
          <w:rFonts w:ascii="Verdana" w:eastAsia="Century Gothic" w:hAnsi="Verdana" w:cs="Century Gothic"/>
          <w:b/>
          <w:bCs/>
          <w:lang w:val="es-ES_tradnl" w:eastAsia="es-MX"/>
        </w:rPr>
        <w:t>Doctrina de la Agencia Nacional de Contratación Pública:</w:t>
      </w:r>
    </w:p>
    <w:p w14:paraId="09BCD4B2" w14:textId="77777777" w:rsidR="000679DC" w:rsidRPr="000679DC" w:rsidRDefault="000679DC" w:rsidP="000679DC">
      <w:pPr>
        <w:widowControl w:val="0"/>
        <w:autoSpaceDE w:val="0"/>
        <w:autoSpaceDN w:val="0"/>
        <w:snapToGrid w:val="0"/>
        <w:spacing w:after="0" w:line="276" w:lineRule="auto"/>
        <w:jc w:val="both"/>
        <w:rPr>
          <w:rFonts w:ascii="Verdana" w:eastAsia="Calibri" w:hAnsi="Verdana" w:cs="Arial"/>
          <w:lang w:val="es-ES_tradnl" w:eastAsia="es-MX"/>
        </w:rPr>
      </w:pPr>
    </w:p>
    <w:p w14:paraId="2C3853BB" w14:textId="77777777" w:rsidR="000679DC" w:rsidRPr="000679DC" w:rsidRDefault="000679DC" w:rsidP="000679DC">
      <w:pPr>
        <w:widowControl w:val="0"/>
        <w:autoSpaceDE w:val="0"/>
        <w:autoSpaceDN w:val="0"/>
        <w:snapToGrid w:val="0"/>
        <w:spacing w:after="0" w:line="276" w:lineRule="auto"/>
        <w:jc w:val="both"/>
        <w:rPr>
          <w:rFonts w:ascii="Verdana" w:eastAsia="Calibri" w:hAnsi="Verdana" w:cs="Arial"/>
          <w:shd w:val="clear" w:color="auto" w:fill="FFFFFF"/>
          <w:lang w:val="es-ES" w:eastAsia="es-MX"/>
        </w:rPr>
      </w:pPr>
      <w:r w:rsidRPr="000679DC">
        <w:rPr>
          <w:rFonts w:ascii="Verdana" w:eastAsia="Calibri" w:hAnsi="Verdana" w:cs="Arial"/>
          <w:shd w:val="clear" w:color="auto" w:fill="FFFFFF"/>
          <w:lang w:val="es-ES" w:eastAsia="es-MX"/>
        </w:rPr>
        <w:t xml:space="preserve">La Agencia Nacional de Contratación Pública − Colombia Compra Eficiente se pronunció acerca del Formulario 1 – Formulario de Presupuesto Oficial de los Documentos Tipo, en los conceptos con radicado No. 4201912000004987 del 14 de agosto de 2019, 4201913000005675 del 25 de septiembre de 2019, 4201912000005852 del 25 de septiembre de 2019, 4201912000006447 del 10 de octubre de 2019, 4201912000006498 del 7 de octubre de 2019, 4201912000007471 del 13 de noviembre de 2019,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C – 435 de 1 de septiembre de 2021, C – 640 del 12 de noviembre de 2021, C – 121 del 13 de junio de 2024, C-131 del 30 de julio de 2024, C-640 del 5 de noviembre de 2025, C-352 del 2 de mayo de 2025, C-974 del 10 de septiembre de 2025, C-1255 del 9 de octubre de 2025 y C-1731 del 30 de diciembre de 2025, entre otros. </w:t>
      </w:r>
    </w:p>
    <w:p w14:paraId="07F10713" w14:textId="77777777" w:rsidR="000679DC" w:rsidRPr="000679DC" w:rsidRDefault="000679DC" w:rsidP="000679DC">
      <w:pPr>
        <w:widowControl w:val="0"/>
        <w:autoSpaceDE w:val="0"/>
        <w:autoSpaceDN w:val="0"/>
        <w:snapToGrid w:val="0"/>
        <w:spacing w:after="0" w:line="276" w:lineRule="auto"/>
        <w:jc w:val="both"/>
        <w:rPr>
          <w:rFonts w:ascii="Verdana" w:eastAsia="Calibri" w:hAnsi="Verdana" w:cs="Arial"/>
          <w:shd w:val="clear" w:color="auto" w:fill="FFFFFF"/>
          <w:lang w:val="es-ES" w:eastAsia="es-MX"/>
        </w:rPr>
      </w:pPr>
    </w:p>
    <w:p w14:paraId="44A92B16" w14:textId="77777777" w:rsidR="000679DC" w:rsidRPr="000679DC" w:rsidRDefault="000679DC" w:rsidP="000679DC">
      <w:pPr>
        <w:widowControl w:val="0"/>
        <w:autoSpaceDE w:val="0"/>
        <w:autoSpaceDN w:val="0"/>
        <w:spacing w:after="0" w:line="276" w:lineRule="auto"/>
        <w:jc w:val="both"/>
        <w:rPr>
          <w:rFonts w:ascii="Verdana" w:eastAsia="Times New Roman" w:hAnsi="Verdana" w:cs="Arial"/>
          <w:shd w:val="clear" w:color="auto" w:fill="FFFFFF"/>
          <w:lang w:val="es-ES" w:eastAsia="es-MX"/>
        </w:rPr>
      </w:pPr>
      <w:r w:rsidRPr="000679DC">
        <w:rPr>
          <w:rFonts w:ascii="Verdana" w:eastAsia="Times New Roman" w:hAnsi="Verdana" w:cs="Arial"/>
          <w:shd w:val="clear" w:color="auto" w:fill="FFFFFF"/>
          <w:lang w:val="es-ES"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0679DC">
          <w:rPr>
            <w:rFonts w:ascii="Verdana" w:eastAsia="Calibri" w:hAnsi="Verdana" w:cs="Arial"/>
            <w:color w:val="0000FF"/>
            <w:u w:val="single"/>
            <w:shd w:val="clear" w:color="auto" w:fill="FFFFFF"/>
            <w:lang w:eastAsia="es-MX"/>
          </w:rPr>
          <w:t>https://relatoria.colombiacompra.gov.co/</w:t>
        </w:r>
      </w:hyperlink>
      <w:r w:rsidRPr="000679DC">
        <w:rPr>
          <w:rFonts w:ascii="Verdana" w:eastAsia="Calibri" w:hAnsi="Verdana" w:cs="Arial"/>
          <w:color w:val="0000FF"/>
          <w:u w:val="single"/>
          <w:shd w:val="clear" w:color="auto" w:fill="FFFFFF"/>
          <w:lang w:eastAsia="es-MX"/>
        </w:rPr>
        <w:t> .</w:t>
      </w:r>
    </w:p>
    <w:p w14:paraId="28E6B3E6" w14:textId="77777777" w:rsidR="000679DC" w:rsidRPr="000679DC" w:rsidRDefault="000679DC" w:rsidP="000679DC">
      <w:pPr>
        <w:spacing w:after="0" w:line="240" w:lineRule="auto"/>
        <w:jc w:val="both"/>
        <w:rPr>
          <w:rFonts w:ascii="Verdana" w:eastAsia="Calibri" w:hAnsi="Verdana" w:cs="Arial"/>
          <w:color w:val="000000"/>
          <w:shd w:val="clear" w:color="auto" w:fill="FFFFFF"/>
          <w:lang w:eastAsia="es-MX"/>
        </w:rPr>
      </w:pPr>
    </w:p>
    <w:p w14:paraId="35904E48" w14:textId="77777777" w:rsidR="000679DC" w:rsidRPr="000679DC" w:rsidRDefault="000679DC" w:rsidP="000679DC">
      <w:pPr>
        <w:spacing w:after="0" w:line="276" w:lineRule="auto"/>
        <w:jc w:val="both"/>
        <w:rPr>
          <w:rFonts w:ascii="Verdana" w:eastAsia="Times New Roman" w:hAnsi="Verdana" w:cs="Arial"/>
          <w:lang w:eastAsia="es-MX"/>
        </w:rPr>
      </w:pPr>
      <w:r w:rsidRPr="000679DC">
        <w:rPr>
          <w:rFonts w:ascii="Verdana" w:eastAsia="Times New Roman" w:hAnsi="Verdana" w:cs="Arial"/>
          <w:lang w:eastAsia="es-MX"/>
        </w:rPr>
        <w:lastRenderedPageBreak/>
        <w:t xml:space="preserve">La sostenibilidad no es una opción, es una obligación. Por ello, la Agencia Nacional de Contratación Pública –Colombia Compra Eficiente– te invita a realizar el </w:t>
      </w:r>
      <w:r w:rsidRPr="000679DC">
        <w:rPr>
          <w:rFonts w:ascii="Verdana" w:eastAsia="Times New Roman" w:hAnsi="Verdana" w:cs="Arial"/>
          <w:b/>
          <w:bCs/>
          <w:lang w:eastAsia="es-MX"/>
        </w:rPr>
        <w:t>Curso de Contratación Pública Sostenible y Socialmente Responsable</w:t>
      </w:r>
      <w:r w:rsidRPr="000679DC">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0679DC">
        <w:rPr>
          <w:rFonts w:ascii="Verdana" w:eastAsia="Times New Roman" w:hAnsi="Verdana" w:cs="Arial"/>
          <w:lang w:eastAsia="es-MX"/>
        </w:rPr>
        <w:br/>
      </w:r>
      <w:hyperlink r:id="rId13" w:tgtFrame="_new" w:history="1">
        <w:r w:rsidRPr="000679DC">
          <w:rPr>
            <w:rFonts w:ascii="Verdana" w:eastAsia="Times New Roman" w:hAnsi="Verdana" w:cs="Arial"/>
            <w:color w:val="0000FF"/>
            <w:u w:val="single"/>
            <w:lang w:eastAsia="es-MX"/>
          </w:rPr>
          <w:t>https://formacionvirtual.colombiacompra.gov.co/mod/page/view.php?id=3718</w:t>
        </w:r>
      </w:hyperlink>
    </w:p>
    <w:p w14:paraId="7C17DDD2" w14:textId="77777777" w:rsidR="000679DC" w:rsidRPr="000679DC" w:rsidRDefault="000679DC" w:rsidP="000679DC">
      <w:pPr>
        <w:spacing w:after="0" w:line="276" w:lineRule="auto"/>
        <w:jc w:val="both"/>
        <w:rPr>
          <w:rFonts w:ascii="Verdana" w:eastAsia="Times New Roman" w:hAnsi="Verdana" w:cs="Arial"/>
          <w:lang w:eastAsia="es-MX"/>
        </w:rPr>
      </w:pPr>
      <w:r w:rsidRPr="000679DC">
        <w:rPr>
          <w:rFonts w:ascii="Verdana" w:eastAsia="Times New Roman" w:hAnsi="Verdana" w:cs="Arial"/>
          <w:lang w:eastAsia="es-MX"/>
        </w:rPr>
        <w:t xml:space="preserve">De otro lado, te contamos que esta Agencia ha da un paso decisivo en la estandarización y modernización del </w:t>
      </w:r>
      <w:r w:rsidRPr="000679DC">
        <w:rPr>
          <w:rFonts w:ascii="Verdana" w:eastAsia="Times New Roman" w:hAnsi="Verdana" w:cs="Arial"/>
          <w:b/>
          <w:bCs/>
          <w:lang w:eastAsia="es-MX"/>
        </w:rPr>
        <w:t>sector  social</w:t>
      </w:r>
      <w:r w:rsidRPr="000679DC">
        <w:rPr>
          <w:rFonts w:ascii="Verdana" w:eastAsia="Times New Roman" w:hAnsi="Verdana" w:cs="Arial"/>
          <w:lang w:eastAsia="es-MX"/>
        </w:rPr>
        <w:t xml:space="preserve"> con la expedición de las </w:t>
      </w:r>
      <w:r w:rsidRPr="000679DC">
        <w:rPr>
          <w:rFonts w:ascii="Verdana" w:eastAsia="Times New Roman" w:hAnsi="Verdana" w:cs="Arial"/>
          <w:b/>
          <w:bCs/>
          <w:lang w:eastAsia="es-MX"/>
        </w:rPr>
        <w:t>Resoluciones 539, 540, 541, 952 y 953 de 2025</w:t>
      </w:r>
      <w:r w:rsidRPr="000679DC">
        <w:rPr>
          <w:rFonts w:ascii="Verdana" w:eastAsia="Times New Roman" w:hAnsi="Verdana" w:cs="Arial"/>
          <w:lang w:eastAsia="es-MX"/>
        </w:rPr>
        <w:t xml:space="preserve">, </w:t>
      </w:r>
      <w:r w:rsidRPr="000679DC">
        <w:rPr>
          <w:rFonts w:ascii="Verdana" w:eastAsia="Times New Roman" w:hAnsi="Verdana" w:cs="Arial"/>
          <w:b/>
          <w:bCs/>
          <w:lang w:eastAsia="es-MX"/>
        </w:rPr>
        <w:t>mediante las cuales adoptó Documentos Tipo</w:t>
      </w:r>
      <w:r w:rsidRPr="000679DC">
        <w:rPr>
          <w:rFonts w:ascii="Verdana" w:eastAsia="Times New Roman" w:hAnsi="Verdana" w:cs="Arial"/>
          <w:lang w:eastAsia="es-MX"/>
        </w:rPr>
        <w:t xml:space="preserve"> para las modalidades de selección de</w:t>
      </w:r>
      <w:r w:rsidRPr="000679DC">
        <w:rPr>
          <w:rFonts w:ascii="Verdana" w:eastAsia="Times New Roman" w:hAnsi="Verdana" w:cs="Arial"/>
          <w:b/>
          <w:bCs/>
          <w:lang w:eastAsia="es-MX"/>
        </w:rPr>
        <w:t xml:space="preserve"> licitación pública (versión 2), selección abreviada de menor cuantía, mínima cuantía, consultoría e interventoría</w:t>
      </w:r>
      <w:r w:rsidRPr="000679DC">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679DC">
          <w:rPr>
            <w:rFonts w:ascii="Verdana" w:eastAsia="Times New Roman" w:hAnsi="Verdana" w:cs="Arial"/>
            <w:color w:val="0000FF"/>
            <w:u w:val="single"/>
            <w:lang w:eastAsia="es-MX"/>
          </w:rPr>
          <w:t>https://www.colombiacompra.gov.co/normativa-y-relatoria/documentos-tipo</w:t>
        </w:r>
      </w:hyperlink>
    </w:p>
    <w:p w14:paraId="3AA5ADF0" w14:textId="77777777" w:rsidR="000679DC" w:rsidRPr="000679DC" w:rsidRDefault="000679DC" w:rsidP="000679DC">
      <w:pPr>
        <w:spacing w:after="0" w:line="276" w:lineRule="auto"/>
        <w:jc w:val="both"/>
        <w:rPr>
          <w:rFonts w:ascii="Verdana" w:eastAsia="Times New Roman" w:hAnsi="Verdana" w:cs="Arial"/>
          <w:lang w:eastAsia="es-MX"/>
        </w:rPr>
      </w:pPr>
    </w:p>
    <w:p w14:paraId="010E9234" w14:textId="77777777" w:rsidR="000679DC" w:rsidRPr="000679DC" w:rsidRDefault="000679DC" w:rsidP="000679DC">
      <w:pPr>
        <w:spacing w:after="0" w:line="276" w:lineRule="auto"/>
        <w:jc w:val="both"/>
        <w:rPr>
          <w:rFonts w:ascii="Verdana" w:eastAsia="Times New Roman" w:hAnsi="Verdana" w:cs="Arial"/>
          <w:lang w:eastAsia="es-MX"/>
        </w:rPr>
      </w:pPr>
      <w:r w:rsidRPr="000679DC">
        <w:rPr>
          <w:rFonts w:ascii="Verdana" w:eastAsia="Times New Roman" w:hAnsi="Verdana" w:cs="Arial"/>
          <w:lang w:eastAsia="es-MX"/>
        </w:rPr>
        <w:t xml:space="preserve">Si quieres conocer más sobre la aplicación de Documentos Tipo puedes consultar la última versión de la </w:t>
      </w:r>
      <w:r w:rsidRPr="000679DC">
        <w:rPr>
          <w:rFonts w:ascii="Verdana" w:eastAsia="Times New Roman" w:hAnsi="Verdana" w:cs="Arial"/>
          <w:b/>
          <w:bCs/>
          <w:lang w:eastAsia="es-MX"/>
        </w:rPr>
        <w:t>Guía para la comprensión e implementación de los Documentos Tipo de obra pública de infraestructura de transporte</w:t>
      </w:r>
      <w:r w:rsidRPr="000679DC">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679DC">
        <w:rPr>
          <w:rFonts w:ascii="Verdana" w:eastAsia="Times New Roman" w:hAnsi="Verdana" w:cs="Arial"/>
          <w:lang w:eastAsia="es-MX"/>
        </w:rPr>
        <w:br/>
      </w:r>
      <w:hyperlink r:id="rId15" w:tgtFrame="_new" w:history="1">
        <w:r w:rsidRPr="000679DC">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70B8958" w14:textId="77777777" w:rsidR="000679DC" w:rsidRPr="000679DC" w:rsidRDefault="000679DC" w:rsidP="000679DC">
      <w:pPr>
        <w:spacing w:after="0"/>
        <w:jc w:val="both"/>
        <w:rPr>
          <w:rFonts w:ascii="Verdana" w:eastAsia="Aptos" w:hAnsi="Verdana" w:cs="Times New Roman"/>
          <w:color w:val="212121"/>
          <w:lang w:eastAsia="es-MX"/>
        </w:rPr>
      </w:pPr>
    </w:p>
    <w:p w14:paraId="00A0AE25" w14:textId="77777777" w:rsidR="000679DC" w:rsidRPr="000679DC" w:rsidRDefault="000679DC" w:rsidP="000679DC">
      <w:pPr>
        <w:spacing w:after="0" w:line="240" w:lineRule="auto"/>
        <w:jc w:val="both"/>
        <w:rPr>
          <w:rFonts w:ascii="Verdana" w:eastAsia="Calibri" w:hAnsi="Verdana" w:cs="Times New Roman"/>
          <w:lang w:eastAsia="es-MX"/>
        </w:rPr>
      </w:pPr>
      <w:r w:rsidRPr="000679DC">
        <w:rPr>
          <w:rFonts w:ascii="Verdana" w:eastAsia="Aptos" w:hAnsi="Verdana" w:cs="Times New Roman"/>
          <w:lang w:eastAsia="es-MX"/>
        </w:rPr>
        <w:t xml:space="preserve">Por último, lo invitamos a seguirnos en las redes sociales en las cuales se difunde información institucional: </w:t>
      </w:r>
    </w:p>
    <w:p w14:paraId="2F4570C3" w14:textId="77777777" w:rsidR="000679DC" w:rsidRPr="000679DC" w:rsidRDefault="000679DC" w:rsidP="000679DC">
      <w:pPr>
        <w:spacing w:after="0" w:line="240" w:lineRule="auto"/>
        <w:jc w:val="both"/>
        <w:rPr>
          <w:rFonts w:ascii="Verdana" w:eastAsia="Aptos" w:hAnsi="Verdana" w:cs="Times New Roman"/>
          <w:lang w:eastAsia="es-MX"/>
        </w:rPr>
      </w:pPr>
    </w:p>
    <w:p w14:paraId="1603A439" w14:textId="77777777" w:rsidR="000679DC" w:rsidRPr="000679DC" w:rsidRDefault="000679DC" w:rsidP="000679DC">
      <w:pPr>
        <w:spacing w:after="0" w:line="240" w:lineRule="auto"/>
        <w:jc w:val="both"/>
        <w:rPr>
          <w:rFonts w:ascii="Verdana" w:eastAsia="Aptos" w:hAnsi="Verdana" w:cs="Times New Roman"/>
          <w:lang w:eastAsia="es-MX"/>
        </w:rPr>
      </w:pPr>
      <w:r w:rsidRPr="000679DC">
        <w:rPr>
          <w:rFonts w:ascii="Verdana" w:eastAsia="Aptos" w:hAnsi="Verdana" w:cs="Times New Roman"/>
          <w:lang w:eastAsia="es-MX"/>
        </w:rPr>
        <w:t xml:space="preserve">Twitter: </w:t>
      </w:r>
      <w:r w:rsidRPr="000679DC">
        <w:rPr>
          <w:rFonts w:ascii="Verdana" w:eastAsia="Calibri" w:hAnsi="Verdana" w:cs="Times New Roman"/>
          <w:color w:val="156082"/>
          <w:u w:val="single"/>
          <w:lang w:eastAsia="es-MX"/>
        </w:rPr>
        <w:t>@colombiacompra</w:t>
      </w:r>
      <w:r w:rsidRPr="000679DC">
        <w:rPr>
          <w:rFonts w:ascii="Verdana" w:eastAsia="Calibri" w:hAnsi="Verdana" w:cs="Times New Roman"/>
          <w:color w:val="156082"/>
          <w:lang w:eastAsia="es-MX"/>
        </w:rPr>
        <w:t xml:space="preserve"> </w:t>
      </w:r>
    </w:p>
    <w:p w14:paraId="24BFEEF5" w14:textId="77777777" w:rsidR="000679DC" w:rsidRPr="000679DC" w:rsidRDefault="000679DC" w:rsidP="000679DC">
      <w:pPr>
        <w:spacing w:after="0" w:line="240" w:lineRule="auto"/>
        <w:jc w:val="both"/>
        <w:rPr>
          <w:rFonts w:ascii="Verdana" w:eastAsia="Aptos" w:hAnsi="Verdana" w:cs="Times New Roman"/>
          <w:lang w:eastAsia="es-MX"/>
        </w:rPr>
      </w:pPr>
      <w:r w:rsidRPr="000679DC">
        <w:rPr>
          <w:rFonts w:ascii="Verdana" w:eastAsia="Aptos" w:hAnsi="Verdana" w:cs="Times New Roman"/>
          <w:lang w:eastAsia="es-MX"/>
        </w:rPr>
        <w:lastRenderedPageBreak/>
        <w:t xml:space="preserve">Facebook: </w:t>
      </w:r>
      <w:proofErr w:type="spellStart"/>
      <w:r w:rsidRPr="000679DC">
        <w:rPr>
          <w:rFonts w:ascii="Verdana" w:eastAsia="Calibri" w:hAnsi="Verdana" w:cs="Times New Roman"/>
          <w:color w:val="156082"/>
          <w:u w:val="single"/>
          <w:lang w:eastAsia="es-MX"/>
        </w:rPr>
        <w:t>ColombiaCompraEficiente</w:t>
      </w:r>
      <w:proofErr w:type="spellEnd"/>
    </w:p>
    <w:p w14:paraId="723EF515" w14:textId="77777777" w:rsidR="000679DC" w:rsidRPr="000679DC" w:rsidRDefault="000679DC" w:rsidP="000679DC">
      <w:pPr>
        <w:spacing w:after="0" w:line="240" w:lineRule="auto"/>
        <w:jc w:val="both"/>
        <w:rPr>
          <w:rFonts w:ascii="Verdana" w:eastAsia="Aptos" w:hAnsi="Verdana" w:cs="Times New Roman"/>
          <w:lang w:eastAsia="es-MX"/>
        </w:rPr>
      </w:pPr>
      <w:r w:rsidRPr="000679DC">
        <w:rPr>
          <w:rFonts w:ascii="Verdana" w:eastAsia="Aptos" w:hAnsi="Verdana" w:cs="Times New Roman"/>
          <w:lang w:eastAsia="es-MX"/>
        </w:rPr>
        <w:t xml:space="preserve">LinkedIn: </w:t>
      </w:r>
      <w:r w:rsidRPr="000679DC">
        <w:rPr>
          <w:rFonts w:ascii="Verdana" w:eastAsia="Calibri" w:hAnsi="Verdana" w:cs="Times New Roman"/>
          <w:color w:val="156082"/>
          <w:u w:val="single"/>
          <w:lang w:eastAsia="es-MX"/>
        </w:rPr>
        <w:t>Agencia Nacional de Contratación Pública - Colombia Compra Eficiente</w:t>
      </w:r>
      <w:r w:rsidRPr="000679DC">
        <w:rPr>
          <w:rFonts w:ascii="Verdana" w:eastAsia="Calibri" w:hAnsi="Verdana" w:cs="Times New Roman"/>
          <w:color w:val="156082"/>
          <w:lang w:eastAsia="es-MX"/>
        </w:rPr>
        <w:t xml:space="preserve"> </w:t>
      </w:r>
      <w:r w:rsidRPr="000679DC">
        <w:rPr>
          <w:rFonts w:ascii="Verdana" w:eastAsia="Aptos" w:hAnsi="Verdana" w:cs="Times New Roman"/>
          <w:lang w:eastAsia="es-MX"/>
        </w:rPr>
        <w:t xml:space="preserve">Instagram: </w:t>
      </w:r>
      <w:r w:rsidRPr="000679DC">
        <w:rPr>
          <w:rFonts w:ascii="Verdana" w:eastAsia="Calibri" w:hAnsi="Verdana" w:cs="Times New Roman"/>
          <w:color w:val="156082"/>
          <w:u w:val="single"/>
          <w:lang w:eastAsia="es-MX"/>
        </w:rPr>
        <w:t>@colombiacompraeficiente_cce</w:t>
      </w:r>
    </w:p>
    <w:p w14:paraId="744D1CCA" w14:textId="77777777" w:rsidR="000679DC" w:rsidRPr="000679DC" w:rsidRDefault="000679DC" w:rsidP="000679DC">
      <w:pPr>
        <w:spacing w:after="0" w:line="276" w:lineRule="auto"/>
        <w:jc w:val="both"/>
        <w:rPr>
          <w:rFonts w:ascii="Verdana" w:eastAsia="Aptos" w:hAnsi="Verdana" w:cs="Times New Roman"/>
          <w:lang w:eastAsia="es-MX"/>
        </w:rPr>
      </w:pPr>
    </w:p>
    <w:p w14:paraId="4D565C74" w14:textId="77777777" w:rsidR="000679DC" w:rsidRPr="000679DC" w:rsidRDefault="000679DC" w:rsidP="000679DC">
      <w:pPr>
        <w:spacing w:after="0" w:line="276" w:lineRule="auto"/>
        <w:jc w:val="both"/>
        <w:rPr>
          <w:rFonts w:ascii="Verdana" w:eastAsia="Calibri" w:hAnsi="Verdana" w:cs="Times New Roman"/>
          <w:bCs/>
          <w:lang w:val="es-ES_tradnl" w:eastAsia="es-MX"/>
        </w:rPr>
      </w:pPr>
      <w:r w:rsidRPr="000679DC">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525BDB6" w14:textId="77777777" w:rsidR="000679DC" w:rsidRPr="000679DC" w:rsidRDefault="000679DC" w:rsidP="000679DC">
      <w:pPr>
        <w:spacing w:after="0" w:line="276" w:lineRule="auto"/>
        <w:jc w:val="both"/>
        <w:rPr>
          <w:rFonts w:ascii="Verdana" w:eastAsia="Calibri" w:hAnsi="Verdana" w:cs="Times New Roman"/>
          <w:lang w:eastAsia="es-MX"/>
        </w:rPr>
      </w:pPr>
    </w:p>
    <w:p w14:paraId="13EBB45B" w14:textId="77777777" w:rsidR="000679DC" w:rsidRPr="000679DC" w:rsidRDefault="000679DC" w:rsidP="000679DC">
      <w:pPr>
        <w:spacing w:after="0" w:line="276" w:lineRule="auto"/>
        <w:jc w:val="both"/>
        <w:rPr>
          <w:rFonts w:ascii="Verdana" w:eastAsia="Calibri" w:hAnsi="Verdana" w:cs="Times New Roman"/>
          <w:lang w:eastAsia="es-MX"/>
        </w:rPr>
      </w:pPr>
      <w:r w:rsidRPr="000679DC">
        <w:rPr>
          <w:rFonts w:ascii="Verdana" w:eastAsia="Calibri" w:hAnsi="Verdana" w:cs="Times New Roman"/>
          <w:lang w:eastAsia="es-MX"/>
        </w:rPr>
        <w:t>Atentamente,</w:t>
      </w:r>
    </w:p>
    <w:p w14:paraId="5472B43D" w14:textId="77777777" w:rsidR="000679DC" w:rsidRPr="000679DC" w:rsidRDefault="000679DC" w:rsidP="000679DC">
      <w:pPr>
        <w:tabs>
          <w:tab w:val="left" w:pos="1320"/>
        </w:tabs>
        <w:spacing w:after="0"/>
        <w:jc w:val="center"/>
        <w:rPr>
          <w:rFonts w:ascii="Verdana" w:eastAsia="Calibri" w:hAnsi="Verdana" w:cs="Times New Roman"/>
          <w:lang w:eastAsia="es-MX"/>
        </w:rPr>
      </w:pPr>
    </w:p>
    <w:p w14:paraId="4F79764E" w14:textId="64AAE269" w:rsidR="000679DC" w:rsidRPr="000679DC" w:rsidRDefault="00A33A68" w:rsidP="000679DC">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0ABCB994" wp14:editId="052817AB">
            <wp:extent cx="1955051" cy="839315"/>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1978178" cy="849244"/>
                    </a:xfrm>
                    <a:prstGeom prst="rect">
                      <a:avLst/>
                    </a:prstGeom>
                  </pic:spPr>
                </pic:pic>
              </a:graphicData>
            </a:graphic>
          </wp:inline>
        </w:drawing>
      </w:r>
    </w:p>
    <w:p w14:paraId="01BC68A1" w14:textId="77777777" w:rsidR="000679DC" w:rsidRPr="000679DC" w:rsidRDefault="000679DC" w:rsidP="000679DC">
      <w:pPr>
        <w:tabs>
          <w:tab w:val="left" w:pos="1320"/>
        </w:tabs>
        <w:spacing w:after="0"/>
        <w:jc w:val="center"/>
        <w:rPr>
          <w:rFonts w:ascii="Verdana" w:eastAsia="Calibri" w:hAnsi="Verdana"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0679DC" w:rsidRPr="000679DC" w14:paraId="01B8E069" w14:textId="77777777" w:rsidTr="00C669B1">
        <w:trPr>
          <w:trHeight w:val="323"/>
        </w:trPr>
        <w:tc>
          <w:tcPr>
            <w:tcW w:w="1041" w:type="dxa"/>
            <w:vAlign w:val="center"/>
            <w:hideMark/>
          </w:tcPr>
          <w:p w14:paraId="3406973F" w14:textId="77777777" w:rsidR="000679DC" w:rsidRPr="000679DC" w:rsidRDefault="000679DC" w:rsidP="000679DC">
            <w:pPr>
              <w:rPr>
                <w:rFonts w:ascii="Verdana" w:eastAsia="Calibri" w:hAnsi="Verdana" w:cs="Arial"/>
                <w:sz w:val="16"/>
                <w:szCs w:val="16"/>
                <w:lang w:val="es-ES_tradnl" w:eastAsia="es-ES"/>
              </w:rPr>
            </w:pPr>
            <w:r w:rsidRPr="000679D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7BE50C8D" w14:textId="77777777" w:rsidR="000679DC" w:rsidRPr="000679DC" w:rsidRDefault="000679DC" w:rsidP="000679DC">
            <w:pPr>
              <w:rPr>
                <w:rFonts w:ascii="Verdana" w:eastAsia="Arial" w:hAnsi="Verdana" w:cs="Arial"/>
                <w:sz w:val="16"/>
                <w:szCs w:val="16"/>
                <w:lang w:val="es-ES" w:eastAsia="es-MX"/>
              </w:rPr>
            </w:pPr>
            <w:r w:rsidRPr="000679DC">
              <w:rPr>
                <w:rFonts w:ascii="Verdana" w:eastAsia="Arial" w:hAnsi="Verdana" w:cs="Arial"/>
                <w:sz w:val="16"/>
                <w:szCs w:val="16"/>
                <w:lang w:val="es-ES" w:eastAsia="es-MX"/>
              </w:rPr>
              <w:t xml:space="preserve">Carlos Mario Castrillón Endo </w:t>
            </w:r>
          </w:p>
          <w:p w14:paraId="1D1F64B3" w14:textId="77777777" w:rsidR="000679DC" w:rsidRPr="000679DC" w:rsidRDefault="000679DC" w:rsidP="000679DC">
            <w:pPr>
              <w:rPr>
                <w:rFonts w:ascii="Verdana" w:eastAsia="Arial" w:hAnsi="Verdana" w:cs="Arial"/>
                <w:sz w:val="16"/>
                <w:szCs w:val="16"/>
                <w:lang w:val="es-ES_tradnl" w:eastAsia="es-MX"/>
              </w:rPr>
            </w:pPr>
            <w:r w:rsidRPr="000679DC">
              <w:rPr>
                <w:rFonts w:ascii="Verdana" w:eastAsia="Arial" w:hAnsi="Verdana" w:cs="Arial"/>
                <w:sz w:val="16"/>
                <w:szCs w:val="16"/>
                <w:lang w:val="es-ES_tradnl" w:eastAsia="es-MX"/>
              </w:rPr>
              <w:t>Contratista de la Subdirección de Gestión Contractual</w:t>
            </w:r>
          </w:p>
          <w:p w14:paraId="5866FB05" w14:textId="77777777" w:rsidR="000679DC" w:rsidRPr="000679DC" w:rsidRDefault="000679DC" w:rsidP="000679DC">
            <w:pPr>
              <w:rPr>
                <w:rFonts w:ascii="Verdana" w:eastAsia="Arial" w:hAnsi="Verdana" w:cs="Arial"/>
                <w:sz w:val="16"/>
                <w:szCs w:val="16"/>
                <w:lang w:val="es-ES_tradnl" w:eastAsia="es-MX"/>
              </w:rPr>
            </w:pPr>
          </w:p>
        </w:tc>
      </w:tr>
      <w:tr w:rsidR="000679DC" w:rsidRPr="000679DC" w14:paraId="42C2B0D5" w14:textId="77777777" w:rsidTr="00C669B1">
        <w:trPr>
          <w:trHeight w:val="338"/>
        </w:trPr>
        <w:tc>
          <w:tcPr>
            <w:tcW w:w="1041" w:type="dxa"/>
            <w:vAlign w:val="center"/>
            <w:hideMark/>
          </w:tcPr>
          <w:p w14:paraId="2C85DDB5" w14:textId="77777777" w:rsidR="000679DC" w:rsidRPr="000679DC" w:rsidRDefault="000679DC" w:rsidP="000679DC">
            <w:pPr>
              <w:rPr>
                <w:rFonts w:ascii="Verdana" w:eastAsia="Calibri" w:hAnsi="Verdana" w:cs="Arial"/>
                <w:sz w:val="16"/>
                <w:szCs w:val="16"/>
                <w:lang w:val="es-ES_tradnl" w:eastAsia="es-ES"/>
              </w:rPr>
            </w:pPr>
            <w:r w:rsidRPr="000679D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26974020" w14:textId="77777777" w:rsidR="000679DC" w:rsidRPr="000679DC" w:rsidRDefault="000679DC" w:rsidP="000679DC">
            <w:pPr>
              <w:rPr>
                <w:rFonts w:ascii="Verdana" w:eastAsia="Arial" w:hAnsi="Verdana" w:cs="Arial"/>
                <w:sz w:val="16"/>
                <w:szCs w:val="16"/>
                <w:lang w:val="es-ES_tradnl" w:eastAsia="es-MX"/>
              </w:rPr>
            </w:pPr>
            <w:r w:rsidRPr="000679DC">
              <w:rPr>
                <w:rFonts w:ascii="Verdana" w:eastAsia="Arial" w:hAnsi="Verdana" w:cs="Arial"/>
                <w:sz w:val="16"/>
                <w:szCs w:val="16"/>
                <w:lang w:val="es-ES_tradnl" w:eastAsia="es-MX"/>
              </w:rPr>
              <w:t>Alejandro Gamboa Cárdenas</w:t>
            </w:r>
          </w:p>
          <w:p w14:paraId="1383CE2A" w14:textId="77777777" w:rsidR="000679DC" w:rsidRPr="000679DC" w:rsidRDefault="000679DC" w:rsidP="000679DC">
            <w:pPr>
              <w:rPr>
                <w:rFonts w:ascii="Verdana" w:eastAsia="Arial" w:hAnsi="Verdana" w:cs="Arial"/>
                <w:sz w:val="16"/>
                <w:szCs w:val="16"/>
                <w:lang w:val="es-ES_tradnl"/>
              </w:rPr>
            </w:pPr>
            <w:r w:rsidRPr="000679DC">
              <w:rPr>
                <w:rFonts w:ascii="Verdana" w:eastAsia="Arial" w:hAnsi="Verdana" w:cs="Arial"/>
                <w:sz w:val="16"/>
                <w:szCs w:val="16"/>
                <w:lang w:val="es-ES_tradnl" w:eastAsia="es-MX"/>
              </w:rPr>
              <w:t>Contratista de la Subdirección de Gestión Contractual</w:t>
            </w:r>
          </w:p>
          <w:p w14:paraId="4288E01F" w14:textId="77777777" w:rsidR="000679DC" w:rsidRPr="000679DC" w:rsidRDefault="000679DC" w:rsidP="000679DC">
            <w:pPr>
              <w:textAlignment w:val="baseline"/>
              <w:rPr>
                <w:rFonts w:ascii="Verdana" w:eastAsia="Times New Roman" w:hAnsi="Verdana" w:cs="Segoe UI"/>
                <w:sz w:val="16"/>
                <w:szCs w:val="16"/>
                <w:lang w:val="es-ES_tradnl" w:eastAsia="es-ES_tradnl"/>
              </w:rPr>
            </w:pPr>
            <w:r w:rsidRPr="000679DC">
              <w:rPr>
                <w:rFonts w:ascii="Verdana" w:eastAsia="Times New Roman" w:hAnsi="Verdana" w:cs="Segoe UI"/>
                <w:sz w:val="16"/>
                <w:szCs w:val="16"/>
                <w:lang w:val="es-ES_tradnl" w:eastAsia="es-ES_tradnl"/>
              </w:rPr>
              <w:t xml:space="preserve">Juan David Cárdenas Cabeza </w:t>
            </w:r>
          </w:p>
          <w:p w14:paraId="180AEE50" w14:textId="77777777" w:rsidR="000679DC" w:rsidRPr="000679DC" w:rsidRDefault="000679DC" w:rsidP="000679DC">
            <w:pPr>
              <w:textAlignment w:val="baseline"/>
              <w:rPr>
                <w:rFonts w:ascii="Verdana" w:eastAsia="Times New Roman" w:hAnsi="Verdana" w:cs="Arial"/>
                <w:sz w:val="16"/>
                <w:szCs w:val="16"/>
                <w:lang w:val="es-ES_tradnl" w:eastAsia="es-ES_tradnl"/>
              </w:rPr>
            </w:pPr>
            <w:r w:rsidRPr="000679DC">
              <w:rPr>
                <w:rFonts w:ascii="Verdana" w:eastAsia="Times New Roman" w:hAnsi="Verdana" w:cs="Arial"/>
                <w:sz w:val="16"/>
                <w:szCs w:val="16"/>
                <w:lang w:val="es-ES_tradnl" w:eastAsia="es-ES_tradnl"/>
              </w:rPr>
              <w:t>Contratista de la Subdirección de Gestión Contractual </w:t>
            </w:r>
          </w:p>
          <w:p w14:paraId="76653FDC" w14:textId="77777777" w:rsidR="000679DC" w:rsidRPr="000679DC" w:rsidRDefault="000679DC" w:rsidP="000679DC">
            <w:pPr>
              <w:textAlignment w:val="baseline"/>
              <w:rPr>
                <w:rFonts w:ascii="Verdana" w:eastAsia="Times New Roman" w:hAnsi="Verdana" w:cs="Arial"/>
                <w:sz w:val="16"/>
                <w:szCs w:val="16"/>
                <w:lang w:val="es-ES_tradnl" w:eastAsia="es-ES_tradnl"/>
              </w:rPr>
            </w:pPr>
            <w:r w:rsidRPr="000679DC">
              <w:rPr>
                <w:rFonts w:ascii="Verdana" w:eastAsia="Times New Roman" w:hAnsi="Verdana" w:cs="Arial"/>
                <w:sz w:val="16"/>
                <w:szCs w:val="16"/>
                <w:lang w:val="es-ES_tradnl" w:eastAsia="es-ES_tradnl"/>
              </w:rPr>
              <w:t>Martha Alicia Romero Vargas</w:t>
            </w:r>
          </w:p>
          <w:p w14:paraId="254FE218" w14:textId="77777777" w:rsidR="000679DC" w:rsidRPr="000679DC" w:rsidRDefault="000679DC" w:rsidP="000679DC">
            <w:pPr>
              <w:textAlignment w:val="baseline"/>
              <w:rPr>
                <w:rFonts w:ascii="Verdana" w:eastAsia="Times New Roman" w:hAnsi="Verdana" w:cs="Arial"/>
                <w:sz w:val="16"/>
                <w:szCs w:val="16"/>
                <w:lang w:val="es-ES_tradnl" w:eastAsia="es-ES_tradnl"/>
              </w:rPr>
            </w:pPr>
            <w:r w:rsidRPr="000679DC">
              <w:rPr>
                <w:rFonts w:ascii="Verdana" w:eastAsia="Times New Roman" w:hAnsi="Verdana" w:cs="Arial"/>
                <w:sz w:val="16"/>
                <w:szCs w:val="16"/>
                <w:lang w:val="es-ES_tradnl" w:eastAsia="es-ES_tradnl"/>
              </w:rPr>
              <w:t>Gestor T1-15 de la Subdirección de Gestión Contractual </w:t>
            </w:r>
          </w:p>
          <w:p w14:paraId="04A18046" w14:textId="77777777" w:rsidR="000679DC" w:rsidRPr="000679DC" w:rsidRDefault="000679DC" w:rsidP="000679DC">
            <w:pPr>
              <w:textAlignment w:val="baseline"/>
              <w:rPr>
                <w:rFonts w:ascii="Verdana" w:eastAsia="Times New Roman" w:hAnsi="Verdana" w:cs="Segoe UI"/>
                <w:sz w:val="16"/>
                <w:szCs w:val="16"/>
                <w:lang w:val="es-ES_tradnl" w:eastAsia="es-ES_tradnl"/>
              </w:rPr>
            </w:pPr>
          </w:p>
        </w:tc>
      </w:tr>
      <w:tr w:rsidR="000679DC" w:rsidRPr="000679DC" w14:paraId="40D33CBC" w14:textId="77777777" w:rsidTr="00C669B1">
        <w:trPr>
          <w:trHeight w:val="308"/>
        </w:trPr>
        <w:tc>
          <w:tcPr>
            <w:tcW w:w="1041" w:type="dxa"/>
            <w:vAlign w:val="center"/>
          </w:tcPr>
          <w:p w14:paraId="4206A615" w14:textId="77777777" w:rsidR="000679DC" w:rsidRPr="000679DC" w:rsidRDefault="000679DC" w:rsidP="000679DC">
            <w:pPr>
              <w:rPr>
                <w:rFonts w:ascii="Verdana" w:eastAsia="Calibri" w:hAnsi="Verdana" w:cs="Arial"/>
                <w:sz w:val="16"/>
                <w:szCs w:val="16"/>
                <w:lang w:val="es-ES_tradnl" w:eastAsia="es-ES"/>
              </w:rPr>
            </w:pPr>
            <w:r w:rsidRPr="000679D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41E5124" w14:textId="77777777" w:rsidR="000679DC" w:rsidRPr="000679DC" w:rsidRDefault="000679DC" w:rsidP="000679DC">
            <w:pPr>
              <w:rPr>
                <w:rFonts w:ascii="Verdana" w:eastAsia="Calibri" w:hAnsi="Verdana" w:cs="Arial"/>
                <w:sz w:val="16"/>
                <w:szCs w:val="16"/>
                <w:lang w:val="es-ES" w:eastAsia="es-ES"/>
              </w:rPr>
            </w:pPr>
            <w:r w:rsidRPr="000679DC">
              <w:rPr>
                <w:rFonts w:ascii="Verdana" w:eastAsia="Calibri" w:hAnsi="Verdana" w:cs="Arial"/>
                <w:sz w:val="16"/>
                <w:szCs w:val="16"/>
                <w:lang w:val="es-ES" w:eastAsia="es-ES"/>
              </w:rPr>
              <w:t>Carolina Quintero Gacharná</w:t>
            </w:r>
          </w:p>
          <w:p w14:paraId="6A1B9FED" w14:textId="77777777" w:rsidR="000679DC" w:rsidRPr="000679DC" w:rsidRDefault="000679DC" w:rsidP="000679DC">
            <w:pPr>
              <w:rPr>
                <w:rFonts w:ascii="Verdana" w:eastAsia="Calibri" w:hAnsi="Verdana" w:cs="Arial"/>
                <w:sz w:val="16"/>
                <w:szCs w:val="16"/>
                <w:lang w:val="es-ES_tradnl" w:eastAsia="es-ES"/>
              </w:rPr>
            </w:pPr>
            <w:r w:rsidRPr="000679DC">
              <w:rPr>
                <w:rFonts w:ascii="Verdana" w:eastAsia="Calibri" w:hAnsi="Verdana" w:cs="Arial"/>
                <w:sz w:val="16"/>
                <w:szCs w:val="16"/>
                <w:lang w:val="es-ES_tradnl" w:eastAsia="es-ES"/>
              </w:rPr>
              <w:t>Subdirectora de Gestión Contractual ANCP – CCE</w:t>
            </w:r>
          </w:p>
        </w:tc>
      </w:tr>
    </w:tbl>
    <w:p w14:paraId="02CDD8E2" w14:textId="77777777" w:rsidR="000679DC" w:rsidRPr="000679DC" w:rsidRDefault="000679DC" w:rsidP="000679DC">
      <w:pPr>
        <w:spacing w:after="0" w:line="240" w:lineRule="auto"/>
        <w:jc w:val="both"/>
        <w:textAlignment w:val="baseline"/>
        <w:rPr>
          <w:rFonts w:ascii="Verdana" w:eastAsia="Verdana" w:hAnsi="Verdana" w:cs="Verdana"/>
          <w:lang w:eastAsia="es-CO"/>
        </w:rPr>
      </w:pPr>
    </w:p>
    <w:p w14:paraId="69BC4D14" w14:textId="04DC282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C4D0B" w14:textId="77777777" w:rsidR="00C176ED" w:rsidRDefault="00C176ED" w:rsidP="004A1847">
      <w:pPr>
        <w:spacing w:after="0" w:line="240" w:lineRule="auto"/>
      </w:pPr>
      <w:r>
        <w:separator/>
      </w:r>
    </w:p>
  </w:endnote>
  <w:endnote w:type="continuationSeparator" w:id="0">
    <w:p w14:paraId="20B8923C" w14:textId="77777777" w:rsidR="00C176ED" w:rsidRDefault="00C176ED" w:rsidP="004A1847">
      <w:pPr>
        <w:spacing w:after="0" w:line="240" w:lineRule="auto"/>
      </w:pPr>
      <w:r>
        <w:continuationSeparator/>
      </w:r>
    </w:p>
  </w:endnote>
  <w:endnote w:type="continuationNotice" w:id="1">
    <w:p w14:paraId="0F07062E" w14:textId="77777777" w:rsidR="00C176ED" w:rsidRDefault="00C176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830366"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830366">
      <w:rPr>
        <w:rFonts w:ascii="Verdana" w:eastAsia="Verdana" w:hAnsi="Verdana" w:cs="Verdana"/>
        <w:b/>
        <w:color w:val="000000"/>
        <w:sz w:val="18"/>
        <w:szCs w:val="18"/>
        <w:lang w:val="pt-BR" w:eastAsia="es-CO"/>
      </w:rPr>
      <w:t xml:space="preserve">Código: </w:t>
    </w:r>
    <w:r w:rsidRPr="00830366">
      <w:rPr>
        <w:rFonts w:ascii="Verdana" w:eastAsia="Verdana" w:hAnsi="Verdana" w:cs="Verdana"/>
        <w:color w:val="000000"/>
        <w:sz w:val="18"/>
        <w:szCs w:val="18"/>
        <w:lang w:val="pt-BR" w:eastAsia="es-CO"/>
      </w:rPr>
      <w:t xml:space="preserve">CCE-REC-FM-17 </w:t>
    </w:r>
    <w:r w:rsidRPr="00830366">
      <w:rPr>
        <w:rFonts w:ascii="Verdana" w:eastAsia="Verdana" w:hAnsi="Verdana" w:cs="Verdana"/>
        <w:b/>
        <w:color w:val="000000"/>
        <w:sz w:val="18"/>
        <w:szCs w:val="18"/>
        <w:lang w:val="pt-BR" w:eastAsia="es-CO"/>
      </w:rPr>
      <w:t xml:space="preserve">V: </w:t>
    </w:r>
    <w:r w:rsidRPr="00830366">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256A9" w14:textId="77777777" w:rsidR="00C176ED" w:rsidRDefault="00C176ED" w:rsidP="004A1847">
      <w:pPr>
        <w:spacing w:after="0" w:line="240" w:lineRule="auto"/>
      </w:pPr>
      <w:r>
        <w:separator/>
      </w:r>
    </w:p>
  </w:footnote>
  <w:footnote w:type="continuationSeparator" w:id="0">
    <w:p w14:paraId="77313E81" w14:textId="77777777" w:rsidR="00C176ED" w:rsidRDefault="00C176ED" w:rsidP="004A1847">
      <w:pPr>
        <w:spacing w:after="0" w:line="240" w:lineRule="auto"/>
      </w:pPr>
      <w:r>
        <w:continuationSeparator/>
      </w:r>
    </w:p>
  </w:footnote>
  <w:footnote w:type="continuationNotice" w:id="1">
    <w:p w14:paraId="70E25AB4" w14:textId="77777777" w:rsidR="00C176ED" w:rsidRDefault="00C176ED">
      <w:pPr>
        <w:spacing w:after="0" w:line="240" w:lineRule="auto"/>
      </w:pPr>
    </w:p>
  </w:footnote>
  <w:footnote w:id="2">
    <w:p w14:paraId="2FC721C8" w14:textId="77777777" w:rsidR="000679DC" w:rsidRPr="002D198A" w:rsidRDefault="000679DC" w:rsidP="000679DC">
      <w:pPr>
        <w:pStyle w:val="Textonotapie"/>
        <w:ind w:firstLine="708"/>
        <w:rPr>
          <w:rFonts w:ascii="Verdana" w:hAnsi="Verdana"/>
          <w:sz w:val="18"/>
          <w:szCs w:val="18"/>
        </w:rPr>
      </w:pPr>
      <w:r w:rsidRPr="002D198A">
        <w:rPr>
          <w:rStyle w:val="Refdenotaalpie"/>
          <w:rFonts w:ascii="Verdana" w:hAnsi="Verdana"/>
          <w:sz w:val="18"/>
          <w:szCs w:val="18"/>
        </w:rPr>
        <w:footnoteRef/>
      </w:r>
      <w:r w:rsidRPr="002D198A">
        <w:rPr>
          <w:rFonts w:ascii="Verdana" w:hAnsi="Verdana"/>
          <w:sz w:val="18"/>
          <w:szCs w:val="18"/>
        </w:rPr>
        <w:t xml:space="preserve"> Concepto </w:t>
      </w:r>
      <w:r w:rsidRPr="002D198A">
        <w:rPr>
          <w:rFonts w:ascii="Verdana" w:eastAsia="Arial" w:hAnsi="Verdana" w:cs="Arial"/>
          <w:bCs/>
          <w:sz w:val="18"/>
          <w:szCs w:val="18"/>
          <w:lang w:val="es-ES"/>
        </w:rPr>
        <w:t>C-768 del 26 de diciembre de 2024.</w:t>
      </w:r>
    </w:p>
  </w:footnote>
  <w:footnote w:id="3">
    <w:p w14:paraId="0567B56D" w14:textId="77777777" w:rsidR="000679DC" w:rsidRDefault="000679DC" w:rsidP="000679DC">
      <w:pPr>
        <w:pStyle w:val="Textonotapie"/>
        <w:ind w:firstLine="708"/>
        <w:rPr>
          <w:rFonts w:ascii="Verdana" w:hAnsi="Verdana"/>
          <w:sz w:val="18"/>
          <w:szCs w:val="18"/>
        </w:rPr>
      </w:pPr>
      <w:r w:rsidRPr="002D198A">
        <w:rPr>
          <w:rStyle w:val="Refdenotaalpie"/>
          <w:rFonts w:ascii="Verdana" w:hAnsi="Verdana"/>
          <w:sz w:val="18"/>
          <w:szCs w:val="18"/>
        </w:rPr>
        <w:footnoteRef/>
      </w:r>
      <w:r w:rsidRPr="002D198A">
        <w:rPr>
          <w:rFonts w:ascii="Verdana" w:hAnsi="Verdana"/>
          <w:sz w:val="18"/>
          <w:szCs w:val="18"/>
        </w:rPr>
        <w:t xml:space="preserve"> </w:t>
      </w:r>
      <w:r>
        <w:rPr>
          <w:rFonts w:ascii="Verdana" w:hAnsi="Verdana"/>
          <w:sz w:val="18"/>
          <w:szCs w:val="18"/>
        </w:rPr>
        <w:t>Ibidem</w:t>
      </w:r>
    </w:p>
    <w:p w14:paraId="76A7B9D0" w14:textId="77777777" w:rsidR="000679DC" w:rsidRPr="002D198A" w:rsidRDefault="000679DC" w:rsidP="000679DC">
      <w:pPr>
        <w:pStyle w:val="Textonotapie"/>
        <w:ind w:firstLine="708"/>
        <w:rPr>
          <w:rFonts w:ascii="Verdana" w:hAnsi="Verdana"/>
          <w:sz w:val="18"/>
          <w:szCs w:val="18"/>
        </w:rPr>
      </w:pPr>
    </w:p>
  </w:footnote>
  <w:footnote w:id="4">
    <w:p w14:paraId="1B9048A4" w14:textId="77777777" w:rsidR="000679DC" w:rsidRPr="003942B8" w:rsidRDefault="000679DC" w:rsidP="000679DC">
      <w:pPr>
        <w:pStyle w:val="Textonotapie"/>
        <w:ind w:firstLine="708"/>
        <w:jc w:val="both"/>
        <w:rPr>
          <w:rFonts w:ascii="Verdana" w:hAnsi="Verdana"/>
          <w:color w:val="000000"/>
          <w:sz w:val="19"/>
          <w:szCs w:val="19"/>
          <w:lang w:val="es-CO"/>
        </w:rPr>
      </w:pPr>
      <w:r w:rsidRPr="003942B8">
        <w:rPr>
          <w:rStyle w:val="Refdenotaalpie"/>
          <w:rFonts w:ascii="Verdana" w:hAnsi="Verdana"/>
          <w:color w:val="000000"/>
          <w:sz w:val="19"/>
          <w:szCs w:val="19"/>
          <w:lang w:val="es-CO"/>
        </w:rPr>
        <w:footnoteRef/>
      </w:r>
      <w:r w:rsidRPr="003942B8">
        <w:rPr>
          <w:rFonts w:ascii="Verdana" w:hAnsi="Verdana"/>
          <w:color w:val="000000"/>
          <w:sz w:val="19"/>
          <w:szCs w:val="19"/>
          <w:lang w:val="es-CO"/>
        </w:rPr>
        <w:t xml:space="preserve"> Estos Documentos Tipo pueden ser consultados en la página web de Colombia Compra Eficiente, a través del siguiente enlace: </w:t>
      </w:r>
      <w:hyperlink r:id="rId1" w:history="1">
        <w:r w:rsidRPr="003942B8">
          <w:rPr>
            <w:rStyle w:val="Hipervnculo"/>
            <w:rFonts w:ascii="Verdana" w:hAnsi="Verdana"/>
            <w:color w:val="000000"/>
            <w:sz w:val="19"/>
            <w:szCs w:val="19"/>
            <w:lang w:val="es-CO"/>
          </w:rPr>
          <w:t>https://www.colombiacompra.gov.co/documentos-tipo/documentos-tipo</w:t>
        </w:r>
      </w:hyperlink>
      <w:r w:rsidRPr="003942B8">
        <w:rPr>
          <w:rFonts w:ascii="Verdana" w:hAnsi="Verdana"/>
          <w:color w:val="000000"/>
          <w:sz w:val="19"/>
          <w:szCs w:val="19"/>
          <w:lang w:val="es-CO"/>
        </w:rPr>
        <w:t xml:space="preserve"> </w:t>
      </w:r>
    </w:p>
  </w:footnote>
  <w:footnote w:id="5">
    <w:p w14:paraId="093F7A99" w14:textId="77777777" w:rsidR="000679DC" w:rsidRPr="003942B8" w:rsidRDefault="000679DC" w:rsidP="000679DC">
      <w:pPr>
        <w:spacing w:after="0" w:line="240" w:lineRule="auto"/>
        <w:jc w:val="both"/>
        <w:rPr>
          <w:rFonts w:ascii="Verdana" w:hAnsi="Verdana"/>
          <w:color w:val="000000"/>
          <w:sz w:val="19"/>
          <w:szCs w:val="19"/>
        </w:rPr>
      </w:pPr>
    </w:p>
    <w:p w14:paraId="634EE9D7"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r w:rsidRPr="003942B8">
        <w:rPr>
          <w:rStyle w:val="Refdenotaalpie"/>
          <w:rFonts w:ascii="Verdana" w:hAnsi="Verdana"/>
          <w:color w:val="000000"/>
          <w:sz w:val="19"/>
          <w:szCs w:val="19"/>
        </w:rPr>
        <w:footnoteRef/>
      </w:r>
      <w:r w:rsidRPr="003942B8">
        <w:rPr>
          <w:rFonts w:ascii="Verdana" w:hAnsi="Verdana"/>
          <w:color w:val="000000"/>
          <w:sz w:val="19"/>
          <w:szCs w:val="19"/>
        </w:rPr>
        <w:t xml:space="preserve"> </w:t>
      </w:r>
      <w:r w:rsidRPr="003942B8">
        <w:rPr>
          <w:rFonts w:ascii="Verdana" w:eastAsia="Calibri" w:hAnsi="Verdana" w:cs="Arial"/>
          <w:bCs/>
          <w:color w:val="000000"/>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56DC807"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p>
    <w:p w14:paraId="3F9F961A"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r w:rsidRPr="003942B8">
        <w:rPr>
          <w:rFonts w:ascii="Verdana" w:eastAsia="Calibri" w:hAnsi="Verdana" w:cs="Arial"/>
          <w:bCs/>
          <w:color w:val="000000"/>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684E29F3" w14:textId="77777777" w:rsidR="000679DC" w:rsidRPr="003942B8" w:rsidRDefault="000679DC" w:rsidP="000679DC">
      <w:pPr>
        <w:spacing w:after="0" w:line="240" w:lineRule="auto"/>
        <w:jc w:val="both"/>
        <w:rPr>
          <w:rFonts w:ascii="Verdana" w:eastAsia="Calibri" w:hAnsi="Verdana" w:cs="Arial"/>
          <w:bCs/>
          <w:color w:val="000000"/>
          <w:sz w:val="19"/>
          <w:szCs w:val="19"/>
        </w:rPr>
      </w:pPr>
    </w:p>
    <w:p w14:paraId="19AC4C8F"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r w:rsidRPr="003942B8">
        <w:rPr>
          <w:rFonts w:ascii="Verdana" w:eastAsia="Calibri" w:hAnsi="Verdana" w:cs="Arial"/>
          <w:bCs/>
          <w:color w:val="000000"/>
          <w:sz w:val="19"/>
          <w:szCs w:val="19"/>
        </w:rPr>
        <w:t xml:space="preserve">Resolución 464 del 10 de septiembre de 2024: “Por la cual se actualizan los documentos tipo para los procesos de obra pública de infraestructura de transporte adelantados bajo la modalidad de mínima cuantía”. </w:t>
      </w:r>
    </w:p>
    <w:p w14:paraId="0201D867" w14:textId="77777777" w:rsidR="000679DC" w:rsidRPr="003942B8" w:rsidRDefault="000679DC" w:rsidP="000679DC">
      <w:pPr>
        <w:spacing w:after="0" w:line="240" w:lineRule="auto"/>
        <w:jc w:val="both"/>
        <w:rPr>
          <w:rFonts w:ascii="Verdana" w:eastAsia="Calibri" w:hAnsi="Verdana" w:cs="Arial"/>
          <w:bCs/>
          <w:color w:val="000000"/>
          <w:sz w:val="19"/>
          <w:szCs w:val="19"/>
        </w:rPr>
      </w:pPr>
    </w:p>
    <w:p w14:paraId="1BD7A1B7"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r w:rsidRPr="003942B8">
        <w:rPr>
          <w:rFonts w:ascii="Verdana" w:eastAsia="Calibri" w:hAnsi="Verdana" w:cs="Arial"/>
          <w:bCs/>
          <w:color w:val="000000"/>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3A63A919"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p>
    <w:p w14:paraId="1C5AF6BB" w14:textId="77777777" w:rsidR="000679DC" w:rsidRPr="003942B8" w:rsidRDefault="000679DC" w:rsidP="000679DC">
      <w:pPr>
        <w:spacing w:after="0" w:line="240" w:lineRule="auto"/>
        <w:ind w:firstLine="708"/>
        <w:jc w:val="both"/>
        <w:rPr>
          <w:rFonts w:ascii="Verdana" w:eastAsia="Calibri" w:hAnsi="Verdana" w:cs="Arial"/>
          <w:bCs/>
          <w:color w:val="000000"/>
          <w:sz w:val="19"/>
          <w:szCs w:val="19"/>
        </w:rPr>
      </w:pPr>
      <w:r w:rsidRPr="003942B8">
        <w:rPr>
          <w:rFonts w:ascii="Verdana" w:eastAsia="Calibri" w:hAnsi="Verdana" w:cs="Arial"/>
          <w:bCs/>
          <w:color w:val="000000"/>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68B824D2" w14:textId="77777777" w:rsidR="000679DC" w:rsidRPr="003942B8" w:rsidRDefault="000679DC" w:rsidP="000679DC">
      <w:pPr>
        <w:pStyle w:val="Textonotapie"/>
        <w:jc w:val="both"/>
        <w:rPr>
          <w:rFonts w:ascii="Verdana" w:hAnsi="Verdana"/>
          <w:color w:val="000000"/>
          <w:sz w:val="19"/>
          <w:szCs w:val="19"/>
          <w:lang w:val="es-CO"/>
        </w:rPr>
      </w:pPr>
    </w:p>
  </w:footnote>
  <w:footnote w:id="6">
    <w:p w14:paraId="7B6971AA" w14:textId="77777777" w:rsidR="000679DC" w:rsidRPr="00664B99" w:rsidRDefault="000679DC" w:rsidP="000679DC">
      <w:pPr>
        <w:pStyle w:val="Textonotapie"/>
        <w:ind w:firstLine="709"/>
        <w:jc w:val="both"/>
        <w:rPr>
          <w:rFonts w:ascii="Verdana" w:hAnsi="Verdana" w:cs="Arial"/>
          <w:color w:val="000000"/>
          <w:sz w:val="18"/>
          <w:szCs w:val="18"/>
        </w:rPr>
      </w:pPr>
    </w:p>
    <w:p w14:paraId="173A7DBF" w14:textId="77777777" w:rsidR="000679DC" w:rsidRPr="00664B99" w:rsidRDefault="000679DC" w:rsidP="000679DC">
      <w:pPr>
        <w:pStyle w:val="Textonotapie"/>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 xml:space="preserve">En cuanto a las resoluciones vigentes, dicha regla se observa en el artículo 3 de las Resoluciones </w:t>
      </w:r>
      <w:bookmarkStart w:id="1" w:name="_Hlk82363077"/>
      <w:r w:rsidRPr="00664B99">
        <w:rPr>
          <w:rFonts w:ascii="Verdana" w:hAnsi="Verdana" w:cs="Arial"/>
          <w:color w:val="000000"/>
          <w:sz w:val="18"/>
          <w:szCs w:val="18"/>
          <w:lang w:val="es-ES"/>
        </w:rPr>
        <w:t>248 de 2020, 249 de 2020, 456 de 2024, 463 de 2024, 464 de 2024, 725 de 2024, 726 de 2024, entre otras</w:t>
      </w:r>
      <w:bookmarkEnd w:id="1"/>
      <w:r w:rsidRPr="00664B99">
        <w:rPr>
          <w:rFonts w:ascii="Verdana" w:hAnsi="Verdana" w:cs="Arial"/>
          <w:color w:val="000000"/>
          <w:sz w:val="18"/>
          <w:szCs w:val="18"/>
          <w:lang w:val="es-ES"/>
        </w:rPr>
        <w:t xml:space="preserve">. </w:t>
      </w:r>
    </w:p>
    <w:p w14:paraId="39F6CCF2" w14:textId="77777777" w:rsidR="000679DC" w:rsidRPr="00664B99" w:rsidRDefault="000679DC" w:rsidP="000679DC">
      <w:pPr>
        <w:pStyle w:val="Textonotapie"/>
        <w:ind w:firstLine="709"/>
        <w:jc w:val="both"/>
        <w:rPr>
          <w:rFonts w:ascii="Verdana" w:hAnsi="Verdana" w:cs="Arial"/>
          <w:color w:val="000000"/>
          <w:sz w:val="18"/>
          <w:szCs w:val="18"/>
          <w:lang w:val="es-ES"/>
        </w:rPr>
      </w:pPr>
    </w:p>
  </w:footnote>
  <w:footnote w:id="7">
    <w:p w14:paraId="4C214178" w14:textId="77777777" w:rsidR="000679DC" w:rsidRPr="00664B99" w:rsidRDefault="000679DC" w:rsidP="000679DC">
      <w:pPr>
        <w:pStyle w:val="Textonotapie"/>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32D98577" w14:textId="77777777" w:rsidR="000679DC" w:rsidRPr="00664B99" w:rsidRDefault="000679DC" w:rsidP="000679DC">
      <w:pPr>
        <w:pStyle w:val="Textonotapie"/>
        <w:ind w:firstLine="708"/>
        <w:jc w:val="both"/>
        <w:rPr>
          <w:rFonts w:ascii="Verdana" w:hAnsi="Verdana" w:cs="Arial"/>
          <w:color w:val="000000"/>
          <w:sz w:val="18"/>
          <w:szCs w:val="18"/>
        </w:rPr>
      </w:pPr>
    </w:p>
  </w:footnote>
  <w:footnote w:id="8">
    <w:p w14:paraId="5DE1FD25" w14:textId="77777777" w:rsidR="000679DC" w:rsidRPr="00664B99" w:rsidRDefault="000679DC" w:rsidP="000679DC">
      <w:pPr>
        <w:pStyle w:val="Textonotapie"/>
        <w:ind w:firstLine="709"/>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41B96941" w14:textId="77777777" w:rsidR="000679DC" w:rsidRPr="00664B99" w:rsidRDefault="000679DC" w:rsidP="000679DC">
      <w:pPr>
        <w:pStyle w:val="Textonotapie"/>
        <w:ind w:firstLine="709"/>
        <w:jc w:val="both"/>
        <w:rPr>
          <w:rFonts w:ascii="Verdana" w:hAnsi="Verdana" w:cs="Arial"/>
          <w:color w:val="000000"/>
          <w:sz w:val="18"/>
          <w:szCs w:val="18"/>
        </w:rPr>
      </w:pPr>
    </w:p>
  </w:footnote>
  <w:footnote w:id="9">
    <w:p w14:paraId="0107C346" w14:textId="77777777" w:rsidR="000679DC" w:rsidRPr="00664B99" w:rsidRDefault="000679DC" w:rsidP="000679DC">
      <w:pPr>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10">
    <w:p w14:paraId="21DB140C" w14:textId="77777777" w:rsidR="000679DC" w:rsidRPr="00664B99" w:rsidRDefault="000679DC" w:rsidP="000679DC">
      <w:pPr>
        <w:pStyle w:val="Textonotapie"/>
        <w:ind w:firstLine="708"/>
        <w:jc w:val="both"/>
        <w:rPr>
          <w:rFonts w:ascii="Verdana" w:hAnsi="Verdana" w:cs="Arial"/>
          <w:sz w:val="18"/>
          <w:szCs w:val="18"/>
          <w:lang w:val="es-ES"/>
        </w:rPr>
      </w:pPr>
      <w:r w:rsidRPr="00664B99">
        <w:rPr>
          <w:rStyle w:val="Refdenotaalpie"/>
          <w:rFonts w:ascii="Verdana" w:hAnsi="Verdana" w:cs="Arial"/>
          <w:sz w:val="18"/>
          <w:szCs w:val="18"/>
        </w:rPr>
        <w:footnoteRef/>
      </w:r>
      <w:r w:rsidRPr="00664B99">
        <w:rPr>
          <w:rFonts w:ascii="Verdana" w:hAnsi="Verdana" w:cs="Arial"/>
          <w:sz w:val="18"/>
          <w:szCs w:val="18"/>
        </w:rPr>
        <w:t xml:space="preserve"> Diccionario de la Real Academia Española, versión online disponible en: </w:t>
      </w:r>
      <w:hyperlink r:id="rId2" w:history="1">
        <w:r w:rsidRPr="00664B99">
          <w:rPr>
            <w:rStyle w:val="Hipervnculo"/>
            <w:rFonts w:ascii="Verdana" w:hAnsi="Verdana" w:cs="Arial"/>
            <w:sz w:val="18"/>
            <w:szCs w:val="18"/>
          </w:rPr>
          <w:t>https://dle.rae.es/est%C3%A1ndar</w:t>
        </w:r>
      </w:hyperlink>
      <w:r w:rsidRPr="00664B99">
        <w:rPr>
          <w:rFonts w:ascii="Verdana" w:hAnsi="Verdana" w:cs="Arial"/>
          <w:sz w:val="18"/>
          <w:szCs w:val="18"/>
        </w:rPr>
        <w:t xml:space="preserve">, consultado el 2 de junio de 2020. </w:t>
      </w:r>
    </w:p>
  </w:footnote>
  <w:footnote w:id="11">
    <w:p w14:paraId="6C9CCC00" w14:textId="77777777" w:rsidR="000679DC" w:rsidRPr="00664B99" w:rsidRDefault="000679DC" w:rsidP="000679DC">
      <w:pPr>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footnote>
  <w:footnote w:id="12">
    <w:p w14:paraId="564B17D1" w14:textId="77777777" w:rsidR="000679DC" w:rsidRPr="002D198A" w:rsidRDefault="000679DC" w:rsidP="000679DC">
      <w:pPr>
        <w:pStyle w:val="Textonotapie"/>
        <w:ind w:firstLine="708"/>
        <w:rPr>
          <w:rFonts w:ascii="Verdana" w:hAnsi="Verdana"/>
          <w:sz w:val="18"/>
          <w:szCs w:val="18"/>
        </w:rPr>
      </w:pPr>
      <w:r w:rsidRPr="002D198A">
        <w:rPr>
          <w:rStyle w:val="Refdenotaalpie"/>
          <w:rFonts w:ascii="Verdana" w:hAnsi="Verdana"/>
          <w:sz w:val="18"/>
          <w:szCs w:val="18"/>
        </w:rPr>
        <w:footnoteRef/>
      </w:r>
      <w:r w:rsidRPr="002D198A">
        <w:rPr>
          <w:rFonts w:ascii="Verdana" w:hAnsi="Verdana"/>
          <w:sz w:val="18"/>
          <w:szCs w:val="18"/>
        </w:rPr>
        <w:t xml:space="preserve"> Concepto </w:t>
      </w:r>
      <w:r w:rsidRPr="002D198A">
        <w:rPr>
          <w:rFonts w:ascii="Verdana" w:eastAsia="Arial" w:hAnsi="Verdana" w:cs="Arial"/>
          <w:bCs/>
          <w:sz w:val="18"/>
          <w:szCs w:val="18"/>
          <w:lang w:val="es-ES"/>
        </w:rPr>
        <w:t>C-768 del 26 de diciembre de 2024.</w:t>
      </w:r>
    </w:p>
  </w:footnote>
  <w:footnote w:id="13">
    <w:p w14:paraId="19DDA018" w14:textId="77777777" w:rsidR="000679DC" w:rsidRDefault="000679DC" w:rsidP="000679DC">
      <w:pPr>
        <w:pStyle w:val="Textonotapie"/>
        <w:ind w:firstLine="708"/>
        <w:rPr>
          <w:rFonts w:ascii="Verdana" w:hAnsi="Verdana"/>
          <w:sz w:val="18"/>
          <w:szCs w:val="18"/>
        </w:rPr>
      </w:pPr>
      <w:r w:rsidRPr="002D198A">
        <w:rPr>
          <w:rStyle w:val="Refdenotaalpie"/>
          <w:rFonts w:ascii="Verdana" w:hAnsi="Verdana"/>
          <w:sz w:val="18"/>
          <w:szCs w:val="18"/>
        </w:rPr>
        <w:footnoteRef/>
      </w:r>
      <w:r w:rsidRPr="002D198A">
        <w:rPr>
          <w:rFonts w:ascii="Verdana" w:hAnsi="Verdana"/>
          <w:sz w:val="18"/>
          <w:szCs w:val="18"/>
        </w:rPr>
        <w:t xml:space="preserve"> </w:t>
      </w:r>
      <w:r>
        <w:rPr>
          <w:rFonts w:ascii="Verdana" w:hAnsi="Verdana"/>
          <w:sz w:val="18"/>
          <w:szCs w:val="18"/>
        </w:rPr>
        <w:t>Ibidem</w:t>
      </w:r>
    </w:p>
    <w:p w14:paraId="66537329" w14:textId="77777777" w:rsidR="000679DC" w:rsidRPr="002D198A" w:rsidRDefault="000679DC" w:rsidP="000679DC">
      <w:pPr>
        <w:pStyle w:val="Textonotapie"/>
        <w:ind w:firstLine="708"/>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9DC"/>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052D"/>
    <w:rsid w:val="002E2BF8"/>
    <w:rsid w:val="002E4FD9"/>
    <w:rsid w:val="0030657A"/>
    <w:rsid w:val="00322A85"/>
    <w:rsid w:val="00324168"/>
    <w:rsid w:val="00330834"/>
    <w:rsid w:val="003448F4"/>
    <w:rsid w:val="00374F5E"/>
    <w:rsid w:val="00377E3E"/>
    <w:rsid w:val="003A779E"/>
    <w:rsid w:val="003B098E"/>
    <w:rsid w:val="003D0F4D"/>
    <w:rsid w:val="003D5B0D"/>
    <w:rsid w:val="003E0499"/>
    <w:rsid w:val="003E4F80"/>
    <w:rsid w:val="003E6439"/>
    <w:rsid w:val="003F3941"/>
    <w:rsid w:val="00406575"/>
    <w:rsid w:val="00414C74"/>
    <w:rsid w:val="0042722E"/>
    <w:rsid w:val="0044528D"/>
    <w:rsid w:val="00466E39"/>
    <w:rsid w:val="004A1847"/>
    <w:rsid w:val="004A305D"/>
    <w:rsid w:val="004C2B6E"/>
    <w:rsid w:val="004F21C4"/>
    <w:rsid w:val="004F685F"/>
    <w:rsid w:val="00506225"/>
    <w:rsid w:val="005566E8"/>
    <w:rsid w:val="0057073E"/>
    <w:rsid w:val="00574867"/>
    <w:rsid w:val="00591460"/>
    <w:rsid w:val="005A65E0"/>
    <w:rsid w:val="005B25EA"/>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0366"/>
    <w:rsid w:val="00844AE9"/>
    <w:rsid w:val="00867F95"/>
    <w:rsid w:val="008843B6"/>
    <w:rsid w:val="00891928"/>
    <w:rsid w:val="008A446D"/>
    <w:rsid w:val="008B25F1"/>
    <w:rsid w:val="008C4148"/>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422D"/>
    <w:rsid w:val="00A122D3"/>
    <w:rsid w:val="00A14468"/>
    <w:rsid w:val="00A17F13"/>
    <w:rsid w:val="00A20739"/>
    <w:rsid w:val="00A23AF9"/>
    <w:rsid w:val="00A33A68"/>
    <w:rsid w:val="00A33C78"/>
    <w:rsid w:val="00A921E5"/>
    <w:rsid w:val="00AB0ADB"/>
    <w:rsid w:val="00B00C0E"/>
    <w:rsid w:val="00B01B1A"/>
    <w:rsid w:val="00B0381D"/>
    <w:rsid w:val="00B44A47"/>
    <w:rsid w:val="00B72CD3"/>
    <w:rsid w:val="00B72FFF"/>
    <w:rsid w:val="00BA54D6"/>
    <w:rsid w:val="00BC3D36"/>
    <w:rsid w:val="00BD54A6"/>
    <w:rsid w:val="00BD7F72"/>
    <w:rsid w:val="00BF7425"/>
    <w:rsid w:val="00C04FB3"/>
    <w:rsid w:val="00C11D8B"/>
    <w:rsid w:val="00C15139"/>
    <w:rsid w:val="00C176ED"/>
    <w:rsid w:val="00C330EB"/>
    <w:rsid w:val="00C50D69"/>
    <w:rsid w:val="00C5365C"/>
    <w:rsid w:val="00C54C50"/>
    <w:rsid w:val="00C669B1"/>
    <w:rsid w:val="00C6700A"/>
    <w:rsid w:val="00C754BE"/>
    <w:rsid w:val="00C76B1C"/>
    <w:rsid w:val="00C81BA7"/>
    <w:rsid w:val="00C92470"/>
    <w:rsid w:val="00C925AC"/>
    <w:rsid w:val="00CB6357"/>
    <w:rsid w:val="00CC1B26"/>
    <w:rsid w:val="00D25AE6"/>
    <w:rsid w:val="00D302E1"/>
    <w:rsid w:val="00D361FD"/>
    <w:rsid w:val="00D423A2"/>
    <w:rsid w:val="00D44E26"/>
    <w:rsid w:val="00D520D8"/>
    <w:rsid w:val="00D63AC2"/>
    <w:rsid w:val="00D7383B"/>
    <w:rsid w:val="00D7788A"/>
    <w:rsid w:val="00DA231B"/>
    <w:rsid w:val="00DA57CB"/>
    <w:rsid w:val="00DC39FC"/>
    <w:rsid w:val="00DF5254"/>
    <w:rsid w:val="00E02524"/>
    <w:rsid w:val="00E16408"/>
    <w:rsid w:val="00E20894"/>
    <w:rsid w:val="00E245AB"/>
    <w:rsid w:val="00E2764C"/>
    <w:rsid w:val="00E27F2E"/>
    <w:rsid w:val="00E50AFE"/>
    <w:rsid w:val="00E521AA"/>
    <w:rsid w:val="00E75C92"/>
    <w:rsid w:val="00E771DC"/>
    <w:rsid w:val="00E8772A"/>
    <w:rsid w:val="00E90F6B"/>
    <w:rsid w:val="00E92C27"/>
    <w:rsid w:val="00EA0E3D"/>
    <w:rsid w:val="00EC38A7"/>
    <w:rsid w:val="00EE1AA8"/>
    <w:rsid w:val="00F15607"/>
    <w:rsid w:val="00F20DC4"/>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0BE0921"/>
    <w:rsid w:val="13CFC91B"/>
    <w:rsid w:val="19A2EC2C"/>
    <w:rsid w:val="1FD89096"/>
    <w:rsid w:val="21779BE6"/>
    <w:rsid w:val="2859CA1B"/>
    <w:rsid w:val="2C4D2425"/>
    <w:rsid w:val="2EE1E026"/>
    <w:rsid w:val="2F44F38F"/>
    <w:rsid w:val="30821638"/>
    <w:rsid w:val="3200FDD8"/>
    <w:rsid w:val="32A4F9CF"/>
    <w:rsid w:val="33A1FF93"/>
    <w:rsid w:val="356CEDFD"/>
    <w:rsid w:val="3C591AFD"/>
    <w:rsid w:val="3F7DAF46"/>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19F1DF1-0780-FA4C-8728-CECD42FE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679D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74D9938-10FD-40D7-AF34-0B8211125C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27</Pages>
  <Words>8819</Words>
  <Characters>48510</Characters>
  <Application>Microsoft Office Word</Application>
  <DocSecurity>0</DocSecurity>
  <Lines>404</Lines>
  <Paragraphs>114</Paragraphs>
  <ScaleCrop>false</ScaleCrop>
  <Company/>
  <LinksUpToDate>false</LinksUpToDate>
  <CharactersWithSpaces>57215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2026-06-20T19:44:00Z</dcterms:created>
  <dcterms:modified xsi:type="dcterms:W3CDTF">2026-06-23T15:26:00Z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