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007A3" w14:textId="77777777" w:rsidR="009546D7" w:rsidRPr="00F65E45" w:rsidRDefault="009546D7" w:rsidP="009546D7">
      <w:pPr>
        <w:spacing w:line="276" w:lineRule="auto"/>
        <w:jc w:val="both"/>
        <w:rPr>
          <w:rFonts w:ascii="Verdana" w:eastAsia="Calibri" w:hAnsi="Verdana" w:cs="Arial"/>
          <w:b/>
          <w:bCs/>
        </w:rPr>
      </w:pPr>
      <w:bookmarkStart w:id="0" w:name="_Hlk143780582"/>
      <w:r w:rsidRPr="00F65E45">
        <w:rPr>
          <w:rFonts w:ascii="Verdana" w:eastAsia="Calibri" w:hAnsi="Verdana" w:cs="Arial"/>
          <w:b/>
          <w:bCs/>
        </w:rPr>
        <w:t>SUBSANABILIDAD DE LAS OFERTAS – Alcance de la regla – Ley 1882 de 2018– Ámbito temporal – Criterio material</w:t>
      </w:r>
    </w:p>
    <w:p w14:paraId="4B51C41E" w14:textId="77777777" w:rsidR="009546D7" w:rsidRPr="00F65E45" w:rsidRDefault="009546D7" w:rsidP="009546D7">
      <w:pPr>
        <w:spacing w:after="0" w:line="240" w:lineRule="auto"/>
        <w:contextualSpacing/>
        <w:jc w:val="both"/>
        <w:rPr>
          <w:rFonts w:ascii="Verdana" w:hAnsi="Verdana" w:cs="Arial"/>
          <w:sz w:val="20"/>
          <w:szCs w:val="20"/>
          <w:lang w:val="es-ES_tradnl"/>
          <w14:ligatures w14:val="standardContextual"/>
        </w:rPr>
      </w:pPr>
      <w:r w:rsidRPr="00F65E45">
        <w:rPr>
          <w:rFonts w:ascii="Verdana" w:eastAsia="Calibri" w:hAnsi="Verdana" w:cs="Arial"/>
          <w:sz w:val="20"/>
          <w:szCs w:val="20"/>
          <w:lang w:val="es-ES_tradnl"/>
        </w:rPr>
        <w:t xml:space="preserve">“[…] </w:t>
      </w:r>
      <w:r w:rsidRPr="00F65E45">
        <w:rPr>
          <w:rFonts w:ascii="Verdana" w:hAnsi="Verdana" w:cs="Arial"/>
          <w:sz w:val="20"/>
          <w:szCs w:val="20"/>
          <w:lang w:val="es-ES_tradnl"/>
          <w14:ligatures w14:val="standardContextual"/>
        </w:rPr>
        <w:t xml:space="preserve">Como puede observarse, la Ley 1882 de 2018: i) mantiene el criterio de la Ley 80 de 1993, relativo a que todo lo que no sea necesario para la comparación de propuestas no es título suficiente para su rechazo; ii) mantiene el criterio aclaratorio de la Ley 1150 de 2007, según el cual todo lo que no afecte la asignación de puntaje puede subsanarse y, iii) introduce modificaciones en relación con algunos aspectos que se analizarán a continuación. </w:t>
      </w:r>
    </w:p>
    <w:p w14:paraId="1ADD8CD1" w14:textId="77777777" w:rsidR="009546D7" w:rsidRPr="00F65E45" w:rsidRDefault="009546D7" w:rsidP="009546D7">
      <w:pPr>
        <w:spacing w:after="0" w:line="240" w:lineRule="auto"/>
        <w:contextualSpacing/>
        <w:jc w:val="both"/>
        <w:rPr>
          <w:rFonts w:ascii="Verdana" w:hAnsi="Verdana" w:cs="Arial"/>
          <w:sz w:val="20"/>
          <w:szCs w:val="20"/>
          <w:lang w:val="es-ES_tradnl"/>
        </w:rPr>
      </w:pPr>
    </w:p>
    <w:p w14:paraId="406FE034" w14:textId="31E99DBF" w:rsidR="009546D7" w:rsidRPr="00F65E45" w:rsidRDefault="009546D7" w:rsidP="009546D7">
      <w:pPr>
        <w:spacing w:after="0" w:line="240" w:lineRule="auto"/>
        <w:contextualSpacing/>
        <w:jc w:val="both"/>
        <w:rPr>
          <w:rFonts w:ascii="Verdana" w:eastAsia="Calibri" w:hAnsi="Verdana" w:cs="Arial"/>
          <w:sz w:val="20"/>
          <w:szCs w:val="20"/>
          <w:lang w:val="es-ES_tradnl"/>
        </w:rPr>
      </w:pPr>
      <w:r w:rsidRPr="00F65E45">
        <w:rPr>
          <w:rFonts w:ascii="Verdana" w:hAnsi="Verdana" w:cs="Arial"/>
          <w:i/>
          <w:iCs/>
          <w:sz w:val="20"/>
          <w:szCs w:val="20"/>
          <w:lang w:val="es-ES_tradnl"/>
          <w14:ligatures w14:val="standardContextual"/>
        </w:rPr>
        <w:t>El primero</w:t>
      </w:r>
      <w:r w:rsidRPr="00F65E45">
        <w:rPr>
          <w:rFonts w:ascii="Verdana" w:hAnsi="Verdana" w:cs="Arial"/>
          <w:sz w:val="20"/>
          <w:szCs w:val="20"/>
          <w:lang w:val="es-ES_tradnl"/>
          <w14:ligatures w14:val="standardContextual"/>
        </w:rPr>
        <w:t xml:space="preserve">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w:t>
      </w:r>
      <w:r w:rsidRPr="00F65E45">
        <w:rPr>
          <w:rFonts w:ascii="Verdana" w:eastAsia="Calibri" w:hAnsi="Verdana" w:cs="Arial"/>
          <w:sz w:val="20"/>
          <w:szCs w:val="20"/>
          <w:lang w:val="es-ES_tradnl"/>
          <w14:ligatures w14:val="standardContextual"/>
        </w:rPr>
        <w:t>de selección a través del sistema de subasta</w:t>
      </w:r>
      <w:r w:rsidR="004B7834" w:rsidRPr="00F65E45">
        <w:rPr>
          <w:rFonts w:ascii="Verdana" w:eastAsia="Calibri" w:hAnsi="Verdana" w:cs="Arial"/>
          <w:sz w:val="20"/>
          <w:szCs w:val="20"/>
          <w:lang w:val="es-ES_tradnl"/>
          <w14:ligatures w14:val="standardContextual"/>
        </w:rPr>
        <w:t xml:space="preserve"> </w:t>
      </w:r>
      <w:r w:rsidRPr="00F65E45">
        <w:rPr>
          <w:rFonts w:ascii="Verdana" w:eastAsia="Calibri" w:hAnsi="Verdana" w:cs="Arial"/>
          <w:sz w:val="20"/>
          <w:szCs w:val="20"/>
          <w:lang w:val="es-ES_tradnl"/>
        </w:rPr>
        <w:t>[…]</w:t>
      </w:r>
    </w:p>
    <w:p w14:paraId="1EF90029" w14:textId="77777777" w:rsidR="009546D7" w:rsidRPr="00F65E45" w:rsidRDefault="009546D7" w:rsidP="009546D7">
      <w:pPr>
        <w:spacing w:after="0" w:line="240" w:lineRule="auto"/>
        <w:contextualSpacing/>
        <w:jc w:val="both"/>
        <w:rPr>
          <w:rFonts w:ascii="Verdana" w:eastAsia="Calibri" w:hAnsi="Verdana" w:cs="Arial"/>
          <w:sz w:val="20"/>
          <w:szCs w:val="20"/>
          <w:lang w:val="es-ES_tradnl"/>
        </w:rPr>
      </w:pPr>
    </w:p>
    <w:p w14:paraId="5187F37E" w14:textId="77777777" w:rsidR="009546D7" w:rsidRPr="00F65E45" w:rsidRDefault="009546D7" w:rsidP="009546D7">
      <w:pPr>
        <w:spacing w:line="240" w:lineRule="auto"/>
        <w:contextualSpacing/>
        <w:jc w:val="both"/>
        <w:rPr>
          <w:rFonts w:ascii="Verdana" w:hAnsi="Verdana" w:cs="Arial"/>
          <w:sz w:val="20"/>
          <w:szCs w:val="20"/>
          <w:lang w:val="es-ES_tradnl"/>
        </w:rPr>
      </w:pPr>
      <w:r w:rsidRPr="00F65E45">
        <w:rPr>
          <w:rFonts w:ascii="Verdana" w:eastAsia="Calibri" w:hAnsi="Verdana" w:cs="Arial"/>
          <w:sz w:val="20"/>
          <w:szCs w:val="20"/>
          <w:lang w:val="es-ES_tradnl"/>
          <w14:ligatures w14:val="standardContextual"/>
        </w:rPr>
        <w:t xml:space="preserve">De otro lado, </w:t>
      </w:r>
      <w:r w:rsidRPr="00F65E45">
        <w:rPr>
          <w:rFonts w:ascii="Verdana" w:eastAsia="Calibri" w:hAnsi="Verdana" w:cs="Arial"/>
          <w:i/>
          <w:iCs/>
          <w:sz w:val="20"/>
          <w:szCs w:val="20"/>
          <w:lang w:val="es-ES_tradnl"/>
          <w14:ligatures w14:val="standardContextual"/>
        </w:rPr>
        <w:t>el segundo</w:t>
      </w:r>
      <w:r w:rsidRPr="00F65E45">
        <w:rPr>
          <w:rFonts w:ascii="Verdana" w:eastAsia="Calibri" w:hAnsi="Verdana" w:cs="Arial"/>
          <w:sz w:val="20"/>
          <w:szCs w:val="20"/>
          <w:lang w:val="es-ES_tradnl"/>
          <w14:ligatures w14:val="standardContextual"/>
        </w:rPr>
        <w:t xml:space="preserve"> cambio importante de la Ley 1882 de 2018 fue la introducción de un criterio material, directamente relacionado con los aspectos subsanables: “</w:t>
      </w:r>
      <w:r w:rsidRPr="00F65E45">
        <w:rPr>
          <w:rFonts w:ascii="Verdana" w:hAnsi="Verdana" w:cs="Arial"/>
          <w:sz w:val="20"/>
          <w:szCs w:val="20"/>
          <w:lang w:val="es-ES_tradnl"/>
          <w14:ligatures w14:val="standardContextual"/>
        </w:rPr>
        <w:t xml:space="preserve">los proponentes no podrán acreditar circunstancias ocurridas con posterioridad al cierre del proceso”. Lo anterior ofrece dos aspectos que merecen clarificación; primero, qué debe entenderse por circunstancias ocurridas con posterioridad; y segundo, qué es el cierre del proceso. </w:t>
      </w:r>
    </w:p>
    <w:p w14:paraId="6795175E" w14:textId="77777777" w:rsidR="009546D7" w:rsidRPr="00F65E45" w:rsidRDefault="009546D7" w:rsidP="009546D7">
      <w:pPr>
        <w:spacing w:after="0" w:line="240" w:lineRule="auto"/>
        <w:contextualSpacing/>
        <w:jc w:val="both"/>
        <w:rPr>
          <w:rFonts w:ascii="Verdana" w:hAnsi="Verdana" w:cs="Arial"/>
          <w:sz w:val="20"/>
          <w:szCs w:val="20"/>
          <w:lang w:val="es-ES_tradnl"/>
          <w14:ligatures w14:val="standardContextual"/>
        </w:rPr>
      </w:pPr>
    </w:p>
    <w:p w14:paraId="5DAE4EE2" w14:textId="77777777" w:rsidR="009546D7" w:rsidRPr="00F65E45" w:rsidRDefault="009546D7" w:rsidP="009546D7">
      <w:pPr>
        <w:spacing w:after="0" w:line="240" w:lineRule="auto"/>
        <w:contextualSpacing/>
        <w:jc w:val="both"/>
        <w:rPr>
          <w:rFonts w:ascii="Verdana" w:hAnsi="Verdana" w:cs="Arial"/>
          <w:sz w:val="20"/>
          <w:szCs w:val="20"/>
          <w:lang w:val="es-ES_tradnl"/>
        </w:rPr>
      </w:pPr>
      <w:r w:rsidRPr="00F65E45">
        <w:rPr>
          <w:rFonts w:ascii="Verdana" w:hAnsi="Verdana" w:cs="Arial"/>
          <w:sz w:val="20"/>
          <w:szCs w:val="20"/>
          <w:lang w:val="es-ES_tradnl"/>
        </w:rPr>
        <w:t xml:space="preserve">[…] </w:t>
      </w:r>
    </w:p>
    <w:p w14:paraId="031516DC" w14:textId="77777777" w:rsidR="009546D7" w:rsidRPr="00F65E45" w:rsidRDefault="009546D7" w:rsidP="009546D7">
      <w:pPr>
        <w:spacing w:after="0" w:line="240" w:lineRule="auto"/>
        <w:contextualSpacing/>
        <w:jc w:val="both"/>
        <w:rPr>
          <w:rFonts w:ascii="Verdana" w:hAnsi="Verdana" w:cs="Arial"/>
          <w:sz w:val="20"/>
          <w:szCs w:val="20"/>
          <w:lang w:val="es-ES_tradnl"/>
        </w:rPr>
      </w:pPr>
    </w:p>
    <w:p w14:paraId="5B1AB8D5" w14:textId="77777777" w:rsidR="009546D7" w:rsidRPr="00F65E45" w:rsidRDefault="009546D7" w:rsidP="009546D7">
      <w:pPr>
        <w:spacing w:after="0" w:line="240" w:lineRule="auto"/>
        <w:contextualSpacing/>
        <w:jc w:val="both"/>
        <w:rPr>
          <w:rFonts w:ascii="Verdana" w:eastAsia="Calibri" w:hAnsi="Verdana" w:cs="Arial"/>
          <w:sz w:val="20"/>
          <w:szCs w:val="20"/>
          <w:lang w:val="es-ES_tradnl"/>
          <w14:ligatures w14:val="standardContextual"/>
        </w:rPr>
      </w:pPr>
      <w:r w:rsidRPr="00F65E45">
        <w:rPr>
          <w:rFonts w:ascii="Verdana" w:eastAsia="Calibri" w:hAnsi="Verdana" w:cs="Arial"/>
          <w:sz w:val="20"/>
          <w:szCs w:val="20"/>
          <w:lang w:val="es-ES_tradnl"/>
          <w14:ligatures w14:val="standardContextua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r w:rsidRPr="00F65E45">
        <w:rPr>
          <w:rFonts w:ascii="Verdana" w:eastAsia="Calibri" w:hAnsi="Verdana" w:cs="Arial"/>
          <w:sz w:val="20"/>
          <w:szCs w:val="20"/>
          <w:lang w:val="es-ES_tradnl"/>
        </w:rPr>
        <w:t>[…]”</w:t>
      </w:r>
    </w:p>
    <w:p w14:paraId="4556E448" w14:textId="77777777" w:rsidR="009546D7" w:rsidRPr="00F65E45" w:rsidRDefault="009546D7" w:rsidP="30821638">
      <w:pPr>
        <w:spacing w:after="0"/>
        <w:rPr>
          <w:rFonts w:ascii="Verdana" w:eastAsia="Verdana" w:hAnsi="Verdana" w:cs="Verdana"/>
        </w:rPr>
      </w:pPr>
    </w:p>
    <w:p w14:paraId="2B626276" w14:textId="77777777" w:rsidR="009546D7" w:rsidRPr="00F65E45" w:rsidRDefault="009546D7" w:rsidP="30821638">
      <w:pPr>
        <w:spacing w:after="0"/>
        <w:rPr>
          <w:rFonts w:ascii="Verdana" w:eastAsia="Verdana" w:hAnsi="Verdana" w:cs="Verdana"/>
        </w:rPr>
      </w:pPr>
    </w:p>
    <w:p w14:paraId="62EF727A" w14:textId="77777777" w:rsidR="0065591A" w:rsidRPr="00F65E45" w:rsidRDefault="0065591A" w:rsidP="30821638">
      <w:pPr>
        <w:spacing w:after="0"/>
        <w:rPr>
          <w:rFonts w:ascii="Verdana" w:eastAsia="Verdana" w:hAnsi="Verdana" w:cs="Verdana"/>
        </w:rPr>
      </w:pPr>
    </w:p>
    <w:p w14:paraId="1AC64DF8" w14:textId="5E972C05" w:rsidR="0065591A" w:rsidRPr="00F65E45" w:rsidRDefault="0065591A" w:rsidP="30821638">
      <w:pPr>
        <w:spacing w:after="0"/>
        <w:rPr>
          <w:rFonts w:ascii="Verdana" w:eastAsia="Verdana" w:hAnsi="Verdana" w:cs="Verdana"/>
        </w:rPr>
      </w:pPr>
    </w:p>
    <w:p w14:paraId="2CF66649" w14:textId="77777777" w:rsidR="00DD1487" w:rsidRPr="00F65E45" w:rsidRDefault="00DD1487" w:rsidP="30821638">
      <w:pPr>
        <w:spacing w:after="0"/>
        <w:rPr>
          <w:rFonts w:ascii="Verdana" w:eastAsia="Verdana" w:hAnsi="Verdana" w:cs="Verdana"/>
        </w:rPr>
      </w:pPr>
    </w:p>
    <w:p w14:paraId="476E81E9" w14:textId="77777777" w:rsidR="00DD1487" w:rsidRPr="00F65E45" w:rsidRDefault="00DD1487" w:rsidP="30821638">
      <w:pPr>
        <w:spacing w:after="0"/>
        <w:rPr>
          <w:rFonts w:ascii="Verdana" w:eastAsia="Verdana" w:hAnsi="Verdana" w:cs="Verdana"/>
        </w:rPr>
      </w:pPr>
    </w:p>
    <w:p w14:paraId="7BD9EBFE" w14:textId="77777777" w:rsidR="00DD1487" w:rsidRDefault="00DD1487" w:rsidP="30821638">
      <w:pPr>
        <w:spacing w:after="0"/>
        <w:rPr>
          <w:rFonts w:ascii="Verdana" w:eastAsia="Verdana" w:hAnsi="Verdana" w:cs="Verdana"/>
        </w:rPr>
      </w:pPr>
    </w:p>
    <w:p w14:paraId="2AAA2C31" w14:textId="77777777" w:rsidR="003607F4" w:rsidRPr="00F65E45" w:rsidRDefault="003607F4" w:rsidP="30821638">
      <w:pPr>
        <w:spacing w:after="0"/>
        <w:rPr>
          <w:rFonts w:ascii="Verdana" w:eastAsia="Verdana" w:hAnsi="Verdana" w:cs="Verdana"/>
        </w:rPr>
      </w:pPr>
    </w:p>
    <w:p w14:paraId="45FAA9C9" w14:textId="77777777" w:rsidR="0065591A" w:rsidRPr="00F65E45" w:rsidRDefault="0065591A" w:rsidP="30821638">
      <w:pPr>
        <w:spacing w:after="0"/>
        <w:rPr>
          <w:rFonts w:ascii="Verdana" w:eastAsia="Verdana" w:hAnsi="Verdana" w:cs="Verdana"/>
        </w:rPr>
      </w:pPr>
    </w:p>
    <w:p w14:paraId="7030C97B" w14:textId="77777777" w:rsidR="0065591A" w:rsidRPr="00F65E45" w:rsidRDefault="0065591A" w:rsidP="30821638">
      <w:pPr>
        <w:spacing w:after="0"/>
        <w:rPr>
          <w:rFonts w:ascii="Verdana" w:eastAsia="Verdana" w:hAnsi="Verdana" w:cs="Verdana"/>
        </w:rPr>
      </w:pPr>
    </w:p>
    <w:p w14:paraId="3CE0C106" w14:textId="77777777" w:rsidR="0065591A" w:rsidRPr="00F65E45" w:rsidRDefault="0065591A" w:rsidP="30821638">
      <w:pPr>
        <w:spacing w:after="0"/>
        <w:rPr>
          <w:rFonts w:ascii="Verdana" w:eastAsia="Verdana" w:hAnsi="Verdana" w:cs="Verdana"/>
        </w:rPr>
      </w:pPr>
    </w:p>
    <w:p w14:paraId="1468C46D" w14:textId="74EAC98B" w:rsidR="00C15139" w:rsidRDefault="00C15139" w:rsidP="30821638">
      <w:pPr>
        <w:spacing w:after="0"/>
        <w:rPr>
          <w:rFonts w:ascii="Verdana" w:hAnsi="Verdana"/>
        </w:rPr>
      </w:pPr>
      <w:r w:rsidRPr="00F65E45">
        <w:rPr>
          <w:rFonts w:ascii="Verdana" w:eastAsia="Verdana" w:hAnsi="Verdana" w:cs="Verdana"/>
        </w:rPr>
        <w:lastRenderedPageBreak/>
        <w:t>Bogotá D.C.</w:t>
      </w:r>
      <w:r w:rsidR="00156870" w:rsidRPr="00F65E45">
        <w:rPr>
          <w:rFonts w:ascii="Verdana" w:eastAsia="Verdana" w:hAnsi="Verdana" w:cs="Verdana"/>
        </w:rPr>
        <w:t>,</w:t>
      </w:r>
      <w:r w:rsidR="00156870">
        <w:rPr>
          <w:rFonts w:ascii="Verdana" w:eastAsia="Verdana" w:hAnsi="Verdana" w:cs="Verdana"/>
        </w:rPr>
        <w:t xml:space="preserve"> 25</w:t>
      </w:r>
      <w:r w:rsidR="005E1029">
        <w:rPr>
          <w:rFonts w:ascii="Verdana" w:eastAsia="Verdana" w:hAnsi="Verdana" w:cs="Verdana"/>
        </w:rPr>
        <w:t xml:space="preserve"> de junio del 2026</w:t>
      </w:r>
      <w:r w:rsidRPr="00F65E45">
        <w:rPr>
          <w:rFonts w:ascii="Verdana" w:hAnsi="Verdana"/>
        </w:rPr>
        <w:tab/>
      </w:r>
    </w:p>
    <w:p w14:paraId="15DF2060" w14:textId="77777777" w:rsidR="003607F4" w:rsidRDefault="003607F4" w:rsidP="30821638">
      <w:pPr>
        <w:spacing w:after="0"/>
        <w:rPr>
          <w:rFonts w:ascii="Verdana" w:hAnsi="Verdana"/>
        </w:rPr>
      </w:pPr>
    </w:p>
    <w:p w14:paraId="42DCABA6" w14:textId="08F90BC5" w:rsidR="003607F4" w:rsidRDefault="003607F4" w:rsidP="003607F4">
      <w:pPr>
        <w:spacing w:after="0"/>
        <w:jc w:val="right"/>
        <w:rPr>
          <w:rFonts w:ascii="Verdana" w:hAnsi="Verdana"/>
        </w:rPr>
      </w:pPr>
      <w:r w:rsidRPr="003607F4">
        <w:rPr>
          <w:rFonts w:ascii="Verdana" w:hAnsi="Verdana"/>
        </w:rPr>
        <w:drawing>
          <wp:inline distT="0" distB="0" distL="0" distR="0" wp14:anchorId="5545441B" wp14:editId="62FE19D3">
            <wp:extent cx="2609850" cy="819150"/>
            <wp:effectExtent l="0" t="0" r="0" b="0"/>
            <wp:docPr id="5499057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905746" name=""/>
                    <pic:cNvPicPr/>
                  </pic:nvPicPr>
                  <pic:blipFill>
                    <a:blip r:embed="rId10"/>
                    <a:stretch>
                      <a:fillRect/>
                    </a:stretch>
                  </pic:blipFill>
                  <pic:spPr>
                    <a:xfrm>
                      <a:off x="0" y="0"/>
                      <a:ext cx="2610227" cy="819268"/>
                    </a:xfrm>
                    <a:prstGeom prst="rect">
                      <a:avLst/>
                    </a:prstGeom>
                  </pic:spPr>
                </pic:pic>
              </a:graphicData>
            </a:graphic>
          </wp:inline>
        </w:drawing>
      </w:r>
    </w:p>
    <w:p w14:paraId="1253817F" w14:textId="6947279F" w:rsidR="0019497E" w:rsidRPr="00F65E45" w:rsidRDefault="00076E1A" w:rsidP="0019497E">
      <w:pPr>
        <w:spacing w:after="0" w:line="240" w:lineRule="auto"/>
        <w:rPr>
          <w:rFonts w:ascii="Verdana" w:hAnsi="Verdana"/>
        </w:rPr>
      </w:pPr>
      <w:r w:rsidRPr="00F65E45">
        <w:rPr>
          <w:rFonts w:ascii="Verdana" w:eastAsia="Calibri" w:hAnsi="Verdana" w:cs="Arial"/>
          <w:color w:val="000000" w:themeColor="text1"/>
          <w:lang w:val="es-ES" w:eastAsia="es-ES"/>
        </w:rPr>
        <w:t>S</w:t>
      </w:r>
      <w:r w:rsidR="0019497E" w:rsidRPr="00F65E45">
        <w:rPr>
          <w:rFonts w:ascii="Verdana" w:eastAsia="Calibri" w:hAnsi="Verdana" w:cs="Arial"/>
          <w:color w:val="000000" w:themeColor="text1"/>
          <w:lang w:val="es-ES" w:eastAsia="es-ES"/>
        </w:rPr>
        <w:t>eñor:</w:t>
      </w:r>
    </w:p>
    <w:p w14:paraId="289BAB92" w14:textId="1A6447B1" w:rsidR="0019497E" w:rsidRPr="00F65E45" w:rsidRDefault="00954535" w:rsidP="0019497E">
      <w:pPr>
        <w:spacing w:after="0" w:line="240" w:lineRule="auto"/>
        <w:jc w:val="both"/>
        <w:rPr>
          <w:rFonts w:ascii="Verdana" w:eastAsia="Calibri" w:hAnsi="Verdana" w:cs="Arial"/>
          <w:b/>
          <w:bCs/>
          <w:color w:val="000000" w:themeColor="text1"/>
          <w:lang w:eastAsia="es-ES"/>
        </w:rPr>
      </w:pPr>
      <w:r w:rsidRPr="00F65E45">
        <w:rPr>
          <w:rFonts w:ascii="Verdana" w:eastAsia="Calibri" w:hAnsi="Verdana" w:cs="Arial"/>
          <w:b/>
          <w:bCs/>
          <w:color w:val="000000" w:themeColor="text1"/>
          <w:lang w:eastAsia="es-ES"/>
        </w:rPr>
        <w:t xml:space="preserve">Diego Mauricio López Ortiz </w:t>
      </w:r>
    </w:p>
    <w:p w14:paraId="29BE9DCE" w14:textId="377C5BD5" w:rsidR="00E2674C" w:rsidRPr="00F65E45" w:rsidRDefault="00E2674C" w:rsidP="0019497E">
      <w:pPr>
        <w:spacing w:after="0" w:line="240" w:lineRule="auto"/>
        <w:rPr>
          <w:rFonts w:ascii="Verdana" w:hAnsi="Verdana"/>
        </w:rPr>
      </w:pPr>
      <w:hyperlink r:id="rId11" w:history="1">
        <w:r w:rsidRPr="00F65E45">
          <w:rPr>
            <w:rStyle w:val="Hipervnculo"/>
            <w:rFonts w:ascii="Verdana" w:hAnsi="Verdana"/>
          </w:rPr>
          <w:t>comercial@granimagen.com</w:t>
        </w:r>
      </w:hyperlink>
    </w:p>
    <w:p w14:paraId="0164EF7C" w14:textId="3F869994" w:rsidR="0019497E" w:rsidRPr="00F65E45" w:rsidRDefault="0019497E" w:rsidP="0019497E">
      <w:pPr>
        <w:spacing w:after="0" w:line="240" w:lineRule="auto"/>
        <w:rPr>
          <w:rFonts w:ascii="Verdana" w:eastAsia="Calibri" w:hAnsi="Verdana" w:cs="Arial"/>
          <w:color w:val="000000" w:themeColor="text1"/>
          <w:lang w:val="es-ES_tradnl" w:eastAsia="es-ES"/>
        </w:rPr>
      </w:pPr>
      <w:r w:rsidRPr="00F65E45">
        <w:rPr>
          <w:rFonts w:ascii="Verdana" w:eastAsia="Calibri" w:hAnsi="Verdana" w:cs="Arial"/>
          <w:color w:val="000000" w:themeColor="text1"/>
          <w:lang w:val="es-ES_tradnl" w:eastAsia="es-ES"/>
        </w:rPr>
        <w:t>Bogotá D.C.</w:t>
      </w:r>
    </w:p>
    <w:p w14:paraId="1844221E" w14:textId="77777777" w:rsidR="0019497E" w:rsidRPr="00F65E45" w:rsidRDefault="0019497E" w:rsidP="0019497E">
      <w:pPr>
        <w:spacing w:after="0" w:line="240" w:lineRule="auto"/>
        <w:rPr>
          <w:rFonts w:ascii="Verdana" w:eastAsia="Calibri" w:hAnsi="Verdana" w:cs="Arial"/>
          <w:b/>
          <w:bCs/>
          <w:color w:val="000000" w:themeColor="text1"/>
          <w:highlight w:val="cyan"/>
          <w:lang w:val="es-ES_tradnl" w:eastAsia="es-ES_tradnl"/>
        </w:rPr>
      </w:pPr>
    </w:p>
    <w:p w14:paraId="08DDA9FA" w14:textId="4B684396" w:rsidR="0019497E" w:rsidRPr="00F65E45" w:rsidRDefault="0019497E" w:rsidP="0019497E">
      <w:pPr>
        <w:spacing w:after="0" w:line="240" w:lineRule="auto"/>
        <w:rPr>
          <w:rFonts w:ascii="Verdana" w:eastAsia="Calibri" w:hAnsi="Verdana" w:cs="Arial"/>
          <w:b/>
          <w:bCs/>
          <w:color w:val="000000" w:themeColor="text1"/>
          <w:lang w:val="es-ES_tradnl" w:eastAsia="es-ES_tradnl"/>
        </w:rPr>
      </w:pPr>
      <w:r w:rsidRPr="00F65E45">
        <w:rPr>
          <w:rFonts w:ascii="Verdana" w:eastAsia="Calibri" w:hAnsi="Verdana" w:cs="Arial"/>
          <w:b/>
          <w:bCs/>
          <w:color w:val="000000" w:themeColor="text1"/>
          <w:lang w:val="es-ES_tradnl" w:eastAsia="es-ES_tradnl"/>
        </w:rPr>
        <w:t xml:space="preserve">                                   Concepto </w:t>
      </w:r>
      <w:r w:rsidR="009D5DB7" w:rsidRPr="00F65E45">
        <w:rPr>
          <w:rFonts w:ascii="Verdana" w:eastAsia="Calibri" w:hAnsi="Verdana" w:cs="Arial"/>
          <w:b/>
          <w:bCs/>
          <w:color w:val="000000" w:themeColor="text1"/>
          <w:lang w:val="es-ES_tradnl" w:eastAsia="es-ES_tradnl"/>
        </w:rPr>
        <w:t xml:space="preserve">C-832 </w:t>
      </w:r>
      <w:r w:rsidRPr="00F65E45">
        <w:rPr>
          <w:rFonts w:ascii="Verdana" w:eastAsia="Calibri" w:hAnsi="Verdana" w:cs="Arial"/>
          <w:b/>
          <w:bCs/>
          <w:color w:val="000000" w:themeColor="text1"/>
          <w:lang w:val="es-ES_tradnl" w:eastAsia="es-ES_tradnl"/>
        </w:rPr>
        <w:t>del 2026</w:t>
      </w:r>
    </w:p>
    <w:p w14:paraId="3ACE88F7" w14:textId="77777777" w:rsidR="0019497E" w:rsidRPr="00F65E45" w:rsidRDefault="0019497E" w:rsidP="0019497E">
      <w:pPr>
        <w:spacing w:after="0" w:line="240" w:lineRule="auto"/>
        <w:rPr>
          <w:rFonts w:ascii="Verdana" w:eastAsia="Calibri" w:hAnsi="Verdana" w:cs="Arial"/>
          <w:b/>
          <w:bCs/>
          <w:color w:val="000000" w:themeColor="text1"/>
          <w:highlight w:val="cyan"/>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9497E" w:rsidRPr="00F65E45" w14:paraId="06E49420" w14:textId="77777777" w:rsidTr="00ED4B75">
        <w:trPr>
          <w:trHeight w:val="884"/>
        </w:trPr>
        <w:tc>
          <w:tcPr>
            <w:tcW w:w="2689" w:type="dxa"/>
          </w:tcPr>
          <w:p w14:paraId="20694336" w14:textId="77777777" w:rsidR="0019497E" w:rsidRPr="00F65E45" w:rsidRDefault="0019497E" w:rsidP="00ED4B75">
            <w:pPr>
              <w:jc w:val="both"/>
              <w:rPr>
                <w:rFonts w:ascii="Verdana" w:eastAsia="Calibri" w:hAnsi="Verdana" w:cs="Arial"/>
                <w:color w:val="000000" w:themeColor="text1"/>
                <w:lang w:val="es-ES_tradnl" w:eastAsia="es-ES_tradnl"/>
              </w:rPr>
            </w:pPr>
            <w:r w:rsidRPr="00F65E45">
              <w:rPr>
                <w:rFonts w:ascii="Verdana" w:eastAsia="Calibri" w:hAnsi="Verdana" w:cs="Arial"/>
                <w:b/>
                <w:color w:val="000000" w:themeColor="text1"/>
                <w:lang w:val="es-ES_tradnl" w:eastAsia="es-ES_tradnl"/>
              </w:rPr>
              <w:t>Temas:</w:t>
            </w:r>
            <w:r w:rsidRPr="00F65E45">
              <w:rPr>
                <w:rFonts w:ascii="Verdana" w:eastAsia="Calibri" w:hAnsi="Verdana" w:cs="Arial"/>
                <w:color w:val="000000" w:themeColor="text1"/>
                <w:lang w:val="es-ES_tradnl" w:eastAsia="es-ES_tradnl"/>
              </w:rPr>
              <w:t xml:space="preserve">                   </w:t>
            </w:r>
          </w:p>
        </w:tc>
        <w:tc>
          <w:tcPr>
            <w:tcW w:w="6100" w:type="dxa"/>
          </w:tcPr>
          <w:p w14:paraId="311B7F04" w14:textId="053391AF" w:rsidR="0019497E" w:rsidRPr="00F65E45" w:rsidRDefault="008572C6" w:rsidP="00ED4B75">
            <w:pPr>
              <w:spacing w:line="276" w:lineRule="auto"/>
              <w:jc w:val="both"/>
              <w:rPr>
                <w:rFonts w:ascii="Verdana" w:eastAsia="Aptos" w:hAnsi="Verdana" w:cs="Times New Roman"/>
              </w:rPr>
            </w:pPr>
            <w:r w:rsidRPr="00F65E45">
              <w:rPr>
                <w:rFonts w:ascii="Verdana" w:eastAsia="Calibri" w:hAnsi="Verdana" w:cs="Arial"/>
                <w:lang w:val="es-MX" w:eastAsia="es-ES_tradnl"/>
                <w14:ligatures w14:val="standardContextual"/>
              </w:rPr>
              <w:t>SUBSANABILIDAD DE LAS OFERTAS – Alcance de la regla – Ley 1882 de 2018– Ámbito temporal – Criterio material</w:t>
            </w:r>
          </w:p>
        </w:tc>
      </w:tr>
      <w:tr w:rsidR="0019497E" w:rsidRPr="00F65E45" w14:paraId="31732B67" w14:textId="77777777" w:rsidTr="00ED4B75">
        <w:tc>
          <w:tcPr>
            <w:tcW w:w="2689" w:type="dxa"/>
          </w:tcPr>
          <w:p w14:paraId="0A133C2C" w14:textId="77777777" w:rsidR="0019497E" w:rsidRPr="00F65E45" w:rsidRDefault="0019497E" w:rsidP="00ED4B75">
            <w:pPr>
              <w:jc w:val="both"/>
              <w:rPr>
                <w:rFonts w:ascii="Verdana" w:eastAsia="Calibri" w:hAnsi="Verdana" w:cs="Arial"/>
                <w:b/>
                <w:color w:val="000000" w:themeColor="text1"/>
                <w:lang w:val="es-ES_tradnl" w:eastAsia="es-ES_tradnl"/>
              </w:rPr>
            </w:pPr>
            <w:r w:rsidRPr="00F65E45">
              <w:rPr>
                <w:rFonts w:ascii="Verdana" w:eastAsia="Calibri" w:hAnsi="Verdana" w:cs="Arial"/>
                <w:b/>
                <w:color w:val="000000" w:themeColor="text1"/>
                <w:lang w:val="es-ES_tradnl" w:eastAsia="es-ES_tradnl"/>
              </w:rPr>
              <w:t>Radicación:</w:t>
            </w:r>
            <w:r w:rsidRPr="00F65E45">
              <w:rPr>
                <w:rFonts w:ascii="Verdana" w:eastAsia="Calibri" w:hAnsi="Verdana" w:cs="Arial"/>
                <w:color w:val="000000" w:themeColor="text1"/>
                <w:lang w:val="es-ES_tradnl" w:eastAsia="es-ES_tradnl"/>
              </w:rPr>
              <w:t xml:space="preserve">               </w:t>
            </w:r>
          </w:p>
        </w:tc>
        <w:tc>
          <w:tcPr>
            <w:tcW w:w="6100" w:type="dxa"/>
          </w:tcPr>
          <w:p w14:paraId="1EF82A15" w14:textId="66B48185" w:rsidR="0019497E" w:rsidRPr="00F65E45" w:rsidRDefault="0019497E" w:rsidP="00ED4B75">
            <w:pPr>
              <w:spacing w:line="276" w:lineRule="auto"/>
              <w:jc w:val="both"/>
              <w:rPr>
                <w:rFonts w:ascii="Verdana" w:eastAsia="Calibri" w:hAnsi="Verdana" w:cs="Arial"/>
                <w:color w:val="000000" w:themeColor="text1"/>
                <w:lang w:eastAsia="es-ES_tradnl"/>
              </w:rPr>
            </w:pPr>
            <w:r w:rsidRPr="00F65E45">
              <w:rPr>
                <w:rFonts w:ascii="Verdana" w:eastAsia="Calibri" w:hAnsi="Verdana" w:cs="Arial"/>
                <w:color w:val="000000" w:themeColor="text1"/>
                <w:lang w:val="es-ES_tradnl" w:eastAsia="es-ES_tradnl"/>
              </w:rPr>
              <w:t>Respuesta a consulta con radicado No.</w:t>
            </w:r>
            <w:r w:rsidRPr="00F65E45">
              <w:rPr>
                <w:rFonts w:ascii="Verdana" w:hAnsi="Verdana"/>
              </w:rPr>
              <w:t xml:space="preserve"> </w:t>
            </w:r>
            <w:r w:rsidR="008F37C6" w:rsidRPr="00F65E45">
              <w:rPr>
                <w:rFonts w:ascii="Verdana" w:hAnsi="Verdana"/>
              </w:rPr>
              <w:t>1_2026_05_14_006527</w:t>
            </w:r>
          </w:p>
        </w:tc>
      </w:tr>
    </w:tbl>
    <w:p w14:paraId="2A54E05B" w14:textId="77777777" w:rsidR="0019497E" w:rsidRPr="00F65E45" w:rsidRDefault="0019497E" w:rsidP="0019497E">
      <w:pPr>
        <w:spacing w:after="0" w:line="276" w:lineRule="auto"/>
        <w:jc w:val="both"/>
        <w:rPr>
          <w:rFonts w:ascii="Verdana" w:eastAsia="Calibri" w:hAnsi="Verdana" w:cs="Arial"/>
          <w:color w:val="000000" w:themeColor="text1"/>
          <w:highlight w:val="cyan"/>
          <w:lang w:val="es-ES" w:eastAsia="es-ES"/>
        </w:rPr>
      </w:pPr>
    </w:p>
    <w:p w14:paraId="152FBB4C" w14:textId="6AA47B49" w:rsidR="0019497E" w:rsidRPr="00F65E45" w:rsidRDefault="0019497E" w:rsidP="0019497E">
      <w:pPr>
        <w:spacing w:after="0" w:line="276" w:lineRule="auto"/>
        <w:jc w:val="both"/>
        <w:rPr>
          <w:rFonts w:ascii="Verdana" w:eastAsia="Calibri" w:hAnsi="Verdana" w:cs="Arial"/>
          <w:color w:val="000000" w:themeColor="text1"/>
          <w:lang w:val="es-ES" w:eastAsia="es-ES"/>
        </w:rPr>
      </w:pPr>
      <w:r w:rsidRPr="00F65E45">
        <w:rPr>
          <w:rFonts w:ascii="Verdana" w:eastAsia="Calibri" w:hAnsi="Verdana" w:cs="Arial"/>
          <w:color w:val="000000" w:themeColor="text1"/>
          <w:lang w:val="es-ES" w:eastAsia="es-ES"/>
        </w:rPr>
        <w:t>Estimad</w:t>
      </w:r>
      <w:r w:rsidR="00954535" w:rsidRPr="00F65E45">
        <w:rPr>
          <w:rFonts w:ascii="Verdana" w:eastAsia="Calibri" w:hAnsi="Verdana" w:cs="Arial"/>
          <w:color w:val="000000" w:themeColor="text1"/>
          <w:lang w:val="es-ES" w:eastAsia="es-ES"/>
        </w:rPr>
        <w:t>o</w:t>
      </w:r>
      <w:r w:rsidRPr="00F65E45">
        <w:rPr>
          <w:rFonts w:ascii="Verdana" w:eastAsia="Calibri" w:hAnsi="Verdana" w:cs="Arial"/>
          <w:color w:val="000000" w:themeColor="text1"/>
          <w:lang w:val="es-ES" w:eastAsia="es-ES"/>
        </w:rPr>
        <w:t xml:space="preserve"> señor </w:t>
      </w:r>
      <w:r w:rsidR="00954535" w:rsidRPr="00F65E45">
        <w:rPr>
          <w:rFonts w:ascii="Verdana" w:eastAsia="Calibri" w:hAnsi="Verdana" w:cs="Arial"/>
          <w:color w:val="000000" w:themeColor="text1"/>
          <w:lang w:eastAsia="es-ES"/>
        </w:rPr>
        <w:t>López</w:t>
      </w:r>
      <w:r w:rsidRPr="00F65E45">
        <w:rPr>
          <w:rFonts w:ascii="Verdana" w:eastAsia="Calibri" w:hAnsi="Verdana" w:cs="Arial"/>
          <w:color w:val="000000" w:themeColor="text1"/>
          <w:lang w:val="es-ES" w:eastAsia="es-ES"/>
        </w:rPr>
        <w:t xml:space="preserve">: </w:t>
      </w:r>
    </w:p>
    <w:p w14:paraId="6330FF3A" w14:textId="77777777" w:rsidR="0019497E" w:rsidRPr="00F65E45" w:rsidRDefault="0019497E" w:rsidP="0019497E">
      <w:pPr>
        <w:spacing w:after="0" w:line="276" w:lineRule="auto"/>
        <w:rPr>
          <w:rFonts w:ascii="Verdana" w:eastAsia="Times New Roman" w:hAnsi="Verdana" w:cs="Segoe UI"/>
          <w:lang w:eastAsia="es-CO"/>
        </w:rPr>
      </w:pPr>
    </w:p>
    <w:p w14:paraId="69BC477F" w14:textId="24809DAC" w:rsidR="0019497E" w:rsidRPr="00F65E45" w:rsidRDefault="0019497E" w:rsidP="0019497E">
      <w:pPr>
        <w:spacing w:after="0" w:line="276" w:lineRule="auto"/>
        <w:jc w:val="both"/>
        <w:rPr>
          <w:rFonts w:ascii="Verdana" w:eastAsia="Calibri" w:hAnsi="Verdana" w:cs="Arial"/>
          <w:lang w:val="es-ES" w:eastAsia="es-ES"/>
        </w:rPr>
      </w:pPr>
      <w:r w:rsidRPr="00F65E45">
        <w:rPr>
          <w:rFonts w:ascii="Verdana" w:eastAsia="Calibri" w:hAnsi="Verdana" w:cs="Arial"/>
          <w:lang w:val="es-ES" w:eastAsia="es-ES"/>
        </w:rPr>
        <w:t>En ejercicio de la competencia otorgada por los artículos 3, numeral 5º, y 11, numeral 8º, del Decreto Ley 4170 de 2011,</w:t>
      </w:r>
      <w:r w:rsidRPr="00F65E45">
        <w:rPr>
          <w:rFonts w:ascii="Verdana" w:eastAsia="Arial MT" w:hAnsi="Verdana" w:cs="Arial"/>
          <w:lang w:val="es-ES" w:eastAsia="es-ES"/>
        </w:rPr>
        <w:t xml:space="preserve"> </w:t>
      </w:r>
      <w:r w:rsidRPr="00F65E45">
        <w:rPr>
          <w:rFonts w:ascii="Verdana" w:hAnsi="Verdana" w:cs="Arial"/>
        </w:rPr>
        <w:t xml:space="preserve">así como lo establecido en el artículo 4 de la Resolución 1707 de 2018 expedida por esta Entidad, </w:t>
      </w:r>
      <w:r w:rsidRPr="00F65E45">
        <w:rPr>
          <w:rFonts w:ascii="Verdana" w:eastAsia="Calibri" w:hAnsi="Verdana" w:cs="Arial"/>
          <w:lang w:val="es-ES" w:eastAsia="es-ES"/>
        </w:rPr>
        <w:t xml:space="preserve">la Agencia Nacional de Contratación Pública – Colombia Compra Eficiente– responde su solicitud radicada el </w:t>
      </w:r>
      <w:r w:rsidR="009B7F87" w:rsidRPr="00F65E45">
        <w:rPr>
          <w:rFonts w:ascii="Verdana" w:eastAsia="Calibri" w:hAnsi="Verdana" w:cs="Arial"/>
          <w:lang w:val="es-ES" w:eastAsia="es-ES"/>
        </w:rPr>
        <w:t>14 de mayo del 2026</w:t>
      </w:r>
      <w:r w:rsidRPr="00F65E45">
        <w:rPr>
          <w:rFonts w:ascii="Verdana" w:eastAsia="Calibri" w:hAnsi="Verdana" w:cs="Arial"/>
          <w:lang w:val="es-ES" w:eastAsia="es-ES"/>
        </w:rPr>
        <w:t xml:space="preserve">, en la cual manifiesta lo siguiente: </w:t>
      </w:r>
    </w:p>
    <w:p w14:paraId="770FB930" w14:textId="77777777" w:rsidR="0019497E" w:rsidRPr="00F65E45" w:rsidRDefault="0019497E" w:rsidP="0019497E">
      <w:pPr>
        <w:spacing w:after="0" w:line="276" w:lineRule="auto"/>
        <w:jc w:val="both"/>
        <w:rPr>
          <w:rFonts w:ascii="Verdana" w:eastAsia="Calibri" w:hAnsi="Verdana" w:cs="Arial"/>
          <w:highlight w:val="cyan"/>
          <w:lang w:val="es-ES" w:eastAsia="es-ES"/>
        </w:rPr>
      </w:pPr>
    </w:p>
    <w:p w14:paraId="039F3D36" w14:textId="4DE8A8B3" w:rsidR="0019497E" w:rsidRPr="00F65E45" w:rsidRDefault="0019497E" w:rsidP="006B0E23">
      <w:pPr>
        <w:spacing w:after="0" w:line="240" w:lineRule="auto"/>
        <w:ind w:left="709" w:right="709"/>
        <w:jc w:val="both"/>
        <w:rPr>
          <w:rFonts w:ascii="Verdana" w:eastAsia="Century Gothic" w:hAnsi="Verdana" w:cs="Arial"/>
          <w:sz w:val="20"/>
          <w:szCs w:val="20"/>
        </w:rPr>
      </w:pPr>
      <w:r w:rsidRPr="00F65E45">
        <w:rPr>
          <w:rFonts w:ascii="Verdana" w:eastAsia="Century Gothic" w:hAnsi="Verdana" w:cs="Arial"/>
          <w:sz w:val="20"/>
          <w:szCs w:val="20"/>
          <w:lang w:val="es-ES"/>
        </w:rPr>
        <w:t xml:space="preserve">“[…] </w:t>
      </w:r>
      <w:r w:rsidR="006B0E23" w:rsidRPr="00F65E45">
        <w:rPr>
          <w:rFonts w:ascii="Verdana" w:eastAsia="Century Gothic" w:hAnsi="Verdana" w:cs="Arial"/>
          <w:sz w:val="20"/>
          <w:szCs w:val="20"/>
        </w:rPr>
        <w:t>Emitir concepto técnico sobre la validez de plazos de subsanación que no son publicados de manera expresa y visible en la plataforma SECOP II.</w:t>
      </w:r>
      <w:r w:rsidR="006B0E23" w:rsidRPr="00F65E45">
        <w:rPr>
          <w:rFonts w:ascii="Verdana" w:eastAsia="Century Gothic" w:hAnsi="Verdana" w:cs="Arial"/>
          <w:sz w:val="20"/>
          <w:szCs w:val="20"/>
          <w:lang w:val="es-ES"/>
        </w:rPr>
        <w:t xml:space="preserve"> […]</w:t>
      </w:r>
    </w:p>
    <w:p w14:paraId="2477C97D" w14:textId="77777777" w:rsidR="0019497E" w:rsidRPr="00F65E45" w:rsidRDefault="0019497E" w:rsidP="0019497E">
      <w:pPr>
        <w:spacing w:after="0"/>
        <w:jc w:val="both"/>
        <w:rPr>
          <w:rFonts w:ascii="Verdana" w:hAnsi="Verdana" w:cs="Arial"/>
          <w:highlight w:val="cyan"/>
          <w:lang w:val="es-ES"/>
        </w:rPr>
      </w:pPr>
    </w:p>
    <w:p w14:paraId="2279983A" w14:textId="77777777" w:rsidR="0019497E" w:rsidRPr="00F65E45" w:rsidRDefault="0019497E" w:rsidP="0019497E">
      <w:pPr>
        <w:spacing w:after="120" w:line="276" w:lineRule="auto"/>
        <w:ind w:firstLine="709"/>
        <w:jc w:val="both"/>
        <w:rPr>
          <w:rFonts w:ascii="Verdana" w:eastAsia="Calibri" w:hAnsi="Verdana" w:cs="Arial"/>
          <w:color w:val="000000"/>
          <w:lang w:val="es-ES_tradnl" w:eastAsia="es-ES_tradnl"/>
        </w:rPr>
      </w:pPr>
      <w:r w:rsidRPr="00F65E45">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w:t>
      </w:r>
      <w:r w:rsidRPr="00F65E45">
        <w:rPr>
          <w:rFonts w:ascii="Verdana" w:eastAsia="Calibri" w:hAnsi="Verdana" w:cs="Arial"/>
          <w:color w:val="000000"/>
          <w:lang w:val="es-ES" w:eastAsia="es-ES"/>
        </w:rPr>
        <w:lastRenderedPageBreak/>
        <w:t>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2DD1BE6A" w14:textId="77777777" w:rsidR="0019497E" w:rsidRPr="00F65E45" w:rsidRDefault="0019497E" w:rsidP="0019497E">
      <w:pPr>
        <w:spacing w:after="0" w:line="276" w:lineRule="auto"/>
        <w:ind w:firstLine="709"/>
        <w:jc w:val="both"/>
        <w:rPr>
          <w:rFonts w:ascii="Verdana" w:eastAsia="Calibri" w:hAnsi="Verdana" w:cs="Arial"/>
          <w:color w:val="000000"/>
          <w:lang w:val="es-ES" w:eastAsia="es-ES"/>
        </w:rPr>
      </w:pPr>
      <w:r w:rsidRPr="00F65E45">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282BE13" w14:textId="77777777" w:rsidR="0019497E" w:rsidRPr="00F65E45" w:rsidRDefault="0019497E" w:rsidP="0019497E">
      <w:pPr>
        <w:spacing w:after="0" w:line="276" w:lineRule="auto"/>
        <w:jc w:val="both"/>
        <w:rPr>
          <w:rStyle w:val="Hipervnculo"/>
          <w:rFonts w:ascii="Verdana" w:hAnsi="Verdana"/>
          <w:highlight w:val="cyan"/>
          <w:u w:val="none"/>
          <w:lang w:val="es-ES"/>
        </w:rPr>
      </w:pPr>
    </w:p>
    <w:p w14:paraId="4CC2C960" w14:textId="77777777" w:rsidR="0019497E" w:rsidRPr="00F65E45" w:rsidRDefault="0019497E" w:rsidP="0019497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Arial"/>
          <w:b/>
          <w:bCs/>
        </w:rPr>
      </w:pPr>
      <w:r w:rsidRPr="00F65E45">
        <w:rPr>
          <w:rFonts w:ascii="Verdana" w:eastAsia="Century Gothic" w:hAnsi="Verdana" w:cs="Arial"/>
          <w:b/>
          <w:bCs/>
        </w:rPr>
        <w:t>Problemas planteados:</w:t>
      </w:r>
    </w:p>
    <w:p w14:paraId="67B445FC" w14:textId="77777777" w:rsidR="0019497E" w:rsidRPr="00F65E45" w:rsidRDefault="0019497E" w:rsidP="0019497E">
      <w:pPr>
        <w:spacing w:after="0" w:line="276" w:lineRule="auto"/>
        <w:jc w:val="both"/>
        <w:rPr>
          <w:rStyle w:val="Hipervnculo"/>
          <w:rFonts w:ascii="Verdana" w:hAnsi="Verdana" w:cs="Arial"/>
          <w:highlight w:val="cyan"/>
        </w:rPr>
      </w:pPr>
    </w:p>
    <w:p w14:paraId="09EDB3C9" w14:textId="591801D8" w:rsidR="0019497E" w:rsidRPr="00F65E45" w:rsidRDefault="0019497E" w:rsidP="0019497E">
      <w:pPr>
        <w:spacing w:after="0" w:line="276" w:lineRule="auto"/>
        <w:jc w:val="both"/>
        <w:rPr>
          <w:rFonts w:ascii="Verdana" w:eastAsia="Century Gothic" w:hAnsi="Verdana" w:cs="Century Gothic"/>
          <w:color w:val="000000" w:themeColor="text1"/>
        </w:rPr>
      </w:pPr>
      <w:r w:rsidRPr="00F65E45">
        <w:rPr>
          <w:rFonts w:ascii="Verdana" w:eastAsia="Century Gothic" w:hAnsi="Verdana" w:cs="Arial"/>
        </w:rPr>
        <w:t xml:space="preserve">De acuerdo con el contenido de su solicitud, esta Agencia resolverá el siguiente problema jurídico: </w:t>
      </w:r>
      <w:r w:rsidR="000159EC" w:rsidRPr="00F65E45">
        <w:rPr>
          <w:rFonts w:ascii="Verdana" w:eastAsia="Century Gothic" w:hAnsi="Verdana" w:cs="Century Gothic"/>
        </w:rPr>
        <w:t>¿En qué términos y dentro de qué plazos procede la subsanación de las ofertas presentadas en un proceso de contratación pública?</w:t>
      </w:r>
    </w:p>
    <w:p w14:paraId="7F16D452" w14:textId="77777777" w:rsidR="0019497E" w:rsidRPr="00F65E45" w:rsidRDefault="0019497E" w:rsidP="0019497E">
      <w:pPr>
        <w:spacing w:after="0" w:line="276" w:lineRule="auto"/>
        <w:jc w:val="both"/>
        <w:rPr>
          <w:rStyle w:val="Hipervnculo"/>
          <w:rFonts w:ascii="Verdana" w:hAnsi="Verdana" w:cs="Arial"/>
          <w:highlight w:val="cyan"/>
        </w:rPr>
      </w:pPr>
    </w:p>
    <w:p w14:paraId="29DC57BC" w14:textId="77777777" w:rsidR="0019497E" w:rsidRPr="00F65E45" w:rsidRDefault="0019497E" w:rsidP="0019497E">
      <w:pPr>
        <w:pStyle w:val="Prrafodelista"/>
        <w:widowControl w:val="0"/>
        <w:numPr>
          <w:ilvl w:val="0"/>
          <w:numId w:val="16"/>
        </w:numPr>
        <w:autoSpaceDE w:val="0"/>
        <w:autoSpaceDN w:val="0"/>
        <w:spacing w:after="0" w:line="276" w:lineRule="auto"/>
        <w:ind w:left="360"/>
        <w:contextualSpacing w:val="0"/>
        <w:jc w:val="both"/>
        <w:outlineLvl w:val="0"/>
        <w:rPr>
          <w:rFonts w:ascii="Verdana" w:eastAsia="Arial" w:hAnsi="Verdana" w:cs="Arial"/>
          <w:b/>
          <w:bCs/>
        </w:rPr>
      </w:pPr>
      <w:r w:rsidRPr="00F65E45">
        <w:rPr>
          <w:rFonts w:ascii="Verdana" w:eastAsia="Arial" w:hAnsi="Verdana" w:cs="Arial"/>
          <w:b/>
          <w:bCs/>
        </w:rPr>
        <w:t>Respuesta:</w:t>
      </w:r>
    </w:p>
    <w:p w14:paraId="051E8A36" w14:textId="77777777" w:rsidR="0019497E" w:rsidRPr="00F65E45" w:rsidRDefault="0019497E" w:rsidP="0019497E">
      <w:pPr>
        <w:spacing w:after="0" w:line="276" w:lineRule="auto"/>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9497E" w:rsidRPr="00F65E45" w14:paraId="0DDB2173" w14:textId="77777777" w:rsidTr="00ED4B75">
        <w:tc>
          <w:tcPr>
            <w:tcW w:w="8828" w:type="dxa"/>
          </w:tcPr>
          <w:p w14:paraId="7FA8F4F5" w14:textId="432DDAF7" w:rsidR="0019497E" w:rsidRPr="00F65E45" w:rsidRDefault="0019497E" w:rsidP="00ED4B75">
            <w:pPr>
              <w:spacing w:after="120" w:line="276" w:lineRule="auto"/>
              <w:jc w:val="both"/>
              <w:rPr>
                <w:rFonts w:ascii="Verdana" w:hAnsi="Verdana" w:cs="Arial"/>
                <w:color w:val="000000" w:themeColor="text1"/>
              </w:rPr>
            </w:pPr>
            <w:bookmarkStart w:id="1" w:name="_Hlk171067516"/>
            <w:r w:rsidRPr="00F65E45">
              <w:rPr>
                <w:rFonts w:ascii="Verdana" w:hAnsi="Verdana" w:cs="Arial"/>
                <w:color w:val="000000" w:themeColor="text1"/>
              </w:rPr>
              <w:t>En respuesta a</w:t>
            </w:r>
            <w:r w:rsidR="00930E17" w:rsidRPr="00F65E45">
              <w:rPr>
                <w:rFonts w:ascii="Verdana" w:hAnsi="Verdana" w:cs="Arial"/>
                <w:color w:val="000000" w:themeColor="text1"/>
              </w:rPr>
              <w:t xml:space="preserve">l </w:t>
            </w:r>
            <w:r w:rsidRPr="00F65E45">
              <w:rPr>
                <w:rFonts w:ascii="Verdana" w:hAnsi="Verdana" w:cs="Arial"/>
                <w:color w:val="000000" w:themeColor="text1"/>
              </w:rPr>
              <w:t>problema ante planteado esta Subdirección manifiesta lo siguiente:</w:t>
            </w:r>
          </w:p>
          <w:p w14:paraId="1A52E8D1" w14:textId="413D49E4" w:rsidR="004B5DA5" w:rsidRPr="00F65E45" w:rsidRDefault="0019497E" w:rsidP="004B5DA5">
            <w:pPr>
              <w:spacing w:after="120" w:line="276" w:lineRule="auto"/>
              <w:ind w:firstLine="737"/>
              <w:jc w:val="both"/>
              <w:rPr>
                <w:rFonts w:ascii="Verdana" w:hAnsi="Verdana" w:cs="Arial"/>
              </w:rPr>
            </w:pPr>
            <w:r w:rsidRPr="00F65E45">
              <w:rPr>
                <w:rFonts w:ascii="Verdana" w:eastAsia="Calibri" w:hAnsi="Verdana" w:cs="Arial"/>
                <w:i/>
                <w:color w:val="000000" w:themeColor="text1"/>
              </w:rPr>
              <w:t>En primer lugar</w:t>
            </w:r>
            <w:r w:rsidRPr="00F65E45">
              <w:rPr>
                <w:rFonts w:ascii="Verdana" w:hAnsi="Verdana" w:cs="Arial"/>
              </w:rPr>
              <w:t xml:space="preserve">, </w:t>
            </w:r>
            <w:r w:rsidR="004B5DA5" w:rsidRPr="00F65E45">
              <w:rPr>
                <w:rFonts w:ascii="Verdana" w:hAnsi="Verdana" w:cs="Arial"/>
              </w:rPr>
              <w:t>debe señalarse que la regla de la subsanabilidad de las ofertas en los procedimientos de selección dispone que la falta de entrega o los defectos en la acreditación de los requisitos habilitantes son, en principio, subsanables. Sin embargo, la ley establece tres excepciones expresas en las que no procede la subsanación: cuando se trate de requisitos que otorgan puntaje, cuando se pretenda acreditar circunstancias ocurridas con posterioridad al cierre del proceso y cuando no se haya aportado la garantía de seriedad de la oferta junto con la propuesta.</w:t>
            </w:r>
          </w:p>
          <w:p w14:paraId="463F47C1" w14:textId="1F82DCE4" w:rsidR="004B5DA5" w:rsidRPr="00F65E45" w:rsidRDefault="004B5DA5" w:rsidP="004B5DA5">
            <w:pPr>
              <w:spacing w:after="120" w:line="276" w:lineRule="auto"/>
              <w:ind w:firstLine="737"/>
              <w:jc w:val="both"/>
              <w:rPr>
                <w:rFonts w:ascii="Verdana" w:hAnsi="Verdana" w:cs="Arial"/>
              </w:rPr>
            </w:pPr>
            <w:r w:rsidRPr="00F65E45">
              <w:rPr>
                <w:rFonts w:ascii="Verdana" w:hAnsi="Verdana" w:cs="Arial"/>
              </w:rPr>
              <w:t xml:space="preserve">Bajo este contexto, la Entidad Estatal tiene el deber de requerir al proponente los documentos que, de acuerdo con las características </w:t>
            </w:r>
            <w:r w:rsidR="00D62DE8" w:rsidRPr="00F65E45">
              <w:rPr>
                <w:rFonts w:ascii="Verdana" w:hAnsi="Verdana" w:cs="Arial"/>
              </w:rPr>
              <w:t>descritas en este concepto</w:t>
            </w:r>
            <w:r w:rsidRPr="00F65E45">
              <w:rPr>
                <w:rFonts w:ascii="Verdana" w:hAnsi="Verdana" w:cs="Arial"/>
              </w:rPr>
              <w:t xml:space="preserve">, puedan ser objeto de subsanación. A su vez, el proponente conserva el derecho de aportarlos hasta el término de traslado del informe de </w:t>
            </w:r>
            <w:r w:rsidRPr="00F65E45">
              <w:rPr>
                <w:rFonts w:ascii="Verdana" w:hAnsi="Verdana" w:cs="Arial"/>
              </w:rPr>
              <w:lastRenderedPageBreak/>
              <w:t>evaluación</w:t>
            </w:r>
            <w:r w:rsidR="001E2801" w:rsidRPr="00F65E45">
              <w:rPr>
                <w:rFonts w:ascii="Verdana" w:hAnsi="Verdana" w:cs="Arial"/>
              </w:rPr>
              <w:t xml:space="preserve"> </w:t>
            </w:r>
            <w:r w:rsidR="005A55FE" w:rsidRPr="00F65E45">
              <w:rPr>
                <w:rFonts w:ascii="Verdana" w:eastAsia="Calibri" w:hAnsi="Verdana" w:cs="Arial"/>
                <w:color w:val="000000" w:themeColor="text1"/>
                <w:lang w:eastAsia="es-CO"/>
              </w:rPr>
              <w:t>—</w:t>
            </w:r>
            <w:r w:rsidR="001E2801" w:rsidRPr="00F65E45">
              <w:rPr>
                <w:rFonts w:ascii="Verdana" w:hAnsi="Verdana" w:cs="Arial"/>
              </w:rPr>
              <w:t xml:space="preserve">a excepción de </w:t>
            </w:r>
            <w:r w:rsidR="00CC0024" w:rsidRPr="00F65E45">
              <w:rPr>
                <w:rFonts w:ascii="Verdana" w:hAnsi="Verdana" w:cs="Arial"/>
              </w:rPr>
              <w:t xml:space="preserve">la modalidad de selección de </w:t>
            </w:r>
            <w:r w:rsidR="001E2801" w:rsidRPr="00F65E45">
              <w:rPr>
                <w:rFonts w:ascii="Verdana" w:hAnsi="Verdana" w:cs="Arial"/>
              </w:rPr>
              <w:t xml:space="preserve">mínima cuantía y </w:t>
            </w:r>
            <w:r w:rsidR="005A55FE" w:rsidRPr="00F65E45">
              <w:rPr>
                <w:rFonts w:ascii="Verdana" w:hAnsi="Verdana" w:cs="Arial"/>
              </w:rPr>
              <w:t>subasta</w:t>
            </w:r>
            <w:r w:rsidR="005A55FE" w:rsidRPr="00F65E45">
              <w:rPr>
                <w:rFonts w:ascii="Verdana" w:eastAsia="Calibri" w:hAnsi="Verdana" w:cs="Arial"/>
                <w:color w:val="000000" w:themeColor="text1"/>
                <w:lang w:eastAsia="es-CO"/>
              </w:rPr>
              <w:t>—</w:t>
            </w:r>
            <w:r w:rsidR="001304E6" w:rsidRPr="00F65E45">
              <w:rPr>
                <w:rFonts w:ascii="Verdana" w:eastAsia="Calibri" w:hAnsi="Verdana" w:cs="Arial"/>
                <w:color w:val="000000" w:themeColor="text1"/>
                <w:lang w:eastAsia="es-CO"/>
              </w:rPr>
              <w:t xml:space="preserve"> </w:t>
            </w:r>
            <w:r w:rsidRPr="00F65E45">
              <w:rPr>
                <w:rFonts w:ascii="Verdana" w:hAnsi="Verdana" w:cs="Arial"/>
              </w:rPr>
              <w:t>garantizando así el equilibrio entre la obligación de la administración de velar por la transparencia del proceso y el derecho de los oferentes a corregir las deficiencias que no afectan la esencia de la propuesta.</w:t>
            </w:r>
          </w:p>
          <w:p w14:paraId="47CF9033" w14:textId="77777777" w:rsidR="00E47ED8" w:rsidRPr="00F65E45" w:rsidRDefault="00E47ED8" w:rsidP="00E47ED8">
            <w:pPr>
              <w:spacing w:after="120" w:line="276" w:lineRule="auto"/>
              <w:ind w:firstLine="737"/>
              <w:jc w:val="both"/>
              <w:rPr>
                <w:rFonts w:ascii="Verdana" w:eastAsia="Calibri" w:hAnsi="Verdana" w:cs="Arial"/>
                <w:color w:val="000000" w:themeColor="text1"/>
                <w:lang w:eastAsia="es-CO"/>
              </w:rPr>
            </w:pPr>
            <w:r w:rsidRPr="00F65E45">
              <w:rPr>
                <w:rFonts w:ascii="Verdana" w:eastAsia="Calibri" w:hAnsi="Verdana" w:cs="Arial"/>
                <w:color w:val="000000" w:themeColor="text1"/>
                <w:lang w:eastAsia="es-CO"/>
              </w:rPr>
              <w:t xml:space="preserve">En cuanto a los plazos para subsanar, el artículo 5 de la Ley 1882 de 2018 establece que el límite máximo para que la entidad requiera la subsanación y para que el proponente la atienda es el vencimiento del término de traslado del informe de evaluación. Sin embargo, esta disposición no impide —ni mucho menos prohíbe— que dicha actuación se adelante con anterioridad a la publicación de ese informe. </w:t>
            </w:r>
          </w:p>
          <w:p w14:paraId="7598B167" w14:textId="77777777" w:rsidR="007E6261" w:rsidRPr="00F65E45" w:rsidRDefault="00E47ED8" w:rsidP="007E6261">
            <w:pPr>
              <w:spacing w:after="120" w:line="276" w:lineRule="auto"/>
              <w:ind w:firstLine="737"/>
              <w:jc w:val="both"/>
              <w:rPr>
                <w:rFonts w:ascii="Verdana" w:eastAsia="Calibri" w:hAnsi="Verdana" w:cs="Arial"/>
                <w:color w:val="000000" w:themeColor="text1"/>
                <w:lang w:eastAsia="es-CO"/>
              </w:rPr>
            </w:pPr>
            <w:r w:rsidRPr="00F65E45">
              <w:rPr>
                <w:rFonts w:ascii="Verdana" w:eastAsia="Calibri" w:hAnsi="Verdana" w:cs="Arial"/>
                <w:color w:val="000000" w:themeColor="text1"/>
                <w:lang w:eastAsia="es-CO"/>
              </w:rPr>
              <w:t>En efecto, la norma fija un límite temporal máximo, no un momento único y exclusivo para ejercer la facultad de subsanar. Por ello, resulta no solo jurídicamente viable sino más adecuado y conveniente que, una vez la entidad advierta el defecto en la oferta, lo requiera directamente al oferente de forma inmediata, sin esperar a la etapa de publicación del informe de evaluación. Esta lectura es más coherente con los principios de economía, transparencia y selección objetiva que rigen la contratación estatal, pues permite corregir oportunamente las falencias sin dilatar innecesariamente el proceso.</w:t>
            </w:r>
          </w:p>
          <w:p w14:paraId="0D5D4909" w14:textId="77777777" w:rsidR="007E6261" w:rsidRDefault="007E6261" w:rsidP="007E6261">
            <w:pPr>
              <w:spacing w:after="120" w:line="276" w:lineRule="auto"/>
              <w:ind w:firstLine="737"/>
              <w:jc w:val="both"/>
              <w:rPr>
                <w:rFonts w:ascii="Verdana" w:eastAsia="Calibri" w:hAnsi="Verdana" w:cs="Arial"/>
                <w:color w:val="000000" w:themeColor="text1"/>
                <w:lang w:eastAsia="es-CO"/>
              </w:rPr>
            </w:pPr>
            <w:r w:rsidRPr="00F65E45">
              <w:rPr>
                <w:rFonts w:ascii="Verdana" w:eastAsia="Calibri" w:hAnsi="Verdana" w:cs="Arial"/>
                <w:color w:val="000000" w:themeColor="text1"/>
                <w:lang w:eastAsia="es-CO"/>
              </w:rPr>
              <w:t>En todo caso, lo anterior no desconoce el límite que la normativa impone: los oferentes cuentan, como plazo máximo e improrrogable, con el vencimiento del término de traslado del informe de evaluación para presentar la información o los documentos requeridos. Este límite opera con independencia de que la subsanación haya sido solicitada o atendida en una etapa anterior, siempre que así se haya previsto en los Documentos del Proceso.</w:t>
            </w:r>
          </w:p>
          <w:p w14:paraId="78F900D3" w14:textId="678F8F20" w:rsidR="00B028D8" w:rsidRPr="00F65E45" w:rsidRDefault="00B028D8" w:rsidP="00B028D8">
            <w:pPr>
              <w:spacing w:after="120" w:line="276" w:lineRule="auto"/>
              <w:ind w:firstLine="737"/>
              <w:jc w:val="both"/>
              <w:rPr>
                <w:rFonts w:ascii="Verdana" w:eastAsia="Calibri" w:hAnsi="Verdana" w:cs="Arial"/>
                <w:color w:val="000000" w:themeColor="text1"/>
                <w:lang w:eastAsia="es-CO"/>
              </w:rPr>
            </w:pPr>
            <w:r>
              <w:rPr>
                <w:rFonts w:ascii="Verdana" w:eastAsia="Calibri" w:hAnsi="Verdana" w:cs="Arial"/>
                <w:color w:val="000000" w:themeColor="text1"/>
                <w:lang w:eastAsia="es-CO"/>
              </w:rPr>
              <w:t>Ahora bien, e</w:t>
            </w:r>
            <w:r w:rsidRPr="00110A76">
              <w:rPr>
                <w:rFonts w:ascii="Verdana" w:eastAsia="Calibri" w:hAnsi="Verdana" w:cs="Arial"/>
                <w:color w:val="000000" w:themeColor="text1"/>
                <w:lang w:eastAsia="es-CO"/>
              </w:rPr>
              <w:t xml:space="preserve">n cuanto a los plazos específicos fijados por la normativa para cada modalidad de selección, es preciso señalar que estos varían según el procedimiento aplicable. En la licitación pública el término de traslado del informe de evaluación —y por ende el plazo máximo para subsanar— es de cinco (5) días hábiles, conforme al artículo 1 de la Ley 1882 de 2018. En la selección abreviada de menor cuantía y en el concurso de méritos, dicho término es de tres (3) días hábiles, en aplicación de lo dispuesto en los artículos 2.2.1.2.1.2.20 y 2.2.1.2.1.3.2 del Decreto 1082 de 2015. En los procesos de selección abreviada por subasta inversa, el oferente podrá subsanar los requisitos hasta antes de la realización de la subasta. Finalmente, </w:t>
            </w:r>
            <w:r w:rsidRPr="00110A76">
              <w:rPr>
                <w:rFonts w:ascii="Verdana" w:eastAsia="Calibri" w:hAnsi="Verdana" w:cs="Arial"/>
                <w:color w:val="000000" w:themeColor="text1"/>
                <w:lang w:eastAsia="es-CO"/>
              </w:rPr>
              <w:lastRenderedPageBreak/>
              <w:t>en la mínima cuantía el plazo será de un (1) día hábil, de conformidad con lo previsto en el artículo 2.2.1.2.1.5.2 del Decreto 1082 de 2015</w:t>
            </w:r>
            <w:r w:rsidR="00752490">
              <w:rPr>
                <w:rFonts w:ascii="Verdana" w:eastAsia="Calibri" w:hAnsi="Verdana" w:cs="Arial"/>
                <w:color w:val="000000" w:themeColor="text1"/>
                <w:lang w:eastAsia="es-CO"/>
              </w:rPr>
              <w:t>.</w:t>
            </w:r>
          </w:p>
          <w:p w14:paraId="69CA3834" w14:textId="7EE0B3C3" w:rsidR="00545C6E" w:rsidRPr="00F65E45" w:rsidRDefault="00545C6E" w:rsidP="007E6261">
            <w:pPr>
              <w:spacing w:after="120" w:line="276" w:lineRule="auto"/>
              <w:ind w:firstLine="737"/>
              <w:jc w:val="both"/>
              <w:rPr>
                <w:rFonts w:ascii="Verdana" w:eastAsia="Calibri" w:hAnsi="Verdana" w:cs="Arial"/>
                <w:color w:val="000000" w:themeColor="text1"/>
                <w:lang w:eastAsia="es-CO"/>
              </w:rPr>
            </w:pPr>
            <w:r w:rsidRPr="00F65E45">
              <w:rPr>
                <w:rFonts w:ascii="Verdana" w:eastAsia="Calibri" w:hAnsi="Verdana" w:cs="Arial"/>
              </w:rPr>
              <w:t>E</w:t>
            </w:r>
            <w:r w:rsidRPr="00F65E45">
              <w:rPr>
                <w:rFonts w:ascii="Verdana" w:eastAsia="Calibri" w:hAnsi="Verdana" w:cs="Arial"/>
                <w:lang w:val="es-ES"/>
              </w:rPr>
              <w:t>n concordancia con lo anterior, es importante aclarar que, teniendo</w:t>
            </w:r>
            <w:r w:rsidRPr="00F65E45">
              <w:rPr>
                <w:rFonts w:ascii="Verdana" w:hAnsi="Verdana"/>
              </w:rPr>
              <w:t xml:space="preserve"> </w:t>
            </w:r>
            <w:r w:rsidRPr="00F65E45">
              <w:rPr>
                <w:rFonts w:ascii="Verdana" w:eastAsia="Calibri" w:hAnsi="Verdana" w:cs="Arial"/>
                <w:lang w:val="es-ES"/>
              </w:rPr>
              <w:t xml:space="preserve">en cuenta que esta </w:t>
            </w:r>
            <w:r w:rsidR="00F02B71" w:rsidRPr="00F65E45">
              <w:rPr>
                <w:rFonts w:ascii="Verdana" w:eastAsia="Calibri" w:hAnsi="Verdana" w:cs="Arial"/>
                <w:lang w:val="es-ES"/>
              </w:rPr>
              <w:t>Agencia</w:t>
            </w:r>
            <w:r w:rsidRPr="00F65E45">
              <w:rPr>
                <w:rFonts w:ascii="Verdana" w:eastAsia="Calibri" w:hAnsi="Verdana" w:cs="Arial"/>
                <w:lang w:val="es-ES"/>
              </w:rPr>
              <w:t xml:space="preserve"> solo tiene competencia para responder solicitudes sobre la aplicación de normas de carácter general en materia de compras y contratación pública, </w:t>
            </w:r>
            <w:r w:rsidRPr="00F65E45">
              <w:rPr>
                <w:rFonts w:ascii="Verdana" w:eastAsia="Calibri" w:hAnsi="Verdana" w:cs="Arial"/>
                <w:i/>
                <w:lang w:val="es-ES"/>
              </w:rPr>
              <w:t>NO es la idónea para establecer la validez de la situación descrita en su consulta.</w:t>
            </w:r>
            <w:r w:rsidR="00F02B71" w:rsidRPr="00F65E45">
              <w:rPr>
                <w:rFonts w:ascii="Verdana" w:eastAsia="Calibri" w:hAnsi="Verdana" w:cs="Arial"/>
                <w:i/>
                <w:lang w:val="es-ES"/>
              </w:rPr>
              <w:t xml:space="preserve"> </w:t>
            </w:r>
            <w:r w:rsidRPr="00F65E45">
              <w:rPr>
                <w:rFonts w:ascii="Verdana" w:eastAsia="Calibri" w:hAnsi="Verdana" w:cs="Arial"/>
                <w:lang w:val="es-ES"/>
              </w:rPr>
              <w:t>Lo anterior</w:t>
            </w:r>
            <w:r w:rsidRPr="00F65E45">
              <w:rPr>
                <w:rFonts w:ascii="Verdana" w:eastAsia="Calibri" w:hAnsi="Verdana" w:cs="Arial"/>
                <w:color w:val="000000" w:themeColor="text1"/>
              </w:rPr>
              <w:t xml:space="preserve"> debido a que la competencia consultiva se fija con límites claros, con el objeto de evitar que se actúe como una instancia de validación de las actuaciones de las entidades sujetas a la Ley 80 de 1993 o de los demás participantes en la contratación pública, lo cual corresponde a la competencia de los entes de control y los jueces de la República.</w:t>
            </w:r>
          </w:p>
        </w:tc>
      </w:tr>
      <w:bookmarkEnd w:id="1"/>
    </w:tbl>
    <w:p w14:paraId="2A9EE43D" w14:textId="77777777" w:rsidR="0019497E" w:rsidRPr="00F65E45" w:rsidRDefault="0019497E" w:rsidP="0019497E">
      <w:pPr>
        <w:widowControl w:val="0"/>
        <w:autoSpaceDE w:val="0"/>
        <w:autoSpaceDN w:val="0"/>
        <w:spacing w:after="0" w:line="276" w:lineRule="auto"/>
        <w:ind w:left="360" w:hanging="360"/>
        <w:outlineLvl w:val="0"/>
        <w:rPr>
          <w:rFonts w:ascii="Verdana" w:eastAsia="Arial" w:hAnsi="Verdana" w:cs="Arial"/>
          <w:b/>
          <w:bCs/>
          <w:highlight w:val="cyan"/>
        </w:rPr>
      </w:pPr>
    </w:p>
    <w:p w14:paraId="2CA6B920" w14:textId="77777777" w:rsidR="0019497E" w:rsidRPr="00F65E45" w:rsidRDefault="0019497E" w:rsidP="0019497E">
      <w:pPr>
        <w:widowControl w:val="0"/>
        <w:autoSpaceDE w:val="0"/>
        <w:autoSpaceDN w:val="0"/>
        <w:spacing w:after="0" w:line="276" w:lineRule="auto"/>
        <w:ind w:left="360" w:hanging="360"/>
        <w:outlineLvl w:val="0"/>
        <w:rPr>
          <w:rFonts w:ascii="Verdana" w:eastAsia="Arial" w:hAnsi="Verdana" w:cs="Arial"/>
          <w:b/>
          <w:bCs/>
          <w:lang w:val="es-ES"/>
        </w:rPr>
      </w:pPr>
      <w:r w:rsidRPr="00F65E45">
        <w:rPr>
          <w:rFonts w:ascii="Verdana" w:eastAsia="Arial" w:hAnsi="Verdana" w:cs="Arial"/>
          <w:b/>
          <w:bCs/>
          <w:lang w:val="es-ES"/>
        </w:rPr>
        <w:t>3. Razones de la respuesta:</w:t>
      </w:r>
    </w:p>
    <w:p w14:paraId="1318C69C" w14:textId="77777777" w:rsidR="0019497E" w:rsidRPr="00F65E45" w:rsidRDefault="0019497E" w:rsidP="0019497E">
      <w:pPr>
        <w:spacing w:after="0" w:line="276" w:lineRule="auto"/>
        <w:jc w:val="both"/>
        <w:rPr>
          <w:rFonts w:ascii="Verdana" w:eastAsia="Calibri" w:hAnsi="Verdana" w:cs="Arial"/>
          <w:lang w:val="es-ES"/>
        </w:rPr>
      </w:pPr>
    </w:p>
    <w:p w14:paraId="38881B2D" w14:textId="77777777" w:rsidR="0019497E" w:rsidRPr="00F65E45" w:rsidRDefault="0019497E" w:rsidP="0019497E">
      <w:pPr>
        <w:spacing w:after="0" w:line="276" w:lineRule="auto"/>
        <w:jc w:val="both"/>
        <w:rPr>
          <w:rFonts w:ascii="Verdana" w:eastAsia="Calibri" w:hAnsi="Verdana" w:cs="Arial"/>
          <w:lang w:val="es-ES"/>
        </w:rPr>
      </w:pPr>
      <w:r w:rsidRPr="00F65E45">
        <w:rPr>
          <w:rFonts w:ascii="Verdana" w:eastAsia="Calibri" w:hAnsi="Verdana" w:cs="Arial"/>
          <w:lang w:val="es-ES"/>
        </w:rPr>
        <w:t xml:space="preserve">La respuesta anterior se sustenta en las siguientes consideraciones: </w:t>
      </w:r>
    </w:p>
    <w:p w14:paraId="70D74E5F" w14:textId="77777777" w:rsidR="002A0DD0" w:rsidRPr="00F65E45" w:rsidRDefault="002A0DD0" w:rsidP="30821638">
      <w:pPr>
        <w:spacing w:after="0" w:line="240" w:lineRule="auto"/>
        <w:jc w:val="both"/>
        <w:rPr>
          <w:rFonts w:ascii="Verdana" w:eastAsia="Verdana" w:hAnsi="Verdana" w:cs="Verdana"/>
          <w:lang w:val="es-ES"/>
        </w:rPr>
      </w:pPr>
    </w:p>
    <w:p w14:paraId="62D45CFF" w14:textId="0A9CC041" w:rsidR="00914FF6" w:rsidRPr="00F65E45" w:rsidRDefault="00914FF6" w:rsidP="00914FF6">
      <w:pPr>
        <w:spacing w:after="120" w:line="276" w:lineRule="auto"/>
        <w:jc w:val="both"/>
        <w:rPr>
          <w:rFonts w:ascii="Verdana" w:eastAsia="Times New Roman" w:hAnsi="Verdana" w:cs="Arial"/>
          <w:lang w:val="es-ES_tradnl" w:eastAsia="es-ES_tradnl"/>
        </w:rPr>
      </w:pPr>
      <w:r w:rsidRPr="00F65E45">
        <w:rPr>
          <w:rFonts w:ascii="Verdana" w:eastAsia="Calibri" w:hAnsi="Verdana" w:cs="Arial"/>
          <w:noProof/>
          <w:lang w:val="es-ES_tradnl"/>
        </w:rPr>
        <w:t>L</w:t>
      </w:r>
      <w:r w:rsidRPr="00F65E45">
        <w:rPr>
          <w:rFonts w:ascii="Verdana" w:eastAsia="Times New Roman" w:hAnsi="Verdana" w:cs="Arial"/>
        </w:rPr>
        <w:t>a regla de la subsanabilidad de las ofertas en los procedimientos de selección</w:t>
      </w:r>
      <w:r w:rsidRPr="00F65E45">
        <w:rPr>
          <w:rFonts w:ascii="Verdana" w:eastAsia="Times New Roman" w:hAnsi="Verdana" w:cs="Arial"/>
          <w:b/>
          <w:bCs/>
        </w:rPr>
        <w:t xml:space="preserve"> </w:t>
      </w:r>
      <w:r w:rsidRPr="00F65E45">
        <w:rPr>
          <w:rFonts w:ascii="Verdana" w:eastAsia="Times New Roman" w:hAnsi="Verdana" w:cs="Arial"/>
          <w:lang w:val="es-ES_tradnl" w:eastAsia="es-ES_tradnl"/>
        </w:rPr>
        <w:t>indica que,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14:paraId="08009129" w14:textId="77777777" w:rsidR="00914FF6" w:rsidRPr="00F65E45" w:rsidRDefault="00914FF6" w:rsidP="00914FF6">
      <w:pPr>
        <w:spacing w:after="120" w:line="276" w:lineRule="auto"/>
        <w:ind w:firstLine="708"/>
        <w:jc w:val="both"/>
        <w:rPr>
          <w:rFonts w:ascii="Verdana" w:eastAsia="Times New Roman" w:hAnsi="Verdana" w:cs="Arial"/>
          <w:lang w:val="es-ES" w:eastAsia="es-ES"/>
        </w:rPr>
      </w:pPr>
      <w:r w:rsidRPr="00F65E45">
        <w:rPr>
          <w:rFonts w:ascii="Verdana" w:eastAsia="Times New Roman" w:hAnsi="Verdana" w:cs="Arial"/>
          <w:lang w:val="es-ES_tradnl" w:eastAsia="es-ES_tradnl"/>
        </w:rPr>
        <w:t>La posibilidad de enmendar, corregir o subsanar los errores en los que se incurre en los documentos contentivos de la oferta es un tema que ha tenido diferentes momentos o etapas en el ordenamiento jurídico colombiano, momentos que se han expuesto de manera detallada en conceptos como el C-285 del 20 de mayo de 2022</w:t>
      </w:r>
      <w:r w:rsidRPr="00F65E45">
        <w:rPr>
          <w:rFonts w:ascii="Verdana" w:eastAsia="Times New Roman" w:hAnsi="Verdana" w:cs="Arial"/>
          <w:vertAlign w:val="superscript"/>
          <w:lang w:val="es-ES_tradnl" w:eastAsia="es-ES_tradnl"/>
        </w:rPr>
        <w:footnoteReference w:id="1"/>
      </w:r>
      <w:r w:rsidRPr="00F65E45">
        <w:rPr>
          <w:rFonts w:ascii="Verdana" w:eastAsia="Times New Roman" w:hAnsi="Verdana" w:cs="Arial"/>
          <w:lang w:val="es-ES_tradnl" w:eastAsia="es-ES_tradnl"/>
        </w:rPr>
        <w:t xml:space="preserve"> o el C-447 del 19 de septiembre de 2024</w:t>
      </w:r>
      <w:r w:rsidRPr="00F65E45">
        <w:rPr>
          <w:rFonts w:ascii="Verdana" w:eastAsia="Times New Roman" w:hAnsi="Verdana" w:cs="Arial"/>
          <w:vertAlign w:val="superscript"/>
          <w:lang w:val="es-ES_tradnl" w:eastAsia="es-ES_tradnl"/>
        </w:rPr>
        <w:footnoteReference w:id="2"/>
      </w:r>
      <w:r w:rsidRPr="00F65E45">
        <w:rPr>
          <w:rFonts w:ascii="Verdana" w:eastAsia="Times New Roman" w:hAnsi="Verdana" w:cs="Arial"/>
          <w:lang w:val="es-ES_tradnl" w:eastAsia="es-ES_tradnl"/>
        </w:rPr>
        <w:t xml:space="preserve">, los </w:t>
      </w:r>
      <w:r w:rsidRPr="00F65E45">
        <w:rPr>
          <w:rFonts w:ascii="Verdana" w:eastAsia="Times New Roman" w:hAnsi="Verdana" w:cs="Arial"/>
          <w:lang w:val="es-ES_tradnl" w:eastAsia="es-ES_tradnl"/>
        </w:rPr>
        <w:lastRenderedPageBreak/>
        <w:t>cuales, en el evento en que tenga interés, podrá consultar en los enlaces de la nota al pie. Sin embargo</w:t>
      </w:r>
      <w:r w:rsidRPr="00F65E45">
        <w:rPr>
          <w:rFonts w:ascii="Verdana" w:eastAsia="Times New Roman" w:hAnsi="Verdana" w:cs="Arial"/>
          <w:lang w:val="es-ES" w:eastAsia="es-ES"/>
        </w:rPr>
        <w:t>, a continuación, se hará referencia particularmente al último momento, que refleja la postura vigente en torno a la subsanabilidad.</w:t>
      </w:r>
    </w:p>
    <w:p w14:paraId="18CD824D" w14:textId="77777777" w:rsidR="00914FF6" w:rsidRPr="00F65E45" w:rsidRDefault="00914FF6" w:rsidP="00914FF6">
      <w:pPr>
        <w:tabs>
          <w:tab w:val="left" w:pos="284"/>
        </w:tabs>
        <w:spacing w:after="0" w:line="276" w:lineRule="auto"/>
        <w:ind w:firstLine="709"/>
        <w:jc w:val="both"/>
        <w:rPr>
          <w:rFonts w:ascii="Verdana" w:eastAsia="Times New Roman" w:hAnsi="Verdana" w:cs="Arial"/>
          <w:lang w:val="es-ES_tradnl" w:eastAsia="es-CO"/>
        </w:rPr>
      </w:pPr>
      <w:r w:rsidRPr="00F65E45">
        <w:rPr>
          <w:rFonts w:ascii="Verdana" w:eastAsia="Times New Roman" w:hAnsi="Verdana" w:cs="Arial"/>
          <w:lang w:val="es-ES_tradnl" w:eastAsia="es-ES_tradnl"/>
        </w:rPr>
        <w:t xml:space="preserve">La expedición de la Ley </w:t>
      </w:r>
      <w:r w:rsidRPr="00F65E45">
        <w:rPr>
          <w:rFonts w:ascii="Verdana" w:eastAsia="Times New Roman" w:hAnsi="Verdana" w:cs="Arial"/>
          <w:lang w:val="es-ES_tradnl" w:eastAsia="es-CO"/>
        </w:rPr>
        <w:t xml:space="preserve">1882 de 2018 tuvo por finalidad la de introducir cambios y ajustes para fortalecer la contratación pública. En ese orden, mediante su artículo 5 modificó el parágrafo 1º y adicionó algunos otros, entre ellos el 3° y 4° del artículo 5 de la Ley 1150 de 2007, en los siguientes términos: </w:t>
      </w:r>
    </w:p>
    <w:p w14:paraId="1F0C847D" w14:textId="77777777" w:rsidR="00914FF6" w:rsidRPr="00F65E45" w:rsidRDefault="00914FF6" w:rsidP="00914FF6">
      <w:pPr>
        <w:spacing w:after="0" w:line="276" w:lineRule="auto"/>
        <w:ind w:left="709" w:right="709"/>
        <w:jc w:val="both"/>
        <w:rPr>
          <w:rFonts w:ascii="Verdana" w:eastAsia="Times New Roman" w:hAnsi="Verdana" w:cs="Arial"/>
          <w:lang w:val="es-ES_tradnl" w:eastAsia="es-CO"/>
        </w:rPr>
      </w:pPr>
    </w:p>
    <w:p w14:paraId="3E4371F2" w14:textId="77777777" w:rsidR="00914FF6" w:rsidRPr="00F65E45" w:rsidRDefault="00914FF6" w:rsidP="00914FF6">
      <w:pPr>
        <w:spacing w:after="0" w:line="240" w:lineRule="auto"/>
        <w:ind w:left="709" w:right="709"/>
        <w:jc w:val="both"/>
        <w:rPr>
          <w:rFonts w:ascii="Verdana" w:eastAsia="Times New Roman" w:hAnsi="Verdana" w:cs="Arial"/>
          <w:sz w:val="20"/>
          <w:szCs w:val="20"/>
          <w:lang w:val="es-ES_tradnl" w:eastAsia="es-CO"/>
        </w:rPr>
      </w:pPr>
      <w:r w:rsidRPr="00F65E45">
        <w:rPr>
          <w:rFonts w:ascii="Verdana" w:eastAsia="Times New Roman" w:hAnsi="Verdana" w:cs="Arial"/>
          <w:sz w:val="20"/>
          <w:szCs w:val="20"/>
          <w:lang w:val="es-ES_tradnl" w:eastAsia="es-CO"/>
        </w:rPr>
        <w:t xml:space="preserve">“Artículo 5°. De la selección objetiva. </w:t>
      </w:r>
    </w:p>
    <w:p w14:paraId="3C773625" w14:textId="77777777" w:rsidR="00914FF6" w:rsidRPr="00F65E45" w:rsidRDefault="00914FF6" w:rsidP="00914FF6">
      <w:pPr>
        <w:spacing w:after="0" w:line="240" w:lineRule="auto"/>
        <w:ind w:left="709" w:right="709"/>
        <w:jc w:val="both"/>
        <w:textAlignment w:val="baseline"/>
        <w:rPr>
          <w:rFonts w:ascii="Verdana" w:eastAsia="Times New Roman" w:hAnsi="Verdana" w:cs="Arial"/>
          <w:color w:val="000000"/>
          <w:sz w:val="20"/>
          <w:szCs w:val="20"/>
          <w:lang w:val="es-ES" w:eastAsia="es-CO"/>
        </w:rPr>
      </w:pPr>
    </w:p>
    <w:p w14:paraId="4464EC21"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val="es-ES" w:eastAsia="es-CO"/>
        </w:rPr>
        <w:t>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r w:rsidRPr="00F65E45">
        <w:rPr>
          <w:rFonts w:ascii="Verdana" w:eastAsia="Times New Roman" w:hAnsi="Verdana" w:cs="Arial"/>
          <w:color w:val="000000"/>
          <w:sz w:val="20"/>
          <w:szCs w:val="20"/>
          <w:lang w:eastAsia="es-CO"/>
        </w:rPr>
        <w:t> </w:t>
      </w:r>
    </w:p>
    <w:p w14:paraId="6EC37ACA"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eastAsia="es-CO"/>
        </w:rPr>
        <w:t> </w:t>
      </w:r>
    </w:p>
    <w:p w14:paraId="5C4A7830"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val="es-ES"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F65E45">
        <w:rPr>
          <w:rFonts w:ascii="Verdana" w:eastAsia="Times New Roman" w:hAnsi="Verdana" w:cs="Arial"/>
          <w:color w:val="000000"/>
          <w:sz w:val="20"/>
          <w:szCs w:val="20"/>
          <w:lang w:eastAsia="es-CO"/>
        </w:rPr>
        <w:t> </w:t>
      </w:r>
    </w:p>
    <w:p w14:paraId="2FF1BD5A"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eastAsia="es-CO"/>
        </w:rPr>
        <w:t> </w:t>
      </w:r>
    </w:p>
    <w:p w14:paraId="67F9FF75"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val="es-ES" w:eastAsia="es-CO"/>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F65E45">
        <w:rPr>
          <w:rFonts w:ascii="Verdana" w:eastAsia="Times New Roman" w:hAnsi="Verdana" w:cs="Arial"/>
          <w:color w:val="000000"/>
          <w:sz w:val="20"/>
          <w:szCs w:val="20"/>
          <w:lang w:eastAsia="es-CO"/>
        </w:rPr>
        <w:t> </w:t>
      </w:r>
    </w:p>
    <w:p w14:paraId="7CCA1C91"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p>
    <w:p w14:paraId="70B6EA8C"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val="es-ES" w:eastAsia="es-CO"/>
        </w:rPr>
        <w:lastRenderedPageBreak/>
        <w:t>En los procesos de selección en los que se tenga en cuenta los factores técnicos y económicos, la oferta más ventajosa será la que resulte de aplicar alguna de las siguientes alternativas:</w:t>
      </w:r>
      <w:r w:rsidRPr="00F65E45">
        <w:rPr>
          <w:rFonts w:ascii="Verdana" w:eastAsia="Times New Roman" w:hAnsi="Verdana" w:cs="Arial"/>
          <w:color w:val="000000"/>
          <w:sz w:val="20"/>
          <w:szCs w:val="20"/>
          <w:lang w:eastAsia="es-CO"/>
        </w:rPr>
        <w:t> </w:t>
      </w:r>
    </w:p>
    <w:p w14:paraId="3450F113"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p>
    <w:p w14:paraId="203D3541"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val="es-ES" w:eastAsia="es-CO"/>
        </w:rPr>
        <w:t>a) La ponderación de los elementos de calidad y precio soportados en puntajes o fórmulas señaladas en el pliego de condiciones; o</w:t>
      </w:r>
    </w:p>
    <w:p w14:paraId="6730BFCD"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p>
    <w:p w14:paraId="543AF65C"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val="es-ES" w:eastAsia="es-CO"/>
        </w:rPr>
        <w:t>b) La ponderación de los elementos de calidad y precio que representen la mejor relación de costo-beneficio para la entidad.</w:t>
      </w:r>
      <w:r w:rsidRPr="00F65E45">
        <w:rPr>
          <w:rFonts w:ascii="Verdana" w:eastAsia="Times New Roman" w:hAnsi="Verdana" w:cs="Arial"/>
          <w:color w:val="000000"/>
          <w:sz w:val="20"/>
          <w:szCs w:val="20"/>
          <w:lang w:eastAsia="es-CO"/>
        </w:rPr>
        <w:t> </w:t>
      </w:r>
    </w:p>
    <w:p w14:paraId="750A0DEC"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p>
    <w:p w14:paraId="1DC50328"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val="es-ES" w:eastAsia="es-CO"/>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F65E45">
        <w:rPr>
          <w:rFonts w:ascii="Verdana" w:eastAsia="Times New Roman" w:hAnsi="Verdana" w:cs="Arial"/>
          <w:color w:val="000000"/>
          <w:sz w:val="20"/>
          <w:szCs w:val="20"/>
          <w:lang w:eastAsia="es-CO"/>
        </w:rPr>
        <w:t> </w:t>
      </w:r>
    </w:p>
    <w:p w14:paraId="2A16E914"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eastAsia="es-CO"/>
        </w:rPr>
        <w:t> </w:t>
      </w:r>
    </w:p>
    <w:p w14:paraId="4BF86C0C"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val="es-ES" w:eastAsia="es-CO"/>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F65E45">
        <w:rPr>
          <w:rFonts w:ascii="Verdana" w:eastAsia="Times New Roman" w:hAnsi="Verdana" w:cs="Arial"/>
          <w:color w:val="000000"/>
          <w:sz w:val="20"/>
          <w:szCs w:val="20"/>
          <w:lang w:eastAsia="es-CO"/>
        </w:rPr>
        <w:t> </w:t>
      </w:r>
    </w:p>
    <w:p w14:paraId="1455E2A7"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eastAsia="es-CO"/>
        </w:rPr>
        <w:t> </w:t>
      </w:r>
    </w:p>
    <w:p w14:paraId="3DE4CF6C"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val="es-ES" w:eastAsia="es-CO"/>
        </w:rPr>
        <w:t>En ningún caso se podrá incluir el precio, como factor de escogencia para la selección de consultores.</w:t>
      </w:r>
      <w:r w:rsidRPr="00F65E45">
        <w:rPr>
          <w:rFonts w:ascii="Verdana" w:eastAsia="Times New Roman" w:hAnsi="Verdana" w:cs="Arial"/>
          <w:color w:val="000000"/>
          <w:sz w:val="20"/>
          <w:szCs w:val="20"/>
          <w:lang w:eastAsia="es-CO"/>
        </w:rPr>
        <w:t> </w:t>
      </w:r>
    </w:p>
    <w:p w14:paraId="0DF64944"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eastAsia="es-CO"/>
        </w:rPr>
        <w:t> </w:t>
      </w:r>
    </w:p>
    <w:p w14:paraId="3C655FD0"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u w:val="single"/>
          <w:lang w:val="es-ES" w:eastAsia="es-CO"/>
        </w:rPr>
        <w:t>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w:t>
      </w:r>
      <w:r w:rsidRPr="00F65E45">
        <w:rPr>
          <w:rFonts w:ascii="Verdana" w:eastAsia="Times New Roman" w:hAnsi="Verdana" w:cs="Arial"/>
          <w:color w:val="000000"/>
          <w:sz w:val="20"/>
          <w:szCs w:val="20"/>
          <w:lang w:val="es-ES" w:eastAsia="es-CO"/>
        </w:rPr>
        <w:t xml:space="preserve">, salvo lo dispuesto para el proceso de Mínima cuantía y para el proceso de selección a través del sistema de subasta. </w:t>
      </w:r>
      <w:r w:rsidRPr="00F65E45">
        <w:rPr>
          <w:rFonts w:ascii="Verdana" w:eastAsia="Times New Roman" w:hAnsi="Verdana" w:cs="Arial"/>
          <w:color w:val="000000"/>
          <w:sz w:val="20"/>
          <w:szCs w:val="20"/>
          <w:u w:val="single"/>
          <w:lang w:val="es-ES" w:eastAsia="es-CO"/>
        </w:rPr>
        <w:t>Serán rechazadas las ofertas de aquellos proponentes que no suministren la información y la documentación solicitada por la entidad estatal hasta el plazo anteriormente señalado.</w:t>
      </w:r>
      <w:r w:rsidRPr="00F65E45">
        <w:rPr>
          <w:rFonts w:ascii="Verdana" w:eastAsia="Times New Roman" w:hAnsi="Verdana" w:cs="Arial"/>
          <w:color w:val="000000"/>
          <w:sz w:val="20"/>
          <w:szCs w:val="20"/>
          <w:u w:val="single"/>
          <w:lang w:eastAsia="es-CO"/>
        </w:rPr>
        <w:t> </w:t>
      </w:r>
    </w:p>
    <w:p w14:paraId="18198B8D"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eastAsia="es-CO"/>
        </w:rPr>
        <w:t> </w:t>
      </w:r>
    </w:p>
    <w:p w14:paraId="270B63A9"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u w:val="single"/>
          <w:lang w:val="es-ES" w:eastAsia="es-CO"/>
        </w:rPr>
        <w:t>Durante el término otorgado para subsanar las ofertas, los proponentes no podrán acreditar circunstancias ocurridas con posterioridad al cierre del proceso.</w:t>
      </w:r>
      <w:r w:rsidRPr="00F65E45">
        <w:rPr>
          <w:rFonts w:ascii="Verdana" w:eastAsia="Times New Roman" w:hAnsi="Verdana" w:cs="Arial"/>
          <w:color w:val="000000"/>
          <w:sz w:val="20"/>
          <w:szCs w:val="20"/>
          <w:lang w:eastAsia="es-CO"/>
        </w:rPr>
        <w:t> </w:t>
      </w:r>
    </w:p>
    <w:p w14:paraId="7AFB1026"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eastAsia="es-CO"/>
        </w:rPr>
        <w:t> </w:t>
      </w:r>
    </w:p>
    <w:p w14:paraId="0CA78622"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val="es-ES" w:eastAsia="es-CO"/>
        </w:rPr>
        <w:t>PARÁGRAFO 2o. Las certificaciones de sistemas de gestión de calidad no serán objeto de calificación, ni podrán establecerse como documento habilitante para participar en licitaciones o concursos.</w:t>
      </w:r>
      <w:r w:rsidRPr="00F65E45">
        <w:rPr>
          <w:rFonts w:ascii="Verdana" w:eastAsia="Times New Roman" w:hAnsi="Verdana" w:cs="Arial"/>
          <w:color w:val="000000"/>
          <w:sz w:val="20"/>
          <w:szCs w:val="20"/>
          <w:lang w:eastAsia="es-CO"/>
        </w:rPr>
        <w:t> </w:t>
      </w:r>
    </w:p>
    <w:p w14:paraId="11D17170"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eastAsia="es-CO"/>
        </w:rPr>
        <w:lastRenderedPageBreak/>
        <w:t> </w:t>
      </w:r>
    </w:p>
    <w:p w14:paraId="2AF99A2C"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u w:val="single"/>
          <w:lang w:eastAsia="es-CO"/>
        </w:rPr>
      </w:pPr>
      <w:r w:rsidRPr="00F65E45">
        <w:rPr>
          <w:rFonts w:ascii="Verdana" w:eastAsia="Times New Roman" w:hAnsi="Verdana" w:cs="Arial"/>
          <w:color w:val="000000"/>
          <w:sz w:val="20"/>
          <w:szCs w:val="20"/>
          <w:u w:val="single"/>
          <w:lang w:val="es-ES" w:eastAsia="es-CO"/>
        </w:rPr>
        <w:t>PARÁGRAFO 3o. &lt;Parágrafo adicionado por el artículo 5 de la Ley 1882 de 2018. El nuevo texto es el siguiente:&gt; La no entrega de la garantía de seriedad junto con la propuesta no será subsanable y será causal de rechazo de la misma.</w:t>
      </w:r>
      <w:r w:rsidRPr="00F65E45">
        <w:rPr>
          <w:rFonts w:ascii="Verdana" w:eastAsia="Times New Roman" w:hAnsi="Verdana" w:cs="Arial"/>
          <w:color w:val="000000"/>
          <w:sz w:val="20"/>
          <w:szCs w:val="20"/>
          <w:u w:val="single"/>
          <w:lang w:eastAsia="es-CO"/>
        </w:rPr>
        <w:t> </w:t>
      </w:r>
    </w:p>
    <w:p w14:paraId="449C6493"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eastAsia="es-CO"/>
        </w:rPr>
        <w:t> </w:t>
      </w:r>
    </w:p>
    <w:p w14:paraId="3ECB2608"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val="es-ES" w:eastAsia="es-CO"/>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F65E45">
        <w:rPr>
          <w:rFonts w:ascii="Verdana" w:eastAsia="Times New Roman" w:hAnsi="Verdana" w:cs="Arial"/>
          <w:color w:val="000000"/>
          <w:sz w:val="20"/>
          <w:szCs w:val="20"/>
          <w:lang w:eastAsia="es-CO"/>
        </w:rPr>
        <w:t> </w:t>
      </w:r>
    </w:p>
    <w:p w14:paraId="127ED774"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eastAsia="es-CO"/>
        </w:rPr>
        <w:t> </w:t>
      </w:r>
    </w:p>
    <w:p w14:paraId="271C28C0" w14:textId="77777777" w:rsidR="00914FF6" w:rsidRPr="00F65E45" w:rsidRDefault="00914FF6" w:rsidP="00914FF6">
      <w:pPr>
        <w:spacing w:after="0" w:line="240" w:lineRule="auto"/>
        <w:ind w:left="709" w:right="709"/>
        <w:jc w:val="both"/>
        <w:textAlignment w:val="baseline"/>
        <w:rPr>
          <w:rFonts w:ascii="Verdana" w:eastAsia="Times New Roman" w:hAnsi="Verdana" w:cs="Segoe UI"/>
          <w:sz w:val="20"/>
          <w:szCs w:val="20"/>
          <w:lang w:eastAsia="es-CO"/>
        </w:rPr>
      </w:pPr>
      <w:r w:rsidRPr="00F65E45">
        <w:rPr>
          <w:rFonts w:ascii="Verdana" w:eastAsia="Times New Roman" w:hAnsi="Verdana" w:cs="Arial"/>
          <w:color w:val="000000"/>
          <w:sz w:val="20"/>
          <w:szCs w:val="20"/>
          <w:lang w:val="es-ES" w:eastAsia="es-CO"/>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[Subrayado por fuera de texto original]</w:t>
      </w:r>
    </w:p>
    <w:p w14:paraId="7E541CA5" w14:textId="77777777" w:rsidR="00914FF6" w:rsidRPr="00F65E45" w:rsidRDefault="00914FF6" w:rsidP="00914FF6">
      <w:pPr>
        <w:spacing w:after="0" w:line="276" w:lineRule="auto"/>
        <w:ind w:left="709" w:right="709"/>
        <w:jc w:val="both"/>
        <w:rPr>
          <w:rFonts w:ascii="Verdana" w:eastAsia="Times New Roman" w:hAnsi="Verdana" w:cs="Arial"/>
          <w:lang w:eastAsia="es-CO"/>
        </w:rPr>
      </w:pPr>
    </w:p>
    <w:p w14:paraId="7BDBF068" w14:textId="77777777" w:rsidR="00914FF6" w:rsidRPr="00F65E45" w:rsidRDefault="00914FF6" w:rsidP="00914FF6">
      <w:pPr>
        <w:spacing w:after="120" w:line="276" w:lineRule="auto"/>
        <w:ind w:firstLine="709"/>
        <w:jc w:val="both"/>
        <w:rPr>
          <w:rFonts w:ascii="Verdana" w:eastAsia="Times New Roman" w:hAnsi="Verdana" w:cs="Arial"/>
          <w:lang w:val="es-ES" w:eastAsia="es-ES"/>
        </w:rPr>
      </w:pPr>
      <w:r w:rsidRPr="00F65E45">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ii) mantiene el criterio aclaratorio de la Ley 1150 de 2007, según el cual todo lo que no afecte la asignación de puntaje puede subsanarse; y, iii) introduce modificaciones en relación con algunos aspectos que se analizarán a continuación. </w:t>
      </w:r>
    </w:p>
    <w:p w14:paraId="3FA2B965" w14:textId="77777777" w:rsidR="00914FF6" w:rsidRPr="00F65E45" w:rsidRDefault="00914FF6" w:rsidP="00914FF6">
      <w:pPr>
        <w:spacing w:after="120" w:line="276" w:lineRule="auto"/>
        <w:ind w:right="51" w:firstLine="709"/>
        <w:jc w:val="both"/>
        <w:rPr>
          <w:rFonts w:ascii="Verdana" w:eastAsia="Times New Roman" w:hAnsi="Verdana" w:cs="Arial"/>
          <w:lang w:val="es-ES_tradnl" w:eastAsia="es-ES_tradnl"/>
        </w:rPr>
      </w:pPr>
      <w:r w:rsidRPr="00F65E45">
        <w:rPr>
          <w:rFonts w:ascii="Verdana" w:eastAsia="Times New Roman" w:hAnsi="Verdana" w:cs="Arial"/>
          <w:i/>
          <w:iCs/>
          <w:lang w:val="es-ES_tradnl" w:eastAsia="es-ES_tradnl"/>
        </w:rPr>
        <w:t xml:space="preserve">La primera modificación </w:t>
      </w:r>
      <w:r w:rsidRPr="00F65E45">
        <w:rPr>
          <w:rFonts w:ascii="Verdana" w:eastAsia="Times New Roman" w:hAnsi="Verdana" w:cs="Arial"/>
          <w:lang w:val="es-ES_tradnl" w:eastAsia="es-ES_tradnl"/>
        </w:rPr>
        <w:t>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F65E45">
        <w:rPr>
          <w:rFonts w:ascii="Verdana" w:eastAsia="Times New Roman" w:hAnsi="Verdana" w:cs="Arial"/>
          <w:vertAlign w:val="superscript"/>
          <w:lang w:val="es-ES_tradnl" w:eastAsia="es-ES_tradnl"/>
        </w:rPr>
        <w:footnoteReference w:id="3"/>
      </w:r>
      <w:r w:rsidRPr="00F65E45">
        <w:rPr>
          <w:rFonts w:ascii="Verdana" w:eastAsia="Times New Roman" w:hAnsi="Verdana" w:cs="Arial"/>
          <w:lang w:val="es-ES_tradnl" w:eastAsia="es-ES_tradnl"/>
        </w:rPr>
        <w:t>.</w:t>
      </w:r>
    </w:p>
    <w:p w14:paraId="60AF3C05" w14:textId="77777777" w:rsidR="00914FF6" w:rsidRPr="00F65E45" w:rsidRDefault="00914FF6" w:rsidP="00914FF6">
      <w:pPr>
        <w:spacing w:after="120" w:line="276" w:lineRule="auto"/>
        <w:ind w:firstLine="709"/>
        <w:jc w:val="both"/>
        <w:rPr>
          <w:rFonts w:ascii="Verdana" w:eastAsia="Times New Roman" w:hAnsi="Verdana" w:cs="Arial"/>
          <w:lang w:val="es-ES" w:eastAsia="es-ES"/>
        </w:rPr>
      </w:pPr>
      <w:r w:rsidRPr="00F65E45">
        <w:rPr>
          <w:rFonts w:ascii="Verdana" w:eastAsia="Times New Roman" w:hAnsi="Verdana" w:cs="Arial"/>
          <w:lang w:val="es-ES" w:eastAsia="es-ES"/>
        </w:rPr>
        <w:t xml:space="preserve">Frente a la regla general aplicable a los demás procesos de selección, la norma fijó un límite final para que la Administración y los oferentes subsanen los requisitos o documentos que puedan y deban ser subsanados. No obstante </w:t>
      </w:r>
      <w:r w:rsidRPr="00F65E45">
        <w:rPr>
          <w:rFonts w:ascii="Verdana" w:eastAsia="Times New Roman" w:hAnsi="Verdana" w:cs="Arial"/>
          <w:lang w:val="es-ES" w:eastAsia="es-ES"/>
        </w:rPr>
        <w:lastRenderedPageBreak/>
        <w:t>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 traslado del informe de evaluación: “</w:t>
      </w:r>
      <w:r w:rsidRPr="00F65E45">
        <w:rPr>
          <w:rFonts w:ascii="Verdana" w:eastAsia="Times New Roman" w:hAnsi="Verdana" w:cs="Arial"/>
          <w:i/>
          <w:iCs/>
          <w:lang w:val="es-ES" w:eastAsia="es-ES"/>
        </w:rPr>
        <w:t>deberán ser solicitados por las entidades estatales y deberán ser entregados por los proponentes hasta el término de traslado del informe de evaluación que corresponda a cada modalidad de selección”.</w:t>
      </w:r>
      <w:r w:rsidRPr="00F65E45">
        <w:rPr>
          <w:rFonts w:ascii="Verdana" w:eastAsia="Times New Roman" w:hAnsi="Verdana" w:cs="Arial"/>
          <w:lang w:val="es-ES" w:eastAsia="es-ES"/>
        </w:rPr>
        <w:t xml:space="preserve"> </w:t>
      </w:r>
    </w:p>
    <w:p w14:paraId="3D9E6DF9" w14:textId="77777777" w:rsidR="00914FF6" w:rsidRPr="00F65E45" w:rsidRDefault="00914FF6" w:rsidP="00914FF6">
      <w:pPr>
        <w:spacing w:after="120" w:line="276" w:lineRule="auto"/>
        <w:ind w:firstLine="709"/>
        <w:jc w:val="both"/>
        <w:rPr>
          <w:rFonts w:ascii="Verdana" w:eastAsia="Times New Roman" w:hAnsi="Verdana" w:cs="Arial"/>
          <w:lang w:val="es-ES" w:eastAsia="es-ES"/>
        </w:rPr>
      </w:pPr>
      <w:r w:rsidRPr="00F65E45">
        <w:rPr>
          <w:rFonts w:ascii="Verdana" w:eastAsia="Times New Roman" w:hAnsi="Verdana" w:cs="Arial"/>
          <w:lang w:val="es-ES" w:eastAsia="es-ES"/>
        </w:rPr>
        <w:t xml:space="preserve">Sin perjuicio de lo expuesto, de la lectura de este aparte podrían, en la práctica, darse dos interpretaciones que dan lugar a dos formas de proceder en los procesos de selección, en lo que a la subsanabilidad de las ofertas se refiere. </w:t>
      </w:r>
      <w:r w:rsidRPr="00F65E45">
        <w:rPr>
          <w:rFonts w:ascii="Verdana" w:eastAsia="Times New Roman" w:hAnsi="Verdana" w:cs="Arial"/>
          <w:i/>
          <w:iCs/>
          <w:lang w:val="es-ES" w:eastAsia="es-ES"/>
        </w:rPr>
        <w:t>Primera</w:t>
      </w:r>
      <w:r w:rsidRPr="00F65E45">
        <w:rPr>
          <w:rFonts w:ascii="Verdana" w:eastAsia="Times New Roman" w:hAnsi="Verdana" w:cs="Arial"/>
          <w:lang w:val="es-ES" w:eastAsia="es-ES"/>
        </w:rPr>
        <w:t xml:space="preserve">, que la posibilidad para subsanar de los oferentes es el término de traslado del informe de evaluación, ya que es en este documento donde la Administración consigna los requisitos o documentos omitidos que los oferentes deben subsanar, so pena de rechazo. </w:t>
      </w:r>
      <w:r w:rsidRPr="00F65E45">
        <w:rPr>
          <w:rFonts w:ascii="Verdana" w:eastAsia="Times New Roman" w:hAnsi="Verdana" w:cs="Arial"/>
          <w:i/>
          <w:iCs/>
          <w:lang w:val="es-ES" w:eastAsia="es-ES"/>
        </w:rPr>
        <w:t>Segunda</w:t>
      </w:r>
      <w:r w:rsidRPr="00F65E45">
        <w:rPr>
          <w:rFonts w:ascii="Verdana" w:eastAsia="Times New Roman" w:hAnsi="Verdana" w:cs="Arial"/>
          <w:lang w:val="es-ES" w:eastAsia="es-ES"/>
        </w:rPr>
        <w:t xml:space="preserve">, que el término del traslado del informe de evaluación es el </w:t>
      </w:r>
      <w:r w:rsidRPr="00F65E45">
        <w:rPr>
          <w:rFonts w:ascii="Verdana" w:eastAsia="Times New Roman" w:hAnsi="Verdana" w:cs="Arial"/>
          <w:i/>
          <w:lang w:val="es-ES" w:eastAsia="es-ES"/>
        </w:rPr>
        <w:t>límite</w:t>
      </w:r>
      <w:r w:rsidRPr="00F65E45">
        <w:rPr>
          <w:rFonts w:ascii="Verdana" w:eastAsia="Times New Roman" w:hAnsi="Verdana" w:cs="Arial"/>
          <w:lang w:val="es-ES" w:eastAsia="es-ES"/>
        </w:rPr>
        <w:t xml:space="preserve"> para la subsanación de ofertas, pero no el único momento para hacerlo. </w:t>
      </w:r>
    </w:p>
    <w:p w14:paraId="01EDC15A" w14:textId="77777777" w:rsidR="00914FF6" w:rsidRPr="00F65E45" w:rsidRDefault="00914FF6" w:rsidP="00914FF6">
      <w:pPr>
        <w:spacing w:after="120" w:line="276" w:lineRule="auto"/>
        <w:ind w:firstLine="709"/>
        <w:jc w:val="both"/>
        <w:rPr>
          <w:rFonts w:ascii="Verdana" w:eastAsia="Times New Roman" w:hAnsi="Verdana" w:cs="Arial"/>
          <w:lang w:val="es-ES_tradnl" w:eastAsia="es-ES_tradnl"/>
        </w:rPr>
      </w:pPr>
      <w:r w:rsidRPr="00F65E45">
        <w:rPr>
          <w:rFonts w:ascii="Verdana" w:eastAsia="Times New Roman" w:hAnsi="Verdana" w:cs="Arial"/>
          <w:lang w:val="es-ES_tradnl" w:eastAsia="es-ES_tradnl"/>
        </w:rPr>
        <w:t xml:space="preserve">De acuerdo con la primera interpretación, el informe de evaluación se convierte en la oportunidad que adopta la Administración para decirles a los oferentes qué documentos o requisitos omitieron y deben subsanar. Consecuentemente, el término del traslado es la oportunidad del proponente para cumplir con lo solicitado.  </w:t>
      </w:r>
    </w:p>
    <w:p w14:paraId="191F4FA5" w14:textId="77777777" w:rsidR="00914FF6" w:rsidRPr="00F65E45" w:rsidRDefault="00914FF6" w:rsidP="00914FF6">
      <w:pPr>
        <w:spacing w:after="120" w:line="276" w:lineRule="auto"/>
        <w:ind w:firstLine="709"/>
        <w:jc w:val="both"/>
        <w:rPr>
          <w:rFonts w:ascii="Verdana" w:eastAsia="Times New Roman" w:hAnsi="Verdana" w:cs="Arial"/>
          <w:lang w:val="es-ES_tradnl" w:eastAsia="es-ES_tradnl"/>
        </w:rPr>
      </w:pPr>
      <w:r w:rsidRPr="00F65E45">
        <w:rPr>
          <w:rFonts w:ascii="Verdana" w:eastAsia="Times New Roman" w:hAnsi="Verdana" w:cs="Arial"/>
          <w:lang w:val="es-ES_tradnl" w:eastAsia="es-ES_tradnl"/>
        </w:rPr>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613F3E64" w14:textId="77777777" w:rsidR="00914FF6" w:rsidRPr="00F65E45" w:rsidRDefault="00914FF6" w:rsidP="00914FF6">
      <w:pPr>
        <w:spacing w:after="120" w:line="276" w:lineRule="auto"/>
        <w:ind w:firstLine="709"/>
        <w:jc w:val="both"/>
        <w:rPr>
          <w:rFonts w:ascii="Verdana" w:eastAsia="Times New Roman" w:hAnsi="Verdana" w:cs="Arial"/>
          <w:lang w:val="es-ES" w:eastAsia="es-ES"/>
        </w:rPr>
      </w:pPr>
      <w:r w:rsidRPr="00F65E45">
        <w:rPr>
          <w:rFonts w:ascii="Verdana" w:eastAsia="Times New Roman" w:hAnsi="Verdana" w:cs="Arial"/>
          <w:lang w:val="es-ES" w:eastAsia="es-ES"/>
        </w:rPr>
        <w:t xml:space="preserve">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w:t>
      </w:r>
      <w:r w:rsidRPr="00F65E45">
        <w:rPr>
          <w:rFonts w:ascii="Verdana" w:eastAsia="Times New Roman" w:hAnsi="Verdana" w:cs="Arial"/>
          <w:lang w:val="es-ES" w:eastAsia="es-ES"/>
        </w:rPr>
        <w:lastRenderedPageBreak/>
        <w:t>Administración advierta el defecto,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14:paraId="52495DD1" w14:textId="77777777" w:rsidR="00914FF6" w:rsidRPr="00F65E45" w:rsidRDefault="00914FF6" w:rsidP="00914FF6">
      <w:pPr>
        <w:spacing w:after="120" w:line="276" w:lineRule="auto"/>
        <w:ind w:firstLine="709"/>
        <w:jc w:val="both"/>
        <w:rPr>
          <w:rFonts w:ascii="Verdana" w:eastAsia="Times New Roman" w:hAnsi="Verdana" w:cs="Arial"/>
          <w:lang w:val="es-ES_tradnl" w:eastAsia="es-ES_tradnl"/>
        </w:rPr>
      </w:pPr>
      <w:r w:rsidRPr="00F65E45">
        <w:rPr>
          <w:rFonts w:ascii="Verdana" w:eastAsia="Times New Roman" w:hAnsi="Verdana" w:cs="Arial"/>
          <w:lang w:val="es-ES_tradnl" w:eastAsia="es-ES_tradnl"/>
        </w:rPr>
        <w:t xml:space="preserve">El </w:t>
      </w:r>
      <w:r w:rsidRPr="00F65E45">
        <w:rPr>
          <w:rFonts w:ascii="Verdana" w:eastAsia="Times New Roman" w:hAnsi="Verdana" w:cs="Arial"/>
          <w:i/>
          <w:iCs/>
          <w:lang w:val="es-ES_tradnl" w:eastAsia="es-ES_tradnl"/>
        </w:rPr>
        <w:t>segundo cambio</w:t>
      </w:r>
      <w:r w:rsidRPr="00F65E45">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F65E45">
        <w:rPr>
          <w:rFonts w:ascii="Verdana" w:eastAsia="Times New Roman" w:hAnsi="Verdana" w:cs="Arial"/>
          <w:i/>
          <w:iCs/>
          <w:lang w:val="es-ES_tradnl" w:eastAsia="es-ES_tradnl"/>
        </w:rPr>
        <w:t>“los proponentes no podrán acreditar circunstancias ocurridas con posterioridad al cierre del proceso”.</w:t>
      </w:r>
      <w:r w:rsidRPr="00F65E45">
        <w:rPr>
          <w:rFonts w:ascii="Verdana" w:eastAsia="Times New Roman" w:hAnsi="Verdana" w:cs="Arial"/>
          <w:lang w:val="es-ES_tradnl" w:eastAsia="es-ES_tradnl"/>
        </w:rPr>
        <w:t xml:space="preserve"> Lo anterior ofrece dos aspectos que merecen clarificación; primero, qué debe entenderse por circunstancias ocurridas con posterioridad, y segundo, qué es el cierre del proceso. </w:t>
      </w:r>
    </w:p>
    <w:p w14:paraId="63A0EC72" w14:textId="77777777" w:rsidR="00914FF6" w:rsidRPr="00F65E45" w:rsidRDefault="00914FF6" w:rsidP="00914FF6">
      <w:pPr>
        <w:spacing w:after="120" w:line="276" w:lineRule="auto"/>
        <w:ind w:firstLine="709"/>
        <w:jc w:val="both"/>
        <w:rPr>
          <w:rFonts w:ascii="Verdana" w:eastAsia="Times New Roman" w:hAnsi="Verdana" w:cs="Arial"/>
          <w:lang w:val="es-ES" w:eastAsia="es-ES"/>
        </w:rPr>
      </w:pPr>
      <w:r w:rsidRPr="00F65E45">
        <w:rPr>
          <w:rFonts w:ascii="Verdana" w:eastAsia="Times New Roman" w:hAnsi="Verdana" w:cs="Arial"/>
          <w:lang w:val="es-ES" w:eastAsia="es-ES"/>
        </w:rPr>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En esa ocasión, el Consejo de Estado precisó que, por cierre del proceso debe entenderse el vencimiento del plazo para la presentación de las ofertas y que lo subsanable son las circunstancias que ocurrieron con anterioridad a esa fecha</w:t>
      </w:r>
      <w:r w:rsidRPr="00F65E45">
        <w:rPr>
          <w:rFonts w:ascii="Verdana" w:eastAsia="Times New Roman" w:hAnsi="Verdana" w:cs="Arial"/>
          <w:vertAlign w:val="superscript"/>
          <w:lang w:val="es-ES" w:eastAsia="es-ES"/>
        </w:rPr>
        <w:footnoteReference w:id="4"/>
      </w:r>
      <w:r w:rsidRPr="00F65E45">
        <w:rPr>
          <w:rFonts w:ascii="Verdana" w:eastAsia="Times New Roman" w:hAnsi="Verdana" w:cs="Arial"/>
          <w:lang w:val="es-ES" w:eastAsia="es-ES"/>
        </w:rPr>
        <w:t>.</w:t>
      </w:r>
    </w:p>
    <w:p w14:paraId="2F9BC33B" w14:textId="77777777" w:rsidR="00914FF6" w:rsidRPr="00F65E45" w:rsidRDefault="00914FF6" w:rsidP="00914FF6">
      <w:pPr>
        <w:spacing w:after="120" w:line="276" w:lineRule="auto"/>
        <w:ind w:firstLine="709"/>
        <w:jc w:val="both"/>
        <w:rPr>
          <w:rFonts w:ascii="Verdana" w:eastAsia="Times New Roman" w:hAnsi="Verdana" w:cs="Arial"/>
          <w:lang w:val="es-ES" w:eastAsia="es-ES"/>
        </w:rPr>
      </w:pPr>
      <w:r w:rsidRPr="00F65E45">
        <w:rPr>
          <w:rFonts w:ascii="Verdana" w:eastAsia="Times New Roman" w:hAnsi="Verdana" w:cs="Arial"/>
          <w:lang w:val="es-ES" w:eastAsia="es-ES"/>
        </w:rPr>
        <w:lastRenderedPageBreak/>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059D84E8" w14:textId="77777777" w:rsidR="00914FF6" w:rsidRPr="00F65E45" w:rsidRDefault="00914FF6" w:rsidP="00914FF6">
      <w:pPr>
        <w:spacing w:after="120" w:line="276" w:lineRule="auto"/>
        <w:ind w:firstLine="709"/>
        <w:jc w:val="both"/>
        <w:rPr>
          <w:rFonts w:ascii="Verdana" w:eastAsia="Times New Roman" w:hAnsi="Verdana" w:cs="Arial"/>
          <w:lang w:val="es-ES" w:eastAsia="es-ES"/>
        </w:rPr>
      </w:pPr>
      <w:r w:rsidRPr="00F65E45">
        <w:rPr>
          <w:rFonts w:ascii="Verdana" w:eastAsia="Times New Roman" w:hAnsi="Verdana" w:cs="Arial"/>
          <w:lang w:val="es-ES" w:eastAsia="es-ES"/>
        </w:rPr>
        <w:t xml:space="preserve">Un mejor entendimiento del significado de la expresión </w:t>
      </w:r>
      <w:r w:rsidRPr="00F65E45">
        <w:rPr>
          <w:rFonts w:ascii="Verdana" w:eastAsia="Times New Roman" w:hAnsi="Verdana" w:cs="Arial"/>
          <w:i/>
          <w:lang w:val="es-ES" w:eastAsia="es-ES"/>
        </w:rPr>
        <w:t>“circunstancias ocurridas con posterioridad al cierre del proceso”</w:t>
      </w:r>
      <w:r w:rsidRPr="00F65E45">
        <w:rPr>
          <w:rFonts w:ascii="Verdana" w:eastAsia="Times New Roman" w:hAnsi="Verdana" w:cs="Arial"/>
          <w:lang w:val="es-ES" w:eastAsia="es-ES"/>
        </w:rPr>
        <w:t xml:space="preserve"> implica distinguir entre la prueba de un hecho y el hecho mismo. En el caso de la subsanabilidad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F65E45">
        <w:rPr>
          <w:rFonts w:ascii="Verdana" w:eastAsia="Times New Roman" w:hAnsi="Verdana" w:cs="Arial"/>
          <w:vertAlign w:val="superscript"/>
          <w:lang w:val="es-ES" w:eastAsia="es-ES"/>
        </w:rPr>
        <w:footnoteReference w:id="5"/>
      </w:r>
      <w:r w:rsidRPr="00F65E45">
        <w:rPr>
          <w:rFonts w:ascii="Verdana" w:eastAsia="Times New Roman" w:hAnsi="Verdana" w:cs="Arial"/>
          <w:lang w:val="es-ES" w:eastAsia="es-ES"/>
        </w:rPr>
        <w:t xml:space="preserve">. </w:t>
      </w:r>
    </w:p>
    <w:p w14:paraId="07005CED" w14:textId="77777777" w:rsidR="00914FF6" w:rsidRPr="00F65E45" w:rsidRDefault="00914FF6" w:rsidP="00914FF6">
      <w:pPr>
        <w:spacing w:after="120" w:line="276" w:lineRule="auto"/>
        <w:ind w:firstLine="709"/>
        <w:jc w:val="both"/>
        <w:rPr>
          <w:rFonts w:ascii="Verdana" w:eastAsia="Times New Roman" w:hAnsi="Verdana" w:cs="Arial"/>
          <w:lang w:val="es-ES" w:eastAsia="es-ES"/>
        </w:rPr>
      </w:pPr>
      <w:r w:rsidRPr="00F65E45">
        <w:rPr>
          <w:rFonts w:ascii="Verdana" w:eastAsia="Times New Roman" w:hAnsi="Verdana" w:cs="Arial"/>
          <w:lang w:val="es-ES" w:eastAsia="es-ES"/>
        </w:rPr>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w:t>
      </w:r>
      <w:r w:rsidRPr="00F65E45">
        <w:rPr>
          <w:rFonts w:ascii="Verdana" w:eastAsia="Times New Roman" w:hAnsi="Verdana" w:cs="Arial"/>
          <w:lang w:val="es-ES" w:eastAsia="es-ES"/>
        </w:rPr>
        <w:lastRenderedPageBreak/>
        <w:t>esta en firme para dicho momento; ii)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F65E45">
        <w:rPr>
          <w:rFonts w:ascii="Verdana" w:eastAsia="Times New Roman" w:hAnsi="Verdana" w:cs="Arial"/>
          <w:vertAlign w:val="superscript"/>
          <w:lang w:val="es-ES" w:eastAsia="es-ES"/>
        </w:rPr>
        <w:footnoteReference w:id="6"/>
      </w:r>
      <w:r w:rsidRPr="00F65E45">
        <w:rPr>
          <w:rFonts w:ascii="Verdana" w:eastAsia="Times New Roman" w:hAnsi="Verdana" w:cs="Arial"/>
          <w:lang w:val="es-ES" w:eastAsia="es-ES"/>
        </w:rPr>
        <w:t>; iii) si un oferente no anexó el certificado de existencia y representación legal, el documento aportado con posterioridad debe dar cuenta de que la sociedad existía antes del cierre del proceso</w:t>
      </w:r>
      <w:r w:rsidRPr="00F65E45">
        <w:rPr>
          <w:rFonts w:ascii="Verdana" w:eastAsia="Times New Roman" w:hAnsi="Verdana" w:cs="Arial"/>
          <w:vertAlign w:val="superscript"/>
          <w:lang w:val="es-ES" w:eastAsia="es-ES"/>
        </w:rPr>
        <w:footnoteReference w:id="7"/>
      </w:r>
      <w:r w:rsidRPr="00F65E45">
        <w:rPr>
          <w:rFonts w:ascii="Verdana" w:eastAsia="Times New Roman" w:hAnsi="Verdana" w:cs="Arial"/>
          <w:lang w:val="es-ES" w:eastAsia="es-ES"/>
        </w:rPr>
        <w:t xml:space="preserve">; iv)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ofertas, y vi) si el oferente olvidó firmar la propuesta o presentar una copia de ella, puede subsanar sin que con ello se entienda que acreditó una circunstancia ocurrida con posterioridad al cierre del proceso. </w:t>
      </w:r>
    </w:p>
    <w:p w14:paraId="33F99CC2" w14:textId="77777777" w:rsidR="00914FF6" w:rsidRPr="00F65E45" w:rsidRDefault="00914FF6" w:rsidP="00914FF6">
      <w:pPr>
        <w:spacing w:after="120" w:line="276" w:lineRule="auto"/>
        <w:ind w:firstLine="709"/>
        <w:jc w:val="both"/>
        <w:rPr>
          <w:rFonts w:ascii="Verdana" w:eastAsia="Times New Roman" w:hAnsi="Verdana" w:cs="Arial"/>
          <w:lang w:val="es-ES" w:eastAsia="es-ES"/>
        </w:rPr>
      </w:pPr>
      <w:r w:rsidRPr="00F65E45">
        <w:rPr>
          <w:rFonts w:ascii="Verdana" w:eastAsia="Times New Roman" w:hAnsi="Verdana" w:cs="Arial"/>
          <w:lang w:val="es-ES" w:eastAsia="es-ES"/>
        </w:rPr>
        <w:t>Lo anterior quiere decir que 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F65E45">
        <w:rPr>
          <w:rFonts w:ascii="Verdana" w:eastAsia="Times New Roman" w:hAnsi="Verdana" w:cs="Arial"/>
          <w:vertAlign w:val="superscript"/>
          <w:lang w:val="es-ES" w:eastAsia="es-ES"/>
        </w:rPr>
        <w:footnoteReference w:id="8"/>
      </w:r>
      <w:r w:rsidRPr="00F65E45">
        <w:rPr>
          <w:rFonts w:ascii="Verdana" w:eastAsia="Times New Roman" w:hAnsi="Verdana" w:cs="Arial"/>
          <w:lang w:val="es-ES" w:eastAsia="es-ES"/>
        </w:rPr>
        <w:t>.</w:t>
      </w:r>
    </w:p>
    <w:p w14:paraId="212A1EC7" w14:textId="16EB4366" w:rsidR="009615DE" w:rsidRPr="00F65E45" w:rsidRDefault="001D7E73" w:rsidP="009615DE">
      <w:pPr>
        <w:spacing w:after="120" w:line="276" w:lineRule="auto"/>
        <w:ind w:firstLine="737"/>
        <w:jc w:val="both"/>
        <w:rPr>
          <w:rFonts w:ascii="Verdana" w:hAnsi="Verdana" w:cs="Arial"/>
        </w:rPr>
      </w:pPr>
      <w:r w:rsidRPr="00F65E45">
        <w:rPr>
          <w:rFonts w:ascii="Verdana" w:eastAsia="Times New Roman" w:hAnsi="Verdana" w:cs="Arial"/>
          <w:lang w:val="es-ES" w:eastAsia="es-ES"/>
        </w:rPr>
        <w:t>De lo expuesto y de cara a la consulta elevada debe indicar</w:t>
      </w:r>
      <w:r w:rsidR="009615DE" w:rsidRPr="00F65E45">
        <w:rPr>
          <w:rFonts w:ascii="Verdana" w:eastAsia="Times New Roman" w:hAnsi="Verdana" w:cs="Arial"/>
          <w:lang w:val="es-ES" w:eastAsia="es-ES"/>
        </w:rPr>
        <w:t>se</w:t>
      </w:r>
      <w:r w:rsidRPr="00F65E45">
        <w:rPr>
          <w:rFonts w:ascii="Verdana" w:eastAsia="Times New Roman" w:hAnsi="Verdana" w:cs="Arial"/>
          <w:lang w:val="es-ES" w:eastAsia="es-ES"/>
        </w:rPr>
        <w:t xml:space="preserve"> que </w:t>
      </w:r>
      <w:r w:rsidR="009615DE" w:rsidRPr="00F65E45">
        <w:rPr>
          <w:rFonts w:ascii="Verdana" w:hAnsi="Verdana" w:cs="Arial"/>
        </w:rPr>
        <w:t xml:space="preserve">la subsanabilidad de las ofertas en los procedimientos de selección dispone que la falta de entrega o los defectos en la acreditación de los requisitos habilitantes </w:t>
      </w:r>
      <w:r w:rsidR="009615DE" w:rsidRPr="00F65E45">
        <w:rPr>
          <w:rFonts w:ascii="Verdana" w:hAnsi="Verdana" w:cs="Arial"/>
        </w:rPr>
        <w:lastRenderedPageBreak/>
        <w:t>son, en principio, subsanables. Sin embargo, la ley establece tres excepciones expresas en las que no procede la subsanación: cuando se trate de requisitos que otorgan puntaje, cuando se pretenda acreditar circunstancias ocurridas con posterioridad al cierre del proceso y cuando no se haya aportado la garantía de seriedad de la oferta junto con la propuesta.</w:t>
      </w:r>
    </w:p>
    <w:p w14:paraId="67EB788B" w14:textId="77777777" w:rsidR="009615DE" w:rsidRPr="00F65E45" w:rsidRDefault="009615DE" w:rsidP="009615DE">
      <w:pPr>
        <w:spacing w:after="120" w:line="276" w:lineRule="auto"/>
        <w:ind w:firstLine="737"/>
        <w:jc w:val="both"/>
        <w:rPr>
          <w:rFonts w:ascii="Verdana" w:hAnsi="Verdana" w:cs="Arial"/>
        </w:rPr>
      </w:pPr>
      <w:r w:rsidRPr="00F65E45">
        <w:rPr>
          <w:rFonts w:ascii="Verdana" w:hAnsi="Verdana" w:cs="Arial"/>
        </w:rPr>
        <w:t xml:space="preserve">Bajo este contexto, la Entidad Estatal tiene el deber de requerir al proponente los documentos que, de acuerdo con las características descritas en este concepto, puedan ser objeto de subsanación. A su vez, el proponente conserva el derecho de aportarlos hasta el término de traslado del informe de evaluación </w:t>
      </w:r>
      <w:r w:rsidRPr="00F65E45">
        <w:rPr>
          <w:rFonts w:ascii="Verdana" w:eastAsia="Calibri" w:hAnsi="Verdana" w:cs="Arial"/>
          <w:color w:val="000000" w:themeColor="text1"/>
          <w:lang w:eastAsia="es-CO"/>
        </w:rPr>
        <w:t>—</w:t>
      </w:r>
      <w:r w:rsidRPr="00F65E45">
        <w:rPr>
          <w:rFonts w:ascii="Verdana" w:hAnsi="Verdana" w:cs="Arial"/>
        </w:rPr>
        <w:t>a excepción de la modalidad de selección de mínima cuantía y subasta</w:t>
      </w:r>
      <w:r w:rsidRPr="00F65E45">
        <w:rPr>
          <w:rFonts w:ascii="Verdana" w:eastAsia="Calibri" w:hAnsi="Verdana" w:cs="Arial"/>
          <w:color w:val="000000" w:themeColor="text1"/>
          <w:lang w:eastAsia="es-CO"/>
        </w:rPr>
        <w:t xml:space="preserve">— </w:t>
      </w:r>
      <w:r w:rsidRPr="00F65E45">
        <w:rPr>
          <w:rFonts w:ascii="Verdana" w:hAnsi="Verdana" w:cs="Arial"/>
        </w:rPr>
        <w:t>garantizando así el equilibrio entre la obligación de la administración de velar por la transparencia del proceso y el derecho de los oferentes a corregir las deficiencias que no afectan la esencia de la propuesta.</w:t>
      </w:r>
    </w:p>
    <w:p w14:paraId="4F7C5030" w14:textId="77777777" w:rsidR="009615DE" w:rsidRPr="00F65E45" w:rsidRDefault="009615DE" w:rsidP="009615DE">
      <w:pPr>
        <w:spacing w:after="120" w:line="276" w:lineRule="auto"/>
        <w:ind w:firstLine="737"/>
        <w:jc w:val="both"/>
        <w:rPr>
          <w:rFonts w:ascii="Verdana" w:eastAsia="Calibri" w:hAnsi="Verdana" w:cs="Arial"/>
          <w:color w:val="000000" w:themeColor="text1"/>
          <w:lang w:eastAsia="es-CO"/>
        </w:rPr>
      </w:pPr>
      <w:r w:rsidRPr="00F65E45">
        <w:rPr>
          <w:rFonts w:ascii="Verdana" w:eastAsia="Calibri" w:hAnsi="Verdana" w:cs="Arial"/>
          <w:color w:val="000000" w:themeColor="text1"/>
          <w:lang w:eastAsia="es-CO"/>
        </w:rPr>
        <w:t xml:space="preserve">En cuanto a los plazos para subsanar, el artículo 5 de la Ley 1882 de 2018 establece que el límite máximo para que la entidad requiera la subsanación y para que el proponente la atienda es el vencimiento del término de traslado del informe de evaluación. Sin embargo, esta disposición no impide —ni mucho menos prohíbe— que dicha actuación se adelante con anterioridad a la publicación de ese informe. </w:t>
      </w:r>
    </w:p>
    <w:p w14:paraId="6F1D21F1" w14:textId="77777777" w:rsidR="009615DE" w:rsidRPr="00F65E45" w:rsidRDefault="009615DE" w:rsidP="009615DE">
      <w:pPr>
        <w:spacing w:after="120" w:line="276" w:lineRule="auto"/>
        <w:ind w:firstLine="737"/>
        <w:jc w:val="both"/>
        <w:rPr>
          <w:rFonts w:ascii="Verdana" w:eastAsia="Calibri" w:hAnsi="Verdana" w:cs="Arial"/>
          <w:color w:val="000000" w:themeColor="text1"/>
          <w:lang w:eastAsia="es-CO"/>
        </w:rPr>
      </w:pPr>
      <w:r w:rsidRPr="00F65E45">
        <w:rPr>
          <w:rFonts w:ascii="Verdana" w:eastAsia="Calibri" w:hAnsi="Verdana" w:cs="Arial"/>
          <w:color w:val="000000" w:themeColor="text1"/>
          <w:lang w:eastAsia="es-CO"/>
        </w:rPr>
        <w:t>En efecto, la norma fija un límite temporal máximo, no un momento único y exclusivo para ejercer la facultad de subsanar. Por ello, resulta no solo jurídicamente viable sino más adecuado y conveniente que, una vez la entidad advierta el defecto en la oferta, lo requiera directamente al oferente de forma inmediata, sin esperar a la etapa de publicación del informe de evaluación. Esta lectura es más coherente con los principios de economía, transparencia y selección objetiva que rigen la contratación estatal, pues permite corregir oportunamente las falencias sin dilatar innecesariamente el proceso.</w:t>
      </w:r>
    </w:p>
    <w:p w14:paraId="64BDA856" w14:textId="77777777" w:rsidR="000649F1" w:rsidRPr="00F65E45" w:rsidRDefault="009615DE" w:rsidP="000649F1">
      <w:pPr>
        <w:spacing w:after="120" w:line="276" w:lineRule="auto"/>
        <w:ind w:firstLine="737"/>
        <w:jc w:val="both"/>
        <w:rPr>
          <w:rFonts w:ascii="Verdana" w:eastAsia="Calibri" w:hAnsi="Verdana" w:cs="Arial"/>
          <w:color w:val="000000" w:themeColor="text1"/>
          <w:lang w:eastAsia="es-CO"/>
        </w:rPr>
      </w:pPr>
      <w:r w:rsidRPr="00F65E45">
        <w:rPr>
          <w:rFonts w:ascii="Verdana" w:eastAsia="Calibri" w:hAnsi="Verdana" w:cs="Arial"/>
          <w:color w:val="000000" w:themeColor="text1"/>
          <w:lang w:eastAsia="es-CO"/>
        </w:rPr>
        <w:t>En todo caso, lo anterior no desconoce el límite que la normativa impone: los oferentes cuentan, como plazo máximo e improrrogable, con el vencimiento del término de traslado del informe de evaluación para presentar la información o los documentos requeridos. Este límite opera con independencia de que la subsanación haya sido solicitada o atendida en una etapa anterior, siempre que así se haya previsto en los Documentos del Proceso.</w:t>
      </w:r>
    </w:p>
    <w:p w14:paraId="304DCF57" w14:textId="3AC64E7B" w:rsidR="00474BF3" w:rsidRPr="00F65E45" w:rsidRDefault="00474BF3" w:rsidP="000649F1">
      <w:pPr>
        <w:spacing w:after="120" w:line="276" w:lineRule="auto"/>
        <w:ind w:firstLine="737"/>
        <w:jc w:val="both"/>
        <w:rPr>
          <w:rFonts w:ascii="Verdana" w:eastAsia="Calibri" w:hAnsi="Verdana" w:cs="Arial"/>
          <w:color w:val="000000" w:themeColor="text1"/>
          <w:lang w:eastAsia="es-CO"/>
        </w:rPr>
      </w:pPr>
      <w:r w:rsidRPr="00F65E45">
        <w:rPr>
          <w:rFonts w:ascii="Verdana" w:eastAsia="Calibri" w:hAnsi="Verdana" w:cs="Arial"/>
          <w:iCs/>
        </w:rPr>
        <w:lastRenderedPageBreak/>
        <w:t xml:space="preserve">Al margen de lo anterior, </w:t>
      </w:r>
      <w:r w:rsidRPr="00F65E45">
        <w:rPr>
          <w:rFonts w:ascii="Verdana" w:eastAsia="Calibri" w:hAnsi="Verdana" w:cs="Arial"/>
        </w:rPr>
        <w:t xml:space="preserve">debe advertirse que el análisis sobre la subsanación o el rechazo de las ofertas al interior de los procedimientos de selección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341802F7" w14:textId="77777777" w:rsidR="00474BF3" w:rsidRPr="00F65E45" w:rsidRDefault="00474BF3" w:rsidP="00474BF3">
      <w:pPr>
        <w:widowControl w:val="0"/>
        <w:autoSpaceDE w:val="0"/>
        <w:autoSpaceDN w:val="0"/>
        <w:spacing w:after="0" w:line="276" w:lineRule="auto"/>
        <w:ind w:firstLine="708"/>
        <w:jc w:val="both"/>
        <w:rPr>
          <w:rFonts w:ascii="Verdana" w:eastAsia="Calibri" w:hAnsi="Verdana" w:cs="Arial"/>
        </w:rPr>
      </w:pPr>
      <w:r w:rsidRPr="00F65E45">
        <w:rPr>
          <w:rFonts w:ascii="Verdana" w:eastAsia="Calibri" w:hAnsi="Verdana" w:cs="Arial"/>
        </w:rPr>
        <w:t>Dentro de este marco, la entidad contratante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75A0A3F" w14:textId="77777777" w:rsidR="00E4579D" w:rsidRPr="00F65E45" w:rsidRDefault="00E4579D" w:rsidP="00E4579D">
      <w:pPr>
        <w:widowControl w:val="0"/>
        <w:autoSpaceDE w:val="0"/>
        <w:autoSpaceDN w:val="0"/>
        <w:spacing w:after="0" w:line="276" w:lineRule="auto"/>
        <w:jc w:val="both"/>
        <w:rPr>
          <w:rFonts w:ascii="Verdana" w:hAnsi="Verdana" w:cs="Arial"/>
          <w:lang w:eastAsia="es-ES"/>
        </w:rPr>
      </w:pPr>
    </w:p>
    <w:p w14:paraId="4447EADA" w14:textId="77777777" w:rsidR="00E4579D" w:rsidRPr="00F65E45" w:rsidRDefault="00E4579D" w:rsidP="00E4579D">
      <w:pPr>
        <w:pStyle w:val="Prrafodelista"/>
        <w:numPr>
          <w:ilvl w:val="0"/>
          <w:numId w:val="18"/>
        </w:numPr>
        <w:tabs>
          <w:tab w:val="left" w:pos="142"/>
          <w:tab w:val="left" w:pos="284"/>
        </w:tabs>
        <w:spacing w:after="0" w:line="276" w:lineRule="auto"/>
        <w:ind w:left="360"/>
        <w:contextualSpacing w:val="0"/>
        <w:jc w:val="both"/>
        <w:rPr>
          <w:rFonts w:ascii="Verdana" w:eastAsia="Century Gothic" w:hAnsi="Verdana" w:cs="Century Gothic"/>
          <w:b/>
          <w:bCs/>
        </w:rPr>
      </w:pPr>
      <w:r w:rsidRPr="00F65E45">
        <w:rPr>
          <w:rFonts w:ascii="Verdana" w:eastAsia="Century Gothic" w:hAnsi="Verdana" w:cs="Century Gothic"/>
          <w:b/>
          <w:bCs/>
        </w:rPr>
        <w:t>Referencias normativas, jurisprudenciales y otras fuentes:</w:t>
      </w:r>
    </w:p>
    <w:p w14:paraId="1609907A" w14:textId="77777777" w:rsidR="00E4579D" w:rsidRPr="00F65E45" w:rsidRDefault="00E4579D" w:rsidP="00E4579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4579D" w:rsidRPr="00F65E45" w14:paraId="428D89BC" w14:textId="77777777" w:rsidTr="00ED4B75">
        <w:trPr>
          <w:trHeight w:val="870"/>
        </w:trPr>
        <w:tc>
          <w:tcPr>
            <w:tcW w:w="8647" w:type="dxa"/>
          </w:tcPr>
          <w:p w14:paraId="31C98149" w14:textId="77777777" w:rsidR="006E74AD" w:rsidRPr="00F65E45" w:rsidRDefault="006E74AD" w:rsidP="006E74AD">
            <w:pPr>
              <w:numPr>
                <w:ilvl w:val="0"/>
                <w:numId w:val="17"/>
              </w:numPr>
              <w:snapToGrid w:val="0"/>
              <w:spacing w:after="120" w:line="276" w:lineRule="auto"/>
              <w:jc w:val="both"/>
              <w:rPr>
                <w:rFonts w:ascii="Verdana" w:eastAsia="Calibri" w:hAnsi="Verdana" w:cs="Arial"/>
                <w:noProof/>
                <w:lang w:val="es-ES_tradnl"/>
              </w:rPr>
            </w:pPr>
            <w:r w:rsidRPr="00F65E45">
              <w:rPr>
                <w:rFonts w:ascii="Verdana" w:eastAsia="Calibri" w:hAnsi="Verdana" w:cs="Arial"/>
                <w:noProof/>
                <w:lang w:val="es-ES_tradnl"/>
              </w:rPr>
              <w:t>Ley 1882 de 2018</w:t>
            </w:r>
          </w:p>
          <w:p w14:paraId="344E3438" w14:textId="77777777" w:rsidR="006E74AD" w:rsidRPr="00F65E45" w:rsidRDefault="006E74AD" w:rsidP="006E74AD">
            <w:pPr>
              <w:numPr>
                <w:ilvl w:val="0"/>
                <w:numId w:val="17"/>
              </w:numPr>
              <w:snapToGrid w:val="0"/>
              <w:spacing w:after="120" w:line="276" w:lineRule="auto"/>
              <w:jc w:val="both"/>
              <w:rPr>
                <w:rFonts w:ascii="Verdana" w:eastAsia="Calibri" w:hAnsi="Verdana" w:cs="Arial"/>
                <w:noProof/>
                <w:lang w:val="es-ES_tradnl"/>
              </w:rPr>
            </w:pPr>
            <w:r w:rsidRPr="00F65E45">
              <w:rPr>
                <w:rFonts w:ascii="Verdana" w:eastAsia="Calibri" w:hAnsi="Verdana" w:cs="Arial"/>
                <w:noProof/>
                <w:lang w:val="es-ES_tradnl"/>
              </w:rPr>
              <w:t>Ley 1150 de 2007</w:t>
            </w:r>
          </w:p>
          <w:p w14:paraId="4DF0D5DD" w14:textId="5659EEC9" w:rsidR="00471525" w:rsidRPr="00F65E45" w:rsidRDefault="00471525" w:rsidP="006E74AD">
            <w:pPr>
              <w:numPr>
                <w:ilvl w:val="0"/>
                <w:numId w:val="17"/>
              </w:numPr>
              <w:snapToGrid w:val="0"/>
              <w:spacing w:after="120" w:line="276" w:lineRule="auto"/>
              <w:jc w:val="both"/>
              <w:rPr>
                <w:rFonts w:ascii="Verdana" w:eastAsia="Calibri" w:hAnsi="Verdana" w:cs="Arial"/>
                <w:noProof/>
                <w:lang w:val="es-ES_tradnl"/>
              </w:rPr>
            </w:pPr>
            <w:r w:rsidRPr="00F65E45">
              <w:rPr>
                <w:rFonts w:ascii="Verdana" w:eastAsia="Calibri" w:hAnsi="Verdana" w:cs="Arial"/>
                <w:noProof/>
                <w:lang w:val="es-ES_tradnl"/>
              </w:rPr>
              <w:t>CONSEJO DE ESTADO</w:t>
            </w:r>
            <w:r w:rsidR="00F83F6D" w:rsidRPr="00F65E45">
              <w:rPr>
                <w:rFonts w:ascii="Verdana" w:eastAsia="Calibri" w:hAnsi="Verdana" w:cs="Arial"/>
                <w:noProof/>
                <w:lang w:val="es-ES_tradnl"/>
              </w:rPr>
              <w:t>.</w:t>
            </w:r>
            <w:r w:rsidRPr="00F65E45">
              <w:rPr>
                <w:rFonts w:ascii="Verdana" w:eastAsia="Calibri" w:hAnsi="Verdana" w:cs="Arial"/>
                <w:noProof/>
                <w:lang w:val="es-ES_tradnl"/>
              </w:rPr>
              <w:t xml:space="preserve"> Sección Tercera, Subsección C. Sentencia del 26 de febrero de 2011. C.P. Jaime Orlando Santofimio. Rad. 36.408.</w:t>
            </w:r>
          </w:p>
          <w:p w14:paraId="26D7C3C7" w14:textId="1EB216AC" w:rsidR="007A4C55" w:rsidRPr="00F65E45" w:rsidRDefault="007A4C55" w:rsidP="006E74AD">
            <w:pPr>
              <w:numPr>
                <w:ilvl w:val="0"/>
                <w:numId w:val="17"/>
              </w:numPr>
              <w:snapToGrid w:val="0"/>
              <w:spacing w:after="120" w:line="276" w:lineRule="auto"/>
              <w:jc w:val="both"/>
              <w:rPr>
                <w:rFonts w:ascii="Verdana" w:eastAsia="Calibri" w:hAnsi="Verdana" w:cs="Arial"/>
                <w:noProof/>
                <w:lang w:val="es-ES_tradnl"/>
              </w:rPr>
            </w:pPr>
            <w:r w:rsidRPr="00F65E45">
              <w:rPr>
                <w:rFonts w:ascii="Verdana" w:eastAsia="Calibri" w:hAnsi="Verdana" w:cs="Arial"/>
                <w:noProof/>
                <w:lang w:val="es-ES_tradnl"/>
              </w:rPr>
              <w:t>CONSEJO DE ESTADO</w:t>
            </w:r>
            <w:r w:rsidR="00F83F6D" w:rsidRPr="00F65E45">
              <w:rPr>
                <w:rFonts w:ascii="Verdana" w:eastAsia="Calibri" w:hAnsi="Verdana" w:cs="Arial"/>
                <w:noProof/>
                <w:lang w:val="es-ES_tradnl"/>
              </w:rPr>
              <w:t>.</w:t>
            </w:r>
            <w:r w:rsidRPr="00F65E45">
              <w:rPr>
                <w:rFonts w:ascii="Verdana" w:eastAsia="Calibri" w:hAnsi="Verdana" w:cs="Arial"/>
                <w:noProof/>
                <w:lang w:val="es-ES_tradnl"/>
              </w:rPr>
              <w:t xml:space="preserve"> Sección Tercera, Subsección C. Sentencia del 26 de febrero de 2014. C.P. Enrique Gil Botero. Rad. 25.804.</w:t>
            </w:r>
          </w:p>
          <w:p w14:paraId="5AD5438E" w14:textId="2BF97BEC" w:rsidR="00F83F6D" w:rsidRPr="00F65E45" w:rsidRDefault="00F83F6D" w:rsidP="006E74AD">
            <w:pPr>
              <w:numPr>
                <w:ilvl w:val="0"/>
                <w:numId w:val="17"/>
              </w:numPr>
              <w:snapToGrid w:val="0"/>
              <w:spacing w:after="120" w:line="276" w:lineRule="auto"/>
              <w:jc w:val="both"/>
              <w:rPr>
                <w:rFonts w:ascii="Verdana" w:eastAsia="Calibri" w:hAnsi="Verdana" w:cs="Arial"/>
                <w:noProof/>
                <w:lang w:val="es-ES_tradnl"/>
              </w:rPr>
            </w:pPr>
            <w:r w:rsidRPr="00F65E45">
              <w:rPr>
                <w:rFonts w:ascii="Verdana" w:eastAsia="Calibri" w:hAnsi="Verdana" w:cs="Arial"/>
                <w:noProof/>
                <w:lang w:val="es-ES_tradnl"/>
              </w:rPr>
              <w:t>CONSEJO DE ESTADO. Sala de Consulta y Servicio Civil. Concepto del 20 de mayo de 2010. Expediente: 1992. Consejero Ponente: Enrique José Arboleda Perdomo.</w:t>
            </w:r>
          </w:p>
        </w:tc>
      </w:tr>
    </w:tbl>
    <w:p w14:paraId="4AE9CCDC" w14:textId="77777777" w:rsidR="00E4579D" w:rsidRPr="00F65E45" w:rsidRDefault="00E4579D" w:rsidP="00E4579D">
      <w:pPr>
        <w:widowControl w:val="0"/>
        <w:autoSpaceDE w:val="0"/>
        <w:autoSpaceDN w:val="0"/>
        <w:spacing w:after="0" w:line="276" w:lineRule="auto"/>
        <w:jc w:val="both"/>
        <w:rPr>
          <w:rFonts w:ascii="Verdana" w:hAnsi="Verdana" w:cs="Arial"/>
          <w:highlight w:val="cyan"/>
        </w:rPr>
      </w:pPr>
    </w:p>
    <w:p w14:paraId="0664EC6B" w14:textId="77777777" w:rsidR="00E4579D" w:rsidRPr="00F65E45" w:rsidRDefault="00E4579D" w:rsidP="00E4579D">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Arial"/>
          <w:b/>
          <w:bCs/>
        </w:rPr>
      </w:pPr>
      <w:r w:rsidRPr="00F65E45">
        <w:rPr>
          <w:rFonts w:ascii="Verdana" w:eastAsia="Century Gothic" w:hAnsi="Verdana" w:cs="Arial"/>
          <w:b/>
          <w:bCs/>
        </w:rPr>
        <w:t>Doctrina de la Agencia Nacional de Contratación Pública:</w:t>
      </w:r>
    </w:p>
    <w:p w14:paraId="68CE65D6" w14:textId="77777777" w:rsidR="00E4579D" w:rsidRPr="00F65E45" w:rsidRDefault="00E4579D" w:rsidP="00E4579D">
      <w:pPr>
        <w:widowControl w:val="0"/>
        <w:autoSpaceDE w:val="0"/>
        <w:autoSpaceDN w:val="0"/>
        <w:spacing w:after="0" w:line="276" w:lineRule="auto"/>
        <w:jc w:val="both"/>
        <w:rPr>
          <w:rFonts w:ascii="Verdana" w:hAnsi="Verdana" w:cs="Arial"/>
          <w:highlight w:val="cyan"/>
        </w:rPr>
      </w:pPr>
    </w:p>
    <w:p w14:paraId="54CE529F" w14:textId="69A112BF" w:rsidR="0037578A" w:rsidRPr="00F65E45" w:rsidRDefault="0037578A" w:rsidP="0037578A">
      <w:pPr>
        <w:widowControl w:val="0"/>
        <w:autoSpaceDE w:val="0"/>
        <w:autoSpaceDN w:val="0"/>
        <w:spacing w:after="0" w:line="276" w:lineRule="auto"/>
        <w:jc w:val="both"/>
        <w:rPr>
          <w:rFonts w:ascii="Verdana" w:eastAsia="Aptos" w:hAnsi="Verdana" w:cs="Arial"/>
          <w:shd w:val="clear" w:color="auto" w:fill="FFFFFF"/>
          <w:lang w:val="es-ES"/>
        </w:rPr>
      </w:pPr>
      <w:r w:rsidRPr="00F65E45">
        <w:rPr>
          <w:rFonts w:ascii="Verdana" w:eastAsia="Aptos" w:hAnsi="Verdana" w:cs="Arial"/>
          <w:shd w:val="clear" w:color="auto" w:fill="FFFFFF"/>
          <w:lang w:val="es-ES"/>
        </w:rPr>
        <w:t xml:space="preserve">Esta Subdirección se ha pronunciado sobre la regla de subsanabilidad en los </w:t>
      </w:r>
      <w:r w:rsidRPr="00F65E45">
        <w:rPr>
          <w:rFonts w:ascii="Verdana" w:eastAsia="Aptos" w:hAnsi="Verdana" w:cs="Arial"/>
          <w:shd w:val="clear" w:color="auto" w:fill="FFFFFF"/>
          <w:lang w:val="es-ES"/>
        </w:rPr>
        <w:lastRenderedPageBreak/>
        <w:t xml:space="preserve">conceptos C-716 del 23 de enero de 2022, C-728 del 26 de enero de 2022, C-753 del 6 de febrero de 2022, C-114 del 22 de marzo de 2022, C-140 del 28 de marzo de 2022, C-162 del 5 de abril de 2022, C-285 del 20 de mayo de 2022, C-343 del 31 de mayo de 2022, C-381 del 15 de julio de 2022, C-416 del 30 de junio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 C-216 del 6 de junio de 2023, C-304 del 4 de julio de 2023, C-051 del 21 de febrero de 2026, entre otros. </w:t>
      </w:r>
      <w:r w:rsidRPr="00F65E45">
        <w:rPr>
          <w:rFonts w:ascii="Verdana" w:eastAsia="Calibri" w:hAnsi="Verdana" w:cs="Arial"/>
          <w:bCs/>
          <w:shd w:val="clear" w:color="auto" w:fill="FFFFFF"/>
          <w:lang w:val="es-ES"/>
        </w:rPr>
        <w:t xml:space="preserve">En tal sentido, recoge los conceptos expuestos, sin perjuicio de otras consideraciones. </w:t>
      </w:r>
      <w:r w:rsidRPr="00F65E45">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00BA0A71" w:rsidRPr="00F65E45">
          <w:rPr>
            <w:rStyle w:val="Hipervnculo"/>
            <w:rFonts w:ascii="Verdana" w:eastAsia="Aptos" w:hAnsi="Verdana" w:cs="Arial"/>
            <w:shd w:val="clear" w:color="auto" w:fill="FFFFFF"/>
            <w:lang w:val="es-ES"/>
          </w:rPr>
          <w:t>https://relatoria.colombiacompra.gov.co/</w:t>
        </w:r>
      </w:hyperlink>
      <w:r w:rsidR="00BA0A71" w:rsidRPr="00F65E45">
        <w:rPr>
          <w:rFonts w:ascii="Verdana" w:eastAsia="Aptos" w:hAnsi="Verdana" w:cs="Arial"/>
          <w:shd w:val="clear" w:color="auto" w:fill="FFFFFF"/>
          <w:lang w:val="es-ES"/>
        </w:rPr>
        <w:t xml:space="preserve"> </w:t>
      </w:r>
    </w:p>
    <w:p w14:paraId="304194C3" w14:textId="77777777" w:rsidR="00E4579D" w:rsidRPr="00F65E45" w:rsidRDefault="00E4579D" w:rsidP="00E4579D">
      <w:pPr>
        <w:widowControl w:val="0"/>
        <w:autoSpaceDE w:val="0"/>
        <w:autoSpaceDN w:val="0"/>
        <w:spacing w:after="0" w:line="276" w:lineRule="auto"/>
        <w:jc w:val="both"/>
        <w:rPr>
          <w:rStyle w:val="normaltextrun"/>
          <w:rFonts w:ascii="Verdana" w:hAnsi="Verdana" w:cs="Arial"/>
          <w:shd w:val="clear" w:color="auto" w:fill="FFFFFF"/>
          <w:lang w:val="es-ES"/>
        </w:rPr>
      </w:pPr>
    </w:p>
    <w:p w14:paraId="5EF4BB41" w14:textId="77777777" w:rsidR="00E4579D" w:rsidRPr="00F65E45" w:rsidRDefault="00E4579D" w:rsidP="00E4579D">
      <w:pPr>
        <w:widowControl w:val="0"/>
        <w:autoSpaceDE w:val="0"/>
        <w:autoSpaceDN w:val="0"/>
        <w:spacing w:after="0" w:line="276" w:lineRule="auto"/>
        <w:jc w:val="both"/>
        <w:rPr>
          <w:rFonts w:ascii="Verdana" w:hAnsi="Verdana"/>
        </w:rPr>
      </w:pPr>
      <w:r w:rsidRPr="00F65E45">
        <w:rPr>
          <w:rFonts w:ascii="Verdana" w:hAnsi="Verdana" w:cs="Arial"/>
        </w:rPr>
        <w:t xml:space="preserve">La sostenibilidad no es una opción, es una obligación. Por ello, la Agencia Nacional de Contratación Pública –Colombia Compra Eficiente– te invita a realizar el </w:t>
      </w:r>
      <w:r w:rsidRPr="00F65E45">
        <w:rPr>
          <w:rFonts w:ascii="Verdana" w:hAnsi="Verdana" w:cs="Arial"/>
          <w:b/>
          <w:bCs/>
        </w:rPr>
        <w:t>Curso de Contratación Pública Sostenible y Socialmente Responsable</w:t>
      </w:r>
      <w:r w:rsidRPr="00F65E45">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F65E45">
        <w:rPr>
          <w:rFonts w:ascii="Verdana" w:hAnsi="Verdana" w:cs="Arial"/>
        </w:rPr>
        <w:br/>
      </w:r>
      <w:hyperlink r:id="rId13" w:tgtFrame="_new" w:history="1">
        <w:r w:rsidRPr="00F65E45">
          <w:rPr>
            <w:rStyle w:val="Hipervnculo"/>
            <w:rFonts w:ascii="Verdana" w:hAnsi="Verdana" w:cs="Arial"/>
          </w:rPr>
          <w:t>https://formacionvirtual.colombiacompra.gov.co/mod/page/view.php?id=3718</w:t>
        </w:r>
      </w:hyperlink>
    </w:p>
    <w:p w14:paraId="6DC09237" w14:textId="77777777" w:rsidR="00E4579D" w:rsidRPr="00F65E45" w:rsidRDefault="00E4579D" w:rsidP="00E4579D">
      <w:pPr>
        <w:widowControl w:val="0"/>
        <w:autoSpaceDE w:val="0"/>
        <w:autoSpaceDN w:val="0"/>
        <w:spacing w:after="0" w:line="276" w:lineRule="auto"/>
        <w:jc w:val="both"/>
        <w:rPr>
          <w:rFonts w:ascii="Verdana" w:hAnsi="Verdana"/>
        </w:rPr>
      </w:pPr>
    </w:p>
    <w:p w14:paraId="0FB62D83" w14:textId="77777777" w:rsidR="00E4579D" w:rsidRPr="00F65E45" w:rsidRDefault="00E4579D" w:rsidP="00E4579D">
      <w:pPr>
        <w:widowControl w:val="0"/>
        <w:autoSpaceDE w:val="0"/>
        <w:autoSpaceDN w:val="0"/>
        <w:spacing w:after="0" w:line="276" w:lineRule="auto"/>
        <w:jc w:val="both"/>
        <w:rPr>
          <w:rFonts w:ascii="Verdana" w:hAnsi="Verdana"/>
        </w:rPr>
      </w:pPr>
      <w:r w:rsidRPr="00F65E45">
        <w:rPr>
          <w:rFonts w:ascii="Verdana" w:hAnsi="Verdana" w:cs="Arial"/>
        </w:rPr>
        <w:t xml:space="preserve">De otro lado, te contamos que esta Agencia ha da un paso decisivo en la estandarización y modernización del </w:t>
      </w:r>
      <w:r w:rsidRPr="00F65E45">
        <w:rPr>
          <w:rFonts w:ascii="Verdana" w:hAnsi="Verdana" w:cs="Arial"/>
          <w:b/>
          <w:bCs/>
        </w:rPr>
        <w:t>sector  social</w:t>
      </w:r>
      <w:r w:rsidRPr="00F65E45">
        <w:rPr>
          <w:rFonts w:ascii="Verdana" w:hAnsi="Verdana" w:cs="Arial"/>
        </w:rPr>
        <w:t xml:space="preserve"> con la expedición de las </w:t>
      </w:r>
      <w:r w:rsidRPr="00F65E45">
        <w:rPr>
          <w:rFonts w:ascii="Verdana" w:hAnsi="Verdana" w:cs="Arial"/>
          <w:b/>
          <w:bCs/>
        </w:rPr>
        <w:t>Resoluciones 539, 540, 541, 952 y 953 de 2025</w:t>
      </w:r>
      <w:r w:rsidRPr="00F65E45">
        <w:rPr>
          <w:rFonts w:ascii="Verdana" w:hAnsi="Verdana" w:cs="Arial"/>
        </w:rPr>
        <w:t xml:space="preserve">, </w:t>
      </w:r>
      <w:r w:rsidRPr="00F65E45">
        <w:rPr>
          <w:rFonts w:ascii="Verdana" w:hAnsi="Verdana" w:cs="Arial"/>
          <w:b/>
          <w:bCs/>
        </w:rPr>
        <w:t>mediante las cuales adoptó Documentos Tipo</w:t>
      </w:r>
      <w:r w:rsidRPr="00F65E45">
        <w:rPr>
          <w:rFonts w:ascii="Verdana" w:hAnsi="Verdana" w:cs="Arial"/>
        </w:rPr>
        <w:t xml:space="preserve"> para las modalidades de selección de</w:t>
      </w:r>
      <w:r w:rsidRPr="00F65E45">
        <w:rPr>
          <w:rFonts w:ascii="Verdana" w:hAnsi="Verdana" w:cs="Arial"/>
          <w:b/>
          <w:bCs/>
        </w:rPr>
        <w:t xml:space="preserve"> licitación pública (versión 2), selección abreviada de menor cuantía, mínima cuantía, consultoría e interventoría</w:t>
      </w:r>
      <w:r w:rsidRPr="00F65E45">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F65E45">
          <w:rPr>
            <w:rStyle w:val="Hipervnculo"/>
            <w:rFonts w:ascii="Verdana" w:hAnsi="Verdana" w:cs="Arial"/>
          </w:rPr>
          <w:t>https://www.colombiacompra.gov.co/normativa-y-relatoria/documentos-tipo</w:t>
        </w:r>
      </w:hyperlink>
    </w:p>
    <w:p w14:paraId="5AFCB2DC" w14:textId="77777777" w:rsidR="00E4579D" w:rsidRPr="00F65E45" w:rsidRDefault="00E4579D" w:rsidP="00E4579D">
      <w:pPr>
        <w:widowControl w:val="0"/>
        <w:autoSpaceDE w:val="0"/>
        <w:autoSpaceDN w:val="0"/>
        <w:spacing w:after="0" w:line="276" w:lineRule="auto"/>
        <w:jc w:val="both"/>
        <w:rPr>
          <w:rFonts w:ascii="Verdana" w:hAnsi="Verdana" w:cs="Arial"/>
          <w:shd w:val="clear" w:color="auto" w:fill="FFFFFF"/>
        </w:rPr>
      </w:pPr>
    </w:p>
    <w:p w14:paraId="2B668B93" w14:textId="77777777" w:rsidR="00E4579D" w:rsidRPr="00F65E45" w:rsidRDefault="00E4579D" w:rsidP="00E4579D">
      <w:pPr>
        <w:spacing w:after="120" w:line="276" w:lineRule="auto"/>
        <w:jc w:val="both"/>
        <w:rPr>
          <w:rFonts w:ascii="Verdana" w:hAnsi="Verdana" w:cs="Arial"/>
        </w:rPr>
      </w:pPr>
      <w:r w:rsidRPr="00F65E45">
        <w:rPr>
          <w:rFonts w:ascii="Verdana" w:hAnsi="Verdana" w:cs="Arial"/>
        </w:rPr>
        <w:t xml:space="preserve">Si quieres conocer más sobre la aplicación de Documentos Tipo puedes consultar la última versión de la </w:t>
      </w:r>
      <w:r w:rsidRPr="00F65E45">
        <w:rPr>
          <w:rFonts w:ascii="Verdana" w:hAnsi="Verdana" w:cs="Arial"/>
          <w:b/>
          <w:bCs/>
        </w:rPr>
        <w:t>Guía para la comprensión e implementación de los Documentos Tipo de obra pública de infraestructura de transporte</w:t>
      </w:r>
      <w:r w:rsidRPr="00F65E45">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F65E45">
        <w:rPr>
          <w:rFonts w:ascii="Verdana" w:hAnsi="Verdana" w:cs="Arial"/>
        </w:rPr>
        <w:br/>
      </w:r>
      <w:hyperlink r:id="rId15" w:tgtFrame="_new" w:history="1">
        <w:r w:rsidRPr="00F65E45">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18053E3A" w14:textId="77777777" w:rsidR="00E4579D" w:rsidRPr="00F65E45" w:rsidRDefault="00E4579D" w:rsidP="00E4579D">
      <w:pPr>
        <w:spacing w:after="0" w:line="276" w:lineRule="auto"/>
        <w:jc w:val="both"/>
        <w:rPr>
          <w:rFonts w:ascii="Verdana" w:hAnsi="Verdana" w:cs="Arial"/>
        </w:rPr>
      </w:pPr>
      <w:r w:rsidRPr="00F65E45">
        <w:rPr>
          <w:rFonts w:ascii="Verdana" w:hAnsi="Verdana" w:cs="Arial"/>
        </w:rPr>
        <w:t xml:space="preserve">Por último, lo invitamos a seguirnos en las redes sociales en las cuales se difunde información institucional: </w:t>
      </w:r>
    </w:p>
    <w:p w14:paraId="1C30F6E9" w14:textId="77777777" w:rsidR="00E4579D" w:rsidRPr="00F65E45" w:rsidRDefault="00E4579D" w:rsidP="00E4579D">
      <w:pPr>
        <w:spacing w:after="0" w:line="276" w:lineRule="auto"/>
        <w:jc w:val="both"/>
        <w:rPr>
          <w:rFonts w:ascii="Verdana" w:hAnsi="Verdana" w:cs="Arial"/>
        </w:rPr>
      </w:pPr>
    </w:p>
    <w:p w14:paraId="1D7D1932" w14:textId="77777777" w:rsidR="00E4579D" w:rsidRPr="00F65E45" w:rsidRDefault="00E4579D" w:rsidP="00E4579D">
      <w:pPr>
        <w:spacing w:after="0" w:line="276" w:lineRule="auto"/>
        <w:jc w:val="both"/>
        <w:rPr>
          <w:rFonts w:ascii="Verdana" w:hAnsi="Verdana" w:cs="Arial"/>
        </w:rPr>
      </w:pPr>
      <w:r w:rsidRPr="00F65E45">
        <w:rPr>
          <w:rFonts w:ascii="Verdana" w:hAnsi="Verdana" w:cs="Arial"/>
        </w:rPr>
        <w:t xml:space="preserve">Twitter: </w:t>
      </w:r>
      <w:r w:rsidRPr="00F65E45">
        <w:rPr>
          <w:rStyle w:val="Hipervnculo"/>
          <w:rFonts w:ascii="Verdana" w:hAnsi="Verdana" w:cs="Arial"/>
          <w:color w:val="4472C4" w:themeColor="accent1"/>
        </w:rPr>
        <w:t>@colombiacompra</w:t>
      </w:r>
      <w:r w:rsidRPr="00F65E45">
        <w:rPr>
          <w:rFonts w:ascii="Verdana" w:hAnsi="Verdana" w:cs="Arial"/>
          <w:color w:val="4472C4" w:themeColor="accent1"/>
        </w:rPr>
        <w:t xml:space="preserve"> </w:t>
      </w:r>
    </w:p>
    <w:p w14:paraId="633C50C1" w14:textId="77777777" w:rsidR="00E4579D" w:rsidRPr="00F65E45" w:rsidRDefault="00E4579D" w:rsidP="00E4579D">
      <w:pPr>
        <w:spacing w:after="0" w:line="276" w:lineRule="auto"/>
        <w:jc w:val="both"/>
        <w:rPr>
          <w:rFonts w:ascii="Verdana" w:hAnsi="Verdana" w:cs="Arial"/>
        </w:rPr>
      </w:pPr>
      <w:r w:rsidRPr="00F65E45">
        <w:rPr>
          <w:rFonts w:ascii="Verdana" w:hAnsi="Verdana" w:cs="Arial"/>
        </w:rPr>
        <w:t xml:space="preserve">Facebook: </w:t>
      </w:r>
      <w:r w:rsidRPr="00F65E45">
        <w:rPr>
          <w:rStyle w:val="Hipervnculo"/>
          <w:rFonts w:ascii="Verdana" w:hAnsi="Verdana" w:cs="Arial"/>
          <w:color w:val="4472C4" w:themeColor="accent1"/>
        </w:rPr>
        <w:t>ColombiaCompraEficiente</w:t>
      </w:r>
    </w:p>
    <w:p w14:paraId="1BF2E1CB" w14:textId="77777777" w:rsidR="00E4579D" w:rsidRPr="00F65E45" w:rsidRDefault="00E4579D" w:rsidP="00E4579D">
      <w:pPr>
        <w:spacing w:after="0" w:line="276" w:lineRule="auto"/>
        <w:jc w:val="both"/>
        <w:rPr>
          <w:rStyle w:val="Hipervnculo"/>
          <w:rFonts w:ascii="Verdana" w:hAnsi="Verdana" w:cs="Arial"/>
          <w:color w:val="4472C4" w:themeColor="accent1"/>
        </w:rPr>
      </w:pPr>
      <w:r w:rsidRPr="00F65E45">
        <w:rPr>
          <w:rFonts w:ascii="Verdana" w:hAnsi="Verdana" w:cs="Arial"/>
        </w:rPr>
        <w:t xml:space="preserve">LinkedIn: </w:t>
      </w:r>
      <w:r w:rsidRPr="00F65E45">
        <w:rPr>
          <w:rStyle w:val="Hipervnculo"/>
          <w:rFonts w:ascii="Verdana" w:hAnsi="Verdana" w:cs="Arial"/>
          <w:color w:val="4472C4" w:themeColor="accent1"/>
        </w:rPr>
        <w:t>Agencia Nacional de Contratación Pública - Colombia Compra Eficiente</w:t>
      </w:r>
      <w:r w:rsidRPr="00F65E45">
        <w:rPr>
          <w:rFonts w:ascii="Verdana" w:hAnsi="Verdana" w:cs="Arial"/>
          <w:color w:val="4472C4" w:themeColor="accent1"/>
        </w:rPr>
        <w:t xml:space="preserve"> </w:t>
      </w:r>
      <w:r w:rsidRPr="00F65E45">
        <w:rPr>
          <w:rFonts w:ascii="Verdana" w:hAnsi="Verdana" w:cs="Arial"/>
        </w:rPr>
        <w:t xml:space="preserve">Instagram: </w:t>
      </w:r>
      <w:r w:rsidRPr="00F65E45">
        <w:rPr>
          <w:rStyle w:val="Hipervnculo"/>
          <w:rFonts w:ascii="Verdana" w:hAnsi="Verdana" w:cs="Arial"/>
          <w:color w:val="4472C4" w:themeColor="accent1"/>
        </w:rPr>
        <w:t>@colombiacompraeficiente_cce</w:t>
      </w:r>
    </w:p>
    <w:p w14:paraId="4FCCEEE1" w14:textId="77777777" w:rsidR="00E4579D" w:rsidRPr="00F65E45" w:rsidRDefault="00E4579D" w:rsidP="00E4579D">
      <w:pPr>
        <w:spacing w:after="0" w:line="276" w:lineRule="auto"/>
        <w:jc w:val="both"/>
        <w:rPr>
          <w:rStyle w:val="Hipervnculo"/>
          <w:rFonts w:ascii="Verdana" w:hAnsi="Verdana" w:cs="Arial"/>
          <w:color w:val="4472C4" w:themeColor="accent1"/>
        </w:rPr>
      </w:pPr>
    </w:p>
    <w:p w14:paraId="03F5082E" w14:textId="77777777" w:rsidR="00E4579D" w:rsidRPr="00F65E45" w:rsidRDefault="00E4579D" w:rsidP="00E4579D">
      <w:pPr>
        <w:widowControl w:val="0"/>
        <w:autoSpaceDE w:val="0"/>
        <w:autoSpaceDN w:val="0"/>
        <w:spacing w:after="0" w:line="276" w:lineRule="auto"/>
        <w:jc w:val="both"/>
        <w:rPr>
          <w:rFonts w:ascii="Verdana" w:hAnsi="Verdana" w:cs="Arial"/>
          <w:lang w:val="es-ES_tradnl"/>
        </w:rPr>
      </w:pPr>
      <w:r w:rsidRPr="00F65E45">
        <w:rPr>
          <w:rFonts w:ascii="Verdana" w:hAnsi="Verdana" w:cs="Arial"/>
        </w:rPr>
        <w:t xml:space="preserve">Este concepto tiene el alcance previsto en el artículo 28 del Código de Procedimiento Administrativo y de lo Contencioso Administrativo </w:t>
      </w:r>
      <w:r w:rsidRPr="00F65E45">
        <w:rPr>
          <w:rFonts w:ascii="Verdana" w:hAnsi="Verdana" w:cs="Arial"/>
          <w:lang w:val="es-ES_tradnl"/>
        </w:rPr>
        <w:t>y las expresiones aquí utilizadas con mayúscula inicial deben ser entendidas con el significado que les otorga el artículo 2.2.1.1.1.3.1. del Decreto 1082 de 2015.</w:t>
      </w:r>
    </w:p>
    <w:p w14:paraId="6A478967" w14:textId="77777777" w:rsidR="00E4579D" w:rsidRPr="00F65E45" w:rsidRDefault="00E4579D" w:rsidP="00E4579D">
      <w:pPr>
        <w:widowControl w:val="0"/>
        <w:autoSpaceDE w:val="0"/>
        <w:autoSpaceDN w:val="0"/>
        <w:spacing w:after="0" w:line="276" w:lineRule="auto"/>
        <w:jc w:val="both"/>
        <w:rPr>
          <w:rFonts w:ascii="Verdana" w:hAnsi="Verdana" w:cs="Arial"/>
        </w:rPr>
      </w:pPr>
    </w:p>
    <w:p w14:paraId="556F1334" w14:textId="77777777" w:rsidR="00E4579D" w:rsidRPr="00F65E45" w:rsidRDefault="00E4579D" w:rsidP="00E4579D">
      <w:pPr>
        <w:spacing w:after="0" w:line="276" w:lineRule="auto"/>
        <w:jc w:val="both"/>
        <w:rPr>
          <w:rFonts w:ascii="Verdana" w:hAnsi="Verdana" w:cs="Arial"/>
          <w:lang w:eastAsia="es-CO"/>
        </w:rPr>
      </w:pPr>
      <w:r w:rsidRPr="00F65E45">
        <w:rPr>
          <w:rFonts w:ascii="Verdana" w:eastAsia="Times New Roman" w:hAnsi="Verdana" w:cs="Arial"/>
          <w:lang w:eastAsia="es-CO"/>
        </w:rPr>
        <w:t>Atentamente,</w:t>
      </w:r>
      <w:r w:rsidRPr="00F65E45">
        <w:rPr>
          <w:rFonts w:ascii="Verdana" w:hAnsi="Verdana" w:cs="Arial"/>
          <w:lang w:eastAsia="es-CO"/>
        </w:rPr>
        <w:t xml:space="preserve"> </w:t>
      </w:r>
    </w:p>
    <w:p w14:paraId="2140831D" w14:textId="32858869" w:rsidR="00E4579D" w:rsidRPr="00F65E45" w:rsidRDefault="000D6A85" w:rsidP="00E4579D">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47CEFE6F" wp14:editId="6B03BD71">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4579D" w:rsidRPr="00F65E45" w14:paraId="20DDE002" w14:textId="77777777" w:rsidTr="00ED4B75">
        <w:trPr>
          <w:trHeight w:val="315"/>
        </w:trPr>
        <w:tc>
          <w:tcPr>
            <w:tcW w:w="893" w:type="dxa"/>
            <w:vAlign w:val="center"/>
            <w:hideMark/>
          </w:tcPr>
          <w:p w14:paraId="42F2C57A" w14:textId="77777777" w:rsidR="00E4579D" w:rsidRPr="00F65E45" w:rsidRDefault="00E4579D" w:rsidP="00ED4B75">
            <w:pPr>
              <w:contextualSpacing/>
              <w:rPr>
                <w:rFonts w:ascii="Verdana" w:hAnsi="Verdana" w:cs="Arial"/>
                <w:sz w:val="16"/>
                <w:szCs w:val="16"/>
                <w:lang w:val="es-ES" w:eastAsia="es-ES"/>
              </w:rPr>
            </w:pPr>
            <w:r w:rsidRPr="00F65E45">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768EC045" w14:textId="77777777" w:rsidR="00E4579D" w:rsidRPr="00F65E45" w:rsidRDefault="00E4579D" w:rsidP="00ED4B75">
            <w:pPr>
              <w:contextualSpacing/>
              <w:rPr>
                <w:rFonts w:ascii="Verdana" w:eastAsia="Arial" w:hAnsi="Verdana" w:cs="Arial"/>
                <w:sz w:val="16"/>
                <w:szCs w:val="16"/>
              </w:rPr>
            </w:pPr>
            <w:r w:rsidRPr="00F65E45">
              <w:rPr>
                <w:rFonts w:ascii="Verdana" w:eastAsia="Arial" w:hAnsi="Verdana" w:cs="Arial"/>
                <w:sz w:val="16"/>
                <w:szCs w:val="16"/>
              </w:rPr>
              <w:t>Ana María Ortiz Ballesteros</w:t>
            </w:r>
          </w:p>
          <w:p w14:paraId="5D7306EF" w14:textId="77777777" w:rsidR="00E4579D" w:rsidRPr="00F65E45" w:rsidRDefault="00E4579D" w:rsidP="00ED4B75">
            <w:pPr>
              <w:contextualSpacing/>
              <w:rPr>
                <w:rFonts w:ascii="Verdana" w:eastAsia="Arial" w:hAnsi="Verdana" w:cs="Arial"/>
                <w:sz w:val="16"/>
                <w:szCs w:val="16"/>
              </w:rPr>
            </w:pPr>
            <w:r w:rsidRPr="00F65E45">
              <w:rPr>
                <w:rStyle w:val="normaltextrun"/>
                <w:rFonts w:ascii="Verdana" w:eastAsia="Arial" w:hAnsi="Verdana" w:cs="Arial"/>
                <w:sz w:val="16"/>
                <w:szCs w:val="16"/>
              </w:rPr>
              <w:t>C</w:t>
            </w:r>
            <w:r w:rsidRPr="00F65E45">
              <w:rPr>
                <w:rStyle w:val="normaltextrun"/>
                <w:rFonts w:ascii="Verdana" w:hAnsi="Verdana"/>
                <w:sz w:val="16"/>
                <w:szCs w:val="16"/>
              </w:rPr>
              <w:t>ontratista</w:t>
            </w:r>
            <w:r w:rsidRPr="00F65E45">
              <w:rPr>
                <w:rStyle w:val="normaltextrun"/>
                <w:rFonts w:ascii="Verdana" w:eastAsia="Arial" w:hAnsi="Verdana" w:cs="Arial"/>
                <w:sz w:val="16"/>
                <w:szCs w:val="16"/>
              </w:rPr>
              <w:t xml:space="preserve"> de la Subdirección de Gestión Contractual</w:t>
            </w:r>
          </w:p>
        </w:tc>
      </w:tr>
      <w:tr w:rsidR="00E4579D" w:rsidRPr="00F65E45" w14:paraId="1B73E986" w14:textId="77777777" w:rsidTr="00ED4B75">
        <w:trPr>
          <w:trHeight w:val="330"/>
        </w:trPr>
        <w:tc>
          <w:tcPr>
            <w:tcW w:w="893" w:type="dxa"/>
            <w:vAlign w:val="center"/>
            <w:hideMark/>
          </w:tcPr>
          <w:p w14:paraId="7AE776C1" w14:textId="77777777" w:rsidR="00E4579D" w:rsidRPr="00F65E45" w:rsidRDefault="00E4579D" w:rsidP="00ED4B75">
            <w:pPr>
              <w:contextualSpacing/>
              <w:rPr>
                <w:rFonts w:ascii="Verdana" w:hAnsi="Verdana" w:cs="Arial"/>
                <w:sz w:val="16"/>
                <w:szCs w:val="16"/>
                <w:lang w:val="es-ES" w:eastAsia="es-ES"/>
              </w:rPr>
            </w:pPr>
            <w:r w:rsidRPr="00F65E45">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CC3B5A3" w14:textId="32D926A7" w:rsidR="00E4579D" w:rsidRPr="00F65E45" w:rsidRDefault="00E4579D" w:rsidP="00ED4B75">
            <w:pPr>
              <w:pStyle w:val="paragraph"/>
              <w:spacing w:before="0" w:beforeAutospacing="0" w:after="0" w:afterAutospacing="0"/>
              <w:contextualSpacing/>
              <w:textAlignment w:val="baseline"/>
              <w:rPr>
                <w:rFonts w:ascii="Verdana" w:hAnsi="Verdana" w:cs="Arial"/>
                <w:sz w:val="16"/>
                <w:szCs w:val="16"/>
              </w:rPr>
            </w:pPr>
            <w:r w:rsidRPr="00F65E45">
              <w:rPr>
                <w:rFonts w:ascii="Verdana" w:hAnsi="Verdana" w:cs="Arial"/>
                <w:sz w:val="16"/>
                <w:szCs w:val="16"/>
              </w:rPr>
              <w:t xml:space="preserve">Juan David Cardenas Cabeza </w:t>
            </w:r>
          </w:p>
          <w:p w14:paraId="1B1BFADE" w14:textId="77777777" w:rsidR="00E4579D" w:rsidRPr="00F65E45" w:rsidRDefault="00E4579D" w:rsidP="00ED4B75">
            <w:pPr>
              <w:pStyle w:val="paragraph"/>
              <w:spacing w:before="0" w:beforeAutospacing="0" w:after="0" w:afterAutospacing="0"/>
              <w:contextualSpacing/>
              <w:textAlignment w:val="baseline"/>
              <w:rPr>
                <w:rFonts w:ascii="Verdana" w:hAnsi="Verdana" w:cs="Arial"/>
                <w:sz w:val="16"/>
                <w:szCs w:val="16"/>
              </w:rPr>
            </w:pPr>
            <w:r w:rsidRPr="00F65E45">
              <w:rPr>
                <w:rStyle w:val="normaltextrun"/>
                <w:rFonts w:ascii="Verdana" w:eastAsia="Arial" w:hAnsi="Verdana" w:cs="Arial"/>
                <w:sz w:val="16"/>
                <w:szCs w:val="16"/>
              </w:rPr>
              <w:t>C</w:t>
            </w:r>
            <w:r w:rsidRPr="00F65E45">
              <w:rPr>
                <w:rStyle w:val="normaltextrun"/>
                <w:rFonts w:ascii="Verdana" w:hAnsi="Verdana"/>
                <w:sz w:val="16"/>
                <w:szCs w:val="16"/>
              </w:rPr>
              <w:t>ontratista</w:t>
            </w:r>
            <w:r w:rsidRPr="00F65E45">
              <w:rPr>
                <w:rStyle w:val="normaltextrun"/>
                <w:rFonts w:ascii="Verdana" w:eastAsia="Arial" w:hAnsi="Verdana" w:cs="Arial"/>
                <w:sz w:val="16"/>
                <w:szCs w:val="16"/>
              </w:rPr>
              <w:t xml:space="preserve"> de la Subdirección de Gestión Contractual</w:t>
            </w:r>
          </w:p>
        </w:tc>
      </w:tr>
      <w:tr w:rsidR="00E4579D" w:rsidRPr="00F65E45" w14:paraId="4D6FB26E" w14:textId="77777777" w:rsidTr="00ED4B75">
        <w:trPr>
          <w:trHeight w:val="300"/>
        </w:trPr>
        <w:tc>
          <w:tcPr>
            <w:tcW w:w="893" w:type="dxa"/>
            <w:vAlign w:val="center"/>
          </w:tcPr>
          <w:p w14:paraId="48D2691C" w14:textId="77777777" w:rsidR="00E4579D" w:rsidRPr="00F65E45" w:rsidRDefault="00E4579D" w:rsidP="00ED4B75">
            <w:pPr>
              <w:contextualSpacing/>
              <w:rPr>
                <w:rFonts w:ascii="Verdana" w:hAnsi="Verdana" w:cs="Arial"/>
                <w:sz w:val="16"/>
                <w:szCs w:val="16"/>
                <w:lang w:val="es-ES" w:eastAsia="es-ES"/>
              </w:rPr>
            </w:pPr>
            <w:r w:rsidRPr="00F65E45">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B173030" w14:textId="77777777" w:rsidR="00E4579D" w:rsidRPr="00F65E45" w:rsidRDefault="00E4579D" w:rsidP="00ED4B75">
            <w:pPr>
              <w:contextualSpacing/>
              <w:rPr>
                <w:rFonts w:ascii="Verdana" w:eastAsia="Calibri" w:hAnsi="Verdana" w:cs="Arial"/>
                <w:sz w:val="16"/>
                <w:szCs w:val="16"/>
                <w:lang w:val="pt-BR" w:eastAsia="es-ES"/>
              </w:rPr>
            </w:pPr>
            <w:r w:rsidRPr="00F65E45">
              <w:rPr>
                <w:rFonts w:ascii="Verdana" w:eastAsia="Calibri" w:hAnsi="Verdana" w:cs="Arial"/>
                <w:sz w:val="16"/>
                <w:szCs w:val="16"/>
                <w:lang w:val="pt-BR" w:eastAsia="es-ES"/>
              </w:rPr>
              <w:t>Carolina Quintero Gacharná</w:t>
            </w:r>
          </w:p>
          <w:p w14:paraId="53A0732F" w14:textId="77777777" w:rsidR="00E4579D" w:rsidRPr="00F65E45" w:rsidRDefault="00E4579D" w:rsidP="00ED4B75">
            <w:pPr>
              <w:contextualSpacing/>
              <w:rPr>
                <w:rFonts w:ascii="Verdana" w:eastAsia="Calibri" w:hAnsi="Verdana" w:cs="Arial"/>
                <w:sz w:val="16"/>
                <w:szCs w:val="16"/>
                <w:lang w:val="pt-BR" w:eastAsia="es-ES"/>
              </w:rPr>
            </w:pPr>
            <w:r w:rsidRPr="00F65E45">
              <w:rPr>
                <w:rFonts w:ascii="Verdana" w:eastAsia="Calibri" w:hAnsi="Verdana" w:cs="Arial"/>
                <w:sz w:val="16"/>
                <w:szCs w:val="16"/>
                <w:lang w:eastAsia="es-ES"/>
              </w:rPr>
              <w:t>Subdirectora</w:t>
            </w:r>
            <w:r w:rsidRPr="00F65E45">
              <w:rPr>
                <w:rFonts w:ascii="Verdana" w:eastAsia="Calibri" w:hAnsi="Verdana" w:cs="Arial"/>
                <w:sz w:val="16"/>
                <w:szCs w:val="16"/>
                <w:lang w:val="pt-BR" w:eastAsia="es-ES"/>
              </w:rPr>
              <w:t xml:space="preserve"> de Gestión Contractual ANCP – CCE</w:t>
            </w:r>
          </w:p>
        </w:tc>
      </w:tr>
    </w:tbl>
    <w:p w14:paraId="69BC4D14" w14:textId="4203F734" w:rsidR="00C15139" w:rsidRPr="00F65E45" w:rsidRDefault="00C15139" w:rsidP="30821638">
      <w:pPr>
        <w:spacing w:after="0" w:line="240" w:lineRule="auto"/>
        <w:textAlignment w:val="baseline"/>
        <w:rPr>
          <w:rFonts w:ascii="Verdana" w:eastAsia="Verdana" w:hAnsi="Verdana" w:cs="Verdana"/>
          <w:lang w:eastAsia="es-CO"/>
        </w:rPr>
      </w:pPr>
      <w:r w:rsidRPr="00F65E45">
        <w:rPr>
          <w:rFonts w:ascii="Verdana" w:eastAsia="Verdana" w:hAnsi="Verdana" w:cs="Verdana"/>
          <w:lang w:eastAsia="es-CO"/>
        </w:rPr>
        <w:t> </w:t>
      </w:r>
      <w:bookmarkEnd w:id="0"/>
    </w:p>
    <w:sectPr w:rsidR="00C15139" w:rsidRPr="00F65E45"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C41A10" w14:textId="77777777" w:rsidR="0052231F" w:rsidRDefault="0052231F" w:rsidP="004A1847">
      <w:pPr>
        <w:spacing w:after="0" w:line="240" w:lineRule="auto"/>
      </w:pPr>
      <w:r>
        <w:separator/>
      </w:r>
    </w:p>
  </w:endnote>
  <w:endnote w:type="continuationSeparator" w:id="0">
    <w:p w14:paraId="3867E303" w14:textId="77777777" w:rsidR="0052231F" w:rsidRDefault="0052231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BC2A7F" w14:textId="77777777" w:rsidR="0052231F" w:rsidRDefault="0052231F" w:rsidP="004A1847">
      <w:pPr>
        <w:spacing w:after="0" w:line="240" w:lineRule="auto"/>
      </w:pPr>
      <w:r>
        <w:separator/>
      </w:r>
    </w:p>
  </w:footnote>
  <w:footnote w:type="continuationSeparator" w:id="0">
    <w:p w14:paraId="21889497" w14:textId="77777777" w:rsidR="0052231F" w:rsidRDefault="0052231F" w:rsidP="004A1847">
      <w:pPr>
        <w:spacing w:after="0" w:line="240" w:lineRule="auto"/>
      </w:pPr>
      <w:r>
        <w:continuationSeparator/>
      </w:r>
    </w:p>
  </w:footnote>
  <w:footnote w:id="1">
    <w:p w14:paraId="5799B176" w14:textId="77777777" w:rsidR="00914FF6" w:rsidRDefault="00914FF6" w:rsidP="00914FF6">
      <w:pPr>
        <w:pStyle w:val="Textonotapie"/>
        <w:ind w:firstLine="708"/>
        <w:jc w:val="both"/>
      </w:pPr>
      <w:r w:rsidRPr="004E71D6">
        <w:rPr>
          <w:rStyle w:val="Refdenotaalpie"/>
          <w:rFonts w:ascii="Verdana" w:hAnsi="Verdana"/>
          <w:sz w:val="18"/>
          <w:szCs w:val="18"/>
        </w:rPr>
        <w:footnoteRef/>
      </w:r>
      <w:r w:rsidRPr="004E71D6">
        <w:rPr>
          <w:rFonts w:ascii="Verdana" w:hAnsi="Verdana"/>
          <w:sz w:val="18"/>
          <w:szCs w:val="18"/>
        </w:rPr>
        <w:t xml:space="preserve"> Agencia Nacional de Contratación Pública – Colombia Compra Eficiente. Concepto C-285 del 20 de mayo de 2022. Consultar en: </w:t>
      </w:r>
      <w:hyperlink r:id="rId1" w:history="1">
        <w:r w:rsidRPr="004E71D6">
          <w:rPr>
            <w:rStyle w:val="Hipervnculo"/>
            <w:rFonts w:ascii="Verdana" w:hAnsi="Verdana"/>
            <w:sz w:val="18"/>
            <w:szCs w:val="18"/>
          </w:rPr>
          <w:t>https://relatoria.colombiacompra.gov.co/conceptos/c-285-de-2022/</w:t>
        </w:r>
      </w:hyperlink>
    </w:p>
    <w:p w14:paraId="36E2C447" w14:textId="77777777" w:rsidR="004C51C0" w:rsidRPr="004E71D6" w:rsidRDefault="004C51C0" w:rsidP="00914FF6">
      <w:pPr>
        <w:pStyle w:val="Textonotapie"/>
        <w:ind w:firstLine="708"/>
        <w:jc w:val="both"/>
        <w:rPr>
          <w:rFonts w:ascii="Verdana" w:hAnsi="Verdana"/>
          <w:sz w:val="18"/>
          <w:szCs w:val="18"/>
        </w:rPr>
      </w:pPr>
    </w:p>
  </w:footnote>
  <w:footnote w:id="2">
    <w:p w14:paraId="3E39D901" w14:textId="77777777" w:rsidR="00914FF6" w:rsidRPr="004E71D6" w:rsidRDefault="00914FF6" w:rsidP="00914FF6">
      <w:pPr>
        <w:pStyle w:val="Textonotapie"/>
        <w:ind w:firstLine="708"/>
        <w:jc w:val="both"/>
        <w:rPr>
          <w:rFonts w:ascii="Verdana" w:hAnsi="Verdana"/>
          <w:sz w:val="18"/>
          <w:szCs w:val="18"/>
        </w:rPr>
      </w:pPr>
      <w:r w:rsidRPr="004E71D6">
        <w:rPr>
          <w:rStyle w:val="Refdenotaalpie"/>
          <w:rFonts w:ascii="Verdana" w:hAnsi="Verdana"/>
          <w:sz w:val="18"/>
          <w:szCs w:val="18"/>
        </w:rPr>
        <w:footnoteRef/>
      </w:r>
      <w:r w:rsidRPr="004E71D6">
        <w:rPr>
          <w:rFonts w:ascii="Verdana" w:hAnsi="Verdana"/>
          <w:sz w:val="18"/>
          <w:szCs w:val="18"/>
        </w:rPr>
        <w:t xml:space="preserve"> Agencia Nacional de Contratación Pública – Colombia Compra Eficiente. Concepto C-447 del 19 de septiembre de 2024. Consultar en: </w:t>
      </w:r>
      <w:hyperlink r:id="rId2" w:history="1">
        <w:r w:rsidRPr="004E71D6">
          <w:rPr>
            <w:rStyle w:val="Hipervnculo"/>
            <w:rFonts w:ascii="Verdana" w:hAnsi="Verdana"/>
            <w:sz w:val="18"/>
            <w:szCs w:val="18"/>
          </w:rPr>
          <w:t>https://relatoria.colombiacompra.gov.co/conceptos/c-447-de-2024/</w:t>
        </w:r>
      </w:hyperlink>
      <w:r w:rsidRPr="004E71D6">
        <w:rPr>
          <w:rFonts w:ascii="Verdana" w:hAnsi="Verdana"/>
          <w:sz w:val="18"/>
          <w:szCs w:val="18"/>
        </w:rPr>
        <w:t xml:space="preserve"> </w:t>
      </w:r>
    </w:p>
    <w:p w14:paraId="4C46CCBC" w14:textId="77777777" w:rsidR="00914FF6" w:rsidRPr="004E71D6" w:rsidRDefault="00914FF6" w:rsidP="00914FF6">
      <w:pPr>
        <w:pStyle w:val="Textonotapie"/>
        <w:jc w:val="both"/>
        <w:rPr>
          <w:rFonts w:ascii="Verdana" w:hAnsi="Verdana"/>
          <w:sz w:val="18"/>
          <w:szCs w:val="18"/>
        </w:rPr>
      </w:pPr>
    </w:p>
  </w:footnote>
  <w:footnote w:id="3">
    <w:p w14:paraId="6D90990E" w14:textId="66A5987B" w:rsidR="00914FF6" w:rsidRPr="004E71D6" w:rsidRDefault="00914FF6" w:rsidP="007C2BA0">
      <w:pPr>
        <w:pStyle w:val="Textonotapie"/>
        <w:ind w:firstLine="709"/>
        <w:jc w:val="both"/>
        <w:rPr>
          <w:rFonts w:ascii="Verdana" w:hAnsi="Verdana" w:cs="Arial"/>
          <w:color w:val="000000"/>
          <w:sz w:val="18"/>
          <w:szCs w:val="18"/>
        </w:rPr>
      </w:pPr>
      <w:r w:rsidRPr="004E71D6">
        <w:rPr>
          <w:rStyle w:val="Refdenotaalpie"/>
          <w:rFonts w:ascii="Verdana" w:hAnsi="Verdana" w:cs="Arial"/>
          <w:color w:val="000000"/>
          <w:sz w:val="18"/>
          <w:szCs w:val="18"/>
        </w:rPr>
        <w:footnoteRef/>
      </w:r>
      <w:r w:rsidRPr="004E71D6">
        <w:rPr>
          <w:rStyle w:val="Refdenotaalpie"/>
          <w:rFonts w:ascii="Verdana" w:hAnsi="Verdana" w:cs="Arial"/>
          <w:color w:val="000000"/>
          <w:sz w:val="18"/>
          <w:szCs w:val="18"/>
        </w:rPr>
        <w:t xml:space="preserve"> </w:t>
      </w:r>
      <w:r w:rsidRPr="004E71D6">
        <w:rPr>
          <w:rFonts w:ascii="Verdana" w:hAnsi="Verdana" w:cs="Arial"/>
          <w:color w:val="000000"/>
          <w:sz w:val="18"/>
          <w:szCs w:val="18"/>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4">
    <w:p w14:paraId="5F4C9EB4" w14:textId="77777777" w:rsidR="00914FF6" w:rsidRPr="004E71D6" w:rsidRDefault="00914FF6" w:rsidP="00914FF6">
      <w:pPr>
        <w:pStyle w:val="Textonotapie"/>
        <w:ind w:firstLine="709"/>
        <w:jc w:val="both"/>
        <w:rPr>
          <w:rFonts w:ascii="Verdana" w:hAnsi="Verdana" w:cs="Arial"/>
          <w:color w:val="000000"/>
          <w:sz w:val="18"/>
          <w:szCs w:val="18"/>
        </w:rPr>
      </w:pPr>
      <w:r w:rsidRPr="004E71D6">
        <w:rPr>
          <w:rStyle w:val="Refdenotaalpie"/>
          <w:rFonts w:ascii="Verdana" w:hAnsi="Verdana" w:cs="Arial"/>
          <w:color w:val="000000"/>
          <w:sz w:val="18"/>
          <w:szCs w:val="18"/>
        </w:rPr>
        <w:footnoteRef/>
      </w:r>
      <w:r w:rsidRPr="004E71D6">
        <w:rPr>
          <w:rFonts w:ascii="Verdana" w:hAnsi="Verdana" w:cs="Arial"/>
          <w:color w:val="000000"/>
          <w:sz w:val="18"/>
          <w:szCs w:val="18"/>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19713988" w14:textId="77777777" w:rsidR="00914FF6" w:rsidRPr="004E71D6" w:rsidRDefault="00914FF6" w:rsidP="00914FF6">
      <w:pPr>
        <w:pStyle w:val="Textonotapie"/>
        <w:ind w:firstLine="709"/>
        <w:jc w:val="both"/>
        <w:rPr>
          <w:rFonts w:ascii="Verdana" w:hAnsi="Verdana" w:cs="Arial"/>
          <w:color w:val="000000"/>
          <w:sz w:val="18"/>
          <w:szCs w:val="18"/>
        </w:rPr>
      </w:pPr>
      <w:r w:rsidRPr="004E71D6">
        <w:rPr>
          <w:rFonts w:ascii="Verdana" w:hAnsi="Verdana" w:cs="Arial"/>
          <w:color w:val="000000"/>
          <w:sz w:val="18"/>
          <w:szCs w:val="18"/>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27B8DD97" w14:textId="77777777" w:rsidR="00914FF6" w:rsidRPr="004E71D6" w:rsidRDefault="00914FF6" w:rsidP="00914FF6">
      <w:pPr>
        <w:pStyle w:val="Textonotapie"/>
        <w:ind w:firstLine="709"/>
        <w:jc w:val="both"/>
        <w:rPr>
          <w:rFonts w:ascii="Verdana" w:hAnsi="Verdana" w:cs="Arial"/>
          <w:color w:val="000000"/>
          <w:sz w:val="18"/>
          <w:szCs w:val="18"/>
        </w:rPr>
      </w:pPr>
    </w:p>
  </w:footnote>
  <w:footnote w:id="5">
    <w:p w14:paraId="7A19B2C2" w14:textId="77777777" w:rsidR="00914FF6" w:rsidRPr="004E71D6" w:rsidRDefault="00914FF6" w:rsidP="00914FF6">
      <w:pPr>
        <w:pStyle w:val="Textonotapie"/>
        <w:ind w:firstLine="709"/>
        <w:jc w:val="both"/>
        <w:rPr>
          <w:rFonts w:ascii="Verdana" w:hAnsi="Verdana" w:cs="Arial"/>
          <w:color w:val="000000"/>
          <w:sz w:val="18"/>
          <w:szCs w:val="18"/>
        </w:rPr>
      </w:pPr>
      <w:r w:rsidRPr="004E71D6">
        <w:rPr>
          <w:rStyle w:val="Refdenotaalpie"/>
          <w:rFonts w:ascii="Verdana" w:hAnsi="Verdana" w:cs="Arial"/>
          <w:sz w:val="18"/>
          <w:szCs w:val="18"/>
        </w:rPr>
        <w:footnoteRef/>
      </w:r>
      <w:r w:rsidRPr="004E71D6">
        <w:rPr>
          <w:rFonts w:ascii="Verdana" w:hAnsi="Verdana" w:cs="Arial"/>
          <w:sz w:val="18"/>
          <w:szCs w:val="18"/>
        </w:rPr>
        <w:t xml:space="preserve"> </w:t>
      </w:r>
      <w:r w:rsidRPr="004E71D6">
        <w:rPr>
          <w:rFonts w:ascii="Verdana" w:hAnsi="Verdana" w:cs="Arial"/>
          <w:color w:val="000000"/>
          <w:sz w:val="18"/>
          <w:szCs w:val="18"/>
        </w:rPr>
        <w:t xml:space="preserve">En armonía con lo anterior, actualmente la Circular Única Externa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46EBB290" w14:textId="77777777" w:rsidR="00914FF6" w:rsidRDefault="00914FF6" w:rsidP="00914FF6">
      <w:pPr>
        <w:pStyle w:val="Textonotapie"/>
        <w:ind w:firstLine="709"/>
        <w:jc w:val="both"/>
        <w:rPr>
          <w:rStyle w:val="Hipervnculo"/>
          <w:rFonts w:ascii="Verdana" w:hAnsi="Verdana" w:cs="Arial"/>
          <w:color w:val="000000"/>
          <w:sz w:val="18"/>
          <w:szCs w:val="18"/>
        </w:rPr>
      </w:pPr>
      <w:r w:rsidRPr="004E71D6">
        <w:rPr>
          <w:rFonts w:ascii="Verdana" w:hAnsi="Verdana" w:cs="Arial"/>
          <w:color w:val="000000"/>
          <w:sz w:val="18"/>
          <w:szCs w:val="18"/>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3" w:history="1">
        <w:r w:rsidRPr="004E71D6">
          <w:rPr>
            <w:rStyle w:val="Hipervnculo"/>
            <w:rFonts w:ascii="Verdana" w:hAnsi="Verdana" w:cs="Arial"/>
            <w:sz w:val="18"/>
            <w:szCs w:val="18"/>
          </w:rPr>
          <w:t>https://www.colombiacompra.gov.co/circulares?page=2</w:t>
        </w:r>
      </w:hyperlink>
      <w:r w:rsidRPr="004E71D6">
        <w:rPr>
          <w:rStyle w:val="Hipervnculo"/>
          <w:rFonts w:ascii="Verdana" w:hAnsi="Verdana" w:cs="Arial"/>
          <w:color w:val="000000"/>
          <w:sz w:val="18"/>
          <w:szCs w:val="18"/>
        </w:rPr>
        <w:t xml:space="preserve"> </w:t>
      </w:r>
    </w:p>
    <w:p w14:paraId="0E9869D9" w14:textId="77777777" w:rsidR="00270B77" w:rsidRPr="004E71D6" w:rsidRDefault="00270B77" w:rsidP="00914FF6">
      <w:pPr>
        <w:pStyle w:val="Textonotapie"/>
        <w:ind w:firstLine="709"/>
        <w:jc w:val="both"/>
        <w:rPr>
          <w:rFonts w:ascii="Verdana" w:hAnsi="Verdana" w:cs="Arial"/>
          <w:color w:val="000000"/>
          <w:sz w:val="18"/>
          <w:szCs w:val="18"/>
        </w:rPr>
      </w:pPr>
    </w:p>
  </w:footnote>
  <w:footnote w:id="6">
    <w:p w14:paraId="5B2E2257" w14:textId="77777777" w:rsidR="00914FF6" w:rsidRPr="004E71D6" w:rsidRDefault="00914FF6" w:rsidP="00914FF6">
      <w:pPr>
        <w:pStyle w:val="Textonotapie"/>
        <w:ind w:firstLine="709"/>
        <w:jc w:val="both"/>
        <w:rPr>
          <w:rFonts w:ascii="Verdana" w:hAnsi="Verdana" w:cs="Arial"/>
          <w:color w:val="000000"/>
          <w:sz w:val="18"/>
          <w:szCs w:val="18"/>
        </w:rPr>
      </w:pPr>
      <w:r w:rsidRPr="004E71D6">
        <w:rPr>
          <w:rStyle w:val="Refdenotaalpie"/>
          <w:rFonts w:ascii="Verdana" w:hAnsi="Verdana" w:cs="Arial"/>
          <w:color w:val="000000"/>
          <w:sz w:val="18"/>
          <w:szCs w:val="18"/>
        </w:rPr>
        <w:footnoteRef/>
      </w:r>
      <w:r w:rsidRPr="004E71D6">
        <w:rPr>
          <w:rFonts w:ascii="Verdana" w:hAnsi="Verdana" w:cs="Arial"/>
          <w:color w:val="000000"/>
          <w:sz w:val="18"/>
          <w:szCs w:val="18"/>
        </w:rPr>
        <w:t xml:space="preserve"> Ver CONSEJO DE ESTADO, Sección Tercera, Subsección C. Sentencia del 26 de febrero de 2011. C.P. Jaime Orlando Santofimio. Rad. 36.408. </w:t>
      </w:r>
    </w:p>
  </w:footnote>
  <w:footnote w:id="7">
    <w:p w14:paraId="13E85041" w14:textId="77777777" w:rsidR="00914FF6" w:rsidRPr="004E71D6" w:rsidRDefault="00914FF6" w:rsidP="00914FF6">
      <w:pPr>
        <w:pStyle w:val="Textonotapie"/>
        <w:jc w:val="both"/>
        <w:rPr>
          <w:rFonts w:ascii="Verdana" w:hAnsi="Verdana" w:cs="Arial"/>
          <w:color w:val="000000"/>
          <w:sz w:val="18"/>
          <w:szCs w:val="18"/>
        </w:rPr>
      </w:pPr>
    </w:p>
    <w:p w14:paraId="1DA1C7F1" w14:textId="7B109C77" w:rsidR="00914FF6" w:rsidRPr="004E71D6" w:rsidRDefault="00914FF6" w:rsidP="006D1ECC">
      <w:pPr>
        <w:pStyle w:val="Textonotapie"/>
        <w:ind w:firstLine="709"/>
        <w:jc w:val="both"/>
        <w:rPr>
          <w:rFonts w:ascii="Verdana" w:hAnsi="Verdana" w:cs="Arial"/>
          <w:color w:val="000000"/>
          <w:sz w:val="18"/>
          <w:szCs w:val="18"/>
        </w:rPr>
      </w:pPr>
      <w:r w:rsidRPr="004E71D6">
        <w:rPr>
          <w:rStyle w:val="Refdenotaalpie"/>
          <w:rFonts w:ascii="Verdana" w:hAnsi="Verdana" w:cs="Arial"/>
          <w:color w:val="000000"/>
          <w:sz w:val="18"/>
          <w:szCs w:val="18"/>
        </w:rPr>
        <w:footnoteRef/>
      </w:r>
      <w:r w:rsidRPr="004E71D6">
        <w:rPr>
          <w:rFonts w:ascii="Verdana" w:hAnsi="Verdana" w:cs="Arial"/>
          <w:color w:val="000000"/>
          <w:sz w:val="18"/>
          <w:szCs w:val="18"/>
        </w:rPr>
        <w:t xml:space="preserve"> Ver CONSEJO DE ESTADO, Sección Tercera, Subsección C. Sentencia del 26 de febrero de 2014. C.P. Enrique Gil Botero. Rad. 25.804. </w:t>
      </w:r>
    </w:p>
  </w:footnote>
  <w:footnote w:id="8">
    <w:p w14:paraId="689A8062" w14:textId="0B713C67" w:rsidR="00914FF6" w:rsidRPr="004E71D6" w:rsidRDefault="00914FF6" w:rsidP="006D1ECC">
      <w:pPr>
        <w:pStyle w:val="Textonotapie"/>
        <w:ind w:firstLine="708"/>
        <w:jc w:val="both"/>
        <w:rPr>
          <w:rFonts w:ascii="Verdana" w:hAnsi="Verdana" w:cs="Arial"/>
          <w:color w:val="000000"/>
          <w:sz w:val="18"/>
          <w:szCs w:val="18"/>
        </w:rPr>
      </w:pPr>
      <w:r w:rsidRPr="004E71D6">
        <w:rPr>
          <w:rStyle w:val="Refdenotaalpie"/>
          <w:rFonts w:ascii="Verdana" w:hAnsi="Verdana" w:cs="Arial"/>
          <w:color w:val="000000"/>
          <w:sz w:val="18"/>
          <w:szCs w:val="18"/>
        </w:rPr>
        <w:footnoteRef/>
      </w:r>
      <w:r w:rsidRPr="004E71D6">
        <w:rPr>
          <w:rFonts w:ascii="Verdana" w:hAnsi="Verdana" w:cs="Arial"/>
          <w:color w:val="000000"/>
          <w:sz w:val="18"/>
          <w:szCs w:val="18"/>
        </w:rPr>
        <w:t xml:space="preserve"> CONSEJO DE ESTADO. Sala de Consulta y Servicio Civil. Concepto del 20 de mayo de 2010. Expediente: 1992. Consejero Ponente: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489201040">
    <w:abstractNumId w:val="0"/>
  </w:num>
  <w:num w:numId="17" w16cid:durableId="1542086715">
    <w:abstractNumId w:val="9"/>
  </w:num>
  <w:num w:numId="18" w16cid:durableId="17234823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B5B"/>
    <w:rsid w:val="000159EC"/>
    <w:rsid w:val="00016F78"/>
    <w:rsid w:val="00044E31"/>
    <w:rsid w:val="00046945"/>
    <w:rsid w:val="00061B2A"/>
    <w:rsid w:val="000649F1"/>
    <w:rsid w:val="00076E1A"/>
    <w:rsid w:val="00082362"/>
    <w:rsid w:val="00091D56"/>
    <w:rsid w:val="000A683E"/>
    <w:rsid w:val="000B19B9"/>
    <w:rsid w:val="000B499F"/>
    <w:rsid w:val="000C283F"/>
    <w:rsid w:val="000C38F8"/>
    <w:rsid w:val="000D0334"/>
    <w:rsid w:val="000D5DA7"/>
    <w:rsid w:val="000D6A85"/>
    <w:rsid w:val="000E7BE7"/>
    <w:rsid w:val="000F6486"/>
    <w:rsid w:val="00105FBC"/>
    <w:rsid w:val="00110A76"/>
    <w:rsid w:val="00116940"/>
    <w:rsid w:val="00125105"/>
    <w:rsid w:val="00127233"/>
    <w:rsid w:val="001304E6"/>
    <w:rsid w:val="00141FFB"/>
    <w:rsid w:val="00156870"/>
    <w:rsid w:val="0015699B"/>
    <w:rsid w:val="00171C4C"/>
    <w:rsid w:val="0019497E"/>
    <w:rsid w:val="001A33BF"/>
    <w:rsid w:val="001D7E73"/>
    <w:rsid w:val="001E2801"/>
    <w:rsid w:val="001E4177"/>
    <w:rsid w:val="001F0B24"/>
    <w:rsid w:val="001F7DC6"/>
    <w:rsid w:val="00206D34"/>
    <w:rsid w:val="0022400B"/>
    <w:rsid w:val="00230E5C"/>
    <w:rsid w:val="002421BB"/>
    <w:rsid w:val="0025796E"/>
    <w:rsid w:val="00264304"/>
    <w:rsid w:val="002707A2"/>
    <w:rsid w:val="00270B77"/>
    <w:rsid w:val="00275EC0"/>
    <w:rsid w:val="002951A0"/>
    <w:rsid w:val="002962BC"/>
    <w:rsid w:val="002A093D"/>
    <w:rsid w:val="002A0DD0"/>
    <w:rsid w:val="002A49AC"/>
    <w:rsid w:val="002A64FD"/>
    <w:rsid w:val="002C7A84"/>
    <w:rsid w:val="002E2BF8"/>
    <w:rsid w:val="002E4FD9"/>
    <w:rsid w:val="00301A20"/>
    <w:rsid w:val="0030657A"/>
    <w:rsid w:val="00322A85"/>
    <w:rsid w:val="00324168"/>
    <w:rsid w:val="00330834"/>
    <w:rsid w:val="00333ED6"/>
    <w:rsid w:val="003448F4"/>
    <w:rsid w:val="003607F4"/>
    <w:rsid w:val="003719CD"/>
    <w:rsid w:val="00374F5E"/>
    <w:rsid w:val="0037578A"/>
    <w:rsid w:val="00377E3E"/>
    <w:rsid w:val="00383429"/>
    <w:rsid w:val="003A779E"/>
    <w:rsid w:val="003D0F4D"/>
    <w:rsid w:val="003D5B0D"/>
    <w:rsid w:val="003E0499"/>
    <w:rsid w:val="003E4F80"/>
    <w:rsid w:val="003E61B4"/>
    <w:rsid w:val="003E6439"/>
    <w:rsid w:val="003F3941"/>
    <w:rsid w:val="00406575"/>
    <w:rsid w:val="00410E5B"/>
    <w:rsid w:val="00414C74"/>
    <w:rsid w:val="0042722E"/>
    <w:rsid w:val="0044528D"/>
    <w:rsid w:val="00466E39"/>
    <w:rsid w:val="00471525"/>
    <w:rsid w:val="00474BF3"/>
    <w:rsid w:val="00482FCD"/>
    <w:rsid w:val="004A1847"/>
    <w:rsid w:val="004A305D"/>
    <w:rsid w:val="004B5DA5"/>
    <w:rsid w:val="004B7834"/>
    <w:rsid w:val="004C51C0"/>
    <w:rsid w:val="004F21C4"/>
    <w:rsid w:val="004F685F"/>
    <w:rsid w:val="00521847"/>
    <w:rsid w:val="0052231F"/>
    <w:rsid w:val="00532775"/>
    <w:rsid w:val="00545C6E"/>
    <w:rsid w:val="005566E8"/>
    <w:rsid w:val="00574867"/>
    <w:rsid w:val="00586D0A"/>
    <w:rsid w:val="00591460"/>
    <w:rsid w:val="00596B79"/>
    <w:rsid w:val="005A55FE"/>
    <w:rsid w:val="005A65E0"/>
    <w:rsid w:val="005B250F"/>
    <w:rsid w:val="005B25F4"/>
    <w:rsid w:val="005C20CF"/>
    <w:rsid w:val="005C3777"/>
    <w:rsid w:val="005C5CDC"/>
    <w:rsid w:val="005D476C"/>
    <w:rsid w:val="005E1029"/>
    <w:rsid w:val="006200BF"/>
    <w:rsid w:val="006219F8"/>
    <w:rsid w:val="006302F7"/>
    <w:rsid w:val="006309D8"/>
    <w:rsid w:val="00646B9F"/>
    <w:rsid w:val="0065591A"/>
    <w:rsid w:val="00665D70"/>
    <w:rsid w:val="006755D6"/>
    <w:rsid w:val="006900D9"/>
    <w:rsid w:val="006A15ED"/>
    <w:rsid w:val="006B0E23"/>
    <w:rsid w:val="006B1663"/>
    <w:rsid w:val="006B36E0"/>
    <w:rsid w:val="006D1ECC"/>
    <w:rsid w:val="006E74AD"/>
    <w:rsid w:val="00706C16"/>
    <w:rsid w:val="007340C3"/>
    <w:rsid w:val="0075235A"/>
    <w:rsid w:val="00752490"/>
    <w:rsid w:val="007524DB"/>
    <w:rsid w:val="00756841"/>
    <w:rsid w:val="007649AB"/>
    <w:rsid w:val="00765536"/>
    <w:rsid w:val="00771D0C"/>
    <w:rsid w:val="007739FE"/>
    <w:rsid w:val="007833AC"/>
    <w:rsid w:val="00784ECE"/>
    <w:rsid w:val="007905CC"/>
    <w:rsid w:val="007A4C55"/>
    <w:rsid w:val="007B268C"/>
    <w:rsid w:val="007B7171"/>
    <w:rsid w:val="007C0C0F"/>
    <w:rsid w:val="007C2BA0"/>
    <w:rsid w:val="007C3DC2"/>
    <w:rsid w:val="007E0C39"/>
    <w:rsid w:val="007E5497"/>
    <w:rsid w:val="007E6261"/>
    <w:rsid w:val="007F718D"/>
    <w:rsid w:val="00806F5F"/>
    <w:rsid w:val="00820278"/>
    <w:rsid w:val="008258C9"/>
    <w:rsid w:val="00844AE9"/>
    <w:rsid w:val="00845144"/>
    <w:rsid w:val="008572C6"/>
    <w:rsid w:val="008620BC"/>
    <w:rsid w:val="00867F95"/>
    <w:rsid w:val="008843B6"/>
    <w:rsid w:val="00891928"/>
    <w:rsid w:val="008A446D"/>
    <w:rsid w:val="008B25F1"/>
    <w:rsid w:val="008C6A83"/>
    <w:rsid w:val="008D180B"/>
    <w:rsid w:val="008E7648"/>
    <w:rsid w:val="008F0EA7"/>
    <w:rsid w:val="008F37C6"/>
    <w:rsid w:val="00914FF6"/>
    <w:rsid w:val="00916891"/>
    <w:rsid w:val="00923EEF"/>
    <w:rsid w:val="00930E17"/>
    <w:rsid w:val="009419F9"/>
    <w:rsid w:val="00954535"/>
    <w:rsid w:val="009546D7"/>
    <w:rsid w:val="0095685E"/>
    <w:rsid w:val="009615DE"/>
    <w:rsid w:val="00961B09"/>
    <w:rsid w:val="00965334"/>
    <w:rsid w:val="0097093E"/>
    <w:rsid w:val="009A0DFA"/>
    <w:rsid w:val="009A1C6F"/>
    <w:rsid w:val="009B2D26"/>
    <w:rsid w:val="009B7F87"/>
    <w:rsid w:val="009C1874"/>
    <w:rsid w:val="009C71FA"/>
    <w:rsid w:val="009C72E7"/>
    <w:rsid w:val="009C7F7E"/>
    <w:rsid w:val="009D3058"/>
    <w:rsid w:val="009D5DB7"/>
    <w:rsid w:val="009E7E8F"/>
    <w:rsid w:val="009F3A13"/>
    <w:rsid w:val="00A122D3"/>
    <w:rsid w:val="00A14468"/>
    <w:rsid w:val="00A17F13"/>
    <w:rsid w:val="00A20739"/>
    <w:rsid w:val="00A23AF9"/>
    <w:rsid w:val="00A33C78"/>
    <w:rsid w:val="00A87EAD"/>
    <w:rsid w:val="00AA4B8D"/>
    <w:rsid w:val="00AB0ADB"/>
    <w:rsid w:val="00AB15EF"/>
    <w:rsid w:val="00AB3A10"/>
    <w:rsid w:val="00AB409A"/>
    <w:rsid w:val="00AD3B2E"/>
    <w:rsid w:val="00AF0318"/>
    <w:rsid w:val="00B00C0E"/>
    <w:rsid w:val="00B01B1A"/>
    <w:rsid w:val="00B028D8"/>
    <w:rsid w:val="00B0381D"/>
    <w:rsid w:val="00B44A47"/>
    <w:rsid w:val="00B71AFA"/>
    <w:rsid w:val="00B72CD3"/>
    <w:rsid w:val="00B72FFF"/>
    <w:rsid w:val="00BA0A71"/>
    <w:rsid w:val="00BC3D36"/>
    <w:rsid w:val="00BD248B"/>
    <w:rsid w:val="00BD54A6"/>
    <w:rsid w:val="00BD7F72"/>
    <w:rsid w:val="00BE2922"/>
    <w:rsid w:val="00BF7425"/>
    <w:rsid w:val="00C04FB3"/>
    <w:rsid w:val="00C11D8B"/>
    <w:rsid w:val="00C15139"/>
    <w:rsid w:val="00C330EB"/>
    <w:rsid w:val="00C50D69"/>
    <w:rsid w:val="00C5365C"/>
    <w:rsid w:val="00C754BE"/>
    <w:rsid w:val="00C76B1C"/>
    <w:rsid w:val="00C925AC"/>
    <w:rsid w:val="00C96734"/>
    <w:rsid w:val="00CB6357"/>
    <w:rsid w:val="00CC0024"/>
    <w:rsid w:val="00CC1B26"/>
    <w:rsid w:val="00D361FD"/>
    <w:rsid w:val="00D423A2"/>
    <w:rsid w:val="00D44E26"/>
    <w:rsid w:val="00D520D8"/>
    <w:rsid w:val="00D62DE8"/>
    <w:rsid w:val="00D63AC2"/>
    <w:rsid w:val="00D7383B"/>
    <w:rsid w:val="00D7788A"/>
    <w:rsid w:val="00DA231B"/>
    <w:rsid w:val="00DC39FC"/>
    <w:rsid w:val="00DC6CCA"/>
    <w:rsid w:val="00DD1487"/>
    <w:rsid w:val="00DF5254"/>
    <w:rsid w:val="00E02524"/>
    <w:rsid w:val="00E16408"/>
    <w:rsid w:val="00E17B14"/>
    <w:rsid w:val="00E20894"/>
    <w:rsid w:val="00E245AB"/>
    <w:rsid w:val="00E2674C"/>
    <w:rsid w:val="00E2764C"/>
    <w:rsid w:val="00E27F2E"/>
    <w:rsid w:val="00E4579D"/>
    <w:rsid w:val="00E47ED8"/>
    <w:rsid w:val="00E50AFE"/>
    <w:rsid w:val="00E72914"/>
    <w:rsid w:val="00E75C92"/>
    <w:rsid w:val="00E771DC"/>
    <w:rsid w:val="00E8772A"/>
    <w:rsid w:val="00E90F6B"/>
    <w:rsid w:val="00E92C27"/>
    <w:rsid w:val="00E96E9D"/>
    <w:rsid w:val="00EA0E3D"/>
    <w:rsid w:val="00EC38A7"/>
    <w:rsid w:val="00EE1AA8"/>
    <w:rsid w:val="00EE3679"/>
    <w:rsid w:val="00EE43B7"/>
    <w:rsid w:val="00F02B71"/>
    <w:rsid w:val="00F23FEA"/>
    <w:rsid w:val="00F31EDC"/>
    <w:rsid w:val="00F462B3"/>
    <w:rsid w:val="00F5664F"/>
    <w:rsid w:val="00F65E45"/>
    <w:rsid w:val="00F666C4"/>
    <w:rsid w:val="00F76AFC"/>
    <w:rsid w:val="00F83F6D"/>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9497E"/>
    <w:rPr>
      <w:rFonts w:ascii="Geomanist Light" w:hAnsi="Geomanist Light"/>
      <w:lang w:val="es-ES"/>
    </w:rPr>
  </w:style>
  <w:style w:type="paragraph" w:customStyle="1" w:styleId="Appelnotedebasde">
    <w:name w:val="Appel note de bas de..."/>
    <w:basedOn w:val="Normal"/>
    <w:link w:val="Refdenotaalpie"/>
    <w:uiPriority w:val="99"/>
    <w:rsid w:val="00E17B1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mercial@granimagen.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circulares?page=2" TargetMode="External"/><Relationship Id="rId2" Type="http://schemas.openxmlformats.org/officeDocument/2006/relationships/hyperlink" Target="https://relatoria.colombiacompra.gov.co/conceptos/c-447-de-2024/" TargetMode="External"/><Relationship Id="rId1" Type="http://schemas.openxmlformats.org/officeDocument/2006/relationships/hyperlink" Target="https://relatoria.colombiacompra.gov.co/conceptos/c-285-de-202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DF3E2E7-FBA5-45BF-ACE0-B96072BB20CD}"/>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17</Pages>
  <Words>5251</Words>
  <Characters>28882</Characters>
  <Application>Microsoft Office Word</Application>
  <DocSecurity>0</DocSecurity>
  <Lines>240</Lines>
  <Paragraphs>68</Paragraphs>
  <ScaleCrop>false</ScaleCrop>
  <Company/>
  <LinksUpToDate>false</LinksUpToDate>
  <CharactersWithSpaces>34065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19</cp:revision>
  <cp:lastPrinted>2023-01-10T21:18:00Z</cp:lastPrinted>
  <dcterms:created xsi:type="dcterms:W3CDTF">2026-06-25T17:37:00Z</dcterms:created>
  <dcterms:modified xsi:type="dcterms:W3CDTF">2026-06-25T17:47:00Z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