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114D4" w14:textId="77777777" w:rsidR="00E5643F" w:rsidRDefault="00E5643F" w:rsidP="00E5643F">
      <w:pPr>
        <w:spacing w:after="0" w:line="240" w:lineRule="auto"/>
        <w:jc w:val="both"/>
        <w:rPr>
          <w:rFonts w:ascii="Verdana" w:eastAsia="Times New Roman" w:hAnsi="Verdana" w:cs="Arial"/>
          <w:b/>
          <w:lang w:eastAsia="es-ES_tradnl"/>
        </w:rPr>
      </w:pPr>
      <w:bookmarkStart w:id="0" w:name="_Hlk143780582"/>
      <w:r w:rsidRPr="00DF5080">
        <w:rPr>
          <w:rFonts w:ascii="Verdana" w:eastAsia="Times New Roman" w:hAnsi="Verdana" w:cs="Arial"/>
          <w:b/>
          <w:lang w:eastAsia="es-ES_tradnl"/>
        </w:rPr>
        <w:t xml:space="preserve">CAPACIDAD RESIDUAL – Definición </w:t>
      </w:r>
    </w:p>
    <w:p w14:paraId="6A88DF08" w14:textId="77777777" w:rsidR="00E5643F" w:rsidRDefault="00E5643F" w:rsidP="00E5643F">
      <w:pPr>
        <w:spacing w:after="0" w:line="240" w:lineRule="auto"/>
        <w:jc w:val="both"/>
        <w:rPr>
          <w:rFonts w:ascii="Verdana" w:eastAsia="Times New Roman" w:hAnsi="Verdana" w:cs="Arial"/>
          <w:b/>
          <w:lang w:eastAsia="es-ES_tradnl"/>
        </w:rPr>
      </w:pPr>
    </w:p>
    <w:p w14:paraId="1FE123D4" w14:textId="77777777" w:rsidR="00E5643F" w:rsidRPr="00205DED" w:rsidRDefault="00E5643F" w:rsidP="00E5643F">
      <w:pPr>
        <w:spacing w:after="0" w:line="240" w:lineRule="auto"/>
        <w:jc w:val="both"/>
        <w:rPr>
          <w:rFonts w:ascii="Verdana" w:eastAsia="Times New Roman" w:hAnsi="Verdana" w:cs="Arial"/>
          <w:bCs/>
          <w:sz w:val="20"/>
          <w:szCs w:val="20"/>
          <w:lang w:eastAsia="es-ES_tradnl"/>
        </w:rPr>
      </w:pPr>
      <w:r w:rsidRPr="00205DED">
        <w:rPr>
          <w:rFonts w:ascii="Verdana" w:eastAsia="Times New Roman" w:hAnsi="Verdana" w:cs="Arial"/>
          <w:bCs/>
          <w:sz w:val="20"/>
          <w:szCs w:val="20"/>
          <w:lang w:eastAsia="es-ES_tradnl"/>
        </w:rPr>
        <w:t>De acuerdo con el artículo 2.2.1.1.1.3.1 del Decreto 1082 de 2015, la capacidad residual es la aptitud de los oferentes para cumplir de manera oportuna y a cabalidad el objeto de un contrato de obra pública, sin que los demás compromisos contractuales que han adquirido afecten su habilidad de cumplir el objeto del contrato que está en proceso de selección. Por su parte, el Consejo de Estado ha definido la capacidad residual como “la diferencia que existe entre el potencial de contratación que se tiene y los compromisos que haya adquirido y que se encuentren en ejecución, para la fecha de presentación de la oferta”.</w:t>
      </w:r>
    </w:p>
    <w:p w14:paraId="1B284167" w14:textId="77777777" w:rsidR="00E5643F" w:rsidRDefault="00E5643F" w:rsidP="00E5643F">
      <w:pPr>
        <w:spacing w:after="0" w:line="240" w:lineRule="auto"/>
        <w:jc w:val="both"/>
        <w:rPr>
          <w:rFonts w:ascii="Verdana" w:eastAsia="Calibri" w:hAnsi="Verdana" w:cs="Arial"/>
          <w:sz w:val="20"/>
          <w:szCs w:val="20"/>
          <w:lang w:val="es-ES"/>
        </w:rPr>
      </w:pPr>
    </w:p>
    <w:p w14:paraId="7261C789" w14:textId="77777777" w:rsidR="00E5643F" w:rsidRPr="00DF5080" w:rsidRDefault="00E5643F" w:rsidP="00E5643F">
      <w:pPr>
        <w:spacing w:after="0" w:line="240" w:lineRule="auto"/>
        <w:jc w:val="both"/>
        <w:rPr>
          <w:rFonts w:ascii="Verdana" w:eastAsia="Times New Roman" w:hAnsi="Verdana" w:cs="Arial"/>
          <w:b/>
          <w:lang w:val="es-ES" w:eastAsia="es-ES_tradnl"/>
        </w:rPr>
      </w:pPr>
      <w:r w:rsidRPr="00B06EDB">
        <w:rPr>
          <w:rFonts w:ascii="Verdana" w:eastAsia="Times New Roman" w:hAnsi="Verdana" w:cs="Arial"/>
          <w:b/>
          <w:lang w:val="es-ES" w:eastAsia="es-ES_tradnl"/>
        </w:rPr>
        <w:t>CAPACIDAD RESIDUAL – Contratos relevantes – Ejecución de obras civiles</w:t>
      </w:r>
    </w:p>
    <w:p w14:paraId="2C30B8AC" w14:textId="77777777" w:rsidR="00E5643F" w:rsidRDefault="00E5643F" w:rsidP="00E5643F">
      <w:pPr>
        <w:spacing w:after="0" w:line="240" w:lineRule="auto"/>
        <w:jc w:val="both"/>
        <w:rPr>
          <w:rFonts w:ascii="Verdana" w:eastAsia="Times New Roman" w:hAnsi="Verdana" w:cs="Arial"/>
          <w:b/>
          <w:lang w:eastAsia="es-ES_tradnl"/>
        </w:rPr>
      </w:pPr>
    </w:p>
    <w:p w14:paraId="64297985" w14:textId="77777777" w:rsidR="00E5643F" w:rsidRDefault="00E5643F" w:rsidP="00E5643F">
      <w:pPr>
        <w:spacing w:after="0" w:line="240" w:lineRule="auto"/>
        <w:jc w:val="both"/>
        <w:rPr>
          <w:rFonts w:ascii="Verdana" w:hAnsi="Verdana"/>
          <w:sz w:val="20"/>
          <w:szCs w:val="20"/>
        </w:rPr>
      </w:pPr>
      <w:r>
        <w:rPr>
          <w:rFonts w:ascii="Verdana" w:eastAsia="Calibri" w:hAnsi="Verdana" w:cs="Calibri"/>
          <w:sz w:val="20"/>
          <w:szCs w:val="20"/>
          <w:lang w:val="es-MX"/>
        </w:rPr>
        <w:t>F</w:t>
      </w:r>
      <w:r w:rsidRPr="00817BF8">
        <w:rPr>
          <w:rFonts w:ascii="Verdana" w:eastAsia="Calibri" w:hAnsi="Verdana" w:cs="Calibri"/>
          <w:sz w:val="20"/>
          <w:szCs w:val="20"/>
          <w:lang w:val="es-MX"/>
        </w:rPr>
        <w:t xml:space="preserve">rente a los contratos que son necesarios incluir para el cálculo de este factor, </w:t>
      </w:r>
      <w:r w:rsidRPr="00817BF8">
        <w:rPr>
          <w:rFonts w:ascii="Verdana" w:hAnsi="Verdana" w:cs="Arial"/>
          <w:sz w:val="20"/>
          <w:szCs w:val="20"/>
        </w:rPr>
        <w:t>s</w:t>
      </w:r>
      <w:r w:rsidRPr="00817BF8">
        <w:rPr>
          <w:rFonts w:ascii="Verdana" w:hAnsi="Verdana"/>
          <w:sz w:val="20"/>
          <w:szCs w:val="20"/>
        </w:rPr>
        <w:t xml:space="preserve">e concluye que son exclusivamente aquellos </w:t>
      </w:r>
      <w:r w:rsidRPr="00817BF8">
        <w:rPr>
          <w:rFonts w:ascii="Verdana" w:hAnsi="Verdana"/>
          <w:i/>
          <w:iCs/>
          <w:sz w:val="20"/>
          <w:szCs w:val="20"/>
        </w:rPr>
        <w:t>relacionados con la actividad de la construcción</w:t>
      </w:r>
      <w:r w:rsidRPr="00817BF8">
        <w:rPr>
          <w:rFonts w:ascii="Verdana" w:hAnsi="Verdana"/>
          <w:sz w:val="20"/>
          <w:szCs w:val="20"/>
        </w:rPr>
        <w:t>, es decir, los contratos de obra. Esto se evidencia en la exigencia de que dichos contratos estén inscritos en el RUP bajo el segmento 72 del Clasificador UNSPSC, el cual corresponde específicamente a servicios de edificación, construcción de instalaciones y mantenimiento, lo que reafirma que solo la experiencia en contratos de obra resulta pertinente para este cálculo. Además, debe tenerse en cuenta que la Capacidad Residual es un requisito exigible únicamente en los procesos de selección de contratos de obra, por lo que resulta lógico y coherente que para su cálculo solo se consideren contratos de esta misma naturaleza.</w:t>
      </w:r>
    </w:p>
    <w:p w14:paraId="2627D7C2" w14:textId="77777777" w:rsidR="00E5643F" w:rsidRDefault="00E5643F" w:rsidP="00E5643F">
      <w:pPr>
        <w:spacing w:after="0" w:line="240" w:lineRule="auto"/>
        <w:jc w:val="both"/>
        <w:rPr>
          <w:rFonts w:ascii="Verdana" w:hAnsi="Verdana"/>
          <w:sz w:val="20"/>
          <w:szCs w:val="20"/>
        </w:rPr>
      </w:pPr>
    </w:p>
    <w:p w14:paraId="618CEB4A" w14:textId="77777777" w:rsidR="00E5643F" w:rsidRDefault="00E5643F" w:rsidP="00E5643F">
      <w:pPr>
        <w:spacing w:after="0" w:line="240" w:lineRule="auto"/>
        <w:jc w:val="both"/>
        <w:rPr>
          <w:rFonts w:ascii="Verdana" w:hAnsi="Verdana"/>
          <w:sz w:val="20"/>
          <w:szCs w:val="20"/>
        </w:rPr>
      </w:pPr>
      <w:r w:rsidRPr="00817BF8">
        <w:rPr>
          <w:rFonts w:ascii="Verdana" w:hAnsi="Verdana" w:cs="Arial"/>
          <w:color w:val="000000" w:themeColor="text1"/>
          <w:sz w:val="20"/>
          <w:szCs w:val="20"/>
        </w:rPr>
        <w:t xml:space="preserve">Adicionalmente, esta conclusión encuentra respaldo en lo dispuesto en el numeral 10 de la mencionada Guía, que establece que los proponentes extranjeros sin domicilio o sucursal en Colombia deben acreditar su experiencia mediante copia de contratos o certificaciones relacionadas con la ejecución de </w:t>
      </w:r>
      <w:r w:rsidRPr="00817BF8">
        <w:rPr>
          <w:rFonts w:ascii="Verdana" w:hAnsi="Verdana" w:cs="Arial"/>
          <w:i/>
          <w:iCs/>
          <w:color w:val="000000" w:themeColor="text1"/>
          <w:sz w:val="20"/>
          <w:szCs w:val="20"/>
        </w:rPr>
        <w:t>servicios de construcción de obras civiles</w:t>
      </w:r>
      <w:r w:rsidRPr="00817BF8">
        <w:rPr>
          <w:rFonts w:ascii="Verdana" w:hAnsi="Verdana" w:cs="Arial"/>
          <w:color w:val="000000" w:themeColor="text1"/>
          <w:sz w:val="20"/>
          <w:szCs w:val="20"/>
        </w:rPr>
        <w:t>, lo que confirma que los contratos relevantes para efectos de la Capacidad Residual son exclusivamente los de obra.</w:t>
      </w:r>
    </w:p>
    <w:p w14:paraId="762B7076" w14:textId="77777777" w:rsidR="00E5643F" w:rsidRDefault="00E5643F" w:rsidP="00E5643F">
      <w:pPr>
        <w:spacing w:after="0" w:line="240" w:lineRule="auto"/>
        <w:jc w:val="both"/>
        <w:rPr>
          <w:rFonts w:ascii="Verdana" w:hAnsi="Verdana"/>
          <w:sz w:val="20"/>
          <w:szCs w:val="20"/>
        </w:rPr>
      </w:pPr>
    </w:p>
    <w:p w14:paraId="7B86655C" w14:textId="77777777" w:rsidR="00E5643F" w:rsidRPr="00817BF8" w:rsidRDefault="00E5643F" w:rsidP="00E5643F">
      <w:pPr>
        <w:spacing w:after="0" w:line="240" w:lineRule="auto"/>
        <w:jc w:val="both"/>
        <w:rPr>
          <w:rFonts w:ascii="Verdana" w:hAnsi="Verdana"/>
          <w:sz w:val="20"/>
          <w:szCs w:val="20"/>
        </w:rPr>
      </w:pPr>
      <w:r w:rsidRPr="00817BF8">
        <w:rPr>
          <w:rFonts w:ascii="Verdana" w:eastAsia="Calibri" w:hAnsi="Verdana" w:cs="Arial"/>
          <w:bCs/>
          <w:color w:val="000000" w:themeColor="text1"/>
          <w:sz w:val="20"/>
          <w:szCs w:val="20"/>
        </w:rPr>
        <w:t>Teniendo en cuenta las anteriores precisiones, es importante señalar que para efectos del cálculo de la capacidad residual si bien es necesario revisar la inclusión de códigos del segmento 72 del clasificador UNSPSC en el RUP, esto no permite concluir, por sí solo, que todos los contratos registrados correspondan a obras civiles. Por ello, es fundamental que la entidad estatal verifique el objeto contractual efectivamente ejecutado ya que la clasificación UNSPSC constituye una herramienta de carácter administrativo para la identificación y categorización de bienes, obras y servicios, pero no determina la naturaleza jurídica del contrato ni define automáticamente su incidencia en el cálculo de la capacidad residual.</w:t>
      </w:r>
    </w:p>
    <w:p w14:paraId="6DEB7C6C" w14:textId="77777777" w:rsidR="00E5643F" w:rsidRDefault="00E5643F" w:rsidP="00E5643F">
      <w:pPr>
        <w:spacing w:after="0" w:line="240" w:lineRule="auto"/>
        <w:jc w:val="both"/>
        <w:rPr>
          <w:rFonts w:ascii="Verdana" w:eastAsia="Times New Roman" w:hAnsi="Verdana" w:cs="Arial"/>
          <w:b/>
          <w:lang w:eastAsia="es-ES_tradnl"/>
        </w:rPr>
      </w:pPr>
    </w:p>
    <w:p w14:paraId="7E111AC4" w14:textId="6A8531B4" w:rsidR="00E5643F" w:rsidRDefault="00E5643F" w:rsidP="00E5643F">
      <w:pPr>
        <w:spacing w:after="0" w:line="240" w:lineRule="auto"/>
        <w:jc w:val="both"/>
        <w:rPr>
          <w:rFonts w:ascii="Verdana" w:eastAsia="Times New Roman" w:hAnsi="Verdana" w:cs="Arial"/>
          <w:b/>
          <w:lang w:eastAsia="es-ES_tradnl"/>
        </w:rPr>
      </w:pPr>
      <w:r w:rsidRPr="009E7A0F">
        <w:rPr>
          <w:rFonts w:ascii="Verdana" w:eastAsia="Times New Roman" w:hAnsi="Verdana" w:cs="Arial"/>
          <w:b/>
          <w:lang w:eastAsia="es-ES_tradnl"/>
        </w:rPr>
        <w:t xml:space="preserve">CAUSALES DE RECHAZO – Pliegos de Condiciones </w:t>
      </w:r>
      <w:r w:rsidR="005C0A91" w:rsidRPr="005C0A91">
        <w:rPr>
          <w:rFonts w:ascii="Verdana" w:eastAsia="Times New Roman" w:hAnsi="Verdana" w:cs="Arial"/>
          <w:b/>
          <w:bCs/>
          <w:lang w:val="es-ES" w:eastAsia="es-ES_tradnl"/>
        </w:rPr>
        <w:t>–</w:t>
      </w:r>
      <w:r w:rsidRPr="009E7A0F">
        <w:rPr>
          <w:rFonts w:ascii="Verdana" w:eastAsia="Times New Roman" w:hAnsi="Verdana" w:cs="Arial"/>
          <w:b/>
          <w:lang w:eastAsia="es-ES_tradnl"/>
        </w:rPr>
        <w:t xml:space="preserve"> Discrecionalidad Administrativa </w:t>
      </w:r>
      <w:r w:rsidR="005C0A91" w:rsidRPr="005C0A91">
        <w:rPr>
          <w:rFonts w:ascii="Verdana" w:eastAsia="Times New Roman" w:hAnsi="Verdana" w:cs="Arial"/>
          <w:b/>
          <w:bCs/>
          <w:lang w:val="es-ES" w:eastAsia="es-ES_tradnl"/>
        </w:rPr>
        <w:t>–</w:t>
      </w:r>
      <w:r w:rsidR="005C0A91">
        <w:rPr>
          <w:rFonts w:ascii="Verdana" w:eastAsia="Times New Roman" w:hAnsi="Verdana" w:cs="Arial"/>
          <w:b/>
          <w:bCs/>
          <w:lang w:val="es-ES" w:eastAsia="es-ES_tradnl"/>
        </w:rPr>
        <w:t xml:space="preserve"> </w:t>
      </w:r>
      <w:r w:rsidRPr="009E7A0F">
        <w:rPr>
          <w:rFonts w:ascii="Verdana" w:eastAsia="Times New Roman" w:hAnsi="Verdana" w:cs="Arial"/>
          <w:b/>
          <w:lang w:eastAsia="es-ES_tradnl"/>
        </w:rPr>
        <w:t>Proporcionalidad</w:t>
      </w:r>
    </w:p>
    <w:p w14:paraId="713CC1D1" w14:textId="77777777" w:rsidR="00E5643F" w:rsidRDefault="00E5643F" w:rsidP="00E5643F">
      <w:pPr>
        <w:spacing w:after="0" w:line="240" w:lineRule="auto"/>
        <w:jc w:val="both"/>
        <w:rPr>
          <w:rFonts w:ascii="Verdana" w:eastAsia="Times New Roman" w:hAnsi="Verdana" w:cs="Arial"/>
          <w:b/>
          <w:lang w:eastAsia="es-ES_tradnl"/>
        </w:rPr>
      </w:pPr>
    </w:p>
    <w:p w14:paraId="42E46F6E" w14:textId="77777777" w:rsidR="00E5643F" w:rsidRDefault="00E5643F" w:rsidP="00E5643F">
      <w:pPr>
        <w:spacing w:after="0" w:line="240" w:lineRule="auto"/>
        <w:jc w:val="both"/>
        <w:rPr>
          <w:rFonts w:ascii="Verdana" w:eastAsia="Calibri" w:hAnsi="Verdana" w:cs="Arial"/>
          <w:sz w:val="20"/>
          <w:szCs w:val="20"/>
          <w:lang w:val="es-ES"/>
        </w:rPr>
      </w:pPr>
      <w:r w:rsidRPr="00D946E2">
        <w:rPr>
          <w:rFonts w:ascii="Verdana" w:eastAsia="Calibri" w:hAnsi="Verdana" w:cs="Arial"/>
          <w:sz w:val="20"/>
          <w:szCs w:val="20"/>
          <w:lang w:val="es-ES"/>
        </w:rPr>
        <w:lastRenderedPageBreak/>
        <w:t xml:space="preserve">(…) 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 </w:t>
      </w:r>
    </w:p>
    <w:p w14:paraId="50939638" w14:textId="77777777" w:rsidR="00E5643F" w:rsidRPr="00D946E2" w:rsidRDefault="00E5643F" w:rsidP="00E5643F">
      <w:pPr>
        <w:spacing w:after="0" w:line="240" w:lineRule="auto"/>
        <w:jc w:val="both"/>
        <w:rPr>
          <w:rFonts w:ascii="Verdana" w:eastAsia="Calibri" w:hAnsi="Verdana" w:cs="Arial"/>
          <w:sz w:val="20"/>
          <w:szCs w:val="20"/>
          <w:lang w:val="es-ES"/>
        </w:rPr>
      </w:pPr>
    </w:p>
    <w:p w14:paraId="48F6B238" w14:textId="77777777" w:rsidR="00E5643F" w:rsidRPr="00D946E2" w:rsidRDefault="00E5643F" w:rsidP="00E5643F">
      <w:pPr>
        <w:spacing w:after="0" w:line="240" w:lineRule="auto"/>
        <w:jc w:val="both"/>
        <w:rPr>
          <w:rFonts w:ascii="Verdana" w:eastAsia="Calibri" w:hAnsi="Verdana" w:cs="Arial"/>
          <w:color w:val="000000" w:themeColor="text1"/>
          <w:sz w:val="20"/>
          <w:szCs w:val="20"/>
          <w:lang w:val="es-ES"/>
        </w:rPr>
      </w:pPr>
      <w:r w:rsidRPr="00D946E2">
        <w:rPr>
          <w:rFonts w:ascii="Verdana" w:eastAsia="Calibri" w:hAnsi="Verdana" w:cs="Arial"/>
          <w:sz w:val="20"/>
          <w:szCs w:val="20"/>
          <w:lang w:val="es-ES"/>
        </w:rPr>
        <w:t xml:space="preserve">De este modo, la </w:t>
      </w:r>
      <w:r w:rsidRPr="00D946E2">
        <w:rPr>
          <w:rFonts w:ascii="Verdana" w:eastAsia="Calibri" w:hAnsi="Verdana" w:cs="Arial"/>
          <w:color w:val="000000" w:themeColor="text1"/>
          <w:sz w:val="20"/>
          <w:szCs w:val="20"/>
          <w:lang w:val="es-ES"/>
        </w:rPr>
        <w:t>proporcionalidad en la configuración de causales de rechazo exige que cada motivo para excluir una oferta esté justificado por una necesidad real del proceso y guarde congruencia con la finalidad del contrato. No basta con que la entidad quiera “ordenar” o “depurar” el procedimiento; debe demostrar que la causal responde a un riesgo concreto, que es idónea para mitigarlo y que no existen medidas menos restrictivas para garantizar la selección objetiva. En otras palabras, una causal de rechazo solo es legítima cuando evita un impacto relevante en la competencia, la transparencia o la correcta ejecución contractual, y no cuando aplique como un filtro excesivo o innecesario que limita la participación. (…)</w:t>
      </w:r>
    </w:p>
    <w:p w14:paraId="3B1FD9F2" w14:textId="77777777" w:rsidR="00E5643F" w:rsidRDefault="00E5643F" w:rsidP="00E5643F">
      <w:pPr>
        <w:spacing w:after="0" w:line="240" w:lineRule="auto"/>
        <w:jc w:val="both"/>
        <w:rPr>
          <w:rFonts w:ascii="Verdana" w:hAnsi="Verdana" w:cs="Arial"/>
          <w:bCs/>
          <w:sz w:val="20"/>
          <w:szCs w:val="20"/>
          <w:lang w:val="es-MX"/>
        </w:rPr>
      </w:pPr>
    </w:p>
    <w:p w14:paraId="4FF8FD51" w14:textId="77777777" w:rsidR="00E5643F" w:rsidRDefault="00E5643F" w:rsidP="00E5643F">
      <w:pPr>
        <w:spacing w:after="0" w:line="240" w:lineRule="auto"/>
        <w:jc w:val="both"/>
        <w:rPr>
          <w:rFonts w:ascii="Verdana" w:eastAsia="Times New Roman" w:hAnsi="Verdana" w:cs="Arial"/>
          <w:b/>
          <w:lang w:eastAsia="es-ES_tradnl"/>
        </w:rPr>
      </w:pPr>
      <w:r w:rsidRPr="00C91962">
        <w:rPr>
          <w:rFonts w:ascii="Verdana" w:eastAsia="Times New Roman" w:hAnsi="Verdana" w:cs="Arial"/>
          <w:b/>
          <w:lang w:eastAsia="es-ES_tradnl"/>
        </w:rPr>
        <w:t>CLASIFICADOR DE BIENES Y SERVICIOS (UNSPSC) – Segmento 72 – Experiencia acreditada – Capacidad residual</w:t>
      </w:r>
    </w:p>
    <w:p w14:paraId="1E1AF58D" w14:textId="77777777" w:rsidR="00E5643F" w:rsidRDefault="00E5643F" w:rsidP="00E5643F">
      <w:pPr>
        <w:spacing w:after="0" w:line="240" w:lineRule="auto"/>
        <w:jc w:val="both"/>
        <w:rPr>
          <w:rFonts w:ascii="Verdana" w:eastAsia="Times New Roman" w:hAnsi="Verdana" w:cs="Arial"/>
          <w:b/>
          <w:lang w:eastAsia="es-ES_tradnl"/>
        </w:rPr>
      </w:pPr>
    </w:p>
    <w:p w14:paraId="0B4AF5FF" w14:textId="77777777" w:rsidR="00E5643F" w:rsidRDefault="00E5643F" w:rsidP="00E5643F">
      <w:pPr>
        <w:spacing w:after="0" w:line="240" w:lineRule="auto"/>
        <w:jc w:val="both"/>
        <w:rPr>
          <w:rFonts w:ascii="Verdana" w:eastAsia="Times New Roman" w:hAnsi="Verdana" w:cs="Arial"/>
          <w:bCs/>
          <w:sz w:val="20"/>
          <w:szCs w:val="20"/>
          <w:lang w:eastAsia="es-ES_tradnl"/>
        </w:rPr>
      </w:pPr>
      <w:r w:rsidRPr="001A7824">
        <w:rPr>
          <w:rFonts w:ascii="Verdana" w:eastAsia="Times New Roman" w:hAnsi="Verdana" w:cs="Arial"/>
          <w:bCs/>
          <w:sz w:val="20"/>
          <w:szCs w:val="20"/>
          <w:lang w:eastAsia="es-ES_tradnl"/>
        </w:rPr>
        <w:t xml:space="preserve">(…) </w:t>
      </w:r>
      <w:r w:rsidRPr="0012505A">
        <w:rPr>
          <w:rFonts w:ascii="Verdana" w:eastAsia="Times New Roman" w:hAnsi="Verdana" w:cs="Arial"/>
          <w:bCs/>
          <w:sz w:val="20"/>
          <w:szCs w:val="20"/>
          <w:lang w:val="es-ES_tradnl" w:eastAsia="es-ES_tradnl"/>
        </w:rPr>
        <w:t xml:space="preserve">la Circular Externa Única proferida por la Agencia Nacional de Contratación Pública – Colombia Compra Eficiente, en la cual se incorporaron directrices relacionadas con el RUP y particularmente sobre el “uso del Clasificador de Bienes y Servicios en el Registro Único de Proponentes”, precisó </w:t>
      </w:r>
      <w:r w:rsidRPr="0012505A">
        <w:rPr>
          <w:rFonts w:ascii="Verdana" w:eastAsia="Times New Roman" w:hAnsi="Verdana" w:cs="Arial"/>
          <w:bCs/>
          <w:sz w:val="20"/>
          <w:szCs w:val="20"/>
          <w:lang w:val="es-ES" w:eastAsia="es-ES_tradnl"/>
        </w:rPr>
        <w:t xml:space="preserve">que </w:t>
      </w:r>
      <w:r w:rsidRPr="0012505A">
        <w:rPr>
          <w:rFonts w:ascii="Verdana" w:eastAsia="Times New Roman" w:hAnsi="Verdana" w:cs="Arial"/>
          <w:bCs/>
          <w:sz w:val="20"/>
          <w:szCs w:val="20"/>
          <w:lang w:eastAsia="es-ES_tradnl"/>
        </w:rPr>
        <w:t xml:space="preserve">las Cámaras de Comercio solo pueden inscribir como experiencia del proponente aquella certificada por documento público o privado, y para la cual el proponente deberá indicar los códigos del Clasificador de Bienes y Servicios. Además, señaló que “los códigos de “servicios de construcción” están clasificados en el segmento 72: “Servicios de Edificación, Construcción de Instalaciones y Mantenimiento”. El segmento 95 es de bienes “Terrenos, Edificios, Estructuras y Vías” y, por lo tanto, no es adecuado para la identificación del objeto en el Proceso de Contratación de obra pública”. Por lo tanto, la experiencia que registre el proponente en el RUP bajo el segmento 72 deberá corresponder a servicios de edificación, construcción de instalaciones y mantenimiento, y no a otro tipo de servicios. </w:t>
      </w:r>
    </w:p>
    <w:p w14:paraId="55CBEDF5" w14:textId="77777777" w:rsidR="00E5643F" w:rsidRPr="0012505A" w:rsidRDefault="00E5643F" w:rsidP="00E5643F">
      <w:pPr>
        <w:spacing w:after="0" w:line="240" w:lineRule="auto"/>
        <w:jc w:val="both"/>
        <w:rPr>
          <w:rFonts w:ascii="Verdana" w:eastAsia="Times New Roman" w:hAnsi="Verdana" w:cs="Arial"/>
          <w:bCs/>
          <w:sz w:val="20"/>
          <w:szCs w:val="20"/>
          <w:lang w:eastAsia="es-ES_tradnl"/>
        </w:rPr>
      </w:pPr>
    </w:p>
    <w:p w14:paraId="0B74C44C" w14:textId="77777777" w:rsidR="00E5643F" w:rsidRDefault="00E5643F" w:rsidP="00E5643F">
      <w:pPr>
        <w:spacing w:after="0" w:line="240" w:lineRule="auto"/>
        <w:jc w:val="both"/>
        <w:rPr>
          <w:rFonts w:ascii="Verdana" w:eastAsia="Times New Roman" w:hAnsi="Verdana" w:cs="Arial"/>
          <w:bCs/>
          <w:sz w:val="20"/>
          <w:szCs w:val="20"/>
          <w:lang w:eastAsia="es-ES_tradnl"/>
        </w:rPr>
      </w:pPr>
      <w:r w:rsidRPr="0012505A">
        <w:rPr>
          <w:rFonts w:ascii="Verdana" w:eastAsia="Times New Roman" w:hAnsi="Verdana" w:cs="Arial"/>
          <w:bCs/>
          <w:sz w:val="20"/>
          <w:szCs w:val="20"/>
          <w:lang w:eastAsia="es-ES_tradnl"/>
        </w:rPr>
        <w:t>Así las cosas, debido a que lo relevante es que el objeto del contrato contemple la ejecución de obras civiles, no es válido afirmar que, para calcular la capacidad residual deban tener en cuenta los contratos de consultoría o interventoría, que erróneamente se inscriban el segmento 72. Lo relevante es el objeto del contrato, no el segmento en el que se inscribe, por tanto, la interpretación correcta es que la inclusión de códigos del segmento 72 en el RUP no genera presunción de obra. De este modo, la entidad debe basarse en el objeto contractual y no solo en la clasificación UNSPSC para decidir si un contrato afecta o no la capacidad residual, lo cual asegura coherencia técnica, evita restricciones indebidas a la participación y mantiene alineado el análisis con el marco normativo vigente sobre el cálculo de la capacidad residual</w:t>
      </w:r>
      <w:r>
        <w:rPr>
          <w:rFonts w:ascii="Verdana" w:eastAsia="Times New Roman" w:hAnsi="Verdana" w:cs="Arial"/>
          <w:bCs/>
          <w:sz w:val="20"/>
          <w:szCs w:val="20"/>
          <w:lang w:eastAsia="es-ES_tradnl"/>
        </w:rPr>
        <w:t>.</w:t>
      </w:r>
    </w:p>
    <w:p w14:paraId="199B477E" w14:textId="77777777" w:rsidR="00E5643F" w:rsidRPr="0012505A" w:rsidRDefault="00E5643F" w:rsidP="00E5643F">
      <w:pPr>
        <w:spacing w:after="0" w:line="240" w:lineRule="auto"/>
        <w:jc w:val="both"/>
        <w:rPr>
          <w:rFonts w:ascii="Verdana" w:eastAsia="Times New Roman" w:hAnsi="Verdana" w:cs="Arial"/>
          <w:bCs/>
          <w:sz w:val="20"/>
          <w:szCs w:val="20"/>
          <w:lang w:eastAsia="es-ES_tradnl"/>
        </w:rPr>
      </w:pPr>
    </w:p>
    <w:p w14:paraId="751262DE" w14:textId="77777777" w:rsidR="00E5643F" w:rsidRDefault="00E5643F" w:rsidP="00E5643F">
      <w:pPr>
        <w:spacing w:after="0" w:line="240" w:lineRule="auto"/>
        <w:jc w:val="both"/>
        <w:rPr>
          <w:rFonts w:ascii="Verdana" w:eastAsia="Times New Roman" w:hAnsi="Verdana" w:cs="Arial"/>
          <w:b/>
          <w:lang w:eastAsia="es-ES_tradnl"/>
        </w:rPr>
      </w:pPr>
      <w:r w:rsidRPr="00C91962">
        <w:rPr>
          <w:rFonts w:ascii="Verdana" w:eastAsia="Times New Roman" w:hAnsi="Verdana" w:cs="Arial"/>
          <w:b/>
          <w:lang w:eastAsia="es-ES_tradnl"/>
        </w:rPr>
        <w:lastRenderedPageBreak/>
        <w:t>SELECCIÓN OBJETIVA – Causales de rechazo – Interpretación restrictiva – Requisitos habilitantes</w:t>
      </w:r>
    </w:p>
    <w:p w14:paraId="5D67E465" w14:textId="77777777" w:rsidR="00E5643F" w:rsidRPr="00F50690" w:rsidRDefault="00E5643F" w:rsidP="00E5643F">
      <w:pPr>
        <w:spacing w:after="0" w:line="240" w:lineRule="auto"/>
        <w:jc w:val="both"/>
        <w:rPr>
          <w:rFonts w:ascii="Verdana" w:eastAsia="Times New Roman" w:hAnsi="Verdana" w:cs="Arial"/>
          <w:b/>
          <w:sz w:val="20"/>
          <w:szCs w:val="20"/>
          <w:lang w:eastAsia="es-ES_tradnl"/>
        </w:rPr>
      </w:pPr>
    </w:p>
    <w:p w14:paraId="75B1D95E" w14:textId="665B7937" w:rsidR="00E5643F" w:rsidRPr="00F50690" w:rsidRDefault="00E5643F" w:rsidP="00E5643F">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sz w:val="20"/>
          <w:szCs w:val="18"/>
          <w:lang w:val="es-MX"/>
        </w:rPr>
        <w:t xml:space="preserve">(…) </w:t>
      </w:r>
      <w:r w:rsidRPr="00F50690">
        <w:rPr>
          <w:rFonts w:ascii="Verdana" w:eastAsia="Calibri" w:hAnsi="Verdana" w:cs="Arial"/>
          <w:sz w:val="20"/>
          <w:szCs w:val="18"/>
          <w:lang w:val="es-MX"/>
        </w:rPr>
        <w:t>Como se consideró en los conceptos del 25 de septiembre y el 23 de diciembre de 2019 −radicados Nos. 2201913000007117 y 2201913000009538−, así como el Concepto C-1759 del 30 de diciembre de 2025,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w:t>
      </w:r>
      <w:r>
        <w:rPr>
          <w:rFonts w:ascii="Verdana" w:eastAsia="Calibri" w:hAnsi="Verdana" w:cs="Arial"/>
          <w:sz w:val="20"/>
          <w:szCs w:val="18"/>
          <w:lang w:val="es-MX"/>
        </w:rPr>
        <w:t xml:space="preserve"> (…)</w:t>
      </w:r>
      <w:r w:rsidR="005C0A91">
        <w:rPr>
          <w:rFonts w:ascii="Verdana" w:eastAsia="Calibri" w:hAnsi="Verdana" w:cs="Arial"/>
          <w:sz w:val="20"/>
          <w:szCs w:val="18"/>
          <w:lang w:val="es-MX"/>
        </w:rPr>
        <w:t>.</w:t>
      </w:r>
    </w:p>
    <w:p w14:paraId="42ECF3D1"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7527EC2"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52D5862F"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64898B45"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0BB0B9E0"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5D777C1"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0619F57E"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2CEB961A"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64EA272E"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05EDF159"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4508A73"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70DC0A35"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44808871"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1FF3431"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0681E6D0"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40807714"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B6518FA"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07BF914"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7F0F27F6"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037D1550"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70A744CC"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5C0742CA"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D9A22D1"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3D3660D3"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6A2D61A1"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6A075BAA"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37548477"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406A9ECD"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555AE295"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AB34C3E"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6B809F64"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406FBA5C"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194D3F27" w14:textId="77777777" w:rsidR="00E5643F" w:rsidRDefault="00E5643F" w:rsidP="00E5643F">
      <w:pPr>
        <w:spacing w:after="0" w:line="240" w:lineRule="auto"/>
        <w:jc w:val="both"/>
        <w:rPr>
          <w:rFonts w:ascii="Verdana" w:eastAsia="Calibri" w:hAnsi="Verdana" w:cs="Arial"/>
          <w:color w:val="000000" w:themeColor="text1"/>
          <w:sz w:val="20"/>
          <w:szCs w:val="20"/>
          <w:lang w:val="es-ES"/>
        </w:rPr>
      </w:pPr>
    </w:p>
    <w:p w14:paraId="437C8BF1" w14:textId="77777777" w:rsidR="00E5643F" w:rsidRDefault="00E5643F" w:rsidP="00E5643F">
      <w:pPr>
        <w:spacing w:after="0" w:line="240" w:lineRule="auto"/>
        <w:contextualSpacing/>
        <w:jc w:val="both"/>
        <w:rPr>
          <w:rFonts w:ascii="Verdana" w:eastAsia="Calibri" w:hAnsi="Verdana" w:cs="Arial"/>
          <w:color w:val="000000" w:themeColor="text1"/>
          <w:sz w:val="20"/>
          <w:szCs w:val="20"/>
          <w:lang w:val="es-ES"/>
        </w:rPr>
      </w:pPr>
    </w:p>
    <w:p w14:paraId="1C116F0D" w14:textId="4CF3DBD5" w:rsidR="00E5643F" w:rsidRDefault="00E5643F" w:rsidP="00E5643F">
      <w:pPr>
        <w:spacing w:after="0" w:line="240" w:lineRule="auto"/>
        <w:contextualSpacing/>
        <w:jc w:val="both"/>
        <w:rPr>
          <w:rFonts w:ascii="Verdana" w:eastAsia="Geomanist Light" w:hAnsi="Verdana" w:cs="Arial"/>
          <w:color w:val="201F1E"/>
        </w:rPr>
      </w:pPr>
      <w:r w:rsidRPr="00A869FE">
        <w:rPr>
          <w:rFonts w:ascii="Verdana" w:hAnsi="Verdana"/>
        </w:rPr>
        <w:lastRenderedPageBreak/>
        <w:t xml:space="preserve">Bogotá D.C., </w:t>
      </w:r>
      <w:r w:rsidR="0031709A">
        <w:rPr>
          <w:rFonts w:ascii="Verdana" w:eastAsia="Geomanist Light" w:hAnsi="Verdana" w:cs="Arial"/>
          <w:color w:val="201F1E"/>
        </w:rPr>
        <w:t>11 de junio de 2026</w:t>
      </w:r>
    </w:p>
    <w:p w14:paraId="146D6D17" w14:textId="70F659EA" w:rsidR="0031709A" w:rsidRPr="00A869FE" w:rsidRDefault="0031709A" w:rsidP="00E5643F">
      <w:pPr>
        <w:spacing w:after="0" w:line="240" w:lineRule="auto"/>
        <w:contextualSpacing/>
        <w:jc w:val="both"/>
        <w:rPr>
          <w:rFonts w:ascii="Verdana" w:eastAsia="Times New Roman" w:hAnsi="Verdana" w:cs="Arial"/>
          <w:lang w:eastAsia="es-ES"/>
        </w:rPr>
      </w:pPr>
    </w:p>
    <w:p w14:paraId="63DDF8AC" w14:textId="540A7067" w:rsidR="00E5643F" w:rsidRDefault="00E5643F" w:rsidP="0031709A">
      <w:pPr>
        <w:spacing w:after="0" w:line="240" w:lineRule="auto"/>
        <w:jc w:val="right"/>
        <w:rPr>
          <w:rFonts w:ascii="Verdana" w:hAnsi="Verdana" w:cs="Arial"/>
          <w:lang w:eastAsia="es-ES"/>
        </w:rPr>
      </w:pPr>
    </w:p>
    <w:p w14:paraId="5599CC1A" w14:textId="1C776F45" w:rsidR="00E5643F" w:rsidRDefault="00E5643F" w:rsidP="00E5643F">
      <w:pPr>
        <w:spacing w:after="0" w:line="240" w:lineRule="auto"/>
        <w:jc w:val="both"/>
        <w:rPr>
          <w:rFonts w:ascii="Verdana" w:hAnsi="Verdana" w:cs="Arial"/>
          <w:lang w:eastAsia="es-ES"/>
        </w:rPr>
      </w:pPr>
    </w:p>
    <w:p w14:paraId="0837F7B0" w14:textId="35E44FF5" w:rsidR="00E5643F" w:rsidRDefault="005C0A91" w:rsidP="00E5643F">
      <w:pPr>
        <w:spacing w:after="0" w:line="276" w:lineRule="auto"/>
        <w:jc w:val="both"/>
        <w:rPr>
          <w:rFonts w:ascii="Verdana" w:hAnsi="Verdana" w:cs="Arial"/>
          <w:lang w:eastAsia="es-ES"/>
        </w:rPr>
      </w:pPr>
      <w:r w:rsidRPr="005603E1">
        <w:rPr>
          <w:rFonts w:ascii="Verdana" w:hAnsi="Verdana" w:cs="Arial"/>
          <w:noProof/>
          <w:lang w:eastAsia="es-ES"/>
        </w:rPr>
        <w:drawing>
          <wp:anchor distT="0" distB="0" distL="114300" distR="114300" simplePos="0" relativeHeight="251658240" behindDoc="0" locked="0" layoutInCell="1" allowOverlap="1" wp14:anchorId="0BEB91C6" wp14:editId="12DC3DDA">
            <wp:simplePos x="0" y="0"/>
            <wp:positionH relativeFrom="margin">
              <wp:align>right</wp:align>
            </wp:positionH>
            <wp:positionV relativeFrom="paragraph">
              <wp:posOffset>5715</wp:posOffset>
            </wp:positionV>
            <wp:extent cx="2599055" cy="858520"/>
            <wp:effectExtent l="0" t="0" r="0" b="0"/>
            <wp:wrapSquare wrapText="bothSides"/>
            <wp:docPr id="5764913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99055" cy="858520"/>
                    </a:xfrm>
                    <a:prstGeom prst="rect">
                      <a:avLst/>
                    </a:prstGeom>
                    <a:noFill/>
                    <a:ln>
                      <a:noFill/>
                    </a:ln>
                  </pic:spPr>
                </pic:pic>
              </a:graphicData>
            </a:graphic>
            <wp14:sizeRelH relativeFrom="margin">
              <wp14:pctWidth>0</wp14:pctWidth>
            </wp14:sizeRelH>
          </wp:anchor>
        </w:drawing>
      </w:r>
      <w:r w:rsidR="00E5643F">
        <w:rPr>
          <w:rFonts w:ascii="Verdana" w:hAnsi="Verdana" w:cs="Arial"/>
          <w:lang w:eastAsia="es-ES"/>
        </w:rPr>
        <w:t>Señor</w:t>
      </w:r>
    </w:p>
    <w:p w14:paraId="6625C02D" w14:textId="77777777" w:rsidR="00E5643F" w:rsidRPr="00274118" w:rsidRDefault="00E5643F" w:rsidP="00E5643F">
      <w:pPr>
        <w:spacing w:after="0" w:line="276" w:lineRule="auto"/>
        <w:jc w:val="both"/>
        <w:rPr>
          <w:rFonts w:ascii="Verdana" w:hAnsi="Verdana" w:cs="Arial"/>
          <w:b/>
          <w:bCs/>
          <w:lang w:eastAsia="es-ES"/>
        </w:rPr>
      </w:pPr>
      <w:r w:rsidRPr="00274118">
        <w:rPr>
          <w:rFonts w:ascii="Verdana" w:hAnsi="Verdana" w:cs="Arial"/>
          <w:b/>
          <w:bCs/>
          <w:lang w:eastAsia="es-ES"/>
        </w:rPr>
        <w:t xml:space="preserve">Javier Enrique Redondo Rueda </w:t>
      </w:r>
    </w:p>
    <w:p w14:paraId="514A62C0" w14:textId="77777777" w:rsidR="00E5643F" w:rsidRPr="00274118" w:rsidRDefault="00E5643F" w:rsidP="00E5643F">
      <w:pPr>
        <w:spacing w:after="0" w:line="276" w:lineRule="auto"/>
        <w:jc w:val="both"/>
        <w:rPr>
          <w:rFonts w:ascii="Verdana" w:hAnsi="Verdana" w:cs="Arial"/>
          <w:lang w:eastAsia="es-ES"/>
        </w:rPr>
      </w:pPr>
      <w:r w:rsidRPr="00274118">
        <w:rPr>
          <w:rFonts w:ascii="Verdana" w:hAnsi="Verdana" w:cs="Arial"/>
          <w:lang w:eastAsia="es-ES"/>
        </w:rPr>
        <w:t>Representante Legal INJERR S.A.S.</w:t>
      </w:r>
    </w:p>
    <w:p w14:paraId="2DBB48E0" w14:textId="77777777" w:rsidR="00E5643F" w:rsidRPr="00E46F18" w:rsidRDefault="00E5643F" w:rsidP="00E5643F">
      <w:pPr>
        <w:spacing w:after="0" w:line="276" w:lineRule="auto"/>
        <w:jc w:val="both"/>
        <w:rPr>
          <w:rFonts w:ascii="Verdana" w:hAnsi="Verdana" w:cs="Arial"/>
          <w:b/>
          <w:bCs/>
          <w:lang w:eastAsia="es-ES"/>
        </w:rPr>
      </w:pPr>
      <w:hyperlink r:id="rId11" w:history="1">
        <w:r w:rsidRPr="00E46F18">
          <w:rPr>
            <w:rStyle w:val="Hipervnculo"/>
            <w:rFonts w:ascii="Verdana" w:hAnsi="Verdana"/>
          </w:rPr>
          <w:t>jerrueda@gmail.com</w:t>
        </w:r>
      </w:hyperlink>
      <w:r w:rsidRPr="00E46F18">
        <w:rPr>
          <w:rFonts w:ascii="Verdana" w:hAnsi="Verdana"/>
        </w:rPr>
        <w:t xml:space="preserve"> </w:t>
      </w:r>
    </w:p>
    <w:p w14:paraId="04E78D26" w14:textId="77777777" w:rsidR="00E5643F" w:rsidRPr="00C56C01" w:rsidRDefault="00E5643F" w:rsidP="00E5643F">
      <w:pPr>
        <w:spacing w:after="0" w:line="276" w:lineRule="auto"/>
        <w:jc w:val="both"/>
        <w:rPr>
          <w:rFonts w:ascii="Verdana" w:hAnsi="Verdana" w:cs="Arial"/>
          <w:lang w:eastAsia="es-ES"/>
        </w:rPr>
      </w:pPr>
      <w:r>
        <w:rPr>
          <w:rFonts w:ascii="Verdana" w:hAnsi="Verdana" w:cs="Arial"/>
          <w:lang w:eastAsia="es-ES"/>
        </w:rPr>
        <w:t>Bogotá D.C.</w:t>
      </w:r>
    </w:p>
    <w:p w14:paraId="421EA121" w14:textId="77777777" w:rsidR="00E5643F" w:rsidRPr="00C56C01" w:rsidRDefault="00E5643F" w:rsidP="00E5643F">
      <w:pPr>
        <w:spacing w:after="0" w:line="240" w:lineRule="auto"/>
        <w:rPr>
          <w:rFonts w:ascii="Verdana" w:hAnsi="Verdana" w:cs="Arial"/>
          <w:b/>
          <w:bCs/>
          <w:color w:val="000000"/>
          <w:lang w:eastAsia="es-ES_tradnl"/>
        </w:rPr>
      </w:pPr>
    </w:p>
    <w:p w14:paraId="2C183CEA" w14:textId="77777777" w:rsidR="00E5643F" w:rsidRPr="00C56C01" w:rsidRDefault="00E5643F" w:rsidP="00E5643F">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E5643F" w:rsidRPr="00A869FE" w14:paraId="15E27781" w14:textId="77777777" w:rsidTr="00E22BE8">
        <w:trPr>
          <w:trHeight w:val="633"/>
        </w:trPr>
        <w:tc>
          <w:tcPr>
            <w:tcW w:w="2689" w:type="dxa"/>
          </w:tcPr>
          <w:p w14:paraId="38E5B340" w14:textId="77777777" w:rsidR="00E5643F" w:rsidRPr="00C56C01" w:rsidRDefault="00E5643F" w:rsidP="00E22BE8">
            <w:pPr>
              <w:jc w:val="both"/>
              <w:rPr>
                <w:rFonts w:ascii="Verdana" w:hAnsi="Verdana" w:cs="Arial"/>
                <w:b/>
                <w:bCs/>
                <w:color w:val="7030A0"/>
                <w:lang w:eastAsia="es-ES_tradnl"/>
              </w:rPr>
            </w:pPr>
          </w:p>
        </w:tc>
        <w:tc>
          <w:tcPr>
            <w:tcW w:w="6100" w:type="dxa"/>
          </w:tcPr>
          <w:p w14:paraId="5F1A7AB6" w14:textId="23033237" w:rsidR="00E5643F" w:rsidRPr="00A869FE" w:rsidRDefault="00E5643F" w:rsidP="00E22BE8">
            <w:pPr>
              <w:jc w:val="both"/>
              <w:rPr>
                <w:rFonts w:ascii="Verdana" w:hAnsi="Verdana" w:cs="Arial"/>
                <w:b/>
                <w:bCs/>
                <w:color w:val="7030A0"/>
                <w:lang w:eastAsia="es-ES"/>
              </w:rPr>
            </w:pPr>
            <w:r w:rsidRPr="00A869FE">
              <w:rPr>
                <w:rFonts w:ascii="Verdana" w:hAnsi="Verdana" w:cs="Arial"/>
                <w:b/>
                <w:bCs/>
                <w:lang w:eastAsia="es-ES"/>
              </w:rPr>
              <w:t>Concepto C–</w:t>
            </w:r>
            <w:r>
              <w:rPr>
                <w:rFonts w:ascii="Verdana" w:hAnsi="Verdana" w:cs="Arial"/>
                <w:b/>
                <w:bCs/>
                <w:lang w:eastAsia="es-ES"/>
              </w:rPr>
              <w:t>836</w:t>
            </w:r>
            <w:r w:rsidRPr="00A869FE">
              <w:rPr>
                <w:rFonts w:ascii="Verdana" w:hAnsi="Verdana" w:cs="Arial"/>
                <w:b/>
                <w:bCs/>
                <w:lang w:eastAsia="es-ES"/>
              </w:rPr>
              <w:t xml:space="preserve"> de 202</w:t>
            </w:r>
            <w:r>
              <w:rPr>
                <w:rFonts w:ascii="Verdana" w:hAnsi="Verdana" w:cs="Arial"/>
                <w:b/>
                <w:bCs/>
                <w:lang w:eastAsia="es-ES"/>
              </w:rPr>
              <w:t>6</w:t>
            </w:r>
          </w:p>
        </w:tc>
      </w:tr>
      <w:tr w:rsidR="00E5643F" w:rsidRPr="00A869FE" w14:paraId="35AB2C06" w14:textId="77777777" w:rsidTr="00E22BE8">
        <w:trPr>
          <w:trHeight w:val="884"/>
        </w:trPr>
        <w:tc>
          <w:tcPr>
            <w:tcW w:w="2689" w:type="dxa"/>
          </w:tcPr>
          <w:p w14:paraId="2C0F4C1B" w14:textId="77777777" w:rsidR="00E5643F" w:rsidRPr="00A869FE" w:rsidRDefault="00E5643F" w:rsidP="00E22BE8">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61E78325" w14:textId="3391FEDF" w:rsidR="00E5643F" w:rsidRDefault="00E5643F" w:rsidP="00E22BE8">
            <w:pPr>
              <w:spacing w:line="276" w:lineRule="auto"/>
              <w:jc w:val="both"/>
              <w:rPr>
                <w:rFonts w:ascii="Verdana" w:eastAsia="Calibri" w:hAnsi="Verdana" w:cs="Arial"/>
                <w:lang w:val="es-ES" w:eastAsia="es-ES"/>
              </w:rPr>
            </w:pPr>
            <w:r w:rsidRPr="00881D8A">
              <w:rPr>
                <w:rFonts w:ascii="Verdana" w:eastAsia="Calibri" w:hAnsi="Verdana" w:cs="Calibri"/>
                <w:lang w:val="es-ES"/>
              </w:rPr>
              <w:t>CAPACIDAD RESIDUAL – Definición</w:t>
            </w:r>
            <w:r>
              <w:rPr>
                <w:rFonts w:ascii="Verdana" w:eastAsia="Calibri" w:hAnsi="Verdana" w:cs="Calibri"/>
                <w:lang w:val="es-ES"/>
              </w:rPr>
              <w:t xml:space="preserve"> </w:t>
            </w:r>
            <w:r w:rsidRPr="00881D8A">
              <w:rPr>
                <w:rFonts w:ascii="Verdana" w:eastAsia="Calibri" w:hAnsi="Verdana" w:cs="Calibri"/>
                <w:lang w:val="es-ES"/>
              </w:rPr>
              <w:t xml:space="preserve">/ CAPACIDAD RESIDUAL – </w:t>
            </w:r>
            <w:r>
              <w:rPr>
                <w:rFonts w:ascii="Verdana" w:eastAsia="Calibri" w:hAnsi="Verdana" w:cs="Calibri"/>
                <w:lang w:val="es-ES"/>
              </w:rPr>
              <w:t xml:space="preserve">Contratos relevantes – Ejecución de obras civiles / CAUSALES DE RECHAZO – Pliegos de Condiciones </w:t>
            </w:r>
            <w:r w:rsidR="005C0A91" w:rsidRPr="005C0A91">
              <w:rPr>
                <w:rFonts w:ascii="Verdana" w:eastAsia="Calibri" w:hAnsi="Verdana" w:cs="Calibri"/>
                <w:b/>
                <w:bCs/>
                <w:lang w:val="es-ES"/>
              </w:rPr>
              <w:t>–</w:t>
            </w:r>
            <w:r>
              <w:rPr>
                <w:rFonts w:ascii="Verdana" w:eastAsia="Calibri" w:hAnsi="Verdana" w:cs="Calibri"/>
                <w:lang w:val="es-ES"/>
              </w:rPr>
              <w:t xml:space="preserve"> Discrecionalidad Administrativa </w:t>
            </w:r>
            <w:r w:rsidR="005C0A91" w:rsidRPr="005C0A91">
              <w:rPr>
                <w:rFonts w:ascii="Verdana" w:eastAsia="Calibri" w:hAnsi="Verdana" w:cs="Calibri"/>
                <w:b/>
                <w:bCs/>
                <w:lang w:val="es-ES"/>
              </w:rPr>
              <w:t>–</w:t>
            </w:r>
            <w:r>
              <w:rPr>
                <w:rFonts w:ascii="Verdana" w:eastAsia="Calibri" w:hAnsi="Verdana" w:cs="Calibri"/>
                <w:lang w:val="es-ES"/>
              </w:rPr>
              <w:t xml:space="preserve">Proporcionalidad </w:t>
            </w:r>
            <w:r>
              <w:rPr>
                <w:rFonts w:ascii="Verdana" w:eastAsia="Calibri" w:hAnsi="Verdana" w:cs="Arial"/>
                <w:lang w:val="es-ES" w:eastAsia="es-ES"/>
              </w:rPr>
              <w:t xml:space="preserve">/ </w:t>
            </w:r>
            <w:r w:rsidRPr="00C91962">
              <w:rPr>
                <w:rFonts w:ascii="Verdana" w:eastAsia="Calibri" w:hAnsi="Verdana" w:cs="Arial"/>
                <w:lang w:val="es-ES" w:eastAsia="es-ES"/>
              </w:rPr>
              <w:t>CLASIFICADOR DE BIENES Y SERVICIOS (UNSPSC) – Segmento 72 – Experiencia acreditada – Capacidad residual</w:t>
            </w:r>
            <w:r>
              <w:rPr>
                <w:rFonts w:ascii="Verdana" w:eastAsia="Calibri" w:hAnsi="Verdana" w:cs="Arial"/>
                <w:lang w:val="es-ES" w:eastAsia="es-ES"/>
              </w:rPr>
              <w:t xml:space="preserve"> / </w:t>
            </w:r>
            <w:r w:rsidRPr="00C91962">
              <w:rPr>
                <w:rFonts w:ascii="Verdana" w:eastAsia="Calibri" w:hAnsi="Verdana" w:cs="Arial"/>
                <w:lang w:val="es-ES" w:eastAsia="es-ES"/>
              </w:rPr>
              <w:t>SELECCIÓN OBJETIVA – Causales de rechazo – Interpretación restrictiva – Requisitos habilitantes</w:t>
            </w:r>
          </w:p>
          <w:p w14:paraId="099F0C65" w14:textId="77777777" w:rsidR="00E5643F" w:rsidRPr="00C91962" w:rsidRDefault="00E5643F" w:rsidP="00E22BE8">
            <w:pPr>
              <w:spacing w:line="276" w:lineRule="auto"/>
              <w:jc w:val="both"/>
              <w:rPr>
                <w:rFonts w:ascii="Verdana" w:eastAsia="Calibri" w:hAnsi="Verdana" w:cs="Arial"/>
                <w:lang w:eastAsia="es-ES"/>
              </w:rPr>
            </w:pPr>
          </w:p>
        </w:tc>
      </w:tr>
      <w:tr w:rsidR="00E5643F" w:rsidRPr="00A869FE" w14:paraId="15A2AB8D" w14:textId="77777777" w:rsidTr="00E22BE8">
        <w:tc>
          <w:tcPr>
            <w:tcW w:w="2689" w:type="dxa"/>
          </w:tcPr>
          <w:p w14:paraId="02C4B7E7" w14:textId="77777777" w:rsidR="00E5643F" w:rsidRPr="00A869FE" w:rsidRDefault="00E5643F" w:rsidP="00E22BE8">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4FCFC49A" w14:textId="77777777" w:rsidR="00E5643F" w:rsidRPr="0087731B" w:rsidRDefault="00E5643F" w:rsidP="00E22BE8">
            <w:pPr>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772DFF">
              <w:rPr>
                <w:rFonts w:ascii="Verdana" w:hAnsi="Verdana" w:cs="Arial"/>
                <w:lang w:eastAsia="es-ES_tradnl"/>
              </w:rPr>
              <w:t>1_2026_05_20_006793</w:t>
            </w:r>
          </w:p>
          <w:p w14:paraId="70B61DD0" w14:textId="77777777" w:rsidR="00E5643F" w:rsidRPr="00A869FE" w:rsidRDefault="00E5643F" w:rsidP="00E22BE8">
            <w:pPr>
              <w:jc w:val="both"/>
              <w:rPr>
                <w:rFonts w:ascii="Verdana" w:hAnsi="Verdana" w:cs="Arial"/>
                <w:lang w:eastAsia="es-ES_tradnl"/>
              </w:rPr>
            </w:pPr>
          </w:p>
        </w:tc>
      </w:tr>
    </w:tbl>
    <w:p w14:paraId="1C9C04C9" w14:textId="77777777" w:rsidR="00E5643F" w:rsidRPr="00A869FE" w:rsidRDefault="00E5643F" w:rsidP="00E5643F">
      <w:pPr>
        <w:spacing w:after="0" w:line="240" w:lineRule="auto"/>
        <w:jc w:val="both"/>
        <w:rPr>
          <w:rFonts w:ascii="Verdana" w:hAnsi="Verdana" w:cs="Arial"/>
          <w:color w:val="000000"/>
          <w:lang w:eastAsia="es-ES_tradnl"/>
        </w:rPr>
      </w:pPr>
    </w:p>
    <w:p w14:paraId="28704E37" w14:textId="77777777" w:rsidR="00E5643F" w:rsidRPr="00A869FE" w:rsidRDefault="00E5643F" w:rsidP="00E5643F">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 Señor Redondo,</w:t>
      </w:r>
    </w:p>
    <w:p w14:paraId="77755A7C" w14:textId="77777777" w:rsidR="00E5643F" w:rsidRDefault="00E5643F" w:rsidP="00E5643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C1D4453" w14:textId="77777777" w:rsidR="00E5643F" w:rsidRDefault="00E5643F" w:rsidP="00E5643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sidRPr="00BA5B12">
        <w:rPr>
          <w:rFonts w:ascii="Verdana" w:eastAsia="Aptos" w:hAnsi="Verdana" w:cs="Arial"/>
        </w:rPr>
        <w:t xml:space="preserve"> </w:t>
      </w:r>
      <w:r w:rsidRPr="00D20014">
        <w:rPr>
          <w:rFonts w:ascii="Verdana" w:eastAsia="Aptos" w:hAnsi="Verdana" w:cs="Arial"/>
        </w:rPr>
        <w:t xml:space="preserve">como lo establecido en </w:t>
      </w:r>
      <w:r>
        <w:rPr>
          <w:rFonts w:ascii="Verdana" w:eastAsia="Aptos" w:hAnsi="Verdana" w:cs="Arial"/>
        </w:rPr>
        <w:t xml:space="preserve">la </w:t>
      </w:r>
      <w:r w:rsidRPr="00713B63">
        <w:rPr>
          <w:rFonts w:ascii="Verdana" w:hAnsi="Verdana" w:cs="Arial"/>
        </w:rPr>
        <w:t xml:space="preserve">Resolución 469 de 2025 </w:t>
      </w:r>
      <w:r w:rsidRPr="00D20014">
        <w:rPr>
          <w:rFonts w:ascii="Verdana" w:eastAsia="Aptos" w:hAnsi="Verdana" w:cs="Arial"/>
        </w:rPr>
        <w:t xml:space="preserve">expedida por esta Entidad, </w:t>
      </w:r>
      <w:r w:rsidRPr="00D20014">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20 de mayo de </w:t>
      </w:r>
      <w:r w:rsidRPr="00D20014">
        <w:rPr>
          <w:rFonts w:ascii="Verdana" w:eastAsia="Calibri" w:hAnsi="Verdana" w:cs="Arial"/>
          <w:lang w:val="es-ES" w:eastAsia="es-ES"/>
        </w:rPr>
        <w:t>2025, en la</w:t>
      </w:r>
      <w:r>
        <w:rPr>
          <w:rFonts w:ascii="Verdana" w:eastAsia="Calibri" w:hAnsi="Verdana" w:cs="Arial"/>
          <w:lang w:val="es-ES" w:eastAsia="es-ES"/>
        </w:rPr>
        <w:t xml:space="preserve"> que</w:t>
      </w:r>
      <w:r w:rsidRPr="00D20014">
        <w:rPr>
          <w:rFonts w:ascii="Verdana" w:eastAsia="Calibri" w:hAnsi="Verdana" w:cs="Arial"/>
          <w:lang w:val="es-ES" w:eastAsia="es-ES"/>
        </w:rPr>
        <w:t xml:space="preserve"> manifiesta lo siguiente</w:t>
      </w:r>
      <w:r>
        <w:rPr>
          <w:rFonts w:ascii="Verdana" w:eastAsia="Calibri" w:hAnsi="Verdana" w:cs="Arial"/>
          <w:lang w:val="es-ES" w:eastAsia="es-ES"/>
        </w:rPr>
        <w:t xml:space="preserve">: </w:t>
      </w:r>
    </w:p>
    <w:p w14:paraId="39D318F7" w14:textId="77777777" w:rsidR="00E5643F" w:rsidRPr="00D54CA0" w:rsidRDefault="00E5643F" w:rsidP="00E5643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2719C76" w14:textId="77777777" w:rsidR="00E5643F" w:rsidRPr="003331C4" w:rsidRDefault="00E5643F" w:rsidP="00E5643F">
      <w:pPr>
        <w:autoSpaceDE w:val="0"/>
        <w:autoSpaceDN w:val="0"/>
        <w:adjustRightInd w:val="0"/>
        <w:spacing w:after="0" w:line="240" w:lineRule="auto"/>
        <w:ind w:left="1416" w:right="709" w:hanging="707"/>
        <w:jc w:val="both"/>
        <w:rPr>
          <w:rFonts w:ascii="Verdana" w:hAnsi="Verdana" w:cs="ArialMT"/>
          <w:i/>
          <w:iCs/>
          <w:sz w:val="20"/>
          <w:szCs w:val="20"/>
        </w:rPr>
      </w:pPr>
      <w:r w:rsidRPr="003331C4">
        <w:rPr>
          <w:rFonts w:ascii="Verdana" w:hAnsi="Verdana" w:cs="ArialMT"/>
          <w:i/>
          <w:iCs/>
          <w:sz w:val="20"/>
          <w:szCs w:val="20"/>
        </w:rPr>
        <w:t>“</w:t>
      </w:r>
      <w:r w:rsidRPr="00E906B3">
        <w:rPr>
          <w:rFonts w:ascii="Verdana" w:hAnsi="Verdana" w:cs="ArialMT"/>
          <w:sz w:val="20"/>
          <w:szCs w:val="20"/>
        </w:rPr>
        <w:t xml:space="preserve">[…] </w:t>
      </w:r>
    </w:p>
    <w:p w14:paraId="0B8C47D1"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r w:rsidRPr="003331C4">
        <w:rPr>
          <w:rFonts w:ascii="Verdana" w:hAnsi="Verdana"/>
          <w:sz w:val="20"/>
          <w:szCs w:val="20"/>
        </w:rPr>
        <w:lastRenderedPageBreak/>
        <w:t xml:space="preserve">Con fundamento en lo expuesto, solicito formalmente que la ANCP-CCE resuelva los siguientes interrogantes con el fin de unificar el criterio aplicable: </w:t>
      </w:r>
    </w:p>
    <w:p w14:paraId="1FABD49A"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p>
    <w:p w14:paraId="1E07C9DA"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r w:rsidRPr="003331C4">
        <w:rPr>
          <w:rFonts w:ascii="Verdana" w:hAnsi="Verdana"/>
          <w:sz w:val="20"/>
          <w:szCs w:val="20"/>
        </w:rPr>
        <w:t xml:space="preserve">1. ¿Es jurídicamente viable que una entidad estatal rechace la oferta de un proponente dentro de una licitación de obra pública, bajo el argumento de "información inexacta" o "inconsistente", por el hecho de haber excluido del formato de cálculo del K Residual aquellos contratos cuyo objeto material es la interventoría o consultoría, a pesar de que estos figuren con código del Segmento 72 en el RUP? </w:t>
      </w:r>
    </w:p>
    <w:p w14:paraId="2BD762A0"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p>
    <w:p w14:paraId="00EF50F9"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r w:rsidRPr="003331C4">
        <w:rPr>
          <w:rFonts w:ascii="Verdana" w:hAnsi="Verdana"/>
          <w:sz w:val="20"/>
          <w:szCs w:val="20"/>
        </w:rPr>
        <w:t xml:space="preserve">2. Para efectos del cálculo del factor de experiencia (E) en la fórmula de Capacidad Residual de Contratación (Decreto 1082 de 2015), ¿debe la entidad contratante ceñirse estrictamente a la realidad material del objeto de los contratos (excluyendo las interventorías, aunque tengan código 72) o debe obligar al proponente a incluirlas generando un cálculo erróneo de su capacidad técnica de obra? </w:t>
      </w:r>
    </w:p>
    <w:p w14:paraId="78020073"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p>
    <w:p w14:paraId="7FD82B1E"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r w:rsidRPr="003331C4">
        <w:rPr>
          <w:rFonts w:ascii="Verdana" w:hAnsi="Verdana"/>
          <w:sz w:val="20"/>
          <w:szCs w:val="20"/>
        </w:rPr>
        <w:t xml:space="preserve">3. Ante la imposibilidad técnica y normativa certificada por las Cámaras de Comercio para modificar o eliminar códigos de contratos aportados por socios con más de 3 años de antigüedad, ¿cuál es el lineamiento definitivo que deben seguir las entidades estatales para evaluar el K residual de un proponente sin vulnerar su derecho a la libre concurrencia y a la verdad material? </w:t>
      </w:r>
    </w:p>
    <w:p w14:paraId="22FB267F"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p>
    <w:p w14:paraId="18008EB6" w14:textId="77777777" w:rsidR="00E5643F" w:rsidRPr="003331C4" w:rsidRDefault="00E5643F" w:rsidP="00E5643F">
      <w:pPr>
        <w:autoSpaceDE w:val="0"/>
        <w:autoSpaceDN w:val="0"/>
        <w:adjustRightInd w:val="0"/>
        <w:spacing w:after="0" w:line="240" w:lineRule="auto"/>
        <w:ind w:left="851" w:right="616"/>
        <w:jc w:val="both"/>
        <w:rPr>
          <w:rFonts w:ascii="Verdana" w:hAnsi="Verdana"/>
          <w:sz w:val="20"/>
          <w:szCs w:val="20"/>
        </w:rPr>
      </w:pPr>
      <w:r w:rsidRPr="003331C4">
        <w:rPr>
          <w:rFonts w:ascii="Verdana" w:hAnsi="Verdana"/>
          <w:sz w:val="20"/>
          <w:szCs w:val="20"/>
        </w:rPr>
        <w:t>4. ¿Existe en el ordenamiento jurídico colombiano alguna disposición legal o reglamentaria dictada por esta Agencia, el PNUD o el legislador, que catalogue los códigos del Segmento 72 (UNSPSC) como de "uso exclusivo" para contratos”</w:t>
      </w:r>
    </w:p>
    <w:p w14:paraId="686F94E9" w14:textId="77777777" w:rsidR="00E5643F" w:rsidRPr="00D54CA0" w:rsidRDefault="00E5643F" w:rsidP="00E5643F">
      <w:pPr>
        <w:autoSpaceDE w:val="0"/>
        <w:autoSpaceDN w:val="0"/>
        <w:adjustRightInd w:val="0"/>
        <w:spacing w:after="0" w:line="276" w:lineRule="auto"/>
        <w:ind w:left="851" w:right="616"/>
        <w:jc w:val="both"/>
        <w:rPr>
          <w:rFonts w:ascii="Verdana" w:eastAsia="Century Gothic" w:hAnsi="Verdana" w:cs="Century Gothic"/>
          <w:b/>
          <w:i/>
          <w:iCs/>
          <w:sz w:val="20"/>
          <w:szCs w:val="20"/>
        </w:rPr>
      </w:pPr>
    </w:p>
    <w:p w14:paraId="1BB0A2B6" w14:textId="77777777" w:rsidR="00E5643F" w:rsidRDefault="00E5643F" w:rsidP="00E5643F">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w:t>
      </w:r>
      <w:r>
        <w:rPr>
          <w:rFonts w:ascii="Verdana" w:eastAsia="Calibri" w:hAnsi="Verdana" w:cs="Arial"/>
          <w:color w:val="000000"/>
          <w:lang w:val="es-ES" w:eastAsia="es-ES"/>
        </w:rPr>
        <w:lastRenderedPageBreak/>
        <w:t xml:space="preserve">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625EE174" w14:textId="77777777" w:rsidR="00E5643F" w:rsidRDefault="00E5643F" w:rsidP="00E5643F">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6CFC07F6" w14:textId="77777777" w:rsidR="00E5643F" w:rsidRDefault="00E5643F" w:rsidP="00E5643F">
      <w:pPr>
        <w:spacing w:after="0" w:line="276" w:lineRule="auto"/>
        <w:ind w:firstLine="709"/>
        <w:jc w:val="both"/>
        <w:rPr>
          <w:rFonts w:ascii="Verdana" w:eastAsia="Calibri" w:hAnsi="Verdana" w:cs="Arial"/>
          <w:color w:val="000000"/>
          <w:lang w:val="es-ES" w:eastAsia="es-ES"/>
        </w:rPr>
      </w:pPr>
    </w:p>
    <w:p w14:paraId="1BCA6CFE" w14:textId="77777777" w:rsidR="00E5643F" w:rsidRDefault="00E5643F" w:rsidP="00E5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3FC4133B" w14:textId="77777777" w:rsidR="00E5643F" w:rsidRDefault="00E5643F" w:rsidP="00E5643F">
      <w:pPr>
        <w:tabs>
          <w:tab w:val="left" w:pos="426"/>
        </w:tabs>
        <w:spacing w:after="0" w:line="276" w:lineRule="auto"/>
        <w:jc w:val="both"/>
        <w:rPr>
          <w:rFonts w:ascii="Verdana" w:eastAsia="Century Gothic" w:hAnsi="Verdana" w:cs="Century Gothic"/>
          <w:lang w:val="es-ES"/>
        </w:rPr>
      </w:pPr>
    </w:p>
    <w:p w14:paraId="602298CC" w14:textId="77777777" w:rsidR="00E5643F" w:rsidRDefault="00E5643F" w:rsidP="00E5643F">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w:t>
      </w:r>
      <w:r w:rsidRPr="00FF5178">
        <w:rPr>
          <w:rFonts w:ascii="Verdana" w:eastAsia="Calibri" w:hAnsi="Verdana" w:cs="Times New Roman"/>
          <w:iCs/>
          <w:lang w:val="es-ES"/>
        </w:rPr>
        <w:t>¿</w:t>
      </w:r>
      <w:r>
        <w:rPr>
          <w:rFonts w:ascii="Verdana" w:eastAsia="Calibri" w:hAnsi="Verdana" w:cs="Times New Roman"/>
          <w:iCs/>
          <w:lang w:val="es-ES"/>
        </w:rPr>
        <w:t>D</w:t>
      </w:r>
      <w:r w:rsidRPr="00FF5178">
        <w:rPr>
          <w:rFonts w:ascii="Verdana" w:eastAsia="Calibri" w:hAnsi="Verdana" w:cs="Times New Roman"/>
          <w:iCs/>
          <w:lang w:val="es-ES"/>
        </w:rPr>
        <w:t xml:space="preserve">ebe </w:t>
      </w:r>
      <w:r>
        <w:rPr>
          <w:rFonts w:ascii="Verdana" w:eastAsia="Calibri" w:hAnsi="Verdana" w:cs="Times New Roman"/>
          <w:iCs/>
          <w:lang w:val="es-ES"/>
        </w:rPr>
        <w:t xml:space="preserve">evaluar </w:t>
      </w:r>
      <w:r w:rsidRPr="00FF5178">
        <w:rPr>
          <w:rFonts w:ascii="Verdana" w:eastAsia="Calibri" w:hAnsi="Verdana" w:cs="Times New Roman"/>
          <w:iCs/>
          <w:lang w:val="es-ES"/>
        </w:rPr>
        <w:t xml:space="preserve">la entidad contratante </w:t>
      </w:r>
      <w:r>
        <w:rPr>
          <w:rFonts w:ascii="Verdana" w:eastAsia="Calibri" w:hAnsi="Verdana" w:cs="Times New Roman"/>
          <w:iCs/>
          <w:lang w:val="es-ES"/>
        </w:rPr>
        <w:t>la capacidad residual en el “factor de Experiencia (E)” con los</w:t>
      </w:r>
      <w:r w:rsidRPr="00FF5178">
        <w:rPr>
          <w:rFonts w:ascii="Verdana" w:eastAsia="Calibri" w:hAnsi="Verdana" w:cs="Times New Roman"/>
          <w:iCs/>
          <w:lang w:val="es-ES"/>
        </w:rPr>
        <w:t xml:space="preserve"> códigos del segmento 72 en el RUP cuando los contratos registrados corresponden a consultoría o interventoría?</w:t>
      </w:r>
      <w:r>
        <w:rPr>
          <w:rFonts w:ascii="Verdana" w:eastAsia="Calibri" w:hAnsi="Verdana" w:cs="Times New Roman"/>
          <w:iCs/>
          <w:lang w:val="es-ES"/>
        </w:rPr>
        <w:t xml:space="preserve">; </w:t>
      </w:r>
      <w:proofErr w:type="spellStart"/>
      <w:r>
        <w:rPr>
          <w:rFonts w:ascii="Verdana" w:eastAsia="Calibri" w:hAnsi="Verdana" w:cs="Times New Roman"/>
          <w:iCs/>
          <w:lang w:val="es-ES"/>
        </w:rPr>
        <w:t>ii</w:t>
      </w:r>
      <w:proofErr w:type="spellEnd"/>
      <w:r>
        <w:rPr>
          <w:rFonts w:ascii="Verdana" w:eastAsia="Calibri" w:hAnsi="Verdana" w:cs="Times New Roman"/>
          <w:iCs/>
          <w:lang w:val="es-ES"/>
        </w:rPr>
        <w:t xml:space="preserve">) ¿Se constituiría una causal de rechazo en un proceso de contratación </w:t>
      </w:r>
      <w:r w:rsidRPr="0077717E">
        <w:rPr>
          <w:rFonts w:ascii="Verdana" w:eastAsia="Calibri" w:hAnsi="Verdana" w:cs="Times New Roman"/>
        </w:rPr>
        <w:t>que tenga inscritos en el RUP contratos de consultoría o interventoría</w:t>
      </w:r>
      <w:r>
        <w:rPr>
          <w:rFonts w:ascii="Verdana" w:eastAsia="Calibri" w:hAnsi="Verdana" w:cs="Times New Roman"/>
        </w:rPr>
        <w:t xml:space="preserve"> en el </w:t>
      </w:r>
      <w:r w:rsidRPr="0077717E">
        <w:rPr>
          <w:rFonts w:ascii="Verdana" w:eastAsia="Calibri" w:hAnsi="Verdana" w:cs="Times New Roman"/>
        </w:rPr>
        <w:t>segmento 72</w:t>
      </w:r>
      <w:r>
        <w:rPr>
          <w:rFonts w:ascii="Verdana" w:eastAsia="Calibri" w:hAnsi="Verdana" w:cs="Times New Roman"/>
        </w:rPr>
        <w:t>?</w:t>
      </w:r>
    </w:p>
    <w:p w14:paraId="2A4CA633" w14:textId="77777777" w:rsidR="00E5643F" w:rsidRDefault="00E5643F" w:rsidP="00E5643F">
      <w:pPr>
        <w:spacing w:after="0" w:line="276" w:lineRule="auto"/>
        <w:jc w:val="both"/>
        <w:rPr>
          <w:rFonts w:ascii="Verdana" w:eastAsia="Calibri" w:hAnsi="Verdana" w:cs="Arial"/>
          <w:color w:val="7030A0"/>
          <w:lang w:val="es-ES"/>
        </w:rPr>
      </w:pPr>
    </w:p>
    <w:p w14:paraId="5990AF11" w14:textId="77777777" w:rsidR="00E5643F" w:rsidRDefault="00E5643F" w:rsidP="00E5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1E991664" w14:textId="77777777" w:rsidR="00E5643F" w:rsidRDefault="00E5643F" w:rsidP="00E5643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643F" w14:paraId="4239974C" w14:textId="77777777" w:rsidTr="00E22BE8">
        <w:tc>
          <w:tcPr>
            <w:tcW w:w="8828" w:type="dxa"/>
            <w:tcBorders>
              <w:top w:val="dotted" w:sz="4" w:space="0" w:color="auto"/>
              <w:left w:val="dotted" w:sz="4" w:space="0" w:color="auto"/>
              <w:bottom w:val="dotted" w:sz="4" w:space="0" w:color="auto"/>
              <w:right w:val="dotted" w:sz="4" w:space="0" w:color="auto"/>
            </w:tcBorders>
          </w:tcPr>
          <w:p w14:paraId="71FCAD6D" w14:textId="77777777" w:rsidR="00E5643F" w:rsidRDefault="00E5643F" w:rsidP="00E22BE8">
            <w:pPr>
              <w:spacing w:after="120" w:line="276" w:lineRule="auto"/>
              <w:jc w:val="both"/>
              <w:rPr>
                <w:rFonts w:ascii="Verdana" w:hAnsi="Verdana"/>
              </w:rPr>
            </w:pPr>
            <w:r>
              <w:rPr>
                <w:rFonts w:ascii="Verdana" w:hAnsi="Verdana" w:cs="Arial"/>
                <w:lang w:eastAsia="es-ES"/>
              </w:rPr>
              <w:t>i</w:t>
            </w:r>
            <w:r w:rsidRPr="00842E4E">
              <w:rPr>
                <w:rFonts w:ascii="Verdana" w:hAnsi="Verdana" w:cs="Arial"/>
                <w:lang w:eastAsia="es-ES"/>
              </w:rPr>
              <w:t>.</w:t>
            </w:r>
            <w:r>
              <w:rPr>
                <w:rFonts w:ascii="Verdana" w:eastAsia="Calibri" w:hAnsi="Verdana" w:cs="Arial"/>
                <w:bCs/>
                <w:color w:val="000000" w:themeColor="text1"/>
              </w:rPr>
              <w:t xml:space="preserve"> </w:t>
            </w:r>
            <w:r w:rsidRPr="006676EE">
              <w:rPr>
                <w:rFonts w:ascii="Verdana" w:eastAsia="Calibri" w:hAnsi="Verdana" w:cs="Arial"/>
              </w:rPr>
              <w:t xml:space="preserve">De acuerdo con el artículo 2.2.1.1.1.3.1 del Decreto 1082 de 2015, la capacidad residual es la aptitud de los oferentes para cumplir de manera oportuna y a cabalidad el objeto de un </w:t>
            </w:r>
            <w:r w:rsidRPr="00EE24FD">
              <w:rPr>
                <w:rFonts w:ascii="Verdana" w:eastAsia="Calibri" w:hAnsi="Verdana" w:cs="Arial"/>
                <w:i/>
                <w:iCs/>
              </w:rPr>
              <w:t>contrato de obra</w:t>
            </w:r>
            <w:r w:rsidRPr="006676EE">
              <w:rPr>
                <w:rFonts w:ascii="Verdana" w:eastAsia="Calibri" w:hAnsi="Verdana" w:cs="Arial"/>
              </w:rPr>
              <w:t xml:space="preserve">, sin que los demás compromisos contractuales que han adquirido afecten su habilidad para cumplir el objeto del contrato que está en proceso de selección. </w:t>
            </w:r>
            <w:r>
              <w:rPr>
                <w:rFonts w:ascii="Verdana" w:eastAsia="Calibri" w:hAnsi="Verdana" w:cs="Arial"/>
              </w:rPr>
              <w:t>En este sentido, l</w:t>
            </w:r>
            <w:r w:rsidRPr="000D274D">
              <w:rPr>
                <w:rFonts w:ascii="Verdana" w:eastAsia="Calibri" w:hAnsi="Verdana" w:cs="Arial"/>
              </w:rPr>
              <w:t>a Capacidad Residual únicamente es exigido para los contratos de obra pública</w:t>
            </w:r>
            <w:r>
              <w:rPr>
                <w:rFonts w:ascii="Verdana" w:eastAsia="Calibri" w:hAnsi="Verdana" w:cs="Arial"/>
              </w:rPr>
              <w:t>,</w:t>
            </w:r>
            <w:r w:rsidRPr="000D274D">
              <w:rPr>
                <w:rFonts w:ascii="Verdana" w:eastAsia="Calibri" w:hAnsi="Verdana" w:cs="Arial"/>
              </w:rPr>
              <w:t xml:space="preserve"> por tanto, en los Documentos del Proceso de obra pública, la Entidad Estatal debe establecer un requisito adicional a los requisitos</w:t>
            </w:r>
            <w:r>
              <w:rPr>
                <w:rFonts w:ascii="Verdana" w:eastAsia="Calibri" w:hAnsi="Verdana" w:cs="Arial"/>
              </w:rPr>
              <w:t xml:space="preserve"> </w:t>
            </w:r>
            <w:r w:rsidRPr="002464F8">
              <w:rPr>
                <w:rFonts w:ascii="Verdana" w:hAnsi="Verdana"/>
              </w:rPr>
              <w:t>habilitantes que es la Capacidad Residual o K de Contratación, la cual deben cumplir los interesados en participar en un Proceso de Contratación.</w:t>
            </w:r>
            <w:r>
              <w:rPr>
                <w:rFonts w:ascii="Verdana" w:hAnsi="Verdana"/>
              </w:rPr>
              <w:t xml:space="preserve"> </w:t>
            </w:r>
          </w:p>
          <w:p w14:paraId="05962A29" w14:textId="77777777" w:rsidR="00E5643F" w:rsidRDefault="00E5643F" w:rsidP="00E22BE8">
            <w:pPr>
              <w:spacing w:after="120" w:line="276" w:lineRule="auto"/>
              <w:ind w:firstLine="743"/>
              <w:jc w:val="both"/>
              <w:rPr>
                <w:rFonts w:ascii="Verdana" w:hAnsi="Verdana"/>
              </w:rPr>
            </w:pPr>
            <w:r>
              <w:rPr>
                <w:rFonts w:ascii="Verdana" w:hAnsi="Verdana" w:cs="Arial"/>
              </w:rPr>
              <w:t>De esta forma, s</w:t>
            </w:r>
            <w:r w:rsidRPr="00FE755E">
              <w:rPr>
                <w:rFonts w:ascii="Verdana" w:hAnsi="Verdana"/>
              </w:rPr>
              <w:t xml:space="preserve">e concluye que los contratos que deben tenerse en cuenta para el cálculo de la experiencia del oferente en el marco de la Capacidad Residual son exclusivamente aquellos relacionados con la actividad de la construcción, es decir, los contratos de obra. Esto se evidencia en la exigencia de que dichos contratos estén inscritos en el RUP bajo el segmento 72 del Clasificador UNSPSC, el cual corresponde específicamente a servicios </w:t>
            </w:r>
            <w:r w:rsidRPr="00FE755E">
              <w:rPr>
                <w:rFonts w:ascii="Verdana" w:hAnsi="Verdana"/>
              </w:rPr>
              <w:lastRenderedPageBreak/>
              <w:t>de edificación, construcción de instalaciones y mantenimiento, lo que reafirma que solo la experiencia en contratos de obra resulta pertinente para este cálculo.</w:t>
            </w:r>
            <w:r>
              <w:rPr>
                <w:rFonts w:ascii="Verdana" w:hAnsi="Verdana"/>
              </w:rPr>
              <w:t xml:space="preserve"> </w:t>
            </w:r>
            <w:r w:rsidRPr="008D114E">
              <w:rPr>
                <w:rFonts w:ascii="Verdana" w:hAnsi="Verdana"/>
              </w:rPr>
              <w:t>Además, debe tenerse en cuenta que la Capacidad Residual es un requisito exigible únicamente en los procesos de selección de contratos de obra, por lo que resulta lógico y coherente que para su cálculo solo se consideren contratos de esta misma naturaleza.</w:t>
            </w:r>
          </w:p>
          <w:p w14:paraId="6CDC083C" w14:textId="77777777" w:rsidR="00E5643F" w:rsidRDefault="00E5643F" w:rsidP="00E22BE8">
            <w:pPr>
              <w:spacing w:after="120" w:line="276" w:lineRule="auto"/>
              <w:ind w:firstLine="708"/>
              <w:jc w:val="both"/>
              <w:rPr>
                <w:rFonts w:ascii="Verdana" w:eastAsia="Calibri" w:hAnsi="Verdana" w:cs="Arial"/>
                <w:bCs/>
                <w:color w:val="000000" w:themeColor="text1"/>
              </w:rPr>
            </w:pPr>
            <w:r w:rsidRPr="00981292">
              <w:rPr>
                <w:rFonts w:ascii="Verdana" w:eastAsia="Calibri" w:hAnsi="Verdana" w:cs="Arial"/>
                <w:bCs/>
                <w:color w:val="000000" w:themeColor="text1"/>
              </w:rPr>
              <w:t xml:space="preserve">Teniendo en cuenta las anteriores precisiones, es importante señalar que </w:t>
            </w:r>
            <w:r>
              <w:rPr>
                <w:rFonts w:ascii="Verdana" w:eastAsia="Calibri" w:hAnsi="Verdana" w:cs="Arial"/>
                <w:bCs/>
                <w:color w:val="000000" w:themeColor="text1"/>
              </w:rPr>
              <w:t xml:space="preserve">para efectos del cálculo de la capacidad residual si bien es necesario revisar </w:t>
            </w:r>
            <w:r w:rsidRPr="00981292">
              <w:rPr>
                <w:rFonts w:ascii="Verdana" w:eastAsia="Calibri" w:hAnsi="Verdana" w:cs="Arial"/>
                <w:bCs/>
                <w:color w:val="000000" w:themeColor="text1"/>
              </w:rPr>
              <w:t xml:space="preserve">la inclusión de códigos </w:t>
            </w:r>
            <w:r>
              <w:rPr>
                <w:rFonts w:ascii="Verdana" w:eastAsia="Calibri" w:hAnsi="Verdana" w:cs="Arial"/>
                <w:bCs/>
                <w:color w:val="000000" w:themeColor="text1"/>
              </w:rPr>
              <w:t xml:space="preserve">del </w:t>
            </w:r>
            <w:r w:rsidRPr="00981292">
              <w:rPr>
                <w:rFonts w:ascii="Verdana" w:eastAsia="Calibri" w:hAnsi="Verdana" w:cs="Arial"/>
                <w:bCs/>
                <w:color w:val="000000" w:themeColor="text1"/>
              </w:rPr>
              <w:t>segmento 72 del clasificador UNSPSC en el RUP</w:t>
            </w:r>
            <w:r>
              <w:rPr>
                <w:rFonts w:ascii="Verdana" w:eastAsia="Calibri" w:hAnsi="Verdana" w:cs="Arial"/>
                <w:bCs/>
                <w:color w:val="000000" w:themeColor="text1"/>
              </w:rPr>
              <w:t xml:space="preserve">, esto </w:t>
            </w:r>
            <w:r w:rsidRPr="00981292">
              <w:rPr>
                <w:rFonts w:ascii="Verdana" w:eastAsia="Calibri" w:hAnsi="Verdana" w:cs="Arial"/>
                <w:bCs/>
                <w:color w:val="000000" w:themeColor="text1"/>
              </w:rPr>
              <w:t>no permite concluir, por sí sol</w:t>
            </w:r>
            <w:r>
              <w:rPr>
                <w:rFonts w:ascii="Verdana" w:eastAsia="Calibri" w:hAnsi="Verdana" w:cs="Arial"/>
                <w:bCs/>
                <w:color w:val="000000" w:themeColor="text1"/>
              </w:rPr>
              <w:t>o</w:t>
            </w:r>
            <w:r w:rsidRPr="00981292">
              <w:rPr>
                <w:rFonts w:ascii="Verdana" w:eastAsia="Calibri" w:hAnsi="Verdana" w:cs="Arial"/>
                <w:bCs/>
                <w:color w:val="000000" w:themeColor="text1"/>
              </w:rPr>
              <w:t>, que</w:t>
            </w:r>
            <w:r>
              <w:rPr>
                <w:rFonts w:ascii="Verdana" w:eastAsia="Calibri" w:hAnsi="Verdana" w:cs="Arial"/>
                <w:bCs/>
                <w:color w:val="000000" w:themeColor="text1"/>
              </w:rPr>
              <w:t xml:space="preserve"> todos</w:t>
            </w:r>
            <w:r w:rsidRPr="00981292">
              <w:rPr>
                <w:rFonts w:ascii="Verdana" w:eastAsia="Calibri" w:hAnsi="Verdana" w:cs="Arial"/>
                <w:bCs/>
                <w:color w:val="000000" w:themeColor="text1"/>
              </w:rPr>
              <w:t xml:space="preserve"> los contratos registrados correspondan a obras civiles. </w:t>
            </w:r>
            <w:r>
              <w:rPr>
                <w:rFonts w:ascii="Verdana" w:eastAsia="Calibri" w:hAnsi="Verdana" w:cs="Arial"/>
                <w:bCs/>
                <w:color w:val="000000" w:themeColor="text1"/>
              </w:rPr>
              <w:t>Por ello</w:t>
            </w:r>
            <w:r w:rsidRPr="00981292">
              <w:rPr>
                <w:rFonts w:ascii="Verdana" w:eastAsia="Calibri" w:hAnsi="Verdana" w:cs="Arial"/>
                <w:bCs/>
                <w:color w:val="000000" w:themeColor="text1"/>
              </w:rPr>
              <w:t xml:space="preserve">, </w:t>
            </w:r>
            <w:r>
              <w:rPr>
                <w:rFonts w:ascii="Verdana" w:eastAsia="Calibri" w:hAnsi="Verdana" w:cs="Arial"/>
                <w:bCs/>
                <w:color w:val="000000" w:themeColor="text1"/>
              </w:rPr>
              <w:t xml:space="preserve">es fundamental que la entidad estatal verifique el objeto contractual </w:t>
            </w:r>
            <w:r w:rsidRPr="00981292">
              <w:rPr>
                <w:rFonts w:ascii="Verdana" w:eastAsia="Calibri" w:hAnsi="Verdana" w:cs="Arial"/>
                <w:bCs/>
                <w:color w:val="000000" w:themeColor="text1"/>
              </w:rPr>
              <w:t>efectivamente ejecutado</w:t>
            </w:r>
            <w:r>
              <w:rPr>
                <w:rFonts w:ascii="Verdana" w:eastAsia="Calibri" w:hAnsi="Verdana" w:cs="Arial"/>
                <w:bCs/>
                <w:color w:val="000000" w:themeColor="text1"/>
              </w:rPr>
              <w:t xml:space="preserve"> ya q</w:t>
            </w:r>
            <w:r w:rsidRPr="00981292">
              <w:rPr>
                <w:rFonts w:ascii="Verdana" w:eastAsia="Calibri" w:hAnsi="Verdana" w:cs="Arial"/>
                <w:bCs/>
                <w:color w:val="000000" w:themeColor="text1"/>
              </w:rPr>
              <w:t>ue la clasificación UNSPSC constituye una herramienta de carácter administrativo para la identificación y categorización de bienes, obras y servicios, pero no determina la naturaleza jurídica del contrato ni define automáticamente su incidencia en el cálculo de la capacidad residual.</w:t>
            </w:r>
          </w:p>
          <w:p w14:paraId="5034DF7B" w14:textId="77777777" w:rsidR="00E5643F" w:rsidRDefault="00E5643F" w:rsidP="00E22BE8">
            <w:pPr>
              <w:spacing w:after="120" w:line="276" w:lineRule="auto"/>
              <w:ind w:firstLine="708"/>
              <w:jc w:val="both"/>
              <w:rPr>
                <w:rFonts w:ascii="Verdana" w:eastAsia="Calibri" w:hAnsi="Verdana" w:cs="Arial"/>
                <w:bCs/>
                <w:color w:val="000000" w:themeColor="text1"/>
              </w:rPr>
            </w:pPr>
            <w:r w:rsidRPr="00981292">
              <w:rPr>
                <w:rFonts w:ascii="Verdana" w:eastAsia="Calibri" w:hAnsi="Verdana" w:cs="Arial"/>
                <w:bCs/>
                <w:color w:val="000000" w:themeColor="text1"/>
              </w:rPr>
              <w:t>En este sentido, para efectos de la capacidad residual, la normativa colombiana prevé que únicamente deben considerarse los contratos de obra civil, independientemente de que hayan sido celebrados con entidades públicas o privadas.</w:t>
            </w:r>
            <w:r>
              <w:rPr>
                <w:rFonts w:ascii="Verdana" w:eastAsia="Calibri" w:hAnsi="Verdana" w:cs="Arial"/>
                <w:bCs/>
                <w:color w:val="000000" w:themeColor="text1"/>
              </w:rPr>
              <w:t xml:space="preserve"> </w:t>
            </w:r>
            <w:r w:rsidRPr="00842E4E">
              <w:rPr>
                <w:rFonts w:ascii="Verdana" w:eastAsia="Calibri" w:hAnsi="Verdana" w:cs="Arial"/>
                <w:bCs/>
                <w:color w:val="000000" w:themeColor="text1"/>
              </w:rPr>
              <w:t xml:space="preserve">Esto significa que los contratos de consultoría o de interventoría, aun cuando </w:t>
            </w:r>
            <w:r>
              <w:rPr>
                <w:rFonts w:ascii="Verdana" w:eastAsia="Calibri" w:hAnsi="Verdana" w:cs="Arial"/>
                <w:bCs/>
                <w:color w:val="000000" w:themeColor="text1"/>
              </w:rPr>
              <w:t xml:space="preserve">eventualmente se </w:t>
            </w:r>
            <w:r w:rsidRPr="00842E4E">
              <w:rPr>
                <w:rFonts w:ascii="Verdana" w:eastAsia="Calibri" w:hAnsi="Verdana" w:cs="Arial"/>
                <w:bCs/>
                <w:color w:val="000000" w:themeColor="text1"/>
              </w:rPr>
              <w:t>clasifi</w:t>
            </w:r>
            <w:r>
              <w:rPr>
                <w:rFonts w:ascii="Verdana" w:eastAsia="Calibri" w:hAnsi="Verdana" w:cs="Arial"/>
                <w:bCs/>
                <w:color w:val="000000" w:themeColor="text1"/>
              </w:rPr>
              <w:t>quen</w:t>
            </w:r>
            <w:r w:rsidRPr="00842E4E">
              <w:rPr>
                <w:rFonts w:ascii="Verdana" w:eastAsia="Calibri" w:hAnsi="Verdana" w:cs="Arial"/>
                <w:bCs/>
                <w:color w:val="000000" w:themeColor="text1"/>
              </w:rPr>
              <w:t xml:space="preserve"> en el segmento 72, no afectan la capacidad residual, porque no implican ejecución directa de obra ni comprometen la capacidad operativa del proponente en términos de maquinaria, personal de obra o cronogramas constructivos. </w:t>
            </w:r>
          </w:p>
          <w:p w14:paraId="176E4AED" w14:textId="77777777" w:rsidR="00E5643F" w:rsidRDefault="00E5643F" w:rsidP="00E22BE8">
            <w:pPr>
              <w:widowControl w:val="0"/>
              <w:autoSpaceDE w:val="0"/>
              <w:autoSpaceDN w:val="0"/>
              <w:spacing w:after="120" w:line="276" w:lineRule="auto"/>
              <w:ind w:right="102" w:firstLine="607"/>
              <w:jc w:val="both"/>
              <w:rPr>
                <w:rFonts w:ascii="Verdana" w:eastAsia="Calibri" w:hAnsi="Verdana" w:cs="Arial"/>
                <w:bCs/>
                <w:color w:val="000000" w:themeColor="text1"/>
              </w:rPr>
            </w:pPr>
            <w:r>
              <w:rPr>
                <w:rFonts w:ascii="Verdana" w:eastAsia="Calibri" w:hAnsi="Verdana" w:cs="Arial"/>
                <w:bCs/>
                <w:color w:val="000000" w:themeColor="text1"/>
              </w:rPr>
              <w:t xml:space="preserve">Al respecto, </w:t>
            </w:r>
            <w:r>
              <w:rPr>
                <w:rFonts w:ascii="Verdana" w:eastAsia="Times New Roman" w:hAnsi="Verdana" w:cs="Arial"/>
                <w:lang w:val="es-ES"/>
              </w:rPr>
              <w:t>e</w:t>
            </w:r>
            <w:r>
              <w:rPr>
                <w:rFonts w:ascii="Verdana" w:eastAsia="Times New Roman" w:hAnsi="Verdana" w:cs="Arial"/>
                <w:lang w:val="es-ES_tradnl"/>
              </w:rPr>
              <w:t xml:space="preserve">s preciso tener en cuenta que la Circular Externa Única proferida por la Agencia Nacional de Contratación Pública – Colombia Compra Eficiente, en la cual se incorporaron directrices relacionadas con el RUP y particularmente sobre el “uso del Clasificador de Bienes y Servicios en el Registro Único de Proponentes”, precisó </w:t>
            </w:r>
            <w:r>
              <w:rPr>
                <w:rFonts w:ascii="Verdana" w:eastAsia="Times New Roman" w:hAnsi="Verdana" w:cs="Arial"/>
                <w:lang w:val="es-ES"/>
              </w:rPr>
              <w:t xml:space="preserve">que </w:t>
            </w:r>
            <w:r>
              <w:rPr>
                <w:rFonts w:ascii="Verdana" w:eastAsia="Calibri" w:hAnsi="Verdana" w:cs="Arial"/>
                <w:bCs/>
                <w:color w:val="000000" w:themeColor="text1"/>
              </w:rPr>
              <w:t>l</w:t>
            </w:r>
            <w:r w:rsidRPr="00D2442C">
              <w:rPr>
                <w:rFonts w:ascii="Verdana" w:eastAsia="Calibri" w:hAnsi="Verdana" w:cs="Arial"/>
                <w:bCs/>
                <w:color w:val="000000" w:themeColor="text1"/>
              </w:rPr>
              <w:t xml:space="preserve">as Cámaras de Comercio solo pueden inscribir como experiencia del proponente aquella certificada por documento público o privado, y para la cual el proponente </w:t>
            </w:r>
            <w:r w:rsidRPr="00E13946">
              <w:rPr>
                <w:rFonts w:ascii="Verdana" w:eastAsia="Calibri" w:hAnsi="Verdana" w:cs="Arial"/>
                <w:bCs/>
                <w:color w:val="000000" w:themeColor="text1"/>
              </w:rPr>
              <w:t>deberá indicar los códigos del Clasificador de Bienes y Servicios</w:t>
            </w:r>
            <w:r w:rsidRPr="00D2442C">
              <w:rPr>
                <w:rFonts w:ascii="Verdana" w:eastAsia="Calibri" w:hAnsi="Verdana" w:cs="Arial"/>
                <w:bCs/>
                <w:color w:val="000000" w:themeColor="text1"/>
              </w:rPr>
              <w:t>.</w:t>
            </w:r>
            <w:r>
              <w:rPr>
                <w:rFonts w:ascii="Verdana" w:eastAsia="Calibri" w:hAnsi="Verdana" w:cs="Arial"/>
                <w:bCs/>
                <w:color w:val="000000" w:themeColor="text1"/>
              </w:rPr>
              <w:t xml:space="preserve"> Además, señaló que “l</w:t>
            </w:r>
            <w:r w:rsidRPr="002F2A0B">
              <w:rPr>
                <w:rFonts w:ascii="Verdana" w:eastAsia="Calibri" w:hAnsi="Verdana" w:cs="Arial"/>
                <w:bCs/>
                <w:color w:val="000000" w:themeColor="text1"/>
              </w:rPr>
              <w:t xml:space="preserve">os códigos de “servicios de construcción” están clasificados en el segmento 72: “Servicios de Edificación, Construcción de Instalaciones y Mantenimiento”. El segmento 95 es de bienes “Terrenos, Edificios, Estructuras y Vías” y, por lo </w:t>
            </w:r>
            <w:r w:rsidRPr="002F2A0B">
              <w:rPr>
                <w:rFonts w:ascii="Verdana" w:eastAsia="Calibri" w:hAnsi="Verdana" w:cs="Arial"/>
                <w:bCs/>
                <w:color w:val="000000" w:themeColor="text1"/>
              </w:rPr>
              <w:lastRenderedPageBreak/>
              <w:t>tanto, no es adecuado para la identificación del objeto en el Proceso de Contratación de obra pública</w:t>
            </w:r>
            <w:r>
              <w:rPr>
                <w:rFonts w:ascii="Verdana" w:eastAsia="Calibri" w:hAnsi="Verdana" w:cs="Arial"/>
                <w:bCs/>
                <w:color w:val="000000" w:themeColor="text1"/>
              </w:rPr>
              <w:t xml:space="preserve">”. </w:t>
            </w:r>
            <w:r w:rsidRPr="008D47C5">
              <w:rPr>
                <w:rFonts w:ascii="Verdana" w:eastAsia="Calibri" w:hAnsi="Verdana" w:cs="Arial"/>
                <w:bCs/>
                <w:color w:val="000000" w:themeColor="text1"/>
              </w:rPr>
              <w:t xml:space="preserve">Por lo tanto, la experiencia </w:t>
            </w:r>
            <w:r>
              <w:rPr>
                <w:rFonts w:ascii="Verdana" w:eastAsia="Calibri" w:hAnsi="Verdana" w:cs="Arial"/>
                <w:bCs/>
                <w:color w:val="000000" w:themeColor="text1"/>
              </w:rPr>
              <w:t>que</w:t>
            </w:r>
            <w:r w:rsidRPr="008D47C5">
              <w:rPr>
                <w:rFonts w:ascii="Verdana" w:eastAsia="Calibri" w:hAnsi="Verdana" w:cs="Arial"/>
                <w:bCs/>
                <w:color w:val="000000" w:themeColor="text1"/>
              </w:rPr>
              <w:t xml:space="preserve"> registre</w:t>
            </w:r>
            <w:r>
              <w:rPr>
                <w:rFonts w:ascii="Verdana" w:eastAsia="Calibri" w:hAnsi="Verdana" w:cs="Arial"/>
                <w:bCs/>
                <w:color w:val="000000" w:themeColor="text1"/>
              </w:rPr>
              <w:t xml:space="preserve"> el proponente</w:t>
            </w:r>
            <w:r w:rsidRPr="008D47C5">
              <w:rPr>
                <w:rFonts w:ascii="Verdana" w:eastAsia="Calibri" w:hAnsi="Verdana" w:cs="Arial"/>
                <w:bCs/>
                <w:color w:val="000000" w:themeColor="text1"/>
              </w:rPr>
              <w:t xml:space="preserve"> en el RUP bajo e</w:t>
            </w:r>
            <w:r>
              <w:rPr>
                <w:rFonts w:ascii="Verdana" w:eastAsia="Calibri" w:hAnsi="Verdana" w:cs="Arial"/>
                <w:bCs/>
                <w:color w:val="000000" w:themeColor="text1"/>
              </w:rPr>
              <w:t>l</w:t>
            </w:r>
            <w:r w:rsidRPr="008D47C5">
              <w:rPr>
                <w:rFonts w:ascii="Verdana" w:eastAsia="Calibri" w:hAnsi="Verdana" w:cs="Arial"/>
                <w:bCs/>
                <w:color w:val="000000" w:themeColor="text1"/>
              </w:rPr>
              <w:t xml:space="preserve"> segmento</w:t>
            </w:r>
            <w:r>
              <w:rPr>
                <w:rFonts w:ascii="Verdana" w:eastAsia="Calibri" w:hAnsi="Verdana" w:cs="Arial"/>
                <w:bCs/>
                <w:color w:val="000000" w:themeColor="text1"/>
              </w:rPr>
              <w:t xml:space="preserve"> 72</w:t>
            </w:r>
            <w:r w:rsidRPr="008D47C5">
              <w:rPr>
                <w:rFonts w:ascii="Verdana" w:eastAsia="Calibri" w:hAnsi="Verdana" w:cs="Arial"/>
                <w:bCs/>
                <w:color w:val="000000" w:themeColor="text1"/>
              </w:rPr>
              <w:t xml:space="preserve"> deberá corresponder a servicios de edificación, construcción de instalaciones y mantenimiento, y no a otro tipo de servicios</w:t>
            </w:r>
            <w:r>
              <w:rPr>
                <w:rFonts w:ascii="Verdana" w:eastAsia="Calibri" w:hAnsi="Verdana" w:cs="Arial"/>
                <w:bCs/>
                <w:color w:val="000000" w:themeColor="text1"/>
              </w:rPr>
              <w:t xml:space="preserve">. </w:t>
            </w:r>
          </w:p>
          <w:p w14:paraId="7D3D2662" w14:textId="77777777" w:rsidR="00E5643F" w:rsidRPr="00B65134" w:rsidRDefault="00E5643F" w:rsidP="00E22BE8">
            <w:pPr>
              <w:widowControl w:val="0"/>
              <w:autoSpaceDE w:val="0"/>
              <w:autoSpaceDN w:val="0"/>
              <w:spacing w:after="120" w:line="276" w:lineRule="auto"/>
              <w:ind w:right="102" w:firstLine="607"/>
              <w:jc w:val="both"/>
              <w:rPr>
                <w:rFonts w:ascii="Verdana" w:eastAsia="Calibri" w:hAnsi="Verdana" w:cs="Arial"/>
                <w:bCs/>
                <w:color w:val="000000" w:themeColor="text1"/>
              </w:rPr>
            </w:pPr>
            <w:r>
              <w:rPr>
                <w:rFonts w:ascii="Verdana" w:eastAsia="Calibri" w:hAnsi="Verdana" w:cs="Arial"/>
                <w:bCs/>
                <w:color w:val="000000" w:themeColor="text1"/>
              </w:rPr>
              <w:t>Así las cosas</w:t>
            </w:r>
            <w:r w:rsidRPr="00842E4E">
              <w:rPr>
                <w:rFonts w:ascii="Verdana" w:eastAsia="Calibri" w:hAnsi="Verdana" w:cs="Arial"/>
                <w:bCs/>
                <w:color w:val="000000" w:themeColor="text1"/>
              </w:rPr>
              <w:t xml:space="preserve">, debido a que lo relevante es que el objeto del contrato contemple la ejecución de obras civiles, no es válido afirmar que, para calcular la capacidad residual deban tener en cuenta los contratos de consultoría o interventoría, </w:t>
            </w:r>
            <w:r>
              <w:rPr>
                <w:rFonts w:ascii="Verdana" w:eastAsia="Calibri" w:hAnsi="Verdana" w:cs="Arial"/>
                <w:bCs/>
                <w:color w:val="000000" w:themeColor="text1"/>
              </w:rPr>
              <w:t xml:space="preserve">que </w:t>
            </w:r>
            <w:r w:rsidRPr="00842E4E">
              <w:rPr>
                <w:rFonts w:ascii="Verdana" w:eastAsia="Calibri" w:hAnsi="Verdana" w:cs="Arial"/>
                <w:bCs/>
                <w:color w:val="000000" w:themeColor="text1"/>
              </w:rPr>
              <w:t xml:space="preserve">erróneamente </w:t>
            </w:r>
            <w:r>
              <w:rPr>
                <w:rFonts w:ascii="Verdana" w:eastAsia="Calibri" w:hAnsi="Verdana" w:cs="Arial"/>
                <w:bCs/>
                <w:color w:val="000000" w:themeColor="text1"/>
              </w:rPr>
              <w:t xml:space="preserve">se inscriban </w:t>
            </w:r>
            <w:r w:rsidRPr="00842E4E">
              <w:rPr>
                <w:rFonts w:ascii="Verdana" w:eastAsia="Calibri" w:hAnsi="Verdana" w:cs="Arial"/>
                <w:bCs/>
                <w:color w:val="000000" w:themeColor="text1"/>
              </w:rPr>
              <w:t>el segmento 72. Lo relevante es el objeto del contrato, no el segmento en el que se inscribe</w:t>
            </w:r>
            <w:r>
              <w:rPr>
                <w:rFonts w:ascii="Verdana" w:eastAsia="Calibri" w:hAnsi="Verdana" w:cs="Arial"/>
                <w:bCs/>
                <w:color w:val="000000" w:themeColor="text1"/>
              </w:rPr>
              <w:t xml:space="preserve">, por tanto, </w:t>
            </w:r>
            <w:r w:rsidRPr="00842E4E">
              <w:rPr>
                <w:rFonts w:ascii="Verdana" w:eastAsia="Calibri" w:hAnsi="Verdana" w:cs="Arial"/>
                <w:bCs/>
                <w:color w:val="000000" w:themeColor="text1"/>
              </w:rPr>
              <w:t xml:space="preserve">la interpretación correcta es que la </w:t>
            </w:r>
            <w:r>
              <w:rPr>
                <w:rFonts w:ascii="Verdana" w:eastAsia="Calibri" w:hAnsi="Verdana" w:cs="Arial"/>
                <w:bCs/>
                <w:color w:val="000000" w:themeColor="text1"/>
              </w:rPr>
              <w:t xml:space="preserve">inclusión </w:t>
            </w:r>
            <w:r w:rsidRPr="00842E4E">
              <w:rPr>
                <w:rFonts w:ascii="Verdana" w:eastAsia="Calibri" w:hAnsi="Verdana" w:cs="Arial"/>
                <w:bCs/>
                <w:color w:val="000000" w:themeColor="text1"/>
              </w:rPr>
              <w:t xml:space="preserve">de códigos del segmento 72 en el RUP no genera presunción de obra. </w:t>
            </w:r>
            <w:r>
              <w:rPr>
                <w:rFonts w:ascii="Verdana" w:eastAsia="Calibri" w:hAnsi="Verdana" w:cs="Arial"/>
                <w:bCs/>
                <w:color w:val="000000" w:themeColor="text1"/>
              </w:rPr>
              <w:t>De este modo, l</w:t>
            </w:r>
            <w:r w:rsidRPr="00842E4E">
              <w:rPr>
                <w:rFonts w:ascii="Verdana" w:eastAsia="Calibri" w:hAnsi="Verdana" w:cs="Arial"/>
                <w:bCs/>
                <w:color w:val="000000" w:themeColor="text1"/>
              </w:rPr>
              <w:t>a entidad debe basarse en el objeto contractual y no</w:t>
            </w:r>
            <w:r>
              <w:rPr>
                <w:rFonts w:ascii="Verdana" w:eastAsia="Calibri" w:hAnsi="Verdana" w:cs="Arial"/>
                <w:bCs/>
                <w:color w:val="000000" w:themeColor="text1"/>
              </w:rPr>
              <w:t xml:space="preserve"> solo</w:t>
            </w:r>
            <w:r w:rsidRPr="00842E4E">
              <w:rPr>
                <w:rFonts w:ascii="Verdana" w:eastAsia="Calibri" w:hAnsi="Verdana" w:cs="Arial"/>
                <w:bCs/>
                <w:color w:val="000000" w:themeColor="text1"/>
              </w:rPr>
              <w:t xml:space="preserve"> en la clasificación UNSPSC para decidir si un contrato afecta o no la capacidad residual</w:t>
            </w:r>
            <w:r>
              <w:rPr>
                <w:rFonts w:ascii="Verdana" w:eastAsia="Calibri" w:hAnsi="Verdana" w:cs="Arial"/>
                <w:bCs/>
                <w:color w:val="000000" w:themeColor="text1"/>
              </w:rPr>
              <w:t xml:space="preserve">, lo cual </w:t>
            </w:r>
            <w:r w:rsidRPr="00842E4E">
              <w:rPr>
                <w:rFonts w:ascii="Verdana" w:eastAsia="Calibri" w:hAnsi="Verdana" w:cs="Arial"/>
                <w:bCs/>
                <w:color w:val="000000" w:themeColor="text1"/>
              </w:rPr>
              <w:t>asegura coherencia técnica, evita restricciones indebidas a la participación y mantiene alineado el análisis con el marco normativo vigente</w:t>
            </w:r>
            <w:r>
              <w:rPr>
                <w:rFonts w:ascii="Verdana" w:eastAsia="Calibri" w:hAnsi="Verdana" w:cs="Arial"/>
                <w:bCs/>
                <w:color w:val="000000" w:themeColor="text1"/>
              </w:rPr>
              <w:t xml:space="preserve"> sobre el cálculo de la capacidad residual</w:t>
            </w:r>
            <w:r w:rsidRPr="00842E4E">
              <w:rPr>
                <w:rFonts w:ascii="Verdana" w:eastAsia="Calibri" w:hAnsi="Verdana" w:cs="Arial"/>
                <w:bCs/>
                <w:color w:val="000000" w:themeColor="text1"/>
              </w:rPr>
              <w:t xml:space="preserve">. </w:t>
            </w:r>
            <w:r w:rsidRPr="007028CC">
              <w:rPr>
                <w:rFonts w:ascii="Verdana" w:hAnsi="Verdana" w:cs="ArialMT"/>
                <w:sz w:val="20"/>
                <w:szCs w:val="20"/>
              </w:rPr>
              <w:t>[</w:t>
            </w:r>
            <w:r w:rsidRPr="007028CC">
              <w:rPr>
                <w:rFonts w:ascii="Verdana" w:eastAsia="Calibri" w:hAnsi="Verdana" w:cs="Arial"/>
                <w:bCs/>
                <w:color w:val="000000" w:themeColor="text1"/>
              </w:rPr>
              <w:t>Respuesta a interrogantes 2, 3, y 4</w:t>
            </w:r>
            <w:r w:rsidRPr="007028CC">
              <w:rPr>
                <w:rFonts w:ascii="Verdana" w:hAnsi="Verdana" w:cs="ArialMT"/>
                <w:sz w:val="20"/>
                <w:szCs w:val="20"/>
              </w:rPr>
              <w:t>]</w:t>
            </w:r>
          </w:p>
          <w:p w14:paraId="2DF677F6" w14:textId="77777777" w:rsidR="00E5643F" w:rsidRPr="0077191F" w:rsidRDefault="00E5643F" w:rsidP="00E22BE8">
            <w:pPr>
              <w:spacing w:after="120" w:line="276" w:lineRule="auto"/>
              <w:jc w:val="both"/>
              <w:rPr>
                <w:rFonts w:ascii="Verdana" w:eastAsia="Calibri" w:hAnsi="Verdana" w:cs="Times New Roman"/>
              </w:rPr>
            </w:pPr>
            <w:proofErr w:type="spellStart"/>
            <w:r w:rsidRPr="00842E4E">
              <w:rPr>
                <w:rFonts w:ascii="Verdana" w:eastAsia="Calibri" w:hAnsi="Verdana" w:cs="Arial"/>
                <w:bCs/>
                <w:color w:val="000000" w:themeColor="text1"/>
              </w:rPr>
              <w:t>ii</w:t>
            </w:r>
            <w:proofErr w:type="spellEnd"/>
            <w:r w:rsidRPr="00842E4E">
              <w:rPr>
                <w:rFonts w:ascii="Verdana" w:eastAsia="Calibri" w:hAnsi="Verdana" w:cs="Arial"/>
                <w:bCs/>
                <w:color w:val="000000" w:themeColor="text1"/>
              </w:rPr>
              <w:t>.</w:t>
            </w:r>
            <w:r>
              <w:rPr>
                <w:rFonts w:ascii="Verdana" w:eastAsia="Calibri" w:hAnsi="Verdana" w:cs="Arial"/>
                <w:bCs/>
                <w:color w:val="000000" w:themeColor="text1"/>
              </w:rPr>
              <w:t xml:space="preserve"> En torno al segundo problema jurídico, </w:t>
            </w:r>
            <w:r w:rsidRPr="00842E4E">
              <w:rPr>
                <w:rFonts w:ascii="Verdana" w:eastAsia="Calibri" w:hAnsi="Verdana" w:cs="Times New Roman"/>
              </w:rPr>
              <w:t xml:space="preserve">debe indicarse que </w:t>
            </w:r>
            <w:r w:rsidRPr="00842E4E">
              <w:rPr>
                <w:rFonts w:ascii="Verdana" w:eastAsia="Calibri" w:hAnsi="Verdana" w:cs="Arial"/>
              </w:rPr>
              <w:t xml:space="preserve">las causales de rechazo son las establecidas en la Ley y las fijadas por la entidad estatal en los pliegos de condiciones. Sin embargo, en ejercicio de dicha facultad, a las entidades no les es dable </w:t>
            </w:r>
            <w:r>
              <w:rPr>
                <w:rFonts w:ascii="Verdana" w:eastAsia="Calibri" w:hAnsi="Verdana" w:cs="Arial"/>
              </w:rPr>
              <w:t>fijar</w:t>
            </w:r>
            <w:r w:rsidRPr="00842E4E">
              <w:rPr>
                <w:rFonts w:ascii="Verdana" w:eastAsia="Calibri" w:hAnsi="Verdana" w:cs="Arial"/>
              </w:rPr>
              <w:t xml:space="preserve"> causales de rechazo que soslayen o afecten la selección objetiva en la contratación, por el solo hecho de que se haya presentado un registro incorrecto del RUP, en el sentido de tener en cuenta servicios de consultoría o interventoría en el segmento 72. En tal sentido, 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6364E3AB" w14:textId="77777777" w:rsidR="00E5643F" w:rsidRDefault="00E5643F" w:rsidP="00E22BE8">
            <w:pPr>
              <w:spacing w:after="120" w:line="276" w:lineRule="auto"/>
              <w:ind w:right="51" w:firstLine="709"/>
              <w:jc w:val="both"/>
              <w:rPr>
                <w:rFonts w:ascii="Verdana" w:eastAsia="Calibri" w:hAnsi="Verdana" w:cs="Arial"/>
              </w:rPr>
            </w:pPr>
            <w:r w:rsidRPr="00842E4E">
              <w:rPr>
                <w:rFonts w:ascii="Verdana" w:eastAsia="Calibri"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residual. Es del caso precisar que la expresión “afecta la capacidad residual” no se restringe a aquellos eventos en </w:t>
            </w:r>
            <w:r w:rsidRPr="00842E4E">
              <w:rPr>
                <w:rFonts w:ascii="Verdana" w:eastAsia="Calibri" w:hAnsi="Verdana" w:cs="Arial"/>
              </w:rPr>
              <w:lastRenderedPageBreak/>
              <w:t xml:space="preserve">los que la información omitida conduce a que el proponente no cumpla con la exigencia de capacidad residual, pues, incluso, si la información omitida no conduce al incumplimiento de dicho requisito, estaríamos frente a un supuesto que cubre esa noción. </w:t>
            </w:r>
          </w:p>
          <w:p w14:paraId="307F0604" w14:textId="77777777" w:rsidR="00E5643F" w:rsidRPr="00881D8A" w:rsidRDefault="00E5643F" w:rsidP="00E22BE8">
            <w:pPr>
              <w:spacing w:after="120" w:line="276" w:lineRule="auto"/>
              <w:ind w:firstLine="709"/>
              <w:jc w:val="both"/>
              <w:rPr>
                <w:rFonts w:ascii="Verdana" w:eastAsia="Calibri" w:hAnsi="Verdana" w:cs="Arial"/>
                <w:szCs w:val="20"/>
                <w:lang w:val="es-MX"/>
              </w:rPr>
            </w:pPr>
            <w:r>
              <w:rPr>
                <w:rFonts w:ascii="Verdana" w:eastAsia="Calibri" w:hAnsi="Verdana" w:cs="Arial"/>
                <w:color w:val="000000" w:themeColor="text1"/>
                <w:lang w:val="es-ES"/>
              </w:rPr>
              <w:t xml:space="preserve">A modo de ejemplo, </w:t>
            </w:r>
            <w:r>
              <w:rPr>
                <w:rFonts w:ascii="Verdana" w:eastAsia="Calibri" w:hAnsi="Verdana" w:cs="Arial"/>
                <w:szCs w:val="20"/>
                <w:lang w:val="es-MX"/>
              </w:rPr>
              <w:t>se destaca e</w:t>
            </w:r>
            <w:r w:rsidRPr="00881D8A">
              <w:rPr>
                <w:rFonts w:ascii="Verdana" w:eastAsia="Calibri" w:hAnsi="Verdana" w:cs="Arial"/>
                <w:szCs w:val="20"/>
                <w:lang w:val="es-MX"/>
              </w:rPr>
              <w:t xml:space="preserve">l numeral 3.10 del documento base de obra de licitación para obra pública de infraestructura de transporte –versión 4 establece </w:t>
            </w:r>
            <w:r w:rsidRPr="00881D8A">
              <w:rPr>
                <w:rFonts w:ascii="Verdana" w:eastAsia="Calibri" w:hAnsi="Verdana" w:cs="Arial"/>
                <w:szCs w:val="20"/>
              </w:rPr>
              <w:t xml:space="preserve">como requisito habilitante la capacidad residual. En este documento tipo, </w:t>
            </w:r>
            <w:r w:rsidRPr="00881D8A">
              <w:rPr>
                <w:rFonts w:ascii="Verdana" w:eastAsia="Calibri" w:hAnsi="Verdana" w:cs="Arial"/>
                <w:szCs w:val="20"/>
                <w:lang w:val="es-MX"/>
              </w:rPr>
              <w:t xml:space="preserve">al menos tres causales de rechazo del numeral 1.15 se relacionan con la capacidad residual como requisito habilitante, esto es, los literales E, H y X. </w:t>
            </w:r>
          </w:p>
          <w:p w14:paraId="14169AB4" w14:textId="77777777" w:rsidR="00E5643F" w:rsidRPr="00E906B3" w:rsidRDefault="00E5643F" w:rsidP="00E22BE8">
            <w:pPr>
              <w:widowControl w:val="0"/>
              <w:autoSpaceDE w:val="0"/>
              <w:autoSpaceDN w:val="0"/>
              <w:spacing w:after="120" w:line="276" w:lineRule="auto"/>
              <w:ind w:right="102" w:firstLine="607"/>
              <w:jc w:val="both"/>
              <w:rPr>
                <w:rFonts w:ascii="Verdana" w:eastAsia="Calibri" w:hAnsi="Verdana" w:cs="Arial"/>
                <w:bCs/>
                <w:color w:val="000000" w:themeColor="text1"/>
              </w:rPr>
            </w:pPr>
            <w:r w:rsidRPr="00881D8A">
              <w:rPr>
                <w:rFonts w:ascii="Verdana" w:eastAsia="Calibri" w:hAnsi="Verdana" w:cs="Arial"/>
                <w:szCs w:val="20"/>
                <w:lang w:val="es-MX"/>
              </w:rPr>
              <w:t>Como se consideró en los conceptos del 25 de septiembre y el 23 de diciembre de 2019 −radicados Nos. 2201913000007117 y 2201913000009538−</w:t>
            </w:r>
            <w:r>
              <w:rPr>
                <w:rFonts w:ascii="Verdana" w:eastAsia="Calibri" w:hAnsi="Verdana" w:cs="Arial"/>
                <w:szCs w:val="20"/>
                <w:lang w:val="es-MX"/>
              </w:rPr>
              <w:t>, así como el Concepto C-1759 del 30 de diciembre de 2025</w:t>
            </w:r>
            <w:r w:rsidRPr="00881D8A">
              <w:rPr>
                <w:rFonts w:ascii="Verdana" w:eastAsia="Calibri" w:hAnsi="Verdana" w:cs="Arial"/>
                <w:szCs w:val="20"/>
                <w:lang w:val="es-MX"/>
              </w:rPr>
              <w:t>,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w:t>
            </w:r>
            <w:r w:rsidRPr="007028CC">
              <w:rPr>
                <w:rFonts w:ascii="Verdana" w:hAnsi="Verdana" w:cs="ArialMT"/>
                <w:sz w:val="20"/>
                <w:szCs w:val="20"/>
              </w:rPr>
              <w:t xml:space="preserve"> [</w:t>
            </w:r>
            <w:r w:rsidRPr="007028CC">
              <w:rPr>
                <w:rFonts w:ascii="Verdana" w:eastAsia="Calibri" w:hAnsi="Verdana" w:cs="Arial"/>
                <w:bCs/>
                <w:color w:val="000000" w:themeColor="text1"/>
              </w:rPr>
              <w:t>Respuesta a interrogante</w:t>
            </w:r>
            <w:r>
              <w:rPr>
                <w:rFonts w:ascii="Verdana" w:eastAsia="Calibri" w:hAnsi="Verdana" w:cs="Arial"/>
                <w:bCs/>
                <w:color w:val="000000" w:themeColor="text1"/>
              </w:rPr>
              <w:t xml:space="preserve"> 1</w:t>
            </w:r>
            <w:r w:rsidRPr="007028CC">
              <w:rPr>
                <w:rFonts w:ascii="Verdana" w:hAnsi="Verdana" w:cs="ArialMT"/>
                <w:sz w:val="20"/>
                <w:szCs w:val="20"/>
              </w:rPr>
              <w:t>]</w:t>
            </w:r>
          </w:p>
        </w:tc>
      </w:tr>
    </w:tbl>
    <w:p w14:paraId="366E2962" w14:textId="77777777" w:rsidR="00E5643F" w:rsidRDefault="00E5643F" w:rsidP="00E5643F">
      <w:pPr>
        <w:tabs>
          <w:tab w:val="left" w:pos="142"/>
          <w:tab w:val="left" w:pos="284"/>
        </w:tabs>
        <w:spacing w:after="0" w:line="276" w:lineRule="auto"/>
        <w:jc w:val="both"/>
        <w:rPr>
          <w:rFonts w:ascii="Verdana" w:eastAsia="Century Gothic" w:hAnsi="Verdana" w:cs="Century Gothic"/>
          <w:b/>
          <w:bCs/>
          <w:lang w:val="es-ES"/>
        </w:rPr>
      </w:pPr>
    </w:p>
    <w:p w14:paraId="3B366839" w14:textId="77777777" w:rsidR="00E5643F" w:rsidRDefault="00E5643F" w:rsidP="00E5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1492175" w14:textId="77777777" w:rsidR="00E5643F" w:rsidRDefault="00E5643F" w:rsidP="00E5643F">
      <w:pPr>
        <w:spacing w:after="0" w:line="276" w:lineRule="auto"/>
        <w:jc w:val="both"/>
        <w:rPr>
          <w:rFonts w:ascii="Verdana" w:eastAsia="Calibri" w:hAnsi="Verdana" w:cs="Arial"/>
          <w:color w:val="7030A0"/>
          <w:lang w:val="es-ES"/>
        </w:rPr>
      </w:pPr>
    </w:p>
    <w:p w14:paraId="5D955BAC" w14:textId="77777777" w:rsidR="00E5643F" w:rsidRPr="00B96799" w:rsidRDefault="00E5643F" w:rsidP="00E5643F">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5EAAAFA" w14:textId="77777777" w:rsidR="00E5643F" w:rsidRPr="00593A5F" w:rsidRDefault="00E5643F" w:rsidP="00E5643F">
      <w:pPr>
        <w:spacing w:after="0" w:line="276" w:lineRule="auto"/>
        <w:jc w:val="both"/>
        <w:rPr>
          <w:rFonts w:ascii="Verdana" w:eastAsia="Calibri" w:hAnsi="Verdana" w:cs="Arial"/>
          <w:color w:val="7030A0"/>
          <w:lang w:val="es-ES"/>
        </w:rPr>
      </w:pPr>
    </w:p>
    <w:p w14:paraId="56AE1C53" w14:textId="77777777" w:rsidR="00E5643F" w:rsidRPr="00C84299" w:rsidRDefault="00E5643F" w:rsidP="00E5643F">
      <w:pPr>
        <w:spacing w:after="120" w:line="276" w:lineRule="auto"/>
        <w:jc w:val="both"/>
        <w:rPr>
          <w:rFonts w:ascii="Verdana" w:hAnsi="Verdana" w:cs="Arial"/>
          <w:color w:val="000000" w:themeColor="text1"/>
          <w:lang w:val="es-MX"/>
        </w:rPr>
      </w:pPr>
      <w:bookmarkStart w:id="1" w:name="_Hlk78820161"/>
      <w:r>
        <w:rPr>
          <w:rFonts w:ascii="Verdana" w:eastAsia="Calibri" w:hAnsi="Verdana" w:cs="Arial"/>
          <w:lang w:val="es-ES"/>
        </w:rPr>
        <w:t xml:space="preserve">i. </w:t>
      </w:r>
      <w:r w:rsidRPr="00C84299">
        <w:rPr>
          <w:rFonts w:ascii="Verdana" w:hAnsi="Verdana" w:cs="Arial"/>
          <w:color w:val="000000" w:themeColor="text1"/>
          <w:lang w:val="es-MX"/>
        </w:rPr>
        <w:t>De acuerdo con el artículo 2.2.1.1.1.3.1 del Decreto 1082 de 2015, la capacidad residual es la aptitud de los oferentes para cumplir de manera oportuna y a cabalidad el objeto de un contrato de obra pública, sin que los demás compromisos contractuales que han adquirido afecten su habilidad de cumplir el objeto del contrato que está en proceso de selección</w:t>
      </w:r>
      <w:r w:rsidRPr="00C84299">
        <w:rPr>
          <w:rFonts w:ascii="Verdana" w:hAnsi="Verdana" w:cs="Arial"/>
          <w:color w:val="000000" w:themeColor="text1"/>
          <w:vertAlign w:val="superscript"/>
          <w:lang w:val="es-MX"/>
        </w:rPr>
        <w:footnoteReference w:id="1"/>
      </w:r>
      <w:r w:rsidRPr="00C84299">
        <w:rPr>
          <w:rFonts w:ascii="Verdana" w:hAnsi="Verdana" w:cs="Arial"/>
          <w:color w:val="000000" w:themeColor="text1"/>
          <w:lang w:val="es-MX"/>
        </w:rPr>
        <w:t xml:space="preserve">. Por su parte, </w:t>
      </w:r>
      <w:r w:rsidRPr="00C84299">
        <w:rPr>
          <w:rFonts w:ascii="Verdana" w:hAnsi="Verdana" w:cs="Arial"/>
          <w:color w:val="000000" w:themeColor="text1"/>
          <w:lang w:val="es-MX"/>
        </w:rPr>
        <w:lastRenderedPageBreak/>
        <w:t xml:space="preserve">el Consejo de Estado ha definido la capacidad residual como </w:t>
      </w:r>
      <w:r>
        <w:rPr>
          <w:rFonts w:ascii="Verdana" w:hAnsi="Verdana" w:cs="Arial"/>
          <w:color w:val="000000" w:themeColor="text1"/>
          <w:lang w:val="es-MX"/>
        </w:rPr>
        <w:t>“</w:t>
      </w:r>
      <w:r w:rsidRPr="00C84299">
        <w:rPr>
          <w:rFonts w:ascii="Verdana" w:hAnsi="Verdana" w:cs="Arial"/>
          <w:color w:val="000000" w:themeColor="text1"/>
          <w:lang w:val="es-MX"/>
        </w:rPr>
        <w:t>la diferencia que existe entre el potencial de contratación que se tiene y los compromisos que haya adquirido y que se encuentren en ejecución, para la fecha de presentación de la oferta</w:t>
      </w:r>
      <w:r>
        <w:rPr>
          <w:rFonts w:ascii="Verdana" w:hAnsi="Verdana" w:cs="Arial"/>
          <w:color w:val="000000" w:themeColor="text1"/>
          <w:lang w:val="es-MX"/>
        </w:rPr>
        <w:t>”</w:t>
      </w:r>
      <w:r w:rsidRPr="00C84299">
        <w:rPr>
          <w:rFonts w:ascii="Verdana" w:eastAsia="Calibri" w:hAnsi="Verdana" w:cs="Arial"/>
          <w:color w:val="000000" w:themeColor="text1"/>
          <w:vertAlign w:val="superscript"/>
          <w:lang w:val="es-MX"/>
        </w:rPr>
        <w:footnoteReference w:id="2"/>
      </w:r>
      <w:r w:rsidRPr="00C84299">
        <w:rPr>
          <w:rFonts w:ascii="Verdana" w:hAnsi="Verdana" w:cs="Arial"/>
          <w:color w:val="000000" w:themeColor="text1"/>
          <w:lang w:val="es-MX"/>
        </w:rPr>
        <w:t>.</w:t>
      </w:r>
    </w:p>
    <w:p w14:paraId="70817E61" w14:textId="77777777" w:rsidR="00E5643F" w:rsidRPr="00C57F16" w:rsidRDefault="00E5643F" w:rsidP="00E5643F">
      <w:pPr>
        <w:spacing w:after="120" w:line="276" w:lineRule="auto"/>
        <w:ind w:firstLine="708"/>
        <w:jc w:val="both"/>
        <w:rPr>
          <w:rFonts w:ascii="Verdana" w:hAnsi="Verdana" w:cs="Arial"/>
          <w:color w:val="000000" w:themeColor="text1"/>
          <w:lang w:val="es-MX"/>
        </w:rPr>
      </w:pPr>
      <w:r w:rsidRPr="00C84299">
        <w:rPr>
          <w:rFonts w:ascii="Verdana" w:hAnsi="Verdana" w:cs="Arial"/>
          <w:color w:val="000000" w:themeColor="text1"/>
          <w:lang w:val="es-MX"/>
        </w:rPr>
        <w:t xml:space="preserve">De esta manera, la capacidad residual se refiere a la suficiencia que tiene el proponente para asumir nuevas obligaciones que se derivan del contrato objeto del proceso de contratación, en relación con las obligaciones que ya adquirió frente a otros contratos. </w:t>
      </w:r>
      <w:r>
        <w:rPr>
          <w:rFonts w:ascii="Verdana" w:hAnsi="Verdana" w:cs="Arial"/>
          <w:color w:val="000000" w:themeColor="text1"/>
          <w:lang w:val="es-MX"/>
        </w:rPr>
        <w:t>Al respecto, e</w:t>
      </w:r>
      <w:r w:rsidRPr="00C84299">
        <w:rPr>
          <w:rFonts w:ascii="Verdana" w:hAnsi="Verdana" w:cs="Arial"/>
          <w:color w:val="000000" w:themeColor="text1"/>
          <w:lang w:val="es-MX"/>
        </w:rPr>
        <w:t>l artículo 6 de la Ley 1150 de 2007 dispone que la capacidad residual de los interesados en participar en procesos de selección para contratos de obra deberá ser igual o superior al que la entidad ha establecido en los pliegos de condiciones</w:t>
      </w:r>
      <w:r w:rsidRPr="00C84299">
        <w:rPr>
          <w:rFonts w:ascii="Verdana" w:hAnsi="Verdana" w:cs="Arial"/>
          <w:color w:val="000000" w:themeColor="text1"/>
          <w:vertAlign w:val="superscript"/>
          <w:lang w:val="es-MX"/>
        </w:rPr>
        <w:footnoteReference w:id="3"/>
      </w:r>
      <w:r w:rsidRPr="00C84299">
        <w:rPr>
          <w:rFonts w:ascii="Verdana" w:hAnsi="Verdana" w:cs="Arial"/>
          <w:color w:val="000000" w:themeColor="text1"/>
          <w:lang w:val="es-MX"/>
        </w:rPr>
        <w:t xml:space="preserve">. </w:t>
      </w:r>
    </w:p>
    <w:p w14:paraId="32DA5476" w14:textId="77777777" w:rsidR="00E5643F" w:rsidRPr="008E047A" w:rsidRDefault="00E5643F" w:rsidP="00E5643F">
      <w:pPr>
        <w:spacing w:after="120" w:line="276" w:lineRule="auto"/>
        <w:ind w:firstLine="709"/>
        <w:jc w:val="both"/>
        <w:rPr>
          <w:rFonts w:ascii="Verdana" w:eastAsia="Calibri" w:hAnsi="Verdana" w:cs="Arial"/>
          <w:color w:val="000000"/>
          <w:lang w:eastAsia="en-GB"/>
        </w:rPr>
      </w:pPr>
      <w:r w:rsidRPr="00896002">
        <w:rPr>
          <w:rFonts w:ascii="Verdana" w:eastAsia="Calibri" w:hAnsi="Verdana" w:cs="Arial"/>
          <w:color w:val="000000"/>
          <w:lang w:val="es-MX" w:eastAsia="en-GB"/>
        </w:rPr>
        <w:t xml:space="preserve">De acuerdo con </w:t>
      </w:r>
      <w:r w:rsidRPr="00896002">
        <w:rPr>
          <w:rFonts w:ascii="Verdana" w:eastAsia="Calibri" w:hAnsi="Verdana" w:cs="Arial"/>
          <w:color w:val="000000"/>
          <w:lang w:eastAsia="en-GB"/>
        </w:rPr>
        <w:t>el artículo 72 de la Ley 1682 de 2013, la “capacidad residual de contratación cuando se realicen contratos de obra pública se obtendrá de sustraer de la capacidad de contratación, el saldo del valor de los contratos en ejecución”. La “capacidad de contrataci</w:t>
      </w:r>
      <w:r>
        <w:rPr>
          <w:rFonts w:ascii="Verdana" w:eastAsia="Calibri" w:hAnsi="Verdana" w:cs="Arial"/>
          <w:color w:val="000000"/>
          <w:lang w:eastAsia="en-GB"/>
        </w:rPr>
        <w:t>ón”, según se infier</w:t>
      </w:r>
      <w:r w:rsidRPr="00896002">
        <w:rPr>
          <w:rFonts w:ascii="Verdana" w:eastAsia="Calibri" w:hAnsi="Verdana" w:cs="Arial"/>
          <w:color w:val="000000"/>
          <w:lang w:eastAsia="en-GB"/>
        </w:rPr>
        <w:t>e de la misma disposición, “[…] se deberá calcular mediante la evaluación de los siguientes factores: Experiencia (E), Capacidad Financiera (CF), Capacidad Técnica (CT), y Capacidad de Organización (CO)”.</w:t>
      </w:r>
    </w:p>
    <w:p w14:paraId="7CE70B34" w14:textId="77777777" w:rsidR="00E5643F" w:rsidRPr="003918F6" w:rsidRDefault="00E5643F" w:rsidP="00E5643F">
      <w:pPr>
        <w:widowControl w:val="0"/>
        <w:autoSpaceDE w:val="0"/>
        <w:autoSpaceDN w:val="0"/>
        <w:spacing w:after="120" w:line="276" w:lineRule="auto"/>
        <w:ind w:firstLine="709"/>
        <w:jc w:val="both"/>
        <w:rPr>
          <w:rFonts w:ascii="Verdana" w:eastAsia="Arial" w:hAnsi="Verdana" w:cs="Arial"/>
        </w:rPr>
      </w:pPr>
      <w:r w:rsidRPr="00881D8A">
        <w:rPr>
          <w:rFonts w:ascii="Verdana" w:eastAsia="Arial" w:hAnsi="Verdana" w:cs="Arial"/>
        </w:rPr>
        <w:t xml:space="preserve">Por su parte, </w:t>
      </w:r>
      <w:r w:rsidRPr="003670C2">
        <w:rPr>
          <w:rFonts w:ascii="Verdana" w:eastAsia="Arial" w:hAnsi="Verdana" w:cs="Arial"/>
        </w:rPr>
        <w:t xml:space="preserve">el artículo 2.2.1.1.1.6.4 del Decreto 1082 de 2015 dispuso que las entidades estatales deben calcular la capacidad residual conforme a la metodología definida por Colombia Compra Eficiente y precisó que, para tales fines, resulta necesario tener en cuenta los factores de: i) experiencia; </w:t>
      </w:r>
      <w:proofErr w:type="spellStart"/>
      <w:r w:rsidRPr="003670C2">
        <w:rPr>
          <w:rFonts w:ascii="Verdana" w:eastAsia="Arial" w:hAnsi="Verdana" w:cs="Arial"/>
        </w:rPr>
        <w:t>ii</w:t>
      </w:r>
      <w:proofErr w:type="spellEnd"/>
      <w:r w:rsidRPr="003670C2">
        <w:rPr>
          <w:rFonts w:ascii="Verdana" w:eastAsia="Arial" w:hAnsi="Verdana" w:cs="Arial"/>
        </w:rPr>
        <w:t xml:space="preserve">) capacidad financiera; </w:t>
      </w:r>
      <w:proofErr w:type="spellStart"/>
      <w:r w:rsidRPr="003670C2">
        <w:rPr>
          <w:rFonts w:ascii="Verdana" w:eastAsia="Arial" w:hAnsi="Verdana" w:cs="Arial"/>
        </w:rPr>
        <w:t>iii</w:t>
      </w:r>
      <w:proofErr w:type="spellEnd"/>
      <w:r w:rsidRPr="003670C2">
        <w:rPr>
          <w:rFonts w:ascii="Verdana" w:eastAsia="Arial" w:hAnsi="Verdana" w:cs="Arial"/>
        </w:rPr>
        <w:t xml:space="preserve">) capacidad técnica; </w:t>
      </w:r>
      <w:proofErr w:type="spellStart"/>
      <w:r w:rsidRPr="003670C2">
        <w:rPr>
          <w:rFonts w:ascii="Verdana" w:eastAsia="Arial" w:hAnsi="Verdana" w:cs="Arial"/>
        </w:rPr>
        <w:t>iv</w:t>
      </w:r>
      <w:proofErr w:type="spellEnd"/>
      <w:r w:rsidRPr="003670C2">
        <w:rPr>
          <w:rFonts w:ascii="Verdana" w:eastAsia="Arial" w:hAnsi="Verdana" w:cs="Arial"/>
        </w:rPr>
        <w:t>) capacidad de organización; y v) los saldos de los contratos en ejecución</w:t>
      </w:r>
      <w:r>
        <w:rPr>
          <w:rFonts w:ascii="Verdana" w:eastAsia="Arial" w:hAnsi="Verdana" w:cs="Arial"/>
        </w:rPr>
        <w:t xml:space="preserve">. </w:t>
      </w:r>
      <w:r w:rsidRPr="005D6D53">
        <w:rPr>
          <w:rFonts w:ascii="Verdana" w:eastAsia="Calibri" w:hAnsi="Verdana" w:cs="Arial"/>
          <w:color w:val="000000" w:themeColor="text1"/>
          <w:lang w:val="es-MX"/>
        </w:rPr>
        <w:t xml:space="preserve">De igual manera, </w:t>
      </w:r>
      <w:r w:rsidRPr="005D6D53">
        <w:rPr>
          <w:rFonts w:ascii="Verdana" w:hAnsi="Verdana" w:cs="Arial"/>
          <w:lang w:val="es-MX"/>
        </w:rPr>
        <w:t xml:space="preserve">establece que el interesado en celebrar contratos de obra pública acreditará su capacidad residual </w:t>
      </w:r>
      <w:r w:rsidRPr="005D6D53">
        <w:rPr>
          <w:rFonts w:ascii="Verdana" w:hAnsi="Verdana" w:cs="Arial"/>
          <w:lang w:val="es-MX"/>
        </w:rPr>
        <w:lastRenderedPageBreak/>
        <w:t xml:space="preserve">con los siguientes documentos: i) la lista de los contratos de obras civiles en ejecución suscritos con entidades estatales y con entidades privadas; </w:t>
      </w:r>
      <w:proofErr w:type="spellStart"/>
      <w:r w:rsidRPr="005D6D53">
        <w:rPr>
          <w:rFonts w:ascii="Verdana" w:hAnsi="Verdana" w:cs="Arial"/>
          <w:lang w:val="es-MX"/>
        </w:rPr>
        <w:t>ii</w:t>
      </w:r>
      <w:proofErr w:type="spellEnd"/>
      <w:r w:rsidRPr="005D6D53">
        <w:rPr>
          <w:rFonts w:ascii="Verdana" w:hAnsi="Verdana" w:cs="Arial"/>
          <w:lang w:val="es-MX"/>
        </w:rPr>
        <w:t xml:space="preserve">) la lista de contratos de obras civiles en ejecución, suscritos por sociedades, consorcios o uniones temporales, en los cuales el proponente tenga participación, con entidades estatales y con entidades privadas; y finalmente </w:t>
      </w:r>
      <w:proofErr w:type="spellStart"/>
      <w:r w:rsidRPr="005D6D53">
        <w:rPr>
          <w:rFonts w:ascii="Verdana" w:hAnsi="Verdana" w:cs="Arial"/>
          <w:lang w:val="es-MX"/>
        </w:rPr>
        <w:t>iii</w:t>
      </w:r>
      <w:proofErr w:type="spellEnd"/>
      <w:r w:rsidRPr="005D6D53">
        <w:rPr>
          <w:rFonts w:ascii="Verdana" w:hAnsi="Verdana" w:cs="Arial"/>
          <w:lang w:val="es-MX"/>
        </w:rPr>
        <w:t>) el balance general auditado del año inmediatamente anterior y estado de resultados auditado del año en que haya obtenido el mayor ingreso operacional en los últimos cinco (5) años</w:t>
      </w:r>
      <w:r w:rsidRPr="005D6D53">
        <w:rPr>
          <w:rFonts w:ascii="Verdana" w:hAnsi="Verdana" w:cs="Arial"/>
          <w:vertAlign w:val="superscript"/>
          <w:lang w:val="es-MX"/>
        </w:rPr>
        <w:footnoteReference w:id="4"/>
      </w:r>
      <w:r w:rsidRPr="005D6D53">
        <w:rPr>
          <w:rFonts w:ascii="Verdana" w:hAnsi="Verdana" w:cs="Arial"/>
          <w:lang w:val="es-MX"/>
        </w:rPr>
        <w:t xml:space="preserve">. </w:t>
      </w:r>
    </w:p>
    <w:p w14:paraId="46A5D003" w14:textId="77777777" w:rsidR="00E5643F" w:rsidRDefault="00E5643F" w:rsidP="00E5643F">
      <w:pPr>
        <w:spacing w:after="120" w:line="276" w:lineRule="auto"/>
        <w:ind w:firstLine="709"/>
        <w:jc w:val="both"/>
        <w:rPr>
          <w:rFonts w:ascii="Verdana" w:eastAsia="Calibri" w:hAnsi="Verdana" w:cs="Arial"/>
        </w:rPr>
      </w:pPr>
      <w:r w:rsidRPr="00180BA4">
        <w:rPr>
          <w:rFonts w:ascii="Verdana" w:eastAsia="Calibri" w:hAnsi="Verdana" w:cs="Arial"/>
        </w:rPr>
        <w:t xml:space="preserve">De conformidad con lo anterior, esta Agencia expidió la “Guía para Determinar y Verificar la Capacidad Residual del Proponente en los Procesos de Contratación de Obra Pública”. En este documento se establece, entre otras cuestiones, que a la entidad contratante le corresponde, primero, establecer la capacidad residual del proceso de contratación “CRPC” y, segundo, determinar si los proponentes cumplen con la capacidad residual del proceso de contratación, claro está, teniendo en cuenta la siguiente información aportada por el proponente: i) La lista de los Contratos en Ejecución, así como el valor y plazo de tales contratos. </w:t>
      </w:r>
      <w:proofErr w:type="spellStart"/>
      <w:r w:rsidRPr="00180BA4">
        <w:rPr>
          <w:rFonts w:ascii="Verdana" w:eastAsia="Calibri" w:hAnsi="Verdana" w:cs="Arial"/>
        </w:rPr>
        <w:t>ii</w:t>
      </w:r>
      <w:proofErr w:type="spellEnd"/>
      <w:r w:rsidRPr="00180BA4">
        <w:rPr>
          <w:rFonts w:ascii="Verdana" w:eastAsia="Calibri" w:hAnsi="Verdana" w:cs="Arial"/>
        </w:rPr>
        <w:t xml:space="preserve">) La lista de los Contratos en Ejecución, suscritos por sociedades, consorcios o uniones temporales, en los cuales el proponente tenga participación, así como el valor y plazo de tales contratos. </w:t>
      </w:r>
      <w:proofErr w:type="spellStart"/>
      <w:r w:rsidRPr="00180BA4">
        <w:rPr>
          <w:rFonts w:ascii="Verdana" w:eastAsia="Calibri" w:hAnsi="Verdana" w:cs="Arial"/>
        </w:rPr>
        <w:t>iii</w:t>
      </w:r>
      <w:proofErr w:type="spellEnd"/>
      <w:r w:rsidRPr="00180BA4">
        <w:rPr>
          <w:rFonts w:ascii="Verdana" w:eastAsia="Calibri" w:hAnsi="Verdana" w:cs="Arial"/>
        </w:rPr>
        <w:t>) El estado de resultados auditado que contiene el mejor ingreso operacional de los últimos cinco (5) años y el balance general auditado del último año, suscrito por el interesado o su repre</w:t>
      </w:r>
      <w:r>
        <w:rPr>
          <w:rFonts w:ascii="Verdana" w:eastAsia="Calibri" w:hAnsi="Verdana" w:cs="Arial"/>
        </w:rPr>
        <w:t xml:space="preserve">sentante </w:t>
      </w:r>
      <w:r w:rsidRPr="00180BA4">
        <w:rPr>
          <w:rFonts w:ascii="Verdana" w:eastAsia="Calibri" w:hAnsi="Verdana" w:cs="Arial"/>
        </w:rPr>
        <w:t xml:space="preserve">legal y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w:t>
      </w:r>
      <w:r w:rsidRPr="00180BA4">
        <w:rPr>
          <w:rFonts w:ascii="Verdana" w:eastAsia="Calibri" w:hAnsi="Verdana" w:cs="Arial"/>
        </w:rPr>
        <w:lastRenderedPageBreak/>
        <w:t>operacional de los últimos cinco (5) años puesto que la información de la liquidez se encuentra en el RUP.</w:t>
      </w:r>
    </w:p>
    <w:p w14:paraId="6229E252" w14:textId="77777777" w:rsidR="00E5643F" w:rsidRDefault="00E5643F" w:rsidP="00E5643F">
      <w:pPr>
        <w:spacing w:after="120" w:line="276" w:lineRule="auto"/>
        <w:ind w:firstLine="709"/>
        <w:jc w:val="both"/>
        <w:rPr>
          <w:rFonts w:ascii="Verdana" w:eastAsia="Calibri" w:hAnsi="Verdana" w:cs="Arial"/>
        </w:rPr>
      </w:pPr>
      <w:r w:rsidRPr="00180BA4">
        <w:rPr>
          <w:rFonts w:ascii="Verdana" w:eastAsia="Calibri" w:hAnsi="Verdana" w:cs="Arial"/>
        </w:rPr>
        <w:t>Ahora bien, para lo primero, esto es, para establecer la capacidad residual del proceso de contratac</w:t>
      </w:r>
      <w:r>
        <w:rPr>
          <w:rFonts w:ascii="Verdana" w:eastAsia="Calibri" w:hAnsi="Verdana" w:cs="Arial"/>
        </w:rPr>
        <w:t xml:space="preserve">ión “CRPC”, </w:t>
      </w:r>
      <w:r w:rsidRPr="00180BA4">
        <w:rPr>
          <w:rFonts w:ascii="Verdana" w:eastAsia="Calibri" w:hAnsi="Verdana" w:cs="Arial"/>
        </w:rPr>
        <w:t>debe determinar</w:t>
      </w:r>
      <w:r>
        <w:rPr>
          <w:rFonts w:ascii="Verdana" w:eastAsia="Calibri" w:hAnsi="Verdana" w:cs="Arial"/>
        </w:rPr>
        <w:t>se</w:t>
      </w:r>
      <w:r w:rsidRPr="00180BA4">
        <w:rPr>
          <w:rFonts w:ascii="Verdana" w:eastAsia="Calibri" w:hAnsi="Verdana" w:cs="Arial"/>
        </w:rPr>
        <w:t xml:space="preserve"> si el plazo del contrato es superior a doce meses. Si no lo es, la CRPC equivale al presupuesto oficial estimado del Proceso de Contratación menos el anticipo o pago anticipado cuando haya lugar. Si lo es, equivale a la proporción lineal de 12 meses del presupuesto oficial estimado menos el anticipo o pago anticipado.</w:t>
      </w:r>
    </w:p>
    <w:p w14:paraId="7BDC5ED1" w14:textId="77777777" w:rsidR="00E5643F" w:rsidRPr="00180BA4" w:rsidRDefault="00E5643F" w:rsidP="00E5643F">
      <w:pPr>
        <w:spacing w:after="120" w:line="276" w:lineRule="auto"/>
        <w:ind w:firstLine="709"/>
        <w:jc w:val="both"/>
        <w:rPr>
          <w:rFonts w:ascii="Verdana" w:eastAsia="Calibri" w:hAnsi="Verdana" w:cs="Arial"/>
        </w:rPr>
      </w:pPr>
      <w:r w:rsidRPr="00180BA4">
        <w:rPr>
          <w:rFonts w:ascii="Verdana" w:eastAsia="Calibri" w:hAnsi="Verdana" w:cs="Arial"/>
        </w:rPr>
        <w:t xml:space="preserve">Para lo segundo, es decir, para verificar que cada proponente cumple con la CRPC, la entidad pública debe verificar que la capacidad residual del proponente “CRP” sea igual o superior a la capacidad referida en el párrafo precedente. De todas formas, previamente debe establecer la CRP, con fundamento en los siguientes factores: i) experiencia “E”; </w:t>
      </w:r>
      <w:proofErr w:type="spellStart"/>
      <w:r w:rsidRPr="00180BA4">
        <w:rPr>
          <w:rFonts w:ascii="Verdana" w:eastAsia="Calibri" w:hAnsi="Verdana" w:cs="Arial"/>
        </w:rPr>
        <w:t>ii</w:t>
      </w:r>
      <w:proofErr w:type="spellEnd"/>
      <w:r w:rsidRPr="00180BA4">
        <w:rPr>
          <w:rFonts w:ascii="Verdana" w:eastAsia="Calibri" w:hAnsi="Verdana" w:cs="Arial"/>
        </w:rPr>
        <w:t xml:space="preserve">) capacidad financiera “CF”; </w:t>
      </w:r>
      <w:proofErr w:type="spellStart"/>
      <w:r w:rsidRPr="00180BA4">
        <w:rPr>
          <w:rFonts w:ascii="Verdana" w:eastAsia="Calibri" w:hAnsi="Verdana" w:cs="Arial"/>
        </w:rPr>
        <w:t>iii</w:t>
      </w:r>
      <w:proofErr w:type="spellEnd"/>
      <w:r w:rsidRPr="00180BA4">
        <w:rPr>
          <w:rFonts w:ascii="Verdana" w:eastAsia="Calibri" w:hAnsi="Verdana" w:cs="Arial"/>
        </w:rPr>
        <w:t xml:space="preserve">) capacidad técnica “CT”, </w:t>
      </w:r>
      <w:proofErr w:type="spellStart"/>
      <w:r w:rsidRPr="00180BA4">
        <w:rPr>
          <w:rFonts w:ascii="Verdana" w:eastAsia="Calibri" w:hAnsi="Verdana" w:cs="Arial"/>
        </w:rPr>
        <w:t>iv</w:t>
      </w:r>
      <w:proofErr w:type="spellEnd"/>
      <w:r w:rsidRPr="00180BA4">
        <w:rPr>
          <w:rFonts w:ascii="Verdana" w:eastAsia="Calibri" w:hAnsi="Verdana" w:cs="Arial"/>
        </w:rPr>
        <w:t>) capacidad de organización “CO”; y v) los saldos de los contratos en ejecución “SCE”, según la siguiente fórmula:</w:t>
      </w:r>
    </w:p>
    <w:p w14:paraId="502E81DE" w14:textId="77777777" w:rsidR="00E5643F" w:rsidRPr="000F60AB" w:rsidRDefault="00E5643F" w:rsidP="00E5643F">
      <w:pPr>
        <w:pStyle w:val="Prrafodelista"/>
        <w:rPr>
          <w:rFonts w:ascii="Verdana" w:eastAsia="Calibri" w:hAnsi="Verdana" w:cs="Arial"/>
        </w:rPr>
      </w:pPr>
    </w:p>
    <w:p w14:paraId="23390AED" w14:textId="77777777" w:rsidR="00E5643F" w:rsidRPr="000F60AB" w:rsidRDefault="00E5643F" w:rsidP="00E5643F">
      <w:pPr>
        <w:pStyle w:val="Prrafodelista"/>
        <w:rPr>
          <w:rFonts w:ascii="Verdana" w:eastAsia="Calibri" w:hAnsi="Verdana" w:cs="Arial"/>
        </w:rPr>
      </w:pPr>
      <w:r w:rsidRPr="000F60AB">
        <w:rPr>
          <w:rFonts w:ascii="Verdana" w:hAnsi="Verdana"/>
          <w:noProof/>
          <w:sz w:val="20"/>
          <w:lang w:val="en-US"/>
        </w:rPr>
        <w:drawing>
          <wp:inline distT="0" distB="0" distL="0" distR="0" wp14:anchorId="4966E984" wp14:editId="0C1942E6">
            <wp:extent cx="4641315" cy="674846"/>
            <wp:effectExtent l="0" t="0" r="0" b="0"/>
            <wp:docPr id="2" name="image3.png"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Icono&#10;&#10;Descripción generada automáticamente con confianza media"/>
                    <pic:cNvPicPr/>
                  </pic:nvPicPr>
                  <pic:blipFill>
                    <a:blip r:embed="rId12" cstate="print"/>
                    <a:stretch>
                      <a:fillRect/>
                    </a:stretch>
                  </pic:blipFill>
                  <pic:spPr>
                    <a:xfrm>
                      <a:off x="0" y="0"/>
                      <a:ext cx="4641315" cy="674846"/>
                    </a:xfrm>
                    <a:prstGeom prst="rect">
                      <a:avLst/>
                    </a:prstGeom>
                  </pic:spPr>
                </pic:pic>
              </a:graphicData>
            </a:graphic>
          </wp:inline>
        </w:drawing>
      </w:r>
    </w:p>
    <w:p w14:paraId="5E64E170" w14:textId="77777777" w:rsidR="00E5643F" w:rsidRPr="000F60AB" w:rsidRDefault="00E5643F" w:rsidP="00E5643F">
      <w:pPr>
        <w:pStyle w:val="Prrafodelista"/>
        <w:rPr>
          <w:rFonts w:ascii="Verdana" w:eastAsia="Calibri" w:hAnsi="Verdana" w:cs="Arial"/>
        </w:rPr>
      </w:pPr>
    </w:p>
    <w:p w14:paraId="5F29807E" w14:textId="77777777" w:rsidR="00E5643F" w:rsidRDefault="00E5643F" w:rsidP="00E5643F">
      <w:pPr>
        <w:spacing w:after="120" w:line="276" w:lineRule="auto"/>
        <w:ind w:firstLine="709"/>
        <w:jc w:val="both"/>
        <w:rPr>
          <w:rFonts w:ascii="Verdana" w:eastAsia="Calibri" w:hAnsi="Verdana" w:cs="Arial"/>
        </w:rPr>
      </w:pPr>
      <w:r w:rsidRPr="00180BA4">
        <w:rPr>
          <w:rFonts w:ascii="Verdana" w:eastAsia="Calibri" w:hAnsi="Verdana" w:cs="Arial"/>
        </w:rPr>
        <w:t xml:space="preserve">A cada uno de estos factores se les debe asignar el siguiente puntaje máximo: i) “E” 120; </w:t>
      </w:r>
      <w:proofErr w:type="spellStart"/>
      <w:r w:rsidRPr="00180BA4">
        <w:rPr>
          <w:rFonts w:ascii="Verdana" w:eastAsia="Calibri" w:hAnsi="Verdana" w:cs="Arial"/>
        </w:rPr>
        <w:t>ii</w:t>
      </w:r>
      <w:proofErr w:type="spellEnd"/>
      <w:r w:rsidRPr="00180BA4">
        <w:rPr>
          <w:rFonts w:ascii="Verdana" w:eastAsia="Calibri" w:hAnsi="Verdana" w:cs="Arial"/>
        </w:rPr>
        <w:t xml:space="preserve">) “CF” 40; y </w:t>
      </w:r>
      <w:proofErr w:type="spellStart"/>
      <w:r w:rsidRPr="00180BA4">
        <w:rPr>
          <w:rFonts w:ascii="Verdana" w:eastAsia="Calibri" w:hAnsi="Verdana" w:cs="Arial"/>
        </w:rPr>
        <w:t>iii</w:t>
      </w:r>
      <w:proofErr w:type="spellEnd"/>
      <w:r w:rsidRPr="00180BA4">
        <w:rPr>
          <w:rFonts w:ascii="Verdana" w:eastAsia="Calibri" w:hAnsi="Verdana" w:cs="Arial"/>
        </w:rPr>
        <w:t>) “CT” 40. La “CO” no tiene asignación de puntaje en la fórmula, por un lado, porque su unidad de medida es en pesos colombianos “COP” y, por el otro, debido a que el mismo constituye un factor multiplicador de los demás factores en la fórmula. A continuación, se explicará, en términos generales, cómo calcular cada factor</w:t>
      </w:r>
      <w:r>
        <w:rPr>
          <w:rFonts w:ascii="Verdana" w:eastAsia="Calibri" w:hAnsi="Verdana" w:cs="Arial"/>
        </w:rPr>
        <w:t>:</w:t>
      </w:r>
    </w:p>
    <w:p w14:paraId="563356CF" w14:textId="77777777" w:rsidR="00E5643F" w:rsidRDefault="00E5643F" w:rsidP="00E5643F">
      <w:pPr>
        <w:spacing w:after="120" w:line="276" w:lineRule="auto"/>
        <w:ind w:firstLine="709"/>
        <w:jc w:val="both"/>
        <w:rPr>
          <w:rFonts w:ascii="Verdana" w:eastAsia="Calibri" w:hAnsi="Verdana" w:cs="Arial"/>
        </w:rPr>
      </w:pPr>
      <w:r>
        <w:rPr>
          <w:rFonts w:ascii="Verdana" w:eastAsia="Calibri" w:hAnsi="Verdana" w:cs="Arial"/>
        </w:rPr>
        <w:t xml:space="preserve">i) </w:t>
      </w:r>
      <w:r w:rsidRPr="008C45F5">
        <w:rPr>
          <w:rFonts w:ascii="Verdana" w:eastAsia="Calibri" w:hAnsi="Verdana" w:cs="Arial"/>
          <w:i/>
          <w:iCs/>
        </w:rPr>
        <w:t xml:space="preserve">Capacidad financiera. </w:t>
      </w:r>
      <w:r w:rsidRPr="008C45F5">
        <w:rPr>
          <w:rFonts w:ascii="Verdana" w:eastAsia="Calibri" w:hAnsi="Verdana" w:cs="Arial"/>
        </w:rPr>
        <w:t>Se mide por el “índice de liquidez” y este, a su vez, corresponde al resultado de dividir el “activo corriente” sobre el “pasivo corriente”. El resultado puede ser calificado entre 20 y cuarenta puntos, según se explica en la Guía.</w:t>
      </w:r>
    </w:p>
    <w:p w14:paraId="0A9638C4" w14:textId="77777777" w:rsidR="00E5643F" w:rsidRDefault="00E5643F" w:rsidP="00E5643F">
      <w:pPr>
        <w:spacing w:after="120" w:line="276" w:lineRule="auto"/>
        <w:ind w:firstLine="709"/>
        <w:jc w:val="both"/>
        <w:rPr>
          <w:rFonts w:ascii="Verdana" w:eastAsia="Calibri" w:hAnsi="Verdana" w:cs="Arial"/>
        </w:rPr>
      </w:pPr>
      <w:proofErr w:type="spellStart"/>
      <w:r w:rsidRPr="008C45F5">
        <w:rPr>
          <w:rFonts w:ascii="Verdana" w:eastAsia="Calibri" w:hAnsi="Verdana" w:cs="Arial"/>
        </w:rPr>
        <w:t>ii</w:t>
      </w:r>
      <w:proofErr w:type="spellEnd"/>
      <w:r w:rsidRPr="008C45F5">
        <w:rPr>
          <w:rFonts w:ascii="Verdana" w:eastAsia="Calibri" w:hAnsi="Verdana" w:cs="Arial"/>
        </w:rPr>
        <w:t>)</w:t>
      </w:r>
      <w:r>
        <w:rPr>
          <w:rFonts w:ascii="Verdana" w:eastAsia="Calibri" w:hAnsi="Verdana" w:cs="Arial"/>
          <w:i/>
          <w:iCs/>
        </w:rPr>
        <w:t xml:space="preserve"> </w:t>
      </w:r>
      <w:r w:rsidRPr="008C45F5">
        <w:rPr>
          <w:rFonts w:ascii="Verdana" w:eastAsia="Calibri" w:hAnsi="Verdana" w:cs="Arial"/>
          <w:i/>
          <w:iCs/>
        </w:rPr>
        <w:t>Capacidad técnica.</w:t>
      </w:r>
      <w:r w:rsidRPr="008C45F5">
        <w:rPr>
          <w:rFonts w:ascii="Verdana" w:eastAsia="Calibri" w:hAnsi="Verdana" w:cs="Arial"/>
        </w:rPr>
        <w:t xml:space="preserve"> Se determina teniendo en cuenta el número de socios y profesionales de la arquitectura, ingeniería y geología vinculados mediante una relación laboral o contractual. </w:t>
      </w:r>
      <w:proofErr w:type="gramStart"/>
      <w:r w:rsidRPr="008C45F5">
        <w:rPr>
          <w:rFonts w:ascii="Verdana" w:eastAsia="Calibri" w:hAnsi="Verdana" w:cs="Arial"/>
        </w:rPr>
        <w:t>El puntaje a asignar</w:t>
      </w:r>
      <w:proofErr w:type="gramEnd"/>
      <w:r w:rsidRPr="008C45F5">
        <w:rPr>
          <w:rFonts w:ascii="Verdana" w:eastAsia="Calibri" w:hAnsi="Verdana" w:cs="Arial"/>
        </w:rPr>
        <w:t xml:space="preserve">, según la Guía, </w:t>
      </w:r>
      <w:r w:rsidRPr="008C45F5">
        <w:rPr>
          <w:rFonts w:ascii="Verdana" w:eastAsia="Calibri" w:hAnsi="Verdana" w:cs="Arial"/>
        </w:rPr>
        <w:lastRenderedPageBreak/>
        <w:t>oscila entre 20 y 40 puntos. Para tales fines, se aclara que el proponente debe diligenciar el Anexo 2 de la “Guía para Determinar y Verificar la Capacidad Residual del Proponente en los Procesos de Contratación de Obra Pública”</w:t>
      </w:r>
      <w:r>
        <w:rPr>
          <w:rFonts w:ascii="Verdana" w:eastAsia="Calibri" w:hAnsi="Verdana" w:cs="Arial"/>
        </w:rPr>
        <w:t>.</w:t>
      </w:r>
    </w:p>
    <w:p w14:paraId="400C6A74" w14:textId="77777777" w:rsidR="00E5643F" w:rsidRPr="008C45F5" w:rsidRDefault="00E5643F" w:rsidP="00E5643F">
      <w:pPr>
        <w:spacing w:after="120" w:line="276" w:lineRule="auto"/>
        <w:ind w:firstLine="709"/>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8C45F5">
        <w:rPr>
          <w:rFonts w:ascii="Verdana" w:eastAsia="Calibri" w:hAnsi="Verdana" w:cs="Arial"/>
          <w:i/>
          <w:iCs/>
        </w:rPr>
        <w:t>Capacidad de organización.</w:t>
      </w:r>
      <w:r w:rsidRPr="008C45F5">
        <w:rPr>
          <w:rFonts w:ascii="Verdana" w:eastAsia="Calibri" w:hAnsi="Verdana" w:cs="Arial"/>
        </w:rPr>
        <w:t xml:space="preserve"> Corresponde a los ingresos operacionales, según el siguiente cuadro:</w:t>
      </w:r>
    </w:p>
    <w:p w14:paraId="375CC746" w14:textId="77777777" w:rsidR="00E5643F" w:rsidRPr="000F60AB" w:rsidRDefault="00E5643F" w:rsidP="00E5643F">
      <w:pPr>
        <w:pStyle w:val="Prrafodelista"/>
        <w:spacing w:after="120" w:line="276" w:lineRule="auto"/>
        <w:ind w:left="1440"/>
        <w:jc w:val="both"/>
        <w:rPr>
          <w:rFonts w:ascii="Verdana" w:eastAsia="Calibri" w:hAnsi="Verdana" w:cs="Arial"/>
          <w:color w:val="7030A0"/>
        </w:rPr>
      </w:pPr>
    </w:p>
    <w:tbl>
      <w:tblPr>
        <w:tblStyle w:val="Tablaconcuadrcula"/>
        <w:tblW w:w="7522" w:type="dxa"/>
        <w:tblInd w:w="1317" w:type="dxa"/>
        <w:tblLook w:val="04A0" w:firstRow="1" w:lastRow="0" w:firstColumn="1" w:lastColumn="0" w:noHBand="0" w:noVBand="1"/>
      </w:tblPr>
      <w:tblGrid>
        <w:gridCol w:w="2481"/>
        <w:gridCol w:w="5041"/>
      </w:tblGrid>
      <w:tr w:rsidR="00E5643F" w:rsidRPr="000F60AB" w14:paraId="5240E2B8" w14:textId="77777777" w:rsidTr="00E22BE8">
        <w:tc>
          <w:tcPr>
            <w:tcW w:w="2481" w:type="dxa"/>
            <w:shd w:val="clear" w:color="auto" w:fill="4472C4" w:themeFill="accent1"/>
            <w:vAlign w:val="center"/>
          </w:tcPr>
          <w:p w14:paraId="7D5587D1" w14:textId="77777777" w:rsidR="00E5643F" w:rsidRPr="00DE6FBD" w:rsidRDefault="00E5643F" w:rsidP="00E22BE8">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Años de información financiera</w:t>
            </w:r>
          </w:p>
        </w:tc>
        <w:tc>
          <w:tcPr>
            <w:tcW w:w="5041" w:type="dxa"/>
            <w:shd w:val="clear" w:color="auto" w:fill="4472C4" w:themeFill="accent1"/>
            <w:vAlign w:val="center"/>
          </w:tcPr>
          <w:p w14:paraId="55485064" w14:textId="77777777" w:rsidR="00E5643F" w:rsidRPr="00DE6FBD" w:rsidRDefault="00E5643F" w:rsidP="00E22BE8">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Capacidad de Organización (CO)</w:t>
            </w:r>
          </w:p>
        </w:tc>
      </w:tr>
      <w:tr w:rsidR="00E5643F" w:rsidRPr="000F60AB" w14:paraId="46FDE91D" w14:textId="77777777" w:rsidTr="00E22BE8">
        <w:tc>
          <w:tcPr>
            <w:tcW w:w="2481" w:type="dxa"/>
            <w:vAlign w:val="center"/>
          </w:tcPr>
          <w:p w14:paraId="1E46973F" w14:textId="77777777" w:rsidR="00E5643F" w:rsidRPr="00DE6FBD" w:rsidRDefault="00E5643F" w:rsidP="00E22BE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Cinco (5) años o más</w:t>
            </w:r>
          </w:p>
        </w:tc>
        <w:tc>
          <w:tcPr>
            <w:tcW w:w="5041" w:type="dxa"/>
            <w:vAlign w:val="center"/>
          </w:tcPr>
          <w:p w14:paraId="1524FCAB" w14:textId="77777777" w:rsidR="00E5643F" w:rsidRPr="00DE6FBD" w:rsidRDefault="00E5643F" w:rsidP="00E22BE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últimos cinco (5) años.</w:t>
            </w:r>
          </w:p>
        </w:tc>
      </w:tr>
      <w:tr w:rsidR="00E5643F" w:rsidRPr="000F60AB" w14:paraId="29C8EB57" w14:textId="77777777" w:rsidTr="00E22BE8">
        <w:tc>
          <w:tcPr>
            <w:tcW w:w="2481" w:type="dxa"/>
            <w:vAlign w:val="center"/>
          </w:tcPr>
          <w:p w14:paraId="15E4D1D5" w14:textId="77777777" w:rsidR="00E5643F" w:rsidRPr="00DE6FBD" w:rsidRDefault="00E5643F" w:rsidP="00E22BE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Entre uno (1) y cinco (5) años</w:t>
            </w:r>
          </w:p>
        </w:tc>
        <w:tc>
          <w:tcPr>
            <w:tcW w:w="5041" w:type="dxa"/>
            <w:vAlign w:val="center"/>
          </w:tcPr>
          <w:p w14:paraId="0652991F" w14:textId="77777777" w:rsidR="00E5643F" w:rsidRPr="00DE6FBD" w:rsidRDefault="00E5643F" w:rsidP="00E22BE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Mayor ingreso operacional de los años de vida del oferente</w:t>
            </w:r>
          </w:p>
        </w:tc>
      </w:tr>
      <w:tr w:rsidR="00E5643F" w:rsidRPr="000F60AB" w14:paraId="061281CF" w14:textId="77777777" w:rsidTr="00E22BE8">
        <w:tc>
          <w:tcPr>
            <w:tcW w:w="2481" w:type="dxa"/>
            <w:vAlign w:val="center"/>
          </w:tcPr>
          <w:p w14:paraId="1BF94179" w14:textId="77777777" w:rsidR="00E5643F" w:rsidRPr="00DE6FBD" w:rsidRDefault="00E5643F" w:rsidP="00E22BE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Menos de un (1) año</w:t>
            </w:r>
          </w:p>
        </w:tc>
        <w:tc>
          <w:tcPr>
            <w:tcW w:w="5041" w:type="dxa"/>
            <w:vAlign w:val="center"/>
          </w:tcPr>
          <w:p w14:paraId="445182C4" w14:textId="77777777" w:rsidR="00E5643F" w:rsidRPr="00DE6FBD" w:rsidRDefault="00E5643F" w:rsidP="00E22BE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 xml:space="preserve">USD 125.000 (Liquidados a la tasa de cambio determinada por el Ministerio de Comercio, Industria y Turismo cada 2 años para efectos del umbral del beneficio de las </w:t>
            </w:r>
            <w:proofErr w:type="spellStart"/>
            <w:r w:rsidRPr="00DE6FBD">
              <w:rPr>
                <w:rFonts w:ascii="Verdana" w:eastAsia="Calibri" w:hAnsi="Verdana" w:cs="Arial"/>
                <w:sz w:val="20"/>
                <w:szCs w:val="20"/>
                <w:lang w:val="es-CO"/>
              </w:rPr>
              <w:t>Mipyme</w:t>
            </w:r>
            <w:proofErr w:type="spellEnd"/>
            <w:r w:rsidRPr="00DE6FBD">
              <w:rPr>
                <w:rFonts w:ascii="Verdana" w:eastAsia="Calibri" w:hAnsi="Verdana" w:cs="Arial"/>
                <w:sz w:val="20"/>
                <w:szCs w:val="20"/>
                <w:lang w:val="es-CO"/>
              </w:rPr>
              <w:t>.)</w:t>
            </w:r>
          </w:p>
        </w:tc>
      </w:tr>
    </w:tbl>
    <w:p w14:paraId="0F0A8532" w14:textId="77777777" w:rsidR="00E5643F" w:rsidRDefault="00E5643F" w:rsidP="00E5643F">
      <w:pPr>
        <w:spacing w:after="0" w:line="276" w:lineRule="auto"/>
        <w:jc w:val="both"/>
        <w:rPr>
          <w:rFonts w:ascii="Verdana" w:eastAsia="Calibri" w:hAnsi="Verdana" w:cs="Arial"/>
          <w:i/>
          <w:iCs/>
        </w:rPr>
      </w:pPr>
    </w:p>
    <w:p w14:paraId="21A47BF9" w14:textId="77777777" w:rsidR="00E5643F" w:rsidRDefault="00E5643F" w:rsidP="00E5643F">
      <w:pPr>
        <w:spacing w:after="120" w:line="276" w:lineRule="auto"/>
        <w:ind w:firstLine="709"/>
        <w:jc w:val="both"/>
        <w:rPr>
          <w:rFonts w:ascii="Verdana" w:eastAsia="Calibri" w:hAnsi="Verdana" w:cs="Arial"/>
        </w:rPr>
      </w:pPr>
      <w:proofErr w:type="spellStart"/>
      <w:r>
        <w:rPr>
          <w:rFonts w:ascii="Verdana" w:eastAsia="Calibri" w:hAnsi="Verdana" w:cs="Arial"/>
          <w:i/>
          <w:iCs/>
        </w:rPr>
        <w:t>iv</w:t>
      </w:r>
      <w:proofErr w:type="spellEnd"/>
      <w:r>
        <w:rPr>
          <w:rFonts w:ascii="Verdana" w:eastAsia="Calibri" w:hAnsi="Verdana" w:cs="Arial"/>
          <w:i/>
          <w:iCs/>
        </w:rPr>
        <w:t xml:space="preserve">) </w:t>
      </w:r>
      <w:r w:rsidRPr="008C45F5">
        <w:rPr>
          <w:rFonts w:ascii="Verdana" w:eastAsia="Calibri" w:hAnsi="Verdana" w:cs="Arial"/>
          <w:i/>
          <w:iCs/>
        </w:rPr>
        <w:t xml:space="preserve">Saldos de los contratos en ejecución. </w:t>
      </w:r>
      <w:r w:rsidRPr="008C45F5">
        <w:rPr>
          <w:rFonts w:ascii="Verdana" w:eastAsia="Calibri" w:hAnsi="Verdana" w:cs="Arial"/>
        </w:rPr>
        <w:t>Debe hacerse linealmente y calculando una “ejecución diaria equivalente al valor del contrato dividido por el plazo del contrato expresado en días”. El resultado obtenido se debe multiplicar por el número de días pendientes para cumplir el plazo del contrato. Si el número de días por ejecutar un contrato es superior a 360 días, solo se tendrá en cuenta la proporción lineal de 12 meses.</w:t>
      </w:r>
    </w:p>
    <w:p w14:paraId="3E34CAC3" w14:textId="77777777" w:rsidR="00E5643F" w:rsidRDefault="00E5643F" w:rsidP="00E5643F">
      <w:pPr>
        <w:spacing w:after="120" w:line="276" w:lineRule="auto"/>
        <w:ind w:firstLine="709"/>
        <w:jc w:val="both"/>
        <w:rPr>
          <w:rFonts w:ascii="Verdana" w:eastAsia="Calibri" w:hAnsi="Verdana" w:cs="Arial"/>
        </w:rPr>
      </w:pPr>
      <w:r>
        <w:rPr>
          <w:rFonts w:ascii="Verdana" w:eastAsia="Calibri" w:hAnsi="Verdana" w:cs="Arial"/>
        </w:rPr>
        <w:t xml:space="preserve">v) </w:t>
      </w:r>
      <w:r w:rsidRPr="008C45F5">
        <w:rPr>
          <w:rFonts w:ascii="Verdana" w:eastAsia="Calibri" w:hAnsi="Verdana" w:cs="Arial"/>
          <w:i/>
          <w:iCs/>
        </w:rPr>
        <w:t>Experiencia.</w:t>
      </w:r>
      <w:r w:rsidRPr="008C45F5">
        <w:rPr>
          <w:rFonts w:ascii="Verdana" w:eastAsia="Calibri" w:hAnsi="Verdana" w:cs="Arial"/>
        </w:rPr>
        <w:t xml:space="preserve"> Para los efectos de la capacidad residual −no para la experiencia general que debe acreditar el contratista según la Matriz 1−, corresponde de un lado, a la relación entre “el valor total en pesos de los contratos </w:t>
      </w:r>
      <w:r w:rsidRPr="0019068D">
        <w:rPr>
          <w:rFonts w:ascii="Verdana" w:eastAsia="Calibri" w:hAnsi="Verdana" w:cs="Arial"/>
        </w:rPr>
        <w:t xml:space="preserve">relacionados con la actividad de la construcción </w:t>
      </w:r>
      <w:r w:rsidRPr="008C45F5">
        <w:rPr>
          <w:rFonts w:ascii="Verdana" w:eastAsia="Calibri" w:hAnsi="Verdana" w:cs="Arial"/>
        </w:rPr>
        <w:t xml:space="preserve">inscritos por el proponente en el Registro Único de Proponentes “RUP” </w:t>
      </w:r>
      <w:r w:rsidRPr="00EB525A">
        <w:rPr>
          <w:rFonts w:ascii="Verdana" w:eastAsia="Calibri" w:hAnsi="Verdana" w:cs="Arial"/>
          <w:i/>
          <w:iCs/>
        </w:rPr>
        <w:t>en el segmento 72</w:t>
      </w:r>
      <w:r w:rsidRPr="008C45F5">
        <w:rPr>
          <w:rFonts w:ascii="Verdana" w:eastAsia="Calibri" w:hAnsi="Verdana" w:cs="Arial"/>
        </w:rPr>
        <w:t xml:space="preserve"> </w:t>
      </w:r>
      <w:r w:rsidRPr="0019068D">
        <w:rPr>
          <w:rFonts w:ascii="Verdana" w:eastAsia="Calibri" w:hAnsi="Verdana" w:cs="Arial"/>
        </w:rPr>
        <w:t>“Servicios de edificación, Construcción de Instalaciones y Mantenimiento</w:t>
      </w:r>
      <w:r>
        <w:rPr>
          <w:rFonts w:ascii="Verdana" w:eastAsia="Calibri" w:hAnsi="Verdana" w:cs="Arial"/>
        </w:rPr>
        <w:t xml:space="preserve"> </w:t>
      </w:r>
      <w:r w:rsidRPr="008C45F5">
        <w:rPr>
          <w:rFonts w:ascii="Verdana" w:eastAsia="Calibri" w:hAnsi="Verdana" w:cs="Arial"/>
        </w:rPr>
        <w:t>del Clasificador de Bienes y Servicios”, y del otro, al presupuesto oficial estimado del Proceso de Contratación. La relación indica el número de veces que el proponente ha ejecutado contratos equivalentes a la cuantía del proceso de contratación.</w:t>
      </w:r>
    </w:p>
    <w:p w14:paraId="0A536360" w14:textId="77777777" w:rsidR="00E5643F" w:rsidRDefault="00E5643F" w:rsidP="00E5643F">
      <w:pPr>
        <w:spacing w:after="120" w:line="276" w:lineRule="auto"/>
        <w:ind w:firstLine="709"/>
        <w:jc w:val="both"/>
        <w:rPr>
          <w:rFonts w:ascii="Verdana" w:eastAsia="Calibri" w:hAnsi="Verdana" w:cs="Arial"/>
        </w:rPr>
      </w:pPr>
      <w:r>
        <w:rPr>
          <w:rFonts w:ascii="Verdana" w:eastAsia="Calibri" w:hAnsi="Verdana" w:cs="Arial"/>
        </w:rPr>
        <w:t xml:space="preserve">Como se evidencia, la Guía </w:t>
      </w:r>
      <w:r w:rsidRPr="008E6563">
        <w:rPr>
          <w:rFonts w:ascii="Verdana" w:eastAsia="Calibri" w:hAnsi="Verdana" w:cs="Arial"/>
        </w:rPr>
        <w:t>estableció una fórmula particular para su cálculo</w:t>
      </w:r>
      <w:r>
        <w:rPr>
          <w:rFonts w:ascii="Verdana" w:eastAsia="Calibri" w:hAnsi="Verdana" w:cs="Arial"/>
        </w:rPr>
        <w:t xml:space="preserve"> que se </w:t>
      </w:r>
      <w:r w:rsidRPr="008E6563">
        <w:rPr>
          <w:rFonts w:ascii="Verdana" w:eastAsia="Calibri" w:hAnsi="Verdana" w:cs="Arial"/>
        </w:rPr>
        <w:t xml:space="preserve">obtiene realizando una operación aritmética de división del valor </w:t>
      </w:r>
      <w:r w:rsidRPr="008E6563">
        <w:rPr>
          <w:rFonts w:ascii="Verdana" w:eastAsia="Calibri" w:hAnsi="Verdana" w:cs="Arial"/>
        </w:rPr>
        <w:lastRenderedPageBreak/>
        <w:t>total en pesos de los contratos</w:t>
      </w:r>
      <w:r w:rsidRPr="00E662BD">
        <w:rPr>
          <w:rFonts w:ascii="Verdana" w:eastAsia="Calibri" w:hAnsi="Verdana" w:cs="Arial"/>
        </w:rPr>
        <w:t xml:space="preserve"> </w:t>
      </w:r>
      <w:r w:rsidRPr="0019068D">
        <w:rPr>
          <w:rFonts w:ascii="Verdana" w:eastAsia="Calibri" w:hAnsi="Verdana" w:cs="Arial"/>
        </w:rPr>
        <w:t xml:space="preserve">relacionados con la actividad de la construcción </w:t>
      </w:r>
      <w:r w:rsidRPr="008C45F5">
        <w:rPr>
          <w:rFonts w:ascii="Verdana" w:eastAsia="Calibri" w:hAnsi="Verdana" w:cs="Arial"/>
        </w:rPr>
        <w:t xml:space="preserve">inscritos por el proponente en el Registro Único de Proponentes “RUP” </w:t>
      </w:r>
      <w:r w:rsidRPr="0004689D">
        <w:rPr>
          <w:rFonts w:ascii="Verdana" w:eastAsia="Calibri" w:hAnsi="Verdana" w:cs="Arial"/>
        </w:rPr>
        <w:t xml:space="preserve">en el </w:t>
      </w:r>
      <w:r w:rsidRPr="00E662BD">
        <w:rPr>
          <w:rFonts w:ascii="Verdana" w:eastAsia="Calibri" w:hAnsi="Verdana" w:cs="Arial"/>
          <w:i/>
          <w:iCs/>
        </w:rPr>
        <w:t>segmento 72</w:t>
      </w:r>
      <w:r>
        <w:rPr>
          <w:rFonts w:ascii="Verdana" w:eastAsia="Calibri" w:hAnsi="Verdana" w:cs="Arial"/>
        </w:rPr>
        <w:t xml:space="preserve"> del Clasificador de Bienes y Servicios </w:t>
      </w:r>
      <w:r w:rsidRPr="008E6563">
        <w:rPr>
          <w:rFonts w:ascii="Verdana" w:eastAsia="Calibri" w:hAnsi="Verdana" w:cs="Arial"/>
        </w:rPr>
        <w:t>entre el presupuesto oficial estimado del procedimiento contractual. El cociente de esta operación “[…] indica el número de veces que el proponente ha ejecutado contratos equivalentes a la cuantía del Proceso de Contratación objeto de la acreditación de la Capacidad Residual”. Dicha formula se expresa de la siguiente forma:</w:t>
      </w:r>
    </w:p>
    <w:p w14:paraId="3C1806C2" w14:textId="77777777" w:rsidR="00E5643F" w:rsidRPr="008E6563" w:rsidRDefault="00E5643F" w:rsidP="00E5643F">
      <w:pPr>
        <w:spacing w:after="0" w:line="240" w:lineRule="auto"/>
        <w:jc w:val="both"/>
        <w:rPr>
          <w:rFonts w:ascii="Verdana" w:eastAsia="Calibri" w:hAnsi="Verdana" w:cs="Arial"/>
        </w:rPr>
      </w:pPr>
    </w:p>
    <w:p w14:paraId="00C812C1" w14:textId="77777777" w:rsidR="00E5643F" w:rsidRDefault="00E5643F" w:rsidP="00E5643F">
      <w:pPr>
        <w:spacing w:after="120" w:line="276" w:lineRule="auto"/>
        <w:jc w:val="center"/>
        <w:rPr>
          <w:rFonts w:ascii="Verdana" w:eastAsia="Calibri" w:hAnsi="Verdana" w:cs="Arial"/>
        </w:rPr>
      </w:pPr>
      <w:r w:rsidRPr="0070584E">
        <w:rPr>
          <w:rFonts w:ascii="Verdana" w:eastAsia="Calibri" w:hAnsi="Verdana" w:cs="Arial"/>
          <w:noProof/>
        </w:rPr>
        <w:drawing>
          <wp:inline distT="0" distB="0" distL="0" distR="0" wp14:anchorId="40283225" wp14:editId="61187EF2">
            <wp:extent cx="3459480" cy="752475"/>
            <wp:effectExtent l="0" t="0" r="7620" b="9525"/>
            <wp:docPr id="716479767" name="Imagen 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479767" name="Imagen 1" descr="Imagen que contiene Texto&#10;&#10;El contenido generado por IA puede ser incorrecto."/>
                    <pic:cNvPicPr/>
                  </pic:nvPicPr>
                  <pic:blipFill>
                    <a:blip r:embed="rId13"/>
                    <a:stretch>
                      <a:fillRect/>
                    </a:stretch>
                  </pic:blipFill>
                  <pic:spPr>
                    <a:xfrm>
                      <a:off x="0" y="0"/>
                      <a:ext cx="3459967" cy="752581"/>
                    </a:xfrm>
                    <a:prstGeom prst="rect">
                      <a:avLst/>
                    </a:prstGeom>
                  </pic:spPr>
                </pic:pic>
              </a:graphicData>
            </a:graphic>
          </wp:inline>
        </w:drawing>
      </w:r>
    </w:p>
    <w:p w14:paraId="1684142A" w14:textId="77777777" w:rsidR="00E5643F" w:rsidRDefault="00E5643F" w:rsidP="00E5643F">
      <w:pPr>
        <w:spacing w:after="120" w:line="276" w:lineRule="auto"/>
        <w:ind w:firstLine="709"/>
        <w:jc w:val="both"/>
        <w:rPr>
          <w:rFonts w:ascii="Verdana" w:hAnsi="Verdana" w:cs="Arial"/>
          <w:color w:val="000000" w:themeColor="text1"/>
          <w:sz w:val="21"/>
          <w:szCs w:val="21"/>
        </w:rPr>
      </w:pPr>
      <w:r>
        <w:rPr>
          <w:rFonts w:ascii="Verdana" w:eastAsia="Calibri" w:hAnsi="Verdana" w:cs="Arial"/>
        </w:rPr>
        <w:t xml:space="preserve">Conforme lo señala la Guía en el numeral 9.2, </w:t>
      </w:r>
      <w:r w:rsidRPr="00714926">
        <w:rPr>
          <w:rFonts w:ascii="Verdana" w:hAnsi="Verdana" w:cs="Arial"/>
          <w:color w:val="000000" w:themeColor="text1"/>
        </w:rPr>
        <w:t>el puntaje as</w:t>
      </w:r>
      <w:r>
        <w:rPr>
          <w:rFonts w:ascii="Verdana" w:hAnsi="Verdana" w:cs="Arial"/>
          <w:color w:val="000000" w:themeColor="text1"/>
        </w:rPr>
        <w:t>ociado</w:t>
      </w:r>
      <w:r w:rsidRPr="00714926">
        <w:rPr>
          <w:rFonts w:ascii="Verdana" w:hAnsi="Verdana" w:cs="Arial"/>
          <w:color w:val="000000" w:themeColor="text1"/>
        </w:rPr>
        <w:t xml:space="preserve"> al factor de experiencia (E) se debe asignar con base en la siguiente tabla</w:t>
      </w:r>
      <w:r>
        <w:rPr>
          <w:rFonts w:ascii="Verdana" w:hAnsi="Verdana" w:cs="Arial"/>
          <w:color w:val="000000" w:themeColor="text1"/>
          <w:sz w:val="21"/>
          <w:szCs w:val="21"/>
        </w:rPr>
        <w:t>:</w:t>
      </w:r>
    </w:p>
    <w:p w14:paraId="64063C84" w14:textId="77777777" w:rsidR="00E5643F" w:rsidRPr="00217E6C" w:rsidRDefault="00E5643F" w:rsidP="00E5643F">
      <w:pPr>
        <w:spacing w:after="0" w:line="240" w:lineRule="auto"/>
        <w:ind w:firstLine="709"/>
        <w:jc w:val="both"/>
        <w:rPr>
          <w:rFonts w:ascii="Verdana" w:eastAsia="Calibri" w:hAnsi="Verdana" w:cs="Arial"/>
        </w:rPr>
      </w:pPr>
    </w:p>
    <w:p w14:paraId="5E4C6E34" w14:textId="77777777" w:rsidR="00E5643F" w:rsidRPr="00A46493" w:rsidRDefault="00E5643F" w:rsidP="00E5643F">
      <w:pPr>
        <w:ind w:left="709" w:right="709"/>
        <w:jc w:val="center"/>
        <w:rPr>
          <w:rFonts w:ascii="Verdana" w:hAnsi="Verdana" w:cs="Arial"/>
          <w:color w:val="000000" w:themeColor="text1"/>
          <w:sz w:val="21"/>
          <w:szCs w:val="21"/>
        </w:rPr>
      </w:pPr>
      <w:r w:rsidRPr="00A46493">
        <w:rPr>
          <w:rFonts w:ascii="Verdana" w:hAnsi="Verdana" w:cs="Arial"/>
          <w:noProof/>
          <w:color w:val="000000" w:themeColor="text1"/>
          <w:sz w:val="21"/>
          <w:szCs w:val="21"/>
        </w:rPr>
        <w:drawing>
          <wp:inline distT="0" distB="0" distL="0" distR="0" wp14:anchorId="03CAEB06" wp14:editId="1AA7083E">
            <wp:extent cx="3375660" cy="876300"/>
            <wp:effectExtent l="0" t="0" r="0" b="0"/>
            <wp:docPr id="1642214750"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214750" name="Imagen 1" descr="Tabla&#10;&#10;El contenido generado por IA puede ser incorrecto."/>
                    <pic:cNvPicPr/>
                  </pic:nvPicPr>
                  <pic:blipFill rotWithShape="1">
                    <a:blip r:embed="rId14"/>
                    <a:srcRect t="5509"/>
                    <a:stretch>
                      <a:fillRect/>
                    </a:stretch>
                  </pic:blipFill>
                  <pic:spPr bwMode="auto">
                    <a:xfrm>
                      <a:off x="0" y="0"/>
                      <a:ext cx="3380881" cy="877655"/>
                    </a:xfrm>
                    <a:prstGeom prst="rect">
                      <a:avLst/>
                    </a:prstGeom>
                    <a:ln>
                      <a:noFill/>
                    </a:ln>
                    <a:extLst>
                      <a:ext uri="{53640926-AAD7-44D8-BBD7-CCE9431645EC}">
                        <a14:shadowObscured xmlns:a14="http://schemas.microsoft.com/office/drawing/2010/main"/>
                      </a:ext>
                    </a:extLst>
                  </pic:spPr>
                </pic:pic>
              </a:graphicData>
            </a:graphic>
          </wp:inline>
        </w:drawing>
      </w:r>
    </w:p>
    <w:p w14:paraId="352CA5BF" w14:textId="77777777" w:rsidR="00E5643F" w:rsidRDefault="00E5643F" w:rsidP="00E5643F">
      <w:pPr>
        <w:spacing w:after="0" w:line="240" w:lineRule="auto"/>
        <w:ind w:firstLine="709"/>
        <w:jc w:val="both"/>
        <w:rPr>
          <w:rFonts w:ascii="Verdana" w:hAnsi="Verdana" w:cs="Arial"/>
          <w:color w:val="000000" w:themeColor="text1"/>
        </w:rPr>
      </w:pPr>
    </w:p>
    <w:p w14:paraId="0CDF5699" w14:textId="77777777" w:rsidR="00E5643F" w:rsidRPr="00B4495D" w:rsidRDefault="00E5643F" w:rsidP="00E5643F">
      <w:pPr>
        <w:spacing w:after="120" w:line="276" w:lineRule="auto"/>
        <w:ind w:firstLine="709"/>
        <w:jc w:val="both"/>
        <w:rPr>
          <w:rFonts w:ascii="Verdana" w:hAnsi="Verdana"/>
        </w:rPr>
      </w:pPr>
      <w:bookmarkStart w:id="2" w:name="_Hlk210742000"/>
      <w:r>
        <w:rPr>
          <w:rFonts w:ascii="Verdana" w:hAnsi="Verdana" w:cs="Arial"/>
          <w:color w:val="000000" w:themeColor="text1"/>
        </w:rPr>
        <w:t>Para acreditar el factor de</w:t>
      </w:r>
      <w:r w:rsidRPr="00E66C64">
        <w:rPr>
          <w:rFonts w:ascii="Verdana" w:hAnsi="Verdana"/>
        </w:rPr>
        <w:t xml:space="preserve"> Experiencia (E), </w:t>
      </w:r>
      <w:r w:rsidRPr="00B4495D">
        <w:rPr>
          <w:rFonts w:ascii="Verdana" w:hAnsi="Verdana"/>
        </w:rPr>
        <w:t xml:space="preserve">la Guía </w:t>
      </w:r>
      <w:r>
        <w:rPr>
          <w:rFonts w:ascii="Verdana" w:hAnsi="Verdana"/>
        </w:rPr>
        <w:t>establece que “</w:t>
      </w:r>
      <w:r w:rsidRPr="00E66C64">
        <w:rPr>
          <w:rFonts w:ascii="Verdana" w:hAnsi="Verdana"/>
        </w:rPr>
        <w:t>el proponente debe diligenciar su información en el formato establecido por la Entidad Estatal para tal fin.</w:t>
      </w:r>
      <w:r w:rsidRPr="00B4495D">
        <w:rPr>
          <w:rFonts w:ascii="Verdana" w:hAnsi="Verdana"/>
        </w:rPr>
        <w:t xml:space="preserve"> No obstante, en el Anexo 1 de esta guía se sugiere un modelo para ser tenido en cuenta. Dicho Anexo contiene los contratos inscritos en el </w:t>
      </w:r>
      <w:r w:rsidRPr="00E662BD">
        <w:rPr>
          <w:rFonts w:ascii="Verdana" w:hAnsi="Verdana"/>
          <w:i/>
          <w:iCs/>
        </w:rPr>
        <w:t>segmento 72</w:t>
      </w:r>
      <w:r w:rsidRPr="00B4495D">
        <w:rPr>
          <w:rFonts w:ascii="Verdana" w:hAnsi="Verdana"/>
        </w:rPr>
        <w:t xml:space="preserve"> y su valor total en pesos colombianos liquidados con el SMMLV. Asimismo, el presupuesto oficial estimado debe liquidarse con el SMMLV para el año de publicación del pliego de condiciones definitivo del Proceso de Contratación”. </w:t>
      </w:r>
    </w:p>
    <w:p w14:paraId="6F09E69F" w14:textId="77777777" w:rsidR="00E5643F" w:rsidRPr="00817BF8" w:rsidRDefault="00E5643F" w:rsidP="00E5643F">
      <w:pPr>
        <w:spacing w:after="120" w:line="276" w:lineRule="auto"/>
        <w:ind w:firstLine="709"/>
        <w:jc w:val="both"/>
        <w:rPr>
          <w:rFonts w:ascii="Verdana" w:eastAsia="Calibri" w:hAnsi="Verdana" w:cs="Calibri"/>
          <w:lang w:val="es-MX"/>
        </w:rPr>
      </w:pPr>
      <w:r>
        <w:rPr>
          <w:rFonts w:ascii="Verdana" w:hAnsi="Verdana"/>
        </w:rPr>
        <w:t>De acuerdo con lo anterior, e</w:t>
      </w:r>
      <w:r w:rsidRPr="00B4495D">
        <w:rPr>
          <w:rFonts w:ascii="Verdana" w:hAnsi="Verdana"/>
        </w:rPr>
        <w:t xml:space="preserve">ste Anexo incluye los siguientes aspectos necesarios para calcular la capacidad residual del oferente: a) contratos </w:t>
      </w:r>
      <w:r w:rsidRPr="00E662BD">
        <w:rPr>
          <w:rFonts w:ascii="Verdana" w:hAnsi="Verdana"/>
        </w:rPr>
        <w:t>relacionados con la actividad de la construcción</w:t>
      </w:r>
      <w:r w:rsidRPr="00B4495D">
        <w:rPr>
          <w:rFonts w:ascii="Verdana" w:hAnsi="Verdana"/>
        </w:rPr>
        <w:t xml:space="preserve"> inscritos </w:t>
      </w:r>
      <w:r w:rsidRPr="00E662BD">
        <w:rPr>
          <w:rFonts w:ascii="Verdana" w:hAnsi="Verdana"/>
          <w:i/>
          <w:iCs/>
        </w:rPr>
        <w:t>en el segmento 72</w:t>
      </w:r>
      <w:r w:rsidRPr="00B4495D">
        <w:rPr>
          <w:rFonts w:ascii="Verdana" w:hAnsi="Verdana"/>
        </w:rPr>
        <w:t>; b) Porcentaje de participación en el evento de proponente plural, y c) Valor de los contratos ejecutados</w:t>
      </w:r>
      <w:bookmarkEnd w:id="2"/>
      <w:r>
        <w:rPr>
          <w:rFonts w:ascii="Verdana" w:eastAsia="Calibri" w:hAnsi="Verdana" w:cs="Calibri"/>
          <w:lang w:val="es-MX"/>
        </w:rPr>
        <w:t>. En consecuencia, l</w:t>
      </w:r>
      <w:r w:rsidRPr="00151F58">
        <w:rPr>
          <w:rFonts w:ascii="Verdana" w:eastAsia="Calibri" w:hAnsi="Verdana" w:cs="Calibri"/>
        </w:rPr>
        <w:t xml:space="preserve">a presentación del Anexo 1 contenido en la Guía para Determinar y Verificar la Capacidad Residual en los Procesos de </w:t>
      </w:r>
      <w:r w:rsidRPr="00151F58">
        <w:rPr>
          <w:rFonts w:ascii="Verdana" w:eastAsia="Calibri" w:hAnsi="Verdana" w:cs="Calibri"/>
        </w:rPr>
        <w:lastRenderedPageBreak/>
        <w:t xml:space="preserve">Contratación de Obra Pública, no es obligatoria. La Guía lo presenta como un modelo sugerido que puede ser adoptado por las entidades contratantes, o bien reemplazado por formatos propios, siempre que incluyan la información necesaria para calcular la Capacidad Residual. </w:t>
      </w:r>
    </w:p>
    <w:p w14:paraId="69E1670F" w14:textId="77777777" w:rsidR="00E5643F" w:rsidRDefault="00E5643F" w:rsidP="00E5643F">
      <w:pPr>
        <w:spacing w:after="120" w:line="276" w:lineRule="auto"/>
        <w:ind w:firstLine="743"/>
        <w:jc w:val="both"/>
        <w:rPr>
          <w:rFonts w:ascii="Verdana" w:hAnsi="Verdana"/>
        </w:rPr>
      </w:pPr>
      <w:r>
        <w:rPr>
          <w:rFonts w:ascii="Verdana" w:eastAsia="Calibri" w:hAnsi="Verdana" w:cs="Calibri"/>
          <w:lang w:val="es-MX"/>
        </w:rPr>
        <w:t xml:space="preserve">Ahora bien, de cara a la consulta planteada, frente a los contratos que son necesarios incluir para el cálculo de este factor, </w:t>
      </w:r>
      <w:r>
        <w:rPr>
          <w:rFonts w:ascii="Verdana" w:hAnsi="Verdana" w:cs="Arial"/>
        </w:rPr>
        <w:t>s</w:t>
      </w:r>
      <w:r w:rsidRPr="00FE755E">
        <w:rPr>
          <w:rFonts w:ascii="Verdana" w:hAnsi="Verdana"/>
        </w:rPr>
        <w:t xml:space="preserve">e concluye que son exclusivamente aquellos </w:t>
      </w:r>
      <w:r w:rsidRPr="004D7C10">
        <w:rPr>
          <w:rFonts w:ascii="Verdana" w:hAnsi="Verdana"/>
          <w:i/>
          <w:iCs/>
        </w:rPr>
        <w:t>relacionados con la actividad de la construcción</w:t>
      </w:r>
      <w:r w:rsidRPr="00FE755E">
        <w:rPr>
          <w:rFonts w:ascii="Verdana" w:hAnsi="Verdana"/>
        </w:rPr>
        <w:t>, es decir, los contratos de obra. Esto se evidencia en la exigencia de que dichos contratos estén inscritos en el RUP bajo el segmento 72 del Clasificador UNSPSC, el cual corresponde específicamente a servicios de edificación, construcción de instalaciones y mantenimiento, lo que reafirma que solo la experiencia en contratos de obra resulta pertinente para este cálculo.</w:t>
      </w:r>
      <w:r>
        <w:rPr>
          <w:rFonts w:ascii="Verdana" w:hAnsi="Verdana"/>
        </w:rPr>
        <w:t xml:space="preserve"> </w:t>
      </w:r>
      <w:r w:rsidRPr="008D114E">
        <w:rPr>
          <w:rFonts w:ascii="Verdana" w:hAnsi="Verdana"/>
        </w:rPr>
        <w:t>Además, debe tenerse en cuenta que la Capacidad Residual es un requisito exigible únicamente en los procesos de selección de contratos de obra, por lo que resulta lógico y coherente que para su cálculo solo se consideren contratos de esta misma naturaleza.</w:t>
      </w:r>
    </w:p>
    <w:p w14:paraId="073B89B0" w14:textId="77777777" w:rsidR="00E5643F" w:rsidRDefault="00E5643F" w:rsidP="00E5643F">
      <w:pPr>
        <w:spacing w:after="120" w:line="276" w:lineRule="auto"/>
        <w:ind w:firstLine="708"/>
        <w:jc w:val="both"/>
        <w:rPr>
          <w:rFonts w:ascii="Verdana" w:hAnsi="Verdana" w:cs="Arial"/>
          <w:color w:val="000000" w:themeColor="text1"/>
        </w:rPr>
      </w:pPr>
      <w:r>
        <w:rPr>
          <w:rFonts w:ascii="Verdana" w:hAnsi="Verdana" w:cs="Arial"/>
          <w:color w:val="000000" w:themeColor="text1"/>
        </w:rPr>
        <w:t>Adicionalmente, e</w:t>
      </w:r>
      <w:r w:rsidRPr="00D5747D">
        <w:rPr>
          <w:rFonts w:ascii="Verdana" w:hAnsi="Verdana" w:cs="Arial"/>
          <w:color w:val="000000" w:themeColor="text1"/>
        </w:rPr>
        <w:t xml:space="preserve">sta conclusión </w:t>
      </w:r>
      <w:r>
        <w:rPr>
          <w:rFonts w:ascii="Verdana" w:hAnsi="Verdana" w:cs="Arial"/>
          <w:color w:val="000000" w:themeColor="text1"/>
        </w:rPr>
        <w:t xml:space="preserve">encuentra respaldo en </w:t>
      </w:r>
      <w:r w:rsidRPr="00D5747D">
        <w:rPr>
          <w:rFonts w:ascii="Verdana" w:hAnsi="Verdana" w:cs="Arial"/>
          <w:color w:val="000000" w:themeColor="text1"/>
        </w:rPr>
        <w:t xml:space="preserve">lo </w:t>
      </w:r>
      <w:r>
        <w:rPr>
          <w:rFonts w:ascii="Verdana" w:hAnsi="Verdana" w:cs="Arial"/>
          <w:color w:val="000000" w:themeColor="text1"/>
        </w:rPr>
        <w:t>dispuesto</w:t>
      </w:r>
      <w:r w:rsidRPr="00D5747D">
        <w:rPr>
          <w:rFonts w:ascii="Verdana" w:hAnsi="Verdana" w:cs="Arial"/>
          <w:color w:val="000000" w:themeColor="text1"/>
        </w:rPr>
        <w:t xml:space="preserve"> en el numeral 10 de la mencionada Guía, que establece que los proponentes extranjeros sin domicilio o sucursal en Colombia deben acreditar su experiencia mediante copia de contratos o certificaciones relacionadas con la ejecución de </w:t>
      </w:r>
      <w:r w:rsidRPr="00D5747D">
        <w:rPr>
          <w:rFonts w:ascii="Verdana" w:hAnsi="Verdana" w:cs="Arial"/>
          <w:i/>
          <w:iCs/>
          <w:color w:val="000000" w:themeColor="text1"/>
        </w:rPr>
        <w:t>servicios de construcción de obras civiles</w:t>
      </w:r>
      <w:r w:rsidRPr="00D5747D">
        <w:rPr>
          <w:rFonts w:ascii="Verdana" w:hAnsi="Verdana" w:cs="Arial"/>
          <w:color w:val="000000" w:themeColor="text1"/>
        </w:rPr>
        <w:t>, lo que confirma que los contratos relevantes para efectos de la Capacidad Residual son exclusivamente los de obra.</w:t>
      </w:r>
    </w:p>
    <w:p w14:paraId="121DD33F" w14:textId="77777777" w:rsidR="00E5643F" w:rsidRDefault="00E5643F" w:rsidP="00E5643F">
      <w:pPr>
        <w:spacing w:after="120" w:line="276" w:lineRule="auto"/>
        <w:ind w:firstLine="708"/>
        <w:jc w:val="both"/>
        <w:rPr>
          <w:rFonts w:ascii="Verdana" w:eastAsia="Calibri" w:hAnsi="Verdana" w:cs="Arial"/>
          <w:bCs/>
          <w:color w:val="000000" w:themeColor="text1"/>
        </w:rPr>
      </w:pPr>
      <w:r w:rsidRPr="00981292">
        <w:rPr>
          <w:rFonts w:ascii="Verdana" w:eastAsia="Calibri" w:hAnsi="Verdana" w:cs="Arial"/>
          <w:bCs/>
          <w:color w:val="000000" w:themeColor="text1"/>
        </w:rPr>
        <w:t xml:space="preserve">Teniendo en cuenta las anteriores precisiones, es importante señalar que </w:t>
      </w:r>
      <w:r>
        <w:rPr>
          <w:rFonts w:ascii="Verdana" w:eastAsia="Calibri" w:hAnsi="Verdana" w:cs="Arial"/>
          <w:bCs/>
          <w:color w:val="000000" w:themeColor="text1"/>
        </w:rPr>
        <w:t xml:space="preserve">para efectos del cálculo de la capacidad residual si bien es necesario revisar </w:t>
      </w:r>
      <w:r w:rsidRPr="00981292">
        <w:rPr>
          <w:rFonts w:ascii="Verdana" w:eastAsia="Calibri" w:hAnsi="Verdana" w:cs="Arial"/>
          <w:bCs/>
          <w:color w:val="000000" w:themeColor="text1"/>
        </w:rPr>
        <w:t xml:space="preserve">la inclusión de códigos </w:t>
      </w:r>
      <w:r>
        <w:rPr>
          <w:rFonts w:ascii="Verdana" w:eastAsia="Calibri" w:hAnsi="Verdana" w:cs="Arial"/>
          <w:bCs/>
          <w:color w:val="000000" w:themeColor="text1"/>
        </w:rPr>
        <w:t xml:space="preserve">del </w:t>
      </w:r>
      <w:r w:rsidRPr="00981292">
        <w:rPr>
          <w:rFonts w:ascii="Verdana" w:eastAsia="Calibri" w:hAnsi="Verdana" w:cs="Arial"/>
          <w:bCs/>
          <w:color w:val="000000" w:themeColor="text1"/>
        </w:rPr>
        <w:t>segmento 72 del clasificador UNSPSC en el RUP</w:t>
      </w:r>
      <w:r>
        <w:rPr>
          <w:rFonts w:ascii="Verdana" w:eastAsia="Calibri" w:hAnsi="Verdana" w:cs="Arial"/>
          <w:bCs/>
          <w:color w:val="000000" w:themeColor="text1"/>
        </w:rPr>
        <w:t xml:space="preserve">, esto </w:t>
      </w:r>
      <w:r w:rsidRPr="00981292">
        <w:rPr>
          <w:rFonts w:ascii="Verdana" w:eastAsia="Calibri" w:hAnsi="Verdana" w:cs="Arial"/>
          <w:bCs/>
          <w:color w:val="000000" w:themeColor="text1"/>
        </w:rPr>
        <w:t>no permite concluir, por sí sol</w:t>
      </w:r>
      <w:r>
        <w:rPr>
          <w:rFonts w:ascii="Verdana" w:eastAsia="Calibri" w:hAnsi="Verdana" w:cs="Arial"/>
          <w:bCs/>
          <w:color w:val="000000" w:themeColor="text1"/>
        </w:rPr>
        <w:t>o</w:t>
      </w:r>
      <w:r w:rsidRPr="00981292">
        <w:rPr>
          <w:rFonts w:ascii="Verdana" w:eastAsia="Calibri" w:hAnsi="Verdana" w:cs="Arial"/>
          <w:bCs/>
          <w:color w:val="000000" w:themeColor="text1"/>
        </w:rPr>
        <w:t>, que</w:t>
      </w:r>
      <w:r>
        <w:rPr>
          <w:rFonts w:ascii="Verdana" w:eastAsia="Calibri" w:hAnsi="Verdana" w:cs="Arial"/>
          <w:bCs/>
          <w:color w:val="000000" w:themeColor="text1"/>
        </w:rPr>
        <w:t xml:space="preserve"> todos</w:t>
      </w:r>
      <w:r w:rsidRPr="00981292">
        <w:rPr>
          <w:rFonts w:ascii="Verdana" w:eastAsia="Calibri" w:hAnsi="Verdana" w:cs="Arial"/>
          <w:bCs/>
          <w:color w:val="000000" w:themeColor="text1"/>
        </w:rPr>
        <w:t xml:space="preserve"> los contratos registrados correspondan a obras civiles. </w:t>
      </w:r>
      <w:r>
        <w:rPr>
          <w:rFonts w:ascii="Verdana" w:eastAsia="Calibri" w:hAnsi="Verdana" w:cs="Arial"/>
          <w:bCs/>
          <w:color w:val="000000" w:themeColor="text1"/>
        </w:rPr>
        <w:t>Por ello</w:t>
      </w:r>
      <w:r w:rsidRPr="00981292">
        <w:rPr>
          <w:rFonts w:ascii="Verdana" w:eastAsia="Calibri" w:hAnsi="Verdana" w:cs="Arial"/>
          <w:bCs/>
          <w:color w:val="000000" w:themeColor="text1"/>
        </w:rPr>
        <w:t xml:space="preserve">, </w:t>
      </w:r>
      <w:r>
        <w:rPr>
          <w:rFonts w:ascii="Verdana" w:eastAsia="Calibri" w:hAnsi="Verdana" w:cs="Arial"/>
          <w:bCs/>
          <w:color w:val="000000" w:themeColor="text1"/>
        </w:rPr>
        <w:t xml:space="preserve">es fundamental que la entidad estatal verifique el objeto contractual </w:t>
      </w:r>
      <w:r w:rsidRPr="00981292">
        <w:rPr>
          <w:rFonts w:ascii="Verdana" w:eastAsia="Calibri" w:hAnsi="Verdana" w:cs="Arial"/>
          <w:bCs/>
          <w:color w:val="000000" w:themeColor="text1"/>
        </w:rPr>
        <w:t>efectivamente ejecutado</w:t>
      </w:r>
      <w:r>
        <w:rPr>
          <w:rFonts w:ascii="Verdana" w:eastAsia="Calibri" w:hAnsi="Verdana" w:cs="Arial"/>
          <w:bCs/>
          <w:color w:val="000000" w:themeColor="text1"/>
        </w:rPr>
        <w:t xml:space="preserve"> ya q</w:t>
      </w:r>
      <w:r w:rsidRPr="00981292">
        <w:rPr>
          <w:rFonts w:ascii="Verdana" w:eastAsia="Calibri" w:hAnsi="Verdana" w:cs="Arial"/>
          <w:bCs/>
          <w:color w:val="000000" w:themeColor="text1"/>
        </w:rPr>
        <w:t>ue la clasificación UNSPSC constituye una herramienta de carácter administrativo para la identificación y categorización de bienes, obras y servicios, pero no determina la naturaleza jurídica del contrato ni define automáticamente su incidencia en el cálculo de la capacidad residual.</w:t>
      </w:r>
    </w:p>
    <w:p w14:paraId="1D3DD51B" w14:textId="77777777" w:rsidR="00E5643F" w:rsidRDefault="00E5643F" w:rsidP="00E5643F">
      <w:pPr>
        <w:spacing w:after="120" w:line="276" w:lineRule="auto"/>
        <w:ind w:firstLine="708"/>
        <w:jc w:val="both"/>
        <w:rPr>
          <w:rFonts w:ascii="Verdana" w:eastAsia="Calibri" w:hAnsi="Verdana" w:cs="Arial"/>
          <w:bCs/>
          <w:color w:val="000000" w:themeColor="text1"/>
        </w:rPr>
      </w:pPr>
      <w:r w:rsidRPr="00981292">
        <w:rPr>
          <w:rFonts w:ascii="Verdana" w:eastAsia="Calibri" w:hAnsi="Verdana" w:cs="Arial"/>
          <w:bCs/>
          <w:color w:val="000000" w:themeColor="text1"/>
        </w:rPr>
        <w:t xml:space="preserve">En este sentido, para efectos de la capacidad residual, la normativa colombiana prevé que únicamente deben considerarse los contratos de obra civil, independientemente de que hayan sido celebrados con entidades públicas </w:t>
      </w:r>
      <w:r w:rsidRPr="00981292">
        <w:rPr>
          <w:rFonts w:ascii="Verdana" w:eastAsia="Calibri" w:hAnsi="Verdana" w:cs="Arial"/>
          <w:bCs/>
          <w:color w:val="000000" w:themeColor="text1"/>
        </w:rPr>
        <w:lastRenderedPageBreak/>
        <w:t>o privadas.</w:t>
      </w:r>
      <w:r>
        <w:rPr>
          <w:rFonts w:ascii="Verdana" w:eastAsia="Calibri" w:hAnsi="Verdana" w:cs="Arial"/>
          <w:bCs/>
          <w:color w:val="000000" w:themeColor="text1"/>
        </w:rPr>
        <w:t xml:space="preserve"> </w:t>
      </w:r>
      <w:r w:rsidRPr="00842E4E">
        <w:rPr>
          <w:rFonts w:ascii="Verdana" w:eastAsia="Calibri" w:hAnsi="Verdana" w:cs="Arial"/>
          <w:bCs/>
          <w:color w:val="000000" w:themeColor="text1"/>
        </w:rPr>
        <w:t xml:space="preserve">Esto significa que los contratos de consultoría o de interventoría, aun cuando </w:t>
      </w:r>
      <w:r>
        <w:rPr>
          <w:rFonts w:ascii="Verdana" w:eastAsia="Calibri" w:hAnsi="Verdana" w:cs="Arial"/>
          <w:bCs/>
          <w:color w:val="000000" w:themeColor="text1"/>
        </w:rPr>
        <w:t xml:space="preserve">eventualmente se </w:t>
      </w:r>
      <w:r w:rsidRPr="00842E4E">
        <w:rPr>
          <w:rFonts w:ascii="Verdana" w:eastAsia="Calibri" w:hAnsi="Verdana" w:cs="Arial"/>
          <w:bCs/>
          <w:color w:val="000000" w:themeColor="text1"/>
        </w:rPr>
        <w:t>clasifi</w:t>
      </w:r>
      <w:r>
        <w:rPr>
          <w:rFonts w:ascii="Verdana" w:eastAsia="Calibri" w:hAnsi="Verdana" w:cs="Arial"/>
          <w:bCs/>
          <w:color w:val="000000" w:themeColor="text1"/>
        </w:rPr>
        <w:t>quen</w:t>
      </w:r>
      <w:r w:rsidRPr="00842E4E">
        <w:rPr>
          <w:rFonts w:ascii="Verdana" w:eastAsia="Calibri" w:hAnsi="Verdana" w:cs="Arial"/>
          <w:bCs/>
          <w:color w:val="000000" w:themeColor="text1"/>
        </w:rPr>
        <w:t xml:space="preserve"> en el segmento 72, no afectan la capacidad residual, porque no implican ejecución directa de obra ni comprometen la capacidad operativa del proponente en términos de maquinaria, personal de obra o cronogramas constructivos. </w:t>
      </w:r>
    </w:p>
    <w:p w14:paraId="68252FA4" w14:textId="77777777" w:rsidR="00E5643F" w:rsidRDefault="00E5643F" w:rsidP="00E5643F">
      <w:pPr>
        <w:widowControl w:val="0"/>
        <w:autoSpaceDE w:val="0"/>
        <w:autoSpaceDN w:val="0"/>
        <w:spacing w:after="120" w:line="276" w:lineRule="auto"/>
        <w:ind w:right="102" w:firstLine="607"/>
        <w:jc w:val="both"/>
        <w:rPr>
          <w:rFonts w:ascii="Verdana" w:eastAsia="Calibri" w:hAnsi="Verdana" w:cs="Arial"/>
          <w:bCs/>
          <w:color w:val="000000" w:themeColor="text1"/>
        </w:rPr>
      </w:pPr>
      <w:r>
        <w:rPr>
          <w:rFonts w:ascii="Verdana" w:eastAsia="Calibri" w:hAnsi="Verdana" w:cs="Arial"/>
          <w:bCs/>
          <w:color w:val="000000" w:themeColor="text1"/>
        </w:rPr>
        <w:t xml:space="preserve">Al respecto, </w:t>
      </w:r>
      <w:r>
        <w:rPr>
          <w:rFonts w:ascii="Verdana" w:eastAsia="Times New Roman" w:hAnsi="Verdana" w:cs="Arial"/>
          <w:lang w:val="es-ES"/>
        </w:rPr>
        <w:t>e</w:t>
      </w:r>
      <w:r>
        <w:rPr>
          <w:rFonts w:ascii="Verdana" w:eastAsia="Times New Roman" w:hAnsi="Verdana" w:cs="Arial"/>
          <w:lang w:val="es-ES_tradnl"/>
        </w:rPr>
        <w:t xml:space="preserve">s preciso tener en cuenta que la Circular Externa Única proferida por la Agencia Nacional de Contratación Pública – Colombia Compra Eficiente, en la cual se incorporaron directrices relacionadas con el RUP y particularmente sobre el “uso del Clasificador de Bienes y Servicios en el Registro Único de Proponentes”, precisó </w:t>
      </w:r>
      <w:r>
        <w:rPr>
          <w:rFonts w:ascii="Verdana" w:eastAsia="Times New Roman" w:hAnsi="Verdana" w:cs="Arial"/>
          <w:lang w:val="es-ES"/>
        </w:rPr>
        <w:t xml:space="preserve">que </w:t>
      </w:r>
      <w:r>
        <w:rPr>
          <w:rFonts w:ascii="Verdana" w:eastAsia="Calibri" w:hAnsi="Verdana" w:cs="Arial"/>
          <w:bCs/>
          <w:color w:val="000000" w:themeColor="text1"/>
        </w:rPr>
        <w:t>l</w:t>
      </w:r>
      <w:r w:rsidRPr="00D2442C">
        <w:rPr>
          <w:rFonts w:ascii="Verdana" w:eastAsia="Calibri" w:hAnsi="Verdana" w:cs="Arial"/>
          <w:bCs/>
          <w:color w:val="000000" w:themeColor="text1"/>
        </w:rPr>
        <w:t xml:space="preserve">as Cámaras de Comercio solo pueden inscribir como experiencia del proponente aquella certificada por documento público o privado, y para la cual el proponente </w:t>
      </w:r>
      <w:r w:rsidRPr="00E13946">
        <w:rPr>
          <w:rFonts w:ascii="Verdana" w:eastAsia="Calibri" w:hAnsi="Verdana" w:cs="Arial"/>
          <w:bCs/>
          <w:color w:val="000000" w:themeColor="text1"/>
        </w:rPr>
        <w:t>deberá indicar los códigos del Clasificador de Bienes y Servicios</w:t>
      </w:r>
      <w:r w:rsidRPr="00D2442C">
        <w:rPr>
          <w:rFonts w:ascii="Verdana" w:eastAsia="Calibri" w:hAnsi="Verdana" w:cs="Arial"/>
          <w:bCs/>
          <w:color w:val="000000" w:themeColor="text1"/>
        </w:rPr>
        <w:t>.</w:t>
      </w:r>
      <w:r>
        <w:rPr>
          <w:rFonts w:ascii="Verdana" w:eastAsia="Calibri" w:hAnsi="Verdana" w:cs="Arial"/>
          <w:bCs/>
          <w:color w:val="000000" w:themeColor="text1"/>
        </w:rPr>
        <w:t xml:space="preserve"> Además, señaló que “l</w:t>
      </w:r>
      <w:r w:rsidRPr="002F2A0B">
        <w:rPr>
          <w:rFonts w:ascii="Verdana" w:eastAsia="Calibri" w:hAnsi="Verdana" w:cs="Arial"/>
          <w:bCs/>
          <w:color w:val="000000" w:themeColor="text1"/>
        </w:rPr>
        <w:t>os códigos de “servicios de construcción” están clasificados en el segmento 72: “Servicios de Edificación, Construcción de Instalaciones y Mantenimiento”. El segmento 95 es de bienes “Terrenos, Edificios, Estructuras y Vías” y, por lo tanto, no es adecuado para la identificación del objeto en el Proceso de Contratación de obra pública</w:t>
      </w:r>
      <w:r>
        <w:rPr>
          <w:rFonts w:ascii="Verdana" w:eastAsia="Calibri" w:hAnsi="Verdana" w:cs="Arial"/>
          <w:bCs/>
          <w:color w:val="000000" w:themeColor="text1"/>
        </w:rPr>
        <w:t xml:space="preserve">”. </w:t>
      </w:r>
      <w:r w:rsidRPr="008D47C5">
        <w:rPr>
          <w:rFonts w:ascii="Verdana" w:eastAsia="Calibri" w:hAnsi="Verdana" w:cs="Arial"/>
          <w:bCs/>
          <w:color w:val="000000" w:themeColor="text1"/>
        </w:rPr>
        <w:t xml:space="preserve">Por lo tanto, la experiencia </w:t>
      </w:r>
      <w:r>
        <w:rPr>
          <w:rFonts w:ascii="Verdana" w:eastAsia="Calibri" w:hAnsi="Verdana" w:cs="Arial"/>
          <w:bCs/>
          <w:color w:val="000000" w:themeColor="text1"/>
        </w:rPr>
        <w:t xml:space="preserve">que </w:t>
      </w:r>
      <w:r w:rsidRPr="008D47C5">
        <w:rPr>
          <w:rFonts w:ascii="Verdana" w:eastAsia="Calibri" w:hAnsi="Verdana" w:cs="Arial"/>
          <w:bCs/>
          <w:color w:val="000000" w:themeColor="text1"/>
        </w:rPr>
        <w:t>registre</w:t>
      </w:r>
      <w:r>
        <w:rPr>
          <w:rFonts w:ascii="Verdana" w:eastAsia="Calibri" w:hAnsi="Verdana" w:cs="Arial"/>
          <w:bCs/>
          <w:color w:val="000000" w:themeColor="text1"/>
        </w:rPr>
        <w:t xml:space="preserve"> el proponente</w:t>
      </w:r>
      <w:r w:rsidRPr="008D47C5">
        <w:rPr>
          <w:rFonts w:ascii="Verdana" w:eastAsia="Calibri" w:hAnsi="Verdana" w:cs="Arial"/>
          <w:bCs/>
          <w:color w:val="000000" w:themeColor="text1"/>
        </w:rPr>
        <w:t xml:space="preserve"> en el RUP bajo e</w:t>
      </w:r>
      <w:r>
        <w:rPr>
          <w:rFonts w:ascii="Verdana" w:eastAsia="Calibri" w:hAnsi="Verdana" w:cs="Arial"/>
          <w:bCs/>
          <w:color w:val="000000" w:themeColor="text1"/>
        </w:rPr>
        <w:t>l</w:t>
      </w:r>
      <w:r w:rsidRPr="008D47C5">
        <w:rPr>
          <w:rFonts w:ascii="Verdana" w:eastAsia="Calibri" w:hAnsi="Verdana" w:cs="Arial"/>
          <w:bCs/>
          <w:color w:val="000000" w:themeColor="text1"/>
        </w:rPr>
        <w:t xml:space="preserve"> segmento</w:t>
      </w:r>
      <w:r>
        <w:rPr>
          <w:rFonts w:ascii="Verdana" w:eastAsia="Calibri" w:hAnsi="Verdana" w:cs="Arial"/>
          <w:bCs/>
          <w:color w:val="000000" w:themeColor="text1"/>
        </w:rPr>
        <w:t xml:space="preserve"> 72</w:t>
      </w:r>
      <w:r w:rsidRPr="008D47C5">
        <w:rPr>
          <w:rFonts w:ascii="Verdana" w:eastAsia="Calibri" w:hAnsi="Verdana" w:cs="Arial"/>
          <w:bCs/>
          <w:color w:val="000000" w:themeColor="text1"/>
        </w:rPr>
        <w:t xml:space="preserve"> deberá corresponder a servicios de edificación, construcción de instalaciones y mantenimiento, y no a otro tipo de servicios o bienes.</w:t>
      </w:r>
    </w:p>
    <w:p w14:paraId="75A1A7AD" w14:textId="77777777" w:rsidR="00E5643F" w:rsidRDefault="00E5643F" w:rsidP="00E5643F">
      <w:pPr>
        <w:widowControl w:val="0"/>
        <w:autoSpaceDE w:val="0"/>
        <w:autoSpaceDN w:val="0"/>
        <w:spacing w:after="120" w:line="276" w:lineRule="auto"/>
        <w:ind w:right="102" w:firstLine="607"/>
        <w:jc w:val="both"/>
        <w:rPr>
          <w:rFonts w:ascii="Verdana" w:eastAsia="Calibri" w:hAnsi="Verdana" w:cs="Arial"/>
          <w:bCs/>
          <w:color w:val="000000" w:themeColor="text1"/>
        </w:rPr>
      </w:pPr>
      <w:r>
        <w:rPr>
          <w:rFonts w:ascii="Verdana" w:eastAsia="Calibri" w:hAnsi="Verdana" w:cs="Arial"/>
          <w:bCs/>
          <w:color w:val="000000" w:themeColor="text1"/>
        </w:rPr>
        <w:t>Así las cosas</w:t>
      </w:r>
      <w:r w:rsidRPr="00842E4E">
        <w:rPr>
          <w:rFonts w:ascii="Verdana" w:eastAsia="Calibri" w:hAnsi="Verdana" w:cs="Arial"/>
          <w:bCs/>
          <w:color w:val="000000" w:themeColor="text1"/>
        </w:rPr>
        <w:t xml:space="preserve">, debido a que lo relevante es que el objeto del contrato contemple la ejecución de obras civiles, no es válido afirmar que, para calcular la capacidad residual deban tener en cuenta los contratos de consultoría o interventoría, </w:t>
      </w:r>
      <w:r>
        <w:rPr>
          <w:rFonts w:ascii="Verdana" w:eastAsia="Calibri" w:hAnsi="Verdana" w:cs="Arial"/>
          <w:bCs/>
          <w:color w:val="000000" w:themeColor="text1"/>
        </w:rPr>
        <w:t xml:space="preserve">que </w:t>
      </w:r>
      <w:r w:rsidRPr="00842E4E">
        <w:rPr>
          <w:rFonts w:ascii="Verdana" w:eastAsia="Calibri" w:hAnsi="Verdana" w:cs="Arial"/>
          <w:bCs/>
          <w:color w:val="000000" w:themeColor="text1"/>
        </w:rPr>
        <w:t xml:space="preserve">erróneamente </w:t>
      </w:r>
      <w:r>
        <w:rPr>
          <w:rFonts w:ascii="Verdana" w:eastAsia="Calibri" w:hAnsi="Verdana" w:cs="Arial"/>
          <w:bCs/>
          <w:color w:val="000000" w:themeColor="text1"/>
        </w:rPr>
        <w:t xml:space="preserve">se inscriban </w:t>
      </w:r>
      <w:r w:rsidRPr="00842E4E">
        <w:rPr>
          <w:rFonts w:ascii="Verdana" w:eastAsia="Calibri" w:hAnsi="Verdana" w:cs="Arial"/>
          <w:bCs/>
          <w:color w:val="000000" w:themeColor="text1"/>
        </w:rPr>
        <w:t>el segmento 72. Lo relevante es el objeto del contrato, no el segmento en el que se inscribe</w:t>
      </w:r>
      <w:r>
        <w:rPr>
          <w:rFonts w:ascii="Verdana" w:eastAsia="Calibri" w:hAnsi="Verdana" w:cs="Arial"/>
          <w:bCs/>
          <w:color w:val="000000" w:themeColor="text1"/>
        </w:rPr>
        <w:t xml:space="preserve">, por tanto, </w:t>
      </w:r>
      <w:r w:rsidRPr="00842E4E">
        <w:rPr>
          <w:rFonts w:ascii="Verdana" w:eastAsia="Calibri" w:hAnsi="Verdana" w:cs="Arial"/>
          <w:bCs/>
          <w:color w:val="000000" w:themeColor="text1"/>
        </w:rPr>
        <w:t xml:space="preserve">la interpretación correcta es que la </w:t>
      </w:r>
      <w:r>
        <w:rPr>
          <w:rFonts w:ascii="Verdana" w:eastAsia="Calibri" w:hAnsi="Verdana" w:cs="Arial"/>
          <w:bCs/>
          <w:color w:val="000000" w:themeColor="text1"/>
        </w:rPr>
        <w:t xml:space="preserve">inclusión </w:t>
      </w:r>
      <w:r w:rsidRPr="00842E4E">
        <w:rPr>
          <w:rFonts w:ascii="Verdana" w:eastAsia="Calibri" w:hAnsi="Verdana" w:cs="Arial"/>
          <w:bCs/>
          <w:color w:val="000000" w:themeColor="text1"/>
        </w:rPr>
        <w:t xml:space="preserve">de códigos del segmento 72 en el RUP no genera presunción de obra. </w:t>
      </w:r>
      <w:r>
        <w:rPr>
          <w:rFonts w:ascii="Verdana" w:eastAsia="Calibri" w:hAnsi="Verdana" w:cs="Arial"/>
          <w:bCs/>
          <w:color w:val="000000" w:themeColor="text1"/>
        </w:rPr>
        <w:t>De este modo, l</w:t>
      </w:r>
      <w:r w:rsidRPr="00842E4E">
        <w:rPr>
          <w:rFonts w:ascii="Verdana" w:eastAsia="Calibri" w:hAnsi="Verdana" w:cs="Arial"/>
          <w:bCs/>
          <w:color w:val="000000" w:themeColor="text1"/>
        </w:rPr>
        <w:t>a entidad debe basarse en el objeto contractual y no</w:t>
      </w:r>
      <w:r>
        <w:rPr>
          <w:rFonts w:ascii="Verdana" w:eastAsia="Calibri" w:hAnsi="Verdana" w:cs="Arial"/>
          <w:bCs/>
          <w:color w:val="000000" w:themeColor="text1"/>
        </w:rPr>
        <w:t xml:space="preserve"> solo</w:t>
      </w:r>
      <w:r w:rsidRPr="00842E4E">
        <w:rPr>
          <w:rFonts w:ascii="Verdana" w:eastAsia="Calibri" w:hAnsi="Verdana" w:cs="Arial"/>
          <w:bCs/>
          <w:color w:val="000000" w:themeColor="text1"/>
        </w:rPr>
        <w:t xml:space="preserve"> en la clasificación UNSPSC para decidir si un contrato afecta o no la capacidad residual</w:t>
      </w:r>
      <w:r>
        <w:rPr>
          <w:rFonts w:ascii="Verdana" w:eastAsia="Calibri" w:hAnsi="Verdana" w:cs="Arial"/>
          <w:bCs/>
          <w:color w:val="000000" w:themeColor="text1"/>
        </w:rPr>
        <w:t xml:space="preserve">, lo cual </w:t>
      </w:r>
      <w:r w:rsidRPr="00842E4E">
        <w:rPr>
          <w:rFonts w:ascii="Verdana" w:eastAsia="Calibri" w:hAnsi="Verdana" w:cs="Arial"/>
          <w:bCs/>
          <w:color w:val="000000" w:themeColor="text1"/>
        </w:rPr>
        <w:t>asegura coherencia técnica, evita restricciones indebidas a la participación y mantiene alineado el análisis con el marco normativo vigente</w:t>
      </w:r>
      <w:r>
        <w:rPr>
          <w:rFonts w:ascii="Verdana" w:eastAsia="Calibri" w:hAnsi="Verdana" w:cs="Arial"/>
          <w:bCs/>
          <w:color w:val="000000" w:themeColor="text1"/>
        </w:rPr>
        <w:t xml:space="preserve"> sobre el cálculo de la capacidad residual</w:t>
      </w:r>
      <w:r w:rsidRPr="00842E4E">
        <w:rPr>
          <w:rFonts w:ascii="Verdana" w:eastAsia="Calibri" w:hAnsi="Verdana" w:cs="Arial"/>
          <w:bCs/>
          <w:color w:val="000000" w:themeColor="text1"/>
        </w:rPr>
        <w:t xml:space="preserve">. </w:t>
      </w:r>
    </w:p>
    <w:p w14:paraId="55AA96C6" w14:textId="77777777" w:rsidR="00E5643F" w:rsidRPr="00E61736" w:rsidRDefault="00E5643F" w:rsidP="00E5643F">
      <w:pPr>
        <w:widowControl w:val="0"/>
        <w:autoSpaceDE w:val="0"/>
        <w:autoSpaceDN w:val="0"/>
        <w:spacing w:after="120" w:line="276" w:lineRule="auto"/>
        <w:ind w:right="102"/>
        <w:jc w:val="both"/>
        <w:rPr>
          <w:rFonts w:ascii="Verdana" w:eastAsia="Calibri" w:hAnsi="Verdana" w:cs="Arial"/>
          <w:bCs/>
          <w:color w:val="000000" w:themeColor="text1"/>
        </w:rPr>
      </w:pPr>
      <w:proofErr w:type="spellStart"/>
      <w:r>
        <w:rPr>
          <w:rFonts w:ascii="Verdana" w:eastAsia="Calibri" w:hAnsi="Verdana" w:cs="Times New Roman"/>
        </w:rPr>
        <w:t>ii</w:t>
      </w:r>
      <w:proofErr w:type="spellEnd"/>
      <w:r>
        <w:rPr>
          <w:rFonts w:ascii="Verdana" w:eastAsia="Calibri" w:hAnsi="Verdana" w:cs="Times New Roman"/>
        </w:rPr>
        <w:t>. L</w:t>
      </w:r>
      <w:r w:rsidRPr="00881D8A">
        <w:rPr>
          <w:rFonts w:ascii="Verdana" w:eastAsia="Calibri" w:hAnsi="Verdana" w:cs="Times New Roman"/>
        </w:rPr>
        <w:t xml:space="preserve">a Capacidad Residual es un requisito habilitante que está sujeto a la posibilidad de solicitarle aclaración, con el fin de esclarecer dudas sobre aspectos de la información presentada por el proponente y, de igual forma, está sujeta a la posibilidad de subsanar la ausencia de requisitos, siempre que se </w:t>
      </w:r>
      <w:r w:rsidRPr="00881D8A">
        <w:rPr>
          <w:rFonts w:ascii="Verdana" w:eastAsia="Calibri" w:hAnsi="Verdana" w:cs="Times New Roman"/>
        </w:rPr>
        <w:lastRenderedPageBreak/>
        <w:t xml:space="preserve">cumpla con los límites temporales y materiales,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0C671EBF" w14:textId="77777777" w:rsidR="00E5643F" w:rsidRPr="00881D8A" w:rsidRDefault="00E5643F" w:rsidP="00E5643F">
      <w:pPr>
        <w:spacing w:after="120" w:line="276" w:lineRule="auto"/>
        <w:ind w:firstLine="709"/>
        <w:jc w:val="both"/>
        <w:rPr>
          <w:rFonts w:ascii="Verdana" w:eastAsia="Calibri" w:hAnsi="Verdana" w:cs="Times New Roman"/>
        </w:rPr>
      </w:pPr>
      <w:r w:rsidRPr="00881D8A">
        <w:rPr>
          <w:rFonts w:ascii="Verdana" w:eastAsia="Calibri" w:hAnsi="Verdana" w:cs="Times New Roman"/>
        </w:rPr>
        <w:t xml:space="preserve">Es importante indicar que, la Capacidad Residual de contratación únicamente es exigido para los contratos de obra pública; por lo tanto, en los </w:t>
      </w:r>
      <w:r>
        <w:rPr>
          <w:rFonts w:ascii="Verdana" w:eastAsia="Calibri" w:hAnsi="Verdana" w:cs="Times New Roman"/>
        </w:rPr>
        <w:t>d</w:t>
      </w:r>
      <w:r w:rsidRPr="00881D8A">
        <w:rPr>
          <w:rFonts w:ascii="Verdana" w:eastAsia="Calibri" w:hAnsi="Verdana" w:cs="Times New Roman"/>
        </w:rPr>
        <w:t xml:space="preserve">ocumentos del </w:t>
      </w:r>
      <w:r>
        <w:rPr>
          <w:rFonts w:ascii="Verdana" w:eastAsia="Calibri" w:hAnsi="Verdana" w:cs="Times New Roman"/>
        </w:rPr>
        <w:t>p</w:t>
      </w:r>
      <w:r w:rsidRPr="00881D8A">
        <w:rPr>
          <w:rFonts w:ascii="Verdana" w:eastAsia="Calibri" w:hAnsi="Verdana" w:cs="Times New Roman"/>
        </w:rPr>
        <w:t xml:space="preserve">roceso de obra pública, la Entidad Estatal debe establecer un requisito adicional a los requisitos habilitantes como lo es la Capacidad Residual o K de Contratación, la cual deben cumplir los interesados en participar en un Proceso de Contratación.   </w:t>
      </w:r>
    </w:p>
    <w:p w14:paraId="6B133FAE" w14:textId="77777777" w:rsidR="00E5643F" w:rsidRPr="008E047A" w:rsidRDefault="00E5643F" w:rsidP="00E5643F">
      <w:pPr>
        <w:spacing w:after="120" w:line="276" w:lineRule="auto"/>
        <w:ind w:firstLine="709"/>
        <w:jc w:val="both"/>
        <w:rPr>
          <w:rFonts w:ascii="Verdana" w:eastAsia="Calibri" w:hAnsi="Verdana" w:cs="Arial"/>
        </w:rPr>
      </w:pPr>
      <w:r w:rsidRPr="00881D8A">
        <w:rPr>
          <w:rFonts w:ascii="Verdana" w:eastAsia="Calibri" w:hAnsi="Verdana" w:cs="Times New Roman"/>
        </w:rPr>
        <w:t>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w:t>
      </w:r>
      <w:r w:rsidRPr="00881D8A">
        <w:rPr>
          <w:rFonts w:ascii="Verdana" w:eastAsia="Calibri" w:hAnsi="Verdana" w:cs="Times New Roman"/>
          <w:vertAlign w:val="superscript"/>
        </w:rPr>
        <w:footnoteReference w:id="5"/>
      </w:r>
      <w:r w:rsidRPr="00881D8A">
        <w:rPr>
          <w:rFonts w:ascii="Verdana" w:eastAsia="Calibri" w:hAnsi="Verdana" w:cs="Times New Roman"/>
        </w:rPr>
        <w:t xml:space="preserv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881D8A">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5C7EDC30" w14:textId="77777777" w:rsidR="00E5643F" w:rsidRPr="00881D8A" w:rsidRDefault="00E5643F" w:rsidP="00E5643F">
      <w:pPr>
        <w:spacing w:after="0" w:line="276" w:lineRule="auto"/>
        <w:ind w:right="51" w:firstLine="709"/>
        <w:jc w:val="both"/>
        <w:rPr>
          <w:rFonts w:ascii="Verdana" w:eastAsia="Calibri" w:hAnsi="Verdana" w:cs="Arial"/>
        </w:rPr>
      </w:pPr>
      <w:r w:rsidRPr="00881D8A">
        <w:rPr>
          <w:rFonts w:ascii="Verdana" w:eastAsia="Calibri" w:hAnsi="Verdana" w:cs="Arial"/>
        </w:rPr>
        <w:t>Ahora bien, es importante pasar al a</w:t>
      </w:r>
      <w:r w:rsidRPr="00881D8A">
        <w:rPr>
          <w:rFonts w:ascii="Verdana" w:eastAsia="Calibri" w:hAnsi="Verdana" w:cs="Times New Roman"/>
        </w:rPr>
        <w:t xml:space="preserve">nálisis frente al rechazo de ofertas respecto a la información solicitada para el cálculo de la capacidad residual. En este sentido, debe indicarse que </w:t>
      </w:r>
      <w:r w:rsidRPr="00881D8A">
        <w:rPr>
          <w:rFonts w:ascii="Verdana" w:eastAsia="Calibri" w:hAnsi="Verdana" w:cs="Ari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r>
        <w:rPr>
          <w:rFonts w:ascii="Verdana" w:eastAsia="Calibri" w:hAnsi="Verdana" w:cs="Arial"/>
        </w:rPr>
        <w:t xml:space="preserve">, por el solo hecho de que se haya presentado un registro incorrecto </w:t>
      </w:r>
      <w:r>
        <w:rPr>
          <w:rFonts w:ascii="Verdana" w:eastAsia="Calibri" w:hAnsi="Verdana" w:cs="Arial"/>
        </w:rPr>
        <w:lastRenderedPageBreak/>
        <w:t>del RUP, en el sentido de tener en cuenta servicios de consultoría o interventoría en el segmento 72</w:t>
      </w:r>
      <w:r w:rsidRPr="00881D8A">
        <w:rPr>
          <w:rFonts w:ascii="Verdana" w:eastAsia="Calibri" w:hAnsi="Verdana" w:cs="Arial"/>
        </w:rPr>
        <w:t>. Sobre el particular, el Consejo de Estado</w:t>
      </w:r>
      <w:r w:rsidRPr="00881D8A">
        <w:rPr>
          <w:rFonts w:ascii="Verdana" w:eastAsia="Calibri" w:hAnsi="Verdana" w:cs="Arial"/>
          <w:vertAlign w:val="superscript"/>
        </w:rPr>
        <w:footnoteReference w:id="6"/>
      </w:r>
      <w:r w:rsidRPr="00881D8A">
        <w:rPr>
          <w:rFonts w:ascii="Verdana" w:eastAsia="Calibri" w:hAnsi="Verdana" w:cs="Arial"/>
        </w:rPr>
        <w:t xml:space="preserve"> señala:</w:t>
      </w:r>
    </w:p>
    <w:p w14:paraId="09D1FF86" w14:textId="77777777" w:rsidR="00E5643F" w:rsidRPr="00881D8A" w:rsidRDefault="00E5643F" w:rsidP="00E5643F">
      <w:pPr>
        <w:spacing w:after="0" w:line="276" w:lineRule="auto"/>
        <w:ind w:right="51" w:firstLine="709"/>
        <w:jc w:val="both"/>
        <w:rPr>
          <w:rFonts w:ascii="Verdana" w:eastAsia="Calibri" w:hAnsi="Verdana" w:cs="Arial"/>
        </w:rPr>
      </w:pPr>
    </w:p>
    <w:p w14:paraId="5844623D" w14:textId="77777777" w:rsidR="00E5643F" w:rsidRPr="00881D8A" w:rsidRDefault="00E5643F" w:rsidP="00E5643F">
      <w:pPr>
        <w:spacing w:after="0" w:line="240" w:lineRule="auto"/>
        <w:ind w:left="709" w:right="709"/>
        <w:contextualSpacing/>
        <w:jc w:val="both"/>
        <w:rPr>
          <w:rFonts w:ascii="Verdana" w:eastAsia="Calibri" w:hAnsi="Verdana" w:cs="Arial"/>
          <w:sz w:val="20"/>
          <w:szCs w:val="20"/>
          <w:lang w:val="es-ES"/>
        </w:rPr>
      </w:pPr>
      <w:r w:rsidRPr="00881D8A">
        <w:rPr>
          <w:rFonts w:ascii="Verdana" w:eastAsia="Calibri" w:hAnsi="Verdana" w:cs="Arial"/>
          <w:sz w:val="20"/>
          <w:szCs w:val="20"/>
          <w:lang w:val="es-ES"/>
        </w:rPr>
        <w:t xml:space="preserve">“Quiere con esto destacar la Sala que las causales de rechazo de las propuestas pueden ser legales y por lo mismo generan el efecto del descarte o exclusión de la oferta </w:t>
      </w:r>
      <w:proofErr w:type="spellStart"/>
      <w:r w:rsidRPr="00881D8A">
        <w:rPr>
          <w:rFonts w:ascii="Verdana" w:eastAsia="Calibri" w:hAnsi="Verdana" w:cs="Arial"/>
          <w:sz w:val="20"/>
          <w:szCs w:val="20"/>
          <w:lang w:val="es-ES"/>
        </w:rPr>
        <w:t>ope</w:t>
      </w:r>
      <w:proofErr w:type="spellEnd"/>
      <w:r w:rsidRPr="00881D8A">
        <w:rPr>
          <w:rFonts w:ascii="Verdana" w:eastAsia="Calibri" w:hAnsi="Verdana" w:cs="Arial"/>
          <w:sz w:val="20"/>
          <w:szCs w:val="20"/>
          <w:lang w:val="es-ES"/>
        </w:rPr>
        <w:t xml:space="preserve"> </w:t>
      </w:r>
      <w:proofErr w:type="spellStart"/>
      <w:r w:rsidRPr="00881D8A">
        <w:rPr>
          <w:rFonts w:ascii="Verdana" w:eastAsia="Calibri" w:hAnsi="Verdana" w:cs="Arial"/>
          <w:sz w:val="20"/>
          <w:szCs w:val="20"/>
          <w:lang w:val="es-ES"/>
        </w:rPr>
        <w:t>legis</w:t>
      </w:r>
      <w:proofErr w:type="spellEnd"/>
      <w:r w:rsidRPr="00881D8A">
        <w:rPr>
          <w:rFonts w:ascii="Verdana" w:eastAsia="Calibri" w:hAnsi="Verdana" w:cs="Arial"/>
          <w:sz w:val="20"/>
          <w:szCs w:val="20"/>
          <w:lang w:val="es-ES"/>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52799E98" w14:textId="77777777" w:rsidR="00E5643F" w:rsidRPr="00881D8A" w:rsidRDefault="00E5643F" w:rsidP="00E5643F">
      <w:pPr>
        <w:spacing w:after="0" w:line="276" w:lineRule="auto"/>
        <w:jc w:val="both"/>
        <w:rPr>
          <w:rFonts w:ascii="Verdana" w:eastAsia="Calibri" w:hAnsi="Verdana" w:cs="Arial"/>
          <w:lang w:val="es-ES"/>
        </w:rPr>
      </w:pPr>
    </w:p>
    <w:p w14:paraId="1EC5FE4B" w14:textId="77777777" w:rsidR="00E5643F" w:rsidRPr="00881D8A" w:rsidRDefault="00E5643F" w:rsidP="00E5643F">
      <w:pPr>
        <w:spacing w:after="0" w:line="276" w:lineRule="auto"/>
        <w:ind w:firstLine="708"/>
        <w:jc w:val="both"/>
        <w:rPr>
          <w:rFonts w:ascii="Verdana" w:eastAsia="Calibri" w:hAnsi="Verdana" w:cs="Arial"/>
        </w:rPr>
      </w:pPr>
      <w:r w:rsidRPr="00881D8A">
        <w:rPr>
          <w:rFonts w:ascii="Verdana" w:eastAsia="Calibri" w:hAnsi="Verdana" w:cs="Ari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881D8A">
        <w:rPr>
          <w:rFonts w:ascii="Verdana" w:eastAsia="Calibri" w:hAnsi="Verdana" w:cs="Arial"/>
          <w:vertAlign w:val="superscript"/>
        </w:rPr>
        <w:footnoteReference w:id="7"/>
      </w:r>
      <w:r w:rsidRPr="00881D8A">
        <w:rPr>
          <w:rFonts w:ascii="Verdana" w:eastAsia="Calibri" w:hAnsi="Verdana" w:cs="Arial"/>
        </w:rPr>
        <w:t xml:space="preserve"> sostuvo: </w:t>
      </w:r>
    </w:p>
    <w:p w14:paraId="2CB94B41" w14:textId="77777777" w:rsidR="00E5643F" w:rsidRPr="00881D8A" w:rsidRDefault="00E5643F" w:rsidP="00E5643F">
      <w:pPr>
        <w:spacing w:after="0" w:line="276" w:lineRule="auto"/>
        <w:jc w:val="both"/>
        <w:rPr>
          <w:rFonts w:ascii="Verdana" w:eastAsia="Calibri" w:hAnsi="Verdana" w:cs="Arial"/>
          <w:lang w:val="es-ES"/>
        </w:rPr>
      </w:pPr>
    </w:p>
    <w:p w14:paraId="5B88C571" w14:textId="77777777" w:rsidR="00E5643F" w:rsidRPr="00881D8A" w:rsidRDefault="00E5643F" w:rsidP="00E5643F">
      <w:pPr>
        <w:spacing w:after="0" w:line="240" w:lineRule="auto"/>
        <w:ind w:left="709" w:right="709"/>
        <w:jc w:val="both"/>
        <w:rPr>
          <w:rFonts w:ascii="Verdana" w:eastAsia="Calibri" w:hAnsi="Verdana" w:cs="Arial"/>
          <w:sz w:val="20"/>
          <w:szCs w:val="20"/>
          <w:lang w:val="es-ES"/>
        </w:rPr>
      </w:pPr>
      <w:r w:rsidRPr="00881D8A">
        <w:rPr>
          <w:rFonts w:ascii="Verdana" w:eastAsia="Calibri" w:hAnsi="Verdana" w:cs="Arial"/>
          <w:sz w:val="20"/>
          <w:szCs w:val="20"/>
          <w:lang w:val="es-ES"/>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w:t>
      </w:r>
      <w:r w:rsidRPr="00881D8A">
        <w:rPr>
          <w:rFonts w:ascii="Verdana" w:eastAsia="Calibri" w:hAnsi="Verdana" w:cs="Arial"/>
          <w:sz w:val="20"/>
          <w:szCs w:val="20"/>
          <w:lang w:val="es-ES"/>
        </w:rPr>
        <w:lastRenderedPageBreak/>
        <w:t>toda vez que no tendría justificación excluir una propuesta por una deficiencia que no tenga incidencia alguna en la contratación.”</w:t>
      </w:r>
    </w:p>
    <w:p w14:paraId="290B6F2C" w14:textId="77777777" w:rsidR="00E5643F" w:rsidRPr="00881D8A" w:rsidRDefault="00E5643F" w:rsidP="00E5643F">
      <w:pPr>
        <w:spacing w:after="0" w:line="276" w:lineRule="auto"/>
        <w:ind w:left="720"/>
        <w:contextualSpacing/>
        <w:jc w:val="both"/>
        <w:rPr>
          <w:rFonts w:ascii="Verdana" w:eastAsia="Calibri" w:hAnsi="Verdana" w:cs="Arial"/>
          <w:lang w:val="es-ES"/>
        </w:rPr>
      </w:pPr>
    </w:p>
    <w:p w14:paraId="36B4ACC6" w14:textId="77777777" w:rsidR="00E5643F" w:rsidRPr="00881D8A" w:rsidRDefault="00E5643F" w:rsidP="00E5643F">
      <w:pPr>
        <w:spacing w:after="120" w:line="276" w:lineRule="auto"/>
        <w:ind w:firstLine="709"/>
        <w:jc w:val="both"/>
        <w:rPr>
          <w:rFonts w:ascii="Verdana" w:eastAsia="Calibri" w:hAnsi="Verdana" w:cs="Arial"/>
        </w:rPr>
      </w:pPr>
      <w:r w:rsidRPr="00881D8A">
        <w:rPr>
          <w:rFonts w:ascii="Verdana" w:eastAsia="Calibri" w:hAnsi="Verdana" w:cs="Arial"/>
        </w:rPr>
        <w:t xml:space="preserve">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4C54EDD6" w14:textId="77777777" w:rsidR="00E5643F" w:rsidRDefault="00E5643F" w:rsidP="00E5643F">
      <w:pPr>
        <w:spacing w:after="120" w:line="276" w:lineRule="auto"/>
        <w:ind w:firstLine="709"/>
        <w:jc w:val="both"/>
        <w:rPr>
          <w:rFonts w:ascii="Verdana" w:eastAsia="Calibri" w:hAnsi="Verdana" w:cs="Arial"/>
        </w:rPr>
      </w:pPr>
      <w:r w:rsidRPr="00881D8A">
        <w:rPr>
          <w:rFonts w:ascii="Verdana" w:eastAsia="Calibri"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residual.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p>
    <w:p w14:paraId="713516A3" w14:textId="77777777" w:rsidR="00E5643F" w:rsidRPr="00881D8A" w:rsidRDefault="00E5643F" w:rsidP="00E5643F">
      <w:pPr>
        <w:spacing w:after="0" w:line="276" w:lineRule="auto"/>
        <w:ind w:firstLine="709"/>
        <w:jc w:val="both"/>
        <w:rPr>
          <w:rFonts w:ascii="Verdana" w:eastAsia="Calibri" w:hAnsi="Verdana" w:cs="Arial"/>
        </w:rPr>
      </w:pPr>
      <w:r w:rsidRPr="00881D8A">
        <w:rPr>
          <w:rFonts w:ascii="Verdana" w:eastAsia="Calibri" w:hAnsi="Verdana" w:cs="Arial"/>
        </w:rPr>
        <w:t>De acuerdo con lo anterior, las entidades públicas como directoras de sus procesos de contratación son autónomas en est</w:t>
      </w:r>
      <w:r>
        <w:rPr>
          <w:rFonts w:ascii="Verdana" w:eastAsia="Calibri" w:hAnsi="Verdana" w:cs="Arial"/>
        </w:rPr>
        <w:t>ablecer</w:t>
      </w:r>
      <w:r w:rsidRPr="00881D8A">
        <w:rPr>
          <w:rFonts w:ascii="Verdana" w:eastAsia="Calibri" w:hAnsi="Verdana" w:cs="Arial"/>
        </w:rPr>
        <w:t xml:space="preserve"> en sus pliegos de condiciones o documentos equivalentes, las causales de rechazo que considere pertinentes, siempre que no contradigan la Ley ni los principios que rigen en materia de contratación, en los casos en que los requisitos habilitantes, entre ellos el referido a la capacidad residual de contratación, no reúnan las exigencias descritas en los citados pliegos de condiciones o documentos equivalentes. Sobre el particular, debe tenerse en cuenta que el parágrafo 1 del artículo 5 de la Ley 1150 de 2007 </w:t>
      </w:r>
      <w:r>
        <w:rPr>
          <w:rFonts w:ascii="Verdana" w:eastAsia="Calibri" w:hAnsi="Verdana" w:cs="Arial"/>
        </w:rPr>
        <w:t>dispone</w:t>
      </w:r>
      <w:r w:rsidRPr="00881D8A">
        <w:rPr>
          <w:rFonts w:ascii="Verdana" w:eastAsia="Calibri" w:hAnsi="Verdana" w:cs="Arial"/>
        </w:rPr>
        <w:t xml:space="preserve">:  </w:t>
      </w:r>
    </w:p>
    <w:p w14:paraId="1CB25AA3" w14:textId="77777777" w:rsidR="00E5643F" w:rsidRPr="00881D8A" w:rsidRDefault="00E5643F" w:rsidP="00E5643F">
      <w:pPr>
        <w:spacing w:after="0" w:line="276" w:lineRule="auto"/>
        <w:ind w:firstLine="709"/>
        <w:jc w:val="both"/>
        <w:rPr>
          <w:rFonts w:ascii="Verdana" w:eastAsia="Calibri" w:hAnsi="Verdana" w:cs="Arial"/>
        </w:rPr>
      </w:pPr>
    </w:p>
    <w:p w14:paraId="014BD697" w14:textId="77777777" w:rsidR="00E5643F" w:rsidRPr="00881D8A" w:rsidRDefault="00E5643F" w:rsidP="00E5643F">
      <w:pPr>
        <w:spacing w:after="0" w:line="240" w:lineRule="auto"/>
        <w:ind w:left="709" w:right="709"/>
        <w:contextualSpacing/>
        <w:jc w:val="both"/>
        <w:rPr>
          <w:rFonts w:ascii="Verdana" w:eastAsia="Times New Roman" w:hAnsi="Verdana" w:cs="Arial"/>
          <w:spacing w:val="2"/>
          <w:sz w:val="21"/>
          <w:szCs w:val="21"/>
          <w:lang w:eastAsia="es-CO"/>
        </w:rPr>
      </w:pPr>
      <w:r w:rsidRPr="00881D8A">
        <w:rPr>
          <w:rFonts w:ascii="Verdana" w:eastAsia="Calibri" w:hAnsi="Verdana" w:cs="Arial"/>
          <w:bCs/>
          <w:sz w:val="21"/>
          <w:szCs w:val="21"/>
        </w:rPr>
        <w:t>“</w:t>
      </w:r>
      <w:r w:rsidRPr="00881D8A">
        <w:rPr>
          <w:rFonts w:ascii="Verdana" w:eastAsia="Times New Roman" w:hAnsi="Verdana" w:cs="Arial"/>
          <w:spacing w:val="2"/>
          <w:sz w:val="20"/>
          <w:szCs w:val="20"/>
          <w:lang w:eastAsia="es-CO"/>
        </w:rPr>
        <w:t xml:space="preserve">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881D8A">
        <w:rPr>
          <w:rFonts w:ascii="Verdana" w:eastAsia="Times New Roman" w:hAnsi="Verdana" w:cs="Arial"/>
          <w:spacing w:val="2"/>
          <w:sz w:val="20"/>
          <w:szCs w:val="20"/>
          <w:lang w:eastAsia="es-CO"/>
        </w:rPr>
        <w:t>puntaje,</w:t>
      </w:r>
      <w:proofErr w:type="gramEnd"/>
      <w:r w:rsidRPr="00881D8A">
        <w:rPr>
          <w:rFonts w:ascii="Verdana" w:eastAsia="Times New Roman" w:hAnsi="Verdana" w:cs="Arial"/>
          <w:spacing w:val="2"/>
          <w:sz w:val="20"/>
          <w:szCs w:val="20"/>
          <w:lang w:eastAsia="es-CO"/>
        </w:rPr>
        <w:t xml:space="preserve"> podrán ser solicitados por las entidades en cualquier momento, hasta la adjudicación. No </w:t>
      </w:r>
      <w:proofErr w:type="gramStart"/>
      <w:r w:rsidRPr="00881D8A">
        <w:rPr>
          <w:rFonts w:ascii="Verdana" w:eastAsia="Times New Roman" w:hAnsi="Verdana" w:cs="Arial"/>
          <w:spacing w:val="2"/>
          <w:sz w:val="20"/>
          <w:szCs w:val="20"/>
          <w:lang w:eastAsia="es-CO"/>
        </w:rPr>
        <w:t>obstante</w:t>
      </w:r>
      <w:proofErr w:type="gramEnd"/>
      <w:r w:rsidRPr="00881D8A">
        <w:rPr>
          <w:rFonts w:ascii="Verdana" w:eastAsia="Times New Roman" w:hAnsi="Verdana" w:cs="Arial"/>
          <w:spacing w:val="2"/>
          <w:sz w:val="20"/>
          <w:szCs w:val="20"/>
          <w:lang w:eastAsia="es-CO"/>
        </w:rPr>
        <w:t xml:space="preserve"> lo anterior, en aquellos procesos de selección en los que se utilice el mecanismo de subasta, deberán ser solicitados hasta el momento previo a su realización</w:t>
      </w:r>
      <w:r w:rsidRPr="00881D8A">
        <w:rPr>
          <w:rFonts w:ascii="Verdana" w:eastAsia="Calibri" w:hAnsi="Verdana" w:cs="Arial"/>
          <w:bCs/>
          <w:sz w:val="20"/>
          <w:szCs w:val="20"/>
        </w:rPr>
        <w:t>”</w:t>
      </w:r>
      <w:r w:rsidRPr="00881D8A">
        <w:rPr>
          <w:rFonts w:ascii="Verdana" w:eastAsia="Times New Roman" w:hAnsi="Verdana" w:cs="Arial"/>
          <w:spacing w:val="2"/>
          <w:sz w:val="20"/>
          <w:szCs w:val="20"/>
          <w:lang w:eastAsia="es-CO"/>
        </w:rPr>
        <w:t>.</w:t>
      </w:r>
    </w:p>
    <w:p w14:paraId="55741B3F" w14:textId="77777777" w:rsidR="00E5643F" w:rsidRPr="00881D8A" w:rsidRDefault="00E5643F" w:rsidP="00E5643F">
      <w:pPr>
        <w:spacing w:after="0" w:line="276" w:lineRule="auto"/>
        <w:contextualSpacing/>
        <w:jc w:val="both"/>
        <w:rPr>
          <w:rFonts w:ascii="Verdana" w:eastAsia="Times New Roman" w:hAnsi="Verdana" w:cs="Arial"/>
          <w:spacing w:val="2"/>
          <w:lang w:eastAsia="es-CO"/>
        </w:rPr>
      </w:pPr>
    </w:p>
    <w:p w14:paraId="62462929" w14:textId="77777777" w:rsidR="00E5643F" w:rsidRDefault="00E5643F" w:rsidP="00E5643F">
      <w:pPr>
        <w:spacing w:after="120" w:line="276" w:lineRule="auto"/>
        <w:ind w:firstLine="709"/>
        <w:jc w:val="both"/>
        <w:rPr>
          <w:rFonts w:ascii="Verdana" w:eastAsia="Calibri" w:hAnsi="Verdana" w:cs="Arial"/>
          <w:lang w:val="es-ES"/>
        </w:rPr>
      </w:pPr>
      <w:r w:rsidRPr="00881D8A">
        <w:rPr>
          <w:rFonts w:ascii="Verdana" w:eastAsia="Calibri" w:hAnsi="Verdana" w:cs="Arial"/>
          <w:lang w:val="es-ES"/>
        </w:rPr>
        <w:lastRenderedPageBreak/>
        <w:t>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w:t>
      </w:r>
      <w:r>
        <w:rPr>
          <w:rFonts w:ascii="Verdana" w:eastAsia="Calibri" w:hAnsi="Verdana" w:cs="Arial"/>
          <w:lang w:val="es-ES"/>
        </w:rPr>
        <w:t xml:space="preserve"> </w:t>
      </w:r>
    </w:p>
    <w:p w14:paraId="38A5F711" w14:textId="77777777" w:rsidR="00E5643F" w:rsidRDefault="00E5643F" w:rsidP="00E5643F">
      <w:pPr>
        <w:spacing w:after="120" w:line="276" w:lineRule="auto"/>
        <w:ind w:firstLine="709"/>
        <w:jc w:val="both"/>
        <w:rPr>
          <w:rFonts w:ascii="Verdana" w:eastAsia="Calibri" w:hAnsi="Verdana" w:cs="Arial"/>
          <w:color w:val="000000" w:themeColor="text1"/>
          <w:lang w:val="es-ES"/>
        </w:rPr>
      </w:pPr>
      <w:r>
        <w:rPr>
          <w:rFonts w:ascii="Verdana" w:eastAsia="Calibri" w:hAnsi="Verdana" w:cs="Arial"/>
          <w:lang w:val="es-ES"/>
        </w:rPr>
        <w:t>De este modo,</w:t>
      </w:r>
      <w:bookmarkEnd w:id="1"/>
      <w:r>
        <w:rPr>
          <w:rFonts w:ascii="Verdana" w:eastAsia="Calibri" w:hAnsi="Verdana" w:cs="Arial"/>
          <w:lang w:val="es-ES"/>
        </w:rPr>
        <w:t xml:space="preserve"> la </w:t>
      </w:r>
      <w:r w:rsidRPr="00D97F05">
        <w:rPr>
          <w:rFonts w:ascii="Verdana" w:eastAsia="Calibri" w:hAnsi="Verdana" w:cs="Arial"/>
          <w:color w:val="000000" w:themeColor="text1"/>
          <w:lang w:val="es-ES"/>
        </w:rPr>
        <w:t xml:space="preserve">proporcionalidad en la configuración de causales de rechazo exige que cada motivo para excluir una oferta esté justificado por una necesidad real del proceso y guarde </w:t>
      </w:r>
      <w:r>
        <w:rPr>
          <w:rFonts w:ascii="Verdana" w:eastAsia="Calibri" w:hAnsi="Verdana" w:cs="Arial"/>
          <w:color w:val="000000" w:themeColor="text1"/>
          <w:lang w:val="es-ES"/>
        </w:rPr>
        <w:t xml:space="preserve">congruencia </w:t>
      </w:r>
      <w:r w:rsidRPr="00D97F05">
        <w:rPr>
          <w:rFonts w:ascii="Verdana" w:eastAsia="Calibri" w:hAnsi="Verdana" w:cs="Arial"/>
          <w:color w:val="000000" w:themeColor="text1"/>
          <w:lang w:val="es-ES"/>
        </w:rPr>
        <w:t xml:space="preserve">con la finalidad del contrato. No basta con que la entidad quiera “ordenar” o “depurar” el procedimiento; debe demostrar que la causal responde a un riesgo concreto, que es idónea para mitigarlo y que no existen medidas menos restrictivas para garantizar la selección objetiva. En otras palabras, una causal de rechazo solo es legítima cuando evita un impacto relevante en la competencia, la transparencia o la correcta ejecución contractual, y no cuando </w:t>
      </w:r>
      <w:r>
        <w:rPr>
          <w:rFonts w:ascii="Verdana" w:eastAsia="Calibri" w:hAnsi="Verdana" w:cs="Arial"/>
          <w:color w:val="000000" w:themeColor="text1"/>
          <w:lang w:val="es-ES"/>
        </w:rPr>
        <w:t xml:space="preserve">aplique </w:t>
      </w:r>
      <w:r w:rsidRPr="00D97F05">
        <w:rPr>
          <w:rFonts w:ascii="Verdana" w:eastAsia="Calibri" w:hAnsi="Verdana" w:cs="Arial"/>
          <w:color w:val="000000" w:themeColor="text1"/>
          <w:lang w:val="es-ES"/>
        </w:rPr>
        <w:t>como un filtro excesivo o innecesario que limita la participación.</w:t>
      </w:r>
    </w:p>
    <w:p w14:paraId="5204139A" w14:textId="77777777" w:rsidR="00E5643F" w:rsidRPr="00881D8A" w:rsidRDefault="00E5643F" w:rsidP="00E5643F">
      <w:pPr>
        <w:spacing w:after="120" w:line="276" w:lineRule="auto"/>
        <w:ind w:firstLine="709"/>
        <w:jc w:val="both"/>
        <w:rPr>
          <w:rFonts w:ascii="Verdana" w:eastAsia="Calibri" w:hAnsi="Verdana" w:cs="Times New Roman"/>
        </w:rPr>
      </w:pPr>
      <w:r>
        <w:rPr>
          <w:rFonts w:ascii="Verdana" w:eastAsia="Calibri" w:hAnsi="Verdana" w:cs="Arial"/>
          <w:color w:val="000000" w:themeColor="text1"/>
          <w:lang w:val="es-ES"/>
        </w:rPr>
        <w:t xml:space="preserve">A modo de ejemplo, </w:t>
      </w:r>
      <w:r>
        <w:rPr>
          <w:rFonts w:ascii="Verdana" w:eastAsia="Calibri" w:hAnsi="Verdana" w:cs="Arial"/>
          <w:szCs w:val="20"/>
          <w:lang w:val="es-MX"/>
        </w:rPr>
        <w:t>se destaca e</w:t>
      </w:r>
      <w:r w:rsidRPr="00881D8A">
        <w:rPr>
          <w:rFonts w:ascii="Verdana" w:eastAsia="Calibri" w:hAnsi="Verdana" w:cs="Arial"/>
          <w:szCs w:val="20"/>
          <w:lang w:val="es-MX"/>
        </w:rPr>
        <w:t xml:space="preserve">l numeral 3.10 del documento base de obra de licitación para obra pública de infraestructura de transporte –versión 4 establece </w:t>
      </w:r>
      <w:r w:rsidRPr="00881D8A">
        <w:rPr>
          <w:rFonts w:ascii="Verdana" w:eastAsia="Calibri" w:hAnsi="Verdana" w:cs="Arial"/>
          <w:szCs w:val="20"/>
        </w:rPr>
        <w:t xml:space="preserve">como requisito habilitante la capacidad residual. En este documento tipo, </w:t>
      </w:r>
      <w:r w:rsidRPr="00881D8A">
        <w:rPr>
          <w:rFonts w:ascii="Verdana" w:eastAsia="Calibri" w:hAnsi="Verdana" w:cs="Arial"/>
          <w:szCs w:val="20"/>
          <w:lang w:val="es-MX"/>
        </w:rPr>
        <w:t>al menos tres causales de rechazo del numeral 1.15 se relacionan con la capacidad residual como requisito habilitante, esto es, los literales E, H y X. Estas causales disponen lo siguiente:</w:t>
      </w:r>
    </w:p>
    <w:p w14:paraId="0170DF47" w14:textId="77777777" w:rsidR="00E5643F" w:rsidRPr="00881D8A" w:rsidRDefault="00E5643F" w:rsidP="00E5643F">
      <w:pPr>
        <w:spacing w:after="0"/>
        <w:ind w:left="709" w:right="709"/>
        <w:jc w:val="both"/>
        <w:rPr>
          <w:rFonts w:ascii="Verdana" w:eastAsia="Calibri" w:hAnsi="Verdana" w:cs="Arial"/>
          <w:b/>
          <w:bCs/>
          <w:sz w:val="21"/>
          <w:szCs w:val="21"/>
        </w:rPr>
      </w:pPr>
    </w:p>
    <w:p w14:paraId="62326296" w14:textId="77777777" w:rsidR="00E5643F" w:rsidRPr="0043201C" w:rsidRDefault="00E5643F" w:rsidP="00E5643F">
      <w:pPr>
        <w:ind w:right="709" w:firstLine="708"/>
        <w:rPr>
          <w:rFonts w:ascii="Verdana" w:eastAsia="Aptos" w:hAnsi="Verdana" w:cs="Times New Roman"/>
          <w:b/>
          <w:bCs/>
          <w:sz w:val="20"/>
          <w:szCs w:val="20"/>
        </w:rPr>
      </w:pPr>
      <w:bookmarkStart w:id="3" w:name="_Toc176242637"/>
      <w:r w:rsidRPr="00A17904">
        <w:rPr>
          <w:rFonts w:ascii="Verdana" w:eastAsia="Aptos" w:hAnsi="Verdana" w:cs="Times New Roman"/>
          <w:b/>
          <w:bCs/>
          <w:sz w:val="20"/>
          <w:szCs w:val="20"/>
        </w:rPr>
        <w:t xml:space="preserve">“1.15 CAUSALES </w:t>
      </w:r>
      <w:r w:rsidRPr="0043201C">
        <w:rPr>
          <w:rFonts w:ascii="Verdana" w:eastAsia="Aptos" w:hAnsi="Verdana" w:cs="Times New Roman"/>
          <w:b/>
          <w:bCs/>
          <w:sz w:val="20"/>
          <w:szCs w:val="20"/>
        </w:rPr>
        <w:t>DE RECHAZO</w:t>
      </w:r>
      <w:bookmarkEnd w:id="3"/>
    </w:p>
    <w:p w14:paraId="41FCEC62" w14:textId="77777777" w:rsidR="00E5643F" w:rsidRPr="0043201C" w:rsidRDefault="00E5643F" w:rsidP="00E5643F">
      <w:pPr>
        <w:spacing w:after="120" w:line="240" w:lineRule="auto"/>
        <w:ind w:left="709" w:right="709"/>
        <w:rPr>
          <w:rFonts w:ascii="Verdana" w:eastAsia="Aptos" w:hAnsi="Verdana" w:cs="Times New Roman"/>
          <w:sz w:val="20"/>
          <w:szCs w:val="20"/>
          <w:lang w:val="es-MX"/>
        </w:rPr>
      </w:pPr>
      <w:r w:rsidRPr="0043201C">
        <w:rPr>
          <w:rFonts w:ascii="Verdana" w:eastAsia="Aptos" w:hAnsi="Verdana" w:cs="Times New Roman"/>
          <w:sz w:val="20"/>
          <w:szCs w:val="20"/>
          <w:lang w:val="es-MX"/>
        </w:rPr>
        <w:t>Son causales de rechazo de las propuestas las siguientes [Las entidades no podrán incluir causales de rechazo distintas a las señaladas en la presente sección]:</w:t>
      </w:r>
    </w:p>
    <w:p w14:paraId="1F055361" w14:textId="77777777" w:rsidR="00E5643F" w:rsidRPr="00A17904" w:rsidRDefault="00E5643F" w:rsidP="00E5643F">
      <w:pPr>
        <w:spacing w:after="120" w:line="240" w:lineRule="auto"/>
        <w:ind w:left="709" w:right="709"/>
        <w:rPr>
          <w:rFonts w:ascii="Verdana" w:eastAsia="Aptos" w:hAnsi="Verdana" w:cs="Times New Roman"/>
          <w:sz w:val="20"/>
          <w:szCs w:val="20"/>
          <w:lang w:val="es-MX"/>
        </w:rPr>
      </w:pPr>
      <w:r w:rsidRPr="0043201C">
        <w:rPr>
          <w:rFonts w:ascii="Verdana" w:eastAsia="Aptos" w:hAnsi="Verdana" w:cs="Times New Roman"/>
          <w:sz w:val="20"/>
          <w:szCs w:val="20"/>
          <w:lang w:val="es-MX"/>
        </w:rPr>
        <w:t>(…)</w:t>
      </w:r>
    </w:p>
    <w:p w14:paraId="2A5C79AB" w14:textId="77777777" w:rsidR="00E5643F" w:rsidRPr="00A17904" w:rsidRDefault="00E5643F" w:rsidP="00E5643F">
      <w:pPr>
        <w:numPr>
          <w:ilvl w:val="0"/>
          <w:numId w:val="18"/>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38B46F43" w14:textId="77777777" w:rsidR="00E5643F" w:rsidRPr="00A17904" w:rsidRDefault="00E5643F" w:rsidP="00E5643F">
      <w:pPr>
        <w:spacing w:after="120" w:line="240" w:lineRule="auto"/>
        <w:ind w:left="709" w:right="709" w:firstLine="283"/>
        <w:jc w:val="both"/>
        <w:rPr>
          <w:rFonts w:ascii="Verdana" w:eastAsia="Arial" w:hAnsi="Verdana" w:cs="Arial"/>
          <w:sz w:val="20"/>
          <w:szCs w:val="20"/>
          <w:lang w:val="es-MX"/>
        </w:rPr>
      </w:pPr>
      <w:r w:rsidRPr="00A17904">
        <w:rPr>
          <w:rFonts w:ascii="Verdana" w:eastAsia="Arial" w:hAnsi="Verdana" w:cs="Arial"/>
          <w:sz w:val="20"/>
          <w:szCs w:val="20"/>
          <w:lang w:val="es-MX"/>
        </w:rPr>
        <w:t>(…)</w:t>
      </w:r>
    </w:p>
    <w:p w14:paraId="7D1D2485" w14:textId="77777777" w:rsidR="00E5643F" w:rsidRPr="00A17904" w:rsidRDefault="00E5643F" w:rsidP="00E5643F">
      <w:pPr>
        <w:numPr>
          <w:ilvl w:val="0"/>
          <w:numId w:val="19"/>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lastRenderedPageBreak/>
        <w:t>Que el proponente aporte información inexacta sobre la cual pueda existir una posible falsedad en los términos de la sección 1.11 del Documento Base.</w:t>
      </w:r>
    </w:p>
    <w:p w14:paraId="620EF195" w14:textId="77777777" w:rsidR="00E5643F" w:rsidRPr="00A17904" w:rsidRDefault="00E5643F" w:rsidP="00E5643F">
      <w:pPr>
        <w:spacing w:after="120" w:line="240" w:lineRule="auto"/>
        <w:ind w:left="1040" w:right="709"/>
        <w:jc w:val="both"/>
        <w:rPr>
          <w:rFonts w:ascii="Verdana" w:eastAsia="Arial" w:hAnsi="Verdana" w:cs="Arial"/>
          <w:sz w:val="20"/>
          <w:szCs w:val="20"/>
          <w:lang w:val="es-MX"/>
        </w:rPr>
      </w:pPr>
      <w:r w:rsidRPr="00A17904">
        <w:rPr>
          <w:rFonts w:ascii="Verdana" w:eastAsia="Arial" w:hAnsi="Verdana" w:cs="Arial"/>
          <w:sz w:val="20"/>
          <w:szCs w:val="20"/>
          <w:lang w:val="es-MX"/>
        </w:rPr>
        <w:t>(…)</w:t>
      </w:r>
    </w:p>
    <w:p w14:paraId="7256D74A" w14:textId="77777777" w:rsidR="00E5643F" w:rsidRPr="00A17904" w:rsidRDefault="00E5643F" w:rsidP="00E5643F">
      <w:pPr>
        <w:numPr>
          <w:ilvl w:val="0"/>
          <w:numId w:val="20"/>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t>No informar todos los contratos que el proponente tenga en ejecución antes del cierre, necesarios para acreditar su capacidad residual conforme a la sección 3.11.</w:t>
      </w:r>
    </w:p>
    <w:p w14:paraId="088E1CE2" w14:textId="77777777" w:rsidR="00E5643F" w:rsidRPr="00A17904" w:rsidRDefault="00E5643F" w:rsidP="00E5643F">
      <w:pPr>
        <w:spacing w:line="240" w:lineRule="auto"/>
        <w:ind w:left="1069"/>
        <w:contextualSpacing/>
        <w:jc w:val="both"/>
        <w:rPr>
          <w:rFonts w:ascii="Verdana" w:eastAsia="Calibri" w:hAnsi="Verdana" w:cs="Times New Roman"/>
          <w:sz w:val="20"/>
          <w:szCs w:val="20"/>
          <w:lang w:val="es-ES"/>
        </w:rPr>
      </w:pPr>
      <w:r w:rsidRPr="00A17904">
        <w:rPr>
          <w:rFonts w:ascii="Verdana" w:eastAsia="Calibri" w:hAnsi="Verdana" w:cs="Times New Roman"/>
          <w:sz w:val="20"/>
          <w:szCs w:val="20"/>
          <w:lang w:val="es-ES"/>
        </w:rPr>
        <w:t xml:space="preserve">(…)”. </w:t>
      </w:r>
    </w:p>
    <w:p w14:paraId="4EF6CC43" w14:textId="77777777" w:rsidR="00E5643F" w:rsidRPr="00881D8A" w:rsidRDefault="00E5643F" w:rsidP="00E5643F">
      <w:pPr>
        <w:spacing w:after="0"/>
        <w:ind w:left="709" w:right="709"/>
        <w:jc w:val="both"/>
        <w:rPr>
          <w:rFonts w:ascii="Verdana" w:eastAsia="Calibri" w:hAnsi="Verdana" w:cs="Arial"/>
          <w:szCs w:val="20"/>
          <w:lang w:val="es-MX"/>
        </w:rPr>
      </w:pPr>
    </w:p>
    <w:p w14:paraId="6D070F16" w14:textId="77777777" w:rsidR="00E5643F" w:rsidRDefault="00E5643F" w:rsidP="00E5643F">
      <w:pPr>
        <w:spacing w:after="120" w:line="276" w:lineRule="auto"/>
        <w:ind w:firstLine="709"/>
        <w:jc w:val="both"/>
        <w:rPr>
          <w:rFonts w:ascii="Verdana" w:eastAsia="Calibri" w:hAnsi="Verdana" w:cs="Arial"/>
          <w:color w:val="000000" w:themeColor="text1"/>
          <w:lang w:val="es-ES"/>
        </w:rPr>
      </w:pPr>
      <w:r w:rsidRPr="00881D8A">
        <w:rPr>
          <w:rFonts w:ascii="Verdana" w:eastAsia="Calibri" w:hAnsi="Verdana" w:cs="Arial"/>
          <w:szCs w:val="20"/>
          <w:lang w:val="es-MX"/>
        </w:rPr>
        <w:t>Como se consideró en los conceptos del 25 de septiembre y el 23 de diciembre de 2019 −radicados Nos. 2201913000007117 y 2201913000009538−</w:t>
      </w:r>
      <w:r>
        <w:rPr>
          <w:rFonts w:ascii="Verdana" w:eastAsia="Calibri" w:hAnsi="Verdana" w:cs="Arial"/>
          <w:szCs w:val="20"/>
          <w:lang w:val="es-MX"/>
        </w:rPr>
        <w:t>, así como el Concepto C-1759 del 30 de diciembre de 2025</w:t>
      </w:r>
      <w:r w:rsidRPr="00881D8A">
        <w:rPr>
          <w:rFonts w:ascii="Verdana" w:eastAsia="Calibri" w:hAnsi="Verdana" w:cs="Arial"/>
          <w:szCs w:val="20"/>
          <w:lang w:val="es-MX"/>
        </w:rPr>
        <w:t>,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w:t>
      </w:r>
    </w:p>
    <w:p w14:paraId="42DABCA6" w14:textId="77777777" w:rsidR="00E5643F" w:rsidRPr="00B16AC6" w:rsidRDefault="00E5643F" w:rsidP="00E5643F">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iii</w:t>
      </w:r>
      <w:proofErr w:type="spellEnd"/>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w:t>
      </w:r>
      <w:r>
        <w:rPr>
          <w:rFonts w:ascii="Verdana" w:hAnsi="Verdana" w:cs="Arial"/>
          <w:lang w:val="es-ES_tradnl" w:eastAsia="es-ES"/>
        </w:rPr>
        <w:t>roc</w:t>
      </w:r>
      <w:r w:rsidRPr="00B17041">
        <w:rPr>
          <w:rFonts w:ascii="Verdana" w:hAnsi="Verdana" w:cs="Arial"/>
          <w:lang w:val="es-ES_tradnl" w:eastAsia="es-ES"/>
        </w:rPr>
        <w:t>edente debe advertirse que el análisis requerido para resolver pr</w:t>
      </w:r>
      <w:r>
        <w:rPr>
          <w:rFonts w:ascii="Verdana" w:hAnsi="Verdana" w:cs="Arial"/>
          <w:lang w:val="es-ES_tradnl" w:eastAsia="es-ES"/>
        </w:rPr>
        <w:t>oblemas específicos para procesos de contratación de obra pública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C83F74E" w14:textId="77777777" w:rsidR="00E5643F" w:rsidRPr="00B17041" w:rsidRDefault="00E5643F" w:rsidP="00E5643F">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B17041">
        <w:rPr>
          <w:rFonts w:ascii="Verdana" w:hAnsi="Verdana" w:cs="Arial"/>
          <w:lang w:val="es-ES" w:eastAsia="es-ES"/>
        </w:rPr>
        <w:lastRenderedPageBreak/>
        <w:t>contractual, sin que sea atribución de Colombia Compra Eficiente validar sus actuaciones.</w:t>
      </w:r>
    </w:p>
    <w:p w14:paraId="4DB364B8" w14:textId="77777777" w:rsidR="00E5643F" w:rsidRPr="007542AA" w:rsidRDefault="00E5643F" w:rsidP="00E5643F">
      <w:pPr>
        <w:spacing w:after="0" w:line="276" w:lineRule="auto"/>
        <w:ind w:firstLine="708"/>
        <w:jc w:val="both"/>
        <w:rPr>
          <w:rFonts w:ascii="Verdana" w:hAnsi="Verdana" w:cs="Arial"/>
          <w:iCs/>
        </w:rPr>
      </w:pPr>
    </w:p>
    <w:p w14:paraId="762BCA92" w14:textId="77777777" w:rsidR="00E5643F" w:rsidRDefault="00E5643F" w:rsidP="00E5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09073A2E" w14:textId="77777777" w:rsidR="00E5643F" w:rsidRDefault="00E5643F" w:rsidP="00E5643F">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5643F" w:rsidRPr="00B80E68" w14:paraId="6B4B46D7" w14:textId="77777777" w:rsidTr="00E22BE8">
        <w:trPr>
          <w:trHeight w:val="870"/>
        </w:trPr>
        <w:tc>
          <w:tcPr>
            <w:tcW w:w="8647" w:type="dxa"/>
            <w:tcBorders>
              <w:top w:val="dotted" w:sz="4" w:space="0" w:color="auto"/>
              <w:left w:val="dotted" w:sz="4" w:space="0" w:color="auto"/>
              <w:bottom w:val="dotted" w:sz="4" w:space="0" w:color="auto"/>
              <w:right w:val="dotted" w:sz="4" w:space="0" w:color="auto"/>
            </w:tcBorders>
            <w:hideMark/>
          </w:tcPr>
          <w:p w14:paraId="754FA2FE" w14:textId="77777777" w:rsidR="00E5643F" w:rsidRDefault="00E5643F" w:rsidP="00E22BE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 6. </w:t>
            </w:r>
          </w:p>
          <w:p w14:paraId="0B2CD187" w14:textId="77777777" w:rsidR="00E5643F" w:rsidRPr="00EF647F" w:rsidRDefault="00E5643F" w:rsidP="00E22BE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1682 de 2013, artículo 72. </w:t>
            </w:r>
          </w:p>
          <w:p w14:paraId="516EE735" w14:textId="77777777" w:rsidR="00E5643F" w:rsidRPr="00EF647F" w:rsidRDefault="00E5643F" w:rsidP="00E22BE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Decreto 1082 de 2015, articulo 2.2.1.1.1.3.1., 2.2.1.1.1.6.4. </w:t>
            </w:r>
          </w:p>
          <w:p w14:paraId="26A8BAD1" w14:textId="77777777" w:rsidR="00E5643F" w:rsidRPr="00E3590A" w:rsidRDefault="00E5643F" w:rsidP="00E22BE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590A">
              <w:rPr>
                <w:rFonts w:ascii="Verdana" w:eastAsia="Arial MT" w:hAnsi="Verdana" w:cs="Arial"/>
                <w:lang w:val="es-ES" w:eastAsia="es-ES" w:bidi="es-ES"/>
              </w:rPr>
              <w:t>Consejo de Estado. Sección Tercera</w:t>
            </w:r>
            <w:r>
              <w:rPr>
                <w:rFonts w:ascii="Verdana" w:eastAsia="Arial MT" w:hAnsi="Verdana" w:cs="Arial"/>
                <w:lang w:val="es-ES" w:eastAsia="es-ES" w:bidi="es-ES"/>
              </w:rPr>
              <w:t>, Subsección B.</w:t>
            </w:r>
            <w:r w:rsidRPr="00E3590A">
              <w:rPr>
                <w:rFonts w:ascii="Verdana" w:eastAsia="Arial MT" w:hAnsi="Verdana" w:cs="Arial"/>
                <w:lang w:val="es-ES" w:eastAsia="es-ES" w:bidi="es-ES"/>
              </w:rPr>
              <w:t xml:space="preserve"> Sentencia del 27 de abril de 2011. </w:t>
            </w:r>
            <w:proofErr w:type="spellStart"/>
            <w:r w:rsidRPr="00E3590A">
              <w:rPr>
                <w:rFonts w:ascii="Verdana" w:eastAsia="Arial MT" w:hAnsi="Verdana" w:cs="Arial"/>
                <w:lang w:val="es-ES" w:eastAsia="es-ES" w:bidi="es-ES"/>
              </w:rPr>
              <w:t>Exp</w:t>
            </w:r>
            <w:proofErr w:type="spellEnd"/>
            <w:r w:rsidRPr="00E3590A">
              <w:rPr>
                <w:rFonts w:ascii="Verdana" w:eastAsia="Arial MT" w:hAnsi="Verdana" w:cs="Arial"/>
                <w:lang w:val="es-ES" w:eastAsia="es-ES" w:bidi="es-ES"/>
              </w:rPr>
              <w:t>. 18.293. C.P. Ruth Stella Correa Palacio.</w:t>
            </w:r>
          </w:p>
          <w:p w14:paraId="3213A03F" w14:textId="77777777" w:rsidR="00E5643F" w:rsidRPr="00EF647F" w:rsidRDefault="00E5643F" w:rsidP="00E22BE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590A">
              <w:rPr>
                <w:rFonts w:ascii="Verdana" w:eastAsia="Arial MT" w:hAnsi="Verdana" w:cs="Arial"/>
                <w:lang w:val="es-ES" w:eastAsia="es-ES" w:bidi="es-ES"/>
              </w:rPr>
              <w:t>Consejo de Estado. Sección Tercera</w:t>
            </w:r>
            <w:r>
              <w:rPr>
                <w:rFonts w:ascii="Verdana" w:eastAsia="Arial MT" w:hAnsi="Verdana" w:cs="Arial"/>
                <w:lang w:val="es-ES" w:eastAsia="es-ES" w:bidi="es-ES"/>
              </w:rPr>
              <w:t>, Subsección A.</w:t>
            </w:r>
            <w:r w:rsidRPr="00E3590A">
              <w:rPr>
                <w:rFonts w:ascii="Verdana" w:eastAsia="Arial MT" w:hAnsi="Verdana" w:cs="Arial"/>
                <w:lang w:val="es-ES" w:eastAsia="es-ES" w:bidi="es-ES"/>
              </w:rPr>
              <w:t xml:space="preserve"> Sentencia del 21 de noviembre de 2013 </w:t>
            </w:r>
            <w:proofErr w:type="spellStart"/>
            <w:r w:rsidRPr="00E3590A">
              <w:rPr>
                <w:rFonts w:ascii="Verdana" w:eastAsia="Arial MT" w:hAnsi="Verdana" w:cs="Arial"/>
                <w:lang w:val="es-ES" w:eastAsia="es-ES" w:bidi="es-ES"/>
              </w:rPr>
              <w:t>Exp</w:t>
            </w:r>
            <w:proofErr w:type="spellEnd"/>
            <w:r w:rsidRPr="00E3590A">
              <w:rPr>
                <w:rFonts w:ascii="Verdana" w:eastAsia="Arial MT" w:hAnsi="Verdana" w:cs="Arial"/>
                <w:lang w:val="es-ES" w:eastAsia="es-ES" w:bidi="es-ES"/>
              </w:rPr>
              <w:t>. 25397. C.P. Carlos Alberto Zambrano Barrera.</w:t>
            </w:r>
            <w:r w:rsidRPr="00EF647F">
              <w:rPr>
                <w:rFonts w:ascii="Verdana" w:eastAsia="Arial MT" w:hAnsi="Verdana" w:cs="Arial"/>
                <w:lang w:val="es-ES" w:eastAsia="es-ES" w:bidi="es-ES"/>
              </w:rPr>
              <w:t xml:space="preserve"> </w:t>
            </w:r>
          </w:p>
          <w:p w14:paraId="35F74CD5" w14:textId="77777777" w:rsidR="00E5643F" w:rsidRPr="001A7E2C" w:rsidRDefault="00E5643F" w:rsidP="00E22BE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Agencia Nacional de Contratación Pública –Colombia Compra Eficiente. Guía para Determinar y Verificar la Capacidad Residual del Proponente en los Procesos de Contratación de Obra Pública. Disponible en línea: </w:t>
            </w:r>
            <w:hyperlink r:id="rId15" w:history="1">
              <w:r w:rsidRPr="00C47168">
                <w:rPr>
                  <w:rStyle w:val="Hipervnculo"/>
                  <w:rFonts w:ascii="Verdana" w:eastAsia="Arial MT" w:hAnsi="Verdana" w:cs="Arial"/>
                  <w:lang w:val="es-ES" w:eastAsia="es-ES" w:bidi="es-ES"/>
                </w:rPr>
                <w:t>https://www.colombiacompra.gov.co/archivos/manual/guia-para-determinar-y-verificar-la-capacidad-residual-del-proponente-en-los-procesos-de-contratacion-de-obra-publica</w:t>
              </w:r>
            </w:hyperlink>
            <w:r>
              <w:rPr>
                <w:rFonts w:ascii="Verdana" w:eastAsia="Arial MT" w:hAnsi="Verdana" w:cs="Arial"/>
                <w:lang w:val="es-ES" w:eastAsia="es-ES" w:bidi="es-ES"/>
              </w:rPr>
              <w:t>.</w:t>
            </w:r>
            <w:r w:rsidRPr="00EF647F">
              <w:rPr>
                <w:rFonts w:ascii="Verdana" w:eastAsia="Arial MT" w:hAnsi="Verdana" w:cs="Arial"/>
                <w:lang w:val="es-ES" w:eastAsia="es-ES" w:bidi="es-ES"/>
              </w:rPr>
              <w:t xml:space="preserve"> </w:t>
            </w:r>
            <w:r>
              <w:rPr>
                <w:rFonts w:ascii="Verdana" w:eastAsia="Arial MT" w:hAnsi="Verdana" w:cs="Arial"/>
                <w:lang w:val="es-ES" w:eastAsia="es-ES" w:bidi="es-ES"/>
              </w:rPr>
              <w:t xml:space="preserve"> </w:t>
            </w:r>
          </w:p>
        </w:tc>
      </w:tr>
    </w:tbl>
    <w:p w14:paraId="41E9A08A" w14:textId="77777777" w:rsidR="00E5643F" w:rsidRPr="00B80E68" w:rsidRDefault="00E5643F" w:rsidP="00E5643F">
      <w:pPr>
        <w:widowControl w:val="0"/>
        <w:autoSpaceDE w:val="0"/>
        <w:autoSpaceDN w:val="0"/>
        <w:spacing w:after="0" w:line="276" w:lineRule="auto"/>
        <w:jc w:val="both"/>
        <w:rPr>
          <w:rFonts w:ascii="Verdana" w:hAnsi="Verdana" w:cs="Arial"/>
        </w:rPr>
      </w:pPr>
    </w:p>
    <w:p w14:paraId="3AC0A07B" w14:textId="77777777" w:rsidR="00E5643F" w:rsidRDefault="00E5643F" w:rsidP="00E564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0AD95A11" w14:textId="77777777" w:rsidR="00E5643F" w:rsidRDefault="00E5643F" w:rsidP="00E5643F">
      <w:pPr>
        <w:widowControl w:val="0"/>
        <w:autoSpaceDE w:val="0"/>
        <w:autoSpaceDN w:val="0"/>
        <w:spacing w:after="0" w:line="276" w:lineRule="auto"/>
        <w:jc w:val="both"/>
        <w:rPr>
          <w:rFonts w:ascii="Verdana" w:hAnsi="Verdana" w:cs="Arial"/>
        </w:rPr>
      </w:pPr>
    </w:p>
    <w:p w14:paraId="4F60E750" w14:textId="77777777" w:rsidR="00E5643F" w:rsidRPr="00C303C5" w:rsidRDefault="00E5643F" w:rsidP="00E5643F">
      <w:pPr>
        <w:widowControl w:val="0"/>
        <w:autoSpaceDE w:val="0"/>
        <w:autoSpaceDN w:val="0"/>
        <w:spacing w:after="0" w:line="276" w:lineRule="auto"/>
        <w:jc w:val="both"/>
        <w:rPr>
          <w:rFonts w:ascii="Verdana" w:hAnsi="Verdana" w:cs="Arial"/>
          <w:shd w:val="clear" w:color="auto" w:fill="FFFFFF"/>
          <w:lang w:val="es-ES"/>
        </w:rPr>
      </w:pPr>
      <w:r w:rsidRPr="00B57A1B">
        <w:rPr>
          <w:rFonts w:ascii="Verdana" w:hAnsi="Verdana" w:cs="Arial"/>
          <w:shd w:val="clear" w:color="auto" w:fill="FFFFFF"/>
        </w:rPr>
        <w:t>Esta Subdirección se ha pronunciado</w:t>
      </w:r>
      <w:r>
        <w:rPr>
          <w:rFonts w:ascii="Verdana" w:hAnsi="Verdana" w:cs="Arial"/>
          <w:shd w:val="clear" w:color="auto" w:fill="FFFFFF"/>
        </w:rPr>
        <w:t xml:space="preserve"> sobre la capacidad residual en los conceptos </w:t>
      </w:r>
      <w:r w:rsidRPr="00EF647F">
        <w:rPr>
          <w:rFonts w:ascii="Verdana" w:hAnsi="Verdana" w:cs="Arial"/>
          <w:shd w:val="clear" w:color="auto" w:fill="FFFFFF"/>
          <w:lang w:val="es-ES"/>
        </w:rPr>
        <w:t>C-438 de 2025, C-486 de 2025, C-619 de 2025, C-1228 de 2025</w:t>
      </w:r>
      <w:r>
        <w:rPr>
          <w:rFonts w:ascii="Verdana" w:hAnsi="Verdana" w:cs="Arial"/>
          <w:shd w:val="clear" w:color="auto" w:fill="FFFFFF"/>
          <w:lang w:val="es-ES"/>
        </w:rPr>
        <w:t>, C-1349 del 28 de octubre de 2025, C-1409 del 13 de noviembre de 2025, C-1795 del 30 de diciembre de 2025, C-1809 de 2025, entre otros</w:t>
      </w:r>
      <w:r>
        <w:rPr>
          <w:rFonts w:ascii="Verdana" w:hAnsi="Verdana" w:cs="Arial"/>
          <w:shd w:val="clear" w:color="auto" w:fill="FFFFFF"/>
        </w:rPr>
        <w:t xml:space="preserve">. </w:t>
      </w:r>
      <w:r w:rsidRPr="00C303C5">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396B730" w14:textId="77777777" w:rsidR="00E5643F" w:rsidRPr="00185EE9" w:rsidRDefault="00E5643F" w:rsidP="00E5643F">
      <w:pPr>
        <w:spacing w:after="0" w:line="256" w:lineRule="auto"/>
        <w:jc w:val="both"/>
        <w:rPr>
          <w:rFonts w:ascii="Verdana" w:eastAsia="Calibri" w:hAnsi="Verdana" w:cs="Times New Roman"/>
        </w:rPr>
      </w:pPr>
      <w:hyperlink r:id="rId16" w:history="1">
        <w:r w:rsidRPr="00C303C5">
          <w:rPr>
            <w:rStyle w:val="Hipervnculo"/>
            <w:rFonts w:ascii="Verdana" w:eastAsia="Calibri" w:hAnsi="Verdana" w:cs="Times New Roman"/>
            <w:lang w:val="es-ES"/>
          </w:rPr>
          <w:t>https://relatoria.colombiacompra.gov.co/busqueda/conceptos</w:t>
        </w:r>
      </w:hyperlink>
      <w:r w:rsidRPr="00C303C5">
        <w:rPr>
          <w:rFonts w:ascii="Verdana" w:eastAsia="Calibri" w:hAnsi="Verdana" w:cs="Times New Roman"/>
        </w:rPr>
        <w:t>.</w:t>
      </w:r>
      <w:r w:rsidRPr="00185EE9">
        <w:rPr>
          <w:rFonts w:ascii="Verdana" w:eastAsia="Calibri" w:hAnsi="Verdana" w:cs="Times New Roman"/>
        </w:rPr>
        <w:t xml:space="preserve"> </w:t>
      </w:r>
    </w:p>
    <w:p w14:paraId="57FE7F15" w14:textId="77777777" w:rsidR="00E5643F" w:rsidRDefault="00E5643F" w:rsidP="00E5643F">
      <w:pPr>
        <w:spacing w:after="0"/>
        <w:jc w:val="both"/>
        <w:rPr>
          <w:rFonts w:ascii="Verdana" w:hAnsi="Verdana" w:cs="Arial"/>
          <w:bCs/>
          <w:shd w:val="clear" w:color="auto" w:fill="FFFFFF"/>
          <w:lang w:val="es-ES"/>
        </w:rPr>
      </w:pPr>
    </w:p>
    <w:p w14:paraId="595E2FE1" w14:textId="77777777" w:rsidR="00E5643F" w:rsidRPr="007B743D" w:rsidRDefault="00E5643F" w:rsidP="00E5643F">
      <w:pPr>
        <w:jc w:val="both"/>
        <w:rPr>
          <w:rFonts w:ascii="Verdana" w:hAnsi="Verdana"/>
        </w:rPr>
      </w:pPr>
      <w:r w:rsidRPr="007B743D">
        <w:rPr>
          <w:rFonts w:ascii="Verdana" w:hAnsi="Verdana"/>
        </w:rPr>
        <w:t xml:space="preserve">La sostenibilidad no es una opción, es una obligación. Por ello, la Agencia Nacional de Contratación Pública –Colombia Compra Eficiente– te invita a realizar el </w:t>
      </w:r>
      <w:r w:rsidRPr="007B743D">
        <w:rPr>
          <w:rFonts w:ascii="Verdana" w:hAnsi="Verdana"/>
          <w:b/>
          <w:bCs/>
        </w:rPr>
        <w:t>Curso de Contratación Pública Sostenible y Socialmente Responsable</w:t>
      </w:r>
      <w:r w:rsidRPr="007B743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B743D">
        <w:rPr>
          <w:rFonts w:ascii="Verdana" w:hAnsi="Verdana"/>
        </w:rPr>
        <w:br/>
      </w:r>
      <w:hyperlink r:id="rId17" w:tgtFrame="_new" w:history="1">
        <w:r w:rsidRPr="007B743D">
          <w:rPr>
            <w:rFonts w:ascii="Verdana" w:hAnsi="Verdana"/>
            <w:color w:val="0000FF"/>
            <w:u w:val="single"/>
          </w:rPr>
          <w:t>https://formacionvirtual.colombiacompra.gov.co/mod/page/view.php?id=3718</w:t>
        </w:r>
      </w:hyperlink>
    </w:p>
    <w:p w14:paraId="0D5FB01F" w14:textId="77777777" w:rsidR="00E5643F" w:rsidRPr="007B743D" w:rsidRDefault="00E5643F" w:rsidP="00E5643F">
      <w:pPr>
        <w:jc w:val="both"/>
        <w:rPr>
          <w:rFonts w:ascii="Verdana" w:hAnsi="Verdana"/>
        </w:rPr>
      </w:pPr>
      <w:r w:rsidRPr="007B743D">
        <w:rPr>
          <w:rFonts w:ascii="Verdana" w:hAnsi="Verdana"/>
        </w:rPr>
        <w:t xml:space="preserve">De otro lado, te contamos que esta Agencia ha da un paso decisivo en la estandarización y modernización del </w:t>
      </w:r>
      <w:r w:rsidRPr="007B743D">
        <w:rPr>
          <w:rFonts w:ascii="Verdana" w:hAnsi="Verdana"/>
          <w:b/>
          <w:bCs/>
        </w:rPr>
        <w:t>sector  social</w:t>
      </w:r>
      <w:r w:rsidRPr="007B743D">
        <w:rPr>
          <w:rFonts w:ascii="Verdana" w:hAnsi="Verdana"/>
        </w:rPr>
        <w:t xml:space="preserve"> con la expedición de las </w:t>
      </w:r>
      <w:r w:rsidRPr="007B743D">
        <w:rPr>
          <w:rFonts w:ascii="Verdana" w:hAnsi="Verdana"/>
          <w:b/>
          <w:bCs/>
        </w:rPr>
        <w:t>Resoluciones 539, 540, 541, 952 y 953 de 2025</w:t>
      </w:r>
      <w:r w:rsidRPr="007B743D">
        <w:rPr>
          <w:rFonts w:ascii="Verdana" w:hAnsi="Verdana"/>
        </w:rPr>
        <w:t xml:space="preserve">, </w:t>
      </w:r>
      <w:r w:rsidRPr="007B743D">
        <w:rPr>
          <w:rFonts w:ascii="Verdana" w:hAnsi="Verdana"/>
          <w:b/>
          <w:bCs/>
        </w:rPr>
        <w:t>mediante las cuales adoptó Documentos Tipo</w:t>
      </w:r>
      <w:r w:rsidRPr="007B743D">
        <w:rPr>
          <w:rFonts w:ascii="Verdana" w:hAnsi="Verdana"/>
        </w:rPr>
        <w:t xml:space="preserve"> para las modalidades de selección de</w:t>
      </w:r>
      <w:r w:rsidRPr="007B743D">
        <w:rPr>
          <w:rFonts w:ascii="Verdana" w:hAnsi="Verdana"/>
          <w:b/>
          <w:bCs/>
        </w:rPr>
        <w:t xml:space="preserve"> licitación pública (versión 2), selección abreviada de menor cuantía, mínima cuantía, consultoría e interventoría</w:t>
      </w:r>
      <w:r w:rsidRPr="007B743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7B743D">
          <w:rPr>
            <w:rFonts w:ascii="Verdana" w:hAnsi="Verdana"/>
            <w:color w:val="0000FF"/>
            <w:u w:val="single"/>
          </w:rPr>
          <w:t>https://www.colombiacompra.gov.co/normativa-y-relatoria/documentos-tipo</w:t>
        </w:r>
      </w:hyperlink>
    </w:p>
    <w:p w14:paraId="2AF43F86" w14:textId="77777777" w:rsidR="00E5643F" w:rsidRPr="007B743D" w:rsidRDefault="00E5643F" w:rsidP="00E5643F">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7B743D">
        <w:rPr>
          <w:rFonts w:ascii="Verdana" w:hAnsi="Verdana"/>
        </w:rPr>
        <w:t xml:space="preserve">Si quieres conocer más sobre la aplicación de Documentos Tipo puedes consultar la última versión de la </w:t>
      </w:r>
      <w:r w:rsidRPr="007B743D">
        <w:rPr>
          <w:rFonts w:ascii="Verdana" w:hAnsi="Verdana"/>
          <w:b/>
          <w:bCs/>
        </w:rPr>
        <w:t>Guía para la comprensión e implementación de los Documentos Tipo de obra pública de infraestructura de transporte</w:t>
      </w:r>
      <w:r w:rsidRPr="007B743D">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B743D">
        <w:rPr>
          <w:rFonts w:ascii="Verdana" w:hAnsi="Verdana"/>
        </w:rPr>
        <w:br/>
      </w:r>
      <w:hyperlink r:id="rId19" w:tgtFrame="_new" w:history="1">
        <w:r w:rsidRPr="007B743D">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735BC3C" w14:textId="77777777" w:rsidR="00E5643F" w:rsidRPr="007B743D" w:rsidRDefault="00E5643F" w:rsidP="00E5643F">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638351B7" w14:textId="77777777" w:rsidR="00E5643F" w:rsidRPr="007B743D" w:rsidRDefault="00E5643F" w:rsidP="00E5643F">
      <w:pPr>
        <w:widowControl w:val="0"/>
        <w:autoSpaceDE w:val="0"/>
        <w:autoSpaceDN w:val="0"/>
        <w:spacing w:after="0" w:line="276" w:lineRule="auto"/>
        <w:jc w:val="both"/>
        <w:rPr>
          <w:rFonts w:ascii="Verdana" w:hAnsi="Verdana" w:cs="Arial"/>
        </w:rPr>
      </w:pPr>
      <w:r w:rsidRPr="007B743D">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w:t>
      </w:r>
      <w:r w:rsidRPr="007B743D">
        <w:rPr>
          <w:rFonts w:ascii="Verdana" w:hAnsi="Verdana" w:cs="Arial"/>
        </w:rPr>
        <w:lastRenderedPageBreak/>
        <w:t>significado que les otorga el artículo 2.2.1.1.1.3.1. del Decreto 1082 de 2015.</w:t>
      </w:r>
    </w:p>
    <w:p w14:paraId="3FE2C680" w14:textId="77777777" w:rsidR="00E5643F" w:rsidRPr="008278B1" w:rsidRDefault="00E5643F" w:rsidP="00E5643F">
      <w:pPr>
        <w:widowControl w:val="0"/>
        <w:autoSpaceDE w:val="0"/>
        <w:autoSpaceDN w:val="0"/>
        <w:spacing w:after="0" w:line="276" w:lineRule="auto"/>
        <w:jc w:val="both"/>
        <w:rPr>
          <w:rFonts w:ascii="Verdana" w:hAnsi="Verdana" w:cs="Arial"/>
          <w:lang w:val="es-ES"/>
        </w:rPr>
      </w:pPr>
    </w:p>
    <w:p w14:paraId="79E6015A" w14:textId="77777777" w:rsidR="00E5643F" w:rsidRDefault="00E5643F" w:rsidP="00E5643F">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07CEC645" w14:textId="77777777" w:rsidR="00E5643F" w:rsidRDefault="00E5643F" w:rsidP="00E5643F">
      <w:pPr>
        <w:spacing w:after="0" w:line="276" w:lineRule="auto"/>
        <w:rPr>
          <w:rFonts w:ascii="Verdana" w:hAnsi="Verdana" w:cs="Arial"/>
          <w:lang w:val="es-ES" w:eastAsia="es-CO"/>
        </w:rPr>
      </w:pPr>
    </w:p>
    <w:p w14:paraId="22990030" w14:textId="5EF2F071" w:rsidR="00E5643F" w:rsidRPr="007B743D" w:rsidRDefault="00DF1EA9" w:rsidP="00E5643F">
      <w:pPr>
        <w:spacing w:line="276" w:lineRule="auto"/>
        <w:jc w:val="center"/>
        <w:rPr>
          <w:rFonts w:ascii="Verdana" w:hAnsi="Verdana" w:cs="Arial"/>
          <w:color w:val="000000"/>
          <w:lang w:eastAsia="es-CO"/>
        </w:rPr>
      </w:pPr>
      <w:r>
        <w:rPr>
          <w:noProof/>
        </w:rPr>
        <w:drawing>
          <wp:inline distT="0" distB="0" distL="0" distR="0" wp14:anchorId="28FF0435" wp14:editId="5A5120F8">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643F" w:rsidRPr="007B743D" w14:paraId="6E2CF4D0" w14:textId="77777777" w:rsidTr="00E22BE8">
        <w:trPr>
          <w:trHeight w:val="315"/>
        </w:trPr>
        <w:tc>
          <w:tcPr>
            <w:tcW w:w="893" w:type="dxa"/>
            <w:vAlign w:val="center"/>
            <w:hideMark/>
          </w:tcPr>
          <w:p w14:paraId="62A8F0FA" w14:textId="77777777" w:rsidR="00E5643F" w:rsidRPr="007B743D" w:rsidRDefault="00E5643F" w:rsidP="00E22BE8">
            <w:pPr>
              <w:contextualSpacing/>
              <w:rPr>
                <w:rFonts w:ascii="Verdana" w:hAnsi="Verdana" w:cs="Arial"/>
                <w:sz w:val="16"/>
                <w:szCs w:val="16"/>
                <w:lang w:eastAsia="es-ES"/>
              </w:rPr>
            </w:pPr>
            <w:r w:rsidRPr="007B743D">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63181DD" w14:textId="77777777" w:rsidR="00E5643F" w:rsidRPr="007B743D" w:rsidRDefault="00E5643F" w:rsidP="00E22BE8">
            <w:pPr>
              <w:contextualSpacing/>
              <w:rPr>
                <w:rFonts w:ascii="Verdana" w:hAnsi="Verdana"/>
                <w:sz w:val="16"/>
                <w:szCs w:val="16"/>
              </w:rPr>
            </w:pPr>
            <w:r w:rsidRPr="007B743D">
              <w:rPr>
                <w:rFonts w:ascii="Verdana" w:hAnsi="Verdana"/>
                <w:sz w:val="16"/>
                <w:szCs w:val="16"/>
              </w:rPr>
              <w:t>Tatiana Baquero Iguarán</w:t>
            </w:r>
          </w:p>
          <w:p w14:paraId="344FA300" w14:textId="77777777" w:rsidR="00E5643F" w:rsidRPr="007B743D" w:rsidRDefault="00E5643F" w:rsidP="00E22BE8">
            <w:pPr>
              <w:contextualSpacing/>
              <w:rPr>
                <w:rFonts w:ascii="Verdana" w:eastAsia="Arial" w:hAnsi="Verdana" w:cs="Arial"/>
                <w:sz w:val="16"/>
                <w:szCs w:val="16"/>
              </w:rPr>
            </w:pPr>
            <w:r w:rsidRPr="007B743D">
              <w:rPr>
                <w:rFonts w:ascii="Verdana" w:hAnsi="Verdana"/>
                <w:sz w:val="16"/>
                <w:szCs w:val="16"/>
              </w:rPr>
              <w:t>Contratista de la Subdirección de Gestión Contractual</w:t>
            </w:r>
          </w:p>
        </w:tc>
      </w:tr>
      <w:tr w:rsidR="00E5643F" w:rsidRPr="007B743D" w14:paraId="344AEB39" w14:textId="77777777" w:rsidTr="00E22BE8">
        <w:trPr>
          <w:trHeight w:val="330"/>
        </w:trPr>
        <w:tc>
          <w:tcPr>
            <w:tcW w:w="893" w:type="dxa"/>
            <w:vAlign w:val="center"/>
            <w:hideMark/>
          </w:tcPr>
          <w:p w14:paraId="4DB8CA25" w14:textId="77777777" w:rsidR="00E5643F" w:rsidRPr="007B743D" w:rsidRDefault="00E5643F" w:rsidP="00E22BE8">
            <w:pPr>
              <w:contextualSpacing/>
              <w:rPr>
                <w:rFonts w:ascii="Verdana" w:hAnsi="Verdana" w:cs="Arial"/>
                <w:sz w:val="16"/>
                <w:szCs w:val="16"/>
                <w:lang w:eastAsia="es-ES"/>
              </w:rPr>
            </w:pPr>
            <w:r w:rsidRPr="007B743D">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2FCD93" w14:textId="77777777" w:rsidR="00E5643F" w:rsidRPr="007B743D" w:rsidRDefault="00E5643F" w:rsidP="00E22BE8">
            <w:pPr>
              <w:textAlignment w:val="baseline"/>
              <w:rPr>
                <w:rFonts w:ascii="Verdana" w:eastAsia="Times New Roman" w:hAnsi="Verdana" w:cs="Arial"/>
                <w:sz w:val="16"/>
                <w:szCs w:val="16"/>
                <w:lang w:val="es-MX" w:eastAsia="es-CO"/>
              </w:rPr>
            </w:pPr>
            <w:r w:rsidRPr="007B743D">
              <w:rPr>
                <w:rFonts w:ascii="Verdana" w:eastAsia="Times New Roman" w:hAnsi="Verdana" w:cs="Arial"/>
                <w:sz w:val="16"/>
                <w:szCs w:val="16"/>
                <w:lang w:val="es-MX" w:eastAsia="es-CO"/>
              </w:rPr>
              <w:t>Alejandro Raúl Sarmiento Cantillo</w:t>
            </w:r>
          </w:p>
          <w:p w14:paraId="55EE5BF7" w14:textId="77777777" w:rsidR="00E5643F" w:rsidRPr="007B743D" w:rsidRDefault="00E5643F" w:rsidP="00E22BE8">
            <w:pPr>
              <w:spacing w:before="100" w:beforeAutospacing="1" w:after="100" w:afterAutospacing="1"/>
              <w:contextualSpacing/>
              <w:textAlignment w:val="baseline"/>
              <w:rPr>
                <w:rFonts w:ascii="Verdana" w:eastAsia="Times New Roman" w:hAnsi="Verdana" w:cs="Segoe UI"/>
                <w:sz w:val="16"/>
                <w:szCs w:val="16"/>
                <w:lang w:eastAsia="es-ES_tradnl"/>
              </w:rPr>
            </w:pPr>
            <w:r w:rsidRPr="007B743D">
              <w:rPr>
                <w:rFonts w:ascii="Verdana" w:eastAsia="Times New Roman" w:hAnsi="Verdana" w:cs="Arial"/>
                <w:sz w:val="16"/>
                <w:szCs w:val="16"/>
                <w:lang w:val="es-MX" w:eastAsia="es-CO"/>
              </w:rPr>
              <w:t>Gestor T1-15 de la Subdirección de Gestión Contractual</w:t>
            </w:r>
          </w:p>
        </w:tc>
      </w:tr>
      <w:tr w:rsidR="00E5643F" w:rsidRPr="007B743D" w14:paraId="0A9F0B41" w14:textId="77777777" w:rsidTr="00E22BE8">
        <w:trPr>
          <w:trHeight w:val="300"/>
        </w:trPr>
        <w:tc>
          <w:tcPr>
            <w:tcW w:w="893" w:type="dxa"/>
            <w:vAlign w:val="center"/>
          </w:tcPr>
          <w:p w14:paraId="392EB10A" w14:textId="77777777" w:rsidR="00E5643F" w:rsidRPr="007B743D" w:rsidRDefault="00E5643F" w:rsidP="00E22BE8">
            <w:pPr>
              <w:contextualSpacing/>
              <w:rPr>
                <w:rFonts w:ascii="Verdana" w:hAnsi="Verdana" w:cs="Arial"/>
                <w:sz w:val="16"/>
                <w:szCs w:val="16"/>
                <w:lang w:eastAsia="es-ES"/>
              </w:rPr>
            </w:pPr>
            <w:r w:rsidRPr="007B743D">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F4AA379" w14:textId="77777777" w:rsidR="00E5643F" w:rsidRPr="007B743D" w:rsidRDefault="00E5643F" w:rsidP="00E22BE8">
            <w:pPr>
              <w:contextualSpacing/>
              <w:rPr>
                <w:rFonts w:ascii="Verdana" w:eastAsia="Calibri" w:hAnsi="Verdana" w:cs="Arial"/>
                <w:sz w:val="16"/>
                <w:szCs w:val="16"/>
                <w:lang w:eastAsia="es-ES"/>
              </w:rPr>
            </w:pPr>
            <w:r w:rsidRPr="007B743D">
              <w:rPr>
                <w:rFonts w:ascii="Verdana" w:eastAsia="Calibri" w:hAnsi="Verdana" w:cs="Arial"/>
                <w:sz w:val="16"/>
                <w:szCs w:val="16"/>
                <w:lang w:eastAsia="es-ES"/>
              </w:rPr>
              <w:t>Carolina Quintero Gacharná</w:t>
            </w:r>
          </w:p>
          <w:p w14:paraId="7D6E46CC" w14:textId="77777777" w:rsidR="00E5643F" w:rsidRPr="007B743D" w:rsidRDefault="00E5643F" w:rsidP="00E22BE8">
            <w:pPr>
              <w:contextualSpacing/>
              <w:rPr>
                <w:rFonts w:ascii="Verdana" w:eastAsia="Calibri" w:hAnsi="Verdana" w:cs="Arial"/>
                <w:sz w:val="16"/>
                <w:szCs w:val="16"/>
                <w:lang w:eastAsia="es-ES"/>
              </w:rPr>
            </w:pPr>
            <w:r w:rsidRPr="007B743D">
              <w:rPr>
                <w:rFonts w:ascii="Verdana" w:eastAsia="Calibri" w:hAnsi="Verdana" w:cs="Arial"/>
                <w:sz w:val="16"/>
                <w:szCs w:val="16"/>
                <w:lang w:eastAsia="es-ES"/>
              </w:rPr>
              <w:t>Subdirectora de Gestión Contractual ANCP – CCE</w:t>
            </w:r>
          </w:p>
        </w:tc>
      </w:tr>
      <w:tr w:rsidR="00E5643F" w:rsidRPr="007B743D" w14:paraId="3FC21F98" w14:textId="77777777" w:rsidTr="00E22BE8">
        <w:trPr>
          <w:gridAfter w:val="1"/>
          <w:wAfter w:w="5628" w:type="dxa"/>
          <w:trHeight w:val="300"/>
        </w:trPr>
        <w:tc>
          <w:tcPr>
            <w:tcW w:w="893" w:type="dxa"/>
            <w:vAlign w:val="center"/>
          </w:tcPr>
          <w:p w14:paraId="127F7BEE" w14:textId="77777777" w:rsidR="00E5643F" w:rsidRPr="007B743D" w:rsidRDefault="00E5643F" w:rsidP="00E22BE8">
            <w:pPr>
              <w:contextualSpacing/>
              <w:rPr>
                <w:rFonts w:ascii="Verdana" w:hAnsi="Verdana" w:cs="Arial"/>
                <w:sz w:val="16"/>
                <w:szCs w:val="16"/>
                <w:lang w:eastAsia="es-ES"/>
              </w:rPr>
            </w:pPr>
          </w:p>
        </w:tc>
      </w:tr>
    </w:tbl>
    <w:p w14:paraId="1542E4A9" w14:textId="77777777" w:rsidR="00E5643F" w:rsidRPr="007B743D" w:rsidRDefault="00E5643F" w:rsidP="00E5643F">
      <w:pPr>
        <w:spacing w:after="0" w:line="240" w:lineRule="auto"/>
        <w:jc w:val="both"/>
        <w:rPr>
          <w:rFonts w:ascii="Verdana" w:eastAsia="Verdana" w:hAnsi="Verdana" w:cs="Verdana"/>
          <w:b/>
          <w:bCs/>
          <w:lang w:val="es-MX"/>
        </w:rPr>
      </w:pPr>
    </w:p>
    <w:p w14:paraId="424AE416" w14:textId="77777777" w:rsidR="00E5643F" w:rsidRPr="000E2B93" w:rsidRDefault="00E5643F" w:rsidP="00E5643F">
      <w:pPr>
        <w:spacing w:after="0" w:line="240" w:lineRule="auto"/>
        <w:jc w:val="both"/>
        <w:textAlignment w:val="baseline"/>
        <w:rPr>
          <w:rFonts w:ascii="Verdana" w:eastAsia="Verdana" w:hAnsi="Verdana" w:cs="Verdana"/>
          <w:lang w:eastAsia="es-CO"/>
        </w:rPr>
      </w:pPr>
    </w:p>
    <w:p w14:paraId="4E1CFEC7" w14:textId="195BF59B" w:rsidR="00E5643F" w:rsidRPr="000E2B93" w:rsidRDefault="00E5643F" w:rsidP="00E5643F">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0C264A14" w:rsidR="00127233" w:rsidRPr="00E5643F" w:rsidRDefault="00127233" w:rsidP="00E5643F"/>
    <w:sectPr w:rsidR="00127233" w:rsidRPr="00E5643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558B4" w14:textId="77777777" w:rsidR="00CF1430" w:rsidRDefault="00CF1430" w:rsidP="004A1847">
      <w:pPr>
        <w:spacing w:after="0" w:line="240" w:lineRule="auto"/>
      </w:pPr>
      <w:r>
        <w:separator/>
      </w:r>
    </w:p>
  </w:endnote>
  <w:endnote w:type="continuationSeparator" w:id="0">
    <w:p w14:paraId="3F3D04BF" w14:textId="77777777" w:rsidR="00CF1430" w:rsidRDefault="00CF143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1832D2" w14:textId="77777777" w:rsidR="00CF1430" w:rsidRDefault="00CF1430" w:rsidP="004A1847">
      <w:pPr>
        <w:spacing w:after="0" w:line="240" w:lineRule="auto"/>
      </w:pPr>
      <w:r>
        <w:separator/>
      </w:r>
    </w:p>
  </w:footnote>
  <w:footnote w:type="continuationSeparator" w:id="0">
    <w:p w14:paraId="551048E1" w14:textId="77777777" w:rsidR="00CF1430" w:rsidRDefault="00CF1430" w:rsidP="004A1847">
      <w:pPr>
        <w:spacing w:after="0" w:line="240" w:lineRule="auto"/>
      </w:pPr>
      <w:r>
        <w:continuationSeparator/>
      </w:r>
    </w:p>
  </w:footnote>
  <w:footnote w:id="1">
    <w:p w14:paraId="25D1E514" w14:textId="77777777" w:rsidR="00E5643F" w:rsidRPr="00D22D9C" w:rsidRDefault="00E5643F" w:rsidP="00E5643F">
      <w:pPr>
        <w:pStyle w:val="Textonotapie"/>
        <w:ind w:firstLine="709"/>
        <w:jc w:val="both"/>
        <w:rPr>
          <w:rFonts w:ascii="Verdana" w:eastAsia="Calibri" w:hAnsi="Verdana" w:cs="Arial"/>
          <w:color w:val="000000" w:themeColor="text1"/>
          <w:sz w:val="16"/>
          <w:szCs w:val="16"/>
        </w:rPr>
      </w:pPr>
      <w:r w:rsidRPr="00D22D9C">
        <w:rPr>
          <w:rStyle w:val="Refdenotaalpie"/>
          <w:rFonts w:ascii="Verdana" w:hAnsi="Verdana" w:cs="Arial"/>
          <w:color w:val="000000" w:themeColor="text1"/>
          <w:sz w:val="16"/>
          <w:szCs w:val="16"/>
        </w:rPr>
        <w:footnoteRef/>
      </w:r>
      <w:r w:rsidRPr="00D22D9C">
        <w:rPr>
          <w:rFonts w:ascii="Verdana" w:hAnsi="Verdana" w:cs="Arial"/>
          <w:color w:val="000000" w:themeColor="text1"/>
          <w:sz w:val="16"/>
          <w:szCs w:val="16"/>
        </w:rPr>
        <w:t xml:space="preserve"> </w:t>
      </w:r>
      <w:r w:rsidRPr="00D22D9C">
        <w:rPr>
          <w:rFonts w:ascii="Verdana" w:eastAsia="Calibri" w:hAnsi="Verdana" w:cs="Arial"/>
          <w:color w:val="000000" w:themeColor="text1"/>
          <w:sz w:val="16"/>
          <w:szCs w:val="16"/>
        </w:rPr>
        <w:t xml:space="preserve">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 </w:t>
      </w:r>
    </w:p>
    <w:p w14:paraId="004DF0C8" w14:textId="77777777" w:rsidR="00E5643F" w:rsidRPr="00D22D9C" w:rsidRDefault="00E5643F" w:rsidP="00E5643F">
      <w:pPr>
        <w:pStyle w:val="Textonotapie"/>
        <w:ind w:firstLine="709"/>
        <w:jc w:val="both"/>
        <w:rPr>
          <w:rFonts w:ascii="Verdana" w:eastAsia="Calibri" w:hAnsi="Verdana" w:cs="Arial"/>
          <w:color w:val="000000" w:themeColor="text1"/>
          <w:sz w:val="16"/>
          <w:szCs w:val="16"/>
        </w:rPr>
      </w:pPr>
      <w:r w:rsidRPr="00D22D9C">
        <w:rPr>
          <w:rFonts w:ascii="Verdana" w:eastAsia="Calibri" w:hAnsi="Verdana" w:cs="Arial"/>
          <w:color w:val="000000" w:themeColor="text1"/>
          <w:sz w:val="16"/>
          <w:szCs w:val="16"/>
        </w:rPr>
        <w:t>[…]</w:t>
      </w:r>
    </w:p>
    <w:p w14:paraId="491AEB31" w14:textId="77777777" w:rsidR="00E5643F" w:rsidRPr="00D22D9C" w:rsidRDefault="00E5643F" w:rsidP="00E5643F">
      <w:pPr>
        <w:pStyle w:val="Textonotapie"/>
        <w:ind w:firstLine="709"/>
        <w:jc w:val="both"/>
        <w:rPr>
          <w:rFonts w:ascii="Verdana" w:hAnsi="Verdana" w:cs="Arial"/>
          <w:color w:val="000000" w:themeColor="text1"/>
          <w:sz w:val="16"/>
          <w:szCs w:val="16"/>
          <w:lang w:val="es-CO"/>
        </w:rPr>
      </w:pPr>
      <w:r w:rsidRPr="00D22D9C">
        <w:rPr>
          <w:rFonts w:ascii="Verdana" w:eastAsia="Calibri" w:hAnsi="Verdana" w:cs="Arial"/>
          <w:color w:val="000000" w:themeColor="text1"/>
          <w:sz w:val="16"/>
          <w:szCs w:val="16"/>
        </w:rPr>
        <w:t>»Capacidad Residual o K de Contratación: Aptitud de un oferente para cumplir oportuna y cabalmente con el objeto de un contrato de obra, sin que sus otros compromisos contractuales afecten su habilidad de cumplir con el contrato que está en proceso de selección».</w:t>
      </w:r>
      <w:r w:rsidRPr="00D22D9C">
        <w:rPr>
          <w:rFonts w:ascii="Verdana" w:hAnsi="Verdana" w:cs="Arial"/>
          <w:color w:val="000000" w:themeColor="text1"/>
          <w:sz w:val="16"/>
          <w:szCs w:val="16"/>
          <w:lang w:val="es-CO"/>
        </w:rPr>
        <w:t xml:space="preserve"> </w:t>
      </w:r>
    </w:p>
  </w:footnote>
  <w:footnote w:id="2">
    <w:p w14:paraId="28BD9C08" w14:textId="77777777" w:rsidR="00E5643F" w:rsidRPr="00D22D9C" w:rsidRDefault="00E5643F" w:rsidP="00E5643F">
      <w:pPr>
        <w:pStyle w:val="Textonotapie"/>
        <w:ind w:firstLine="709"/>
        <w:jc w:val="both"/>
        <w:rPr>
          <w:rFonts w:ascii="Verdana" w:hAnsi="Verdana" w:cs="Arial"/>
          <w:color w:val="000000" w:themeColor="text1"/>
          <w:sz w:val="16"/>
          <w:szCs w:val="16"/>
          <w:lang w:val="es-CO"/>
        </w:rPr>
      </w:pPr>
      <w:r w:rsidRPr="00D22D9C">
        <w:rPr>
          <w:rFonts w:ascii="Verdana" w:eastAsia="Calibri" w:hAnsi="Verdana" w:cs="Arial"/>
          <w:color w:val="000000" w:themeColor="text1"/>
          <w:sz w:val="16"/>
          <w:szCs w:val="16"/>
          <w:vertAlign w:val="superscript"/>
        </w:rPr>
        <w:footnoteRef/>
      </w:r>
      <w:r w:rsidRPr="00D22D9C">
        <w:rPr>
          <w:rFonts w:ascii="Verdana" w:eastAsia="Calibri" w:hAnsi="Verdana" w:cs="Arial"/>
          <w:color w:val="000000" w:themeColor="text1"/>
          <w:sz w:val="16"/>
          <w:szCs w:val="16"/>
          <w:vertAlign w:val="superscript"/>
        </w:rPr>
        <w:t xml:space="preserve"> </w:t>
      </w:r>
      <w:r w:rsidRPr="00D22D9C">
        <w:rPr>
          <w:rFonts w:ascii="Verdana" w:eastAsia="Calibri" w:hAnsi="Verdana" w:cs="Arial"/>
          <w:color w:val="000000" w:themeColor="text1"/>
          <w:sz w:val="16"/>
          <w:szCs w:val="16"/>
        </w:rPr>
        <w:t xml:space="preserve">Consejo de Estado. Sección Tercera. Sentencia del 26 de junio de 2003. Rad. 13.354. C.P: María Elena Giraldo Gómez. </w:t>
      </w:r>
    </w:p>
  </w:footnote>
  <w:footnote w:id="3">
    <w:p w14:paraId="0D17AFFB" w14:textId="77777777" w:rsidR="00E5643F" w:rsidRPr="00D22D9C" w:rsidRDefault="00E5643F" w:rsidP="00E5643F">
      <w:pPr>
        <w:pStyle w:val="Textonotapie"/>
        <w:ind w:firstLine="709"/>
        <w:jc w:val="both"/>
        <w:rPr>
          <w:rFonts w:ascii="Verdana" w:hAnsi="Verdana"/>
          <w:sz w:val="16"/>
          <w:szCs w:val="16"/>
        </w:rPr>
      </w:pPr>
      <w:r w:rsidRPr="00D22D9C">
        <w:rPr>
          <w:rStyle w:val="Refdenotaalpie"/>
          <w:rFonts w:ascii="Verdana" w:hAnsi="Verdana"/>
          <w:sz w:val="16"/>
          <w:szCs w:val="16"/>
        </w:rPr>
        <w:footnoteRef/>
      </w:r>
      <w:r w:rsidRPr="00D22D9C">
        <w:rPr>
          <w:rFonts w:ascii="Verdana" w:hAnsi="Verdana"/>
          <w:sz w:val="16"/>
          <w:szCs w:val="16"/>
        </w:rPr>
        <w:t xml:space="preserve"> Al respecto el Parágrafo 1° dispone lo siguiente: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60C6F830" w14:textId="77777777" w:rsidR="00E5643F" w:rsidRPr="00D22D9C" w:rsidRDefault="00E5643F" w:rsidP="00E5643F">
      <w:pPr>
        <w:pStyle w:val="Textonotapie"/>
        <w:ind w:firstLine="709"/>
        <w:jc w:val="both"/>
        <w:rPr>
          <w:rFonts w:ascii="Verdana" w:hAnsi="Verdana"/>
          <w:sz w:val="16"/>
          <w:szCs w:val="16"/>
        </w:rPr>
      </w:pPr>
      <w:r w:rsidRPr="00D22D9C">
        <w:rPr>
          <w:rFonts w:ascii="Verdana" w:hAnsi="Verdana"/>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4C2C38A1" w14:textId="77777777" w:rsidR="00E5643F" w:rsidRPr="00D22D9C" w:rsidRDefault="00E5643F" w:rsidP="00E5643F">
      <w:pPr>
        <w:pStyle w:val="Textonotapie"/>
        <w:jc w:val="both"/>
        <w:rPr>
          <w:rFonts w:ascii="Verdana" w:hAnsi="Verdana"/>
          <w:sz w:val="16"/>
          <w:szCs w:val="16"/>
          <w:lang w:val="es-CO"/>
        </w:rPr>
      </w:pPr>
    </w:p>
  </w:footnote>
  <w:footnote w:id="4">
    <w:p w14:paraId="5785679B" w14:textId="77777777" w:rsidR="00E5643F" w:rsidRPr="00D22D9C" w:rsidRDefault="00E5643F" w:rsidP="00E5643F">
      <w:pPr>
        <w:pStyle w:val="NormalWeb"/>
        <w:shd w:val="clear" w:color="auto" w:fill="FFFFFF"/>
        <w:spacing w:before="0" w:beforeAutospacing="0" w:after="0" w:afterAutospacing="0"/>
        <w:ind w:firstLine="709"/>
        <w:jc w:val="both"/>
        <w:rPr>
          <w:rFonts w:ascii="Verdana" w:hAnsi="Verdana" w:cs="Arial"/>
          <w:sz w:val="16"/>
          <w:szCs w:val="16"/>
        </w:rPr>
      </w:pPr>
      <w:r w:rsidRPr="00D22D9C">
        <w:rPr>
          <w:rStyle w:val="Refdenotaalpie"/>
          <w:rFonts w:ascii="Verdana" w:hAnsi="Verdana" w:cs="Arial"/>
          <w:sz w:val="16"/>
          <w:szCs w:val="16"/>
          <w:lang w:val="es-MX"/>
        </w:rPr>
        <w:footnoteRef/>
      </w:r>
      <w:r w:rsidRPr="00D22D9C">
        <w:rPr>
          <w:rStyle w:val="Refdenotaalpie"/>
          <w:rFonts w:ascii="Verdana" w:hAnsi="Verdana" w:cs="Arial"/>
          <w:sz w:val="16"/>
          <w:szCs w:val="16"/>
          <w:lang w:val="es-MX"/>
        </w:rPr>
        <w:t xml:space="preserve"> </w:t>
      </w:r>
      <w:r>
        <w:rPr>
          <w:rFonts w:ascii="Verdana" w:hAnsi="Verdana" w:cs="Arial"/>
          <w:sz w:val="16"/>
          <w:szCs w:val="16"/>
        </w:rPr>
        <w:t>“</w:t>
      </w:r>
      <w:r w:rsidRPr="00D22D9C">
        <w:rPr>
          <w:rFonts w:ascii="Verdana" w:hAnsi="Verdana" w:cs="Arial"/>
          <w:sz w:val="16"/>
          <w:szCs w:val="16"/>
        </w:rPr>
        <w:t>Artículo 2.2.1.1.1.6.4. Capacidad Residual: El interesado en celebrar contratos de obra pública con Entidades Estatales debe acreditar su Capacidad Residual o K de Contratación con los siguientes documentos:</w:t>
      </w:r>
    </w:p>
    <w:p w14:paraId="33E48D76" w14:textId="77777777" w:rsidR="00E5643F" w:rsidRPr="00D22D9C" w:rsidRDefault="00E5643F" w:rsidP="00E5643F">
      <w:pPr>
        <w:shd w:val="clear" w:color="auto" w:fill="FFFFFF"/>
        <w:spacing w:after="0" w:line="240" w:lineRule="auto"/>
        <w:ind w:firstLine="709"/>
        <w:jc w:val="both"/>
        <w:rPr>
          <w:rFonts w:ascii="Verdana" w:hAnsi="Verdana" w:cs="Arial"/>
          <w:sz w:val="16"/>
          <w:szCs w:val="16"/>
        </w:rPr>
      </w:pPr>
      <w:r w:rsidRPr="00D22D9C">
        <w:rPr>
          <w:rFonts w:ascii="Verdana" w:hAnsi="Verdana" w:cs="Arial"/>
          <w:sz w:val="16"/>
          <w:szCs w:val="16"/>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6213ADC6" w14:textId="77777777" w:rsidR="00E5643F" w:rsidRPr="00D22D9C" w:rsidRDefault="00E5643F" w:rsidP="00E5643F">
      <w:pPr>
        <w:shd w:val="clear" w:color="auto" w:fill="FFFFFF"/>
        <w:spacing w:after="0" w:line="240" w:lineRule="auto"/>
        <w:ind w:firstLine="709"/>
        <w:jc w:val="both"/>
        <w:rPr>
          <w:rFonts w:ascii="Verdana" w:hAnsi="Verdana" w:cs="Arial"/>
          <w:sz w:val="16"/>
          <w:szCs w:val="16"/>
        </w:rPr>
      </w:pPr>
      <w:r w:rsidRPr="00D22D9C">
        <w:rPr>
          <w:rFonts w:ascii="Verdana" w:hAnsi="Verdana" w:cs="Arial"/>
          <w:sz w:val="16"/>
          <w:szCs w:val="16"/>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27FE70D4" w14:textId="77777777" w:rsidR="00E5643F" w:rsidRPr="00D22D9C" w:rsidRDefault="00E5643F" w:rsidP="00E5643F">
      <w:pPr>
        <w:shd w:val="clear" w:color="auto" w:fill="FFFFFF"/>
        <w:spacing w:after="0" w:line="240" w:lineRule="auto"/>
        <w:ind w:firstLine="709"/>
        <w:jc w:val="both"/>
        <w:rPr>
          <w:rFonts w:ascii="Verdana" w:hAnsi="Verdana" w:cs="Arial"/>
          <w:sz w:val="16"/>
          <w:szCs w:val="16"/>
        </w:rPr>
      </w:pPr>
      <w:r w:rsidRPr="00D22D9C">
        <w:rPr>
          <w:rFonts w:ascii="Verdana" w:hAnsi="Verdana" w:cs="Arial"/>
          <w:sz w:val="16"/>
          <w:szCs w:val="16"/>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r>
        <w:rPr>
          <w:rFonts w:ascii="Verdana" w:hAnsi="Verdana" w:cs="Arial"/>
          <w:sz w:val="16"/>
          <w:szCs w:val="16"/>
        </w:rPr>
        <w:t>”</w:t>
      </w:r>
      <w:r w:rsidRPr="00D22D9C">
        <w:rPr>
          <w:rFonts w:ascii="Verdana" w:hAnsi="Verdana" w:cs="Arial"/>
          <w:sz w:val="16"/>
          <w:szCs w:val="16"/>
        </w:rPr>
        <w:t>.</w:t>
      </w:r>
    </w:p>
  </w:footnote>
  <w:footnote w:id="5">
    <w:p w14:paraId="673B3E12" w14:textId="77777777" w:rsidR="00E5643F" w:rsidRPr="00FC01C6" w:rsidRDefault="00E5643F" w:rsidP="00E5643F">
      <w:pPr>
        <w:pStyle w:val="Textonotapie"/>
        <w:ind w:firstLine="709"/>
        <w:rPr>
          <w:rFonts w:ascii="Verdana" w:hAnsi="Verdana"/>
          <w:sz w:val="16"/>
          <w:szCs w:val="16"/>
        </w:rPr>
      </w:pPr>
      <w:r w:rsidRPr="00FC01C6">
        <w:rPr>
          <w:rStyle w:val="Refdenotaalpie"/>
          <w:rFonts w:ascii="Verdana" w:hAnsi="Verdana"/>
          <w:sz w:val="16"/>
          <w:szCs w:val="16"/>
        </w:rPr>
        <w:footnoteRef/>
      </w:r>
      <w:r w:rsidRPr="00FC01C6">
        <w:rPr>
          <w:rFonts w:ascii="Verdana" w:hAnsi="Verdana"/>
          <w:sz w:val="16"/>
          <w:szCs w:val="16"/>
        </w:rPr>
        <w:t xml:space="preserve"> Agencia Nacional de Contratación Pública -Colombia Compra Eficiente. Manual para determinar y verificar Los Requisitos Habilitantes en los Procesos de Contratación  </w:t>
      </w:r>
      <w:hyperlink r:id="rId1" w:history="1">
        <w:r w:rsidRPr="00FC01C6">
          <w:rPr>
            <w:rStyle w:val="Hipervnculo"/>
            <w:rFonts w:ascii="Verdana" w:hAnsi="Verdana"/>
            <w:sz w:val="16"/>
            <w:szCs w:val="16"/>
          </w:rPr>
          <w:t>https://www.colombiacompra.gov.co/archivos/manual/manual-para-determinar-y-verificar-los-requisitos-habilitantes-en-los-procesos-de-contratacion</w:t>
        </w:r>
      </w:hyperlink>
      <w:r w:rsidRPr="00FC01C6">
        <w:rPr>
          <w:rFonts w:ascii="Verdana" w:hAnsi="Verdana"/>
          <w:sz w:val="16"/>
          <w:szCs w:val="16"/>
        </w:rPr>
        <w:t xml:space="preserve">. 2023. p. 36. </w:t>
      </w:r>
    </w:p>
    <w:p w14:paraId="66C91633" w14:textId="77777777" w:rsidR="00E5643F" w:rsidRPr="00FC01C6" w:rsidRDefault="00E5643F" w:rsidP="00E5643F">
      <w:pPr>
        <w:pStyle w:val="Textonotapie"/>
        <w:ind w:firstLine="709"/>
        <w:rPr>
          <w:rFonts w:ascii="Verdana" w:hAnsi="Verdana"/>
          <w:sz w:val="16"/>
          <w:szCs w:val="16"/>
          <w:lang w:val="es-ES"/>
        </w:rPr>
      </w:pPr>
    </w:p>
  </w:footnote>
  <w:footnote w:id="6">
    <w:p w14:paraId="4B657E50" w14:textId="77777777" w:rsidR="00E5643F" w:rsidRPr="00FC01C6" w:rsidRDefault="00E5643F" w:rsidP="00E5643F">
      <w:pPr>
        <w:pStyle w:val="Textonotapie"/>
        <w:ind w:firstLine="708"/>
        <w:jc w:val="both"/>
        <w:rPr>
          <w:rFonts w:ascii="Verdana" w:hAnsi="Verdana"/>
          <w:sz w:val="16"/>
          <w:szCs w:val="16"/>
          <w:lang w:val="es-CO"/>
        </w:rPr>
      </w:pPr>
      <w:r w:rsidRPr="00FC01C6">
        <w:rPr>
          <w:rStyle w:val="Refdenotaalpie"/>
          <w:rFonts w:ascii="Verdana" w:hAnsi="Verdana"/>
          <w:sz w:val="16"/>
          <w:szCs w:val="16"/>
        </w:rPr>
        <w:footnoteRef/>
      </w:r>
      <w:r w:rsidRPr="00FC01C6">
        <w:rPr>
          <w:rFonts w:ascii="Verdana" w:hAnsi="Verdana"/>
          <w:sz w:val="16"/>
          <w:szCs w:val="16"/>
        </w:rPr>
        <w:t xml:space="preserve"> Consejo de Estado. Sección Tercera, Subsección B. Sentencia del 27 de abril de 2011. Exp. 18.293. C.P. Ruth Stella Correa Palacio.</w:t>
      </w:r>
    </w:p>
  </w:footnote>
  <w:footnote w:id="7">
    <w:p w14:paraId="0FABB076" w14:textId="77777777" w:rsidR="00E5643F" w:rsidRPr="00FC01C6" w:rsidRDefault="00E5643F" w:rsidP="00E5643F">
      <w:pPr>
        <w:pStyle w:val="Textonotapie"/>
        <w:ind w:firstLine="708"/>
        <w:jc w:val="both"/>
        <w:rPr>
          <w:rFonts w:ascii="Verdana" w:hAnsi="Verdana"/>
          <w:sz w:val="16"/>
          <w:szCs w:val="16"/>
        </w:rPr>
      </w:pPr>
      <w:r w:rsidRPr="00FC01C6">
        <w:rPr>
          <w:rStyle w:val="Refdenotaalpie"/>
          <w:rFonts w:ascii="Verdana" w:hAnsi="Verdana"/>
          <w:sz w:val="16"/>
          <w:szCs w:val="16"/>
        </w:rPr>
        <w:footnoteRef/>
      </w:r>
      <w:r w:rsidRPr="00FC01C6">
        <w:rPr>
          <w:rFonts w:ascii="Verdana" w:hAnsi="Verdana"/>
          <w:sz w:val="16"/>
          <w:szCs w:val="16"/>
        </w:rPr>
        <w:t xml:space="preserve"> Consejo de Estado. Sección Tercera, Subsección A. Sentencia del 21 de noviembre de 2013 Exp. 25397. C.P. Carlos Alberto Zambrano Barrera.</w:t>
      </w:r>
    </w:p>
    <w:p w14:paraId="489D59D6" w14:textId="77777777" w:rsidR="00E5643F" w:rsidRPr="00FC01C6" w:rsidRDefault="00E5643F" w:rsidP="00E5643F">
      <w:pPr>
        <w:pStyle w:val="Textonotapie"/>
        <w:ind w:firstLine="708"/>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79089576">
    <w:abstractNumId w:val="10"/>
  </w:num>
  <w:num w:numId="18" w16cid:durableId="1548419692">
    <w:abstractNumId w:val="17"/>
  </w:num>
  <w:num w:numId="19" w16cid:durableId="1443304022">
    <w:abstractNumId w:val="4"/>
  </w:num>
  <w:num w:numId="20" w16cid:durableId="5010510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6DF"/>
    <w:rsid w:val="00016F78"/>
    <w:rsid w:val="00024F01"/>
    <w:rsid w:val="000349AC"/>
    <w:rsid w:val="00035277"/>
    <w:rsid w:val="0004689D"/>
    <w:rsid w:val="00046945"/>
    <w:rsid w:val="00061B2A"/>
    <w:rsid w:val="00082362"/>
    <w:rsid w:val="000A079B"/>
    <w:rsid w:val="000A683E"/>
    <w:rsid w:val="000B19B9"/>
    <w:rsid w:val="000C332B"/>
    <w:rsid w:val="000D0334"/>
    <w:rsid w:val="000D5DA7"/>
    <w:rsid w:val="000E4057"/>
    <w:rsid w:val="000F6486"/>
    <w:rsid w:val="00116940"/>
    <w:rsid w:val="00125105"/>
    <w:rsid w:val="00127233"/>
    <w:rsid w:val="00127972"/>
    <w:rsid w:val="00150111"/>
    <w:rsid w:val="0015699B"/>
    <w:rsid w:val="00165C37"/>
    <w:rsid w:val="0019068D"/>
    <w:rsid w:val="001A33BF"/>
    <w:rsid w:val="001A7824"/>
    <w:rsid w:val="001A7E2C"/>
    <w:rsid w:val="001E1262"/>
    <w:rsid w:val="001E4177"/>
    <w:rsid w:val="001F0B24"/>
    <w:rsid w:val="001F680F"/>
    <w:rsid w:val="001F7DC6"/>
    <w:rsid w:val="0021137F"/>
    <w:rsid w:val="0022017D"/>
    <w:rsid w:val="0022400B"/>
    <w:rsid w:val="0022550C"/>
    <w:rsid w:val="002421BB"/>
    <w:rsid w:val="00244269"/>
    <w:rsid w:val="0025796E"/>
    <w:rsid w:val="002639D4"/>
    <w:rsid w:val="00270196"/>
    <w:rsid w:val="002707A2"/>
    <w:rsid w:val="002725F0"/>
    <w:rsid w:val="00274118"/>
    <w:rsid w:val="00275010"/>
    <w:rsid w:val="00276FF6"/>
    <w:rsid w:val="002875B8"/>
    <w:rsid w:val="002951A0"/>
    <w:rsid w:val="002962BC"/>
    <w:rsid w:val="002A093D"/>
    <w:rsid w:val="002A0DD0"/>
    <w:rsid w:val="002A49AC"/>
    <w:rsid w:val="002A64FD"/>
    <w:rsid w:val="002C03A2"/>
    <w:rsid w:val="002C23F8"/>
    <w:rsid w:val="002C7A84"/>
    <w:rsid w:val="002D29B9"/>
    <w:rsid w:val="002D2C86"/>
    <w:rsid w:val="002E2BF8"/>
    <w:rsid w:val="002E4FD9"/>
    <w:rsid w:val="002E6CB2"/>
    <w:rsid w:val="002F29AE"/>
    <w:rsid w:val="002F2A0B"/>
    <w:rsid w:val="0030657A"/>
    <w:rsid w:val="0031709A"/>
    <w:rsid w:val="00322A85"/>
    <w:rsid w:val="00324168"/>
    <w:rsid w:val="00326AB1"/>
    <w:rsid w:val="00330834"/>
    <w:rsid w:val="003331C4"/>
    <w:rsid w:val="003448F4"/>
    <w:rsid w:val="00363D30"/>
    <w:rsid w:val="00365927"/>
    <w:rsid w:val="003670C2"/>
    <w:rsid w:val="00370B70"/>
    <w:rsid w:val="00374F5E"/>
    <w:rsid w:val="00377E3E"/>
    <w:rsid w:val="00386570"/>
    <w:rsid w:val="003878B5"/>
    <w:rsid w:val="003918F6"/>
    <w:rsid w:val="003944CC"/>
    <w:rsid w:val="00397B7B"/>
    <w:rsid w:val="003A779E"/>
    <w:rsid w:val="003B4708"/>
    <w:rsid w:val="003D0F4D"/>
    <w:rsid w:val="003D5B0D"/>
    <w:rsid w:val="003D7AEC"/>
    <w:rsid w:val="003E0499"/>
    <w:rsid w:val="003E4F80"/>
    <w:rsid w:val="003E6439"/>
    <w:rsid w:val="003F035E"/>
    <w:rsid w:val="003F3941"/>
    <w:rsid w:val="00406575"/>
    <w:rsid w:val="00414C74"/>
    <w:rsid w:val="00421605"/>
    <w:rsid w:val="004234B5"/>
    <w:rsid w:val="0042722E"/>
    <w:rsid w:val="0043201C"/>
    <w:rsid w:val="0044528D"/>
    <w:rsid w:val="00461FF9"/>
    <w:rsid w:val="00464FBA"/>
    <w:rsid w:val="00466E39"/>
    <w:rsid w:val="0046741E"/>
    <w:rsid w:val="004929E6"/>
    <w:rsid w:val="004A1847"/>
    <w:rsid w:val="004A305D"/>
    <w:rsid w:val="004C77D8"/>
    <w:rsid w:val="004F1ACE"/>
    <w:rsid w:val="004F21C4"/>
    <w:rsid w:val="004F685F"/>
    <w:rsid w:val="00521C7B"/>
    <w:rsid w:val="00541001"/>
    <w:rsid w:val="005412E9"/>
    <w:rsid w:val="005566E8"/>
    <w:rsid w:val="005603E1"/>
    <w:rsid w:val="00564C5A"/>
    <w:rsid w:val="00574867"/>
    <w:rsid w:val="00582908"/>
    <w:rsid w:val="00586DAE"/>
    <w:rsid w:val="00591460"/>
    <w:rsid w:val="00593E09"/>
    <w:rsid w:val="005A65E0"/>
    <w:rsid w:val="005B358E"/>
    <w:rsid w:val="005C0A91"/>
    <w:rsid w:val="005C3777"/>
    <w:rsid w:val="005C5CDC"/>
    <w:rsid w:val="005D476C"/>
    <w:rsid w:val="005D6D53"/>
    <w:rsid w:val="0061176B"/>
    <w:rsid w:val="0061253C"/>
    <w:rsid w:val="006200BF"/>
    <w:rsid w:val="006219F8"/>
    <w:rsid w:val="006302F7"/>
    <w:rsid w:val="00630780"/>
    <w:rsid w:val="00636A2F"/>
    <w:rsid w:val="00641465"/>
    <w:rsid w:val="00646B9F"/>
    <w:rsid w:val="0064714F"/>
    <w:rsid w:val="0064758F"/>
    <w:rsid w:val="00661EC4"/>
    <w:rsid w:val="00665D70"/>
    <w:rsid w:val="00672DA2"/>
    <w:rsid w:val="006822B2"/>
    <w:rsid w:val="006900D9"/>
    <w:rsid w:val="00694EA9"/>
    <w:rsid w:val="00697766"/>
    <w:rsid w:val="006B05E9"/>
    <w:rsid w:val="007028CC"/>
    <w:rsid w:val="00702EF4"/>
    <w:rsid w:val="00706AAE"/>
    <w:rsid w:val="00706C16"/>
    <w:rsid w:val="00711525"/>
    <w:rsid w:val="007340C3"/>
    <w:rsid w:val="0075235A"/>
    <w:rsid w:val="00752E64"/>
    <w:rsid w:val="00756841"/>
    <w:rsid w:val="00763D3E"/>
    <w:rsid w:val="007649AB"/>
    <w:rsid w:val="0077191F"/>
    <w:rsid w:val="00771D0C"/>
    <w:rsid w:val="00772CC9"/>
    <w:rsid w:val="00772DFF"/>
    <w:rsid w:val="0077468F"/>
    <w:rsid w:val="00777BC8"/>
    <w:rsid w:val="007833AC"/>
    <w:rsid w:val="007B268C"/>
    <w:rsid w:val="007B6029"/>
    <w:rsid w:val="007B7171"/>
    <w:rsid w:val="007C0C0F"/>
    <w:rsid w:val="007C3DC2"/>
    <w:rsid w:val="007C46A7"/>
    <w:rsid w:val="007D0A82"/>
    <w:rsid w:val="007E5497"/>
    <w:rsid w:val="007F5448"/>
    <w:rsid w:val="00806F5F"/>
    <w:rsid w:val="008118B0"/>
    <w:rsid w:val="00820278"/>
    <w:rsid w:val="008258C9"/>
    <w:rsid w:val="008302D2"/>
    <w:rsid w:val="00844AE9"/>
    <w:rsid w:val="0085447D"/>
    <w:rsid w:val="00867F95"/>
    <w:rsid w:val="008843B6"/>
    <w:rsid w:val="00891928"/>
    <w:rsid w:val="00895125"/>
    <w:rsid w:val="008A446D"/>
    <w:rsid w:val="008B25F1"/>
    <w:rsid w:val="008B4354"/>
    <w:rsid w:val="008D180B"/>
    <w:rsid w:val="008D47C5"/>
    <w:rsid w:val="008F0EA7"/>
    <w:rsid w:val="008F2A2E"/>
    <w:rsid w:val="008F5FB8"/>
    <w:rsid w:val="00923EEF"/>
    <w:rsid w:val="00925EE0"/>
    <w:rsid w:val="00927D41"/>
    <w:rsid w:val="009368BF"/>
    <w:rsid w:val="00936EAA"/>
    <w:rsid w:val="009419F9"/>
    <w:rsid w:val="00944DC0"/>
    <w:rsid w:val="0095685E"/>
    <w:rsid w:val="00961B09"/>
    <w:rsid w:val="00965334"/>
    <w:rsid w:val="0097039D"/>
    <w:rsid w:val="0097093E"/>
    <w:rsid w:val="0098051C"/>
    <w:rsid w:val="00981292"/>
    <w:rsid w:val="00981DC4"/>
    <w:rsid w:val="009A0DFA"/>
    <w:rsid w:val="009A1C6F"/>
    <w:rsid w:val="009B2D26"/>
    <w:rsid w:val="009C71FA"/>
    <w:rsid w:val="009C72E7"/>
    <w:rsid w:val="009C7F7E"/>
    <w:rsid w:val="009D3058"/>
    <w:rsid w:val="009D3F40"/>
    <w:rsid w:val="009E0655"/>
    <w:rsid w:val="009E4DC8"/>
    <w:rsid w:val="009E7A0F"/>
    <w:rsid w:val="009F0CF9"/>
    <w:rsid w:val="009F3A13"/>
    <w:rsid w:val="009F3BCC"/>
    <w:rsid w:val="00A0429D"/>
    <w:rsid w:val="00A122D3"/>
    <w:rsid w:val="00A14468"/>
    <w:rsid w:val="00A147C1"/>
    <w:rsid w:val="00A15EAF"/>
    <w:rsid w:val="00A15FBB"/>
    <w:rsid w:val="00A17F13"/>
    <w:rsid w:val="00A20739"/>
    <w:rsid w:val="00A23718"/>
    <w:rsid w:val="00A23AF9"/>
    <w:rsid w:val="00A27B80"/>
    <w:rsid w:val="00A33C78"/>
    <w:rsid w:val="00A35B7C"/>
    <w:rsid w:val="00A57F0E"/>
    <w:rsid w:val="00A63931"/>
    <w:rsid w:val="00AB0ADB"/>
    <w:rsid w:val="00AB0D7F"/>
    <w:rsid w:val="00AE3A36"/>
    <w:rsid w:val="00AF2F13"/>
    <w:rsid w:val="00B00C0E"/>
    <w:rsid w:val="00B01B1A"/>
    <w:rsid w:val="00B0381D"/>
    <w:rsid w:val="00B04B11"/>
    <w:rsid w:val="00B06EDB"/>
    <w:rsid w:val="00B44A47"/>
    <w:rsid w:val="00B46005"/>
    <w:rsid w:val="00B65134"/>
    <w:rsid w:val="00B72CD3"/>
    <w:rsid w:val="00B72FFF"/>
    <w:rsid w:val="00BA5B12"/>
    <w:rsid w:val="00BC3D36"/>
    <w:rsid w:val="00BD54A6"/>
    <w:rsid w:val="00BD7F72"/>
    <w:rsid w:val="00BE016C"/>
    <w:rsid w:val="00BF7425"/>
    <w:rsid w:val="00BF7CC1"/>
    <w:rsid w:val="00C02042"/>
    <w:rsid w:val="00C0258E"/>
    <w:rsid w:val="00C04FB3"/>
    <w:rsid w:val="00C11D8B"/>
    <w:rsid w:val="00C15139"/>
    <w:rsid w:val="00C25191"/>
    <w:rsid w:val="00C30AAF"/>
    <w:rsid w:val="00C330EB"/>
    <w:rsid w:val="00C50D69"/>
    <w:rsid w:val="00C5365C"/>
    <w:rsid w:val="00C57F16"/>
    <w:rsid w:val="00C64141"/>
    <w:rsid w:val="00C754BE"/>
    <w:rsid w:val="00C7596E"/>
    <w:rsid w:val="00C76B1C"/>
    <w:rsid w:val="00C925AC"/>
    <w:rsid w:val="00CB5E7E"/>
    <w:rsid w:val="00CB6357"/>
    <w:rsid w:val="00CC1B26"/>
    <w:rsid w:val="00CC5C2A"/>
    <w:rsid w:val="00CD30F1"/>
    <w:rsid w:val="00CF00DC"/>
    <w:rsid w:val="00CF1430"/>
    <w:rsid w:val="00D14274"/>
    <w:rsid w:val="00D17A30"/>
    <w:rsid w:val="00D2442C"/>
    <w:rsid w:val="00D361FD"/>
    <w:rsid w:val="00D423A2"/>
    <w:rsid w:val="00D44E26"/>
    <w:rsid w:val="00D45947"/>
    <w:rsid w:val="00D520D8"/>
    <w:rsid w:val="00D63AC2"/>
    <w:rsid w:val="00D7383B"/>
    <w:rsid w:val="00D7788A"/>
    <w:rsid w:val="00D87F46"/>
    <w:rsid w:val="00D946E2"/>
    <w:rsid w:val="00DA231B"/>
    <w:rsid w:val="00DA7AB3"/>
    <w:rsid w:val="00DC39FC"/>
    <w:rsid w:val="00DC3C66"/>
    <w:rsid w:val="00DC5A47"/>
    <w:rsid w:val="00DE4314"/>
    <w:rsid w:val="00DF1EA9"/>
    <w:rsid w:val="00DF5080"/>
    <w:rsid w:val="00DF5254"/>
    <w:rsid w:val="00E01A56"/>
    <w:rsid w:val="00E02524"/>
    <w:rsid w:val="00E102B7"/>
    <w:rsid w:val="00E10D5F"/>
    <w:rsid w:val="00E13946"/>
    <w:rsid w:val="00E16408"/>
    <w:rsid w:val="00E20894"/>
    <w:rsid w:val="00E245AB"/>
    <w:rsid w:val="00E26FBC"/>
    <w:rsid w:val="00E2764C"/>
    <w:rsid w:val="00E27F2E"/>
    <w:rsid w:val="00E45AE9"/>
    <w:rsid w:val="00E46F18"/>
    <w:rsid w:val="00E50AFE"/>
    <w:rsid w:val="00E5643F"/>
    <w:rsid w:val="00E61736"/>
    <w:rsid w:val="00E662BD"/>
    <w:rsid w:val="00E759B2"/>
    <w:rsid w:val="00E75C92"/>
    <w:rsid w:val="00E771DC"/>
    <w:rsid w:val="00E8772A"/>
    <w:rsid w:val="00E906B3"/>
    <w:rsid w:val="00E90F6B"/>
    <w:rsid w:val="00E92C27"/>
    <w:rsid w:val="00EA0E3D"/>
    <w:rsid w:val="00EB0917"/>
    <w:rsid w:val="00EB525A"/>
    <w:rsid w:val="00EC38A7"/>
    <w:rsid w:val="00EC6DA5"/>
    <w:rsid w:val="00ED1A98"/>
    <w:rsid w:val="00EE1AA8"/>
    <w:rsid w:val="00EE28A2"/>
    <w:rsid w:val="00F149B6"/>
    <w:rsid w:val="00F23FEA"/>
    <w:rsid w:val="00F31EDC"/>
    <w:rsid w:val="00F462B3"/>
    <w:rsid w:val="00F46C94"/>
    <w:rsid w:val="00F50690"/>
    <w:rsid w:val="00F5664F"/>
    <w:rsid w:val="00F61691"/>
    <w:rsid w:val="00F666C4"/>
    <w:rsid w:val="00F707D2"/>
    <w:rsid w:val="00F76AFC"/>
    <w:rsid w:val="00FA1567"/>
    <w:rsid w:val="00FA47C0"/>
    <w:rsid w:val="00FB3F10"/>
    <w:rsid w:val="00FB5DD1"/>
    <w:rsid w:val="00FC01C6"/>
    <w:rsid w:val="00FC2B5D"/>
    <w:rsid w:val="00FC4175"/>
    <w:rsid w:val="00FD57B4"/>
    <w:rsid w:val="00FE0A59"/>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7468F"/>
    <w:rPr>
      <w:rFonts w:ascii="Geomanist Light" w:hAnsi="Geomanist Light"/>
      <w:lang w:val="es-ES"/>
    </w:rPr>
  </w:style>
  <w:style w:type="paragraph" w:customStyle="1" w:styleId="Appelnotedebasde">
    <w:name w:val="Appel note de bas de..."/>
    <w:basedOn w:val="Normal"/>
    <w:link w:val="Refdenotaalpie"/>
    <w:uiPriority w:val="99"/>
    <w:rsid w:val="0077468F"/>
    <w:pPr>
      <w:spacing w:line="240" w:lineRule="exact"/>
    </w:pPr>
    <w:rPr>
      <w:vertAlign w:val="superscript"/>
    </w:rPr>
  </w:style>
  <w:style w:type="paragraph" w:styleId="Textoindependiente">
    <w:name w:val="Body Text"/>
    <w:basedOn w:val="Normal"/>
    <w:link w:val="TextoindependienteCar"/>
    <w:uiPriority w:val="99"/>
    <w:unhideWhenUsed/>
    <w:rsid w:val="0077468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7468F"/>
    <w:rPr>
      <w:rFonts w:eastAsiaTheme="minorEastAsia"/>
      <w:lang w:eastAsia="es-CO"/>
    </w:rPr>
  </w:style>
  <w:style w:type="table" w:customStyle="1" w:styleId="Tablaconcuadrcula1">
    <w:name w:val="Tabla con cuadrícula1"/>
    <w:basedOn w:val="Tablanormal"/>
    <w:next w:val="Tablaconcuadrcula"/>
    <w:uiPriority w:val="39"/>
    <w:qFormat/>
    <w:rsid w:val="0077468F"/>
    <w:pPr>
      <w:spacing w:after="0" w:line="240" w:lineRule="auto"/>
    </w:pPr>
    <w:tblPr/>
  </w:style>
  <w:style w:type="character" w:customStyle="1" w:styleId="NormalWebCar">
    <w:name w:val="Normal (Web) Car"/>
    <w:link w:val="NormalWeb"/>
    <w:uiPriority w:val="99"/>
    <w:rsid w:val="0077468F"/>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95125"/>
    <w:rPr>
      <w:sz w:val="16"/>
      <w:szCs w:val="16"/>
    </w:rPr>
  </w:style>
  <w:style w:type="paragraph" w:styleId="Textocomentario">
    <w:name w:val="annotation text"/>
    <w:basedOn w:val="Normal"/>
    <w:link w:val="TextocomentarioCar"/>
    <w:uiPriority w:val="99"/>
    <w:unhideWhenUsed/>
    <w:rsid w:val="00895125"/>
    <w:pPr>
      <w:spacing w:line="240" w:lineRule="auto"/>
    </w:pPr>
    <w:rPr>
      <w:sz w:val="20"/>
      <w:szCs w:val="20"/>
    </w:rPr>
  </w:style>
  <w:style w:type="character" w:customStyle="1" w:styleId="TextocomentarioCar">
    <w:name w:val="Texto comentario Car"/>
    <w:basedOn w:val="Fuentedeprrafopredeter"/>
    <w:link w:val="Textocomentario"/>
    <w:uiPriority w:val="99"/>
    <w:rsid w:val="00895125"/>
    <w:rPr>
      <w:sz w:val="20"/>
      <w:szCs w:val="20"/>
    </w:rPr>
  </w:style>
  <w:style w:type="paragraph" w:styleId="Asuntodelcomentario">
    <w:name w:val="annotation subject"/>
    <w:basedOn w:val="Textocomentario"/>
    <w:next w:val="Textocomentario"/>
    <w:link w:val="AsuntodelcomentarioCar"/>
    <w:uiPriority w:val="99"/>
    <w:semiHidden/>
    <w:unhideWhenUsed/>
    <w:rsid w:val="00895125"/>
    <w:rPr>
      <w:b/>
      <w:bCs/>
    </w:rPr>
  </w:style>
  <w:style w:type="character" w:customStyle="1" w:styleId="AsuntodelcomentarioCar">
    <w:name w:val="Asunto del comentario Car"/>
    <w:basedOn w:val="TextocomentarioCar"/>
    <w:link w:val="Asuntodelcomentario"/>
    <w:uiPriority w:val="99"/>
    <w:semiHidden/>
    <w:rsid w:val="00895125"/>
    <w:rPr>
      <w:b/>
      <w:bCs/>
      <w:sz w:val="20"/>
      <w:szCs w:val="20"/>
    </w:rPr>
  </w:style>
  <w:style w:type="paragraph" w:customStyle="1" w:styleId="pf0">
    <w:name w:val="pf0"/>
    <w:basedOn w:val="Normal"/>
    <w:rsid w:val="00895125"/>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colombiacompra.gov.co/normativa-y-relatoria/documentos-tipo"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formacionvirtual.colombiacompra.gov.co/mod/page/view.php?id=3718"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errueda@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archivos/manual/guia-para-determinar-y-verificar-la-capacidad-residual-del-proponente-en-los-procesos-de-contratacion-de-obra-publica" TargetMode="External"/><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1C49B30-1E82-4E30-B395-3B211EB940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24</Pages>
  <Words>7829</Words>
  <Characters>43061</Characters>
  <Application>Microsoft Office Word</Application>
  <DocSecurity>0</DocSecurity>
  <Lines>358</Lines>
  <Paragraphs>101</Paragraphs>
  <ScaleCrop>false</ScaleCrop>
  <Company/>
  <LinksUpToDate>false</LinksUpToDate>
  <CharactersWithSpaces>50789</CharactersWithSpaces>
  <SharedDoc>false</SharedDoc>
  <HLinks>
    <vt:vector size="36" baseType="variant">
      <vt:variant>
        <vt:i4>3276900</vt:i4>
      </vt:variant>
      <vt:variant>
        <vt:i4>12</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65617</vt:i4>
      </vt:variant>
      <vt:variant>
        <vt:i4>6</vt:i4>
      </vt:variant>
      <vt:variant>
        <vt:i4>0</vt:i4>
      </vt:variant>
      <vt:variant>
        <vt:i4>5</vt:i4>
      </vt:variant>
      <vt:variant>
        <vt:lpwstr>https://www.colombiacompra.gov.co/archivos/manual/manual-para-determinar-y-verificar-los-requisitos-habilitantes-en-los-procesos-de-contratacion</vt:lpwstr>
      </vt:variant>
      <vt:variant>
        <vt:lpwstr/>
      </vt:variant>
      <vt:variant>
        <vt:i4>6684780</vt:i4>
      </vt:variant>
      <vt:variant>
        <vt:i4>3</vt:i4>
      </vt:variant>
      <vt:variant>
        <vt:i4>0</vt:i4>
      </vt:variant>
      <vt:variant>
        <vt:i4>5</vt:i4>
      </vt:variant>
      <vt:variant>
        <vt:lpwstr>https://www.colombiacompra.gov.co/archivos/manual/guia-para-determinar-y-verificar-la-capacidad-residual-del-proponente-en-los-procesos-de-contratacion-de-obra-publica</vt:lpwstr>
      </vt:variant>
      <vt:variant>
        <vt:lpwstr/>
      </vt:variant>
      <vt:variant>
        <vt:i4>1245235</vt:i4>
      </vt:variant>
      <vt:variant>
        <vt:i4>0</vt:i4>
      </vt:variant>
      <vt:variant>
        <vt:i4>0</vt:i4>
      </vt:variant>
      <vt:variant>
        <vt:i4>5</vt:i4>
      </vt:variant>
      <vt:variant>
        <vt:lpwstr>mailto:ayalgarrav@gmail.com</vt:lpwstr>
      </vt:variant>
      <vt:variant>
        <vt:lpwstr/>
      </vt:variant>
      <vt:variant>
        <vt:i4>65617</vt:i4>
      </vt:variant>
      <vt:variant>
        <vt:i4>0</vt:i4>
      </vt:variant>
      <vt:variant>
        <vt:i4>0</vt:i4>
      </vt:variant>
      <vt:variant>
        <vt:i4>5</vt:i4>
      </vt:variant>
      <vt:variant>
        <vt:lpwstr>https://www.colombiacompra.gov.co/archivos/manual/manual-para-determinar-y-verificar-los-requisitos-habilitantes-en-los-procesos-de-contratacion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2026-06-12T14:16:00Z</dcterms:created>
  <dcterms:modified xsi:type="dcterms:W3CDTF">2026-06-13T15:37:00Z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