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DB5D1" w14:textId="77777777" w:rsidR="005F07A0" w:rsidRPr="004C046B" w:rsidRDefault="005F07A0" w:rsidP="005F07A0">
      <w:pPr>
        <w:spacing w:after="0" w:line="240" w:lineRule="auto"/>
        <w:contextualSpacing/>
        <w:jc w:val="both"/>
        <w:rPr>
          <w:rFonts w:ascii="Verdana" w:eastAsia="Calibri" w:hAnsi="Verdana" w:cs="Arial"/>
          <w:b/>
          <w:bCs/>
          <w:lang w:eastAsia="es-ES"/>
        </w:rPr>
      </w:pPr>
      <w:bookmarkStart w:id="0" w:name="_Hlk230693044"/>
      <w:r>
        <w:rPr>
          <w:rFonts w:ascii="Verdana" w:eastAsia="Calibri" w:hAnsi="Verdana" w:cs="Arial"/>
          <w:b/>
          <w:bCs/>
          <w:lang w:eastAsia="es-ES"/>
        </w:rPr>
        <w:t>DECRETO 0287 DE 2026 ‒ Sistema Integral de Preferencias ‒ Contratación pública inclusiva ‒ Personas con discapacidad</w:t>
      </w:r>
    </w:p>
    <w:p w14:paraId="4324DC21"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81DC995"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 Respecto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sz w:val="20"/>
          <w:szCs w:val="20"/>
          <w:lang w:eastAsia="es-ES"/>
        </w:rPr>
        <w:t>N.°</w:t>
      </w:r>
      <w:proofErr w:type="spellEnd"/>
      <w:r>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29CB530A"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783D6E7C"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Antecedentes normativos ‒ Decreto 392 de 2018 ‒ Omisiones reglamentarias ‒ Sentencia de acción de cumplimiento</w:t>
      </w:r>
    </w:p>
    <w:p w14:paraId="67C492AA"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7B3B7B44"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Pr>
          <w:rFonts w:ascii="Verdana" w:eastAsia="Calibri" w:hAnsi="Verdana" w:cs="Arial"/>
          <w:sz w:val="20"/>
          <w:szCs w:val="20"/>
          <w:lang w:eastAsia="es-ES"/>
        </w:rPr>
        <w:t>n.°</w:t>
      </w:r>
      <w:proofErr w:type="spellEnd"/>
      <w:r>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3F4D50B"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529DCBDB"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0AA267A1"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136E4184" w14:textId="77777777" w:rsidR="005F07A0" w:rsidRPr="00206556"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por al menos un año; y personas jurídicas con al menos una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07D41702"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6E836816"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No acumulabilidad ‒ Acreditación simultánea de condiciones ‒ Modalidades de selección aplicables</w:t>
      </w:r>
    </w:p>
    <w:p w14:paraId="423D1552" w14:textId="77777777" w:rsidR="005F07A0" w:rsidRPr="00206556" w:rsidRDefault="005F07A0" w:rsidP="005F07A0">
      <w:pPr>
        <w:spacing w:after="0" w:line="240" w:lineRule="auto"/>
        <w:contextualSpacing/>
        <w:jc w:val="both"/>
        <w:rPr>
          <w:rFonts w:ascii="Verdana" w:eastAsia="Calibri" w:hAnsi="Verdana" w:cs="Arial"/>
          <w:sz w:val="20"/>
          <w:szCs w:val="20"/>
          <w:lang w:eastAsia="es-ES"/>
        </w:rPr>
      </w:pPr>
    </w:p>
    <w:p w14:paraId="3C67B20C"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y ser empleador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7126463B" w14:textId="77777777" w:rsidR="005F07A0" w:rsidRDefault="005F07A0" w:rsidP="005F07A0">
      <w:pPr>
        <w:spacing w:after="0" w:line="240" w:lineRule="auto"/>
        <w:contextualSpacing/>
        <w:jc w:val="both"/>
        <w:rPr>
          <w:rFonts w:ascii="Verdana" w:eastAsia="Calibri" w:hAnsi="Verdana" w:cs="Arial"/>
          <w:b/>
          <w:bCs/>
          <w:sz w:val="20"/>
          <w:szCs w:val="20"/>
          <w:lang w:eastAsia="es-ES"/>
        </w:rPr>
      </w:pPr>
    </w:p>
    <w:p w14:paraId="64613766"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0097288A" w14:textId="77777777" w:rsidR="005F07A0" w:rsidRPr="00206556" w:rsidRDefault="005F07A0" w:rsidP="005F07A0">
      <w:pPr>
        <w:spacing w:after="0" w:line="240" w:lineRule="auto"/>
        <w:contextualSpacing/>
        <w:jc w:val="both"/>
        <w:rPr>
          <w:rFonts w:ascii="Verdana" w:eastAsia="Calibri" w:hAnsi="Verdana" w:cs="Arial"/>
          <w:sz w:val="20"/>
          <w:szCs w:val="20"/>
          <w:lang w:eastAsia="es-ES"/>
        </w:rPr>
      </w:pPr>
    </w:p>
    <w:p w14:paraId="41FAD980"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cuyas planillas no alcancen ese período, pudiendo el proponente acreditar el puntaje con base en las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Pr>
          <w:rFonts w:ascii="Verdana" w:eastAsia="Calibri" w:hAnsi="Verdana" w:cs="Arial"/>
          <w:sz w:val="20"/>
          <w:szCs w:val="20"/>
          <w:lang w:eastAsia="es-ES"/>
        </w:rPr>
        <w:t>meses aquí mencionado</w:t>
      </w:r>
      <w:proofErr w:type="gramEnd"/>
      <w:r>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w:t>
      </w:r>
    </w:p>
    <w:p w14:paraId="4F76D326" w14:textId="77777777" w:rsidR="005F07A0" w:rsidRPr="00C820EF" w:rsidRDefault="005F07A0" w:rsidP="005F07A0">
      <w:pPr>
        <w:spacing w:after="0" w:line="240" w:lineRule="auto"/>
        <w:contextualSpacing/>
        <w:jc w:val="both"/>
        <w:rPr>
          <w:rFonts w:ascii="Verdana" w:eastAsia="Calibri" w:hAnsi="Verdana" w:cs="Arial"/>
          <w:sz w:val="20"/>
          <w:szCs w:val="20"/>
          <w:lang w:eastAsia="es-ES"/>
        </w:rPr>
      </w:pPr>
    </w:p>
    <w:p w14:paraId="1C8F4155" w14:textId="77777777" w:rsidR="005F07A0" w:rsidRPr="003C64A5"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Para efectos de determinar el número mínimo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son los indicados en el artículo 2.2.1.2.4.2.6 y no los del artículo 2.2.1.2.4.2.7.4.</w:t>
      </w:r>
    </w:p>
    <w:p w14:paraId="3ECA1C44"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6AAB33FE"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44F68891" w14:textId="77777777" w:rsidR="005F07A0" w:rsidRPr="00206556" w:rsidRDefault="005F07A0" w:rsidP="005F07A0">
      <w:pPr>
        <w:spacing w:after="0" w:line="240" w:lineRule="auto"/>
        <w:contextualSpacing/>
        <w:jc w:val="both"/>
        <w:rPr>
          <w:rFonts w:ascii="Verdana" w:eastAsia="Calibri" w:hAnsi="Verdana" w:cs="Arial"/>
          <w:b/>
          <w:bCs/>
          <w:sz w:val="20"/>
          <w:szCs w:val="20"/>
          <w:lang w:eastAsia="es-ES"/>
        </w:rPr>
      </w:pPr>
    </w:p>
    <w:p w14:paraId="40E1EEBA"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36903D6C" w14:textId="77777777" w:rsidR="005F07A0" w:rsidRPr="00DA1940" w:rsidRDefault="005F07A0" w:rsidP="005F07A0">
      <w:pPr>
        <w:spacing w:after="0" w:line="240" w:lineRule="auto"/>
        <w:contextualSpacing/>
        <w:jc w:val="both"/>
        <w:rPr>
          <w:rFonts w:ascii="Verdana" w:eastAsia="Calibri" w:hAnsi="Verdana" w:cs="Arial"/>
          <w:sz w:val="20"/>
          <w:szCs w:val="20"/>
          <w:lang w:eastAsia="es-ES"/>
        </w:rPr>
      </w:pPr>
    </w:p>
    <w:p w14:paraId="569128A2"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y no para los empleadores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19D0A4DF"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451C691"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003B946D"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08B9D4DF"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y a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C281620"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08E5AACD"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Documentos tipo ‒ Principio de inalterabilidad ‒ Régimen de transición ‒ Actualización ‒ Colombia Compra Eficiente</w:t>
      </w:r>
    </w:p>
    <w:p w14:paraId="6DD63537"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4DC46867" w14:textId="77777777" w:rsidR="005F07A0" w:rsidRPr="00206556"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 </w:t>
      </w:r>
    </w:p>
    <w:p w14:paraId="02E62724"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52783CE2"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Contratos de prestación de servicios ‒ personas con discapacidad ‒ Carácter potestativo ‒ Contratación directa</w:t>
      </w:r>
    </w:p>
    <w:p w14:paraId="69C49BC5"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3698B41A"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 la inclusión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Pr>
          <w:rFonts w:ascii="Verdana" w:eastAsia="Calibri" w:hAnsi="Verdana" w:cs="Arial"/>
          <w:sz w:val="20"/>
          <w:szCs w:val="20"/>
          <w:lang w:eastAsia="es-ES"/>
        </w:rPr>
        <w:lastRenderedPageBreak/>
        <w:t>esta medida a través del SECOP, evaluando pertinencia, duración, objeto y nivel de especialización de cada contrato.</w:t>
      </w:r>
    </w:p>
    <w:p w14:paraId="1B4213A0"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50F7B438" w14:textId="77777777" w:rsidR="005F07A0" w:rsidRPr="004C046B" w:rsidRDefault="005F07A0" w:rsidP="005F07A0">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Compatibilidad ‒ Incentivos MiPymes ‒ Empresas de mujeres ‒ Criterio de desempate ‒ Ley 2069 de 2020</w:t>
      </w:r>
    </w:p>
    <w:p w14:paraId="49C9B30B" w14:textId="77777777" w:rsidR="005F07A0" w:rsidRPr="007B5AD4" w:rsidRDefault="005F07A0" w:rsidP="005F07A0">
      <w:pPr>
        <w:spacing w:after="0" w:line="240" w:lineRule="auto"/>
        <w:contextualSpacing/>
        <w:jc w:val="both"/>
        <w:rPr>
          <w:rFonts w:ascii="Verdana" w:eastAsia="Calibri" w:hAnsi="Verdana" w:cs="Arial"/>
          <w:b/>
          <w:bCs/>
          <w:sz w:val="20"/>
          <w:szCs w:val="20"/>
          <w:lang w:eastAsia="es-ES"/>
        </w:rPr>
      </w:pPr>
    </w:p>
    <w:p w14:paraId="59E679A5" w14:textId="77777777" w:rsidR="005F07A0" w:rsidRDefault="005F07A0" w:rsidP="005F07A0">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xml:space="preserve">, no a los emprendimientos y empresas de </w:t>
      </w:r>
      <w:proofErr w:type="spellStart"/>
      <w:r>
        <w:rPr>
          <w:rFonts w:ascii="Verdana" w:eastAsia="Calibri" w:hAnsi="Verdana" w:cs="Arial"/>
          <w:sz w:val="20"/>
          <w:szCs w:val="20"/>
          <w:lang w:eastAsia="es-ES"/>
        </w:rPr>
        <w:t>PcD</w:t>
      </w:r>
      <w:proofErr w:type="spellEnd"/>
      <w:r>
        <w:rPr>
          <w:rFonts w:ascii="Verdana" w:eastAsia="Calibri" w:hAnsi="Verdana" w:cs="Arial"/>
          <w:sz w:val="20"/>
          <w:szCs w:val="20"/>
          <w:lang w:eastAsia="es-ES"/>
        </w:rPr>
        <w:t>, dicha norma exige que al menos el 10% de la nómina esté en condición de discapacidad y opera únicamente cuando hay empate entre dos o más ofertas.</w:t>
      </w:r>
    </w:p>
    <w:p w14:paraId="79D5A82C"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14A19C25"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16EFEA2C"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CF74C57"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6385B7C"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3B1A482A"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A4F3BDC"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4CB86780"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596767A6"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6F003673"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635D03C"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98294BF"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1911C1B"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66F024E7"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25C49DBE"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2E4441D"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A15C7F5"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00A4B70F"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4A0F75A2"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4E20A577"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5578ADEE"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11B56C4A"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8080AC7"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67926176"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75B1DEBB" w14:textId="77777777" w:rsidR="005F07A0" w:rsidRDefault="005F07A0" w:rsidP="005F07A0">
      <w:pPr>
        <w:spacing w:after="0" w:line="240" w:lineRule="auto"/>
        <w:contextualSpacing/>
        <w:jc w:val="both"/>
        <w:rPr>
          <w:rFonts w:ascii="Verdana" w:eastAsia="Calibri" w:hAnsi="Verdana" w:cs="Arial"/>
          <w:sz w:val="20"/>
          <w:szCs w:val="20"/>
          <w:lang w:eastAsia="es-ES"/>
        </w:rPr>
      </w:pPr>
    </w:p>
    <w:p w14:paraId="43BA973B" w14:textId="77777777" w:rsidR="005F07A0" w:rsidRPr="00206556" w:rsidRDefault="005F07A0" w:rsidP="005F07A0">
      <w:pPr>
        <w:spacing w:after="0" w:line="240" w:lineRule="auto"/>
        <w:contextualSpacing/>
        <w:jc w:val="both"/>
        <w:rPr>
          <w:rFonts w:ascii="Verdana" w:eastAsia="Calibri" w:hAnsi="Verdana" w:cs="Arial"/>
          <w:sz w:val="20"/>
          <w:szCs w:val="20"/>
          <w:lang w:eastAsia="es-ES"/>
        </w:rPr>
      </w:pPr>
    </w:p>
    <w:p w14:paraId="68489077" w14:textId="77777777" w:rsidR="005F07A0" w:rsidRPr="007B5AD4" w:rsidRDefault="005F07A0" w:rsidP="005F07A0">
      <w:pPr>
        <w:spacing w:after="0" w:line="240" w:lineRule="auto"/>
        <w:contextualSpacing/>
        <w:jc w:val="both"/>
        <w:rPr>
          <w:rFonts w:ascii="Verdana" w:eastAsia="Calibri" w:hAnsi="Verdana" w:cs="Arial"/>
          <w:sz w:val="20"/>
          <w:szCs w:val="20"/>
          <w:lang w:eastAsia="es-ES"/>
        </w:rPr>
      </w:pPr>
    </w:p>
    <w:p w14:paraId="42DB23DC" w14:textId="5CBF8E86" w:rsidR="005F07A0" w:rsidRDefault="002407BF" w:rsidP="005F07A0">
      <w:pPr>
        <w:spacing w:after="0"/>
        <w:rPr>
          <w:rFonts w:ascii="Verdana" w:hAnsi="Verdana"/>
        </w:rPr>
      </w:pPr>
      <w:r w:rsidRPr="002407BF">
        <w:rPr>
          <w:rFonts w:ascii="Verdana" w:hAnsi="Verdana"/>
          <w:noProof/>
        </w:rPr>
        <w:lastRenderedPageBreak/>
        <w:drawing>
          <wp:anchor distT="0" distB="0" distL="114300" distR="114300" simplePos="0" relativeHeight="251658240" behindDoc="1" locked="0" layoutInCell="1" allowOverlap="1" wp14:anchorId="52F285EF" wp14:editId="6F8BEF54">
            <wp:simplePos x="0" y="0"/>
            <wp:positionH relativeFrom="column">
              <wp:posOffset>3813175</wp:posOffset>
            </wp:positionH>
            <wp:positionV relativeFrom="paragraph">
              <wp:posOffset>272</wp:posOffset>
            </wp:positionV>
            <wp:extent cx="2371090" cy="783590"/>
            <wp:effectExtent l="0" t="0" r="0" b="0"/>
            <wp:wrapTight wrapText="bothSides">
              <wp:wrapPolygon edited="0">
                <wp:start x="0" y="0"/>
                <wp:lineTo x="0" y="21005"/>
                <wp:lineTo x="21345" y="21005"/>
                <wp:lineTo x="21345" y="0"/>
                <wp:lineTo x="0" y="0"/>
              </wp:wrapPolygon>
            </wp:wrapTight>
            <wp:docPr id="10046321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632123"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1090" cy="783590"/>
                    </a:xfrm>
                    <a:prstGeom prst="rect">
                      <a:avLst/>
                    </a:prstGeom>
                  </pic:spPr>
                </pic:pic>
              </a:graphicData>
            </a:graphic>
            <wp14:sizeRelH relativeFrom="page">
              <wp14:pctWidth>0</wp14:pctWidth>
            </wp14:sizeRelH>
            <wp14:sizeRelV relativeFrom="page">
              <wp14:pctHeight>0</wp14:pctHeight>
            </wp14:sizeRelV>
          </wp:anchor>
        </w:drawing>
      </w:r>
      <w:r w:rsidR="00232365" w:rsidRPr="00232365">
        <w:t xml:space="preserve"> </w:t>
      </w:r>
      <w:r w:rsidR="00232365" w:rsidRPr="00232365">
        <w:rPr>
          <w:rFonts w:ascii="Verdana" w:hAnsi="Verdana"/>
        </w:rPr>
        <w:t xml:space="preserve">Bogotá D.C., 24 de </w:t>
      </w:r>
      <w:r w:rsidR="00503AB0" w:rsidRPr="00232365">
        <w:rPr>
          <w:rFonts w:ascii="Verdana" w:hAnsi="Verdana"/>
        </w:rPr>
        <w:t>junio</w:t>
      </w:r>
      <w:r w:rsidR="00232365" w:rsidRPr="00232365">
        <w:rPr>
          <w:rFonts w:ascii="Verdana" w:hAnsi="Verdana"/>
        </w:rPr>
        <w:t xml:space="preserve"> de 2026</w:t>
      </w:r>
    </w:p>
    <w:p w14:paraId="4957F5C5" w14:textId="77777777" w:rsidR="00232365" w:rsidRPr="00777292" w:rsidRDefault="00232365" w:rsidP="005F07A0">
      <w:pPr>
        <w:spacing w:after="0"/>
        <w:rPr>
          <w:rFonts w:ascii="Verdana" w:hAnsi="Verdana"/>
          <w:lang w:val="es-ES_tradnl"/>
        </w:rPr>
      </w:pPr>
    </w:p>
    <w:p w14:paraId="6BFB87B6" w14:textId="77777777" w:rsidR="005F07A0" w:rsidRPr="00777292" w:rsidRDefault="005F07A0" w:rsidP="005F07A0">
      <w:pPr>
        <w:spacing w:after="0"/>
        <w:rPr>
          <w:rFonts w:ascii="Verdana" w:hAnsi="Verdana"/>
          <w:lang w:val="es-ES_tradnl"/>
        </w:rPr>
      </w:pPr>
    </w:p>
    <w:p w14:paraId="2B923453" w14:textId="77777777" w:rsidR="005F07A0" w:rsidRPr="00777292" w:rsidRDefault="005F07A0" w:rsidP="005F07A0">
      <w:pPr>
        <w:spacing w:after="0" w:line="240" w:lineRule="auto"/>
        <w:rPr>
          <w:rFonts w:ascii="Verdana" w:hAnsi="Verdana"/>
          <w:lang w:val="es-ES"/>
        </w:rPr>
      </w:pPr>
      <w:bookmarkStart w:id="1" w:name="_Hlk143780582"/>
      <w:r>
        <w:rPr>
          <w:rFonts w:ascii="Verdana" w:eastAsia="Calibri" w:hAnsi="Verdana" w:cs="Arial"/>
          <w:lang w:val="es-ES" w:eastAsia="es-ES"/>
        </w:rPr>
        <w:t>Señora</w:t>
      </w:r>
    </w:p>
    <w:p w14:paraId="22EE1A83" w14:textId="77777777" w:rsidR="005F07A0" w:rsidRPr="006B694D" w:rsidRDefault="005F07A0" w:rsidP="005F07A0">
      <w:pPr>
        <w:spacing w:after="0"/>
        <w:rPr>
          <w:rFonts w:ascii="Verdana" w:eastAsia="Calibri" w:hAnsi="Verdana" w:cs="Arial"/>
          <w:b/>
          <w:bCs/>
          <w:lang w:val="es-ES" w:eastAsia="es-ES"/>
        </w:rPr>
      </w:pPr>
      <w:r>
        <w:rPr>
          <w:rFonts w:ascii="Verdana" w:eastAsia="Calibri" w:hAnsi="Verdana" w:cs="Arial"/>
          <w:b/>
          <w:bCs/>
          <w:lang w:val="es-ES" w:eastAsia="es-ES"/>
        </w:rPr>
        <w:t xml:space="preserve">Andrea Lizeth Bonilla Parra </w:t>
      </w:r>
    </w:p>
    <w:p w14:paraId="237BDC92" w14:textId="77777777" w:rsidR="005F07A0" w:rsidRPr="006B694D" w:rsidRDefault="005F07A0" w:rsidP="005F07A0">
      <w:pPr>
        <w:spacing w:after="0"/>
        <w:rPr>
          <w:rStyle w:val="Hipervnculo"/>
          <w:rFonts w:ascii="Verdana" w:hAnsi="Verdana"/>
          <w:color w:val="ED7D31" w:themeColor="accent2"/>
        </w:rPr>
      </w:pPr>
      <w:r>
        <w:rPr>
          <w:rFonts w:ascii="Verdana" w:hAnsi="Verdana"/>
        </w:rPr>
        <w:t>Andrea.bonilla@mtna.net.co</w:t>
      </w:r>
    </w:p>
    <w:p w14:paraId="61C9A3BB" w14:textId="77777777" w:rsidR="005F07A0" w:rsidRPr="00777292" w:rsidRDefault="005F07A0" w:rsidP="005F07A0">
      <w:pPr>
        <w:spacing w:after="0"/>
        <w:rPr>
          <w:rFonts w:ascii="Verdana" w:eastAsia="Calibri" w:hAnsi="Verdana" w:cs="Arial"/>
          <w:lang w:eastAsia="es-ES"/>
        </w:rPr>
      </w:pPr>
      <w:r>
        <w:rPr>
          <w:rFonts w:ascii="Verdana" w:eastAsia="Calibri" w:hAnsi="Verdana" w:cs="Arial"/>
          <w:lang w:eastAsia="es-ES"/>
        </w:rPr>
        <w:t>Bogotá, 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F07A0" w:rsidRPr="00777292" w14:paraId="6656BDE4" w14:textId="77777777" w:rsidTr="00733BF3">
        <w:trPr>
          <w:trHeight w:val="190"/>
        </w:trPr>
        <w:tc>
          <w:tcPr>
            <w:tcW w:w="2689" w:type="dxa"/>
          </w:tcPr>
          <w:p w14:paraId="0F9B1CD8" w14:textId="77777777" w:rsidR="005F07A0" w:rsidRPr="00777292" w:rsidRDefault="005F07A0" w:rsidP="00733BF3">
            <w:pPr>
              <w:jc w:val="both"/>
              <w:rPr>
                <w:rFonts w:ascii="Verdana" w:eastAsia="Calibri" w:hAnsi="Verdana" w:cs="Arial"/>
                <w:b/>
                <w:bCs/>
                <w:lang w:eastAsia="es-ES_tradnl"/>
              </w:rPr>
            </w:pPr>
          </w:p>
        </w:tc>
        <w:tc>
          <w:tcPr>
            <w:tcW w:w="6100" w:type="dxa"/>
          </w:tcPr>
          <w:p w14:paraId="4CAE5120" w14:textId="77777777" w:rsidR="005F07A0" w:rsidRPr="00777292" w:rsidRDefault="005F07A0" w:rsidP="00733BF3">
            <w:pPr>
              <w:jc w:val="both"/>
              <w:rPr>
                <w:rFonts w:ascii="Verdana" w:eastAsia="Calibri" w:hAnsi="Verdana" w:cs="Arial"/>
                <w:b/>
                <w:bCs/>
                <w:lang w:eastAsia="es-ES"/>
              </w:rPr>
            </w:pPr>
            <w:r>
              <w:rPr>
                <w:rFonts w:ascii="Verdana" w:eastAsia="Calibri" w:hAnsi="Verdana" w:cs="Arial"/>
                <w:b/>
                <w:bCs/>
                <w:lang w:eastAsia="es-ES"/>
              </w:rPr>
              <w:t>Concepto C- 862 de 2026</w:t>
            </w:r>
          </w:p>
          <w:p w14:paraId="566B1D7A" w14:textId="77777777" w:rsidR="005F07A0" w:rsidRPr="00777292" w:rsidRDefault="005F07A0" w:rsidP="00733BF3">
            <w:pPr>
              <w:jc w:val="both"/>
              <w:rPr>
                <w:rFonts w:ascii="Verdana" w:eastAsia="Calibri" w:hAnsi="Verdana" w:cs="Arial"/>
                <w:b/>
                <w:bCs/>
                <w:lang w:eastAsia="es-ES"/>
              </w:rPr>
            </w:pPr>
          </w:p>
        </w:tc>
      </w:tr>
      <w:tr w:rsidR="005F07A0" w:rsidRPr="00777292" w14:paraId="56A5DC6B" w14:textId="77777777" w:rsidTr="00733BF3">
        <w:trPr>
          <w:trHeight w:val="884"/>
        </w:trPr>
        <w:tc>
          <w:tcPr>
            <w:tcW w:w="2689" w:type="dxa"/>
          </w:tcPr>
          <w:p w14:paraId="28BFB53D" w14:textId="77777777" w:rsidR="005F07A0" w:rsidRPr="00777292" w:rsidRDefault="005F07A0" w:rsidP="00733BF3">
            <w:pPr>
              <w:jc w:val="both"/>
              <w:rPr>
                <w:rFonts w:ascii="Verdana" w:eastAsia="Calibri" w:hAnsi="Verdana" w:cs="Arial"/>
                <w:lang w:eastAsia="es-ES_tradnl"/>
              </w:rPr>
            </w:pPr>
            <w:r>
              <w:rPr>
                <w:rFonts w:ascii="Verdana" w:eastAsia="Calibri" w:hAnsi="Verdana" w:cs="Arial"/>
                <w:b/>
                <w:lang w:eastAsia="es-ES_tradnl"/>
              </w:rPr>
              <w:t>Tema:</w:t>
            </w:r>
            <w:r>
              <w:rPr>
                <w:rFonts w:ascii="Verdana" w:eastAsia="Calibri" w:hAnsi="Verdana" w:cs="Arial"/>
                <w:lang w:eastAsia="es-ES_tradnl"/>
              </w:rPr>
              <w:t xml:space="preserve">                   </w:t>
            </w:r>
          </w:p>
        </w:tc>
        <w:tc>
          <w:tcPr>
            <w:tcW w:w="6100" w:type="dxa"/>
          </w:tcPr>
          <w:p w14:paraId="5D989DBB" w14:textId="77777777" w:rsidR="005F07A0" w:rsidRDefault="005F07A0" w:rsidP="00733BF3">
            <w:pPr>
              <w:contextualSpacing/>
              <w:jc w:val="both"/>
              <w:rPr>
                <w:rFonts w:ascii="Verdana" w:eastAsia="Calibri" w:hAnsi="Verdana" w:cs="Arial"/>
                <w:lang w:eastAsia="es-ES"/>
              </w:rPr>
            </w:pPr>
            <w:r>
              <w:rPr>
                <w:rFonts w:ascii="Verdana" w:eastAsia="Calibri" w:hAnsi="Verdana" w:cs="Arial"/>
                <w:lang w:eastAsia="es-ES"/>
              </w:rPr>
              <w:t xml:space="preserve">DECRETO 0287 DE 2026 ‒ Sistema Integral de Preferencias ‒ Contratación pública inclusiva ‒ Personas con discapacidad / DECRETO 0287 DE 2026 ‒ Antecedentes normativos ‒ Decreto 392 de 2018 ‒ Omisiones reglamentarias ‒ Sentencia de acción de cumplimiento / DECRETO 0287 DE 2026 ‒ Sujetos del sistema ‒ Emprendimientos y empresas de personas con discapacidad ‒ Empleadores de personas con discapacidad ‒ Definición y diferenciación / DECRETO 0287 DE 2026 ‒ Puntaje adicional del 2% ‒ No acumulabilidad ‒ Acreditación simultánea de condiciones ‒ Modalidades de selección aplicables / DECRETO 0287 DE 2026 ‒ Puntaje adicional del 2% ‒ Vinculación de personas con discapacidad ‒ Planillas de seguridad social ‒ Período de tres meses ‒ Vinculaciones recientes / DECRETO 0287 DE 2026 ‒ Criterios habilitantes diferenciales ‒ Ajustados ‒ Obligatoriedad ‒ Proporcionalidad ‒ Proponentes plurales ‒ Consorcios y uniones temporales / DECRETO 0287 DE 2026 ‒ Condiciones especiales de ejecución ‒ Subcontratación inclusiva ‒ Integración del equipo de trabajo ‒ Obligatoriedad ‒ Justificación de omisión / DECRETO 0287 DE 2026 ‒ Documentos tipo ‒ Principio de inalterabilidad ‒ Régimen de transición </w:t>
            </w:r>
          </w:p>
          <w:p w14:paraId="42E7EE18" w14:textId="77777777" w:rsidR="005F07A0" w:rsidRPr="00777292" w:rsidRDefault="005F07A0" w:rsidP="00733BF3">
            <w:pPr>
              <w:contextualSpacing/>
              <w:jc w:val="both"/>
              <w:rPr>
                <w:rFonts w:ascii="Verdana" w:eastAsia="Calibri" w:hAnsi="Verdana" w:cs="Arial"/>
                <w:lang w:eastAsia="es-ES"/>
              </w:rPr>
            </w:pPr>
          </w:p>
        </w:tc>
      </w:tr>
      <w:tr w:rsidR="005F07A0" w:rsidRPr="00777292" w14:paraId="70ACBD8B" w14:textId="77777777" w:rsidTr="00733BF3">
        <w:tc>
          <w:tcPr>
            <w:tcW w:w="2689" w:type="dxa"/>
          </w:tcPr>
          <w:p w14:paraId="3405DC93" w14:textId="77777777" w:rsidR="005F07A0" w:rsidRPr="00777292" w:rsidRDefault="005F07A0" w:rsidP="00733BF3">
            <w:pPr>
              <w:jc w:val="both"/>
              <w:rPr>
                <w:rFonts w:ascii="Verdana" w:eastAsia="Calibri" w:hAnsi="Verdana" w:cs="Arial"/>
                <w:b/>
                <w:lang w:eastAsia="es-ES_tradnl"/>
              </w:rPr>
            </w:pPr>
            <w:r>
              <w:rPr>
                <w:rFonts w:ascii="Verdana" w:eastAsia="Calibri" w:hAnsi="Verdana" w:cs="Arial"/>
                <w:b/>
                <w:lang w:eastAsia="es-ES_tradnl"/>
              </w:rPr>
              <w:t>Radicación:</w:t>
            </w:r>
            <w:r>
              <w:rPr>
                <w:rFonts w:ascii="Verdana" w:eastAsia="Calibri" w:hAnsi="Verdana" w:cs="Arial"/>
                <w:lang w:eastAsia="es-ES_tradnl"/>
              </w:rPr>
              <w:t xml:space="preserve">               </w:t>
            </w:r>
          </w:p>
        </w:tc>
        <w:tc>
          <w:tcPr>
            <w:tcW w:w="6100" w:type="dxa"/>
          </w:tcPr>
          <w:p w14:paraId="5FEBB5DD" w14:textId="77777777" w:rsidR="005F07A0" w:rsidRPr="007F7FC4" w:rsidRDefault="005F07A0" w:rsidP="00733BF3">
            <w:pPr>
              <w:jc w:val="both"/>
              <w:rPr>
                <w:rFonts w:ascii="Verdana" w:eastAsia="Calibri" w:hAnsi="Verdana" w:cs="Arial"/>
                <w:lang w:eastAsia="es-ES_tradnl"/>
              </w:rPr>
            </w:pPr>
            <w:r w:rsidRPr="007F7FC4">
              <w:rPr>
                <w:rFonts w:ascii="Verdana" w:eastAsia="Calibri" w:hAnsi="Verdana" w:cs="Arial"/>
                <w:lang w:eastAsia="es-ES_tradnl"/>
              </w:rPr>
              <w:t>Respuesta a consulta con radicado No.</w:t>
            </w:r>
            <w:r w:rsidRPr="007F7FC4">
              <w:rPr>
                <w:rFonts w:ascii="Verdana" w:hAnsi="Verdana"/>
                <w:color w:val="242424"/>
                <w:shd w:val="clear" w:color="auto" w:fill="FFFFFF"/>
              </w:rPr>
              <w:t xml:space="preserve"> 1_2026_05_22_006926</w:t>
            </w:r>
          </w:p>
        </w:tc>
      </w:tr>
    </w:tbl>
    <w:p w14:paraId="2DF06AAB" w14:textId="77777777" w:rsidR="005F07A0" w:rsidRPr="00206556" w:rsidRDefault="005F07A0" w:rsidP="005F07A0">
      <w:pPr>
        <w:spacing w:after="0" w:line="276" w:lineRule="auto"/>
        <w:jc w:val="both"/>
        <w:rPr>
          <w:rFonts w:ascii="Verdana" w:eastAsia="Calibri" w:hAnsi="Verdana" w:cs="Arial"/>
          <w:color w:val="ED7D31" w:themeColor="accent2"/>
          <w:lang w:val="es-ES" w:eastAsia="es-ES"/>
        </w:rPr>
      </w:pPr>
    </w:p>
    <w:p w14:paraId="7B38EE9F" w14:textId="77777777" w:rsidR="005F07A0" w:rsidRPr="00206556" w:rsidRDefault="005F07A0" w:rsidP="005F07A0">
      <w:pPr>
        <w:spacing w:after="0" w:line="276" w:lineRule="auto"/>
        <w:jc w:val="both"/>
        <w:rPr>
          <w:rFonts w:ascii="Verdana" w:eastAsia="Calibri" w:hAnsi="Verdana" w:cs="Arial"/>
          <w:lang w:val="es-ES" w:eastAsia="es-ES"/>
        </w:rPr>
      </w:pPr>
      <w:r>
        <w:rPr>
          <w:rFonts w:ascii="Verdana" w:eastAsia="Calibri" w:hAnsi="Verdana" w:cs="Arial"/>
          <w:lang w:val="es-ES" w:eastAsia="es-ES"/>
        </w:rPr>
        <w:t>Estimada señora Bonilla,</w:t>
      </w:r>
    </w:p>
    <w:p w14:paraId="5227350F" w14:textId="77777777" w:rsidR="005F07A0" w:rsidRPr="00206556" w:rsidRDefault="005F07A0" w:rsidP="005F07A0">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452B5E7C" w14:textId="77777777" w:rsidR="005F07A0" w:rsidRPr="00206556" w:rsidRDefault="005F07A0" w:rsidP="005F07A0">
      <w:pPr>
        <w:spacing w:after="0" w:line="276" w:lineRule="auto"/>
        <w:jc w:val="both"/>
        <w:rPr>
          <w:rFonts w:ascii="Verdana" w:eastAsia="Calibri" w:hAnsi="Verdana" w:cs="Arial"/>
          <w:lang w:val="es-ES" w:eastAsia="es-ES"/>
        </w:rPr>
      </w:pPr>
      <w:r>
        <w:rPr>
          <w:rFonts w:ascii="Verdana" w:eastAsia="Calibri" w:hAnsi="Verdana" w:cs="Arial"/>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lang w:val="es-ES"/>
        </w:rPr>
        <w:t xml:space="preserve">así como lo establecido en la </w:t>
      </w:r>
      <w:r>
        <w:rPr>
          <w:rFonts w:ascii="Verdana" w:hAnsi="Verdana" w:cs="Arial"/>
          <w:lang w:val="es-ES"/>
        </w:rPr>
        <w:lastRenderedPageBreak/>
        <w:t xml:space="preserve">Resolución 469 de 2025 expedida por esta Entidad, </w:t>
      </w:r>
      <w:r>
        <w:rPr>
          <w:rFonts w:ascii="Verdana" w:eastAsia="Calibri" w:hAnsi="Verdana" w:cs="Arial"/>
          <w:lang w:val="es-ES" w:eastAsia="es-ES"/>
        </w:rPr>
        <w:t xml:space="preserve">la Agencia Nacional de Contratación Pública – Colombia Compra Eficiente– responde su solicitud de consulta de fecha 22 de mayo de 2026, en la cual manifiesta lo siguiente: </w:t>
      </w:r>
    </w:p>
    <w:p w14:paraId="2BD49350" w14:textId="77777777" w:rsidR="005F07A0" w:rsidRDefault="005F07A0" w:rsidP="005F07A0">
      <w:pPr>
        <w:spacing w:before="120" w:after="120" w:line="240" w:lineRule="auto"/>
        <w:ind w:right="709"/>
        <w:contextualSpacing/>
        <w:jc w:val="both"/>
        <w:rPr>
          <w:rFonts w:ascii="Verdana" w:eastAsia="Century Gothic" w:hAnsi="Verdana" w:cs="Century Gothic"/>
          <w:i/>
          <w:iCs/>
          <w:sz w:val="20"/>
          <w:szCs w:val="20"/>
          <w:lang w:val="es-ES"/>
        </w:rPr>
      </w:pPr>
    </w:p>
    <w:p w14:paraId="15243CDB" w14:textId="77777777" w:rsidR="005F07A0" w:rsidRPr="009E3C2F" w:rsidRDefault="005F07A0" w:rsidP="005F07A0">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t>“Si una entidad establece en el pliego de condiciones que el puntaje por discapacidad se otorgará conforme al cumplimiento del Decreto 392 de 2018, pero en la etapa de evaluación decide no asignar dicho puntaje argumentando que la empresa no cumple con lo dispuesto en el Decreto 287 de 2026, ¿es procedente esta actuación por parte de la entidad? Lo anterior teniendo en cuenta que el proponente dio cumplimiento a lo exigido en el pliego de condiciones y que, en etapa de evaluación, la entidad estaría aplicando una norma distinta a la inicialmente prevista, modificando las condiciones del proceso de selección. En ese sentido, ¿puede el oferente solicitar que se le otorgue</w:t>
      </w:r>
    </w:p>
    <w:p w14:paraId="2A3F5A67" w14:textId="77777777" w:rsidR="005F07A0" w:rsidRPr="00D415B4" w:rsidRDefault="005F07A0" w:rsidP="005F07A0">
      <w:pPr>
        <w:spacing w:before="120" w:after="120" w:line="240" w:lineRule="auto"/>
        <w:ind w:left="709" w:right="709"/>
        <w:contextualSpacing/>
        <w:jc w:val="both"/>
        <w:rPr>
          <w:rFonts w:ascii="Verdana" w:eastAsia="Century Gothic" w:hAnsi="Verdana" w:cs="Century Gothic"/>
          <w:sz w:val="20"/>
          <w:szCs w:val="20"/>
        </w:rPr>
      </w:pPr>
      <w:r>
        <w:rPr>
          <w:rFonts w:ascii="Verdana" w:eastAsia="Century Gothic" w:hAnsi="Verdana" w:cs="Century Gothic"/>
          <w:sz w:val="20"/>
          <w:szCs w:val="20"/>
        </w:rPr>
        <w:t>el puntaje conforme a lo establecido en el pliego, o es válido que la entidad cambie el criterio normativo en esta etapa?</w:t>
      </w:r>
      <w:r>
        <w:rPr>
          <w:rFonts w:ascii="Verdana" w:hAnsi="Verdana"/>
          <w:sz w:val="20"/>
          <w:szCs w:val="20"/>
          <w:lang w:val="es-ES"/>
        </w:rPr>
        <w:tab/>
      </w:r>
    </w:p>
    <w:p w14:paraId="5B7BE7C6" w14:textId="77777777" w:rsidR="005F07A0" w:rsidRDefault="005F07A0" w:rsidP="005F07A0">
      <w:pPr>
        <w:spacing w:after="0" w:line="276" w:lineRule="auto"/>
        <w:ind w:firstLine="709"/>
        <w:jc w:val="both"/>
        <w:rPr>
          <w:rFonts w:ascii="Verdana" w:eastAsia="Calibri" w:hAnsi="Verdana" w:cs="Arial"/>
          <w:lang w:val="es-ES" w:eastAsia="es-ES"/>
        </w:rPr>
      </w:pPr>
    </w:p>
    <w:p w14:paraId="3B778646" w14:textId="77777777" w:rsidR="005F07A0" w:rsidRPr="00206556" w:rsidRDefault="005F07A0" w:rsidP="005F07A0">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367021E" w14:textId="77777777" w:rsidR="005F07A0" w:rsidRPr="00206556" w:rsidRDefault="005F07A0" w:rsidP="005F07A0">
      <w:pPr>
        <w:spacing w:after="0" w:line="276" w:lineRule="auto"/>
        <w:jc w:val="both"/>
        <w:rPr>
          <w:rFonts w:ascii="Verdana" w:eastAsia="Calibri" w:hAnsi="Verdana" w:cs="Arial"/>
          <w:lang w:val="es-ES" w:eastAsia="es-ES"/>
        </w:rPr>
      </w:pPr>
    </w:p>
    <w:p w14:paraId="51C93F2B" w14:textId="77777777" w:rsidR="005F07A0" w:rsidRDefault="005F07A0" w:rsidP="005F07A0">
      <w:pPr>
        <w:tabs>
          <w:tab w:val="left" w:pos="142"/>
          <w:tab w:val="left" w:pos="284"/>
        </w:tabs>
        <w:spacing w:after="0" w:line="276" w:lineRule="auto"/>
        <w:contextualSpacing/>
        <w:jc w:val="both"/>
        <w:rPr>
          <w:rFonts w:ascii="Verdana" w:eastAsia="Century Gothic" w:hAnsi="Verdana" w:cs="Century Gothic"/>
          <w:b/>
          <w:lang w:val="es-ES"/>
        </w:rPr>
      </w:pPr>
      <w:r>
        <w:rPr>
          <w:rFonts w:ascii="Verdana" w:eastAsia="Century Gothic" w:hAnsi="Verdana" w:cs="Century Gothic"/>
          <w:b/>
          <w:lang w:val="es-ES"/>
        </w:rPr>
        <w:t>1. Problema planteado:</w:t>
      </w:r>
    </w:p>
    <w:p w14:paraId="308941A5" w14:textId="77777777" w:rsidR="005F07A0" w:rsidRDefault="005F07A0" w:rsidP="005F07A0">
      <w:pPr>
        <w:tabs>
          <w:tab w:val="left" w:pos="142"/>
          <w:tab w:val="left" w:pos="284"/>
        </w:tabs>
        <w:spacing w:after="0" w:line="276" w:lineRule="auto"/>
        <w:contextualSpacing/>
        <w:jc w:val="both"/>
        <w:rPr>
          <w:rFonts w:ascii="Verdana" w:eastAsia="Century Gothic" w:hAnsi="Verdana" w:cs="Century Gothic"/>
          <w:b/>
          <w:lang w:val="es-ES"/>
        </w:rPr>
      </w:pPr>
    </w:p>
    <w:p w14:paraId="1CA8156F" w14:textId="77777777" w:rsidR="005F07A0" w:rsidRDefault="005F07A0" w:rsidP="005F07A0">
      <w:pPr>
        <w:spacing w:after="0" w:line="276" w:lineRule="auto"/>
        <w:jc w:val="both"/>
        <w:rPr>
          <w:rFonts w:ascii="Verdana" w:eastAsia="Century Gothic" w:hAnsi="Verdana" w:cs="Century Gothic"/>
        </w:rPr>
      </w:pPr>
      <w:r>
        <w:rPr>
          <w:rFonts w:ascii="Verdana" w:eastAsia="Century Gothic" w:hAnsi="Verdana" w:cs="Century Gothic"/>
        </w:rPr>
        <w:t>¿Puede una entidad estatal, durante la etapa de evaluación de ofertas, aplicar los requisitos previstos en el Decreto 287 de 2026 para el otorgamiento del puntaje por vinculación de personas con discapacidad, cuando el pliego de condiciones estableció como criterio de evaluación las disposiciones del Decreto 392 de 2018, o debe sujetarse a las reglas previamente definidas en el pliego de condiciones?</w:t>
      </w:r>
    </w:p>
    <w:p w14:paraId="774B0987" w14:textId="77777777" w:rsidR="005F07A0" w:rsidRDefault="005F07A0" w:rsidP="005F07A0">
      <w:pPr>
        <w:spacing w:after="0" w:line="276" w:lineRule="auto"/>
        <w:jc w:val="both"/>
        <w:rPr>
          <w:rFonts w:ascii="Verdana" w:eastAsia="Century Gothic" w:hAnsi="Verdana" w:cs="Century Gothic"/>
        </w:rPr>
      </w:pPr>
    </w:p>
    <w:p w14:paraId="14B987D1" w14:textId="77777777" w:rsidR="005F07A0" w:rsidRPr="009502B2" w:rsidRDefault="005F07A0" w:rsidP="005F07A0">
      <w:pPr>
        <w:spacing w:after="0" w:line="276" w:lineRule="auto"/>
        <w:jc w:val="both"/>
        <w:rPr>
          <w:rFonts w:ascii="Verdana" w:eastAsia="Century Gothic" w:hAnsi="Verdana" w:cs="Century Gothic"/>
        </w:rPr>
      </w:pPr>
    </w:p>
    <w:p w14:paraId="2C9C1580" w14:textId="77777777" w:rsidR="005F07A0" w:rsidRPr="00206556" w:rsidRDefault="005F07A0" w:rsidP="005F07A0">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2. Respuesta:</w:t>
      </w:r>
    </w:p>
    <w:p w14:paraId="7AF1884B" w14:textId="77777777" w:rsidR="005F07A0" w:rsidRPr="00206556" w:rsidRDefault="005F07A0" w:rsidP="005F07A0">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F07A0" w:rsidRPr="00206556" w14:paraId="3C54F7E4" w14:textId="77777777" w:rsidTr="00733BF3">
        <w:tc>
          <w:tcPr>
            <w:tcW w:w="8828" w:type="dxa"/>
          </w:tcPr>
          <w:p w14:paraId="5B345379" w14:textId="07248E33" w:rsidR="005F07A0" w:rsidRDefault="005F07A0" w:rsidP="00365006">
            <w:pPr>
              <w:spacing w:after="120" w:line="276" w:lineRule="auto"/>
              <w:jc w:val="both"/>
              <w:rPr>
                <w:rFonts w:ascii="Verdana" w:eastAsia="Calibri" w:hAnsi="Verdana" w:cs="Arial"/>
              </w:rPr>
            </w:pPr>
            <w:r>
              <w:rPr>
                <w:rFonts w:ascii="Verdana" w:eastAsia="Calibri" w:hAnsi="Verdana" w:cs="Arial"/>
              </w:rPr>
              <w:t xml:space="preserve">En </w:t>
            </w:r>
            <w:r w:rsidR="00527F07">
              <w:rPr>
                <w:rFonts w:ascii="Verdana" w:eastAsia="Calibri" w:hAnsi="Verdana" w:cs="Arial"/>
              </w:rPr>
              <w:t xml:space="preserve">respuesta </w:t>
            </w:r>
            <w:r>
              <w:rPr>
                <w:rFonts w:ascii="Verdana" w:eastAsia="Calibri" w:hAnsi="Verdana" w:cs="Arial"/>
              </w:rPr>
              <w:t>al problema jurídico planteado</w:t>
            </w:r>
            <w:r w:rsidR="00156F69">
              <w:rPr>
                <w:rFonts w:ascii="Verdana" w:eastAsia="Calibri" w:hAnsi="Verdana" w:cs="Arial"/>
              </w:rPr>
              <w:t xml:space="preserve"> se debe advertir que</w:t>
            </w:r>
            <w:r w:rsidR="00527F07">
              <w:rPr>
                <w:rFonts w:ascii="Verdana" w:eastAsia="Calibri" w:hAnsi="Verdana" w:cs="Arial"/>
              </w:rPr>
              <w:t>,</w:t>
            </w:r>
            <w:r>
              <w:rPr>
                <w:rFonts w:ascii="Verdana" w:eastAsia="Calibri" w:hAnsi="Verdana" w:cs="Arial"/>
              </w:rPr>
              <w:t xml:space="preserve"> la aplicación del Decreto 287 de 2026 se rige por su régimen de transición, conforme al cual sus disposiciones resultan aplicables a los procesos de contratación competitivos cuya resolución de apertura se haya expedido el 20 de marzo de </w:t>
            </w:r>
            <w:r>
              <w:rPr>
                <w:rFonts w:ascii="Verdana" w:eastAsia="Calibri" w:hAnsi="Verdana" w:cs="Arial"/>
              </w:rPr>
              <w:lastRenderedPageBreak/>
              <w:t xml:space="preserve">2026 o en fecha posterior, en tanto que aquellos cuya apertura sea anterior continúan rigiéndose por las disposiciones vigentes con anterioridad. De otra parte, por regla general, el pliego de condiciones constituye la ley del proceso de selección, de modo que sus reglas de evaluación, una vez en firme el pliego y vencidas las oportunidades para su modificación mediante adenda con anterioridad al cierre, resultan vinculantes tanto para los proponentes como para la propia entidad, en garantía de los principios de igualdad, transparencia, selección objetiva, buena fe y confianza legítima. En esa medida, en términos generales no resulta acorde con dichos principios aplicar, en la etapa de evaluación de las ofertas, criterios o requisitos distintos a los previamente establecidos en el pliego, debiendo la incorporación de las medidas del Decreto 287 de 2026 surtirse en la fase de planeación o, a más tardar, mediante adenda con anterioridad al cierre. </w:t>
            </w:r>
          </w:p>
          <w:p w14:paraId="017338C1" w14:textId="77777777" w:rsidR="005F07A0" w:rsidRPr="00670CFB" w:rsidRDefault="005F07A0" w:rsidP="00733BF3">
            <w:pPr>
              <w:spacing w:after="120" w:line="276" w:lineRule="auto"/>
              <w:ind w:firstLine="709"/>
              <w:jc w:val="both"/>
              <w:rPr>
                <w:rFonts w:ascii="Verdana" w:eastAsia="Calibri" w:hAnsi="Verdana" w:cs="Arial"/>
              </w:rPr>
            </w:pPr>
            <w:r>
              <w:rPr>
                <w:rFonts w:ascii="Verdana" w:eastAsia="Calibri" w:hAnsi="Verdana" w:cs="Arial"/>
              </w:rPr>
              <w:t>Tratándose de procesos adelantados mediante Documentos Tipo, por el principio de inalterabilidad que los rige, las entidades obligadas a su uso deben continuar aplicando la versión vigente hasta que la ANCP-CCE expida las actualizaciones correspondientes. En todo caso, corresponde a cada entidad estatal, en ejercicio de su competencia y previa valoración de los elementos fácticos y jurídicos del caso concreto, así como de las disposiciones legales aplicables, determinar la actuación que proceda. Lo anterior se entiende en armonía con la Circular Externa 003 de 2026.</w:t>
            </w:r>
          </w:p>
        </w:tc>
      </w:tr>
    </w:tbl>
    <w:p w14:paraId="55182075" w14:textId="77777777" w:rsidR="005F07A0" w:rsidRPr="00206556" w:rsidRDefault="005F07A0" w:rsidP="005F07A0">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lastRenderedPageBreak/>
        <w:t>3. Razones de la respuesta:</w:t>
      </w:r>
    </w:p>
    <w:p w14:paraId="19A21694" w14:textId="77777777" w:rsidR="005F07A0" w:rsidRPr="00206556" w:rsidRDefault="005F07A0" w:rsidP="005F07A0">
      <w:pPr>
        <w:tabs>
          <w:tab w:val="left" w:pos="142"/>
          <w:tab w:val="left" w:pos="284"/>
        </w:tabs>
        <w:spacing w:after="0" w:line="276" w:lineRule="auto"/>
        <w:jc w:val="both"/>
        <w:rPr>
          <w:rFonts w:ascii="Verdana" w:eastAsia="Century Gothic" w:hAnsi="Verdana" w:cs="Century Gothic"/>
          <w:b/>
          <w:color w:val="ED7D31" w:themeColor="accent2"/>
          <w:lang w:val="es-ES"/>
        </w:rPr>
      </w:pPr>
    </w:p>
    <w:p w14:paraId="7A48D8B8" w14:textId="77777777" w:rsidR="005F07A0" w:rsidRPr="00206556" w:rsidRDefault="005F07A0" w:rsidP="005F07A0">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57AF0A72" w14:textId="77777777" w:rsidR="005F07A0" w:rsidRPr="00206556" w:rsidRDefault="005F07A0" w:rsidP="005F07A0">
      <w:pPr>
        <w:spacing w:after="0" w:line="276" w:lineRule="auto"/>
        <w:jc w:val="both"/>
        <w:rPr>
          <w:rFonts w:ascii="Verdana" w:eastAsia="Calibri" w:hAnsi="Verdana" w:cs="Arial"/>
          <w:lang w:val="es-ES"/>
        </w:rPr>
      </w:pPr>
    </w:p>
    <w:p w14:paraId="71309E23" w14:textId="77777777" w:rsidR="005F07A0" w:rsidRPr="00206556" w:rsidRDefault="005F07A0" w:rsidP="005F07A0">
      <w:pPr>
        <w:spacing w:after="120" w:line="276" w:lineRule="auto"/>
        <w:jc w:val="both"/>
        <w:rPr>
          <w:rFonts w:ascii="Verdana" w:hAnsi="Verdana"/>
        </w:rPr>
      </w:pPr>
      <w:r>
        <w:rPr>
          <w:rFonts w:ascii="Verdana" w:eastAsia="Calibri" w:hAnsi="Verdana" w:cs="Arial"/>
          <w:lang w:val="es-ES"/>
        </w:rPr>
        <w:t xml:space="preserve">(i) </w:t>
      </w:r>
      <w:r>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Pr>
          <w:rFonts w:ascii="Verdana" w:eastAsia="Times New Roman" w:hAnsi="Verdana" w:cs="Times New Roman"/>
        </w:rPr>
        <w:t xml:space="preserve">El fundamento del Sistema de Preferencias para </w:t>
      </w:r>
      <w:proofErr w:type="spellStart"/>
      <w:r>
        <w:rPr>
          <w:rFonts w:ascii="Verdana" w:eastAsia="Times New Roman" w:hAnsi="Verdana" w:cs="Times New Roman"/>
        </w:rPr>
        <w:t>PcD</w:t>
      </w:r>
      <w:proofErr w:type="spellEnd"/>
      <w:r>
        <w:rPr>
          <w:rFonts w:ascii="Verdana" w:eastAsia="Times New Roman" w:hAnsi="Verdana" w:cs="Times New Roman"/>
        </w:rPr>
        <w:t xml:space="preserve"> en la contratación pública es el principio de igualdad real y efectiva consagrado en el artículo 13 de la Constitución Política de 1991</w:t>
      </w:r>
      <w:r>
        <w:rPr>
          <w:rStyle w:val="Refdenotaalpie"/>
          <w:rFonts w:ascii="Verdana" w:eastAsia="Times New Roman" w:hAnsi="Verdana" w:cs="Times New Roman"/>
        </w:rPr>
        <w:footnoteReference w:id="2"/>
      </w:r>
      <w:r>
        <w:rPr>
          <w:rFonts w:ascii="Verdana" w:eastAsia="Times New Roman" w:hAnsi="Verdana" w:cs="Times New Roman"/>
        </w:rPr>
        <w:t xml:space="preserve">, que </w:t>
      </w:r>
      <w:r>
        <w:rPr>
          <w:rFonts w:ascii="Verdana" w:eastAsia="Times New Roman" w:hAnsi="Verdana" w:cs="Times New Roman"/>
        </w:rPr>
        <w:lastRenderedPageBreak/>
        <w:t xml:space="preserve">impone al Estado el deber positivo de adoptar </w:t>
      </w:r>
      <w:r>
        <w:rPr>
          <w:rFonts w:ascii="Verdana" w:eastAsia="Times New Roman" w:hAnsi="Verdana" w:cs="Times New Roman"/>
          <w:i/>
          <w:iCs/>
        </w:rPr>
        <w:t>acciones afirmativas</w:t>
      </w:r>
      <w:r>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Pr>
          <w:rFonts w:ascii="Verdana" w:eastAsia="Times New Roman" w:hAnsi="Verdana" w:cs="Times New Roman"/>
        </w:rPr>
        <w:t>PcD</w:t>
      </w:r>
      <w:proofErr w:type="spellEnd"/>
      <w:r>
        <w:rPr>
          <w:rStyle w:val="Refdenotaalpie"/>
          <w:rFonts w:ascii="Verdana" w:eastAsia="Times New Roman" w:hAnsi="Verdana" w:cs="Times New Roman"/>
        </w:rPr>
        <w:footnoteReference w:id="3"/>
      </w:r>
      <w:r>
        <w:rPr>
          <w:rFonts w:ascii="Verdana" w:eastAsia="Times New Roman" w:hAnsi="Verdana" w:cs="Times New Roman"/>
        </w:rPr>
        <w:t>.</w:t>
      </w:r>
    </w:p>
    <w:p w14:paraId="712FA60A" w14:textId="77777777" w:rsidR="005F07A0" w:rsidRPr="00206556" w:rsidRDefault="005F07A0" w:rsidP="005F07A0">
      <w:pPr>
        <w:spacing w:after="120" w:line="276" w:lineRule="auto"/>
        <w:ind w:firstLine="708"/>
        <w:jc w:val="both"/>
        <w:rPr>
          <w:rFonts w:ascii="Verdana" w:hAnsi="Verdana"/>
        </w:rPr>
      </w:pPr>
      <w:r>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Pr>
          <w:rStyle w:val="Refdenotaalpie"/>
          <w:rFonts w:ascii="Verdana" w:eastAsia="Times New Roman" w:hAnsi="Verdana" w:cs="Times New Roman"/>
        </w:rPr>
        <w:footnoteReference w:id="4"/>
      </w:r>
      <w:r>
        <w:rPr>
          <w:rFonts w:ascii="Verdana" w:eastAsia="Times New Roman" w:hAnsi="Verdana" w:cs="Times New Roman"/>
        </w:rPr>
        <w:t xml:space="preserve"> reconoce el derecho de las </w:t>
      </w:r>
      <w:proofErr w:type="spellStart"/>
      <w:r>
        <w:rPr>
          <w:rFonts w:ascii="Verdana" w:eastAsia="Times New Roman" w:hAnsi="Verdana" w:cs="Times New Roman"/>
        </w:rPr>
        <w:t>PcD</w:t>
      </w:r>
      <w:proofErr w:type="spellEnd"/>
      <w:r>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Pr>
          <w:rStyle w:val="Refdenotaalpie"/>
          <w:rFonts w:ascii="Verdana" w:eastAsia="Times New Roman" w:hAnsi="Verdana" w:cs="Times New Roman"/>
        </w:rPr>
        <w:footnoteReference w:id="5"/>
      </w:r>
      <w:r>
        <w:rPr>
          <w:rFonts w:ascii="Verdana" w:eastAsia="Times New Roman" w:hAnsi="Verdana" w:cs="Times New Roman"/>
        </w:rPr>
        <w:t xml:space="preserve"> ordena eliminar progresivamente la discriminación en la prestación de servicios, incluido el empleo. El Convenio 159 de la OIT</w:t>
      </w:r>
      <w:r>
        <w:rPr>
          <w:rStyle w:val="Refdenotaalpie"/>
          <w:rFonts w:ascii="Verdana" w:eastAsia="Times New Roman" w:hAnsi="Verdana" w:cs="Times New Roman"/>
        </w:rPr>
        <w:footnoteReference w:id="6"/>
      </w:r>
      <w:r>
        <w:rPr>
          <w:rFonts w:ascii="Verdana" w:eastAsia="Times New Roman" w:hAnsi="Verdana" w:cs="Times New Roman"/>
        </w:rPr>
        <w:t xml:space="preserve"> exige medidas orientadas a garantizar la igualdad de oportunidades de todas las categorías de </w:t>
      </w:r>
      <w:proofErr w:type="spellStart"/>
      <w:r>
        <w:rPr>
          <w:rFonts w:ascii="Verdana" w:eastAsia="Times New Roman" w:hAnsi="Verdana" w:cs="Times New Roman"/>
        </w:rPr>
        <w:t>PcD</w:t>
      </w:r>
      <w:proofErr w:type="spellEnd"/>
      <w:r>
        <w:rPr>
          <w:rFonts w:ascii="Verdana" w:eastAsia="Times New Roman" w:hAnsi="Verdana" w:cs="Times New Roman"/>
        </w:rPr>
        <w:t xml:space="preserve"> en materia de empleo.</w:t>
      </w:r>
    </w:p>
    <w:p w14:paraId="4C01BB41" w14:textId="77777777" w:rsidR="005F07A0" w:rsidRPr="00206556" w:rsidRDefault="005F07A0" w:rsidP="005F07A0">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 xml:space="preserve">La Ley 361 de 1997 estableció los primeros mecanismos de integración social de las </w:t>
      </w:r>
      <w:proofErr w:type="spellStart"/>
      <w:r>
        <w:rPr>
          <w:rFonts w:ascii="Verdana" w:eastAsia="Times New Roman" w:hAnsi="Verdana" w:cs="Times New Roman"/>
        </w:rPr>
        <w:t>PcD</w:t>
      </w:r>
      <w:proofErr w:type="spellEnd"/>
      <w:r>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Pr>
          <w:rFonts w:ascii="Verdana" w:eastAsia="Times New Roman" w:hAnsi="Verdana" w:cs="Times New Roman"/>
        </w:rPr>
        <w:t>PcD</w:t>
      </w:r>
      <w:proofErr w:type="spellEnd"/>
      <w:r>
        <w:rPr>
          <w:rStyle w:val="Refdenotaalpie"/>
          <w:rFonts w:ascii="Verdana" w:eastAsia="Times New Roman" w:hAnsi="Verdana" w:cs="Times New Roman"/>
        </w:rPr>
        <w:footnoteReference w:id="7"/>
      </w:r>
      <w:r>
        <w:rPr>
          <w:rFonts w:ascii="Verdana" w:eastAsia="Times New Roman" w:hAnsi="Verdana" w:cs="Times New Roman"/>
        </w:rPr>
        <w:t xml:space="preserve">. Esta norma vinculó por primera vez la contratación pública con la inclusión laboral de las </w:t>
      </w:r>
      <w:proofErr w:type="spellStart"/>
      <w:r>
        <w:rPr>
          <w:rFonts w:ascii="Verdana" w:eastAsia="Times New Roman" w:hAnsi="Verdana" w:cs="Times New Roman"/>
        </w:rPr>
        <w:lastRenderedPageBreak/>
        <w:t>PcD</w:t>
      </w:r>
      <w:proofErr w:type="spellEnd"/>
      <w:r>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Pr>
          <w:rFonts w:ascii="Verdana" w:eastAsia="Times New Roman" w:hAnsi="Verdana" w:cs="Times New Roman"/>
        </w:rPr>
        <w:t>PcD</w:t>
      </w:r>
      <w:proofErr w:type="spellEnd"/>
      <w:r>
        <w:rPr>
          <w:rFonts w:ascii="Verdana" w:eastAsia="Times New Roman" w:hAnsi="Verdana" w:cs="Times New Roman"/>
        </w:rPr>
        <w:t xml:space="preserve"> sin considerar a las propias </w:t>
      </w:r>
      <w:proofErr w:type="spellStart"/>
      <w:r>
        <w:rPr>
          <w:rFonts w:ascii="Verdana" w:eastAsia="Times New Roman" w:hAnsi="Verdana" w:cs="Times New Roman"/>
        </w:rPr>
        <w:t>PcD</w:t>
      </w:r>
      <w:proofErr w:type="spellEnd"/>
      <w:r>
        <w:rPr>
          <w:rFonts w:ascii="Verdana" w:eastAsia="Times New Roman" w:hAnsi="Verdana" w:cs="Times New Roman"/>
        </w:rPr>
        <w:t xml:space="preserve"> como proponentes directos.</w:t>
      </w:r>
    </w:p>
    <w:p w14:paraId="79797C8F" w14:textId="77777777" w:rsidR="005F07A0" w:rsidRPr="00206556" w:rsidRDefault="005F07A0" w:rsidP="005F07A0">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 xml:space="preserve">La Ley Estatutaria 1618 de 2013 representó un salto cualitativo en el marco jurídico de protección de las </w:t>
      </w:r>
      <w:proofErr w:type="spellStart"/>
      <w:r>
        <w:rPr>
          <w:rFonts w:ascii="Verdana" w:eastAsia="Times New Roman" w:hAnsi="Verdana" w:cs="Times New Roman"/>
        </w:rPr>
        <w:t>PcD</w:t>
      </w:r>
      <w:proofErr w:type="spellEnd"/>
      <w:r>
        <w:rPr>
          <w:rFonts w:ascii="Verdana" w:eastAsia="Times New Roman" w:hAnsi="Verdana" w:cs="Times New Roman"/>
        </w:rPr>
        <w:t xml:space="preserve">, al definir a estas como </w:t>
      </w:r>
      <w:r>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Pr>
          <w:rStyle w:val="Refdenotaalpie"/>
          <w:rFonts w:ascii="Verdana" w:eastAsia="Times New Roman" w:hAnsi="Verdana" w:cs="Times New Roman"/>
          <w:i/>
          <w:iCs/>
        </w:rPr>
        <w:footnoteReference w:id="8"/>
      </w:r>
      <w:r>
        <w:rPr>
          <w:rFonts w:ascii="Verdana" w:eastAsia="Times New Roman" w:hAnsi="Verdana" w:cs="Times New Roman"/>
          <w:i/>
          <w:iCs/>
        </w:rPr>
        <w:t>.</w:t>
      </w:r>
      <w:r>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Pr>
          <w:rFonts w:ascii="Verdana" w:eastAsia="Times New Roman" w:hAnsi="Verdana" w:cs="Times New Roman"/>
        </w:rPr>
        <w:t>PcD</w:t>
      </w:r>
      <w:proofErr w:type="spellEnd"/>
      <w:r>
        <w:rPr>
          <w:rFonts w:ascii="Verdana" w:eastAsia="Times New Roman" w:hAnsi="Verdana" w:cs="Times New Roman"/>
        </w:rPr>
        <w:t xml:space="preserve"> y para empresas de </w:t>
      </w:r>
      <w:proofErr w:type="spellStart"/>
      <w:r>
        <w:rPr>
          <w:rFonts w:ascii="Verdana" w:eastAsia="Times New Roman" w:hAnsi="Verdana" w:cs="Times New Roman"/>
        </w:rPr>
        <w:t>PcD</w:t>
      </w:r>
      <w:proofErr w:type="spellEnd"/>
      <w:r>
        <w:rPr>
          <w:rFonts w:ascii="Verdana" w:eastAsia="Times New Roman" w:hAnsi="Verdana" w:cs="Times New Roman"/>
        </w:rPr>
        <w:t xml:space="preserve">; un sistema de preferencias para empleadores de </w:t>
      </w:r>
      <w:proofErr w:type="spellStart"/>
      <w:r>
        <w:rPr>
          <w:rFonts w:ascii="Verdana" w:eastAsia="Times New Roman" w:hAnsi="Verdana" w:cs="Times New Roman"/>
        </w:rPr>
        <w:t>PcD</w:t>
      </w:r>
      <w:proofErr w:type="spellEnd"/>
      <w:r>
        <w:rPr>
          <w:rFonts w:ascii="Verdana" w:eastAsia="Times New Roman" w:hAnsi="Verdana" w:cs="Times New Roman"/>
        </w:rPr>
        <w:t xml:space="preserve"> en la adjudicación; y un sistema de preferencias en favor de las propias </w:t>
      </w:r>
      <w:proofErr w:type="spellStart"/>
      <w:r>
        <w:rPr>
          <w:rFonts w:ascii="Verdana" w:eastAsia="Times New Roman" w:hAnsi="Verdana" w:cs="Times New Roman"/>
        </w:rPr>
        <w:t>PcD</w:t>
      </w:r>
      <w:proofErr w:type="spellEnd"/>
      <w:r>
        <w:rPr>
          <w:rFonts w:ascii="Verdana" w:eastAsia="Times New Roman" w:hAnsi="Verdana" w:cs="Times New Roman"/>
        </w:rPr>
        <w:t xml:space="preserve"> como contratistas</w:t>
      </w:r>
      <w:r>
        <w:rPr>
          <w:rStyle w:val="Refdenotaalpie"/>
          <w:rFonts w:ascii="Verdana" w:eastAsia="Times New Roman" w:hAnsi="Verdana" w:cs="Times New Roman"/>
        </w:rPr>
        <w:footnoteReference w:id="9"/>
      </w:r>
      <w:r>
        <w:rPr>
          <w:rFonts w:ascii="Verdana" w:eastAsia="Times New Roman" w:hAnsi="Verdana" w:cs="Times New Roman"/>
        </w:rPr>
        <w:t xml:space="preserve">. Este último mandato fue especialmente significativo porque introdujo el concepto de </w:t>
      </w:r>
      <w:r>
        <w:rPr>
          <w:rFonts w:ascii="Verdana" w:eastAsia="Times New Roman" w:hAnsi="Verdana" w:cs="Times New Roman"/>
          <w:i/>
          <w:iCs/>
        </w:rPr>
        <w:t>"sistema de preferencias"</w:t>
      </w:r>
      <w:r>
        <w:rPr>
          <w:rFonts w:ascii="Verdana" w:eastAsia="Times New Roman" w:hAnsi="Verdana" w:cs="Times New Roman"/>
        </w:rPr>
        <w:t xml:space="preserve">, que por definición no puede reducirse a una sola </w:t>
      </w:r>
      <w:proofErr w:type="gramStart"/>
      <w:r>
        <w:rPr>
          <w:rFonts w:ascii="Verdana" w:eastAsia="Times New Roman" w:hAnsi="Verdana" w:cs="Times New Roman"/>
        </w:rPr>
        <w:t>medida</w:t>
      </w:r>
      <w:proofErr w:type="gramEnd"/>
      <w:r>
        <w:rPr>
          <w:rFonts w:ascii="Verdana" w:eastAsia="Times New Roman" w:hAnsi="Verdana" w:cs="Times New Roman"/>
        </w:rPr>
        <w:t xml:space="preserve"> sino que implica un conjunto estructurado de instrumentos que actúen en las distintas fases del proceso contractual.</w:t>
      </w:r>
    </w:p>
    <w:p w14:paraId="44AC72E2" w14:textId="77777777" w:rsidR="005F07A0" w:rsidRPr="00A420A9" w:rsidRDefault="005F07A0" w:rsidP="005F07A0">
      <w:pPr>
        <w:spacing w:after="120" w:line="276" w:lineRule="auto"/>
        <w:ind w:firstLine="709"/>
        <w:jc w:val="both"/>
        <w:rPr>
          <w:rFonts w:ascii="Verdana" w:hAnsi="Verdana"/>
        </w:rPr>
      </w:pPr>
      <w:r>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Pr>
          <w:rFonts w:ascii="Verdana" w:hAnsi="Verdana"/>
        </w:rPr>
        <w:t>PcD</w:t>
      </w:r>
      <w:proofErr w:type="spellEnd"/>
      <w:r>
        <w:rPr>
          <w:rFonts w:ascii="Verdana" w:hAnsi="Verdana"/>
        </w:rPr>
        <w:t xml:space="preserve">, sin incluir a las empresas de </w:t>
      </w:r>
      <w:proofErr w:type="spellStart"/>
      <w:r>
        <w:rPr>
          <w:rFonts w:ascii="Verdana" w:hAnsi="Verdana"/>
        </w:rPr>
        <w:t>PcD</w:t>
      </w:r>
      <w:proofErr w:type="spellEnd"/>
      <w:r>
        <w:rPr>
          <w:rFonts w:ascii="Verdana" w:hAnsi="Verdana"/>
        </w:rPr>
        <w:t xml:space="preserve">;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Pr>
          <w:rFonts w:ascii="Verdana" w:hAnsi="Verdana"/>
        </w:rPr>
        <w:t>PcD</w:t>
      </w:r>
      <w:proofErr w:type="spellEnd"/>
      <w:r>
        <w:rPr>
          <w:rFonts w:ascii="Verdana" w:hAnsi="Verdana"/>
        </w:rPr>
        <w:t xml:space="preserve"> como contratistas.</w:t>
      </w:r>
    </w:p>
    <w:p w14:paraId="26C02889" w14:textId="77777777" w:rsidR="005F07A0" w:rsidRDefault="005F07A0" w:rsidP="005F07A0">
      <w:pPr>
        <w:spacing w:after="120" w:line="276" w:lineRule="auto"/>
        <w:ind w:firstLine="709"/>
        <w:jc w:val="both"/>
        <w:rPr>
          <w:rFonts w:ascii="Verdana" w:hAnsi="Verdana"/>
        </w:rPr>
      </w:pPr>
      <w:r>
        <w:rPr>
          <w:rFonts w:ascii="Verdana" w:hAnsi="Verdana"/>
        </w:rPr>
        <w:lastRenderedPageBreak/>
        <w:t xml:space="preserve">La insuficiencia del Decreto 392 de 2018 fue constatada judicialmente. La Sección Quinta del Consejo de Estado, mediante sentencia de acción de cumplimiento del 12 de diciembre de 2024, radicación </w:t>
      </w:r>
      <w:proofErr w:type="spellStart"/>
      <w:r>
        <w:rPr>
          <w:rFonts w:ascii="Verdana" w:hAnsi="Verdana"/>
        </w:rPr>
        <w:t>n.°</w:t>
      </w:r>
      <w:proofErr w:type="spellEnd"/>
      <w:r>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DFE0D8" w14:textId="77777777" w:rsidR="005F07A0" w:rsidRDefault="005F07A0" w:rsidP="005F07A0">
      <w:pPr>
        <w:spacing w:after="120" w:line="276" w:lineRule="auto"/>
        <w:ind w:firstLine="709"/>
        <w:jc w:val="both"/>
        <w:rPr>
          <w:rFonts w:ascii="Verdana" w:hAnsi="Verdana"/>
        </w:rPr>
      </w:pPr>
      <w:r>
        <w:rPr>
          <w:rFonts w:ascii="Verdana" w:hAnsi="Verdana"/>
        </w:rPr>
        <w:t xml:space="preserve">En cumplimiento de esa decisión fue expedido el Decreto 0287 de 2026, el cual, como se indicó en la respuesta, establece un Sistema Integral de Preferencias compuesto por cinco medidas afirmativas que actúan en todas las fases del proceso contractual, planeación, selección, adjudicación y ejecución, y que benefician a dos sujetos diferenciados: los emprendimientos y empresas de </w:t>
      </w:r>
      <w:proofErr w:type="spellStart"/>
      <w:r>
        <w:rPr>
          <w:rFonts w:ascii="Verdana" w:hAnsi="Verdana"/>
        </w:rPr>
        <w:t>PcD</w:t>
      </w:r>
      <w:proofErr w:type="spellEnd"/>
      <w:r>
        <w:rPr>
          <w:rFonts w:ascii="Verdana" w:hAnsi="Verdana"/>
        </w:rPr>
        <w:t xml:space="preserve"> y los empleadores de </w:t>
      </w:r>
      <w:proofErr w:type="spellStart"/>
      <w:r>
        <w:rPr>
          <w:rFonts w:ascii="Verdana" w:hAnsi="Verdana"/>
        </w:rPr>
        <w:t>PcD</w:t>
      </w:r>
      <w:proofErr w:type="spellEnd"/>
      <w:r>
        <w:rPr>
          <w:rFonts w:ascii="Verdana" w:hAnsi="Verdana"/>
        </w:rPr>
        <w:t xml:space="preserve">. A continuación, se desarrolla el alcance de cada aspecto del sistema planteado en los problemas jurídicos. </w:t>
      </w:r>
    </w:p>
    <w:p w14:paraId="0BC1867A" w14:textId="77777777" w:rsidR="005F07A0" w:rsidRPr="00E727F0" w:rsidRDefault="005F07A0" w:rsidP="005F07A0">
      <w:pPr>
        <w:spacing w:after="120" w:line="276" w:lineRule="auto"/>
        <w:ind w:firstLine="708"/>
        <w:jc w:val="both"/>
        <w:rPr>
          <w:rFonts w:ascii="Verdana" w:hAnsi="Verdana"/>
        </w:rPr>
      </w:pPr>
      <w:r>
        <w:rPr>
          <w:rFonts w:ascii="Verdana" w:hAnsi="Verdana"/>
        </w:rPr>
        <w:t>(</w:t>
      </w:r>
      <w:proofErr w:type="spellStart"/>
      <w:r>
        <w:rPr>
          <w:rFonts w:ascii="Verdana" w:hAnsi="Verdana"/>
        </w:rPr>
        <w:t>ii</w:t>
      </w:r>
      <w:proofErr w:type="spellEnd"/>
      <w:r>
        <w:rPr>
          <w:rFonts w:ascii="Verdana" w:hAnsi="Verdana"/>
        </w:rPr>
        <w:t xml:space="preserve">) </w:t>
      </w:r>
      <w:r>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conforme a las categorías del artículo 2.2.1.2.4.2.6., o ser empleador de </w:t>
      </w:r>
      <w:proofErr w:type="spellStart"/>
      <w:r>
        <w:rPr>
          <w:rFonts w:ascii="Verdana" w:eastAsia="Times New Roman" w:hAnsi="Verdana" w:cs="Times New Roman"/>
        </w:rPr>
        <w:t>PcD</w:t>
      </w:r>
      <w:proofErr w:type="spellEnd"/>
      <w:r>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1A50BF27" w14:textId="77777777" w:rsidR="005F07A0" w:rsidRPr="00E727F0" w:rsidRDefault="005F07A0" w:rsidP="005F07A0">
      <w:pPr>
        <w:spacing w:before="100" w:after="180"/>
        <w:ind w:left="720" w:right="720"/>
        <w:jc w:val="both"/>
        <w:rPr>
          <w:rFonts w:ascii="Verdana" w:hAnsi="Verdana"/>
          <w:sz w:val="20"/>
          <w:szCs w:val="20"/>
        </w:rPr>
      </w:pPr>
      <w:r>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26C203ED" w14:textId="77777777" w:rsidR="005F07A0" w:rsidRPr="00206556" w:rsidRDefault="005F07A0" w:rsidP="005F07A0">
      <w:pPr>
        <w:spacing w:after="120" w:line="276" w:lineRule="auto"/>
        <w:ind w:firstLine="709"/>
        <w:jc w:val="both"/>
        <w:rPr>
          <w:rFonts w:ascii="Verdana" w:hAnsi="Verdana"/>
        </w:rPr>
      </w:pPr>
      <w:r>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y permitir su acumulación distorsionaría la evaluación de las ofertas en perjuicio </w:t>
      </w:r>
      <w:r>
        <w:rPr>
          <w:rFonts w:ascii="Verdana" w:eastAsia="Times New Roman" w:hAnsi="Verdana" w:cs="Times New Roman"/>
        </w:rPr>
        <w:lastRenderedPageBreak/>
        <w:t>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7C1D5CE2" w14:textId="77777777" w:rsidR="005F07A0" w:rsidRPr="00D22B7C" w:rsidRDefault="005F07A0" w:rsidP="005F07A0">
      <w:pPr>
        <w:spacing w:after="120" w:line="276" w:lineRule="auto"/>
        <w:ind w:firstLine="709"/>
        <w:jc w:val="both"/>
        <w:rPr>
          <w:rFonts w:ascii="Verdana" w:hAnsi="Verdana"/>
        </w:rPr>
      </w:pPr>
      <w:r>
        <w:rPr>
          <w:rFonts w:ascii="Verdana" w:eastAsia="Times New Roman" w:hAnsi="Verdana" w:cs="Times New Roman"/>
        </w:rPr>
        <w:t>(</w:t>
      </w:r>
      <w:proofErr w:type="spellStart"/>
      <w:r>
        <w:rPr>
          <w:rFonts w:ascii="Verdana" w:eastAsia="Times New Roman" w:hAnsi="Verdana" w:cs="Times New Roman"/>
        </w:rPr>
        <w:t>iii</w:t>
      </w:r>
      <w:proofErr w:type="spellEnd"/>
      <w:r>
        <w:rPr>
          <w:rFonts w:ascii="Verdana" w:eastAsia="Times New Roman" w:hAnsi="Verdana" w:cs="Times New Roman"/>
        </w:rPr>
        <w:t xml:space="preserve">) En cuanto a la exigencia del número mínimo de </w:t>
      </w:r>
      <w:proofErr w:type="spellStart"/>
      <w:r>
        <w:rPr>
          <w:rFonts w:ascii="Verdana" w:eastAsia="Times New Roman" w:hAnsi="Verdana" w:cs="Times New Roman"/>
        </w:rPr>
        <w:t>PcD</w:t>
      </w:r>
      <w:proofErr w:type="spellEnd"/>
      <w:r>
        <w:rPr>
          <w:rFonts w:ascii="Verdana" w:eastAsia="Times New Roman" w:hAnsi="Verdana" w:cs="Times New Roman"/>
        </w:rPr>
        <w:t xml:space="preserve"> vinculadas y la acreditación mediante planillas de seguridad social, el artículo 2.2.1.2.4.2.7.4. del Decreto 0287 de 2026 establece que para acceder al puntaje adicional en la condición de empleador de </w:t>
      </w:r>
      <w:proofErr w:type="spellStart"/>
      <w:r>
        <w:rPr>
          <w:rFonts w:ascii="Verdana" w:eastAsia="Times New Roman" w:hAnsi="Verdana" w:cs="Times New Roman"/>
        </w:rPr>
        <w:t>PcD</w:t>
      </w:r>
      <w:proofErr w:type="spellEnd"/>
      <w:r>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Pr>
          <w:rFonts w:ascii="Verdana" w:eastAsia="Times New Roman" w:hAnsi="Verdana" w:cs="Times New Roman"/>
        </w:rPr>
        <w:t>PcD</w:t>
      </w:r>
      <w:proofErr w:type="spellEnd"/>
      <w:r>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F07A0" w:rsidRPr="00960D60" w14:paraId="453E5312"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D813660"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10FC67C"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b/>
                <w:bCs/>
                <w:sz w:val="20"/>
                <w:szCs w:val="20"/>
              </w:rPr>
              <w:t>Número mínimo de trabajadores con discapacidad requerido</w:t>
            </w:r>
          </w:p>
        </w:tc>
      </w:tr>
      <w:tr w:rsidR="005F07A0" w:rsidRPr="00960D60" w14:paraId="6C025979"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05B315"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CB3E26E"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2</w:t>
            </w:r>
          </w:p>
        </w:tc>
      </w:tr>
      <w:tr w:rsidR="005F07A0" w:rsidRPr="00960D60" w14:paraId="755D314B"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12F5AAE"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B686C7"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3</w:t>
            </w:r>
          </w:p>
        </w:tc>
      </w:tr>
      <w:tr w:rsidR="005F07A0" w:rsidRPr="00960D60" w14:paraId="6DB75BB5"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3390283"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D2208C6"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4</w:t>
            </w:r>
          </w:p>
        </w:tc>
      </w:tr>
      <w:tr w:rsidR="005F07A0" w:rsidRPr="00960D60" w14:paraId="630EA773"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E462F68"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957DF9"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5</w:t>
            </w:r>
          </w:p>
        </w:tc>
      </w:tr>
      <w:tr w:rsidR="005F07A0" w:rsidRPr="00960D60" w14:paraId="175DC2A2"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43AD97E"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B69423"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7</w:t>
            </w:r>
          </w:p>
        </w:tc>
      </w:tr>
      <w:tr w:rsidR="005F07A0" w:rsidRPr="00960D60" w14:paraId="1B371439"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007202"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3227032"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10</w:t>
            </w:r>
          </w:p>
        </w:tc>
      </w:tr>
      <w:tr w:rsidR="005F07A0" w:rsidRPr="00960D60" w14:paraId="595C391A"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B0F81F6"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CF97723"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12</w:t>
            </w:r>
          </w:p>
        </w:tc>
      </w:tr>
      <w:tr w:rsidR="005F07A0" w:rsidRPr="00960D60" w14:paraId="301135CC"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2078DE9"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6DBF9F6"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14</w:t>
            </w:r>
          </w:p>
        </w:tc>
      </w:tr>
      <w:tr w:rsidR="005F07A0" w:rsidRPr="00960D60" w14:paraId="42E39A97"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F49AE60"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8B3557D"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16</w:t>
            </w:r>
          </w:p>
        </w:tc>
      </w:tr>
      <w:tr w:rsidR="005F07A0" w:rsidRPr="00960D60" w14:paraId="0F547D32" w14:textId="77777777" w:rsidTr="00733BF3">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0AE6833"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DE04219" w14:textId="77777777" w:rsidR="005F07A0" w:rsidRPr="00960D60" w:rsidRDefault="005F07A0" w:rsidP="00733BF3">
            <w:pPr>
              <w:spacing w:after="0"/>
              <w:jc w:val="center"/>
              <w:rPr>
                <w:rFonts w:ascii="Verdana" w:hAnsi="Verdana"/>
                <w:sz w:val="20"/>
                <w:szCs w:val="20"/>
              </w:rPr>
            </w:pPr>
            <w:r>
              <w:rPr>
                <w:rFonts w:ascii="Verdana" w:eastAsia="Times New Roman" w:hAnsi="Verdana" w:cs="Times New Roman"/>
                <w:sz w:val="20"/>
                <w:szCs w:val="20"/>
              </w:rPr>
              <w:t>Por cada 100 trabajadores adicionales, se suman 2 trabajadores con discapacidad</w:t>
            </w:r>
          </w:p>
        </w:tc>
      </w:tr>
    </w:tbl>
    <w:p w14:paraId="37539EE9" w14:textId="77777777" w:rsidR="005F07A0" w:rsidRPr="00D22B7C" w:rsidRDefault="005F07A0" w:rsidP="005F07A0">
      <w:pPr>
        <w:spacing w:after="0" w:line="276" w:lineRule="auto"/>
        <w:rPr>
          <w:rFonts w:ascii="Verdana" w:hAnsi="Verdana"/>
        </w:rPr>
      </w:pPr>
    </w:p>
    <w:p w14:paraId="1E042FE1" w14:textId="77777777" w:rsidR="005F07A0" w:rsidRPr="00D22B7C" w:rsidRDefault="005F07A0" w:rsidP="005F07A0">
      <w:pPr>
        <w:spacing w:after="120" w:line="276" w:lineRule="auto"/>
        <w:ind w:firstLine="709"/>
        <w:jc w:val="both"/>
        <w:rPr>
          <w:rFonts w:ascii="Verdana" w:hAnsi="Verdana"/>
        </w:rPr>
      </w:pPr>
      <w:r>
        <w:rPr>
          <w:rFonts w:ascii="Verdana" w:eastAsia="Times New Roman" w:hAnsi="Verdana" w:cs="Times New Roman"/>
        </w:rPr>
        <w:lastRenderedPageBreak/>
        <w:t xml:space="preserve">El puntaje no se otorga por cumplir la ley sino por superarla: solo el proponente que acredite un número de </w:t>
      </w:r>
      <w:proofErr w:type="spellStart"/>
      <w:r>
        <w:rPr>
          <w:rFonts w:ascii="Verdana" w:eastAsia="Times New Roman" w:hAnsi="Verdana" w:cs="Times New Roman"/>
        </w:rPr>
        <w:t>PcD</w:t>
      </w:r>
      <w:proofErr w:type="spellEnd"/>
      <w:r>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14:paraId="21AD9F69" w14:textId="77777777" w:rsidR="005F07A0" w:rsidRPr="00D22B7C" w:rsidRDefault="005F07A0" w:rsidP="005F07A0">
      <w:pPr>
        <w:spacing w:after="120" w:line="276" w:lineRule="auto"/>
        <w:ind w:firstLine="709"/>
        <w:jc w:val="both"/>
        <w:rPr>
          <w:rFonts w:ascii="Verdana" w:hAnsi="Verdana"/>
        </w:rPr>
      </w:pPr>
      <w:r>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Pr>
          <w:rFonts w:ascii="Verdana" w:eastAsia="Times New Roman" w:hAnsi="Verdana" w:cs="Times New Roman"/>
        </w:rPr>
        <w:t>PcD</w:t>
      </w:r>
      <w:proofErr w:type="spellEnd"/>
      <w:r>
        <w:rPr>
          <w:rFonts w:ascii="Verdana" w:eastAsia="Times New Roman" w:hAnsi="Verdana" w:cs="Times New Roman"/>
        </w:rPr>
        <w:t xml:space="preserve"> incluida en el cómputo, sin distinción entre vinculaciones iniciales e incrementos posteriores, junto con el certificado que expide el Ministerio del Trabajo, entre otros documentos.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1CC93C5D" w14:textId="77777777" w:rsidR="005F07A0" w:rsidRPr="003C3B8B" w:rsidRDefault="005F07A0" w:rsidP="005F07A0">
      <w:pPr>
        <w:spacing w:before="100" w:after="180" w:line="240" w:lineRule="auto"/>
        <w:ind w:left="720" w:right="720"/>
        <w:jc w:val="both"/>
        <w:rPr>
          <w:rFonts w:ascii="Verdana" w:hAnsi="Verdana"/>
          <w:sz w:val="21"/>
          <w:szCs w:val="21"/>
        </w:rPr>
      </w:pPr>
      <w:r>
        <w:rPr>
          <w:rFonts w:ascii="Verdana" w:eastAsia="Times New Roman" w:hAnsi="Verdana" w:cs="Times New Roman"/>
          <w:i/>
          <w:iCs/>
          <w:sz w:val="21"/>
          <w:szCs w:val="21"/>
        </w:rPr>
        <w:t xml:space="preserve">"no se exige vinculación de las </w:t>
      </w:r>
      <w:proofErr w:type="spellStart"/>
      <w:r>
        <w:rPr>
          <w:rFonts w:ascii="Verdana" w:eastAsia="Times New Roman" w:hAnsi="Verdana" w:cs="Times New Roman"/>
          <w:i/>
          <w:iCs/>
          <w:sz w:val="21"/>
          <w:szCs w:val="21"/>
        </w:rPr>
        <w:t>PcD</w:t>
      </w:r>
      <w:proofErr w:type="spellEnd"/>
      <w:r>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p>
    <w:p w14:paraId="6F1D7E9E" w14:textId="77777777" w:rsidR="005F07A0" w:rsidRDefault="005F07A0" w:rsidP="005F07A0">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Pr>
          <w:rFonts w:ascii="Verdana" w:eastAsia="Times New Roman" w:hAnsi="Verdana" w:cs="Times New Roman"/>
        </w:rPr>
        <w:t>PcD</w:t>
      </w:r>
      <w:proofErr w:type="spellEnd"/>
      <w:r>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Pr>
          <w:rFonts w:ascii="Verdana" w:eastAsia="Times New Roman" w:hAnsi="Verdana" w:cs="Times New Roman"/>
        </w:rPr>
        <w:t>PcD</w:t>
      </w:r>
      <w:proofErr w:type="spellEnd"/>
      <w:r>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Pr>
          <w:rFonts w:ascii="Verdana" w:eastAsia="Times New Roman" w:hAnsi="Verdana" w:cs="Times New Roman"/>
        </w:rPr>
        <w:t>PcD</w:t>
      </w:r>
      <w:proofErr w:type="spellEnd"/>
      <w:r>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Pr>
          <w:rFonts w:ascii="Verdana" w:eastAsia="Times New Roman" w:hAnsi="Verdana" w:cs="Times New Roman"/>
        </w:rPr>
        <w:t>PcD</w:t>
      </w:r>
      <w:proofErr w:type="spellEnd"/>
      <w:r>
        <w:rPr>
          <w:rFonts w:ascii="Verdana" w:eastAsia="Times New Roman" w:hAnsi="Verdana" w:cs="Times New Roman"/>
        </w:rPr>
        <w:t xml:space="preserve"> específicas, lo que es coherente con los principios de participación y pluralidad de oferentes.</w:t>
      </w:r>
    </w:p>
    <w:p w14:paraId="598F7480" w14:textId="77777777" w:rsidR="005F07A0" w:rsidRDefault="005F07A0" w:rsidP="005F07A0">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Es importante precisar que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w:t>
      </w:r>
      <w:r>
        <w:rPr>
          <w:rFonts w:ascii="Verdana" w:eastAsia="Times New Roman" w:hAnsi="Verdana" w:cs="Times New Roman"/>
        </w:rPr>
        <w:lastRenderedPageBreak/>
        <w:t xml:space="preserve">destacarse la diferencia entre los documentos exigidos según el sujeto que acredita el puntaje: cuando se trata de un empleador de </w:t>
      </w:r>
      <w:proofErr w:type="spellStart"/>
      <w:r>
        <w:rPr>
          <w:rFonts w:ascii="Verdana" w:eastAsia="Times New Roman" w:hAnsi="Verdana" w:cs="Times New Roman"/>
        </w:rPr>
        <w:t>PcD</w:t>
      </w:r>
      <w:proofErr w:type="spellEnd"/>
      <w:r>
        <w:rPr>
          <w:rFonts w:ascii="Verdana" w:eastAsia="Times New Roman" w:hAnsi="Verdana" w:cs="Times New Roman"/>
        </w:rPr>
        <w:t xml:space="preserve">, los documentos requeridos son los establecidos en el artículo 2.2.1.2.4.2.7.4., que incluye las planillas de seguridad social de los últimos tres (3) meses y el certificado del Ministerio del Trabajo, entre otros; cuando se trata de un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Pr>
          <w:rFonts w:ascii="Verdana" w:eastAsia="Times New Roman" w:hAnsi="Verdana" w:cs="Times New Roman"/>
        </w:rPr>
        <w:t>PcD</w:t>
      </w:r>
      <w:proofErr w:type="spellEnd"/>
      <w:r>
        <w:rPr>
          <w:rFonts w:ascii="Verdana" w:eastAsia="Times New Roman" w:hAnsi="Verdana" w:cs="Times New Roman"/>
        </w:rPr>
        <w:t xml:space="preserve">, ni viceversa. El término de tres (3) </w:t>
      </w:r>
      <w:proofErr w:type="gramStart"/>
      <w:r>
        <w:rPr>
          <w:rFonts w:ascii="Verdana" w:eastAsia="Times New Roman" w:hAnsi="Verdana" w:cs="Times New Roman"/>
        </w:rPr>
        <w:t>meses aquí mencionado</w:t>
      </w:r>
      <w:proofErr w:type="gramEnd"/>
      <w:r>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Pr>
          <w:rFonts w:ascii="Verdana" w:eastAsia="Times New Roman" w:hAnsi="Verdana" w:cs="Times New Roman"/>
        </w:rPr>
        <w:t>PcD</w:t>
      </w:r>
      <w:proofErr w:type="spellEnd"/>
      <w:r>
        <w:rPr>
          <w:rFonts w:ascii="Verdana" w:eastAsia="Times New Roman" w:hAnsi="Verdana" w:cs="Times New Roman"/>
        </w:rPr>
        <w:t>, por lo que no deben confundirse.</w:t>
      </w:r>
    </w:p>
    <w:p w14:paraId="6F752B23" w14:textId="77777777" w:rsidR="005F07A0" w:rsidRPr="00D22B7C" w:rsidRDefault="005F07A0" w:rsidP="005F07A0">
      <w:pPr>
        <w:spacing w:after="120" w:line="276" w:lineRule="auto"/>
        <w:ind w:firstLine="709"/>
        <w:jc w:val="both"/>
        <w:rPr>
          <w:rFonts w:ascii="Verdana" w:hAnsi="Verdana"/>
        </w:rPr>
      </w:pPr>
      <w:r>
        <w:rPr>
          <w:rFonts w:ascii="Verdana" w:hAnsi="Verdana"/>
        </w:rPr>
        <w:t>(</w:t>
      </w:r>
      <w:proofErr w:type="spellStart"/>
      <w:r>
        <w:rPr>
          <w:rFonts w:ascii="Verdana" w:hAnsi="Verdana"/>
        </w:rPr>
        <w:t>iv</w:t>
      </w:r>
      <w:proofErr w:type="spellEnd"/>
      <w:r>
        <w:rPr>
          <w:rFonts w:ascii="Verdana" w:hAnsi="Verdana"/>
        </w:rPr>
        <w:t xml:space="preserve">) En relación, al ámbito de aplicación del puntaje adicional del 2%, el artículo 2.2.1.2.4.2.7.4. del Decreto 0287 de 2026 establece este puntaje exclusivamente en los procedimientos de licitación pública y concurso de méritos, para entidades regidas por el Estatuto General de Contratación Pública.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de selección; y la contratación directa tiene su propia medida afirmativa a través de los contratos de prestación de servicios con </w:t>
      </w:r>
      <w:proofErr w:type="spellStart"/>
      <w:r>
        <w:rPr>
          <w:rFonts w:ascii="Verdana" w:hAnsi="Verdana"/>
        </w:rPr>
        <w:t>PcD</w:t>
      </w:r>
      <w:proofErr w:type="spellEnd"/>
      <w:r>
        <w:rPr>
          <w:rFonts w:ascii="Verdana" w:hAnsi="Verdana"/>
        </w:rPr>
        <w:t>.</w:t>
      </w:r>
    </w:p>
    <w:p w14:paraId="7D04D958" w14:textId="77777777" w:rsidR="005F07A0" w:rsidRPr="00670CFB" w:rsidRDefault="005F07A0" w:rsidP="005F07A0">
      <w:pPr>
        <w:spacing w:line="278" w:lineRule="auto"/>
        <w:ind w:firstLine="708"/>
        <w:jc w:val="both"/>
        <w:rPr>
          <w:rFonts w:ascii="Verdana" w:hAnsi="Verdana"/>
        </w:rPr>
      </w:pPr>
      <w:r>
        <w:rPr>
          <w:rFonts w:ascii="Verdana" w:hAnsi="Verdana"/>
        </w:rPr>
        <w:t xml:space="preserve">(V) Finalmente, en relación con el problema jurídico planteado, resulta pertinente precisar la aplicación temporal del Decreto 287 de 2026 y, en términos generales, el alcance de las reglas del proceso de selección una vez en firme el pliego de condiciones. El Decreto 287 de 2026, expedido el 19 de marzo de 2026, rige a partir del 20 de marzo de 2026, día siguiente a su publicación en el Diario Oficial, y modificó en su integridad el contenido de los artículos 2.2.1.2.4.2.6., 2.2.1.2.4.2.7. y 2.2.1.2.4.2.8. del Decreto 1082 de 2015, conservando su numeración; no se trató de una derogatoria sino de una modificación total de su contenido. Conforme al régimen de transición precisado por esta Agencia en la Circular Externa 003 de 2026, los procesos de </w:t>
      </w:r>
      <w:r>
        <w:rPr>
          <w:rFonts w:ascii="Verdana" w:hAnsi="Verdana"/>
        </w:rPr>
        <w:lastRenderedPageBreak/>
        <w:t>contratación competitivos con resolución de apertura firmada el 19 de marzo de 2026 o antes continúan rigiéndose por las reglas anteriores, mientras que aquellos sin resolución de apertura a esa fecha, o cuya resolución se expidió el 20 de marzo de 2026 o en fecha posterior, deben incorporar el Decreto 287 de 2026 y ajustar sus estudios previos y pliegos de condiciones antes de expedir el acto administrativo de apertura; y para los procesos con proyecto de pliego publicado pero sin apertura a esa fecha, se recomendó incorporar las medidas del decreto antes de publicar los pliegos definitivos.</w:t>
      </w:r>
    </w:p>
    <w:p w14:paraId="3E12FA15" w14:textId="77777777" w:rsidR="005F07A0" w:rsidRPr="00670CFB" w:rsidRDefault="005F07A0" w:rsidP="005F07A0">
      <w:pPr>
        <w:spacing w:line="278" w:lineRule="auto"/>
        <w:ind w:firstLine="708"/>
        <w:jc w:val="both"/>
        <w:rPr>
          <w:rFonts w:ascii="Verdana" w:hAnsi="Verdana"/>
        </w:rPr>
      </w:pPr>
      <w:r>
        <w:rPr>
          <w:rFonts w:ascii="Verdana" w:hAnsi="Verdana"/>
        </w:rPr>
        <w:t>En términos generales, el pliego de condiciones constituye la ley del proceso de selección, de modo que sus reglas de evaluación, una vez en firme y vencidas las oportunidades para su modificación mediante adenda con anterioridad al cierre, resultan vinculantes tanto para los proponentes como para la propia entidad, en garantía de los principios de igualdad, transparencia, selección objetiva, buena fe y confianza legítima previstos, entre otros, en el artículo 5 de la Ley 1150 de 2007 y en el artículo 24 de la Ley 80 de 1993. Por ello, por regla general, las reglas de evaluación deben ser conocidas, ciertas y estables para los interesados desde antes de la presentación de las ofertas, y la incorporación de las medidas del Decreto 287 de 2026 ha de surtirse en la fase de planeación o, a más tardar, mediante adenda con anterioridad al cierre del proceso. Cuestión distinta es el principio de inalterabilidad propio de los Documentos Tipo, conforme al cual, según lo precisa la Circular Externa 003 de 2026, las entidades obligadas a su uso deben continuar aplicando la versión vigente de dichos documentos y abstenerse de realizar modificaciones no autorizadas, hasta tanto la ANCP-CCE expida las actualizaciones correspondientes que incorporen las medidas del decreto.</w:t>
      </w:r>
    </w:p>
    <w:p w14:paraId="7910CDDE" w14:textId="77777777" w:rsidR="005F07A0" w:rsidRPr="00670CFB" w:rsidRDefault="005F07A0" w:rsidP="005F07A0">
      <w:pPr>
        <w:spacing w:line="278" w:lineRule="auto"/>
        <w:ind w:firstLine="708"/>
        <w:jc w:val="both"/>
        <w:rPr>
          <w:rFonts w:ascii="Verdana" w:hAnsi="Verdana"/>
        </w:rPr>
      </w:pPr>
      <w:r>
        <w:rPr>
          <w:rFonts w:ascii="Verdana" w:hAnsi="Verdana"/>
        </w:rPr>
        <w:t xml:space="preserve">Así las cosas, en términos generales, cuando el pliego de condiciones ha establecido como criterio de evaluación un determinado marco normativo, el análisis sobre la procedencia de aplicar uno distinto en la etapa de evaluación debe efectuarse a la luz de los principios antes señalados y del régimen de transición aplicable. Sin perjuicio de lo anterior, corresponde a cada entidad estatal, en ejercicio de su competencia y previa valoración de los elementos fácticos y jurídicos del caso concreto, así como de las disposiciones legales pertinentes, determinar la actuación que resulte ajustada a derecho. Lo anterior debe entenderse en armonía con los lineamientos de la Circular Externa 003 de </w:t>
      </w:r>
      <w:r>
        <w:rPr>
          <w:rFonts w:ascii="Verdana" w:hAnsi="Verdana"/>
        </w:rPr>
        <w:lastRenderedPageBreak/>
        <w:t>2026, disponible en el portal institucional de la Agencia Nacional de Contratación Pública – Colombia Compra Eficiente.</w:t>
      </w:r>
    </w:p>
    <w:p w14:paraId="14B6C07A" w14:textId="77777777" w:rsidR="005F07A0" w:rsidRPr="00670CFB" w:rsidRDefault="005F07A0" w:rsidP="005F07A0">
      <w:pPr>
        <w:spacing w:after="120" w:line="276" w:lineRule="auto"/>
        <w:ind w:firstLine="709"/>
        <w:jc w:val="both"/>
        <w:rPr>
          <w:rFonts w:ascii="Verdana" w:hAnsi="Verdana"/>
        </w:rPr>
      </w:pPr>
      <w:r>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4202C17E" w14:textId="77777777" w:rsidR="005F07A0" w:rsidRPr="00206556" w:rsidRDefault="005F07A0" w:rsidP="005F07A0">
      <w:pPr>
        <w:spacing w:after="0" w:line="276" w:lineRule="auto"/>
        <w:jc w:val="both"/>
        <w:rPr>
          <w:rFonts w:ascii="Verdana" w:eastAsia="Calibri" w:hAnsi="Verdana" w:cs="Arial"/>
          <w:lang w:val="es-ES"/>
        </w:rPr>
      </w:pPr>
    </w:p>
    <w:p w14:paraId="7EC5C8F3" w14:textId="77777777" w:rsidR="005F07A0" w:rsidRPr="00206556" w:rsidRDefault="005F07A0" w:rsidP="005F07A0">
      <w:pPr>
        <w:spacing w:after="120" w:line="276" w:lineRule="auto"/>
        <w:jc w:val="both"/>
        <w:rPr>
          <w:rFonts w:ascii="Verdana" w:eastAsia="Century Gothic" w:hAnsi="Verdana" w:cs="Century Gothic"/>
          <w:b/>
          <w:lang w:val="es-ES"/>
        </w:rPr>
      </w:pPr>
      <w:r>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07A0" w:rsidRPr="00206556" w14:paraId="6C8FA6A4" w14:textId="77777777" w:rsidTr="00733BF3">
        <w:trPr>
          <w:trHeight w:val="297"/>
        </w:trPr>
        <w:tc>
          <w:tcPr>
            <w:tcW w:w="8647" w:type="dxa"/>
          </w:tcPr>
          <w:p w14:paraId="04BB0BBD" w14:textId="77777777" w:rsidR="005F07A0" w:rsidRPr="00670CFB"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Constitución Política de Colombia. Artículos 13, 47, 54 y 93.</w:t>
            </w:r>
          </w:p>
          <w:p w14:paraId="16BE1613"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 de 1967. Por la cual se aprueba el Convenio número 111 Internacional del Trabajo, relativo a la discriminación en materia de empleo y ocupación.</w:t>
            </w:r>
          </w:p>
          <w:p w14:paraId="15618429"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82 de 1988. Por la cual se aprueba el Convenio 159 de la OIT sobre readaptación profesional y empleo de personas inválidas.</w:t>
            </w:r>
          </w:p>
          <w:p w14:paraId="5917E7A5"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361 de 1997. Artículo 24.</w:t>
            </w:r>
          </w:p>
          <w:p w14:paraId="051E7B1D"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7D65B6A9"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1346 de 2009. Por medio de la cual se aprueba la Convención sobre los Derechos de las Personas con Discapacidad de la ONU.</w:t>
            </w:r>
          </w:p>
          <w:p w14:paraId="421D7B43"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Estatutaria 1618 de 2013. Artículo 13, numerales 1, 7 y 8.</w:t>
            </w:r>
          </w:p>
          <w:p w14:paraId="000E9B93"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1996 de 2019. Artículo 62.</w:t>
            </w:r>
          </w:p>
          <w:p w14:paraId="4B730EE6"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2069 de 2020. Artículos 34 y 35.</w:t>
            </w:r>
          </w:p>
          <w:p w14:paraId="180F65C0"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2294 de 2023. Artículos 4, 76 y 79.</w:t>
            </w:r>
          </w:p>
          <w:p w14:paraId="21BF2FD9"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2466 de 2025. Artículo 15, numeral 17.</w:t>
            </w:r>
          </w:p>
          <w:p w14:paraId="3E9B5B0B"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1082 de 2015. Artículos 2.2.1.2.4.2.6., 2.2.1.2.4.2.7. y siguientes, y 2.2.1.2.4.2.8., modificados por el Decreto 0287 de 2026.</w:t>
            </w:r>
          </w:p>
          <w:p w14:paraId="69008C36"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392 de 2018. Modificado integralmente en su contenido por el Decreto 0287 de 2026, que conservó la numeración de sus artículos.</w:t>
            </w:r>
          </w:p>
          <w:p w14:paraId="550FDDF1"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1860 de 2021. Artículo 3.</w:t>
            </w:r>
          </w:p>
          <w:p w14:paraId="5CC236B9"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 xml:space="preserve">Decreto 0287 de 2026. Por el cual se modifican los artículos </w:t>
            </w:r>
            <w:r>
              <w:rPr>
                <w:rFonts w:ascii="Verdana" w:eastAsia="Arial MT" w:hAnsi="Verdana" w:cs="Arial"/>
                <w:lang w:eastAsia="es-ES" w:bidi="es-ES"/>
              </w:rPr>
              <w:lastRenderedPageBreak/>
              <w:t>2.2.1.2.4.2.6., 2.2.1.2.4.2.7. y 2.2.1.2.4.2.8. del Decreto 1082 de 2015.</w:t>
            </w:r>
          </w:p>
          <w:p w14:paraId="21BA3EAF"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C-410 de 2001. M.P. Álvaro Tafur Galvis.</w:t>
            </w:r>
          </w:p>
          <w:p w14:paraId="01039380"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SU-049 de 2017. M.P. María Victoria Calle Correa.</w:t>
            </w:r>
          </w:p>
          <w:p w14:paraId="013E3367"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Pr>
                <w:rFonts w:ascii="Verdana" w:eastAsia="Arial MT" w:hAnsi="Verdana" w:cs="Arial"/>
                <w:lang w:eastAsia="es-ES" w:bidi="es-ES"/>
              </w:rPr>
              <w:t>n.°</w:t>
            </w:r>
            <w:proofErr w:type="spellEnd"/>
            <w:r>
              <w:rPr>
                <w:rFonts w:ascii="Verdana" w:eastAsia="Arial MT" w:hAnsi="Verdana" w:cs="Arial"/>
                <w:lang w:eastAsia="es-ES" w:bidi="es-ES"/>
              </w:rPr>
              <w:t xml:space="preserve"> 05001-23-33-000-2024-00847-01. M.P. Omar Joaquín Barreto Suárez.</w:t>
            </w:r>
          </w:p>
          <w:p w14:paraId="4A4695BD"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Concepto del 24 de julio de 2013. Rad. 2166. C.P. Álvaro Namén Vargas.</w:t>
            </w:r>
          </w:p>
          <w:p w14:paraId="10EB5627"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2F54E345"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ABC del Decreto 0287 de 2026. Bogotá, 2026.</w:t>
            </w:r>
          </w:p>
          <w:p w14:paraId="669FA462"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Memoria Justificativa del Decreto 0287 de 2026. Bogotá, 2026.</w:t>
            </w:r>
          </w:p>
          <w:p w14:paraId="15722709"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Guía de Compras Públicas Sostenibles y Socialmente Responsables. Bogotá, 2025.</w:t>
            </w:r>
          </w:p>
          <w:p w14:paraId="5750392B"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C-864 del 14 de diciembre de 2022.</w:t>
            </w:r>
          </w:p>
          <w:p w14:paraId="3BAE099A"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C-1519 del 19 de noviembre de 2025.</w:t>
            </w:r>
          </w:p>
          <w:p w14:paraId="1EB330C3" w14:textId="77777777" w:rsidR="005F07A0" w:rsidRPr="00206556" w:rsidRDefault="005F07A0" w:rsidP="005F07A0">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Departamento Nacional de Planeación. Documento CONPES 166 de 2013. Política Pública Nacional de Discapacidad e Inclusión Social.</w:t>
            </w:r>
          </w:p>
          <w:p w14:paraId="5B627E2F" w14:textId="77777777" w:rsidR="005F07A0" w:rsidRPr="00206556" w:rsidRDefault="005F07A0" w:rsidP="00733BF3">
            <w:pPr>
              <w:widowControl w:val="0"/>
              <w:autoSpaceDE w:val="0"/>
              <w:autoSpaceDN w:val="0"/>
              <w:spacing w:line="276" w:lineRule="auto"/>
              <w:jc w:val="both"/>
              <w:rPr>
                <w:rFonts w:ascii="Verdana" w:eastAsia="Arial MT" w:hAnsi="Verdana" w:cs="Arial"/>
                <w:lang w:val="es-ES" w:eastAsia="es-ES" w:bidi="es-ES"/>
              </w:rPr>
            </w:pPr>
          </w:p>
        </w:tc>
      </w:tr>
    </w:tbl>
    <w:p w14:paraId="5DF8CC0D" w14:textId="77777777" w:rsidR="005F07A0" w:rsidRPr="00206556" w:rsidRDefault="005F07A0" w:rsidP="005F07A0">
      <w:pPr>
        <w:widowControl w:val="0"/>
        <w:autoSpaceDE w:val="0"/>
        <w:autoSpaceDN w:val="0"/>
        <w:spacing w:after="0" w:line="276" w:lineRule="auto"/>
        <w:jc w:val="both"/>
        <w:rPr>
          <w:rFonts w:ascii="Verdana" w:hAnsi="Verdana" w:cs="Arial"/>
          <w:color w:val="ED7D31" w:themeColor="accent2"/>
          <w:lang w:val="es-ES"/>
        </w:rPr>
      </w:pPr>
    </w:p>
    <w:p w14:paraId="2CB8ECE9" w14:textId="77777777" w:rsidR="005F07A0" w:rsidRDefault="005F07A0" w:rsidP="005F07A0">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5. Doctrina de la Agencia Nacional de Contratación Pública:</w:t>
      </w:r>
    </w:p>
    <w:p w14:paraId="4D65667C" w14:textId="77777777" w:rsidR="005F07A0" w:rsidRPr="00670CFB" w:rsidRDefault="005F07A0" w:rsidP="005F07A0">
      <w:pPr>
        <w:tabs>
          <w:tab w:val="left" w:pos="142"/>
          <w:tab w:val="left" w:pos="284"/>
        </w:tabs>
        <w:spacing w:after="0" w:line="276" w:lineRule="auto"/>
        <w:jc w:val="both"/>
        <w:rPr>
          <w:rFonts w:ascii="Verdana" w:eastAsia="Century Gothic" w:hAnsi="Verdana" w:cs="Century Gothic"/>
          <w:b/>
          <w:lang w:val="es-ES"/>
        </w:rPr>
      </w:pPr>
    </w:p>
    <w:p w14:paraId="46197398" w14:textId="77777777" w:rsidR="005F07A0" w:rsidRPr="00206556" w:rsidRDefault="005F07A0" w:rsidP="005F07A0">
      <w:pPr>
        <w:spacing w:after="0" w:line="276" w:lineRule="auto"/>
        <w:jc w:val="both"/>
        <w:rPr>
          <w:rFonts w:ascii="Verdana" w:hAnsi="Verdana"/>
          <w:color w:val="ED7D31" w:themeColor="accent2"/>
          <w:lang w:val="es-ES"/>
        </w:rPr>
      </w:pPr>
      <w:r>
        <w:rPr>
          <w:rFonts w:ascii="Verdana" w:eastAsia="Calibri" w:hAnsi="Verdana" w:cs="Arial"/>
          <w:lang w:val="es-ES"/>
        </w:rPr>
        <w:t xml:space="preserve">La Agencia Nacional de Contratación Pública – Colombia Compra Eficiente se ha referido </w:t>
      </w:r>
      <w:r>
        <w:rPr>
          <w:rFonts w:ascii="Verdana" w:hAnsi="Verdana" w:cs="Arial"/>
          <w:shd w:val="clear" w:color="auto" w:fill="FFFFFF"/>
          <w:lang w:val="es-ES"/>
        </w:rPr>
        <w:t>sobre el alcance del Decreto 0287 de 2026 en este concepto</w:t>
      </w:r>
      <w:r>
        <w:rPr>
          <w:rFonts w:ascii="Verdana" w:eastAsia="Calibri" w:hAnsi="Verdana" w:cs="Arial"/>
          <w:lang w:val="es-ES_tradnl" w:eastAsia="es-ES"/>
        </w:rPr>
        <w:t>.</w:t>
      </w:r>
      <w:r>
        <w:rPr>
          <w:rFonts w:ascii="Verdana" w:hAnsi="Verdana" w:cs="Arial"/>
          <w:shd w:val="clear" w:color="auto" w:fill="FFFFFF"/>
          <w:lang w:val="es-ES"/>
        </w:rPr>
        <w:t xml:space="preserve"> Este</w:t>
      </w:r>
      <w:r>
        <w:rPr>
          <w:rFonts w:ascii="Verdana" w:hAnsi="Verdana"/>
          <w:lang w:val="es-ES"/>
        </w:rPr>
        <w:t xml:space="preserve"> y otros se encuentran disponibles para consulta en el Sistema de relatoría de la </w:t>
      </w:r>
      <w:r>
        <w:rPr>
          <w:rFonts w:ascii="Verdana" w:hAnsi="Verdana"/>
          <w:lang w:val="es-ES"/>
        </w:rPr>
        <w:lastRenderedPageBreak/>
        <w:t>Agencia, al cual se puede acceder a través del siguiente enlace:</w:t>
      </w:r>
      <w:r>
        <w:rPr>
          <w:rFonts w:ascii="Verdana" w:hAnsi="Verdana" w:cs="Arial"/>
          <w:shd w:val="clear" w:color="auto" w:fill="FFFFFF"/>
          <w:lang w:val="es-ES"/>
        </w:rPr>
        <w:t xml:space="preserve"> </w:t>
      </w:r>
      <w:hyperlink r:id="rId11" w:history="1">
        <w:r>
          <w:rPr>
            <w:rStyle w:val="Hipervnculo"/>
            <w:rFonts w:ascii="Verdana" w:hAnsi="Verdana" w:cs="Arial"/>
            <w:shd w:val="clear" w:color="auto" w:fill="FFFFFF"/>
            <w:lang w:val="es-ES"/>
          </w:rPr>
          <w:t>https://relatoria.colombiacompra.gov.co/busqueda/conceptos</w:t>
        </w:r>
      </w:hyperlink>
    </w:p>
    <w:p w14:paraId="5974722C" w14:textId="77777777" w:rsidR="005F07A0" w:rsidRPr="00206556" w:rsidRDefault="005F07A0" w:rsidP="005F07A0">
      <w:pPr>
        <w:spacing w:after="0" w:line="276" w:lineRule="auto"/>
        <w:jc w:val="both"/>
        <w:rPr>
          <w:rFonts w:ascii="Verdana" w:hAnsi="Verdana" w:cs="Arial"/>
          <w:color w:val="ED7D31" w:themeColor="accent2"/>
          <w:shd w:val="clear" w:color="auto" w:fill="FFFFFF"/>
          <w:lang w:val="es-ES"/>
        </w:rPr>
      </w:pPr>
    </w:p>
    <w:p w14:paraId="634CE7A9" w14:textId="77777777" w:rsidR="005F07A0" w:rsidRPr="00206556" w:rsidRDefault="005F07A0" w:rsidP="005F07A0">
      <w:pPr>
        <w:spacing w:after="0" w:line="276" w:lineRule="auto"/>
        <w:jc w:val="both"/>
        <w:rPr>
          <w:rFonts w:ascii="Verdana" w:hAnsi="Verdana" w:cs="Arial"/>
          <w:shd w:val="clear" w:color="auto" w:fill="FFFFFF"/>
        </w:rPr>
      </w:pPr>
      <w:r>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2" w:history="1">
        <w:r>
          <w:rPr>
            <w:rStyle w:val="Hipervnculo"/>
            <w:rFonts w:ascii="Verdana" w:hAnsi="Verdana" w:cs="Arial"/>
            <w:shd w:val="clear" w:color="auto" w:fill="FFFFFF"/>
          </w:rPr>
          <w:t>https://formacionvirtual.colombiacompra.gov.co/mod/page/view.php?id=3718</w:t>
        </w:r>
      </w:hyperlink>
      <w:r>
        <w:rPr>
          <w:rFonts w:ascii="Verdana" w:hAnsi="Verdana" w:cs="Arial"/>
          <w:shd w:val="clear" w:color="auto" w:fill="FFFFFF"/>
        </w:rPr>
        <w:t xml:space="preserve"> </w:t>
      </w:r>
    </w:p>
    <w:p w14:paraId="18602AE5" w14:textId="77777777" w:rsidR="005F07A0" w:rsidRPr="00206556" w:rsidRDefault="005F07A0" w:rsidP="005F07A0">
      <w:pPr>
        <w:spacing w:after="0" w:line="276" w:lineRule="auto"/>
        <w:jc w:val="both"/>
        <w:rPr>
          <w:rFonts w:ascii="Verdana" w:hAnsi="Verdana" w:cs="Arial"/>
          <w:shd w:val="clear" w:color="auto" w:fill="FFFFFF"/>
        </w:rPr>
      </w:pPr>
    </w:p>
    <w:p w14:paraId="3C5A4744" w14:textId="77777777" w:rsidR="005F07A0" w:rsidRPr="00206556" w:rsidRDefault="005F07A0" w:rsidP="005F07A0">
      <w:pPr>
        <w:spacing w:after="0" w:line="276" w:lineRule="auto"/>
        <w:jc w:val="both"/>
        <w:rPr>
          <w:rFonts w:ascii="Verdana" w:hAnsi="Verdana" w:cs="Arial"/>
          <w:shd w:val="clear" w:color="auto" w:fill="FFFFFF"/>
        </w:rPr>
      </w:pPr>
      <w:r>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3" w:history="1">
        <w:r>
          <w:rPr>
            <w:rStyle w:val="Hipervnculo"/>
            <w:rFonts w:ascii="Verdana" w:hAnsi="Verdana" w:cs="Arial"/>
            <w:shd w:val="clear" w:color="auto" w:fill="FFFFFF"/>
          </w:rPr>
          <w:t>https://www.colombiacompra.gov.co/normativa-y-relatoria/documentos-tipo</w:t>
        </w:r>
      </w:hyperlink>
    </w:p>
    <w:p w14:paraId="6E6CDEC1" w14:textId="77777777" w:rsidR="005F07A0" w:rsidRPr="00206556" w:rsidRDefault="005F07A0" w:rsidP="005F07A0">
      <w:pPr>
        <w:spacing w:after="0" w:line="276" w:lineRule="auto"/>
        <w:jc w:val="both"/>
        <w:rPr>
          <w:rFonts w:ascii="Verdana" w:hAnsi="Verdana" w:cs="Arial"/>
          <w:shd w:val="clear" w:color="auto" w:fill="FFFFFF"/>
        </w:rPr>
      </w:pPr>
    </w:p>
    <w:p w14:paraId="61AA9742" w14:textId="77777777" w:rsidR="005F07A0" w:rsidRPr="00206556" w:rsidRDefault="005F07A0" w:rsidP="005F07A0">
      <w:pPr>
        <w:spacing w:after="0" w:line="276" w:lineRule="auto"/>
        <w:jc w:val="both"/>
        <w:rPr>
          <w:rFonts w:ascii="Verdana" w:hAnsi="Verdana" w:cs="Arial"/>
          <w:shd w:val="clear" w:color="auto" w:fill="FFFFFF"/>
        </w:rPr>
      </w:pPr>
      <w:r>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Pr>
          <w:rFonts w:ascii="Verdana" w:hAnsi="Verdana" w:cs="Arial"/>
          <w:shd w:val="clear" w:color="auto" w:fill="FFFFFF"/>
        </w:rPr>
        <w:t>Además</w:t>
      </w:r>
      <w:proofErr w:type="gramEnd"/>
      <w:r>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6879B6A3" w14:textId="77777777" w:rsidR="005F07A0" w:rsidRPr="00206556" w:rsidRDefault="005F07A0" w:rsidP="005F07A0">
      <w:pPr>
        <w:spacing w:after="0" w:line="276" w:lineRule="auto"/>
        <w:jc w:val="both"/>
        <w:rPr>
          <w:rFonts w:ascii="Verdana" w:hAnsi="Verdana" w:cs="Arial"/>
          <w:color w:val="ED7D31" w:themeColor="accent2"/>
          <w:shd w:val="clear" w:color="auto" w:fill="FFFFFF"/>
        </w:rPr>
      </w:pPr>
    </w:p>
    <w:p w14:paraId="20606821" w14:textId="77777777" w:rsidR="005F07A0" w:rsidRPr="00206556" w:rsidRDefault="005F07A0" w:rsidP="005F07A0">
      <w:pPr>
        <w:spacing w:after="0"/>
        <w:jc w:val="both"/>
        <w:rPr>
          <w:rFonts w:ascii="Verdana" w:hAnsi="Verdana" w:cs="Arial"/>
          <w:shd w:val="clear" w:color="auto" w:fill="FFFFFF"/>
        </w:rPr>
      </w:pPr>
      <w:r>
        <w:rPr>
          <w:rFonts w:ascii="Verdana" w:hAnsi="Verdana" w:cs="Arial"/>
          <w:shd w:val="clear" w:color="auto" w:fill="FFFFFF"/>
        </w:rPr>
        <w:t xml:space="preserve">Por último, lo invitamos a seguirnos en las redes sociales en las cuales se difunde información institucional: </w:t>
      </w:r>
    </w:p>
    <w:p w14:paraId="2D877675" w14:textId="77777777" w:rsidR="005F07A0" w:rsidRPr="00206556" w:rsidRDefault="005F07A0" w:rsidP="005F07A0">
      <w:pPr>
        <w:spacing w:after="0"/>
        <w:jc w:val="both"/>
        <w:rPr>
          <w:rFonts w:ascii="Verdana" w:hAnsi="Verdana" w:cs="Arial"/>
          <w:shd w:val="clear" w:color="auto" w:fill="FFFFFF"/>
        </w:rPr>
      </w:pPr>
    </w:p>
    <w:p w14:paraId="40D83062" w14:textId="77777777" w:rsidR="005F07A0" w:rsidRPr="00206556" w:rsidRDefault="005F07A0" w:rsidP="005F07A0">
      <w:pPr>
        <w:spacing w:after="0"/>
        <w:jc w:val="both"/>
        <w:rPr>
          <w:rFonts w:ascii="Verdana" w:hAnsi="Verdana" w:cs="Arial"/>
          <w:shd w:val="clear" w:color="auto" w:fill="FFFFFF"/>
        </w:rPr>
      </w:pPr>
      <w:r>
        <w:rPr>
          <w:rFonts w:ascii="Verdana" w:hAnsi="Verdana" w:cs="Arial"/>
          <w:shd w:val="clear" w:color="auto" w:fill="FFFFFF"/>
        </w:rPr>
        <w:t xml:space="preserve">Twitter: </w:t>
      </w:r>
      <w:r>
        <w:rPr>
          <w:rStyle w:val="Hipervnculo"/>
          <w:rFonts w:ascii="Verdana" w:hAnsi="Verdana"/>
          <w:lang w:val="es-ES"/>
        </w:rPr>
        <w:t>@colombiacompra</w:t>
      </w:r>
      <w:r>
        <w:rPr>
          <w:rStyle w:val="Hipervnculo"/>
          <w:rFonts w:ascii="Verdana" w:hAnsi="Verdana"/>
          <w:color w:val="auto"/>
          <w:lang w:val="es-ES"/>
        </w:rPr>
        <w:t xml:space="preserve"> </w:t>
      </w:r>
    </w:p>
    <w:p w14:paraId="40C4FD30" w14:textId="77777777" w:rsidR="005F07A0" w:rsidRPr="00206556" w:rsidRDefault="005F07A0" w:rsidP="005F07A0">
      <w:pPr>
        <w:spacing w:after="0"/>
        <w:jc w:val="both"/>
        <w:rPr>
          <w:rFonts w:ascii="Verdana" w:hAnsi="Verdana" w:cs="Arial"/>
          <w:shd w:val="clear" w:color="auto" w:fill="FFFFFF"/>
        </w:rPr>
      </w:pPr>
      <w:r>
        <w:rPr>
          <w:rFonts w:ascii="Verdana" w:hAnsi="Verdana" w:cs="Arial"/>
          <w:shd w:val="clear" w:color="auto" w:fill="FFFFFF"/>
        </w:rPr>
        <w:t>Facebook:</w:t>
      </w:r>
      <w:r>
        <w:rPr>
          <w:rStyle w:val="Hipervnculo"/>
          <w:rFonts w:ascii="Verdana" w:hAnsi="Verdana"/>
          <w:lang w:val="es-ES"/>
        </w:rPr>
        <w:t xml:space="preserve"> </w:t>
      </w:r>
      <w:proofErr w:type="spellStart"/>
      <w:r>
        <w:rPr>
          <w:rStyle w:val="Hipervnculo"/>
          <w:rFonts w:ascii="Verdana" w:hAnsi="Verdana"/>
          <w:lang w:val="es-ES"/>
        </w:rPr>
        <w:t>ColombiaCompraEficiente</w:t>
      </w:r>
      <w:proofErr w:type="spellEnd"/>
    </w:p>
    <w:p w14:paraId="6031EF41" w14:textId="77777777" w:rsidR="005F07A0" w:rsidRPr="00206556" w:rsidRDefault="005F07A0" w:rsidP="005F07A0">
      <w:pPr>
        <w:spacing w:after="0"/>
        <w:jc w:val="both"/>
        <w:rPr>
          <w:rFonts w:ascii="Verdana" w:hAnsi="Verdana" w:cs="Arial"/>
          <w:shd w:val="clear" w:color="auto" w:fill="FFFFFF"/>
        </w:rPr>
      </w:pPr>
      <w:r>
        <w:rPr>
          <w:rFonts w:ascii="Verdana" w:hAnsi="Verdana" w:cs="Arial"/>
          <w:shd w:val="clear" w:color="auto" w:fill="FFFFFF"/>
        </w:rPr>
        <w:t xml:space="preserve">LinkedIn: </w:t>
      </w:r>
      <w:r>
        <w:rPr>
          <w:rStyle w:val="Hipervnculo"/>
          <w:rFonts w:ascii="Verdana" w:hAnsi="Verdana"/>
          <w:lang w:val="es-ES"/>
        </w:rPr>
        <w:t>Agencia Nacional de Contratación Pública - Colombia Compra Eficiente</w:t>
      </w:r>
      <w:r>
        <w:rPr>
          <w:rFonts w:ascii="Verdana" w:hAnsi="Verdana" w:cs="Arial"/>
          <w:color w:val="0000FF"/>
          <w:shd w:val="clear" w:color="auto" w:fill="FFFFFF"/>
        </w:rPr>
        <w:t xml:space="preserve"> </w:t>
      </w:r>
    </w:p>
    <w:p w14:paraId="76B48220" w14:textId="77777777" w:rsidR="005F07A0" w:rsidRPr="00206556" w:rsidRDefault="005F07A0" w:rsidP="005F07A0">
      <w:pPr>
        <w:spacing w:after="0"/>
        <w:jc w:val="both"/>
        <w:rPr>
          <w:rFonts w:ascii="Verdana" w:hAnsi="Verdana" w:cs="Arial"/>
          <w:shd w:val="clear" w:color="auto" w:fill="FFFFFF"/>
        </w:rPr>
      </w:pPr>
      <w:r>
        <w:rPr>
          <w:rFonts w:ascii="Verdana" w:hAnsi="Verdana" w:cs="Arial"/>
          <w:shd w:val="clear" w:color="auto" w:fill="FFFFFF"/>
        </w:rPr>
        <w:t xml:space="preserve">Instagram: </w:t>
      </w:r>
      <w:r>
        <w:rPr>
          <w:rStyle w:val="Hipervnculo"/>
          <w:rFonts w:ascii="Verdana" w:hAnsi="Verdana"/>
          <w:lang w:val="es-ES"/>
        </w:rPr>
        <w:t>@colombiacompraeficiente_cce</w:t>
      </w:r>
    </w:p>
    <w:p w14:paraId="05F10CF3" w14:textId="77777777" w:rsidR="005F07A0" w:rsidRPr="00206556" w:rsidRDefault="005F07A0" w:rsidP="005F07A0">
      <w:pPr>
        <w:widowControl w:val="0"/>
        <w:autoSpaceDE w:val="0"/>
        <w:autoSpaceDN w:val="0"/>
        <w:spacing w:after="0" w:line="276" w:lineRule="auto"/>
        <w:jc w:val="both"/>
        <w:rPr>
          <w:rFonts w:ascii="Verdana" w:hAnsi="Verdana" w:cs="Arial"/>
          <w:color w:val="ED7D31" w:themeColor="accent2"/>
          <w:lang w:val="es-ES"/>
        </w:rPr>
      </w:pPr>
    </w:p>
    <w:p w14:paraId="0B8A7B8E" w14:textId="77777777" w:rsidR="005F07A0" w:rsidRPr="00206556" w:rsidRDefault="005F07A0" w:rsidP="005F07A0">
      <w:pPr>
        <w:widowControl w:val="0"/>
        <w:autoSpaceDE w:val="0"/>
        <w:autoSpaceDN w:val="0"/>
        <w:spacing w:after="0" w:line="276" w:lineRule="auto"/>
        <w:jc w:val="both"/>
        <w:rPr>
          <w:rFonts w:ascii="Verdana" w:hAnsi="Verdana" w:cs="Arial"/>
          <w:lang w:val="es-ES"/>
        </w:rPr>
      </w:pPr>
      <w:r>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B2AFAE" w14:textId="77777777" w:rsidR="005F07A0" w:rsidRPr="00206556" w:rsidRDefault="005F07A0" w:rsidP="005F07A0">
      <w:pPr>
        <w:widowControl w:val="0"/>
        <w:autoSpaceDE w:val="0"/>
        <w:autoSpaceDN w:val="0"/>
        <w:spacing w:after="0" w:line="276" w:lineRule="auto"/>
        <w:jc w:val="both"/>
        <w:rPr>
          <w:rFonts w:ascii="Verdana" w:hAnsi="Verdana" w:cs="Arial"/>
          <w:lang w:val="es-ES"/>
        </w:rPr>
      </w:pPr>
    </w:p>
    <w:p w14:paraId="140A8FCA" w14:textId="77777777" w:rsidR="005F07A0" w:rsidRPr="00206556" w:rsidRDefault="005F07A0" w:rsidP="005F07A0">
      <w:pPr>
        <w:spacing w:after="0" w:line="276" w:lineRule="auto"/>
        <w:rPr>
          <w:rFonts w:ascii="Verdana" w:hAnsi="Verdana" w:cs="Arial"/>
          <w:lang w:val="es-ES" w:eastAsia="es-CO"/>
        </w:rPr>
      </w:pPr>
      <w:r>
        <w:rPr>
          <w:rFonts w:ascii="Verdana" w:eastAsia="Times New Roman" w:hAnsi="Verdana" w:cs="Arial"/>
          <w:lang w:val="es-ES" w:eastAsia="es-CO"/>
        </w:rPr>
        <w:t>Atentamente,</w:t>
      </w:r>
      <w:r>
        <w:rPr>
          <w:rFonts w:ascii="Verdana" w:hAnsi="Verdana" w:cs="Arial"/>
          <w:lang w:val="es-ES" w:eastAsia="es-CO"/>
        </w:rPr>
        <w:t xml:space="preserve"> </w:t>
      </w:r>
    </w:p>
    <w:p w14:paraId="743AE93C" w14:textId="77777777" w:rsidR="005F07A0" w:rsidRPr="00206556" w:rsidRDefault="005F07A0" w:rsidP="005F07A0">
      <w:pPr>
        <w:spacing w:after="0" w:line="256" w:lineRule="auto"/>
        <w:jc w:val="center"/>
        <w:rPr>
          <w:rFonts w:ascii="Verdana" w:eastAsia="Times New Roman" w:hAnsi="Verdana" w:cs="Arial"/>
          <w:lang w:eastAsia="es-ES"/>
        </w:rPr>
      </w:pPr>
    </w:p>
    <w:p w14:paraId="13128D20" w14:textId="41B9624A" w:rsidR="005F07A0" w:rsidRPr="00206556" w:rsidRDefault="002407BF" w:rsidP="005F07A0">
      <w:pPr>
        <w:spacing w:after="0" w:line="240"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7FFC8AF1" wp14:editId="6F455732">
            <wp:extent cx="3639058" cy="1343212"/>
            <wp:effectExtent l="0" t="0" r="0" b="0"/>
            <wp:docPr id="141201727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017272"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5F07A0" w:rsidRPr="00206556" w14:paraId="05F70A28" w14:textId="77777777" w:rsidTr="00733BF3">
        <w:trPr>
          <w:trHeight w:val="322"/>
        </w:trPr>
        <w:tc>
          <w:tcPr>
            <w:tcW w:w="733" w:type="dxa"/>
            <w:tcBorders>
              <w:top w:val="nil"/>
              <w:left w:val="nil"/>
              <w:bottom w:val="nil"/>
              <w:right w:val="nil"/>
            </w:tcBorders>
            <w:vAlign w:val="center"/>
            <w:hideMark/>
          </w:tcPr>
          <w:p w14:paraId="49BCAE82" w14:textId="77777777" w:rsidR="005F07A0" w:rsidRPr="00206556" w:rsidRDefault="005F07A0" w:rsidP="00733BF3">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Elaboró:         </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67F9FAB" w14:textId="77777777" w:rsidR="005F07A0" w:rsidRPr="00206556" w:rsidRDefault="005F07A0" w:rsidP="00733BF3">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Gloria Elizabeth Arango Builes</w:t>
            </w:r>
          </w:p>
          <w:p w14:paraId="491D5948" w14:textId="77777777" w:rsidR="005F07A0" w:rsidRPr="00206556" w:rsidRDefault="005F07A0" w:rsidP="00733BF3">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eastAsia="es-ES"/>
              </w:rPr>
              <w:t xml:space="preserve">Contratista </w:t>
            </w:r>
            <w:r>
              <w:rPr>
                <w:rFonts w:ascii="Verdana" w:eastAsia="Times New Roman" w:hAnsi="Verdana" w:cs="Times New Roman"/>
                <w:sz w:val="16"/>
                <w:szCs w:val="16"/>
                <w:lang w:eastAsia="es-CO"/>
              </w:rPr>
              <w:t>de la Subdirección de Gestión Contractual</w:t>
            </w:r>
          </w:p>
        </w:tc>
      </w:tr>
      <w:tr w:rsidR="005F07A0" w:rsidRPr="00206556" w14:paraId="1BE40CED" w14:textId="77777777" w:rsidTr="00733BF3">
        <w:trPr>
          <w:trHeight w:val="322"/>
        </w:trPr>
        <w:tc>
          <w:tcPr>
            <w:tcW w:w="733" w:type="dxa"/>
            <w:tcBorders>
              <w:top w:val="nil"/>
              <w:left w:val="nil"/>
              <w:bottom w:val="nil"/>
              <w:right w:val="nil"/>
            </w:tcBorders>
            <w:vAlign w:val="center"/>
            <w:hideMark/>
          </w:tcPr>
          <w:p w14:paraId="714D62B1" w14:textId="77777777" w:rsidR="005F07A0" w:rsidRPr="00206556" w:rsidRDefault="005F07A0" w:rsidP="00733BF3">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Revisó: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40D0090D" w14:textId="77777777" w:rsidR="005F07A0" w:rsidRPr="00206556" w:rsidRDefault="005F07A0" w:rsidP="00733BF3">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Alejandro Raúl Sarmiento Cantillo </w:t>
            </w:r>
          </w:p>
          <w:p w14:paraId="07F80F2B" w14:textId="77777777" w:rsidR="005F07A0" w:rsidRPr="00D415B4" w:rsidRDefault="005F07A0" w:rsidP="00733BF3">
            <w:pPr>
              <w:autoSpaceDE w:val="0"/>
              <w:autoSpaceDN w:val="0"/>
              <w:adjustRightInd w:val="0"/>
              <w:spacing w:after="0" w:line="276" w:lineRule="auto"/>
              <w:rPr>
                <w:rFonts w:ascii="Verdana" w:eastAsia="Calibri" w:hAnsi="Verdana" w:cs="Arial"/>
                <w:sz w:val="16"/>
                <w:szCs w:val="16"/>
              </w:rPr>
            </w:pPr>
            <w:r>
              <w:rPr>
                <w:rFonts w:ascii="Verdana" w:eastAsia="Calibri" w:hAnsi="Verdana" w:cs="Arial"/>
                <w:sz w:val="16"/>
                <w:szCs w:val="16"/>
              </w:rPr>
              <w:t>Gestor Código T1 Grado15 Subdirección de</w:t>
            </w:r>
          </w:p>
          <w:p w14:paraId="526A971F" w14:textId="77777777" w:rsidR="005F07A0" w:rsidRPr="00D415B4" w:rsidRDefault="005F07A0" w:rsidP="00733BF3">
            <w:pPr>
              <w:autoSpaceDE w:val="0"/>
              <w:autoSpaceDN w:val="0"/>
              <w:adjustRightInd w:val="0"/>
              <w:spacing w:after="0" w:line="276" w:lineRule="auto"/>
              <w:rPr>
                <w:rFonts w:ascii="Verdana" w:eastAsia="Calibri" w:hAnsi="Verdana" w:cs="Arial"/>
                <w:sz w:val="16"/>
                <w:szCs w:val="16"/>
              </w:rPr>
            </w:pPr>
            <w:r>
              <w:rPr>
                <w:rFonts w:ascii="Verdana" w:eastAsia="Calibri" w:hAnsi="Verdana" w:cs="Arial"/>
                <w:sz w:val="16"/>
                <w:szCs w:val="16"/>
              </w:rPr>
              <w:t>Gestión Contractual</w:t>
            </w:r>
          </w:p>
          <w:p w14:paraId="5E346A6F" w14:textId="77777777" w:rsidR="005F07A0" w:rsidRPr="00206556" w:rsidRDefault="005F07A0" w:rsidP="00733BF3">
            <w:pPr>
              <w:spacing w:after="0" w:line="240" w:lineRule="auto"/>
              <w:textAlignment w:val="baseline"/>
              <w:rPr>
                <w:rFonts w:ascii="Verdana" w:eastAsia="Times New Roman" w:hAnsi="Verdana" w:cs="Times New Roman"/>
                <w:sz w:val="16"/>
                <w:szCs w:val="16"/>
                <w:lang w:eastAsia="es-CO"/>
              </w:rPr>
            </w:pPr>
          </w:p>
        </w:tc>
      </w:tr>
      <w:tr w:rsidR="005F07A0" w:rsidRPr="00206556" w14:paraId="04BF70AF" w14:textId="77777777" w:rsidTr="00733BF3">
        <w:trPr>
          <w:trHeight w:val="307"/>
        </w:trPr>
        <w:tc>
          <w:tcPr>
            <w:tcW w:w="733" w:type="dxa"/>
            <w:tcBorders>
              <w:top w:val="nil"/>
              <w:left w:val="nil"/>
              <w:bottom w:val="nil"/>
              <w:right w:val="nil"/>
            </w:tcBorders>
            <w:vAlign w:val="center"/>
            <w:hideMark/>
          </w:tcPr>
          <w:p w14:paraId="16D0A975" w14:textId="77777777" w:rsidR="005F07A0" w:rsidRPr="00206556" w:rsidRDefault="005F07A0" w:rsidP="00733BF3">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Aprobó: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E019A4F" w14:textId="77777777" w:rsidR="005F07A0" w:rsidRPr="00206556" w:rsidRDefault="005F07A0" w:rsidP="00733BF3">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Carolina Quintero Gacharná</w:t>
            </w:r>
          </w:p>
          <w:p w14:paraId="7E89BA5D" w14:textId="77777777" w:rsidR="005F07A0" w:rsidRPr="00206556" w:rsidRDefault="005F07A0" w:rsidP="00733BF3">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Subdirectora de Gestión Contractual ANCP – CCE</w:t>
            </w:r>
          </w:p>
        </w:tc>
      </w:tr>
      <w:bookmarkEnd w:id="1"/>
    </w:tbl>
    <w:p w14:paraId="3F529675" w14:textId="77777777" w:rsidR="005F07A0" w:rsidRDefault="005F07A0" w:rsidP="005F07A0">
      <w:pPr>
        <w:autoSpaceDE w:val="0"/>
        <w:autoSpaceDN w:val="0"/>
        <w:adjustRightInd w:val="0"/>
        <w:spacing w:after="0" w:line="276" w:lineRule="auto"/>
        <w:jc w:val="center"/>
        <w:rPr>
          <w:rFonts w:ascii="Verdana" w:eastAsia="Calibri" w:hAnsi="Verdana" w:cs="Arial"/>
        </w:rPr>
      </w:pPr>
    </w:p>
    <w:p w14:paraId="5E62D8C6" w14:textId="77777777" w:rsidR="005F07A0" w:rsidRDefault="005F07A0" w:rsidP="005F07A0">
      <w:pPr>
        <w:autoSpaceDE w:val="0"/>
        <w:autoSpaceDN w:val="0"/>
        <w:adjustRightInd w:val="0"/>
        <w:spacing w:after="0" w:line="276" w:lineRule="auto"/>
        <w:jc w:val="center"/>
        <w:rPr>
          <w:rFonts w:ascii="Verdana" w:eastAsia="Calibri" w:hAnsi="Verdana" w:cs="Arial"/>
        </w:rPr>
      </w:pPr>
    </w:p>
    <w:bookmarkEnd w:id="0"/>
    <w:p w14:paraId="11230EB5" w14:textId="77777777" w:rsidR="005F07A0" w:rsidRPr="00206556" w:rsidRDefault="005F07A0" w:rsidP="005F07A0">
      <w:pPr>
        <w:autoSpaceDE w:val="0"/>
        <w:autoSpaceDN w:val="0"/>
        <w:adjustRightInd w:val="0"/>
        <w:spacing w:after="0" w:line="276" w:lineRule="auto"/>
        <w:jc w:val="center"/>
        <w:rPr>
          <w:rFonts w:ascii="Verdana" w:eastAsia="Calibri" w:hAnsi="Verdana" w:cs="Arial"/>
        </w:rPr>
      </w:pPr>
    </w:p>
    <w:p w14:paraId="0F293BF4" w14:textId="176AF281" w:rsidR="00127233" w:rsidRPr="005F07A0" w:rsidRDefault="00127233" w:rsidP="005F07A0"/>
    <w:sectPr w:rsidR="00127233" w:rsidRPr="005F07A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7312A" w14:textId="77777777" w:rsidR="00EB0194" w:rsidRDefault="00EB0194" w:rsidP="004A1847">
      <w:pPr>
        <w:spacing w:after="0" w:line="240" w:lineRule="auto"/>
      </w:pPr>
      <w:r>
        <w:separator/>
      </w:r>
    </w:p>
  </w:endnote>
  <w:endnote w:type="continuationSeparator" w:id="0">
    <w:p w14:paraId="62B05CD3" w14:textId="77777777" w:rsidR="00EB0194" w:rsidRDefault="00EB0194" w:rsidP="004A1847">
      <w:pPr>
        <w:spacing w:after="0" w:line="240" w:lineRule="auto"/>
      </w:pPr>
      <w:r>
        <w:continuationSeparator/>
      </w:r>
    </w:p>
  </w:endnote>
  <w:endnote w:type="continuationNotice" w:id="1">
    <w:p w14:paraId="69EB76E4" w14:textId="77777777" w:rsidR="00EB0194" w:rsidRDefault="00EB01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A13C1" w14:textId="77777777" w:rsidR="00EB0194" w:rsidRDefault="00EB0194" w:rsidP="004A1847">
      <w:pPr>
        <w:spacing w:after="0" w:line="240" w:lineRule="auto"/>
      </w:pPr>
      <w:r>
        <w:separator/>
      </w:r>
    </w:p>
  </w:footnote>
  <w:footnote w:type="continuationSeparator" w:id="0">
    <w:p w14:paraId="105D3368" w14:textId="77777777" w:rsidR="00EB0194" w:rsidRDefault="00EB0194" w:rsidP="004A1847">
      <w:pPr>
        <w:spacing w:after="0" w:line="240" w:lineRule="auto"/>
      </w:pPr>
      <w:r>
        <w:continuationSeparator/>
      </w:r>
    </w:p>
  </w:footnote>
  <w:footnote w:type="continuationNotice" w:id="1">
    <w:p w14:paraId="5D26B8B7" w14:textId="77777777" w:rsidR="00EB0194" w:rsidRDefault="00EB0194">
      <w:pPr>
        <w:spacing w:after="0" w:line="240" w:lineRule="auto"/>
      </w:pPr>
    </w:p>
  </w:footnote>
  <w:footnote w:id="2">
    <w:p w14:paraId="50DBE646" w14:textId="77777777" w:rsidR="005F07A0" w:rsidRPr="00206556" w:rsidRDefault="005F07A0" w:rsidP="005F07A0">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F1DE0ED" w14:textId="77777777" w:rsidR="005F07A0" w:rsidRPr="00206556" w:rsidRDefault="005F07A0" w:rsidP="005F07A0">
      <w:pPr>
        <w:spacing w:after="80" w:line="240" w:lineRule="auto"/>
        <w:ind w:firstLine="708"/>
        <w:jc w:val="both"/>
        <w:rPr>
          <w:rFonts w:ascii="Verdana" w:hAnsi="Verdana"/>
          <w:sz w:val="16"/>
          <w:szCs w:val="16"/>
        </w:rPr>
      </w:pPr>
    </w:p>
  </w:footnote>
  <w:footnote w:id="3">
    <w:p w14:paraId="584AA13D" w14:textId="77777777" w:rsidR="005F07A0" w:rsidRPr="00206556" w:rsidRDefault="005F07A0" w:rsidP="005F07A0">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42188364" w14:textId="77777777" w:rsidR="005F07A0" w:rsidRPr="00206556" w:rsidRDefault="005F07A0" w:rsidP="005F07A0">
      <w:pPr>
        <w:pStyle w:val="Textonotapie"/>
        <w:ind w:firstLine="708"/>
        <w:jc w:val="both"/>
        <w:rPr>
          <w:rFonts w:ascii="Verdana" w:hAnsi="Verdana"/>
          <w:sz w:val="16"/>
          <w:szCs w:val="16"/>
          <w:lang w:val="es-ES"/>
        </w:rPr>
      </w:pPr>
    </w:p>
  </w:footnote>
  <w:footnote w:id="4">
    <w:p w14:paraId="41757230" w14:textId="77777777" w:rsidR="005F07A0" w:rsidRPr="00206556" w:rsidRDefault="005F07A0" w:rsidP="005F07A0">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51AA73A1" w14:textId="77777777" w:rsidR="005F07A0" w:rsidRPr="00206556" w:rsidRDefault="005F07A0" w:rsidP="005F07A0">
      <w:pPr>
        <w:spacing w:after="80" w:line="240" w:lineRule="auto"/>
        <w:ind w:firstLine="708"/>
        <w:jc w:val="both"/>
        <w:rPr>
          <w:rFonts w:ascii="Verdana" w:hAnsi="Verdana"/>
          <w:sz w:val="16"/>
          <w:szCs w:val="16"/>
        </w:rPr>
      </w:pPr>
    </w:p>
  </w:footnote>
  <w:footnote w:id="5">
    <w:p w14:paraId="1322B950" w14:textId="77777777" w:rsidR="005F07A0" w:rsidRPr="00206556" w:rsidRDefault="005F07A0" w:rsidP="005F07A0">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362BF307" w14:textId="77777777" w:rsidR="005F07A0" w:rsidRPr="00206556" w:rsidRDefault="005F07A0" w:rsidP="005F07A0">
      <w:pPr>
        <w:pStyle w:val="Textonotapie"/>
        <w:ind w:firstLine="708"/>
        <w:jc w:val="both"/>
        <w:rPr>
          <w:rFonts w:ascii="Verdana" w:hAnsi="Verdana"/>
          <w:sz w:val="16"/>
          <w:szCs w:val="16"/>
          <w:lang w:val="es-ES"/>
        </w:rPr>
      </w:pPr>
    </w:p>
  </w:footnote>
  <w:footnote w:id="6">
    <w:p w14:paraId="4F171987" w14:textId="77777777" w:rsidR="005F07A0" w:rsidRPr="00206556" w:rsidRDefault="005F07A0" w:rsidP="005F07A0">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43B1C8B" w14:textId="77777777" w:rsidR="005F07A0" w:rsidRPr="00206556" w:rsidRDefault="005F07A0" w:rsidP="005F07A0">
      <w:pPr>
        <w:pStyle w:val="Textonotapie"/>
        <w:ind w:firstLine="708"/>
        <w:jc w:val="both"/>
        <w:rPr>
          <w:rFonts w:ascii="Verdana" w:hAnsi="Verdana"/>
          <w:sz w:val="16"/>
          <w:szCs w:val="16"/>
          <w:lang w:val="es-ES"/>
        </w:rPr>
      </w:pPr>
    </w:p>
  </w:footnote>
  <w:footnote w:id="7">
    <w:p w14:paraId="2AC2EBCC" w14:textId="77777777" w:rsidR="005F07A0" w:rsidRPr="00206556" w:rsidRDefault="005F07A0" w:rsidP="005F07A0">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12DCA8C9" w14:textId="77777777" w:rsidR="005F07A0" w:rsidRPr="00206556" w:rsidRDefault="005F07A0" w:rsidP="005F07A0">
      <w:pPr>
        <w:pStyle w:val="Textonotapie"/>
        <w:ind w:firstLine="708"/>
        <w:rPr>
          <w:rFonts w:ascii="Verdana" w:hAnsi="Verdana"/>
          <w:sz w:val="16"/>
          <w:szCs w:val="16"/>
          <w:lang w:val="es-ES"/>
        </w:rPr>
      </w:pPr>
    </w:p>
  </w:footnote>
  <w:footnote w:id="8">
    <w:p w14:paraId="3643D8EC" w14:textId="77777777" w:rsidR="005F07A0" w:rsidRPr="00206556" w:rsidRDefault="005F07A0" w:rsidP="005F07A0">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63E5AE86" w14:textId="77777777" w:rsidR="005F07A0" w:rsidRPr="00206556" w:rsidRDefault="005F07A0" w:rsidP="005F07A0">
      <w:pPr>
        <w:pStyle w:val="Textonotapie"/>
        <w:ind w:firstLine="708"/>
        <w:rPr>
          <w:rFonts w:ascii="Verdana" w:hAnsi="Verdana"/>
          <w:sz w:val="16"/>
          <w:szCs w:val="16"/>
          <w:lang w:val="es-ES"/>
        </w:rPr>
      </w:pPr>
    </w:p>
  </w:footnote>
  <w:footnote w:id="9">
    <w:p w14:paraId="7D652DE2" w14:textId="77777777" w:rsidR="005F07A0" w:rsidRPr="00206556" w:rsidRDefault="005F07A0" w:rsidP="005F07A0">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4D5"/>
    <w:rsid w:val="000A683E"/>
    <w:rsid w:val="000B19B9"/>
    <w:rsid w:val="000B5431"/>
    <w:rsid w:val="000D0334"/>
    <w:rsid w:val="000D5DA7"/>
    <w:rsid w:val="000F6486"/>
    <w:rsid w:val="00116940"/>
    <w:rsid w:val="00125105"/>
    <w:rsid w:val="00127233"/>
    <w:rsid w:val="0015699B"/>
    <w:rsid w:val="00156F69"/>
    <w:rsid w:val="001A33BF"/>
    <w:rsid w:val="001E4177"/>
    <w:rsid w:val="001F0B24"/>
    <w:rsid w:val="001F7DC6"/>
    <w:rsid w:val="0022400B"/>
    <w:rsid w:val="00232365"/>
    <w:rsid w:val="002407BF"/>
    <w:rsid w:val="002421BB"/>
    <w:rsid w:val="002456DD"/>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5006"/>
    <w:rsid w:val="00374F5E"/>
    <w:rsid w:val="00377E3E"/>
    <w:rsid w:val="003A779E"/>
    <w:rsid w:val="003D0F4D"/>
    <w:rsid w:val="003D5B0D"/>
    <w:rsid w:val="003E0499"/>
    <w:rsid w:val="003E4F80"/>
    <w:rsid w:val="003E6439"/>
    <w:rsid w:val="003F3941"/>
    <w:rsid w:val="004050C7"/>
    <w:rsid w:val="00406575"/>
    <w:rsid w:val="00414C74"/>
    <w:rsid w:val="0042722E"/>
    <w:rsid w:val="0044528D"/>
    <w:rsid w:val="00466E39"/>
    <w:rsid w:val="004A1847"/>
    <w:rsid w:val="004A305D"/>
    <w:rsid w:val="004F21C4"/>
    <w:rsid w:val="004F685F"/>
    <w:rsid w:val="00503AB0"/>
    <w:rsid w:val="00527F07"/>
    <w:rsid w:val="005566E8"/>
    <w:rsid w:val="00574867"/>
    <w:rsid w:val="00591460"/>
    <w:rsid w:val="005A65E0"/>
    <w:rsid w:val="005C3777"/>
    <w:rsid w:val="005C5CDC"/>
    <w:rsid w:val="005D476C"/>
    <w:rsid w:val="005F07A0"/>
    <w:rsid w:val="006130C9"/>
    <w:rsid w:val="006200BF"/>
    <w:rsid w:val="006219F8"/>
    <w:rsid w:val="0062785A"/>
    <w:rsid w:val="006302F7"/>
    <w:rsid w:val="00646B9F"/>
    <w:rsid w:val="00665D70"/>
    <w:rsid w:val="006900D9"/>
    <w:rsid w:val="00690CD7"/>
    <w:rsid w:val="00706C16"/>
    <w:rsid w:val="007340C3"/>
    <w:rsid w:val="0075235A"/>
    <w:rsid w:val="00756841"/>
    <w:rsid w:val="007649AB"/>
    <w:rsid w:val="00767E78"/>
    <w:rsid w:val="00771D0C"/>
    <w:rsid w:val="007833AC"/>
    <w:rsid w:val="007B268C"/>
    <w:rsid w:val="007B7171"/>
    <w:rsid w:val="007C0C0F"/>
    <w:rsid w:val="007C3DC2"/>
    <w:rsid w:val="007E5497"/>
    <w:rsid w:val="007F62E8"/>
    <w:rsid w:val="00806F5F"/>
    <w:rsid w:val="00813A61"/>
    <w:rsid w:val="00820278"/>
    <w:rsid w:val="008258C9"/>
    <w:rsid w:val="00844AE9"/>
    <w:rsid w:val="00867F95"/>
    <w:rsid w:val="008843B6"/>
    <w:rsid w:val="00891928"/>
    <w:rsid w:val="008A446D"/>
    <w:rsid w:val="008B25F1"/>
    <w:rsid w:val="008D180B"/>
    <w:rsid w:val="008D7FB7"/>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607"/>
    <w:rsid w:val="00A33C78"/>
    <w:rsid w:val="00AB0ADB"/>
    <w:rsid w:val="00AD5D58"/>
    <w:rsid w:val="00B00C0E"/>
    <w:rsid w:val="00B01B1A"/>
    <w:rsid w:val="00B0381D"/>
    <w:rsid w:val="00B44A47"/>
    <w:rsid w:val="00B72CD3"/>
    <w:rsid w:val="00B72FFF"/>
    <w:rsid w:val="00B92707"/>
    <w:rsid w:val="00BC3D36"/>
    <w:rsid w:val="00BD54A6"/>
    <w:rsid w:val="00BD7F72"/>
    <w:rsid w:val="00BF7425"/>
    <w:rsid w:val="00C04FB3"/>
    <w:rsid w:val="00C11D8B"/>
    <w:rsid w:val="00C15139"/>
    <w:rsid w:val="00C330EB"/>
    <w:rsid w:val="00C50D69"/>
    <w:rsid w:val="00C5365C"/>
    <w:rsid w:val="00C67422"/>
    <w:rsid w:val="00C754BE"/>
    <w:rsid w:val="00C76B1C"/>
    <w:rsid w:val="00C925AC"/>
    <w:rsid w:val="00CB6357"/>
    <w:rsid w:val="00CC1B26"/>
    <w:rsid w:val="00D33953"/>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5ACF"/>
    <w:rsid w:val="00E50AFE"/>
    <w:rsid w:val="00E75C92"/>
    <w:rsid w:val="00E771DC"/>
    <w:rsid w:val="00E8772A"/>
    <w:rsid w:val="00E90F6B"/>
    <w:rsid w:val="00E92C27"/>
    <w:rsid w:val="00EA08A1"/>
    <w:rsid w:val="00EA0E3D"/>
    <w:rsid w:val="00EB0194"/>
    <w:rsid w:val="00EC38A7"/>
    <w:rsid w:val="00EC61E5"/>
    <w:rsid w:val="00EE1AA8"/>
    <w:rsid w:val="00F23FEA"/>
    <w:rsid w:val="00F31EDC"/>
    <w:rsid w:val="00F462B3"/>
    <w:rsid w:val="00F5664F"/>
    <w:rsid w:val="00F666C4"/>
    <w:rsid w:val="00F729CB"/>
    <w:rsid w:val="00F76AFC"/>
    <w:rsid w:val="00F86A3A"/>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8B8008D"/>
    <w:rsid w:val="2C4D2425"/>
    <w:rsid w:val="2EE1E026"/>
    <w:rsid w:val="2F44F38F"/>
    <w:rsid w:val="30821638"/>
    <w:rsid w:val="32A4F9CF"/>
    <w:rsid w:val="33A1FF93"/>
    <w:rsid w:val="356CEDFD"/>
    <w:rsid w:val="3C591AFD"/>
    <w:rsid w:val="42183F0A"/>
    <w:rsid w:val="545B112A"/>
    <w:rsid w:val="5BEB1497"/>
    <w:rsid w:val="69614A15"/>
    <w:rsid w:val="73C9C438"/>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07A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CE0C9D-8BEB-435F-A84B-B3BF85095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19</Pages>
  <Words>6558</Words>
  <Characters>36075</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2026-06-26T15:27:00Z</dcterms:created>
  <dcterms:modified xsi:type="dcterms:W3CDTF">2026-06-26T17:50:00Z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