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BB3FE" w14:textId="77777777" w:rsidR="006A5889" w:rsidRPr="00760536" w:rsidRDefault="006A5889" w:rsidP="006A5889">
      <w:pPr>
        <w:spacing w:after="0" w:line="240" w:lineRule="auto"/>
        <w:jc w:val="both"/>
        <w:rPr>
          <w:rFonts w:ascii="Verdana" w:hAnsi="Verdana" w:cs="Arial"/>
          <w:bCs/>
          <w:sz w:val="20"/>
          <w:szCs w:val="20"/>
        </w:rPr>
      </w:pPr>
    </w:p>
    <w:p w14:paraId="3244F4C9" w14:textId="77777777" w:rsidR="006A5889" w:rsidRPr="00760536" w:rsidRDefault="006A5889" w:rsidP="006A5889">
      <w:pPr>
        <w:spacing w:after="0" w:line="240" w:lineRule="auto"/>
        <w:jc w:val="both"/>
        <w:rPr>
          <w:rFonts w:ascii="Verdana" w:hAnsi="Verdana" w:cs="Arial"/>
          <w:b/>
        </w:rPr>
      </w:pPr>
      <w:r>
        <w:rPr>
          <w:rFonts w:ascii="Verdana" w:hAnsi="Verdana" w:cs="Arial"/>
          <w:b/>
        </w:rPr>
        <w:t>PRINCIPIO DE RESPONSABILIDAD</w:t>
      </w:r>
      <w:r w:rsidRPr="00760536">
        <w:rPr>
          <w:rFonts w:ascii="Verdana" w:hAnsi="Verdana" w:cs="Arial"/>
          <w:b/>
        </w:rPr>
        <w:t xml:space="preserve"> – </w:t>
      </w:r>
      <w:r>
        <w:rPr>
          <w:rFonts w:ascii="Verdana" w:hAnsi="Verdana" w:cs="Arial"/>
          <w:b/>
        </w:rPr>
        <w:t>Sujetos – Responsabilidad civil y disciplinaria – Alcance</w:t>
      </w:r>
    </w:p>
    <w:p w14:paraId="1A6F90DF" w14:textId="77777777" w:rsidR="006A5889" w:rsidRPr="00760536" w:rsidRDefault="006A5889" w:rsidP="006A5889">
      <w:pPr>
        <w:spacing w:after="0" w:line="240" w:lineRule="auto"/>
        <w:jc w:val="both"/>
        <w:rPr>
          <w:rFonts w:ascii="Verdana" w:hAnsi="Verdana" w:cs="Arial"/>
          <w:b/>
          <w:sz w:val="20"/>
          <w:szCs w:val="20"/>
        </w:rPr>
      </w:pPr>
    </w:p>
    <w:p w14:paraId="45158A49" w14:textId="77777777" w:rsidR="006A5889" w:rsidRPr="00D04854" w:rsidRDefault="006A5889" w:rsidP="006A5889">
      <w:pPr>
        <w:spacing w:after="0" w:line="240" w:lineRule="auto"/>
        <w:jc w:val="both"/>
        <w:textAlignment w:val="baseline"/>
        <w:rPr>
          <w:rFonts w:ascii="Verdana" w:hAnsi="Verdana" w:cs="Arial"/>
          <w:sz w:val="20"/>
          <w:szCs w:val="20"/>
          <w:lang w:val="es-ES" w:eastAsia="es-CO"/>
        </w:rPr>
      </w:pPr>
      <w:r w:rsidRPr="00D04854">
        <w:rPr>
          <w:rFonts w:ascii="Verdana" w:hAnsi="Verdana" w:cs="Arial"/>
          <w:sz w:val="20"/>
          <w:szCs w:val="20"/>
          <w:lang w:val="es-ES" w:eastAsia="es-CO"/>
        </w:rPr>
        <w:t xml:space="preserve">El artículo 26 de la Ley 80 de 1993 regula el principio de responsabilidad en los contratos estatales regidos por el EGCAP. En concordancia, los artículos 50, 51, 52 y 53 </w:t>
      </w:r>
      <w:r w:rsidRPr="00D04854">
        <w:rPr>
          <w:rFonts w:ascii="Verdana" w:hAnsi="Verdana" w:cs="Arial"/>
          <w:i/>
          <w:iCs/>
          <w:sz w:val="20"/>
          <w:szCs w:val="20"/>
          <w:lang w:val="es-ES" w:eastAsia="es-CO"/>
        </w:rPr>
        <w:t>ibidem</w:t>
      </w:r>
      <w:r w:rsidRPr="00D04854">
        <w:rPr>
          <w:rFonts w:ascii="Verdana" w:hAnsi="Verdana" w:cs="Arial"/>
          <w:sz w:val="20"/>
          <w:szCs w:val="20"/>
          <w:lang w:val="es-ES" w:eastAsia="es-CO"/>
        </w:rPr>
        <w:t xml:space="preserve"> desarrollan la responsabilidad de las entidades estatales, servidores públicos, contratistas, así como de los consultores, interventores y asesores. Mientras la primera tiene </w:t>
      </w:r>
      <w:r w:rsidRPr="00D04854">
        <w:rPr>
          <w:rFonts w:ascii="Verdana" w:hAnsi="Verdana" w:cs="Arial"/>
          <w:i/>
          <w:iCs/>
          <w:sz w:val="20"/>
          <w:szCs w:val="20"/>
          <w:lang w:val="es-ES" w:eastAsia="es-CO"/>
        </w:rPr>
        <w:t>carácter institucional</w:t>
      </w:r>
      <w:r w:rsidRPr="00D04854">
        <w:rPr>
          <w:rFonts w:ascii="Verdana" w:hAnsi="Verdana" w:cs="Arial"/>
          <w:sz w:val="20"/>
          <w:szCs w:val="20"/>
          <w:lang w:val="es-ES" w:eastAsia="es-CO"/>
        </w:rPr>
        <w:t xml:space="preserve">, las tres (3) restantes tienen </w:t>
      </w:r>
      <w:r w:rsidRPr="00D04854">
        <w:rPr>
          <w:rFonts w:ascii="Verdana" w:hAnsi="Verdana" w:cs="Arial"/>
          <w:i/>
          <w:iCs/>
          <w:sz w:val="20"/>
          <w:szCs w:val="20"/>
          <w:lang w:val="es-ES" w:eastAsia="es-CO"/>
        </w:rPr>
        <w:t>carácter personal</w:t>
      </w:r>
      <w:r w:rsidRPr="00D04854">
        <w:rPr>
          <w:rFonts w:ascii="Verdana" w:hAnsi="Verdana" w:cs="Arial"/>
          <w:sz w:val="20"/>
          <w:szCs w:val="20"/>
          <w:lang w:val="es-ES" w:eastAsia="es-CO"/>
        </w:rPr>
        <w:t>. Es decir, aquella afecta al Estado como organización política; en contraste, las demás tienen por sujeto a los individuos que desarrollen alguno de los roles previamente citados.</w:t>
      </w:r>
    </w:p>
    <w:p w14:paraId="6666F31A" w14:textId="77777777" w:rsidR="006A5889" w:rsidRDefault="006A5889" w:rsidP="006A5889">
      <w:pPr>
        <w:spacing w:after="0" w:line="240" w:lineRule="auto"/>
        <w:jc w:val="both"/>
        <w:textAlignment w:val="baseline"/>
        <w:rPr>
          <w:rFonts w:ascii="Verdana" w:hAnsi="Verdana" w:cs="Arial"/>
          <w:sz w:val="20"/>
          <w:szCs w:val="20"/>
          <w:lang w:val="es-ES" w:eastAsia="es-CO"/>
        </w:rPr>
      </w:pPr>
    </w:p>
    <w:p w14:paraId="16890B75" w14:textId="77777777" w:rsidR="006A5889" w:rsidRPr="00D04854" w:rsidRDefault="006A5889" w:rsidP="006A5889">
      <w:pPr>
        <w:spacing w:after="0" w:line="240" w:lineRule="auto"/>
        <w:jc w:val="both"/>
        <w:textAlignment w:val="baseline"/>
        <w:rPr>
          <w:rFonts w:ascii="Verdana" w:hAnsi="Verdana" w:cs="Arial"/>
          <w:sz w:val="20"/>
          <w:szCs w:val="20"/>
          <w:lang w:val="es-ES" w:eastAsia="es-CO"/>
        </w:rPr>
      </w:pPr>
      <w:r w:rsidRPr="00D04854">
        <w:rPr>
          <w:rFonts w:ascii="Verdana" w:hAnsi="Verdana" w:cs="Arial"/>
          <w:sz w:val="20"/>
          <w:szCs w:val="20"/>
          <w:lang w:val="es-ES" w:eastAsia="es-CO"/>
        </w:rPr>
        <w:t>Sumada la garantía patrimonial contra daños antijurídicos del artículo 90 de la Constitución Política de 1991, sin perjuicio de la responsabilidad fiscal y penal, los servidores, contratistas, consultores, interventores y asesores son sujetos de responsabilidad civil y disciplinaria en los términos que dispongan para cada categoría los artículos 51, 52 y 53 de la Ley 80 de 1993. La r</w:t>
      </w:r>
      <w:r w:rsidRPr="00D04854">
        <w:rPr>
          <w:rFonts w:ascii="Verdana" w:hAnsi="Verdana" w:cs="Arial"/>
          <w:i/>
          <w:iCs/>
          <w:sz w:val="20"/>
          <w:szCs w:val="20"/>
          <w:lang w:val="es-ES" w:eastAsia="es-CO"/>
        </w:rPr>
        <w:t>esponsabilidad civil</w:t>
      </w:r>
      <w:r w:rsidRPr="00D04854">
        <w:rPr>
          <w:rFonts w:ascii="Verdana" w:hAnsi="Verdana" w:cs="Arial"/>
          <w:sz w:val="20"/>
          <w:szCs w:val="20"/>
          <w:lang w:val="es-ES" w:eastAsia="es-CO"/>
        </w:rPr>
        <w:t xml:space="preserve"> es el efecto jurídico que surge cuando una persona, mediante una conducta ilícita, ocasiona un perjuicio a otra y, por ello, queda obligada a reparar los daños causados: dicha conducta puede derivarse del incumplimiento de obligaciones contractuales, legales o cuasicontractuales, así como de la comisión de un delito, un cuasidelito o de la infracción del deber general de actuar con diligencia y prudencia. Por su parte, la </w:t>
      </w:r>
      <w:r w:rsidRPr="00D04854">
        <w:rPr>
          <w:rFonts w:ascii="Verdana" w:hAnsi="Verdana" w:cs="Arial"/>
          <w:i/>
          <w:iCs/>
          <w:sz w:val="20"/>
          <w:szCs w:val="20"/>
          <w:lang w:val="es-ES" w:eastAsia="es-CO"/>
        </w:rPr>
        <w:t>responsabilidad disciplinaria</w:t>
      </w:r>
      <w:r w:rsidRPr="00D04854">
        <w:rPr>
          <w:rFonts w:ascii="Verdana" w:hAnsi="Verdana" w:cs="Arial"/>
          <w:sz w:val="20"/>
          <w:szCs w:val="20"/>
          <w:lang w:val="es-ES" w:eastAsia="es-CO"/>
        </w:rPr>
        <w:t xml:space="preserve"> es resultado de la vulneración de normas positivas que implican el incumplimiento de los deberes funcionales de los servidores públicos o de los particulares que cumple funciones públicas</w:t>
      </w:r>
      <w:r w:rsidRPr="00B04E25">
        <w:rPr>
          <w:rFonts w:ascii="Verdana" w:hAnsi="Verdana" w:cs="Arial"/>
          <w:bCs/>
          <w:sz w:val="20"/>
          <w:szCs w:val="20"/>
          <w:lang w:val="es-ES_tradnl" w:eastAsia="es-CO"/>
        </w:rPr>
        <w:t>.</w:t>
      </w:r>
    </w:p>
    <w:p w14:paraId="22894745" w14:textId="77777777" w:rsidR="006A5889" w:rsidRPr="00760536" w:rsidRDefault="006A5889" w:rsidP="006A5889">
      <w:pPr>
        <w:spacing w:after="0" w:line="240" w:lineRule="auto"/>
        <w:jc w:val="both"/>
        <w:textAlignment w:val="baseline"/>
        <w:rPr>
          <w:rFonts w:ascii="Verdana" w:hAnsi="Verdana" w:cs="Arial"/>
          <w:sz w:val="20"/>
          <w:szCs w:val="20"/>
          <w:lang w:val="es-ES" w:eastAsia="es-CO"/>
        </w:rPr>
      </w:pPr>
    </w:p>
    <w:p w14:paraId="077FEBA6" w14:textId="77777777" w:rsidR="006A5889" w:rsidRPr="00760536" w:rsidRDefault="006A5889" w:rsidP="006A5889">
      <w:pPr>
        <w:spacing w:after="0" w:line="240" w:lineRule="auto"/>
        <w:jc w:val="both"/>
        <w:rPr>
          <w:rFonts w:ascii="Verdana" w:hAnsi="Verdana" w:cs="Arial"/>
          <w:b/>
          <w:lang w:val="es-ES"/>
        </w:rPr>
      </w:pPr>
      <w:r>
        <w:rPr>
          <w:rFonts w:ascii="Verdana" w:hAnsi="Verdana" w:cs="Arial"/>
          <w:b/>
          <w:lang w:val="es-ES"/>
        </w:rPr>
        <w:t>PRESCRIPCIÓN</w:t>
      </w:r>
      <w:r w:rsidRPr="00760536">
        <w:rPr>
          <w:rFonts w:ascii="Verdana" w:hAnsi="Verdana" w:cs="Arial"/>
          <w:b/>
          <w:lang w:val="es-ES"/>
        </w:rPr>
        <w:t xml:space="preserve"> – </w:t>
      </w:r>
      <w:r>
        <w:rPr>
          <w:rFonts w:ascii="Verdana" w:hAnsi="Verdana" w:cs="Arial"/>
          <w:b/>
          <w:lang w:val="es-ES"/>
        </w:rPr>
        <w:t>Acción civil y disciplinaria</w:t>
      </w:r>
      <w:r w:rsidRPr="00760536">
        <w:rPr>
          <w:rFonts w:ascii="Verdana" w:hAnsi="Verdana" w:cs="Arial"/>
          <w:b/>
          <w:lang w:val="es-ES"/>
        </w:rPr>
        <w:t xml:space="preserve"> </w:t>
      </w:r>
      <w:r>
        <w:rPr>
          <w:rFonts w:ascii="Verdana" w:hAnsi="Verdana" w:cs="Arial"/>
          <w:b/>
          <w:lang w:val="es-ES"/>
        </w:rPr>
        <w:t xml:space="preserve">– Prohibición de penas y medidas de seguridad imprescriptibles – Debido proceso sin dilaciones injustificadas </w:t>
      </w:r>
    </w:p>
    <w:p w14:paraId="51800104" w14:textId="77777777" w:rsidR="006A5889" w:rsidRPr="00760536" w:rsidRDefault="006A5889" w:rsidP="006A5889">
      <w:pPr>
        <w:spacing w:after="0" w:line="240" w:lineRule="auto"/>
        <w:jc w:val="both"/>
        <w:rPr>
          <w:rFonts w:ascii="Verdana" w:hAnsi="Verdana" w:cs="Arial"/>
          <w:b/>
          <w:sz w:val="20"/>
          <w:szCs w:val="20"/>
          <w:lang w:val="es-ES"/>
        </w:rPr>
      </w:pPr>
    </w:p>
    <w:p w14:paraId="36B3DBC2" w14:textId="77777777" w:rsidR="006A5889" w:rsidRDefault="006A5889" w:rsidP="006A5889">
      <w:pPr>
        <w:spacing w:after="0" w:line="240" w:lineRule="auto"/>
        <w:jc w:val="both"/>
        <w:textAlignment w:val="baseline"/>
        <w:rPr>
          <w:rFonts w:ascii="Verdana" w:hAnsi="Verdana" w:cs="Arial"/>
          <w:bCs/>
          <w:sz w:val="20"/>
          <w:szCs w:val="20"/>
          <w:lang w:val="es-ES_tradnl" w:eastAsia="es-CO"/>
        </w:rPr>
      </w:pPr>
      <w:r>
        <w:rPr>
          <w:rFonts w:ascii="Verdana" w:hAnsi="Verdana" w:cs="Arial"/>
          <w:bCs/>
          <w:sz w:val="20"/>
          <w:szCs w:val="20"/>
          <w:lang w:val="es-ES_tradnl" w:eastAsia="es-CO"/>
        </w:rPr>
        <w:t>E</w:t>
      </w:r>
      <w:r w:rsidRPr="00E83CE9">
        <w:rPr>
          <w:rFonts w:ascii="Verdana" w:hAnsi="Verdana" w:cs="Arial"/>
          <w:bCs/>
          <w:sz w:val="20"/>
          <w:szCs w:val="20"/>
          <w:lang w:val="es-ES_tradnl" w:eastAsia="es-CO"/>
        </w:rPr>
        <w:t xml:space="preserve">l artículo 55 de la Ley 80 de 1993 disponía que “La acción civil derivada de las acciones y omisiones a que se refieren los artículos 50, 51, 52 y 53 de esta ley prescribirá en el término de veinte (20) años, contados a partir de la ocurrencia de </w:t>
      </w:r>
      <w:proofErr w:type="gramStart"/>
      <w:r w:rsidRPr="00E83CE9">
        <w:rPr>
          <w:rFonts w:ascii="Verdana" w:hAnsi="Verdana" w:cs="Arial"/>
          <w:bCs/>
          <w:sz w:val="20"/>
          <w:szCs w:val="20"/>
          <w:lang w:val="es-ES_tradnl" w:eastAsia="es-CO"/>
        </w:rPr>
        <w:t>los mismos</w:t>
      </w:r>
      <w:proofErr w:type="gramEnd"/>
      <w:r w:rsidRPr="00E83CE9">
        <w:rPr>
          <w:rFonts w:ascii="Verdana" w:hAnsi="Verdana" w:cs="Arial"/>
          <w:bCs/>
          <w:sz w:val="20"/>
          <w:szCs w:val="20"/>
          <w:lang w:val="es-ES_tradnl" w:eastAsia="es-CO"/>
        </w:rPr>
        <w:t>. La acción disciplinaria prescribirá en diez (10) años […]”. Lo anterior era desarrollo de la Constitución Política, la cual prohíbe la existencia de penas y medidas de seguridad imprescriptibles y también consagra el derecho a un debido proceso público sin dilaciones injustificadas –art. 28, inciso final, y artículo 29, inciso tercero, respectivamente–.</w:t>
      </w:r>
      <w:r w:rsidRPr="002C0402">
        <w:rPr>
          <w:rFonts w:ascii="Verdana" w:hAnsi="Verdana" w:cs="Arial"/>
          <w:bCs/>
          <w:sz w:val="20"/>
          <w:szCs w:val="20"/>
          <w:lang w:val="es-ES_tradnl" w:eastAsia="es-CO"/>
        </w:rPr>
        <w:t xml:space="preserve"> </w:t>
      </w:r>
    </w:p>
    <w:p w14:paraId="2D026B22" w14:textId="77777777" w:rsidR="006A5889" w:rsidRPr="00760536" w:rsidRDefault="006A5889" w:rsidP="006A5889">
      <w:pPr>
        <w:spacing w:after="0" w:line="240" w:lineRule="auto"/>
        <w:jc w:val="both"/>
        <w:textAlignment w:val="baseline"/>
        <w:rPr>
          <w:rFonts w:ascii="Verdana" w:hAnsi="Verdana" w:cs="Arial"/>
          <w:sz w:val="20"/>
          <w:szCs w:val="20"/>
          <w:lang w:val="es-ES" w:eastAsia="es-CO"/>
        </w:rPr>
      </w:pPr>
    </w:p>
    <w:p w14:paraId="50D4C008" w14:textId="77777777" w:rsidR="006A5889" w:rsidRPr="00760536" w:rsidRDefault="006A5889" w:rsidP="006A5889">
      <w:pPr>
        <w:spacing w:after="0" w:line="240" w:lineRule="auto"/>
        <w:jc w:val="both"/>
        <w:rPr>
          <w:rFonts w:ascii="Verdana" w:hAnsi="Verdana" w:cs="Arial"/>
          <w:b/>
          <w:lang w:val="es-ES"/>
        </w:rPr>
      </w:pPr>
      <w:r>
        <w:rPr>
          <w:rFonts w:ascii="Verdana" w:hAnsi="Verdana" w:cs="Arial"/>
          <w:b/>
          <w:lang w:val="es-ES"/>
        </w:rPr>
        <w:t xml:space="preserve">DEROGACIÓN TÁCITA – Ley 80 de 1993 – Artículo 55 </w:t>
      </w:r>
    </w:p>
    <w:p w14:paraId="0CD7D417" w14:textId="77777777" w:rsidR="006A5889" w:rsidRPr="007B6D3C" w:rsidRDefault="006A5889" w:rsidP="006A5889">
      <w:pPr>
        <w:spacing w:after="0" w:line="240" w:lineRule="auto"/>
        <w:jc w:val="both"/>
        <w:textAlignment w:val="baseline"/>
        <w:rPr>
          <w:rFonts w:ascii="Verdana" w:hAnsi="Verdana" w:cs="Arial"/>
          <w:bCs/>
          <w:sz w:val="20"/>
          <w:szCs w:val="20"/>
          <w:lang w:val="es-ES" w:eastAsia="es-CO"/>
        </w:rPr>
      </w:pPr>
    </w:p>
    <w:p w14:paraId="4EF04062" w14:textId="77777777" w:rsidR="006A5889" w:rsidRPr="002C0402" w:rsidRDefault="006A5889" w:rsidP="006A5889">
      <w:pPr>
        <w:spacing w:after="0" w:line="240" w:lineRule="auto"/>
        <w:jc w:val="both"/>
        <w:textAlignment w:val="baseline"/>
        <w:rPr>
          <w:rFonts w:ascii="Verdana" w:hAnsi="Verdana" w:cs="Arial"/>
          <w:bCs/>
          <w:sz w:val="20"/>
          <w:szCs w:val="20"/>
          <w:lang w:val="es-ES_tradnl" w:eastAsia="es-CO"/>
        </w:rPr>
      </w:pPr>
      <w:r w:rsidRPr="007B6D3C">
        <w:rPr>
          <w:rFonts w:ascii="Verdana" w:hAnsi="Verdana" w:cs="Arial"/>
          <w:bCs/>
          <w:iCs/>
          <w:sz w:val="20"/>
          <w:szCs w:val="20"/>
          <w:lang w:eastAsia="es-CO"/>
        </w:rPr>
        <w:t xml:space="preserve">Respecto a la </w:t>
      </w:r>
      <w:r w:rsidRPr="007B6D3C">
        <w:rPr>
          <w:rFonts w:ascii="Verdana" w:hAnsi="Verdana" w:cs="Arial"/>
          <w:bCs/>
          <w:i/>
          <w:sz w:val="20"/>
          <w:szCs w:val="20"/>
          <w:lang w:eastAsia="es-CO"/>
        </w:rPr>
        <w:t>responsabilidad civil</w:t>
      </w:r>
      <w:r w:rsidRPr="007B6D3C">
        <w:rPr>
          <w:rFonts w:ascii="Verdana" w:hAnsi="Verdana" w:cs="Arial"/>
          <w:bCs/>
          <w:iCs/>
          <w:sz w:val="20"/>
          <w:szCs w:val="20"/>
          <w:lang w:eastAsia="es-CO"/>
        </w:rPr>
        <w:t xml:space="preserve">, podría pensarse que la regulación inicial del plazo de veinte (20) años fue reducida diez (10) con la modificación de la Ley 791 de 2002. Sin embargo, como explica la jurisprudencia, es necesario tener en cuenta que el artículo 136 del Decreto Ley 01 de 1984 fue modificado por el artículo 44 de la Ley 446 de 1998; </w:t>
      </w:r>
      <w:r w:rsidRPr="007B6D3C">
        <w:rPr>
          <w:rFonts w:ascii="Verdana" w:hAnsi="Verdana" w:cs="Arial"/>
          <w:bCs/>
          <w:iCs/>
          <w:sz w:val="20"/>
          <w:szCs w:val="20"/>
          <w:lang w:eastAsia="es-CO"/>
        </w:rPr>
        <w:lastRenderedPageBreak/>
        <w:t>razón por la cual, esta última norma unificó los términos para demandar en materia de lo contencioso administrativo</w:t>
      </w:r>
      <w:r>
        <w:rPr>
          <w:rFonts w:ascii="Verdana" w:hAnsi="Verdana" w:cs="Arial"/>
          <w:bCs/>
          <w:iCs/>
          <w:sz w:val="20"/>
          <w:szCs w:val="20"/>
          <w:lang w:eastAsia="es-CO"/>
        </w:rPr>
        <w:t>. R</w:t>
      </w:r>
      <w:r w:rsidRPr="007B6D3C">
        <w:rPr>
          <w:rFonts w:ascii="Verdana" w:hAnsi="Verdana" w:cs="Arial"/>
          <w:bCs/>
          <w:iCs/>
          <w:sz w:val="20"/>
          <w:szCs w:val="20"/>
          <w:lang w:eastAsia="es-CO"/>
        </w:rPr>
        <w:t xml:space="preserve">especto a la </w:t>
      </w:r>
      <w:r w:rsidRPr="007B6D3C">
        <w:rPr>
          <w:rFonts w:ascii="Verdana" w:hAnsi="Verdana" w:cs="Arial"/>
          <w:bCs/>
          <w:i/>
          <w:iCs/>
          <w:sz w:val="20"/>
          <w:szCs w:val="20"/>
          <w:lang w:eastAsia="es-CO"/>
        </w:rPr>
        <w:t>responsabilidad disciplinaria</w:t>
      </w:r>
      <w:r w:rsidRPr="007B6D3C">
        <w:rPr>
          <w:rFonts w:ascii="Verdana" w:hAnsi="Verdana" w:cs="Arial"/>
          <w:bCs/>
          <w:iCs/>
          <w:sz w:val="20"/>
          <w:szCs w:val="20"/>
          <w:lang w:eastAsia="es-CO"/>
        </w:rPr>
        <w:t xml:space="preserve">, la Ley 200 de 1995 unificó la prescripción; razón por la cual, al igual que ocurrió en la </w:t>
      </w:r>
      <w:r w:rsidRPr="007B6D3C">
        <w:rPr>
          <w:rFonts w:ascii="Verdana" w:hAnsi="Verdana" w:cs="Arial"/>
          <w:bCs/>
          <w:i/>
          <w:iCs/>
          <w:sz w:val="20"/>
          <w:szCs w:val="20"/>
          <w:lang w:eastAsia="es-CO"/>
        </w:rPr>
        <w:t>responsabilidad civil</w:t>
      </w:r>
      <w:r w:rsidRPr="007B6D3C">
        <w:rPr>
          <w:rFonts w:ascii="Verdana" w:hAnsi="Verdana" w:cs="Arial"/>
          <w:bCs/>
          <w:iCs/>
          <w:sz w:val="20"/>
          <w:szCs w:val="20"/>
          <w:lang w:eastAsia="es-CO"/>
        </w:rPr>
        <w:t xml:space="preserve"> con la Ley 446 de 1998, aplica el artículo 2 de la Ley 153 de 1887, puesto que “La ley posterior prevalece sobre la ley anterior. En caso de que una ley posterior sea contraria a otra anterior, y ambas preexistentes al hecho que se juzga, se aplicarán la ley posterior”. Es decir, en las condiciones del inciso tercero del artículo 71 del Código Civil, el artículo 55 de la Ley 80 de 1993 se encuentra afectado por la </w:t>
      </w:r>
      <w:r w:rsidRPr="007B6D3C">
        <w:rPr>
          <w:rFonts w:ascii="Verdana" w:hAnsi="Verdana" w:cs="Arial"/>
          <w:bCs/>
          <w:i/>
          <w:iCs/>
          <w:sz w:val="20"/>
          <w:szCs w:val="20"/>
          <w:lang w:eastAsia="es-CO"/>
        </w:rPr>
        <w:t>derogación tácita</w:t>
      </w:r>
      <w:r w:rsidRPr="007B6D3C">
        <w:rPr>
          <w:rFonts w:ascii="Verdana" w:hAnsi="Verdana" w:cs="Arial"/>
          <w:bCs/>
          <w:iCs/>
          <w:sz w:val="20"/>
          <w:szCs w:val="20"/>
          <w:lang w:eastAsia="es-CO"/>
        </w:rPr>
        <w:t>, pues las leyes posteriores contienen disposiciones que no pueden conciliarse con la anterior.</w:t>
      </w:r>
      <w:r w:rsidRPr="002C0402">
        <w:rPr>
          <w:rFonts w:ascii="Verdana" w:hAnsi="Verdana" w:cs="Arial"/>
          <w:bCs/>
          <w:sz w:val="20"/>
          <w:szCs w:val="20"/>
          <w:lang w:val="es-ES_tradnl" w:eastAsia="es-CO"/>
        </w:rPr>
        <w:t xml:space="preserve">  </w:t>
      </w:r>
    </w:p>
    <w:p w14:paraId="71E2DB1F" w14:textId="77777777" w:rsidR="006A5889" w:rsidRPr="00760536" w:rsidRDefault="006A5889" w:rsidP="006A5889">
      <w:pPr>
        <w:spacing w:after="0" w:line="240" w:lineRule="auto"/>
        <w:jc w:val="both"/>
        <w:textAlignment w:val="baseline"/>
        <w:rPr>
          <w:rFonts w:ascii="Verdana" w:hAnsi="Verdana" w:cs="Arial"/>
          <w:sz w:val="20"/>
          <w:szCs w:val="20"/>
          <w:lang w:val="es-ES" w:eastAsia="es-CO"/>
        </w:rPr>
      </w:pPr>
    </w:p>
    <w:p w14:paraId="26FD2734" w14:textId="77777777" w:rsidR="006A5889" w:rsidRPr="00760536" w:rsidRDefault="006A5889" w:rsidP="006A5889">
      <w:pPr>
        <w:spacing w:after="0" w:line="240" w:lineRule="auto"/>
        <w:jc w:val="both"/>
        <w:rPr>
          <w:rFonts w:ascii="Verdana" w:hAnsi="Verdana" w:cs="Arial"/>
          <w:b/>
          <w:lang w:val="es-ES"/>
        </w:rPr>
      </w:pPr>
      <w:r>
        <w:rPr>
          <w:rFonts w:ascii="Verdana" w:hAnsi="Verdana" w:cs="Arial"/>
          <w:b/>
          <w:lang w:val="es-ES"/>
        </w:rPr>
        <w:t xml:space="preserve">LEY POSTERIOR – Primacía sobre la ley especial </w:t>
      </w:r>
    </w:p>
    <w:p w14:paraId="58D5C1CB" w14:textId="77777777" w:rsidR="006A5889" w:rsidRPr="007B6D3C" w:rsidRDefault="006A5889" w:rsidP="006A5889">
      <w:pPr>
        <w:spacing w:after="0" w:line="240" w:lineRule="auto"/>
        <w:jc w:val="both"/>
        <w:textAlignment w:val="baseline"/>
        <w:rPr>
          <w:rFonts w:ascii="Verdana" w:hAnsi="Verdana" w:cs="Arial"/>
          <w:bCs/>
          <w:sz w:val="20"/>
          <w:szCs w:val="20"/>
          <w:lang w:val="es-ES" w:eastAsia="es-CO"/>
        </w:rPr>
      </w:pPr>
    </w:p>
    <w:p w14:paraId="1B7862AA" w14:textId="77777777" w:rsidR="006A5889" w:rsidRDefault="006A5889" w:rsidP="006A5889">
      <w:pPr>
        <w:spacing w:after="0" w:line="240" w:lineRule="auto"/>
        <w:jc w:val="both"/>
        <w:rPr>
          <w:rFonts w:ascii="Verdana" w:eastAsia="Calibri" w:hAnsi="Verdana" w:cs="Arial"/>
          <w:b/>
          <w:color w:val="000000" w:themeColor="text1"/>
          <w:lang w:val="es-ES"/>
        </w:rPr>
      </w:pPr>
      <w:r>
        <w:rPr>
          <w:rFonts w:ascii="Verdana" w:hAnsi="Verdana" w:cs="Arial"/>
          <w:bCs/>
          <w:iCs/>
          <w:sz w:val="20"/>
          <w:szCs w:val="20"/>
          <w:lang w:eastAsia="es-CO"/>
        </w:rPr>
        <w:t>T</w:t>
      </w:r>
      <w:r w:rsidRPr="00B31329">
        <w:rPr>
          <w:rFonts w:ascii="Verdana" w:hAnsi="Verdana" w:cs="Arial"/>
          <w:bCs/>
          <w:iCs/>
          <w:sz w:val="20"/>
          <w:szCs w:val="20"/>
          <w:lang w:eastAsia="es-CO"/>
        </w:rPr>
        <w:t>anto la Ley 446 de 1998 como la Ley 200 de 1995 unificaron, respectivamente, el ejercicio oportuno del derecho de acción en materia contenciosa administrativa y el plazo para sancionar el incumplimiento de los deberes funcionales de los servidores públicos o de los particulares que cumple funciones públicas. Ambas normas establecen un marco legal uniforme que garantiza la igualdad de condiciones respecto al tiempo necesario para exigir la responsabilidad civil y disciplinaria, lo cual excluye reglas especiales sobre estas materias en contratación estatal. Ello hace que prevalezca el criterio cronológico –ley general posterior– sobre el de especialidad –ley especial anterior–, puesto que en dicha hipótesis “[…] Nos servimos de la sucesión en el tiempo de dos normas para cancelar un privilegio que ahora se considera anacrónico […]” , de manera que “[…] la nueva norma tiene capacidad abrogativa aún de normas especiales precedentes”</w:t>
      </w:r>
      <w:r w:rsidRPr="007B6D3C">
        <w:rPr>
          <w:rFonts w:ascii="Verdana" w:hAnsi="Verdana" w:cs="Arial"/>
          <w:bCs/>
          <w:iCs/>
          <w:sz w:val="20"/>
          <w:szCs w:val="20"/>
          <w:lang w:eastAsia="es-CO"/>
        </w:rPr>
        <w:t>.</w:t>
      </w:r>
    </w:p>
    <w:p w14:paraId="746DC608" w14:textId="77777777" w:rsidR="006A5889" w:rsidRPr="00760536" w:rsidRDefault="006A5889" w:rsidP="006A5889">
      <w:pPr>
        <w:spacing w:after="0" w:line="240" w:lineRule="auto"/>
        <w:jc w:val="both"/>
        <w:textAlignment w:val="baseline"/>
        <w:rPr>
          <w:rFonts w:ascii="Verdana" w:hAnsi="Verdana" w:cs="Arial"/>
          <w:sz w:val="20"/>
          <w:szCs w:val="20"/>
          <w:lang w:val="es-ES" w:eastAsia="es-CO"/>
        </w:rPr>
      </w:pPr>
    </w:p>
    <w:p w14:paraId="32531C8A" w14:textId="77777777" w:rsidR="006A5889" w:rsidRPr="00760536" w:rsidRDefault="006A5889" w:rsidP="006A5889">
      <w:pPr>
        <w:spacing w:after="0" w:line="240" w:lineRule="auto"/>
        <w:jc w:val="both"/>
        <w:rPr>
          <w:rFonts w:ascii="Verdana" w:hAnsi="Verdana" w:cs="Arial"/>
          <w:b/>
          <w:lang w:val="es-ES"/>
        </w:rPr>
      </w:pPr>
      <w:r w:rsidRPr="00B31329">
        <w:rPr>
          <w:rFonts w:ascii="Verdana" w:hAnsi="Verdana" w:cs="Arial"/>
          <w:b/>
          <w:lang w:val="es-ES"/>
        </w:rPr>
        <w:t>REVIVISCENCIA</w:t>
      </w:r>
      <w:r>
        <w:rPr>
          <w:rFonts w:ascii="Verdana" w:hAnsi="Verdana" w:cs="Arial"/>
          <w:b/>
          <w:lang w:val="es-ES"/>
        </w:rPr>
        <w:t xml:space="preserve"> NORMATIVA – Restricción – Derogación de norma derogatoria</w:t>
      </w:r>
    </w:p>
    <w:p w14:paraId="397AA8BC" w14:textId="77777777" w:rsidR="006A5889" w:rsidRPr="007B6D3C" w:rsidRDefault="006A5889" w:rsidP="006A5889">
      <w:pPr>
        <w:spacing w:after="0" w:line="240" w:lineRule="auto"/>
        <w:jc w:val="both"/>
        <w:textAlignment w:val="baseline"/>
        <w:rPr>
          <w:rFonts w:ascii="Verdana" w:hAnsi="Verdana" w:cs="Arial"/>
          <w:bCs/>
          <w:sz w:val="20"/>
          <w:szCs w:val="20"/>
          <w:lang w:val="es-ES" w:eastAsia="es-CO"/>
        </w:rPr>
      </w:pPr>
    </w:p>
    <w:p w14:paraId="31A7FC87" w14:textId="77777777" w:rsidR="006A5889" w:rsidRPr="00B31329" w:rsidRDefault="006A5889" w:rsidP="006A5889">
      <w:pPr>
        <w:spacing w:after="0" w:line="240" w:lineRule="auto"/>
        <w:jc w:val="both"/>
        <w:rPr>
          <w:rFonts w:ascii="Verdana" w:hAnsi="Verdana" w:cs="Arial"/>
          <w:bCs/>
          <w:iCs/>
          <w:sz w:val="20"/>
          <w:szCs w:val="20"/>
          <w:lang w:eastAsia="es-CO"/>
        </w:rPr>
      </w:pPr>
      <w:r w:rsidRPr="00B31329">
        <w:rPr>
          <w:rFonts w:ascii="Verdana" w:hAnsi="Verdana" w:cs="Arial"/>
          <w:bCs/>
          <w:iCs/>
          <w:sz w:val="20"/>
          <w:szCs w:val="20"/>
          <w:lang w:val="es-ES_tradnl" w:eastAsia="es-CO"/>
        </w:rPr>
        <w:t xml:space="preserve">Actualmente, </w:t>
      </w:r>
      <w:r w:rsidRPr="00B31329">
        <w:rPr>
          <w:rFonts w:ascii="Verdana" w:hAnsi="Verdana" w:cs="Arial"/>
          <w:bCs/>
          <w:iCs/>
          <w:sz w:val="20"/>
          <w:szCs w:val="20"/>
          <w:lang w:eastAsia="es-CO"/>
        </w:rPr>
        <w:t>el artículo 44 de la Ley 446 de 1998</w:t>
      </w:r>
      <w:r w:rsidRPr="00B31329">
        <w:rPr>
          <w:rFonts w:ascii="Verdana" w:hAnsi="Verdana" w:cs="Arial"/>
          <w:bCs/>
          <w:iCs/>
          <w:sz w:val="20"/>
          <w:szCs w:val="20"/>
          <w:lang w:val="es-ES_tradnl" w:eastAsia="es-CO"/>
        </w:rPr>
        <w:t xml:space="preserve"> está derogado por el artículo 309 de la Ley 1437 de 2011, mientras que </w:t>
      </w:r>
      <w:r w:rsidRPr="00B31329">
        <w:rPr>
          <w:rFonts w:ascii="Verdana" w:hAnsi="Verdana" w:cs="Arial"/>
          <w:bCs/>
          <w:iCs/>
          <w:sz w:val="20"/>
          <w:szCs w:val="20"/>
          <w:lang w:eastAsia="es-CO"/>
        </w:rPr>
        <w:t xml:space="preserve">el artículo 224 de la otrora Ley 734 de 2002 –por medio del cual se adoptó el segundo Código Disciplinario Único– disponía que “La presente ley regirá tres meses después de su sanción y deroga las disposiciones que le sean contrarias, salvo las normas referidas a los aspectos disciplinarios previstos en la Ley 190 de 1995 y el régimen especial disciplinario establecido para los miembros de la fuerza pública”; razón por la cual, </w:t>
      </w:r>
      <w:r w:rsidRPr="00B31329">
        <w:rPr>
          <w:rFonts w:ascii="Verdana" w:hAnsi="Verdana" w:cs="Arial"/>
          <w:bCs/>
          <w:iCs/>
          <w:sz w:val="20"/>
          <w:szCs w:val="20"/>
          <w:lang w:val="es-ES_tradnl" w:eastAsia="es-CO"/>
        </w:rPr>
        <w:t>Ley 200 de 1995 tampoco se encuentra vigente</w:t>
      </w:r>
      <w:r w:rsidRPr="00B31329">
        <w:rPr>
          <w:rFonts w:ascii="Verdana" w:hAnsi="Verdana" w:cs="Arial"/>
          <w:bCs/>
          <w:iCs/>
          <w:sz w:val="20"/>
          <w:szCs w:val="20"/>
          <w:lang w:eastAsia="es-CO"/>
        </w:rPr>
        <w:t>.</w:t>
      </w:r>
    </w:p>
    <w:p w14:paraId="148FA4C8" w14:textId="77777777" w:rsidR="006A5889" w:rsidRDefault="006A5889" w:rsidP="006A5889">
      <w:pPr>
        <w:spacing w:after="0" w:line="240" w:lineRule="auto"/>
        <w:jc w:val="both"/>
        <w:rPr>
          <w:rFonts w:ascii="Verdana" w:hAnsi="Verdana" w:cs="Arial"/>
          <w:bCs/>
          <w:iCs/>
          <w:sz w:val="20"/>
          <w:szCs w:val="20"/>
          <w:lang w:eastAsia="es-CO"/>
        </w:rPr>
      </w:pPr>
    </w:p>
    <w:p w14:paraId="65B1490C" w14:textId="77777777" w:rsidR="006A5889" w:rsidRDefault="006A5889" w:rsidP="006A5889">
      <w:pPr>
        <w:spacing w:after="0" w:line="240" w:lineRule="auto"/>
        <w:jc w:val="both"/>
        <w:rPr>
          <w:rFonts w:ascii="Verdana" w:eastAsia="Calibri" w:hAnsi="Verdana" w:cs="Arial"/>
          <w:b/>
          <w:color w:val="000000" w:themeColor="text1"/>
          <w:lang w:val="es-ES"/>
        </w:rPr>
      </w:pPr>
      <w:r w:rsidRPr="00B31329">
        <w:rPr>
          <w:rFonts w:ascii="Verdana" w:hAnsi="Verdana" w:cs="Arial"/>
          <w:bCs/>
          <w:iCs/>
          <w:sz w:val="20"/>
          <w:szCs w:val="20"/>
          <w:lang w:eastAsia="es-CO"/>
        </w:rPr>
        <w:t xml:space="preserve">Estas derogatorias no implican la reviviscencia de los plazos previstos en el artículo 55 de la Ley 80 de 1993 para la responsabilidad civil y disciplinaria, pues el artículo 14 de la Ley 153 de 1887 dispone que “Una ley derogada no revivirá por solas las referencias que a ella se hagan, ni por haber sido abolida la ley que la derogó. Una disposición derogada solo recobrará su fuerza en la forma en que aparezca reproducida en una ley nueva”. Por esta misma razón, si bien el artículo 265 de la Ley 1952 de 2019 deroga la Ley 734 de 2002 y dispone en el inciso tercero que “Los regímenes especiales en materia disciplinaria y las norma relacionadas con la Comisión de Ética del Congreso conservarán su vigencia”, lo cierto es que el régimen especial de prescripción de la responsabilidad disciplinaria en materia contractual ya se había modificado con la Ley 190 de 1995. </w:t>
      </w:r>
      <w:r w:rsidRPr="00B31329">
        <w:rPr>
          <w:rFonts w:ascii="Verdana" w:hAnsi="Verdana" w:cs="Arial"/>
          <w:bCs/>
          <w:iCs/>
          <w:sz w:val="20"/>
          <w:szCs w:val="20"/>
          <w:lang w:eastAsia="es-CO"/>
        </w:rPr>
        <w:lastRenderedPageBreak/>
        <w:t>Luego, la sola referencia realizada a los regímenes especiales en la Ley 1952 de 2019, no revive el plazo de diez (10) años previsto en el EGCAP.</w:t>
      </w:r>
    </w:p>
    <w:p w14:paraId="5D4C3AA2" w14:textId="77777777" w:rsidR="006A5889" w:rsidRDefault="006A5889" w:rsidP="006A5889">
      <w:pPr>
        <w:spacing w:after="0" w:line="240" w:lineRule="auto"/>
        <w:rPr>
          <w:rFonts w:ascii="Verdana" w:eastAsia="Calibri" w:hAnsi="Verdana" w:cs="Arial"/>
          <w:b/>
          <w:color w:val="000000" w:themeColor="text1"/>
          <w:lang w:val="es-ES"/>
        </w:rPr>
      </w:pPr>
    </w:p>
    <w:p w14:paraId="50723A8F" w14:textId="77777777" w:rsidR="006A5889" w:rsidRDefault="006A5889" w:rsidP="006A5889">
      <w:pPr>
        <w:spacing w:after="0" w:line="240" w:lineRule="auto"/>
        <w:rPr>
          <w:rFonts w:ascii="Verdana" w:eastAsia="Calibri" w:hAnsi="Verdana" w:cs="Arial"/>
          <w:b/>
          <w:color w:val="000000" w:themeColor="text1"/>
          <w:lang w:val="es-ES"/>
        </w:rPr>
      </w:pPr>
    </w:p>
    <w:p w14:paraId="493D5465" w14:textId="77777777" w:rsidR="006A5889" w:rsidRDefault="006A5889" w:rsidP="006A5889">
      <w:pPr>
        <w:spacing w:after="0" w:line="240" w:lineRule="auto"/>
        <w:rPr>
          <w:rFonts w:ascii="Verdana" w:eastAsia="Calibri" w:hAnsi="Verdana" w:cs="Arial"/>
          <w:b/>
          <w:color w:val="000000" w:themeColor="text1"/>
          <w:lang w:val="es-ES"/>
        </w:rPr>
      </w:pPr>
    </w:p>
    <w:p w14:paraId="3965F44B" w14:textId="77777777" w:rsidR="006A5889" w:rsidRDefault="006A5889" w:rsidP="00F82C1B">
      <w:pPr>
        <w:spacing w:after="0" w:line="240" w:lineRule="auto"/>
        <w:rPr>
          <w:rFonts w:ascii="Verdana" w:eastAsia="Geomanist Light" w:hAnsi="Verdana" w:cs="Arial"/>
          <w:color w:val="000000" w:themeColor="text1"/>
          <w:lang w:val="es-ES"/>
        </w:rPr>
      </w:pPr>
    </w:p>
    <w:p w14:paraId="21D145CF" w14:textId="77777777" w:rsidR="006A5889" w:rsidRDefault="006A5889" w:rsidP="00F82C1B">
      <w:pPr>
        <w:spacing w:after="0" w:line="240" w:lineRule="auto"/>
        <w:rPr>
          <w:rFonts w:ascii="Verdana" w:eastAsia="Geomanist Light" w:hAnsi="Verdana" w:cs="Arial"/>
          <w:color w:val="000000" w:themeColor="text1"/>
          <w:lang w:val="es-ES"/>
        </w:rPr>
      </w:pPr>
    </w:p>
    <w:p w14:paraId="7F8D4409" w14:textId="77777777" w:rsidR="006A5889" w:rsidRDefault="006A5889" w:rsidP="00F82C1B">
      <w:pPr>
        <w:spacing w:after="0" w:line="240" w:lineRule="auto"/>
        <w:rPr>
          <w:rFonts w:ascii="Verdana" w:eastAsia="Geomanist Light" w:hAnsi="Verdana" w:cs="Arial"/>
          <w:color w:val="000000" w:themeColor="text1"/>
          <w:lang w:val="es-ES"/>
        </w:rPr>
      </w:pPr>
    </w:p>
    <w:p w14:paraId="3A51133E" w14:textId="77777777" w:rsidR="006A5889" w:rsidRDefault="006A5889" w:rsidP="00F82C1B">
      <w:pPr>
        <w:spacing w:after="0" w:line="240" w:lineRule="auto"/>
        <w:rPr>
          <w:rFonts w:ascii="Verdana" w:eastAsia="Geomanist Light" w:hAnsi="Verdana" w:cs="Arial"/>
          <w:color w:val="000000" w:themeColor="text1"/>
          <w:lang w:val="es-ES"/>
        </w:rPr>
      </w:pPr>
    </w:p>
    <w:p w14:paraId="0E38146F" w14:textId="77777777" w:rsidR="006A5889" w:rsidRDefault="006A5889" w:rsidP="00F82C1B">
      <w:pPr>
        <w:spacing w:after="0" w:line="240" w:lineRule="auto"/>
        <w:rPr>
          <w:rFonts w:ascii="Verdana" w:eastAsia="Geomanist Light" w:hAnsi="Verdana" w:cs="Arial"/>
          <w:color w:val="000000" w:themeColor="text1"/>
          <w:lang w:val="es-ES"/>
        </w:rPr>
      </w:pPr>
    </w:p>
    <w:p w14:paraId="4C3A3F46" w14:textId="77777777" w:rsidR="006A5889" w:rsidRDefault="006A5889" w:rsidP="00F82C1B">
      <w:pPr>
        <w:spacing w:after="0" w:line="240" w:lineRule="auto"/>
        <w:rPr>
          <w:rFonts w:ascii="Verdana" w:eastAsia="Geomanist Light" w:hAnsi="Verdana" w:cs="Arial"/>
          <w:color w:val="000000" w:themeColor="text1"/>
          <w:lang w:val="es-ES"/>
        </w:rPr>
      </w:pPr>
    </w:p>
    <w:p w14:paraId="45471467" w14:textId="77777777" w:rsidR="006A5889" w:rsidRDefault="006A5889" w:rsidP="00F82C1B">
      <w:pPr>
        <w:spacing w:after="0" w:line="240" w:lineRule="auto"/>
        <w:rPr>
          <w:rFonts w:ascii="Verdana" w:eastAsia="Geomanist Light" w:hAnsi="Verdana" w:cs="Arial"/>
          <w:color w:val="000000" w:themeColor="text1"/>
          <w:lang w:val="es-ES"/>
        </w:rPr>
      </w:pPr>
    </w:p>
    <w:p w14:paraId="703380C0" w14:textId="77777777" w:rsidR="006A5889" w:rsidRDefault="006A5889" w:rsidP="00F82C1B">
      <w:pPr>
        <w:spacing w:after="0" w:line="240" w:lineRule="auto"/>
        <w:rPr>
          <w:rFonts w:ascii="Verdana" w:eastAsia="Geomanist Light" w:hAnsi="Verdana" w:cs="Arial"/>
          <w:color w:val="000000" w:themeColor="text1"/>
          <w:lang w:val="es-ES"/>
        </w:rPr>
      </w:pPr>
    </w:p>
    <w:p w14:paraId="4AB3B194" w14:textId="77777777" w:rsidR="006A5889" w:rsidRDefault="006A5889" w:rsidP="00F82C1B">
      <w:pPr>
        <w:spacing w:after="0" w:line="240" w:lineRule="auto"/>
        <w:rPr>
          <w:rFonts w:ascii="Verdana" w:eastAsia="Geomanist Light" w:hAnsi="Verdana" w:cs="Arial"/>
          <w:color w:val="000000" w:themeColor="text1"/>
          <w:lang w:val="es-ES"/>
        </w:rPr>
      </w:pPr>
    </w:p>
    <w:p w14:paraId="07BF1D1A" w14:textId="77777777" w:rsidR="006A5889" w:rsidRDefault="006A5889" w:rsidP="00F82C1B">
      <w:pPr>
        <w:spacing w:after="0" w:line="240" w:lineRule="auto"/>
        <w:rPr>
          <w:rFonts w:ascii="Verdana" w:eastAsia="Geomanist Light" w:hAnsi="Verdana" w:cs="Arial"/>
          <w:color w:val="000000" w:themeColor="text1"/>
          <w:lang w:val="es-ES"/>
        </w:rPr>
      </w:pPr>
    </w:p>
    <w:p w14:paraId="37F06464" w14:textId="77777777" w:rsidR="006A5889" w:rsidRDefault="006A5889" w:rsidP="00F82C1B">
      <w:pPr>
        <w:spacing w:after="0" w:line="240" w:lineRule="auto"/>
        <w:rPr>
          <w:rFonts w:ascii="Verdana" w:eastAsia="Geomanist Light" w:hAnsi="Verdana" w:cs="Arial"/>
          <w:color w:val="000000" w:themeColor="text1"/>
          <w:lang w:val="es-ES"/>
        </w:rPr>
      </w:pPr>
    </w:p>
    <w:p w14:paraId="13A9B1C9" w14:textId="77777777" w:rsidR="006A5889" w:rsidRDefault="006A5889" w:rsidP="00F82C1B">
      <w:pPr>
        <w:spacing w:after="0" w:line="240" w:lineRule="auto"/>
        <w:rPr>
          <w:rFonts w:ascii="Verdana" w:eastAsia="Geomanist Light" w:hAnsi="Verdana" w:cs="Arial"/>
          <w:color w:val="000000" w:themeColor="text1"/>
          <w:lang w:val="es-ES"/>
        </w:rPr>
      </w:pPr>
    </w:p>
    <w:p w14:paraId="1B6CE0B1" w14:textId="77777777" w:rsidR="006A5889" w:rsidRDefault="006A5889" w:rsidP="00F82C1B">
      <w:pPr>
        <w:spacing w:after="0" w:line="240" w:lineRule="auto"/>
        <w:rPr>
          <w:rFonts w:ascii="Verdana" w:eastAsia="Geomanist Light" w:hAnsi="Verdana" w:cs="Arial"/>
          <w:color w:val="000000" w:themeColor="text1"/>
          <w:lang w:val="es-ES"/>
        </w:rPr>
      </w:pPr>
    </w:p>
    <w:p w14:paraId="55F2AAFF" w14:textId="77777777" w:rsidR="006A5889" w:rsidRDefault="006A5889" w:rsidP="00F82C1B">
      <w:pPr>
        <w:spacing w:after="0" w:line="240" w:lineRule="auto"/>
        <w:rPr>
          <w:rFonts w:ascii="Verdana" w:eastAsia="Geomanist Light" w:hAnsi="Verdana" w:cs="Arial"/>
          <w:color w:val="000000" w:themeColor="text1"/>
          <w:lang w:val="es-ES"/>
        </w:rPr>
      </w:pPr>
    </w:p>
    <w:p w14:paraId="0C4E8A64" w14:textId="77777777" w:rsidR="006A5889" w:rsidRDefault="006A5889" w:rsidP="00F82C1B">
      <w:pPr>
        <w:spacing w:after="0" w:line="240" w:lineRule="auto"/>
        <w:rPr>
          <w:rFonts w:ascii="Verdana" w:eastAsia="Geomanist Light" w:hAnsi="Verdana" w:cs="Arial"/>
          <w:color w:val="000000" w:themeColor="text1"/>
          <w:lang w:val="es-ES"/>
        </w:rPr>
      </w:pPr>
    </w:p>
    <w:p w14:paraId="2A22B022" w14:textId="77777777" w:rsidR="006A5889" w:rsidRDefault="006A5889" w:rsidP="00F82C1B">
      <w:pPr>
        <w:spacing w:after="0" w:line="240" w:lineRule="auto"/>
        <w:rPr>
          <w:rFonts w:ascii="Verdana" w:eastAsia="Geomanist Light" w:hAnsi="Verdana" w:cs="Arial"/>
          <w:color w:val="000000" w:themeColor="text1"/>
          <w:lang w:val="es-ES"/>
        </w:rPr>
      </w:pPr>
    </w:p>
    <w:p w14:paraId="1892276E" w14:textId="77777777" w:rsidR="006A5889" w:rsidRDefault="006A5889" w:rsidP="00F82C1B">
      <w:pPr>
        <w:spacing w:after="0" w:line="240" w:lineRule="auto"/>
        <w:rPr>
          <w:rFonts w:ascii="Verdana" w:eastAsia="Geomanist Light" w:hAnsi="Verdana" w:cs="Arial"/>
          <w:color w:val="000000" w:themeColor="text1"/>
          <w:lang w:val="es-ES"/>
        </w:rPr>
      </w:pPr>
    </w:p>
    <w:p w14:paraId="1362D631" w14:textId="77777777" w:rsidR="006A5889" w:rsidRDefault="006A5889" w:rsidP="00F82C1B">
      <w:pPr>
        <w:spacing w:after="0" w:line="240" w:lineRule="auto"/>
        <w:rPr>
          <w:rFonts w:ascii="Verdana" w:eastAsia="Geomanist Light" w:hAnsi="Verdana" w:cs="Arial"/>
          <w:color w:val="000000" w:themeColor="text1"/>
          <w:lang w:val="es-ES"/>
        </w:rPr>
      </w:pPr>
    </w:p>
    <w:p w14:paraId="4679B061" w14:textId="77777777" w:rsidR="006A5889" w:rsidRDefault="006A5889" w:rsidP="00F82C1B">
      <w:pPr>
        <w:spacing w:after="0" w:line="240" w:lineRule="auto"/>
        <w:rPr>
          <w:rFonts w:ascii="Verdana" w:eastAsia="Geomanist Light" w:hAnsi="Verdana" w:cs="Arial"/>
          <w:color w:val="000000" w:themeColor="text1"/>
          <w:lang w:val="es-ES"/>
        </w:rPr>
      </w:pPr>
    </w:p>
    <w:p w14:paraId="7EF111CD" w14:textId="77777777" w:rsidR="006A5889" w:rsidRDefault="006A5889" w:rsidP="00F82C1B">
      <w:pPr>
        <w:spacing w:after="0" w:line="240" w:lineRule="auto"/>
        <w:rPr>
          <w:rFonts w:ascii="Verdana" w:eastAsia="Geomanist Light" w:hAnsi="Verdana" w:cs="Arial"/>
          <w:color w:val="000000" w:themeColor="text1"/>
          <w:lang w:val="es-ES"/>
        </w:rPr>
      </w:pPr>
    </w:p>
    <w:p w14:paraId="4823D283" w14:textId="77777777" w:rsidR="006A5889" w:rsidRDefault="006A5889" w:rsidP="00F82C1B">
      <w:pPr>
        <w:spacing w:after="0" w:line="240" w:lineRule="auto"/>
        <w:rPr>
          <w:rFonts w:ascii="Verdana" w:eastAsia="Geomanist Light" w:hAnsi="Verdana" w:cs="Arial"/>
          <w:color w:val="000000" w:themeColor="text1"/>
          <w:lang w:val="es-ES"/>
        </w:rPr>
      </w:pPr>
    </w:p>
    <w:p w14:paraId="0D55BE97" w14:textId="77777777" w:rsidR="006A5889" w:rsidRDefault="006A5889" w:rsidP="00F82C1B">
      <w:pPr>
        <w:spacing w:after="0" w:line="240" w:lineRule="auto"/>
        <w:rPr>
          <w:rFonts w:ascii="Verdana" w:eastAsia="Geomanist Light" w:hAnsi="Verdana" w:cs="Arial"/>
          <w:color w:val="000000" w:themeColor="text1"/>
          <w:lang w:val="es-ES"/>
        </w:rPr>
      </w:pPr>
    </w:p>
    <w:p w14:paraId="3E413211" w14:textId="77777777" w:rsidR="006A5889" w:rsidRDefault="006A5889" w:rsidP="00F82C1B">
      <w:pPr>
        <w:spacing w:after="0" w:line="240" w:lineRule="auto"/>
        <w:rPr>
          <w:rFonts w:ascii="Verdana" w:eastAsia="Geomanist Light" w:hAnsi="Verdana" w:cs="Arial"/>
          <w:color w:val="000000" w:themeColor="text1"/>
          <w:lang w:val="es-ES"/>
        </w:rPr>
      </w:pPr>
    </w:p>
    <w:p w14:paraId="09A47DF9" w14:textId="77777777" w:rsidR="006A5889" w:rsidRDefault="006A5889" w:rsidP="00F82C1B">
      <w:pPr>
        <w:spacing w:after="0" w:line="240" w:lineRule="auto"/>
        <w:rPr>
          <w:rFonts w:ascii="Verdana" w:eastAsia="Geomanist Light" w:hAnsi="Verdana" w:cs="Arial"/>
          <w:color w:val="000000" w:themeColor="text1"/>
          <w:lang w:val="es-ES"/>
        </w:rPr>
      </w:pPr>
    </w:p>
    <w:p w14:paraId="30424738" w14:textId="77777777" w:rsidR="006A5889" w:rsidRDefault="006A5889" w:rsidP="00F82C1B">
      <w:pPr>
        <w:spacing w:after="0" w:line="240" w:lineRule="auto"/>
        <w:rPr>
          <w:rFonts w:ascii="Verdana" w:eastAsia="Geomanist Light" w:hAnsi="Verdana" w:cs="Arial"/>
          <w:color w:val="000000" w:themeColor="text1"/>
          <w:lang w:val="es-ES"/>
        </w:rPr>
      </w:pPr>
    </w:p>
    <w:p w14:paraId="627478C4" w14:textId="77777777" w:rsidR="006A5889" w:rsidRDefault="006A5889" w:rsidP="00F82C1B">
      <w:pPr>
        <w:spacing w:after="0" w:line="240" w:lineRule="auto"/>
        <w:rPr>
          <w:rFonts w:ascii="Verdana" w:eastAsia="Geomanist Light" w:hAnsi="Verdana" w:cs="Arial"/>
          <w:color w:val="000000" w:themeColor="text1"/>
          <w:lang w:val="es-ES"/>
        </w:rPr>
      </w:pPr>
    </w:p>
    <w:p w14:paraId="10865D6E" w14:textId="77777777" w:rsidR="006A5889" w:rsidRDefault="006A5889" w:rsidP="00F82C1B">
      <w:pPr>
        <w:spacing w:after="0" w:line="240" w:lineRule="auto"/>
        <w:rPr>
          <w:rFonts w:ascii="Verdana" w:eastAsia="Geomanist Light" w:hAnsi="Verdana" w:cs="Arial"/>
          <w:color w:val="000000" w:themeColor="text1"/>
          <w:lang w:val="es-ES"/>
        </w:rPr>
      </w:pPr>
    </w:p>
    <w:p w14:paraId="58B1742B" w14:textId="77777777" w:rsidR="006A5889" w:rsidRDefault="006A5889" w:rsidP="00F82C1B">
      <w:pPr>
        <w:spacing w:after="0" w:line="240" w:lineRule="auto"/>
        <w:rPr>
          <w:rFonts w:ascii="Verdana" w:eastAsia="Geomanist Light" w:hAnsi="Verdana" w:cs="Arial"/>
          <w:color w:val="000000" w:themeColor="text1"/>
          <w:lang w:val="es-ES"/>
        </w:rPr>
      </w:pPr>
    </w:p>
    <w:p w14:paraId="030F32F4" w14:textId="77777777" w:rsidR="006A5889" w:rsidRDefault="006A5889" w:rsidP="00F82C1B">
      <w:pPr>
        <w:spacing w:after="0" w:line="240" w:lineRule="auto"/>
        <w:rPr>
          <w:rFonts w:ascii="Verdana" w:eastAsia="Geomanist Light" w:hAnsi="Verdana" w:cs="Arial"/>
          <w:color w:val="000000" w:themeColor="text1"/>
          <w:lang w:val="es-ES"/>
        </w:rPr>
      </w:pPr>
    </w:p>
    <w:p w14:paraId="386E8C01" w14:textId="77777777" w:rsidR="006A5889" w:rsidRDefault="006A5889" w:rsidP="00F82C1B">
      <w:pPr>
        <w:spacing w:after="0" w:line="240" w:lineRule="auto"/>
        <w:rPr>
          <w:rFonts w:ascii="Verdana" w:eastAsia="Geomanist Light" w:hAnsi="Verdana" w:cs="Arial"/>
          <w:color w:val="000000" w:themeColor="text1"/>
          <w:lang w:val="es-ES"/>
        </w:rPr>
      </w:pPr>
    </w:p>
    <w:p w14:paraId="3D854219" w14:textId="77777777" w:rsidR="006A5889" w:rsidRDefault="006A5889" w:rsidP="00F82C1B">
      <w:pPr>
        <w:spacing w:after="0" w:line="240" w:lineRule="auto"/>
        <w:rPr>
          <w:rFonts w:ascii="Verdana" w:eastAsia="Geomanist Light" w:hAnsi="Verdana" w:cs="Arial"/>
          <w:color w:val="000000" w:themeColor="text1"/>
          <w:lang w:val="es-ES"/>
        </w:rPr>
      </w:pPr>
    </w:p>
    <w:p w14:paraId="51EED2C1" w14:textId="77777777" w:rsidR="006A5889" w:rsidRDefault="006A5889" w:rsidP="00F82C1B">
      <w:pPr>
        <w:spacing w:after="0" w:line="240" w:lineRule="auto"/>
        <w:rPr>
          <w:rFonts w:ascii="Verdana" w:eastAsia="Geomanist Light" w:hAnsi="Verdana" w:cs="Arial"/>
          <w:color w:val="000000" w:themeColor="text1"/>
          <w:lang w:val="es-ES"/>
        </w:rPr>
      </w:pPr>
    </w:p>
    <w:p w14:paraId="00681279" w14:textId="77777777" w:rsidR="006A5889" w:rsidRDefault="006A5889" w:rsidP="00F82C1B">
      <w:pPr>
        <w:spacing w:after="0" w:line="240" w:lineRule="auto"/>
        <w:rPr>
          <w:rFonts w:ascii="Verdana" w:eastAsia="Geomanist Light" w:hAnsi="Verdana" w:cs="Arial"/>
          <w:color w:val="000000" w:themeColor="text1"/>
          <w:lang w:val="es-ES"/>
        </w:rPr>
      </w:pPr>
    </w:p>
    <w:p w14:paraId="1BC70FD5" w14:textId="77777777" w:rsidR="006A5889" w:rsidRDefault="006A5889" w:rsidP="00F82C1B">
      <w:pPr>
        <w:spacing w:after="0" w:line="240" w:lineRule="auto"/>
        <w:rPr>
          <w:rFonts w:ascii="Verdana" w:eastAsia="Geomanist Light" w:hAnsi="Verdana" w:cs="Arial"/>
          <w:color w:val="000000" w:themeColor="text1"/>
          <w:lang w:val="es-ES"/>
        </w:rPr>
      </w:pPr>
    </w:p>
    <w:p w14:paraId="10239102" w14:textId="77777777" w:rsidR="006A5889" w:rsidRPr="006A5889" w:rsidRDefault="006A5889" w:rsidP="00F82C1B">
      <w:pPr>
        <w:spacing w:after="0" w:line="240" w:lineRule="auto"/>
        <w:rPr>
          <w:rFonts w:ascii="Verdana" w:eastAsia="Geomanist Light" w:hAnsi="Verdana" w:cs="Arial"/>
          <w:color w:val="000000" w:themeColor="text1"/>
          <w:lang w:val="es-ES"/>
        </w:rPr>
      </w:pPr>
    </w:p>
    <w:p w14:paraId="68A1AA34" w14:textId="77777777" w:rsidR="006A5889" w:rsidRDefault="006A5889" w:rsidP="00F82C1B">
      <w:pPr>
        <w:spacing w:after="0" w:line="240" w:lineRule="auto"/>
        <w:rPr>
          <w:rFonts w:ascii="Verdana" w:eastAsia="Geomanist Light" w:hAnsi="Verdana" w:cs="Arial"/>
          <w:color w:val="000000" w:themeColor="text1"/>
          <w:lang w:val="es-MX"/>
        </w:rPr>
      </w:pPr>
    </w:p>
    <w:p w14:paraId="5EE306E1" w14:textId="77777777" w:rsidR="006A5889" w:rsidRDefault="006A5889" w:rsidP="00F82C1B">
      <w:pPr>
        <w:spacing w:after="0" w:line="240" w:lineRule="auto"/>
        <w:rPr>
          <w:rFonts w:ascii="Verdana" w:eastAsia="Geomanist Light" w:hAnsi="Verdana" w:cs="Arial"/>
          <w:color w:val="000000" w:themeColor="text1"/>
          <w:lang w:val="es-MX"/>
        </w:rPr>
      </w:pPr>
    </w:p>
    <w:p w14:paraId="0A4C96E9" w14:textId="1D0B8B13" w:rsidR="00F82C1B" w:rsidRPr="00593A5F" w:rsidRDefault="00F82C1B" w:rsidP="00F82C1B">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A72FC9" w:rsidRPr="00A72FC9">
        <w:rPr>
          <w:rFonts w:ascii="Verdana" w:eastAsia="Geomanist Light" w:hAnsi="Verdana" w:cs="Arial"/>
          <w:color w:val="000000" w:themeColor="text1"/>
          <w:lang w:val="es-MX"/>
        </w:rPr>
        <w:t>24 de Junio de 2026</w:t>
      </w:r>
    </w:p>
    <w:p w14:paraId="3746299C" w14:textId="77777777" w:rsidR="00F82C1B" w:rsidRDefault="00F82C1B" w:rsidP="00F82C1B">
      <w:pPr>
        <w:spacing w:after="0" w:line="240" w:lineRule="auto"/>
        <w:jc w:val="both"/>
        <w:rPr>
          <w:rFonts w:ascii="Verdana" w:eastAsia="Calibri" w:hAnsi="Verdana" w:cs="Arial"/>
          <w:color w:val="000000"/>
          <w:lang w:val="es-ES"/>
        </w:rPr>
      </w:pPr>
    </w:p>
    <w:p w14:paraId="19B70BA8" w14:textId="40228F1F" w:rsidR="00F82C1B" w:rsidRDefault="00A72FC9" w:rsidP="00A72FC9">
      <w:pPr>
        <w:spacing w:after="0" w:line="240" w:lineRule="auto"/>
        <w:jc w:val="right"/>
        <w:rPr>
          <w:rFonts w:ascii="Verdana" w:eastAsia="Calibri" w:hAnsi="Verdana" w:cs="Arial"/>
          <w:color w:val="000000"/>
          <w:lang w:val="es-ES"/>
        </w:rPr>
      </w:pPr>
      <w:r w:rsidRPr="00A72FC9">
        <w:rPr>
          <w:rFonts w:ascii="Verdana" w:eastAsia="Calibri" w:hAnsi="Verdana" w:cs="Arial"/>
          <w:noProof/>
          <w:color w:val="000000"/>
          <w:lang w:val="es-ES"/>
        </w:rPr>
        <w:drawing>
          <wp:inline distT="0" distB="0" distL="0" distR="0" wp14:anchorId="08D97BB2" wp14:editId="1A6B1091">
            <wp:extent cx="2400300" cy="622300"/>
            <wp:effectExtent l="0" t="0" r="0" b="0"/>
            <wp:docPr id="431729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29431" name=""/>
                    <pic:cNvPicPr/>
                  </pic:nvPicPr>
                  <pic:blipFill>
                    <a:blip r:embed="rId10"/>
                    <a:stretch>
                      <a:fillRect/>
                    </a:stretch>
                  </pic:blipFill>
                  <pic:spPr>
                    <a:xfrm>
                      <a:off x="0" y="0"/>
                      <a:ext cx="2400300" cy="622300"/>
                    </a:xfrm>
                    <a:prstGeom prst="rect">
                      <a:avLst/>
                    </a:prstGeom>
                  </pic:spPr>
                </pic:pic>
              </a:graphicData>
            </a:graphic>
          </wp:inline>
        </w:drawing>
      </w:r>
    </w:p>
    <w:p w14:paraId="71F9BD67" w14:textId="77777777" w:rsidR="00A72FC9" w:rsidRPr="00593A5F" w:rsidRDefault="00A72FC9" w:rsidP="00F82C1B">
      <w:pPr>
        <w:spacing w:after="0" w:line="240" w:lineRule="auto"/>
        <w:jc w:val="both"/>
        <w:rPr>
          <w:rFonts w:ascii="Verdana" w:eastAsia="Calibri" w:hAnsi="Verdana" w:cs="Arial"/>
          <w:color w:val="000000"/>
          <w:lang w:val="es-ES"/>
        </w:rPr>
      </w:pPr>
    </w:p>
    <w:p w14:paraId="1E46F889" w14:textId="77777777" w:rsidR="00F82C1B" w:rsidRPr="00B96799" w:rsidRDefault="00F82C1B" w:rsidP="00F82C1B">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23B964B5" w14:textId="77777777" w:rsidR="00F82C1B" w:rsidRDefault="00F82C1B" w:rsidP="00F82C1B">
      <w:pPr>
        <w:spacing w:after="0" w:line="240" w:lineRule="auto"/>
        <w:rPr>
          <w:rFonts w:ascii="Verdana" w:eastAsia="Calibri" w:hAnsi="Verdana" w:cs="Arial"/>
          <w:b/>
          <w:lang w:val="es-ES_tradnl" w:eastAsia="es-ES_tradnl"/>
        </w:rPr>
      </w:pPr>
      <w:r w:rsidRPr="00F46C6E">
        <w:rPr>
          <w:rFonts w:ascii="Verdana" w:eastAsia="Calibri" w:hAnsi="Verdana" w:cs="Arial"/>
          <w:b/>
          <w:lang w:val="es-ES_tradnl" w:eastAsia="es-ES_tradnl"/>
        </w:rPr>
        <w:t>Laura In</w:t>
      </w:r>
      <w:r>
        <w:rPr>
          <w:rFonts w:ascii="Verdana" w:eastAsia="Calibri" w:hAnsi="Verdana" w:cs="Arial"/>
          <w:b/>
          <w:lang w:val="es-ES_tradnl" w:eastAsia="es-ES_tradnl"/>
        </w:rPr>
        <w:t>é</w:t>
      </w:r>
      <w:r w:rsidRPr="00F46C6E">
        <w:rPr>
          <w:rFonts w:ascii="Verdana" w:eastAsia="Calibri" w:hAnsi="Verdana" w:cs="Arial"/>
          <w:b/>
          <w:lang w:val="es-ES_tradnl" w:eastAsia="es-ES_tradnl"/>
        </w:rPr>
        <w:t>s Toro Hern</w:t>
      </w:r>
      <w:r>
        <w:rPr>
          <w:rFonts w:ascii="Verdana" w:eastAsia="Calibri" w:hAnsi="Verdana" w:cs="Arial"/>
          <w:b/>
          <w:lang w:val="es-ES_tradnl" w:eastAsia="es-ES_tradnl"/>
        </w:rPr>
        <w:t>án</w:t>
      </w:r>
      <w:r w:rsidRPr="00F46C6E">
        <w:rPr>
          <w:rFonts w:ascii="Verdana" w:eastAsia="Calibri" w:hAnsi="Verdana" w:cs="Arial"/>
          <w:b/>
          <w:lang w:val="es-ES_tradnl" w:eastAsia="es-ES_tradnl"/>
        </w:rPr>
        <w:t>dez</w:t>
      </w:r>
      <w:r w:rsidRPr="008777D5">
        <w:rPr>
          <w:rFonts w:ascii="Verdana" w:eastAsia="Calibri" w:hAnsi="Verdana" w:cs="Arial"/>
          <w:b/>
          <w:lang w:val="es-ES_tradnl" w:eastAsia="es-ES_tradnl"/>
        </w:rPr>
        <w:t xml:space="preserve"> </w:t>
      </w:r>
    </w:p>
    <w:p w14:paraId="1A592B6E" w14:textId="77777777" w:rsidR="00F82C1B" w:rsidRPr="00F46C6E" w:rsidRDefault="00F82C1B" w:rsidP="00F82C1B">
      <w:pPr>
        <w:spacing w:after="0" w:line="240" w:lineRule="auto"/>
        <w:rPr>
          <w:rFonts w:ascii="Verdana" w:eastAsia="Calibri" w:hAnsi="Verdana" w:cs="Arial"/>
          <w:lang w:val="es-ES" w:eastAsia="es-ES"/>
        </w:rPr>
      </w:pPr>
      <w:hyperlink r:id="rId11" w:history="1">
        <w:r w:rsidRPr="006542A6">
          <w:rPr>
            <w:rStyle w:val="Hipervnculo"/>
            <w:rFonts w:ascii="Verdana" w:hAnsi="Verdana"/>
          </w:rPr>
          <w:t>laura.toro@gmail.com</w:t>
        </w:r>
      </w:hyperlink>
      <w:r>
        <w:rPr>
          <w:rFonts w:ascii="Verdana" w:hAnsi="Verdana"/>
        </w:rPr>
        <w:t xml:space="preserve"> </w:t>
      </w:r>
      <w:r w:rsidRPr="00F46C6E">
        <w:rPr>
          <w:rFonts w:ascii="Verdana" w:hAnsi="Verdana"/>
        </w:rPr>
        <w:t xml:space="preserve">                    </w:t>
      </w:r>
      <w:r w:rsidRPr="00F46C6E">
        <w:rPr>
          <w:rFonts w:ascii="Verdana" w:eastAsia="Calibri" w:hAnsi="Verdana" w:cs="Arial"/>
          <w:lang w:val="es-ES" w:eastAsia="es-ES"/>
        </w:rPr>
        <w:t xml:space="preserve">    </w:t>
      </w:r>
    </w:p>
    <w:p w14:paraId="69E3CCDC" w14:textId="77777777" w:rsidR="00F82C1B" w:rsidRDefault="00F82C1B" w:rsidP="00F82C1B">
      <w:pPr>
        <w:spacing w:after="0" w:line="240" w:lineRule="auto"/>
        <w:rPr>
          <w:rFonts w:ascii="Verdana" w:eastAsia="Calibri" w:hAnsi="Verdana" w:cs="Arial"/>
          <w:lang w:val="es-ES" w:eastAsia="es-ES"/>
        </w:rPr>
      </w:pPr>
      <w:r>
        <w:rPr>
          <w:rFonts w:ascii="Verdana" w:eastAsia="Calibri" w:hAnsi="Verdana" w:cs="Arial"/>
          <w:lang w:val="es-ES" w:eastAsia="es-ES"/>
        </w:rPr>
        <w:t>Santiago de Cali</w:t>
      </w:r>
      <w:r w:rsidRPr="004513BB">
        <w:rPr>
          <w:rFonts w:ascii="Verdana" w:eastAsia="Calibri" w:hAnsi="Verdana" w:cs="Arial"/>
          <w:lang w:val="es-ES" w:eastAsia="es-ES"/>
        </w:rPr>
        <w:t xml:space="preserve">, </w:t>
      </w:r>
      <w:r>
        <w:rPr>
          <w:rFonts w:ascii="Verdana" w:eastAsia="Calibri" w:hAnsi="Verdana" w:cs="Arial"/>
          <w:lang w:val="es-ES" w:eastAsia="es-ES"/>
        </w:rPr>
        <w:t xml:space="preserve">Valle del Cauca </w:t>
      </w:r>
    </w:p>
    <w:p w14:paraId="63371313" w14:textId="77777777" w:rsidR="00F82C1B" w:rsidRPr="00593A5F" w:rsidRDefault="00F82C1B" w:rsidP="00F82C1B">
      <w:pPr>
        <w:spacing w:after="0" w:line="240" w:lineRule="auto"/>
        <w:rPr>
          <w:rFonts w:ascii="Verdana" w:eastAsia="Calibri" w:hAnsi="Verdana" w:cs="Arial"/>
          <w:b/>
          <w:bCs/>
          <w:color w:val="000000"/>
          <w:lang w:val="es-ES_tradnl" w:eastAsia="es-ES_tradnl"/>
        </w:rPr>
      </w:pPr>
    </w:p>
    <w:p w14:paraId="52E3A31B" w14:textId="77777777" w:rsidR="00F82C1B" w:rsidRPr="00593A5F" w:rsidRDefault="00F82C1B" w:rsidP="00F82C1B">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82C1B" w:rsidRPr="00593A5F" w14:paraId="0098D5AA" w14:textId="77777777" w:rsidTr="008F2A11">
        <w:trPr>
          <w:trHeight w:val="884"/>
        </w:trPr>
        <w:tc>
          <w:tcPr>
            <w:tcW w:w="2689" w:type="dxa"/>
          </w:tcPr>
          <w:p w14:paraId="01F52F89" w14:textId="77777777" w:rsidR="00F82C1B" w:rsidRPr="00C00976" w:rsidRDefault="00F82C1B" w:rsidP="008F2A11">
            <w:pPr>
              <w:jc w:val="both"/>
              <w:rPr>
                <w:rFonts w:ascii="Verdana" w:eastAsia="Calibri" w:hAnsi="Verdana" w:cs="Arial"/>
                <w:b/>
                <w:bCs/>
                <w:color w:val="7030A0"/>
                <w:lang w:val="es-ES_tradnl" w:eastAsia="es-ES_tradnl"/>
              </w:rPr>
            </w:pPr>
          </w:p>
        </w:tc>
        <w:tc>
          <w:tcPr>
            <w:tcW w:w="6100" w:type="dxa"/>
          </w:tcPr>
          <w:p w14:paraId="362D3D63" w14:textId="77777777" w:rsidR="00F82C1B" w:rsidRPr="00C00976" w:rsidRDefault="00F82C1B" w:rsidP="008F2A11">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863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F82C1B" w:rsidRPr="00593A5F" w14:paraId="4CF22ED0" w14:textId="77777777" w:rsidTr="008F2A11">
        <w:trPr>
          <w:trHeight w:val="884"/>
        </w:trPr>
        <w:tc>
          <w:tcPr>
            <w:tcW w:w="2689" w:type="dxa"/>
          </w:tcPr>
          <w:p w14:paraId="024984F2" w14:textId="77777777" w:rsidR="00F82C1B" w:rsidRPr="00593A5F" w:rsidRDefault="00F82C1B" w:rsidP="008F2A11">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597DF581" w14:textId="77777777" w:rsidR="00F82C1B" w:rsidRPr="00A11406" w:rsidRDefault="00F82C1B" w:rsidP="008F2A11">
            <w:pPr>
              <w:spacing w:line="276" w:lineRule="auto"/>
              <w:jc w:val="both"/>
              <w:rPr>
                <w:rFonts w:ascii="Verdana" w:eastAsia="Calibri" w:hAnsi="Verdana" w:cs="Arial"/>
                <w:lang w:val="es-ES" w:eastAsia="es-ES"/>
              </w:rPr>
            </w:pPr>
            <w:r w:rsidRPr="00B31329">
              <w:rPr>
                <w:rFonts w:ascii="Verdana" w:eastAsia="Calibri" w:hAnsi="Verdana" w:cs="Arial"/>
                <w:lang w:val="es-ES" w:eastAsia="es-ES"/>
              </w:rPr>
              <w:t>PRINCIPIO DE RESPONSABILIDAD – Sujetos – Responsabilidad civil y disciplinaria – Alcance</w:t>
            </w:r>
            <w:r>
              <w:rPr>
                <w:rFonts w:ascii="Verdana" w:eastAsia="Calibri" w:hAnsi="Verdana" w:cs="Arial"/>
                <w:lang w:val="es-ES" w:eastAsia="es-ES"/>
              </w:rPr>
              <w:t xml:space="preserve"> / </w:t>
            </w:r>
            <w:r w:rsidRPr="00B31329">
              <w:rPr>
                <w:rFonts w:ascii="Verdana" w:eastAsia="Calibri" w:hAnsi="Verdana" w:cs="Arial"/>
                <w:lang w:val="es-ES" w:eastAsia="es-ES"/>
              </w:rPr>
              <w:t>PRESCRIPCIÓN – Acción civil y disciplinaria – Prohibición de penas y medidas de seguridad imprescriptibles – Debido proceso sin dilaciones injustificadas</w:t>
            </w:r>
            <w:r>
              <w:rPr>
                <w:rFonts w:ascii="Verdana" w:eastAsia="Calibri" w:hAnsi="Verdana" w:cs="Arial"/>
                <w:lang w:val="es-ES" w:eastAsia="es-ES"/>
              </w:rPr>
              <w:t xml:space="preserve"> / </w:t>
            </w:r>
            <w:r w:rsidRPr="00B31329">
              <w:rPr>
                <w:rFonts w:ascii="Verdana" w:eastAsia="Calibri" w:hAnsi="Verdana" w:cs="Arial"/>
                <w:lang w:val="es-ES" w:eastAsia="es-ES"/>
              </w:rPr>
              <w:t>DEROGACIÓN TÁCITA – Ley 80 de 1993 – Artículo 55</w:t>
            </w:r>
            <w:r>
              <w:rPr>
                <w:rFonts w:ascii="Verdana" w:eastAsia="Calibri" w:hAnsi="Verdana" w:cs="Arial"/>
                <w:lang w:val="es-ES" w:eastAsia="es-ES"/>
              </w:rPr>
              <w:t xml:space="preserve"> / </w:t>
            </w:r>
            <w:r w:rsidRPr="00B31329">
              <w:rPr>
                <w:rFonts w:ascii="Verdana" w:eastAsia="Calibri" w:hAnsi="Verdana" w:cs="Arial"/>
                <w:lang w:val="es-ES" w:eastAsia="es-ES"/>
              </w:rPr>
              <w:t>LEY POSTERIOR – Primacía sobre la ley especial</w:t>
            </w:r>
            <w:r>
              <w:rPr>
                <w:rFonts w:ascii="Verdana" w:eastAsia="Calibri" w:hAnsi="Verdana" w:cs="Arial"/>
                <w:lang w:val="es-ES" w:eastAsia="es-ES"/>
              </w:rPr>
              <w:t xml:space="preserve"> / </w:t>
            </w:r>
            <w:r w:rsidRPr="00B31329">
              <w:rPr>
                <w:rFonts w:ascii="Verdana" w:eastAsia="Calibri" w:hAnsi="Verdana" w:cs="Arial"/>
                <w:lang w:val="es-ES" w:eastAsia="es-ES"/>
              </w:rPr>
              <w:t>REVIVISCENCIA NORMATIVA – Restricción – Derogación de norma derogatoria</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5040470A" w14:textId="77777777" w:rsidR="00F82C1B" w:rsidRPr="00593A5F" w:rsidRDefault="00F82C1B" w:rsidP="008F2A11">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F82C1B" w:rsidRPr="008E6AD9" w14:paraId="0644B5F4" w14:textId="77777777" w:rsidTr="008F2A11">
        <w:tc>
          <w:tcPr>
            <w:tcW w:w="2689" w:type="dxa"/>
          </w:tcPr>
          <w:p w14:paraId="01FAB5C9" w14:textId="77777777" w:rsidR="00F82C1B" w:rsidRPr="008E6AD9" w:rsidRDefault="00F82C1B" w:rsidP="008F2A11">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0A1C99CB" w14:textId="77777777" w:rsidR="00F82C1B" w:rsidRPr="00B92340" w:rsidRDefault="00F82C1B" w:rsidP="008F2A11">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5212C5">
              <w:rPr>
                <w:rFonts w:ascii="Verdana" w:eastAsia="Calibri" w:hAnsi="Verdana" w:cs="Arial"/>
                <w:lang w:val="es-ES_tradnl" w:eastAsia="es-ES_tradnl"/>
              </w:rPr>
              <w:t>1_2026_05_22_006950</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1504F467" w14:textId="77777777" w:rsidR="00F82C1B" w:rsidRPr="00593A5F" w:rsidRDefault="00F82C1B" w:rsidP="00F82C1B">
      <w:pPr>
        <w:spacing w:after="0" w:line="240" w:lineRule="auto"/>
        <w:jc w:val="both"/>
        <w:rPr>
          <w:rFonts w:ascii="Verdana" w:eastAsia="Calibri" w:hAnsi="Verdana" w:cs="Arial"/>
          <w:color w:val="000000"/>
          <w:lang w:val="es-ES_tradnl" w:eastAsia="es-ES_tradnl"/>
        </w:rPr>
      </w:pPr>
    </w:p>
    <w:p w14:paraId="7A20C26C" w14:textId="77777777" w:rsidR="00F82C1B" w:rsidRPr="00593A5F" w:rsidRDefault="00F82C1B" w:rsidP="00F82C1B">
      <w:pPr>
        <w:spacing w:after="0" w:line="240" w:lineRule="auto"/>
        <w:jc w:val="both"/>
        <w:rPr>
          <w:rFonts w:ascii="Verdana" w:eastAsia="Calibri" w:hAnsi="Verdana" w:cs="Arial"/>
          <w:color w:val="000000"/>
          <w:lang w:val="es-ES_tradnl" w:eastAsia="es-ES_tradnl"/>
        </w:rPr>
      </w:pPr>
    </w:p>
    <w:p w14:paraId="55CFAC95" w14:textId="77777777" w:rsidR="00F82C1B" w:rsidRPr="008E6AD9" w:rsidRDefault="00F82C1B" w:rsidP="00F82C1B">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583CFC">
        <w:rPr>
          <w:rFonts w:ascii="Verdana" w:eastAsia="Calibri" w:hAnsi="Verdana" w:cs="Arial"/>
          <w:lang w:val="es-ES" w:eastAsia="es-ES"/>
        </w:rPr>
        <w:t>Toro Hernández</w:t>
      </w:r>
      <w:r w:rsidRPr="008E6AD9">
        <w:rPr>
          <w:rFonts w:ascii="Verdana" w:eastAsia="Calibri" w:hAnsi="Verdana" w:cs="Arial"/>
          <w:lang w:val="es-ES" w:eastAsia="es-ES"/>
        </w:rPr>
        <w:t xml:space="preserve">: </w:t>
      </w:r>
    </w:p>
    <w:p w14:paraId="1B1CBA01" w14:textId="77777777" w:rsidR="00F82C1B" w:rsidRDefault="00F82C1B" w:rsidP="00F82C1B">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8188517" w14:textId="17C05346" w:rsidR="00F82C1B" w:rsidRPr="00593A5F" w:rsidRDefault="00F82C1B" w:rsidP="00F82C1B">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6 de mayo de 2026 ante el Departamento Administrativo de la Función Pública, la cual –conforme al artículo 21 de la Ley 1437 de 2011– fue </w:t>
      </w:r>
      <w:r>
        <w:rPr>
          <w:rFonts w:ascii="Verdana" w:eastAsia="Calibri" w:hAnsi="Verdana" w:cs="Arial"/>
          <w:lang w:val="es-ES" w:eastAsia="es-ES"/>
        </w:rPr>
        <w:lastRenderedPageBreak/>
        <w:t>remitida a esta entidad mediante</w:t>
      </w:r>
      <w:r w:rsidR="00944E1B">
        <w:rPr>
          <w:rFonts w:ascii="Verdana" w:eastAsia="Calibri" w:hAnsi="Verdana" w:cs="Arial"/>
          <w:lang w:val="es-ES" w:eastAsia="es-ES"/>
        </w:rPr>
        <w:t xml:space="preserve"> correo electrónico del</w:t>
      </w:r>
      <w:r>
        <w:rPr>
          <w:rFonts w:ascii="Verdana" w:eastAsia="Calibri" w:hAnsi="Verdana" w:cs="Arial"/>
          <w:lang w:val="es-ES" w:eastAsia="es-ES"/>
        </w:rPr>
        <w:t xml:space="preserve"> 21 de mayo de 2026, donde solicita conceptuar sobre el siguiente aspecto</w:t>
      </w:r>
      <w:r w:rsidRPr="008E6AD9">
        <w:rPr>
          <w:rFonts w:ascii="Verdana" w:eastAsia="Calibri" w:hAnsi="Verdana" w:cs="Arial"/>
          <w:lang w:val="es-ES" w:eastAsia="es-ES"/>
        </w:rPr>
        <w:t xml:space="preserve">: </w:t>
      </w:r>
    </w:p>
    <w:p w14:paraId="1FB69D32" w14:textId="77777777" w:rsidR="00F82C1B" w:rsidRPr="00272A7B" w:rsidRDefault="00F82C1B" w:rsidP="00F82C1B">
      <w:pPr>
        <w:pStyle w:val="Prrafodelista"/>
        <w:tabs>
          <w:tab w:val="left" w:pos="142"/>
          <w:tab w:val="left" w:pos="284"/>
        </w:tabs>
        <w:spacing w:after="0" w:line="276" w:lineRule="auto"/>
        <w:ind w:left="0"/>
        <w:jc w:val="both"/>
        <w:rPr>
          <w:rFonts w:ascii="Verdana" w:eastAsia="Century Gothic" w:hAnsi="Verdana" w:cs="Century Gothic"/>
          <w:b/>
          <w:bCs/>
        </w:rPr>
      </w:pPr>
    </w:p>
    <w:p w14:paraId="3BB958D6" w14:textId="77777777" w:rsidR="00F82C1B" w:rsidRPr="00353F9D" w:rsidRDefault="00F82C1B" w:rsidP="00F82C1B">
      <w:pPr>
        <w:spacing w:after="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353F9D">
        <w:rPr>
          <w:rFonts w:ascii="Verdana" w:eastAsia="Century Gothic" w:hAnsi="Verdana" w:cs="Century Gothic"/>
          <w:sz w:val="20"/>
          <w:szCs w:val="20"/>
          <w:lang w:val="es-ES"/>
        </w:rPr>
        <w:t>De manera respetuosa me dirijo a ustedes con el fin de que se me indique si el artículo 55 de la Ley 80/93 en cuanto a los 20 años de prescripción de la acción civil y 10 de la acción disciplinaria, debe entenderse modificado tácitamente por el artículo 1 de la Ley 791/02 y el artículo 33 de la Ley 1952/19, o por el contrario se considera norma especial frente al tema y conserva plena vigencia</w:t>
      </w:r>
      <w:r>
        <w:rPr>
          <w:rFonts w:ascii="Verdana" w:eastAsia="Century Gothic" w:hAnsi="Verdana" w:cs="Century Gothic"/>
          <w:sz w:val="20"/>
          <w:szCs w:val="20"/>
          <w:lang w:val="es-ES"/>
        </w:rPr>
        <w:t>”</w:t>
      </w:r>
      <w:r w:rsidRPr="00A47393">
        <w:rPr>
          <w:rFonts w:ascii="Verdana" w:eastAsia="Century Gothic" w:hAnsi="Verdana" w:cs="Century Gothic"/>
          <w:sz w:val="20"/>
          <w:szCs w:val="20"/>
          <w:lang w:val="es-ES"/>
        </w:rPr>
        <w:t>.</w:t>
      </w:r>
    </w:p>
    <w:p w14:paraId="5091E322" w14:textId="77777777" w:rsidR="00F82C1B" w:rsidRDefault="00F82C1B" w:rsidP="00F82C1B">
      <w:pPr>
        <w:spacing w:after="0" w:line="276" w:lineRule="auto"/>
        <w:ind w:firstLine="709"/>
        <w:jc w:val="both"/>
        <w:rPr>
          <w:rFonts w:ascii="Verdana" w:eastAsia="Calibri" w:hAnsi="Verdana" w:cs="Arial"/>
          <w:color w:val="000000"/>
          <w:lang w:val="es-ES" w:eastAsia="es-ES"/>
        </w:rPr>
      </w:pPr>
    </w:p>
    <w:p w14:paraId="07C35D95" w14:textId="77777777" w:rsidR="00F82C1B" w:rsidRPr="00A652FF" w:rsidRDefault="00F82C1B" w:rsidP="00F82C1B">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6CE9C284" w14:textId="77777777" w:rsidR="00F82C1B" w:rsidRDefault="00F82C1B" w:rsidP="00F82C1B">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5ED8344B" w14:textId="77777777" w:rsidR="00F82C1B" w:rsidRPr="00593A5F" w:rsidRDefault="00F82C1B" w:rsidP="00F82C1B">
      <w:pPr>
        <w:spacing w:after="0" w:line="276" w:lineRule="auto"/>
        <w:ind w:firstLine="709"/>
        <w:jc w:val="both"/>
        <w:rPr>
          <w:rFonts w:ascii="Verdana" w:eastAsia="Calibri" w:hAnsi="Verdana" w:cs="Arial"/>
          <w:color w:val="000000"/>
          <w:lang w:val="es-ES" w:eastAsia="es-ES"/>
        </w:rPr>
      </w:pPr>
    </w:p>
    <w:p w14:paraId="275B0221" w14:textId="77777777" w:rsidR="00F82C1B" w:rsidRPr="00593A5F" w:rsidRDefault="00F82C1B" w:rsidP="00F82C1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696D8081" w14:textId="77777777" w:rsidR="00F82C1B" w:rsidRPr="00593A5F" w:rsidRDefault="00F82C1B" w:rsidP="00F82C1B">
      <w:pPr>
        <w:tabs>
          <w:tab w:val="left" w:pos="426"/>
        </w:tabs>
        <w:spacing w:after="0" w:line="276" w:lineRule="auto"/>
        <w:jc w:val="both"/>
        <w:rPr>
          <w:rFonts w:ascii="Verdana" w:eastAsia="Century Gothic" w:hAnsi="Verdana" w:cs="Century Gothic"/>
          <w:lang w:val="es-ES"/>
        </w:rPr>
      </w:pPr>
    </w:p>
    <w:p w14:paraId="28E7D0DF" w14:textId="77777777" w:rsidR="00F82C1B" w:rsidRPr="00593A5F" w:rsidRDefault="00F82C1B" w:rsidP="00F82C1B">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2638F7">
        <w:rPr>
          <w:rFonts w:ascii="Verdana" w:eastAsia="Century Gothic" w:hAnsi="Verdana" w:cs="Century Gothic"/>
        </w:rPr>
        <w:t>¿</w:t>
      </w:r>
      <w:r>
        <w:rPr>
          <w:rFonts w:ascii="Verdana" w:eastAsia="Century Gothic" w:hAnsi="Verdana" w:cs="Century Gothic"/>
        </w:rPr>
        <w:t xml:space="preserve">los plazos de prescripción de la responsabilidad civil y disciplinaria del artículo </w:t>
      </w:r>
      <w:r w:rsidRPr="00E67EB1">
        <w:rPr>
          <w:rFonts w:ascii="Verdana" w:hAnsi="Verdana" w:cs="Arial"/>
          <w:iCs/>
          <w:color w:val="000000" w:themeColor="text1"/>
        </w:rPr>
        <w:t>55 de la Ley 80</w:t>
      </w:r>
      <w:r>
        <w:rPr>
          <w:rFonts w:ascii="Verdana" w:hAnsi="Verdana" w:cs="Arial"/>
          <w:iCs/>
          <w:color w:val="000000" w:themeColor="text1"/>
        </w:rPr>
        <w:t xml:space="preserve"> de 19</w:t>
      </w:r>
      <w:r w:rsidRPr="00E67EB1">
        <w:rPr>
          <w:rFonts w:ascii="Verdana" w:hAnsi="Verdana" w:cs="Arial"/>
          <w:iCs/>
          <w:color w:val="000000" w:themeColor="text1"/>
        </w:rPr>
        <w:t>93</w:t>
      </w:r>
      <w:r>
        <w:rPr>
          <w:rFonts w:ascii="Verdana" w:eastAsia="Century Gothic" w:hAnsi="Verdana" w:cs="Century Gothic"/>
        </w:rPr>
        <w:t xml:space="preserve"> están vigentes o se encuentran derogados tácitamente por normas posteriores</w:t>
      </w:r>
      <w:r w:rsidRPr="002638F7">
        <w:rPr>
          <w:rFonts w:ascii="Verdana" w:eastAsia="Century Gothic" w:hAnsi="Verdana" w:cs="Century Gothic"/>
        </w:rPr>
        <w:t>?</w:t>
      </w:r>
      <w:r>
        <w:rPr>
          <w:rFonts w:ascii="Verdana" w:eastAsia="Century Gothic" w:hAnsi="Verdana" w:cs="Century Gothic"/>
        </w:rPr>
        <w:t xml:space="preserve"> </w:t>
      </w:r>
    </w:p>
    <w:p w14:paraId="6044C617" w14:textId="77777777" w:rsidR="00F82C1B" w:rsidRPr="004B140F" w:rsidRDefault="00F82C1B" w:rsidP="00F82C1B">
      <w:pPr>
        <w:spacing w:after="0" w:line="276" w:lineRule="auto"/>
        <w:jc w:val="both"/>
        <w:rPr>
          <w:rFonts w:ascii="Verdana" w:eastAsia="Calibri" w:hAnsi="Verdana" w:cs="Arial"/>
          <w:color w:val="7030A0"/>
        </w:rPr>
      </w:pPr>
    </w:p>
    <w:p w14:paraId="49703A58" w14:textId="77777777" w:rsidR="00F82C1B" w:rsidRPr="00593A5F" w:rsidRDefault="00F82C1B" w:rsidP="00F82C1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717B2193" w14:textId="77777777" w:rsidR="00F82C1B" w:rsidRPr="00593A5F" w:rsidRDefault="00F82C1B" w:rsidP="00F82C1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82C1B" w:rsidRPr="00593A5F" w14:paraId="040D7D00" w14:textId="77777777" w:rsidTr="008F2A11">
        <w:trPr>
          <w:jc w:val="center"/>
        </w:trPr>
        <w:tc>
          <w:tcPr>
            <w:tcW w:w="8828" w:type="dxa"/>
          </w:tcPr>
          <w:p w14:paraId="1BC3FBEA" w14:textId="77777777" w:rsidR="00F82C1B" w:rsidRDefault="00F82C1B" w:rsidP="008F2A11">
            <w:pPr>
              <w:tabs>
                <w:tab w:val="left" w:pos="426"/>
              </w:tabs>
              <w:spacing w:after="120" w:line="276" w:lineRule="auto"/>
              <w:jc w:val="both"/>
              <w:rPr>
                <w:rFonts w:ascii="Verdana" w:hAnsi="Verdana" w:cs="Arial"/>
                <w:iCs/>
                <w:color w:val="000000" w:themeColor="text1"/>
              </w:rPr>
            </w:pPr>
            <w:bookmarkStart w:id="1" w:name="_Hlk171694685"/>
            <w:r w:rsidRPr="000955E3">
              <w:rPr>
                <w:rFonts w:ascii="Verdana" w:eastAsia="Calibri" w:hAnsi="Verdana" w:cs="Arial"/>
                <w:bCs/>
                <w:color w:val="000000" w:themeColor="text1"/>
              </w:rPr>
              <w:lastRenderedPageBreak/>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E67EB1">
              <w:rPr>
                <w:rFonts w:ascii="Verdana" w:hAnsi="Verdana" w:cs="Arial"/>
                <w:iCs/>
                <w:color w:val="000000" w:themeColor="text1"/>
              </w:rPr>
              <w:t>en cuanto a</w:t>
            </w:r>
            <w:r>
              <w:rPr>
                <w:rFonts w:ascii="Verdana" w:hAnsi="Verdana" w:cs="Arial"/>
                <w:iCs/>
                <w:color w:val="000000" w:themeColor="text1"/>
              </w:rPr>
              <w:t xml:space="preserve"> los plazos de</w:t>
            </w:r>
            <w:r w:rsidRPr="00E67EB1">
              <w:rPr>
                <w:rFonts w:ascii="Verdana" w:hAnsi="Verdana" w:cs="Arial"/>
                <w:iCs/>
                <w:color w:val="000000" w:themeColor="text1"/>
              </w:rPr>
              <w:t xml:space="preserve"> </w:t>
            </w:r>
            <w:r>
              <w:rPr>
                <w:rFonts w:ascii="Verdana" w:hAnsi="Verdana" w:cs="Arial"/>
                <w:iCs/>
                <w:color w:val="000000" w:themeColor="text1"/>
              </w:rPr>
              <w:t>veinte (</w:t>
            </w:r>
            <w:r w:rsidRPr="00E67EB1">
              <w:rPr>
                <w:rFonts w:ascii="Verdana" w:hAnsi="Verdana" w:cs="Arial"/>
                <w:iCs/>
                <w:color w:val="000000" w:themeColor="text1"/>
              </w:rPr>
              <w:t>20</w:t>
            </w:r>
            <w:r>
              <w:rPr>
                <w:rFonts w:ascii="Verdana" w:hAnsi="Verdana" w:cs="Arial"/>
                <w:iCs/>
                <w:color w:val="000000" w:themeColor="text1"/>
              </w:rPr>
              <w:t>)</w:t>
            </w:r>
            <w:r w:rsidRPr="00E67EB1">
              <w:rPr>
                <w:rFonts w:ascii="Verdana" w:hAnsi="Verdana" w:cs="Arial"/>
                <w:iCs/>
                <w:color w:val="000000" w:themeColor="text1"/>
              </w:rPr>
              <w:t xml:space="preserve"> años de prescripción de la </w:t>
            </w:r>
            <w:r w:rsidRPr="00635DD1">
              <w:rPr>
                <w:rFonts w:ascii="Verdana" w:hAnsi="Verdana" w:cs="Arial"/>
                <w:i/>
                <w:color w:val="000000" w:themeColor="text1"/>
              </w:rPr>
              <w:t>responsabilidad civil</w:t>
            </w:r>
            <w:r w:rsidRPr="00E67EB1">
              <w:rPr>
                <w:rFonts w:ascii="Verdana" w:hAnsi="Verdana" w:cs="Arial"/>
                <w:iCs/>
                <w:color w:val="000000" w:themeColor="text1"/>
              </w:rPr>
              <w:t xml:space="preserve"> y </w:t>
            </w:r>
            <w:r>
              <w:rPr>
                <w:rFonts w:ascii="Verdana" w:hAnsi="Verdana" w:cs="Arial"/>
                <w:iCs/>
                <w:color w:val="000000" w:themeColor="text1"/>
              </w:rPr>
              <w:t>diez (</w:t>
            </w:r>
            <w:r w:rsidRPr="00E67EB1">
              <w:rPr>
                <w:rFonts w:ascii="Verdana" w:hAnsi="Verdana" w:cs="Arial"/>
                <w:iCs/>
                <w:color w:val="000000" w:themeColor="text1"/>
              </w:rPr>
              <w:t>10</w:t>
            </w:r>
            <w:r>
              <w:rPr>
                <w:rFonts w:ascii="Verdana" w:hAnsi="Verdana" w:cs="Arial"/>
                <w:iCs/>
                <w:color w:val="000000" w:themeColor="text1"/>
              </w:rPr>
              <w:t>) años</w:t>
            </w:r>
            <w:r w:rsidRPr="00E67EB1">
              <w:rPr>
                <w:rFonts w:ascii="Verdana" w:hAnsi="Verdana" w:cs="Arial"/>
                <w:iCs/>
                <w:color w:val="000000" w:themeColor="text1"/>
              </w:rPr>
              <w:t xml:space="preserve"> de la </w:t>
            </w:r>
            <w:r w:rsidRPr="00635DD1">
              <w:rPr>
                <w:rFonts w:ascii="Verdana" w:hAnsi="Verdana" w:cs="Arial"/>
                <w:i/>
                <w:color w:val="000000" w:themeColor="text1"/>
              </w:rPr>
              <w:t>responsabilidad disciplinaria</w:t>
            </w:r>
            <w:r>
              <w:rPr>
                <w:rFonts w:ascii="Verdana" w:hAnsi="Verdana" w:cs="Arial"/>
                <w:iCs/>
                <w:color w:val="000000" w:themeColor="text1"/>
              </w:rPr>
              <w:t xml:space="preserve">, </w:t>
            </w:r>
            <w:r w:rsidRPr="00E67EB1">
              <w:rPr>
                <w:rFonts w:ascii="Verdana" w:hAnsi="Verdana" w:cs="Arial"/>
                <w:iCs/>
                <w:color w:val="000000" w:themeColor="text1"/>
              </w:rPr>
              <w:t>el artículo 55 de la Ley 80</w:t>
            </w:r>
            <w:r>
              <w:rPr>
                <w:rFonts w:ascii="Verdana" w:hAnsi="Verdana" w:cs="Arial"/>
                <w:iCs/>
                <w:color w:val="000000" w:themeColor="text1"/>
              </w:rPr>
              <w:t xml:space="preserve"> de 19</w:t>
            </w:r>
            <w:r w:rsidRPr="00E67EB1">
              <w:rPr>
                <w:rFonts w:ascii="Verdana" w:hAnsi="Verdana" w:cs="Arial"/>
                <w:iCs/>
                <w:color w:val="000000" w:themeColor="text1"/>
              </w:rPr>
              <w:t xml:space="preserve">93 </w:t>
            </w:r>
            <w:r>
              <w:rPr>
                <w:rFonts w:ascii="Verdana" w:hAnsi="Verdana" w:cs="Arial"/>
                <w:iCs/>
                <w:color w:val="000000" w:themeColor="text1"/>
              </w:rPr>
              <w:t xml:space="preserve">está tácitamente derogado; razón por la cual, </w:t>
            </w:r>
            <w:r>
              <w:rPr>
                <w:rFonts w:ascii="Verdana" w:eastAsia="Calibri" w:hAnsi="Verdana" w:cs="Arial"/>
                <w:bCs/>
                <w:lang w:val="es-ES_tradnl"/>
              </w:rPr>
              <w:t xml:space="preserve">el ejercicio oportuno del derecho de acción en materia contenciosa administrativa y el plazo para sancionar </w:t>
            </w:r>
            <w:r w:rsidRPr="005D70A7">
              <w:rPr>
                <w:rFonts w:ascii="Verdana" w:hAnsi="Verdana" w:cs="Arial"/>
                <w:color w:val="000000" w:themeColor="text1"/>
                <w:lang w:val="es-ES"/>
              </w:rPr>
              <w:t xml:space="preserve">el </w:t>
            </w:r>
            <w:r>
              <w:rPr>
                <w:rFonts w:ascii="Verdana" w:hAnsi="Verdana" w:cs="Arial"/>
                <w:color w:val="000000" w:themeColor="text1"/>
                <w:lang w:val="es-ES"/>
              </w:rPr>
              <w:t xml:space="preserve">incumplimiento </w:t>
            </w:r>
            <w:r w:rsidRPr="005D70A7">
              <w:rPr>
                <w:rFonts w:ascii="Verdana" w:hAnsi="Verdana" w:cs="Arial"/>
                <w:color w:val="000000" w:themeColor="text1"/>
                <w:lang w:val="es-ES"/>
              </w:rPr>
              <w:t>de</w:t>
            </w:r>
            <w:r>
              <w:rPr>
                <w:rFonts w:ascii="Verdana" w:hAnsi="Verdana" w:cs="Arial"/>
                <w:color w:val="000000" w:themeColor="text1"/>
                <w:lang w:val="es-ES"/>
              </w:rPr>
              <w:t xml:space="preserve"> </w:t>
            </w:r>
            <w:r w:rsidRPr="005D70A7">
              <w:rPr>
                <w:rFonts w:ascii="Verdana" w:hAnsi="Verdana" w:cs="Arial"/>
                <w:color w:val="000000" w:themeColor="text1"/>
                <w:lang w:val="es-ES"/>
              </w:rPr>
              <w:t>l</w:t>
            </w:r>
            <w:r>
              <w:rPr>
                <w:rFonts w:ascii="Verdana" w:hAnsi="Verdana" w:cs="Arial"/>
                <w:color w:val="000000" w:themeColor="text1"/>
                <w:lang w:val="es-ES"/>
              </w:rPr>
              <w:t>os</w:t>
            </w:r>
            <w:r w:rsidRPr="005D70A7">
              <w:rPr>
                <w:rFonts w:ascii="Verdana" w:hAnsi="Verdana" w:cs="Arial"/>
                <w:color w:val="000000" w:themeColor="text1"/>
                <w:lang w:val="es-ES"/>
              </w:rPr>
              <w:t xml:space="preserve"> deber</w:t>
            </w:r>
            <w:r>
              <w:rPr>
                <w:rFonts w:ascii="Verdana" w:hAnsi="Verdana" w:cs="Arial"/>
                <w:color w:val="000000" w:themeColor="text1"/>
                <w:lang w:val="es-ES"/>
              </w:rPr>
              <w:t>es</w:t>
            </w:r>
            <w:r w:rsidRPr="005D70A7">
              <w:rPr>
                <w:rFonts w:ascii="Verdana" w:hAnsi="Verdana" w:cs="Arial"/>
                <w:color w:val="000000" w:themeColor="text1"/>
                <w:lang w:val="es-ES"/>
              </w:rPr>
              <w:t xml:space="preserve"> funcional</w:t>
            </w:r>
            <w:r>
              <w:rPr>
                <w:rFonts w:ascii="Verdana" w:hAnsi="Verdana" w:cs="Arial"/>
                <w:color w:val="000000" w:themeColor="text1"/>
                <w:lang w:val="es-ES"/>
              </w:rPr>
              <w:t>es de los</w:t>
            </w:r>
            <w:r w:rsidRPr="005D70A7">
              <w:rPr>
                <w:rFonts w:ascii="Verdana" w:hAnsi="Verdana" w:cs="Arial"/>
                <w:color w:val="000000" w:themeColor="text1"/>
                <w:lang w:val="es-ES"/>
              </w:rPr>
              <w:t xml:space="preserve"> servidor</w:t>
            </w:r>
            <w:r>
              <w:rPr>
                <w:rFonts w:ascii="Verdana" w:hAnsi="Verdana" w:cs="Arial"/>
                <w:color w:val="000000" w:themeColor="text1"/>
                <w:lang w:val="es-ES"/>
              </w:rPr>
              <w:t>es</w:t>
            </w:r>
            <w:r w:rsidRPr="005D70A7">
              <w:rPr>
                <w:rFonts w:ascii="Verdana" w:hAnsi="Verdana" w:cs="Arial"/>
                <w:color w:val="000000" w:themeColor="text1"/>
                <w:lang w:val="es-ES"/>
              </w:rPr>
              <w:t xml:space="preserve"> público</w:t>
            </w:r>
            <w:r>
              <w:rPr>
                <w:rFonts w:ascii="Verdana" w:hAnsi="Verdana" w:cs="Arial"/>
                <w:color w:val="000000" w:themeColor="text1"/>
                <w:lang w:val="es-ES"/>
              </w:rPr>
              <w:t>s</w:t>
            </w:r>
            <w:r w:rsidRPr="005D70A7">
              <w:rPr>
                <w:rFonts w:ascii="Verdana" w:hAnsi="Verdana" w:cs="Arial"/>
                <w:color w:val="000000" w:themeColor="text1"/>
                <w:lang w:val="es-ES"/>
              </w:rPr>
              <w:t xml:space="preserve"> o </w:t>
            </w:r>
            <w:r>
              <w:rPr>
                <w:rFonts w:ascii="Verdana" w:hAnsi="Verdana" w:cs="Arial"/>
                <w:color w:val="000000" w:themeColor="text1"/>
                <w:lang w:val="es-ES"/>
              </w:rPr>
              <w:t>de los</w:t>
            </w:r>
            <w:r w:rsidRPr="005D70A7">
              <w:rPr>
                <w:rFonts w:ascii="Verdana" w:hAnsi="Verdana" w:cs="Arial"/>
                <w:color w:val="000000" w:themeColor="text1"/>
                <w:lang w:val="es-ES"/>
              </w:rPr>
              <w:t xml:space="preserve"> particular</w:t>
            </w:r>
            <w:r>
              <w:rPr>
                <w:rFonts w:ascii="Verdana" w:hAnsi="Verdana" w:cs="Arial"/>
                <w:color w:val="000000" w:themeColor="text1"/>
                <w:lang w:val="es-ES"/>
              </w:rPr>
              <w:t>es</w:t>
            </w:r>
            <w:r w:rsidRPr="005D70A7">
              <w:rPr>
                <w:rFonts w:ascii="Verdana" w:hAnsi="Verdana" w:cs="Arial"/>
                <w:color w:val="000000" w:themeColor="text1"/>
                <w:lang w:val="es-ES"/>
              </w:rPr>
              <w:t xml:space="preserve"> que cumple funciones públicas</w:t>
            </w:r>
            <w:r>
              <w:rPr>
                <w:rFonts w:ascii="Verdana" w:hAnsi="Verdana" w:cs="Arial"/>
                <w:color w:val="000000" w:themeColor="text1"/>
                <w:lang w:val="es-ES"/>
              </w:rPr>
              <w:t xml:space="preserve"> se encuentra regulado en la actualidad tanto en el Código de Procedimiento Administrativo y de lo Contencioso Administrativo –Ley 1437 de 2011– como en el Código General Disciplinario –Ley 1952 de 2019–</w:t>
            </w:r>
            <w:r w:rsidRPr="00E67EB1">
              <w:rPr>
                <w:rFonts w:ascii="Verdana" w:hAnsi="Verdana" w:cs="Arial"/>
                <w:iCs/>
                <w:color w:val="000000" w:themeColor="text1"/>
              </w:rPr>
              <w:t>.</w:t>
            </w:r>
          </w:p>
          <w:p w14:paraId="48A40F0F" w14:textId="77777777" w:rsidR="00F82C1B" w:rsidRPr="00502997" w:rsidRDefault="00F82C1B" w:rsidP="008F2A11">
            <w:pPr>
              <w:tabs>
                <w:tab w:val="left" w:pos="426"/>
              </w:tabs>
              <w:spacing w:after="120" w:line="276" w:lineRule="auto"/>
              <w:ind w:firstLine="595"/>
              <w:jc w:val="both"/>
              <w:rPr>
                <w:rFonts w:ascii="Verdana" w:eastAsia="Calibri" w:hAnsi="Verdana" w:cs="Arial"/>
                <w:bCs/>
                <w:color w:val="000000" w:themeColor="text1"/>
                <w:lang w:val="es-ES_tradnl"/>
              </w:rPr>
            </w:pPr>
            <w:r>
              <w:rPr>
                <w:rFonts w:ascii="Verdana" w:eastAsia="Calibri" w:hAnsi="Verdana" w:cs="Arial"/>
                <w:bCs/>
                <w:iCs/>
                <w:color w:val="000000" w:themeColor="text1"/>
              </w:rPr>
              <w:t xml:space="preserve">De acuerdo con la explicación del presente oficio, prima la ley general posterior –artículo 2 de la Ley 153 de 1887– sobre la ley especial anterior –artículo 5.1 de la Ley 57 de 1887–. Aunque los términos para hacer efectiva la responsabilidad civil y disciplinaria fueron unificados a través de la Ley 446 de 1998 y la Ley 200 de 1995, la derogatoria posterior de estas últimas </w:t>
            </w:r>
            <w:r>
              <w:rPr>
                <w:rFonts w:ascii="Verdana" w:hAnsi="Verdana" w:cs="Arial"/>
                <w:iCs/>
                <w:color w:val="000000" w:themeColor="text1"/>
              </w:rPr>
              <w:t xml:space="preserve">no implica la </w:t>
            </w:r>
            <w:r w:rsidRPr="00CE481F">
              <w:rPr>
                <w:rFonts w:ascii="Verdana" w:hAnsi="Verdana" w:cs="Arial"/>
                <w:iCs/>
                <w:color w:val="000000" w:themeColor="text1"/>
              </w:rPr>
              <w:t>reviviscencia</w:t>
            </w:r>
            <w:r>
              <w:rPr>
                <w:rFonts w:ascii="Verdana" w:hAnsi="Verdana" w:cs="Arial"/>
                <w:iCs/>
                <w:color w:val="000000" w:themeColor="text1"/>
              </w:rPr>
              <w:t xml:space="preserve"> de los plazos previstos en el artículo 55 de la Ley 80 de 1993. Esto en la medida que artículo 14 de la Ley 153 de 1887 dispone que “</w:t>
            </w:r>
            <w:r w:rsidRPr="00CE481F">
              <w:rPr>
                <w:rFonts w:ascii="Verdana" w:hAnsi="Verdana" w:cs="Arial"/>
                <w:iCs/>
                <w:color w:val="000000" w:themeColor="text1"/>
              </w:rPr>
              <w:t xml:space="preserve">Una ley derogada no revivirá por solas las referencias que </w:t>
            </w:r>
            <w:r>
              <w:rPr>
                <w:rFonts w:ascii="Verdana" w:hAnsi="Verdana" w:cs="Arial"/>
                <w:iCs/>
                <w:color w:val="000000" w:themeColor="text1"/>
              </w:rPr>
              <w:t>a</w:t>
            </w:r>
            <w:r w:rsidRPr="00CE481F">
              <w:rPr>
                <w:rFonts w:ascii="Verdana" w:hAnsi="Verdana" w:cs="Arial"/>
                <w:iCs/>
                <w:color w:val="000000" w:themeColor="text1"/>
              </w:rPr>
              <w:t xml:space="preserve"> ella se hagan, ni por haber sido abolida la ley que la derogó. Una disposición derogada solo recobrará su fuerza en la forma en que aparezca reproducida en una ley nueva</w:t>
            </w:r>
            <w:r>
              <w:rPr>
                <w:rFonts w:ascii="Verdana" w:hAnsi="Verdana" w:cs="Arial"/>
                <w:iCs/>
                <w:color w:val="000000" w:themeColor="text1"/>
              </w:rPr>
              <w:t>”.</w:t>
            </w:r>
            <w:r>
              <w:rPr>
                <w:rFonts w:ascii="Verdana" w:eastAsia="Calibri" w:hAnsi="Verdana" w:cs="Arial"/>
                <w:bCs/>
                <w:iCs/>
                <w:color w:val="000000" w:themeColor="text1"/>
              </w:rPr>
              <w:t xml:space="preserve"> </w:t>
            </w:r>
          </w:p>
          <w:p w14:paraId="58E27E20" w14:textId="77777777" w:rsidR="00F82C1B" w:rsidRPr="001941FD" w:rsidRDefault="00F82C1B" w:rsidP="008F2A11">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48127A5" w14:textId="77777777" w:rsidR="00F82C1B" w:rsidRPr="00593A5F" w:rsidRDefault="00F82C1B" w:rsidP="00F82C1B">
      <w:pPr>
        <w:tabs>
          <w:tab w:val="left" w:pos="142"/>
          <w:tab w:val="left" w:pos="284"/>
        </w:tabs>
        <w:spacing w:after="0" w:line="276" w:lineRule="auto"/>
        <w:jc w:val="both"/>
        <w:rPr>
          <w:rFonts w:ascii="Verdana" w:eastAsia="Century Gothic" w:hAnsi="Verdana" w:cs="Century Gothic"/>
          <w:b/>
          <w:bCs/>
          <w:lang w:val="es-ES"/>
        </w:rPr>
      </w:pPr>
    </w:p>
    <w:bookmarkEnd w:id="1"/>
    <w:p w14:paraId="39DA92B9" w14:textId="77777777" w:rsidR="00F82C1B" w:rsidRPr="00593A5F" w:rsidRDefault="00F82C1B" w:rsidP="00F82C1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113B9C60" w14:textId="77777777" w:rsidR="00F82C1B" w:rsidRPr="00593A5F" w:rsidRDefault="00F82C1B" w:rsidP="00F82C1B">
      <w:pPr>
        <w:spacing w:after="0" w:line="276" w:lineRule="auto"/>
        <w:jc w:val="both"/>
        <w:rPr>
          <w:rFonts w:ascii="Verdana" w:eastAsia="Calibri" w:hAnsi="Verdana" w:cs="Arial"/>
          <w:color w:val="7030A0"/>
          <w:lang w:val="es-ES"/>
        </w:rPr>
      </w:pPr>
    </w:p>
    <w:p w14:paraId="36EAC832" w14:textId="77777777" w:rsidR="00F82C1B" w:rsidRDefault="00F82C1B" w:rsidP="00F82C1B">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680EFE47" w14:textId="77777777" w:rsidR="00F82C1B" w:rsidRPr="00415608" w:rsidRDefault="00F82C1B" w:rsidP="00F82C1B">
      <w:pPr>
        <w:spacing w:after="0" w:line="276" w:lineRule="auto"/>
        <w:jc w:val="both"/>
        <w:rPr>
          <w:rFonts w:ascii="Verdana" w:eastAsia="Calibri" w:hAnsi="Verdana" w:cs="Arial"/>
          <w:lang w:val="es-ES"/>
        </w:rPr>
      </w:pPr>
    </w:p>
    <w:p w14:paraId="223DDB03" w14:textId="77777777" w:rsidR="00F82C1B" w:rsidRDefault="00F82C1B" w:rsidP="00F82C1B">
      <w:pPr>
        <w:tabs>
          <w:tab w:val="left" w:pos="709"/>
        </w:tabs>
        <w:spacing w:after="180" w:line="276" w:lineRule="auto"/>
        <w:jc w:val="both"/>
        <w:rPr>
          <w:rFonts w:ascii="Verdana" w:hAnsi="Verdana" w:cs="Arial"/>
          <w:color w:val="000000" w:themeColor="text1"/>
          <w:lang w:val="es-ES"/>
        </w:rPr>
      </w:pPr>
      <w:r>
        <w:rPr>
          <w:rFonts w:ascii="Verdana" w:hAnsi="Verdana" w:cs="Arial"/>
          <w:color w:val="000000" w:themeColor="text1"/>
          <w:lang w:val="es-ES"/>
        </w:rPr>
        <w:lastRenderedPageBreak/>
        <w:t xml:space="preserve">El artículo 26 de la Ley 80 de 1993 regula el principio de responsabilidad en los contratos estatales regidos por el EGCAP. En concordancia, los artículos 50, 51, 52 y 53 </w:t>
      </w:r>
      <w:r w:rsidRPr="00966482">
        <w:rPr>
          <w:rFonts w:ascii="Verdana" w:hAnsi="Verdana" w:cs="Arial"/>
          <w:i/>
          <w:iCs/>
          <w:color w:val="000000" w:themeColor="text1"/>
          <w:lang w:val="es-ES"/>
        </w:rPr>
        <w:t>ibidem</w:t>
      </w:r>
      <w:r>
        <w:rPr>
          <w:rFonts w:ascii="Verdana" w:hAnsi="Verdana" w:cs="Arial"/>
          <w:color w:val="000000" w:themeColor="text1"/>
          <w:lang w:val="es-ES"/>
        </w:rPr>
        <w:t xml:space="preserve"> desarrollan la responsabilidad de las entidades estatales, servidores públicos, contratistas, así como de los consultores, interventores y asesores. Mientras la primera tiene </w:t>
      </w:r>
      <w:r w:rsidRPr="00DD6012">
        <w:rPr>
          <w:rFonts w:ascii="Verdana" w:hAnsi="Verdana" w:cs="Arial"/>
          <w:i/>
          <w:iCs/>
          <w:color w:val="000000" w:themeColor="text1"/>
          <w:lang w:val="es-ES"/>
        </w:rPr>
        <w:t>carácter institucional</w:t>
      </w:r>
      <w:r>
        <w:rPr>
          <w:rFonts w:ascii="Verdana" w:hAnsi="Verdana" w:cs="Arial"/>
          <w:color w:val="000000" w:themeColor="text1"/>
          <w:lang w:val="es-ES"/>
        </w:rPr>
        <w:t xml:space="preserve">, las tres (3) restantes tienen </w:t>
      </w:r>
      <w:r w:rsidRPr="00DD6012">
        <w:rPr>
          <w:rFonts w:ascii="Verdana" w:hAnsi="Verdana" w:cs="Arial"/>
          <w:i/>
          <w:iCs/>
          <w:color w:val="000000" w:themeColor="text1"/>
          <w:lang w:val="es-ES"/>
        </w:rPr>
        <w:t>carácter personal</w:t>
      </w:r>
      <w:r>
        <w:rPr>
          <w:rFonts w:ascii="Verdana" w:hAnsi="Verdana" w:cs="Arial"/>
          <w:color w:val="000000" w:themeColor="text1"/>
          <w:lang w:val="es-ES"/>
        </w:rPr>
        <w:t>. Es decir, aquella afecta al Estado como organización política; en contraste, las demás tienen por sujeto a los individuos que desarrollen alguno de los roles previamente citados.</w:t>
      </w:r>
    </w:p>
    <w:p w14:paraId="3A07C72D" w14:textId="77777777" w:rsidR="00F82C1B" w:rsidRDefault="00F82C1B" w:rsidP="00F82C1B">
      <w:pPr>
        <w:tabs>
          <w:tab w:val="left" w:pos="709"/>
        </w:tabs>
        <w:spacing w:after="180" w:line="276" w:lineRule="auto"/>
        <w:jc w:val="both"/>
        <w:rPr>
          <w:rFonts w:ascii="Verdana" w:hAnsi="Verdana" w:cs="Arial"/>
          <w:color w:val="000000" w:themeColor="text1"/>
          <w:lang w:val="es-ES"/>
        </w:rPr>
      </w:pPr>
      <w:r>
        <w:rPr>
          <w:rFonts w:ascii="Verdana" w:hAnsi="Verdana" w:cs="Arial"/>
          <w:color w:val="000000" w:themeColor="text1"/>
          <w:lang w:val="es-ES"/>
        </w:rPr>
        <w:tab/>
        <w:t>Sumada la garantía patrimonial contra daños antijurídicos del artículo 90 de la Constitución Política de 1991, sin perjuicio de la responsabilidad fiscal y penal, los servidores, contratistas, consultores, interventores y asesores son sujetos de responsabilidad civil y disciplinaria en los términos que dispongan para cada categoría los artículos 51, 52 y 53 de la Ley 80 de 1993. La r</w:t>
      </w:r>
      <w:r w:rsidRPr="00DC121A">
        <w:rPr>
          <w:rFonts w:ascii="Verdana" w:hAnsi="Verdana" w:cs="Arial"/>
          <w:i/>
          <w:iCs/>
          <w:color w:val="000000" w:themeColor="text1"/>
          <w:lang w:val="es-ES"/>
        </w:rPr>
        <w:t>esponsabilidad civil</w:t>
      </w:r>
      <w:r>
        <w:rPr>
          <w:rFonts w:ascii="Verdana" w:hAnsi="Verdana" w:cs="Arial"/>
          <w:color w:val="000000" w:themeColor="text1"/>
          <w:lang w:val="es-ES"/>
        </w:rPr>
        <w:t xml:space="preserve"> es </w:t>
      </w:r>
      <w:r w:rsidRPr="00DC121A">
        <w:rPr>
          <w:rFonts w:ascii="Verdana" w:hAnsi="Verdana" w:cs="Arial"/>
          <w:color w:val="000000" w:themeColor="text1"/>
          <w:lang w:val="es-ES"/>
        </w:rPr>
        <w:t xml:space="preserve">el efecto jurídico que surge cuando una persona, mediante una conducta </w:t>
      </w:r>
      <w:r>
        <w:rPr>
          <w:rFonts w:ascii="Verdana" w:hAnsi="Verdana" w:cs="Arial"/>
          <w:color w:val="000000" w:themeColor="text1"/>
          <w:lang w:val="es-ES"/>
        </w:rPr>
        <w:t>ilícita</w:t>
      </w:r>
      <w:r w:rsidRPr="00DC121A">
        <w:rPr>
          <w:rFonts w:ascii="Verdana" w:hAnsi="Verdana" w:cs="Arial"/>
          <w:color w:val="000000" w:themeColor="text1"/>
          <w:lang w:val="es-ES"/>
        </w:rPr>
        <w:t>, ocasiona un perjuicio a otra y, por ello, queda obligada a reparar los daños causados</w:t>
      </w:r>
      <w:r>
        <w:rPr>
          <w:rFonts w:ascii="Verdana" w:hAnsi="Verdana" w:cs="Arial"/>
          <w:color w:val="000000" w:themeColor="text1"/>
          <w:lang w:val="es-ES"/>
        </w:rPr>
        <w:t xml:space="preserve">: dicha conducta </w:t>
      </w:r>
      <w:r w:rsidRPr="00DC121A">
        <w:rPr>
          <w:rFonts w:ascii="Verdana" w:hAnsi="Verdana" w:cs="Arial"/>
          <w:color w:val="000000" w:themeColor="text1"/>
          <w:lang w:val="es-ES"/>
        </w:rPr>
        <w:t>puede derivarse del incumplimiento de obligaciones contractuales, legales o cuasicontractuales, así como de la comisión de un delito, un cuasidelito o de la infracción del deber general de actuar con diligencia y prudencia</w:t>
      </w:r>
      <w:r>
        <w:rPr>
          <w:rStyle w:val="Refdenotaalpie"/>
          <w:rFonts w:ascii="Verdana" w:hAnsi="Verdana" w:cs="Arial"/>
          <w:color w:val="000000" w:themeColor="text1"/>
          <w:lang w:val="es-ES"/>
        </w:rPr>
        <w:footnoteReference w:id="1"/>
      </w:r>
      <w:r w:rsidRPr="00DC121A">
        <w:rPr>
          <w:rFonts w:ascii="Verdana" w:hAnsi="Verdana" w:cs="Arial"/>
          <w:color w:val="000000" w:themeColor="text1"/>
          <w:lang w:val="es-ES"/>
        </w:rPr>
        <w:t>.</w:t>
      </w:r>
      <w:r>
        <w:rPr>
          <w:rFonts w:ascii="Verdana" w:hAnsi="Verdana" w:cs="Arial"/>
          <w:color w:val="000000" w:themeColor="text1"/>
          <w:lang w:val="es-ES"/>
        </w:rPr>
        <w:t xml:space="preserve"> Por su parte, la </w:t>
      </w:r>
      <w:r w:rsidRPr="005D70A7">
        <w:rPr>
          <w:rFonts w:ascii="Verdana" w:hAnsi="Verdana" w:cs="Arial"/>
          <w:i/>
          <w:iCs/>
          <w:color w:val="000000" w:themeColor="text1"/>
          <w:lang w:val="es-ES"/>
        </w:rPr>
        <w:t>responsabilidad disciplinaria</w:t>
      </w:r>
      <w:r w:rsidRPr="005D70A7">
        <w:rPr>
          <w:rFonts w:ascii="Verdana" w:hAnsi="Verdana" w:cs="Arial"/>
          <w:color w:val="000000" w:themeColor="text1"/>
          <w:lang w:val="es-ES"/>
        </w:rPr>
        <w:t xml:space="preserve"> </w:t>
      </w:r>
      <w:r>
        <w:rPr>
          <w:rFonts w:ascii="Verdana" w:hAnsi="Verdana" w:cs="Arial"/>
          <w:color w:val="000000" w:themeColor="text1"/>
          <w:lang w:val="es-ES"/>
        </w:rPr>
        <w:t>es resultado de la vulneración</w:t>
      </w:r>
      <w:r w:rsidRPr="005D70A7">
        <w:rPr>
          <w:rFonts w:ascii="Verdana" w:hAnsi="Verdana" w:cs="Arial"/>
          <w:color w:val="000000" w:themeColor="text1"/>
          <w:lang w:val="es-ES"/>
        </w:rPr>
        <w:t xml:space="preserve"> de normas positivas </w:t>
      </w:r>
      <w:r>
        <w:rPr>
          <w:rFonts w:ascii="Verdana" w:hAnsi="Verdana" w:cs="Arial"/>
          <w:color w:val="000000" w:themeColor="text1"/>
          <w:lang w:val="es-ES"/>
        </w:rPr>
        <w:t>que</w:t>
      </w:r>
      <w:r w:rsidRPr="005D70A7">
        <w:rPr>
          <w:rFonts w:ascii="Verdana" w:hAnsi="Verdana" w:cs="Arial"/>
          <w:color w:val="000000" w:themeColor="text1"/>
          <w:lang w:val="es-ES"/>
        </w:rPr>
        <w:t xml:space="preserve"> impli</w:t>
      </w:r>
      <w:r>
        <w:rPr>
          <w:rFonts w:ascii="Verdana" w:hAnsi="Verdana" w:cs="Arial"/>
          <w:color w:val="000000" w:themeColor="text1"/>
          <w:lang w:val="es-ES"/>
        </w:rPr>
        <w:t>can</w:t>
      </w:r>
      <w:r w:rsidRPr="005D70A7">
        <w:rPr>
          <w:rFonts w:ascii="Verdana" w:hAnsi="Verdana" w:cs="Arial"/>
          <w:color w:val="000000" w:themeColor="text1"/>
          <w:lang w:val="es-ES"/>
        </w:rPr>
        <w:t xml:space="preserve"> el </w:t>
      </w:r>
      <w:r>
        <w:rPr>
          <w:rFonts w:ascii="Verdana" w:hAnsi="Verdana" w:cs="Arial"/>
          <w:color w:val="000000" w:themeColor="text1"/>
          <w:lang w:val="es-ES"/>
        </w:rPr>
        <w:t xml:space="preserve">incumplimiento </w:t>
      </w:r>
      <w:r w:rsidRPr="005D70A7">
        <w:rPr>
          <w:rFonts w:ascii="Verdana" w:hAnsi="Verdana" w:cs="Arial"/>
          <w:color w:val="000000" w:themeColor="text1"/>
          <w:lang w:val="es-ES"/>
        </w:rPr>
        <w:t>de</w:t>
      </w:r>
      <w:r>
        <w:rPr>
          <w:rFonts w:ascii="Verdana" w:hAnsi="Verdana" w:cs="Arial"/>
          <w:color w:val="000000" w:themeColor="text1"/>
          <w:lang w:val="es-ES"/>
        </w:rPr>
        <w:t xml:space="preserve"> </w:t>
      </w:r>
      <w:r w:rsidRPr="005D70A7">
        <w:rPr>
          <w:rFonts w:ascii="Verdana" w:hAnsi="Verdana" w:cs="Arial"/>
          <w:color w:val="000000" w:themeColor="text1"/>
          <w:lang w:val="es-ES"/>
        </w:rPr>
        <w:t>l</w:t>
      </w:r>
      <w:r>
        <w:rPr>
          <w:rFonts w:ascii="Verdana" w:hAnsi="Verdana" w:cs="Arial"/>
          <w:color w:val="000000" w:themeColor="text1"/>
          <w:lang w:val="es-ES"/>
        </w:rPr>
        <w:t>os</w:t>
      </w:r>
      <w:r w:rsidRPr="005D70A7">
        <w:rPr>
          <w:rFonts w:ascii="Verdana" w:hAnsi="Verdana" w:cs="Arial"/>
          <w:color w:val="000000" w:themeColor="text1"/>
          <w:lang w:val="es-ES"/>
        </w:rPr>
        <w:t xml:space="preserve"> deber</w:t>
      </w:r>
      <w:r>
        <w:rPr>
          <w:rFonts w:ascii="Verdana" w:hAnsi="Verdana" w:cs="Arial"/>
          <w:color w:val="000000" w:themeColor="text1"/>
          <w:lang w:val="es-ES"/>
        </w:rPr>
        <w:t>es</w:t>
      </w:r>
      <w:r w:rsidRPr="005D70A7">
        <w:rPr>
          <w:rFonts w:ascii="Verdana" w:hAnsi="Verdana" w:cs="Arial"/>
          <w:color w:val="000000" w:themeColor="text1"/>
          <w:lang w:val="es-ES"/>
        </w:rPr>
        <w:t xml:space="preserve"> funcional</w:t>
      </w:r>
      <w:r>
        <w:rPr>
          <w:rFonts w:ascii="Verdana" w:hAnsi="Verdana" w:cs="Arial"/>
          <w:color w:val="000000" w:themeColor="text1"/>
          <w:lang w:val="es-ES"/>
        </w:rPr>
        <w:t>es de los</w:t>
      </w:r>
      <w:r w:rsidRPr="005D70A7">
        <w:rPr>
          <w:rFonts w:ascii="Verdana" w:hAnsi="Verdana" w:cs="Arial"/>
          <w:color w:val="000000" w:themeColor="text1"/>
          <w:lang w:val="es-ES"/>
        </w:rPr>
        <w:t xml:space="preserve"> servidor</w:t>
      </w:r>
      <w:r>
        <w:rPr>
          <w:rFonts w:ascii="Verdana" w:hAnsi="Verdana" w:cs="Arial"/>
          <w:color w:val="000000" w:themeColor="text1"/>
          <w:lang w:val="es-ES"/>
        </w:rPr>
        <w:t>es</w:t>
      </w:r>
      <w:r w:rsidRPr="005D70A7">
        <w:rPr>
          <w:rFonts w:ascii="Verdana" w:hAnsi="Verdana" w:cs="Arial"/>
          <w:color w:val="000000" w:themeColor="text1"/>
          <w:lang w:val="es-ES"/>
        </w:rPr>
        <w:t xml:space="preserve"> público</w:t>
      </w:r>
      <w:r>
        <w:rPr>
          <w:rFonts w:ascii="Verdana" w:hAnsi="Verdana" w:cs="Arial"/>
          <w:color w:val="000000" w:themeColor="text1"/>
          <w:lang w:val="es-ES"/>
        </w:rPr>
        <w:t>s</w:t>
      </w:r>
      <w:r w:rsidRPr="005D70A7">
        <w:rPr>
          <w:rFonts w:ascii="Verdana" w:hAnsi="Verdana" w:cs="Arial"/>
          <w:color w:val="000000" w:themeColor="text1"/>
          <w:lang w:val="es-ES"/>
        </w:rPr>
        <w:t xml:space="preserve"> o </w:t>
      </w:r>
      <w:r>
        <w:rPr>
          <w:rFonts w:ascii="Verdana" w:hAnsi="Verdana" w:cs="Arial"/>
          <w:color w:val="000000" w:themeColor="text1"/>
          <w:lang w:val="es-ES"/>
        </w:rPr>
        <w:t>de los</w:t>
      </w:r>
      <w:r w:rsidRPr="005D70A7">
        <w:rPr>
          <w:rFonts w:ascii="Verdana" w:hAnsi="Verdana" w:cs="Arial"/>
          <w:color w:val="000000" w:themeColor="text1"/>
          <w:lang w:val="es-ES"/>
        </w:rPr>
        <w:t xml:space="preserve"> particular</w:t>
      </w:r>
      <w:r>
        <w:rPr>
          <w:rFonts w:ascii="Verdana" w:hAnsi="Verdana" w:cs="Arial"/>
          <w:color w:val="000000" w:themeColor="text1"/>
          <w:lang w:val="es-ES"/>
        </w:rPr>
        <w:t>es</w:t>
      </w:r>
      <w:r w:rsidRPr="005D70A7">
        <w:rPr>
          <w:rFonts w:ascii="Verdana" w:hAnsi="Verdana" w:cs="Arial"/>
          <w:color w:val="000000" w:themeColor="text1"/>
          <w:lang w:val="es-ES"/>
        </w:rPr>
        <w:t xml:space="preserve"> que cumple funciones públicas</w:t>
      </w:r>
      <w:r>
        <w:rPr>
          <w:rStyle w:val="Refdenotaalpie"/>
          <w:rFonts w:ascii="Verdana" w:hAnsi="Verdana" w:cs="Arial"/>
          <w:color w:val="000000" w:themeColor="text1"/>
          <w:lang w:val="es-ES"/>
        </w:rPr>
        <w:footnoteReference w:id="2"/>
      </w:r>
      <w:r>
        <w:rPr>
          <w:rFonts w:ascii="Verdana" w:hAnsi="Verdana" w:cs="Arial"/>
          <w:color w:val="000000" w:themeColor="text1"/>
          <w:lang w:val="es-ES"/>
        </w:rPr>
        <w:t>.</w:t>
      </w:r>
    </w:p>
    <w:p w14:paraId="5770CEF4"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hAnsi="Verdana" w:cs="Arial"/>
          <w:color w:val="000000" w:themeColor="text1"/>
          <w:lang w:val="es-ES"/>
        </w:rPr>
        <w:tab/>
        <w:t>Para estas responsabilidades, el artículo 55 de la Ley 80 de 1993 disponía que “</w:t>
      </w:r>
      <w:r w:rsidRPr="00D33406">
        <w:rPr>
          <w:rFonts w:ascii="Verdana" w:hAnsi="Verdana" w:cs="Arial"/>
          <w:color w:val="000000" w:themeColor="text1"/>
          <w:lang w:val="es-ES"/>
        </w:rPr>
        <w:t xml:space="preserve">La acción civil derivada de las acciones y omisiones a que se refieren los artículos 50, 51, 52 y 53 de esta ley prescribirá en el término de veinte (20) años, contados a partir de la ocurrencia de </w:t>
      </w:r>
      <w:proofErr w:type="gramStart"/>
      <w:r w:rsidRPr="00D33406">
        <w:rPr>
          <w:rFonts w:ascii="Verdana" w:hAnsi="Verdana" w:cs="Arial"/>
          <w:color w:val="000000" w:themeColor="text1"/>
          <w:lang w:val="es-ES"/>
        </w:rPr>
        <w:t>los mismos</w:t>
      </w:r>
      <w:proofErr w:type="gramEnd"/>
      <w:r w:rsidRPr="00D33406">
        <w:rPr>
          <w:rFonts w:ascii="Verdana" w:hAnsi="Verdana" w:cs="Arial"/>
          <w:color w:val="000000" w:themeColor="text1"/>
          <w:lang w:val="es-ES"/>
        </w:rPr>
        <w:t>. La acción disciplinaria prescribirá en diez (10) años</w:t>
      </w:r>
      <w:r>
        <w:rPr>
          <w:rFonts w:ascii="Verdana" w:hAnsi="Verdana" w:cs="Arial"/>
          <w:color w:val="000000" w:themeColor="text1"/>
          <w:lang w:val="es-ES"/>
        </w:rPr>
        <w:t xml:space="preserve"> […]”</w:t>
      </w:r>
      <w:r w:rsidRPr="00D33406">
        <w:rPr>
          <w:rFonts w:ascii="Verdana" w:hAnsi="Verdana" w:cs="Arial"/>
          <w:color w:val="000000" w:themeColor="text1"/>
          <w:lang w:val="es-ES"/>
        </w:rPr>
        <w:t>.</w:t>
      </w:r>
      <w:r>
        <w:rPr>
          <w:rFonts w:ascii="Verdana" w:hAnsi="Verdana" w:cs="Arial"/>
          <w:color w:val="000000" w:themeColor="text1"/>
          <w:lang w:val="es-ES"/>
        </w:rPr>
        <w:t xml:space="preserve"> Lo anterior era desarrollo de </w:t>
      </w:r>
      <w:r w:rsidRPr="00E560BD">
        <w:rPr>
          <w:rFonts w:ascii="Verdana" w:hAnsi="Verdana" w:cs="Arial"/>
          <w:iCs/>
          <w:color w:val="000000" w:themeColor="text1"/>
        </w:rPr>
        <w:t xml:space="preserve">la Constitución </w:t>
      </w:r>
      <w:r w:rsidRPr="00E560BD">
        <w:rPr>
          <w:rFonts w:ascii="Verdana" w:hAnsi="Verdana" w:cs="Arial"/>
          <w:iCs/>
          <w:color w:val="000000" w:themeColor="text1"/>
        </w:rPr>
        <w:lastRenderedPageBreak/>
        <w:t>Política</w:t>
      </w:r>
      <w:r>
        <w:rPr>
          <w:rFonts w:ascii="Verdana" w:hAnsi="Verdana" w:cs="Arial"/>
          <w:iCs/>
          <w:color w:val="000000" w:themeColor="text1"/>
        </w:rPr>
        <w:t>, la cual</w:t>
      </w:r>
      <w:r w:rsidRPr="00E560BD">
        <w:rPr>
          <w:rFonts w:ascii="Verdana" w:hAnsi="Verdana" w:cs="Arial"/>
          <w:iCs/>
          <w:color w:val="000000" w:themeColor="text1"/>
        </w:rPr>
        <w:t xml:space="preserve"> prohíbe la existencia de penas y medidas de seguridad imprescriptibles y también consagra el derecho a un debido proceso público sin dilaciones injustificadas –art. 28, inciso final, y artículo 29, inciso tercero, respectivamente–</w:t>
      </w:r>
      <w:r>
        <w:rPr>
          <w:rFonts w:ascii="Verdana" w:hAnsi="Verdana" w:cs="Arial"/>
          <w:iCs/>
          <w:color w:val="000000" w:themeColor="text1"/>
        </w:rPr>
        <w:t>.</w:t>
      </w:r>
    </w:p>
    <w:p w14:paraId="1DC05D08"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hAnsi="Verdana" w:cs="Arial"/>
          <w:iCs/>
          <w:color w:val="000000" w:themeColor="text1"/>
        </w:rPr>
        <w:tab/>
        <w:t>Para 1993, año de expedición de EGCAP, el inciso primero del artículo 2536 del Código Civil disponía que la prescripción de las acciones ordinarias era de veinte (20) años. Posteriormente, de acuerdo con el artículo 8 de la Ley 791 de 2002, ésta se redujo a diez (10) años. Asimismo, a través Ley 200 de 1995, se adoptó el primer Código Disciplinario Único, de manera que el inciso primero y el parágrafo segundo del artículo 34 establecían lo siguiente: “</w:t>
      </w:r>
      <w:r w:rsidRPr="00D142B5">
        <w:rPr>
          <w:rFonts w:ascii="Verdana" w:hAnsi="Verdana" w:cs="Arial"/>
          <w:iCs/>
          <w:color w:val="000000" w:themeColor="text1"/>
        </w:rPr>
        <w:t>La acción disciplinaria prescribe en el término de cinco (5) años. La prescripción de la acción empezará a contarse para las faltas instantáneas desde el día de la consumación y desde la realización del último acto, en las de carácter permanente o continuado</w:t>
      </w:r>
      <w:r>
        <w:rPr>
          <w:rFonts w:ascii="Verdana" w:hAnsi="Verdana" w:cs="Arial"/>
          <w:iCs/>
          <w:color w:val="000000" w:themeColor="text1"/>
        </w:rPr>
        <w:t>” y que “</w:t>
      </w:r>
      <w:r w:rsidRPr="00D142B5">
        <w:rPr>
          <w:rFonts w:ascii="Verdana" w:hAnsi="Verdana" w:cs="Arial"/>
          <w:iCs/>
          <w:color w:val="000000" w:themeColor="text1"/>
        </w:rPr>
        <w:t>La ejecución de la sanción disciplinaria prescribe en un término de dos (2) años, contados a partir de la ejecutoria del fallo</w:t>
      </w:r>
      <w:r>
        <w:rPr>
          <w:rFonts w:ascii="Verdana" w:hAnsi="Verdana" w:cs="Arial"/>
          <w:iCs/>
          <w:color w:val="000000" w:themeColor="text1"/>
        </w:rPr>
        <w:t>”</w:t>
      </w:r>
      <w:r w:rsidRPr="00D142B5">
        <w:rPr>
          <w:rFonts w:ascii="Verdana" w:hAnsi="Verdana" w:cs="Arial"/>
          <w:iCs/>
          <w:color w:val="000000" w:themeColor="text1"/>
        </w:rPr>
        <w:t>.</w:t>
      </w:r>
      <w:r>
        <w:rPr>
          <w:rFonts w:ascii="Verdana" w:hAnsi="Verdana" w:cs="Arial"/>
          <w:iCs/>
          <w:color w:val="000000" w:themeColor="text1"/>
        </w:rPr>
        <w:t xml:space="preserve"> Dentro de este marco, es necesario determinar si normas posteriores modificaron los plazos de prescripción de la responsabilidad civil y disciplinaria previstos en el artículo 55 de la Ley 80 de 1993.</w:t>
      </w:r>
    </w:p>
    <w:p w14:paraId="77BDAF14" w14:textId="77777777" w:rsidR="00F82C1B" w:rsidRDefault="00F82C1B" w:rsidP="00F82C1B">
      <w:pPr>
        <w:tabs>
          <w:tab w:val="left" w:pos="709"/>
        </w:tabs>
        <w:spacing w:after="0" w:line="276" w:lineRule="auto"/>
        <w:jc w:val="both"/>
        <w:rPr>
          <w:rFonts w:ascii="Verdana" w:hAnsi="Verdana" w:cs="Arial"/>
          <w:iCs/>
          <w:color w:val="000000" w:themeColor="text1"/>
        </w:rPr>
      </w:pPr>
      <w:r>
        <w:rPr>
          <w:rFonts w:ascii="Verdana" w:hAnsi="Verdana" w:cs="Arial"/>
          <w:iCs/>
          <w:color w:val="000000" w:themeColor="text1"/>
        </w:rPr>
        <w:tab/>
        <w:t xml:space="preserve">Para la Agencia, la respuesta es positiva en ambos casos. Respecto a la </w:t>
      </w:r>
      <w:r w:rsidRPr="00E64DB1">
        <w:rPr>
          <w:rFonts w:ascii="Verdana" w:hAnsi="Verdana" w:cs="Arial"/>
          <w:i/>
          <w:color w:val="000000" w:themeColor="text1"/>
        </w:rPr>
        <w:t>responsabilidad civil</w:t>
      </w:r>
      <w:r>
        <w:rPr>
          <w:rFonts w:ascii="Verdana" w:hAnsi="Verdana" w:cs="Arial"/>
          <w:iCs/>
          <w:color w:val="000000" w:themeColor="text1"/>
        </w:rPr>
        <w:t>, podría pensarse que la regulación inicial del plazo de veinte (20) años fue reducida diez (10) con la modificación de la Ley 791 de 2002. Sin embargo, como explica la jurisprudencia, es necesario tener en cuenta que el artículo 136 del Decreto Ley 01 de 1984 fue modificado por el artículo 44 de la Ley 446 de 1998; razón por la cual, esta última norma unificó los términos para demandar en materia de lo contencioso administrativo:</w:t>
      </w:r>
    </w:p>
    <w:p w14:paraId="42F294CA" w14:textId="77777777" w:rsidR="00F82C1B" w:rsidRDefault="00F82C1B" w:rsidP="00F82C1B">
      <w:pPr>
        <w:tabs>
          <w:tab w:val="left" w:pos="709"/>
        </w:tabs>
        <w:spacing w:after="0" w:line="276" w:lineRule="auto"/>
        <w:jc w:val="both"/>
        <w:rPr>
          <w:rFonts w:ascii="Verdana" w:hAnsi="Verdana" w:cs="Arial"/>
          <w:iCs/>
          <w:color w:val="000000" w:themeColor="text1"/>
        </w:rPr>
      </w:pPr>
    </w:p>
    <w:p w14:paraId="6F42F341" w14:textId="77777777" w:rsidR="00F82C1B" w:rsidRPr="00526D89" w:rsidRDefault="00F82C1B" w:rsidP="00F82C1B">
      <w:pPr>
        <w:tabs>
          <w:tab w:val="left" w:pos="709"/>
        </w:tabs>
        <w:spacing w:after="0" w:line="240" w:lineRule="auto"/>
        <w:ind w:left="709" w:right="709"/>
        <w:jc w:val="both"/>
        <w:rPr>
          <w:rFonts w:ascii="Verdana" w:hAnsi="Verdana" w:cs="Arial"/>
          <w:iCs/>
          <w:color w:val="000000" w:themeColor="text1"/>
          <w:sz w:val="20"/>
          <w:szCs w:val="20"/>
        </w:rPr>
      </w:pPr>
      <w:r w:rsidRPr="00526D89">
        <w:rPr>
          <w:rFonts w:ascii="Verdana" w:hAnsi="Verdana" w:cs="Arial"/>
          <w:iCs/>
          <w:color w:val="000000" w:themeColor="text1"/>
          <w:sz w:val="20"/>
          <w:szCs w:val="20"/>
        </w:rPr>
        <w:t xml:space="preserve">“[…] con la entrada en vigencia del decreto ley 2304 de 1989, que reformó el decreto ley 01 de 1984 (C. C. A), el término de caducidad mencionado el decreto lo mantuvo en los dos años dispuestos por el decreto ley 01 de 1984, ‘de ocurridos los motivos de hecho o de derecho que le sirvan de fundamento’ (art. 23 que modificó art. 136 C.C.A.). Posteriormente la ley 80 de 1993 modificó el plazo legal de dos años, que estaba previsto en el artículo 136 numeral 6 del C. C. A, para promover la acción de controversias contractuales sólo respecto de las omisiones de los contratantes y de las conductas antijurídicas de éstas. En efecto, el legislador amplió el término de prescripción de la acción a veinte años para los eventos de las conductas antijurídicas contractuales. De esta manera Administración y contratista, bajo la vigencia de esa norma, podían </w:t>
      </w:r>
      <w:r w:rsidRPr="00526D89">
        <w:rPr>
          <w:rFonts w:ascii="Verdana" w:hAnsi="Verdana" w:cs="Arial"/>
          <w:iCs/>
          <w:color w:val="000000" w:themeColor="text1"/>
          <w:sz w:val="20"/>
          <w:szCs w:val="20"/>
        </w:rPr>
        <w:lastRenderedPageBreak/>
        <w:t xml:space="preserve">perseguirse judicialmente dentro de un término de veinte años, cuando sus conductas (activas u omisivas) eran antijurídicas, etc. (consultores, servidores públicos </w:t>
      </w:r>
      <w:proofErr w:type="spellStart"/>
      <w:r w:rsidRPr="00526D89">
        <w:rPr>
          <w:rFonts w:ascii="Verdana" w:hAnsi="Verdana" w:cs="Arial"/>
          <w:iCs/>
          <w:color w:val="000000" w:themeColor="text1"/>
          <w:sz w:val="20"/>
          <w:szCs w:val="20"/>
        </w:rPr>
        <w:t>etc</w:t>
      </w:r>
      <w:proofErr w:type="spellEnd"/>
      <w:r w:rsidRPr="00526D89">
        <w:rPr>
          <w:rFonts w:ascii="Verdana" w:hAnsi="Verdana" w:cs="Arial"/>
          <w:iCs/>
          <w:color w:val="000000" w:themeColor="text1"/>
          <w:sz w:val="20"/>
          <w:szCs w:val="20"/>
        </w:rPr>
        <w:t>). Sin embargo el cuestionamiento judicial de la validez de los actos jurídicos contractuales, que se presumen válidos (contrato, actos bilaterales, actos unilaterales de la administración y del particular) y de otras conductas jurídicas (hecho del príncipe) no imputables a las partes cocontratantes (hechos imprevisibles), debían hacerse dentro del término original de caducidad de dos años (art. 136 inc. 6o. C. C. A). Posteriormente la ley 446 de 1998 unificó en dos años, por regla general, el término de caducidad de las acciones contractuales”</w:t>
      </w:r>
      <w:r w:rsidRPr="00526D89">
        <w:rPr>
          <w:rStyle w:val="Refdenotaalpie"/>
          <w:rFonts w:ascii="Verdana" w:hAnsi="Verdana" w:cs="Arial"/>
          <w:iCs/>
          <w:color w:val="000000" w:themeColor="text1"/>
          <w:sz w:val="20"/>
          <w:szCs w:val="20"/>
        </w:rPr>
        <w:footnoteReference w:id="3"/>
      </w:r>
      <w:r w:rsidRPr="00526D89">
        <w:rPr>
          <w:rFonts w:ascii="Verdana" w:hAnsi="Verdana" w:cs="Arial"/>
          <w:iCs/>
          <w:color w:val="000000" w:themeColor="text1"/>
          <w:sz w:val="20"/>
          <w:szCs w:val="20"/>
        </w:rPr>
        <w:t>.</w:t>
      </w:r>
    </w:p>
    <w:p w14:paraId="767AF7B3" w14:textId="77777777" w:rsidR="00F82C1B" w:rsidRDefault="00F82C1B" w:rsidP="00F82C1B">
      <w:pPr>
        <w:tabs>
          <w:tab w:val="left" w:pos="709"/>
        </w:tabs>
        <w:spacing w:after="0" w:line="276" w:lineRule="auto"/>
        <w:jc w:val="both"/>
        <w:rPr>
          <w:rFonts w:ascii="Verdana" w:hAnsi="Verdana" w:cs="Arial"/>
          <w:iCs/>
          <w:color w:val="000000" w:themeColor="text1"/>
        </w:rPr>
      </w:pPr>
    </w:p>
    <w:p w14:paraId="667D8E3A"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hAnsi="Verdana" w:cs="Arial"/>
          <w:iCs/>
          <w:color w:val="000000" w:themeColor="text1"/>
        </w:rPr>
        <w:tab/>
        <w:t xml:space="preserve">Aunque el artículo 55 de la Ley 80 de 1993 se refiere a la </w:t>
      </w:r>
      <w:r w:rsidRPr="00526D89">
        <w:rPr>
          <w:rFonts w:ascii="Verdana" w:hAnsi="Verdana" w:cs="Arial"/>
          <w:i/>
          <w:color w:val="000000" w:themeColor="text1"/>
        </w:rPr>
        <w:t>prescripción</w:t>
      </w:r>
      <w:r>
        <w:rPr>
          <w:rFonts w:ascii="Verdana" w:hAnsi="Verdana" w:cs="Arial"/>
          <w:iCs/>
          <w:color w:val="000000" w:themeColor="text1"/>
        </w:rPr>
        <w:t xml:space="preserve"> de las acciones, el Consejo de Estado </w:t>
      </w:r>
      <w:r w:rsidRPr="00526D89">
        <w:rPr>
          <w:rFonts w:ascii="Verdana" w:hAnsi="Verdana" w:cs="Arial"/>
          <w:iCs/>
          <w:color w:val="000000" w:themeColor="text1"/>
        </w:rPr>
        <w:t xml:space="preserve">entendió que la misma regulaba </w:t>
      </w:r>
      <w:r>
        <w:rPr>
          <w:rFonts w:ascii="Verdana" w:hAnsi="Verdana" w:cs="Arial"/>
          <w:iCs/>
          <w:color w:val="000000" w:themeColor="text1"/>
        </w:rPr>
        <w:t xml:space="preserve">la </w:t>
      </w:r>
      <w:r w:rsidRPr="00526D89">
        <w:rPr>
          <w:rFonts w:ascii="Verdana" w:hAnsi="Verdana" w:cs="Arial"/>
          <w:i/>
          <w:color w:val="000000" w:themeColor="text1"/>
        </w:rPr>
        <w:t>caducidad</w:t>
      </w:r>
      <w:r w:rsidRPr="00526D89">
        <w:rPr>
          <w:rFonts w:ascii="Verdana" w:hAnsi="Verdana" w:cs="Arial"/>
          <w:iCs/>
          <w:color w:val="000000" w:themeColor="text1"/>
        </w:rPr>
        <w:t xml:space="preserve"> para los eventos de conductas contractuales antijurídicas</w:t>
      </w:r>
      <w:r>
        <w:rPr>
          <w:rFonts w:ascii="Verdana" w:hAnsi="Verdana" w:cs="Arial"/>
          <w:iCs/>
          <w:color w:val="000000" w:themeColor="text1"/>
        </w:rPr>
        <w:t>. Esta asimilación también se justifica doctrinalmente, pues ambos conceptos</w:t>
      </w:r>
      <w:r w:rsidRPr="00A06A1F">
        <w:rPr>
          <w:rFonts w:ascii="Verdana" w:hAnsi="Verdana" w:cs="Arial"/>
          <w:iCs/>
          <w:color w:val="000000" w:themeColor="text1"/>
        </w:rPr>
        <w:t xml:space="preserve"> </w:t>
      </w:r>
      <w:r>
        <w:rPr>
          <w:rFonts w:ascii="Verdana" w:hAnsi="Verdana" w:cs="Arial"/>
          <w:iCs/>
          <w:color w:val="000000" w:themeColor="text1"/>
        </w:rPr>
        <w:t xml:space="preserve">“[…] </w:t>
      </w:r>
      <w:r w:rsidRPr="00A06A1F">
        <w:rPr>
          <w:rFonts w:ascii="Verdana" w:hAnsi="Verdana" w:cs="Arial"/>
          <w:iCs/>
          <w:color w:val="000000" w:themeColor="text1"/>
        </w:rPr>
        <w:t>coinciden</w:t>
      </w:r>
      <w:r>
        <w:rPr>
          <w:rFonts w:ascii="Verdana" w:hAnsi="Verdana" w:cs="Arial"/>
          <w:iCs/>
          <w:color w:val="000000" w:themeColor="text1"/>
        </w:rPr>
        <w:t xml:space="preserve"> </w:t>
      </w:r>
      <w:r w:rsidRPr="00A06A1F">
        <w:rPr>
          <w:rFonts w:ascii="Verdana" w:hAnsi="Verdana" w:cs="Arial"/>
          <w:iCs/>
          <w:color w:val="000000" w:themeColor="text1"/>
        </w:rPr>
        <w:t>en el resultado final de extinción de un derecho, poder, facultad, por la</w:t>
      </w:r>
      <w:r>
        <w:rPr>
          <w:rFonts w:ascii="Verdana" w:hAnsi="Verdana" w:cs="Arial"/>
          <w:iCs/>
          <w:color w:val="000000" w:themeColor="text1"/>
        </w:rPr>
        <w:t xml:space="preserve"> </w:t>
      </w:r>
      <w:r w:rsidRPr="00A06A1F">
        <w:rPr>
          <w:rFonts w:ascii="Verdana" w:hAnsi="Verdana" w:cs="Arial"/>
          <w:iCs/>
          <w:color w:val="000000" w:themeColor="text1"/>
        </w:rPr>
        <w:t>omisión de su ejercicio durante cierto tiempo, sola o acompañada de una</w:t>
      </w:r>
      <w:r>
        <w:rPr>
          <w:rFonts w:ascii="Verdana" w:hAnsi="Verdana" w:cs="Arial"/>
          <w:iCs/>
          <w:color w:val="000000" w:themeColor="text1"/>
        </w:rPr>
        <w:t xml:space="preserve"> </w:t>
      </w:r>
      <w:r w:rsidRPr="00A06A1F">
        <w:rPr>
          <w:rFonts w:ascii="Verdana" w:hAnsi="Verdana" w:cs="Arial"/>
          <w:iCs/>
          <w:color w:val="000000" w:themeColor="text1"/>
        </w:rPr>
        <w:t xml:space="preserve">gestión del beneficiario de sus efectos. Es decir, </w:t>
      </w:r>
      <w:r>
        <w:rPr>
          <w:rFonts w:ascii="Verdana" w:hAnsi="Verdana" w:cs="Arial"/>
          <w:iCs/>
          <w:color w:val="000000" w:themeColor="text1"/>
        </w:rPr>
        <w:t>[…]</w:t>
      </w:r>
      <w:r w:rsidRPr="00A06A1F">
        <w:rPr>
          <w:rFonts w:ascii="Verdana" w:hAnsi="Verdana" w:cs="Arial"/>
          <w:iCs/>
          <w:color w:val="000000" w:themeColor="text1"/>
        </w:rPr>
        <w:t xml:space="preserve"> el paso del</w:t>
      </w:r>
      <w:r>
        <w:rPr>
          <w:rFonts w:ascii="Verdana" w:hAnsi="Verdana" w:cs="Arial"/>
          <w:iCs/>
          <w:color w:val="000000" w:themeColor="text1"/>
        </w:rPr>
        <w:t xml:space="preserve"> </w:t>
      </w:r>
      <w:r w:rsidRPr="00A06A1F">
        <w:rPr>
          <w:rFonts w:ascii="Verdana" w:hAnsi="Verdana" w:cs="Arial"/>
          <w:iCs/>
          <w:color w:val="000000" w:themeColor="text1"/>
        </w:rPr>
        <w:t>tiempo opera en contra del titular que no acciona. Sobre él pesa una carga,</w:t>
      </w:r>
      <w:r>
        <w:rPr>
          <w:rFonts w:ascii="Verdana" w:hAnsi="Verdana" w:cs="Arial"/>
          <w:iCs/>
          <w:color w:val="000000" w:themeColor="text1"/>
        </w:rPr>
        <w:t xml:space="preserve"> </w:t>
      </w:r>
      <w:r w:rsidRPr="00A06A1F">
        <w:rPr>
          <w:rFonts w:ascii="Verdana" w:hAnsi="Verdana" w:cs="Arial"/>
          <w:iCs/>
          <w:color w:val="000000" w:themeColor="text1"/>
        </w:rPr>
        <w:t>con la nota de que la omisión del acto necesario congruo acarrea ese efecto</w:t>
      </w:r>
      <w:r>
        <w:rPr>
          <w:rFonts w:ascii="Verdana" w:hAnsi="Verdana" w:cs="Arial"/>
          <w:iCs/>
          <w:color w:val="000000" w:themeColor="text1"/>
        </w:rPr>
        <w:t xml:space="preserve"> </w:t>
      </w:r>
      <w:r w:rsidRPr="00A06A1F">
        <w:rPr>
          <w:rFonts w:ascii="Verdana" w:hAnsi="Verdana" w:cs="Arial"/>
          <w:iCs/>
          <w:color w:val="000000" w:themeColor="text1"/>
        </w:rPr>
        <w:t>ablativo</w:t>
      </w:r>
      <w:r>
        <w:rPr>
          <w:rFonts w:ascii="Verdana" w:hAnsi="Verdana" w:cs="Arial"/>
          <w:iCs/>
          <w:color w:val="000000" w:themeColor="text1"/>
        </w:rPr>
        <w:t xml:space="preserve"> […]”</w:t>
      </w:r>
      <w:r>
        <w:rPr>
          <w:rStyle w:val="Refdenotaalpie"/>
          <w:rFonts w:ascii="Verdana" w:hAnsi="Verdana" w:cs="Arial"/>
          <w:iCs/>
          <w:color w:val="000000" w:themeColor="text1"/>
        </w:rPr>
        <w:footnoteReference w:id="4"/>
      </w:r>
      <w:r>
        <w:rPr>
          <w:rFonts w:ascii="Verdana" w:hAnsi="Verdana" w:cs="Arial"/>
          <w:iCs/>
          <w:color w:val="000000" w:themeColor="text1"/>
        </w:rPr>
        <w:t>.</w:t>
      </w:r>
    </w:p>
    <w:p w14:paraId="79C63F2D"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hAnsi="Verdana" w:cs="Arial"/>
          <w:iCs/>
          <w:color w:val="000000" w:themeColor="text1"/>
        </w:rPr>
        <w:tab/>
        <w:t xml:space="preserve">Por otra parte, respecto a la </w:t>
      </w:r>
      <w:r w:rsidRPr="00741B6A">
        <w:rPr>
          <w:rFonts w:ascii="Verdana" w:hAnsi="Verdana" w:cs="Arial"/>
          <w:i/>
          <w:color w:val="000000" w:themeColor="text1"/>
        </w:rPr>
        <w:t>responsabilidad disciplinaria</w:t>
      </w:r>
      <w:r>
        <w:rPr>
          <w:rFonts w:ascii="Verdana" w:hAnsi="Verdana" w:cs="Arial"/>
          <w:iCs/>
          <w:color w:val="000000" w:themeColor="text1"/>
        </w:rPr>
        <w:t xml:space="preserve">, la Ley 200 de 1995 unificó la prescripción; razón por la cual, al igual que ocurrió en la </w:t>
      </w:r>
      <w:r w:rsidRPr="00C1492D">
        <w:rPr>
          <w:rFonts w:ascii="Verdana" w:hAnsi="Verdana" w:cs="Arial"/>
          <w:i/>
          <w:color w:val="000000" w:themeColor="text1"/>
        </w:rPr>
        <w:t>responsabilidad civil</w:t>
      </w:r>
      <w:r>
        <w:rPr>
          <w:rFonts w:ascii="Verdana" w:hAnsi="Verdana" w:cs="Arial"/>
          <w:iCs/>
          <w:color w:val="000000" w:themeColor="text1"/>
        </w:rPr>
        <w:t xml:space="preserve"> con la Ley 446 de 1998, aplica el artículo 2 de la Ley 153 de 1887, puesto que “</w:t>
      </w:r>
      <w:r w:rsidRPr="00C1492D">
        <w:rPr>
          <w:rFonts w:ascii="Verdana" w:hAnsi="Verdana" w:cs="Arial"/>
          <w:iCs/>
          <w:color w:val="000000" w:themeColor="text1"/>
        </w:rPr>
        <w:t xml:space="preserve">La ley posterior prevalece sobre la ley anterior. En caso de que una ley posterior sea contraria </w:t>
      </w:r>
      <w:r>
        <w:rPr>
          <w:rFonts w:ascii="Verdana" w:hAnsi="Verdana" w:cs="Arial"/>
          <w:iCs/>
          <w:color w:val="000000" w:themeColor="text1"/>
        </w:rPr>
        <w:t>a</w:t>
      </w:r>
      <w:r w:rsidRPr="00C1492D">
        <w:rPr>
          <w:rFonts w:ascii="Verdana" w:hAnsi="Verdana" w:cs="Arial"/>
          <w:iCs/>
          <w:color w:val="000000" w:themeColor="text1"/>
        </w:rPr>
        <w:t xml:space="preserve"> otra anterior, y ambas preexistentes al hecho que se juzga, se aplicarán la ley posterior</w:t>
      </w:r>
      <w:r>
        <w:rPr>
          <w:rFonts w:ascii="Verdana" w:hAnsi="Verdana" w:cs="Arial"/>
          <w:iCs/>
          <w:color w:val="000000" w:themeColor="text1"/>
        </w:rPr>
        <w:t>”</w:t>
      </w:r>
      <w:r w:rsidRPr="00C1492D">
        <w:rPr>
          <w:rFonts w:ascii="Verdana" w:hAnsi="Verdana" w:cs="Arial"/>
          <w:iCs/>
          <w:color w:val="000000" w:themeColor="text1"/>
        </w:rPr>
        <w:t>.</w:t>
      </w:r>
      <w:r>
        <w:rPr>
          <w:rFonts w:ascii="Verdana" w:hAnsi="Verdana" w:cs="Arial"/>
          <w:iCs/>
          <w:color w:val="000000" w:themeColor="text1"/>
        </w:rPr>
        <w:t xml:space="preserve"> Es decir, en las condiciones del inciso tercero del artículo 71 del Código Civil, el artículo 55 de la Ley 80 de 1993 se encuentra afectado por la </w:t>
      </w:r>
      <w:r w:rsidRPr="00907E62">
        <w:rPr>
          <w:rFonts w:ascii="Verdana" w:hAnsi="Verdana" w:cs="Arial"/>
          <w:i/>
          <w:color w:val="000000" w:themeColor="text1"/>
        </w:rPr>
        <w:t>derogación tácita</w:t>
      </w:r>
      <w:r>
        <w:rPr>
          <w:rFonts w:ascii="Verdana" w:hAnsi="Verdana" w:cs="Arial"/>
          <w:iCs/>
          <w:color w:val="000000" w:themeColor="text1"/>
        </w:rPr>
        <w:t xml:space="preserve">, pues las leyes posteriores contienen disposiciones que no pueden conciliarse con la anterior. Así, esta </w:t>
      </w:r>
      <w:r>
        <w:rPr>
          <w:rFonts w:ascii="Verdana" w:hAnsi="Verdana" w:cs="Arial"/>
          <w:iCs/>
          <w:color w:val="000000" w:themeColor="text1"/>
        </w:rPr>
        <w:lastRenderedPageBreak/>
        <w:t>forma de derogatoria “[…]</w:t>
      </w:r>
      <w:r w:rsidRPr="00557C04">
        <w:rPr>
          <w:rFonts w:ascii="Verdana" w:hAnsi="Verdana" w:cs="Arial"/>
          <w:iCs/>
          <w:color w:val="000000" w:themeColor="text1"/>
        </w:rPr>
        <w:t xml:space="preserve"> tiene fundamento en que si la ley anterior continuara</w:t>
      </w:r>
      <w:r>
        <w:rPr>
          <w:rFonts w:ascii="Verdana" w:hAnsi="Verdana" w:cs="Arial"/>
          <w:iCs/>
          <w:color w:val="000000" w:themeColor="text1"/>
        </w:rPr>
        <w:t xml:space="preserve"> </w:t>
      </w:r>
      <w:r w:rsidRPr="00557C04">
        <w:rPr>
          <w:rFonts w:ascii="Verdana" w:hAnsi="Verdana" w:cs="Arial"/>
          <w:iCs/>
          <w:color w:val="000000" w:themeColor="text1"/>
        </w:rPr>
        <w:t xml:space="preserve">vigente, la ley posterior carecería de objeto </w:t>
      </w:r>
      <w:r>
        <w:rPr>
          <w:rFonts w:ascii="Verdana" w:hAnsi="Verdana" w:cs="Arial"/>
          <w:iCs/>
          <w:color w:val="000000" w:themeColor="text1"/>
        </w:rPr>
        <w:t>[…]</w:t>
      </w:r>
      <w:r w:rsidRPr="00557C04">
        <w:rPr>
          <w:rFonts w:ascii="Verdana" w:hAnsi="Verdana" w:cs="Arial"/>
          <w:iCs/>
          <w:color w:val="000000" w:themeColor="text1"/>
        </w:rPr>
        <w:t>,</w:t>
      </w:r>
      <w:r>
        <w:rPr>
          <w:rFonts w:ascii="Verdana" w:hAnsi="Verdana" w:cs="Arial"/>
          <w:iCs/>
          <w:color w:val="000000" w:themeColor="text1"/>
        </w:rPr>
        <w:t xml:space="preserve"> </w:t>
      </w:r>
      <w:r w:rsidRPr="00557C04">
        <w:rPr>
          <w:rFonts w:ascii="Verdana" w:hAnsi="Verdana" w:cs="Arial"/>
          <w:iCs/>
          <w:color w:val="000000" w:themeColor="text1"/>
        </w:rPr>
        <w:t>por lo cual debe considerarse que ella rige a partir de su promulgación para los</w:t>
      </w:r>
      <w:r>
        <w:rPr>
          <w:rFonts w:ascii="Verdana" w:hAnsi="Verdana" w:cs="Arial"/>
          <w:iCs/>
          <w:color w:val="000000" w:themeColor="text1"/>
        </w:rPr>
        <w:t xml:space="preserve"> </w:t>
      </w:r>
      <w:r w:rsidRPr="00557C04">
        <w:rPr>
          <w:rFonts w:ascii="Verdana" w:hAnsi="Verdana" w:cs="Arial"/>
          <w:iCs/>
          <w:color w:val="000000" w:themeColor="text1"/>
        </w:rPr>
        <w:t>supuestos de hecho que gobernaba la norma anterior</w:t>
      </w:r>
      <w:r>
        <w:rPr>
          <w:rFonts w:ascii="Verdana" w:hAnsi="Verdana" w:cs="Arial"/>
          <w:iCs/>
          <w:color w:val="000000" w:themeColor="text1"/>
        </w:rPr>
        <w:t xml:space="preserve"> […]”</w:t>
      </w:r>
      <w:r>
        <w:rPr>
          <w:rStyle w:val="Refdenotaalpie"/>
          <w:rFonts w:ascii="Verdana" w:hAnsi="Verdana" w:cs="Arial"/>
          <w:iCs/>
          <w:color w:val="000000" w:themeColor="text1"/>
        </w:rPr>
        <w:footnoteReference w:id="5"/>
      </w:r>
      <w:r>
        <w:rPr>
          <w:rFonts w:ascii="Verdana" w:hAnsi="Verdana" w:cs="Arial"/>
          <w:iCs/>
          <w:color w:val="000000" w:themeColor="text1"/>
        </w:rPr>
        <w:t xml:space="preserve">. </w:t>
      </w:r>
    </w:p>
    <w:p w14:paraId="4572A812" w14:textId="77777777" w:rsidR="00F82C1B" w:rsidRPr="00CE509B" w:rsidRDefault="00F82C1B" w:rsidP="00F82C1B">
      <w:pPr>
        <w:spacing w:after="0"/>
        <w:ind w:firstLine="709"/>
        <w:jc w:val="both"/>
        <w:rPr>
          <w:rFonts w:ascii="Verdana" w:hAnsi="Verdana" w:cs="Arial"/>
          <w:color w:val="000000" w:themeColor="text1"/>
          <w:lang w:val="es-ES_tradnl"/>
        </w:rPr>
      </w:pPr>
      <w:r>
        <w:rPr>
          <w:rFonts w:ascii="Verdana" w:hAnsi="Verdana" w:cs="Arial"/>
          <w:iCs/>
          <w:color w:val="000000" w:themeColor="text1"/>
        </w:rPr>
        <w:t>En gracia de discusión, podría pensarse en la aplicación del artículo 5.1 de la Ley 57 de 1887, porque “</w:t>
      </w:r>
      <w:r w:rsidRPr="005C1453">
        <w:rPr>
          <w:rFonts w:ascii="Verdana" w:hAnsi="Verdana" w:cs="Arial"/>
          <w:iCs/>
          <w:color w:val="000000" w:themeColor="text1"/>
        </w:rPr>
        <w:t>La disposición relativa a un asunto especial prefiere a la que tenga carácter general</w:t>
      </w:r>
      <w:r>
        <w:rPr>
          <w:rFonts w:ascii="Verdana" w:hAnsi="Verdana" w:cs="Arial"/>
          <w:iCs/>
          <w:color w:val="000000" w:themeColor="text1"/>
        </w:rPr>
        <w:t>”</w:t>
      </w:r>
      <w:r>
        <w:rPr>
          <w:rStyle w:val="Refdenotaalpie"/>
          <w:rFonts w:ascii="Verdana" w:hAnsi="Verdana" w:cs="Arial"/>
          <w:iCs/>
          <w:color w:val="000000" w:themeColor="text1"/>
        </w:rPr>
        <w:footnoteReference w:id="6"/>
      </w:r>
      <w:r>
        <w:rPr>
          <w:rFonts w:ascii="Verdana" w:hAnsi="Verdana" w:cs="Arial"/>
          <w:iCs/>
          <w:color w:val="000000" w:themeColor="text1"/>
        </w:rPr>
        <w:t xml:space="preserve">. Para Colombia Compra Eficiente, este </w:t>
      </w:r>
      <w:r w:rsidRPr="00CE509B">
        <w:rPr>
          <w:rFonts w:ascii="Verdana" w:hAnsi="Verdana" w:cs="Arial"/>
          <w:iCs/>
          <w:color w:val="000000" w:themeColor="text1"/>
        </w:rPr>
        <w:t>criterio para la resolución de antinomias</w:t>
      </w:r>
      <w:r>
        <w:rPr>
          <w:rFonts w:ascii="Verdana" w:hAnsi="Verdana" w:cs="Arial"/>
          <w:iCs/>
          <w:color w:val="000000" w:themeColor="text1"/>
        </w:rPr>
        <w:t xml:space="preserve"> </w:t>
      </w:r>
      <w:r>
        <w:rPr>
          <w:rFonts w:ascii="Verdana" w:hAnsi="Verdana" w:cs="Arial"/>
          <w:color w:val="000000" w:themeColor="text1"/>
          <w:lang w:val="es-ES_tradnl"/>
        </w:rPr>
        <w:t>no es matemático:</w:t>
      </w:r>
      <w:r w:rsidRPr="00CE509B">
        <w:rPr>
          <w:rFonts w:ascii="Verdana" w:hAnsi="Verdana" w:cs="Arial"/>
          <w:color w:val="000000" w:themeColor="text1"/>
          <w:lang w:val="es-ES_tradnl"/>
        </w:rPr>
        <w:t xml:space="preserve"> los límites de la regla </w:t>
      </w:r>
      <w:r w:rsidRPr="00CE509B">
        <w:rPr>
          <w:rFonts w:ascii="Verdana" w:hAnsi="Verdana" w:cs="Arial"/>
          <w:i/>
          <w:iCs/>
          <w:color w:val="000000" w:themeColor="text1"/>
          <w:lang w:val="es-ES_tradnl"/>
        </w:rPr>
        <w:t xml:space="preserve">lex </w:t>
      </w:r>
      <w:proofErr w:type="spellStart"/>
      <w:r w:rsidRPr="00CE509B">
        <w:rPr>
          <w:rFonts w:ascii="Verdana" w:hAnsi="Verdana" w:cs="Arial"/>
          <w:i/>
          <w:iCs/>
          <w:color w:val="000000" w:themeColor="text1"/>
          <w:lang w:val="es-ES_tradnl"/>
        </w:rPr>
        <w:t>specialis</w:t>
      </w:r>
      <w:proofErr w:type="spellEnd"/>
      <w:r w:rsidRPr="00CE509B">
        <w:rPr>
          <w:rFonts w:ascii="Verdana" w:hAnsi="Verdana" w:cs="Arial"/>
          <w:i/>
          <w:iCs/>
          <w:color w:val="000000" w:themeColor="text1"/>
          <w:lang w:val="es-ES_tradnl"/>
        </w:rPr>
        <w:t xml:space="preserve"> </w:t>
      </w:r>
      <w:proofErr w:type="spellStart"/>
      <w:r w:rsidRPr="00CE509B">
        <w:rPr>
          <w:rFonts w:ascii="Verdana" w:hAnsi="Verdana" w:cs="Arial"/>
          <w:i/>
          <w:iCs/>
          <w:color w:val="000000" w:themeColor="text1"/>
          <w:lang w:val="es-ES_tradnl"/>
        </w:rPr>
        <w:t>derogat</w:t>
      </w:r>
      <w:proofErr w:type="spellEnd"/>
      <w:r w:rsidRPr="00CE509B">
        <w:rPr>
          <w:rFonts w:ascii="Verdana" w:hAnsi="Verdana" w:cs="Arial"/>
          <w:i/>
          <w:iCs/>
          <w:color w:val="000000" w:themeColor="text1"/>
          <w:lang w:val="es-ES_tradnl"/>
        </w:rPr>
        <w:t xml:space="preserve"> </w:t>
      </w:r>
      <w:proofErr w:type="spellStart"/>
      <w:r w:rsidRPr="00CE509B">
        <w:rPr>
          <w:rFonts w:ascii="Verdana" w:hAnsi="Verdana" w:cs="Arial"/>
          <w:i/>
          <w:iCs/>
          <w:color w:val="000000" w:themeColor="text1"/>
          <w:lang w:val="es-ES_tradnl"/>
        </w:rPr>
        <w:t>legi</w:t>
      </w:r>
      <w:proofErr w:type="spellEnd"/>
      <w:r w:rsidRPr="00CE509B">
        <w:rPr>
          <w:rFonts w:ascii="Verdana" w:hAnsi="Verdana" w:cs="Arial"/>
          <w:i/>
          <w:iCs/>
          <w:color w:val="000000" w:themeColor="text1"/>
          <w:lang w:val="es-ES_tradnl"/>
        </w:rPr>
        <w:t xml:space="preserve"> </w:t>
      </w:r>
      <w:proofErr w:type="spellStart"/>
      <w:r w:rsidRPr="00CE509B">
        <w:rPr>
          <w:rFonts w:ascii="Verdana" w:hAnsi="Verdana" w:cs="Arial"/>
          <w:i/>
          <w:iCs/>
          <w:color w:val="000000" w:themeColor="text1"/>
          <w:lang w:val="es-ES_tradnl"/>
        </w:rPr>
        <w:t>generali</w:t>
      </w:r>
      <w:proofErr w:type="spellEnd"/>
      <w:r w:rsidRPr="00CE509B">
        <w:rPr>
          <w:rFonts w:ascii="Verdana" w:hAnsi="Verdana" w:cs="Arial"/>
          <w:color w:val="000000" w:themeColor="text1"/>
          <w:lang w:val="es-ES_tradnl"/>
        </w:rPr>
        <w:t xml:space="preserve"> </w:t>
      </w:r>
      <w:r>
        <w:rPr>
          <w:rFonts w:ascii="Verdana" w:hAnsi="Verdana" w:cs="Arial"/>
          <w:color w:val="000000" w:themeColor="text1"/>
          <w:lang w:val="es-ES_tradnl"/>
        </w:rPr>
        <w:t>deben verificarse</w:t>
      </w:r>
      <w:r w:rsidRPr="00CE509B">
        <w:rPr>
          <w:rFonts w:ascii="Verdana" w:hAnsi="Verdana" w:cs="Arial"/>
          <w:color w:val="000000" w:themeColor="text1"/>
          <w:lang w:val="es-ES_tradnl"/>
        </w:rPr>
        <w:t xml:space="preserve"> en cada caso teniendo en cuenta la intención del legislador, </w:t>
      </w:r>
      <w:r>
        <w:rPr>
          <w:rFonts w:ascii="Verdana" w:hAnsi="Verdana" w:cs="Arial"/>
          <w:color w:val="000000" w:themeColor="text1"/>
          <w:lang w:val="es-ES_tradnl"/>
        </w:rPr>
        <w:t>por lo que puede existir</w:t>
      </w:r>
      <w:r w:rsidRPr="00CE509B">
        <w:rPr>
          <w:rFonts w:ascii="Verdana" w:hAnsi="Verdana" w:cs="Arial"/>
          <w:color w:val="000000" w:themeColor="text1"/>
          <w:lang w:val="es-ES_tradnl"/>
        </w:rPr>
        <w:t xml:space="preserve"> una regla general que no tolere excepciones</w:t>
      </w:r>
      <w:r w:rsidRPr="00CE509B">
        <w:rPr>
          <w:rStyle w:val="Refdenotaalpie"/>
          <w:rFonts w:ascii="Verdana" w:hAnsi="Verdana" w:cs="Arial"/>
          <w:color w:val="000000" w:themeColor="text1"/>
          <w:lang w:val="es-ES_tradnl"/>
        </w:rPr>
        <w:footnoteReference w:id="7"/>
      </w:r>
      <w:r w:rsidRPr="00CE509B">
        <w:rPr>
          <w:rFonts w:ascii="Verdana" w:hAnsi="Verdana" w:cs="Arial"/>
          <w:color w:val="000000" w:themeColor="text1"/>
          <w:lang w:val="es-ES_tradnl"/>
        </w:rPr>
        <w:t xml:space="preserve">. Al respecto, la doctrina considera que: </w:t>
      </w:r>
    </w:p>
    <w:p w14:paraId="5AA684A4" w14:textId="77777777" w:rsidR="00F82C1B" w:rsidRPr="00CE509B" w:rsidRDefault="00F82C1B" w:rsidP="00F82C1B">
      <w:pPr>
        <w:spacing w:after="0"/>
        <w:ind w:firstLine="709"/>
        <w:jc w:val="both"/>
        <w:rPr>
          <w:rFonts w:ascii="Verdana" w:hAnsi="Verdana" w:cs="Arial"/>
          <w:color w:val="000000" w:themeColor="text1"/>
          <w:lang w:val="es-ES_tradnl"/>
        </w:rPr>
      </w:pPr>
      <w:r w:rsidRPr="00CE509B">
        <w:rPr>
          <w:rFonts w:ascii="Verdana" w:hAnsi="Verdana" w:cs="Arial"/>
          <w:color w:val="000000" w:themeColor="text1"/>
          <w:lang w:val="es-ES_tradnl"/>
        </w:rPr>
        <w:t xml:space="preserve"> </w:t>
      </w:r>
    </w:p>
    <w:p w14:paraId="413B7A12" w14:textId="77777777" w:rsidR="00F82C1B" w:rsidRPr="00C64227" w:rsidRDefault="00F82C1B" w:rsidP="00F82C1B">
      <w:pPr>
        <w:spacing w:after="0" w:line="240" w:lineRule="auto"/>
        <w:ind w:left="709" w:right="758"/>
        <w:jc w:val="both"/>
        <w:rPr>
          <w:rFonts w:ascii="Verdana" w:hAnsi="Verdana" w:cs="Arial"/>
          <w:color w:val="000000" w:themeColor="text1"/>
          <w:sz w:val="20"/>
          <w:szCs w:val="20"/>
          <w:lang w:val="es-ES"/>
        </w:rPr>
      </w:pPr>
      <w:r w:rsidRPr="5B9BF55B">
        <w:rPr>
          <w:rFonts w:ascii="Verdana" w:hAnsi="Verdana" w:cs="Arial"/>
          <w:color w:val="000000" w:themeColor="text1"/>
          <w:sz w:val="20"/>
          <w:szCs w:val="20"/>
          <w:lang w:val="es-ES"/>
        </w:rPr>
        <w:t xml:space="preserve">“[…] la preferencia por la norma especial sobre la norma posterior no puede tener jamás un valor absoluto, porque razones de orden teleológico pueden impeler a dar prioridad a la </w:t>
      </w:r>
      <w:r w:rsidRPr="5B9BF55B">
        <w:rPr>
          <w:rFonts w:ascii="Verdana" w:hAnsi="Verdana" w:cs="Arial"/>
          <w:i/>
          <w:color w:val="000000" w:themeColor="text1"/>
          <w:sz w:val="20"/>
          <w:szCs w:val="20"/>
          <w:lang w:val="es-ES"/>
        </w:rPr>
        <w:t xml:space="preserve">lex posterior </w:t>
      </w:r>
      <w:proofErr w:type="spellStart"/>
      <w:r w:rsidRPr="5B9BF55B">
        <w:rPr>
          <w:rFonts w:ascii="Verdana" w:hAnsi="Verdana" w:cs="Arial"/>
          <w:i/>
          <w:color w:val="000000" w:themeColor="text1"/>
          <w:sz w:val="20"/>
          <w:szCs w:val="20"/>
          <w:lang w:val="es-ES"/>
        </w:rPr>
        <w:t>generalis</w:t>
      </w:r>
      <w:proofErr w:type="spellEnd"/>
      <w:r w:rsidRPr="5B9BF55B">
        <w:rPr>
          <w:rFonts w:ascii="Verdana" w:hAnsi="Verdana" w:cs="Arial"/>
          <w:color w:val="000000" w:themeColor="text1"/>
          <w:sz w:val="20"/>
          <w:szCs w:val="20"/>
          <w:lang w:val="es-ES"/>
        </w:rPr>
        <w:t xml:space="preserve">. Piénsese en las hipótesis de nueva regulación integral de la materia, por reducida que la materia sea: parece que la vocación de regulación uniforme debe prevalecer sobre las diferencias sectoriales preexistentes. Por ello, incluso quienes defienden la primacía del criterio de la especialidad en caso de conflicto con el criterio cronológico lo hacen con reservas y sin atribuir a esta afirmación un valor absoluto. Ha sido sugerido, en este sentido, que el aforismo </w:t>
      </w:r>
      <w:r w:rsidRPr="5B9BF55B">
        <w:rPr>
          <w:rFonts w:ascii="Verdana" w:hAnsi="Verdana" w:cs="Arial"/>
          <w:i/>
          <w:color w:val="000000" w:themeColor="text1"/>
          <w:sz w:val="20"/>
          <w:szCs w:val="20"/>
          <w:lang w:val="es-ES"/>
        </w:rPr>
        <w:t xml:space="preserve">lex posterior </w:t>
      </w:r>
      <w:proofErr w:type="spellStart"/>
      <w:r w:rsidRPr="5B9BF55B">
        <w:rPr>
          <w:rFonts w:ascii="Verdana" w:hAnsi="Verdana" w:cs="Arial"/>
          <w:i/>
          <w:color w:val="000000" w:themeColor="text1"/>
          <w:sz w:val="20"/>
          <w:szCs w:val="20"/>
          <w:lang w:val="es-ES"/>
        </w:rPr>
        <w:t>generalis</w:t>
      </w:r>
      <w:proofErr w:type="spellEnd"/>
      <w:r w:rsidRPr="5B9BF55B">
        <w:rPr>
          <w:rFonts w:ascii="Verdana" w:hAnsi="Verdana" w:cs="Arial"/>
          <w:i/>
          <w:color w:val="000000" w:themeColor="text1"/>
          <w:sz w:val="20"/>
          <w:szCs w:val="20"/>
          <w:lang w:val="es-ES"/>
        </w:rPr>
        <w:t xml:space="preserve"> non </w:t>
      </w:r>
      <w:proofErr w:type="spellStart"/>
      <w:r w:rsidRPr="5B9BF55B">
        <w:rPr>
          <w:rFonts w:ascii="Verdana" w:hAnsi="Verdana" w:cs="Arial"/>
          <w:i/>
          <w:color w:val="000000" w:themeColor="text1"/>
          <w:sz w:val="20"/>
          <w:szCs w:val="20"/>
          <w:lang w:val="es-ES"/>
        </w:rPr>
        <w:t>derogat</w:t>
      </w:r>
      <w:proofErr w:type="spellEnd"/>
      <w:r w:rsidRPr="5B9BF55B">
        <w:rPr>
          <w:rFonts w:ascii="Verdana" w:hAnsi="Verdana" w:cs="Arial"/>
          <w:i/>
          <w:color w:val="000000" w:themeColor="text1"/>
          <w:sz w:val="20"/>
          <w:szCs w:val="20"/>
          <w:lang w:val="es-ES"/>
        </w:rPr>
        <w:t xml:space="preserve"> </w:t>
      </w:r>
      <w:proofErr w:type="spellStart"/>
      <w:r w:rsidRPr="5B9BF55B">
        <w:rPr>
          <w:rFonts w:ascii="Verdana" w:hAnsi="Verdana" w:cs="Arial"/>
          <w:i/>
          <w:color w:val="000000" w:themeColor="text1"/>
          <w:sz w:val="20"/>
          <w:szCs w:val="20"/>
          <w:lang w:val="es-ES"/>
        </w:rPr>
        <w:t>legi</w:t>
      </w:r>
      <w:proofErr w:type="spellEnd"/>
      <w:r w:rsidRPr="5B9BF55B">
        <w:rPr>
          <w:rFonts w:ascii="Verdana" w:hAnsi="Verdana" w:cs="Arial"/>
          <w:i/>
          <w:color w:val="000000" w:themeColor="text1"/>
          <w:sz w:val="20"/>
          <w:szCs w:val="20"/>
          <w:lang w:val="es-ES"/>
        </w:rPr>
        <w:t xml:space="preserve"> priori </w:t>
      </w:r>
      <w:proofErr w:type="spellStart"/>
      <w:r w:rsidRPr="5B9BF55B">
        <w:rPr>
          <w:rFonts w:ascii="Verdana" w:hAnsi="Verdana" w:cs="Arial"/>
          <w:i/>
          <w:color w:val="000000" w:themeColor="text1"/>
          <w:sz w:val="20"/>
          <w:szCs w:val="20"/>
          <w:lang w:val="es-ES"/>
        </w:rPr>
        <w:t>speciali</w:t>
      </w:r>
      <w:proofErr w:type="spellEnd"/>
      <w:r w:rsidRPr="5B9BF55B">
        <w:rPr>
          <w:rFonts w:ascii="Verdana" w:hAnsi="Verdana" w:cs="Arial"/>
          <w:color w:val="000000" w:themeColor="text1"/>
          <w:sz w:val="20"/>
          <w:szCs w:val="20"/>
          <w:lang w:val="es-ES"/>
        </w:rPr>
        <w:t xml:space="preserve"> opera </w:t>
      </w:r>
      <w:r w:rsidRPr="5B9BF55B">
        <w:rPr>
          <w:rFonts w:ascii="Verdana" w:hAnsi="Verdana" w:cs="Arial"/>
          <w:color w:val="000000" w:themeColor="text1"/>
          <w:sz w:val="20"/>
          <w:szCs w:val="20"/>
          <w:lang w:val="es-ES"/>
        </w:rPr>
        <w:lastRenderedPageBreak/>
        <w:t xml:space="preserve">como una mera presunción hermenéutica, que puede ser destruida por una clara </w:t>
      </w:r>
      <w:proofErr w:type="spellStart"/>
      <w:r w:rsidRPr="5B9BF55B">
        <w:rPr>
          <w:rFonts w:ascii="Verdana" w:hAnsi="Verdana" w:cs="Arial"/>
          <w:i/>
          <w:color w:val="000000" w:themeColor="text1"/>
          <w:sz w:val="20"/>
          <w:szCs w:val="20"/>
          <w:lang w:val="es-ES"/>
        </w:rPr>
        <w:t>voluntas</w:t>
      </w:r>
      <w:proofErr w:type="spellEnd"/>
      <w:r w:rsidRPr="5B9BF55B">
        <w:rPr>
          <w:rFonts w:ascii="Verdana" w:hAnsi="Verdana" w:cs="Arial"/>
          <w:i/>
          <w:color w:val="000000" w:themeColor="text1"/>
          <w:sz w:val="20"/>
          <w:szCs w:val="20"/>
          <w:lang w:val="es-ES"/>
        </w:rPr>
        <w:t xml:space="preserve"> </w:t>
      </w:r>
      <w:proofErr w:type="spellStart"/>
      <w:r w:rsidRPr="5B9BF55B">
        <w:rPr>
          <w:rFonts w:ascii="Verdana" w:hAnsi="Verdana" w:cs="Arial"/>
          <w:i/>
          <w:color w:val="000000" w:themeColor="text1"/>
          <w:sz w:val="20"/>
          <w:szCs w:val="20"/>
          <w:lang w:val="es-ES"/>
        </w:rPr>
        <w:t>legis</w:t>
      </w:r>
      <w:proofErr w:type="spellEnd"/>
      <w:r w:rsidRPr="5B9BF55B">
        <w:rPr>
          <w:rFonts w:ascii="Verdana" w:hAnsi="Verdana" w:cs="Arial"/>
          <w:color w:val="000000" w:themeColor="text1"/>
          <w:sz w:val="20"/>
          <w:szCs w:val="20"/>
          <w:lang w:val="es-ES"/>
        </w:rPr>
        <w:t xml:space="preserve"> de sentido contrario”</w:t>
      </w:r>
      <w:r w:rsidRPr="5B9BF55B">
        <w:rPr>
          <w:rStyle w:val="Refdenotaalpie"/>
          <w:rFonts w:ascii="Verdana" w:hAnsi="Verdana" w:cs="Arial"/>
          <w:color w:val="000000" w:themeColor="text1"/>
          <w:sz w:val="20"/>
          <w:szCs w:val="20"/>
          <w:lang w:val="es-ES"/>
        </w:rPr>
        <w:footnoteReference w:id="8"/>
      </w:r>
      <w:r w:rsidRPr="5B9BF55B">
        <w:rPr>
          <w:rFonts w:ascii="Verdana" w:hAnsi="Verdana" w:cs="Arial"/>
          <w:color w:val="000000" w:themeColor="text1"/>
          <w:sz w:val="20"/>
          <w:szCs w:val="20"/>
          <w:lang w:val="es-ES"/>
        </w:rPr>
        <w:t>.</w:t>
      </w:r>
    </w:p>
    <w:p w14:paraId="21C6CCFF" w14:textId="77777777" w:rsidR="00F82C1B" w:rsidRDefault="00F82C1B" w:rsidP="00F82C1B">
      <w:pPr>
        <w:spacing w:after="0" w:line="276" w:lineRule="auto"/>
        <w:ind w:right="51" w:firstLine="709"/>
        <w:jc w:val="both"/>
        <w:rPr>
          <w:rFonts w:ascii="Verdana" w:hAnsi="Verdana" w:cs="Arial"/>
          <w:color w:val="000000" w:themeColor="text1"/>
          <w:lang w:val="es-ES_tradnl"/>
        </w:rPr>
      </w:pPr>
    </w:p>
    <w:p w14:paraId="62B31EE9" w14:textId="37883224" w:rsidR="00F82C1B" w:rsidRDefault="00F82C1B" w:rsidP="00F82C1B">
      <w:pPr>
        <w:spacing w:after="0" w:line="276" w:lineRule="auto"/>
        <w:ind w:right="51" w:firstLine="709"/>
        <w:jc w:val="both"/>
        <w:rPr>
          <w:rFonts w:ascii="Verdana" w:hAnsi="Verdana" w:cs="Arial"/>
          <w:color w:val="000000" w:themeColor="text1"/>
          <w:lang w:val="es-ES_tradnl"/>
        </w:rPr>
      </w:pPr>
      <w:r>
        <w:rPr>
          <w:rFonts w:ascii="Verdana" w:hAnsi="Verdana" w:cs="Arial"/>
          <w:color w:val="000000" w:themeColor="text1"/>
          <w:lang w:val="es-ES_tradnl"/>
        </w:rPr>
        <w:t>Asimismo, se ha sostenido lo siguiente:</w:t>
      </w:r>
    </w:p>
    <w:p w14:paraId="0CB5CD67" w14:textId="77777777" w:rsidR="00F82C1B" w:rsidRDefault="00F82C1B" w:rsidP="00F82C1B">
      <w:pPr>
        <w:spacing w:after="0" w:line="276" w:lineRule="auto"/>
        <w:ind w:right="51" w:firstLine="709"/>
        <w:jc w:val="both"/>
        <w:rPr>
          <w:rFonts w:ascii="Verdana" w:hAnsi="Verdana" w:cs="Arial"/>
          <w:color w:val="000000" w:themeColor="text1"/>
          <w:lang w:val="es-ES_tradnl"/>
        </w:rPr>
      </w:pPr>
    </w:p>
    <w:p w14:paraId="3595AC74" w14:textId="77777777" w:rsidR="00F82C1B" w:rsidRPr="004273E1" w:rsidRDefault="00F82C1B" w:rsidP="00F82C1B">
      <w:pPr>
        <w:spacing w:after="0" w:line="240" w:lineRule="auto"/>
        <w:ind w:left="709" w:right="709"/>
        <w:jc w:val="both"/>
        <w:rPr>
          <w:rFonts w:ascii="Verdana" w:hAnsi="Verdana" w:cs="Arial"/>
          <w:color w:val="000000" w:themeColor="text1"/>
          <w:sz w:val="20"/>
          <w:szCs w:val="20"/>
          <w:lang w:val="es-ES"/>
        </w:rPr>
      </w:pPr>
      <w:r w:rsidRPr="5B9BF55B">
        <w:rPr>
          <w:rFonts w:ascii="Verdana" w:hAnsi="Verdana" w:cs="Arial"/>
          <w:color w:val="000000" w:themeColor="text1"/>
          <w:sz w:val="20"/>
          <w:szCs w:val="20"/>
          <w:lang w:val="es-ES"/>
        </w:rPr>
        <w:t>“[…] el intérprete deberá verificar que la norma que se interpreta esté vigente y que no haya sido derogada expresa o tácitamente por una ley posterior especial, o por una ley posterior que regula totalmente la materia. Empero, puede suceder que la derogación de la norma anterior sea discutible, porque la derogación no sea expresa, o porque los textos de ambas normas no sean contundentes en cuanto a la pérdida de vigencia de la norma anterior […] Esta situación se presenta sobre todo, cuando se promulga una ley que no deroga, en forma expresa, normas anteriormente vigentes que no contradicen claramente la nueva, y sin que sea evidente, si esta última regula totalmente o no la materia. Es decir, no se sabe si la ley nueva tácitamente, derogó por completo la anterior. Creo que en estos casos, será la exposición de motivos y el contexto mismo de la nueva ley la que nos indique si su voluntad es regular completamente la materia […]”</w:t>
      </w:r>
      <w:r w:rsidRPr="5B9BF55B">
        <w:rPr>
          <w:rStyle w:val="Refdenotaalpie"/>
          <w:rFonts w:ascii="Verdana" w:hAnsi="Verdana" w:cs="Arial"/>
          <w:color w:val="000000" w:themeColor="text1"/>
          <w:sz w:val="20"/>
          <w:szCs w:val="20"/>
          <w:lang w:val="es-ES"/>
        </w:rPr>
        <w:footnoteReference w:id="9"/>
      </w:r>
      <w:r w:rsidRPr="5B9BF55B">
        <w:rPr>
          <w:rFonts w:ascii="Verdana" w:hAnsi="Verdana" w:cs="Arial"/>
          <w:color w:val="000000" w:themeColor="text1"/>
          <w:sz w:val="20"/>
          <w:szCs w:val="20"/>
          <w:lang w:val="es-ES"/>
        </w:rPr>
        <w:t>.</w:t>
      </w:r>
    </w:p>
    <w:p w14:paraId="4A05B548" w14:textId="77777777" w:rsidR="00F82C1B" w:rsidRPr="00CE509B" w:rsidRDefault="00F82C1B" w:rsidP="00F82C1B">
      <w:pPr>
        <w:spacing w:after="0" w:line="276" w:lineRule="auto"/>
        <w:ind w:right="51" w:firstLine="709"/>
        <w:jc w:val="both"/>
        <w:rPr>
          <w:rFonts w:ascii="Verdana" w:hAnsi="Verdana" w:cs="Arial"/>
          <w:color w:val="000000" w:themeColor="text1"/>
          <w:lang w:val="es-ES_tradnl"/>
        </w:rPr>
      </w:pPr>
    </w:p>
    <w:p w14:paraId="58086E83" w14:textId="2548FC08" w:rsidR="00F82C1B" w:rsidRDefault="00F82C1B" w:rsidP="00F82C1B">
      <w:pPr>
        <w:tabs>
          <w:tab w:val="left" w:pos="709"/>
        </w:tabs>
        <w:spacing w:after="180" w:line="276" w:lineRule="auto"/>
        <w:jc w:val="both"/>
        <w:rPr>
          <w:rFonts w:ascii="Verdana" w:eastAsia="Calibri" w:hAnsi="Verdana" w:cs="Arial"/>
          <w:bCs/>
          <w:lang w:val="es-ES_tradnl"/>
        </w:rPr>
      </w:pPr>
      <w:r w:rsidRPr="00CE509B">
        <w:rPr>
          <w:rFonts w:ascii="Verdana" w:eastAsia="Calibri" w:hAnsi="Verdana" w:cs="Arial"/>
          <w:bCs/>
          <w:lang w:val="es-ES_tradnl"/>
        </w:rPr>
        <w:tab/>
        <w:t>En este punto</w:t>
      </w:r>
      <w:r>
        <w:rPr>
          <w:rFonts w:ascii="Verdana" w:eastAsia="Calibri" w:hAnsi="Verdana" w:cs="Arial"/>
          <w:bCs/>
          <w:lang w:val="es-ES_tradnl"/>
        </w:rPr>
        <w:t>,</w:t>
      </w:r>
      <w:r w:rsidRPr="00CE509B">
        <w:rPr>
          <w:rFonts w:ascii="Verdana" w:eastAsia="Calibri" w:hAnsi="Verdana" w:cs="Arial"/>
          <w:bCs/>
          <w:lang w:val="es-ES_tradnl"/>
        </w:rPr>
        <w:t xml:space="preserve"> </w:t>
      </w:r>
      <w:r w:rsidR="00D02F9E">
        <w:rPr>
          <w:rFonts w:ascii="Verdana" w:eastAsia="Calibri" w:hAnsi="Verdana" w:cs="Arial"/>
          <w:bCs/>
          <w:lang w:val="es-ES_tradnl"/>
        </w:rPr>
        <w:t>conviene</w:t>
      </w:r>
      <w:r w:rsidRPr="00CE509B">
        <w:rPr>
          <w:rFonts w:ascii="Verdana" w:eastAsia="Calibri" w:hAnsi="Verdana" w:cs="Arial"/>
          <w:bCs/>
          <w:lang w:val="es-ES_tradnl"/>
        </w:rPr>
        <w:t xml:space="preserve"> resaltar</w:t>
      </w:r>
      <w:r>
        <w:rPr>
          <w:rFonts w:ascii="Verdana" w:eastAsia="Calibri" w:hAnsi="Verdana" w:cs="Arial"/>
          <w:bCs/>
          <w:lang w:val="es-ES_tradnl"/>
        </w:rPr>
        <w:t xml:space="preserve"> que tanto la Ley 446 de 1998 como la Ley 200 de 1995 unificaron, respectivamente, el ejercicio oportuno del derecho de acción en materia contenciosa administrativa y el plazo para sancionar </w:t>
      </w:r>
      <w:r w:rsidRPr="005D70A7">
        <w:rPr>
          <w:rFonts w:ascii="Verdana" w:hAnsi="Verdana" w:cs="Arial"/>
          <w:color w:val="000000" w:themeColor="text1"/>
          <w:lang w:val="es-ES"/>
        </w:rPr>
        <w:t xml:space="preserve">el </w:t>
      </w:r>
      <w:r>
        <w:rPr>
          <w:rFonts w:ascii="Verdana" w:hAnsi="Verdana" w:cs="Arial"/>
          <w:color w:val="000000" w:themeColor="text1"/>
          <w:lang w:val="es-ES"/>
        </w:rPr>
        <w:t xml:space="preserve">incumplimiento </w:t>
      </w:r>
      <w:r w:rsidRPr="005D70A7">
        <w:rPr>
          <w:rFonts w:ascii="Verdana" w:hAnsi="Verdana" w:cs="Arial"/>
          <w:color w:val="000000" w:themeColor="text1"/>
          <w:lang w:val="es-ES"/>
        </w:rPr>
        <w:t>de</w:t>
      </w:r>
      <w:r>
        <w:rPr>
          <w:rFonts w:ascii="Verdana" w:hAnsi="Verdana" w:cs="Arial"/>
          <w:color w:val="000000" w:themeColor="text1"/>
          <w:lang w:val="es-ES"/>
        </w:rPr>
        <w:t xml:space="preserve"> </w:t>
      </w:r>
      <w:r w:rsidRPr="005D70A7">
        <w:rPr>
          <w:rFonts w:ascii="Verdana" w:hAnsi="Verdana" w:cs="Arial"/>
          <w:color w:val="000000" w:themeColor="text1"/>
          <w:lang w:val="es-ES"/>
        </w:rPr>
        <w:t>l</w:t>
      </w:r>
      <w:r>
        <w:rPr>
          <w:rFonts w:ascii="Verdana" w:hAnsi="Verdana" w:cs="Arial"/>
          <w:color w:val="000000" w:themeColor="text1"/>
          <w:lang w:val="es-ES"/>
        </w:rPr>
        <w:t>os</w:t>
      </w:r>
      <w:r w:rsidRPr="005D70A7">
        <w:rPr>
          <w:rFonts w:ascii="Verdana" w:hAnsi="Verdana" w:cs="Arial"/>
          <w:color w:val="000000" w:themeColor="text1"/>
          <w:lang w:val="es-ES"/>
        </w:rPr>
        <w:t xml:space="preserve"> deber</w:t>
      </w:r>
      <w:r>
        <w:rPr>
          <w:rFonts w:ascii="Verdana" w:hAnsi="Verdana" w:cs="Arial"/>
          <w:color w:val="000000" w:themeColor="text1"/>
          <w:lang w:val="es-ES"/>
        </w:rPr>
        <w:t>es</w:t>
      </w:r>
      <w:r w:rsidRPr="005D70A7">
        <w:rPr>
          <w:rFonts w:ascii="Verdana" w:hAnsi="Verdana" w:cs="Arial"/>
          <w:color w:val="000000" w:themeColor="text1"/>
          <w:lang w:val="es-ES"/>
        </w:rPr>
        <w:t xml:space="preserve"> funcional</w:t>
      </w:r>
      <w:r>
        <w:rPr>
          <w:rFonts w:ascii="Verdana" w:hAnsi="Verdana" w:cs="Arial"/>
          <w:color w:val="000000" w:themeColor="text1"/>
          <w:lang w:val="es-ES"/>
        </w:rPr>
        <w:t>es de los</w:t>
      </w:r>
      <w:r w:rsidRPr="005D70A7">
        <w:rPr>
          <w:rFonts w:ascii="Verdana" w:hAnsi="Verdana" w:cs="Arial"/>
          <w:color w:val="000000" w:themeColor="text1"/>
          <w:lang w:val="es-ES"/>
        </w:rPr>
        <w:t xml:space="preserve"> servidor</w:t>
      </w:r>
      <w:r>
        <w:rPr>
          <w:rFonts w:ascii="Verdana" w:hAnsi="Verdana" w:cs="Arial"/>
          <w:color w:val="000000" w:themeColor="text1"/>
          <w:lang w:val="es-ES"/>
        </w:rPr>
        <w:t>es</w:t>
      </w:r>
      <w:r w:rsidRPr="005D70A7">
        <w:rPr>
          <w:rFonts w:ascii="Verdana" w:hAnsi="Verdana" w:cs="Arial"/>
          <w:color w:val="000000" w:themeColor="text1"/>
          <w:lang w:val="es-ES"/>
        </w:rPr>
        <w:t xml:space="preserve"> público</w:t>
      </w:r>
      <w:r>
        <w:rPr>
          <w:rFonts w:ascii="Verdana" w:hAnsi="Verdana" w:cs="Arial"/>
          <w:color w:val="000000" w:themeColor="text1"/>
          <w:lang w:val="es-ES"/>
        </w:rPr>
        <w:t>s</w:t>
      </w:r>
      <w:r w:rsidRPr="005D70A7">
        <w:rPr>
          <w:rFonts w:ascii="Verdana" w:hAnsi="Verdana" w:cs="Arial"/>
          <w:color w:val="000000" w:themeColor="text1"/>
          <w:lang w:val="es-ES"/>
        </w:rPr>
        <w:t xml:space="preserve"> o </w:t>
      </w:r>
      <w:r>
        <w:rPr>
          <w:rFonts w:ascii="Verdana" w:hAnsi="Verdana" w:cs="Arial"/>
          <w:color w:val="000000" w:themeColor="text1"/>
          <w:lang w:val="es-ES"/>
        </w:rPr>
        <w:t>de los</w:t>
      </w:r>
      <w:r w:rsidRPr="005D70A7">
        <w:rPr>
          <w:rFonts w:ascii="Verdana" w:hAnsi="Verdana" w:cs="Arial"/>
          <w:color w:val="000000" w:themeColor="text1"/>
          <w:lang w:val="es-ES"/>
        </w:rPr>
        <w:t xml:space="preserve"> particular</w:t>
      </w:r>
      <w:r>
        <w:rPr>
          <w:rFonts w:ascii="Verdana" w:hAnsi="Verdana" w:cs="Arial"/>
          <w:color w:val="000000" w:themeColor="text1"/>
          <w:lang w:val="es-ES"/>
        </w:rPr>
        <w:t>es</w:t>
      </w:r>
      <w:r w:rsidRPr="005D70A7">
        <w:rPr>
          <w:rFonts w:ascii="Verdana" w:hAnsi="Verdana" w:cs="Arial"/>
          <w:color w:val="000000" w:themeColor="text1"/>
          <w:lang w:val="es-ES"/>
        </w:rPr>
        <w:t xml:space="preserve"> que cumple funciones públicas</w:t>
      </w:r>
      <w:r>
        <w:rPr>
          <w:rFonts w:ascii="Verdana" w:hAnsi="Verdana" w:cs="Arial"/>
          <w:color w:val="000000" w:themeColor="text1"/>
          <w:lang w:val="es-ES"/>
        </w:rPr>
        <w:t>. Ambas normas establec</w:t>
      </w:r>
      <w:r w:rsidR="00093AEC">
        <w:rPr>
          <w:rFonts w:ascii="Verdana" w:hAnsi="Verdana" w:cs="Arial"/>
          <w:color w:val="000000" w:themeColor="text1"/>
          <w:lang w:val="es-ES"/>
        </w:rPr>
        <w:t>ieron</w:t>
      </w:r>
      <w:r>
        <w:rPr>
          <w:rFonts w:ascii="Verdana" w:hAnsi="Verdana" w:cs="Arial"/>
          <w:color w:val="000000" w:themeColor="text1"/>
          <w:lang w:val="es-ES"/>
        </w:rPr>
        <w:t xml:space="preserve"> un marco legal uniforme que garantiza</w:t>
      </w:r>
      <w:r w:rsidR="00093AEC">
        <w:rPr>
          <w:rFonts w:ascii="Verdana" w:hAnsi="Verdana" w:cs="Arial"/>
          <w:color w:val="000000" w:themeColor="text1"/>
          <w:lang w:val="es-ES"/>
        </w:rPr>
        <w:t>ba</w:t>
      </w:r>
      <w:r>
        <w:rPr>
          <w:rFonts w:ascii="Verdana" w:hAnsi="Verdana" w:cs="Arial"/>
          <w:color w:val="000000" w:themeColor="text1"/>
          <w:lang w:val="es-ES"/>
        </w:rPr>
        <w:t xml:space="preserve"> la igualdad de condiciones respecto al tiempo necesario para exigir la responsabilidad civil y disciplinaria, lo que exclu</w:t>
      </w:r>
      <w:r w:rsidR="0071187C">
        <w:rPr>
          <w:rFonts w:ascii="Verdana" w:hAnsi="Verdana" w:cs="Arial"/>
          <w:color w:val="000000" w:themeColor="text1"/>
          <w:lang w:val="es-ES"/>
        </w:rPr>
        <w:t>ía</w:t>
      </w:r>
      <w:r>
        <w:rPr>
          <w:rFonts w:ascii="Verdana" w:hAnsi="Verdana" w:cs="Arial"/>
          <w:color w:val="000000" w:themeColor="text1"/>
          <w:lang w:val="es-ES"/>
        </w:rPr>
        <w:t xml:space="preserve"> reglas especiales sobre estas materias en contratación estatal. Ello hace que prevalezca el criterio cronológico –ley general posterior– sobre el de especialidad –ley especial anterior–, puesto que en dicha hipótesis “[…] </w:t>
      </w:r>
      <w:r w:rsidRPr="00C1333D">
        <w:rPr>
          <w:rFonts w:ascii="Verdana" w:hAnsi="Verdana" w:cs="Arial"/>
          <w:color w:val="000000" w:themeColor="text1"/>
          <w:lang w:val="es-ES"/>
        </w:rPr>
        <w:t>Nos servimos de</w:t>
      </w:r>
      <w:r>
        <w:rPr>
          <w:rFonts w:ascii="Verdana" w:hAnsi="Verdana" w:cs="Arial"/>
          <w:color w:val="000000" w:themeColor="text1"/>
          <w:lang w:val="es-ES"/>
        </w:rPr>
        <w:t xml:space="preserve"> </w:t>
      </w:r>
      <w:r w:rsidRPr="00C1333D">
        <w:rPr>
          <w:rFonts w:ascii="Verdana" w:hAnsi="Verdana" w:cs="Arial"/>
          <w:color w:val="000000" w:themeColor="text1"/>
          <w:lang w:val="es-ES"/>
        </w:rPr>
        <w:t>la sucesión en el tiempo de dos normas para cancelar un privilegio que ahora se</w:t>
      </w:r>
      <w:r>
        <w:rPr>
          <w:rFonts w:ascii="Verdana" w:hAnsi="Verdana" w:cs="Arial"/>
          <w:color w:val="000000" w:themeColor="text1"/>
          <w:lang w:val="es-ES"/>
        </w:rPr>
        <w:t xml:space="preserve"> </w:t>
      </w:r>
      <w:r w:rsidRPr="00C1333D">
        <w:rPr>
          <w:rFonts w:ascii="Verdana" w:hAnsi="Verdana" w:cs="Arial"/>
          <w:color w:val="000000" w:themeColor="text1"/>
          <w:lang w:val="es-ES"/>
        </w:rPr>
        <w:lastRenderedPageBreak/>
        <w:t>considera anacrónico</w:t>
      </w:r>
      <w:r>
        <w:rPr>
          <w:rFonts w:ascii="Verdana" w:hAnsi="Verdana" w:cs="Arial"/>
          <w:color w:val="000000" w:themeColor="text1"/>
          <w:lang w:val="es-ES"/>
        </w:rPr>
        <w:t xml:space="preserve"> […]”</w:t>
      </w:r>
      <w:r>
        <w:rPr>
          <w:rStyle w:val="Refdenotaalpie"/>
          <w:rFonts w:ascii="Verdana" w:hAnsi="Verdana" w:cs="Arial"/>
          <w:color w:val="000000" w:themeColor="text1"/>
          <w:lang w:val="es-ES"/>
        </w:rPr>
        <w:footnoteReference w:id="10"/>
      </w:r>
      <w:r>
        <w:rPr>
          <w:rFonts w:ascii="Verdana" w:hAnsi="Verdana" w:cs="Arial"/>
          <w:color w:val="000000" w:themeColor="text1"/>
          <w:lang w:val="es-ES"/>
        </w:rPr>
        <w:t xml:space="preserve">, </w:t>
      </w:r>
      <w:r w:rsidR="00130D00">
        <w:rPr>
          <w:rFonts w:ascii="Verdana" w:hAnsi="Verdana" w:cs="Arial"/>
          <w:color w:val="000000" w:themeColor="text1"/>
          <w:lang w:val="es-ES"/>
        </w:rPr>
        <w:t>caso en</w:t>
      </w:r>
      <w:r>
        <w:rPr>
          <w:rFonts w:ascii="Verdana" w:hAnsi="Verdana" w:cs="Arial"/>
          <w:color w:val="000000" w:themeColor="text1"/>
          <w:lang w:val="es-ES"/>
        </w:rPr>
        <w:t xml:space="preserve"> </w:t>
      </w:r>
      <w:r w:rsidR="00A90262">
        <w:rPr>
          <w:rFonts w:ascii="Verdana" w:hAnsi="Verdana" w:cs="Arial"/>
          <w:color w:val="000000" w:themeColor="text1"/>
          <w:lang w:val="es-ES"/>
        </w:rPr>
        <w:t xml:space="preserve">el </w:t>
      </w:r>
      <w:r>
        <w:rPr>
          <w:rFonts w:ascii="Verdana" w:hAnsi="Verdana" w:cs="Arial"/>
          <w:color w:val="000000" w:themeColor="text1"/>
          <w:lang w:val="es-ES"/>
        </w:rPr>
        <w:t xml:space="preserve">que “[…] </w:t>
      </w:r>
      <w:r w:rsidRPr="002E545B">
        <w:rPr>
          <w:rFonts w:ascii="Verdana" w:hAnsi="Verdana" w:cs="Arial"/>
          <w:color w:val="000000" w:themeColor="text1"/>
          <w:lang w:val="es-ES"/>
        </w:rPr>
        <w:t>la nueva norma tiene capacidad abrogativa aún de normas especiales precedentes</w:t>
      </w:r>
      <w:r>
        <w:rPr>
          <w:rFonts w:ascii="Verdana" w:hAnsi="Verdana" w:cs="Arial"/>
          <w:color w:val="000000" w:themeColor="text1"/>
          <w:lang w:val="es-ES"/>
        </w:rPr>
        <w:t>”</w:t>
      </w:r>
      <w:r>
        <w:rPr>
          <w:rStyle w:val="Refdenotaalpie"/>
          <w:rFonts w:ascii="Verdana" w:hAnsi="Verdana" w:cs="Arial"/>
          <w:color w:val="000000" w:themeColor="text1"/>
          <w:lang w:val="es-ES"/>
        </w:rPr>
        <w:footnoteReference w:id="11"/>
      </w:r>
      <w:r>
        <w:rPr>
          <w:rFonts w:ascii="Verdana" w:hAnsi="Verdana" w:cs="Arial"/>
          <w:color w:val="000000" w:themeColor="text1"/>
          <w:lang w:val="es-ES"/>
        </w:rPr>
        <w:t xml:space="preserve">. </w:t>
      </w:r>
      <w:r>
        <w:rPr>
          <w:rFonts w:ascii="Verdana" w:eastAsia="Calibri" w:hAnsi="Verdana" w:cs="Arial"/>
          <w:bCs/>
          <w:lang w:val="es-ES_tradnl"/>
        </w:rPr>
        <w:t xml:space="preserve"> </w:t>
      </w:r>
    </w:p>
    <w:p w14:paraId="56846BE2"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eastAsia="Calibri" w:hAnsi="Verdana" w:cs="Arial"/>
          <w:bCs/>
          <w:lang w:val="es-ES_tradnl"/>
        </w:rPr>
        <w:tab/>
        <w:t xml:space="preserve">Actualmente, </w:t>
      </w:r>
      <w:r>
        <w:rPr>
          <w:rFonts w:ascii="Verdana" w:hAnsi="Verdana" w:cs="Arial"/>
          <w:iCs/>
          <w:color w:val="000000" w:themeColor="text1"/>
        </w:rPr>
        <w:t>el artículo 44 de la Ley 446 de 1998</w:t>
      </w:r>
      <w:r>
        <w:rPr>
          <w:rFonts w:ascii="Verdana" w:eastAsia="Calibri" w:hAnsi="Verdana" w:cs="Arial"/>
          <w:bCs/>
          <w:lang w:val="es-ES_tradnl"/>
        </w:rPr>
        <w:t xml:space="preserve"> está derogado por el artículo 309 de la Ley 1437 de 2011, mientras que </w:t>
      </w:r>
      <w:r>
        <w:rPr>
          <w:rFonts w:ascii="Verdana" w:hAnsi="Verdana" w:cs="Arial"/>
          <w:iCs/>
          <w:color w:val="000000" w:themeColor="text1"/>
        </w:rPr>
        <w:t>el artículo 224 de la otrora Ley 734 de 2002 –por medio del cual se adoptó el segundo Código Disciplinario Único– disponía que “</w:t>
      </w:r>
      <w:r w:rsidRPr="00B70F0B">
        <w:rPr>
          <w:rFonts w:ascii="Verdana" w:hAnsi="Verdana" w:cs="Arial"/>
          <w:iCs/>
          <w:color w:val="000000" w:themeColor="text1"/>
        </w:rPr>
        <w:t>La presente ley regirá tres meses después de su sanción y deroga las disposiciones que le sean contrarias, salvo las normas referidas a los aspectos disciplinarios previstos en la Ley 190 de 1995 y el régimen especial disciplinario establecido para los miembros de la fuerza pública</w:t>
      </w:r>
      <w:r>
        <w:rPr>
          <w:rFonts w:ascii="Verdana" w:hAnsi="Verdana" w:cs="Arial"/>
          <w:iCs/>
          <w:color w:val="000000" w:themeColor="text1"/>
        </w:rPr>
        <w:t xml:space="preserve">”; razón por la cual, </w:t>
      </w:r>
      <w:r>
        <w:rPr>
          <w:rFonts w:ascii="Verdana" w:eastAsia="Calibri" w:hAnsi="Verdana" w:cs="Arial"/>
          <w:bCs/>
          <w:lang w:val="es-ES_tradnl"/>
        </w:rPr>
        <w:t>Ley 200 de 1995 tampoco se encuentra vigente</w:t>
      </w:r>
      <w:r w:rsidRPr="00B70F0B">
        <w:rPr>
          <w:rFonts w:ascii="Verdana" w:hAnsi="Verdana" w:cs="Arial"/>
          <w:iCs/>
          <w:color w:val="000000" w:themeColor="text1"/>
        </w:rPr>
        <w:t>.</w:t>
      </w:r>
    </w:p>
    <w:p w14:paraId="312BA434" w14:textId="77777777" w:rsidR="00F82C1B" w:rsidRDefault="00F82C1B" w:rsidP="00F82C1B">
      <w:pPr>
        <w:tabs>
          <w:tab w:val="left" w:pos="709"/>
        </w:tabs>
        <w:spacing w:after="180" w:line="276" w:lineRule="auto"/>
        <w:jc w:val="both"/>
        <w:rPr>
          <w:rFonts w:ascii="Verdana" w:hAnsi="Verdana" w:cs="Arial"/>
          <w:iCs/>
          <w:color w:val="000000" w:themeColor="text1"/>
        </w:rPr>
      </w:pPr>
      <w:r>
        <w:rPr>
          <w:rFonts w:ascii="Verdana" w:hAnsi="Verdana" w:cs="Arial"/>
          <w:iCs/>
          <w:color w:val="000000" w:themeColor="text1"/>
        </w:rPr>
        <w:tab/>
        <w:t xml:space="preserve">Estas derogatorias no implican la </w:t>
      </w:r>
      <w:r w:rsidRPr="00CE481F">
        <w:rPr>
          <w:rFonts w:ascii="Verdana" w:hAnsi="Verdana" w:cs="Arial"/>
          <w:iCs/>
          <w:color w:val="000000" w:themeColor="text1"/>
        </w:rPr>
        <w:t>reviviscencia</w:t>
      </w:r>
      <w:r>
        <w:rPr>
          <w:rFonts w:ascii="Verdana" w:hAnsi="Verdana" w:cs="Arial"/>
          <w:iCs/>
          <w:color w:val="000000" w:themeColor="text1"/>
        </w:rPr>
        <w:t xml:space="preserve"> de los plazos previstos en el artículo 55 de la Ley 80 de 1993 para la responsabilidad civil y disciplinaria, pues el artículo 14 de la Ley 153 de 1887 dispone que “</w:t>
      </w:r>
      <w:r w:rsidRPr="00CE481F">
        <w:rPr>
          <w:rFonts w:ascii="Verdana" w:hAnsi="Verdana" w:cs="Arial"/>
          <w:iCs/>
          <w:color w:val="000000" w:themeColor="text1"/>
        </w:rPr>
        <w:t xml:space="preserve">Una ley derogada no revivirá por solas las referencias que </w:t>
      </w:r>
      <w:r>
        <w:rPr>
          <w:rFonts w:ascii="Verdana" w:hAnsi="Verdana" w:cs="Arial"/>
          <w:iCs/>
          <w:color w:val="000000" w:themeColor="text1"/>
        </w:rPr>
        <w:t>a</w:t>
      </w:r>
      <w:r w:rsidRPr="00CE481F">
        <w:rPr>
          <w:rFonts w:ascii="Verdana" w:hAnsi="Verdana" w:cs="Arial"/>
          <w:iCs/>
          <w:color w:val="000000" w:themeColor="text1"/>
        </w:rPr>
        <w:t xml:space="preserve"> ella se hagan, ni por haber sido abolida la ley que la derogó. Una disposición derogada solo recobrará su fuerza en la forma en que aparezca reproducida en una ley nueva</w:t>
      </w:r>
      <w:r>
        <w:rPr>
          <w:rFonts w:ascii="Verdana" w:hAnsi="Verdana" w:cs="Arial"/>
          <w:iCs/>
          <w:color w:val="000000" w:themeColor="text1"/>
        </w:rPr>
        <w:t>”</w:t>
      </w:r>
      <w:r w:rsidRPr="00CE481F">
        <w:rPr>
          <w:rFonts w:ascii="Verdana" w:hAnsi="Verdana" w:cs="Arial"/>
          <w:iCs/>
          <w:color w:val="000000" w:themeColor="text1"/>
        </w:rPr>
        <w:t>.</w:t>
      </w:r>
      <w:r>
        <w:rPr>
          <w:rFonts w:ascii="Verdana" w:hAnsi="Verdana" w:cs="Arial"/>
          <w:iCs/>
          <w:color w:val="000000" w:themeColor="text1"/>
        </w:rPr>
        <w:t xml:space="preserve"> Por esta misma razón, si bien el artículo 265 de la Ley 1952 de 2019 deroga la Ley 734 de 2002 y dispone en el inciso tercero que “</w:t>
      </w:r>
      <w:r w:rsidRPr="00632334">
        <w:rPr>
          <w:rFonts w:ascii="Verdana" w:hAnsi="Verdana" w:cs="Arial"/>
          <w:iCs/>
          <w:color w:val="000000" w:themeColor="text1"/>
        </w:rPr>
        <w:t>Los regímenes especiales en materia disciplinaria y las norma relacionadas con la Comisión de Ética del Congreso conservarán su vigencia</w:t>
      </w:r>
      <w:r>
        <w:rPr>
          <w:rFonts w:ascii="Verdana" w:hAnsi="Verdana" w:cs="Arial"/>
          <w:iCs/>
          <w:color w:val="000000" w:themeColor="text1"/>
        </w:rPr>
        <w:t xml:space="preserve">”, lo cierto es que el régimen especial de prescripción de la responsabilidad disciplinaria en materia contractual ya se había modificado con la Ley 190 de 1995, como se explicó en el párrafo precedente. Luego, la sola referencia realizada a los regímenes especiales en la Ley 1952 de 2019, no revive el plazo de diez (10) años previsto en el EGCAP. </w:t>
      </w:r>
    </w:p>
    <w:p w14:paraId="72473654" w14:textId="77777777" w:rsidR="00F82C1B" w:rsidRPr="00635DD1" w:rsidRDefault="00F82C1B" w:rsidP="00F82C1B">
      <w:pPr>
        <w:tabs>
          <w:tab w:val="left" w:pos="709"/>
        </w:tabs>
        <w:spacing w:after="180" w:line="276" w:lineRule="auto"/>
        <w:jc w:val="both"/>
        <w:rPr>
          <w:rFonts w:ascii="Verdana" w:hAnsi="Verdana" w:cs="Arial"/>
          <w:color w:val="000000" w:themeColor="text1"/>
          <w:lang w:val="es-ES"/>
        </w:rPr>
      </w:pPr>
      <w:r>
        <w:rPr>
          <w:rFonts w:ascii="Verdana" w:hAnsi="Verdana" w:cs="Arial"/>
          <w:iCs/>
          <w:color w:val="000000" w:themeColor="text1"/>
        </w:rPr>
        <w:tab/>
        <w:t xml:space="preserve">En conclusión, </w:t>
      </w:r>
      <w:r w:rsidRPr="00E67EB1">
        <w:rPr>
          <w:rFonts w:ascii="Verdana" w:hAnsi="Verdana" w:cs="Arial"/>
          <w:iCs/>
          <w:color w:val="000000" w:themeColor="text1"/>
        </w:rPr>
        <w:t>en cuanto a</w:t>
      </w:r>
      <w:r>
        <w:rPr>
          <w:rFonts w:ascii="Verdana" w:hAnsi="Verdana" w:cs="Arial"/>
          <w:iCs/>
          <w:color w:val="000000" w:themeColor="text1"/>
        </w:rPr>
        <w:t xml:space="preserve"> los plazos de</w:t>
      </w:r>
      <w:r w:rsidRPr="00E67EB1">
        <w:rPr>
          <w:rFonts w:ascii="Verdana" w:hAnsi="Verdana" w:cs="Arial"/>
          <w:iCs/>
          <w:color w:val="000000" w:themeColor="text1"/>
        </w:rPr>
        <w:t xml:space="preserve"> </w:t>
      </w:r>
      <w:r>
        <w:rPr>
          <w:rFonts w:ascii="Verdana" w:hAnsi="Verdana" w:cs="Arial"/>
          <w:iCs/>
          <w:color w:val="000000" w:themeColor="text1"/>
        </w:rPr>
        <w:t>veinte (</w:t>
      </w:r>
      <w:r w:rsidRPr="00E67EB1">
        <w:rPr>
          <w:rFonts w:ascii="Verdana" w:hAnsi="Verdana" w:cs="Arial"/>
          <w:iCs/>
          <w:color w:val="000000" w:themeColor="text1"/>
        </w:rPr>
        <w:t>20</w:t>
      </w:r>
      <w:r>
        <w:rPr>
          <w:rFonts w:ascii="Verdana" w:hAnsi="Verdana" w:cs="Arial"/>
          <w:iCs/>
          <w:color w:val="000000" w:themeColor="text1"/>
        </w:rPr>
        <w:t>)</w:t>
      </w:r>
      <w:r w:rsidRPr="00E67EB1">
        <w:rPr>
          <w:rFonts w:ascii="Verdana" w:hAnsi="Verdana" w:cs="Arial"/>
          <w:iCs/>
          <w:color w:val="000000" w:themeColor="text1"/>
        </w:rPr>
        <w:t xml:space="preserve"> años de prescripción de la </w:t>
      </w:r>
      <w:r w:rsidRPr="00635DD1">
        <w:rPr>
          <w:rFonts w:ascii="Verdana" w:hAnsi="Verdana" w:cs="Arial"/>
          <w:i/>
          <w:color w:val="000000" w:themeColor="text1"/>
        </w:rPr>
        <w:t>responsabilidad civil</w:t>
      </w:r>
      <w:r w:rsidRPr="00E67EB1">
        <w:rPr>
          <w:rFonts w:ascii="Verdana" w:hAnsi="Verdana" w:cs="Arial"/>
          <w:iCs/>
          <w:color w:val="000000" w:themeColor="text1"/>
        </w:rPr>
        <w:t xml:space="preserve"> y </w:t>
      </w:r>
      <w:r>
        <w:rPr>
          <w:rFonts w:ascii="Verdana" w:hAnsi="Verdana" w:cs="Arial"/>
          <w:iCs/>
          <w:color w:val="000000" w:themeColor="text1"/>
        </w:rPr>
        <w:t>diez (</w:t>
      </w:r>
      <w:r w:rsidRPr="00E67EB1">
        <w:rPr>
          <w:rFonts w:ascii="Verdana" w:hAnsi="Verdana" w:cs="Arial"/>
          <w:iCs/>
          <w:color w:val="000000" w:themeColor="text1"/>
        </w:rPr>
        <w:t>10</w:t>
      </w:r>
      <w:r>
        <w:rPr>
          <w:rFonts w:ascii="Verdana" w:hAnsi="Verdana" w:cs="Arial"/>
          <w:iCs/>
          <w:color w:val="000000" w:themeColor="text1"/>
        </w:rPr>
        <w:t>) años</w:t>
      </w:r>
      <w:r w:rsidRPr="00E67EB1">
        <w:rPr>
          <w:rFonts w:ascii="Verdana" w:hAnsi="Verdana" w:cs="Arial"/>
          <w:iCs/>
          <w:color w:val="000000" w:themeColor="text1"/>
        </w:rPr>
        <w:t xml:space="preserve"> de la </w:t>
      </w:r>
      <w:r w:rsidRPr="00635DD1">
        <w:rPr>
          <w:rFonts w:ascii="Verdana" w:hAnsi="Verdana" w:cs="Arial"/>
          <w:i/>
          <w:color w:val="000000" w:themeColor="text1"/>
        </w:rPr>
        <w:t>responsabilidad disciplinaria</w:t>
      </w:r>
      <w:r>
        <w:rPr>
          <w:rFonts w:ascii="Verdana" w:hAnsi="Verdana" w:cs="Arial"/>
          <w:iCs/>
          <w:color w:val="000000" w:themeColor="text1"/>
        </w:rPr>
        <w:t xml:space="preserve">, </w:t>
      </w:r>
      <w:r w:rsidRPr="00E67EB1">
        <w:rPr>
          <w:rFonts w:ascii="Verdana" w:hAnsi="Verdana" w:cs="Arial"/>
          <w:iCs/>
          <w:color w:val="000000" w:themeColor="text1"/>
        </w:rPr>
        <w:t>el artículo 55 de la Ley 80</w:t>
      </w:r>
      <w:r>
        <w:rPr>
          <w:rFonts w:ascii="Verdana" w:hAnsi="Verdana" w:cs="Arial"/>
          <w:iCs/>
          <w:color w:val="000000" w:themeColor="text1"/>
        </w:rPr>
        <w:t xml:space="preserve"> de 19</w:t>
      </w:r>
      <w:r w:rsidRPr="00E67EB1">
        <w:rPr>
          <w:rFonts w:ascii="Verdana" w:hAnsi="Verdana" w:cs="Arial"/>
          <w:iCs/>
          <w:color w:val="000000" w:themeColor="text1"/>
        </w:rPr>
        <w:t xml:space="preserve">93 </w:t>
      </w:r>
      <w:r>
        <w:rPr>
          <w:rFonts w:ascii="Verdana" w:hAnsi="Verdana" w:cs="Arial"/>
          <w:iCs/>
          <w:color w:val="000000" w:themeColor="text1"/>
        </w:rPr>
        <w:t xml:space="preserve">está tácitamente derogado; razón por la cual, </w:t>
      </w:r>
      <w:r>
        <w:rPr>
          <w:rFonts w:ascii="Verdana" w:eastAsia="Calibri" w:hAnsi="Verdana" w:cs="Arial"/>
          <w:bCs/>
          <w:lang w:val="es-ES_tradnl"/>
        </w:rPr>
        <w:t xml:space="preserve">el ejercicio oportuno del derecho de acción en materia contenciosa administrativa y el plazo para sancionar </w:t>
      </w:r>
      <w:r w:rsidRPr="005D70A7">
        <w:rPr>
          <w:rFonts w:ascii="Verdana" w:hAnsi="Verdana" w:cs="Arial"/>
          <w:color w:val="000000" w:themeColor="text1"/>
          <w:lang w:val="es-ES"/>
        </w:rPr>
        <w:t xml:space="preserve">el </w:t>
      </w:r>
      <w:r>
        <w:rPr>
          <w:rFonts w:ascii="Verdana" w:hAnsi="Verdana" w:cs="Arial"/>
          <w:color w:val="000000" w:themeColor="text1"/>
          <w:lang w:val="es-ES"/>
        </w:rPr>
        <w:t xml:space="preserve">incumplimiento </w:t>
      </w:r>
      <w:r w:rsidRPr="005D70A7">
        <w:rPr>
          <w:rFonts w:ascii="Verdana" w:hAnsi="Verdana" w:cs="Arial"/>
          <w:color w:val="000000" w:themeColor="text1"/>
          <w:lang w:val="es-ES"/>
        </w:rPr>
        <w:t>de</w:t>
      </w:r>
      <w:r>
        <w:rPr>
          <w:rFonts w:ascii="Verdana" w:hAnsi="Verdana" w:cs="Arial"/>
          <w:color w:val="000000" w:themeColor="text1"/>
          <w:lang w:val="es-ES"/>
        </w:rPr>
        <w:t xml:space="preserve"> </w:t>
      </w:r>
      <w:r w:rsidRPr="005D70A7">
        <w:rPr>
          <w:rFonts w:ascii="Verdana" w:hAnsi="Verdana" w:cs="Arial"/>
          <w:color w:val="000000" w:themeColor="text1"/>
          <w:lang w:val="es-ES"/>
        </w:rPr>
        <w:t>l</w:t>
      </w:r>
      <w:r>
        <w:rPr>
          <w:rFonts w:ascii="Verdana" w:hAnsi="Verdana" w:cs="Arial"/>
          <w:color w:val="000000" w:themeColor="text1"/>
          <w:lang w:val="es-ES"/>
        </w:rPr>
        <w:t>os</w:t>
      </w:r>
      <w:r w:rsidRPr="005D70A7">
        <w:rPr>
          <w:rFonts w:ascii="Verdana" w:hAnsi="Verdana" w:cs="Arial"/>
          <w:color w:val="000000" w:themeColor="text1"/>
          <w:lang w:val="es-ES"/>
        </w:rPr>
        <w:t xml:space="preserve"> deber</w:t>
      </w:r>
      <w:r>
        <w:rPr>
          <w:rFonts w:ascii="Verdana" w:hAnsi="Verdana" w:cs="Arial"/>
          <w:color w:val="000000" w:themeColor="text1"/>
          <w:lang w:val="es-ES"/>
        </w:rPr>
        <w:t>es</w:t>
      </w:r>
      <w:r w:rsidRPr="005D70A7">
        <w:rPr>
          <w:rFonts w:ascii="Verdana" w:hAnsi="Verdana" w:cs="Arial"/>
          <w:color w:val="000000" w:themeColor="text1"/>
          <w:lang w:val="es-ES"/>
        </w:rPr>
        <w:t xml:space="preserve"> funcional</w:t>
      </w:r>
      <w:r>
        <w:rPr>
          <w:rFonts w:ascii="Verdana" w:hAnsi="Verdana" w:cs="Arial"/>
          <w:color w:val="000000" w:themeColor="text1"/>
          <w:lang w:val="es-ES"/>
        </w:rPr>
        <w:t>es de los</w:t>
      </w:r>
      <w:r w:rsidRPr="005D70A7">
        <w:rPr>
          <w:rFonts w:ascii="Verdana" w:hAnsi="Verdana" w:cs="Arial"/>
          <w:color w:val="000000" w:themeColor="text1"/>
          <w:lang w:val="es-ES"/>
        </w:rPr>
        <w:t xml:space="preserve"> servidor</w:t>
      </w:r>
      <w:r>
        <w:rPr>
          <w:rFonts w:ascii="Verdana" w:hAnsi="Verdana" w:cs="Arial"/>
          <w:color w:val="000000" w:themeColor="text1"/>
          <w:lang w:val="es-ES"/>
        </w:rPr>
        <w:t>es</w:t>
      </w:r>
      <w:r w:rsidRPr="005D70A7">
        <w:rPr>
          <w:rFonts w:ascii="Verdana" w:hAnsi="Verdana" w:cs="Arial"/>
          <w:color w:val="000000" w:themeColor="text1"/>
          <w:lang w:val="es-ES"/>
        </w:rPr>
        <w:t xml:space="preserve"> público</w:t>
      </w:r>
      <w:r>
        <w:rPr>
          <w:rFonts w:ascii="Verdana" w:hAnsi="Verdana" w:cs="Arial"/>
          <w:color w:val="000000" w:themeColor="text1"/>
          <w:lang w:val="es-ES"/>
        </w:rPr>
        <w:t>s</w:t>
      </w:r>
      <w:r w:rsidRPr="005D70A7">
        <w:rPr>
          <w:rFonts w:ascii="Verdana" w:hAnsi="Verdana" w:cs="Arial"/>
          <w:color w:val="000000" w:themeColor="text1"/>
          <w:lang w:val="es-ES"/>
        </w:rPr>
        <w:t xml:space="preserve"> o </w:t>
      </w:r>
      <w:r>
        <w:rPr>
          <w:rFonts w:ascii="Verdana" w:hAnsi="Verdana" w:cs="Arial"/>
          <w:color w:val="000000" w:themeColor="text1"/>
          <w:lang w:val="es-ES"/>
        </w:rPr>
        <w:t>de los</w:t>
      </w:r>
      <w:r w:rsidRPr="005D70A7">
        <w:rPr>
          <w:rFonts w:ascii="Verdana" w:hAnsi="Verdana" w:cs="Arial"/>
          <w:color w:val="000000" w:themeColor="text1"/>
          <w:lang w:val="es-ES"/>
        </w:rPr>
        <w:t xml:space="preserve"> particular</w:t>
      </w:r>
      <w:r>
        <w:rPr>
          <w:rFonts w:ascii="Verdana" w:hAnsi="Verdana" w:cs="Arial"/>
          <w:color w:val="000000" w:themeColor="text1"/>
          <w:lang w:val="es-ES"/>
        </w:rPr>
        <w:t>es</w:t>
      </w:r>
      <w:r w:rsidRPr="005D70A7">
        <w:rPr>
          <w:rFonts w:ascii="Verdana" w:hAnsi="Verdana" w:cs="Arial"/>
          <w:color w:val="000000" w:themeColor="text1"/>
          <w:lang w:val="es-ES"/>
        </w:rPr>
        <w:t xml:space="preserve"> que cumple funciones públicas</w:t>
      </w:r>
      <w:r>
        <w:rPr>
          <w:rFonts w:ascii="Verdana" w:hAnsi="Verdana" w:cs="Arial"/>
          <w:color w:val="000000" w:themeColor="text1"/>
          <w:lang w:val="es-ES"/>
        </w:rPr>
        <w:t xml:space="preserve"> se encuentra regulado en la actualidad tanto en el Código de </w:t>
      </w:r>
      <w:r>
        <w:rPr>
          <w:rFonts w:ascii="Verdana" w:hAnsi="Verdana" w:cs="Arial"/>
          <w:color w:val="000000" w:themeColor="text1"/>
          <w:lang w:val="es-ES"/>
        </w:rPr>
        <w:lastRenderedPageBreak/>
        <w:t>Procedimiento Administrativo y de lo Contencioso Administrativo –Ley 1437 de 2011– como en el Código General Disciplinario –Ley 1952 de 2019–</w:t>
      </w:r>
      <w:r w:rsidRPr="00E67EB1">
        <w:rPr>
          <w:rFonts w:ascii="Verdana" w:hAnsi="Verdana" w:cs="Arial"/>
          <w:iCs/>
          <w:color w:val="000000" w:themeColor="text1"/>
        </w:rPr>
        <w:t>.</w:t>
      </w:r>
    </w:p>
    <w:p w14:paraId="30FC33BF" w14:textId="77777777" w:rsidR="00F82C1B" w:rsidRPr="00A47393" w:rsidRDefault="00F82C1B" w:rsidP="00F82C1B">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659EA32" w14:textId="77777777" w:rsidR="00F82C1B" w:rsidRPr="00185EE9" w:rsidRDefault="00F82C1B" w:rsidP="00F82C1B">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527A68C3" w14:textId="77777777" w:rsidR="00F82C1B" w:rsidRPr="00182C89" w:rsidRDefault="00F82C1B" w:rsidP="00F82C1B">
      <w:pPr>
        <w:tabs>
          <w:tab w:val="left" w:pos="709"/>
        </w:tabs>
        <w:spacing w:after="0" w:line="276" w:lineRule="auto"/>
        <w:jc w:val="both"/>
        <w:rPr>
          <w:rFonts w:ascii="Verdana" w:eastAsia="Calibri" w:hAnsi="Verdana" w:cs="Arial"/>
          <w:color w:val="000000" w:themeColor="text1"/>
        </w:rPr>
      </w:pPr>
    </w:p>
    <w:p w14:paraId="3D11F08F" w14:textId="77777777" w:rsidR="00F82C1B" w:rsidRPr="00593A5F" w:rsidRDefault="00F82C1B" w:rsidP="00F82C1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446711E" w14:textId="77777777" w:rsidR="00F82C1B" w:rsidRPr="00593A5F" w:rsidRDefault="00F82C1B" w:rsidP="00F82C1B">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82C1B" w:rsidRPr="002407CE" w14:paraId="2171669D" w14:textId="77777777" w:rsidTr="008F2A11">
        <w:trPr>
          <w:trHeight w:val="56"/>
          <w:jc w:val="center"/>
        </w:trPr>
        <w:tc>
          <w:tcPr>
            <w:tcW w:w="8647" w:type="dxa"/>
          </w:tcPr>
          <w:p w14:paraId="4D6E7D90" w14:textId="77777777" w:rsidR="00F82C1B" w:rsidRPr="000E613C"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Constitución Política de 1991, artículos 28, 29 y 90.</w:t>
            </w:r>
          </w:p>
          <w:p w14:paraId="22D3EC49" w14:textId="77777777" w:rsidR="00F82C1B"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80 de 1993</w:t>
            </w:r>
            <w:r>
              <w:rPr>
                <w:rFonts w:ascii="Verdana" w:hAnsi="Verdana" w:cs="Arial"/>
              </w:rPr>
              <w:t>, artículos 26, 50, 51, 52, 53 y 55.</w:t>
            </w:r>
            <w:r w:rsidRPr="00B87E7A">
              <w:rPr>
                <w:rFonts w:ascii="Verdana" w:hAnsi="Verdana" w:cs="Arial"/>
              </w:rPr>
              <w:t xml:space="preserve"> </w:t>
            </w:r>
          </w:p>
          <w:p w14:paraId="371C605F" w14:textId="77777777" w:rsidR="00F82C1B" w:rsidRPr="00C07102"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1437 de 2011, artículo 164.</w:t>
            </w:r>
          </w:p>
          <w:p w14:paraId="56A9EAA9" w14:textId="77777777" w:rsidR="00F82C1B"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1952 de 2019, artículo 33.</w:t>
            </w:r>
          </w:p>
          <w:p w14:paraId="4F9C408B" w14:textId="77777777" w:rsidR="00F82C1B"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87 de 1887, artículo 5</w:t>
            </w:r>
          </w:p>
          <w:p w14:paraId="3864E498" w14:textId="77777777" w:rsidR="00F82C1B" w:rsidRDefault="00F82C1B" w:rsidP="00F82C1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153 de 1887, artículos 2 y 14. </w:t>
            </w:r>
          </w:p>
          <w:p w14:paraId="11A27BBB" w14:textId="77777777" w:rsidR="00F82C1B" w:rsidRPr="00B87E7A" w:rsidRDefault="00F82C1B" w:rsidP="00F82C1B">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Código Civil, artículo 71. </w:t>
            </w:r>
          </w:p>
        </w:tc>
      </w:tr>
    </w:tbl>
    <w:p w14:paraId="167A58EC" w14:textId="77777777" w:rsidR="00F82C1B" w:rsidRPr="002407CE" w:rsidRDefault="00F82C1B" w:rsidP="00F82C1B">
      <w:pPr>
        <w:widowControl w:val="0"/>
        <w:autoSpaceDE w:val="0"/>
        <w:autoSpaceDN w:val="0"/>
        <w:spacing w:after="0" w:line="276" w:lineRule="auto"/>
        <w:jc w:val="both"/>
        <w:rPr>
          <w:rFonts w:ascii="Verdana" w:hAnsi="Verdana" w:cs="Arial"/>
        </w:rPr>
      </w:pPr>
    </w:p>
    <w:p w14:paraId="6EB21EF0" w14:textId="77777777" w:rsidR="00F82C1B" w:rsidRPr="00593A5F" w:rsidRDefault="00F82C1B" w:rsidP="00F82C1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4259C8C9" w14:textId="77777777" w:rsidR="00F82C1B" w:rsidRPr="00593A5F" w:rsidRDefault="00F82C1B" w:rsidP="00F82C1B">
      <w:pPr>
        <w:widowControl w:val="0"/>
        <w:autoSpaceDE w:val="0"/>
        <w:autoSpaceDN w:val="0"/>
        <w:spacing w:after="0" w:line="276" w:lineRule="auto"/>
        <w:jc w:val="both"/>
        <w:rPr>
          <w:rFonts w:ascii="Verdana" w:hAnsi="Verdana" w:cs="Arial"/>
        </w:rPr>
      </w:pPr>
    </w:p>
    <w:p w14:paraId="09789A91" w14:textId="77777777" w:rsidR="00F82C1B" w:rsidRPr="00ED0098" w:rsidRDefault="00F82C1B" w:rsidP="00F82C1B">
      <w:pPr>
        <w:widowControl w:val="0"/>
        <w:autoSpaceDE w:val="0"/>
        <w:autoSpaceDN w:val="0"/>
        <w:spacing w:after="0" w:line="276" w:lineRule="auto"/>
        <w:jc w:val="both"/>
        <w:rPr>
          <w:rStyle w:val="normaltextrun"/>
          <w:rFonts w:ascii="Verdana" w:hAnsi="Verdana" w:cs="Arial"/>
          <w:shd w:val="clear" w:color="auto" w:fill="FFFFFF"/>
        </w:rPr>
      </w:pPr>
      <w:r w:rsidRPr="00E278D2">
        <w:rPr>
          <w:rStyle w:val="normaltextrun"/>
          <w:rFonts w:ascii="Verdana" w:hAnsi="Verdana" w:cs="Arial"/>
          <w:shd w:val="clear" w:color="auto" w:fill="FFFFFF"/>
        </w:rPr>
        <w:t>Est</w:t>
      </w:r>
      <w:r>
        <w:rPr>
          <w:rStyle w:val="normaltextrun"/>
          <w:rFonts w:ascii="Verdana" w:hAnsi="Verdana" w:cs="Arial"/>
          <w:shd w:val="clear" w:color="auto" w:fill="FFFFFF"/>
        </w:rPr>
        <w:t>e</w:t>
      </w:r>
      <w:r w:rsidRPr="00E278D2">
        <w:rPr>
          <w:rStyle w:val="normaltextrun"/>
          <w:rFonts w:ascii="Verdana" w:hAnsi="Verdana" w:cs="Arial"/>
          <w:shd w:val="clear" w:color="auto" w:fill="FFFFFF"/>
        </w:rPr>
        <w:t xml:space="preserve"> y otros conceptos</w:t>
      </w:r>
      <w:r>
        <w:rPr>
          <w:rStyle w:val="normaltextrun"/>
          <w:rFonts w:ascii="Verdana" w:hAnsi="Verdana" w:cs="Arial"/>
          <w:shd w:val="clear" w:color="auto" w:fill="FFFFFF"/>
        </w:rPr>
        <w:t xml:space="preserve"> de la Subdirección</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72CE7474" w14:textId="77777777" w:rsidR="00F82C1B" w:rsidRPr="00096788" w:rsidRDefault="00F82C1B" w:rsidP="00F82C1B">
      <w:pPr>
        <w:widowControl w:val="0"/>
        <w:autoSpaceDE w:val="0"/>
        <w:autoSpaceDN w:val="0"/>
        <w:spacing w:after="0" w:line="276" w:lineRule="auto"/>
        <w:jc w:val="both"/>
        <w:rPr>
          <w:rFonts w:ascii="Verdana" w:hAnsi="Verdana" w:cs="Arial"/>
          <w:color w:val="000000" w:themeColor="text1"/>
          <w:shd w:val="clear" w:color="auto" w:fill="FFFFFF"/>
        </w:rPr>
      </w:pPr>
    </w:p>
    <w:p w14:paraId="755686CA" w14:textId="77777777" w:rsidR="00F82C1B" w:rsidRDefault="00F82C1B" w:rsidP="00F82C1B">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137DEEF1" w14:textId="77777777" w:rsidR="00F82C1B" w:rsidRPr="009A385A" w:rsidRDefault="00F82C1B" w:rsidP="00F82C1B">
      <w:pPr>
        <w:spacing w:after="0"/>
        <w:jc w:val="both"/>
        <w:rPr>
          <w:rFonts w:ascii="Verdana" w:hAnsi="Verdana"/>
        </w:rPr>
      </w:pPr>
    </w:p>
    <w:p w14:paraId="61445B41" w14:textId="77777777" w:rsidR="00F82C1B" w:rsidRDefault="00F82C1B" w:rsidP="00F82C1B">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66DC64D" w14:textId="77777777" w:rsidR="00F82C1B" w:rsidRDefault="00F82C1B" w:rsidP="00F82C1B">
      <w:pPr>
        <w:spacing w:after="0"/>
        <w:jc w:val="both"/>
        <w:rPr>
          <w:rFonts w:ascii="Verdana" w:hAnsi="Verdana"/>
        </w:rPr>
      </w:pPr>
    </w:p>
    <w:p w14:paraId="0C5D2ADA" w14:textId="77777777" w:rsidR="00F82C1B" w:rsidRPr="008E1CD7" w:rsidRDefault="00F82C1B" w:rsidP="00F82C1B">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w:t>
        </w:r>
        <w:r w:rsidRPr="009A385A">
          <w:rPr>
            <w:rStyle w:val="Hipervnculo"/>
            <w:rFonts w:ascii="Verdana" w:hAnsi="Verdana"/>
          </w:rPr>
          <w:lastRenderedPageBreak/>
          <w:t>infraestructura-de-transporte-bajo-las-diferentes-modalidades-de-contratacion-vigentes</w:t>
        </w:r>
      </w:hyperlink>
    </w:p>
    <w:p w14:paraId="6D41AD7B" w14:textId="77777777" w:rsidR="00F82C1B" w:rsidRDefault="00F82C1B" w:rsidP="00F82C1B">
      <w:pPr>
        <w:shd w:val="clear" w:color="auto" w:fill="FFFFFF"/>
        <w:spacing w:after="0" w:line="276" w:lineRule="auto"/>
        <w:jc w:val="both"/>
        <w:rPr>
          <w:rFonts w:ascii="Verdana" w:hAnsi="Verdana"/>
          <w:color w:val="000000"/>
          <w:u w:val="single"/>
        </w:rPr>
      </w:pPr>
    </w:p>
    <w:p w14:paraId="0BA9420C" w14:textId="77777777" w:rsidR="00F82C1B" w:rsidRPr="00116940" w:rsidRDefault="00F82C1B" w:rsidP="00F82C1B">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77576B4C" w14:textId="77777777" w:rsidR="00F82C1B" w:rsidRPr="00116940" w:rsidRDefault="00F82C1B" w:rsidP="00F82C1B">
      <w:pPr>
        <w:spacing w:after="0"/>
        <w:jc w:val="both"/>
        <w:rPr>
          <w:rFonts w:ascii="Verdana" w:hAnsi="Verdana"/>
        </w:rPr>
      </w:pPr>
    </w:p>
    <w:p w14:paraId="6FBC3180" w14:textId="77777777" w:rsidR="00F82C1B" w:rsidRPr="00116940" w:rsidRDefault="00F82C1B" w:rsidP="00F82C1B">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21C3F51C" w14:textId="77777777" w:rsidR="00F82C1B" w:rsidRPr="00116940" w:rsidRDefault="00F82C1B" w:rsidP="00F82C1B">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759F0584" w14:textId="77777777" w:rsidR="00F82C1B" w:rsidRPr="00116940" w:rsidRDefault="00F82C1B" w:rsidP="00F82C1B">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70A38AB1" w14:textId="77777777" w:rsidR="00F82C1B" w:rsidRPr="00116940" w:rsidRDefault="00F82C1B" w:rsidP="00F82C1B">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4D0C9E2A" w14:textId="77777777" w:rsidR="00F82C1B" w:rsidRPr="00116940" w:rsidRDefault="00F82C1B" w:rsidP="00F82C1B">
      <w:pPr>
        <w:spacing w:after="0" w:line="240" w:lineRule="auto"/>
        <w:ind w:left="720"/>
        <w:jc w:val="both"/>
        <w:rPr>
          <w:rFonts w:ascii="Verdana" w:hAnsi="Verdana"/>
        </w:rPr>
      </w:pPr>
    </w:p>
    <w:p w14:paraId="781C8074" w14:textId="77777777" w:rsidR="00F82C1B" w:rsidRPr="00116940" w:rsidRDefault="00F82C1B" w:rsidP="00F82C1B">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7878E21D" w14:textId="77777777" w:rsidR="00F82C1B" w:rsidRPr="00116940" w:rsidRDefault="00F82C1B" w:rsidP="00F82C1B">
      <w:pPr>
        <w:spacing w:after="0" w:line="240" w:lineRule="auto"/>
        <w:rPr>
          <w:rFonts w:ascii="Verdana" w:hAnsi="Verdana"/>
        </w:rPr>
      </w:pPr>
    </w:p>
    <w:p w14:paraId="50877C07" w14:textId="77777777" w:rsidR="00F82C1B" w:rsidRPr="00116940" w:rsidRDefault="00F82C1B" w:rsidP="00F82C1B">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8ADFE5E" w14:textId="77777777" w:rsidR="00F82C1B" w:rsidRPr="00116940" w:rsidRDefault="00F82C1B" w:rsidP="00F82C1B">
      <w:pPr>
        <w:spacing w:after="0" w:line="240" w:lineRule="auto"/>
        <w:jc w:val="both"/>
        <w:rPr>
          <w:rFonts w:ascii="Verdana" w:hAnsi="Verdana"/>
        </w:rPr>
      </w:pPr>
    </w:p>
    <w:p w14:paraId="46045695" w14:textId="77777777" w:rsidR="00F82C1B" w:rsidRPr="00116940" w:rsidRDefault="00F82C1B" w:rsidP="00F82C1B">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F7A6454" w14:textId="77777777" w:rsidR="00F82C1B" w:rsidRPr="00116940" w:rsidRDefault="00F82C1B" w:rsidP="00F82C1B">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567A7F6" w14:textId="77777777" w:rsidR="00F82C1B" w:rsidRPr="00116940" w:rsidRDefault="00F82C1B" w:rsidP="00F82C1B">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4A339BE" w14:textId="77777777" w:rsidR="00F82C1B" w:rsidRPr="009C4035" w:rsidRDefault="00F82C1B" w:rsidP="00F82C1B">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34EB22C3" w14:textId="77777777" w:rsidR="00F82C1B" w:rsidRPr="00593A5F" w:rsidRDefault="00F82C1B" w:rsidP="00F82C1B">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3BA16C88" w14:textId="77777777" w:rsidR="00F82C1B" w:rsidRPr="00593A5F" w:rsidRDefault="00F82C1B" w:rsidP="00F82C1B">
      <w:pPr>
        <w:widowControl w:val="0"/>
        <w:autoSpaceDE w:val="0"/>
        <w:autoSpaceDN w:val="0"/>
        <w:spacing w:after="0" w:line="276" w:lineRule="auto"/>
        <w:jc w:val="both"/>
        <w:rPr>
          <w:rFonts w:ascii="Verdana" w:hAnsi="Verdana" w:cs="Arial"/>
        </w:rPr>
      </w:pPr>
    </w:p>
    <w:p w14:paraId="3ACD6124" w14:textId="77777777" w:rsidR="00F82C1B" w:rsidRPr="00593A5F" w:rsidRDefault="00F82C1B" w:rsidP="00F82C1B">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741483B5" w14:textId="6E1E7E2E" w:rsidR="00F82C1B" w:rsidRPr="00593A5F" w:rsidRDefault="00EB3DFC" w:rsidP="00F82C1B">
      <w:pPr>
        <w:spacing w:line="276" w:lineRule="auto"/>
        <w:jc w:val="center"/>
        <w:rPr>
          <w:rFonts w:ascii="Verdana" w:hAnsi="Verdana" w:cs="Arial"/>
          <w:color w:val="000000"/>
          <w:lang w:val="es-ES_tradnl" w:eastAsia="es-CO"/>
        </w:rPr>
      </w:pPr>
      <w:r>
        <w:rPr>
          <w:noProof/>
        </w:rPr>
        <w:lastRenderedPageBreak/>
        <w:drawing>
          <wp:inline distT="0" distB="0" distL="0" distR="0" wp14:anchorId="22DB9DE1" wp14:editId="5E447B41">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82C1B" w:rsidRPr="00593A5F" w14:paraId="4F2084EE" w14:textId="77777777" w:rsidTr="008F2A11">
        <w:trPr>
          <w:trHeight w:val="315"/>
        </w:trPr>
        <w:tc>
          <w:tcPr>
            <w:tcW w:w="893" w:type="dxa"/>
            <w:vAlign w:val="center"/>
            <w:hideMark/>
          </w:tcPr>
          <w:p w14:paraId="520DAA98" w14:textId="77777777" w:rsidR="00F82C1B" w:rsidRPr="003751C7" w:rsidRDefault="00F82C1B" w:rsidP="008F2A11">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1565C03" w14:textId="77777777" w:rsidR="00F82C1B" w:rsidRPr="00254A7A" w:rsidRDefault="00F82C1B" w:rsidP="008F2A11">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1914D448" w14:textId="77777777" w:rsidR="00F82C1B" w:rsidRPr="00254A7A" w:rsidRDefault="00F82C1B" w:rsidP="008F2A11">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F82C1B" w:rsidRPr="00593A5F" w14:paraId="26EB5631" w14:textId="77777777" w:rsidTr="008F2A11">
        <w:trPr>
          <w:trHeight w:val="330"/>
        </w:trPr>
        <w:tc>
          <w:tcPr>
            <w:tcW w:w="893" w:type="dxa"/>
            <w:vAlign w:val="center"/>
            <w:hideMark/>
          </w:tcPr>
          <w:p w14:paraId="2D986FD6" w14:textId="77777777" w:rsidR="00F82C1B" w:rsidRPr="003751C7" w:rsidRDefault="00F82C1B" w:rsidP="008F2A11">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C072242" w14:textId="77777777" w:rsidR="00F82C1B" w:rsidRPr="00DD767E" w:rsidRDefault="00F82C1B" w:rsidP="008F2A11">
            <w:pPr>
              <w:pStyle w:val="paragraph"/>
              <w:spacing w:after="0"/>
              <w:contextualSpacing/>
              <w:textAlignment w:val="baseline"/>
              <w:rPr>
                <w:rStyle w:val="normaltextrun"/>
                <w:rFonts w:ascii="Verdana" w:hAnsi="Verdana" w:cs="Arial"/>
                <w:sz w:val="16"/>
                <w:szCs w:val="16"/>
                <w:lang w:val="es-ES_tradnl"/>
              </w:rPr>
            </w:pPr>
            <w:r w:rsidRPr="00DD767E">
              <w:rPr>
                <w:rStyle w:val="normaltextrun"/>
                <w:rFonts w:ascii="Verdana" w:hAnsi="Verdana" w:cs="Arial"/>
                <w:sz w:val="16"/>
                <w:szCs w:val="16"/>
                <w:lang w:val="es-ES_tradnl"/>
              </w:rPr>
              <w:t>Alejandro Sarmiento Cantillo</w:t>
            </w:r>
          </w:p>
          <w:p w14:paraId="48BA1CB0" w14:textId="77777777" w:rsidR="00F82C1B" w:rsidRPr="00A40FD0" w:rsidRDefault="00F82C1B" w:rsidP="008F2A11">
            <w:pPr>
              <w:pStyle w:val="paragraph"/>
              <w:spacing w:before="0" w:beforeAutospacing="0" w:after="0" w:afterAutospacing="0"/>
              <w:contextualSpacing/>
              <w:textAlignment w:val="baseline"/>
              <w:rPr>
                <w:rFonts w:ascii="Verdana" w:hAnsi="Verdana" w:cs="Segoe UI"/>
                <w:sz w:val="16"/>
                <w:szCs w:val="16"/>
              </w:rPr>
            </w:pPr>
            <w:r w:rsidRPr="00DD767E">
              <w:rPr>
                <w:rStyle w:val="normaltextrun"/>
                <w:rFonts w:ascii="Verdana" w:hAnsi="Verdana" w:cs="Arial"/>
                <w:sz w:val="16"/>
                <w:szCs w:val="16"/>
                <w:lang w:val="es-ES_tradnl"/>
              </w:rPr>
              <w:t>Gestor T1 ‒ 15 de la Subdirección de Gestión Contractual</w:t>
            </w:r>
          </w:p>
        </w:tc>
      </w:tr>
      <w:tr w:rsidR="00F82C1B" w:rsidRPr="00593A5F" w14:paraId="7E267A68" w14:textId="77777777" w:rsidTr="008F2A11">
        <w:trPr>
          <w:trHeight w:val="300"/>
        </w:trPr>
        <w:tc>
          <w:tcPr>
            <w:tcW w:w="893" w:type="dxa"/>
            <w:vAlign w:val="center"/>
          </w:tcPr>
          <w:p w14:paraId="2D566FDE" w14:textId="77777777" w:rsidR="00F82C1B" w:rsidRPr="003751C7" w:rsidRDefault="00F82C1B" w:rsidP="008F2A11">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80E57DC" w14:textId="77777777" w:rsidR="00F82C1B" w:rsidRPr="00FE00BE" w:rsidRDefault="00F82C1B" w:rsidP="008F2A11">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094D8651" w14:textId="77777777" w:rsidR="00F82C1B" w:rsidRPr="00FE00BE" w:rsidRDefault="00F82C1B" w:rsidP="008F2A11">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2F08888E" w14:textId="2DB61345" w:rsidR="00F82C1B" w:rsidRPr="00543BFE" w:rsidRDefault="00F82C1B" w:rsidP="00F82C1B"/>
    <w:p w14:paraId="0F293BF4" w14:textId="47D6ABE9" w:rsidR="00127233" w:rsidRPr="00F82C1B" w:rsidRDefault="00127233" w:rsidP="00F82C1B"/>
    <w:sectPr w:rsidR="00127233" w:rsidRPr="00F82C1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6DF0" w14:textId="77777777" w:rsidR="00CD20D4" w:rsidRDefault="00CD20D4" w:rsidP="004A1847">
      <w:pPr>
        <w:spacing w:after="0" w:line="240" w:lineRule="auto"/>
      </w:pPr>
      <w:r>
        <w:separator/>
      </w:r>
    </w:p>
  </w:endnote>
  <w:endnote w:type="continuationSeparator" w:id="0">
    <w:p w14:paraId="70D9F165" w14:textId="77777777" w:rsidR="00CD20D4" w:rsidRDefault="00CD20D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2D143" w14:textId="77777777" w:rsidR="00CD20D4" w:rsidRDefault="00CD20D4" w:rsidP="004A1847">
      <w:pPr>
        <w:spacing w:after="0" w:line="240" w:lineRule="auto"/>
      </w:pPr>
      <w:r>
        <w:separator/>
      </w:r>
    </w:p>
  </w:footnote>
  <w:footnote w:type="continuationSeparator" w:id="0">
    <w:p w14:paraId="27BC42E2" w14:textId="77777777" w:rsidR="00CD20D4" w:rsidRDefault="00CD20D4" w:rsidP="004A1847">
      <w:pPr>
        <w:spacing w:after="0" w:line="240" w:lineRule="auto"/>
      </w:pPr>
      <w:r>
        <w:continuationSeparator/>
      </w:r>
    </w:p>
  </w:footnote>
  <w:footnote w:id="1">
    <w:p w14:paraId="6A503602" w14:textId="77777777" w:rsidR="00F82C1B" w:rsidRPr="0011495D" w:rsidRDefault="00F82C1B" w:rsidP="00F82C1B">
      <w:pPr>
        <w:pStyle w:val="Textonotapie"/>
        <w:ind w:firstLine="708"/>
        <w:jc w:val="both"/>
        <w:rPr>
          <w:rFonts w:ascii="Verdana" w:hAnsi="Verdana"/>
          <w:sz w:val="16"/>
          <w:szCs w:val="16"/>
          <w:lang w:val="es-CO"/>
        </w:rPr>
      </w:pPr>
      <w:r w:rsidRPr="00961EE7">
        <w:rPr>
          <w:rStyle w:val="Refdenotaalpie"/>
          <w:rFonts w:ascii="Verdana" w:hAnsi="Verdana"/>
          <w:sz w:val="16"/>
          <w:szCs w:val="16"/>
        </w:rPr>
        <w:footnoteRef/>
      </w:r>
      <w:r w:rsidRPr="00961EE7">
        <w:rPr>
          <w:rFonts w:ascii="Verdana" w:hAnsi="Verdana"/>
          <w:sz w:val="16"/>
          <w:szCs w:val="16"/>
        </w:rPr>
        <w:t xml:space="preserve"> Cfr. TAMAYO JARAMILLO, Javier. Tratado de responsabilidad civil. Segunda edición. Bogotá: Legis, 2015. p. 8.</w:t>
      </w:r>
    </w:p>
  </w:footnote>
  <w:footnote w:id="2">
    <w:p w14:paraId="2234E636" w14:textId="77777777" w:rsidR="00F82C1B" w:rsidRPr="00961EE7" w:rsidRDefault="00F82C1B" w:rsidP="00F82C1B">
      <w:pPr>
        <w:pStyle w:val="Textonotapie"/>
        <w:ind w:firstLine="708"/>
        <w:jc w:val="both"/>
        <w:rPr>
          <w:rFonts w:ascii="Verdana" w:hAnsi="Verdana"/>
          <w:sz w:val="16"/>
          <w:szCs w:val="16"/>
          <w:lang w:val="es-CO"/>
        </w:rPr>
      </w:pPr>
      <w:r w:rsidRPr="00961EE7">
        <w:rPr>
          <w:rStyle w:val="Refdenotaalpie"/>
          <w:rFonts w:ascii="Verdana" w:hAnsi="Verdana"/>
          <w:sz w:val="16"/>
          <w:szCs w:val="16"/>
        </w:rPr>
        <w:footnoteRef/>
      </w:r>
      <w:r w:rsidRPr="00961EE7">
        <w:rPr>
          <w:rFonts w:ascii="Verdana" w:hAnsi="Verdana"/>
          <w:sz w:val="16"/>
          <w:szCs w:val="16"/>
        </w:rPr>
        <w:t xml:space="preserve"> Cfr. GÓMEZ PAVAJEAU, Carlos Arturo. Fundamentos del derecho disciplinario colombiano. Tercera edición. Bogotá: Universidad Externado de Colombia, 2020. p. 74. Como acota GALOFRE CAMPO, “La estructura de la responsabilidad disciplinaria se comprende cuando un sujeto, servidor público o particular que ejerce funciones públicas, plenamente capaz, comete una conducta, por acción u omisión, que resulta ser típica –falta gravísima, grave o leve–, sustancialmente ilícita –afectación del deber funcional, sin justificación alguna–, que sea realizada con culpabilidad –culpabilidad psicológica: dolo o culpa; y culpabilidad normativa: exigibilidad de una conducta diferente– y que no esté presente alguna causal de exclusión de responsabilidad” (GALOFRE CAMPO, Silvana. De las faltas. En: Fundamentos de derecho disciplinario. Investigación sobre los retos y desafíos de un mundo globalizado. Barcelona: Libería Bosch Editor, 2024. p. 154). </w:t>
      </w:r>
    </w:p>
  </w:footnote>
  <w:footnote w:id="3">
    <w:p w14:paraId="62706647" w14:textId="77777777" w:rsidR="00F82C1B" w:rsidRPr="00961EE7" w:rsidRDefault="00F82C1B" w:rsidP="00F82C1B">
      <w:pPr>
        <w:pStyle w:val="Textonotapie"/>
        <w:ind w:firstLine="708"/>
        <w:jc w:val="both"/>
        <w:rPr>
          <w:rFonts w:ascii="Verdana" w:hAnsi="Verdana"/>
          <w:sz w:val="16"/>
          <w:szCs w:val="16"/>
          <w:lang w:val="es-CO"/>
        </w:rPr>
      </w:pPr>
      <w:r w:rsidRPr="00961EE7">
        <w:rPr>
          <w:rStyle w:val="Refdenotaalpie"/>
          <w:rFonts w:ascii="Verdana" w:hAnsi="Verdana"/>
          <w:sz w:val="16"/>
          <w:szCs w:val="16"/>
        </w:rPr>
        <w:footnoteRef/>
      </w:r>
      <w:r w:rsidRPr="00961EE7">
        <w:rPr>
          <w:rFonts w:ascii="Verdana" w:hAnsi="Verdana"/>
          <w:sz w:val="16"/>
          <w:szCs w:val="16"/>
        </w:rPr>
        <w:t xml:space="preserve"> CONSEJO DE ESTADO. Sección Tercera. Auto del 19 de febrero de 2004. Rad. 24427. C.P. María Elena Giraldo Gómez. Dicha tesis se reitera en Sentencia de la Subsección A del 14 de agosto de 2013, rad. 45191, con ponencia del Consejero Hernán Andrade Rincón; Auto de la Subcción A del 10 de enero de 2014, rad. 51904, con ponencia del mismo Consejero; así como en Auto de la Subsección B del 13 de julio de 2017, rad. 54862, con ponencia del Consejero Ramiro Pazos Guerrero.</w:t>
      </w:r>
    </w:p>
  </w:footnote>
  <w:footnote w:id="4">
    <w:p w14:paraId="0D10A8A2" w14:textId="77777777" w:rsidR="00F82C1B" w:rsidRPr="00961EE7" w:rsidRDefault="00F82C1B" w:rsidP="00F82C1B">
      <w:pPr>
        <w:pStyle w:val="Textonotapie"/>
        <w:ind w:firstLine="708"/>
        <w:jc w:val="both"/>
        <w:rPr>
          <w:rFonts w:ascii="Verdana" w:hAnsi="Verdana"/>
          <w:sz w:val="16"/>
          <w:szCs w:val="16"/>
        </w:rPr>
      </w:pPr>
      <w:r w:rsidRPr="00961EE7">
        <w:rPr>
          <w:rStyle w:val="Refdenotaalpie"/>
          <w:rFonts w:ascii="Verdana" w:hAnsi="Verdana"/>
          <w:sz w:val="16"/>
          <w:szCs w:val="16"/>
        </w:rPr>
        <w:footnoteRef/>
      </w:r>
      <w:r w:rsidRPr="00961EE7">
        <w:rPr>
          <w:rFonts w:ascii="Verdana" w:hAnsi="Verdana"/>
          <w:sz w:val="16"/>
          <w:szCs w:val="16"/>
        </w:rPr>
        <w:t xml:space="preserve"> HINESTROSA, Fernando. La prescripción extintiva. Segunda edición. Bogotá: Universidad Externado de Colombia, 2006. pp. 250-251. Por ello, desde una perspectiva procesal, “La regulación de los efectos del tiempo en las relaciones jurídicas ha perfilado en los últimos decenios el concepto de caducidad, íntimamente relacionado con el de la prescripción extintiva, que debido a la confusión originada en sus lineamientos jurídicos reflejada incluso en textos legales que en veces son inciertos acerca de qué fenómeno regulan, ha sido objeto de los más disímiles tratamientos” (Cfr. LÓPEZ BLANCO, Hernán Fabio. Código General del Proceso. Parte general. Tercera edición. Bogotá: Tirant lo Blanch, 2024. p. 507).</w:t>
      </w:r>
    </w:p>
  </w:footnote>
  <w:footnote w:id="5">
    <w:p w14:paraId="53220579" w14:textId="77777777" w:rsidR="00F82C1B" w:rsidRPr="003870B8" w:rsidRDefault="00F82C1B" w:rsidP="00F82C1B">
      <w:pPr>
        <w:pStyle w:val="Textonotapie"/>
        <w:ind w:firstLine="708"/>
        <w:jc w:val="both"/>
        <w:rPr>
          <w:rFonts w:ascii="Verdana" w:hAnsi="Verdana"/>
          <w:sz w:val="16"/>
          <w:szCs w:val="16"/>
          <w:lang w:val="es-CO"/>
        </w:rPr>
      </w:pPr>
      <w:r w:rsidRPr="00557C04">
        <w:rPr>
          <w:rStyle w:val="Refdenotaalpie"/>
          <w:rFonts w:ascii="Verdana" w:hAnsi="Verdana"/>
          <w:sz w:val="16"/>
          <w:szCs w:val="16"/>
        </w:rPr>
        <w:footnoteRef/>
      </w:r>
      <w:r w:rsidRPr="003870B8">
        <w:rPr>
          <w:rFonts w:ascii="Verdana" w:hAnsi="Verdana"/>
          <w:sz w:val="16"/>
          <w:szCs w:val="16"/>
          <w:lang w:val="es-CO"/>
        </w:rPr>
        <w:t xml:space="preserve"> Cfr. HERRERA MORENO, Jorge Iván.</w:t>
      </w:r>
      <w:r>
        <w:rPr>
          <w:rFonts w:ascii="Verdana" w:hAnsi="Verdana"/>
          <w:sz w:val="16"/>
          <w:szCs w:val="16"/>
          <w:lang w:val="es-CO"/>
        </w:rPr>
        <w:t xml:space="preserve"> Clases de derogación. En: </w:t>
      </w:r>
      <w:r w:rsidRPr="00DC1820">
        <w:rPr>
          <w:rFonts w:ascii="Verdana" w:hAnsi="Verdana"/>
          <w:sz w:val="16"/>
          <w:szCs w:val="16"/>
          <w:lang w:val="es-CO"/>
        </w:rPr>
        <w:t>Comentario histórico-crítico del Código Civil colombiano: título preliminar</w:t>
      </w:r>
      <w:r>
        <w:rPr>
          <w:rFonts w:ascii="Verdana" w:hAnsi="Verdana"/>
          <w:sz w:val="16"/>
          <w:szCs w:val="16"/>
          <w:lang w:val="es-CO"/>
        </w:rPr>
        <w:t>. Bogotá: Universidad Externado de Colombia – Tirant lo Blanch, 2026. p. 558.</w:t>
      </w:r>
    </w:p>
  </w:footnote>
  <w:footnote w:id="6">
    <w:p w14:paraId="5B38DCC1" w14:textId="77777777" w:rsidR="00F82C1B" w:rsidRPr="0011495D" w:rsidRDefault="00F82C1B" w:rsidP="00F82C1B">
      <w:pPr>
        <w:pStyle w:val="Textonotapie"/>
        <w:ind w:firstLine="708"/>
        <w:jc w:val="both"/>
        <w:rPr>
          <w:rFonts w:ascii="Verdana" w:hAnsi="Verdana"/>
          <w:sz w:val="16"/>
          <w:szCs w:val="16"/>
          <w:lang w:val="es-CO"/>
        </w:rPr>
      </w:pPr>
      <w:r w:rsidRPr="00961EE7">
        <w:rPr>
          <w:rStyle w:val="Refdenotaalpie"/>
          <w:rFonts w:ascii="Verdana" w:hAnsi="Verdana"/>
          <w:sz w:val="16"/>
          <w:szCs w:val="16"/>
        </w:rPr>
        <w:footnoteRef/>
      </w:r>
      <w:r w:rsidRPr="00961EE7">
        <w:rPr>
          <w:rFonts w:ascii="Verdana" w:hAnsi="Verdana"/>
          <w:sz w:val="16"/>
          <w:szCs w:val="16"/>
        </w:rPr>
        <w:t xml:space="preserve"> La doctrina explica que “Una norma jurídica es general o es especial, según la materia a la que se refiera y la forma como la regule. Si comprende muchos casos y es posible aplicarla a cualquiera que quede cobijado en ellos, será una norma general, bien por el objeto, bien por los individuos a los que se destine la regulación correspondiente. Si, en cambio, abarca algunos, pocos o unos casos determinados o se dirige a personas concretas, la norma es especial. No es igual, entonces, la norma que se deba aplicar a todos los contratos, que la que trata únicamente de ciertos aspectos en el contrato de compraventa. La primera será general, la segunda será especial” (PARRA BENÍTEZ, Jorge. Parte general y personas. Cuarta edición. Bogotá: Leyer, 2025. p. 160).</w:t>
      </w:r>
    </w:p>
  </w:footnote>
  <w:footnote w:id="7">
    <w:p w14:paraId="2F79C43C" w14:textId="77777777" w:rsidR="00F82C1B" w:rsidRPr="00961EE7" w:rsidRDefault="00F82C1B" w:rsidP="00F82C1B">
      <w:pPr>
        <w:pStyle w:val="Textonotapie"/>
        <w:ind w:firstLine="709"/>
        <w:jc w:val="both"/>
        <w:rPr>
          <w:rFonts w:ascii="Verdana" w:hAnsi="Verdana" w:cs="Arial"/>
          <w:color w:val="000000" w:themeColor="text1"/>
          <w:sz w:val="16"/>
          <w:szCs w:val="16"/>
        </w:rPr>
      </w:pPr>
      <w:r w:rsidRPr="00961EE7">
        <w:rPr>
          <w:rStyle w:val="Refdenotaalpie"/>
          <w:rFonts w:ascii="Verdana" w:hAnsi="Verdana" w:cs="Arial"/>
          <w:color w:val="000000" w:themeColor="text1"/>
          <w:sz w:val="16"/>
          <w:szCs w:val="16"/>
        </w:rPr>
        <w:footnoteRef/>
      </w:r>
      <w:r w:rsidRPr="00961EE7">
        <w:rPr>
          <w:rFonts w:ascii="Verdana" w:hAnsi="Verdana" w:cs="Arial"/>
          <w:color w:val="000000" w:themeColor="text1"/>
          <w:sz w:val="16"/>
          <w:szCs w:val="16"/>
        </w:rPr>
        <w:t xml:space="preserve"> Cfr. GUASTINI, Riccardo. Interpretar y argumentar. Madrid: Centro de Estudios Constitucionales, 2014. p. 134. Asimismo, “En la jurisprudencia italiana existen manifestaciones para resolver el conflicto tanto de la aplicación prevalente del criterio cronológico sobre el de especialidad como viceversa, y su Tribunal Constitucional ha llegado a declarar que no es verdad en absoluto la máxima de que </w:t>
      </w:r>
      <w:r w:rsidRPr="00961EE7">
        <w:rPr>
          <w:rFonts w:ascii="Verdana" w:hAnsi="Verdana" w:cs="Arial"/>
          <w:i/>
          <w:iCs/>
          <w:color w:val="000000" w:themeColor="text1"/>
          <w:sz w:val="16"/>
          <w:szCs w:val="16"/>
        </w:rPr>
        <w:t>lex posterior generalis no derogat priori speciali</w:t>
      </w:r>
      <w:r w:rsidRPr="00961EE7">
        <w:rPr>
          <w:rFonts w:ascii="Verdana" w:hAnsi="Verdana" w:cs="Arial"/>
          <w:color w:val="000000" w:themeColor="text1"/>
          <w:sz w:val="16"/>
          <w:szCs w:val="16"/>
        </w:rPr>
        <w:t xml:space="preserve"> (es decir, la primacía del criterio de especialidad sobre el cronológico) y que lo que debe prevalecer es la interpretación de la intención del legislador, </w:t>
      </w:r>
      <w:r w:rsidRPr="00961EE7">
        <w:rPr>
          <w:rFonts w:ascii="Verdana" w:hAnsi="Verdana" w:cs="Arial"/>
          <w:i/>
          <w:iCs/>
          <w:color w:val="000000" w:themeColor="text1"/>
          <w:sz w:val="16"/>
          <w:szCs w:val="16"/>
        </w:rPr>
        <w:t>voluntas legis</w:t>
      </w:r>
      <w:r w:rsidRPr="00961EE7">
        <w:rPr>
          <w:rFonts w:ascii="Verdana" w:hAnsi="Verdana" w:cs="Arial"/>
          <w:color w:val="000000" w:themeColor="text1"/>
          <w:sz w:val="16"/>
          <w:szCs w:val="16"/>
        </w:rPr>
        <w:t>, de modo que no debe excluirse que dicha interpretación evidencie una amplitud de la ley general posterior tal que no tolere excepciones, ni siquiera de parte de leyes especiales, las cuales quedan de ese modo tácitamente abrogadas” (TARDÍO PATO, José Antonio. El principio de especialidad normativa (</w:t>
      </w:r>
      <w:r w:rsidRPr="00961EE7">
        <w:rPr>
          <w:rFonts w:ascii="Verdana" w:hAnsi="Verdana" w:cs="Arial"/>
          <w:i/>
          <w:iCs/>
          <w:color w:val="000000" w:themeColor="text1"/>
          <w:sz w:val="16"/>
          <w:szCs w:val="16"/>
        </w:rPr>
        <w:t>lex specialis</w:t>
      </w:r>
      <w:r w:rsidRPr="00961EE7">
        <w:rPr>
          <w:rFonts w:ascii="Verdana" w:hAnsi="Verdana" w:cs="Arial"/>
          <w:color w:val="000000" w:themeColor="text1"/>
          <w:sz w:val="16"/>
          <w:szCs w:val="16"/>
        </w:rPr>
        <w:t xml:space="preserve">) y sus aplicaciones jurisprudenciales. En: Revista de administración pública, ISSN 0034-7639, Nº 162, 2003. p. 207).  </w:t>
      </w:r>
    </w:p>
  </w:footnote>
  <w:footnote w:id="8">
    <w:p w14:paraId="6D6A0FC1" w14:textId="77777777" w:rsidR="00F82C1B" w:rsidRPr="00961EE7" w:rsidRDefault="00F82C1B" w:rsidP="00F82C1B">
      <w:pPr>
        <w:pStyle w:val="Textonotapie"/>
        <w:ind w:firstLine="709"/>
        <w:jc w:val="both"/>
        <w:rPr>
          <w:rFonts w:ascii="Verdana" w:hAnsi="Verdana" w:cs="Arial"/>
          <w:color w:val="000000" w:themeColor="text1"/>
          <w:sz w:val="16"/>
          <w:szCs w:val="16"/>
        </w:rPr>
      </w:pPr>
      <w:r w:rsidRPr="00961EE7">
        <w:rPr>
          <w:rStyle w:val="Refdenotaalpie"/>
          <w:rFonts w:ascii="Verdana" w:hAnsi="Verdana" w:cs="Arial"/>
          <w:color w:val="000000" w:themeColor="text1"/>
          <w:sz w:val="16"/>
          <w:szCs w:val="16"/>
        </w:rPr>
        <w:footnoteRef/>
      </w:r>
      <w:r w:rsidRPr="00961EE7">
        <w:rPr>
          <w:rFonts w:ascii="Verdana" w:hAnsi="Verdana" w:cs="Arial"/>
          <w:color w:val="000000" w:themeColor="text1"/>
          <w:sz w:val="16"/>
          <w:szCs w:val="16"/>
        </w:rPr>
        <w:t xml:space="preserve"> DÍEZ-PICAZO, Luis María. La derogación de las leyes. Madrid: Editorial Civitas, 1990. p. 363. En el mismo sentido, la doctrina explica que “En los casos en que las reglas se superponen parcialmente, </w:t>
      </w:r>
      <w:r w:rsidRPr="00961EE7">
        <w:rPr>
          <w:rFonts w:ascii="Verdana" w:hAnsi="Verdana" w:cs="Arial"/>
          <w:i/>
          <w:iCs/>
          <w:color w:val="000000" w:themeColor="text1"/>
          <w:sz w:val="16"/>
          <w:szCs w:val="16"/>
        </w:rPr>
        <w:t>lex posterior</w:t>
      </w:r>
      <w:r w:rsidRPr="00961EE7">
        <w:rPr>
          <w:rFonts w:ascii="Verdana" w:hAnsi="Verdana" w:cs="Arial"/>
          <w:color w:val="000000" w:themeColor="text1"/>
          <w:sz w:val="16"/>
          <w:szCs w:val="16"/>
        </w:rPr>
        <w:t xml:space="preserve"> da apoyo, por cierto, la presunción de que la regla mas reciente se encontrará en una situación de preferencia respecto de la anterior, pero ello no es incondicionalmente así. </w:t>
      </w:r>
      <w:r w:rsidRPr="00961EE7">
        <w:rPr>
          <w:rFonts w:ascii="Verdana" w:hAnsi="Verdana" w:cs="Arial"/>
          <w:i/>
          <w:iCs/>
          <w:color w:val="000000" w:themeColor="text1"/>
          <w:sz w:val="16"/>
          <w:szCs w:val="16"/>
        </w:rPr>
        <w:t>Lex posterior</w:t>
      </w:r>
      <w:r w:rsidRPr="00961EE7">
        <w:rPr>
          <w:rFonts w:ascii="Verdana" w:hAnsi="Verdana" w:cs="Arial"/>
          <w:color w:val="000000" w:themeColor="text1"/>
          <w:sz w:val="16"/>
          <w:szCs w:val="16"/>
        </w:rPr>
        <w:t xml:space="preserve"> solo se aplica en la medida en que, en términos subjetivos, el legislador </w:t>
      </w:r>
      <w:r>
        <w:rPr>
          <w:rFonts w:ascii="Verdana" w:hAnsi="Verdana" w:cs="Arial"/>
          <w:color w:val="000000" w:themeColor="text1"/>
          <w:sz w:val="16"/>
          <w:szCs w:val="16"/>
        </w:rPr>
        <w:t>‘</w:t>
      </w:r>
      <w:r w:rsidRPr="00961EE7">
        <w:rPr>
          <w:rFonts w:ascii="Verdana" w:hAnsi="Verdana" w:cs="Arial"/>
          <w:color w:val="000000" w:themeColor="text1"/>
          <w:sz w:val="16"/>
          <w:szCs w:val="16"/>
        </w:rPr>
        <w:t>tuvo la intención</w:t>
      </w:r>
      <w:r>
        <w:rPr>
          <w:rFonts w:ascii="Verdana" w:hAnsi="Verdana" w:cs="Arial"/>
          <w:color w:val="000000" w:themeColor="text1"/>
          <w:sz w:val="16"/>
          <w:szCs w:val="16"/>
        </w:rPr>
        <w:t>’</w:t>
      </w:r>
      <w:r w:rsidRPr="00961EE7">
        <w:rPr>
          <w:rFonts w:ascii="Verdana" w:hAnsi="Verdana" w:cs="Arial"/>
          <w:color w:val="000000" w:themeColor="text1"/>
          <w:sz w:val="16"/>
          <w:szCs w:val="16"/>
        </w:rPr>
        <w:t xml:space="preserve"> de reemplazar la ley anterior […]” (Cfr. ROSS, Alf. Sobre el derecho y la justicia. Quinta edición. Buenos Aires: EUDEBA, 1994, p. 127). </w:t>
      </w:r>
    </w:p>
  </w:footnote>
  <w:footnote w:id="9">
    <w:p w14:paraId="18EB56C7" w14:textId="77777777" w:rsidR="00F82C1B" w:rsidRPr="004273E1" w:rsidRDefault="00F82C1B" w:rsidP="00F82C1B">
      <w:pPr>
        <w:pStyle w:val="Textonotapie"/>
        <w:ind w:firstLine="708"/>
        <w:jc w:val="both"/>
        <w:rPr>
          <w:rFonts w:ascii="Verdana" w:hAnsi="Verdana"/>
          <w:sz w:val="16"/>
          <w:szCs w:val="16"/>
          <w:lang w:val="es-CO"/>
        </w:rPr>
      </w:pPr>
      <w:r w:rsidRPr="004273E1">
        <w:rPr>
          <w:rStyle w:val="Refdenotaalpie"/>
          <w:rFonts w:ascii="Verdana" w:hAnsi="Verdana"/>
          <w:sz w:val="16"/>
          <w:szCs w:val="16"/>
        </w:rPr>
        <w:footnoteRef/>
      </w:r>
      <w:r>
        <w:rPr>
          <w:rFonts w:ascii="Verdana" w:hAnsi="Verdana"/>
          <w:sz w:val="16"/>
          <w:szCs w:val="16"/>
        </w:rPr>
        <w:t xml:space="preserve"> TAMAYO JARAMILLO, Javier. Manual de hermeneútica jurídica. Bogotá: Jurídica Ibañez, 2025. pp. 253-254.</w:t>
      </w:r>
    </w:p>
  </w:footnote>
  <w:footnote w:id="10">
    <w:p w14:paraId="176CC6EB" w14:textId="77777777" w:rsidR="00F82C1B" w:rsidRPr="00C1333D" w:rsidRDefault="00F82C1B" w:rsidP="00F82C1B">
      <w:pPr>
        <w:pStyle w:val="Textonotapie"/>
        <w:ind w:firstLine="708"/>
        <w:jc w:val="both"/>
        <w:rPr>
          <w:rFonts w:ascii="Verdana" w:hAnsi="Verdana"/>
          <w:sz w:val="16"/>
          <w:szCs w:val="16"/>
          <w:lang w:val="es-CO"/>
        </w:rPr>
      </w:pPr>
      <w:r w:rsidRPr="00C1333D">
        <w:rPr>
          <w:rStyle w:val="Refdenotaalpie"/>
          <w:rFonts w:ascii="Verdana" w:hAnsi="Verdana"/>
          <w:sz w:val="16"/>
          <w:szCs w:val="16"/>
        </w:rPr>
        <w:footnoteRef/>
      </w:r>
      <w:r w:rsidRPr="00C1333D">
        <w:rPr>
          <w:rFonts w:ascii="Verdana" w:hAnsi="Verdana"/>
          <w:sz w:val="16"/>
          <w:szCs w:val="16"/>
        </w:rPr>
        <w:t xml:space="preserve"> </w:t>
      </w:r>
      <w:r>
        <w:rPr>
          <w:rFonts w:ascii="Verdana" w:hAnsi="Verdana"/>
          <w:sz w:val="16"/>
          <w:szCs w:val="16"/>
        </w:rPr>
        <w:t xml:space="preserve">BOBBIO, Norberto. </w:t>
      </w:r>
      <w:r w:rsidRPr="00AD7BB2">
        <w:rPr>
          <w:rFonts w:ascii="Verdana" w:hAnsi="Verdana"/>
          <w:sz w:val="16"/>
          <w:szCs w:val="16"/>
        </w:rPr>
        <w:t>Sobre los criterios para resolver las antinomias</w:t>
      </w:r>
      <w:r>
        <w:rPr>
          <w:rFonts w:ascii="Verdana" w:hAnsi="Verdana"/>
          <w:sz w:val="16"/>
          <w:szCs w:val="16"/>
        </w:rPr>
        <w:t>. En: Contribución a la teoría del derecho. Santiago: Ediciones Olejnik, 2022. p. 290.</w:t>
      </w:r>
    </w:p>
  </w:footnote>
  <w:footnote w:id="11">
    <w:p w14:paraId="4317E8CF" w14:textId="77777777" w:rsidR="00F82C1B" w:rsidRPr="002E545B" w:rsidRDefault="00F82C1B" w:rsidP="00F82C1B">
      <w:pPr>
        <w:pStyle w:val="Textonotapie"/>
        <w:ind w:firstLine="708"/>
        <w:jc w:val="both"/>
        <w:rPr>
          <w:rFonts w:ascii="Verdana" w:hAnsi="Verdana"/>
          <w:sz w:val="16"/>
          <w:szCs w:val="16"/>
          <w:lang w:val="es-CO"/>
        </w:rPr>
      </w:pPr>
      <w:r w:rsidRPr="002E545B">
        <w:rPr>
          <w:rStyle w:val="Refdenotaalpie"/>
          <w:rFonts w:ascii="Verdana" w:hAnsi="Verdana"/>
          <w:sz w:val="16"/>
          <w:szCs w:val="16"/>
        </w:rPr>
        <w:footnoteRef/>
      </w:r>
      <w:r w:rsidRPr="002E545B">
        <w:rPr>
          <w:rFonts w:ascii="Verdana" w:hAnsi="Verdana"/>
          <w:sz w:val="16"/>
          <w:szCs w:val="16"/>
        </w:rPr>
        <w:t xml:space="preserve"> </w:t>
      </w:r>
      <w:r>
        <w:rPr>
          <w:rFonts w:ascii="Verdana" w:hAnsi="Verdana"/>
          <w:sz w:val="16"/>
          <w:szCs w:val="16"/>
        </w:rPr>
        <w:t>CELOTTO, Alfonso. Paradojas y antinomias. La teoría general del ordenamiento jurídico y sus contradicciones. Santiago: Ediciones Olejnik, 2018. p.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10BF"/>
    <w:rsid w:val="00046945"/>
    <w:rsid w:val="00061B2A"/>
    <w:rsid w:val="00082362"/>
    <w:rsid w:val="00093AEC"/>
    <w:rsid w:val="000A683E"/>
    <w:rsid w:val="000B19B9"/>
    <w:rsid w:val="000D0334"/>
    <w:rsid w:val="000D5DA7"/>
    <w:rsid w:val="000F6486"/>
    <w:rsid w:val="00104E62"/>
    <w:rsid w:val="00116940"/>
    <w:rsid w:val="00125105"/>
    <w:rsid w:val="0012581D"/>
    <w:rsid w:val="00127233"/>
    <w:rsid w:val="00127450"/>
    <w:rsid w:val="00130D00"/>
    <w:rsid w:val="0015699B"/>
    <w:rsid w:val="001A33BF"/>
    <w:rsid w:val="001A7364"/>
    <w:rsid w:val="001C55D0"/>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61E47"/>
    <w:rsid w:val="00374F5E"/>
    <w:rsid w:val="0037688D"/>
    <w:rsid w:val="00377E3E"/>
    <w:rsid w:val="003A779E"/>
    <w:rsid w:val="003D0F4D"/>
    <w:rsid w:val="003D5B0D"/>
    <w:rsid w:val="003E0499"/>
    <w:rsid w:val="003E4F80"/>
    <w:rsid w:val="003E6439"/>
    <w:rsid w:val="003F3941"/>
    <w:rsid w:val="00404929"/>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14966"/>
    <w:rsid w:val="006200BF"/>
    <w:rsid w:val="006219F8"/>
    <w:rsid w:val="006302F7"/>
    <w:rsid w:val="00646B9F"/>
    <w:rsid w:val="00665D70"/>
    <w:rsid w:val="006900D9"/>
    <w:rsid w:val="006A5889"/>
    <w:rsid w:val="006F0F9A"/>
    <w:rsid w:val="006F681E"/>
    <w:rsid w:val="00706C16"/>
    <w:rsid w:val="0071187C"/>
    <w:rsid w:val="007340C3"/>
    <w:rsid w:val="0075235A"/>
    <w:rsid w:val="00756841"/>
    <w:rsid w:val="007649AB"/>
    <w:rsid w:val="00771D0C"/>
    <w:rsid w:val="007833AC"/>
    <w:rsid w:val="00796643"/>
    <w:rsid w:val="007A2822"/>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369E2"/>
    <w:rsid w:val="009419F9"/>
    <w:rsid w:val="00944E1B"/>
    <w:rsid w:val="0095685E"/>
    <w:rsid w:val="00961B09"/>
    <w:rsid w:val="00965334"/>
    <w:rsid w:val="009656A7"/>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519C1"/>
    <w:rsid w:val="00A72FC9"/>
    <w:rsid w:val="00A80ABF"/>
    <w:rsid w:val="00A90262"/>
    <w:rsid w:val="00AB0ADB"/>
    <w:rsid w:val="00AB5009"/>
    <w:rsid w:val="00B00C0E"/>
    <w:rsid w:val="00B01B1A"/>
    <w:rsid w:val="00B0381D"/>
    <w:rsid w:val="00B06478"/>
    <w:rsid w:val="00B44A47"/>
    <w:rsid w:val="00B64368"/>
    <w:rsid w:val="00B72CD3"/>
    <w:rsid w:val="00B72FFF"/>
    <w:rsid w:val="00BC3D36"/>
    <w:rsid w:val="00BD54A6"/>
    <w:rsid w:val="00BD7F72"/>
    <w:rsid w:val="00BF7425"/>
    <w:rsid w:val="00C04FB3"/>
    <w:rsid w:val="00C11D8B"/>
    <w:rsid w:val="00C15139"/>
    <w:rsid w:val="00C330EB"/>
    <w:rsid w:val="00C50D69"/>
    <w:rsid w:val="00C5365C"/>
    <w:rsid w:val="00C705A0"/>
    <w:rsid w:val="00C754BE"/>
    <w:rsid w:val="00C76B1C"/>
    <w:rsid w:val="00C925AC"/>
    <w:rsid w:val="00CB6357"/>
    <w:rsid w:val="00CC1B26"/>
    <w:rsid w:val="00CD20D4"/>
    <w:rsid w:val="00D02F9E"/>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AC1"/>
    <w:rsid w:val="00E92C27"/>
    <w:rsid w:val="00EA0E3D"/>
    <w:rsid w:val="00EB3DFC"/>
    <w:rsid w:val="00EC38A7"/>
    <w:rsid w:val="00EE1313"/>
    <w:rsid w:val="00EE1AA8"/>
    <w:rsid w:val="00F23FEA"/>
    <w:rsid w:val="00F31EDC"/>
    <w:rsid w:val="00F462B3"/>
    <w:rsid w:val="00F5664F"/>
    <w:rsid w:val="00F666C4"/>
    <w:rsid w:val="00F76AFC"/>
    <w:rsid w:val="00F81E21"/>
    <w:rsid w:val="00F82C1B"/>
    <w:rsid w:val="00FA47C0"/>
    <w:rsid w:val="00FA785F"/>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42A11FE"/>
    <w:rsid w:val="356CEDFD"/>
    <w:rsid w:val="3C591AFD"/>
    <w:rsid w:val="42183F0A"/>
    <w:rsid w:val="4290D677"/>
    <w:rsid w:val="545B112A"/>
    <w:rsid w:val="5B9BF55B"/>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82C1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82C1B"/>
    <w:rPr>
      <w:rFonts w:ascii="Geomanist Light" w:hAnsi="Geomanist Light"/>
      <w:lang w:val="es-ES"/>
    </w:rPr>
  </w:style>
  <w:style w:type="character" w:customStyle="1" w:styleId="s15">
    <w:name w:val="s15"/>
    <w:basedOn w:val="Fuentedeprrafopredeter"/>
    <w:rsid w:val="00F8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ura.toro@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D07DCC1-C6D5-45F1-9DA9-3520000CD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4882</Words>
  <Characters>26853</Characters>
  <Application>Microsoft Office Word</Application>
  <DocSecurity>0</DocSecurity>
  <Lines>223</Lines>
  <Paragraphs>63</Paragraphs>
  <ScaleCrop>false</ScaleCrop>
  <Company/>
  <LinksUpToDate>false</LinksUpToDate>
  <CharactersWithSpaces>31672</CharactersWithSpaces>
  <SharedDoc>false</SharedDoc>
  <HLinks>
    <vt:vector size="48"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1638526</vt:i4>
      </vt:variant>
      <vt:variant>
        <vt:i4>0</vt:i4>
      </vt:variant>
      <vt:variant>
        <vt:i4>0</vt:i4>
      </vt:variant>
      <vt:variant>
        <vt:i4>5</vt:i4>
      </vt:variant>
      <vt:variant>
        <vt:lpwstr>mailto:laura.toro@gmail.com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2026-06-24T02:10:00Z</dcterms:created>
  <dcterms:modified xsi:type="dcterms:W3CDTF">2026-06-30T15:01:00Z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