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159773" w14:textId="77777777" w:rsidR="00606EC1" w:rsidRPr="006F7567" w:rsidRDefault="00606EC1" w:rsidP="00606EC1">
      <w:pPr>
        <w:spacing w:line="276" w:lineRule="auto"/>
        <w:jc w:val="both"/>
        <w:rPr>
          <w:rFonts w:ascii="Verdana" w:eastAsia="Calibri" w:hAnsi="Verdana" w:cs="Arial"/>
          <w:b/>
          <w:color w:val="000000" w:themeColor="text1"/>
        </w:rPr>
      </w:pPr>
      <w:bookmarkStart w:id="0" w:name="_Hlk143780582"/>
      <w:r w:rsidRPr="006F7567">
        <w:rPr>
          <w:rFonts w:ascii="Verdana" w:eastAsia="Calibri" w:hAnsi="Verdana" w:cs="Arial"/>
          <w:b/>
          <w:color w:val="000000" w:themeColor="text1"/>
        </w:rPr>
        <w:t xml:space="preserve">PRÓRROGA DE LOS CONTRATOS ESTATALES - Procedencia - Autonomía de la voluntad </w:t>
      </w:r>
    </w:p>
    <w:p w14:paraId="1A5FE7A1" w14:textId="77777777" w:rsidR="00606EC1" w:rsidRDefault="00606EC1" w:rsidP="00606EC1">
      <w:pPr>
        <w:widowControl w:val="0"/>
        <w:autoSpaceDE w:val="0"/>
        <w:autoSpaceDN w:val="0"/>
        <w:ind w:right="102"/>
        <w:jc w:val="both"/>
        <w:rPr>
          <w:rFonts w:ascii="Verdana" w:hAnsi="Verdana" w:cs="Arial"/>
          <w:color w:val="000000" w:themeColor="text1"/>
          <w:sz w:val="20"/>
          <w:szCs w:val="20"/>
          <w:lang w:eastAsia="es-ES"/>
        </w:rPr>
      </w:pPr>
      <w:r w:rsidRPr="00F55E7F">
        <w:rPr>
          <w:rFonts w:ascii="Verdana" w:hAnsi="Verdana" w:cs="Arial"/>
          <w:color w:val="000000" w:themeColor="text1"/>
          <w:sz w:val="20"/>
          <w:szCs w:val="20"/>
          <w:lang w:eastAsia="es-ES"/>
        </w:rPr>
        <w:t>La Ley 80 de 1993 no se refirió a la posibilidad de prorrogar los contratos estatales, al igual que tampoco lo prohibió. En vista de ello, es necesario partir de las remisiones que hace la Ley 80 de 1993 al derecho privado y al principio de la autonomía de la voluntad para llenar este aspecto ―arts. 13, 32 y 40―. De esta manera, los particulares tienen amplia libertad para prorrogar el plazo de cualquier contrato y, salvo ciertas disposiciones específicas de algunas tipologías contractuales, no existen criterios que determinen límites a esta posibilidad ni a su alcance, de manera que el principio de la autonomía de la voluntad en este aspecto despliega ampliamente sus efectos, lo que a su vez es trasladable, como principio, a los contratos estatales.</w:t>
      </w:r>
    </w:p>
    <w:p w14:paraId="6C45BE96" w14:textId="77777777" w:rsidR="00606EC1" w:rsidRPr="00F55E7F" w:rsidRDefault="00606EC1" w:rsidP="00606EC1">
      <w:pPr>
        <w:widowControl w:val="0"/>
        <w:autoSpaceDE w:val="0"/>
        <w:autoSpaceDN w:val="0"/>
        <w:spacing w:after="0" w:line="240" w:lineRule="auto"/>
        <w:ind w:right="102"/>
        <w:jc w:val="both"/>
        <w:rPr>
          <w:rFonts w:ascii="Verdana" w:hAnsi="Verdana" w:cs="Arial"/>
          <w:color w:val="000000" w:themeColor="text1"/>
          <w:sz w:val="20"/>
          <w:szCs w:val="20"/>
          <w:lang w:eastAsia="es-ES"/>
        </w:rPr>
      </w:pPr>
    </w:p>
    <w:p w14:paraId="4AAD7C0C" w14:textId="77777777" w:rsidR="00606EC1" w:rsidRPr="00F55E7F" w:rsidRDefault="00606EC1" w:rsidP="00606EC1">
      <w:pPr>
        <w:spacing w:line="276" w:lineRule="auto"/>
        <w:jc w:val="both"/>
        <w:rPr>
          <w:rFonts w:ascii="Verdana" w:eastAsia="Calibri" w:hAnsi="Verdana" w:cs="Arial"/>
          <w:b/>
          <w:color w:val="000000" w:themeColor="text1"/>
        </w:rPr>
      </w:pPr>
      <w:r w:rsidRPr="006F7567">
        <w:rPr>
          <w:rFonts w:ascii="Verdana" w:eastAsia="Calibri" w:hAnsi="Verdana" w:cs="Arial"/>
          <w:b/>
          <w:color w:val="000000" w:themeColor="text1"/>
        </w:rPr>
        <w:t>PRÓRROGA – Requisitos de validez – Requisitos adicionales</w:t>
      </w:r>
    </w:p>
    <w:p w14:paraId="7C7CC66D" w14:textId="77777777" w:rsidR="00606EC1" w:rsidRDefault="00606EC1" w:rsidP="00606EC1">
      <w:pPr>
        <w:widowControl w:val="0"/>
        <w:autoSpaceDE w:val="0"/>
        <w:autoSpaceDN w:val="0"/>
        <w:ind w:right="102"/>
        <w:jc w:val="both"/>
        <w:rPr>
          <w:rFonts w:ascii="Verdana" w:hAnsi="Verdana" w:cs="Arial"/>
          <w:color w:val="000000" w:themeColor="text1"/>
          <w:sz w:val="20"/>
          <w:szCs w:val="20"/>
          <w:lang w:eastAsia="es-ES"/>
        </w:rPr>
      </w:pPr>
      <w:r w:rsidRPr="00F55E7F">
        <w:rPr>
          <w:rFonts w:ascii="Verdana" w:hAnsi="Verdana" w:cs="Arial"/>
          <w:color w:val="000000" w:themeColor="text1"/>
          <w:sz w:val="20"/>
          <w:szCs w:val="20"/>
          <w:lang w:eastAsia="es-ES"/>
        </w:rPr>
        <w:t xml:space="preserve">Adicionalmente, para suscribir las prórrogas deben tenerse en cuenta otros </w:t>
      </w:r>
      <w:r w:rsidRPr="00F55E7F">
        <w:rPr>
          <w:rFonts w:ascii="Verdana" w:hAnsi="Verdana" w:cs="Arial"/>
          <w:iCs/>
          <w:color w:val="000000" w:themeColor="text1"/>
          <w:sz w:val="20"/>
          <w:szCs w:val="20"/>
          <w:lang w:eastAsia="es-ES"/>
        </w:rPr>
        <w:t xml:space="preserve">requisitos adicionales que no afectan la existencia del acuerdo, pero </w:t>
      </w:r>
      <w:r w:rsidRPr="00F55E7F">
        <w:rPr>
          <w:rFonts w:ascii="Verdana" w:hAnsi="Verdana" w:cs="Arial"/>
          <w:color w:val="000000" w:themeColor="text1"/>
          <w:sz w:val="20"/>
          <w:szCs w:val="20"/>
          <w:lang w:eastAsia="es-ES"/>
        </w:rPr>
        <w:t>que constituyen obligaciones que deben cumplirse en los contratos estatales; omisiones que podrían incidir en la responsabilidad disciplinaria, fiscal o penal de los funcionarios encargados. Estos requisitos adicionales varían dependiendo de si la prórroga implica aumentar el valor del contrato o si solamente afecta el plazo.</w:t>
      </w:r>
    </w:p>
    <w:p w14:paraId="59D53D48" w14:textId="77777777" w:rsidR="00606EC1" w:rsidRPr="00F55E7F" w:rsidRDefault="00606EC1" w:rsidP="00606EC1">
      <w:pPr>
        <w:widowControl w:val="0"/>
        <w:autoSpaceDE w:val="0"/>
        <w:autoSpaceDN w:val="0"/>
        <w:spacing w:after="0" w:line="240" w:lineRule="auto"/>
        <w:ind w:right="102"/>
        <w:jc w:val="both"/>
        <w:rPr>
          <w:rFonts w:ascii="Verdana" w:hAnsi="Verdana" w:cs="Arial"/>
          <w:color w:val="000000" w:themeColor="text1"/>
          <w:sz w:val="20"/>
          <w:szCs w:val="20"/>
          <w:lang w:eastAsia="es-ES"/>
        </w:rPr>
      </w:pPr>
      <w:r w:rsidRPr="00F55E7F">
        <w:rPr>
          <w:rFonts w:ascii="Verdana" w:hAnsi="Verdana" w:cs="Arial"/>
          <w:color w:val="000000" w:themeColor="text1"/>
          <w:sz w:val="20"/>
          <w:szCs w:val="20"/>
          <w:lang w:eastAsia="es-ES"/>
        </w:rPr>
        <w:t xml:space="preserve">No obstante lo anterior, se precisa que la prórroga únicamente alcanza existencia, validez y eficacia jurídica cuando se perfecciona por escrito mediante el acuerdo de voluntades de las partes, observando las mismas formalidades exigidas para la celebración del contrato que se pretende modificar. Al respecto, la Sala de Consulta y Servicio Civil del Consejo de Estado señaló que “Tal renovación del acuerdo de voluntades debe constar por escrito, dado el carácter solemne del contrato estatal (artículo 41, Ley 80 de 1993). Entonces, prorrogar un contrato significa la ampliación temporal de las obligaciones en él contenidas, o de la voluntad que tuvieron las partes al celebrarlo, lo cual implica que se mantenga y ejecute en las mismas condiciones que lo originaron, pero no implica, per se, un cambio adicional o alteración del sustrato obligacional primigenio”.   </w:t>
      </w:r>
    </w:p>
    <w:p w14:paraId="649CCC65" w14:textId="77777777" w:rsidR="00606EC1" w:rsidRPr="00F55E7F" w:rsidRDefault="00606EC1" w:rsidP="00606EC1">
      <w:pPr>
        <w:spacing w:after="0" w:line="240" w:lineRule="auto"/>
        <w:jc w:val="both"/>
        <w:rPr>
          <w:rFonts w:ascii="Verdana" w:eastAsia="Calibri" w:hAnsi="Verdana" w:cs="Arial"/>
          <w:color w:val="000000" w:themeColor="text1"/>
          <w:sz w:val="20"/>
          <w:szCs w:val="20"/>
          <w:lang w:val="es-ES"/>
        </w:rPr>
      </w:pPr>
    </w:p>
    <w:p w14:paraId="6E5A2557" w14:textId="77777777" w:rsidR="00606EC1" w:rsidRPr="00F55E7F" w:rsidRDefault="00606EC1" w:rsidP="00606EC1">
      <w:pPr>
        <w:spacing w:after="0" w:line="240" w:lineRule="auto"/>
        <w:jc w:val="both"/>
        <w:rPr>
          <w:rFonts w:ascii="Verdana" w:hAnsi="Verdana"/>
          <w:sz w:val="20"/>
          <w:szCs w:val="20"/>
        </w:rPr>
      </w:pPr>
      <w:r w:rsidRPr="00F55E7F">
        <w:rPr>
          <w:rFonts w:ascii="Verdana" w:hAnsi="Verdana"/>
          <w:sz w:val="20"/>
          <w:szCs w:val="20"/>
        </w:rPr>
        <w:t>Así, para que una prórroga contractual sea válida y produzca efectos jurídicos, no basta la mera intención de la entidad estatal de ampliar el plazo de ejecución del contrato, sino que resulta indispensable que exista un acuerdo mutuo de las partes, el cual debe formalizarse por escrito, teniendo en cuenta el carácter solemne del contrato estatal. En consecuencia, la ausencia de aceptación por parte del contratista o la falta de suscripción del respectivo documento impiden entender perfeccionada la prórroga, pues se trata de un requisito esencial para su existencia y eficacia. En tales circunstancias, no es posible afirmar que el plazo contractual fue válidamente ampliado ni reconocer efectos jurídicos a una modificación que carece del consentimiento de una de las partes.</w:t>
      </w:r>
    </w:p>
    <w:p w14:paraId="135774F7" w14:textId="77777777" w:rsidR="00606EC1" w:rsidRDefault="00606EC1" w:rsidP="00606EC1">
      <w:pPr>
        <w:spacing w:after="0" w:line="240" w:lineRule="auto"/>
        <w:jc w:val="both"/>
        <w:rPr>
          <w:rFonts w:ascii="Verdana" w:eastAsia="Calibri" w:hAnsi="Verdana" w:cs="Arial"/>
          <w:color w:val="000000" w:themeColor="text1"/>
          <w:sz w:val="20"/>
          <w:szCs w:val="20"/>
          <w:lang w:val="es-ES"/>
        </w:rPr>
      </w:pPr>
    </w:p>
    <w:p w14:paraId="1D2EF309" w14:textId="77777777" w:rsidR="00606EC1" w:rsidRDefault="00606EC1" w:rsidP="00606EC1">
      <w:pPr>
        <w:spacing w:after="0" w:line="240" w:lineRule="auto"/>
        <w:contextualSpacing/>
        <w:jc w:val="both"/>
        <w:rPr>
          <w:rFonts w:ascii="Verdana" w:eastAsia="Calibri" w:hAnsi="Verdana" w:cs="Arial"/>
          <w:color w:val="000000" w:themeColor="text1"/>
          <w:sz w:val="20"/>
          <w:szCs w:val="20"/>
          <w:lang w:val="es-ES"/>
        </w:rPr>
      </w:pPr>
    </w:p>
    <w:p w14:paraId="2D2E68CD" w14:textId="1FFC6CDB" w:rsidR="00606EC1" w:rsidRPr="00A869FE" w:rsidRDefault="00606EC1" w:rsidP="00606EC1">
      <w:pPr>
        <w:spacing w:after="0" w:line="240" w:lineRule="auto"/>
        <w:contextualSpacing/>
        <w:jc w:val="both"/>
        <w:rPr>
          <w:rFonts w:ascii="Verdana" w:eastAsia="Times New Roman" w:hAnsi="Verdana" w:cs="Arial"/>
          <w:lang w:eastAsia="es-ES"/>
        </w:rPr>
      </w:pPr>
      <w:r w:rsidRPr="00A869FE">
        <w:rPr>
          <w:rFonts w:ascii="Verdana" w:hAnsi="Verdana"/>
        </w:rPr>
        <w:t xml:space="preserve">Bogotá D.C., </w:t>
      </w:r>
      <w:r w:rsidR="004E6E79">
        <w:rPr>
          <w:rFonts w:ascii="Verdana" w:eastAsia="Geomanist Light" w:hAnsi="Verdana" w:cs="Arial"/>
          <w:color w:val="201F1E"/>
        </w:rPr>
        <w:t>24 de junio de 2026</w:t>
      </w:r>
    </w:p>
    <w:p w14:paraId="687753B7" w14:textId="5AD46045" w:rsidR="00606EC1" w:rsidRDefault="00084172" w:rsidP="00606EC1">
      <w:pPr>
        <w:spacing w:after="0" w:line="240" w:lineRule="auto"/>
        <w:jc w:val="both"/>
        <w:rPr>
          <w:rFonts w:ascii="Verdana" w:hAnsi="Verdana" w:cs="Arial"/>
          <w:lang w:eastAsia="es-ES"/>
        </w:rPr>
      </w:pPr>
      <w:r w:rsidRPr="00027813">
        <w:rPr>
          <w:rFonts w:ascii="Verdana" w:hAnsi="Verdana" w:cs="Arial"/>
          <w:noProof/>
          <w:lang w:eastAsia="es-ES"/>
        </w:rPr>
        <w:drawing>
          <wp:anchor distT="0" distB="0" distL="114300" distR="114300" simplePos="0" relativeHeight="251658240" behindDoc="0" locked="0" layoutInCell="1" allowOverlap="1" wp14:anchorId="2CDAF071" wp14:editId="207E21B1">
            <wp:simplePos x="0" y="0"/>
            <wp:positionH relativeFrom="margin">
              <wp:align>right</wp:align>
            </wp:positionH>
            <wp:positionV relativeFrom="paragraph">
              <wp:posOffset>170180</wp:posOffset>
            </wp:positionV>
            <wp:extent cx="2639060" cy="781050"/>
            <wp:effectExtent l="0" t="0" r="8890" b="0"/>
            <wp:wrapSquare wrapText="bothSides"/>
            <wp:docPr id="204247616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39060" cy="781050"/>
                    </a:xfrm>
                    <a:prstGeom prst="rect">
                      <a:avLst/>
                    </a:prstGeom>
                    <a:noFill/>
                    <a:ln>
                      <a:noFill/>
                    </a:ln>
                  </pic:spPr>
                </pic:pic>
              </a:graphicData>
            </a:graphic>
            <wp14:sizeRelH relativeFrom="margin">
              <wp14:pctWidth>0</wp14:pctWidth>
            </wp14:sizeRelH>
          </wp:anchor>
        </w:drawing>
      </w:r>
    </w:p>
    <w:p w14:paraId="44D38C1D" w14:textId="573D0422" w:rsidR="00606EC1" w:rsidRDefault="00606EC1" w:rsidP="00027813">
      <w:pPr>
        <w:spacing w:after="0" w:line="240" w:lineRule="auto"/>
        <w:jc w:val="right"/>
        <w:rPr>
          <w:rFonts w:ascii="Verdana" w:hAnsi="Verdana" w:cs="Arial"/>
          <w:lang w:eastAsia="es-ES"/>
        </w:rPr>
      </w:pPr>
    </w:p>
    <w:p w14:paraId="02B31F50" w14:textId="77777777" w:rsidR="00606EC1" w:rsidRDefault="00606EC1" w:rsidP="00606EC1">
      <w:pPr>
        <w:spacing w:after="0" w:line="276" w:lineRule="auto"/>
        <w:jc w:val="both"/>
        <w:rPr>
          <w:rFonts w:ascii="Verdana" w:hAnsi="Verdana" w:cs="Arial"/>
          <w:lang w:eastAsia="es-ES"/>
        </w:rPr>
      </w:pPr>
      <w:r>
        <w:rPr>
          <w:rFonts w:ascii="Verdana" w:hAnsi="Verdana" w:cs="Arial"/>
          <w:lang w:eastAsia="es-ES"/>
        </w:rPr>
        <w:t>Señor</w:t>
      </w:r>
    </w:p>
    <w:p w14:paraId="2CC4ED52" w14:textId="77777777" w:rsidR="00606EC1" w:rsidRPr="007548BE" w:rsidRDefault="00606EC1" w:rsidP="00606EC1">
      <w:pPr>
        <w:spacing w:after="0" w:line="276" w:lineRule="auto"/>
        <w:jc w:val="both"/>
        <w:rPr>
          <w:rFonts w:ascii="Verdana" w:hAnsi="Verdana" w:cs="Arial"/>
          <w:b/>
          <w:bCs/>
          <w:lang w:eastAsia="es-ES"/>
        </w:rPr>
      </w:pPr>
      <w:r w:rsidRPr="007548BE">
        <w:rPr>
          <w:rFonts w:ascii="Verdana" w:hAnsi="Verdana"/>
          <w:b/>
          <w:bCs/>
        </w:rPr>
        <w:t xml:space="preserve">Cristian Adolfo Castro Sánchez </w:t>
      </w:r>
    </w:p>
    <w:p w14:paraId="19D1318B" w14:textId="77777777" w:rsidR="00606EC1" w:rsidRDefault="00606EC1" w:rsidP="00606EC1">
      <w:pPr>
        <w:spacing w:after="0" w:line="276" w:lineRule="auto"/>
        <w:jc w:val="both"/>
        <w:rPr>
          <w:rFonts w:ascii="Verdana" w:hAnsi="Verdana" w:cs="Arial"/>
          <w:lang w:eastAsia="es-ES"/>
        </w:rPr>
      </w:pPr>
      <w:hyperlink r:id="rId12" w:history="1">
        <w:r w:rsidRPr="00BA475C">
          <w:rPr>
            <w:rStyle w:val="Hipervnculo"/>
            <w:rFonts w:ascii="Verdana" w:hAnsi="Verdana" w:cs="Arial"/>
            <w:lang w:eastAsia="es-ES"/>
          </w:rPr>
          <w:t>cristian_castro@bancopopular.com.co</w:t>
        </w:r>
      </w:hyperlink>
      <w:r>
        <w:rPr>
          <w:rFonts w:ascii="Verdana" w:hAnsi="Verdana" w:cs="Arial"/>
          <w:lang w:eastAsia="es-ES"/>
        </w:rPr>
        <w:t xml:space="preserve"> </w:t>
      </w:r>
    </w:p>
    <w:p w14:paraId="0966684F" w14:textId="77777777" w:rsidR="00606EC1" w:rsidRPr="00C56C01" w:rsidRDefault="00606EC1" w:rsidP="00606EC1">
      <w:pPr>
        <w:spacing w:after="0" w:line="276" w:lineRule="auto"/>
        <w:jc w:val="both"/>
        <w:rPr>
          <w:rFonts w:ascii="Verdana" w:hAnsi="Verdana" w:cs="Arial"/>
          <w:lang w:eastAsia="es-ES"/>
        </w:rPr>
      </w:pPr>
      <w:r>
        <w:rPr>
          <w:rFonts w:ascii="Verdana" w:hAnsi="Verdana" w:cs="Arial"/>
          <w:lang w:eastAsia="es-ES"/>
        </w:rPr>
        <w:t>Bogotá D.C.</w:t>
      </w:r>
    </w:p>
    <w:p w14:paraId="38BC44C3" w14:textId="77777777" w:rsidR="00606EC1" w:rsidRPr="00C56C01" w:rsidRDefault="00606EC1" w:rsidP="00606EC1">
      <w:pPr>
        <w:spacing w:after="0" w:line="240" w:lineRule="auto"/>
        <w:rPr>
          <w:rFonts w:ascii="Verdana" w:hAnsi="Verdana" w:cs="Arial"/>
          <w:b/>
          <w:bCs/>
          <w:color w:val="000000"/>
          <w:lang w:eastAsia="es-ES_tradnl"/>
        </w:rPr>
      </w:pPr>
    </w:p>
    <w:p w14:paraId="29A6D12C" w14:textId="77777777" w:rsidR="00606EC1" w:rsidRPr="00C56C01" w:rsidRDefault="00606EC1" w:rsidP="00606EC1">
      <w:pPr>
        <w:spacing w:after="0" w:line="240" w:lineRule="auto"/>
        <w:rPr>
          <w:rFonts w:ascii="Verdana" w:hAnsi="Verdana" w:cs="Arial"/>
          <w:b/>
          <w:bCs/>
          <w:color w:val="000000"/>
          <w:lang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606EC1" w:rsidRPr="00A869FE" w14:paraId="28CCE976" w14:textId="77777777" w:rsidTr="007C4B30">
        <w:trPr>
          <w:trHeight w:val="633"/>
        </w:trPr>
        <w:tc>
          <w:tcPr>
            <w:tcW w:w="2689" w:type="dxa"/>
          </w:tcPr>
          <w:p w14:paraId="7FB340C6" w14:textId="77777777" w:rsidR="00606EC1" w:rsidRPr="00C56C01" w:rsidRDefault="00606EC1" w:rsidP="007C4B30">
            <w:pPr>
              <w:jc w:val="both"/>
              <w:rPr>
                <w:rFonts w:ascii="Verdana" w:hAnsi="Verdana" w:cs="Arial"/>
                <w:b/>
                <w:bCs/>
                <w:color w:val="7030A0"/>
                <w:lang w:eastAsia="es-ES_tradnl"/>
              </w:rPr>
            </w:pPr>
          </w:p>
        </w:tc>
        <w:tc>
          <w:tcPr>
            <w:tcW w:w="6100" w:type="dxa"/>
          </w:tcPr>
          <w:p w14:paraId="1AC8EA30" w14:textId="0DFFC28B" w:rsidR="00606EC1" w:rsidRPr="00A869FE" w:rsidRDefault="00606EC1" w:rsidP="007C4B30">
            <w:pPr>
              <w:jc w:val="both"/>
              <w:rPr>
                <w:rFonts w:ascii="Verdana" w:hAnsi="Verdana" w:cs="Arial"/>
                <w:b/>
                <w:bCs/>
                <w:color w:val="7030A0"/>
                <w:lang w:eastAsia="es-ES"/>
              </w:rPr>
            </w:pPr>
            <w:r w:rsidRPr="00A869FE">
              <w:rPr>
                <w:rFonts w:ascii="Verdana" w:hAnsi="Verdana" w:cs="Arial"/>
                <w:b/>
                <w:bCs/>
                <w:lang w:eastAsia="es-ES"/>
              </w:rPr>
              <w:t>Concepto C–</w:t>
            </w:r>
            <w:r>
              <w:rPr>
                <w:rFonts w:ascii="Verdana" w:hAnsi="Verdana" w:cs="Arial"/>
                <w:b/>
                <w:bCs/>
                <w:lang w:eastAsia="es-ES"/>
              </w:rPr>
              <w:t>889</w:t>
            </w:r>
            <w:r w:rsidRPr="00A869FE">
              <w:rPr>
                <w:rFonts w:ascii="Verdana" w:hAnsi="Verdana" w:cs="Arial"/>
                <w:b/>
                <w:bCs/>
                <w:lang w:eastAsia="es-ES"/>
              </w:rPr>
              <w:t xml:space="preserve"> de 202</w:t>
            </w:r>
            <w:r>
              <w:rPr>
                <w:rFonts w:ascii="Verdana" w:hAnsi="Verdana" w:cs="Arial"/>
                <w:b/>
                <w:bCs/>
                <w:lang w:eastAsia="es-ES"/>
              </w:rPr>
              <w:t>6</w:t>
            </w:r>
          </w:p>
        </w:tc>
      </w:tr>
      <w:tr w:rsidR="00606EC1" w:rsidRPr="00A869FE" w14:paraId="04219449" w14:textId="77777777" w:rsidTr="007C4B30">
        <w:trPr>
          <w:trHeight w:val="884"/>
        </w:trPr>
        <w:tc>
          <w:tcPr>
            <w:tcW w:w="2689" w:type="dxa"/>
          </w:tcPr>
          <w:p w14:paraId="58252C48" w14:textId="77777777" w:rsidR="00606EC1" w:rsidRPr="00A869FE" w:rsidRDefault="00606EC1" w:rsidP="007C4B30">
            <w:pPr>
              <w:jc w:val="both"/>
              <w:rPr>
                <w:rFonts w:ascii="Verdana" w:hAnsi="Verdana" w:cs="Arial"/>
                <w:color w:val="000000"/>
                <w:lang w:eastAsia="es-ES_tradnl"/>
              </w:rPr>
            </w:pPr>
            <w:r w:rsidRPr="00A869FE">
              <w:rPr>
                <w:rFonts w:ascii="Verdana" w:hAnsi="Verdana" w:cs="Arial"/>
                <w:b/>
                <w:color w:val="000000"/>
                <w:lang w:eastAsia="es-ES_tradnl"/>
              </w:rPr>
              <w:t>Temas:</w:t>
            </w:r>
            <w:r w:rsidRPr="00A869FE">
              <w:rPr>
                <w:rFonts w:ascii="Verdana" w:hAnsi="Verdana" w:cs="Arial"/>
                <w:color w:val="000000"/>
                <w:lang w:eastAsia="es-ES_tradnl"/>
              </w:rPr>
              <w:t xml:space="preserve">                   </w:t>
            </w:r>
          </w:p>
        </w:tc>
        <w:tc>
          <w:tcPr>
            <w:tcW w:w="6100" w:type="dxa"/>
          </w:tcPr>
          <w:p w14:paraId="2520ACE3" w14:textId="77777777" w:rsidR="00606EC1" w:rsidRPr="00303ED1" w:rsidRDefault="00606EC1" w:rsidP="007C4B30">
            <w:pPr>
              <w:spacing w:line="276" w:lineRule="auto"/>
              <w:jc w:val="both"/>
              <w:rPr>
                <w:rFonts w:ascii="Verdana" w:eastAsia="Calibri" w:hAnsi="Verdana" w:cs="Arial"/>
                <w:bCs/>
                <w:color w:val="000000" w:themeColor="text1"/>
              </w:rPr>
            </w:pPr>
            <w:r w:rsidRPr="00303ED1">
              <w:rPr>
                <w:rFonts w:ascii="Verdana" w:eastAsia="Calibri" w:hAnsi="Verdana" w:cs="Arial"/>
                <w:bCs/>
                <w:color w:val="000000" w:themeColor="text1"/>
              </w:rPr>
              <w:t>PRÓRROGA DE LOS CONTRATOS ESTATALES - Procedencia - Autonomía de la voluntad / PR</w:t>
            </w:r>
            <w:r>
              <w:rPr>
                <w:rFonts w:ascii="Verdana" w:eastAsia="Calibri" w:hAnsi="Verdana" w:cs="Arial"/>
                <w:bCs/>
                <w:color w:val="000000" w:themeColor="text1"/>
              </w:rPr>
              <w:t>Ó</w:t>
            </w:r>
            <w:r w:rsidRPr="00303ED1">
              <w:rPr>
                <w:rFonts w:ascii="Verdana" w:eastAsia="Calibri" w:hAnsi="Verdana" w:cs="Arial"/>
                <w:bCs/>
                <w:color w:val="000000" w:themeColor="text1"/>
              </w:rPr>
              <w:t>RROGA – Requisitos de validez – Requisitos adicionales</w:t>
            </w:r>
          </w:p>
          <w:p w14:paraId="71953510" w14:textId="77777777" w:rsidR="00606EC1" w:rsidRPr="00C91962" w:rsidRDefault="00606EC1" w:rsidP="007C4B30">
            <w:pPr>
              <w:spacing w:line="276" w:lineRule="auto"/>
              <w:jc w:val="both"/>
              <w:rPr>
                <w:rFonts w:ascii="Verdana" w:eastAsia="Calibri" w:hAnsi="Verdana" w:cs="Arial"/>
                <w:lang w:eastAsia="es-ES"/>
              </w:rPr>
            </w:pPr>
          </w:p>
        </w:tc>
      </w:tr>
      <w:tr w:rsidR="00606EC1" w:rsidRPr="00A869FE" w14:paraId="56BA42FE" w14:textId="77777777" w:rsidTr="007C4B30">
        <w:tc>
          <w:tcPr>
            <w:tcW w:w="2689" w:type="dxa"/>
          </w:tcPr>
          <w:p w14:paraId="17427689" w14:textId="77777777" w:rsidR="00606EC1" w:rsidRPr="00A869FE" w:rsidRDefault="00606EC1" w:rsidP="007C4B30">
            <w:pPr>
              <w:jc w:val="both"/>
              <w:rPr>
                <w:rFonts w:ascii="Verdana" w:hAnsi="Verdana" w:cs="Arial"/>
                <w:b/>
                <w:lang w:eastAsia="es-ES_tradnl"/>
              </w:rPr>
            </w:pPr>
            <w:r w:rsidRPr="00A869FE">
              <w:rPr>
                <w:rFonts w:ascii="Verdana" w:hAnsi="Verdana" w:cs="Arial"/>
                <w:b/>
                <w:lang w:eastAsia="es-ES_tradnl"/>
              </w:rPr>
              <w:t>Radicación:</w:t>
            </w:r>
            <w:r w:rsidRPr="00A869FE">
              <w:rPr>
                <w:rFonts w:ascii="Verdana" w:hAnsi="Verdana" w:cs="Arial"/>
                <w:lang w:eastAsia="es-ES_tradnl"/>
              </w:rPr>
              <w:t xml:space="preserve">               </w:t>
            </w:r>
          </w:p>
        </w:tc>
        <w:tc>
          <w:tcPr>
            <w:tcW w:w="6100" w:type="dxa"/>
          </w:tcPr>
          <w:p w14:paraId="6BCA1A38" w14:textId="77777777" w:rsidR="00606EC1" w:rsidRPr="0087731B" w:rsidRDefault="00606EC1" w:rsidP="007C4B30">
            <w:pPr>
              <w:jc w:val="both"/>
              <w:rPr>
                <w:rFonts w:ascii="Verdana" w:hAnsi="Verdana" w:cs="Arial"/>
                <w:lang w:eastAsia="es-ES_tradnl"/>
              </w:rPr>
            </w:pPr>
            <w:r w:rsidRPr="00A869FE">
              <w:rPr>
                <w:rFonts w:ascii="Verdana" w:hAnsi="Verdana" w:cs="Arial"/>
                <w:lang w:eastAsia="es-ES_tradnl"/>
              </w:rPr>
              <w:t xml:space="preserve">Respuesta a la consulta con radicado No. </w:t>
            </w:r>
            <w:r w:rsidRPr="008F64E6">
              <w:rPr>
                <w:rFonts w:ascii="Verdana" w:hAnsi="Verdana" w:cs="Arial"/>
                <w:lang w:eastAsia="es-ES_tradnl"/>
              </w:rPr>
              <w:t>1_2026_05_27_007162</w:t>
            </w:r>
          </w:p>
          <w:p w14:paraId="435CB5E1" w14:textId="77777777" w:rsidR="00606EC1" w:rsidRPr="00A869FE" w:rsidRDefault="00606EC1" w:rsidP="007C4B30">
            <w:pPr>
              <w:jc w:val="both"/>
              <w:rPr>
                <w:rFonts w:ascii="Verdana" w:hAnsi="Verdana" w:cs="Arial"/>
                <w:lang w:eastAsia="es-ES_tradnl"/>
              </w:rPr>
            </w:pPr>
          </w:p>
        </w:tc>
      </w:tr>
    </w:tbl>
    <w:p w14:paraId="42A8E456" w14:textId="77777777" w:rsidR="00606EC1" w:rsidRPr="00A869FE" w:rsidRDefault="00606EC1" w:rsidP="00606EC1">
      <w:pPr>
        <w:spacing w:after="0" w:line="240" w:lineRule="auto"/>
        <w:jc w:val="both"/>
        <w:rPr>
          <w:rFonts w:ascii="Verdana" w:hAnsi="Verdana" w:cs="Arial"/>
          <w:color w:val="000000"/>
          <w:lang w:eastAsia="es-ES_tradnl"/>
        </w:rPr>
      </w:pPr>
    </w:p>
    <w:p w14:paraId="644C9DD1" w14:textId="77777777" w:rsidR="00606EC1" w:rsidRPr="00A869FE" w:rsidRDefault="00606EC1" w:rsidP="00606EC1">
      <w:pPr>
        <w:spacing w:after="0" w:line="276" w:lineRule="auto"/>
        <w:jc w:val="both"/>
        <w:rPr>
          <w:rFonts w:ascii="Verdana" w:hAnsi="Verdana" w:cs="Arial"/>
          <w:lang w:eastAsia="es-ES"/>
        </w:rPr>
      </w:pPr>
      <w:r w:rsidRPr="00A869FE">
        <w:rPr>
          <w:rFonts w:ascii="Verdana" w:hAnsi="Verdana" w:cs="Arial"/>
          <w:lang w:eastAsia="es-ES"/>
        </w:rPr>
        <w:t>Estimad</w:t>
      </w:r>
      <w:r>
        <w:rPr>
          <w:rFonts w:ascii="Verdana" w:hAnsi="Verdana" w:cs="Arial"/>
          <w:lang w:eastAsia="es-ES"/>
        </w:rPr>
        <w:t>o Señor Castro,</w:t>
      </w:r>
    </w:p>
    <w:p w14:paraId="6A4F4E50" w14:textId="77777777" w:rsidR="00606EC1" w:rsidRDefault="00606EC1" w:rsidP="00606EC1">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F7C48C5" w14:textId="77777777" w:rsidR="00606EC1" w:rsidRDefault="00606EC1" w:rsidP="00606EC1">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sidRPr="00BA5B12">
        <w:rPr>
          <w:rFonts w:ascii="Verdana" w:eastAsia="Aptos" w:hAnsi="Verdana" w:cs="Arial"/>
        </w:rPr>
        <w:t xml:space="preserve"> </w:t>
      </w:r>
      <w:r w:rsidRPr="00D20014">
        <w:rPr>
          <w:rFonts w:ascii="Verdana" w:eastAsia="Aptos" w:hAnsi="Verdana" w:cs="Arial"/>
        </w:rPr>
        <w:t xml:space="preserve">como lo establecido en </w:t>
      </w:r>
      <w:r>
        <w:rPr>
          <w:rFonts w:ascii="Verdana" w:eastAsia="Aptos" w:hAnsi="Verdana" w:cs="Arial"/>
        </w:rPr>
        <w:t xml:space="preserve">la </w:t>
      </w:r>
      <w:r w:rsidRPr="00713B63">
        <w:rPr>
          <w:rFonts w:ascii="Verdana" w:hAnsi="Verdana" w:cs="Arial"/>
        </w:rPr>
        <w:t xml:space="preserve">Resolución 469 de 2025 </w:t>
      </w:r>
      <w:r w:rsidRPr="00D20014">
        <w:rPr>
          <w:rFonts w:ascii="Verdana" w:eastAsia="Aptos" w:hAnsi="Verdana" w:cs="Arial"/>
        </w:rPr>
        <w:t xml:space="preserve">expedida por esta Entidad, </w:t>
      </w:r>
      <w:r w:rsidRPr="00D20014">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 xml:space="preserve">27 de mayo de </w:t>
      </w:r>
      <w:r w:rsidRPr="00D20014">
        <w:rPr>
          <w:rFonts w:ascii="Verdana" w:eastAsia="Calibri" w:hAnsi="Verdana" w:cs="Arial"/>
          <w:lang w:val="es-ES" w:eastAsia="es-ES"/>
        </w:rPr>
        <w:t>2025, en la</w:t>
      </w:r>
      <w:r>
        <w:rPr>
          <w:rFonts w:ascii="Verdana" w:eastAsia="Calibri" w:hAnsi="Verdana" w:cs="Arial"/>
          <w:lang w:val="es-ES" w:eastAsia="es-ES"/>
        </w:rPr>
        <w:t xml:space="preserve"> que</w:t>
      </w:r>
      <w:r w:rsidRPr="00D20014">
        <w:rPr>
          <w:rFonts w:ascii="Verdana" w:eastAsia="Calibri" w:hAnsi="Verdana" w:cs="Arial"/>
          <w:lang w:val="es-ES" w:eastAsia="es-ES"/>
        </w:rPr>
        <w:t xml:space="preserve"> manifiesta lo siguiente</w:t>
      </w:r>
      <w:r>
        <w:rPr>
          <w:rFonts w:ascii="Verdana" w:eastAsia="Calibri" w:hAnsi="Verdana" w:cs="Arial"/>
          <w:lang w:val="es-ES" w:eastAsia="es-ES"/>
        </w:rPr>
        <w:t xml:space="preserve">: </w:t>
      </w:r>
    </w:p>
    <w:p w14:paraId="5E00BB7B" w14:textId="77777777" w:rsidR="00606EC1" w:rsidRPr="00D54CA0" w:rsidRDefault="00606EC1" w:rsidP="00606EC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D2538B8" w14:textId="77777777" w:rsidR="00606EC1" w:rsidRPr="00D414CD" w:rsidRDefault="00606EC1" w:rsidP="00606EC1">
      <w:pPr>
        <w:autoSpaceDE w:val="0"/>
        <w:autoSpaceDN w:val="0"/>
        <w:adjustRightInd w:val="0"/>
        <w:spacing w:after="0" w:line="240" w:lineRule="auto"/>
        <w:ind w:left="851" w:right="709"/>
        <w:jc w:val="both"/>
        <w:rPr>
          <w:rFonts w:ascii="Verdana" w:hAnsi="Verdana"/>
          <w:sz w:val="20"/>
          <w:szCs w:val="20"/>
        </w:rPr>
      </w:pPr>
      <w:r w:rsidRPr="00D414CD">
        <w:rPr>
          <w:rFonts w:ascii="Verdana" w:hAnsi="Verdana"/>
          <w:sz w:val="20"/>
          <w:szCs w:val="20"/>
        </w:rPr>
        <w:t xml:space="preserve">“En el evento en que una prórroga contractual haya sido suscrita únicamente por la entidad estatal, sin que conste la aceptación o firma del proveedor o contratista en la respectiva modificación, ¿resulta jurídicamente válido que, en el acta de liquidación del contrato, se establezca como fecha de terminación aquella prevista en la prórroga no aceptada por el contratista?” </w:t>
      </w:r>
    </w:p>
    <w:p w14:paraId="77FDDF47" w14:textId="77777777" w:rsidR="00606EC1" w:rsidRPr="00D54CA0" w:rsidRDefault="00606EC1" w:rsidP="00606EC1">
      <w:pPr>
        <w:autoSpaceDE w:val="0"/>
        <w:autoSpaceDN w:val="0"/>
        <w:adjustRightInd w:val="0"/>
        <w:spacing w:after="0" w:line="276" w:lineRule="auto"/>
        <w:ind w:left="851" w:right="616"/>
        <w:jc w:val="both"/>
        <w:rPr>
          <w:rFonts w:ascii="Verdana" w:eastAsia="Century Gothic" w:hAnsi="Verdana" w:cs="Century Gothic"/>
          <w:b/>
          <w:i/>
          <w:iCs/>
          <w:sz w:val="20"/>
          <w:szCs w:val="20"/>
        </w:rPr>
      </w:pPr>
    </w:p>
    <w:p w14:paraId="616BB155" w14:textId="77777777" w:rsidR="00606EC1" w:rsidRDefault="00606EC1" w:rsidP="00606EC1">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Pr>
          <w:rFonts w:ascii="Verdana" w:eastAsia="Calibri" w:hAnsi="Verdana" w:cs="Arial"/>
          <w:color w:val="000000"/>
          <w:lang w:val="es-ES" w:eastAsia="es-ES"/>
        </w:rPr>
        <w:lastRenderedPageBreak/>
        <w:t xml:space="preserve">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7B7F0489" w14:textId="77777777" w:rsidR="00606EC1" w:rsidRDefault="00606EC1" w:rsidP="00606EC1">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52DDE2DF" w14:textId="77777777" w:rsidR="00606EC1" w:rsidRDefault="00606EC1" w:rsidP="00606EC1">
      <w:pPr>
        <w:spacing w:after="0" w:line="276" w:lineRule="auto"/>
        <w:ind w:firstLine="709"/>
        <w:jc w:val="both"/>
        <w:rPr>
          <w:rFonts w:ascii="Verdana" w:eastAsia="Calibri" w:hAnsi="Verdana" w:cs="Arial"/>
          <w:color w:val="000000"/>
          <w:lang w:val="es-ES" w:eastAsia="es-ES"/>
        </w:rPr>
      </w:pPr>
    </w:p>
    <w:p w14:paraId="25555C74" w14:textId="77777777" w:rsidR="00606EC1" w:rsidRDefault="00606EC1" w:rsidP="00606EC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56C8A701" w14:textId="77777777" w:rsidR="00606EC1" w:rsidRDefault="00606EC1" w:rsidP="00606EC1">
      <w:pPr>
        <w:tabs>
          <w:tab w:val="left" w:pos="426"/>
        </w:tabs>
        <w:spacing w:after="0" w:line="276" w:lineRule="auto"/>
        <w:jc w:val="both"/>
        <w:rPr>
          <w:rFonts w:ascii="Verdana" w:eastAsia="Century Gothic" w:hAnsi="Verdana" w:cs="Century Gothic"/>
          <w:lang w:val="es-ES"/>
        </w:rPr>
      </w:pPr>
    </w:p>
    <w:p w14:paraId="6ABBBB89" w14:textId="77777777" w:rsidR="00606EC1" w:rsidRDefault="00606EC1" w:rsidP="00606EC1">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el siguiente problema jurídico</w:t>
      </w:r>
      <w:r>
        <w:rPr>
          <w:rFonts w:ascii="Verdana" w:eastAsia="Calibri" w:hAnsi="Verdana" w:cs="Times New Roman"/>
          <w:iCs/>
          <w:lang w:val="es-ES"/>
        </w:rPr>
        <w:t xml:space="preserve">: </w:t>
      </w:r>
      <w:r w:rsidRPr="003238BF">
        <w:rPr>
          <w:rFonts w:ascii="Verdana" w:eastAsia="Calibri" w:hAnsi="Verdana" w:cs="Times New Roman"/>
          <w:iCs/>
        </w:rPr>
        <w:t>¿Cuáles son los requisitos para la validez y eficacia de una prórroga contractual en la contratación estatal?</w:t>
      </w:r>
    </w:p>
    <w:p w14:paraId="3F165F5F" w14:textId="77777777" w:rsidR="00606EC1" w:rsidRDefault="00606EC1" w:rsidP="00606EC1">
      <w:pPr>
        <w:spacing w:after="0" w:line="276" w:lineRule="auto"/>
        <w:jc w:val="both"/>
        <w:rPr>
          <w:rFonts w:ascii="Verdana" w:eastAsia="Calibri" w:hAnsi="Verdana" w:cs="Arial"/>
          <w:color w:val="7030A0"/>
          <w:lang w:val="es-ES"/>
        </w:rPr>
      </w:pPr>
    </w:p>
    <w:p w14:paraId="585588DE" w14:textId="77777777" w:rsidR="00606EC1" w:rsidRDefault="00606EC1" w:rsidP="00606EC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64707FD1" w14:textId="77777777" w:rsidR="00606EC1" w:rsidRDefault="00606EC1" w:rsidP="00606EC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06EC1" w14:paraId="7671ED07" w14:textId="77777777" w:rsidTr="007C4B30">
        <w:tc>
          <w:tcPr>
            <w:tcW w:w="8828" w:type="dxa"/>
            <w:tcBorders>
              <w:top w:val="dotted" w:sz="4" w:space="0" w:color="auto"/>
              <w:left w:val="dotted" w:sz="4" w:space="0" w:color="auto"/>
              <w:bottom w:val="dotted" w:sz="4" w:space="0" w:color="auto"/>
              <w:right w:val="dotted" w:sz="4" w:space="0" w:color="auto"/>
            </w:tcBorders>
          </w:tcPr>
          <w:p w14:paraId="4AE46697" w14:textId="77777777" w:rsidR="00606EC1" w:rsidRPr="00992480" w:rsidRDefault="00606EC1" w:rsidP="007C4B30">
            <w:pPr>
              <w:widowControl w:val="0"/>
              <w:autoSpaceDE w:val="0"/>
              <w:autoSpaceDN w:val="0"/>
              <w:spacing w:after="120" w:line="276" w:lineRule="auto"/>
              <w:ind w:right="102"/>
              <w:jc w:val="both"/>
              <w:rPr>
                <w:rFonts w:ascii="Verdana" w:hAnsi="Verdana" w:cs="Arial"/>
                <w:color w:val="000000" w:themeColor="text1"/>
                <w:lang w:eastAsia="es-ES"/>
              </w:rPr>
            </w:pPr>
            <w:r w:rsidRPr="00992480">
              <w:rPr>
                <w:rFonts w:ascii="Verdana" w:hAnsi="Verdana" w:cs="Arial"/>
                <w:color w:val="000000" w:themeColor="text1"/>
                <w:lang w:eastAsia="es-ES"/>
              </w:rPr>
              <w:t>La Ley 80 de 1993 no se refirió a la posibilidad de prorrogar los contratos estatales, pero tampoco la prohibió. En vista de ello, es necesario partir de las remisiones que hace la Ley 80 de 1993 al derecho privado y al principio de la autonomía de la voluntad para llenar este vacío —arts. 13, 32 y 40—. De esta manera, los particulares tienen amplia libertad para prorrogar el plazo de cualquier contrato y, salvo ciertas disposiciones específicas de algunas tipologías contractuales, no existen criterios que determinen límites a esta posibilidad ni a su alcance, de manera que el principio de la autonomía de la voluntad despliega ampliamente sus efectos en este aspecto, lo cual es trasladable, como principio, a los contratos estatales.</w:t>
            </w:r>
          </w:p>
          <w:p w14:paraId="37409DC0" w14:textId="77777777" w:rsidR="00606EC1" w:rsidRPr="00992480" w:rsidRDefault="00606EC1" w:rsidP="007C4B30">
            <w:pPr>
              <w:widowControl w:val="0"/>
              <w:autoSpaceDE w:val="0"/>
              <w:autoSpaceDN w:val="0"/>
              <w:spacing w:after="120" w:line="276" w:lineRule="auto"/>
              <w:ind w:right="102" w:firstLine="709"/>
              <w:jc w:val="both"/>
              <w:rPr>
                <w:rFonts w:ascii="Verdana" w:hAnsi="Verdana" w:cs="Arial"/>
                <w:color w:val="000000" w:themeColor="text1"/>
                <w:lang w:eastAsia="es-ES"/>
              </w:rPr>
            </w:pPr>
            <w:r w:rsidRPr="00992480">
              <w:rPr>
                <w:rFonts w:ascii="Verdana" w:hAnsi="Verdana" w:cs="Arial"/>
                <w:color w:val="000000" w:themeColor="text1"/>
                <w:lang w:eastAsia="es-ES"/>
              </w:rPr>
              <w:t xml:space="preserve">En este contexto, debido a que la ley no fijó criterios para determinar el alcance de la ampliación del plazo, sucede, en principio, lo mismo que con la configuración del plazo inicial, que solo se restringe a que sea "razonable". </w:t>
            </w:r>
            <w:r w:rsidRPr="00992480">
              <w:rPr>
                <w:rFonts w:ascii="Verdana" w:hAnsi="Verdana" w:cs="Arial"/>
                <w:color w:val="000000" w:themeColor="text1"/>
                <w:lang w:eastAsia="es-ES"/>
              </w:rPr>
              <w:lastRenderedPageBreak/>
              <w:t>Adicionalmente, es posible que un mismo contrato presente varias prórrogas, siempre que sean convenientes y razonables en su determinación.</w:t>
            </w:r>
          </w:p>
          <w:p w14:paraId="44F0A1FF" w14:textId="77777777" w:rsidR="00606EC1" w:rsidRPr="00992480" w:rsidRDefault="00606EC1" w:rsidP="007C4B30">
            <w:pPr>
              <w:widowControl w:val="0"/>
              <w:autoSpaceDE w:val="0"/>
              <w:autoSpaceDN w:val="0"/>
              <w:spacing w:after="120" w:line="276" w:lineRule="auto"/>
              <w:ind w:right="102" w:firstLine="709"/>
              <w:jc w:val="both"/>
              <w:rPr>
                <w:rFonts w:ascii="Verdana" w:hAnsi="Verdana" w:cs="Arial"/>
                <w:color w:val="000000" w:themeColor="text1"/>
                <w:lang w:eastAsia="es-ES"/>
              </w:rPr>
            </w:pPr>
            <w:r w:rsidRPr="00992480">
              <w:rPr>
                <w:rFonts w:ascii="Verdana" w:hAnsi="Verdana" w:cs="Arial"/>
                <w:color w:val="000000" w:themeColor="text1"/>
                <w:lang w:eastAsia="es-ES"/>
              </w:rPr>
              <w:t>Además, para suscribir las prórrogas deben tenerse en cuenta otros requisitos adicionales que no afectan la existencia del acuerdo, pero que constituyen obligaciones de cumplimiento obligatorio en los contratos estatales, cuya omisión podría incidir en la responsabilidad disciplinaria, fiscal o penal de los funcionarios encargados. Estos requisitos adicionales varían según si la prórroga implica aumentar el valor del contrato o si solamente afecta el plazo.</w:t>
            </w:r>
          </w:p>
          <w:p w14:paraId="5E8385E8" w14:textId="77777777" w:rsidR="00606EC1" w:rsidRPr="00992480" w:rsidRDefault="00606EC1" w:rsidP="007C4B30">
            <w:pPr>
              <w:widowControl w:val="0"/>
              <w:autoSpaceDE w:val="0"/>
              <w:autoSpaceDN w:val="0"/>
              <w:spacing w:after="120" w:line="276" w:lineRule="auto"/>
              <w:ind w:right="102" w:firstLine="709"/>
              <w:jc w:val="both"/>
              <w:rPr>
                <w:rFonts w:ascii="Verdana" w:hAnsi="Verdana" w:cs="Arial"/>
                <w:color w:val="000000" w:themeColor="text1"/>
                <w:lang w:eastAsia="es-ES"/>
              </w:rPr>
            </w:pPr>
            <w:r w:rsidRPr="00992480">
              <w:rPr>
                <w:rFonts w:ascii="Verdana" w:hAnsi="Verdana" w:cs="Arial"/>
                <w:color w:val="000000" w:themeColor="text1"/>
                <w:lang w:eastAsia="es-ES"/>
              </w:rPr>
              <w:t xml:space="preserve">En el primer caso, son necesarios los siguientes requisitos: i) debe contarse, previo a la suscripción de la prórroga, con el respectivo Certificado de Disponibilidad Presupuestal y el Registro Presupuestal para su ejecución; de igual manera, deben contarse con las respectivas vigencias futuras en caso de que la prórroga implique afectar el presupuesto de otras vigencias; </w:t>
            </w:r>
            <w:proofErr w:type="spellStart"/>
            <w:r w:rsidRPr="00992480">
              <w:rPr>
                <w:rFonts w:ascii="Verdana" w:hAnsi="Verdana" w:cs="Arial"/>
                <w:color w:val="000000" w:themeColor="text1"/>
                <w:lang w:eastAsia="es-ES"/>
              </w:rPr>
              <w:t>ii</w:t>
            </w:r>
            <w:proofErr w:type="spellEnd"/>
            <w:r w:rsidRPr="00992480">
              <w:rPr>
                <w:rFonts w:ascii="Verdana" w:hAnsi="Verdana" w:cs="Arial"/>
                <w:color w:val="000000" w:themeColor="text1"/>
                <w:lang w:eastAsia="es-ES"/>
              </w:rPr>
              <w:t xml:space="preserve">) debe ampliarse la vigencia de las garantías, así como su valor; y </w:t>
            </w:r>
            <w:proofErr w:type="spellStart"/>
            <w:r w:rsidRPr="00992480">
              <w:rPr>
                <w:rFonts w:ascii="Verdana" w:hAnsi="Verdana" w:cs="Arial"/>
                <w:color w:val="000000" w:themeColor="text1"/>
                <w:lang w:eastAsia="es-ES"/>
              </w:rPr>
              <w:t>iii</w:t>
            </w:r>
            <w:proofErr w:type="spellEnd"/>
            <w:r w:rsidRPr="00992480">
              <w:rPr>
                <w:rFonts w:ascii="Verdana" w:hAnsi="Verdana" w:cs="Arial"/>
                <w:color w:val="000000" w:themeColor="text1"/>
                <w:lang w:eastAsia="es-ES"/>
              </w:rPr>
              <w:t>) el documento contentivo de la prórroga debe tramitarse en el SECOP II, o publicarse en este cuando se trate del SECOP I.</w:t>
            </w:r>
          </w:p>
          <w:p w14:paraId="76B5000D" w14:textId="77777777" w:rsidR="00606EC1" w:rsidRPr="00992480" w:rsidRDefault="00606EC1" w:rsidP="007C4B30">
            <w:pPr>
              <w:widowControl w:val="0"/>
              <w:autoSpaceDE w:val="0"/>
              <w:autoSpaceDN w:val="0"/>
              <w:spacing w:after="120" w:line="276" w:lineRule="auto"/>
              <w:ind w:right="102" w:firstLine="709"/>
              <w:jc w:val="both"/>
              <w:rPr>
                <w:rFonts w:ascii="Verdana" w:hAnsi="Verdana" w:cs="Arial"/>
                <w:color w:val="000000" w:themeColor="text1"/>
                <w:lang w:eastAsia="es-ES"/>
              </w:rPr>
            </w:pPr>
            <w:r w:rsidRPr="00992480">
              <w:rPr>
                <w:rFonts w:ascii="Verdana" w:hAnsi="Verdana" w:cs="Arial"/>
                <w:color w:val="000000" w:themeColor="text1"/>
                <w:lang w:eastAsia="es-ES"/>
              </w:rPr>
              <w:t>Si la prórroga no aumenta el valor del contrato, no es necesario contar con el Certificado de Disponibilidad Presupuestal ni con el Registro Presupuestal, ya que una modificación de ese tipo no afecta el presupuesto del contrato; no obstante, es posible que la prórroga implique que la ejecución del contrato pase de una vigencia fiscal a otra, lo que generaría efectos de índole presupuestal. En este caso no debe actualizarse el valor de la garantía; sin embargo, sí debe ampliarse su vigencia, de acuerdo con el nuevo término de duración del contrato.</w:t>
            </w:r>
          </w:p>
          <w:p w14:paraId="18CFECB5" w14:textId="77777777" w:rsidR="00606EC1" w:rsidRPr="00992480" w:rsidRDefault="00606EC1" w:rsidP="007C4B30">
            <w:pPr>
              <w:widowControl w:val="0"/>
              <w:autoSpaceDE w:val="0"/>
              <w:autoSpaceDN w:val="0"/>
              <w:spacing w:after="120" w:line="276" w:lineRule="auto"/>
              <w:ind w:right="102" w:firstLine="709"/>
              <w:jc w:val="both"/>
              <w:rPr>
                <w:rFonts w:ascii="Verdana" w:hAnsi="Verdana" w:cs="Arial"/>
                <w:color w:val="000000" w:themeColor="text1"/>
                <w:lang w:eastAsia="es-ES"/>
              </w:rPr>
            </w:pPr>
            <w:r w:rsidRPr="00992480">
              <w:rPr>
                <w:rFonts w:ascii="Verdana" w:hAnsi="Verdana" w:cs="Arial"/>
                <w:color w:val="000000" w:themeColor="text1"/>
                <w:lang w:eastAsia="es-ES"/>
              </w:rPr>
              <w:t xml:space="preserve">No obstante lo anterior, se precisa que la prórroga únicamente adquiere existencia, validez y eficacia jurídica cuando se perfecciona por escrito mediante el acuerdo de voluntades de las partes, observando las mismas formalidades exigidas para la celebración del contrato que se pretende modificar. Al respecto, la Sala de Consulta y Servicio Civil del Consejo de Estado señaló que "tal renovación del acuerdo de voluntades debe constar por escrito, dado el carácter solemne del contrato estatal (artículo 41, Ley 80 de 1993). Entonces, prorrogar un contrato significa la ampliación temporal de las obligaciones en él contenidas, o de la voluntad que tuvieron </w:t>
            </w:r>
            <w:r w:rsidRPr="00992480">
              <w:rPr>
                <w:rFonts w:ascii="Verdana" w:hAnsi="Verdana" w:cs="Arial"/>
                <w:color w:val="000000" w:themeColor="text1"/>
                <w:lang w:eastAsia="es-ES"/>
              </w:rPr>
              <w:lastRenderedPageBreak/>
              <w:t>las partes al celebrarlo, lo cual implica que se mantenga y ejecute en las mismas condiciones que lo originaron, pero no implica, per se, un cambio adicional o alteración del sustrato obligacional primigenio".</w:t>
            </w:r>
          </w:p>
          <w:p w14:paraId="7BB8AA80" w14:textId="77777777" w:rsidR="00606EC1" w:rsidRPr="003E406E" w:rsidRDefault="00606EC1" w:rsidP="007C4B30">
            <w:pPr>
              <w:widowControl w:val="0"/>
              <w:autoSpaceDE w:val="0"/>
              <w:autoSpaceDN w:val="0"/>
              <w:spacing w:after="120" w:line="276" w:lineRule="auto"/>
              <w:ind w:right="102" w:firstLine="709"/>
              <w:jc w:val="both"/>
              <w:rPr>
                <w:rFonts w:ascii="Verdana" w:hAnsi="Verdana"/>
              </w:rPr>
            </w:pPr>
            <w:r w:rsidRPr="00992480">
              <w:rPr>
                <w:rFonts w:ascii="Verdana" w:hAnsi="Verdana" w:cs="Arial"/>
                <w:color w:val="000000" w:themeColor="text1"/>
                <w:lang w:eastAsia="es-ES"/>
              </w:rPr>
              <w:t>Así, para que una prórroga contractual sea válida y produzca efectos jurídicos, no basta la mera intención de la entidad estatal de ampliar el plazo de ejecución del contrato, sino que resulta indispensable que exista un acuerdo mutuo de las partes, formalizado por escrito, en atención al carácter solemne del contrato estatal. En consecuencia, la falta de aceptación por parte del contratista o la ausencia de suscripción del respectivo documento impiden entender perfeccionada la prórroga, pues se trata de un requisito esencial para su existencia y eficacia. En tales circunstancias, no es posible afirmar que el plazo contractual fue válidamente ampliado, ni reconocer efectos jurídicos a una modificación que carece del consentimiento de una de las partes</w:t>
            </w:r>
            <w:r>
              <w:rPr>
                <w:rFonts w:ascii="Verdana" w:hAnsi="Verdana" w:cs="Arial"/>
                <w:color w:val="000000" w:themeColor="text1"/>
                <w:lang w:eastAsia="es-ES"/>
              </w:rPr>
              <w:t>.</w:t>
            </w:r>
          </w:p>
        </w:tc>
      </w:tr>
    </w:tbl>
    <w:p w14:paraId="0B9F218E" w14:textId="77777777" w:rsidR="00606EC1" w:rsidRDefault="00606EC1" w:rsidP="00606EC1">
      <w:pPr>
        <w:tabs>
          <w:tab w:val="left" w:pos="142"/>
          <w:tab w:val="left" w:pos="284"/>
        </w:tabs>
        <w:spacing w:after="0" w:line="276" w:lineRule="auto"/>
        <w:jc w:val="both"/>
        <w:rPr>
          <w:rFonts w:ascii="Verdana" w:eastAsia="Century Gothic" w:hAnsi="Verdana" w:cs="Century Gothic"/>
          <w:b/>
          <w:bCs/>
          <w:lang w:val="es-ES"/>
        </w:rPr>
      </w:pPr>
    </w:p>
    <w:p w14:paraId="72D6E95F" w14:textId="77777777" w:rsidR="00606EC1" w:rsidRDefault="00606EC1" w:rsidP="00606EC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39C3E8D5" w14:textId="77777777" w:rsidR="00606EC1" w:rsidRDefault="00606EC1" w:rsidP="00606EC1">
      <w:pPr>
        <w:spacing w:after="0" w:line="276" w:lineRule="auto"/>
        <w:jc w:val="both"/>
        <w:rPr>
          <w:rFonts w:ascii="Verdana" w:eastAsia="Calibri" w:hAnsi="Verdana" w:cs="Arial"/>
          <w:color w:val="7030A0"/>
          <w:lang w:val="es-ES"/>
        </w:rPr>
      </w:pPr>
    </w:p>
    <w:p w14:paraId="2BC80F05" w14:textId="77777777" w:rsidR="00606EC1" w:rsidRPr="00B96799" w:rsidRDefault="00606EC1" w:rsidP="00606EC1">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34F4EBEA" w14:textId="77777777" w:rsidR="00606EC1" w:rsidRPr="00593A5F" w:rsidRDefault="00606EC1" w:rsidP="00606EC1">
      <w:pPr>
        <w:spacing w:after="0" w:line="276" w:lineRule="auto"/>
        <w:jc w:val="both"/>
        <w:rPr>
          <w:rFonts w:ascii="Verdana" w:eastAsia="Calibri" w:hAnsi="Verdana" w:cs="Arial"/>
          <w:color w:val="7030A0"/>
          <w:lang w:val="es-ES"/>
        </w:rPr>
      </w:pPr>
    </w:p>
    <w:p w14:paraId="330B3338" w14:textId="77777777" w:rsidR="00606EC1" w:rsidRPr="00B6737E" w:rsidRDefault="00606EC1" w:rsidP="00606EC1">
      <w:pPr>
        <w:spacing w:before="120" w:after="120" w:line="276" w:lineRule="auto"/>
        <w:jc w:val="both"/>
        <w:rPr>
          <w:rFonts w:ascii="Verdana" w:hAnsi="Verdana" w:cs="Arial"/>
          <w:color w:val="000000" w:themeColor="text1"/>
          <w:lang w:eastAsia="es-ES"/>
        </w:rPr>
      </w:pPr>
      <w:r w:rsidRPr="00B6737E">
        <w:rPr>
          <w:rFonts w:ascii="Verdana" w:hAnsi="Verdana" w:cs="Arial"/>
          <w:color w:val="000000" w:themeColor="text1"/>
          <w:lang w:eastAsia="es-ES"/>
        </w:rPr>
        <w:t>La Ley 80 de 1993 no se refirió a la posibilidad de prorrogar los contratos estatales, al igual que tampoco lo prohibió. En vista de ello, es necesario partir de las remisiones que hace la Ley 80 de 1993 al derecho privado y al principio de la autonomía de la voluntad para llenar este aspecto ―arts. 13, 32 y 40</w:t>
      </w:r>
      <w:r w:rsidRPr="00B6737E">
        <w:rPr>
          <w:rStyle w:val="Refdenotaalpie"/>
          <w:rFonts w:ascii="Verdana" w:hAnsi="Verdana" w:cs="Arial"/>
          <w:color w:val="000000" w:themeColor="text1"/>
          <w:lang w:eastAsia="es-ES"/>
        </w:rPr>
        <w:footnoteReference w:id="1"/>
      </w:r>
      <w:r w:rsidRPr="00B6737E">
        <w:rPr>
          <w:rFonts w:ascii="Verdana" w:hAnsi="Verdana" w:cs="Arial"/>
          <w:color w:val="000000" w:themeColor="text1"/>
          <w:lang w:eastAsia="es-ES"/>
        </w:rPr>
        <w:t xml:space="preserve">―. </w:t>
      </w:r>
      <w:r w:rsidRPr="00B6737E">
        <w:rPr>
          <w:rFonts w:ascii="Verdana" w:hAnsi="Verdana" w:cs="Arial"/>
          <w:color w:val="000000" w:themeColor="text1"/>
          <w:lang w:eastAsia="es-ES"/>
        </w:rPr>
        <w:lastRenderedPageBreak/>
        <w:t>De esta manera, los particulares tienen amplia libertad para prorrogar el plazo de cualquier contrato y, salvo ciertas disposiciones específicas de algunas tipologías contractuales, no existen criterios que determinen límites a esta posibilidad ni a su alcance, de manera que el principio de la autonomía de la voluntad en este aspecto despliega ampliamente sus efectos, lo que a su vez es trasladable, como principio, a los contratos estatales</w:t>
      </w:r>
      <w:r w:rsidRPr="00B6737E">
        <w:rPr>
          <w:rStyle w:val="Refdenotaalpie"/>
          <w:rFonts w:ascii="Verdana" w:hAnsi="Verdana" w:cs="Arial"/>
          <w:color w:val="000000" w:themeColor="text1"/>
          <w:lang w:eastAsia="es-ES"/>
        </w:rPr>
        <w:footnoteReference w:id="2"/>
      </w:r>
      <w:r w:rsidRPr="00B6737E">
        <w:rPr>
          <w:rFonts w:ascii="Verdana" w:hAnsi="Verdana" w:cs="Arial"/>
          <w:color w:val="000000" w:themeColor="text1"/>
          <w:lang w:eastAsia="es-ES"/>
        </w:rPr>
        <w:t xml:space="preserve">. </w:t>
      </w:r>
    </w:p>
    <w:p w14:paraId="4FB8C28F" w14:textId="77777777" w:rsidR="00606EC1" w:rsidRPr="00B6737E" w:rsidRDefault="00606EC1" w:rsidP="00606EC1">
      <w:pPr>
        <w:spacing w:before="120" w:after="120" w:line="276" w:lineRule="auto"/>
        <w:ind w:firstLine="708"/>
        <w:jc w:val="both"/>
        <w:rPr>
          <w:rFonts w:ascii="Verdana" w:hAnsi="Verdana" w:cs="Arial"/>
          <w:color w:val="000000" w:themeColor="text1"/>
          <w:lang w:eastAsia="es-ES"/>
        </w:rPr>
      </w:pPr>
      <w:r w:rsidRPr="00B6737E">
        <w:rPr>
          <w:rFonts w:ascii="Verdana" w:hAnsi="Verdana" w:cs="Arial"/>
          <w:color w:val="000000" w:themeColor="text1"/>
          <w:lang w:eastAsia="es-ES"/>
        </w:rPr>
        <w:t xml:space="preserve">La idea de que los plazos de los contratos estatales pueden prorrogarse es sostenida, pacíficamente, por la jurisprudencia y la doctrina. A modo de ejemplo, el Consejo de Estado, en Sentencia del 24 de agosto de 2005, señala que dicha posibilidad se debe a que el plazo es un elemento accidental de los contratos estatales, por lo que existe gran amplitud en su delimitación por las partes, lo que se transfiere a la posibilidad de modificarlo por voluntad de las partes. Allí se indica: </w:t>
      </w:r>
    </w:p>
    <w:p w14:paraId="7E0CD245" w14:textId="77777777" w:rsidR="00606EC1" w:rsidRPr="00B6737E" w:rsidRDefault="00606EC1" w:rsidP="00606EC1">
      <w:pPr>
        <w:spacing w:after="0" w:line="240" w:lineRule="auto"/>
        <w:jc w:val="both"/>
        <w:rPr>
          <w:rFonts w:ascii="Verdana" w:hAnsi="Verdana" w:cs="Arial"/>
          <w:color w:val="000000" w:themeColor="text1"/>
          <w:lang w:eastAsia="es-ES"/>
        </w:rPr>
      </w:pPr>
    </w:p>
    <w:p w14:paraId="4CEB979A" w14:textId="77777777" w:rsidR="00606EC1" w:rsidRPr="00B6737E" w:rsidRDefault="00606EC1" w:rsidP="00606EC1">
      <w:pPr>
        <w:spacing w:after="0" w:line="240" w:lineRule="auto"/>
        <w:ind w:left="709" w:right="709"/>
        <w:contextualSpacing/>
        <w:jc w:val="both"/>
        <w:rPr>
          <w:rFonts w:ascii="Verdana" w:eastAsia="Times New Roman" w:hAnsi="Verdana" w:cs="Arial"/>
          <w:color w:val="000000" w:themeColor="text1"/>
          <w:sz w:val="20"/>
          <w:szCs w:val="20"/>
          <w:lang w:eastAsia="es-ES"/>
        </w:rPr>
      </w:pPr>
      <w:r w:rsidRPr="00B6737E">
        <w:rPr>
          <w:rFonts w:ascii="Verdana" w:eastAsia="Times New Roman" w:hAnsi="Verdana" w:cs="Arial"/>
          <w:color w:val="000000" w:themeColor="text1"/>
          <w:sz w:val="20"/>
          <w:szCs w:val="20"/>
          <w:lang w:eastAsia="es-ES"/>
        </w:rPr>
        <w:t xml:space="preserve">Por otra parte, </w:t>
      </w:r>
      <w:r w:rsidRPr="00B6737E">
        <w:rPr>
          <w:rFonts w:ascii="Verdana" w:eastAsia="Times New Roman" w:hAnsi="Verdana" w:cs="Arial"/>
          <w:i/>
          <w:color w:val="000000" w:themeColor="text1"/>
          <w:sz w:val="20"/>
          <w:szCs w:val="20"/>
          <w:lang w:eastAsia="es-ES"/>
        </w:rPr>
        <w:t>la prórroga del plazo de los contratos tiene el sustento jurídico de que el plazo no constituye un elemento de la esencia de los contratos</w:t>
      </w:r>
      <w:r w:rsidRPr="00B6737E">
        <w:rPr>
          <w:rFonts w:ascii="Verdana" w:eastAsia="Times New Roman" w:hAnsi="Verdana" w:cs="Arial"/>
          <w:color w:val="000000" w:themeColor="text1"/>
          <w:sz w:val="20"/>
          <w:szCs w:val="20"/>
          <w:lang w:eastAsia="es-ES"/>
        </w:rPr>
        <w:t xml:space="preserve"> a que alude el artículo 1501 del Código Civil y, por tanto, se puede modificar por acuerdo de las partes, pues no es una de ‘… aquellas cosas sin las cuales, o no produce efecto alguno, o degenera en otro contrato diferente’. Tampoco es un elemento de la naturaleza del contrato, esto es el que no siendo esencial en él, se entiende pertenecerle sin la necesidad de una cláusula especial, dado que si no se pacta, no existe norma legal que lo establezca. El plazo es, por tanto, un elemento accidental del contrato en razón a que, en los términos del mismo artículo, ni esencial ni naturalmente le pertenece a éste, y se le agrega por medio de cláusulas especiales, es decir que no es necesario para la formación del acto ni se sobreentiende como integrante de él. </w:t>
      </w:r>
      <w:r w:rsidRPr="00B6737E">
        <w:rPr>
          <w:rFonts w:ascii="Verdana" w:eastAsia="Times New Roman" w:hAnsi="Verdana" w:cs="Arial"/>
          <w:i/>
          <w:color w:val="000000" w:themeColor="text1"/>
          <w:sz w:val="20"/>
          <w:szCs w:val="20"/>
          <w:lang w:eastAsia="es-ES"/>
        </w:rPr>
        <w:t>De consiguiente, no siendo el plazo un elemento de la esencia del contrato sino meramente accidental, se puede modificar por acuerdo de las partes, pues éstas lo establecen en el respectivo contrato</w:t>
      </w:r>
      <w:r w:rsidRPr="00B6737E">
        <w:rPr>
          <w:rFonts w:ascii="Verdana" w:eastAsia="Times New Roman" w:hAnsi="Verdana" w:cs="Arial"/>
          <w:color w:val="000000" w:themeColor="text1"/>
          <w:sz w:val="20"/>
          <w:szCs w:val="20"/>
          <w:lang w:eastAsia="es-ES"/>
        </w:rPr>
        <w:t>.</w:t>
      </w:r>
      <w:r w:rsidRPr="00B6737E">
        <w:rPr>
          <w:rFonts w:ascii="Verdana" w:eastAsia="Times New Roman" w:hAnsi="Verdana" w:cs="Arial"/>
          <w:color w:val="000000" w:themeColor="text1"/>
          <w:sz w:val="20"/>
          <w:szCs w:val="20"/>
          <w:vertAlign w:val="superscript"/>
          <w:lang w:eastAsia="es-ES"/>
        </w:rPr>
        <w:footnoteReference w:id="3"/>
      </w:r>
      <w:r w:rsidRPr="00B6737E">
        <w:rPr>
          <w:rFonts w:ascii="Verdana" w:eastAsia="Times New Roman" w:hAnsi="Verdana" w:cs="Arial"/>
          <w:color w:val="000000" w:themeColor="text1"/>
          <w:sz w:val="20"/>
          <w:szCs w:val="20"/>
          <w:lang w:eastAsia="es-ES"/>
        </w:rPr>
        <w:t xml:space="preserve"> (Cursiva fuera de texto).</w:t>
      </w:r>
    </w:p>
    <w:p w14:paraId="0523D693" w14:textId="77777777" w:rsidR="00606EC1" w:rsidRPr="00B6737E" w:rsidRDefault="00606EC1" w:rsidP="00606EC1">
      <w:pPr>
        <w:spacing w:after="0" w:line="240" w:lineRule="auto"/>
        <w:ind w:right="851"/>
        <w:contextualSpacing/>
        <w:jc w:val="both"/>
        <w:rPr>
          <w:rFonts w:ascii="Verdana" w:eastAsia="Times New Roman" w:hAnsi="Verdana" w:cs="Arial"/>
          <w:color w:val="000000" w:themeColor="text1"/>
          <w:lang w:eastAsia="es-ES"/>
        </w:rPr>
      </w:pPr>
    </w:p>
    <w:p w14:paraId="4AEB80E5" w14:textId="77777777" w:rsidR="00606EC1" w:rsidRPr="00B6737E" w:rsidRDefault="00606EC1" w:rsidP="00606EC1">
      <w:pPr>
        <w:spacing w:before="120" w:after="120" w:line="276" w:lineRule="auto"/>
        <w:ind w:firstLine="708"/>
        <w:jc w:val="both"/>
        <w:rPr>
          <w:rFonts w:ascii="Verdana" w:hAnsi="Verdana" w:cs="Arial"/>
          <w:color w:val="000000" w:themeColor="text1"/>
          <w:lang w:eastAsia="es-ES"/>
        </w:rPr>
      </w:pPr>
      <w:r w:rsidRPr="00B6737E">
        <w:rPr>
          <w:rFonts w:ascii="Verdana" w:hAnsi="Verdana" w:cs="Arial"/>
          <w:color w:val="000000" w:themeColor="text1"/>
          <w:lang w:eastAsia="es-ES"/>
        </w:rPr>
        <w:t xml:space="preserve">Se comparten las consideraciones anteriores, pese a que sea discutible si el plazo es un elemento de la naturaleza o accidental de los contratos estatales </w:t>
      </w:r>
      <w:r w:rsidRPr="00B6737E">
        <w:rPr>
          <w:rFonts w:ascii="Verdana" w:hAnsi="Verdana" w:cs="Arial"/>
          <w:color w:val="000000" w:themeColor="text1"/>
          <w:lang w:eastAsia="es-ES"/>
        </w:rPr>
        <w:lastRenderedPageBreak/>
        <w:t>―y si la respuesta sea igual para todos ellos―, ya que aunque sea de la naturaleza, no obsta para que las partes cuenten con la misma amplitud de posibilidades en su determinación, ya que lo propio de los elementos de la naturaleza es que se incorporan al contrato pese el silencio de las partes; sin embargo, en principio no restringen la configuración de dichos elementos por parte de ellas.</w:t>
      </w:r>
    </w:p>
    <w:p w14:paraId="47BCB392" w14:textId="77777777" w:rsidR="00606EC1" w:rsidRPr="00B6737E" w:rsidRDefault="00606EC1" w:rsidP="00606EC1">
      <w:pPr>
        <w:spacing w:before="120" w:after="120" w:line="276" w:lineRule="auto"/>
        <w:ind w:firstLine="708"/>
        <w:jc w:val="both"/>
        <w:rPr>
          <w:rFonts w:ascii="Verdana" w:hAnsi="Verdana" w:cs="Arial"/>
          <w:color w:val="000000" w:themeColor="text1"/>
          <w:lang w:eastAsia="es-ES"/>
        </w:rPr>
      </w:pPr>
      <w:r w:rsidRPr="00B6737E">
        <w:rPr>
          <w:rFonts w:ascii="Verdana" w:hAnsi="Verdana" w:cs="Arial"/>
          <w:color w:val="000000" w:themeColor="text1"/>
          <w:lang w:eastAsia="es-ES"/>
        </w:rPr>
        <w:t xml:space="preserve">De esta manera, la determinación del plazo solo se restringe a que sea conveniente para el </w:t>
      </w:r>
      <w:r>
        <w:rPr>
          <w:rFonts w:ascii="Verdana" w:hAnsi="Verdana" w:cs="Arial"/>
          <w:color w:val="000000" w:themeColor="text1"/>
          <w:lang w:eastAsia="es-ES"/>
        </w:rPr>
        <w:t>“</w:t>
      </w:r>
      <w:r w:rsidRPr="00B6737E">
        <w:rPr>
          <w:rFonts w:ascii="Verdana" w:hAnsi="Verdana" w:cs="Arial"/>
          <w:color w:val="000000" w:themeColor="text1"/>
          <w:lang w:eastAsia="es-ES"/>
        </w:rPr>
        <w:t>interés general</w:t>
      </w:r>
      <w:r>
        <w:rPr>
          <w:rFonts w:ascii="Verdana" w:hAnsi="Verdana" w:cs="Arial"/>
          <w:color w:val="000000" w:themeColor="text1"/>
          <w:lang w:eastAsia="es-ES"/>
        </w:rPr>
        <w:t>”</w:t>
      </w:r>
      <w:r w:rsidRPr="00B6737E">
        <w:rPr>
          <w:rFonts w:ascii="Verdana" w:hAnsi="Verdana" w:cs="Arial"/>
          <w:color w:val="000000" w:themeColor="text1"/>
          <w:lang w:eastAsia="es-ES"/>
        </w:rPr>
        <w:t>, dada las finalidades de la contratación pública, lo que obedecerá a principios de buena administración y de los negocios, que tampoco son ajenos al derecho privado, al trascender las divisiones entre contratos privados o públicos, lo que determinarán las partes atendiendo a las circunstancias concretas.</w:t>
      </w:r>
    </w:p>
    <w:p w14:paraId="2D41D4D6" w14:textId="77777777" w:rsidR="00606EC1" w:rsidRPr="00B6737E" w:rsidRDefault="00606EC1" w:rsidP="00606EC1">
      <w:pPr>
        <w:spacing w:before="120" w:after="120" w:line="276" w:lineRule="auto"/>
        <w:ind w:firstLine="708"/>
        <w:jc w:val="both"/>
        <w:rPr>
          <w:rFonts w:ascii="Verdana" w:hAnsi="Verdana" w:cs="Arial"/>
          <w:color w:val="000000" w:themeColor="text1"/>
          <w:lang w:eastAsia="es-ES"/>
        </w:rPr>
      </w:pPr>
      <w:r w:rsidRPr="00B6737E">
        <w:rPr>
          <w:rFonts w:ascii="Verdana" w:hAnsi="Verdana" w:cs="Arial"/>
          <w:color w:val="000000" w:themeColor="text1"/>
          <w:lang w:eastAsia="es-ES"/>
        </w:rPr>
        <w:t xml:space="preserve">Establecido que los contratos estatales son susceptibles de prórroga, adicionalmente debe destacarse que la ley no fijó criterios para determinar el alcance de la ampliación del plazo, de manera que, en principio, sucede lo mismo que con la configuración del plazo inicial, el cual solo se restringe a que sea </w:t>
      </w:r>
      <w:r>
        <w:rPr>
          <w:rFonts w:ascii="Verdana" w:hAnsi="Verdana" w:cs="Arial"/>
          <w:color w:val="000000" w:themeColor="text1"/>
          <w:lang w:eastAsia="es-ES"/>
        </w:rPr>
        <w:t>“</w:t>
      </w:r>
      <w:r w:rsidRPr="00B6737E">
        <w:rPr>
          <w:rFonts w:ascii="Verdana" w:hAnsi="Verdana" w:cs="Arial"/>
          <w:color w:val="000000" w:themeColor="text1"/>
          <w:lang w:eastAsia="es-ES"/>
        </w:rPr>
        <w:t>razonable</w:t>
      </w:r>
      <w:r>
        <w:rPr>
          <w:rFonts w:ascii="Verdana" w:hAnsi="Verdana" w:cs="Arial"/>
          <w:color w:val="000000" w:themeColor="text1"/>
          <w:lang w:eastAsia="es-ES"/>
        </w:rPr>
        <w:t>”</w:t>
      </w:r>
      <w:r w:rsidRPr="00B6737E">
        <w:rPr>
          <w:rFonts w:ascii="Verdana" w:hAnsi="Verdana" w:cs="Arial"/>
          <w:color w:val="000000" w:themeColor="text1"/>
          <w:lang w:eastAsia="es-ES"/>
        </w:rPr>
        <w:t>. Adicionalmente, es posible que un mismo contrato presente diferentes prórrogas, atendiendo igualmente a que sean convenientes y razonables en su determinación.</w:t>
      </w:r>
    </w:p>
    <w:p w14:paraId="518EE5B1" w14:textId="77777777" w:rsidR="00606EC1" w:rsidRPr="00B6737E" w:rsidRDefault="00606EC1" w:rsidP="00606EC1">
      <w:pPr>
        <w:spacing w:before="120" w:after="120" w:line="276" w:lineRule="auto"/>
        <w:ind w:firstLine="708"/>
        <w:jc w:val="both"/>
        <w:rPr>
          <w:rFonts w:ascii="Verdana" w:hAnsi="Verdana" w:cs="Arial"/>
          <w:color w:val="000000" w:themeColor="text1"/>
          <w:lang w:eastAsia="es-ES"/>
        </w:rPr>
      </w:pPr>
      <w:r w:rsidRPr="00B6737E">
        <w:rPr>
          <w:rFonts w:ascii="Verdana" w:hAnsi="Verdana" w:cs="Arial"/>
          <w:color w:val="000000" w:themeColor="text1"/>
          <w:lang w:eastAsia="es-ES"/>
        </w:rPr>
        <w:t xml:space="preserve">Ahora bien, para suscribir las prórrogas deben tenerse en cuenta otros </w:t>
      </w:r>
      <w:r w:rsidRPr="00B6737E">
        <w:rPr>
          <w:rFonts w:ascii="Verdana" w:hAnsi="Verdana" w:cs="Arial"/>
          <w:iCs/>
          <w:color w:val="000000" w:themeColor="text1"/>
          <w:lang w:eastAsia="es-ES"/>
        </w:rPr>
        <w:t xml:space="preserve">requisitos adicionales que no afectan la existencia del acuerdo, pero </w:t>
      </w:r>
      <w:r w:rsidRPr="00B6737E">
        <w:rPr>
          <w:rFonts w:ascii="Verdana" w:hAnsi="Verdana" w:cs="Arial"/>
          <w:color w:val="000000" w:themeColor="text1"/>
          <w:lang w:eastAsia="es-ES"/>
        </w:rPr>
        <w:t>que constituyen obligaciones que deben cumplirse en los contratos estatales; omisiones que podrían incidir en la responsabilidad disciplinaria, fiscal o penal de los funcionarios encargados.</w:t>
      </w:r>
    </w:p>
    <w:p w14:paraId="720E89DE" w14:textId="77777777" w:rsidR="00606EC1" w:rsidRPr="00B6737E" w:rsidRDefault="00606EC1" w:rsidP="00606EC1">
      <w:pPr>
        <w:spacing w:before="120" w:after="120" w:line="276" w:lineRule="auto"/>
        <w:ind w:firstLine="708"/>
        <w:jc w:val="both"/>
        <w:rPr>
          <w:rFonts w:ascii="Verdana" w:hAnsi="Verdana" w:cs="Arial"/>
          <w:color w:val="000000" w:themeColor="text1"/>
          <w:lang w:eastAsia="es-ES"/>
        </w:rPr>
      </w:pPr>
      <w:r w:rsidRPr="00B6737E">
        <w:rPr>
          <w:rFonts w:ascii="Verdana" w:hAnsi="Verdana" w:cs="Arial"/>
          <w:color w:val="000000" w:themeColor="text1"/>
          <w:lang w:eastAsia="es-ES"/>
        </w:rPr>
        <w:t>La Ley 80 de 1993, a diferencia del Decreto 222 de 1983</w:t>
      </w:r>
      <w:r w:rsidRPr="00B6737E">
        <w:rPr>
          <w:rStyle w:val="Refdenotaalpie"/>
          <w:rFonts w:ascii="Verdana" w:hAnsi="Verdana" w:cs="Arial"/>
          <w:color w:val="000000" w:themeColor="text1"/>
          <w:lang w:eastAsia="es-ES"/>
        </w:rPr>
        <w:footnoteReference w:id="4"/>
      </w:r>
      <w:r w:rsidRPr="00B6737E">
        <w:rPr>
          <w:rFonts w:ascii="Verdana" w:hAnsi="Verdana" w:cs="Arial"/>
          <w:color w:val="000000" w:themeColor="text1"/>
          <w:lang w:eastAsia="es-ES"/>
        </w:rPr>
        <w:t xml:space="preserve">, no especificó este aspecto; no obstante, de </w:t>
      </w:r>
      <w:r>
        <w:rPr>
          <w:rFonts w:ascii="Verdana" w:hAnsi="Verdana" w:cs="Arial"/>
          <w:color w:val="000000" w:themeColor="text1"/>
          <w:lang w:eastAsia="es-ES"/>
        </w:rPr>
        <w:t xml:space="preserve">algunas disposiciones </w:t>
      </w:r>
      <w:r w:rsidRPr="00B6737E">
        <w:rPr>
          <w:rFonts w:ascii="Verdana" w:hAnsi="Verdana" w:cs="Arial"/>
          <w:color w:val="000000" w:themeColor="text1"/>
          <w:lang w:eastAsia="es-ES"/>
        </w:rPr>
        <w:t>del EGCAP y</w:t>
      </w:r>
      <w:r>
        <w:rPr>
          <w:rFonts w:ascii="Verdana" w:hAnsi="Verdana" w:cs="Arial"/>
          <w:color w:val="000000" w:themeColor="text1"/>
          <w:lang w:eastAsia="es-ES"/>
        </w:rPr>
        <w:t xml:space="preserve"> de</w:t>
      </w:r>
      <w:r w:rsidRPr="00B6737E">
        <w:rPr>
          <w:rFonts w:ascii="Verdana" w:hAnsi="Verdana" w:cs="Arial"/>
          <w:color w:val="000000" w:themeColor="text1"/>
          <w:lang w:eastAsia="es-ES"/>
        </w:rPr>
        <w:t xml:space="preserve"> otras normas se deducen varias obligaciones, que coinciden, en general, con lo señalado en el estatuto anterior. Estos requisitos adicionales varían dependiendo </w:t>
      </w:r>
      <w:r w:rsidRPr="00B6737E">
        <w:rPr>
          <w:rFonts w:ascii="Verdana" w:hAnsi="Verdana" w:cs="Arial"/>
          <w:color w:val="000000" w:themeColor="text1"/>
          <w:lang w:eastAsia="es-ES"/>
        </w:rPr>
        <w:lastRenderedPageBreak/>
        <w:t xml:space="preserve">de si la prórroga implica aumentar el valor del contrato o si solamente afecta el plazo. </w:t>
      </w:r>
    </w:p>
    <w:p w14:paraId="32CC104C" w14:textId="77777777" w:rsidR="00606EC1" w:rsidRPr="00B6737E" w:rsidRDefault="00606EC1" w:rsidP="00606EC1">
      <w:pPr>
        <w:spacing w:before="120" w:after="120" w:line="276" w:lineRule="auto"/>
        <w:ind w:firstLine="708"/>
        <w:jc w:val="both"/>
        <w:rPr>
          <w:rFonts w:ascii="Verdana" w:hAnsi="Verdana" w:cs="Arial"/>
          <w:color w:val="000000" w:themeColor="text1"/>
          <w:lang w:eastAsia="es-ES"/>
        </w:rPr>
      </w:pPr>
      <w:r w:rsidRPr="00B6737E">
        <w:rPr>
          <w:rFonts w:ascii="Verdana" w:hAnsi="Verdana" w:cs="Arial"/>
          <w:color w:val="000000" w:themeColor="text1"/>
          <w:lang w:eastAsia="es-ES"/>
        </w:rPr>
        <w:t>En el primer caso serán necesarios los siguientes requisitos: i) debe contarse, previo a la suscripción de la prórroga, con el respectivo Certificado de Disponibilidad Presupuestal y el Registro Presupuestal, para su ejecución</w:t>
      </w:r>
      <w:r>
        <w:rPr>
          <w:rFonts w:ascii="Verdana" w:hAnsi="Verdana" w:cs="Arial"/>
          <w:color w:val="000000" w:themeColor="text1"/>
          <w:lang w:eastAsia="es-ES"/>
        </w:rPr>
        <w:t>.</w:t>
      </w:r>
      <w:r w:rsidRPr="00B6737E">
        <w:rPr>
          <w:rFonts w:ascii="Verdana" w:hAnsi="Verdana" w:cs="Arial"/>
          <w:color w:val="000000" w:themeColor="text1"/>
          <w:lang w:eastAsia="es-ES"/>
        </w:rPr>
        <w:t xml:space="preserve"> </w:t>
      </w:r>
      <w:r>
        <w:rPr>
          <w:rFonts w:ascii="Verdana" w:hAnsi="Verdana" w:cs="Arial"/>
          <w:color w:val="000000" w:themeColor="text1"/>
          <w:lang w:eastAsia="es-ES"/>
        </w:rPr>
        <w:t>D</w:t>
      </w:r>
      <w:r w:rsidRPr="00B6737E">
        <w:rPr>
          <w:rFonts w:ascii="Verdana" w:hAnsi="Verdana" w:cs="Arial"/>
          <w:color w:val="000000" w:themeColor="text1"/>
          <w:lang w:eastAsia="es-ES"/>
        </w:rPr>
        <w:t>e igual manera, debe contarse con las respectivas vigencias futuras en caso de que la prórroga implique afectar el presupuesto de otras vigencias</w:t>
      </w:r>
      <w:r>
        <w:rPr>
          <w:rFonts w:ascii="Verdana" w:hAnsi="Verdana" w:cs="Arial"/>
          <w:color w:val="000000" w:themeColor="text1"/>
          <w:lang w:eastAsia="es-ES"/>
        </w:rPr>
        <w:t>.</w:t>
      </w:r>
      <w:r w:rsidRPr="00B6737E">
        <w:rPr>
          <w:rFonts w:ascii="Verdana" w:hAnsi="Verdana" w:cs="Arial"/>
          <w:color w:val="000000" w:themeColor="text1"/>
          <w:lang w:eastAsia="es-ES"/>
        </w:rPr>
        <w:t xml:space="preserve"> </w:t>
      </w:r>
      <w:proofErr w:type="spellStart"/>
      <w:r w:rsidRPr="00B6737E">
        <w:rPr>
          <w:rFonts w:ascii="Verdana" w:hAnsi="Verdana" w:cs="Arial"/>
          <w:color w:val="000000" w:themeColor="text1"/>
          <w:lang w:eastAsia="es-ES"/>
        </w:rPr>
        <w:t>ii</w:t>
      </w:r>
      <w:proofErr w:type="spellEnd"/>
      <w:r w:rsidRPr="00B6737E">
        <w:rPr>
          <w:rFonts w:ascii="Verdana" w:hAnsi="Verdana" w:cs="Arial"/>
          <w:color w:val="000000" w:themeColor="text1"/>
          <w:lang w:eastAsia="es-ES"/>
        </w:rPr>
        <w:t xml:space="preserve">) </w:t>
      </w:r>
      <w:r>
        <w:rPr>
          <w:rFonts w:ascii="Verdana" w:hAnsi="Verdana" w:cs="Arial"/>
          <w:color w:val="000000" w:themeColor="text1"/>
          <w:lang w:eastAsia="es-ES"/>
        </w:rPr>
        <w:t>D</w:t>
      </w:r>
      <w:r w:rsidRPr="00B6737E">
        <w:rPr>
          <w:rFonts w:ascii="Verdana" w:hAnsi="Verdana" w:cs="Arial"/>
          <w:color w:val="000000" w:themeColor="text1"/>
          <w:lang w:eastAsia="es-ES"/>
        </w:rPr>
        <w:t xml:space="preserve">ebe ampliarse la vigencia de las garantías, al igual que su valor. </w:t>
      </w:r>
      <w:proofErr w:type="spellStart"/>
      <w:r w:rsidRPr="00B6737E">
        <w:rPr>
          <w:rFonts w:ascii="Verdana" w:hAnsi="Verdana" w:cs="Arial"/>
          <w:color w:val="000000" w:themeColor="text1"/>
          <w:lang w:eastAsia="es-ES"/>
        </w:rPr>
        <w:t>iii</w:t>
      </w:r>
      <w:proofErr w:type="spellEnd"/>
      <w:r w:rsidRPr="00B6737E">
        <w:rPr>
          <w:rFonts w:ascii="Verdana" w:hAnsi="Verdana" w:cs="Arial"/>
          <w:color w:val="000000" w:themeColor="text1"/>
          <w:lang w:eastAsia="es-ES"/>
        </w:rPr>
        <w:t xml:space="preserve">) El documento contentivo de la prórroga debe </w:t>
      </w:r>
      <w:r>
        <w:rPr>
          <w:rFonts w:ascii="Verdana" w:hAnsi="Verdana" w:cs="Arial"/>
          <w:color w:val="000000" w:themeColor="text1"/>
          <w:lang w:eastAsia="es-ES"/>
        </w:rPr>
        <w:t>tramitarse e</w:t>
      </w:r>
      <w:r w:rsidRPr="00B6737E">
        <w:rPr>
          <w:rFonts w:ascii="Verdana" w:hAnsi="Verdana" w:cs="Arial"/>
          <w:color w:val="000000" w:themeColor="text1"/>
          <w:lang w:eastAsia="es-ES"/>
        </w:rPr>
        <w:t xml:space="preserve">n </w:t>
      </w:r>
      <w:r>
        <w:rPr>
          <w:rFonts w:ascii="Verdana" w:hAnsi="Verdana" w:cs="Arial"/>
          <w:color w:val="000000" w:themeColor="text1"/>
          <w:lang w:eastAsia="es-ES"/>
        </w:rPr>
        <w:t xml:space="preserve">el </w:t>
      </w:r>
      <w:r w:rsidRPr="00B6737E">
        <w:rPr>
          <w:rFonts w:ascii="Verdana" w:hAnsi="Verdana" w:cs="Arial"/>
          <w:color w:val="000000" w:themeColor="text1"/>
          <w:lang w:eastAsia="es-ES"/>
        </w:rPr>
        <w:t>SECOP</w:t>
      </w:r>
      <w:r>
        <w:rPr>
          <w:rFonts w:ascii="Verdana" w:hAnsi="Verdana" w:cs="Arial"/>
          <w:color w:val="000000" w:themeColor="text1"/>
          <w:lang w:eastAsia="es-ES"/>
        </w:rPr>
        <w:t xml:space="preserve"> II o publicarse en esta cuando se trate del SECOP I</w:t>
      </w:r>
      <w:r w:rsidRPr="00B6737E">
        <w:rPr>
          <w:rFonts w:ascii="Verdana" w:hAnsi="Verdana" w:cs="Arial"/>
          <w:color w:val="000000" w:themeColor="text1"/>
          <w:lang w:eastAsia="es-ES"/>
        </w:rPr>
        <w:t>.</w:t>
      </w:r>
    </w:p>
    <w:p w14:paraId="5999F6D2" w14:textId="77777777" w:rsidR="00606EC1" w:rsidRDefault="00606EC1" w:rsidP="00606EC1">
      <w:pPr>
        <w:spacing w:before="120" w:after="120" w:line="276" w:lineRule="auto"/>
        <w:ind w:firstLine="708"/>
        <w:jc w:val="both"/>
        <w:rPr>
          <w:rFonts w:ascii="Verdana" w:hAnsi="Verdana" w:cs="Arial"/>
          <w:color w:val="000000" w:themeColor="text1"/>
          <w:lang w:eastAsia="es-ES"/>
        </w:rPr>
      </w:pPr>
      <w:r w:rsidRPr="00B6737E">
        <w:rPr>
          <w:rFonts w:ascii="Verdana" w:hAnsi="Verdana" w:cs="Arial"/>
          <w:color w:val="000000" w:themeColor="text1"/>
          <w:lang w:eastAsia="es-ES"/>
        </w:rPr>
        <w:t xml:space="preserve">Si la prórroga no aumenta el valor del contrato, no es necesario contar con el Certificado de Disponibilidad Presupuestal, ni el Registro Presupuestal, ya que una modificación de ese tipo no afecta el presupuesto del contrato; no obstante, es posible que la prórroga haga que la ejecución del contrato pase de una vigencia fiscal a otra, lo que generaría efectos de índole presupuestal. En este caso no debe actualizarse el valor de la garantía; sin embargo, sí debe ampliarse su vigencia, de acuerdo al nuevo término de duración del contrato. </w:t>
      </w:r>
    </w:p>
    <w:p w14:paraId="029EAD82" w14:textId="77777777" w:rsidR="00606EC1" w:rsidRDefault="00606EC1" w:rsidP="00606EC1">
      <w:pPr>
        <w:spacing w:before="120" w:after="120" w:line="276" w:lineRule="auto"/>
        <w:ind w:firstLine="708"/>
        <w:jc w:val="both"/>
        <w:rPr>
          <w:rFonts w:ascii="Verdana" w:hAnsi="Verdana" w:cs="Arial"/>
          <w:color w:val="000000" w:themeColor="text1"/>
          <w:lang w:eastAsia="es-ES"/>
        </w:rPr>
      </w:pPr>
      <w:r>
        <w:rPr>
          <w:rFonts w:ascii="Verdana" w:hAnsi="Verdana" w:cs="Arial"/>
          <w:color w:val="000000" w:themeColor="text1"/>
          <w:lang w:eastAsia="es-ES"/>
        </w:rPr>
        <w:t>No obstante lo anterior, se precisa que</w:t>
      </w:r>
      <w:r w:rsidRPr="00293F4B">
        <w:rPr>
          <w:rFonts w:ascii="Verdana" w:hAnsi="Verdana" w:cs="Arial"/>
          <w:color w:val="000000" w:themeColor="text1"/>
          <w:lang w:eastAsia="es-ES"/>
        </w:rPr>
        <w:t xml:space="preserve"> la </w:t>
      </w:r>
      <w:r>
        <w:rPr>
          <w:rFonts w:ascii="Verdana" w:hAnsi="Verdana" w:cs="Arial"/>
          <w:color w:val="000000" w:themeColor="text1"/>
          <w:lang w:eastAsia="es-ES"/>
        </w:rPr>
        <w:t xml:space="preserve">prórroga </w:t>
      </w:r>
      <w:r w:rsidRPr="00293F4B">
        <w:rPr>
          <w:rFonts w:ascii="Verdana" w:hAnsi="Verdana" w:cs="Arial"/>
          <w:color w:val="000000" w:themeColor="text1"/>
          <w:lang w:eastAsia="es-ES"/>
        </w:rPr>
        <w:t>únicamente alcanza existencia, validez y eficacia jurídica cuando se perfecciona por escrito mediante el acuerdo de voluntades de las partes, observando las mismas formalidades exigidas para la celebración del contrato que se pretende modificar</w:t>
      </w:r>
      <w:r>
        <w:rPr>
          <w:rFonts w:ascii="Verdana" w:hAnsi="Verdana" w:cs="Arial"/>
          <w:color w:val="000000" w:themeColor="text1"/>
          <w:lang w:eastAsia="es-ES"/>
        </w:rPr>
        <w:t xml:space="preserve">. Al </w:t>
      </w:r>
      <w:r w:rsidRPr="00607139">
        <w:rPr>
          <w:rFonts w:ascii="Verdana" w:hAnsi="Verdana" w:cs="Arial"/>
          <w:color w:val="000000" w:themeColor="text1"/>
          <w:lang w:eastAsia="es-ES"/>
        </w:rPr>
        <w:t>respecto, la Sala de Consulta y Servicio Civil del Consejo de Estado señaló que “</w:t>
      </w:r>
      <w:r w:rsidRPr="00607139">
        <w:rPr>
          <w:rFonts w:ascii="Verdana" w:hAnsi="Verdana"/>
        </w:rPr>
        <w:t>Tal renovación del acuerdo de voluntades debe constar por escrito, dado el carácter solemne del contrato estatal (artículo 41, Ley 80 de 1993). Entonces, prorrogar un contrato significa la ampliación temporal de las obligaciones en él contenidas, o de la voluntad que tuvieron las partes al celebrarlo, lo cual implica que se mantenga y ejecute en las mismas condiciones que lo originaron, pero no implica, per se, un cambio adicional o alteración del sustrato obligacional primigenio</w:t>
      </w:r>
      <w:r>
        <w:rPr>
          <w:rStyle w:val="Refdenotaalpie"/>
          <w:rFonts w:ascii="Verdana" w:hAnsi="Verdana"/>
        </w:rPr>
        <w:footnoteReference w:id="5"/>
      </w:r>
      <w:r w:rsidRPr="00607139">
        <w:rPr>
          <w:rFonts w:ascii="Verdana" w:hAnsi="Verdana"/>
        </w:rPr>
        <w:t>”.</w:t>
      </w:r>
      <w:r>
        <w:rPr>
          <w:rFonts w:ascii="Verdana" w:hAnsi="Verdana" w:cs="Arial"/>
          <w:color w:val="000000" w:themeColor="text1"/>
          <w:lang w:eastAsia="es-ES"/>
        </w:rPr>
        <w:t xml:space="preserve">   </w:t>
      </w:r>
    </w:p>
    <w:p w14:paraId="1C731830" w14:textId="77777777" w:rsidR="00606EC1" w:rsidRDefault="00606EC1" w:rsidP="00606EC1">
      <w:pPr>
        <w:spacing w:after="120" w:line="276" w:lineRule="auto"/>
        <w:ind w:firstLine="709"/>
        <w:jc w:val="both"/>
        <w:rPr>
          <w:rFonts w:ascii="Verdana" w:hAnsi="Verdana"/>
        </w:rPr>
      </w:pPr>
      <w:r>
        <w:rPr>
          <w:rFonts w:ascii="Verdana" w:hAnsi="Verdana"/>
        </w:rPr>
        <w:t xml:space="preserve">En el mismo sentido, en el concepto del 17 de marzo de 2016 señaló respecto de las modificaciones de los contratos que: </w:t>
      </w:r>
      <w:r w:rsidRPr="00D54617">
        <w:rPr>
          <w:rFonts w:ascii="Verdana" w:hAnsi="Verdana"/>
        </w:rPr>
        <w:t xml:space="preserve">“[…] puede afirmarse que la regla general es la no modificación del contrato, y la vía excepcional su </w:t>
      </w:r>
      <w:r w:rsidRPr="00D54617">
        <w:rPr>
          <w:rFonts w:ascii="Verdana" w:hAnsi="Verdana"/>
        </w:rPr>
        <w:lastRenderedPageBreak/>
        <w:t>modificación, sometida a límites legales. Por lo tanto, una modificación necesaria del contrato, surgida por iniciativa del contratista, del interventor o del supervisor, debe ser aprobada por la entidad que ejerce su dirección general, y cumplir, en forma previa, las mismas formalidades de solemnidad del contrato principal</w:t>
      </w:r>
      <w:r w:rsidRPr="00D54617">
        <w:rPr>
          <w:rStyle w:val="Refdenotaalpie"/>
          <w:rFonts w:ascii="Verdana" w:hAnsi="Verdana"/>
        </w:rPr>
        <w:footnoteReference w:id="6"/>
      </w:r>
      <w:r w:rsidRPr="00D54617">
        <w:rPr>
          <w:rFonts w:ascii="Verdana" w:hAnsi="Verdana"/>
        </w:rPr>
        <w:t>”.</w:t>
      </w:r>
      <w:r>
        <w:rPr>
          <w:rFonts w:ascii="Verdana" w:hAnsi="Verdana"/>
          <w:i/>
          <w:iCs/>
        </w:rPr>
        <w:t xml:space="preserve"> </w:t>
      </w:r>
    </w:p>
    <w:p w14:paraId="0673B99E" w14:textId="77777777" w:rsidR="00606EC1" w:rsidRPr="00CA4A47" w:rsidRDefault="00606EC1" w:rsidP="00606EC1">
      <w:pPr>
        <w:spacing w:after="120" w:line="276" w:lineRule="auto"/>
        <w:ind w:firstLine="709"/>
        <w:jc w:val="both"/>
        <w:rPr>
          <w:rFonts w:ascii="Verdana" w:hAnsi="Verdana"/>
        </w:rPr>
      </w:pPr>
      <w:r w:rsidRPr="00CA4A47">
        <w:rPr>
          <w:rFonts w:ascii="Verdana" w:hAnsi="Verdana"/>
        </w:rPr>
        <w:t xml:space="preserve">En definitiva, para que una prórroga contractual sea válida y produzca efectos jurídicos, no basta la mera intención de la entidad estatal de </w:t>
      </w:r>
      <w:r>
        <w:rPr>
          <w:rFonts w:ascii="Verdana" w:hAnsi="Verdana"/>
        </w:rPr>
        <w:t>ampliar</w:t>
      </w:r>
      <w:r w:rsidRPr="00CA4A47">
        <w:rPr>
          <w:rFonts w:ascii="Verdana" w:hAnsi="Verdana"/>
        </w:rPr>
        <w:t xml:space="preserve"> el plazo de ejecución del contrato</w:t>
      </w:r>
      <w:r>
        <w:rPr>
          <w:rFonts w:ascii="Verdana" w:hAnsi="Verdana"/>
        </w:rPr>
        <w:t xml:space="preserve">, sino que </w:t>
      </w:r>
      <w:r w:rsidRPr="00CA4A47">
        <w:rPr>
          <w:rFonts w:ascii="Verdana" w:hAnsi="Verdana"/>
        </w:rPr>
        <w:t>resulta indispensable que exista un</w:t>
      </w:r>
      <w:r>
        <w:rPr>
          <w:rFonts w:ascii="Verdana" w:hAnsi="Verdana"/>
        </w:rPr>
        <w:t xml:space="preserve"> acuerdo mutuo de las partes, el cual </w:t>
      </w:r>
      <w:r w:rsidRPr="00CA4A47">
        <w:rPr>
          <w:rFonts w:ascii="Verdana" w:hAnsi="Verdana"/>
        </w:rPr>
        <w:t xml:space="preserve">debe formalizarse por escrito, </w:t>
      </w:r>
      <w:r>
        <w:rPr>
          <w:rFonts w:ascii="Verdana" w:hAnsi="Verdana"/>
        </w:rPr>
        <w:t xml:space="preserve">teniendo en cuenta el carácter solemne del contrato estatal. </w:t>
      </w:r>
      <w:r w:rsidRPr="00CA4A47">
        <w:rPr>
          <w:rFonts w:ascii="Verdana" w:hAnsi="Verdana"/>
        </w:rPr>
        <w:t>En consecuencia, la ausencia de aceptación por parte del contratista o la falta de suscripción del respectivo documento impiden entender perfeccionada la prórroga, pues se trata de un requisito esencial para su existencia y eficacia. En tales circunstancias, no es posible afirmar que el plazo contractual fue válidamente ampliado ni reconocer efectos jurídicos a una modificación que carece del consentimiento de una de las partes.</w:t>
      </w:r>
    </w:p>
    <w:p w14:paraId="20A49427" w14:textId="77777777" w:rsidR="00606EC1" w:rsidRDefault="00606EC1" w:rsidP="00606EC1">
      <w:pPr>
        <w:spacing w:after="120" w:line="276" w:lineRule="auto"/>
        <w:ind w:firstLine="709"/>
        <w:jc w:val="both"/>
        <w:rPr>
          <w:rFonts w:ascii="Verdana" w:hAnsi="Verdana"/>
        </w:rPr>
      </w:pPr>
      <w:r w:rsidRPr="00CA4A47">
        <w:rPr>
          <w:rFonts w:ascii="Verdana" w:hAnsi="Verdana"/>
        </w:rPr>
        <w:t xml:space="preserve">Bajo esta perspectiva, para efectos de la liquidación del contrato, la fecha de terminación debe corresponder a aquella que resulte del plazo inicialmente pactado y de las modificaciones que hayan sido válidamente incorporadas al contrato mediante el cumplimiento de los requisitos </w:t>
      </w:r>
      <w:r>
        <w:rPr>
          <w:rFonts w:ascii="Verdana" w:hAnsi="Verdana"/>
        </w:rPr>
        <w:t>para su validez y existencia</w:t>
      </w:r>
      <w:r w:rsidRPr="00CA4A47">
        <w:rPr>
          <w:rFonts w:ascii="Verdana" w:hAnsi="Verdana"/>
        </w:rPr>
        <w:t>. Por tanto, únicamente podrán tenerse en cuenta las prórrogas que consten por escrito, se encuentren debidamente suscritas por las partes y satisfagan las demás exigencias que, según las particularidades de cada caso, sean necesarias</w:t>
      </w:r>
      <w:r>
        <w:rPr>
          <w:rFonts w:ascii="Verdana" w:hAnsi="Verdana"/>
        </w:rPr>
        <w:t xml:space="preserve">. </w:t>
      </w:r>
    </w:p>
    <w:p w14:paraId="64D46705" w14:textId="77777777" w:rsidR="00606EC1" w:rsidRPr="001F63FC" w:rsidRDefault="00606EC1" w:rsidP="00606EC1">
      <w:pPr>
        <w:spacing w:after="120" w:line="276" w:lineRule="auto"/>
        <w:ind w:firstLine="709"/>
        <w:jc w:val="both"/>
        <w:rPr>
          <w:rFonts w:ascii="Verdana" w:hAnsi="Verdana"/>
        </w:rPr>
      </w:pPr>
      <w:r w:rsidRPr="001F63FC">
        <w:rPr>
          <w:rFonts w:ascii="Verdana" w:hAnsi="Verdana"/>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1F63FC">
        <w:rPr>
          <w:rFonts w:ascii="Verdana" w:hAnsi="Verdana"/>
        </w:rPr>
        <w:lastRenderedPageBreak/>
        <w:t>correspondiente y, en caso de conflicto, a las autoridades judiciales, fiscales y disciplinarias.</w:t>
      </w:r>
    </w:p>
    <w:p w14:paraId="43811644" w14:textId="77777777" w:rsidR="00606EC1" w:rsidRPr="00CA4A47" w:rsidRDefault="00606EC1" w:rsidP="00606EC1">
      <w:pPr>
        <w:spacing w:after="120" w:line="276" w:lineRule="auto"/>
        <w:ind w:firstLine="709"/>
        <w:jc w:val="both"/>
        <w:rPr>
          <w:rFonts w:ascii="Verdana" w:hAnsi="Verdana"/>
        </w:rPr>
      </w:pPr>
      <w:r w:rsidRPr="001F63FC">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Pr>
          <w:rFonts w:ascii="Verdana" w:hAnsi="Verdana"/>
        </w:rPr>
        <w:t>.</w:t>
      </w:r>
    </w:p>
    <w:p w14:paraId="4A3FF450" w14:textId="77777777" w:rsidR="00606EC1" w:rsidRPr="007542AA" w:rsidRDefault="00606EC1" w:rsidP="00606EC1">
      <w:pPr>
        <w:spacing w:after="0" w:line="276" w:lineRule="auto"/>
        <w:jc w:val="both"/>
        <w:rPr>
          <w:rFonts w:ascii="Verdana" w:hAnsi="Verdana" w:cs="Arial"/>
          <w:iCs/>
        </w:rPr>
      </w:pPr>
    </w:p>
    <w:p w14:paraId="128C7117" w14:textId="77777777" w:rsidR="00606EC1" w:rsidRDefault="00606EC1" w:rsidP="00606EC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30DB3288" w14:textId="77777777" w:rsidR="00606EC1" w:rsidRDefault="00606EC1" w:rsidP="00606EC1">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606EC1" w:rsidRPr="00B80E68" w14:paraId="11CB6493" w14:textId="77777777" w:rsidTr="007C4B30">
        <w:trPr>
          <w:trHeight w:val="870"/>
        </w:trPr>
        <w:tc>
          <w:tcPr>
            <w:tcW w:w="8647" w:type="dxa"/>
            <w:tcBorders>
              <w:top w:val="dotted" w:sz="4" w:space="0" w:color="auto"/>
              <w:left w:val="dotted" w:sz="4" w:space="0" w:color="auto"/>
              <w:bottom w:val="dotted" w:sz="4" w:space="0" w:color="auto"/>
              <w:right w:val="dotted" w:sz="4" w:space="0" w:color="auto"/>
            </w:tcBorders>
            <w:hideMark/>
          </w:tcPr>
          <w:p w14:paraId="642E6791" w14:textId="77777777" w:rsidR="00606EC1" w:rsidRDefault="00606EC1" w:rsidP="007C4B30">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Ley 80, artículos 13, 32 y 40</w:t>
            </w:r>
          </w:p>
          <w:p w14:paraId="63480F8C" w14:textId="77777777" w:rsidR="00606EC1" w:rsidRPr="002000F7" w:rsidRDefault="00606EC1" w:rsidP="007C4B30">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2000F7">
              <w:rPr>
                <w:rFonts w:ascii="Verdana" w:hAnsi="Verdana"/>
              </w:rPr>
              <w:t xml:space="preserve">Consejo de Estado. Sala de Consulta y Servicio Civil. Concepto del 6 de marzo de 2024. </w:t>
            </w:r>
            <w:proofErr w:type="spellStart"/>
            <w:r w:rsidRPr="002000F7">
              <w:rPr>
                <w:rFonts w:ascii="Verdana" w:hAnsi="Verdana"/>
              </w:rPr>
              <w:t>Exp</w:t>
            </w:r>
            <w:proofErr w:type="spellEnd"/>
            <w:r w:rsidRPr="002000F7">
              <w:rPr>
                <w:rFonts w:ascii="Verdana" w:hAnsi="Verdana"/>
              </w:rPr>
              <w:t>. 2512. C.P. Óscar Darío Amaya Navas</w:t>
            </w:r>
          </w:p>
          <w:p w14:paraId="5E8960F3" w14:textId="77777777" w:rsidR="00606EC1" w:rsidRPr="00F55E7F" w:rsidRDefault="00606EC1" w:rsidP="007C4B30">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2000F7">
              <w:rPr>
                <w:rFonts w:ascii="Verdana" w:hAnsi="Verdana"/>
              </w:rPr>
              <w:t>Consejo de Estado. Sala de Consulta y Servicio. Concepto del 17 de marzo de 2016. Radicado No. 11001-03-06-000-2015-00128-00 (2.263). C.P: Edgar González López</w:t>
            </w:r>
          </w:p>
          <w:p w14:paraId="5759241E" w14:textId="77777777" w:rsidR="00606EC1" w:rsidRPr="002000F7" w:rsidRDefault="00606EC1" w:rsidP="007C4B30">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F55E7F">
              <w:rPr>
                <w:rFonts w:ascii="Verdana" w:hAnsi="Verdana" w:cs="Arial"/>
                <w:color w:val="000000" w:themeColor="text1"/>
              </w:rPr>
              <w:t xml:space="preserve">Consejo de Estado. Sección Quinta. </w:t>
            </w:r>
            <w:r w:rsidRPr="00F55E7F">
              <w:rPr>
                <w:rFonts w:ascii="Verdana" w:hAnsi="Verdana" w:cs="Arial"/>
                <w:bCs/>
                <w:color w:val="000000" w:themeColor="text1"/>
              </w:rPr>
              <w:t xml:space="preserve">sentencia del 24 de agosto de 2005. </w:t>
            </w:r>
            <w:proofErr w:type="spellStart"/>
            <w:r w:rsidRPr="00F55E7F">
              <w:rPr>
                <w:rFonts w:ascii="Verdana" w:hAnsi="Verdana" w:cs="Arial"/>
                <w:bCs/>
                <w:color w:val="000000" w:themeColor="text1"/>
              </w:rPr>
              <w:t>exp</w:t>
            </w:r>
            <w:proofErr w:type="spellEnd"/>
            <w:r w:rsidRPr="00F55E7F">
              <w:rPr>
                <w:rFonts w:ascii="Verdana" w:hAnsi="Verdana" w:cs="Arial"/>
                <w:bCs/>
                <w:color w:val="000000" w:themeColor="text1"/>
              </w:rPr>
              <w:t xml:space="preserve">. </w:t>
            </w:r>
            <w:r w:rsidRPr="00F55E7F">
              <w:rPr>
                <w:rFonts w:ascii="Verdana" w:hAnsi="Verdana" w:cs="Arial"/>
                <w:bCs/>
                <w:iCs/>
                <w:color w:val="000000" w:themeColor="text1"/>
              </w:rPr>
              <w:t>3171A</w:t>
            </w:r>
            <w:r w:rsidRPr="00F55E7F">
              <w:rPr>
                <w:rFonts w:ascii="Verdana" w:hAnsi="Verdana" w:cs="Arial"/>
                <w:bCs/>
                <w:color w:val="000000" w:themeColor="text1"/>
              </w:rPr>
              <w:t>. C.P. Darío Quiñones Pinilla</w:t>
            </w:r>
            <w:r w:rsidRPr="001F63FC">
              <w:rPr>
                <w:rFonts w:ascii="Verdana" w:hAnsi="Verdana" w:cs="Arial"/>
                <w:bCs/>
                <w:color w:val="000000" w:themeColor="text1"/>
                <w:sz w:val="16"/>
                <w:szCs w:val="16"/>
              </w:rPr>
              <w:t>.</w:t>
            </w:r>
          </w:p>
        </w:tc>
      </w:tr>
    </w:tbl>
    <w:p w14:paraId="42DE0E6E" w14:textId="77777777" w:rsidR="00606EC1" w:rsidRPr="00B80E68" w:rsidRDefault="00606EC1" w:rsidP="00606EC1">
      <w:pPr>
        <w:widowControl w:val="0"/>
        <w:autoSpaceDE w:val="0"/>
        <w:autoSpaceDN w:val="0"/>
        <w:spacing w:after="0" w:line="276" w:lineRule="auto"/>
        <w:jc w:val="both"/>
        <w:rPr>
          <w:rFonts w:ascii="Verdana" w:hAnsi="Verdana" w:cs="Arial"/>
        </w:rPr>
      </w:pPr>
    </w:p>
    <w:p w14:paraId="5BDC602F" w14:textId="77777777" w:rsidR="00606EC1" w:rsidRDefault="00606EC1" w:rsidP="00606EC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3062DD31" w14:textId="77777777" w:rsidR="00606EC1" w:rsidRDefault="00606EC1" w:rsidP="00606EC1">
      <w:pPr>
        <w:widowControl w:val="0"/>
        <w:autoSpaceDE w:val="0"/>
        <w:autoSpaceDN w:val="0"/>
        <w:spacing w:after="0" w:line="276" w:lineRule="auto"/>
        <w:jc w:val="both"/>
        <w:rPr>
          <w:rFonts w:ascii="Verdana" w:hAnsi="Verdana" w:cs="Arial"/>
        </w:rPr>
      </w:pPr>
    </w:p>
    <w:p w14:paraId="5BCC6CC7" w14:textId="77777777" w:rsidR="00606EC1" w:rsidRPr="00AD46FE" w:rsidRDefault="00606EC1" w:rsidP="00606EC1">
      <w:pPr>
        <w:widowControl w:val="0"/>
        <w:autoSpaceDE w:val="0"/>
        <w:autoSpaceDN w:val="0"/>
        <w:spacing w:after="0" w:line="276" w:lineRule="auto"/>
        <w:jc w:val="both"/>
        <w:rPr>
          <w:rFonts w:ascii="Verdana" w:eastAsia="Calibri" w:hAnsi="Verdana" w:cs="Arial"/>
          <w:color w:val="000000" w:themeColor="text1"/>
        </w:rPr>
      </w:pPr>
      <w:r>
        <w:rPr>
          <w:rFonts w:ascii="Verdana" w:eastAsia="Calibri" w:hAnsi="Verdana" w:cs="Arial"/>
          <w:lang w:val="es-ES" w:eastAsia="es-ES"/>
        </w:rPr>
        <w:t xml:space="preserve">Sobre </w:t>
      </w:r>
      <w:r>
        <w:rPr>
          <w:rFonts w:ascii="Verdana" w:hAnsi="Verdana" w:cs="Arial"/>
        </w:rPr>
        <w:t>las prórrogas en la contratación pública</w:t>
      </w:r>
      <w:r>
        <w:rPr>
          <w:rFonts w:ascii="Verdana" w:eastAsia="Calibri" w:hAnsi="Verdana" w:cs="Arial"/>
          <w:color w:val="000000"/>
          <w:lang w:val="es-ES_tradnl"/>
        </w:rPr>
        <w:t xml:space="preserve">, </w:t>
      </w:r>
      <w:r>
        <w:rPr>
          <w:rStyle w:val="normaltextrun"/>
          <w:rFonts w:ascii="Verdana" w:hAnsi="Verdana" w:cs="Arial"/>
          <w:shd w:val="clear" w:color="auto" w:fill="FFFFFF"/>
          <w:lang w:val="es-ES"/>
        </w:rPr>
        <w:t xml:space="preserve">se pronunció esta Subdirección </w:t>
      </w:r>
      <w:r>
        <w:rPr>
          <w:rFonts w:ascii="Verdana" w:eastAsia="Calibri" w:hAnsi="Verdana" w:cs="Arial"/>
          <w:lang w:val="es-ES"/>
        </w:rPr>
        <w:t>en los conceptos</w:t>
      </w:r>
      <w:r>
        <w:rPr>
          <w:rFonts w:ascii="Verdana" w:eastAsia="Calibri" w:hAnsi="Verdana" w:cs="Arial"/>
          <w:color w:val="000000" w:themeColor="text1"/>
        </w:rPr>
        <w:t xml:space="preserve"> Nos. 4201912000007298 de 23 de octubre de 2019, 4201913000006294 del 16 de septiembre de 2019, C-062 del 25 de marzo de 2020, C-318 del 25 de mayo de 2020, C-560 del 24 de agosto de 2020, C-628 del 23 de septiembre del 2020, C-073 de 16 de marzo de 2021 y C-644 de 18 de noviembre de 2021, C-112 y C-303 del 12 de agosto de 2024, C-1616 del 15 de diciembre de 2025, entre otros. </w:t>
      </w:r>
      <w:r w:rsidRPr="00C303C5">
        <w:rPr>
          <w:rFonts w:ascii="Verdana" w:eastAsia="Calibri" w:hAnsi="Verdana" w:cs="Times New Roman"/>
        </w:rPr>
        <w:t xml:space="preserve">Estos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w:t>
      </w:r>
      <w:r w:rsidRPr="00C303C5">
        <w:rPr>
          <w:rFonts w:ascii="Verdana" w:eastAsia="Calibri" w:hAnsi="Verdana" w:cs="Times New Roman"/>
        </w:rPr>
        <w:lastRenderedPageBreak/>
        <w:t>Contractual, accede a través del siguiente enlace:</w:t>
      </w:r>
    </w:p>
    <w:p w14:paraId="4C75EF2D" w14:textId="77777777" w:rsidR="00606EC1" w:rsidRPr="00185EE9" w:rsidRDefault="00606EC1" w:rsidP="00606EC1">
      <w:pPr>
        <w:spacing w:after="0" w:line="256" w:lineRule="auto"/>
        <w:jc w:val="both"/>
        <w:rPr>
          <w:rFonts w:ascii="Verdana" w:eastAsia="Calibri" w:hAnsi="Verdana" w:cs="Times New Roman"/>
        </w:rPr>
      </w:pPr>
      <w:hyperlink r:id="rId13" w:history="1">
        <w:r w:rsidRPr="00C303C5">
          <w:rPr>
            <w:rStyle w:val="Hipervnculo"/>
            <w:rFonts w:ascii="Verdana" w:eastAsia="Calibri" w:hAnsi="Verdana" w:cs="Times New Roman"/>
            <w:lang w:val="es-ES"/>
          </w:rPr>
          <w:t>https://relatoria.colombiacompra.gov.co/busqueda/conceptos</w:t>
        </w:r>
      </w:hyperlink>
      <w:r w:rsidRPr="00C303C5">
        <w:rPr>
          <w:rFonts w:ascii="Verdana" w:eastAsia="Calibri" w:hAnsi="Verdana" w:cs="Times New Roman"/>
        </w:rPr>
        <w:t>.</w:t>
      </w:r>
      <w:r w:rsidRPr="00185EE9">
        <w:rPr>
          <w:rFonts w:ascii="Verdana" w:eastAsia="Calibri" w:hAnsi="Verdana" w:cs="Times New Roman"/>
        </w:rPr>
        <w:t xml:space="preserve"> </w:t>
      </w:r>
    </w:p>
    <w:p w14:paraId="636565DD" w14:textId="77777777" w:rsidR="00606EC1" w:rsidRDefault="00606EC1" w:rsidP="00606EC1">
      <w:pPr>
        <w:spacing w:after="0"/>
        <w:jc w:val="both"/>
        <w:rPr>
          <w:rFonts w:ascii="Verdana" w:hAnsi="Verdana" w:cs="Arial"/>
          <w:bCs/>
          <w:shd w:val="clear" w:color="auto" w:fill="FFFFFF"/>
          <w:lang w:val="es-ES"/>
        </w:rPr>
      </w:pPr>
    </w:p>
    <w:p w14:paraId="4401CB4B" w14:textId="77777777" w:rsidR="00606EC1" w:rsidRPr="007B743D" w:rsidRDefault="00606EC1" w:rsidP="00606EC1">
      <w:pPr>
        <w:jc w:val="both"/>
        <w:rPr>
          <w:rFonts w:ascii="Verdana" w:hAnsi="Verdana"/>
        </w:rPr>
      </w:pPr>
      <w:r w:rsidRPr="007B743D">
        <w:rPr>
          <w:rFonts w:ascii="Verdana" w:hAnsi="Verdana"/>
        </w:rPr>
        <w:t xml:space="preserve">La sostenibilidad no es una opción, es una obligación. Por ello, la Agencia Nacional de Contratación Pública –Colombia Compra Eficiente– te invita a realizar el </w:t>
      </w:r>
      <w:r w:rsidRPr="007B743D">
        <w:rPr>
          <w:rFonts w:ascii="Verdana" w:hAnsi="Verdana"/>
          <w:b/>
          <w:bCs/>
        </w:rPr>
        <w:t>Curso de Contratación Pública Sostenible y Socialmente Responsable</w:t>
      </w:r>
      <w:r w:rsidRPr="007B743D">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B743D">
        <w:rPr>
          <w:rFonts w:ascii="Verdana" w:hAnsi="Verdana"/>
        </w:rPr>
        <w:br/>
      </w:r>
      <w:hyperlink r:id="rId14" w:tgtFrame="_new" w:history="1">
        <w:r w:rsidRPr="007B743D">
          <w:rPr>
            <w:rFonts w:ascii="Verdana" w:hAnsi="Verdana"/>
            <w:color w:val="0000FF"/>
            <w:u w:val="single"/>
          </w:rPr>
          <w:t>https://formacionvirtual.colombiacompra.gov.co/mod/page/view.php?id=3718</w:t>
        </w:r>
      </w:hyperlink>
    </w:p>
    <w:p w14:paraId="13E0C754" w14:textId="77777777" w:rsidR="00606EC1" w:rsidRPr="007B743D" w:rsidRDefault="00606EC1" w:rsidP="00606EC1">
      <w:pPr>
        <w:jc w:val="both"/>
        <w:rPr>
          <w:rFonts w:ascii="Verdana" w:hAnsi="Verdana"/>
        </w:rPr>
      </w:pPr>
      <w:r w:rsidRPr="007B743D">
        <w:rPr>
          <w:rFonts w:ascii="Verdana" w:hAnsi="Verdana"/>
        </w:rPr>
        <w:t xml:space="preserve">De otro lado, te contamos que esta Agencia ha da un paso decisivo en la estandarización y modernización del </w:t>
      </w:r>
      <w:r w:rsidRPr="007B743D">
        <w:rPr>
          <w:rFonts w:ascii="Verdana" w:hAnsi="Verdana"/>
          <w:b/>
          <w:bCs/>
        </w:rPr>
        <w:t>sector  social</w:t>
      </w:r>
      <w:r w:rsidRPr="007B743D">
        <w:rPr>
          <w:rFonts w:ascii="Verdana" w:hAnsi="Verdana"/>
        </w:rPr>
        <w:t xml:space="preserve"> con la expedición de las </w:t>
      </w:r>
      <w:r w:rsidRPr="007B743D">
        <w:rPr>
          <w:rFonts w:ascii="Verdana" w:hAnsi="Verdana"/>
          <w:b/>
          <w:bCs/>
        </w:rPr>
        <w:t>Resoluciones 539, 540, 541, 952 y 953 de 2025</w:t>
      </w:r>
      <w:r w:rsidRPr="007B743D">
        <w:rPr>
          <w:rFonts w:ascii="Verdana" w:hAnsi="Verdana"/>
        </w:rPr>
        <w:t xml:space="preserve">, </w:t>
      </w:r>
      <w:r w:rsidRPr="007B743D">
        <w:rPr>
          <w:rFonts w:ascii="Verdana" w:hAnsi="Verdana"/>
          <w:b/>
          <w:bCs/>
        </w:rPr>
        <w:t>mediante las cuales adoptó Documentos Tipo</w:t>
      </w:r>
      <w:r w:rsidRPr="007B743D">
        <w:rPr>
          <w:rFonts w:ascii="Verdana" w:hAnsi="Verdana"/>
        </w:rPr>
        <w:t xml:space="preserve"> para las modalidades de selección de</w:t>
      </w:r>
      <w:r w:rsidRPr="007B743D">
        <w:rPr>
          <w:rFonts w:ascii="Verdana" w:hAnsi="Verdana"/>
          <w:b/>
          <w:bCs/>
        </w:rPr>
        <w:t xml:space="preserve"> licitación pública (versión 2), selección abreviada de menor cuantía, mínima cuantía, consultoría e interventoría</w:t>
      </w:r>
      <w:r w:rsidRPr="007B743D">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7B743D">
          <w:rPr>
            <w:rFonts w:ascii="Verdana" w:hAnsi="Verdana"/>
            <w:color w:val="0000FF"/>
            <w:u w:val="single"/>
          </w:rPr>
          <w:t>https://www.colombiacompra.gov.co/normativa-y-relatoria/documentos-tipo</w:t>
        </w:r>
      </w:hyperlink>
    </w:p>
    <w:p w14:paraId="314B9524" w14:textId="77777777" w:rsidR="00606EC1" w:rsidRPr="007B743D" w:rsidRDefault="00606EC1" w:rsidP="00606EC1">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r w:rsidRPr="007B743D">
        <w:rPr>
          <w:rFonts w:ascii="Verdana" w:hAnsi="Verdana"/>
        </w:rPr>
        <w:t xml:space="preserve">Si quieres conocer más sobre la aplicación de Documentos Tipo puedes consultar la última versión de la </w:t>
      </w:r>
      <w:r w:rsidRPr="007B743D">
        <w:rPr>
          <w:rFonts w:ascii="Verdana" w:hAnsi="Verdana"/>
          <w:b/>
          <w:bCs/>
        </w:rPr>
        <w:t>Guía para la comprensión e implementación de los Documentos Tipo de obra pública de infraestructura de transporte</w:t>
      </w:r>
      <w:r w:rsidRPr="007B743D">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B743D">
        <w:rPr>
          <w:rFonts w:ascii="Verdana" w:hAnsi="Verdana"/>
        </w:rPr>
        <w:br/>
      </w:r>
      <w:hyperlink r:id="rId16" w:tgtFrame="_new" w:history="1">
        <w:r w:rsidRPr="007B743D">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3BA565B0" w14:textId="77777777" w:rsidR="00606EC1" w:rsidRPr="007B743D" w:rsidRDefault="00606EC1" w:rsidP="00606EC1">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p>
    <w:p w14:paraId="533AE216" w14:textId="77777777" w:rsidR="00606EC1" w:rsidRPr="007B743D" w:rsidRDefault="00606EC1" w:rsidP="00606EC1">
      <w:pPr>
        <w:widowControl w:val="0"/>
        <w:autoSpaceDE w:val="0"/>
        <w:autoSpaceDN w:val="0"/>
        <w:spacing w:after="0" w:line="276" w:lineRule="auto"/>
        <w:jc w:val="both"/>
        <w:rPr>
          <w:rFonts w:ascii="Verdana" w:hAnsi="Verdana" w:cs="Arial"/>
        </w:rPr>
      </w:pPr>
      <w:r w:rsidRPr="007B743D">
        <w:rPr>
          <w:rFonts w:ascii="Verdana" w:hAnsi="Verdana" w:cs="Arial"/>
        </w:rPr>
        <w:t xml:space="preserve">Este concepto tiene el alcance previsto en el artículo 28 del Código de </w:t>
      </w:r>
      <w:r w:rsidRPr="007B743D">
        <w:rPr>
          <w:rFonts w:ascii="Verdana" w:hAnsi="Verdana" w:cs="Arial"/>
        </w:rPr>
        <w:lastRenderedPageBreak/>
        <w:t>Procedimiento Administrativo y de lo Contencioso Administrativo y las expresiones aquí utilizadas con mayúscula inicial deben ser entendidas con el significado que les otorga el artículo 2.2.1.1.1.3.1. del Decreto 1082 de 2015.</w:t>
      </w:r>
    </w:p>
    <w:p w14:paraId="150034F8" w14:textId="77777777" w:rsidR="00606EC1" w:rsidRPr="008278B1" w:rsidRDefault="00606EC1" w:rsidP="00606EC1">
      <w:pPr>
        <w:widowControl w:val="0"/>
        <w:autoSpaceDE w:val="0"/>
        <w:autoSpaceDN w:val="0"/>
        <w:spacing w:after="0" w:line="276" w:lineRule="auto"/>
        <w:jc w:val="both"/>
        <w:rPr>
          <w:rFonts w:ascii="Verdana" w:hAnsi="Verdana" w:cs="Arial"/>
          <w:lang w:val="es-ES"/>
        </w:rPr>
      </w:pPr>
    </w:p>
    <w:p w14:paraId="43FCD2CE" w14:textId="77777777" w:rsidR="00606EC1" w:rsidRDefault="00606EC1" w:rsidP="00606EC1">
      <w:pPr>
        <w:spacing w:after="0" w:line="276" w:lineRule="auto"/>
        <w:rPr>
          <w:rFonts w:ascii="Verdana" w:hAnsi="Verdana" w:cs="Arial"/>
          <w:lang w:val="es-ES" w:eastAsia="es-CO"/>
        </w:rPr>
      </w:pPr>
      <w:r w:rsidRPr="008278B1">
        <w:rPr>
          <w:rFonts w:ascii="Verdana" w:eastAsia="Times New Roman" w:hAnsi="Verdana" w:cs="Arial"/>
          <w:lang w:val="es-ES" w:eastAsia="es-CO"/>
        </w:rPr>
        <w:t>Atentamente,</w:t>
      </w:r>
      <w:r w:rsidRPr="008278B1">
        <w:rPr>
          <w:rFonts w:ascii="Verdana" w:hAnsi="Verdana" w:cs="Arial"/>
          <w:lang w:val="es-ES" w:eastAsia="es-CO"/>
        </w:rPr>
        <w:t xml:space="preserve"> </w:t>
      </w:r>
    </w:p>
    <w:p w14:paraId="552FF1F7" w14:textId="77777777" w:rsidR="00606EC1" w:rsidRDefault="00606EC1" w:rsidP="00606EC1">
      <w:pPr>
        <w:spacing w:after="0" w:line="276" w:lineRule="auto"/>
        <w:rPr>
          <w:rFonts w:ascii="Verdana" w:hAnsi="Verdana" w:cs="Arial"/>
          <w:lang w:val="es-ES" w:eastAsia="es-CO"/>
        </w:rPr>
      </w:pPr>
    </w:p>
    <w:p w14:paraId="2B62755C" w14:textId="15E2C342" w:rsidR="00606EC1" w:rsidRPr="007B743D" w:rsidRDefault="00DC1206" w:rsidP="00606EC1">
      <w:pPr>
        <w:spacing w:line="276" w:lineRule="auto"/>
        <w:jc w:val="center"/>
        <w:rPr>
          <w:rFonts w:ascii="Verdana" w:hAnsi="Verdana" w:cs="Arial"/>
          <w:color w:val="000000"/>
          <w:lang w:eastAsia="es-CO"/>
        </w:rPr>
      </w:pPr>
      <w:r>
        <w:rPr>
          <w:noProof/>
        </w:rPr>
        <w:drawing>
          <wp:inline distT="0" distB="0" distL="0" distR="0" wp14:anchorId="37697E57" wp14:editId="65208E65">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06EC1" w:rsidRPr="007B743D" w14:paraId="2A4A12FA" w14:textId="77777777" w:rsidTr="007C4B30">
        <w:trPr>
          <w:trHeight w:val="315"/>
        </w:trPr>
        <w:tc>
          <w:tcPr>
            <w:tcW w:w="893" w:type="dxa"/>
            <w:vAlign w:val="center"/>
            <w:hideMark/>
          </w:tcPr>
          <w:p w14:paraId="7B3D2216" w14:textId="77777777" w:rsidR="00606EC1" w:rsidRPr="007B743D" w:rsidRDefault="00606EC1" w:rsidP="007C4B30">
            <w:pPr>
              <w:contextualSpacing/>
              <w:rPr>
                <w:rFonts w:ascii="Verdana" w:hAnsi="Verdana" w:cs="Arial"/>
                <w:sz w:val="16"/>
                <w:szCs w:val="16"/>
                <w:lang w:eastAsia="es-ES"/>
              </w:rPr>
            </w:pPr>
            <w:r w:rsidRPr="007B743D">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35193C2" w14:textId="77777777" w:rsidR="00606EC1" w:rsidRPr="007B743D" w:rsidRDefault="00606EC1" w:rsidP="007C4B30">
            <w:pPr>
              <w:contextualSpacing/>
              <w:rPr>
                <w:rFonts w:ascii="Verdana" w:hAnsi="Verdana"/>
                <w:sz w:val="16"/>
                <w:szCs w:val="16"/>
              </w:rPr>
            </w:pPr>
            <w:r w:rsidRPr="007B743D">
              <w:rPr>
                <w:rFonts w:ascii="Verdana" w:hAnsi="Verdana"/>
                <w:sz w:val="16"/>
                <w:szCs w:val="16"/>
              </w:rPr>
              <w:t>Tatiana Baquero Iguarán</w:t>
            </w:r>
          </w:p>
          <w:p w14:paraId="1B9E7DBA" w14:textId="77777777" w:rsidR="00606EC1" w:rsidRPr="007B743D" w:rsidRDefault="00606EC1" w:rsidP="007C4B30">
            <w:pPr>
              <w:contextualSpacing/>
              <w:rPr>
                <w:rFonts w:ascii="Verdana" w:eastAsia="Arial" w:hAnsi="Verdana" w:cs="Arial"/>
                <w:sz w:val="16"/>
                <w:szCs w:val="16"/>
              </w:rPr>
            </w:pPr>
            <w:r w:rsidRPr="007B743D">
              <w:rPr>
                <w:rFonts w:ascii="Verdana" w:hAnsi="Verdana"/>
                <w:sz w:val="16"/>
                <w:szCs w:val="16"/>
              </w:rPr>
              <w:t>Contratista de la Subdirección de Gestión Contractual</w:t>
            </w:r>
          </w:p>
        </w:tc>
      </w:tr>
      <w:tr w:rsidR="00606EC1" w:rsidRPr="007B743D" w14:paraId="7EE83746" w14:textId="77777777" w:rsidTr="007C4B30">
        <w:trPr>
          <w:trHeight w:val="330"/>
        </w:trPr>
        <w:tc>
          <w:tcPr>
            <w:tcW w:w="893" w:type="dxa"/>
            <w:vAlign w:val="center"/>
            <w:hideMark/>
          </w:tcPr>
          <w:p w14:paraId="76C6C274" w14:textId="77777777" w:rsidR="00606EC1" w:rsidRPr="007B743D" w:rsidRDefault="00606EC1" w:rsidP="007C4B30">
            <w:pPr>
              <w:contextualSpacing/>
              <w:rPr>
                <w:rFonts w:ascii="Verdana" w:hAnsi="Verdana" w:cs="Arial"/>
                <w:sz w:val="16"/>
                <w:szCs w:val="16"/>
                <w:lang w:eastAsia="es-ES"/>
              </w:rPr>
            </w:pPr>
            <w:r w:rsidRPr="007B743D">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21EE0D7" w14:textId="77777777" w:rsidR="00606EC1" w:rsidRPr="007B743D" w:rsidRDefault="00606EC1" w:rsidP="007C4B30">
            <w:pPr>
              <w:textAlignment w:val="baseline"/>
              <w:rPr>
                <w:rFonts w:ascii="Verdana" w:eastAsia="Times New Roman" w:hAnsi="Verdana" w:cs="Arial"/>
                <w:sz w:val="16"/>
                <w:szCs w:val="16"/>
                <w:lang w:val="es-MX" w:eastAsia="es-CO"/>
              </w:rPr>
            </w:pPr>
            <w:r w:rsidRPr="007B743D">
              <w:rPr>
                <w:rFonts w:ascii="Verdana" w:eastAsia="Times New Roman" w:hAnsi="Verdana" w:cs="Arial"/>
                <w:sz w:val="16"/>
                <w:szCs w:val="16"/>
                <w:lang w:val="es-MX" w:eastAsia="es-CO"/>
              </w:rPr>
              <w:t>Alejandro Raúl Sarmiento Cantillo</w:t>
            </w:r>
          </w:p>
          <w:p w14:paraId="35A465F5" w14:textId="77777777" w:rsidR="00606EC1" w:rsidRPr="007B743D" w:rsidRDefault="00606EC1" w:rsidP="007C4B30">
            <w:pPr>
              <w:spacing w:before="100" w:beforeAutospacing="1" w:after="100" w:afterAutospacing="1"/>
              <w:contextualSpacing/>
              <w:textAlignment w:val="baseline"/>
              <w:rPr>
                <w:rFonts w:ascii="Verdana" w:eastAsia="Times New Roman" w:hAnsi="Verdana" w:cs="Segoe UI"/>
                <w:sz w:val="16"/>
                <w:szCs w:val="16"/>
                <w:lang w:eastAsia="es-ES_tradnl"/>
              </w:rPr>
            </w:pPr>
            <w:r w:rsidRPr="007B743D">
              <w:rPr>
                <w:rFonts w:ascii="Verdana" w:eastAsia="Times New Roman" w:hAnsi="Verdana" w:cs="Arial"/>
                <w:sz w:val="16"/>
                <w:szCs w:val="16"/>
                <w:lang w:val="es-MX" w:eastAsia="es-CO"/>
              </w:rPr>
              <w:t>Gestor T1-15 de la Subdirección de Gestión Contractual</w:t>
            </w:r>
          </w:p>
        </w:tc>
      </w:tr>
      <w:tr w:rsidR="00606EC1" w:rsidRPr="007B743D" w14:paraId="5D1FC2E7" w14:textId="77777777" w:rsidTr="007C4B30">
        <w:trPr>
          <w:trHeight w:val="300"/>
        </w:trPr>
        <w:tc>
          <w:tcPr>
            <w:tcW w:w="893" w:type="dxa"/>
            <w:vAlign w:val="center"/>
          </w:tcPr>
          <w:p w14:paraId="2D9D7F61" w14:textId="77777777" w:rsidR="00606EC1" w:rsidRPr="007B743D" w:rsidRDefault="00606EC1" w:rsidP="007C4B30">
            <w:pPr>
              <w:contextualSpacing/>
              <w:rPr>
                <w:rFonts w:ascii="Verdana" w:hAnsi="Verdana" w:cs="Arial"/>
                <w:sz w:val="16"/>
                <w:szCs w:val="16"/>
                <w:lang w:eastAsia="es-ES"/>
              </w:rPr>
            </w:pPr>
            <w:r w:rsidRPr="007B743D">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E2C64F6" w14:textId="77777777" w:rsidR="00606EC1" w:rsidRPr="007B743D" w:rsidRDefault="00606EC1" w:rsidP="007C4B30">
            <w:pPr>
              <w:contextualSpacing/>
              <w:rPr>
                <w:rFonts w:ascii="Verdana" w:eastAsia="Calibri" w:hAnsi="Verdana" w:cs="Arial"/>
                <w:sz w:val="16"/>
                <w:szCs w:val="16"/>
                <w:lang w:eastAsia="es-ES"/>
              </w:rPr>
            </w:pPr>
            <w:r w:rsidRPr="007B743D">
              <w:rPr>
                <w:rFonts w:ascii="Verdana" w:eastAsia="Calibri" w:hAnsi="Verdana" w:cs="Arial"/>
                <w:sz w:val="16"/>
                <w:szCs w:val="16"/>
                <w:lang w:eastAsia="es-ES"/>
              </w:rPr>
              <w:t>Carolina Quintero Gacharná</w:t>
            </w:r>
          </w:p>
          <w:p w14:paraId="5829F819" w14:textId="77777777" w:rsidR="00606EC1" w:rsidRPr="007B743D" w:rsidRDefault="00606EC1" w:rsidP="007C4B30">
            <w:pPr>
              <w:contextualSpacing/>
              <w:rPr>
                <w:rFonts w:ascii="Verdana" w:eastAsia="Calibri" w:hAnsi="Verdana" w:cs="Arial"/>
                <w:sz w:val="16"/>
                <w:szCs w:val="16"/>
                <w:lang w:eastAsia="es-ES"/>
              </w:rPr>
            </w:pPr>
            <w:r w:rsidRPr="007B743D">
              <w:rPr>
                <w:rFonts w:ascii="Verdana" w:eastAsia="Calibri" w:hAnsi="Verdana" w:cs="Arial"/>
                <w:sz w:val="16"/>
                <w:szCs w:val="16"/>
                <w:lang w:eastAsia="es-ES"/>
              </w:rPr>
              <w:t>Subdirectora de Gestión Contractual ANCP – CCE</w:t>
            </w:r>
          </w:p>
        </w:tc>
      </w:tr>
      <w:tr w:rsidR="00606EC1" w:rsidRPr="007B743D" w14:paraId="576BF7EE" w14:textId="77777777" w:rsidTr="007C4B30">
        <w:trPr>
          <w:gridAfter w:val="1"/>
          <w:wAfter w:w="5628" w:type="dxa"/>
          <w:trHeight w:val="300"/>
        </w:trPr>
        <w:tc>
          <w:tcPr>
            <w:tcW w:w="893" w:type="dxa"/>
            <w:vAlign w:val="center"/>
          </w:tcPr>
          <w:p w14:paraId="2685005F" w14:textId="77777777" w:rsidR="00606EC1" w:rsidRPr="007B743D" w:rsidRDefault="00606EC1" w:rsidP="007C4B30">
            <w:pPr>
              <w:contextualSpacing/>
              <w:rPr>
                <w:rFonts w:ascii="Verdana" w:hAnsi="Verdana" w:cs="Arial"/>
                <w:sz w:val="16"/>
                <w:szCs w:val="16"/>
                <w:lang w:eastAsia="es-ES"/>
              </w:rPr>
            </w:pPr>
          </w:p>
        </w:tc>
      </w:tr>
    </w:tbl>
    <w:p w14:paraId="641340DF" w14:textId="77777777" w:rsidR="00606EC1" w:rsidRPr="007B743D" w:rsidRDefault="00606EC1" w:rsidP="00606EC1">
      <w:pPr>
        <w:spacing w:after="0" w:line="240" w:lineRule="auto"/>
        <w:jc w:val="both"/>
        <w:rPr>
          <w:rFonts w:ascii="Verdana" w:eastAsia="Verdana" w:hAnsi="Verdana" w:cs="Verdana"/>
          <w:b/>
          <w:bCs/>
          <w:lang w:val="es-MX"/>
        </w:rPr>
      </w:pPr>
    </w:p>
    <w:p w14:paraId="51AC9BEE" w14:textId="77777777" w:rsidR="00606EC1" w:rsidRPr="000E2B93" w:rsidRDefault="00606EC1" w:rsidP="00606EC1">
      <w:pPr>
        <w:spacing w:after="0" w:line="240" w:lineRule="auto"/>
        <w:jc w:val="both"/>
        <w:textAlignment w:val="baseline"/>
        <w:rPr>
          <w:rFonts w:ascii="Verdana" w:eastAsia="Verdana" w:hAnsi="Verdana" w:cs="Verdana"/>
          <w:lang w:eastAsia="es-CO"/>
        </w:rPr>
      </w:pPr>
    </w:p>
    <w:p w14:paraId="65E6C908" w14:textId="132B57EC" w:rsidR="00606EC1" w:rsidRPr="000E2B93" w:rsidRDefault="00606EC1" w:rsidP="00606EC1">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61BB345C" w14:textId="77777777" w:rsidR="00606EC1" w:rsidRPr="00E5643F" w:rsidRDefault="00606EC1" w:rsidP="00606EC1"/>
    <w:p w14:paraId="65D4A24F" w14:textId="77777777" w:rsidR="00606EC1" w:rsidRPr="00E77DD9" w:rsidRDefault="00606EC1" w:rsidP="00606EC1"/>
    <w:p w14:paraId="0F293BF4" w14:textId="0C264A14" w:rsidR="00127233" w:rsidRPr="00606EC1" w:rsidRDefault="00127233" w:rsidP="00606EC1"/>
    <w:sectPr w:rsidR="00127233" w:rsidRPr="00606EC1"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DEE964" w14:textId="77777777" w:rsidR="00C25118" w:rsidRDefault="00C25118" w:rsidP="004A1847">
      <w:pPr>
        <w:spacing w:after="0" w:line="240" w:lineRule="auto"/>
      </w:pPr>
      <w:r>
        <w:separator/>
      </w:r>
    </w:p>
  </w:endnote>
  <w:endnote w:type="continuationSeparator" w:id="0">
    <w:p w14:paraId="02F8B516" w14:textId="77777777" w:rsidR="00C25118" w:rsidRDefault="00C2511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62118F" w14:textId="77777777" w:rsidR="00C25118" w:rsidRDefault="00C25118" w:rsidP="004A1847">
      <w:pPr>
        <w:spacing w:after="0" w:line="240" w:lineRule="auto"/>
      </w:pPr>
      <w:r>
        <w:separator/>
      </w:r>
    </w:p>
  </w:footnote>
  <w:footnote w:type="continuationSeparator" w:id="0">
    <w:p w14:paraId="62426BBC" w14:textId="77777777" w:rsidR="00C25118" w:rsidRDefault="00C25118" w:rsidP="004A1847">
      <w:pPr>
        <w:spacing w:after="0" w:line="240" w:lineRule="auto"/>
      </w:pPr>
      <w:r>
        <w:continuationSeparator/>
      </w:r>
    </w:p>
  </w:footnote>
  <w:footnote w:id="1">
    <w:p w14:paraId="41339B21" w14:textId="77777777" w:rsidR="00606EC1" w:rsidRPr="001F63FC" w:rsidRDefault="00606EC1" w:rsidP="00606EC1">
      <w:pPr>
        <w:autoSpaceDE w:val="0"/>
        <w:autoSpaceDN w:val="0"/>
        <w:adjustRightInd w:val="0"/>
        <w:ind w:firstLine="708"/>
        <w:jc w:val="both"/>
        <w:rPr>
          <w:rFonts w:ascii="Verdana" w:hAnsi="Verdana" w:cs="Arial"/>
          <w:color w:val="000000" w:themeColor="text1"/>
          <w:sz w:val="16"/>
          <w:szCs w:val="16"/>
        </w:rPr>
      </w:pPr>
      <w:r w:rsidRPr="001F63FC">
        <w:rPr>
          <w:rStyle w:val="Refdenotaalpie"/>
          <w:rFonts w:ascii="Verdana" w:hAnsi="Verdana" w:cs="Arial"/>
          <w:color w:val="000000" w:themeColor="text1"/>
          <w:sz w:val="16"/>
          <w:szCs w:val="16"/>
        </w:rPr>
        <w:footnoteRef/>
      </w:r>
      <w:r w:rsidRPr="001F63FC">
        <w:rPr>
          <w:rFonts w:ascii="Verdana" w:hAnsi="Verdana" w:cs="Arial"/>
          <w:color w:val="000000" w:themeColor="text1"/>
          <w:sz w:val="16"/>
          <w:szCs w:val="16"/>
        </w:rPr>
        <w:t xml:space="preserve"> </w:t>
      </w:r>
      <w:r>
        <w:rPr>
          <w:rFonts w:ascii="Verdana" w:hAnsi="Verdana" w:cs="Arial"/>
          <w:color w:val="000000" w:themeColor="text1"/>
          <w:sz w:val="16"/>
          <w:szCs w:val="16"/>
        </w:rPr>
        <w:t>“</w:t>
      </w:r>
      <w:r w:rsidRPr="001F63FC">
        <w:rPr>
          <w:rFonts w:ascii="Verdana" w:hAnsi="Verdana" w:cs="Arial"/>
          <w:vanish/>
          <w:color w:val="000000" w:themeColor="text1"/>
          <w:sz w:val="16"/>
          <w:szCs w:val="16"/>
        </w:rPr>
        <w:t>&amp;$</w:t>
      </w:r>
      <w:r w:rsidRPr="001F63FC">
        <w:rPr>
          <w:rFonts w:ascii="Verdana" w:hAnsi="Verdana" w:cs="Arial"/>
          <w:color w:val="000000" w:themeColor="text1"/>
          <w:sz w:val="16"/>
          <w:szCs w:val="16"/>
        </w:rPr>
        <w:t>Art. 13. De la normatividad aplicable a los contratos estatales. Los contratos que celebren las entidades a que se refiere el artículo 2</w:t>
      </w:r>
      <w:r w:rsidRPr="001F63FC">
        <w:rPr>
          <w:rFonts w:ascii="Verdana" w:hAnsi="Verdana" w:cs="Arial"/>
          <w:vanish/>
          <w:color w:val="000000" w:themeColor="text1"/>
          <w:sz w:val="16"/>
          <w:szCs w:val="16"/>
        </w:rPr>
        <w:t>191</w:t>
      </w:r>
      <w:r w:rsidRPr="001F63FC">
        <w:rPr>
          <w:rFonts w:ascii="Verdana" w:hAnsi="Verdana" w:cs="Arial"/>
          <w:color w:val="000000" w:themeColor="text1"/>
          <w:sz w:val="16"/>
          <w:szCs w:val="16"/>
        </w:rPr>
        <w:t xml:space="preserve"> del presente estatuto se regirán por las disposiciones comerciales y civiles pertinentes, salvo en las materias particularmente reguladas en esta ley</w:t>
      </w:r>
      <w:r>
        <w:rPr>
          <w:rFonts w:ascii="Verdana" w:hAnsi="Verdana" w:cs="Arial"/>
          <w:color w:val="000000" w:themeColor="text1"/>
          <w:sz w:val="16"/>
          <w:szCs w:val="16"/>
        </w:rPr>
        <w:t>”</w:t>
      </w:r>
      <w:r w:rsidRPr="001F63FC">
        <w:rPr>
          <w:rFonts w:ascii="Verdana" w:hAnsi="Verdana" w:cs="Arial"/>
          <w:color w:val="000000" w:themeColor="text1"/>
          <w:sz w:val="16"/>
          <w:szCs w:val="16"/>
        </w:rPr>
        <w:t>.</w:t>
      </w:r>
    </w:p>
    <w:p w14:paraId="73D30F6F" w14:textId="77777777" w:rsidR="00606EC1" w:rsidRDefault="00606EC1" w:rsidP="00606EC1">
      <w:pPr>
        <w:pStyle w:val="Textonotapie"/>
        <w:ind w:firstLine="708"/>
        <w:jc w:val="both"/>
        <w:rPr>
          <w:rFonts w:ascii="Verdana" w:hAnsi="Verdana" w:cs="Arial"/>
          <w:color w:val="000000" w:themeColor="text1"/>
          <w:sz w:val="16"/>
          <w:szCs w:val="16"/>
        </w:rPr>
      </w:pPr>
      <w:r w:rsidRPr="001F63FC">
        <w:rPr>
          <w:rFonts w:ascii="Verdana" w:hAnsi="Verdana" w:cs="Arial"/>
          <w:color w:val="000000" w:themeColor="text1"/>
          <w:sz w:val="16"/>
          <w:szCs w:val="16"/>
        </w:rPr>
        <w:t xml:space="preserve"> </w:t>
      </w:r>
      <w:r>
        <w:rPr>
          <w:rFonts w:ascii="Verdana" w:hAnsi="Verdana" w:cs="Arial"/>
          <w:color w:val="000000" w:themeColor="text1"/>
          <w:sz w:val="16"/>
          <w:szCs w:val="16"/>
        </w:rPr>
        <w:t>“</w:t>
      </w:r>
      <w:r w:rsidRPr="001F63FC">
        <w:rPr>
          <w:rFonts w:ascii="Verdana" w:hAnsi="Verdana" w:cs="Arial"/>
          <w:vanish/>
          <w:color w:val="000000" w:themeColor="text1"/>
          <w:sz w:val="16"/>
          <w:szCs w:val="16"/>
        </w:rPr>
        <w:t>&amp;$</w:t>
      </w:r>
      <w:r w:rsidRPr="001F63FC">
        <w:rPr>
          <w:rFonts w:ascii="Verdana" w:hAnsi="Verdana" w:cs="Arial"/>
          <w:color w:val="000000" w:themeColor="text1"/>
          <w:sz w:val="16"/>
          <w:szCs w:val="16"/>
        </w:rPr>
        <w:t>Art. 32. De los contratos estatales. Son contratos estatales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w:t>
      </w:r>
      <w:r>
        <w:rPr>
          <w:rFonts w:ascii="Verdana" w:hAnsi="Verdana" w:cs="Arial"/>
          <w:color w:val="000000" w:themeColor="text1"/>
          <w:sz w:val="16"/>
          <w:szCs w:val="16"/>
        </w:rPr>
        <w:t>”</w:t>
      </w:r>
    </w:p>
    <w:p w14:paraId="03041C59" w14:textId="77777777" w:rsidR="00606EC1" w:rsidRPr="001F63FC" w:rsidRDefault="00606EC1" w:rsidP="00606EC1">
      <w:pPr>
        <w:pStyle w:val="Textonotapie"/>
        <w:ind w:firstLine="708"/>
        <w:jc w:val="both"/>
        <w:rPr>
          <w:rFonts w:ascii="Verdana" w:hAnsi="Verdana" w:cs="Arial"/>
          <w:color w:val="000000" w:themeColor="text1"/>
          <w:sz w:val="16"/>
          <w:szCs w:val="16"/>
        </w:rPr>
      </w:pPr>
    </w:p>
    <w:p w14:paraId="4FC04218" w14:textId="77777777" w:rsidR="00606EC1" w:rsidRPr="001F63FC" w:rsidRDefault="00606EC1" w:rsidP="00606EC1">
      <w:pPr>
        <w:autoSpaceDE w:val="0"/>
        <w:autoSpaceDN w:val="0"/>
        <w:adjustRightInd w:val="0"/>
        <w:ind w:firstLine="708"/>
        <w:jc w:val="both"/>
        <w:rPr>
          <w:rFonts w:ascii="Verdana" w:hAnsi="Verdana" w:cs="Arial"/>
          <w:color w:val="000000" w:themeColor="text1"/>
          <w:sz w:val="16"/>
          <w:szCs w:val="16"/>
        </w:rPr>
      </w:pPr>
      <w:r>
        <w:rPr>
          <w:rFonts w:ascii="Verdana" w:hAnsi="Verdana" w:cs="Arial"/>
          <w:color w:val="000000" w:themeColor="text1"/>
          <w:sz w:val="16"/>
          <w:szCs w:val="16"/>
        </w:rPr>
        <w:t>“</w:t>
      </w:r>
      <w:r w:rsidRPr="001F63FC">
        <w:rPr>
          <w:rFonts w:ascii="Verdana" w:hAnsi="Verdana" w:cs="Arial"/>
          <w:vanish/>
          <w:color w:val="000000" w:themeColor="text1"/>
          <w:sz w:val="16"/>
          <w:szCs w:val="16"/>
        </w:rPr>
        <w:t>&amp;$</w:t>
      </w:r>
      <w:r w:rsidRPr="001F63FC">
        <w:rPr>
          <w:rFonts w:ascii="Verdana" w:hAnsi="Verdana" w:cs="Arial"/>
          <w:color w:val="000000" w:themeColor="text1"/>
          <w:sz w:val="16"/>
          <w:szCs w:val="16"/>
        </w:rPr>
        <w:t xml:space="preserve">Art. 40. Del contenido del contrato estatal. Las estipulaciones de los contratos serán las que de acuerdo con las normas civiles, comerciales y las previstas en esta ley, correspondan a su esencia y naturaleza. </w:t>
      </w:r>
    </w:p>
    <w:p w14:paraId="1DB482AB" w14:textId="77777777" w:rsidR="00606EC1" w:rsidRPr="001F63FC" w:rsidRDefault="00606EC1" w:rsidP="00606EC1">
      <w:pPr>
        <w:autoSpaceDE w:val="0"/>
        <w:autoSpaceDN w:val="0"/>
        <w:adjustRightInd w:val="0"/>
        <w:jc w:val="both"/>
        <w:rPr>
          <w:rFonts w:ascii="Verdana" w:hAnsi="Verdana" w:cs="Arial"/>
          <w:color w:val="000000" w:themeColor="text1"/>
          <w:sz w:val="16"/>
          <w:szCs w:val="16"/>
        </w:rPr>
      </w:pPr>
      <w:r w:rsidRPr="001F63FC">
        <w:rPr>
          <w:rFonts w:ascii="Verdana" w:hAnsi="Verdana" w:cs="Arial"/>
          <w:color w:val="000000" w:themeColor="text1"/>
          <w:sz w:val="16"/>
          <w:szCs w:val="16"/>
        </w:rPr>
        <w:t xml:space="preserve"> </w:t>
      </w:r>
      <w:r w:rsidRPr="001F63FC">
        <w:rPr>
          <w:rFonts w:ascii="Verdana" w:hAnsi="Verdana" w:cs="Arial"/>
          <w:color w:val="000000" w:themeColor="text1"/>
          <w:sz w:val="16"/>
          <w:szCs w:val="16"/>
        </w:rPr>
        <w:tab/>
      </w:r>
      <w:r>
        <w:rPr>
          <w:rFonts w:ascii="Verdana" w:hAnsi="Verdana" w:cs="Arial"/>
          <w:color w:val="000000" w:themeColor="text1"/>
          <w:sz w:val="16"/>
          <w:szCs w:val="16"/>
        </w:rPr>
        <w:t>“</w:t>
      </w:r>
      <w:r w:rsidRPr="001F63FC">
        <w:rPr>
          <w:rFonts w:ascii="Verdana" w:hAnsi="Verdana" w:cs="Arial"/>
          <w:color w:val="000000" w:themeColor="text1"/>
          <w:sz w:val="16"/>
          <w:szCs w:val="16"/>
        </w:rPr>
        <w:t xml:space="preserve">Las entidades podrán celebrar los contratos y acuerdos que permitan la autonomía de la voluntad y requieran el cumplimiento de los fines estatales. </w:t>
      </w:r>
    </w:p>
    <w:p w14:paraId="31058C79" w14:textId="77777777" w:rsidR="00606EC1" w:rsidRPr="001F63FC" w:rsidRDefault="00606EC1" w:rsidP="00606EC1">
      <w:pPr>
        <w:autoSpaceDE w:val="0"/>
        <w:autoSpaceDN w:val="0"/>
        <w:adjustRightInd w:val="0"/>
        <w:jc w:val="both"/>
        <w:rPr>
          <w:rFonts w:ascii="Verdana" w:hAnsi="Verdana" w:cs="Arial"/>
          <w:color w:val="000000" w:themeColor="text1"/>
          <w:sz w:val="16"/>
          <w:szCs w:val="16"/>
        </w:rPr>
      </w:pPr>
      <w:r w:rsidRPr="001F63FC">
        <w:rPr>
          <w:rFonts w:ascii="Verdana" w:hAnsi="Verdana" w:cs="Arial"/>
          <w:color w:val="000000" w:themeColor="text1"/>
          <w:sz w:val="16"/>
          <w:szCs w:val="16"/>
        </w:rPr>
        <w:t xml:space="preserve"> </w:t>
      </w:r>
      <w:r w:rsidRPr="001F63FC">
        <w:rPr>
          <w:rFonts w:ascii="Verdana" w:hAnsi="Verdana" w:cs="Arial"/>
          <w:color w:val="000000" w:themeColor="text1"/>
          <w:sz w:val="16"/>
          <w:szCs w:val="16"/>
        </w:rPr>
        <w:tab/>
      </w:r>
      <w:r>
        <w:rPr>
          <w:rFonts w:ascii="Verdana" w:hAnsi="Verdana" w:cs="Arial"/>
          <w:color w:val="000000" w:themeColor="text1"/>
          <w:sz w:val="16"/>
          <w:szCs w:val="16"/>
        </w:rPr>
        <w:t>“</w:t>
      </w:r>
      <w:r w:rsidRPr="001F63FC">
        <w:rPr>
          <w:rFonts w:ascii="Verdana" w:hAnsi="Verdana" w:cs="Arial"/>
          <w:color w:val="000000" w:themeColor="text1"/>
          <w:sz w:val="16"/>
          <w:szCs w:val="16"/>
        </w:rPr>
        <w:t>En los contratos que celebren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 la buena administración</w:t>
      </w:r>
      <w:r>
        <w:rPr>
          <w:rFonts w:ascii="Verdana" w:hAnsi="Verdana" w:cs="Arial"/>
          <w:color w:val="000000" w:themeColor="text1"/>
          <w:sz w:val="16"/>
          <w:szCs w:val="16"/>
        </w:rPr>
        <w:t>”</w:t>
      </w:r>
      <w:r w:rsidRPr="001F63FC">
        <w:rPr>
          <w:rFonts w:ascii="Verdana" w:hAnsi="Verdana" w:cs="Arial"/>
          <w:color w:val="000000" w:themeColor="text1"/>
          <w:sz w:val="16"/>
          <w:szCs w:val="16"/>
        </w:rPr>
        <w:t xml:space="preserve">. </w:t>
      </w:r>
    </w:p>
  </w:footnote>
  <w:footnote w:id="2">
    <w:p w14:paraId="3CEADA32" w14:textId="77777777" w:rsidR="00606EC1" w:rsidRPr="001F63FC" w:rsidRDefault="00606EC1" w:rsidP="00606EC1">
      <w:pPr>
        <w:pStyle w:val="Textonotapie"/>
        <w:ind w:firstLine="709"/>
        <w:jc w:val="both"/>
        <w:rPr>
          <w:rFonts w:ascii="Verdana" w:hAnsi="Verdana" w:cs="Arial"/>
          <w:color w:val="000000" w:themeColor="text1"/>
          <w:sz w:val="16"/>
          <w:szCs w:val="16"/>
        </w:rPr>
      </w:pPr>
      <w:r w:rsidRPr="001F63FC">
        <w:rPr>
          <w:rStyle w:val="Refdenotaalpie"/>
          <w:rFonts w:ascii="Verdana" w:hAnsi="Verdana" w:cs="Arial"/>
          <w:color w:val="000000" w:themeColor="text1"/>
          <w:sz w:val="16"/>
          <w:szCs w:val="16"/>
        </w:rPr>
        <w:footnoteRef/>
      </w:r>
      <w:r w:rsidRPr="001F63FC">
        <w:rPr>
          <w:rFonts w:ascii="Verdana" w:hAnsi="Verdana" w:cs="Arial"/>
          <w:color w:val="000000" w:themeColor="text1"/>
          <w:sz w:val="16"/>
          <w:szCs w:val="16"/>
        </w:rPr>
        <w:t xml:space="preserve"> Lo anterior, sin desconocer la existencia de reglas que inciden en esta posibilidad, y que en el fondo podrían limitarla, como sería normas de orden presupuestal.</w:t>
      </w:r>
    </w:p>
    <w:p w14:paraId="18C17AA5" w14:textId="77777777" w:rsidR="00606EC1" w:rsidRPr="001F63FC" w:rsidRDefault="00606EC1" w:rsidP="00606EC1">
      <w:pPr>
        <w:pStyle w:val="Textonotapie"/>
        <w:ind w:firstLine="709"/>
        <w:jc w:val="both"/>
        <w:rPr>
          <w:rFonts w:ascii="Verdana" w:hAnsi="Verdana" w:cs="Arial"/>
          <w:color w:val="000000" w:themeColor="text1"/>
          <w:sz w:val="16"/>
          <w:szCs w:val="16"/>
        </w:rPr>
      </w:pPr>
    </w:p>
  </w:footnote>
  <w:footnote w:id="3">
    <w:p w14:paraId="518AD48C" w14:textId="77777777" w:rsidR="00606EC1" w:rsidRPr="001F63FC" w:rsidRDefault="00606EC1" w:rsidP="00606EC1">
      <w:pPr>
        <w:pStyle w:val="Textonotapie"/>
        <w:ind w:firstLine="709"/>
        <w:jc w:val="both"/>
        <w:rPr>
          <w:rFonts w:ascii="Verdana" w:hAnsi="Verdana" w:cs="Arial"/>
          <w:color w:val="000000" w:themeColor="text1"/>
          <w:sz w:val="16"/>
          <w:szCs w:val="16"/>
        </w:rPr>
      </w:pPr>
      <w:r w:rsidRPr="001F63FC">
        <w:rPr>
          <w:rStyle w:val="Refdenotaalpie"/>
          <w:rFonts w:ascii="Verdana" w:hAnsi="Verdana" w:cs="Arial"/>
          <w:color w:val="000000" w:themeColor="text1"/>
          <w:sz w:val="16"/>
          <w:szCs w:val="16"/>
        </w:rPr>
        <w:footnoteRef/>
      </w:r>
      <w:r w:rsidRPr="001F63FC">
        <w:rPr>
          <w:rFonts w:ascii="Verdana" w:hAnsi="Verdana" w:cs="Arial"/>
          <w:color w:val="000000" w:themeColor="text1"/>
          <w:sz w:val="16"/>
          <w:szCs w:val="16"/>
        </w:rPr>
        <w:t xml:space="preserve"> Consejo de Estado. Sección Quinta. </w:t>
      </w:r>
      <w:r w:rsidRPr="001F63FC">
        <w:rPr>
          <w:rFonts w:ascii="Verdana" w:hAnsi="Verdana" w:cs="Arial"/>
          <w:bCs/>
          <w:color w:val="000000" w:themeColor="text1"/>
          <w:sz w:val="16"/>
          <w:szCs w:val="16"/>
        </w:rPr>
        <w:t xml:space="preserve">sentencia del 24 de agosto de 2005. </w:t>
      </w:r>
      <w:r w:rsidRPr="001F63FC">
        <w:rPr>
          <w:rFonts w:ascii="Verdana" w:hAnsi="Verdana" w:cs="Arial"/>
          <w:bCs/>
          <w:color w:val="000000" w:themeColor="text1"/>
          <w:sz w:val="16"/>
          <w:szCs w:val="16"/>
        </w:rPr>
        <w:t xml:space="preserve">exp. </w:t>
      </w:r>
      <w:r w:rsidRPr="001F63FC">
        <w:rPr>
          <w:rFonts w:ascii="Verdana" w:hAnsi="Verdana" w:cs="Arial"/>
          <w:bCs/>
          <w:iCs/>
          <w:color w:val="000000" w:themeColor="text1"/>
          <w:sz w:val="16"/>
          <w:szCs w:val="16"/>
        </w:rPr>
        <w:t>3171A</w:t>
      </w:r>
      <w:r w:rsidRPr="001F63FC">
        <w:rPr>
          <w:rFonts w:ascii="Verdana" w:hAnsi="Verdana" w:cs="Arial"/>
          <w:bCs/>
          <w:color w:val="000000" w:themeColor="text1"/>
          <w:sz w:val="16"/>
          <w:szCs w:val="16"/>
        </w:rPr>
        <w:t>. C.P. Darío Quiñones Pinilla.</w:t>
      </w:r>
    </w:p>
  </w:footnote>
  <w:footnote w:id="4">
    <w:p w14:paraId="5608D912" w14:textId="77777777" w:rsidR="00606EC1" w:rsidRPr="001F63FC" w:rsidRDefault="00606EC1" w:rsidP="00606EC1">
      <w:pPr>
        <w:pStyle w:val="Textonotapie"/>
        <w:ind w:firstLine="709"/>
        <w:jc w:val="both"/>
        <w:rPr>
          <w:rFonts w:ascii="Verdana" w:hAnsi="Verdana" w:cs="Arial"/>
          <w:color w:val="000000" w:themeColor="text1"/>
          <w:sz w:val="16"/>
          <w:szCs w:val="16"/>
        </w:rPr>
      </w:pPr>
      <w:r w:rsidRPr="001F63FC">
        <w:rPr>
          <w:rStyle w:val="Refdenotaalpie"/>
          <w:rFonts w:ascii="Verdana" w:hAnsi="Verdana" w:cs="Arial"/>
          <w:color w:val="000000" w:themeColor="text1"/>
          <w:sz w:val="16"/>
          <w:szCs w:val="16"/>
        </w:rPr>
        <w:footnoteRef/>
      </w:r>
      <w:r w:rsidRPr="001F63FC">
        <w:rPr>
          <w:rFonts w:ascii="Verdana" w:hAnsi="Verdana" w:cs="Arial"/>
          <w:color w:val="000000" w:themeColor="text1"/>
          <w:sz w:val="16"/>
          <w:szCs w:val="16"/>
        </w:rPr>
        <w:t xml:space="preserve"> </w:t>
      </w:r>
      <w:r>
        <w:rPr>
          <w:rFonts w:ascii="Verdana" w:hAnsi="Verdana" w:cs="Arial"/>
          <w:color w:val="000000" w:themeColor="text1"/>
          <w:sz w:val="16"/>
          <w:szCs w:val="16"/>
        </w:rPr>
        <w:t>“</w:t>
      </w:r>
      <w:r w:rsidRPr="001F63FC">
        <w:rPr>
          <w:rFonts w:ascii="Verdana" w:hAnsi="Verdana" w:cs="Arial"/>
          <w:color w:val="000000" w:themeColor="text1"/>
          <w:sz w:val="16"/>
          <w:szCs w:val="16"/>
        </w:rPr>
        <w:t>Art. 58 Las adiciones relacionadas con el valor quedarán perfeccionadas una vez suscrito el contrato y efectuado el registro presupuestal. Las relacionadas con el plazo sólo requerirán la firma del jefe de la entidad contratante y prórroga de las garantías.</w:t>
      </w:r>
    </w:p>
    <w:p w14:paraId="2C7C7C0E" w14:textId="77777777" w:rsidR="00606EC1" w:rsidRPr="001F63FC" w:rsidRDefault="00606EC1" w:rsidP="00606EC1">
      <w:pPr>
        <w:pStyle w:val="Textonotapie"/>
        <w:ind w:firstLine="709"/>
        <w:jc w:val="both"/>
        <w:rPr>
          <w:rFonts w:ascii="Verdana" w:hAnsi="Verdana" w:cs="Arial"/>
          <w:color w:val="000000" w:themeColor="text1"/>
          <w:sz w:val="16"/>
          <w:szCs w:val="16"/>
        </w:rPr>
      </w:pPr>
      <w:r w:rsidRPr="001F63FC">
        <w:rPr>
          <w:rFonts w:ascii="Verdana" w:hAnsi="Verdana" w:cs="Arial"/>
          <w:color w:val="000000" w:themeColor="text1"/>
          <w:sz w:val="16"/>
          <w:szCs w:val="16"/>
        </w:rPr>
        <w:t>Serán requisitos para que pueda iniciarse la ejecución del contrato, la adición, y prórroga de las garantías y el pago de los impuestos correspondientes</w:t>
      </w:r>
      <w:r>
        <w:rPr>
          <w:rFonts w:ascii="Verdana" w:hAnsi="Verdana" w:cs="Arial"/>
          <w:color w:val="000000" w:themeColor="text1"/>
          <w:sz w:val="16"/>
          <w:szCs w:val="16"/>
        </w:rPr>
        <w:t>”</w:t>
      </w:r>
      <w:r w:rsidRPr="001F63FC">
        <w:rPr>
          <w:rFonts w:ascii="Verdana" w:hAnsi="Verdana" w:cs="Arial"/>
          <w:color w:val="000000" w:themeColor="text1"/>
          <w:sz w:val="16"/>
          <w:szCs w:val="16"/>
        </w:rPr>
        <w:t>.</w:t>
      </w:r>
    </w:p>
    <w:p w14:paraId="3EAFE9DF" w14:textId="77777777" w:rsidR="00606EC1" w:rsidRPr="001F63FC" w:rsidRDefault="00606EC1" w:rsidP="00606EC1">
      <w:pPr>
        <w:pStyle w:val="Textonotapie"/>
        <w:ind w:firstLine="709"/>
        <w:jc w:val="both"/>
        <w:rPr>
          <w:rFonts w:ascii="Verdana" w:hAnsi="Verdana" w:cs="Arial"/>
          <w:color w:val="000000" w:themeColor="text1"/>
          <w:sz w:val="16"/>
          <w:szCs w:val="16"/>
        </w:rPr>
      </w:pPr>
    </w:p>
  </w:footnote>
  <w:footnote w:id="5">
    <w:p w14:paraId="7DABE01B" w14:textId="77777777" w:rsidR="00606EC1" w:rsidRPr="001F63FC" w:rsidRDefault="00606EC1" w:rsidP="00606EC1">
      <w:pPr>
        <w:pStyle w:val="Textonotapie"/>
        <w:ind w:firstLine="708"/>
        <w:jc w:val="both"/>
        <w:rPr>
          <w:rFonts w:ascii="Verdana" w:hAnsi="Verdana"/>
          <w:sz w:val="16"/>
          <w:szCs w:val="16"/>
        </w:rPr>
      </w:pPr>
      <w:r w:rsidRPr="001F63FC">
        <w:rPr>
          <w:rStyle w:val="Refdenotaalpie"/>
          <w:rFonts w:ascii="Verdana" w:hAnsi="Verdana"/>
          <w:sz w:val="16"/>
          <w:szCs w:val="16"/>
        </w:rPr>
        <w:footnoteRef/>
      </w:r>
      <w:r w:rsidRPr="001F63FC">
        <w:rPr>
          <w:rFonts w:ascii="Verdana" w:hAnsi="Verdana"/>
          <w:sz w:val="16"/>
          <w:szCs w:val="16"/>
        </w:rPr>
        <w:t xml:space="preserve"> Consejo de Estado. Sala de Consulta y Servicio Civil. Concepto del 6 de ma</w:t>
      </w:r>
      <w:r>
        <w:rPr>
          <w:rFonts w:ascii="Verdana" w:hAnsi="Verdana"/>
          <w:sz w:val="16"/>
          <w:szCs w:val="16"/>
        </w:rPr>
        <w:t>r</w:t>
      </w:r>
      <w:r w:rsidRPr="001F63FC">
        <w:rPr>
          <w:rFonts w:ascii="Verdana" w:hAnsi="Verdana"/>
          <w:sz w:val="16"/>
          <w:szCs w:val="16"/>
        </w:rPr>
        <w:t xml:space="preserve">zo de 2024. </w:t>
      </w:r>
      <w:r w:rsidRPr="001F63FC">
        <w:rPr>
          <w:rFonts w:ascii="Verdana" w:hAnsi="Verdana"/>
          <w:sz w:val="16"/>
          <w:szCs w:val="16"/>
        </w:rPr>
        <w:t>Exp. 2512. C.P. Óscar Darío Amaya Navas</w:t>
      </w:r>
    </w:p>
  </w:footnote>
  <w:footnote w:id="6">
    <w:p w14:paraId="45C172AE" w14:textId="77777777" w:rsidR="00606EC1" w:rsidRPr="001F63FC" w:rsidRDefault="00606EC1" w:rsidP="00606EC1">
      <w:pPr>
        <w:pStyle w:val="Textonotapie"/>
        <w:ind w:firstLine="709"/>
        <w:jc w:val="both"/>
        <w:rPr>
          <w:rFonts w:ascii="Verdana" w:hAnsi="Verdana"/>
          <w:sz w:val="16"/>
          <w:szCs w:val="16"/>
          <w:lang w:val="es-CO"/>
        </w:rPr>
      </w:pPr>
      <w:r w:rsidRPr="001F63FC">
        <w:rPr>
          <w:rStyle w:val="Refdenotaalpie"/>
          <w:rFonts w:ascii="Verdana" w:hAnsi="Verdana"/>
          <w:sz w:val="16"/>
          <w:szCs w:val="16"/>
        </w:rPr>
        <w:footnoteRef/>
      </w:r>
      <w:r w:rsidRPr="001F63FC">
        <w:rPr>
          <w:rFonts w:ascii="Verdana" w:hAnsi="Verdana"/>
          <w:sz w:val="16"/>
          <w:szCs w:val="16"/>
        </w:rPr>
        <w:t xml:space="preserve"> Consejo de Estado. Sala de Consulta y Servicio. Concepto del 17 de marzo de 2016. Radicado No. 11001-03-06-000-2015-00128-00 (2.263). C.P: Edgar González López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8613BFD"/>
    <w:multiLevelType w:val="hybridMultilevel"/>
    <w:tmpl w:val="47562414"/>
    <w:lvl w:ilvl="0" w:tplc="240A0015">
      <w:start w:val="8"/>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075157B"/>
    <w:multiLevelType w:val="hybridMultilevel"/>
    <w:tmpl w:val="141E3880"/>
    <w:lvl w:ilvl="0" w:tplc="B73E7620">
      <w:start w:val="24"/>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A00411A"/>
    <w:multiLevelType w:val="hybridMultilevel"/>
    <w:tmpl w:val="EC9CE04A"/>
    <w:lvl w:ilvl="0" w:tplc="0FC8A92E">
      <w:start w:val="2"/>
      <w:numFmt w:val="lowerRoman"/>
      <w:lvlText w:val="%1."/>
      <w:lvlJc w:val="left"/>
      <w:pPr>
        <w:ind w:left="1080" w:hanging="720"/>
      </w:pPr>
      <w:rPr>
        <w:rFonts w:eastAsia="Arial"/>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FC6F58"/>
    <w:multiLevelType w:val="hybridMultilevel"/>
    <w:tmpl w:val="AD226C04"/>
    <w:lvl w:ilvl="0" w:tplc="44AE12E2">
      <w:start w:val="5"/>
      <w:numFmt w:val="upp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6"/>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1"/>
  </w:num>
  <w:num w:numId="13" w16cid:durableId="1512908409">
    <w:abstractNumId w:val="3"/>
  </w:num>
  <w:num w:numId="14" w16cid:durableId="895897244">
    <w:abstractNumId w:val="17"/>
  </w:num>
  <w:num w:numId="15" w16cid:durableId="390349800">
    <w:abstractNumId w:val="12"/>
  </w:num>
  <w:num w:numId="16" w16cid:durableId="1423180700">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79089576">
    <w:abstractNumId w:val="10"/>
  </w:num>
  <w:num w:numId="18" w16cid:durableId="1548419692">
    <w:abstractNumId w:val="18"/>
  </w:num>
  <w:num w:numId="19" w16cid:durableId="1443304022">
    <w:abstractNumId w:val="4"/>
  </w:num>
  <w:num w:numId="20" w16cid:durableId="501051064">
    <w:abstractNumId w:val="11"/>
  </w:num>
  <w:num w:numId="21" w16cid:durableId="2069454684">
    <w:abstractNumId w:val="1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36E"/>
    <w:rsid w:val="000146DF"/>
    <w:rsid w:val="00016F78"/>
    <w:rsid w:val="00024F01"/>
    <w:rsid w:val="00027813"/>
    <w:rsid w:val="000349AC"/>
    <w:rsid w:val="00035277"/>
    <w:rsid w:val="0004689D"/>
    <w:rsid w:val="00046945"/>
    <w:rsid w:val="00061B2A"/>
    <w:rsid w:val="00082362"/>
    <w:rsid w:val="00084172"/>
    <w:rsid w:val="000A079B"/>
    <w:rsid w:val="000A683E"/>
    <w:rsid w:val="000B19B9"/>
    <w:rsid w:val="000C332B"/>
    <w:rsid w:val="000D0334"/>
    <w:rsid w:val="000D5DA7"/>
    <w:rsid w:val="000E4057"/>
    <w:rsid w:val="000F6486"/>
    <w:rsid w:val="00116940"/>
    <w:rsid w:val="00125105"/>
    <w:rsid w:val="00127233"/>
    <w:rsid w:val="00127972"/>
    <w:rsid w:val="00150111"/>
    <w:rsid w:val="00153353"/>
    <w:rsid w:val="0015699B"/>
    <w:rsid w:val="00161609"/>
    <w:rsid w:val="00165C37"/>
    <w:rsid w:val="0019068D"/>
    <w:rsid w:val="001A33BF"/>
    <w:rsid w:val="001A7824"/>
    <w:rsid w:val="001A7E2C"/>
    <w:rsid w:val="001C3ED5"/>
    <w:rsid w:val="001E1262"/>
    <w:rsid w:val="001E4177"/>
    <w:rsid w:val="001F0B24"/>
    <w:rsid w:val="001F63FC"/>
    <w:rsid w:val="001F680F"/>
    <w:rsid w:val="001F7DC6"/>
    <w:rsid w:val="002000F7"/>
    <w:rsid w:val="0021137F"/>
    <w:rsid w:val="0022017D"/>
    <w:rsid w:val="00220F6B"/>
    <w:rsid w:val="0022400B"/>
    <w:rsid w:val="0022550C"/>
    <w:rsid w:val="00233B9C"/>
    <w:rsid w:val="002421BB"/>
    <w:rsid w:val="00244269"/>
    <w:rsid w:val="0025796E"/>
    <w:rsid w:val="002639D4"/>
    <w:rsid w:val="00270196"/>
    <w:rsid w:val="002707A2"/>
    <w:rsid w:val="002725F0"/>
    <w:rsid w:val="00274118"/>
    <w:rsid w:val="00275010"/>
    <w:rsid w:val="00276FF6"/>
    <w:rsid w:val="002875B8"/>
    <w:rsid w:val="00293F4B"/>
    <w:rsid w:val="002951A0"/>
    <w:rsid w:val="002962BC"/>
    <w:rsid w:val="002A093D"/>
    <w:rsid w:val="002A0DD0"/>
    <w:rsid w:val="002A49AC"/>
    <w:rsid w:val="002A64FD"/>
    <w:rsid w:val="002C03A2"/>
    <w:rsid w:val="002C23F8"/>
    <w:rsid w:val="002C7A84"/>
    <w:rsid w:val="002D29B9"/>
    <w:rsid w:val="002D2C86"/>
    <w:rsid w:val="002E2BF8"/>
    <w:rsid w:val="002E4FD9"/>
    <w:rsid w:val="002E6CB2"/>
    <w:rsid w:val="002F29AE"/>
    <w:rsid w:val="002F2A0B"/>
    <w:rsid w:val="00303ED1"/>
    <w:rsid w:val="0030657A"/>
    <w:rsid w:val="00322A85"/>
    <w:rsid w:val="003238BF"/>
    <w:rsid w:val="00324168"/>
    <w:rsid w:val="00326AB1"/>
    <w:rsid w:val="00330834"/>
    <w:rsid w:val="003331C4"/>
    <w:rsid w:val="003448F4"/>
    <w:rsid w:val="0034703D"/>
    <w:rsid w:val="00360595"/>
    <w:rsid w:val="00360B79"/>
    <w:rsid w:val="00363D30"/>
    <w:rsid w:val="00365927"/>
    <w:rsid w:val="0036678F"/>
    <w:rsid w:val="003670C2"/>
    <w:rsid w:val="00370B70"/>
    <w:rsid w:val="00374F5E"/>
    <w:rsid w:val="00377E3E"/>
    <w:rsid w:val="00386570"/>
    <w:rsid w:val="003878B5"/>
    <w:rsid w:val="003918F6"/>
    <w:rsid w:val="003944CC"/>
    <w:rsid w:val="00397B7B"/>
    <w:rsid w:val="003A779E"/>
    <w:rsid w:val="003B4708"/>
    <w:rsid w:val="003D0F4D"/>
    <w:rsid w:val="003D3181"/>
    <w:rsid w:val="003D5757"/>
    <w:rsid w:val="003D5B0D"/>
    <w:rsid w:val="003D7AEC"/>
    <w:rsid w:val="003E0499"/>
    <w:rsid w:val="003E406E"/>
    <w:rsid w:val="003E4F80"/>
    <w:rsid w:val="003E6439"/>
    <w:rsid w:val="003F035E"/>
    <w:rsid w:val="003F3941"/>
    <w:rsid w:val="00402491"/>
    <w:rsid w:val="00406575"/>
    <w:rsid w:val="004070F5"/>
    <w:rsid w:val="00414C74"/>
    <w:rsid w:val="00421605"/>
    <w:rsid w:val="004234B5"/>
    <w:rsid w:val="0042722E"/>
    <w:rsid w:val="0043201C"/>
    <w:rsid w:val="0044528D"/>
    <w:rsid w:val="00461FF9"/>
    <w:rsid w:val="00464FBA"/>
    <w:rsid w:val="00466E39"/>
    <w:rsid w:val="0046741E"/>
    <w:rsid w:val="00467686"/>
    <w:rsid w:val="004929E6"/>
    <w:rsid w:val="00493741"/>
    <w:rsid w:val="004A1847"/>
    <w:rsid w:val="004A305D"/>
    <w:rsid w:val="004C77D8"/>
    <w:rsid w:val="004E6E79"/>
    <w:rsid w:val="004F1ACE"/>
    <w:rsid w:val="004F21C4"/>
    <w:rsid w:val="004F4540"/>
    <w:rsid w:val="004F685F"/>
    <w:rsid w:val="0051250C"/>
    <w:rsid w:val="00521174"/>
    <w:rsid w:val="00521C7B"/>
    <w:rsid w:val="005263DE"/>
    <w:rsid w:val="00526B12"/>
    <w:rsid w:val="00541001"/>
    <w:rsid w:val="005412E9"/>
    <w:rsid w:val="00547E7D"/>
    <w:rsid w:val="005566E8"/>
    <w:rsid w:val="00564C5A"/>
    <w:rsid w:val="00574867"/>
    <w:rsid w:val="00582908"/>
    <w:rsid w:val="00586DAE"/>
    <w:rsid w:val="00591460"/>
    <w:rsid w:val="00593E09"/>
    <w:rsid w:val="005A65E0"/>
    <w:rsid w:val="005B358E"/>
    <w:rsid w:val="005C3777"/>
    <w:rsid w:val="005C5CDC"/>
    <w:rsid w:val="005D476C"/>
    <w:rsid w:val="005D6D53"/>
    <w:rsid w:val="00606EC1"/>
    <w:rsid w:val="00607139"/>
    <w:rsid w:val="0061176B"/>
    <w:rsid w:val="0061253C"/>
    <w:rsid w:val="006200BF"/>
    <w:rsid w:val="006219F8"/>
    <w:rsid w:val="006302F7"/>
    <w:rsid w:val="00630780"/>
    <w:rsid w:val="00631F86"/>
    <w:rsid w:val="00636A2F"/>
    <w:rsid w:val="00641465"/>
    <w:rsid w:val="00646B9F"/>
    <w:rsid w:val="0064714F"/>
    <w:rsid w:val="0064758F"/>
    <w:rsid w:val="00661EC4"/>
    <w:rsid w:val="00665D70"/>
    <w:rsid w:val="006822B2"/>
    <w:rsid w:val="006900D9"/>
    <w:rsid w:val="00694EA9"/>
    <w:rsid w:val="00697766"/>
    <w:rsid w:val="006B05E9"/>
    <w:rsid w:val="006F7567"/>
    <w:rsid w:val="007028CC"/>
    <w:rsid w:val="00702EF4"/>
    <w:rsid w:val="00706AAE"/>
    <w:rsid w:val="00706C16"/>
    <w:rsid w:val="00711525"/>
    <w:rsid w:val="007340C3"/>
    <w:rsid w:val="0075235A"/>
    <w:rsid w:val="00752E64"/>
    <w:rsid w:val="007548BE"/>
    <w:rsid w:val="00756841"/>
    <w:rsid w:val="00763D3E"/>
    <w:rsid w:val="007649AB"/>
    <w:rsid w:val="0077191F"/>
    <w:rsid w:val="00771D0C"/>
    <w:rsid w:val="00772CC9"/>
    <w:rsid w:val="00772DFF"/>
    <w:rsid w:val="0077468F"/>
    <w:rsid w:val="007758A4"/>
    <w:rsid w:val="00777BC8"/>
    <w:rsid w:val="007833AC"/>
    <w:rsid w:val="007B268C"/>
    <w:rsid w:val="007B6029"/>
    <w:rsid w:val="007B7171"/>
    <w:rsid w:val="007C0C0F"/>
    <w:rsid w:val="007C3DC2"/>
    <w:rsid w:val="007C46A7"/>
    <w:rsid w:val="007D0A82"/>
    <w:rsid w:val="007E5497"/>
    <w:rsid w:val="007F531D"/>
    <w:rsid w:val="007F5448"/>
    <w:rsid w:val="00806F5F"/>
    <w:rsid w:val="008118B0"/>
    <w:rsid w:val="00820278"/>
    <w:rsid w:val="008258C9"/>
    <w:rsid w:val="008302D2"/>
    <w:rsid w:val="00844AE9"/>
    <w:rsid w:val="0085447D"/>
    <w:rsid w:val="00867F95"/>
    <w:rsid w:val="00881680"/>
    <w:rsid w:val="00882404"/>
    <w:rsid w:val="008843B6"/>
    <w:rsid w:val="00891928"/>
    <w:rsid w:val="00895125"/>
    <w:rsid w:val="00897730"/>
    <w:rsid w:val="008A446D"/>
    <w:rsid w:val="008B25F1"/>
    <w:rsid w:val="008B4354"/>
    <w:rsid w:val="008C7BEF"/>
    <w:rsid w:val="008D180B"/>
    <w:rsid w:val="008D47C5"/>
    <w:rsid w:val="008E595B"/>
    <w:rsid w:val="008F0EA7"/>
    <w:rsid w:val="008F2A2E"/>
    <w:rsid w:val="008F5FB8"/>
    <w:rsid w:val="008F64E6"/>
    <w:rsid w:val="00923EEF"/>
    <w:rsid w:val="00925EE0"/>
    <w:rsid w:val="00927D41"/>
    <w:rsid w:val="00933DA9"/>
    <w:rsid w:val="009368BF"/>
    <w:rsid w:val="00936EAA"/>
    <w:rsid w:val="00940B9F"/>
    <w:rsid w:val="009419F9"/>
    <w:rsid w:val="00944DC0"/>
    <w:rsid w:val="00954027"/>
    <w:rsid w:val="0095685E"/>
    <w:rsid w:val="00961B09"/>
    <w:rsid w:val="00965334"/>
    <w:rsid w:val="00967EDE"/>
    <w:rsid w:val="0097039D"/>
    <w:rsid w:val="0097093E"/>
    <w:rsid w:val="0098051C"/>
    <w:rsid w:val="00981292"/>
    <w:rsid w:val="00981DC4"/>
    <w:rsid w:val="00982539"/>
    <w:rsid w:val="009A0DFA"/>
    <w:rsid w:val="009A1C6F"/>
    <w:rsid w:val="009B2D26"/>
    <w:rsid w:val="009C71FA"/>
    <w:rsid w:val="009C72E7"/>
    <w:rsid w:val="009C7F7E"/>
    <w:rsid w:val="009D3058"/>
    <w:rsid w:val="009D3F40"/>
    <w:rsid w:val="009E0655"/>
    <w:rsid w:val="009E4DC8"/>
    <w:rsid w:val="009E7A0F"/>
    <w:rsid w:val="009F0CF9"/>
    <w:rsid w:val="009F3A13"/>
    <w:rsid w:val="009F3BCC"/>
    <w:rsid w:val="00A122D3"/>
    <w:rsid w:val="00A14468"/>
    <w:rsid w:val="00A147C1"/>
    <w:rsid w:val="00A15EAF"/>
    <w:rsid w:val="00A15FBB"/>
    <w:rsid w:val="00A17F13"/>
    <w:rsid w:val="00A20739"/>
    <w:rsid w:val="00A23718"/>
    <w:rsid w:val="00A23AF9"/>
    <w:rsid w:val="00A249AE"/>
    <w:rsid w:val="00A27B80"/>
    <w:rsid w:val="00A33C78"/>
    <w:rsid w:val="00A35B7C"/>
    <w:rsid w:val="00A57F0E"/>
    <w:rsid w:val="00A63931"/>
    <w:rsid w:val="00AA066C"/>
    <w:rsid w:val="00AB0ADB"/>
    <w:rsid w:val="00AB0D7F"/>
    <w:rsid w:val="00AC73A0"/>
    <w:rsid w:val="00AD46FE"/>
    <w:rsid w:val="00AD5961"/>
    <w:rsid w:val="00AE3A36"/>
    <w:rsid w:val="00AF2F13"/>
    <w:rsid w:val="00AF7F98"/>
    <w:rsid w:val="00B00C0E"/>
    <w:rsid w:val="00B01B1A"/>
    <w:rsid w:val="00B0381D"/>
    <w:rsid w:val="00B04B11"/>
    <w:rsid w:val="00B06EDB"/>
    <w:rsid w:val="00B44A47"/>
    <w:rsid w:val="00B46005"/>
    <w:rsid w:val="00B65134"/>
    <w:rsid w:val="00B6737E"/>
    <w:rsid w:val="00B72CD3"/>
    <w:rsid w:val="00B72FFF"/>
    <w:rsid w:val="00BA5B12"/>
    <w:rsid w:val="00BC3D36"/>
    <w:rsid w:val="00BD54A6"/>
    <w:rsid w:val="00BD7F72"/>
    <w:rsid w:val="00BE016C"/>
    <w:rsid w:val="00BE1548"/>
    <w:rsid w:val="00BF7425"/>
    <w:rsid w:val="00BF7CC1"/>
    <w:rsid w:val="00C02042"/>
    <w:rsid w:val="00C0258E"/>
    <w:rsid w:val="00C04FB3"/>
    <w:rsid w:val="00C11D8B"/>
    <w:rsid w:val="00C15139"/>
    <w:rsid w:val="00C25118"/>
    <w:rsid w:val="00C25191"/>
    <w:rsid w:val="00C30AAF"/>
    <w:rsid w:val="00C330EB"/>
    <w:rsid w:val="00C50D69"/>
    <w:rsid w:val="00C5365C"/>
    <w:rsid w:val="00C54D39"/>
    <w:rsid w:val="00C57F16"/>
    <w:rsid w:val="00C62E26"/>
    <w:rsid w:val="00C64141"/>
    <w:rsid w:val="00C754BE"/>
    <w:rsid w:val="00C7596E"/>
    <w:rsid w:val="00C76B1C"/>
    <w:rsid w:val="00C925AC"/>
    <w:rsid w:val="00CA4A47"/>
    <w:rsid w:val="00CB5E7E"/>
    <w:rsid w:val="00CB6357"/>
    <w:rsid w:val="00CC1B26"/>
    <w:rsid w:val="00CC3A2D"/>
    <w:rsid w:val="00CC5C2A"/>
    <w:rsid w:val="00CD30F1"/>
    <w:rsid w:val="00CE46CA"/>
    <w:rsid w:val="00CF00DC"/>
    <w:rsid w:val="00D13C05"/>
    <w:rsid w:val="00D14274"/>
    <w:rsid w:val="00D17A30"/>
    <w:rsid w:val="00D2442C"/>
    <w:rsid w:val="00D361FD"/>
    <w:rsid w:val="00D414CD"/>
    <w:rsid w:val="00D423A2"/>
    <w:rsid w:val="00D44E26"/>
    <w:rsid w:val="00D45947"/>
    <w:rsid w:val="00D520D8"/>
    <w:rsid w:val="00D54617"/>
    <w:rsid w:val="00D63AC2"/>
    <w:rsid w:val="00D7383B"/>
    <w:rsid w:val="00D7788A"/>
    <w:rsid w:val="00D87F46"/>
    <w:rsid w:val="00D946E2"/>
    <w:rsid w:val="00DA231B"/>
    <w:rsid w:val="00DA3B16"/>
    <w:rsid w:val="00DA7AB3"/>
    <w:rsid w:val="00DC1206"/>
    <w:rsid w:val="00DC39FC"/>
    <w:rsid w:val="00DC3C66"/>
    <w:rsid w:val="00DC5A47"/>
    <w:rsid w:val="00DE4314"/>
    <w:rsid w:val="00DF5080"/>
    <w:rsid w:val="00DF5254"/>
    <w:rsid w:val="00E02524"/>
    <w:rsid w:val="00E02BBC"/>
    <w:rsid w:val="00E102B7"/>
    <w:rsid w:val="00E10D5F"/>
    <w:rsid w:val="00E13946"/>
    <w:rsid w:val="00E16408"/>
    <w:rsid w:val="00E17A96"/>
    <w:rsid w:val="00E20894"/>
    <w:rsid w:val="00E245AB"/>
    <w:rsid w:val="00E25247"/>
    <w:rsid w:val="00E26FBC"/>
    <w:rsid w:val="00E2764C"/>
    <w:rsid w:val="00E27F2E"/>
    <w:rsid w:val="00E45AE9"/>
    <w:rsid w:val="00E46F18"/>
    <w:rsid w:val="00E50AFE"/>
    <w:rsid w:val="00E5643F"/>
    <w:rsid w:val="00E61736"/>
    <w:rsid w:val="00E662BD"/>
    <w:rsid w:val="00E759B2"/>
    <w:rsid w:val="00E75C92"/>
    <w:rsid w:val="00E771DC"/>
    <w:rsid w:val="00E8772A"/>
    <w:rsid w:val="00E906B3"/>
    <w:rsid w:val="00E90F6B"/>
    <w:rsid w:val="00E92C27"/>
    <w:rsid w:val="00EA0E3D"/>
    <w:rsid w:val="00EB0917"/>
    <w:rsid w:val="00EB525A"/>
    <w:rsid w:val="00EC2576"/>
    <w:rsid w:val="00EC38A7"/>
    <w:rsid w:val="00ED1A98"/>
    <w:rsid w:val="00EE1AA8"/>
    <w:rsid w:val="00EE267D"/>
    <w:rsid w:val="00EE28A2"/>
    <w:rsid w:val="00F1223D"/>
    <w:rsid w:val="00F149B6"/>
    <w:rsid w:val="00F23FEA"/>
    <w:rsid w:val="00F31EDC"/>
    <w:rsid w:val="00F3720D"/>
    <w:rsid w:val="00F462B3"/>
    <w:rsid w:val="00F46C94"/>
    <w:rsid w:val="00F50690"/>
    <w:rsid w:val="00F55E7F"/>
    <w:rsid w:val="00F5664F"/>
    <w:rsid w:val="00F61691"/>
    <w:rsid w:val="00F666C4"/>
    <w:rsid w:val="00F707D2"/>
    <w:rsid w:val="00F74750"/>
    <w:rsid w:val="00F76AFC"/>
    <w:rsid w:val="00F90DA9"/>
    <w:rsid w:val="00FA1567"/>
    <w:rsid w:val="00FA47C0"/>
    <w:rsid w:val="00FB3F10"/>
    <w:rsid w:val="00FB5DD1"/>
    <w:rsid w:val="00FC01C6"/>
    <w:rsid w:val="00FC2B5D"/>
    <w:rsid w:val="00FC4175"/>
    <w:rsid w:val="00FD57B4"/>
    <w:rsid w:val="00FE0A59"/>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7468F"/>
    <w:rPr>
      <w:rFonts w:ascii="Geomanist Light" w:hAnsi="Geomanist Light"/>
      <w:lang w:val="es-ES"/>
    </w:rPr>
  </w:style>
  <w:style w:type="paragraph" w:customStyle="1" w:styleId="Appelnotedebasde">
    <w:name w:val="Appel note de bas de..."/>
    <w:basedOn w:val="Normal"/>
    <w:link w:val="Refdenotaalpie"/>
    <w:uiPriority w:val="99"/>
    <w:rsid w:val="0077468F"/>
    <w:pPr>
      <w:spacing w:line="240" w:lineRule="exact"/>
    </w:pPr>
    <w:rPr>
      <w:vertAlign w:val="superscript"/>
    </w:rPr>
  </w:style>
  <w:style w:type="paragraph" w:styleId="Textoindependiente">
    <w:name w:val="Body Text"/>
    <w:basedOn w:val="Normal"/>
    <w:link w:val="TextoindependienteCar"/>
    <w:uiPriority w:val="99"/>
    <w:unhideWhenUsed/>
    <w:rsid w:val="0077468F"/>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77468F"/>
    <w:rPr>
      <w:rFonts w:eastAsiaTheme="minorEastAsia"/>
      <w:lang w:eastAsia="es-CO"/>
    </w:rPr>
  </w:style>
  <w:style w:type="table" w:customStyle="1" w:styleId="Tablaconcuadrcula1">
    <w:name w:val="Tabla con cuadrícula1"/>
    <w:basedOn w:val="Tablanormal"/>
    <w:next w:val="Tablaconcuadrcula"/>
    <w:uiPriority w:val="39"/>
    <w:qFormat/>
    <w:rsid w:val="0077468F"/>
    <w:pPr>
      <w:spacing w:after="0" w:line="240" w:lineRule="auto"/>
    </w:pPr>
    <w:tblPr/>
  </w:style>
  <w:style w:type="character" w:customStyle="1" w:styleId="NormalWebCar">
    <w:name w:val="Normal (Web) Car"/>
    <w:link w:val="NormalWeb"/>
    <w:uiPriority w:val="99"/>
    <w:rsid w:val="0077468F"/>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895125"/>
    <w:rPr>
      <w:sz w:val="16"/>
      <w:szCs w:val="16"/>
    </w:rPr>
  </w:style>
  <w:style w:type="paragraph" w:styleId="Textocomentario">
    <w:name w:val="annotation text"/>
    <w:basedOn w:val="Normal"/>
    <w:link w:val="TextocomentarioCar"/>
    <w:uiPriority w:val="99"/>
    <w:unhideWhenUsed/>
    <w:rsid w:val="00895125"/>
    <w:pPr>
      <w:spacing w:line="240" w:lineRule="auto"/>
    </w:pPr>
    <w:rPr>
      <w:sz w:val="20"/>
      <w:szCs w:val="20"/>
    </w:rPr>
  </w:style>
  <w:style w:type="character" w:customStyle="1" w:styleId="TextocomentarioCar">
    <w:name w:val="Texto comentario Car"/>
    <w:basedOn w:val="Fuentedeprrafopredeter"/>
    <w:link w:val="Textocomentario"/>
    <w:uiPriority w:val="99"/>
    <w:rsid w:val="00895125"/>
    <w:rPr>
      <w:sz w:val="20"/>
      <w:szCs w:val="20"/>
    </w:rPr>
  </w:style>
  <w:style w:type="paragraph" w:styleId="Asuntodelcomentario">
    <w:name w:val="annotation subject"/>
    <w:basedOn w:val="Textocomentario"/>
    <w:next w:val="Textocomentario"/>
    <w:link w:val="AsuntodelcomentarioCar"/>
    <w:uiPriority w:val="99"/>
    <w:semiHidden/>
    <w:unhideWhenUsed/>
    <w:rsid w:val="00895125"/>
    <w:rPr>
      <w:b/>
      <w:bCs/>
    </w:rPr>
  </w:style>
  <w:style w:type="character" w:customStyle="1" w:styleId="AsuntodelcomentarioCar">
    <w:name w:val="Asunto del comentario Car"/>
    <w:basedOn w:val="TextocomentarioCar"/>
    <w:link w:val="Asuntodelcomentario"/>
    <w:uiPriority w:val="99"/>
    <w:semiHidden/>
    <w:rsid w:val="00895125"/>
    <w:rPr>
      <w:b/>
      <w:bCs/>
      <w:sz w:val="20"/>
      <w:szCs w:val="20"/>
    </w:rPr>
  </w:style>
  <w:style w:type="paragraph" w:customStyle="1" w:styleId="pf0">
    <w:name w:val="pf0"/>
    <w:basedOn w:val="Normal"/>
    <w:rsid w:val="00895125"/>
    <w:pPr>
      <w:spacing w:before="100" w:beforeAutospacing="1" w:after="100" w:afterAutospacing="1" w:line="240" w:lineRule="auto"/>
    </w:pPr>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cristian_castro@bancopopular.com.c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57296969-AEAD-425B-B6C2-25C9C2BA8558}">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81C49B30-1E82-4E30-B395-3B211EB940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12</Pages>
  <Words>3780</Words>
  <Characters>20796</Characters>
  <Application>Microsoft Office Word</Application>
  <DocSecurity>0</DocSecurity>
  <Lines>173</Lines>
  <Paragraphs>49</Paragraphs>
  <ScaleCrop>false</ScaleCrop>
  <Company/>
  <LinksUpToDate>false</LinksUpToDate>
  <CharactersWithSpaces>24527</CharactersWithSpaces>
  <SharedDoc>false</SharedDoc>
  <HLinks>
    <vt:vector size="36" baseType="variant">
      <vt:variant>
        <vt:i4>3276900</vt:i4>
      </vt:variant>
      <vt:variant>
        <vt:i4>12</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9</vt:i4>
      </vt:variant>
      <vt:variant>
        <vt:i4>0</vt:i4>
      </vt:variant>
      <vt:variant>
        <vt:i4>5</vt:i4>
      </vt:variant>
      <vt:variant>
        <vt:lpwstr>https://relatoria.colombiacompra.gov.co/busqueda/conceptos</vt:lpwstr>
      </vt:variant>
      <vt:variant>
        <vt:lpwstr/>
      </vt:variant>
      <vt:variant>
        <vt:i4>65617</vt:i4>
      </vt:variant>
      <vt:variant>
        <vt:i4>6</vt:i4>
      </vt:variant>
      <vt:variant>
        <vt:i4>0</vt:i4>
      </vt:variant>
      <vt:variant>
        <vt:i4>5</vt:i4>
      </vt:variant>
      <vt:variant>
        <vt:lpwstr>https://www.colombiacompra.gov.co/archivos/manual/manual-para-determinar-y-verificar-los-requisitos-habilitantes-en-los-procesos-de-contratacion</vt:lpwstr>
      </vt:variant>
      <vt:variant>
        <vt:lpwstr/>
      </vt:variant>
      <vt:variant>
        <vt:i4>6684780</vt:i4>
      </vt:variant>
      <vt:variant>
        <vt:i4>3</vt:i4>
      </vt:variant>
      <vt:variant>
        <vt:i4>0</vt:i4>
      </vt:variant>
      <vt:variant>
        <vt:i4>5</vt:i4>
      </vt:variant>
      <vt:variant>
        <vt:lpwstr>https://www.colombiacompra.gov.co/archivos/manual/guia-para-determinar-y-verificar-la-capacidad-residual-del-proponente-en-los-procesos-de-contratacion-de-obra-publica</vt:lpwstr>
      </vt:variant>
      <vt:variant>
        <vt:lpwstr/>
      </vt:variant>
      <vt:variant>
        <vt:i4>1245235</vt:i4>
      </vt:variant>
      <vt:variant>
        <vt:i4>0</vt:i4>
      </vt:variant>
      <vt:variant>
        <vt:i4>0</vt:i4>
      </vt:variant>
      <vt:variant>
        <vt:i4>5</vt:i4>
      </vt:variant>
      <vt:variant>
        <vt:lpwstr>mailto:ayalgarrav@gmail.com</vt:lpwstr>
      </vt:variant>
      <vt:variant>
        <vt:lpwstr/>
      </vt:variant>
      <vt:variant>
        <vt:i4>65617</vt:i4>
      </vt:variant>
      <vt:variant>
        <vt:i4>0</vt:i4>
      </vt:variant>
      <vt:variant>
        <vt:i4>0</vt:i4>
      </vt:variant>
      <vt:variant>
        <vt:i4>5</vt:i4>
      </vt:variant>
      <vt:variant>
        <vt:lpwstr>https://www.colombiacompra.gov.co/archivos/manual/manual-para-determinar-y-verificar-los-requisitos-habilitantes-en-los-procesos-de-contratacion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2026-06-25T19:08:00Z</dcterms:created>
  <dcterms:modified xsi:type="dcterms:W3CDTF">2026-06-25T21:15:00Z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