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CD95D" w14:textId="77777777" w:rsidR="00D6006F" w:rsidRPr="00817382" w:rsidRDefault="00D6006F" w:rsidP="00D6006F">
      <w:pPr>
        <w:tabs>
          <w:tab w:val="left" w:pos="709"/>
        </w:tabs>
        <w:spacing w:after="0" w:line="240" w:lineRule="auto"/>
        <w:jc w:val="both"/>
        <w:rPr>
          <w:rFonts w:ascii="Verdana" w:eastAsia="Calibri" w:hAnsi="Verdana" w:cs="Arial"/>
          <w:bCs/>
          <w:sz w:val="20"/>
          <w:szCs w:val="20"/>
          <w:lang w:val="es-ES_tradnl" w:eastAsia="es-ES_tradnl"/>
        </w:rPr>
      </w:pPr>
    </w:p>
    <w:p w14:paraId="63AB9016" w14:textId="77777777" w:rsidR="00D6006F" w:rsidRPr="00817382" w:rsidRDefault="00D6006F" w:rsidP="00D6006F">
      <w:pPr>
        <w:spacing w:after="0" w:line="240" w:lineRule="auto"/>
        <w:jc w:val="both"/>
        <w:rPr>
          <w:rFonts w:ascii="Verdana" w:eastAsia="Calibri" w:hAnsi="Verdana" w:cs="Arial"/>
          <w:b/>
          <w:color w:val="000000" w:themeColor="text1"/>
          <w:lang w:val="es-ES_tradnl"/>
        </w:rPr>
      </w:pPr>
      <w:r w:rsidRPr="00817382">
        <w:rPr>
          <w:rFonts w:ascii="Verdana" w:eastAsia="Calibri" w:hAnsi="Verdana" w:cs="Arial"/>
          <w:b/>
          <w:color w:val="000000" w:themeColor="text1"/>
          <w:lang w:val="es-ES_tradnl"/>
        </w:rPr>
        <w:t xml:space="preserve">EGCAP – Ámbito de aplicación – Entidades estatales </w:t>
      </w:r>
    </w:p>
    <w:p w14:paraId="47C38AE3" w14:textId="77777777" w:rsidR="00D6006F" w:rsidRPr="00817382" w:rsidRDefault="00D6006F" w:rsidP="00D6006F">
      <w:pPr>
        <w:spacing w:after="0" w:line="240" w:lineRule="auto"/>
        <w:jc w:val="both"/>
        <w:rPr>
          <w:rFonts w:ascii="Verdana" w:eastAsia="Calibri" w:hAnsi="Verdana" w:cs="Arial"/>
          <w:bCs/>
          <w:color w:val="000000" w:themeColor="text1"/>
          <w:sz w:val="20"/>
          <w:szCs w:val="20"/>
          <w:lang w:val="es-ES_tradnl"/>
        </w:rPr>
      </w:pPr>
    </w:p>
    <w:p w14:paraId="33B3F9B6" w14:textId="77777777" w:rsidR="00D6006F" w:rsidRPr="00817382" w:rsidRDefault="00D6006F" w:rsidP="00D6006F">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817382">
        <w:rPr>
          <w:rFonts w:ascii="Verdana" w:eastAsia="Calibri" w:hAnsi="Verdana" w:cs="Arial"/>
          <w:bCs/>
          <w:i/>
          <w:iCs/>
          <w:color w:val="000000" w:themeColor="text1"/>
          <w:sz w:val="20"/>
          <w:szCs w:val="20"/>
          <w:lang w:val="es-ES_tradnl" w:eastAsia="es-ES_tradnl"/>
        </w:rPr>
        <w:t>entidades estatales</w:t>
      </w:r>
      <w:r w:rsidRPr="00817382">
        <w:rPr>
          <w:rFonts w:ascii="Verdana" w:eastAsia="Calibri" w:hAnsi="Verdana" w:cs="Arial"/>
          <w:bCs/>
          <w:color w:val="000000" w:themeColor="text1"/>
          <w:sz w:val="20"/>
          <w:szCs w:val="20"/>
          <w:lang w:val="es-ES_tradnl" w:eastAsia="es-ES_tradnl"/>
        </w:rPr>
        <w:t xml:space="preserve">, esto es, aquellas previstas en los literales a) y b) del numeral 1 del artículo 2 </w:t>
      </w:r>
      <w:r w:rsidRPr="00817382">
        <w:rPr>
          <w:rFonts w:ascii="Verdana" w:eastAsia="Calibri" w:hAnsi="Verdana" w:cs="Arial"/>
          <w:bCs/>
          <w:i/>
          <w:iCs/>
          <w:color w:val="000000" w:themeColor="text1"/>
          <w:sz w:val="20"/>
          <w:szCs w:val="20"/>
          <w:lang w:val="es-ES_tradnl" w:eastAsia="es-ES_tradnl"/>
        </w:rPr>
        <w:t>ibidem</w:t>
      </w:r>
      <w:r w:rsidRPr="00817382">
        <w:rPr>
          <w:rFonts w:ascii="Verdana" w:eastAsia="Calibri" w:hAnsi="Verdana" w:cs="Arial"/>
          <w:bCs/>
          <w:color w:val="000000" w:themeColor="text1"/>
          <w:sz w:val="20"/>
          <w:szCs w:val="20"/>
          <w:lang w:val="es-ES_tradnl" w:eastAsia="es-ES_tradnl"/>
        </w:rPr>
        <w:t xml:space="preserve">. La norma citada define la competencia contractual en los siguientes términos: </w:t>
      </w:r>
    </w:p>
    <w:p w14:paraId="1A7F8D64" w14:textId="77777777" w:rsidR="00D6006F" w:rsidRPr="00817382" w:rsidRDefault="00D6006F" w:rsidP="00D6006F">
      <w:pPr>
        <w:spacing w:after="0" w:line="240" w:lineRule="auto"/>
        <w:jc w:val="both"/>
        <w:rPr>
          <w:rFonts w:ascii="Verdana" w:eastAsia="Calibri" w:hAnsi="Verdana" w:cs="Arial"/>
          <w:bCs/>
          <w:color w:val="000000" w:themeColor="text1"/>
          <w:sz w:val="20"/>
          <w:szCs w:val="20"/>
          <w:lang w:val="es-ES_tradnl" w:eastAsia="es-ES_tradnl"/>
        </w:rPr>
      </w:pPr>
    </w:p>
    <w:p w14:paraId="2A5FF9BD" w14:textId="77777777" w:rsidR="00D6006F" w:rsidRPr="00817382" w:rsidRDefault="00D6006F" w:rsidP="00D6006F">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3EFC9B48" w14:textId="77777777" w:rsidR="00D6006F" w:rsidRPr="00817382" w:rsidRDefault="00D6006F" w:rsidP="00D6006F">
      <w:pPr>
        <w:spacing w:after="0" w:line="240" w:lineRule="auto"/>
        <w:jc w:val="both"/>
        <w:rPr>
          <w:rFonts w:ascii="Verdana" w:eastAsia="Calibri" w:hAnsi="Verdana" w:cs="Arial"/>
          <w:b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 xml:space="preserve"> </w:t>
      </w:r>
    </w:p>
    <w:p w14:paraId="7BDDE7E7" w14:textId="77777777" w:rsidR="00D6006F" w:rsidRPr="00817382" w:rsidRDefault="00D6006F" w:rsidP="00D6006F">
      <w:pPr>
        <w:spacing w:after="0" w:line="240" w:lineRule="auto"/>
        <w:jc w:val="both"/>
        <w:rPr>
          <w:rFonts w:ascii="Verdana" w:eastAsia="Calibri" w:hAnsi="Verdana" w:cs="Arial"/>
          <w:iCs/>
          <w:color w:val="000000" w:themeColor="text1"/>
          <w:sz w:val="20"/>
          <w:szCs w:val="20"/>
          <w:lang w:val="es-ES_tradnl" w:eastAsia="es-ES_tradnl"/>
        </w:rPr>
      </w:pPr>
      <w:r w:rsidRPr="00817382">
        <w:rPr>
          <w:rFonts w:ascii="Verdana" w:eastAsia="Calibri" w:hAnsi="Verdana" w:cs="Arial"/>
          <w:bCs/>
          <w:color w:val="000000" w:themeColor="text1"/>
          <w:sz w:val="20"/>
          <w:szCs w:val="20"/>
          <w:lang w:val="es-ES_tradnl" w:eastAsia="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817382">
        <w:rPr>
          <w:rFonts w:ascii="Verdana" w:eastAsia="Calibri" w:hAnsi="Verdana" w:cs="Arial"/>
          <w:color w:val="000000" w:themeColor="text1"/>
          <w:sz w:val="20"/>
          <w:szCs w:val="20"/>
          <w:lang w:val="es-ES_tradnl"/>
        </w:rPr>
        <w:t>.</w:t>
      </w:r>
    </w:p>
    <w:p w14:paraId="0B168574" w14:textId="77777777" w:rsidR="00D6006F" w:rsidRDefault="00D6006F" w:rsidP="00D6006F">
      <w:pPr>
        <w:spacing w:after="0" w:line="240" w:lineRule="auto"/>
        <w:jc w:val="both"/>
        <w:rPr>
          <w:rFonts w:ascii="Verdana" w:eastAsia="Calibri" w:hAnsi="Verdana" w:cs="Arial"/>
          <w:b/>
          <w:lang w:val="es-ES_tradnl"/>
        </w:rPr>
      </w:pPr>
    </w:p>
    <w:p w14:paraId="7A0A6244" w14:textId="77777777" w:rsidR="00D6006F" w:rsidRPr="00817382" w:rsidRDefault="00D6006F" w:rsidP="00D6006F">
      <w:pPr>
        <w:spacing w:after="0" w:line="240" w:lineRule="auto"/>
        <w:jc w:val="both"/>
        <w:rPr>
          <w:rFonts w:ascii="Verdana" w:eastAsia="Calibri" w:hAnsi="Verdana" w:cs="Arial"/>
          <w:b/>
          <w:lang w:val="es-ES_tradnl"/>
        </w:rPr>
      </w:pPr>
      <w:r w:rsidRPr="00817382">
        <w:rPr>
          <w:rFonts w:ascii="Verdana" w:eastAsia="Calibri" w:hAnsi="Verdana" w:cs="Arial"/>
          <w:b/>
          <w:lang w:val="es-ES_tradnl"/>
        </w:rPr>
        <w:t>ENTIDADES EXCEPTUADAS – Aplicación de normas de derecho público</w:t>
      </w:r>
    </w:p>
    <w:p w14:paraId="7B68D491" w14:textId="77777777" w:rsidR="00D6006F" w:rsidRPr="00817382" w:rsidRDefault="00D6006F" w:rsidP="00D6006F">
      <w:pPr>
        <w:spacing w:after="0" w:line="240" w:lineRule="auto"/>
        <w:jc w:val="both"/>
        <w:rPr>
          <w:rFonts w:ascii="Verdana" w:eastAsia="Calibri" w:hAnsi="Verdana" w:cs="Arial"/>
          <w:b/>
          <w:sz w:val="20"/>
          <w:szCs w:val="20"/>
          <w:lang w:val="es-ES_tradnl"/>
        </w:rPr>
      </w:pPr>
    </w:p>
    <w:p w14:paraId="7FAFC744" w14:textId="77777777" w:rsidR="00D6006F" w:rsidRPr="00817382" w:rsidRDefault="00D6006F" w:rsidP="00D6006F">
      <w:pPr>
        <w:spacing w:after="0" w:line="240" w:lineRule="auto"/>
        <w:jc w:val="both"/>
        <w:rPr>
          <w:rFonts w:ascii="Verdana" w:eastAsia="Calibri" w:hAnsi="Verdana" w:cs="Arial"/>
          <w:bCs/>
          <w:sz w:val="20"/>
          <w:szCs w:val="20"/>
          <w:lang w:val="es-ES_tradnl"/>
        </w:rPr>
      </w:pPr>
      <w:r w:rsidRPr="00817382">
        <w:rPr>
          <w:rFonts w:ascii="Verdana" w:eastAsia="Calibri" w:hAnsi="Verdana" w:cs="Arial"/>
          <w:bCs/>
          <w:sz w:val="20"/>
          <w:szCs w:val="20"/>
          <w:lang w:val="es-ES_tradnl"/>
        </w:rPr>
        <w:t xml:space="preserve">[…] aunque tenga una influencia limitada, las </w:t>
      </w:r>
      <w:r w:rsidRPr="00817382">
        <w:rPr>
          <w:rFonts w:ascii="Verdana" w:eastAsia="Calibri" w:hAnsi="Verdana" w:cs="Arial"/>
          <w:bCs/>
          <w:i/>
          <w:iCs/>
          <w:sz w:val="20"/>
          <w:szCs w:val="20"/>
          <w:lang w:val="es-ES_tradnl"/>
        </w:rPr>
        <w:t>entidades del régimen exceptuado</w:t>
      </w:r>
      <w:r w:rsidRPr="00817382">
        <w:rPr>
          <w:rFonts w:ascii="Verdana" w:eastAsia="Calibri" w:hAnsi="Verdana" w:cs="Arial"/>
          <w:bCs/>
          <w:sz w:val="20"/>
          <w:szCs w:val="20"/>
          <w:lang w:val="es-ES_tradn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817382">
        <w:rPr>
          <w:rFonts w:ascii="Verdana" w:eastAsia="Calibri" w:hAnsi="Verdana" w:cs="Arial"/>
          <w:color w:val="000000"/>
          <w:sz w:val="20"/>
          <w:szCs w:val="20"/>
          <w:lang w:val="es-ES_tradnl"/>
        </w:rPr>
        <w:t>.</w:t>
      </w:r>
    </w:p>
    <w:p w14:paraId="157C8101" w14:textId="77777777" w:rsidR="00D6006F" w:rsidRPr="00817382" w:rsidRDefault="00D6006F" w:rsidP="00D6006F">
      <w:pPr>
        <w:spacing w:after="0" w:line="240" w:lineRule="auto"/>
        <w:jc w:val="both"/>
        <w:rPr>
          <w:rFonts w:ascii="Verdana" w:hAnsi="Verdana" w:cs="Arial"/>
          <w:color w:val="000000" w:themeColor="text1"/>
          <w:sz w:val="21"/>
          <w:szCs w:val="21"/>
          <w:lang w:val="es-ES_tradnl"/>
        </w:rPr>
      </w:pPr>
    </w:p>
    <w:p w14:paraId="646DBC3B" w14:textId="77777777" w:rsidR="00D6006F" w:rsidRPr="00817382" w:rsidRDefault="00D6006F" w:rsidP="00D6006F">
      <w:pPr>
        <w:spacing w:after="0" w:line="240" w:lineRule="auto"/>
        <w:jc w:val="both"/>
        <w:rPr>
          <w:rFonts w:ascii="Verdana" w:eastAsia="Calibri" w:hAnsi="Verdana" w:cs="Arial"/>
          <w:b/>
          <w:color w:val="000000" w:themeColor="text1"/>
          <w:lang w:val="es-ES_tradnl"/>
        </w:rPr>
      </w:pPr>
      <w:bookmarkStart w:id="0" w:name="_Hlk109118876"/>
      <w:r w:rsidRPr="00817382">
        <w:rPr>
          <w:rFonts w:ascii="Verdana" w:eastAsia="Calibri" w:hAnsi="Verdana" w:cs="Arial"/>
          <w:b/>
          <w:color w:val="000000" w:themeColor="text1"/>
          <w:lang w:val="es-ES_tradnl"/>
        </w:rPr>
        <w:lastRenderedPageBreak/>
        <w:t>CONTRATOS ESTATALES –</w:t>
      </w:r>
      <w:bookmarkEnd w:id="0"/>
      <w:r w:rsidRPr="00817382">
        <w:rPr>
          <w:rFonts w:ascii="Verdana" w:eastAsia="Calibri" w:hAnsi="Verdana" w:cs="Arial"/>
          <w:b/>
          <w:color w:val="000000" w:themeColor="text1"/>
          <w:lang w:val="es-ES_tradnl"/>
        </w:rPr>
        <w:t xml:space="preserve"> Régimen especial – Obligaciones transversales – Manual de contratación – Límites </w:t>
      </w:r>
    </w:p>
    <w:p w14:paraId="60DB1E77" w14:textId="77777777" w:rsidR="00D6006F" w:rsidRPr="00817382" w:rsidRDefault="00D6006F" w:rsidP="00D6006F">
      <w:pPr>
        <w:spacing w:after="0" w:line="240" w:lineRule="auto"/>
        <w:jc w:val="both"/>
        <w:rPr>
          <w:rFonts w:ascii="Verdana" w:eastAsia="Calibri" w:hAnsi="Verdana" w:cs="Arial"/>
          <w:b/>
          <w:color w:val="000000" w:themeColor="text1"/>
          <w:lang w:val="es-ES_tradnl"/>
        </w:rPr>
      </w:pPr>
    </w:p>
    <w:p w14:paraId="512C9ECF" w14:textId="77777777" w:rsidR="00D6006F" w:rsidRPr="00817382" w:rsidRDefault="00D6006F" w:rsidP="00D6006F">
      <w:pPr>
        <w:spacing w:after="0" w:line="240" w:lineRule="auto"/>
        <w:jc w:val="both"/>
        <w:rPr>
          <w:rFonts w:ascii="Verdana" w:hAnsi="Verdana" w:cs="Arial"/>
          <w:color w:val="000000" w:themeColor="text1"/>
          <w:sz w:val="20"/>
          <w:szCs w:val="20"/>
          <w:lang w:val="es-ES_tradnl"/>
        </w:rPr>
      </w:pPr>
      <w:r w:rsidRPr="00817382">
        <w:rPr>
          <w:rFonts w:ascii="Verdana" w:hAnsi="Verdana" w:cs="Arial"/>
          <w:color w:val="000000" w:themeColor="text1"/>
          <w:sz w:val="20"/>
          <w:szCs w:val="20"/>
          <w:lang w:val="es-ES_tradnl"/>
        </w:rPr>
        <w:t>El hecho de que algunas entidades estatales se rijan por el derecho privado en materia contractual no puede entenderse como una negación de lo que establece el artículo 13 de la Ley 1150 de 2007. Este enunciado normativo significó un “retorno del derecho administrativo”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p>
    <w:p w14:paraId="37D55466" w14:textId="77777777" w:rsidR="00D6006F" w:rsidRPr="00817382" w:rsidRDefault="00D6006F" w:rsidP="00D6006F">
      <w:pPr>
        <w:spacing w:after="0" w:line="240" w:lineRule="auto"/>
        <w:jc w:val="both"/>
        <w:rPr>
          <w:rFonts w:ascii="Verdana" w:hAnsi="Verdana" w:cs="Arial"/>
          <w:color w:val="000000" w:themeColor="text1"/>
          <w:sz w:val="20"/>
          <w:szCs w:val="20"/>
          <w:lang w:val="es-ES_tradnl"/>
        </w:rPr>
      </w:pPr>
    </w:p>
    <w:p w14:paraId="0E13A7CC" w14:textId="77777777" w:rsidR="00D6006F" w:rsidRPr="00817382" w:rsidRDefault="00D6006F" w:rsidP="00D6006F">
      <w:pPr>
        <w:spacing w:after="0" w:line="240" w:lineRule="auto"/>
        <w:jc w:val="both"/>
        <w:rPr>
          <w:rFonts w:ascii="Verdana" w:hAnsi="Verdana" w:cs="Arial"/>
          <w:color w:val="000000" w:themeColor="text1"/>
          <w:sz w:val="20"/>
          <w:szCs w:val="20"/>
          <w:lang w:val="es-ES_tradnl"/>
        </w:rPr>
      </w:pPr>
      <w:r w:rsidRPr="00817382">
        <w:rPr>
          <w:rFonts w:ascii="Verdana" w:hAnsi="Verdana" w:cs="Arial"/>
          <w:color w:val="000000" w:themeColor="text1"/>
          <w:sz w:val="20"/>
          <w:szCs w:val="20"/>
          <w:lang w:val="es-ES_tradnl"/>
        </w:rPr>
        <w:t xml:space="preserve">Adicionalmente, las entidades estatales que, por disposición legal, cuentan con un régimen especial, exceptuado del Estatuto General de Contratación de la Administración Pública –Leyes 80 de 1993, 1150 de 2007 y normas complementarias– pueden expedir un reglamento interno de contratación –comúnmente denominado </w:t>
      </w:r>
      <w:r w:rsidRPr="00817382">
        <w:rPr>
          <w:rFonts w:ascii="Verdana" w:hAnsi="Verdana" w:cs="Arial"/>
          <w:i/>
          <w:color w:val="000000" w:themeColor="text1"/>
          <w:sz w:val="20"/>
          <w:szCs w:val="20"/>
          <w:lang w:val="es-ES_tradnl"/>
        </w:rPr>
        <w:t>manual de contratación</w:t>
      </w:r>
      <w:r w:rsidRPr="00817382">
        <w:rPr>
          <w:rFonts w:ascii="Verdana" w:hAnsi="Verdana" w:cs="Arial"/>
          <w:color w:val="000000" w:themeColor="text1"/>
          <w:sz w:val="20"/>
          <w:szCs w:val="20"/>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14:paraId="2318EF50" w14:textId="77777777" w:rsidR="00D6006F" w:rsidRPr="00817382" w:rsidRDefault="00D6006F" w:rsidP="00D6006F">
      <w:pPr>
        <w:spacing w:after="0" w:line="240" w:lineRule="auto"/>
        <w:jc w:val="both"/>
        <w:rPr>
          <w:rFonts w:ascii="Verdana" w:hAnsi="Verdana" w:cs="Arial"/>
          <w:color w:val="000000" w:themeColor="text1"/>
          <w:sz w:val="20"/>
          <w:szCs w:val="20"/>
          <w:lang w:val="es-ES_tradnl"/>
        </w:rPr>
      </w:pPr>
    </w:p>
    <w:p w14:paraId="0EA19E5E" w14:textId="77777777" w:rsidR="00D6006F" w:rsidRPr="00817382" w:rsidRDefault="00D6006F" w:rsidP="00D6006F">
      <w:pPr>
        <w:spacing w:after="0" w:line="240" w:lineRule="auto"/>
        <w:jc w:val="both"/>
        <w:rPr>
          <w:rFonts w:ascii="Verdana" w:hAnsi="Verdana" w:cs="Arial"/>
          <w:color w:val="000000" w:themeColor="text1"/>
          <w:sz w:val="20"/>
          <w:szCs w:val="20"/>
          <w:lang w:val="es-ES_tradnl"/>
        </w:rPr>
      </w:pPr>
      <w:r w:rsidRPr="00817382">
        <w:rPr>
          <w:rFonts w:ascii="Verdana" w:hAnsi="Verdana" w:cs="Arial"/>
          <w:color w:val="000000" w:themeColor="text1"/>
          <w:sz w:val="20"/>
          <w:szCs w:val="20"/>
          <w:lang w:val="es-ES_tradnl"/>
        </w:rPr>
        <w:t xml:space="preserve">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validez del contrato, </w:t>
      </w:r>
      <w:proofErr w:type="spellStart"/>
      <w:r w:rsidRPr="00817382">
        <w:rPr>
          <w:rFonts w:ascii="Verdana" w:hAnsi="Verdana" w:cs="Arial"/>
          <w:color w:val="000000" w:themeColor="text1"/>
          <w:sz w:val="20"/>
          <w:szCs w:val="20"/>
          <w:lang w:val="es-ES_tradnl"/>
        </w:rPr>
        <w:t>ii</w:t>
      </w:r>
      <w:proofErr w:type="spellEnd"/>
      <w:r w:rsidRPr="00817382">
        <w:rPr>
          <w:rFonts w:ascii="Verdana" w:hAnsi="Verdana" w:cs="Arial"/>
          <w:color w:val="000000" w:themeColor="text1"/>
          <w:sz w:val="20"/>
          <w:szCs w:val="20"/>
          <w:lang w:val="es-ES_tradnl"/>
        </w:rPr>
        <w:t xml:space="preserve">) sanciones, sin perjuicio de las que pueden pactar de acuerdo con las normas civiles y comerciales, </w:t>
      </w:r>
      <w:proofErr w:type="spellStart"/>
      <w:r w:rsidRPr="00817382">
        <w:rPr>
          <w:rFonts w:ascii="Verdana" w:hAnsi="Verdana" w:cs="Arial"/>
          <w:color w:val="000000" w:themeColor="text1"/>
          <w:sz w:val="20"/>
          <w:szCs w:val="20"/>
          <w:lang w:val="es-ES_tradnl"/>
        </w:rPr>
        <w:t>iii</w:t>
      </w:r>
      <w:proofErr w:type="spellEnd"/>
      <w:r w:rsidRPr="00817382">
        <w:rPr>
          <w:rFonts w:ascii="Verdana" w:hAnsi="Verdana" w:cs="Arial"/>
          <w:color w:val="000000" w:themeColor="text1"/>
          <w:sz w:val="20"/>
          <w:szCs w:val="20"/>
          <w:lang w:val="es-ES_tradnl"/>
        </w:rPr>
        <w:t xml:space="preserve">) procedimientos para su imposición, </w:t>
      </w:r>
      <w:proofErr w:type="spellStart"/>
      <w:r w:rsidRPr="00817382">
        <w:rPr>
          <w:rFonts w:ascii="Verdana" w:hAnsi="Verdana" w:cs="Arial"/>
          <w:color w:val="000000" w:themeColor="text1"/>
          <w:sz w:val="20"/>
          <w:szCs w:val="20"/>
          <w:lang w:val="es-ES_tradnl"/>
        </w:rPr>
        <w:t>iv</w:t>
      </w:r>
      <w:proofErr w:type="spellEnd"/>
      <w:r w:rsidRPr="00817382">
        <w:rPr>
          <w:rFonts w:ascii="Verdana" w:hAnsi="Verdana" w:cs="Arial"/>
          <w:color w:val="000000" w:themeColor="text1"/>
          <w:sz w:val="20"/>
          <w:szCs w:val="20"/>
          <w:lang w:val="es-ES_tradnl"/>
        </w:rPr>
        <w:t>) causales de inhabilidad e incompatibilidad, v) el principio de anualidad del gasto, y vi) restricciones al acceso a la administración de justicia para discutir las controversias contractuales, son, entre otros, temas cuya regulación está reservada al legislador y que, por tanto, las entidades exceptuadas no pueden reglamentar en su manual de contratación.</w:t>
      </w:r>
    </w:p>
    <w:p w14:paraId="69452881" w14:textId="77777777" w:rsidR="00D6006F" w:rsidRDefault="00D6006F" w:rsidP="00D6006F">
      <w:pPr>
        <w:spacing w:after="0"/>
        <w:jc w:val="both"/>
        <w:rPr>
          <w:rFonts w:ascii="Verdana" w:eastAsia="Arial" w:hAnsi="Verdana" w:cs="Arial"/>
          <w:bCs/>
          <w:color w:val="000000"/>
          <w:sz w:val="20"/>
          <w:szCs w:val="20"/>
        </w:rPr>
      </w:pPr>
    </w:p>
    <w:p w14:paraId="1D2FCB16" w14:textId="77777777" w:rsidR="00D6006F" w:rsidRPr="00C72F17" w:rsidRDefault="00D6006F" w:rsidP="00D6006F">
      <w:pPr>
        <w:spacing w:after="0"/>
        <w:jc w:val="both"/>
        <w:rPr>
          <w:rFonts w:ascii="Verdana" w:eastAsia="Arial" w:hAnsi="Verdana" w:cs="Arial"/>
          <w:b/>
          <w:color w:val="000000"/>
        </w:rPr>
      </w:pPr>
      <w:r w:rsidRPr="007E374C">
        <w:rPr>
          <w:rFonts w:ascii="Verdana" w:eastAsia="Arial" w:hAnsi="Verdana" w:cs="Arial"/>
          <w:b/>
          <w:color w:val="000000"/>
        </w:rPr>
        <w:t>EMPRESAS INDUSTRIALES Y COMERCIALES DEL ESTADO</w:t>
      </w:r>
      <w:r w:rsidRPr="00C72F17">
        <w:rPr>
          <w:rFonts w:ascii="Verdana" w:eastAsia="Arial" w:hAnsi="Verdana" w:cs="Arial"/>
          <w:b/>
          <w:color w:val="000000"/>
        </w:rPr>
        <w:t xml:space="preserve"> </w:t>
      </w:r>
      <w:r>
        <w:rPr>
          <w:rFonts w:ascii="Verdana" w:eastAsia="Arial" w:hAnsi="Verdana" w:cs="Arial"/>
          <w:b/>
          <w:color w:val="000000"/>
        </w:rPr>
        <w:t xml:space="preserve">– </w:t>
      </w:r>
      <w:r w:rsidRPr="00C72F17">
        <w:rPr>
          <w:rFonts w:ascii="Verdana" w:eastAsia="Arial" w:hAnsi="Verdana" w:cs="Arial"/>
          <w:b/>
          <w:color w:val="000000"/>
        </w:rPr>
        <w:t xml:space="preserve">Régimen contractual – Ley 80 de 1993 – Derecho privado  </w:t>
      </w:r>
    </w:p>
    <w:p w14:paraId="4D8EC5E3" w14:textId="77777777" w:rsidR="00D6006F" w:rsidRPr="00C72F17" w:rsidRDefault="00D6006F" w:rsidP="00D6006F">
      <w:pPr>
        <w:spacing w:after="0"/>
        <w:jc w:val="both"/>
        <w:rPr>
          <w:rFonts w:ascii="Verdana" w:eastAsia="Arial" w:hAnsi="Verdana" w:cs="Arial"/>
          <w:bCs/>
          <w:color w:val="000000"/>
          <w:sz w:val="20"/>
          <w:szCs w:val="20"/>
        </w:rPr>
      </w:pPr>
    </w:p>
    <w:p w14:paraId="794A6676" w14:textId="77777777" w:rsidR="00D6006F" w:rsidRDefault="00D6006F" w:rsidP="00D6006F">
      <w:pPr>
        <w:spacing w:after="0" w:line="240" w:lineRule="auto"/>
        <w:jc w:val="both"/>
        <w:textAlignment w:val="baseline"/>
        <w:rPr>
          <w:rFonts w:ascii="Verdana" w:hAnsi="Verdana" w:cs="Arial"/>
          <w:bCs/>
          <w:sz w:val="20"/>
          <w:szCs w:val="20"/>
          <w:lang w:val="es-ES_tradnl" w:eastAsia="es-CO"/>
        </w:rPr>
      </w:pPr>
      <w:r>
        <w:rPr>
          <w:rFonts w:ascii="Verdana" w:eastAsia="Arial" w:hAnsi="Verdana" w:cs="Arial"/>
          <w:bCs/>
          <w:color w:val="000000"/>
          <w:sz w:val="20"/>
          <w:szCs w:val="20"/>
        </w:rPr>
        <w:t>E</w:t>
      </w:r>
      <w:r w:rsidRPr="00632FFA">
        <w:rPr>
          <w:rFonts w:ascii="Verdana" w:eastAsia="Arial" w:hAnsi="Verdana" w:cs="Arial"/>
          <w:bCs/>
          <w:color w:val="000000"/>
          <w:sz w:val="20"/>
          <w:szCs w:val="20"/>
        </w:rPr>
        <w:t xml:space="preserve">l régimen contractual de las </w:t>
      </w:r>
      <w:r w:rsidRPr="007E374C">
        <w:rPr>
          <w:rFonts w:ascii="Verdana" w:eastAsia="Arial" w:hAnsi="Verdana" w:cs="Arial"/>
          <w:bCs/>
          <w:color w:val="000000"/>
          <w:sz w:val="20"/>
          <w:szCs w:val="20"/>
        </w:rPr>
        <w:t>empresas industriales y comerciales del Estado</w:t>
      </w:r>
      <w:r w:rsidRPr="00632FFA">
        <w:rPr>
          <w:rFonts w:ascii="Verdana" w:eastAsia="Arial" w:hAnsi="Verdana" w:cs="Arial"/>
          <w:bCs/>
          <w:color w:val="000000"/>
          <w:sz w:val="20"/>
          <w:szCs w:val="20"/>
        </w:rPr>
        <w:t xml:space="preserve"> que estén en competencia o desarrollen su actividad en mercados regulados es el propio de tal actividad, esto es, por regla general, el derecho privado, salvo las excepciones legales. Aunque estos contratos están excluidos de la Ley 80 de 1993, no se rigen exclusivamente </w:t>
      </w:r>
      <w:r w:rsidRPr="00632FFA">
        <w:rPr>
          <w:rFonts w:ascii="Verdana" w:eastAsia="Arial" w:hAnsi="Verdana" w:cs="Arial"/>
          <w:bCs/>
          <w:color w:val="000000"/>
          <w:sz w:val="20"/>
          <w:szCs w:val="20"/>
        </w:rPr>
        <w:lastRenderedPageBreak/>
        <w:t xml:space="preserve">por el derecho civil y comercial, pues –conforme al artículo 13 de la Ley 1150 de 2007– aplican tanto los principios de la función administrativa y de la gestión fiscal como el régimen de inhabilidades e incompatibilidades. Por el contrario, aquellas </w:t>
      </w:r>
      <w:r w:rsidRPr="007E374C">
        <w:rPr>
          <w:rFonts w:ascii="Verdana" w:eastAsia="Arial" w:hAnsi="Verdana" w:cs="Arial"/>
          <w:bCs/>
          <w:color w:val="000000"/>
          <w:sz w:val="20"/>
          <w:szCs w:val="20"/>
        </w:rPr>
        <w:t>empresas industriales y comerciales del Estado</w:t>
      </w:r>
      <w:r w:rsidRPr="00632FFA">
        <w:rPr>
          <w:rFonts w:ascii="Verdana" w:eastAsia="Arial" w:hAnsi="Verdana" w:cs="Arial"/>
          <w:bCs/>
          <w:color w:val="000000"/>
          <w:sz w:val="20"/>
          <w:szCs w:val="20"/>
        </w:rPr>
        <w:t xml:space="preserve"> que no estén en competencia ni desarrollen su actividad en mercados regulados están sometidas al Estatuto General de Contratación de la Administración Pública y las normas que lo complementan, como lo dispone el artículo 14 de la Ley 1150 de 2007.</w:t>
      </w:r>
      <w:r w:rsidRPr="002C0402">
        <w:rPr>
          <w:rFonts w:ascii="Verdana" w:hAnsi="Verdana" w:cs="Arial"/>
          <w:bCs/>
          <w:sz w:val="20"/>
          <w:szCs w:val="20"/>
          <w:lang w:val="es-ES_tradnl" w:eastAsia="es-CO"/>
        </w:rPr>
        <w:t xml:space="preserve"> </w:t>
      </w:r>
    </w:p>
    <w:p w14:paraId="3649A445" w14:textId="77777777" w:rsidR="00D6006F" w:rsidRPr="00817382" w:rsidRDefault="00D6006F" w:rsidP="00D6006F">
      <w:pPr>
        <w:tabs>
          <w:tab w:val="left" w:pos="709"/>
        </w:tabs>
        <w:spacing w:after="0" w:line="240" w:lineRule="auto"/>
        <w:jc w:val="both"/>
        <w:rPr>
          <w:rFonts w:ascii="Verdana" w:eastAsia="Calibri" w:hAnsi="Verdana" w:cs="Arial"/>
          <w:bCs/>
          <w:sz w:val="20"/>
          <w:szCs w:val="20"/>
          <w:lang w:val="es-ES_tradnl" w:eastAsia="es-ES_tradnl"/>
        </w:rPr>
      </w:pPr>
    </w:p>
    <w:p w14:paraId="422FB805" w14:textId="77777777" w:rsidR="00D6006F" w:rsidRPr="00817382" w:rsidRDefault="00D6006F" w:rsidP="00D6006F">
      <w:pPr>
        <w:spacing w:after="0" w:line="240" w:lineRule="auto"/>
        <w:jc w:val="both"/>
        <w:rPr>
          <w:rFonts w:ascii="Verdana" w:eastAsia="Calibri" w:hAnsi="Verdana" w:cs="Arial"/>
          <w:b/>
          <w:color w:val="000000" w:themeColor="text1"/>
          <w:lang w:val="es-ES_tradnl"/>
        </w:rPr>
      </w:pPr>
      <w:r>
        <w:rPr>
          <w:rFonts w:ascii="Verdana" w:eastAsia="Calibri" w:hAnsi="Verdana" w:cs="Arial"/>
          <w:b/>
          <w:color w:val="000000" w:themeColor="text1"/>
          <w:lang w:val="es-ES_tradnl"/>
        </w:rPr>
        <w:t>REPORTE</w:t>
      </w:r>
      <w:r w:rsidRPr="00817382">
        <w:rPr>
          <w:rFonts w:ascii="Verdana" w:eastAsia="Calibri" w:hAnsi="Verdana" w:cs="Arial"/>
          <w:b/>
          <w:color w:val="000000" w:themeColor="text1"/>
          <w:lang w:val="es-ES_tradnl"/>
        </w:rPr>
        <w:t xml:space="preserve"> –</w:t>
      </w:r>
      <w:r>
        <w:rPr>
          <w:rFonts w:ascii="Verdana" w:eastAsia="Calibri" w:hAnsi="Verdana" w:cs="Arial"/>
          <w:b/>
          <w:color w:val="000000" w:themeColor="text1"/>
          <w:lang w:val="es-ES_tradnl"/>
        </w:rPr>
        <w:t xml:space="preserve"> </w:t>
      </w:r>
      <w:r w:rsidRPr="00A44850">
        <w:rPr>
          <w:rFonts w:ascii="Verdana" w:eastAsia="Calibri" w:hAnsi="Verdana" w:cs="Arial"/>
          <w:b/>
          <w:color w:val="000000" w:themeColor="text1"/>
          <w:lang w:val="es-ES_tradnl"/>
        </w:rPr>
        <w:t>Multas, sanciones e inhabilidades</w:t>
      </w:r>
      <w:r>
        <w:rPr>
          <w:rFonts w:ascii="Verdana" w:eastAsia="Calibri" w:hAnsi="Verdana" w:cs="Arial"/>
          <w:b/>
          <w:color w:val="000000" w:themeColor="text1"/>
          <w:lang w:val="es-ES_tradnl"/>
        </w:rPr>
        <w:t xml:space="preserve"> – Cámaras de comercio – Entidades sometidas – Marco normativo</w:t>
      </w:r>
      <w:r w:rsidRPr="00817382">
        <w:rPr>
          <w:rFonts w:ascii="Verdana" w:eastAsia="Calibri" w:hAnsi="Verdana" w:cs="Arial"/>
          <w:b/>
          <w:color w:val="000000" w:themeColor="text1"/>
          <w:lang w:val="es-ES_tradnl"/>
        </w:rPr>
        <w:t xml:space="preserve"> </w:t>
      </w:r>
    </w:p>
    <w:p w14:paraId="3BB36033" w14:textId="77777777" w:rsidR="00D6006F" w:rsidRPr="00817382" w:rsidRDefault="00D6006F" w:rsidP="00D6006F">
      <w:pPr>
        <w:spacing w:after="0" w:line="240" w:lineRule="auto"/>
        <w:jc w:val="both"/>
        <w:rPr>
          <w:rFonts w:ascii="Verdana" w:eastAsia="Calibri" w:hAnsi="Verdana" w:cs="Arial"/>
          <w:bCs/>
          <w:color w:val="000000" w:themeColor="text1"/>
          <w:sz w:val="20"/>
          <w:szCs w:val="20"/>
          <w:lang w:val="es-ES_tradnl"/>
        </w:rPr>
      </w:pPr>
    </w:p>
    <w:p w14:paraId="6B7E49D5" w14:textId="77777777" w:rsidR="00D6006F" w:rsidRDefault="00D6006F" w:rsidP="00D6006F">
      <w:pPr>
        <w:spacing w:after="0" w:line="240" w:lineRule="auto"/>
        <w:jc w:val="both"/>
        <w:rPr>
          <w:rFonts w:ascii="Verdana" w:eastAsia="Calibri" w:hAnsi="Verdana" w:cs="Arial"/>
          <w:bCs/>
          <w:color w:val="000000" w:themeColor="text1"/>
          <w:sz w:val="20"/>
          <w:szCs w:val="20"/>
          <w:lang w:val="es-MX" w:eastAsia="es-ES_tradnl"/>
        </w:rPr>
      </w:pPr>
      <w:r w:rsidRPr="00A44850">
        <w:rPr>
          <w:rFonts w:ascii="Verdana" w:eastAsia="Calibri" w:hAnsi="Verdana" w:cs="Arial"/>
          <w:bCs/>
          <w:color w:val="000000" w:themeColor="text1"/>
          <w:sz w:val="20"/>
          <w:szCs w:val="20"/>
          <w:lang w:val="es-MX" w:eastAsia="es-ES_tradnl"/>
        </w:rPr>
        <w:t xml:space="preserve">El artículo 6.2 de la Ley 1150 de 2007 obliga a las </w:t>
      </w:r>
      <w:r w:rsidRPr="00A44850">
        <w:rPr>
          <w:rFonts w:ascii="Verdana" w:eastAsia="Calibri" w:hAnsi="Verdana" w:cs="Arial"/>
          <w:bCs/>
          <w:i/>
          <w:iCs/>
          <w:color w:val="000000" w:themeColor="text1"/>
          <w:sz w:val="20"/>
          <w:szCs w:val="20"/>
          <w:lang w:val="es-MX" w:eastAsia="es-ES_tradnl"/>
        </w:rPr>
        <w:t>entidades sometidas al EGCAP</w:t>
      </w:r>
      <w:r w:rsidRPr="00A44850">
        <w:rPr>
          <w:rFonts w:ascii="Verdana" w:eastAsia="Calibri" w:hAnsi="Verdana" w:cs="Arial"/>
          <w:bCs/>
          <w:color w:val="000000" w:themeColor="text1"/>
          <w:sz w:val="20"/>
          <w:szCs w:val="20"/>
          <w:lang w:val="es-MX" w:eastAsia="es-ES_tradnl"/>
        </w:rPr>
        <w:t xml:space="preserve"> a reportar a la Cámara de Comercio correspondiente la información sobre contratos, multas y sanciones. Esta norma pretende poner en conocimiento de todos los participantes del sistema de compras públicas la información de sanciones y multas impuestas a los inscritos en el RUP, como una forma de ejercer control a la ejecución de los contratos suscritos por las entidades estatales. Dicha obligación también es congruente con el artículo 31 de la Ley 80 de 1993, modificado por el artículo 218 del Decreto 19 de 2012, que estableció los deberes de publicar en el SECOP y de comunicar a las Cámaras de Comercio, la parte resolutiva, de los actos que impongan multas y sanciones, entre otras decisiones</w:t>
      </w:r>
      <w:r>
        <w:rPr>
          <w:rFonts w:ascii="Verdana" w:eastAsia="Calibri" w:hAnsi="Verdana" w:cs="Arial"/>
          <w:bCs/>
          <w:color w:val="000000" w:themeColor="text1"/>
          <w:sz w:val="20"/>
          <w:szCs w:val="20"/>
          <w:lang w:val="es-MX" w:eastAsia="es-ES_tradnl"/>
        </w:rPr>
        <w:t>.</w:t>
      </w:r>
    </w:p>
    <w:p w14:paraId="66E37141" w14:textId="77777777" w:rsidR="00D6006F" w:rsidRDefault="00D6006F" w:rsidP="00D6006F">
      <w:pPr>
        <w:spacing w:after="0" w:line="240" w:lineRule="auto"/>
        <w:jc w:val="both"/>
        <w:rPr>
          <w:rFonts w:ascii="Verdana" w:eastAsia="Calibri" w:hAnsi="Verdana" w:cs="Arial"/>
          <w:bCs/>
          <w:color w:val="000000" w:themeColor="text1"/>
          <w:sz w:val="20"/>
          <w:szCs w:val="20"/>
          <w:lang w:val="es-MX" w:eastAsia="es-ES_tradnl"/>
        </w:rPr>
      </w:pPr>
    </w:p>
    <w:p w14:paraId="3E7CB4A3" w14:textId="77777777" w:rsidR="00D6006F" w:rsidRPr="00A44850" w:rsidRDefault="00D6006F" w:rsidP="00D6006F">
      <w:pPr>
        <w:spacing w:after="0" w:line="240" w:lineRule="auto"/>
        <w:jc w:val="both"/>
        <w:rPr>
          <w:rFonts w:ascii="Verdana" w:eastAsia="Calibri" w:hAnsi="Verdana" w:cs="Arial"/>
          <w:bCs/>
          <w:iCs/>
          <w:color w:val="000000" w:themeColor="text1"/>
          <w:sz w:val="20"/>
          <w:szCs w:val="20"/>
          <w:lang w:val="es-MX" w:eastAsia="es-ES_tradnl"/>
        </w:rPr>
      </w:pPr>
      <w:r>
        <w:rPr>
          <w:rFonts w:ascii="Verdana" w:eastAsia="Calibri" w:hAnsi="Verdana" w:cs="Arial"/>
          <w:bCs/>
          <w:iCs/>
          <w:color w:val="000000" w:themeColor="text1"/>
          <w:sz w:val="20"/>
          <w:szCs w:val="20"/>
          <w:lang w:val="es-MX" w:eastAsia="es-ES_tradnl"/>
        </w:rPr>
        <w:t xml:space="preserve">Por su parte, </w:t>
      </w:r>
      <w:r w:rsidRPr="00A44850">
        <w:rPr>
          <w:rFonts w:ascii="Verdana" w:eastAsia="Calibri" w:hAnsi="Verdana" w:cs="Arial"/>
          <w:bCs/>
          <w:iCs/>
          <w:color w:val="000000" w:themeColor="text1"/>
          <w:sz w:val="20"/>
          <w:szCs w:val="20"/>
          <w:lang w:val="es-MX" w:eastAsia="es-ES_tradnl"/>
        </w:rPr>
        <w:t>el artículo 2.2.1.1.1.5.7 del Decreto 1082 de 2015</w:t>
      </w:r>
      <w:r w:rsidRPr="00817382">
        <w:rPr>
          <w:rFonts w:ascii="Verdana" w:eastAsia="Calibri" w:hAnsi="Verdana" w:cs="Arial"/>
          <w:bCs/>
          <w:color w:val="000000" w:themeColor="text1"/>
          <w:sz w:val="20"/>
          <w:szCs w:val="20"/>
          <w:lang w:val="es-ES_tradnl" w:eastAsia="es-ES_tradnl"/>
        </w:rPr>
        <w:t xml:space="preserve"> </w:t>
      </w:r>
      <w:r w:rsidRPr="00A44850">
        <w:rPr>
          <w:rFonts w:ascii="Verdana" w:eastAsia="Calibri" w:hAnsi="Verdana" w:cs="Arial"/>
          <w:bCs/>
          <w:iCs/>
          <w:color w:val="000000" w:themeColor="text1"/>
          <w:sz w:val="20"/>
          <w:szCs w:val="20"/>
          <w:lang w:val="es-MX" w:eastAsia="es-ES_tradnl"/>
        </w:rPr>
        <w:t xml:space="preserve">concreta tres (3) puntos: i) </w:t>
      </w:r>
      <w:r w:rsidRPr="00A44850">
        <w:rPr>
          <w:rFonts w:ascii="Verdana" w:eastAsia="Calibri" w:hAnsi="Verdana" w:cs="Arial"/>
          <w:bCs/>
          <w:i/>
          <w:color w:val="000000" w:themeColor="text1"/>
          <w:sz w:val="20"/>
          <w:szCs w:val="20"/>
          <w:lang w:val="es-MX" w:eastAsia="es-ES_tradnl"/>
        </w:rPr>
        <w:t>reporte</w:t>
      </w:r>
      <w:r w:rsidRPr="00A44850">
        <w:rPr>
          <w:rFonts w:ascii="Verdana" w:eastAsia="Calibri" w:hAnsi="Verdana" w:cs="Arial"/>
          <w:bCs/>
          <w:iCs/>
          <w:color w:val="000000" w:themeColor="text1"/>
          <w:sz w:val="20"/>
          <w:szCs w:val="20"/>
          <w:lang w:val="es-MX" w:eastAsia="es-ES_tradnl"/>
        </w:rPr>
        <w:t xml:space="preserve"> de las multas y sanciones por parte de las entidades estatales, ii) </w:t>
      </w:r>
      <w:r w:rsidRPr="00A44850">
        <w:rPr>
          <w:rFonts w:ascii="Verdana" w:eastAsia="Calibri" w:hAnsi="Verdana" w:cs="Arial"/>
          <w:bCs/>
          <w:i/>
          <w:color w:val="000000" w:themeColor="text1"/>
          <w:sz w:val="20"/>
          <w:szCs w:val="20"/>
          <w:lang w:val="es-MX" w:eastAsia="es-ES_tradnl"/>
        </w:rPr>
        <w:t>registro</w:t>
      </w:r>
      <w:r w:rsidRPr="00A44850">
        <w:rPr>
          <w:rFonts w:ascii="Verdana" w:eastAsia="Calibri" w:hAnsi="Verdana" w:cs="Arial"/>
          <w:bCs/>
          <w:iCs/>
          <w:color w:val="000000" w:themeColor="text1"/>
          <w:sz w:val="20"/>
          <w:szCs w:val="20"/>
          <w:lang w:val="es-MX" w:eastAsia="es-ES_tradnl"/>
        </w:rPr>
        <w:t xml:space="preserve"> de las multas y sanciones en el RUP por parte de las Cámaras de Comercio y iii) </w:t>
      </w:r>
      <w:r w:rsidRPr="00A44850">
        <w:rPr>
          <w:rFonts w:ascii="Verdana" w:eastAsia="Calibri" w:hAnsi="Verdana" w:cs="Arial"/>
          <w:bCs/>
          <w:i/>
          <w:color w:val="000000" w:themeColor="text1"/>
          <w:sz w:val="20"/>
          <w:szCs w:val="20"/>
          <w:lang w:val="es-MX" w:eastAsia="es-ES_tradnl"/>
        </w:rPr>
        <w:t xml:space="preserve">término de permanencia </w:t>
      </w:r>
      <w:r w:rsidRPr="00A44850">
        <w:rPr>
          <w:rFonts w:ascii="Verdana" w:eastAsia="Calibri" w:hAnsi="Verdana" w:cs="Arial"/>
          <w:bCs/>
          <w:iCs/>
          <w:color w:val="000000" w:themeColor="text1"/>
          <w:sz w:val="20"/>
          <w:szCs w:val="20"/>
          <w:lang w:val="es-MX" w:eastAsia="es-ES_tradnl"/>
        </w:rPr>
        <w:t xml:space="preserve">de las anotaciones en el registro. En relación con el </w:t>
      </w:r>
      <w:r w:rsidRPr="00A44850">
        <w:rPr>
          <w:rFonts w:ascii="Verdana" w:eastAsia="Calibri" w:hAnsi="Verdana" w:cs="Arial"/>
          <w:bCs/>
          <w:i/>
          <w:color w:val="000000" w:themeColor="text1"/>
          <w:sz w:val="20"/>
          <w:szCs w:val="20"/>
          <w:lang w:val="es-MX" w:eastAsia="es-ES_tradnl"/>
        </w:rPr>
        <w:t>reporte</w:t>
      </w:r>
      <w:r w:rsidRPr="00A44850">
        <w:rPr>
          <w:rFonts w:ascii="Verdana" w:eastAsia="Calibri" w:hAnsi="Verdana" w:cs="Arial"/>
          <w:bCs/>
          <w:iCs/>
          <w:color w:val="000000" w:themeColor="text1"/>
          <w:sz w:val="20"/>
          <w:szCs w:val="20"/>
          <w:lang w:val="es-MX" w:eastAsia="es-ES_tradnl"/>
        </w:rPr>
        <w:t xml:space="preserve">, la norma impone la obligación a las entidades estatales de enviar mensualmente a las cámaras de comercio del lugar de su domicilio, copia de los actos administrativos en firme que impusieron multas y sanciones y de las inhabilidades que deriven de los contratos suscritos, a través de los mecanismos que para el efecto disponga la cámara respectiva. Respecto al </w:t>
      </w:r>
      <w:r w:rsidRPr="00A44850">
        <w:rPr>
          <w:rFonts w:ascii="Verdana" w:eastAsia="Calibri" w:hAnsi="Verdana" w:cs="Arial"/>
          <w:bCs/>
          <w:i/>
          <w:color w:val="000000" w:themeColor="text1"/>
          <w:sz w:val="20"/>
          <w:szCs w:val="20"/>
          <w:lang w:val="es-MX" w:eastAsia="es-ES_tradnl"/>
        </w:rPr>
        <w:t>registro</w:t>
      </w:r>
      <w:r w:rsidRPr="00A44850">
        <w:rPr>
          <w:rFonts w:ascii="Verdana" w:eastAsia="Calibri" w:hAnsi="Verdana" w:cs="Arial"/>
          <w:bCs/>
          <w:iCs/>
          <w:color w:val="000000" w:themeColor="text1"/>
          <w:sz w:val="20"/>
          <w:szCs w:val="20"/>
          <w:lang w:val="es-MX" w:eastAsia="es-ES_tradnl"/>
        </w:rPr>
        <w:t xml:space="preserve">¸ la disposición estableció la obligación a las cámaras de comercio de registrar las sanciones e inhabilidades remitidas por las entidades estatales en el RUP, con el propósito de concretar aspectos de publicidad y transparencia en la actividad contractual. Finalmente, en relación con el </w:t>
      </w:r>
      <w:r w:rsidRPr="00A44850">
        <w:rPr>
          <w:rFonts w:ascii="Verdana" w:eastAsia="Calibri" w:hAnsi="Verdana" w:cs="Arial"/>
          <w:bCs/>
          <w:i/>
          <w:color w:val="000000" w:themeColor="text1"/>
          <w:sz w:val="20"/>
          <w:szCs w:val="20"/>
          <w:lang w:val="es-MX" w:eastAsia="es-ES_tradnl"/>
        </w:rPr>
        <w:t xml:space="preserve">término, </w:t>
      </w:r>
      <w:r w:rsidRPr="00A44850">
        <w:rPr>
          <w:rFonts w:ascii="Verdana" w:eastAsia="Calibri" w:hAnsi="Verdana" w:cs="Arial"/>
          <w:bCs/>
          <w:iCs/>
          <w:color w:val="000000" w:themeColor="text1"/>
          <w:sz w:val="20"/>
          <w:szCs w:val="20"/>
          <w:lang w:val="es-MX" w:eastAsia="es-ES_tradnl"/>
        </w:rPr>
        <w:t>es decir, el periodo en que debe constar la anotación correspondiente, la norma estableció que las sanciones e inhabilidades permanecerán en el registro por el término de la sanción o inhabilidad, según el caso. Igualmente, estableció que en el caso de las multas, deberán permanecer por el término de un año, contado a partir de la publicación de la misma.</w:t>
      </w:r>
    </w:p>
    <w:p w14:paraId="512AABE1" w14:textId="77777777" w:rsidR="00D6006F" w:rsidRPr="00817382" w:rsidRDefault="00D6006F" w:rsidP="00D6006F">
      <w:pPr>
        <w:tabs>
          <w:tab w:val="left" w:pos="709"/>
        </w:tabs>
        <w:spacing w:after="0" w:line="240" w:lineRule="auto"/>
        <w:jc w:val="both"/>
        <w:rPr>
          <w:rFonts w:ascii="Verdana" w:eastAsia="Calibri" w:hAnsi="Verdana" w:cs="Arial"/>
          <w:bCs/>
          <w:sz w:val="20"/>
          <w:szCs w:val="20"/>
          <w:lang w:val="es-ES_tradnl" w:eastAsia="es-ES_tradnl"/>
        </w:rPr>
      </w:pPr>
    </w:p>
    <w:p w14:paraId="6D10A855" w14:textId="77777777" w:rsidR="00D6006F" w:rsidRPr="00817382" w:rsidRDefault="00D6006F" w:rsidP="00D6006F">
      <w:pPr>
        <w:spacing w:after="0" w:line="240" w:lineRule="auto"/>
        <w:jc w:val="both"/>
        <w:rPr>
          <w:rFonts w:ascii="Verdana" w:eastAsia="Calibri" w:hAnsi="Verdana" w:cs="Arial"/>
          <w:b/>
          <w:color w:val="000000" w:themeColor="text1"/>
          <w:lang w:val="es-ES_tradnl"/>
        </w:rPr>
      </w:pPr>
      <w:r w:rsidRPr="00386D8E">
        <w:rPr>
          <w:rFonts w:ascii="Verdana" w:eastAsia="Calibri" w:hAnsi="Verdana" w:cs="Arial"/>
          <w:b/>
          <w:color w:val="000000" w:themeColor="text1"/>
          <w:lang w:val="es-ES_tradnl"/>
        </w:rPr>
        <w:t>CIRCULAR EXTERNA 002 DE 2026</w:t>
      </w:r>
      <w:r w:rsidRPr="00817382">
        <w:rPr>
          <w:rFonts w:ascii="Verdana" w:eastAsia="Calibri" w:hAnsi="Verdana" w:cs="Arial"/>
          <w:b/>
          <w:color w:val="000000" w:themeColor="text1"/>
          <w:lang w:val="es-ES_tradnl"/>
        </w:rPr>
        <w:t xml:space="preserve"> –</w:t>
      </w:r>
      <w:r>
        <w:rPr>
          <w:rFonts w:ascii="Verdana" w:eastAsia="Calibri" w:hAnsi="Verdana" w:cs="Arial"/>
          <w:b/>
          <w:color w:val="000000" w:themeColor="text1"/>
          <w:lang w:val="es-ES_tradnl"/>
        </w:rPr>
        <w:t xml:space="preserve"> Ámbito de aplicación – Entidades exceptuadas</w:t>
      </w:r>
      <w:r w:rsidRPr="00817382">
        <w:rPr>
          <w:rFonts w:ascii="Verdana" w:eastAsia="Calibri" w:hAnsi="Verdana" w:cs="Arial"/>
          <w:b/>
          <w:color w:val="000000" w:themeColor="text1"/>
          <w:lang w:val="es-ES_tradnl"/>
        </w:rPr>
        <w:t xml:space="preserve"> </w:t>
      </w:r>
    </w:p>
    <w:p w14:paraId="3316BDAA" w14:textId="77777777" w:rsidR="00D6006F" w:rsidRPr="00817382" w:rsidRDefault="00D6006F" w:rsidP="00D6006F">
      <w:pPr>
        <w:spacing w:after="0" w:line="240" w:lineRule="auto"/>
        <w:jc w:val="both"/>
        <w:rPr>
          <w:rFonts w:ascii="Verdana" w:eastAsia="Calibri" w:hAnsi="Verdana" w:cs="Arial"/>
          <w:bCs/>
          <w:color w:val="000000" w:themeColor="text1"/>
          <w:sz w:val="20"/>
          <w:szCs w:val="20"/>
          <w:lang w:val="es-ES_tradnl"/>
        </w:rPr>
      </w:pPr>
    </w:p>
    <w:p w14:paraId="0A76F51C" w14:textId="77777777" w:rsidR="00D6006F" w:rsidRDefault="00D6006F" w:rsidP="00D6006F">
      <w:pPr>
        <w:spacing w:after="0" w:line="240" w:lineRule="auto"/>
        <w:jc w:val="both"/>
        <w:rPr>
          <w:rFonts w:ascii="Verdana" w:eastAsia="Calibri" w:hAnsi="Verdana" w:cs="Arial"/>
          <w:bCs/>
          <w:color w:val="000000" w:themeColor="text1"/>
          <w:sz w:val="20"/>
          <w:szCs w:val="20"/>
          <w:lang w:val="es-ES_tradnl" w:eastAsia="es-ES_tradnl"/>
        </w:rPr>
      </w:pPr>
      <w:r>
        <w:rPr>
          <w:rFonts w:ascii="Verdana" w:eastAsia="Calibri" w:hAnsi="Verdana" w:cs="Arial"/>
          <w:bCs/>
          <w:color w:val="000000" w:themeColor="text1"/>
          <w:sz w:val="20"/>
          <w:szCs w:val="20"/>
          <w:lang w:val="es-ES_tradnl" w:eastAsia="es-ES_tradnl"/>
        </w:rPr>
        <w:t>L</w:t>
      </w:r>
      <w:r w:rsidRPr="00386D8E">
        <w:rPr>
          <w:rFonts w:ascii="Verdana" w:eastAsia="Calibri" w:hAnsi="Verdana" w:cs="Arial"/>
          <w:bCs/>
          <w:color w:val="000000" w:themeColor="text1"/>
          <w:sz w:val="20"/>
          <w:szCs w:val="20"/>
          <w:lang w:val="es-ES_tradnl" w:eastAsia="es-ES_tradnl"/>
        </w:rPr>
        <w:t xml:space="preserve">as </w:t>
      </w:r>
      <w:r w:rsidRPr="00386D8E">
        <w:rPr>
          <w:rFonts w:ascii="Verdana" w:eastAsia="Calibri" w:hAnsi="Verdana" w:cs="Arial"/>
          <w:bCs/>
          <w:i/>
          <w:iCs/>
          <w:color w:val="000000" w:themeColor="text1"/>
          <w:sz w:val="20"/>
          <w:szCs w:val="20"/>
          <w:lang w:val="es-ES_tradnl" w:eastAsia="es-ES_tradnl"/>
        </w:rPr>
        <w:t>entidades de régimen especial</w:t>
      </w:r>
      <w:r w:rsidRPr="00386D8E">
        <w:rPr>
          <w:rFonts w:ascii="Verdana" w:eastAsia="Calibri" w:hAnsi="Verdana" w:cs="Arial"/>
          <w:bCs/>
          <w:color w:val="000000" w:themeColor="text1"/>
          <w:sz w:val="20"/>
          <w:szCs w:val="20"/>
          <w:lang w:val="es-ES_tradnl" w:eastAsia="es-ES_tradnl"/>
        </w:rPr>
        <w:t xml:space="preserve"> –entre las que se encuentran l</w:t>
      </w:r>
      <w:r w:rsidRPr="00386D8E">
        <w:rPr>
          <w:rFonts w:ascii="Verdana" w:eastAsia="Calibri" w:hAnsi="Verdana" w:cs="Arial"/>
          <w:bCs/>
          <w:color w:val="000000" w:themeColor="text1"/>
          <w:sz w:val="20"/>
          <w:szCs w:val="20"/>
          <w:lang w:eastAsia="es-ES_tradnl"/>
        </w:rPr>
        <w:t>as empresas industriales y comerciales del Estado que estén en competencia o desarrollen su actividad en mercados regulados–</w:t>
      </w:r>
      <w:r w:rsidRPr="00386D8E">
        <w:rPr>
          <w:rFonts w:ascii="Verdana" w:eastAsia="Calibri" w:hAnsi="Verdana" w:cs="Arial"/>
          <w:bCs/>
          <w:color w:val="000000" w:themeColor="text1"/>
          <w:sz w:val="20"/>
          <w:szCs w:val="20"/>
          <w:lang w:val="es-ES_tradnl" w:eastAsia="es-ES_tradnl"/>
        </w:rPr>
        <w:t xml:space="preserve"> también están obligadas a reportar la información </w:t>
      </w:r>
      <w:r w:rsidRPr="00386D8E">
        <w:rPr>
          <w:rFonts w:ascii="Verdana" w:eastAsia="Calibri" w:hAnsi="Verdana" w:cs="Arial"/>
          <w:bCs/>
          <w:color w:val="000000" w:themeColor="text1"/>
          <w:sz w:val="20"/>
          <w:szCs w:val="20"/>
          <w:lang w:val="es-ES_tradnl" w:eastAsia="es-ES_tradnl"/>
        </w:rPr>
        <w:lastRenderedPageBreak/>
        <w:t xml:space="preserve">concerniente a los contratos, su cuantía, cumplimiento, multas y sanciones relacionadas con los contratos que hayan adjudicado. Conforme al artículo 13 de la Ley 1150 de 2007, dichas entidades se sujetan a las normas sobre inhabilidades e incompatibilidades, entre ellas, la del artículo 90 de la Ley 1474 de 2011 para los casos de incumplimiento reiterado. </w:t>
      </w:r>
    </w:p>
    <w:p w14:paraId="10A5D831" w14:textId="77777777" w:rsidR="00D6006F" w:rsidRPr="00386D8E" w:rsidRDefault="00D6006F" w:rsidP="00D6006F">
      <w:pPr>
        <w:spacing w:after="0" w:line="240" w:lineRule="auto"/>
        <w:jc w:val="both"/>
        <w:rPr>
          <w:rFonts w:ascii="Verdana" w:eastAsia="Calibri" w:hAnsi="Verdana" w:cs="Arial"/>
          <w:bCs/>
          <w:color w:val="000000" w:themeColor="text1"/>
          <w:sz w:val="20"/>
          <w:szCs w:val="20"/>
          <w:lang w:val="es-ES_tradnl" w:eastAsia="es-ES_tradnl"/>
        </w:rPr>
      </w:pPr>
    </w:p>
    <w:p w14:paraId="456378F0" w14:textId="77777777" w:rsidR="00D6006F" w:rsidRPr="00386D8E" w:rsidRDefault="00D6006F" w:rsidP="00D6006F">
      <w:pPr>
        <w:spacing w:after="0" w:line="240" w:lineRule="auto"/>
        <w:jc w:val="both"/>
        <w:rPr>
          <w:rFonts w:ascii="Verdana" w:eastAsia="Calibri" w:hAnsi="Verdana" w:cs="Arial"/>
          <w:bCs/>
          <w:color w:val="000000" w:themeColor="text1"/>
          <w:sz w:val="20"/>
          <w:szCs w:val="20"/>
          <w:lang w:val="es-ES_tradnl" w:eastAsia="es-ES_tradnl"/>
        </w:rPr>
      </w:pPr>
      <w:r w:rsidRPr="00386D8E">
        <w:rPr>
          <w:rFonts w:ascii="Verdana" w:eastAsia="Calibri" w:hAnsi="Verdana" w:cs="Arial"/>
          <w:bCs/>
          <w:color w:val="000000" w:themeColor="text1"/>
          <w:sz w:val="20"/>
          <w:szCs w:val="20"/>
          <w:lang w:val="es-ES_tradnl" w:eastAsia="es-ES_tradnl"/>
        </w:rPr>
        <w:t>Por ello, la “Guía para la Gestión Contractual De Entidades Estatales Con Régimen Especial” explica que “Esta inhabilidad se extiende por tres (3) años, contados a partir de la inscripción de la última multa o incumplimiento en el Registro Único de Proponentes – RUP-, de acuerdo con la información remitida por las Entidades Estatales, para lo cual, las Entidades Estatales de régimen especial deben realizar el respectivo reporte a las cámaras de comercio, así como el reporte en la plataforma SECOP II, en el ítem de ‘proveedores’ ‘Registro de Incumplimientos’”.</w:t>
      </w:r>
    </w:p>
    <w:p w14:paraId="14235E51" w14:textId="77777777" w:rsidR="00D6006F" w:rsidRDefault="00D6006F" w:rsidP="00D6006F">
      <w:pPr>
        <w:spacing w:after="0" w:line="240" w:lineRule="auto"/>
        <w:jc w:val="both"/>
        <w:rPr>
          <w:rFonts w:ascii="Verdana" w:eastAsia="Calibri" w:hAnsi="Verdana" w:cs="Arial"/>
          <w:bCs/>
          <w:color w:val="000000" w:themeColor="text1"/>
          <w:sz w:val="20"/>
          <w:szCs w:val="20"/>
          <w:lang w:val="es-ES_tradnl" w:eastAsia="es-ES_tradnl"/>
        </w:rPr>
      </w:pPr>
    </w:p>
    <w:p w14:paraId="2BE5F5B6" w14:textId="77777777" w:rsidR="00D6006F" w:rsidRPr="00386D8E" w:rsidRDefault="00D6006F" w:rsidP="00D6006F">
      <w:pPr>
        <w:spacing w:after="0" w:line="240" w:lineRule="auto"/>
        <w:jc w:val="both"/>
        <w:rPr>
          <w:rFonts w:ascii="Verdana" w:eastAsia="Calibri" w:hAnsi="Verdana" w:cs="Arial"/>
          <w:bCs/>
          <w:color w:val="000000" w:themeColor="text1"/>
          <w:sz w:val="20"/>
          <w:szCs w:val="20"/>
          <w:lang w:val="es-ES_tradnl" w:eastAsia="es-ES_tradnl"/>
        </w:rPr>
      </w:pPr>
      <w:r w:rsidRPr="00386D8E">
        <w:rPr>
          <w:rFonts w:ascii="Verdana" w:eastAsia="Calibri" w:hAnsi="Verdana" w:cs="Arial"/>
          <w:bCs/>
          <w:color w:val="000000" w:themeColor="text1"/>
          <w:sz w:val="20"/>
          <w:szCs w:val="20"/>
          <w:lang w:val="es-ES_tradnl" w:eastAsia="es-ES_tradnl"/>
        </w:rPr>
        <w:t xml:space="preserve">Esta obligación se refuerza con la Circular Externa 002 del 8 de mayo de 2026 expedida por la ANCP – CCE, sobre la “Obligatoriedad de reportar declaratoria de caducidad, multas, sanciones, declaratorias de incumplimiento, inhabilidades y sentencias condenatorias impuestas a los contratistas del Estado ante las Cámaras de Comercio, Procuraduría General de la Nación y en el SECOP” y que se dirige a “Las entidades del Estado, </w:t>
      </w:r>
      <w:r w:rsidRPr="00386D8E">
        <w:rPr>
          <w:rFonts w:ascii="Verdana" w:eastAsia="Calibri" w:hAnsi="Verdana" w:cs="Arial"/>
          <w:bCs/>
          <w:i/>
          <w:iCs/>
          <w:color w:val="000000" w:themeColor="text1"/>
          <w:sz w:val="20"/>
          <w:szCs w:val="20"/>
          <w:lang w:val="es-ES_tradnl" w:eastAsia="es-ES_tradnl"/>
        </w:rPr>
        <w:t>sin distinción de su régimen contractual aplicable</w:t>
      </w:r>
      <w:r w:rsidRPr="00386D8E">
        <w:rPr>
          <w:rFonts w:ascii="Verdana" w:eastAsia="Calibri" w:hAnsi="Verdana" w:cs="Arial"/>
          <w:bCs/>
          <w:color w:val="000000" w:themeColor="text1"/>
          <w:sz w:val="20"/>
          <w:szCs w:val="20"/>
          <w:lang w:val="es-ES_tradnl" w:eastAsia="es-ES_tradnl"/>
        </w:rPr>
        <w:t xml:space="preserve">” (Énfasis fuera de texto). </w:t>
      </w:r>
    </w:p>
    <w:p w14:paraId="30100802" w14:textId="77777777" w:rsidR="00D6006F" w:rsidRDefault="00D6006F" w:rsidP="00D6006F">
      <w:pPr>
        <w:spacing w:after="0" w:line="240" w:lineRule="auto"/>
        <w:jc w:val="both"/>
        <w:rPr>
          <w:rFonts w:ascii="Verdana" w:eastAsia="Calibri" w:hAnsi="Verdana" w:cs="Arial"/>
          <w:bCs/>
          <w:color w:val="000000" w:themeColor="text1"/>
          <w:sz w:val="20"/>
          <w:szCs w:val="20"/>
          <w:lang w:val="es-ES_tradnl" w:eastAsia="es-ES_tradnl"/>
        </w:rPr>
      </w:pPr>
    </w:p>
    <w:p w14:paraId="720FF3BD" w14:textId="77777777" w:rsidR="00D6006F" w:rsidRPr="00386D8E" w:rsidRDefault="00D6006F" w:rsidP="00D6006F">
      <w:pPr>
        <w:spacing w:after="0" w:line="240" w:lineRule="auto"/>
        <w:jc w:val="both"/>
        <w:rPr>
          <w:rFonts w:ascii="Verdana" w:eastAsia="Calibri" w:hAnsi="Verdana" w:cs="Arial"/>
          <w:bCs/>
          <w:color w:val="000000" w:themeColor="text1"/>
          <w:sz w:val="20"/>
          <w:szCs w:val="20"/>
          <w:lang w:val="es-ES_tradnl" w:eastAsia="es-ES_tradnl"/>
        </w:rPr>
      </w:pPr>
      <w:r w:rsidRPr="00386D8E">
        <w:rPr>
          <w:rFonts w:ascii="Verdana" w:eastAsia="Calibri" w:hAnsi="Verdana" w:cs="Arial"/>
          <w:bCs/>
          <w:color w:val="000000" w:themeColor="text1"/>
          <w:sz w:val="20"/>
          <w:szCs w:val="20"/>
          <w:lang w:val="es-ES_tradnl" w:eastAsia="es-ES_tradnl"/>
        </w:rPr>
        <w:t>Por tanto, las entidades exceptuadas de la Ley 80 de 1993 tienen el deber de “[…] efectuar reportes derivados de decisiones relacionadas con presuntos incumplimientos contractuales […]”, entre otros casos, cuando la ausencia de ejecución, la ejecución defectuosa o tardía de la prestación conducen a la declaración de terminación anticipada, multas o cláusula penal pecuniaria. Conforme al numeral 7 de la citada guía, la Agencia establece el alcance de la “Aplicabilidad de sanciones y cláusulas de ejercicio unilateral por parte de las Entidades Estatales con régimen especial de contratación”.</w:t>
      </w:r>
    </w:p>
    <w:p w14:paraId="690690A5" w14:textId="77777777" w:rsidR="00D6006F" w:rsidRDefault="00D6006F" w:rsidP="00D6006F">
      <w:pPr>
        <w:spacing w:after="0" w:line="240" w:lineRule="auto"/>
        <w:jc w:val="both"/>
        <w:rPr>
          <w:rFonts w:ascii="Verdana" w:eastAsia="Calibri" w:hAnsi="Verdana" w:cs="Arial"/>
          <w:bCs/>
          <w:color w:val="000000" w:themeColor="text1"/>
          <w:sz w:val="20"/>
          <w:szCs w:val="20"/>
          <w:lang w:val="es-ES_tradnl" w:eastAsia="es-ES_tradnl"/>
        </w:rPr>
      </w:pPr>
    </w:p>
    <w:p w14:paraId="3BE7F4DD" w14:textId="77777777" w:rsidR="00D6006F" w:rsidRDefault="00D6006F" w:rsidP="00D6006F">
      <w:pPr>
        <w:spacing w:after="0" w:line="240" w:lineRule="auto"/>
        <w:jc w:val="both"/>
        <w:rPr>
          <w:rFonts w:ascii="Verdana" w:eastAsia="Calibri" w:hAnsi="Verdana" w:cs="Arial"/>
          <w:bCs/>
          <w:color w:val="000000" w:themeColor="text1"/>
          <w:sz w:val="20"/>
          <w:szCs w:val="20"/>
          <w:lang w:val="es-MX" w:eastAsia="es-ES_tradnl"/>
        </w:rPr>
      </w:pPr>
      <w:r w:rsidRPr="00386D8E">
        <w:rPr>
          <w:rFonts w:ascii="Verdana" w:eastAsia="Calibri" w:hAnsi="Verdana" w:cs="Arial"/>
          <w:bCs/>
          <w:color w:val="000000" w:themeColor="text1"/>
          <w:sz w:val="20"/>
          <w:szCs w:val="20"/>
          <w:lang w:val="es-ES_tradnl" w:eastAsia="es-ES_tradnl"/>
        </w:rPr>
        <w:t>La Circular 002 de 2026 no se refiere al reporte de “[…] las decisiones contractuales mediante las cuales la EDU determina la ocurrencia de un siniestro derivado de un presunto incumplimiento contractual, con fines de efectividad de garantías y reclamación ante la aseguradora […]”. Activar las garantías supone previamente la expedición de certificados, actas o documentos equivalentes donde, además de constar el ejercicio del derecho de defensa y contradicción por parte del afectado, acreditan la imposición de las sanciones pactadas en el negocio jurídico, las cuales sirven de fundamento para la reclamación posterior. Esta es la información objeto de reporte de acuerdo con el citado acto administrativo, la cual deberá constituirse en las condiciones que defina el manual de contratación de la entidad para su traslado a la cámara de comercio.</w:t>
      </w:r>
    </w:p>
    <w:p w14:paraId="4CA9A3D7" w14:textId="77777777" w:rsidR="00D6006F" w:rsidRDefault="00D6006F" w:rsidP="00D6006F">
      <w:pPr>
        <w:spacing w:after="0" w:line="240" w:lineRule="auto"/>
        <w:jc w:val="both"/>
        <w:rPr>
          <w:rFonts w:ascii="Verdana" w:eastAsia="Calibri" w:hAnsi="Verdana" w:cs="Arial"/>
          <w:bCs/>
          <w:color w:val="000000" w:themeColor="text1"/>
          <w:sz w:val="20"/>
          <w:szCs w:val="20"/>
          <w:lang w:val="es-MX" w:eastAsia="es-ES_tradnl"/>
        </w:rPr>
      </w:pPr>
    </w:p>
    <w:p w14:paraId="22FF5BFA" w14:textId="77777777" w:rsidR="00D6006F" w:rsidRPr="00A44850" w:rsidRDefault="00D6006F" w:rsidP="00D6006F">
      <w:pPr>
        <w:spacing w:after="0" w:line="240" w:lineRule="auto"/>
        <w:jc w:val="both"/>
        <w:rPr>
          <w:rFonts w:ascii="Verdana" w:eastAsia="Calibri" w:hAnsi="Verdana" w:cs="Arial"/>
          <w:bCs/>
          <w:color w:val="000000" w:themeColor="text1"/>
          <w:sz w:val="20"/>
          <w:szCs w:val="20"/>
          <w:lang w:val="es-MX" w:eastAsia="es-ES_tradnl"/>
        </w:rPr>
      </w:pPr>
    </w:p>
    <w:p w14:paraId="39785CBD" w14:textId="77777777" w:rsidR="00D6006F" w:rsidRPr="00817382" w:rsidRDefault="00D6006F" w:rsidP="00D6006F">
      <w:pPr>
        <w:spacing w:after="0" w:line="240" w:lineRule="auto"/>
        <w:jc w:val="both"/>
        <w:rPr>
          <w:rFonts w:ascii="Verdana" w:eastAsia="Calibri" w:hAnsi="Verdana" w:cs="Arial"/>
          <w:bCs/>
          <w:color w:val="000000" w:themeColor="text1"/>
          <w:sz w:val="20"/>
          <w:szCs w:val="20"/>
          <w:lang w:val="es-ES_tradnl" w:eastAsia="es-ES_tradnl"/>
        </w:rPr>
      </w:pPr>
    </w:p>
    <w:p w14:paraId="2D207A08" w14:textId="23E2030D" w:rsidR="00D6006F" w:rsidRDefault="00D6006F" w:rsidP="00D6006F">
      <w:pPr>
        <w:spacing w:after="0" w:line="240" w:lineRule="auto"/>
        <w:jc w:val="both"/>
        <w:textAlignment w:val="baseline"/>
        <w:rPr>
          <w:rFonts w:ascii="Verdana" w:hAnsi="Verdana" w:cs="Arial"/>
          <w:bCs/>
          <w:sz w:val="20"/>
          <w:szCs w:val="20"/>
          <w:lang w:val="es-ES_tradnl" w:eastAsia="es-CO"/>
        </w:rPr>
      </w:pPr>
    </w:p>
    <w:p w14:paraId="61AA9FB7" w14:textId="77777777" w:rsidR="00D6006F" w:rsidRPr="00D6006F" w:rsidRDefault="00D6006F" w:rsidP="00D6006F">
      <w:pPr>
        <w:spacing w:after="0" w:line="240" w:lineRule="auto"/>
        <w:jc w:val="both"/>
        <w:textAlignment w:val="baseline"/>
        <w:rPr>
          <w:rFonts w:ascii="Verdana" w:hAnsi="Verdana" w:cs="Arial"/>
          <w:bCs/>
          <w:sz w:val="20"/>
          <w:szCs w:val="20"/>
          <w:lang w:val="es-ES_tradnl" w:eastAsia="es-CO"/>
        </w:rPr>
      </w:pPr>
    </w:p>
    <w:p w14:paraId="70DA76DF" w14:textId="77777777" w:rsidR="00D6006F" w:rsidRDefault="00D6006F" w:rsidP="00B5328B">
      <w:pPr>
        <w:spacing w:after="0" w:line="240" w:lineRule="auto"/>
        <w:rPr>
          <w:rFonts w:ascii="Verdana" w:eastAsia="Geomanist Light" w:hAnsi="Verdana" w:cs="Arial"/>
          <w:color w:val="000000" w:themeColor="text1"/>
          <w:lang w:val="es-MX"/>
        </w:rPr>
      </w:pPr>
    </w:p>
    <w:p w14:paraId="4A1A3B86" w14:textId="77777777" w:rsidR="00D6006F" w:rsidRDefault="00D6006F" w:rsidP="00B5328B">
      <w:pPr>
        <w:spacing w:after="0" w:line="240" w:lineRule="auto"/>
        <w:rPr>
          <w:rFonts w:ascii="Verdana" w:eastAsia="Geomanist Light" w:hAnsi="Verdana" w:cs="Arial"/>
          <w:color w:val="000000" w:themeColor="text1"/>
          <w:lang w:val="es-MX"/>
        </w:rPr>
      </w:pPr>
    </w:p>
    <w:p w14:paraId="7362898F" w14:textId="080F32BD" w:rsidR="00B5328B" w:rsidRPr="00CD31C9" w:rsidRDefault="00B5328B" w:rsidP="00B5328B">
      <w:pPr>
        <w:spacing w:after="0" w:line="240" w:lineRule="auto"/>
        <w:rPr>
          <w:rFonts w:ascii="Verdana" w:eastAsia="Geomanist Light" w:hAnsi="Verdana" w:cs="Arial"/>
          <w:color w:val="201F1E"/>
        </w:rPr>
      </w:pPr>
      <w:r w:rsidRPr="00593A5F">
        <w:rPr>
          <w:rFonts w:ascii="Verdana" w:eastAsia="Geomanist Light" w:hAnsi="Verdana" w:cs="Arial"/>
          <w:color w:val="000000" w:themeColor="text1"/>
          <w:lang w:val="es-MX"/>
        </w:rPr>
        <w:lastRenderedPageBreak/>
        <w:t>Bogotá D.C., </w:t>
      </w:r>
      <w:r w:rsidR="00CD31C9" w:rsidRPr="00CD31C9">
        <w:rPr>
          <w:rFonts w:ascii="Verdana" w:eastAsia="Geomanist Light" w:hAnsi="Verdana" w:cs="Arial"/>
          <w:color w:val="000000" w:themeColor="text1"/>
          <w:lang w:val="es-MX"/>
        </w:rPr>
        <w:t>11 de Junio de 2026</w:t>
      </w:r>
    </w:p>
    <w:p w14:paraId="26443600" w14:textId="77777777" w:rsidR="00B5328B" w:rsidRDefault="00B5328B" w:rsidP="00B5328B">
      <w:pPr>
        <w:spacing w:after="0" w:line="240" w:lineRule="auto"/>
        <w:jc w:val="both"/>
        <w:rPr>
          <w:rFonts w:ascii="Verdana" w:eastAsia="Calibri" w:hAnsi="Verdana" w:cs="Arial"/>
          <w:color w:val="000000"/>
          <w:lang w:val="es-ES"/>
        </w:rPr>
      </w:pPr>
    </w:p>
    <w:p w14:paraId="21D86C01" w14:textId="69D61AFC" w:rsidR="00B5328B" w:rsidRDefault="00CD31C9" w:rsidP="00CD31C9">
      <w:pPr>
        <w:spacing w:after="0" w:line="240" w:lineRule="auto"/>
        <w:jc w:val="right"/>
        <w:rPr>
          <w:rFonts w:ascii="Verdana" w:eastAsia="Calibri" w:hAnsi="Verdana" w:cs="Arial"/>
          <w:color w:val="000000"/>
          <w:lang w:val="es-ES"/>
        </w:rPr>
      </w:pPr>
      <w:r w:rsidRPr="00CD31C9">
        <w:rPr>
          <w:rFonts w:ascii="Verdana" w:eastAsia="Calibri" w:hAnsi="Verdana" w:cs="Arial"/>
          <w:noProof/>
          <w:color w:val="000000"/>
          <w:lang w:val="es-ES"/>
        </w:rPr>
        <w:drawing>
          <wp:inline distT="0" distB="0" distL="0" distR="0" wp14:anchorId="55D626CD" wp14:editId="139B6243">
            <wp:extent cx="2400300" cy="622300"/>
            <wp:effectExtent l="0" t="0" r="0" b="0"/>
            <wp:docPr id="76689332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893328" name=""/>
                    <pic:cNvPicPr/>
                  </pic:nvPicPr>
                  <pic:blipFill>
                    <a:blip r:embed="rId10"/>
                    <a:stretch>
                      <a:fillRect/>
                    </a:stretch>
                  </pic:blipFill>
                  <pic:spPr>
                    <a:xfrm>
                      <a:off x="0" y="0"/>
                      <a:ext cx="2400300" cy="622300"/>
                    </a:xfrm>
                    <a:prstGeom prst="rect">
                      <a:avLst/>
                    </a:prstGeom>
                  </pic:spPr>
                </pic:pic>
              </a:graphicData>
            </a:graphic>
          </wp:inline>
        </w:drawing>
      </w:r>
    </w:p>
    <w:p w14:paraId="30FD6659" w14:textId="77777777" w:rsidR="00CD31C9" w:rsidRPr="00593A5F" w:rsidRDefault="00CD31C9" w:rsidP="00B5328B">
      <w:pPr>
        <w:spacing w:after="0" w:line="240" w:lineRule="auto"/>
        <w:jc w:val="both"/>
        <w:rPr>
          <w:rFonts w:ascii="Verdana" w:eastAsia="Calibri" w:hAnsi="Verdana" w:cs="Arial"/>
          <w:color w:val="000000"/>
          <w:lang w:val="es-ES"/>
        </w:rPr>
      </w:pPr>
    </w:p>
    <w:p w14:paraId="06B41937" w14:textId="77777777" w:rsidR="00B5328B" w:rsidRPr="00B96799" w:rsidRDefault="00B5328B" w:rsidP="00B5328B">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463804F5" w14:textId="77777777" w:rsidR="00B5328B" w:rsidRDefault="00B5328B" w:rsidP="00B5328B">
      <w:pPr>
        <w:spacing w:after="0" w:line="240" w:lineRule="auto"/>
        <w:rPr>
          <w:rFonts w:ascii="Verdana" w:eastAsia="Calibri" w:hAnsi="Verdana" w:cs="Arial"/>
          <w:b/>
          <w:lang w:val="es-ES_tradnl" w:eastAsia="es-ES_tradnl"/>
        </w:rPr>
      </w:pPr>
      <w:r w:rsidRPr="00DA10C6">
        <w:rPr>
          <w:rFonts w:ascii="Verdana" w:eastAsia="Calibri" w:hAnsi="Verdana" w:cs="Arial"/>
          <w:b/>
          <w:lang w:val="es-ES_tradnl" w:eastAsia="es-ES_tradnl"/>
        </w:rPr>
        <w:t>Elizabeth Castrillón Pérez</w:t>
      </w:r>
    </w:p>
    <w:p w14:paraId="6E230AC3" w14:textId="77777777" w:rsidR="00B5328B" w:rsidRPr="00DF20C7" w:rsidRDefault="00B5328B" w:rsidP="00B5328B">
      <w:pPr>
        <w:spacing w:after="0" w:line="240" w:lineRule="auto"/>
        <w:rPr>
          <w:rFonts w:ascii="Verdana" w:eastAsia="Calibri" w:hAnsi="Verdana" w:cs="Arial"/>
          <w:lang w:val="es-ES" w:eastAsia="es-ES"/>
        </w:rPr>
      </w:pPr>
      <w:hyperlink r:id="rId11" w:history="1">
        <w:r w:rsidRPr="00B47073">
          <w:rPr>
            <w:rStyle w:val="Hipervnculo"/>
            <w:rFonts w:ascii="Verdana" w:hAnsi="Verdana"/>
          </w:rPr>
          <w:t>elizabeth.castrillon@edu.gov.co</w:t>
        </w:r>
      </w:hyperlink>
      <w:r>
        <w:rPr>
          <w:rFonts w:ascii="Verdana" w:hAnsi="Verdana"/>
        </w:rPr>
        <w:t xml:space="preserve"> </w:t>
      </w:r>
      <w:r w:rsidRPr="00DF20C7">
        <w:rPr>
          <w:rFonts w:ascii="Verdana" w:hAnsi="Verdana"/>
        </w:rPr>
        <w:t xml:space="preserve"> </w:t>
      </w:r>
      <w:r>
        <w:rPr>
          <w:rFonts w:ascii="Verdana" w:hAnsi="Verdana"/>
        </w:rPr>
        <w:t xml:space="preserve"> </w:t>
      </w:r>
      <w:r w:rsidRPr="00DF20C7">
        <w:rPr>
          <w:rFonts w:ascii="Verdana" w:hAnsi="Verdana"/>
        </w:rPr>
        <w:t xml:space="preserve">                   </w:t>
      </w:r>
      <w:r w:rsidRPr="00DF20C7">
        <w:rPr>
          <w:rFonts w:ascii="Verdana" w:eastAsia="Calibri" w:hAnsi="Verdana" w:cs="Arial"/>
          <w:lang w:val="es-ES" w:eastAsia="es-ES"/>
        </w:rPr>
        <w:t xml:space="preserve">    </w:t>
      </w:r>
    </w:p>
    <w:p w14:paraId="5160B9EC" w14:textId="77777777" w:rsidR="00B5328B" w:rsidRDefault="00B5328B" w:rsidP="00B5328B">
      <w:pPr>
        <w:spacing w:after="0" w:line="240" w:lineRule="auto"/>
        <w:rPr>
          <w:rFonts w:ascii="Verdana" w:eastAsia="Calibri" w:hAnsi="Verdana" w:cs="Arial"/>
          <w:lang w:val="es-ES" w:eastAsia="es-ES"/>
        </w:rPr>
      </w:pPr>
      <w:r>
        <w:rPr>
          <w:rFonts w:ascii="Verdana" w:eastAsia="Calibri" w:hAnsi="Verdana" w:cs="Arial"/>
          <w:lang w:val="es-ES" w:eastAsia="es-ES"/>
        </w:rPr>
        <w:t>Medellín</w:t>
      </w:r>
      <w:r w:rsidRPr="004513BB">
        <w:rPr>
          <w:rFonts w:ascii="Verdana" w:eastAsia="Calibri" w:hAnsi="Verdana" w:cs="Arial"/>
          <w:lang w:val="es-ES" w:eastAsia="es-ES"/>
        </w:rPr>
        <w:t xml:space="preserve">, </w:t>
      </w:r>
      <w:r>
        <w:rPr>
          <w:rFonts w:ascii="Verdana" w:eastAsia="Calibri" w:hAnsi="Verdana" w:cs="Arial"/>
          <w:lang w:val="es-ES" w:eastAsia="es-ES"/>
        </w:rPr>
        <w:t xml:space="preserve">Antioquia </w:t>
      </w:r>
    </w:p>
    <w:p w14:paraId="06C97FE9" w14:textId="77777777" w:rsidR="00B5328B" w:rsidRPr="00593A5F" w:rsidRDefault="00B5328B" w:rsidP="00B5328B">
      <w:pPr>
        <w:spacing w:after="0" w:line="240" w:lineRule="auto"/>
        <w:rPr>
          <w:rFonts w:ascii="Verdana" w:eastAsia="Calibri" w:hAnsi="Verdana" w:cs="Arial"/>
          <w:b/>
          <w:bCs/>
          <w:color w:val="000000"/>
          <w:lang w:val="es-ES_tradnl" w:eastAsia="es-ES_tradnl"/>
        </w:rPr>
      </w:pPr>
    </w:p>
    <w:p w14:paraId="7B3CB3B4" w14:textId="77777777" w:rsidR="00B5328B" w:rsidRPr="00593A5F" w:rsidRDefault="00B5328B" w:rsidP="00B5328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5328B" w:rsidRPr="00593A5F" w14:paraId="077104C9" w14:textId="77777777" w:rsidTr="0006760E">
        <w:trPr>
          <w:trHeight w:val="884"/>
        </w:trPr>
        <w:tc>
          <w:tcPr>
            <w:tcW w:w="2689" w:type="dxa"/>
          </w:tcPr>
          <w:p w14:paraId="62C70B15" w14:textId="77777777" w:rsidR="00B5328B" w:rsidRPr="00C00976" w:rsidRDefault="00B5328B" w:rsidP="0006760E">
            <w:pPr>
              <w:jc w:val="both"/>
              <w:rPr>
                <w:rFonts w:ascii="Verdana" w:eastAsia="Calibri" w:hAnsi="Verdana" w:cs="Arial"/>
                <w:b/>
                <w:bCs/>
                <w:color w:val="7030A0"/>
                <w:lang w:val="es-ES_tradnl" w:eastAsia="es-ES_tradnl"/>
              </w:rPr>
            </w:pPr>
          </w:p>
        </w:tc>
        <w:tc>
          <w:tcPr>
            <w:tcW w:w="6100" w:type="dxa"/>
          </w:tcPr>
          <w:p w14:paraId="090106DD" w14:textId="77777777" w:rsidR="00B5328B" w:rsidRPr="00C00976" w:rsidRDefault="00B5328B" w:rsidP="0006760E">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892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B5328B" w:rsidRPr="00593A5F" w14:paraId="0874EFA0" w14:textId="77777777" w:rsidTr="0006760E">
        <w:trPr>
          <w:trHeight w:val="884"/>
        </w:trPr>
        <w:tc>
          <w:tcPr>
            <w:tcW w:w="2689" w:type="dxa"/>
          </w:tcPr>
          <w:p w14:paraId="15D144DA" w14:textId="77777777" w:rsidR="00B5328B" w:rsidRPr="00593A5F" w:rsidRDefault="00B5328B" w:rsidP="0006760E">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84B0AA8" w14:textId="77777777" w:rsidR="00B5328B" w:rsidRPr="00A11406" w:rsidRDefault="00B5328B" w:rsidP="0006760E">
            <w:pPr>
              <w:spacing w:line="276" w:lineRule="auto"/>
              <w:jc w:val="both"/>
              <w:rPr>
                <w:rFonts w:ascii="Verdana" w:eastAsia="Calibri" w:hAnsi="Verdana" w:cs="Arial"/>
                <w:lang w:val="es-ES" w:eastAsia="es-ES"/>
              </w:rPr>
            </w:pPr>
            <w:r w:rsidRPr="004850E9">
              <w:rPr>
                <w:rFonts w:ascii="Verdana" w:eastAsia="Calibri" w:hAnsi="Verdana" w:cs="Arial"/>
                <w:lang w:val="es-ES" w:eastAsia="es-ES"/>
              </w:rPr>
              <w:t xml:space="preserve">EGCAP – Ámbito de aplicación – Entidades estatales </w:t>
            </w:r>
            <w:r>
              <w:rPr>
                <w:rFonts w:ascii="Verdana" w:eastAsia="Calibri" w:hAnsi="Verdana" w:cs="Arial"/>
                <w:lang w:val="es-ES" w:eastAsia="es-ES"/>
              </w:rPr>
              <w:t xml:space="preserve">/ </w:t>
            </w:r>
            <w:r w:rsidRPr="004850E9">
              <w:rPr>
                <w:rFonts w:ascii="Verdana" w:eastAsia="Calibri" w:hAnsi="Verdana" w:cs="Arial"/>
                <w:lang w:val="es-ES" w:eastAsia="es-ES"/>
              </w:rPr>
              <w:t>ENTIDADES EXCEPTUADAS – Aplicación de normas de derecho público</w:t>
            </w:r>
            <w:r>
              <w:rPr>
                <w:rFonts w:ascii="Verdana" w:eastAsia="Calibri" w:hAnsi="Verdana" w:cs="Arial"/>
                <w:lang w:val="es-ES" w:eastAsia="es-ES"/>
              </w:rPr>
              <w:t xml:space="preserve"> / </w:t>
            </w:r>
            <w:r w:rsidRPr="004850E9">
              <w:rPr>
                <w:rFonts w:ascii="Verdana" w:eastAsia="Calibri" w:hAnsi="Verdana" w:cs="Arial"/>
                <w:lang w:val="es-ES" w:eastAsia="es-ES"/>
              </w:rPr>
              <w:t>CONTRATOS ESTATALES – Régimen especial – Obligaciones transversales – Manual de contratación – Límites</w:t>
            </w:r>
            <w:r>
              <w:rPr>
                <w:rFonts w:ascii="Verdana" w:eastAsia="Calibri" w:hAnsi="Verdana" w:cs="Arial"/>
                <w:lang w:val="es-ES" w:eastAsia="es-ES"/>
              </w:rPr>
              <w:t xml:space="preserve"> / </w:t>
            </w:r>
            <w:r w:rsidRPr="004850E9">
              <w:rPr>
                <w:rFonts w:ascii="Verdana" w:eastAsia="Calibri" w:hAnsi="Verdana" w:cs="Arial"/>
                <w:lang w:val="es-ES" w:eastAsia="es-ES"/>
              </w:rPr>
              <w:t>EMPRESAS INDUSTRIALES Y COMERCIALES DEL ESTADO – Régimen contractual – Ley 80 de 1993 – Derecho privado</w:t>
            </w:r>
            <w:r>
              <w:rPr>
                <w:rFonts w:ascii="Verdana" w:eastAsia="Calibri" w:hAnsi="Verdana" w:cs="Arial"/>
                <w:lang w:val="es-ES" w:eastAsia="es-ES"/>
              </w:rPr>
              <w:t xml:space="preserve"> / </w:t>
            </w:r>
            <w:r w:rsidRPr="00A8132A">
              <w:rPr>
                <w:rFonts w:ascii="Verdana" w:eastAsia="Calibri" w:hAnsi="Verdana" w:cs="Arial"/>
                <w:lang w:val="es-ES" w:eastAsia="es-ES"/>
              </w:rPr>
              <w:t>REPORTE – Multas, sanciones e inhabilidades – Cámaras de comercio – Entidades sometidas – Marco normativo</w:t>
            </w:r>
            <w:r>
              <w:rPr>
                <w:rFonts w:ascii="Verdana" w:eastAsia="Calibri" w:hAnsi="Verdana" w:cs="Arial"/>
                <w:lang w:val="es-ES" w:eastAsia="es-ES"/>
              </w:rPr>
              <w:t xml:space="preserve"> / </w:t>
            </w:r>
            <w:r w:rsidRPr="004A4130">
              <w:rPr>
                <w:rFonts w:ascii="Verdana" w:eastAsia="Calibri" w:hAnsi="Verdana" w:cs="Arial"/>
                <w:lang w:val="es-ES" w:eastAsia="es-ES"/>
              </w:rPr>
              <w:t>CIRCULAR EXTERNA 002 DE 2026 – Ámbito de aplicación – Entidades exceptuadas</w:t>
            </w:r>
            <w:r w:rsidRPr="004850E9">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11E48FFF" w14:textId="77777777" w:rsidR="00B5328B" w:rsidRPr="00593A5F" w:rsidRDefault="00B5328B" w:rsidP="0006760E">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B5328B" w:rsidRPr="008E6AD9" w14:paraId="16BC9741" w14:textId="77777777" w:rsidTr="0006760E">
        <w:tc>
          <w:tcPr>
            <w:tcW w:w="2689" w:type="dxa"/>
          </w:tcPr>
          <w:p w14:paraId="09197344" w14:textId="77777777" w:rsidR="00B5328B" w:rsidRPr="008E6AD9" w:rsidRDefault="00B5328B" w:rsidP="0006760E">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067BCA3" w14:textId="77777777" w:rsidR="00B5328B" w:rsidRPr="00B92340" w:rsidRDefault="00B5328B" w:rsidP="0006760E">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A673A4">
              <w:rPr>
                <w:rFonts w:ascii="Verdana" w:eastAsia="Calibri" w:hAnsi="Verdana" w:cs="Arial"/>
                <w:lang w:val="es-ES_tradnl" w:eastAsia="es-ES_tradnl"/>
              </w:rPr>
              <w:t>1_2026_05_27_007167</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5C034A84" w14:textId="77777777" w:rsidR="00B5328B" w:rsidRPr="00593A5F" w:rsidRDefault="00B5328B" w:rsidP="00B5328B">
      <w:pPr>
        <w:spacing w:after="0" w:line="240" w:lineRule="auto"/>
        <w:jc w:val="both"/>
        <w:rPr>
          <w:rFonts w:ascii="Verdana" w:eastAsia="Calibri" w:hAnsi="Verdana" w:cs="Arial"/>
          <w:color w:val="000000"/>
          <w:lang w:val="es-ES_tradnl" w:eastAsia="es-ES_tradnl"/>
        </w:rPr>
      </w:pPr>
    </w:p>
    <w:p w14:paraId="054E82BF" w14:textId="77777777" w:rsidR="00B5328B" w:rsidRPr="00593A5F" w:rsidRDefault="00B5328B" w:rsidP="00B5328B">
      <w:pPr>
        <w:spacing w:after="0" w:line="240" w:lineRule="auto"/>
        <w:jc w:val="both"/>
        <w:rPr>
          <w:rFonts w:ascii="Verdana" w:eastAsia="Calibri" w:hAnsi="Verdana" w:cs="Arial"/>
          <w:color w:val="000000"/>
          <w:lang w:val="es-ES_tradnl" w:eastAsia="es-ES_tradnl"/>
        </w:rPr>
      </w:pPr>
    </w:p>
    <w:p w14:paraId="2FFA963B" w14:textId="77777777" w:rsidR="00B5328B" w:rsidRPr="008E6AD9" w:rsidRDefault="00B5328B" w:rsidP="00B5328B">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AE2D6F">
        <w:rPr>
          <w:rFonts w:ascii="Verdana" w:eastAsia="Calibri" w:hAnsi="Verdana" w:cs="Arial"/>
          <w:lang w:val="es-ES" w:eastAsia="es-ES"/>
        </w:rPr>
        <w:t>Castrillón Pérez</w:t>
      </w:r>
      <w:r w:rsidRPr="008E6AD9">
        <w:rPr>
          <w:rFonts w:ascii="Verdana" w:eastAsia="Calibri" w:hAnsi="Verdana" w:cs="Arial"/>
          <w:lang w:val="es-ES" w:eastAsia="es-ES"/>
        </w:rPr>
        <w:t xml:space="preserve">: </w:t>
      </w:r>
    </w:p>
    <w:p w14:paraId="3B621BCB" w14:textId="77777777" w:rsidR="00B5328B" w:rsidRDefault="00B5328B" w:rsidP="00B5328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DD103BA" w14:textId="77777777" w:rsidR="00B5328B" w:rsidRPr="00593A5F" w:rsidRDefault="00B5328B" w:rsidP="00B5328B">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3B6F24">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27 de mayo de 2026, donde manifiesta lo siguiente</w:t>
      </w:r>
      <w:r w:rsidRPr="008E6AD9">
        <w:rPr>
          <w:rFonts w:ascii="Verdana" w:eastAsia="Calibri" w:hAnsi="Verdana" w:cs="Arial"/>
          <w:lang w:val="es-ES" w:eastAsia="es-ES"/>
        </w:rPr>
        <w:t xml:space="preserve">: </w:t>
      </w:r>
    </w:p>
    <w:p w14:paraId="1688CD44" w14:textId="77777777" w:rsidR="00B5328B" w:rsidRPr="00272A7B" w:rsidRDefault="00B5328B" w:rsidP="00B5328B">
      <w:pPr>
        <w:pStyle w:val="Prrafodelista"/>
        <w:tabs>
          <w:tab w:val="left" w:pos="142"/>
          <w:tab w:val="left" w:pos="284"/>
        </w:tabs>
        <w:spacing w:after="0" w:line="276" w:lineRule="auto"/>
        <w:ind w:left="0"/>
        <w:jc w:val="both"/>
        <w:rPr>
          <w:rFonts w:ascii="Verdana" w:eastAsia="Century Gothic" w:hAnsi="Verdana" w:cs="Century Gothic"/>
          <w:b/>
          <w:bCs/>
        </w:rPr>
      </w:pPr>
    </w:p>
    <w:p w14:paraId="19376340" w14:textId="77777777" w:rsidR="00B5328B" w:rsidRPr="003B42AA" w:rsidRDefault="00B5328B" w:rsidP="00B5328B">
      <w:pPr>
        <w:spacing w:after="120" w:line="240" w:lineRule="auto"/>
        <w:ind w:left="709" w:right="709"/>
        <w:jc w:val="both"/>
        <w:rPr>
          <w:rFonts w:ascii="Verdana" w:eastAsia="Century Gothic" w:hAnsi="Verdana" w:cs="Century Gothic"/>
          <w:sz w:val="20"/>
          <w:szCs w:val="20"/>
          <w:lang w:val="es-ES"/>
        </w:rPr>
      </w:pPr>
      <w:bookmarkStart w:id="1" w:name="_Hlk95313578"/>
      <w:r w:rsidRPr="001904AF">
        <w:rPr>
          <w:rFonts w:ascii="Verdana" w:eastAsia="Century Gothic" w:hAnsi="Verdana" w:cs="Century Gothic"/>
          <w:sz w:val="20"/>
          <w:szCs w:val="20"/>
          <w:lang w:val="es-ES"/>
        </w:rPr>
        <w:t>“</w:t>
      </w:r>
      <w:bookmarkEnd w:id="1"/>
      <w:r w:rsidRPr="003B42AA">
        <w:rPr>
          <w:rFonts w:ascii="Verdana" w:eastAsia="Century Gothic" w:hAnsi="Verdana" w:cs="Century Gothic"/>
          <w:sz w:val="20"/>
          <w:szCs w:val="20"/>
          <w:lang w:val="es-ES"/>
        </w:rPr>
        <w:t>La Empresa de Desarrollo Urbano EDU, es una Empresa Industrial y Comercial del Estado −EICE− del orden distrital, creada mediante el Acuerdo 43 de 1993 como Promotora Inmobiliaria de Medellín y cambiando su denominación a Empresa de Desarrollo Urbano EDU, mediante el Decreto 158 de 2002, dotada de autonomía administrativa, financiera y patrimonio propio.</w:t>
      </w:r>
    </w:p>
    <w:p w14:paraId="7CE754E7" w14:textId="77777777" w:rsidR="00B5328B" w:rsidRPr="003B42AA" w:rsidRDefault="00B5328B" w:rsidP="00B5328B">
      <w:pPr>
        <w:spacing w:after="120" w:line="240" w:lineRule="auto"/>
        <w:ind w:left="709" w:right="709"/>
        <w:jc w:val="both"/>
        <w:rPr>
          <w:rFonts w:ascii="Verdana" w:eastAsia="Century Gothic" w:hAnsi="Verdana" w:cs="Century Gothic"/>
          <w:sz w:val="20"/>
          <w:szCs w:val="20"/>
          <w:lang w:val="es-ES"/>
        </w:rPr>
      </w:pPr>
      <w:r w:rsidRPr="003B42AA">
        <w:rPr>
          <w:rFonts w:ascii="Verdana" w:eastAsia="Century Gothic" w:hAnsi="Verdana" w:cs="Century Gothic"/>
          <w:sz w:val="20"/>
          <w:szCs w:val="20"/>
          <w:lang w:val="es-ES"/>
        </w:rPr>
        <w:t>En virtud de su naturaleza jurídica, la EDU se permite elevar consulta respecto de la aplicabilidad de la Circular Externa No. 002 de 2026 expedida por la Agencia Nacional de Contratación Pública – Colombia Compra Eficiente, particularmente frente a la obligación de efectuar reportes derivados de decisiones relacionadas con presuntos incumplimientos contractuales.</w:t>
      </w:r>
    </w:p>
    <w:p w14:paraId="51B12D22" w14:textId="77777777" w:rsidR="00B5328B" w:rsidRPr="003B42AA" w:rsidRDefault="00B5328B" w:rsidP="00B5328B">
      <w:pPr>
        <w:spacing w:after="120" w:line="240" w:lineRule="auto"/>
        <w:ind w:left="709" w:right="709"/>
        <w:jc w:val="both"/>
        <w:rPr>
          <w:rFonts w:ascii="Verdana" w:eastAsia="Century Gothic" w:hAnsi="Verdana" w:cs="Century Gothic"/>
          <w:sz w:val="20"/>
          <w:szCs w:val="20"/>
          <w:lang w:val="es-ES"/>
        </w:rPr>
      </w:pPr>
      <w:r w:rsidRPr="003B42AA">
        <w:rPr>
          <w:rFonts w:ascii="Verdana" w:eastAsia="Century Gothic" w:hAnsi="Verdana" w:cs="Century Gothic"/>
          <w:sz w:val="20"/>
          <w:szCs w:val="20"/>
          <w:lang w:val="es-ES"/>
        </w:rPr>
        <w:t>La inquietud surge considerando que la EDU, en el marco de su régimen contractual especial y de conformidad con su Manual de Contratación, no adelanta procedimientos administrativos sancionatorios en ejercicio de potestades excepcionales previstas en la Ley 80 de 1993, ni expide actos administrativos de declaratoria unilateral de incumplimiento en sentido estricto.</w:t>
      </w:r>
    </w:p>
    <w:p w14:paraId="151D5DED" w14:textId="77777777" w:rsidR="00B5328B" w:rsidRDefault="00B5328B" w:rsidP="00B5328B">
      <w:pPr>
        <w:spacing w:after="0" w:line="240" w:lineRule="auto"/>
        <w:ind w:left="709" w:right="709"/>
        <w:jc w:val="both"/>
        <w:rPr>
          <w:rFonts w:ascii="Verdana" w:eastAsia="Century Gothic" w:hAnsi="Verdana" w:cs="Century Gothic"/>
          <w:sz w:val="20"/>
          <w:szCs w:val="20"/>
          <w:lang w:val="es-ES"/>
        </w:rPr>
      </w:pPr>
      <w:r w:rsidRPr="003B42AA">
        <w:rPr>
          <w:rFonts w:ascii="Verdana" w:eastAsia="Century Gothic" w:hAnsi="Verdana" w:cs="Century Gothic"/>
          <w:sz w:val="20"/>
          <w:szCs w:val="20"/>
          <w:lang w:val="es-ES"/>
        </w:rPr>
        <w:t>Por el contrario, las actuaciones adelantadas por la entidad frente a presuntos incumplimientos contractuales corresponden a trámites contractuales orientados a verificar la ocurrencia de siniestros y a hacer efectiva la garantía de cumplimiento, de conformidad con las condiciones generales de las pólizas y las estipulaciones pactadas entre las partes bajo reglas de derecho privado.</w:t>
      </w:r>
    </w:p>
    <w:p w14:paraId="22A90825" w14:textId="77777777" w:rsidR="00B5328B" w:rsidRDefault="00B5328B" w:rsidP="00B5328B">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p>
    <w:p w14:paraId="49AA2C03" w14:textId="77777777" w:rsidR="00B5328B" w:rsidRDefault="00B5328B" w:rsidP="00B5328B">
      <w:pPr>
        <w:spacing w:after="0" w:line="240" w:lineRule="auto"/>
        <w:ind w:left="709" w:right="709"/>
        <w:jc w:val="both"/>
        <w:rPr>
          <w:rFonts w:ascii="Verdana" w:eastAsia="Century Gothic" w:hAnsi="Verdana" w:cs="Century Gothic"/>
          <w:sz w:val="20"/>
          <w:szCs w:val="20"/>
          <w:lang w:val="es-ES"/>
        </w:rPr>
      </w:pPr>
      <w:r w:rsidRPr="003B42AA">
        <w:rPr>
          <w:rFonts w:ascii="Verdana" w:eastAsia="Century Gothic" w:hAnsi="Verdana" w:cs="Century Gothic"/>
          <w:sz w:val="20"/>
          <w:szCs w:val="20"/>
          <w:lang w:val="es-ES"/>
        </w:rPr>
        <w:t>Bajo este contexto, la Entidad solicita se precise si las decisiones contractuales mediante las cuales la EDU determina la ocurrencia de un siniestro derivado de un presunto incumplimiento contractual, con fines de efectividad de garantías y reclamación ante la aseguradora, se encuentran comprendidas dentro de los supuestos previstos en la Circular Externa 002 de 2026 y, en consecuencia, deben ser objeto de reporte ante SECOP, Cámaras de Comercio y/o el Sistema de Información de Registro de Sanciones e Inhabilidades – SIRI</w:t>
      </w:r>
      <w:r>
        <w:rPr>
          <w:rFonts w:ascii="Verdana" w:eastAsia="Century Gothic" w:hAnsi="Verdana" w:cs="Century Gothic"/>
          <w:sz w:val="20"/>
          <w:szCs w:val="20"/>
          <w:lang w:val="es-ES"/>
        </w:rPr>
        <w:t>.</w:t>
      </w:r>
    </w:p>
    <w:p w14:paraId="20674E40" w14:textId="77777777" w:rsidR="00B5328B" w:rsidRPr="008E6AD9" w:rsidRDefault="00B5328B" w:rsidP="00B5328B">
      <w:pPr>
        <w:spacing w:after="0" w:line="240" w:lineRule="auto"/>
        <w:ind w:left="709" w:right="709"/>
        <w:jc w:val="both"/>
        <w:rPr>
          <w:rFonts w:ascii="Verdana" w:eastAsia="Century Gothic" w:hAnsi="Verdana" w:cs="Century Gothic"/>
          <w:b/>
          <w:bCs/>
        </w:rPr>
      </w:pPr>
      <w:r>
        <w:rPr>
          <w:rFonts w:ascii="Verdana" w:eastAsia="Century Gothic" w:hAnsi="Verdana" w:cs="Century Gothic"/>
          <w:sz w:val="20"/>
          <w:szCs w:val="20"/>
          <w:lang w:val="es-ES"/>
        </w:rPr>
        <w:t>[…]”.</w:t>
      </w:r>
    </w:p>
    <w:p w14:paraId="3631BAF4" w14:textId="77777777" w:rsidR="00B5328B" w:rsidRDefault="00B5328B" w:rsidP="00B5328B">
      <w:pPr>
        <w:spacing w:after="0" w:line="276" w:lineRule="auto"/>
        <w:ind w:firstLine="709"/>
        <w:jc w:val="both"/>
        <w:rPr>
          <w:rFonts w:ascii="Verdana" w:eastAsia="Calibri" w:hAnsi="Verdana" w:cs="Arial"/>
          <w:color w:val="000000"/>
          <w:lang w:val="es-ES" w:eastAsia="es-ES"/>
        </w:rPr>
      </w:pPr>
    </w:p>
    <w:p w14:paraId="2CDDE3FB" w14:textId="77777777" w:rsidR="00B5328B" w:rsidRPr="00A652FF" w:rsidRDefault="00B5328B" w:rsidP="00B5328B">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w:t>
      </w:r>
      <w:r w:rsidRPr="00593A5F">
        <w:rPr>
          <w:rFonts w:ascii="Verdana" w:eastAsia="Calibri" w:hAnsi="Verdana" w:cs="Arial"/>
          <w:color w:val="000000"/>
          <w:lang w:val="es-ES" w:eastAsia="es-ES"/>
        </w:rPr>
        <w:lastRenderedPageBreak/>
        <w:t xml:space="preserve">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77FD6A5" w14:textId="77777777" w:rsidR="00B5328B" w:rsidRDefault="00B5328B" w:rsidP="00B5328B">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5E5A5633" w14:textId="77777777" w:rsidR="00B5328B" w:rsidRPr="00593A5F" w:rsidRDefault="00B5328B" w:rsidP="00B5328B">
      <w:pPr>
        <w:spacing w:after="0" w:line="276" w:lineRule="auto"/>
        <w:ind w:firstLine="709"/>
        <w:jc w:val="both"/>
        <w:rPr>
          <w:rFonts w:ascii="Verdana" w:eastAsia="Calibri" w:hAnsi="Verdana" w:cs="Arial"/>
          <w:color w:val="000000"/>
          <w:lang w:val="es-ES" w:eastAsia="es-ES"/>
        </w:rPr>
      </w:pPr>
    </w:p>
    <w:p w14:paraId="4AA9CFB3" w14:textId="77777777" w:rsidR="00B5328B" w:rsidRPr="00593A5F" w:rsidRDefault="00B5328B" w:rsidP="00B5328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6F91D274" w14:textId="77777777" w:rsidR="00B5328B" w:rsidRPr="00593A5F" w:rsidRDefault="00B5328B" w:rsidP="00B5328B">
      <w:pPr>
        <w:tabs>
          <w:tab w:val="left" w:pos="426"/>
        </w:tabs>
        <w:spacing w:after="0" w:line="276" w:lineRule="auto"/>
        <w:jc w:val="both"/>
        <w:rPr>
          <w:rFonts w:ascii="Verdana" w:eastAsia="Century Gothic" w:hAnsi="Verdana" w:cs="Century Gothic"/>
          <w:lang w:val="es-ES"/>
        </w:rPr>
      </w:pPr>
    </w:p>
    <w:p w14:paraId="48439078" w14:textId="77777777" w:rsidR="00B5328B" w:rsidRPr="00593A5F" w:rsidRDefault="00B5328B" w:rsidP="00B5328B">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¿l</w:t>
      </w:r>
      <w:r w:rsidRPr="006C655C">
        <w:rPr>
          <w:rFonts w:ascii="Verdana" w:eastAsia="Century Gothic" w:hAnsi="Verdana" w:cs="Century Gothic"/>
        </w:rPr>
        <w:t xml:space="preserve">as decisiones </w:t>
      </w:r>
      <w:r>
        <w:rPr>
          <w:rFonts w:ascii="Verdana" w:eastAsia="Century Gothic" w:hAnsi="Verdana" w:cs="Century Gothic"/>
        </w:rPr>
        <w:t>mediante las cuales una entidad exceptuada del EGCAP</w:t>
      </w:r>
      <w:r w:rsidRPr="006C655C">
        <w:rPr>
          <w:rFonts w:ascii="Verdana" w:eastAsia="Century Gothic" w:hAnsi="Verdana" w:cs="Century Gothic"/>
        </w:rPr>
        <w:t xml:space="preserve"> determina la ocurrencia de un siniestro </w:t>
      </w:r>
      <w:r>
        <w:rPr>
          <w:rFonts w:ascii="Verdana" w:eastAsia="Century Gothic" w:hAnsi="Verdana" w:cs="Century Gothic"/>
        </w:rPr>
        <w:t>está dentro del ámbito de aplicación de</w:t>
      </w:r>
      <w:r w:rsidRPr="006C655C">
        <w:rPr>
          <w:rFonts w:ascii="Verdana" w:eastAsia="Century Gothic" w:hAnsi="Verdana" w:cs="Century Gothic"/>
        </w:rPr>
        <w:t xml:space="preserve"> la Circular Externa 002 de 2026</w:t>
      </w:r>
      <w:r>
        <w:rPr>
          <w:rFonts w:ascii="Verdana" w:eastAsia="Century Gothic" w:hAnsi="Verdana" w:cs="Century Gothic"/>
        </w:rPr>
        <w:t>?</w:t>
      </w:r>
    </w:p>
    <w:p w14:paraId="630A2DD3" w14:textId="77777777" w:rsidR="00B5328B" w:rsidRPr="004B140F" w:rsidRDefault="00B5328B" w:rsidP="00B5328B">
      <w:pPr>
        <w:spacing w:after="0" w:line="276" w:lineRule="auto"/>
        <w:jc w:val="both"/>
        <w:rPr>
          <w:rFonts w:ascii="Verdana" w:eastAsia="Calibri" w:hAnsi="Verdana" w:cs="Arial"/>
          <w:color w:val="7030A0"/>
        </w:rPr>
      </w:pPr>
    </w:p>
    <w:p w14:paraId="188CD684" w14:textId="77777777" w:rsidR="00B5328B" w:rsidRPr="00593A5F" w:rsidRDefault="00B5328B" w:rsidP="00B532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E0E37C7" w14:textId="77777777" w:rsidR="00B5328B" w:rsidRPr="00593A5F" w:rsidRDefault="00B5328B" w:rsidP="00B5328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5328B" w:rsidRPr="00593A5F" w14:paraId="267AF933" w14:textId="77777777" w:rsidTr="0006760E">
        <w:trPr>
          <w:jc w:val="center"/>
        </w:trPr>
        <w:tc>
          <w:tcPr>
            <w:tcW w:w="8828" w:type="dxa"/>
          </w:tcPr>
          <w:p w14:paraId="327EC57B" w14:textId="77777777" w:rsidR="00B5328B" w:rsidRDefault="00B5328B" w:rsidP="0006760E">
            <w:pPr>
              <w:spacing w:after="120" w:line="276" w:lineRule="auto"/>
              <w:jc w:val="both"/>
              <w:rPr>
                <w:rFonts w:ascii="Verdana" w:eastAsia="Calibri" w:hAnsi="Verdana" w:cs="Arial"/>
                <w:color w:val="000000" w:themeColor="text1"/>
                <w:lang w:val="es-ES_tradnl"/>
              </w:rPr>
            </w:pPr>
            <w:bookmarkStart w:id="2"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w:t>
            </w:r>
            <w:r>
              <w:rPr>
                <w:rFonts w:ascii="Verdana" w:eastAsia="Calibri" w:hAnsi="Verdana" w:cs="Arial"/>
                <w:color w:val="000000" w:themeColor="text1"/>
                <w:lang w:val="es-ES_tradnl"/>
              </w:rPr>
              <w:t>las</w:t>
            </w:r>
            <w:r w:rsidRPr="00817382">
              <w:rPr>
                <w:rFonts w:ascii="Verdana" w:eastAsia="Calibri" w:hAnsi="Verdana" w:cs="Arial"/>
                <w:color w:val="000000" w:themeColor="text1"/>
                <w:lang w:val="es-ES_tradnl"/>
              </w:rPr>
              <w:t xml:space="preserve"> </w:t>
            </w:r>
            <w:r w:rsidRPr="00122DF7">
              <w:rPr>
                <w:rFonts w:ascii="Verdana" w:eastAsia="Calibri" w:hAnsi="Verdana" w:cs="Arial"/>
                <w:i/>
                <w:iCs/>
                <w:color w:val="000000" w:themeColor="text1"/>
                <w:lang w:val="es-ES_tradnl"/>
              </w:rPr>
              <w:t>entidades de régimen especial</w:t>
            </w:r>
            <w:r>
              <w:rPr>
                <w:rFonts w:ascii="Verdana" w:eastAsia="Calibri" w:hAnsi="Verdana" w:cs="Arial"/>
                <w:color w:val="000000" w:themeColor="text1"/>
                <w:lang w:val="es-ES_tradnl"/>
              </w:rPr>
              <w:t xml:space="preserve"> –entre las que se encuentran l</w:t>
            </w:r>
            <w:r w:rsidRPr="00A22A66">
              <w:rPr>
                <w:rFonts w:ascii="Verdana" w:eastAsia="Calibri" w:hAnsi="Verdana" w:cs="Arial"/>
                <w:color w:val="000000" w:themeColor="text1"/>
              </w:rPr>
              <w:t xml:space="preserve">as </w:t>
            </w:r>
            <w:r>
              <w:rPr>
                <w:rFonts w:ascii="Verdana" w:eastAsia="Calibri" w:hAnsi="Verdana" w:cs="Arial"/>
                <w:color w:val="000000" w:themeColor="text1"/>
              </w:rPr>
              <w:t>empresas industriales y comerciales del Estado</w:t>
            </w:r>
            <w:r w:rsidRPr="009B6C67">
              <w:rPr>
                <w:rFonts w:ascii="Verdana" w:eastAsia="Calibri" w:hAnsi="Verdana" w:cs="Arial"/>
                <w:color w:val="000000" w:themeColor="text1"/>
              </w:rPr>
              <w:t xml:space="preserve"> que estén en competencia o desarrollen su actividad en mercados regulados</w:t>
            </w:r>
            <w:r>
              <w:rPr>
                <w:rFonts w:ascii="Verdana" w:eastAsia="Calibri" w:hAnsi="Verdana" w:cs="Arial"/>
                <w:color w:val="000000" w:themeColor="text1"/>
              </w:rPr>
              <w:t>–</w:t>
            </w:r>
            <w:r>
              <w:rPr>
                <w:rFonts w:ascii="Verdana" w:eastAsia="Calibri" w:hAnsi="Verdana" w:cs="Arial"/>
                <w:color w:val="000000" w:themeColor="text1"/>
                <w:lang w:val="es-ES_tradnl"/>
              </w:rPr>
              <w:t xml:space="preserve"> también están obligadas a reportar </w:t>
            </w:r>
            <w:r w:rsidRPr="002E1847">
              <w:rPr>
                <w:rFonts w:ascii="Verdana" w:eastAsia="Calibri" w:hAnsi="Verdana" w:cs="Arial"/>
                <w:color w:val="000000" w:themeColor="text1"/>
                <w:lang w:val="es-ES_tradnl"/>
              </w:rPr>
              <w:t xml:space="preserve">la información concerniente a los contratos, su cuantía, cumplimiento, multas y sanciones relacionadas con los contratos que hayan </w:t>
            </w:r>
            <w:r>
              <w:rPr>
                <w:rFonts w:ascii="Verdana" w:eastAsia="Calibri" w:hAnsi="Verdana" w:cs="Arial"/>
                <w:color w:val="000000" w:themeColor="text1"/>
                <w:lang w:val="es-ES_tradnl"/>
              </w:rPr>
              <w:t xml:space="preserve">adjudicado. Conforme al artículo 13 de la Ley 1150 de 2007, dichas entidades se sujetan a las normas sobre inhabilidades e incompatibilidades, entre ellas, la del artículo 90 de la Ley 1474 de 2011 para los casos de incumplimiento reiterado. </w:t>
            </w:r>
          </w:p>
          <w:p w14:paraId="446AC0A5" w14:textId="77777777" w:rsidR="00B5328B" w:rsidRDefault="00B5328B" w:rsidP="0006760E">
            <w:pPr>
              <w:spacing w:after="120" w:line="276" w:lineRule="auto"/>
              <w:ind w:firstLine="708"/>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Por ello, la “</w:t>
            </w:r>
            <w:r w:rsidRPr="002E1847">
              <w:rPr>
                <w:rFonts w:ascii="Verdana" w:eastAsia="Calibri" w:hAnsi="Verdana" w:cs="Arial"/>
                <w:color w:val="000000" w:themeColor="text1"/>
                <w:lang w:val="es-ES_tradnl"/>
              </w:rPr>
              <w:t>Guía para la Gestión</w:t>
            </w:r>
            <w:r>
              <w:rPr>
                <w:rFonts w:ascii="Verdana" w:eastAsia="Calibri" w:hAnsi="Verdana" w:cs="Arial"/>
                <w:color w:val="000000" w:themeColor="text1"/>
                <w:lang w:val="es-ES_tradnl"/>
              </w:rPr>
              <w:t xml:space="preserve"> </w:t>
            </w:r>
            <w:r w:rsidRPr="002E1847">
              <w:rPr>
                <w:rFonts w:ascii="Verdana" w:eastAsia="Calibri" w:hAnsi="Verdana" w:cs="Arial"/>
                <w:color w:val="000000" w:themeColor="text1"/>
                <w:lang w:val="es-ES_tradnl"/>
              </w:rPr>
              <w:t>Contractual De Entidades</w:t>
            </w:r>
            <w:r>
              <w:rPr>
                <w:rFonts w:ascii="Verdana" w:eastAsia="Calibri" w:hAnsi="Verdana" w:cs="Arial"/>
                <w:color w:val="000000" w:themeColor="text1"/>
                <w:lang w:val="es-ES_tradnl"/>
              </w:rPr>
              <w:t xml:space="preserve"> </w:t>
            </w:r>
            <w:r w:rsidRPr="002E1847">
              <w:rPr>
                <w:rFonts w:ascii="Verdana" w:eastAsia="Calibri" w:hAnsi="Verdana" w:cs="Arial"/>
                <w:color w:val="000000" w:themeColor="text1"/>
                <w:lang w:val="es-ES_tradnl"/>
              </w:rPr>
              <w:t>Estatales Con Régimen Especial</w:t>
            </w:r>
            <w:r>
              <w:rPr>
                <w:rFonts w:ascii="Verdana" w:eastAsia="Calibri" w:hAnsi="Verdana" w:cs="Arial"/>
                <w:color w:val="000000" w:themeColor="text1"/>
                <w:lang w:val="es-ES_tradnl"/>
              </w:rPr>
              <w:t>” explica que “</w:t>
            </w:r>
            <w:r w:rsidRPr="00C070D7">
              <w:rPr>
                <w:rFonts w:ascii="Verdana" w:eastAsia="Calibri" w:hAnsi="Verdana" w:cs="Arial"/>
                <w:color w:val="000000" w:themeColor="text1"/>
                <w:lang w:val="es-ES_tradnl"/>
              </w:rPr>
              <w:t>Esta inhabilidad se extiende por tres (3) años,</w:t>
            </w:r>
            <w:r>
              <w:rPr>
                <w:rFonts w:ascii="Verdana" w:eastAsia="Calibri" w:hAnsi="Verdana" w:cs="Arial"/>
                <w:color w:val="000000" w:themeColor="text1"/>
                <w:lang w:val="es-ES_tradnl"/>
              </w:rPr>
              <w:t xml:space="preserve"> </w:t>
            </w:r>
            <w:r w:rsidRPr="00C070D7">
              <w:rPr>
                <w:rFonts w:ascii="Verdana" w:eastAsia="Calibri" w:hAnsi="Verdana" w:cs="Arial"/>
                <w:color w:val="000000" w:themeColor="text1"/>
                <w:lang w:val="es-ES_tradnl"/>
              </w:rPr>
              <w:t>contados a partir de la inscripción de la última</w:t>
            </w:r>
            <w:r>
              <w:rPr>
                <w:rFonts w:ascii="Verdana" w:eastAsia="Calibri" w:hAnsi="Verdana" w:cs="Arial"/>
                <w:color w:val="000000" w:themeColor="text1"/>
                <w:lang w:val="es-ES_tradnl"/>
              </w:rPr>
              <w:t xml:space="preserve"> </w:t>
            </w:r>
            <w:r w:rsidRPr="00C070D7">
              <w:rPr>
                <w:rFonts w:ascii="Verdana" w:eastAsia="Calibri" w:hAnsi="Verdana" w:cs="Arial"/>
                <w:color w:val="000000" w:themeColor="text1"/>
                <w:lang w:val="es-ES_tradnl"/>
              </w:rPr>
              <w:t>multa o incumplimiento en el Registro Único</w:t>
            </w:r>
            <w:r>
              <w:rPr>
                <w:rFonts w:ascii="Verdana" w:eastAsia="Calibri" w:hAnsi="Verdana" w:cs="Arial"/>
                <w:color w:val="000000" w:themeColor="text1"/>
                <w:lang w:val="es-ES_tradnl"/>
              </w:rPr>
              <w:t xml:space="preserve"> </w:t>
            </w:r>
            <w:r w:rsidRPr="00C070D7">
              <w:rPr>
                <w:rFonts w:ascii="Verdana" w:eastAsia="Calibri" w:hAnsi="Verdana" w:cs="Arial"/>
                <w:color w:val="000000" w:themeColor="text1"/>
                <w:lang w:val="es-ES_tradnl"/>
              </w:rPr>
              <w:t>de Proponentes – RUP-, de acuerdo con la</w:t>
            </w:r>
            <w:r>
              <w:rPr>
                <w:rFonts w:ascii="Verdana" w:eastAsia="Calibri" w:hAnsi="Verdana" w:cs="Arial"/>
                <w:color w:val="000000" w:themeColor="text1"/>
                <w:lang w:val="es-ES_tradnl"/>
              </w:rPr>
              <w:t xml:space="preserve"> </w:t>
            </w:r>
            <w:r w:rsidRPr="00C070D7">
              <w:rPr>
                <w:rFonts w:ascii="Verdana" w:eastAsia="Calibri" w:hAnsi="Verdana" w:cs="Arial"/>
                <w:color w:val="000000" w:themeColor="text1"/>
                <w:lang w:val="es-ES_tradnl"/>
              </w:rPr>
              <w:t>información remitida por las Entidades Estatales,</w:t>
            </w:r>
            <w:r>
              <w:rPr>
                <w:rFonts w:ascii="Verdana" w:eastAsia="Calibri" w:hAnsi="Verdana" w:cs="Arial"/>
                <w:color w:val="000000" w:themeColor="text1"/>
                <w:lang w:val="es-ES_tradnl"/>
              </w:rPr>
              <w:t xml:space="preserve"> </w:t>
            </w:r>
            <w:r w:rsidRPr="00C070D7">
              <w:rPr>
                <w:rFonts w:ascii="Verdana" w:eastAsia="Calibri" w:hAnsi="Verdana" w:cs="Arial"/>
                <w:color w:val="000000" w:themeColor="text1"/>
                <w:lang w:val="es-ES_tradnl"/>
              </w:rPr>
              <w:t>para lo cual, las Entidades Estatales de régimen</w:t>
            </w:r>
            <w:r>
              <w:rPr>
                <w:rFonts w:ascii="Verdana" w:eastAsia="Calibri" w:hAnsi="Verdana" w:cs="Arial"/>
                <w:color w:val="000000" w:themeColor="text1"/>
                <w:lang w:val="es-ES_tradnl"/>
              </w:rPr>
              <w:t xml:space="preserve"> </w:t>
            </w:r>
            <w:r w:rsidRPr="00C070D7">
              <w:rPr>
                <w:rFonts w:ascii="Verdana" w:eastAsia="Calibri" w:hAnsi="Verdana" w:cs="Arial"/>
                <w:color w:val="000000" w:themeColor="text1"/>
                <w:lang w:val="es-ES_tradnl"/>
              </w:rPr>
              <w:lastRenderedPageBreak/>
              <w:t>especial deben realizar el respectivo reporte a las</w:t>
            </w:r>
            <w:r>
              <w:rPr>
                <w:rFonts w:ascii="Verdana" w:eastAsia="Calibri" w:hAnsi="Verdana" w:cs="Arial"/>
                <w:color w:val="000000" w:themeColor="text1"/>
                <w:lang w:val="es-ES_tradnl"/>
              </w:rPr>
              <w:t xml:space="preserve"> </w:t>
            </w:r>
            <w:r w:rsidRPr="00C070D7">
              <w:rPr>
                <w:rFonts w:ascii="Verdana" w:eastAsia="Calibri" w:hAnsi="Verdana" w:cs="Arial"/>
                <w:color w:val="000000" w:themeColor="text1"/>
                <w:lang w:val="es-ES_tradnl"/>
              </w:rPr>
              <w:t>cámaras de comercio, así como el reporte en la</w:t>
            </w:r>
            <w:r>
              <w:rPr>
                <w:rFonts w:ascii="Verdana" w:eastAsia="Calibri" w:hAnsi="Verdana" w:cs="Arial"/>
                <w:color w:val="000000" w:themeColor="text1"/>
                <w:lang w:val="es-ES_tradnl"/>
              </w:rPr>
              <w:t xml:space="preserve"> </w:t>
            </w:r>
            <w:r w:rsidRPr="00C070D7">
              <w:rPr>
                <w:rFonts w:ascii="Verdana" w:eastAsia="Calibri" w:hAnsi="Verdana" w:cs="Arial"/>
                <w:color w:val="000000" w:themeColor="text1"/>
                <w:lang w:val="es-ES_tradnl"/>
              </w:rPr>
              <w:t xml:space="preserve">plataforma SECOP II, en el ítem de </w:t>
            </w:r>
            <w:r>
              <w:rPr>
                <w:rFonts w:ascii="Verdana" w:eastAsia="Calibri" w:hAnsi="Verdana" w:cs="Arial"/>
                <w:color w:val="000000" w:themeColor="text1"/>
                <w:lang w:val="es-ES_tradnl"/>
              </w:rPr>
              <w:t>‘</w:t>
            </w:r>
            <w:r w:rsidRPr="00C070D7">
              <w:rPr>
                <w:rFonts w:ascii="Verdana" w:eastAsia="Calibri" w:hAnsi="Verdana" w:cs="Arial"/>
                <w:color w:val="000000" w:themeColor="text1"/>
                <w:lang w:val="es-ES_tradnl"/>
              </w:rPr>
              <w:t>proveedores</w:t>
            </w:r>
            <w:r>
              <w:rPr>
                <w:rFonts w:ascii="Verdana" w:eastAsia="Calibri" w:hAnsi="Verdana" w:cs="Arial"/>
                <w:color w:val="000000" w:themeColor="text1"/>
                <w:lang w:val="es-ES_tradnl"/>
              </w:rPr>
              <w:t>’ ‘</w:t>
            </w:r>
            <w:r w:rsidRPr="00C070D7">
              <w:rPr>
                <w:rFonts w:ascii="Verdana" w:eastAsia="Calibri" w:hAnsi="Verdana" w:cs="Arial"/>
                <w:color w:val="000000" w:themeColor="text1"/>
                <w:lang w:val="es-ES_tradnl"/>
              </w:rPr>
              <w:t>Registro de Incumplimientos</w:t>
            </w:r>
            <w:r>
              <w:rPr>
                <w:rFonts w:ascii="Verdana" w:eastAsia="Calibri" w:hAnsi="Verdana" w:cs="Arial"/>
                <w:color w:val="000000" w:themeColor="text1"/>
                <w:lang w:val="es-ES_tradnl"/>
              </w:rPr>
              <w:t>’</w:t>
            </w:r>
            <w:r w:rsidRPr="00C070D7">
              <w:rPr>
                <w:rFonts w:ascii="Verdana" w:eastAsia="Calibri" w:hAnsi="Verdana" w:cs="Arial"/>
                <w:color w:val="000000" w:themeColor="text1"/>
                <w:lang w:val="es-ES_tradnl"/>
              </w:rPr>
              <w:t>”.</w:t>
            </w:r>
          </w:p>
          <w:p w14:paraId="4E6D664A" w14:textId="77777777" w:rsidR="00B5328B" w:rsidRDefault="00B5328B" w:rsidP="0006760E">
            <w:pPr>
              <w:spacing w:after="120"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ab/>
              <w:t>Esta obligación se refuerza con la Circular Externa 002 del 8 de mayo de 2026 expedida por la ANCP – CCE, sobre la “</w:t>
            </w:r>
            <w:r w:rsidRPr="00D667B9">
              <w:rPr>
                <w:rFonts w:ascii="Verdana" w:eastAsia="Calibri" w:hAnsi="Verdana" w:cs="Arial"/>
                <w:color w:val="000000" w:themeColor="text1"/>
                <w:lang w:val="es-ES_tradnl"/>
              </w:rPr>
              <w:t>Obligatoriedad de reportar declaratoria de caducidad, multas, sanciones, declaratorias de incumplimiento, inhabilidades y sentencias condenatorias impuestas a los contratistas del Estado ante las Cámaras de Comercio, Procuraduría General de la Nación y en el SECOP</w:t>
            </w:r>
            <w:r>
              <w:rPr>
                <w:rFonts w:ascii="Verdana" w:eastAsia="Calibri" w:hAnsi="Verdana" w:cs="Arial"/>
                <w:color w:val="000000" w:themeColor="text1"/>
                <w:lang w:val="es-ES_tradnl"/>
              </w:rPr>
              <w:t>” y que se dirige a “</w:t>
            </w:r>
            <w:r w:rsidRPr="00D667B9">
              <w:rPr>
                <w:rFonts w:ascii="Verdana" w:eastAsia="Calibri" w:hAnsi="Verdana" w:cs="Arial"/>
                <w:color w:val="000000" w:themeColor="text1"/>
                <w:lang w:val="es-ES_tradnl"/>
              </w:rPr>
              <w:t xml:space="preserve">Las entidades del Estado, </w:t>
            </w:r>
            <w:r w:rsidRPr="00DD3F1D">
              <w:rPr>
                <w:rFonts w:ascii="Verdana" w:eastAsia="Calibri" w:hAnsi="Verdana" w:cs="Arial"/>
                <w:i/>
                <w:iCs/>
                <w:color w:val="000000" w:themeColor="text1"/>
                <w:lang w:val="es-ES_tradnl"/>
              </w:rPr>
              <w:t>sin distinción de su régimen contractual aplicable</w:t>
            </w:r>
            <w:r>
              <w:rPr>
                <w:rFonts w:ascii="Verdana" w:eastAsia="Calibri" w:hAnsi="Verdana" w:cs="Arial"/>
                <w:color w:val="000000" w:themeColor="text1"/>
                <w:lang w:val="es-ES_tradnl"/>
              </w:rPr>
              <w:t xml:space="preserve">” (Énfasis fuera de texto). </w:t>
            </w:r>
          </w:p>
          <w:p w14:paraId="55F9F162" w14:textId="77777777" w:rsidR="00B5328B" w:rsidRDefault="00B5328B" w:rsidP="0006760E">
            <w:pPr>
              <w:spacing w:after="120"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ab/>
              <w:t>Por tanto, las entidades exceptuadas de la Ley 80 de 1993 tienen el deber de</w:t>
            </w:r>
            <w:r w:rsidRPr="0049736A">
              <w:rPr>
                <w:rFonts w:ascii="Verdana" w:eastAsia="Calibri" w:hAnsi="Verdana" w:cs="Arial"/>
                <w:color w:val="000000" w:themeColor="text1"/>
                <w:lang w:val="es-ES_tradnl"/>
              </w:rPr>
              <w:t xml:space="preserve"> </w:t>
            </w:r>
            <w:r>
              <w:rPr>
                <w:rFonts w:ascii="Verdana" w:eastAsia="Calibri" w:hAnsi="Verdana" w:cs="Arial"/>
                <w:color w:val="000000" w:themeColor="text1"/>
                <w:lang w:val="es-ES_tradnl"/>
              </w:rPr>
              <w:t xml:space="preserve">“[…] </w:t>
            </w:r>
            <w:r w:rsidRPr="0049736A">
              <w:rPr>
                <w:rFonts w:ascii="Verdana" w:eastAsia="Calibri" w:hAnsi="Verdana" w:cs="Arial"/>
                <w:color w:val="000000" w:themeColor="text1"/>
                <w:lang w:val="es-ES_tradnl"/>
              </w:rPr>
              <w:t>efectuar reportes derivados de decisiones relacionadas con presuntos incumplimientos contractuales</w:t>
            </w:r>
            <w:r>
              <w:rPr>
                <w:rFonts w:ascii="Verdana" w:eastAsia="Calibri" w:hAnsi="Verdana" w:cs="Arial"/>
                <w:color w:val="000000" w:themeColor="text1"/>
                <w:lang w:val="es-ES_tradnl"/>
              </w:rPr>
              <w:t xml:space="preserve"> […]”, entre otros casos, cuando la ausencia de ejecución, la ejecución defectuosa o tardía de la prestación conducen a la declaración de terminación anticipada, multas o cláusula penal pecuniaria</w:t>
            </w:r>
            <w:r w:rsidRPr="0049736A">
              <w:rPr>
                <w:rFonts w:ascii="Verdana" w:eastAsia="Calibri" w:hAnsi="Verdana" w:cs="Arial"/>
                <w:color w:val="000000" w:themeColor="text1"/>
                <w:lang w:val="es-ES_tradnl"/>
              </w:rPr>
              <w:t>.</w:t>
            </w:r>
            <w:r>
              <w:rPr>
                <w:rFonts w:ascii="Verdana" w:eastAsia="Calibri" w:hAnsi="Verdana" w:cs="Arial"/>
                <w:color w:val="000000" w:themeColor="text1"/>
                <w:lang w:val="es-ES_tradnl"/>
              </w:rPr>
              <w:t xml:space="preserve"> Conforme al numeral 7 de la citada guía, la Agencia establece el alcance de la “</w:t>
            </w:r>
            <w:r w:rsidRPr="00945311">
              <w:rPr>
                <w:rFonts w:ascii="Verdana" w:eastAsia="Calibri" w:hAnsi="Verdana" w:cs="Arial"/>
                <w:color w:val="000000" w:themeColor="text1"/>
                <w:lang w:val="es-ES_tradnl"/>
              </w:rPr>
              <w:t>Aplicabilidad de sanciones y cláusulas</w:t>
            </w:r>
            <w:r>
              <w:rPr>
                <w:rFonts w:ascii="Verdana" w:eastAsia="Calibri" w:hAnsi="Verdana" w:cs="Arial"/>
                <w:color w:val="000000" w:themeColor="text1"/>
                <w:lang w:val="es-ES_tradnl"/>
              </w:rPr>
              <w:t xml:space="preserve"> </w:t>
            </w:r>
            <w:r w:rsidRPr="00945311">
              <w:rPr>
                <w:rFonts w:ascii="Verdana" w:eastAsia="Calibri" w:hAnsi="Verdana" w:cs="Arial"/>
                <w:color w:val="000000" w:themeColor="text1"/>
                <w:lang w:val="es-ES_tradnl"/>
              </w:rPr>
              <w:t>de ejercicio unilateral por parte de las</w:t>
            </w:r>
            <w:r>
              <w:rPr>
                <w:rFonts w:ascii="Verdana" w:eastAsia="Calibri" w:hAnsi="Verdana" w:cs="Arial"/>
                <w:color w:val="000000" w:themeColor="text1"/>
                <w:lang w:val="es-ES_tradnl"/>
              </w:rPr>
              <w:t xml:space="preserve"> </w:t>
            </w:r>
            <w:r w:rsidRPr="00945311">
              <w:rPr>
                <w:rFonts w:ascii="Verdana" w:eastAsia="Calibri" w:hAnsi="Verdana" w:cs="Arial"/>
                <w:color w:val="000000" w:themeColor="text1"/>
                <w:lang w:val="es-ES_tradnl"/>
              </w:rPr>
              <w:t>Entidades Estatales con régimen especial</w:t>
            </w:r>
            <w:r>
              <w:rPr>
                <w:rFonts w:ascii="Verdana" w:eastAsia="Calibri" w:hAnsi="Verdana" w:cs="Arial"/>
                <w:color w:val="000000" w:themeColor="text1"/>
                <w:lang w:val="es-ES_tradnl"/>
              </w:rPr>
              <w:t xml:space="preserve"> </w:t>
            </w:r>
            <w:r w:rsidRPr="00945311">
              <w:rPr>
                <w:rFonts w:ascii="Verdana" w:eastAsia="Calibri" w:hAnsi="Verdana" w:cs="Arial"/>
                <w:color w:val="000000" w:themeColor="text1"/>
                <w:lang w:val="es-ES_tradnl"/>
              </w:rPr>
              <w:t>de contratación</w:t>
            </w:r>
            <w:r>
              <w:rPr>
                <w:rFonts w:ascii="Verdana" w:eastAsia="Calibri" w:hAnsi="Verdana" w:cs="Arial"/>
                <w:color w:val="000000" w:themeColor="text1"/>
                <w:lang w:val="es-ES_tradnl"/>
              </w:rPr>
              <w:t>”.</w:t>
            </w:r>
          </w:p>
          <w:p w14:paraId="70AE27E5" w14:textId="77777777" w:rsidR="00B5328B" w:rsidRPr="00502997" w:rsidRDefault="00B5328B" w:rsidP="0006760E">
            <w:pPr>
              <w:tabs>
                <w:tab w:val="left" w:pos="426"/>
              </w:tabs>
              <w:spacing w:after="120" w:line="276" w:lineRule="auto"/>
              <w:ind w:firstLine="738"/>
              <w:jc w:val="both"/>
              <w:rPr>
                <w:rFonts w:ascii="Verdana" w:eastAsia="Calibri" w:hAnsi="Verdana" w:cs="Arial"/>
                <w:bCs/>
                <w:color w:val="000000" w:themeColor="text1"/>
                <w:lang w:val="es-ES_tradnl"/>
              </w:rPr>
            </w:pPr>
            <w:r>
              <w:rPr>
                <w:rFonts w:ascii="Verdana" w:eastAsia="Calibri" w:hAnsi="Verdana" w:cs="Arial"/>
                <w:color w:val="000000" w:themeColor="text1"/>
                <w:lang w:val="es-ES_tradnl"/>
              </w:rPr>
              <w:t xml:space="preserve">La Circular 002 de 2026 no se refiere al reporte de “[…] </w:t>
            </w:r>
            <w:r w:rsidRPr="00945311">
              <w:rPr>
                <w:rFonts w:ascii="Verdana" w:eastAsia="Calibri" w:hAnsi="Verdana" w:cs="Arial"/>
                <w:color w:val="000000" w:themeColor="text1"/>
                <w:lang w:val="es-ES_tradnl"/>
              </w:rPr>
              <w:t>las decisiones contractuales mediante las cuales la EDU determina la ocurrencia de un siniestro derivado de un presunto incumplimiento contractual, con fines de efectividad de garantías y reclamación ante la aseguradora</w:t>
            </w:r>
            <w:r>
              <w:rPr>
                <w:rFonts w:ascii="Verdana" w:eastAsia="Calibri" w:hAnsi="Verdana" w:cs="Arial"/>
                <w:color w:val="000000" w:themeColor="text1"/>
                <w:lang w:val="es-ES_tradnl"/>
              </w:rPr>
              <w:t xml:space="preserve"> […]”. Activar las garantías supone previamente la expedición de certificados, actas o documentos equivalentes donde, además de constar el ejercicio del derecho de defensa y contradicción por parte del afectado, acreditan la imposición de las sanciones pactadas en el negocio jurídico, las cuales sirven de fundamento para la reclamación posterior. Esta es la información objeto de reporte de acuerdo con el citado acto administrativo, la cual deberá constituirse en las condiciones que defina el manual de contratación de la entidad para su traslado a la cámara de comercio.</w:t>
            </w:r>
          </w:p>
          <w:p w14:paraId="643D8096" w14:textId="77777777" w:rsidR="00B5328B" w:rsidRPr="001941FD" w:rsidRDefault="00B5328B" w:rsidP="0006760E">
            <w:pPr>
              <w:spacing w:line="276" w:lineRule="auto"/>
              <w:ind w:firstLine="737"/>
              <w:jc w:val="both"/>
              <w:rPr>
                <w:rFonts w:ascii="Verdana" w:eastAsia="Calibri" w:hAnsi="Verdana" w:cs="Arial"/>
                <w:bCs/>
                <w:color w:val="000000" w:themeColor="text1"/>
              </w:rPr>
            </w:pPr>
            <w:r w:rsidRPr="00A47393">
              <w:rPr>
                <w:rStyle w:val="s15"/>
                <w:rFonts w:ascii="Verdana" w:hAnsi="Verdana"/>
                <w:color w:val="000000"/>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w:t>
            </w:r>
            <w:r w:rsidRPr="00A47393">
              <w:rPr>
                <w:rStyle w:val="s15"/>
                <w:rFonts w:ascii="Verdana" w:hAnsi="Verdana"/>
                <w:color w:val="000000"/>
              </w:rPr>
              <w:lastRenderedPageBreak/>
              <w:t>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56B6D2EC" w14:textId="77777777" w:rsidR="00B5328B" w:rsidRPr="00593A5F" w:rsidRDefault="00B5328B" w:rsidP="00B5328B">
      <w:pPr>
        <w:tabs>
          <w:tab w:val="left" w:pos="142"/>
          <w:tab w:val="left" w:pos="284"/>
        </w:tabs>
        <w:spacing w:after="0" w:line="276" w:lineRule="auto"/>
        <w:jc w:val="both"/>
        <w:rPr>
          <w:rFonts w:ascii="Verdana" w:eastAsia="Century Gothic" w:hAnsi="Verdana" w:cs="Century Gothic"/>
          <w:b/>
          <w:bCs/>
          <w:lang w:val="es-ES"/>
        </w:rPr>
      </w:pPr>
    </w:p>
    <w:bookmarkEnd w:id="2"/>
    <w:p w14:paraId="3EC686D2" w14:textId="77777777" w:rsidR="00B5328B" w:rsidRPr="00593A5F" w:rsidRDefault="00B5328B" w:rsidP="00B532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12EED05" w14:textId="77777777" w:rsidR="00B5328B" w:rsidRPr="00593A5F" w:rsidRDefault="00B5328B" w:rsidP="00B5328B">
      <w:pPr>
        <w:spacing w:after="0" w:line="276" w:lineRule="auto"/>
        <w:jc w:val="both"/>
        <w:rPr>
          <w:rFonts w:ascii="Verdana" w:eastAsia="Calibri" w:hAnsi="Verdana" w:cs="Arial"/>
          <w:color w:val="7030A0"/>
          <w:lang w:val="es-ES"/>
        </w:rPr>
      </w:pPr>
    </w:p>
    <w:p w14:paraId="6047C4A3" w14:textId="77777777" w:rsidR="00B5328B" w:rsidRDefault="00B5328B" w:rsidP="00B5328B">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C4F89AA" w14:textId="77777777" w:rsidR="00B5328B" w:rsidRPr="00415608" w:rsidRDefault="00B5328B" w:rsidP="00B5328B">
      <w:pPr>
        <w:spacing w:after="0" w:line="276" w:lineRule="auto"/>
        <w:jc w:val="both"/>
        <w:rPr>
          <w:rFonts w:ascii="Verdana" w:eastAsia="Calibri" w:hAnsi="Verdana" w:cs="Arial"/>
          <w:lang w:val="es-ES"/>
        </w:rPr>
      </w:pPr>
    </w:p>
    <w:p w14:paraId="5261208A" w14:textId="77777777" w:rsidR="00B5328B" w:rsidRPr="00817382" w:rsidRDefault="00B5328B" w:rsidP="00B5328B">
      <w:pPr>
        <w:spacing w:after="120" w:line="276" w:lineRule="auto"/>
        <w:jc w:val="both"/>
        <w:rPr>
          <w:rFonts w:ascii="Verdana" w:hAnsi="Verdana" w:cs="Arial"/>
          <w:lang w:val="es-ES_tradnl"/>
        </w:rPr>
      </w:pPr>
      <w:r w:rsidRPr="00817382">
        <w:rPr>
          <w:rFonts w:ascii="Verdana" w:hAnsi="Verdana" w:cs="Arial"/>
          <w:lang w:val="es-ES_tradnl"/>
        </w:rPr>
        <w:t xml:space="preserve">i. 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817382">
        <w:rPr>
          <w:rFonts w:ascii="Verdana" w:hAnsi="Verdana" w:cs="Arial"/>
          <w:i/>
          <w:iCs/>
          <w:lang w:val="es-ES_tradnl"/>
        </w:rPr>
        <w:t>entidades estatales</w:t>
      </w:r>
      <w:r w:rsidRPr="00817382">
        <w:rPr>
          <w:rFonts w:ascii="Verdana" w:hAnsi="Verdana" w:cs="Arial"/>
          <w:lang w:val="es-ES_tradnl"/>
        </w:rPr>
        <w:t xml:space="preserve">, esto es, aquellas previstas en los literales a) y b) del numeral 1 del artículo 2 </w:t>
      </w:r>
      <w:r w:rsidRPr="00817382">
        <w:rPr>
          <w:rFonts w:ascii="Verdana" w:hAnsi="Verdana" w:cs="Arial"/>
          <w:i/>
          <w:iCs/>
          <w:lang w:val="es-ES_tradnl"/>
        </w:rPr>
        <w:t>ibidem</w:t>
      </w:r>
      <w:r w:rsidRPr="00817382">
        <w:rPr>
          <w:rFonts w:ascii="Verdana" w:hAnsi="Verdana" w:cs="Arial"/>
          <w:lang w:val="es-ES_tradnl"/>
        </w:rPr>
        <w:t xml:space="preserve">. La norma citada define la competencia contractual en los siguientes términos: </w:t>
      </w:r>
    </w:p>
    <w:p w14:paraId="732A298B" w14:textId="77777777" w:rsidR="00B5328B" w:rsidRPr="00817382" w:rsidRDefault="00B5328B" w:rsidP="00B5328B">
      <w:pPr>
        <w:spacing w:after="120" w:line="276" w:lineRule="auto"/>
        <w:ind w:firstLine="708"/>
        <w:jc w:val="both"/>
        <w:rPr>
          <w:rFonts w:ascii="Verdana" w:hAnsi="Verdana" w:cs="Arial"/>
          <w:lang w:val="es-ES_tradnl"/>
        </w:rPr>
      </w:pPr>
      <w:r w:rsidRPr="00817382">
        <w:rPr>
          <w:rFonts w:ascii="Verdana" w:hAnsi="Verdana" w:cs="Arial"/>
          <w:lang w:val="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3388AA6A" w14:textId="77777777" w:rsidR="00B5328B" w:rsidRPr="00817382" w:rsidRDefault="00B5328B" w:rsidP="00B5328B">
      <w:pPr>
        <w:spacing w:after="120" w:line="276" w:lineRule="auto"/>
        <w:ind w:firstLine="708"/>
        <w:jc w:val="both"/>
        <w:rPr>
          <w:rFonts w:ascii="Verdana" w:hAnsi="Verdana" w:cs="Arial"/>
          <w:lang w:val="es-ES_tradnl"/>
        </w:rPr>
      </w:pPr>
      <w:r w:rsidRPr="00817382">
        <w:rPr>
          <w:rFonts w:ascii="Verdana" w:hAnsi="Verdana" w:cs="Arial"/>
          <w:lang w:val="es-ES_tradnl"/>
        </w:rPr>
        <w:t xml:space="preserve">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w:t>
      </w:r>
      <w:r w:rsidRPr="00817382">
        <w:rPr>
          <w:rFonts w:ascii="Verdana" w:hAnsi="Verdana" w:cs="Arial"/>
          <w:lang w:val="es-ES_tradnl"/>
        </w:rPr>
        <w:lastRenderedPageBreak/>
        <w:t>debe armonizarse con el artículo 110 del Decreto 111 de 1996, modificado por el artículo 124 de la Ley 1957 de 2019</w:t>
      </w:r>
      <w:r w:rsidRPr="00817382">
        <w:rPr>
          <w:rStyle w:val="Refdenotaalpie"/>
          <w:rFonts w:ascii="Verdana" w:hAnsi="Verdana" w:cs="Arial"/>
          <w:lang w:val="es-ES_tradnl"/>
        </w:rPr>
        <w:footnoteReference w:id="1"/>
      </w:r>
      <w:r w:rsidRPr="00817382">
        <w:rPr>
          <w:rFonts w:ascii="Verdana" w:hAnsi="Verdana" w:cs="Arial"/>
          <w:lang w:val="es-ES_tradnl"/>
        </w:rPr>
        <w:t xml:space="preserve">. </w:t>
      </w:r>
    </w:p>
    <w:p w14:paraId="1CFE7429" w14:textId="77777777" w:rsidR="00B5328B" w:rsidRDefault="00B5328B" w:rsidP="00B5328B">
      <w:pPr>
        <w:tabs>
          <w:tab w:val="left" w:pos="709"/>
        </w:tabs>
        <w:spacing w:after="0" w:line="276" w:lineRule="auto"/>
        <w:jc w:val="both"/>
        <w:rPr>
          <w:rFonts w:ascii="Verdana" w:hAnsi="Verdana" w:cs="Arial"/>
          <w:bCs/>
          <w:lang w:val="es-ES_tradnl"/>
        </w:rPr>
      </w:pPr>
      <w:r>
        <w:rPr>
          <w:rFonts w:ascii="Verdana" w:hAnsi="Verdana" w:cs="Arial"/>
          <w:lang w:val="es-ES_tradnl"/>
        </w:rPr>
        <w:tab/>
      </w:r>
      <w:r w:rsidRPr="00817382">
        <w:rPr>
          <w:rFonts w:ascii="Verdana" w:hAnsi="Verdana" w:cs="Arial"/>
          <w:lang w:val="es-ES_tradnl"/>
        </w:rPr>
        <w:t xml:space="preserve">Para las entidades de los párrafos anteriores, sin perjuicio de las excepciones puntales a la aplicación del EGCAP, los procesos de selección se rigen por el artículo 2 de la Ley 1150 de 2007. El </w:t>
      </w:r>
      <w:r w:rsidRPr="00817382">
        <w:rPr>
          <w:rFonts w:ascii="Verdana" w:hAnsi="Verdana" w:cs="Arial"/>
          <w:bCs/>
          <w:lang w:val="es-ES_tradnl"/>
        </w:rPr>
        <w:t xml:space="preserve">numeral uno, inciso primero, dispone que “La escogencia del contratista se efectuará por </w:t>
      </w:r>
      <w:r w:rsidRPr="00817382">
        <w:rPr>
          <w:rFonts w:ascii="Verdana" w:hAnsi="Verdana" w:cs="Arial"/>
          <w:bCs/>
          <w:i/>
          <w:iCs/>
          <w:lang w:val="es-ES_tradnl"/>
        </w:rPr>
        <w:t>regla general</w:t>
      </w:r>
      <w:r w:rsidRPr="00817382">
        <w:rPr>
          <w:rFonts w:ascii="Verdana" w:hAnsi="Verdana" w:cs="Arial"/>
          <w:bCs/>
          <w:lang w:val="es-ES_tradnl"/>
        </w:rPr>
        <w:t xml:space="preserve"> a través de licitación pública, con las </w:t>
      </w:r>
      <w:r w:rsidRPr="00817382">
        <w:rPr>
          <w:rFonts w:ascii="Verdana" w:hAnsi="Verdana" w:cs="Arial"/>
          <w:bCs/>
          <w:i/>
          <w:iCs/>
          <w:lang w:val="es-ES_tradnl"/>
        </w:rPr>
        <w:t>excepciones</w:t>
      </w:r>
      <w:r w:rsidRPr="00817382">
        <w:rPr>
          <w:rFonts w:ascii="Verdana" w:hAnsi="Verdana" w:cs="Arial"/>
          <w:bCs/>
          <w:lang w:val="es-ES_tradnl"/>
        </w:rPr>
        <w:t xml:space="preserve"> que se señalan en los numerales 2, 3 y 4 del presente artículo” (Énfasis fuera de texto), norma que sustituye el derogado numeral 1 del artículo 24 de la Ley 80 de 1993 sobre el principio de transparencia</w:t>
      </w:r>
      <w:r w:rsidRPr="00817382">
        <w:rPr>
          <w:rFonts w:ascii="Verdana" w:hAnsi="Verdana" w:cs="Arial"/>
          <w:bCs/>
          <w:vertAlign w:val="superscript"/>
          <w:lang w:val="es-ES_tradnl"/>
        </w:rPr>
        <w:footnoteReference w:id="2"/>
      </w:r>
      <w:r w:rsidRPr="00817382">
        <w:rPr>
          <w:rFonts w:ascii="Verdana" w:hAnsi="Verdana" w:cs="Arial"/>
          <w:bCs/>
          <w:lang w:val="es-ES_tradnl"/>
        </w:rPr>
        <w:t>. En este contexto, salvo norma especial que ordene la celebración del negocio jurídico por selección abreviada, concurso de méritos, mínima cuantía o contratación directa, debe aplicarse la regla general de licitación pública</w:t>
      </w:r>
      <w:r w:rsidRPr="00817382">
        <w:rPr>
          <w:rFonts w:ascii="Verdana" w:hAnsi="Verdana" w:cs="Arial"/>
          <w:bCs/>
          <w:vertAlign w:val="superscript"/>
          <w:lang w:val="es-ES_tradnl"/>
        </w:rPr>
        <w:footnoteReference w:id="3"/>
      </w:r>
      <w:r w:rsidRPr="00817382">
        <w:rPr>
          <w:rFonts w:ascii="Verdana" w:hAnsi="Verdana" w:cs="Arial"/>
          <w:bCs/>
          <w:lang w:val="es-ES_tradnl"/>
        </w:rPr>
        <w:t>.</w:t>
      </w:r>
    </w:p>
    <w:p w14:paraId="68BAFF97" w14:textId="77777777" w:rsidR="00B5328B" w:rsidRDefault="00B5328B" w:rsidP="00B5328B">
      <w:pPr>
        <w:tabs>
          <w:tab w:val="left" w:pos="709"/>
        </w:tabs>
        <w:spacing w:after="0" w:line="276" w:lineRule="auto"/>
        <w:jc w:val="both"/>
        <w:rPr>
          <w:rFonts w:ascii="Verdana" w:hAnsi="Verdana" w:cs="Arial"/>
          <w:bCs/>
          <w:lang w:val="es-ES_tradnl"/>
        </w:rPr>
      </w:pPr>
    </w:p>
    <w:p w14:paraId="68EC349F" w14:textId="77777777" w:rsidR="00B5328B" w:rsidRPr="00817382" w:rsidRDefault="00B5328B" w:rsidP="00B5328B">
      <w:pPr>
        <w:spacing w:after="120" w:line="276" w:lineRule="auto"/>
        <w:jc w:val="both"/>
        <w:rPr>
          <w:rFonts w:ascii="Verdana" w:hAnsi="Verdana" w:cs="Arial"/>
          <w:bCs/>
          <w:lang w:val="es-ES_tradnl"/>
        </w:rPr>
      </w:pPr>
      <w:proofErr w:type="spellStart"/>
      <w:r>
        <w:rPr>
          <w:rFonts w:ascii="Verdana" w:hAnsi="Verdana" w:cs="Arial"/>
          <w:bCs/>
          <w:lang w:val="es-ES_tradnl"/>
        </w:rPr>
        <w:t>ii</w:t>
      </w:r>
      <w:proofErr w:type="spellEnd"/>
      <w:r>
        <w:rPr>
          <w:rFonts w:ascii="Verdana" w:hAnsi="Verdana" w:cs="Arial"/>
          <w:bCs/>
          <w:lang w:val="es-ES_tradnl"/>
        </w:rPr>
        <w:t>. N</w:t>
      </w:r>
      <w:r w:rsidRPr="00817382">
        <w:rPr>
          <w:rFonts w:ascii="Verdana" w:hAnsi="Verdana" w:cs="Arial"/>
          <w:bCs/>
          <w:lang w:val="es-ES_tradnl"/>
        </w:rPr>
        <w:t xml:space="preserve">o resulta extraño que el sistema de compras públicas se apoye en normas de derecho civil y comercial, ya que la figura del contrato es transversal a todo el ordenamiento jurídico. Respecto a las </w:t>
      </w:r>
      <w:r w:rsidRPr="00817382">
        <w:rPr>
          <w:rFonts w:ascii="Verdana" w:hAnsi="Verdana" w:cs="Arial"/>
          <w:bCs/>
          <w:i/>
          <w:iCs/>
          <w:lang w:val="es-ES_tradnl"/>
        </w:rPr>
        <w:t>entidades sometidas a la Ley 80 de 1993</w:t>
      </w:r>
      <w:r w:rsidRPr="00817382">
        <w:rPr>
          <w:rFonts w:ascii="Verdana" w:hAnsi="Verdana" w:cs="Arial"/>
          <w:bCs/>
          <w:lang w:val="es-ES_tradnl"/>
        </w:rPr>
        <w:t>, 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14:paraId="48AB9FC3" w14:textId="77777777" w:rsidR="00B5328B" w:rsidRPr="00817382" w:rsidRDefault="00B5328B" w:rsidP="00B5328B">
      <w:pPr>
        <w:spacing w:after="120" w:line="276" w:lineRule="auto"/>
        <w:ind w:firstLine="708"/>
        <w:jc w:val="both"/>
        <w:rPr>
          <w:rFonts w:ascii="Verdana" w:hAnsi="Verdana" w:cs="Arial"/>
          <w:bCs/>
          <w:lang w:val="es-ES_tradnl"/>
        </w:rPr>
      </w:pPr>
      <w:r w:rsidRPr="00817382">
        <w:rPr>
          <w:rFonts w:ascii="Verdana" w:hAnsi="Verdana" w:cs="Arial"/>
          <w:bCs/>
          <w:lang w:val="es-ES_tradnl"/>
        </w:rPr>
        <w:t xml:space="preserve">No obstante, aunque tenga una influencia limitada, las </w:t>
      </w:r>
      <w:r w:rsidRPr="00817382">
        <w:rPr>
          <w:rFonts w:ascii="Verdana" w:hAnsi="Verdana" w:cs="Arial"/>
          <w:bCs/>
          <w:i/>
          <w:iCs/>
          <w:lang w:val="es-ES_tradnl"/>
        </w:rPr>
        <w:t>entidades del régimen exceptuado</w:t>
      </w:r>
      <w:r w:rsidRPr="00817382">
        <w:rPr>
          <w:rFonts w:ascii="Verdana" w:hAnsi="Verdana" w:cs="Arial"/>
          <w:bCs/>
          <w:lang w:val="es-ES_tradnl"/>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7B1CDA2C" w14:textId="77777777" w:rsidR="00B5328B" w:rsidRPr="00817382" w:rsidRDefault="00B5328B" w:rsidP="00B5328B">
      <w:pPr>
        <w:spacing w:after="0" w:line="276" w:lineRule="auto"/>
        <w:ind w:firstLine="709"/>
        <w:jc w:val="both"/>
        <w:rPr>
          <w:rFonts w:ascii="Verdana" w:hAnsi="Verdana" w:cs="Arial"/>
          <w:bCs/>
          <w:lang w:val="es-ES_tradnl"/>
        </w:rPr>
      </w:pPr>
      <w:r w:rsidRPr="00817382">
        <w:rPr>
          <w:rFonts w:ascii="Verdana" w:hAnsi="Verdana" w:cs="Arial"/>
          <w:bCs/>
          <w:lang w:val="es-ES_tradnl"/>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817382">
        <w:rPr>
          <w:rFonts w:ascii="Verdana" w:hAnsi="Verdana" w:cs="Arial"/>
          <w:bCs/>
          <w:lang w:val="es-ES_tradnl"/>
        </w:rPr>
        <w:t>ii</w:t>
      </w:r>
      <w:proofErr w:type="spellEnd"/>
      <w:r w:rsidRPr="00817382">
        <w:rPr>
          <w:rFonts w:ascii="Verdana" w:hAnsi="Verdana" w:cs="Arial"/>
          <w:bCs/>
          <w:lang w:val="es-ES_tradnl"/>
        </w:rPr>
        <w:t xml:space="preserve">) flexibilizar el ejercicio de la función administrativa –como en los contratos del Banco de la República o los de ciencia y tecnología– o </w:t>
      </w:r>
      <w:proofErr w:type="spellStart"/>
      <w:r w:rsidRPr="00817382">
        <w:rPr>
          <w:rFonts w:ascii="Verdana" w:hAnsi="Verdana" w:cs="Arial"/>
          <w:bCs/>
          <w:lang w:val="es-ES_tradnl"/>
        </w:rPr>
        <w:t>iii</w:t>
      </w:r>
      <w:proofErr w:type="spellEnd"/>
      <w:r w:rsidRPr="00817382">
        <w:rPr>
          <w:rFonts w:ascii="Verdana" w:hAnsi="Verdana" w:cs="Arial"/>
          <w:bCs/>
          <w:lang w:val="es-ES_tradnl"/>
        </w:rPr>
        <w:t>) establecer un régimen especial sin excluir por completo la aplicación de la Ley 80 de 1993 –como ocurre en la operaciones del crédito público–</w:t>
      </w:r>
      <w:r w:rsidRPr="00817382">
        <w:rPr>
          <w:rFonts w:ascii="Verdana" w:hAnsi="Verdana" w:cs="Arial"/>
          <w:bCs/>
          <w:vertAlign w:val="superscript"/>
          <w:lang w:val="es-ES_tradnl"/>
        </w:rPr>
        <w:footnoteReference w:id="4"/>
      </w:r>
      <w:r w:rsidRPr="00817382">
        <w:rPr>
          <w:rFonts w:ascii="Verdana" w:hAnsi="Verdana" w:cs="Arial"/>
          <w:bCs/>
          <w:lang w:val="es-ES_tradnl"/>
        </w:rPr>
        <w:t xml:space="preserve">.  Para estos </w:t>
      </w:r>
      <w:r w:rsidRPr="00817382">
        <w:rPr>
          <w:rFonts w:ascii="Verdana" w:hAnsi="Verdana" w:cs="Arial"/>
          <w:bCs/>
          <w:lang w:val="es-ES_tradnl"/>
        </w:rPr>
        <w:lastRenderedPageBreak/>
        <w:t xml:space="preserve">efectos, la doctrina ha identificado 171 entidades y contratos que manejan un régimen excepcional, los cuales se clasifican de acuerdo i) al sector económico, </w:t>
      </w:r>
      <w:proofErr w:type="spellStart"/>
      <w:r w:rsidRPr="00817382">
        <w:rPr>
          <w:rFonts w:ascii="Verdana" w:hAnsi="Verdana" w:cs="Arial"/>
          <w:bCs/>
          <w:lang w:val="es-ES_tradnl"/>
        </w:rPr>
        <w:t>ii</w:t>
      </w:r>
      <w:proofErr w:type="spellEnd"/>
      <w:r w:rsidRPr="00817382">
        <w:rPr>
          <w:rFonts w:ascii="Verdana" w:hAnsi="Verdana" w:cs="Arial"/>
          <w:bCs/>
          <w:lang w:val="es-ES_tradnl"/>
        </w:rPr>
        <w:t xml:space="preserve">) la asignación de un esquema legal especial, </w:t>
      </w:r>
      <w:proofErr w:type="spellStart"/>
      <w:r w:rsidRPr="00817382">
        <w:rPr>
          <w:rFonts w:ascii="Verdana" w:hAnsi="Verdana" w:cs="Arial"/>
          <w:bCs/>
          <w:lang w:val="es-ES_tradnl"/>
        </w:rPr>
        <w:t>iii</w:t>
      </w:r>
      <w:proofErr w:type="spellEnd"/>
      <w:r w:rsidRPr="00817382">
        <w:rPr>
          <w:rFonts w:ascii="Verdana" w:hAnsi="Verdana" w:cs="Arial"/>
          <w:bCs/>
          <w:lang w:val="es-ES_tradnl"/>
        </w:rPr>
        <w:t xml:space="preserve">) el objeto del contrato celebrado y </w:t>
      </w:r>
      <w:proofErr w:type="spellStart"/>
      <w:r w:rsidRPr="00817382">
        <w:rPr>
          <w:rFonts w:ascii="Verdana" w:hAnsi="Verdana" w:cs="Arial"/>
          <w:bCs/>
          <w:lang w:val="es-ES_tradnl"/>
        </w:rPr>
        <w:t>iv</w:t>
      </w:r>
      <w:proofErr w:type="spellEnd"/>
      <w:r w:rsidRPr="00817382">
        <w:rPr>
          <w:rFonts w:ascii="Verdana" w:hAnsi="Verdana" w:cs="Arial"/>
          <w:bCs/>
          <w:lang w:val="es-ES_tradnl"/>
        </w:rPr>
        <w:t>) la existencia de fondos que administran recursos públicos</w:t>
      </w:r>
      <w:r w:rsidRPr="00817382">
        <w:rPr>
          <w:rFonts w:ascii="Verdana" w:hAnsi="Verdana" w:cs="Arial"/>
          <w:bCs/>
          <w:vertAlign w:val="superscript"/>
          <w:lang w:val="es-ES_tradnl"/>
        </w:rPr>
        <w:footnoteReference w:id="5"/>
      </w:r>
      <w:r w:rsidRPr="00817382">
        <w:rPr>
          <w:rFonts w:ascii="Verdana" w:hAnsi="Verdana" w:cs="Arial"/>
          <w:bCs/>
          <w:lang w:val="es-ES_tradnl"/>
        </w:rPr>
        <w:t>.</w:t>
      </w:r>
    </w:p>
    <w:p w14:paraId="1CEABE20" w14:textId="77777777" w:rsidR="00B5328B" w:rsidRDefault="00B5328B" w:rsidP="00B5328B">
      <w:pPr>
        <w:tabs>
          <w:tab w:val="left" w:pos="709"/>
        </w:tabs>
        <w:spacing w:after="0" w:line="276" w:lineRule="auto"/>
        <w:jc w:val="both"/>
        <w:rPr>
          <w:rFonts w:ascii="Verdana" w:hAnsi="Verdana" w:cs="Arial"/>
          <w:color w:val="000000" w:themeColor="text1"/>
          <w:lang w:val="es-ES_tradnl"/>
        </w:rPr>
      </w:pPr>
    </w:p>
    <w:p w14:paraId="748C99EE" w14:textId="77777777" w:rsidR="00B5328B" w:rsidRPr="00817382" w:rsidRDefault="00B5328B" w:rsidP="00B5328B">
      <w:pPr>
        <w:tabs>
          <w:tab w:val="left" w:pos="426"/>
        </w:tabs>
        <w:spacing w:line="276" w:lineRule="auto"/>
        <w:jc w:val="both"/>
        <w:rPr>
          <w:rFonts w:ascii="Verdana" w:eastAsia="Calibri" w:hAnsi="Verdana" w:cs="Arial"/>
          <w:b/>
          <w:bCs/>
          <w:color w:val="000000" w:themeColor="text1"/>
          <w:lang w:val="es-ES_tradnl"/>
        </w:rPr>
      </w:pPr>
      <w:proofErr w:type="spellStart"/>
      <w:r>
        <w:rPr>
          <w:rFonts w:ascii="Verdana" w:hAnsi="Verdana" w:cs="Arial"/>
          <w:color w:val="000000" w:themeColor="text1"/>
          <w:lang w:val="es-ES_tradnl"/>
        </w:rPr>
        <w:t>iii</w:t>
      </w:r>
      <w:proofErr w:type="spellEnd"/>
      <w:r>
        <w:rPr>
          <w:rFonts w:ascii="Verdana" w:hAnsi="Verdana" w:cs="Arial"/>
          <w:color w:val="000000" w:themeColor="text1"/>
          <w:lang w:val="es-ES_tradnl"/>
        </w:rPr>
        <w:t xml:space="preserve">. </w:t>
      </w:r>
      <w:r w:rsidRPr="00817382">
        <w:rPr>
          <w:rFonts w:ascii="Verdana" w:eastAsia="Calibri" w:hAnsi="Verdana" w:cs="Arial"/>
          <w:color w:val="000000" w:themeColor="text1"/>
          <w:lang w:val="es-ES_tradnl"/>
        </w:rPr>
        <w:t xml:space="preserve">Las </w:t>
      </w:r>
      <w:r w:rsidRPr="00D50589">
        <w:rPr>
          <w:rFonts w:ascii="Verdana" w:eastAsia="Calibri" w:hAnsi="Verdana" w:cs="Arial"/>
          <w:i/>
          <w:iCs/>
          <w:color w:val="000000" w:themeColor="text1"/>
          <w:lang w:val="es-ES_tradnl"/>
        </w:rPr>
        <w:t>entidades de régimen especia</w:t>
      </w:r>
      <w:r w:rsidRPr="0041019E">
        <w:rPr>
          <w:rFonts w:ascii="Verdana" w:eastAsia="Calibri" w:hAnsi="Verdana" w:cs="Arial"/>
          <w:i/>
          <w:iCs/>
          <w:color w:val="000000" w:themeColor="text1"/>
          <w:lang w:val="es-ES_tradnl"/>
        </w:rPr>
        <w:t>l</w:t>
      </w:r>
      <w:r w:rsidRPr="00817382">
        <w:rPr>
          <w:rFonts w:ascii="Verdana" w:eastAsia="Calibri" w:hAnsi="Verdana" w:cs="Arial"/>
          <w:color w:val="000000" w:themeColor="text1"/>
          <w:lang w:val="es-ES_tradnl"/>
        </w:rPr>
        <w:t xml:space="preserve">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propia para su desarrollo, esto es, el derecho privado, lo cual está determinado en las normas de creación de las entidades de régimen especial y en sus manuales de contratación.</w:t>
      </w:r>
    </w:p>
    <w:p w14:paraId="50FA242A" w14:textId="77777777" w:rsidR="00B5328B" w:rsidRPr="00817382" w:rsidRDefault="00B5328B" w:rsidP="00B5328B">
      <w:pPr>
        <w:spacing w:before="120" w:after="120" w:line="276" w:lineRule="auto"/>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ab/>
        <w:t>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La Agencia Nacional de Contratación Pública – Colombia Compra Eficiente expidió la Guía para las entidades estatales con régimen especial de contratación, que las define como aquellas que contratan con un régimen distinto a las Leyes 80 de 1993 y 1150 de 2007</w:t>
      </w:r>
      <w:r w:rsidRPr="00817382">
        <w:rPr>
          <w:rStyle w:val="Refdenotaalpie"/>
          <w:rFonts w:ascii="Verdana" w:eastAsia="Calibri" w:hAnsi="Verdana" w:cs="Arial"/>
          <w:color w:val="000000" w:themeColor="text1"/>
          <w:lang w:val="es-ES_tradnl"/>
        </w:rPr>
        <w:footnoteReference w:id="6"/>
      </w:r>
      <w:r w:rsidRPr="00817382">
        <w:rPr>
          <w:rFonts w:ascii="Verdana" w:eastAsia="Calibri" w:hAnsi="Verdana" w:cs="Arial"/>
          <w:color w:val="000000" w:themeColor="text1"/>
          <w:lang w:val="es-ES_tradnl"/>
        </w:rPr>
        <w:t>.</w:t>
      </w:r>
    </w:p>
    <w:p w14:paraId="274A3DE5" w14:textId="77777777" w:rsidR="00B5328B" w:rsidRPr="00817382" w:rsidRDefault="00B5328B" w:rsidP="00B5328B">
      <w:pPr>
        <w:spacing w:after="0" w:line="276" w:lineRule="auto"/>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ab/>
        <w:t>No obstante, las entidades de régimen especial cumplen una finalidad pública y utilizan recursos públicos para lograrlo, por lo que no son ajenas a los principios de la función administrativa y de la gestión fiscal, entre otras reglas dispuestas en la normativa de contratación pública que son transversales a todas las entidades, sin importar su régimen contractual. Lo anterior es reafirmado por el Consejo de Estado, que destaca las reglas que sigue la contratación de las entidades de régimen especial:</w:t>
      </w:r>
    </w:p>
    <w:p w14:paraId="66353D7A" w14:textId="77777777" w:rsidR="00B5328B" w:rsidRPr="00817382" w:rsidRDefault="00B5328B" w:rsidP="00B5328B">
      <w:pPr>
        <w:spacing w:after="0" w:line="276" w:lineRule="auto"/>
        <w:jc w:val="both"/>
        <w:rPr>
          <w:rFonts w:ascii="Verdana" w:eastAsia="Calibri" w:hAnsi="Verdana" w:cs="Arial"/>
          <w:color w:val="000000" w:themeColor="text1"/>
          <w:lang w:val="es-ES_tradnl"/>
        </w:rPr>
      </w:pPr>
    </w:p>
    <w:p w14:paraId="23844F82" w14:textId="77777777" w:rsidR="00B5328B" w:rsidRPr="00DE5519" w:rsidRDefault="00B5328B" w:rsidP="00B5328B">
      <w:pPr>
        <w:spacing w:line="240" w:lineRule="auto"/>
        <w:ind w:left="709" w:right="709"/>
        <w:jc w:val="both"/>
        <w:rPr>
          <w:rFonts w:ascii="Verdana" w:eastAsia="Calibri" w:hAnsi="Verdana" w:cs="Arial"/>
          <w:color w:val="000000" w:themeColor="text1"/>
          <w:sz w:val="20"/>
          <w:szCs w:val="20"/>
          <w:lang w:val="es-ES_tradnl"/>
        </w:rPr>
      </w:pPr>
      <w:r w:rsidRPr="00DE5519">
        <w:rPr>
          <w:rFonts w:ascii="Verdana" w:eastAsia="Calibri" w:hAnsi="Verdana" w:cs="Arial"/>
          <w:color w:val="000000" w:themeColor="text1"/>
          <w:sz w:val="20"/>
          <w:szCs w:val="20"/>
          <w:lang w:val="es-ES_tradnl"/>
        </w:rPr>
        <w:lastRenderedPageBreak/>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25EAEE11" w14:textId="77777777" w:rsidR="00B5328B" w:rsidRPr="00DE5519" w:rsidRDefault="00B5328B" w:rsidP="00B5328B">
      <w:pPr>
        <w:spacing w:line="240" w:lineRule="auto"/>
        <w:ind w:left="709" w:right="709"/>
        <w:jc w:val="both"/>
        <w:rPr>
          <w:rFonts w:ascii="Verdana" w:eastAsia="Calibri" w:hAnsi="Verdana" w:cs="Arial"/>
          <w:color w:val="000000" w:themeColor="text1"/>
          <w:sz w:val="20"/>
          <w:szCs w:val="20"/>
          <w:lang w:val="es-ES_tradnl"/>
        </w:rPr>
      </w:pPr>
      <w:r w:rsidRPr="00DE5519">
        <w:rPr>
          <w:rFonts w:ascii="Verdana" w:eastAsia="Calibri" w:hAnsi="Verdana" w:cs="Arial"/>
          <w:color w:val="000000" w:themeColor="text1"/>
          <w:sz w:val="20"/>
          <w:szCs w:val="20"/>
          <w:lang w:val="es-ES_tradnl"/>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40BBD2B9" w14:textId="77777777" w:rsidR="00B5328B" w:rsidRPr="00DE5519" w:rsidRDefault="00B5328B" w:rsidP="00B5328B">
      <w:pPr>
        <w:spacing w:after="0" w:line="240" w:lineRule="auto"/>
        <w:ind w:left="709" w:right="709"/>
        <w:jc w:val="both"/>
        <w:rPr>
          <w:rFonts w:ascii="Verdana" w:eastAsia="Calibri" w:hAnsi="Verdana" w:cs="Arial"/>
          <w:color w:val="000000" w:themeColor="text1"/>
          <w:sz w:val="20"/>
          <w:szCs w:val="20"/>
          <w:lang w:val="es-ES_tradnl"/>
        </w:rPr>
      </w:pPr>
      <w:r w:rsidRPr="00DE5519">
        <w:rPr>
          <w:rFonts w:ascii="Verdana" w:eastAsia="Calibri" w:hAnsi="Verdana" w:cs="Arial"/>
          <w:color w:val="000000" w:themeColor="text1"/>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DE5519">
        <w:rPr>
          <w:rStyle w:val="Refdenotaalpie"/>
          <w:rFonts w:ascii="Verdana" w:eastAsia="Calibri" w:hAnsi="Verdana" w:cs="Arial"/>
          <w:color w:val="000000" w:themeColor="text1"/>
          <w:sz w:val="20"/>
          <w:szCs w:val="20"/>
          <w:lang w:val="es-ES_tradnl"/>
        </w:rPr>
        <w:footnoteReference w:id="7"/>
      </w:r>
      <w:r w:rsidRPr="00DE5519">
        <w:rPr>
          <w:rFonts w:ascii="Verdana" w:eastAsia="Calibri" w:hAnsi="Verdana" w:cs="Arial"/>
          <w:color w:val="000000" w:themeColor="text1"/>
          <w:sz w:val="20"/>
          <w:szCs w:val="20"/>
          <w:lang w:val="es-ES_tradnl"/>
        </w:rPr>
        <w:t>.</w:t>
      </w:r>
    </w:p>
    <w:p w14:paraId="008FE72A" w14:textId="77777777" w:rsidR="00B5328B" w:rsidRPr="00817382" w:rsidRDefault="00B5328B" w:rsidP="00B5328B">
      <w:pPr>
        <w:spacing w:after="0" w:line="276" w:lineRule="auto"/>
        <w:ind w:left="709" w:right="709"/>
        <w:jc w:val="both"/>
        <w:rPr>
          <w:rFonts w:ascii="Verdana" w:eastAsia="Calibri" w:hAnsi="Verdana" w:cs="Arial"/>
          <w:color w:val="000000" w:themeColor="text1"/>
          <w:lang w:val="es-ES_tradnl"/>
        </w:rPr>
      </w:pPr>
    </w:p>
    <w:p w14:paraId="2BA3F593" w14:textId="77777777" w:rsidR="00B5328B" w:rsidRPr="00817382" w:rsidRDefault="00B5328B" w:rsidP="00B5328B">
      <w:pPr>
        <w:spacing w:line="276" w:lineRule="auto"/>
        <w:ind w:firstLine="708"/>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Considerando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 y los criterios de evaluación,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14:paraId="4C10CE89" w14:textId="77777777" w:rsidR="00B5328B" w:rsidRPr="00817382" w:rsidRDefault="00B5328B" w:rsidP="00B5328B">
      <w:pPr>
        <w:spacing w:before="120" w:after="120" w:line="276" w:lineRule="auto"/>
        <w:ind w:firstLine="708"/>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 xml:space="preserve">Asimismo, estas entidades deben cumplir unas obligaciones transversales a la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inhabilidades e </w:t>
      </w:r>
      <w:r w:rsidRPr="00817382">
        <w:rPr>
          <w:rFonts w:ascii="Verdana" w:eastAsia="Calibri" w:hAnsi="Verdana" w:cs="Arial"/>
          <w:color w:val="000000" w:themeColor="text1"/>
          <w:lang w:val="es-ES_tradnl"/>
        </w:rPr>
        <w:lastRenderedPageBreak/>
        <w:t>incompatibilidades de los proveedores de la entidad y analizar el sector económico de los oferentes, entre otras.</w:t>
      </w:r>
    </w:p>
    <w:p w14:paraId="3BD043B6" w14:textId="77777777" w:rsidR="00B5328B" w:rsidRDefault="00B5328B" w:rsidP="00B5328B">
      <w:pPr>
        <w:spacing w:after="0" w:line="276" w:lineRule="auto"/>
        <w:ind w:firstLine="709"/>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Además, debe tenerse en cuenta que las cláusulas excepcionales no están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De modo que si una Entidad sujeta al régimen especial requiere sancionar o dar por terminado el contrato, por regla general, debe acudir al juez competente.</w:t>
      </w:r>
    </w:p>
    <w:p w14:paraId="3FC2687F" w14:textId="77777777" w:rsidR="00B5328B" w:rsidRDefault="00B5328B" w:rsidP="00B5328B">
      <w:pPr>
        <w:tabs>
          <w:tab w:val="left" w:pos="709"/>
        </w:tabs>
        <w:spacing w:after="0" w:line="276" w:lineRule="auto"/>
        <w:jc w:val="both"/>
        <w:rPr>
          <w:rFonts w:ascii="Verdana" w:hAnsi="Verdana" w:cs="Arial"/>
          <w:color w:val="000000" w:themeColor="text1"/>
          <w:lang w:val="es-ES_tradnl"/>
        </w:rPr>
      </w:pPr>
    </w:p>
    <w:p w14:paraId="202F9FA3" w14:textId="77777777" w:rsidR="00B5328B" w:rsidRPr="00817382" w:rsidRDefault="00B5328B" w:rsidP="00B5328B">
      <w:pPr>
        <w:spacing w:line="276" w:lineRule="auto"/>
        <w:jc w:val="both"/>
        <w:rPr>
          <w:rFonts w:ascii="Verdana" w:eastAsia="Calibri" w:hAnsi="Verdana" w:cs="Arial"/>
          <w:color w:val="000000" w:themeColor="text1"/>
          <w:lang w:val="es-ES_tradnl"/>
        </w:rPr>
      </w:pPr>
      <w:proofErr w:type="spellStart"/>
      <w:r>
        <w:rPr>
          <w:rFonts w:ascii="Verdana" w:hAnsi="Verdana" w:cs="Arial"/>
          <w:color w:val="000000" w:themeColor="text1"/>
          <w:lang w:val="es-ES_tradnl"/>
        </w:rPr>
        <w:t>iv</w:t>
      </w:r>
      <w:proofErr w:type="spellEnd"/>
      <w:r>
        <w:rPr>
          <w:rFonts w:ascii="Verdana" w:hAnsi="Verdana" w:cs="Arial"/>
          <w:color w:val="000000" w:themeColor="text1"/>
          <w:lang w:val="es-ES_tradnl"/>
        </w:rPr>
        <w:t xml:space="preserve">. </w:t>
      </w:r>
      <w:r w:rsidRPr="00817382">
        <w:rPr>
          <w:rFonts w:ascii="Verdana" w:eastAsia="Calibri" w:hAnsi="Verdana" w:cs="Arial"/>
          <w:color w:val="000000" w:themeColor="text1"/>
          <w:lang w:val="es-ES_tradnl"/>
        </w:rPr>
        <w:t>Como se explicó, el hecho de que algunas entidades estatales se rijan por el derecho privado en materia contractual no puede entenderse como una negación de lo que establece el artículo 13 de la Ley 1150 de 2007. Este enunciado normativo significó un “retorno del derecho administrativo”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r w:rsidRPr="00817382">
        <w:rPr>
          <w:rStyle w:val="Refdenotaalpie"/>
          <w:rFonts w:ascii="Verdana" w:eastAsia="Calibri" w:hAnsi="Verdana" w:cs="Arial"/>
          <w:color w:val="000000" w:themeColor="text1"/>
          <w:lang w:val="es-ES_tradnl"/>
        </w:rPr>
        <w:footnoteReference w:id="8"/>
      </w:r>
      <w:r w:rsidRPr="00817382">
        <w:rPr>
          <w:rFonts w:ascii="Verdana" w:eastAsia="Calibri" w:hAnsi="Verdana" w:cs="Arial"/>
          <w:color w:val="000000" w:themeColor="text1"/>
          <w:lang w:val="es-ES_tradnl"/>
        </w:rPr>
        <w:t xml:space="preserve">. </w:t>
      </w:r>
    </w:p>
    <w:p w14:paraId="5E0BFF56" w14:textId="77777777" w:rsidR="00B5328B" w:rsidRDefault="00B5328B" w:rsidP="00B5328B">
      <w:pPr>
        <w:spacing w:before="120" w:line="276" w:lineRule="auto"/>
        <w:ind w:firstLine="709"/>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Adicionalmente, las entidades estatales que, por disposición legal, cuentan con un régimen especial</w:t>
      </w:r>
      <w:r w:rsidRPr="00817382">
        <w:rPr>
          <w:rStyle w:val="Refdenotaalpie"/>
          <w:rFonts w:ascii="Verdana" w:eastAsia="Calibri" w:hAnsi="Verdana" w:cs="Arial"/>
          <w:color w:val="000000" w:themeColor="text1"/>
          <w:lang w:val="es-ES_tradnl"/>
        </w:rPr>
        <w:footnoteReference w:id="9"/>
      </w:r>
      <w:r w:rsidRPr="00817382">
        <w:rPr>
          <w:rFonts w:ascii="Verdana" w:eastAsia="Calibri" w:hAnsi="Verdana" w:cs="Arial"/>
          <w:color w:val="000000" w:themeColor="text1"/>
          <w:lang w:val="es-ES_tradnl"/>
        </w:rPr>
        <w:t>, exceptuado del Estatuto General de Contratación de la Administración Pública –Leyes 80 de 1993, 1150 de 2007 y normas complementarias</w:t>
      </w:r>
      <w:r w:rsidRPr="00817382">
        <w:rPr>
          <w:rStyle w:val="Refdenotaalpie"/>
          <w:rFonts w:ascii="Verdana" w:eastAsia="Calibri" w:hAnsi="Verdana" w:cs="Arial"/>
          <w:color w:val="000000" w:themeColor="text1"/>
          <w:lang w:val="es-ES_tradnl"/>
        </w:rPr>
        <w:footnoteReference w:id="10"/>
      </w:r>
      <w:r w:rsidRPr="00817382">
        <w:rPr>
          <w:rFonts w:ascii="Verdana" w:eastAsia="Calibri" w:hAnsi="Verdana" w:cs="Arial"/>
          <w:color w:val="000000" w:themeColor="text1"/>
          <w:lang w:val="es-ES_tradnl"/>
        </w:rPr>
        <w:t xml:space="preserve">– pueden expedir un reglamento interno de contratación –comúnmente denominado </w:t>
      </w:r>
      <w:r w:rsidRPr="00817382">
        <w:rPr>
          <w:rFonts w:ascii="Verdana" w:eastAsia="Calibri" w:hAnsi="Verdana" w:cs="Arial"/>
          <w:i/>
          <w:color w:val="000000" w:themeColor="text1"/>
          <w:lang w:val="es-ES_tradnl"/>
        </w:rPr>
        <w:t>manual de contratación</w:t>
      </w:r>
      <w:r w:rsidRPr="00817382">
        <w:rPr>
          <w:rFonts w:ascii="Verdana" w:eastAsia="Calibri" w:hAnsi="Verdana" w:cs="Arial"/>
          <w:color w:val="000000" w:themeColor="text1"/>
          <w:lang w:val="es-ES_tradnl"/>
        </w:rPr>
        <w:t xml:space="preserve">–, que regule aspectos asociados a la actividad contractual, como los procedimientos de selección, los requisitos de participación, las condiciones de ejecución del </w:t>
      </w:r>
      <w:r w:rsidRPr="00817382">
        <w:rPr>
          <w:rFonts w:ascii="Verdana" w:eastAsia="Calibri" w:hAnsi="Verdana" w:cs="Arial"/>
          <w:color w:val="000000" w:themeColor="text1"/>
          <w:lang w:val="es-ES_tradnl"/>
        </w:rPr>
        <w:lastRenderedPageBreak/>
        <w:t>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14:paraId="0D4F7F41" w14:textId="77777777" w:rsidR="00B5328B" w:rsidRDefault="00B5328B" w:rsidP="00B5328B">
      <w:pPr>
        <w:spacing w:before="120" w:after="0" w:line="276" w:lineRule="auto"/>
        <w:ind w:firstLine="709"/>
        <w:jc w:val="both"/>
        <w:rPr>
          <w:rFonts w:ascii="Verdana" w:eastAsia="Calibri" w:hAnsi="Verdana" w:cs="Arial"/>
          <w:color w:val="000000" w:themeColor="text1"/>
          <w:lang w:val="es-ES_tradnl"/>
        </w:rPr>
      </w:pPr>
      <w:r w:rsidRPr="00817382">
        <w:rPr>
          <w:rFonts w:ascii="Verdana" w:eastAsia="Calibri" w:hAnsi="Verdana" w:cs="Arial"/>
          <w:color w:val="000000" w:themeColor="text1"/>
          <w:lang w:val="es-ES_tradnl"/>
        </w:rPr>
        <w:t xml:space="preserve">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validez del contrato, </w:t>
      </w:r>
      <w:proofErr w:type="spellStart"/>
      <w:r w:rsidRPr="00817382">
        <w:rPr>
          <w:rFonts w:ascii="Verdana" w:eastAsia="Calibri" w:hAnsi="Verdana" w:cs="Arial"/>
          <w:color w:val="000000" w:themeColor="text1"/>
          <w:lang w:val="es-ES_tradnl"/>
        </w:rPr>
        <w:t>ii</w:t>
      </w:r>
      <w:proofErr w:type="spellEnd"/>
      <w:r w:rsidRPr="00817382">
        <w:rPr>
          <w:rFonts w:ascii="Verdana" w:eastAsia="Calibri" w:hAnsi="Verdana" w:cs="Arial"/>
          <w:color w:val="000000" w:themeColor="text1"/>
          <w:lang w:val="es-ES_tradnl"/>
        </w:rPr>
        <w:t xml:space="preserve">) sanciones, sin perjuicio de las que pueden pactar de acuerdo con las normas civiles y comerciales, </w:t>
      </w:r>
      <w:proofErr w:type="spellStart"/>
      <w:r w:rsidRPr="00817382">
        <w:rPr>
          <w:rFonts w:ascii="Verdana" w:eastAsia="Calibri" w:hAnsi="Verdana" w:cs="Arial"/>
          <w:color w:val="000000" w:themeColor="text1"/>
          <w:lang w:val="es-ES_tradnl"/>
        </w:rPr>
        <w:t>iii</w:t>
      </w:r>
      <w:proofErr w:type="spellEnd"/>
      <w:r w:rsidRPr="00817382">
        <w:rPr>
          <w:rFonts w:ascii="Verdana" w:eastAsia="Calibri" w:hAnsi="Verdana" w:cs="Arial"/>
          <w:color w:val="000000" w:themeColor="text1"/>
          <w:lang w:val="es-ES_tradnl"/>
        </w:rPr>
        <w:t xml:space="preserve">) procedimientos para su imposición, </w:t>
      </w:r>
      <w:proofErr w:type="spellStart"/>
      <w:r w:rsidRPr="00817382">
        <w:rPr>
          <w:rFonts w:ascii="Verdana" w:eastAsia="Calibri" w:hAnsi="Verdana" w:cs="Arial"/>
          <w:color w:val="000000" w:themeColor="text1"/>
          <w:lang w:val="es-ES_tradnl"/>
        </w:rPr>
        <w:t>iv</w:t>
      </w:r>
      <w:proofErr w:type="spellEnd"/>
      <w:r w:rsidRPr="00817382">
        <w:rPr>
          <w:rFonts w:ascii="Verdana" w:eastAsia="Calibri" w:hAnsi="Verdana" w:cs="Arial"/>
          <w:color w:val="000000" w:themeColor="text1"/>
          <w:lang w:val="es-ES_tradnl"/>
        </w:rPr>
        <w:t>) causales de inhabilidad e incompatibilidad, v) el principio de anualidad del gasto, y vi) restricciones al acceso a la administración de justicia para discutir las controversias contractuales, son, entre otros, temas cuya regulación está reservada al legislador y que, por tanto, las entidades exceptuadas no pueden reglamentar en su manual de contratación</w:t>
      </w:r>
      <w:r w:rsidRPr="00817382">
        <w:rPr>
          <w:rStyle w:val="Refdenotaalpie"/>
          <w:rFonts w:ascii="Verdana" w:eastAsia="Calibri" w:hAnsi="Verdana" w:cs="Arial"/>
          <w:color w:val="000000" w:themeColor="text1"/>
          <w:lang w:val="es-ES_tradnl"/>
        </w:rPr>
        <w:footnoteReference w:id="11"/>
      </w:r>
      <w:r w:rsidRPr="00817382">
        <w:rPr>
          <w:rFonts w:ascii="Verdana" w:eastAsia="Calibri" w:hAnsi="Verdana" w:cs="Arial"/>
          <w:color w:val="000000" w:themeColor="text1"/>
          <w:lang w:val="es-ES_tradnl"/>
        </w:rPr>
        <w:t>.</w:t>
      </w:r>
    </w:p>
    <w:p w14:paraId="3DD1A180" w14:textId="77777777" w:rsidR="00B5328B" w:rsidRDefault="00B5328B" w:rsidP="00B5328B">
      <w:pPr>
        <w:spacing w:after="0" w:line="276" w:lineRule="auto"/>
        <w:ind w:firstLine="709"/>
        <w:jc w:val="both"/>
        <w:rPr>
          <w:rFonts w:ascii="Verdana" w:hAnsi="Verdana" w:cs="Arial"/>
          <w:color w:val="000000" w:themeColor="text1"/>
          <w:lang w:val="es-ES_tradnl"/>
        </w:rPr>
      </w:pPr>
    </w:p>
    <w:p w14:paraId="2E2D90E1" w14:textId="77777777" w:rsidR="00B5328B" w:rsidRPr="009B6C67" w:rsidRDefault="00B5328B" w:rsidP="00B5328B">
      <w:pPr>
        <w:spacing w:after="120" w:line="276" w:lineRule="auto"/>
        <w:jc w:val="both"/>
        <w:rPr>
          <w:rFonts w:ascii="Verdana" w:eastAsia="Calibri" w:hAnsi="Verdana" w:cs="Arial"/>
          <w:b/>
          <w:bCs/>
          <w:color w:val="000000" w:themeColor="text1"/>
        </w:rPr>
      </w:pPr>
      <w:r>
        <w:rPr>
          <w:rFonts w:ascii="Verdana" w:hAnsi="Verdana" w:cs="Arial"/>
          <w:color w:val="000000" w:themeColor="text1"/>
          <w:lang w:val="es-ES_tradnl"/>
        </w:rPr>
        <w:t xml:space="preserve">v. </w:t>
      </w:r>
      <w:r>
        <w:rPr>
          <w:rFonts w:ascii="Verdana" w:eastAsia="Calibri" w:hAnsi="Verdana" w:cs="Arial"/>
          <w:color w:val="000000" w:themeColor="text1"/>
        </w:rPr>
        <w:t>En l</w:t>
      </w:r>
      <w:r w:rsidRPr="009B6C67">
        <w:rPr>
          <w:rFonts w:ascii="Verdana" w:eastAsia="Calibri" w:hAnsi="Verdana" w:cs="Arial"/>
          <w:color w:val="000000" w:themeColor="text1"/>
        </w:rPr>
        <w:t xml:space="preserve">a estructura de la Administración pública se encuentran las entidades descentralizadas por servicios, y dentro de dicha categoría se ubican </w:t>
      </w:r>
      <w:r>
        <w:rPr>
          <w:rFonts w:ascii="Verdana" w:eastAsia="Calibri" w:hAnsi="Verdana" w:cs="Arial"/>
          <w:color w:val="000000" w:themeColor="text1"/>
        </w:rPr>
        <w:t>las empresas industriales y comerciales del Estado</w:t>
      </w:r>
      <w:r w:rsidRPr="009B6C67">
        <w:rPr>
          <w:rFonts w:ascii="Verdana" w:eastAsia="Calibri" w:hAnsi="Verdana" w:cs="Arial"/>
          <w:color w:val="000000" w:themeColor="text1"/>
        </w:rPr>
        <w:t>, las cuales –sin perjuicio del control de tutela– tienen personería jurídica, autonomía administrativa y patrimonio propio.</w:t>
      </w:r>
      <w:r w:rsidRPr="009B6C67">
        <w:rPr>
          <w:rFonts w:ascii="Verdana" w:eastAsia="Calibri" w:hAnsi="Verdana" w:cs="Arial"/>
          <w:b/>
          <w:bCs/>
          <w:color w:val="000000" w:themeColor="text1"/>
        </w:rPr>
        <w:t xml:space="preserve"> </w:t>
      </w:r>
      <w:r>
        <w:rPr>
          <w:rFonts w:ascii="Verdana" w:eastAsia="Calibri" w:hAnsi="Verdana" w:cs="Arial"/>
          <w:color w:val="000000" w:themeColor="text1"/>
        </w:rPr>
        <w:t xml:space="preserve">El inciso primero del artículo 85 de la Ley 489 de 1998 las define como “[…] </w:t>
      </w:r>
      <w:r w:rsidRPr="00EE29F7">
        <w:rPr>
          <w:rFonts w:ascii="Verdana" w:eastAsia="Calibri" w:hAnsi="Verdana" w:cs="Arial"/>
          <w:color w:val="000000" w:themeColor="text1"/>
        </w:rPr>
        <w:t>organismos creados por la ley o autorizados por ésta, que desarrollan actividades de naturaleza industrial o comercial y de gestión económica conforme a las reglas del Derecho Privado, salvo las excepciones que consagra la ley</w:t>
      </w:r>
      <w:r>
        <w:rPr>
          <w:rFonts w:ascii="Verdana" w:eastAsia="Calibri" w:hAnsi="Verdana" w:cs="Arial"/>
          <w:color w:val="000000" w:themeColor="text1"/>
        </w:rPr>
        <w:t xml:space="preserve"> […]”</w:t>
      </w:r>
      <w:r w:rsidRPr="009B6C67">
        <w:rPr>
          <w:rFonts w:ascii="Verdana" w:eastAsia="Calibri" w:hAnsi="Verdana" w:cs="Arial"/>
          <w:color w:val="000000" w:themeColor="text1"/>
        </w:rPr>
        <w:t xml:space="preserve">. </w:t>
      </w:r>
    </w:p>
    <w:p w14:paraId="251BD85D" w14:textId="77777777" w:rsidR="00B5328B" w:rsidRPr="009B6C67" w:rsidRDefault="00B5328B" w:rsidP="00B5328B">
      <w:pPr>
        <w:spacing w:after="120" w:line="276" w:lineRule="auto"/>
        <w:jc w:val="both"/>
        <w:rPr>
          <w:rFonts w:ascii="Verdana" w:eastAsia="Calibri" w:hAnsi="Verdana" w:cs="Arial"/>
          <w:color w:val="000000" w:themeColor="text1"/>
        </w:rPr>
      </w:pPr>
      <w:r w:rsidRPr="009B6C67">
        <w:rPr>
          <w:rFonts w:ascii="Verdana" w:eastAsia="Calibri" w:hAnsi="Verdana" w:cs="Arial"/>
          <w:color w:val="000000" w:themeColor="text1"/>
        </w:rPr>
        <w:tab/>
        <w:t xml:space="preserve">Considerando la actividad desarrollada, se itera, de carácter industrial o comercial, el régimen jurídico aplicable a estas empresas difiere del que corresponde a otras entidades descentralizadas funcionalmente o por servicios, como las superintendencias con personería jurídica, los establecimientos públicos o las unidades administrativas especiales, pues la regla general es el derecho privado, salvo excepciones legales.         </w:t>
      </w:r>
    </w:p>
    <w:p w14:paraId="38482C58" w14:textId="77777777" w:rsidR="00B5328B" w:rsidRPr="009B6C67" w:rsidRDefault="00B5328B" w:rsidP="00B5328B">
      <w:pPr>
        <w:spacing w:after="120" w:line="276" w:lineRule="auto"/>
        <w:jc w:val="both"/>
        <w:rPr>
          <w:rFonts w:ascii="Verdana" w:eastAsia="Calibri" w:hAnsi="Verdana" w:cs="Arial"/>
          <w:color w:val="000000" w:themeColor="text1"/>
        </w:rPr>
      </w:pPr>
      <w:r w:rsidRPr="009B6C67">
        <w:rPr>
          <w:rFonts w:ascii="Verdana" w:eastAsia="Calibri" w:hAnsi="Verdana" w:cs="Arial"/>
          <w:color w:val="000000" w:themeColor="text1"/>
        </w:rPr>
        <w:tab/>
        <w:t>Sobre el régimen de contratación, el artículo 2 de la Ley 80 de 1993  incorporó</w:t>
      </w:r>
      <w:r>
        <w:rPr>
          <w:rFonts w:ascii="Verdana" w:eastAsia="Calibri" w:hAnsi="Verdana" w:cs="Arial"/>
          <w:color w:val="000000" w:themeColor="text1"/>
        </w:rPr>
        <w:t xml:space="preserve"> a</w:t>
      </w:r>
      <w:r w:rsidRPr="009B6C67">
        <w:rPr>
          <w:rFonts w:ascii="Verdana" w:eastAsia="Calibri" w:hAnsi="Verdana" w:cs="Arial"/>
          <w:color w:val="000000" w:themeColor="text1"/>
        </w:rPr>
        <w:t xml:space="preserve"> </w:t>
      </w:r>
      <w:r w:rsidRPr="00A22A66">
        <w:rPr>
          <w:rFonts w:ascii="Verdana" w:eastAsia="Calibri" w:hAnsi="Verdana" w:cs="Arial"/>
          <w:color w:val="000000" w:themeColor="text1"/>
        </w:rPr>
        <w:t xml:space="preserve">las </w:t>
      </w:r>
      <w:r w:rsidRPr="007B0277">
        <w:rPr>
          <w:rFonts w:ascii="Verdana" w:eastAsia="Calibri" w:hAnsi="Verdana" w:cs="Arial"/>
          <w:color w:val="000000" w:themeColor="text1"/>
        </w:rPr>
        <w:t>empresas industriales y comerciales del Estado</w:t>
      </w:r>
      <w:r w:rsidRPr="009B6C67">
        <w:rPr>
          <w:rFonts w:ascii="Verdana" w:eastAsia="Calibri" w:hAnsi="Verdana" w:cs="Arial"/>
          <w:color w:val="000000" w:themeColor="text1"/>
        </w:rPr>
        <w:t xml:space="preserve"> dentro de la categoría de entidades estatales</w:t>
      </w:r>
      <w:r w:rsidRPr="009B6C67">
        <w:rPr>
          <w:rStyle w:val="Refdenotaalpie"/>
          <w:rFonts w:ascii="Verdana" w:eastAsia="Calibri" w:hAnsi="Verdana" w:cs="Arial"/>
          <w:color w:val="000000" w:themeColor="text1"/>
        </w:rPr>
        <w:footnoteReference w:id="12"/>
      </w:r>
      <w:r w:rsidRPr="009B6C67">
        <w:rPr>
          <w:rFonts w:ascii="Verdana" w:eastAsia="Calibri" w:hAnsi="Verdana" w:cs="Arial"/>
          <w:color w:val="000000" w:themeColor="text1"/>
        </w:rPr>
        <w:t>. Para estos efectos, el numeral 1, literal m), del artículo 24 del Estatuto General –derogado por el artículo 32 de la Ley 1150 de 2007– permitía la contratación directa de los bienes y servicios requeridos para el desarrollo de su objeto social, exceptuado los contratos de obra, consultoría, concesión, encargos fiduciarios y fiducia pública</w:t>
      </w:r>
      <w:r w:rsidRPr="009B6C67">
        <w:rPr>
          <w:rStyle w:val="Refdenotaalpie"/>
          <w:rFonts w:ascii="Verdana" w:eastAsia="Calibri" w:hAnsi="Verdana" w:cs="Arial"/>
          <w:color w:val="000000" w:themeColor="text1"/>
        </w:rPr>
        <w:footnoteReference w:id="13"/>
      </w:r>
      <w:r w:rsidRPr="009B6C67">
        <w:rPr>
          <w:rFonts w:ascii="Verdana" w:eastAsia="Calibri" w:hAnsi="Verdana" w:cs="Arial"/>
          <w:color w:val="000000" w:themeColor="text1"/>
        </w:rPr>
        <w:t xml:space="preserve">. </w:t>
      </w:r>
      <w:r>
        <w:rPr>
          <w:rFonts w:ascii="Verdana" w:eastAsia="Calibri" w:hAnsi="Verdana" w:cs="Arial"/>
          <w:color w:val="000000" w:themeColor="text1"/>
        </w:rPr>
        <w:t xml:space="preserve">Con el literal g) del artículo 2.2 de la Ley 1150 de 2007, dicha circunstancia se convierte en una </w:t>
      </w:r>
      <w:r>
        <w:rPr>
          <w:rFonts w:ascii="Verdana" w:eastAsia="Calibri" w:hAnsi="Verdana" w:cs="Arial"/>
          <w:color w:val="000000" w:themeColor="text1"/>
        </w:rPr>
        <w:lastRenderedPageBreak/>
        <w:t xml:space="preserve">causal de selección abreviada, la cual se regirá por el procedimiento de menor cuantía conforme al artículo </w:t>
      </w:r>
      <w:r w:rsidRPr="00E47542">
        <w:rPr>
          <w:rFonts w:ascii="Verdana" w:eastAsia="Calibri" w:hAnsi="Verdana" w:cs="Arial"/>
          <w:color w:val="000000" w:themeColor="text1"/>
        </w:rPr>
        <w:t>2.2.1.2.1.2.24</w:t>
      </w:r>
      <w:r>
        <w:rPr>
          <w:rFonts w:ascii="Verdana" w:eastAsia="Calibri" w:hAnsi="Verdana" w:cs="Arial"/>
          <w:color w:val="000000" w:themeColor="text1"/>
        </w:rPr>
        <w:t xml:space="preserve"> del Decreto 1082 de 2015</w:t>
      </w:r>
      <w:r>
        <w:rPr>
          <w:rStyle w:val="Refdenotaalpie"/>
          <w:rFonts w:ascii="Verdana" w:eastAsia="Calibri" w:hAnsi="Verdana" w:cs="Arial"/>
          <w:color w:val="000000" w:themeColor="text1"/>
        </w:rPr>
        <w:footnoteReference w:id="14"/>
      </w:r>
      <w:r>
        <w:rPr>
          <w:rFonts w:ascii="Verdana" w:eastAsia="Calibri" w:hAnsi="Verdana" w:cs="Arial"/>
          <w:color w:val="000000" w:themeColor="text1"/>
        </w:rPr>
        <w:t xml:space="preserve">.  </w:t>
      </w:r>
    </w:p>
    <w:p w14:paraId="43DA0D87" w14:textId="77777777" w:rsidR="00B5328B" w:rsidRPr="009B6C67" w:rsidRDefault="00B5328B" w:rsidP="00B5328B">
      <w:pPr>
        <w:spacing w:after="0" w:line="276" w:lineRule="auto"/>
        <w:jc w:val="both"/>
        <w:rPr>
          <w:rFonts w:ascii="Verdana" w:eastAsia="Calibri" w:hAnsi="Verdana" w:cs="Arial"/>
          <w:color w:val="000000" w:themeColor="text1"/>
        </w:rPr>
      </w:pPr>
      <w:r w:rsidRPr="009B6C67">
        <w:rPr>
          <w:rFonts w:ascii="Verdana" w:eastAsia="Calibri" w:hAnsi="Verdana" w:cs="Arial"/>
          <w:color w:val="000000" w:themeColor="text1"/>
        </w:rPr>
        <w:tab/>
        <w:t xml:space="preserve">Actualmente, el artículo 14 de Ley 1150 de 2007 distingue entre </w:t>
      </w:r>
      <w:r w:rsidRPr="00A22A66">
        <w:rPr>
          <w:rFonts w:ascii="Verdana" w:eastAsia="Calibri" w:hAnsi="Verdana" w:cs="Arial"/>
          <w:color w:val="000000" w:themeColor="text1"/>
        </w:rPr>
        <w:t xml:space="preserve">las </w:t>
      </w:r>
      <w:r>
        <w:rPr>
          <w:rFonts w:ascii="Verdana" w:eastAsia="Calibri" w:hAnsi="Verdana" w:cs="Arial"/>
          <w:color w:val="000000" w:themeColor="text1"/>
        </w:rPr>
        <w:t>empresas industriales y comerciales del Estado</w:t>
      </w:r>
      <w:r w:rsidRPr="009B6C67">
        <w:rPr>
          <w:rFonts w:ascii="Verdana" w:eastAsia="Calibri" w:hAnsi="Verdana" w:cs="Arial"/>
          <w:color w:val="000000" w:themeColor="text1"/>
        </w:rPr>
        <w:t xml:space="preserve"> que desarrollan sus actividades en competencia con los particulares y las que no: mientras los contratos de estas últimas regresan a las normas de la Ley 80 de 1993, los de aquellas permanecen dentro del Código Civil y de Comercio, lo que –respecto al contenido del artículo </w:t>
      </w:r>
      <w:r>
        <w:rPr>
          <w:rFonts w:ascii="Verdana" w:eastAsia="Calibri" w:hAnsi="Verdana" w:cs="Arial"/>
          <w:color w:val="000000" w:themeColor="text1"/>
        </w:rPr>
        <w:t>85</w:t>
      </w:r>
      <w:r w:rsidRPr="009B6C67">
        <w:rPr>
          <w:rFonts w:ascii="Verdana" w:eastAsia="Calibri" w:hAnsi="Verdana" w:cs="Arial"/>
          <w:color w:val="000000" w:themeColor="text1"/>
        </w:rPr>
        <w:t xml:space="preserve"> de la Ley 489 de 1998– implica un retorno parcial del derecho administrativo. La norma anteriormente citada dispone lo siguiente:</w:t>
      </w:r>
    </w:p>
    <w:p w14:paraId="1F45BA8E" w14:textId="77777777" w:rsidR="00B5328B" w:rsidRPr="009B6C67" w:rsidRDefault="00B5328B" w:rsidP="00B5328B">
      <w:pPr>
        <w:spacing w:after="0" w:line="276" w:lineRule="auto"/>
        <w:jc w:val="both"/>
        <w:rPr>
          <w:rFonts w:ascii="Verdana" w:eastAsia="Calibri" w:hAnsi="Verdana" w:cs="Arial"/>
          <w:color w:val="000000" w:themeColor="text1"/>
        </w:rPr>
      </w:pPr>
    </w:p>
    <w:p w14:paraId="51128A24" w14:textId="77777777" w:rsidR="00B5328B" w:rsidRPr="008606D3" w:rsidRDefault="00B5328B" w:rsidP="00B5328B">
      <w:pPr>
        <w:spacing w:after="0" w:line="240" w:lineRule="auto"/>
        <w:ind w:left="709" w:right="709"/>
        <w:jc w:val="both"/>
        <w:rPr>
          <w:rFonts w:ascii="Verdana" w:eastAsia="Calibri" w:hAnsi="Verdana" w:cs="Arial"/>
          <w:color w:val="000000" w:themeColor="text1"/>
          <w:sz w:val="20"/>
          <w:szCs w:val="20"/>
        </w:rPr>
      </w:pPr>
      <w:r w:rsidRPr="008606D3">
        <w:rPr>
          <w:rFonts w:ascii="Verdana" w:eastAsia="Calibri" w:hAnsi="Verdana" w:cs="Arial"/>
          <w:color w:val="000000" w:themeColor="text1"/>
          <w:sz w:val="20"/>
          <w:szCs w:val="20"/>
        </w:rPr>
        <w:t>“Artículo 14. Modificado por la Ley 1474 de 2011, artículo 93.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p w14:paraId="4F4A5587" w14:textId="77777777" w:rsidR="00B5328B" w:rsidRPr="009B6C67" w:rsidRDefault="00B5328B" w:rsidP="00B5328B">
      <w:pPr>
        <w:spacing w:after="0" w:line="276" w:lineRule="auto"/>
        <w:ind w:left="709" w:right="709"/>
        <w:jc w:val="both"/>
        <w:rPr>
          <w:rFonts w:ascii="Verdana" w:eastAsia="Calibri" w:hAnsi="Verdana" w:cs="Arial"/>
          <w:color w:val="000000" w:themeColor="text1"/>
        </w:rPr>
      </w:pPr>
    </w:p>
    <w:p w14:paraId="71BFFCB3" w14:textId="77777777" w:rsidR="00B5328B" w:rsidRPr="009B6C67" w:rsidRDefault="00B5328B" w:rsidP="00B5328B">
      <w:pPr>
        <w:spacing w:after="0" w:line="276" w:lineRule="auto"/>
        <w:jc w:val="both"/>
        <w:rPr>
          <w:rFonts w:ascii="Verdana" w:eastAsia="Calibri" w:hAnsi="Verdana" w:cs="Arial"/>
          <w:color w:val="000000" w:themeColor="text1"/>
        </w:rPr>
      </w:pPr>
      <w:r w:rsidRPr="009B6C67">
        <w:rPr>
          <w:rFonts w:ascii="Verdana" w:eastAsia="Calibri" w:hAnsi="Verdana" w:cs="Arial"/>
          <w:color w:val="000000" w:themeColor="text1"/>
        </w:rPr>
        <w:tab/>
        <w:t xml:space="preserve">En esta medida, las </w:t>
      </w:r>
      <w:r>
        <w:rPr>
          <w:rFonts w:ascii="Verdana" w:eastAsia="Calibri" w:hAnsi="Verdana" w:cs="Arial"/>
          <w:color w:val="000000" w:themeColor="text1"/>
        </w:rPr>
        <w:t>empresas industriales y comerciales del Estado</w:t>
      </w:r>
      <w:r w:rsidRPr="009B6C67">
        <w:rPr>
          <w:rFonts w:ascii="Verdana" w:eastAsia="Calibri" w:hAnsi="Verdana" w:cs="Arial"/>
          <w:color w:val="000000" w:themeColor="text1"/>
        </w:rPr>
        <w:t xml:space="preserve"> que no estén en competencia ni desarrollen su actividad en mercados regulados están sometidas al Estatuto General de Contratación de la Administración Pública y las normas que lo complementan. Conforme al literal g) del artículo 2.2 de la Ley 1150 de 2007, estos contratos siguen las reglas del procedimiento de selección abreviada, exceptuados los del artículo 32 de la Ley 80 de 1993. En contraste, el régimen contractual de </w:t>
      </w:r>
      <w:r w:rsidRPr="00A22A66">
        <w:rPr>
          <w:rFonts w:ascii="Verdana" w:eastAsia="Calibri" w:hAnsi="Verdana" w:cs="Arial"/>
          <w:color w:val="000000" w:themeColor="text1"/>
        </w:rPr>
        <w:t xml:space="preserve">las </w:t>
      </w:r>
      <w:r>
        <w:rPr>
          <w:rFonts w:ascii="Verdana" w:eastAsia="Calibri" w:hAnsi="Verdana" w:cs="Arial"/>
          <w:color w:val="000000" w:themeColor="text1"/>
        </w:rPr>
        <w:t>empresas industriales y comerciales del Estado</w:t>
      </w:r>
      <w:r w:rsidRPr="009B6C67">
        <w:rPr>
          <w:rFonts w:ascii="Verdana" w:eastAsia="Calibri" w:hAnsi="Verdana" w:cs="Arial"/>
          <w:color w:val="000000" w:themeColor="text1"/>
        </w:rPr>
        <w:t xml:space="preserve"> que se encuentren en competencia o en mercados regulados es el propio </w:t>
      </w:r>
      <w:r w:rsidRPr="009B6C67">
        <w:rPr>
          <w:rFonts w:ascii="Verdana" w:eastAsia="Calibri" w:hAnsi="Verdana" w:cs="Arial"/>
          <w:color w:val="000000" w:themeColor="text1"/>
        </w:rPr>
        <w:lastRenderedPageBreak/>
        <w:t>de tales actividades, esto es, por regla general, el derecho privado. De acuerdo con la jurisprudencia, la exclusión de estas últimas se justifica en el principio de igualdad, ya que si Estado desarrolla actividades de los particulares, debe actuar no solo desprovisto de poderes exorbitantes sino también con la misma eficacia y eficiencia que los sujetos de derecho privado. No en vano:</w:t>
      </w:r>
    </w:p>
    <w:p w14:paraId="6D4E4501" w14:textId="77777777" w:rsidR="00B5328B" w:rsidRPr="009B6C67" w:rsidRDefault="00B5328B" w:rsidP="00B5328B">
      <w:pPr>
        <w:spacing w:after="0" w:line="276" w:lineRule="auto"/>
        <w:jc w:val="both"/>
        <w:rPr>
          <w:rFonts w:ascii="Verdana" w:eastAsia="Calibri" w:hAnsi="Verdana" w:cs="Arial"/>
          <w:color w:val="000000" w:themeColor="text1"/>
        </w:rPr>
      </w:pPr>
    </w:p>
    <w:p w14:paraId="6EBA1971" w14:textId="77777777" w:rsidR="00B5328B" w:rsidRPr="008606D3" w:rsidRDefault="00B5328B" w:rsidP="00B5328B">
      <w:pPr>
        <w:spacing w:after="120" w:line="240" w:lineRule="auto"/>
        <w:ind w:left="709" w:right="709"/>
        <w:jc w:val="both"/>
        <w:rPr>
          <w:rFonts w:ascii="Verdana" w:eastAsia="Calibri" w:hAnsi="Verdana" w:cs="Arial"/>
          <w:color w:val="000000" w:themeColor="text1"/>
          <w:sz w:val="20"/>
          <w:szCs w:val="20"/>
        </w:rPr>
      </w:pPr>
      <w:r w:rsidRPr="008606D3">
        <w:rPr>
          <w:rFonts w:ascii="Verdana" w:eastAsia="Calibri" w:hAnsi="Verdana" w:cs="Arial"/>
          <w:color w:val="000000" w:themeColor="text1"/>
          <w:sz w:val="20"/>
          <w:szCs w:val="20"/>
        </w:rPr>
        <w:t>“La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w:t>
      </w:r>
    </w:p>
    <w:p w14:paraId="746EFB69" w14:textId="77777777" w:rsidR="00B5328B" w:rsidRPr="008606D3" w:rsidRDefault="00B5328B" w:rsidP="00B5328B">
      <w:pPr>
        <w:spacing w:after="120" w:line="240" w:lineRule="auto"/>
        <w:ind w:left="709" w:right="709"/>
        <w:jc w:val="both"/>
        <w:rPr>
          <w:rFonts w:ascii="Verdana" w:eastAsia="Calibri" w:hAnsi="Verdana" w:cs="Arial"/>
          <w:color w:val="000000" w:themeColor="text1"/>
          <w:sz w:val="20"/>
          <w:szCs w:val="20"/>
        </w:rPr>
      </w:pPr>
      <w:r w:rsidRPr="008606D3">
        <w:rPr>
          <w:rFonts w:ascii="Verdana" w:eastAsia="Calibri" w:hAnsi="Verdana" w:cs="Arial"/>
          <w:color w:val="000000" w:themeColor="text1"/>
          <w:sz w:val="20"/>
          <w:szCs w:val="20"/>
        </w:rPr>
        <w:t>Se trata pues, de que sus actividades de explotación industrial o comercial se desarrollen con las mismas oportunidades y las mismas ventajas o desventajas que las adelantadas por aquellos, sin que influya para nada su investidura de entidad estatal; que puedan actuar como particulares, frente a las exigencias de la economía y del mercado.</w:t>
      </w:r>
    </w:p>
    <w:p w14:paraId="60AFD29E" w14:textId="77777777" w:rsidR="00B5328B" w:rsidRPr="008606D3" w:rsidRDefault="00B5328B" w:rsidP="00B5328B">
      <w:pPr>
        <w:spacing w:after="0" w:line="240" w:lineRule="auto"/>
        <w:ind w:left="709" w:right="709"/>
        <w:jc w:val="both"/>
        <w:rPr>
          <w:rFonts w:ascii="Verdana" w:eastAsia="Calibri" w:hAnsi="Verdana" w:cs="Arial"/>
          <w:color w:val="000000" w:themeColor="text1"/>
          <w:sz w:val="20"/>
          <w:szCs w:val="20"/>
        </w:rPr>
      </w:pPr>
      <w:r w:rsidRPr="008606D3">
        <w:rPr>
          <w:rFonts w:ascii="Verdana" w:eastAsia="Calibri" w:hAnsi="Verdana" w:cs="Arial"/>
          <w:color w:val="000000" w:themeColor="text1"/>
          <w:sz w:val="20"/>
          <w:szCs w:val="20"/>
        </w:rPr>
        <w:t>Por ello, la regla general es que en sus actos y contratos rijan las normas de derecho privado, salvo en cuanto a sus relaciones con la Administración y en aquellos casos en los que por expresa disposición legal ejerzan alguna función administrativa, puesto que allí sí deberá dar aplicación a las reglas de derecho público pertinentes”</w:t>
      </w:r>
      <w:r w:rsidRPr="008606D3">
        <w:rPr>
          <w:rStyle w:val="Refdenotaalpie"/>
          <w:rFonts w:ascii="Verdana" w:eastAsia="Calibri" w:hAnsi="Verdana" w:cs="Arial"/>
          <w:color w:val="000000" w:themeColor="text1"/>
          <w:sz w:val="20"/>
          <w:szCs w:val="20"/>
        </w:rPr>
        <w:footnoteReference w:id="15"/>
      </w:r>
      <w:r w:rsidRPr="008606D3">
        <w:rPr>
          <w:rFonts w:ascii="Verdana" w:eastAsia="Calibri" w:hAnsi="Verdana" w:cs="Arial"/>
          <w:color w:val="000000" w:themeColor="text1"/>
          <w:sz w:val="20"/>
          <w:szCs w:val="20"/>
        </w:rPr>
        <w:t>.</w:t>
      </w:r>
    </w:p>
    <w:p w14:paraId="542FF1C1" w14:textId="77777777" w:rsidR="00B5328B" w:rsidRPr="009B6C67" w:rsidRDefault="00B5328B" w:rsidP="00B5328B">
      <w:pPr>
        <w:spacing w:after="0" w:line="276" w:lineRule="auto"/>
        <w:jc w:val="both"/>
        <w:rPr>
          <w:rFonts w:ascii="Verdana" w:eastAsia="Calibri" w:hAnsi="Verdana" w:cs="Arial"/>
          <w:color w:val="000000" w:themeColor="text1"/>
        </w:rPr>
      </w:pPr>
    </w:p>
    <w:p w14:paraId="4E5A6AB4" w14:textId="77777777" w:rsidR="00B5328B" w:rsidRDefault="00B5328B" w:rsidP="00B5328B">
      <w:pPr>
        <w:tabs>
          <w:tab w:val="left" w:pos="709"/>
        </w:tabs>
        <w:spacing w:after="0" w:line="276" w:lineRule="auto"/>
        <w:jc w:val="both"/>
        <w:rPr>
          <w:rFonts w:ascii="Verdana" w:eastAsia="Calibri" w:hAnsi="Verdana" w:cs="Arial"/>
          <w:color w:val="000000" w:themeColor="text1"/>
        </w:rPr>
      </w:pPr>
      <w:r>
        <w:rPr>
          <w:rFonts w:ascii="Verdana" w:eastAsia="Calibri" w:hAnsi="Verdana" w:cs="Arial"/>
          <w:color w:val="000000" w:themeColor="text1"/>
        </w:rPr>
        <w:tab/>
      </w:r>
      <w:r w:rsidRPr="009B6C67">
        <w:rPr>
          <w:rFonts w:ascii="Verdana" w:eastAsia="Calibri" w:hAnsi="Verdana" w:cs="Arial"/>
          <w:color w:val="000000" w:themeColor="text1"/>
        </w:rPr>
        <w:t xml:space="preserve">Por lo tanto, el régimen contractual de </w:t>
      </w:r>
      <w:r w:rsidRPr="00A22A66">
        <w:rPr>
          <w:rFonts w:ascii="Verdana" w:eastAsia="Calibri" w:hAnsi="Verdana" w:cs="Arial"/>
          <w:color w:val="000000" w:themeColor="text1"/>
        </w:rPr>
        <w:t xml:space="preserve">las </w:t>
      </w:r>
      <w:r>
        <w:rPr>
          <w:rFonts w:ascii="Verdana" w:eastAsia="Calibri" w:hAnsi="Verdana" w:cs="Arial"/>
          <w:color w:val="000000" w:themeColor="text1"/>
        </w:rPr>
        <w:t>empresas industriales y comerciales del Estado</w:t>
      </w:r>
      <w:r w:rsidRPr="009B6C67">
        <w:rPr>
          <w:rFonts w:ascii="Verdana" w:eastAsia="Calibri" w:hAnsi="Verdana" w:cs="Arial"/>
          <w:color w:val="000000" w:themeColor="text1"/>
        </w:rPr>
        <w:t xml:space="preserve"> que estén en competencia o desarrollen su actividad en mercados regulados es el propio de tal actividad, esto es, por regla general, el derecho privado, salvo las excepciones legales. Aunque estos contratos están excluidos de la Ley 80 de 1993, no se rigen exclusivamente por el derecho civil y comercial, pues –conforme al artículo 13 de la Ley 1150 de 2007– aplican tanto los principios de la función administrativa y de la gestión fiscal como el régimen de inhabilidades e incompatibilidades. Por el contrario, aquellas </w:t>
      </w:r>
      <w:r>
        <w:rPr>
          <w:rFonts w:ascii="Verdana" w:eastAsia="Calibri" w:hAnsi="Verdana" w:cs="Arial"/>
          <w:color w:val="000000" w:themeColor="text1"/>
        </w:rPr>
        <w:t>empresas industriales y comerciales del Estado</w:t>
      </w:r>
      <w:r w:rsidRPr="009B6C67">
        <w:rPr>
          <w:rFonts w:ascii="Verdana" w:eastAsia="Calibri" w:hAnsi="Verdana" w:cs="Arial"/>
          <w:color w:val="000000" w:themeColor="text1"/>
        </w:rPr>
        <w:t xml:space="preserve"> que no estén en competencia ni desarrollen su actividad en mercados regulados están sometidas al Estatuto General de Contratación de la Administración Pública y las normas que lo complementan, como lo dispone el artículo 14 de la Ley 1150 de 2007.</w:t>
      </w:r>
    </w:p>
    <w:p w14:paraId="7DBC6350" w14:textId="77777777" w:rsidR="00B5328B" w:rsidRDefault="00B5328B" w:rsidP="00B5328B">
      <w:pPr>
        <w:tabs>
          <w:tab w:val="left" w:pos="709"/>
        </w:tabs>
        <w:spacing w:after="0" w:line="276" w:lineRule="auto"/>
        <w:jc w:val="both"/>
        <w:rPr>
          <w:rFonts w:ascii="Verdana" w:eastAsia="Calibri" w:hAnsi="Verdana" w:cs="Arial"/>
          <w:color w:val="000000" w:themeColor="text1"/>
        </w:rPr>
      </w:pPr>
    </w:p>
    <w:p w14:paraId="3F3AF1CB" w14:textId="77777777" w:rsidR="00B5328B" w:rsidRPr="00940D18" w:rsidRDefault="00B5328B" w:rsidP="00B5328B">
      <w:pPr>
        <w:spacing w:after="120" w:line="276" w:lineRule="auto"/>
        <w:jc w:val="both"/>
        <w:rPr>
          <w:rFonts w:ascii="Verdana" w:eastAsia="Calibri" w:hAnsi="Verdana" w:cs="Arial"/>
          <w:lang w:val="es-MX"/>
        </w:rPr>
      </w:pPr>
      <w:r w:rsidRPr="00940D18">
        <w:rPr>
          <w:rFonts w:ascii="Verdana" w:eastAsia="Calibri" w:hAnsi="Verdana" w:cs="Arial"/>
          <w:color w:val="000000" w:themeColor="text1"/>
        </w:rPr>
        <w:t xml:space="preserve">vi. </w:t>
      </w:r>
      <w:r w:rsidRPr="00940D18">
        <w:rPr>
          <w:rFonts w:ascii="Verdana" w:eastAsia="Calibri" w:hAnsi="Verdana" w:cs="Arial"/>
          <w:lang w:val="es-MX"/>
        </w:rPr>
        <w:t xml:space="preserve">El artículo 6.2 de la Ley 1150 de 2007 obliga a las </w:t>
      </w:r>
      <w:r w:rsidRPr="00122DF7">
        <w:rPr>
          <w:rFonts w:ascii="Verdana" w:eastAsia="Calibri" w:hAnsi="Verdana" w:cs="Arial"/>
          <w:i/>
          <w:iCs/>
          <w:lang w:val="es-MX"/>
        </w:rPr>
        <w:t>entidades sometidas al EGCAP</w:t>
      </w:r>
      <w:r w:rsidRPr="00940D18">
        <w:rPr>
          <w:rFonts w:ascii="Verdana" w:eastAsia="Calibri" w:hAnsi="Verdana" w:cs="Arial"/>
          <w:lang w:val="es-MX"/>
        </w:rPr>
        <w:t xml:space="preserve"> a reportar a la Cámara de Comercio correspondiente la información sobre contratos, multas y sanciones</w:t>
      </w:r>
      <w:r w:rsidRPr="00940D18">
        <w:rPr>
          <w:rFonts w:ascii="Verdana" w:eastAsia="Calibri" w:hAnsi="Verdana" w:cs="Arial"/>
          <w:vertAlign w:val="superscript"/>
          <w:lang w:val="es-MX"/>
        </w:rPr>
        <w:footnoteReference w:id="16"/>
      </w:r>
      <w:r w:rsidRPr="00940D18">
        <w:rPr>
          <w:rFonts w:ascii="Verdana" w:eastAsia="Calibri" w:hAnsi="Verdana" w:cs="Arial"/>
          <w:lang w:val="es-MX"/>
        </w:rPr>
        <w:t>. Esta norma pretende poner en conocimiento de todos los participantes del sistema de compras públicas la información de sanciones y multas impuestas a los inscritos en el RUP, como una forma de ejercer control a la ejecución de los contratos suscritos por las entidades estatales. Dicha obligación también es congruente con el artículo 31 de la Ley 80 de 1993, modificado por el artículo 218 del Decreto 19 de 2012, que estableció los deberes de publicar en el SECOP y de comunicar a las Cámaras de Comercio, la parte resolutiva, de los actos que impongan multas y sanciones, entre otras decisiones</w:t>
      </w:r>
      <w:r w:rsidRPr="00940D18">
        <w:rPr>
          <w:rFonts w:ascii="Verdana" w:eastAsia="Calibri" w:hAnsi="Verdana" w:cs="Arial"/>
          <w:vertAlign w:val="superscript"/>
          <w:lang w:val="es-MX"/>
        </w:rPr>
        <w:footnoteReference w:id="17"/>
      </w:r>
      <w:r w:rsidRPr="00940D18">
        <w:rPr>
          <w:rFonts w:ascii="Verdana" w:eastAsia="Calibri" w:hAnsi="Verdana" w:cs="Arial"/>
          <w:lang w:val="es-MX"/>
        </w:rPr>
        <w:t xml:space="preserve">. </w:t>
      </w:r>
    </w:p>
    <w:p w14:paraId="535ACAA4" w14:textId="77777777" w:rsidR="00B5328B" w:rsidRPr="00940D18" w:rsidRDefault="00B5328B" w:rsidP="00B5328B">
      <w:pPr>
        <w:spacing w:after="120" w:line="276" w:lineRule="auto"/>
        <w:ind w:firstLine="708"/>
        <w:jc w:val="both"/>
        <w:rPr>
          <w:rFonts w:ascii="Verdana" w:eastAsia="Calibri" w:hAnsi="Verdana" w:cs="Arial"/>
          <w:lang w:val="es-MX"/>
        </w:rPr>
      </w:pPr>
      <w:r w:rsidRPr="00940D18">
        <w:rPr>
          <w:rFonts w:ascii="Verdana" w:eastAsia="Calibri" w:hAnsi="Verdana" w:cs="Arial"/>
          <w:lang w:val="es-MX"/>
        </w:rPr>
        <w:t>En la Ley 80 de 1993 se observa la voluntad del legislador de divulgar el comportamiento contractual de los participantes en el sistema de compras públicas. En este contexto, el artículo 6.2 de la Ley 1150 de 2007 constituye un desarrollo material de los principios aplicables a las actuaciones contractuales en los términos del artículo 23 del Estatuto General de Contratación de la Administración Pública</w:t>
      </w:r>
      <w:r w:rsidRPr="00940D18">
        <w:rPr>
          <w:rFonts w:ascii="Verdana" w:eastAsia="Calibri" w:hAnsi="Verdana" w:cs="Arial"/>
          <w:vertAlign w:val="superscript"/>
          <w:lang w:val="es-MX"/>
        </w:rPr>
        <w:footnoteReference w:id="18"/>
      </w:r>
      <w:r w:rsidRPr="00940D18">
        <w:rPr>
          <w:rFonts w:ascii="Verdana" w:eastAsia="Calibri" w:hAnsi="Verdana" w:cs="Arial"/>
          <w:lang w:val="es-MX"/>
        </w:rPr>
        <w:t xml:space="preserve">. Entre otros, la Ley 80 de 1993 concreta el principio de transparencia de la actividad contractual, objeto de regulación expresa en el artículo 24 </w:t>
      </w:r>
      <w:r w:rsidRPr="00940D18">
        <w:rPr>
          <w:rFonts w:ascii="Verdana" w:eastAsia="Calibri" w:hAnsi="Verdana" w:cs="Arial"/>
          <w:i/>
          <w:iCs/>
          <w:lang w:val="es-MX"/>
        </w:rPr>
        <w:t>ibidem</w:t>
      </w:r>
      <w:r w:rsidRPr="00940D18">
        <w:rPr>
          <w:rFonts w:ascii="Verdana" w:eastAsia="Calibri" w:hAnsi="Verdana" w:cs="Arial"/>
          <w:lang w:val="es-MX"/>
        </w:rPr>
        <w:t xml:space="preserve">, que guarda estrecha relación con el de publicidad, el cual rige el ejercicio de la función administrativa, según el artículo 209 de la Constitución Política.  </w:t>
      </w:r>
    </w:p>
    <w:p w14:paraId="5D1CE3DF" w14:textId="77777777" w:rsidR="00B5328B" w:rsidRPr="00940D18" w:rsidRDefault="00B5328B" w:rsidP="00B5328B">
      <w:pPr>
        <w:spacing w:after="120" w:line="276" w:lineRule="auto"/>
        <w:ind w:firstLine="708"/>
        <w:jc w:val="both"/>
        <w:rPr>
          <w:rFonts w:ascii="Verdana" w:eastAsia="Calibri" w:hAnsi="Verdana" w:cs="Arial"/>
          <w:lang w:val="es-MX"/>
        </w:rPr>
      </w:pPr>
      <w:r w:rsidRPr="00940D18">
        <w:rPr>
          <w:rFonts w:ascii="Verdana" w:eastAsia="Calibri" w:hAnsi="Verdana" w:cs="Arial"/>
          <w:lang w:val="es-MX"/>
        </w:rPr>
        <w:lastRenderedPageBreak/>
        <w:t>Ahora bien, el numeral 6.2. de la Ley 1150 de 2007 estableció la información que deberá registrarse en el Registro Único de Proponentes, precisando que “</w:t>
      </w:r>
      <w:r w:rsidRPr="00940D18">
        <w:rPr>
          <w:rFonts w:ascii="Verdana" w:eastAsia="Calibri" w:hAnsi="Verdana" w:cs="Arial"/>
        </w:rPr>
        <w:t xml:space="preserve">Las entidades estatales enviarán mensualmente a la Cámara de Comercio de su domicilio, la información concerniente a los contratos, su cuantía, cumplimiento, </w:t>
      </w:r>
      <w:r w:rsidRPr="00940D18">
        <w:rPr>
          <w:rFonts w:ascii="Verdana" w:eastAsia="Calibri" w:hAnsi="Verdana" w:cs="Arial"/>
          <w:i/>
          <w:iCs/>
        </w:rPr>
        <w:t>multas y sanciones</w:t>
      </w:r>
      <w:r w:rsidRPr="00940D18">
        <w:rPr>
          <w:rFonts w:ascii="Verdana" w:eastAsia="Calibri" w:hAnsi="Verdana" w:cs="Arial"/>
        </w:rPr>
        <w:t xml:space="preserve"> relacionadas con los contratos que hayan sido adjudicados, los que se encuentren en ejecución y los ejecutados” (Énfasis fuera de texto)</w:t>
      </w:r>
      <w:r w:rsidRPr="00940D18">
        <w:rPr>
          <w:rFonts w:ascii="Verdana" w:eastAsia="Calibri" w:hAnsi="Verdana" w:cs="Arial"/>
          <w:lang w:val="es-MX"/>
        </w:rPr>
        <w:t xml:space="preserve">. </w:t>
      </w:r>
    </w:p>
    <w:p w14:paraId="385ECA3D" w14:textId="77777777" w:rsidR="00B5328B" w:rsidRPr="00940D18" w:rsidRDefault="00B5328B" w:rsidP="00B5328B">
      <w:pPr>
        <w:spacing w:after="0" w:line="276" w:lineRule="auto"/>
        <w:ind w:firstLine="708"/>
        <w:jc w:val="both"/>
        <w:rPr>
          <w:rFonts w:ascii="Verdana" w:eastAsia="Calibri" w:hAnsi="Verdana" w:cs="Arial"/>
          <w:iCs/>
          <w:lang w:val="es-MX"/>
        </w:rPr>
      </w:pPr>
      <w:r w:rsidRPr="00940D18">
        <w:rPr>
          <w:rFonts w:ascii="Verdana" w:eastAsia="Calibri" w:hAnsi="Verdana" w:cs="Arial"/>
          <w:iCs/>
          <w:lang w:val="es-MX"/>
        </w:rPr>
        <w:t xml:space="preserve">Asimismo, consagró una atribución reglamentaria sobre el tema. Para estos efectos dispuso que “Las condiciones de remisión de la información y los plazos de permanencia de la misma en el registro serán señalados por el Gobierno Nacional”. Actualmente, este mandato se desarrolla en el artículo 14 del Decreto 1510 de 17 de julio de 2013, compilado posteriormente en el artículo 2.2.1.1.1.5.7 del Decreto 1082 de 2015, que dispone lo siguiente: </w:t>
      </w:r>
    </w:p>
    <w:p w14:paraId="2781530A" w14:textId="77777777" w:rsidR="00B5328B" w:rsidRPr="00940D18" w:rsidRDefault="00B5328B" w:rsidP="00B5328B">
      <w:pPr>
        <w:spacing w:after="0" w:line="276" w:lineRule="auto"/>
        <w:ind w:firstLine="708"/>
        <w:jc w:val="both"/>
        <w:rPr>
          <w:rFonts w:ascii="Verdana" w:eastAsia="Calibri" w:hAnsi="Verdana" w:cs="Arial"/>
          <w:iCs/>
          <w:lang w:val="es-MX"/>
        </w:rPr>
      </w:pPr>
    </w:p>
    <w:p w14:paraId="275B680C" w14:textId="77777777" w:rsidR="00B5328B" w:rsidRPr="00940D18" w:rsidRDefault="00B5328B" w:rsidP="00B5328B">
      <w:pPr>
        <w:spacing w:after="120" w:line="240" w:lineRule="auto"/>
        <w:ind w:left="709" w:right="709"/>
        <w:contextualSpacing/>
        <w:jc w:val="both"/>
        <w:rPr>
          <w:rFonts w:ascii="Verdana" w:eastAsia="Calibri" w:hAnsi="Verdana" w:cs="Arial"/>
          <w:sz w:val="20"/>
          <w:szCs w:val="20"/>
          <w:lang w:val="es-MX"/>
        </w:rPr>
      </w:pPr>
      <w:r w:rsidRPr="00940D18">
        <w:rPr>
          <w:rFonts w:ascii="Verdana" w:eastAsia="Calibri" w:hAnsi="Verdana" w:cs="Arial"/>
          <w:sz w:val="20"/>
          <w:szCs w:val="20"/>
          <w:lang w:val="es-MX"/>
        </w:rPr>
        <w:t>“Las Entidades Estatales deben enviar mensualmente a las cámaras de comercio de su domicilio, copia de los actos administrativos en firme, por medio de los cuales impusieron multas y sanciones y de las inhabilidades resultantes de los contratos que hayan suscrito, y de la información de los Procesos de Contratación en los términos del artículo 6 de la Ley 1150 de 2007. Para el efecto las cámaras de comercio pueden establecer mecanismos electrónicos para recibir la información mencionada. El registro de las sanciones e inhabilidades debe permanecer en el certificado del RUP por el término de la sanción o de la inhabilidad. La información relativa a multas debe permanecer en el certificado del RUP por un año, contado a partir de la publicación de la misma.</w:t>
      </w:r>
    </w:p>
    <w:p w14:paraId="78B35DC9" w14:textId="77777777" w:rsidR="00B5328B" w:rsidRPr="00940D18" w:rsidRDefault="00B5328B" w:rsidP="00B5328B">
      <w:pPr>
        <w:spacing w:after="120" w:line="240" w:lineRule="auto"/>
        <w:ind w:left="709" w:right="709"/>
        <w:contextualSpacing/>
        <w:jc w:val="both"/>
        <w:rPr>
          <w:rFonts w:ascii="Verdana" w:eastAsia="Calibri" w:hAnsi="Verdana" w:cs="Arial"/>
          <w:sz w:val="12"/>
          <w:szCs w:val="12"/>
          <w:lang w:val="es-MX"/>
        </w:rPr>
      </w:pPr>
    </w:p>
    <w:p w14:paraId="1421E886" w14:textId="77777777" w:rsidR="00B5328B" w:rsidRPr="00940D18" w:rsidRDefault="00B5328B" w:rsidP="00B5328B">
      <w:pPr>
        <w:spacing w:after="0" w:line="240" w:lineRule="auto"/>
        <w:ind w:left="709" w:right="709"/>
        <w:contextualSpacing/>
        <w:jc w:val="both"/>
        <w:rPr>
          <w:rFonts w:ascii="Verdana" w:eastAsia="Calibri" w:hAnsi="Verdana" w:cs="Arial"/>
          <w:sz w:val="21"/>
          <w:szCs w:val="21"/>
          <w:lang w:val="es-MX"/>
        </w:rPr>
      </w:pPr>
      <w:r w:rsidRPr="00940D18">
        <w:rPr>
          <w:rFonts w:ascii="Verdana" w:eastAsia="Calibri" w:hAnsi="Verdana" w:cs="Arial"/>
          <w:sz w:val="20"/>
          <w:szCs w:val="20"/>
          <w:lang w:val="es-MX"/>
        </w:rPr>
        <w:t>Las cámaras de comercio deben tener un mecanismo de interoperabilidad con el SECOP para el registro de la información de que trata el presente artículo”.</w:t>
      </w:r>
    </w:p>
    <w:p w14:paraId="73E223EF" w14:textId="77777777" w:rsidR="00B5328B" w:rsidRPr="00940D18" w:rsidRDefault="00B5328B" w:rsidP="00B5328B">
      <w:pPr>
        <w:spacing w:after="0" w:line="276" w:lineRule="auto"/>
        <w:ind w:firstLine="708"/>
        <w:jc w:val="both"/>
        <w:rPr>
          <w:rFonts w:ascii="Verdana" w:eastAsia="Calibri" w:hAnsi="Verdana" w:cs="Arial"/>
          <w:iCs/>
          <w:lang w:val="es-MX"/>
        </w:rPr>
      </w:pPr>
    </w:p>
    <w:p w14:paraId="45897E10" w14:textId="77777777" w:rsidR="00B5328B" w:rsidRDefault="00B5328B" w:rsidP="00B5328B">
      <w:pPr>
        <w:spacing w:after="0" w:line="276" w:lineRule="auto"/>
        <w:ind w:firstLine="709"/>
        <w:jc w:val="both"/>
        <w:rPr>
          <w:rFonts w:ascii="Verdana" w:eastAsia="Calibri" w:hAnsi="Verdana" w:cs="Arial"/>
          <w:iCs/>
          <w:lang w:val="es-MX"/>
        </w:rPr>
      </w:pPr>
      <w:r w:rsidRPr="00940D18">
        <w:rPr>
          <w:rFonts w:ascii="Verdana" w:eastAsia="Calibri" w:hAnsi="Verdana" w:cs="Arial"/>
          <w:iCs/>
          <w:lang w:val="es-MX"/>
        </w:rPr>
        <w:t xml:space="preserve">La norma precisa los elementos para cumplir con el artículo 6.2. de la Ley 1150 de 2007, los cuales se concretan en los siguientes tres (3) puntos: i) </w:t>
      </w:r>
      <w:r w:rsidRPr="00940D18">
        <w:rPr>
          <w:rFonts w:ascii="Verdana" w:eastAsia="Calibri" w:hAnsi="Verdana" w:cs="Arial"/>
          <w:i/>
          <w:lang w:val="es-MX"/>
        </w:rPr>
        <w:t>reporte</w:t>
      </w:r>
      <w:r w:rsidRPr="00940D18">
        <w:rPr>
          <w:rFonts w:ascii="Verdana" w:eastAsia="Calibri" w:hAnsi="Verdana" w:cs="Arial"/>
          <w:iCs/>
          <w:lang w:val="es-MX"/>
        </w:rPr>
        <w:t xml:space="preserve"> de las multas y sanciones por parte de las entidades estatales, ii) </w:t>
      </w:r>
      <w:r w:rsidRPr="00940D18">
        <w:rPr>
          <w:rFonts w:ascii="Verdana" w:eastAsia="Calibri" w:hAnsi="Verdana" w:cs="Arial"/>
          <w:i/>
          <w:lang w:val="es-MX"/>
        </w:rPr>
        <w:t>registro</w:t>
      </w:r>
      <w:r w:rsidRPr="00940D18">
        <w:rPr>
          <w:rFonts w:ascii="Verdana" w:eastAsia="Calibri" w:hAnsi="Verdana" w:cs="Arial"/>
          <w:iCs/>
          <w:lang w:val="es-MX"/>
        </w:rPr>
        <w:t xml:space="preserve"> de las multas y sanciones en el RUP por parte de las Cámaras de Comercio y iii) </w:t>
      </w:r>
      <w:r w:rsidRPr="00940D18">
        <w:rPr>
          <w:rFonts w:ascii="Verdana" w:eastAsia="Calibri" w:hAnsi="Verdana" w:cs="Arial"/>
          <w:i/>
          <w:lang w:val="es-MX"/>
        </w:rPr>
        <w:t xml:space="preserve">término de permanencia </w:t>
      </w:r>
      <w:r w:rsidRPr="00940D18">
        <w:rPr>
          <w:rFonts w:ascii="Verdana" w:eastAsia="Calibri" w:hAnsi="Verdana" w:cs="Arial"/>
          <w:iCs/>
          <w:lang w:val="es-MX"/>
        </w:rPr>
        <w:t xml:space="preserve">de las anotaciones en el registro. En relación con el </w:t>
      </w:r>
      <w:r w:rsidRPr="00940D18">
        <w:rPr>
          <w:rFonts w:ascii="Verdana" w:eastAsia="Calibri" w:hAnsi="Verdana" w:cs="Arial"/>
          <w:i/>
          <w:lang w:val="es-MX"/>
        </w:rPr>
        <w:t>reporte</w:t>
      </w:r>
      <w:r w:rsidRPr="00940D18">
        <w:rPr>
          <w:rFonts w:ascii="Verdana" w:eastAsia="Calibri" w:hAnsi="Verdana" w:cs="Arial"/>
          <w:iCs/>
          <w:lang w:val="es-MX"/>
        </w:rPr>
        <w:t xml:space="preserve">, la norma impone la obligación a las entidades estatales de enviar mensualmente a las cámaras de comercio del lugar de su domicilio, copia de los actos administrativos en firme que impusieron multas y sanciones y de las inhabilidades que deriven de los contratos suscritos, a través de los mecanismos </w:t>
      </w:r>
      <w:r w:rsidRPr="00940D18">
        <w:rPr>
          <w:rFonts w:ascii="Verdana" w:eastAsia="Calibri" w:hAnsi="Verdana" w:cs="Arial"/>
          <w:iCs/>
          <w:lang w:val="es-MX"/>
        </w:rPr>
        <w:lastRenderedPageBreak/>
        <w:t xml:space="preserve">que para el efecto disponga la cámara respectiva. Respecto al </w:t>
      </w:r>
      <w:r w:rsidRPr="00940D18">
        <w:rPr>
          <w:rFonts w:ascii="Verdana" w:eastAsia="Calibri" w:hAnsi="Verdana" w:cs="Arial"/>
          <w:i/>
          <w:lang w:val="es-MX"/>
        </w:rPr>
        <w:t>registro</w:t>
      </w:r>
      <w:r w:rsidRPr="00940D18">
        <w:rPr>
          <w:rFonts w:ascii="Verdana" w:eastAsia="Calibri" w:hAnsi="Verdana" w:cs="Arial"/>
          <w:iCs/>
          <w:lang w:val="es-MX"/>
        </w:rPr>
        <w:t xml:space="preserve">¸ la disposición estableció la obligación a las cámaras de comercio de registrar las sanciones e inhabilidades remitidas por las entidades estatales en el RUP, con el propósito de concretar aspectos de publicidad y transparencia en la actividad contractual. Finalmente, en relación con el </w:t>
      </w:r>
      <w:r w:rsidRPr="00940D18">
        <w:rPr>
          <w:rFonts w:ascii="Verdana" w:eastAsia="Calibri" w:hAnsi="Verdana" w:cs="Arial"/>
          <w:i/>
          <w:lang w:val="es-MX"/>
        </w:rPr>
        <w:t xml:space="preserve">término, </w:t>
      </w:r>
      <w:r w:rsidRPr="00940D18">
        <w:rPr>
          <w:rFonts w:ascii="Verdana" w:eastAsia="Calibri" w:hAnsi="Verdana" w:cs="Arial"/>
          <w:iCs/>
          <w:lang w:val="es-MX"/>
        </w:rPr>
        <w:t>es decir, el periodo en que debe constar la anotación correspondiente, la norma estableció que las sanciones e inhabilidades permanecerán en el registro por el término de la sanción o inhabilidad, según el caso. Igualmente, estableció que en el caso de las multas, deberán permanecer por el término de un año, contado a partir de la publicación de la misma.</w:t>
      </w:r>
    </w:p>
    <w:p w14:paraId="46B5F76A" w14:textId="77777777" w:rsidR="00B5328B" w:rsidRDefault="00B5328B" w:rsidP="00B5328B">
      <w:pPr>
        <w:spacing w:after="0" w:line="276" w:lineRule="auto"/>
        <w:ind w:firstLine="709"/>
        <w:jc w:val="both"/>
        <w:rPr>
          <w:rFonts w:ascii="Verdana" w:eastAsia="Calibri" w:hAnsi="Verdana" w:cs="Arial"/>
          <w:iCs/>
          <w:lang w:val="es-MX"/>
        </w:rPr>
      </w:pPr>
    </w:p>
    <w:p w14:paraId="4DE181E9" w14:textId="77777777" w:rsidR="00B5328B" w:rsidRDefault="00B5328B" w:rsidP="00B5328B">
      <w:pPr>
        <w:spacing w:after="120"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vi. Asimismo, las</w:t>
      </w:r>
      <w:r w:rsidRPr="00817382">
        <w:rPr>
          <w:rFonts w:ascii="Verdana" w:eastAsia="Calibri" w:hAnsi="Verdana" w:cs="Arial"/>
          <w:color w:val="000000" w:themeColor="text1"/>
          <w:lang w:val="es-ES_tradnl"/>
        </w:rPr>
        <w:t xml:space="preserve"> </w:t>
      </w:r>
      <w:r w:rsidRPr="00122DF7">
        <w:rPr>
          <w:rFonts w:ascii="Verdana" w:eastAsia="Calibri" w:hAnsi="Verdana" w:cs="Arial"/>
          <w:i/>
          <w:iCs/>
          <w:color w:val="000000" w:themeColor="text1"/>
          <w:lang w:val="es-ES_tradnl"/>
        </w:rPr>
        <w:t>entidades de régimen especial</w:t>
      </w:r>
      <w:r>
        <w:rPr>
          <w:rFonts w:ascii="Verdana" w:eastAsia="Calibri" w:hAnsi="Verdana" w:cs="Arial"/>
          <w:color w:val="000000" w:themeColor="text1"/>
          <w:lang w:val="es-ES_tradnl"/>
        </w:rPr>
        <w:t xml:space="preserve"> –entre las que se encuentran l</w:t>
      </w:r>
      <w:r w:rsidRPr="00A22A66">
        <w:rPr>
          <w:rFonts w:ascii="Verdana" w:eastAsia="Calibri" w:hAnsi="Verdana" w:cs="Arial"/>
          <w:color w:val="000000" w:themeColor="text1"/>
        </w:rPr>
        <w:t xml:space="preserve">as </w:t>
      </w:r>
      <w:r>
        <w:rPr>
          <w:rFonts w:ascii="Verdana" w:eastAsia="Calibri" w:hAnsi="Verdana" w:cs="Arial"/>
          <w:color w:val="000000" w:themeColor="text1"/>
        </w:rPr>
        <w:t>empresas industriales y comerciales del Estado</w:t>
      </w:r>
      <w:r w:rsidRPr="009B6C67">
        <w:rPr>
          <w:rFonts w:ascii="Verdana" w:eastAsia="Calibri" w:hAnsi="Verdana" w:cs="Arial"/>
          <w:color w:val="000000" w:themeColor="text1"/>
        </w:rPr>
        <w:t xml:space="preserve"> que estén en competencia o desarrollen su actividad en mercados regulados</w:t>
      </w:r>
      <w:r>
        <w:rPr>
          <w:rFonts w:ascii="Verdana" w:eastAsia="Calibri" w:hAnsi="Verdana" w:cs="Arial"/>
          <w:color w:val="000000" w:themeColor="text1"/>
        </w:rPr>
        <w:t>–</w:t>
      </w:r>
      <w:r>
        <w:rPr>
          <w:rFonts w:ascii="Verdana" w:eastAsia="Calibri" w:hAnsi="Verdana" w:cs="Arial"/>
          <w:color w:val="000000" w:themeColor="text1"/>
          <w:lang w:val="es-ES_tradnl"/>
        </w:rPr>
        <w:t xml:space="preserve"> también están obligadas a reportar </w:t>
      </w:r>
      <w:r w:rsidRPr="002E1847">
        <w:rPr>
          <w:rFonts w:ascii="Verdana" w:eastAsia="Calibri" w:hAnsi="Verdana" w:cs="Arial"/>
          <w:color w:val="000000" w:themeColor="text1"/>
          <w:lang w:val="es-ES_tradnl"/>
        </w:rPr>
        <w:t xml:space="preserve">la información concerniente a los contratos, su cuantía, cumplimiento, multas y sanciones relacionadas con los contratos que hayan </w:t>
      </w:r>
      <w:r>
        <w:rPr>
          <w:rFonts w:ascii="Verdana" w:eastAsia="Calibri" w:hAnsi="Verdana" w:cs="Arial"/>
          <w:color w:val="000000" w:themeColor="text1"/>
          <w:lang w:val="es-ES_tradnl"/>
        </w:rPr>
        <w:t xml:space="preserve">adjudicado. Conforme al artículo 13 de la Ley 1150 de 2007, dichas entidades se sujetan a las normas sobre inhabilidades e incompatibilidades, entre ellas, la del artículo 90 de la Ley 1474 de 2011 para los casos de incumplimiento reiterado. </w:t>
      </w:r>
    </w:p>
    <w:p w14:paraId="5F41B0C4" w14:textId="77777777" w:rsidR="00B5328B" w:rsidRDefault="00B5328B" w:rsidP="00B5328B">
      <w:pPr>
        <w:spacing w:after="120" w:line="276" w:lineRule="auto"/>
        <w:ind w:firstLine="708"/>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Por ello, la “</w:t>
      </w:r>
      <w:r w:rsidRPr="002E1847">
        <w:rPr>
          <w:rFonts w:ascii="Verdana" w:eastAsia="Calibri" w:hAnsi="Verdana" w:cs="Arial"/>
          <w:color w:val="000000" w:themeColor="text1"/>
          <w:lang w:val="es-ES_tradnl"/>
        </w:rPr>
        <w:t>Guía para la Gestión</w:t>
      </w:r>
      <w:r>
        <w:rPr>
          <w:rFonts w:ascii="Verdana" w:eastAsia="Calibri" w:hAnsi="Verdana" w:cs="Arial"/>
          <w:color w:val="000000" w:themeColor="text1"/>
          <w:lang w:val="es-ES_tradnl"/>
        </w:rPr>
        <w:t xml:space="preserve"> </w:t>
      </w:r>
      <w:r w:rsidRPr="002E1847">
        <w:rPr>
          <w:rFonts w:ascii="Verdana" w:eastAsia="Calibri" w:hAnsi="Verdana" w:cs="Arial"/>
          <w:color w:val="000000" w:themeColor="text1"/>
          <w:lang w:val="es-ES_tradnl"/>
        </w:rPr>
        <w:t>Contractual De Entidades</w:t>
      </w:r>
      <w:r>
        <w:rPr>
          <w:rFonts w:ascii="Verdana" w:eastAsia="Calibri" w:hAnsi="Verdana" w:cs="Arial"/>
          <w:color w:val="000000" w:themeColor="text1"/>
          <w:lang w:val="es-ES_tradnl"/>
        </w:rPr>
        <w:t xml:space="preserve"> </w:t>
      </w:r>
      <w:r w:rsidRPr="002E1847">
        <w:rPr>
          <w:rFonts w:ascii="Verdana" w:eastAsia="Calibri" w:hAnsi="Verdana" w:cs="Arial"/>
          <w:color w:val="000000" w:themeColor="text1"/>
          <w:lang w:val="es-ES_tradnl"/>
        </w:rPr>
        <w:t>Estatales Con Régimen Especial</w:t>
      </w:r>
      <w:r>
        <w:rPr>
          <w:rFonts w:ascii="Verdana" w:eastAsia="Calibri" w:hAnsi="Verdana" w:cs="Arial"/>
          <w:color w:val="000000" w:themeColor="text1"/>
          <w:lang w:val="es-ES_tradnl"/>
        </w:rPr>
        <w:t>” explica que “</w:t>
      </w:r>
      <w:r w:rsidRPr="00C070D7">
        <w:rPr>
          <w:rFonts w:ascii="Verdana" w:eastAsia="Calibri" w:hAnsi="Verdana" w:cs="Arial"/>
          <w:color w:val="000000" w:themeColor="text1"/>
          <w:lang w:val="es-ES_tradnl"/>
        </w:rPr>
        <w:t>Esta inhabilidad se extiende por tres (3) años,</w:t>
      </w:r>
      <w:r>
        <w:rPr>
          <w:rFonts w:ascii="Verdana" w:eastAsia="Calibri" w:hAnsi="Verdana" w:cs="Arial"/>
          <w:color w:val="000000" w:themeColor="text1"/>
          <w:lang w:val="es-ES_tradnl"/>
        </w:rPr>
        <w:t xml:space="preserve"> </w:t>
      </w:r>
      <w:r w:rsidRPr="00C070D7">
        <w:rPr>
          <w:rFonts w:ascii="Verdana" w:eastAsia="Calibri" w:hAnsi="Verdana" w:cs="Arial"/>
          <w:color w:val="000000" w:themeColor="text1"/>
          <w:lang w:val="es-ES_tradnl"/>
        </w:rPr>
        <w:t>contados a partir de la inscripción de la última</w:t>
      </w:r>
      <w:r>
        <w:rPr>
          <w:rFonts w:ascii="Verdana" w:eastAsia="Calibri" w:hAnsi="Verdana" w:cs="Arial"/>
          <w:color w:val="000000" w:themeColor="text1"/>
          <w:lang w:val="es-ES_tradnl"/>
        </w:rPr>
        <w:t xml:space="preserve"> </w:t>
      </w:r>
      <w:r w:rsidRPr="00C070D7">
        <w:rPr>
          <w:rFonts w:ascii="Verdana" w:eastAsia="Calibri" w:hAnsi="Verdana" w:cs="Arial"/>
          <w:color w:val="000000" w:themeColor="text1"/>
          <w:lang w:val="es-ES_tradnl"/>
        </w:rPr>
        <w:t>multa o incumplimiento en el Registro Único</w:t>
      </w:r>
      <w:r>
        <w:rPr>
          <w:rFonts w:ascii="Verdana" w:eastAsia="Calibri" w:hAnsi="Verdana" w:cs="Arial"/>
          <w:color w:val="000000" w:themeColor="text1"/>
          <w:lang w:val="es-ES_tradnl"/>
        </w:rPr>
        <w:t xml:space="preserve"> </w:t>
      </w:r>
      <w:r w:rsidRPr="00C070D7">
        <w:rPr>
          <w:rFonts w:ascii="Verdana" w:eastAsia="Calibri" w:hAnsi="Verdana" w:cs="Arial"/>
          <w:color w:val="000000" w:themeColor="text1"/>
          <w:lang w:val="es-ES_tradnl"/>
        </w:rPr>
        <w:t>de Proponentes – RUP-, de acuerdo con la</w:t>
      </w:r>
      <w:r>
        <w:rPr>
          <w:rFonts w:ascii="Verdana" w:eastAsia="Calibri" w:hAnsi="Verdana" w:cs="Arial"/>
          <w:color w:val="000000" w:themeColor="text1"/>
          <w:lang w:val="es-ES_tradnl"/>
        </w:rPr>
        <w:t xml:space="preserve"> </w:t>
      </w:r>
      <w:r w:rsidRPr="00C070D7">
        <w:rPr>
          <w:rFonts w:ascii="Verdana" w:eastAsia="Calibri" w:hAnsi="Verdana" w:cs="Arial"/>
          <w:color w:val="000000" w:themeColor="text1"/>
          <w:lang w:val="es-ES_tradnl"/>
        </w:rPr>
        <w:t>información remitida por las Entidades Estatales,</w:t>
      </w:r>
      <w:r>
        <w:rPr>
          <w:rFonts w:ascii="Verdana" w:eastAsia="Calibri" w:hAnsi="Verdana" w:cs="Arial"/>
          <w:color w:val="000000" w:themeColor="text1"/>
          <w:lang w:val="es-ES_tradnl"/>
        </w:rPr>
        <w:t xml:space="preserve"> </w:t>
      </w:r>
      <w:r w:rsidRPr="00C070D7">
        <w:rPr>
          <w:rFonts w:ascii="Verdana" w:eastAsia="Calibri" w:hAnsi="Verdana" w:cs="Arial"/>
          <w:color w:val="000000" w:themeColor="text1"/>
          <w:lang w:val="es-ES_tradnl"/>
        </w:rPr>
        <w:t>para lo cual, las Entidades Estatales de régimen</w:t>
      </w:r>
      <w:r>
        <w:rPr>
          <w:rFonts w:ascii="Verdana" w:eastAsia="Calibri" w:hAnsi="Verdana" w:cs="Arial"/>
          <w:color w:val="000000" w:themeColor="text1"/>
          <w:lang w:val="es-ES_tradnl"/>
        </w:rPr>
        <w:t xml:space="preserve"> </w:t>
      </w:r>
      <w:r w:rsidRPr="00C070D7">
        <w:rPr>
          <w:rFonts w:ascii="Verdana" w:eastAsia="Calibri" w:hAnsi="Verdana" w:cs="Arial"/>
          <w:color w:val="000000" w:themeColor="text1"/>
          <w:lang w:val="es-ES_tradnl"/>
        </w:rPr>
        <w:t>especial deben realizar el respectivo reporte a las</w:t>
      </w:r>
      <w:r>
        <w:rPr>
          <w:rFonts w:ascii="Verdana" w:eastAsia="Calibri" w:hAnsi="Verdana" w:cs="Arial"/>
          <w:color w:val="000000" w:themeColor="text1"/>
          <w:lang w:val="es-ES_tradnl"/>
        </w:rPr>
        <w:t xml:space="preserve"> </w:t>
      </w:r>
      <w:r w:rsidRPr="00C070D7">
        <w:rPr>
          <w:rFonts w:ascii="Verdana" w:eastAsia="Calibri" w:hAnsi="Verdana" w:cs="Arial"/>
          <w:color w:val="000000" w:themeColor="text1"/>
          <w:lang w:val="es-ES_tradnl"/>
        </w:rPr>
        <w:t>cámaras de comercio, así como el reporte en la</w:t>
      </w:r>
      <w:r>
        <w:rPr>
          <w:rFonts w:ascii="Verdana" w:eastAsia="Calibri" w:hAnsi="Verdana" w:cs="Arial"/>
          <w:color w:val="000000" w:themeColor="text1"/>
          <w:lang w:val="es-ES_tradnl"/>
        </w:rPr>
        <w:t xml:space="preserve"> </w:t>
      </w:r>
      <w:r w:rsidRPr="00C070D7">
        <w:rPr>
          <w:rFonts w:ascii="Verdana" w:eastAsia="Calibri" w:hAnsi="Verdana" w:cs="Arial"/>
          <w:color w:val="000000" w:themeColor="text1"/>
          <w:lang w:val="es-ES_tradnl"/>
        </w:rPr>
        <w:t xml:space="preserve">plataforma SECOP II, en el ítem de </w:t>
      </w:r>
      <w:r>
        <w:rPr>
          <w:rFonts w:ascii="Verdana" w:eastAsia="Calibri" w:hAnsi="Verdana" w:cs="Arial"/>
          <w:color w:val="000000" w:themeColor="text1"/>
          <w:lang w:val="es-ES_tradnl"/>
        </w:rPr>
        <w:t>‘</w:t>
      </w:r>
      <w:r w:rsidRPr="00C070D7">
        <w:rPr>
          <w:rFonts w:ascii="Verdana" w:eastAsia="Calibri" w:hAnsi="Verdana" w:cs="Arial"/>
          <w:color w:val="000000" w:themeColor="text1"/>
          <w:lang w:val="es-ES_tradnl"/>
        </w:rPr>
        <w:t>proveedores</w:t>
      </w:r>
      <w:r>
        <w:rPr>
          <w:rFonts w:ascii="Verdana" w:eastAsia="Calibri" w:hAnsi="Verdana" w:cs="Arial"/>
          <w:color w:val="000000" w:themeColor="text1"/>
          <w:lang w:val="es-ES_tradnl"/>
        </w:rPr>
        <w:t>’ ‘</w:t>
      </w:r>
      <w:r w:rsidRPr="00C070D7">
        <w:rPr>
          <w:rFonts w:ascii="Verdana" w:eastAsia="Calibri" w:hAnsi="Verdana" w:cs="Arial"/>
          <w:color w:val="000000" w:themeColor="text1"/>
          <w:lang w:val="es-ES_tradnl"/>
        </w:rPr>
        <w:t>Registro de Incumplimientos</w:t>
      </w:r>
      <w:r>
        <w:rPr>
          <w:rFonts w:ascii="Verdana" w:eastAsia="Calibri" w:hAnsi="Verdana" w:cs="Arial"/>
          <w:color w:val="000000" w:themeColor="text1"/>
          <w:lang w:val="es-ES_tradnl"/>
        </w:rPr>
        <w:t>’</w:t>
      </w:r>
      <w:r w:rsidRPr="00C070D7">
        <w:rPr>
          <w:rFonts w:ascii="Verdana" w:eastAsia="Calibri" w:hAnsi="Verdana" w:cs="Arial"/>
          <w:color w:val="000000" w:themeColor="text1"/>
          <w:lang w:val="es-ES_tradnl"/>
        </w:rPr>
        <w:t>”.</w:t>
      </w:r>
    </w:p>
    <w:p w14:paraId="76274955" w14:textId="77777777" w:rsidR="00B5328B" w:rsidRDefault="00B5328B" w:rsidP="00B5328B">
      <w:pPr>
        <w:spacing w:after="120"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ab/>
        <w:t>Esta obligación se refuerza con la Circular Externa 002 del 8 de mayo de 2026 expedida por la ANCP – CCE, sobre la “</w:t>
      </w:r>
      <w:r w:rsidRPr="00D667B9">
        <w:rPr>
          <w:rFonts w:ascii="Verdana" w:eastAsia="Calibri" w:hAnsi="Verdana" w:cs="Arial"/>
          <w:color w:val="000000" w:themeColor="text1"/>
          <w:lang w:val="es-ES_tradnl"/>
        </w:rPr>
        <w:t>Obligatoriedad de reportar declaratoria de caducidad, multas, sanciones, declaratorias de incumplimiento, inhabilidades y sentencias condenatorias impuestas a los contratistas del Estado ante las Cámaras de Comercio, Procuraduría General de la Nación y en el SECOP</w:t>
      </w:r>
      <w:r>
        <w:rPr>
          <w:rFonts w:ascii="Verdana" w:eastAsia="Calibri" w:hAnsi="Verdana" w:cs="Arial"/>
          <w:color w:val="000000" w:themeColor="text1"/>
          <w:lang w:val="es-ES_tradnl"/>
        </w:rPr>
        <w:t>” y que se dirige a “</w:t>
      </w:r>
      <w:r w:rsidRPr="00D667B9">
        <w:rPr>
          <w:rFonts w:ascii="Verdana" w:eastAsia="Calibri" w:hAnsi="Verdana" w:cs="Arial"/>
          <w:color w:val="000000" w:themeColor="text1"/>
          <w:lang w:val="es-ES_tradnl"/>
        </w:rPr>
        <w:t xml:space="preserve">Las entidades del Estado, </w:t>
      </w:r>
      <w:r w:rsidRPr="00DD3F1D">
        <w:rPr>
          <w:rFonts w:ascii="Verdana" w:eastAsia="Calibri" w:hAnsi="Verdana" w:cs="Arial"/>
          <w:i/>
          <w:iCs/>
          <w:color w:val="000000" w:themeColor="text1"/>
          <w:lang w:val="es-ES_tradnl"/>
        </w:rPr>
        <w:t>sin distinción de su régimen contractual aplicable</w:t>
      </w:r>
      <w:r>
        <w:rPr>
          <w:rFonts w:ascii="Verdana" w:eastAsia="Calibri" w:hAnsi="Verdana" w:cs="Arial"/>
          <w:color w:val="000000" w:themeColor="text1"/>
          <w:lang w:val="es-ES_tradnl"/>
        </w:rPr>
        <w:t xml:space="preserve">” (Énfasis fuera de texto). </w:t>
      </w:r>
    </w:p>
    <w:p w14:paraId="5C3544ED" w14:textId="77777777" w:rsidR="00B5328B" w:rsidRDefault="00B5328B" w:rsidP="00B5328B">
      <w:pPr>
        <w:spacing w:after="120"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lastRenderedPageBreak/>
        <w:tab/>
        <w:t>Por tanto, las entidades exceptuadas de la Ley 80 de 1993 tienen el deber de</w:t>
      </w:r>
      <w:r w:rsidRPr="0049736A">
        <w:rPr>
          <w:rFonts w:ascii="Verdana" w:eastAsia="Calibri" w:hAnsi="Verdana" w:cs="Arial"/>
          <w:color w:val="000000" w:themeColor="text1"/>
          <w:lang w:val="es-ES_tradnl"/>
        </w:rPr>
        <w:t xml:space="preserve"> </w:t>
      </w:r>
      <w:r>
        <w:rPr>
          <w:rFonts w:ascii="Verdana" w:eastAsia="Calibri" w:hAnsi="Verdana" w:cs="Arial"/>
          <w:color w:val="000000" w:themeColor="text1"/>
          <w:lang w:val="es-ES_tradnl"/>
        </w:rPr>
        <w:t xml:space="preserve">“[…] </w:t>
      </w:r>
      <w:r w:rsidRPr="0049736A">
        <w:rPr>
          <w:rFonts w:ascii="Verdana" w:eastAsia="Calibri" w:hAnsi="Verdana" w:cs="Arial"/>
          <w:color w:val="000000" w:themeColor="text1"/>
          <w:lang w:val="es-ES_tradnl"/>
        </w:rPr>
        <w:t>efectuar reportes derivados de decisiones relacionadas con presuntos incumplimientos contractuales</w:t>
      </w:r>
      <w:r>
        <w:rPr>
          <w:rFonts w:ascii="Verdana" w:eastAsia="Calibri" w:hAnsi="Verdana" w:cs="Arial"/>
          <w:color w:val="000000" w:themeColor="text1"/>
          <w:lang w:val="es-ES_tradnl"/>
        </w:rPr>
        <w:t xml:space="preserve"> […]”, entre otros casos, cuando la ausencia de ejecución, la ejecución defectuosa o tardía de la prestación conducen a la declaración de terminación anticipada, multas o cláusula penal pecuniaria</w:t>
      </w:r>
      <w:r w:rsidRPr="0049736A">
        <w:rPr>
          <w:rFonts w:ascii="Verdana" w:eastAsia="Calibri" w:hAnsi="Verdana" w:cs="Arial"/>
          <w:color w:val="000000" w:themeColor="text1"/>
          <w:lang w:val="es-ES_tradnl"/>
        </w:rPr>
        <w:t>.</w:t>
      </w:r>
      <w:r>
        <w:rPr>
          <w:rFonts w:ascii="Verdana" w:eastAsia="Calibri" w:hAnsi="Verdana" w:cs="Arial"/>
          <w:color w:val="000000" w:themeColor="text1"/>
          <w:lang w:val="es-ES_tradnl"/>
        </w:rPr>
        <w:t xml:space="preserve"> Conforme al numeral 7 de la citada guía, la Agencia establece el alcance de la “</w:t>
      </w:r>
      <w:r w:rsidRPr="00945311">
        <w:rPr>
          <w:rFonts w:ascii="Verdana" w:eastAsia="Calibri" w:hAnsi="Verdana" w:cs="Arial"/>
          <w:color w:val="000000" w:themeColor="text1"/>
          <w:lang w:val="es-ES_tradnl"/>
        </w:rPr>
        <w:t>Aplicabilidad de sanciones y cláusulas</w:t>
      </w:r>
      <w:r>
        <w:rPr>
          <w:rFonts w:ascii="Verdana" w:eastAsia="Calibri" w:hAnsi="Verdana" w:cs="Arial"/>
          <w:color w:val="000000" w:themeColor="text1"/>
          <w:lang w:val="es-ES_tradnl"/>
        </w:rPr>
        <w:t xml:space="preserve"> </w:t>
      </w:r>
      <w:r w:rsidRPr="00945311">
        <w:rPr>
          <w:rFonts w:ascii="Verdana" w:eastAsia="Calibri" w:hAnsi="Verdana" w:cs="Arial"/>
          <w:color w:val="000000" w:themeColor="text1"/>
          <w:lang w:val="es-ES_tradnl"/>
        </w:rPr>
        <w:t>de ejercicio unilateral por parte de las</w:t>
      </w:r>
      <w:r>
        <w:rPr>
          <w:rFonts w:ascii="Verdana" w:eastAsia="Calibri" w:hAnsi="Verdana" w:cs="Arial"/>
          <w:color w:val="000000" w:themeColor="text1"/>
          <w:lang w:val="es-ES_tradnl"/>
        </w:rPr>
        <w:t xml:space="preserve"> </w:t>
      </w:r>
      <w:r w:rsidRPr="00945311">
        <w:rPr>
          <w:rFonts w:ascii="Verdana" w:eastAsia="Calibri" w:hAnsi="Verdana" w:cs="Arial"/>
          <w:color w:val="000000" w:themeColor="text1"/>
          <w:lang w:val="es-ES_tradnl"/>
        </w:rPr>
        <w:t>Entidades Estatales con régimen especial</w:t>
      </w:r>
      <w:r>
        <w:rPr>
          <w:rFonts w:ascii="Verdana" w:eastAsia="Calibri" w:hAnsi="Verdana" w:cs="Arial"/>
          <w:color w:val="000000" w:themeColor="text1"/>
          <w:lang w:val="es-ES_tradnl"/>
        </w:rPr>
        <w:t xml:space="preserve"> </w:t>
      </w:r>
      <w:r w:rsidRPr="00945311">
        <w:rPr>
          <w:rFonts w:ascii="Verdana" w:eastAsia="Calibri" w:hAnsi="Verdana" w:cs="Arial"/>
          <w:color w:val="000000" w:themeColor="text1"/>
          <w:lang w:val="es-ES_tradnl"/>
        </w:rPr>
        <w:t>de contratación</w:t>
      </w:r>
      <w:r>
        <w:rPr>
          <w:rFonts w:ascii="Verdana" w:eastAsia="Calibri" w:hAnsi="Verdana" w:cs="Arial"/>
          <w:color w:val="000000" w:themeColor="text1"/>
          <w:lang w:val="es-ES_tradnl"/>
        </w:rPr>
        <w:t>”.</w:t>
      </w:r>
    </w:p>
    <w:p w14:paraId="02A22C77" w14:textId="77777777" w:rsidR="00B5328B" w:rsidRDefault="00B5328B" w:rsidP="00B5328B">
      <w:pPr>
        <w:spacing w:after="0"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ab/>
        <w:t xml:space="preserve">La Circular 002 de 2026 no se refiere al reporte de “[…] </w:t>
      </w:r>
      <w:r w:rsidRPr="00945311">
        <w:rPr>
          <w:rFonts w:ascii="Verdana" w:eastAsia="Calibri" w:hAnsi="Verdana" w:cs="Arial"/>
          <w:color w:val="000000" w:themeColor="text1"/>
          <w:lang w:val="es-ES_tradnl"/>
        </w:rPr>
        <w:t>las decisiones contractuales mediante las cuales la EDU determina la ocurrencia de un siniestro derivado de un presunto incumplimiento contractual, con fines de efectividad de garantías y reclamación ante la aseguradora</w:t>
      </w:r>
      <w:r>
        <w:rPr>
          <w:rFonts w:ascii="Verdana" w:eastAsia="Calibri" w:hAnsi="Verdana" w:cs="Arial"/>
          <w:color w:val="000000" w:themeColor="text1"/>
          <w:lang w:val="es-ES_tradnl"/>
        </w:rPr>
        <w:t xml:space="preserve"> […]”. Activar las garantías supone previamente la expedición de certificados, actas o documentos equivalentes donde, además de constar el ejercicio del derecho de defensa y contradicción por parte del afectado, acreditan la imposición de las sanciones pactadas en el negocio jurídico, las cuales sirven de fundamento para la reclamación posterior. Esta es la información objeto de reporte de acuerdo con el citado acto administrativo, la cual deberá constituirse en las condiciones que defina el manual de contratación de la entidad para su traslado a la cámara de comercio.</w:t>
      </w:r>
    </w:p>
    <w:p w14:paraId="22908815" w14:textId="77777777" w:rsidR="00B5328B" w:rsidRPr="00E96431" w:rsidRDefault="00B5328B" w:rsidP="00B5328B">
      <w:pPr>
        <w:spacing w:after="0"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 </w:t>
      </w:r>
    </w:p>
    <w:p w14:paraId="1DC13F9C" w14:textId="77777777" w:rsidR="00B5328B" w:rsidRPr="00A47393" w:rsidRDefault="00B5328B" w:rsidP="00B5328B">
      <w:pPr>
        <w:tabs>
          <w:tab w:val="left" w:pos="709"/>
        </w:tabs>
        <w:spacing w:after="18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viii</w:t>
      </w:r>
      <w:proofErr w:type="spellEnd"/>
      <w:r>
        <w:rPr>
          <w:rFonts w:ascii="Verdana" w:eastAsia="Calibri" w:hAnsi="Verdana" w:cs="Arial"/>
          <w:bCs/>
          <w:color w:val="000000" w:themeColor="text1"/>
        </w:rPr>
        <w:t xml:space="preserve">. </w:t>
      </w:r>
      <w:r w:rsidRPr="00A47393">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9B21413" w14:textId="77777777" w:rsidR="00B5328B" w:rsidRPr="00185EE9" w:rsidRDefault="00B5328B" w:rsidP="00B5328B">
      <w:pPr>
        <w:tabs>
          <w:tab w:val="left" w:pos="709"/>
        </w:tabs>
        <w:spacing w:after="0" w:line="276" w:lineRule="auto"/>
        <w:jc w:val="both"/>
        <w:rPr>
          <w:rFonts w:ascii="Verdana" w:eastAsia="Calibri" w:hAnsi="Verdana" w:cs="Arial"/>
          <w:bCs/>
          <w:color w:val="000000" w:themeColor="text1"/>
        </w:rPr>
      </w:pPr>
      <w:r>
        <w:rPr>
          <w:rFonts w:ascii="Verdana" w:eastAsia="Calibri" w:hAnsi="Verdana" w:cs="Arial"/>
          <w:bCs/>
          <w:color w:val="000000" w:themeColor="text1"/>
        </w:rPr>
        <w:tab/>
      </w:r>
      <w:r w:rsidRPr="00A47393">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w:t>
      </w:r>
      <w:r w:rsidRPr="00A47393">
        <w:rPr>
          <w:rFonts w:ascii="Verdana" w:eastAsia="Calibri" w:hAnsi="Verdana" w:cs="Arial"/>
          <w:bCs/>
          <w:color w:val="000000" w:themeColor="text1"/>
        </w:rPr>
        <w:lastRenderedPageBreak/>
        <w:t xml:space="preserve">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185EE9">
        <w:rPr>
          <w:rFonts w:ascii="Verdana" w:eastAsia="Calibri" w:hAnsi="Verdana" w:cs="Arial"/>
          <w:bCs/>
          <w:color w:val="000000" w:themeColor="text1"/>
        </w:rPr>
        <w:t xml:space="preserve"> </w:t>
      </w:r>
    </w:p>
    <w:p w14:paraId="5FB8CC8E" w14:textId="77777777" w:rsidR="00B5328B" w:rsidRPr="00182C89" w:rsidRDefault="00B5328B" w:rsidP="00B5328B">
      <w:pPr>
        <w:tabs>
          <w:tab w:val="left" w:pos="709"/>
        </w:tabs>
        <w:spacing w:after="0" w:line="276" w:lineRule="auto"/>
        <w:jc w:val="both"/>
        <w:rPr>
          <w:rFonts w:ascii="Verdana" w:eastAsia="Calibri" w:hAnsi="Verdana" w:cs="Arial"/>
          <w:color w:val="000000" w:themeColor="text1"/>
        </w:rPr>
      </w:pPr>
    </w:p>
    <w:p w14:paraId="4F8C5181" w14:textId="77777777" w:rsidR="00B5328B" w:rsidRPr="00593A5F" w:rsidRDefault="00B5328B" w:rsidP="00B532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51FAD9C" w14:textId="77777777" w:rsidR="00B5328B" w:rsidRPr="00593A5F" w:rsidRDefault="00B5328B" w:rsidP="00B5328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5328B" w:rsidRPr="002407CE" w14:paraId="4E664971" w14:textId="77777777" w:rsidTr="0006760E">
        <w:trPr>
          <w:trHeight w:val="56"/>
          <w:jc w:val="center"/>
        </w:trPr>
        <w:tc>
          <w:tcPr>
            <w:tcW w:w="8647" w:type="dxa"/>
          </w:tcPr>
          <w:p w14:paraId="3B541B27" w14:textId="77777777" w:rsidR="00B5328B" w:rsidRDefault="00B5328B" w:rsidP="0006760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25460E">
              <w:rPr>
                <w:rFonts w:ascii="Verdana" w:hAnsi="Verdana" w:cs="Arial"/>
              </w:rPr>
              <w:t xml:space="preserve">Constitución Política de 1991, artículos </w:t>
            </w:r>
            <w:r>
              <w:rPr>
                <w:rFonts w:ascii="Verdana" w:hAnsi="Verdana" w:cs="Arial"/>
              </w:rPr>
              <w:t>150, 209, 267 y 352.</w:t>
            </w:r>
          </w:p>
          <w:p w14:paraId="24A28D13" w14:textId="77777777" w:rsidR="00B5328B" w:rsidRDefault="00B5328B" w:rsidP="0006760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236164">
              <w:rPr>
                <w:rFonts w:ascii="Verdana" w:hAnsi="Verdana" w:cs="Arial"/>
              </w:rPr>
              <w:t>Ley 80 de 1993</w:t>
            </w:r>
            <w:r>
              <w:rPr>
                <w:rFonts w:ascii="Verdana" w:hAnsi="Verdana" w:cs="Arial"/>
              </w:rPr>
              <w:t>, artículos 2, 23, 24, 13, 32, 31 y 40.</w:t>
            </w:r>
          </w:p>
          <w:p w14:paraId="0B0AC695" w14:textId="77777777" w:rsidR="00B5328B" w:rsidRDefault="00B5328B" w:rsidP="0006760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236164">
              <w:rPr>
                <w:rFonts w:ascii="Verdana" w:hAnsi="Verdana" w:cs="Arial"/>
              </w:rPr>
              <w:t>Ley 489 de 1998,</w:t>
            </w:r>
            <w:r>
              <w:rPr>
                <w:rFonts w:ascii="Verdana" w:hAnsi="Verdana" w:cs="Arial"/>
              </w:rPr>
              <w:t xml:space="preserve"> artículo 85.</w:t>
            </w:r>
          </w:p>
          <w:p w14:paraId="3770E9D7" w14:textId="77777777" w:rsidR="00B5328B" w:rsidRDefault="00B5328B" w:rsidP="0006760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236164">
              <w:rPr>
                <w:rFonts w:ascii="Verdana" w:hAnsi="Verdana" w:cs="Arial"/>
              </w:rPr>
              <w:t>Ley 1150 de 2007,</w:t>
            </w:r>
            <w:r>
              <w:rPr>
                <w:rFonts w:ascii="Verdana" w:hAnsi="Verdana" w:cs="Arial"/>
              </w:rPr>
              <w:t xml:space="preserve"> artículos 6, 13 y 14.</w:t>
            </w:r>
          </w:p>
          <w:p w14:paraId="01C7C14A" w14:textId="77777777" w:rsidR="00B5328B" w:rsidRDefault="00B5328B" w:rsidP="0006760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1474 de 2011, artículo 90.</w:t>
            </w:r>
          </w:p>
          <w:p w14:paraId="674EE1BD" w14:textId="77777777" w:rsidR="00B5328B" w:rsidRDefault="00B5328B" w:rsidP="0006760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236164">
              <w:rPr>
                <w:rFonts w:ascii="Verdana" w:hAnsi="Verdana" w:cs="Arial"/>
              </w:rPr>
              <w:t>Ley 2195 de 2022, artículo 53.</w:t>
            </w:r>
          </w:p>
          <w:p w14:paraId="5836EFCB" w14:textId="77777777" w:rsidR="00B5328B" w:rsidRDefault="00B5328B" w:rsidP="0006760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236164">
              <w:rPr>
                <w:rFonts w:ascii="Verdana" w:hAnsi="Verdana" w:cs="Arial"/>
              </w:rPr>
              <w:t>Decreto 111 de 1996, artículo 110.</w:t>
            </w:r>
          </w:p>
          <w:p w14:paraId="4E9A3150" w14:textId="77777777" w:rsidR="00B5328B" w:rsidRPr="00E45D25" w:rsidRDefault="00B5328B" w:rsidP="0006760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D85592">
              <w:rPr>
                <w:rFonts w:ascii="Verdana" w:hAnsi="Verdana" w:cs="Arial"/>
                <w:color w:val="000000" w:themeColor="text1"/>
                <w:lang w:val="es-ES_tradnl"/>
              </w:rPr>
              <w:t>Decreto 1082 de 2015</w:t>
            </w:r>
            <w:r>
              <w:rPr>
                <w:rFonts w:ascii="Verdana" w:hAnsi="Verdana" w:cs="Arial"/>
                <w:color w:val="000000" w:themeColor="text1"/>
                <w:lang w:val="es-ES_tradnl"/>
              </w:rPr>
              <w:t xml:space="preserve">, artículo </w:t>
            </w:r>
            <w:r w:rsidRPr="00A1732C">
              <w:rPr>
                <w:rFonts w:ascii="Verdana" w:hAnsi="Verdana" w:cs="Arial"/>
                <w:color w:val="000000" w:themeColor="text1"/>
                <w:lang w:val="es-ES_tradnl"/>
              </w:rPr>
              <w:t>2.2.1.1.1.5.7</w:t>
            </w:r>
            <w:r>
              <w:rPr>
                <w:rFonts w:ascii="Verdana" w:hAnsi="Verdana" w:cs="Arial"/>
                <w:color w:val="000000" w:themeColor="text1"/>
                <w:lang w:val="es-ES_tradnl"/>
              </w:rPr>
              <w:t xml:space="preserve"> y </w:t>
            </w:r>
            <w:r w:rsidRPr="00DD21C5">
              <w:rPr>
                <w:rFonts w:ascii="Verdana" w:hAnsi="Verdana" w:cs="Arial"/>
                <w:color w:val="000000" w:themeColor="text1"/>
                <w:lang w:val="es-ES_tradnl"/>
              </w:rPr>
              <w:t>2.2.1.2.1.2.24</w:t>
            </w:r>
            <w:r>
              <w:rPr>
                <w:rFonts w:ascii="Verdana" w:hAnsi="Verdana" w:cs="Arial"/>
                <w:color w:val="000000" w:themeColor="text1"/>
                <w:lang w:val="es-ES_tradnl"/>
              </w:rPr>
              <w:t>.</w:t>
            </w:r>
          </w:p>
          <w:p w14:paraId="0C62997D" w14:textId="77777777" w:rsidR="00B5328B" w:rsidRDefault="00B5328B" w:rsidP="0006760E">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7D52AC">
              <w:rPr>
                <w:rFonts w:ascii="Verdana" w:hAnsi="Verdana" w:cs="Arial"/>
              </w:rPr>
              <w:t xml:space="preserve">Guía para la Gestión Contractual </w:t>
            </w:r>
            <w:r>
              <w:rPr>
                <w:rFonts w:ascii="Verdana" w:hAnsi="Verdana" w:cs="Arial"/>
              </w:rPr>
              <w:t>d</w:t>
            </w:r>
            <w:r w:rsidRPr="007D52AC">
              <w:rPr>
                <w:rFonts w:ascii="Verdana" w:hAnsi="Verdana" w:cs="Arial"/>
              </w:rPr>
              <w:t xml:space="preserve">e Entidades Estatales </w:t>
            </w:r>
            <w:r>
              <w:rPr>
                <w:rFonts w:ascii="Verdana" w:hAnsi="Verdana" w:cs="Arial"/>
              </w:rPr>
              <w:t>c</w:t>
            </w:r>
            <w:r w:rsidRPr="007D52AC">
              <w:rPr>
                <w:rFonts w:ascii="Verdana" w:hAnsi="Verdana" w:cs="Arial"/>
              </w:rPr>
              <w:t>on Régimen Especial</w:t>
            </w:r>
            <w:r w:rsidRPr="00A47393">
              <w:rPr>
                <w:rFonts w:ascii="Verdana" w:hAnsi="Verdana" w:cs="Arial"/>
              </w:rPr>
              <w:t xml:space="preserve"> expedid</w:t>
            </w:r>
            <w:r>
              <w:rPr>
                <w:rFonts w:ascii="Verdana" w:hAnsi="Verdana" w:cs="Arial"/>
              </w:rPr>
              <w:t>a</w:t>
            </w:r>
            <w:r w:rsidRPr="00A47393">
              <w:rPr>
                <w:rFonts w:ascii="Verdana" w:hAnsi="Verdana" w:cs="Arial"/>
              </w:rPr>
              <w:t xml:space="preserve"> por la </w:t>
            </w:r>
            <w:r>
              <w:rPr>
                <w:rFonts w:ascii="Verdana" w:hAnsi="Verdana" w:cs="Arial"/>
              </w:rPr>
              <w:t xml:space="preserve">ANCP – CCE. </w:t>
            </w:r>
            <w:r w:rsidRPr="00A52461">
              <w:rPr>
                <w:rFonts w:ascii="Verdana" w:hAnsi="Verdana" w:cs="Arial"/>
              </w:rPr>
              <w:t>Disponible en:</w:t>
            </w:r>
            <w:r>
              <w:rPr>
                <w:rFonts w:ascii="Verdana" w:hAnsi="Verdana" w:cs="Arial"/>
              </w:rPr>
              <w:t xml:space="preserve"> </w:t>
            </w:r>
            <w:hyperlink r:id="rId12" w:history="1">
              <w:r w:rsidRPr="00D12F70">
                <w:rPr>
                  <w:rStyle w:val="Hipervnculo"/>
                  <w:rFonts w:ascii="Verdana" w:hAnsi="Verdana"/>
                </w:rPr>
                <w:t>https://www.colombiacompra.gov.co/wp-content/uploads/2025/09/Guia-para-la-gestion-contractual-de-Entidades-Estatales-con-Regimen-Especial-VF-2-1.pdf</w:t>
              </w:r>
            </w:hyperlink>
            <w:r w:rsidRPr="00D12F70">
              <w:rPr>
                <w:rFonts w:ascii="Verdana" w:hAnsi="Verdana"/>
              </w:rPr>
              <w:t xml:space="preserve"> </w:t>
            </w:r>
            <w:r>
              <w:rPr>
                <w:rFonts w:ascii="Verdana" w:hAnsi="Verdana" w:cs="Arial"/>
              </w:rPr>
              <w:t xml:space="preserve"> </w:t>
            </w:r>
          </w:p>
          <w:p w14:paraId="3DA71891" w14:textId="77777777" w:rsidR="00B5328B" w:rsidRPr="00B87E7A" w:rsidRDefault="00B5328B" w:rsidP="0006760E">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E45D25">
              <w:rPr>
                <w:rFonts w:ascii="Verdana" w:hAnsi="Verdana" w:cs="Arial"/>
              </w:rPr>
              <w:t>Circular Externa 002 del 8 de mayo de 2026</w:t>
            </w:r>
            <w:r>
              <w:rPr>
                <w:rFonts w:ascii="Verdana" w:hAnsi="Verdana" w:cs="Arial"/>
              </w:rPr>
              <w:t xml:space="preserve"> expedida por la ANCP – CCE. </w:t>
            </w:r>
            <w:r w:rsidRPr="00A52461">
              <w:rPr>
                <w:rFonts w:ascii="Verdana" w:hAnsi="Verdana" w:cs="Arial"/>
              </w:rPr>
              <w:t>Disponible en:</w:t>
            </w:r>
            <w:r>
              <w:rPr>
                <w:rFonts w:ascii="Verdana" w:hAnsi="Verdana" w:cs="Arial"/>
              </w:rPr>
              <w:t xml:space="preserve"> </w:t>
            </w:r>
            <w:hyperlink r:id="rId13" w:history="1">
              <w:r w:rsidRPr="00B47073">
                <w:rPr>
                  <w:rStyle w:val="Hipervnculo"/>
                  <w:rFonts w:ascii="Verdana" w:hAnsi="Verdana" w:cs="Arial"/>
                </w:rPr>
                <w:t>https://www.colombiacompra.gov.co/wp-content/uploads/2026/05/CIRCULAR-EXTERNA-002-DE-2026.pdf</w:t>
              </w:r>
            </w:hyperlink>
            <w:r>
              <w:rPr>
                <w:rFonts w:ascii="Verdana" w:hAnsi="Verdana" w:cs="Arial"/>
              </w:rPr>
              <w:t xml:space="preserve">  </w:t>
            </w:r>
          </w:p>
        </w:tc>
      </w:tr>
    </w:tbl>
    <w:p w14:paraId="451C5AED" w14:textId="77777777" w:rsidR="00B5328B" w:rsidRPr="002407CE" w:rsidRDefault="00B5328B" w:rsidP="00B5328B">
      <w:pPr>
        <w:widowControl w:val="0"/>
        <w:autoSpaceDE w:val="0"/>
        <w:autoSpaceDN w:val="0"/>
        <w:spacing w:after="0" w:line="276" w:lineRule="auto"/>
        <w:jc w:val="both"/>
        <w:rPr>
          <w:rFonts w:ascii="Verdana" w:hAnsi="Verdana" w:cs="Arial"/>
        </w:rPr>
      </w:pPr>
    </w:p>
    <w:p w14:paraId="6BD91EFF" w14:textId="77777777" w:rsidR="00B5328B" w:rsidRPr="00593A5F" w:rsidRDefault="00B5328B" w:rsidP="00B532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38701DE" w14:textId="77777777" w:rsidR="00B5328B" w:rsidRPr="00593A5F" w:rsidRDefault="00B5328B" w:rsidP="00B5328B">
      <w:pPr>
        <w:widowControl w:val="0"/>
        <w:autoSpaceDE w:val="0"/>
        <w:autoSpaceDN w:val="0"/>
        <w:spacing w:after="0" w:line="276" w:lineRule="auto"/>
        <w:jc w:val="both"/>
        <w:rPr>
          <w:rFonts w:ascii="Verdana" w:hAnsi="Verdana" w:cs="Arial"/>
        </w:rPr>
      </w:pPr>
    </w:p>
    <w:p w14:paraId="6D5F6468" w14:textId="77777777" w:rsidR="00B5328B" w:rsidRPr="00ED0098" w:rsidRDefault="00B5328B" w:rsidP="00B5328B">
      <w:pPr>
        <w:widowControl w:val="0"/>
        <w:autoSpaceDE w:val="0"/>
        <w:autoSpaceDN w:val="0"/>
        <w:spacing w:after="0" w:line="276" w:lineRule="auto"/>
        <w:jc w:val="both"/>
        <w:rPr>
          <w:rStyle w:val="normaltextrun"/>
          <w:rFonts w:ascii="Verdana" w:hAnsi="Verdana" w:cs="Arial"/>
          <w:shd w:val="clear" w:color="auto" w:fill="FFFFFF"/>
        </w:rPr>
      </w:pPr>
      <w:r w:rsidRPr="00E278D2">
        <w:rPr>
          <w:rStyle w:val="normaltextrun"/>
          <w:rFonts w:ascii="Verdana" w:hAnsi="Verdana" w:cs="Arial"/>
          <w:shd w:val="clear" w:color="auto" w:fill="FFFFFF"/>
        </w:rPr>
        <w:t>Est</w:t>
      </w:r>
      <w:r>
        <w:rPr>
          <w:rStyle w:val="normaltextrun"/>
          <w:rFonts w:ascii="Verdana" w:hAnsi="Verdana" w:cs="Arial"/>
          <w:shd w:val="clear" w:color="auto" w:fill="FFFFFF"/>
        </w:rPr>
        <w:t>e</w:t>
      </w:r>
      <w:r w:rsidRPr="00E278D2">
        <w:rPr>
          <w:rStyle w:val="normaltextrun"/>
          <w:rFonts w:ascii="Verdana" w:hAnsi="Verdana" w:cs="Arial"/>
          <w:shd w:val="clear" w:color="auto" w:fill="FFFFFF"/>
        </w:rPr>
        <w:t xml:space="preserve"> y otros conceptos </w:t>
      </w:r>
      <w:r>
        <w:rPr>
          <w:rStyle w:val="normaltextrun"/>
          <w:rFonts w:ascii="Verdana" w:hAnsi="Verdana" w:cs="Arial"/>
          <w:shd w:val="clear" w:color="auto" w:fill="FFFFFF"/>
        </w:rPr>
        <w:t xml:space="preserve">de la Subdirección </w:t>
      </w:r>
      <w:r w:rsidRPr="00E278D2">
        <w:rPr>
          <w:rStyle w:val="normaltextrun"/>
          <w:rFonts w:ascii="Verdana" w:hAnsi="Verdana" w:cs="Arial"/>
          <w:shd w:val="clear" w:color="auto" w:fill="FFFFFF"/>
        </w:rPr>
        <w:t>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4"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7F9BE3E9" w14:textId="77777777" w:rsidR="00B5328B" w:rsidRPr="00096788" w:rsidRDefault="00B5328B" w:rsidP="00B5328B">
      <w:pPr>
        <w:widowControl w:val="0"/>
        <w:autoSpaceDE w:val="0"/>
        <w:autoSpaceDN w:val="0"/>
        <w:spacing w:after="0" w:line="276" w:lineRule="auto"/>
        <w:jc w:val="both"/>
        <w:rPr>
          <w:rFonts w:ascii="Verdana" w:hAnsi="Verdana" w:cs="Arial"/>
          <w:color w:val="000000" w:themeColor="text1"/>
          <w:shd w:val="clear" w:color="auto" w:fill="FFFFFF"/>
        </w:rPr>
      </w:pPr>
    </w:p>
    <w:p w14:paraId="1A8364B2" w14:textId="77777777" w:rsidR="00B5328B" w:rsidRDefault="00B5328B" w:rsidP="00B5328B">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w:t>
      </w:r>
      <w:r w:rsidRPr="009A385A">
        <w:rPr>
          <w:rFonts w:ascii="Verdana" w:hAnsi="Verdana"/>
        </w:rPr>
        <w:lastRenderedPageBreak/>
        <w:t xml:space="preserve">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9A385A">
          <w:rPr>
            <w:rStyle w:val="Hipervnculo"/>
            <w:rFonts w:ascii="Verdana" w:hAnsi="Verdana"/>
          </w:rPr>
          <w:t>https://formacionvirtual.colombiacompra.gov.co/mod/page/view.php?id=3718</w:t>
        </w:r>
      </w:hyperlink>
    </w:p>
    <w:p w14:paraId="3DBACEAA" w14:textId="77777777" w:rsidR="00B5328B" w:rsidRPr="009A385A" w:rsidRDefault="00B5328B" w:rsidP="00B5328B">
      <w:pPr>
        <w:spacing w:after="0"/>
        <w:jc w:val="both"/>
        <w:rPr>
          <w:rFonts w:ascii="Verdana" w:hAnsi="Verdana"/>
        </w:rPr>
      </w:pPr>
    </w:p>
    <w:p w14:paraId="42972CF8" w14:textId="77777777" w:rsidR="00B5328B" w:rsidRDefault="00B5328B" w:rsidP="00B5328B">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6" w:tgtFrame="_new" w:history="1">
        <w:r w:rsidRPr="00635F16">
          <w:rPr>
            <w:rStyle w:val="Hipervnculo"/>
            <w:rFonts w:ascii="Verdana" w:hAnsi="Verdana"/>
          </w:rPr>
          <w:t>https://www.colombiacompra.gov.co/normativa-y-relatoria/documentos-tipo</w:t>
        </w:r>
      </w:hyperlink>
    </w:p>
    <w:p w14:paraId="3CA4FE6F" w14:textId="77777777" w:rsidR="00B5328B" w:rsidRDefault="00B5328B" w:rsidP="00B5328B">
      <w:pPr>
        <w:spacing w:after="0"/>
        <w:jc w:val="both"/>
        <w:rPr>
          <w:rFonts w:ascii="Verdana" w:hAnsi="Verdana"/>
        </w:rPr>
      </w:pPr>
    </w:p>
    <w:p w14:paraId="20C1C816" w14:textId="77777777" w:rsidR="00B5328B" w:rsidRPr="008E1CD7" w:rsidRDefault="00B5328B" w:rsidP="00B5328B">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7"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525ACB7" w14:textId="77777777" w:rsidR="00B5328B" w:rsidRDefault="00B5328B" w:rsidP="00B5328B">
      <w:pPr>
        <w:shd w:val="clear" w:color="auto" w:fill="FFFFFF"/>
        <w:spacing w:after="0" w:line="276" w:lineRule="auto"/>
        <w:jc w:val="both"/>
        <w:rPr>
          <w:rFonts w:ascii="Verdana" w:hAnsi="Verdana"/>
          <w:color w:val="000000"/>
          <w:u w:val="single"/>
        </w:rPr>
      </w:pPr>
    </w:p>
    <w:p w14:paraId="515FAF36" w14:textId="77777777" w:rsidR="00B5328B" w:rsidRPr="00116940" w:rsidRDefault="00B5328B" w:rsidP="00B5328B">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5ED19670" w14:textId="77777777" w:rsidR="00B5328B" w:rsidRPr="00116940" w:rsidRDefault="00B5328B" w:rsidP="00B5328B">
      <w:pPr>
        <w:spacing w:after="0"/>
        <w:jc w:val="both"/>
        <w:rPr>
          <w:rFonts w:ascii="Verdana" w:hAnsi="Verdana"/>
        </w:rPr>
      </w:pPr>
    </w:p>
    <w:p w14:paraId="29852F24" w14:textId="77777777" w:rsidR="00B5328B" w:rsidRPr="00116940" w:rsidRDefault="00B5328B" w:rsidP="00B5328B">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lastRenderedPageBreak/>
        <w:t xml:space="preserve">Línea nacional gratuita o servicio a la ciudadanía (Mesa de servicio): </w:t>
      </w:r>
      <w:r w:rsidRPr="00116940">
        <w:rPr>
          <w:rStyle w:val="Hipervnculo"/>
          <w:rFonts w:ascii="Verdana" w:hAnsi="Verdana"/>
        </w:rPr>
        <w:t>01800 0520808</w:t>
      </w:r>
    </w:p>
    <w:p w14:paraId="756E337E" w14:textId="77777777" w:rsidR="00B5328B" w:rsidRPr="00116940" w:rsidRDefault="00B5328B" w:rsidP="00B5328B">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1FBA6A8D" w14:textId="77777777" w:rsidR="00B5328B" w:rsidRPr="00116940" w:rsidRDefault="00B5328B" w:rsidP="00B5328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8">
        <w:r w:rsidRPr="00116940">
          <w:rPr>
            <w:rStyle w:val="Hipervnculo"/>
            <w:rFonts w:ascii="Verdana" w:eastAsia="Verdana" w:hAnsi="Verdana" w:cs="Verdana"/>
            <w:lang w:val="es-MX"/>
          </w:rPr>
          <w:t>ventanilladeradicacion@colombiacompra.gov.co</w:t>
        </w:r>
      </w:hyperlink>
    </w:p>
    <w:p w14:paraId="4D966DC7" w14:textId="77777777" w:rsidR="00B5328B" w:rsidRPr="00116940" w:rsidRDefault="00B5328B" w:rsidP="00B5328B">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9">
        <w:r w:rsidRPr="00116940">
          <w:rPr>
            <w:rStyle w:val="Hipervnculo"/>
            <w:rFonts w:ascii="Verdana" w:eastAsia="Verdana" w:hAnsi="Verdana" w:cs="Verdana"/>
            <w:lang w:val="es-MX"/>
          </w:rPr>
          <w:t>https://www.colombiacompra.gov.co/pqrsd/informacion-importante-antes-de-formular-una-pqrsd</w:t>
        </w:r>
      </w:hyperlink>
    </w:p>
    <w:p w14:paraId="1EFE3ADF" w14:textId="77777777" w:rsidR="00B5328B" w:rsidRPr="00116940" w:rsidRDefault="00B5328B" w:rsidP="00B5328B">
      <w:pPr>
        <w:spacing w:after="0" w:line="240" w:lineRule="auto"/>
        <w:ind w:left="720"/>
        <w:jc w:val="both"/>
        <w:rPr>
          <w:rFonts w:ascii="Verdana" w:hAnsi="Verdana"/>
        </w:rPr>
      </w:pPr>
    </w:p>
    <w:p w14:paraId="1A252CBE" w14:textId="77777777" w:rsidR="00B5328B" w:rsidRPr="00116940" w:rsidRDefault="00B5328B" w:rsidP="00B5328B">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20"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1F32438D" w14:textId="77777777" w:rsidR="00B5328B" w:rsidRPr="00116940" w:rsidRDefault="00B5328B" w:rsidP="00B5328B">
      <w:pPr>
        <w:spacing w:after="0" w:line="240" w:lineRule="auto"/>
        <w:rPr>
          <w:rFonts w:ascii="Verdana" w:hAnsi="Verdana"/>
        </w:rPr>
      </w:pPr>
    </w:p>
    <w:p w14:paraId="6656397C" w14:textId="77777777" w:rsidR="00B5328B" w:rsidRPr="00116940" w:rsidRDefault="00B5328B" w:rsidP="00B5328B">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4E82BE8" w14:textId="77777777" w:rsidR="00B5328B" w:rsidRPr="00116940" w:rsidRDefault="00B5328B" w:rsidP="00B5328B">
      <w:pPr>
        <w:spacing w:after="0" w:line="240" w:lineRule="auto"/>
        <w:jc w:val="both"/>
        <w:rPr>
          <w:rFonts w:ascii="Verdana" w:hAnsi="Verdana"/>
        </w:rPr>
      </w:pPr>
    </w:p>
    <w:p w14:paraId="29E91F4D" w14:textId="77777777" w:rsidR="00B5328B" w:rsidRPr="00116940" w:rsidRDefault="00B5328B" w:rsidP="00B5328B">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6F629367" w14:textId="77777777" w:rsidR="00B5328B" w:rsidRPr="00116940" w:rsidRDefault="00B5328B" w:rsidP="00B5328B">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3BDCCBB" w14:textId="77777777" w:rsidR="00B5328B" w:rsidRPr="00116940" w:rsidRDefault="00B5328B" w:rsidP="00B5328B">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363F495" w14:textId="77777777" w:rsidR="00B5328B" w:rsidRPr="009C4035" w:rsidRDefault="00B5328B" w:rsidP="00B5328B">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7CAAB903" w14:textId="77777777" w:rsidR="00B5328B" w:rsidRPr="00593A5F" w:rsidRDefault="00B5328B" w:rsidP="00B5328B">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C88B3D5" w14:textId="77777777" w:rsidR="00B5328B" w:rsidRPr="00593A5F" w:rsidRDefault="00B5328B" w:rsidP="00B5328B">
      <w:pPr>
        <w:widowControl w:val="0"/>
        <w:autoSpaceDE w:val="0"/>
        <w:autoSpaceDN w:val="0"/>
        <w:spacing w:after="0" w:line="276" w:lineRule="auto"/>
        <w:jc w:val="both"/>
        <w:rPr>
          <w:rFonts w:ascii="Verdana" w:hAnsi="Verdana" w:cs="Arial"/>
        </w:rPr>
      </w:pPr>
    </w:p>
    <w:p w14:paraId="6367C313" w14:textId="77777777" w:rsidR="00B5328B" w:rsidRPr="00593A5F" w:rsidRDefault="00B5328B" w:rsidP="00B5328B">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EB3A1CC" w14:textId="468678D7" w:rsidR="00B5328B" w:rsidRPr="00593A5F" w:rsidRDefault="00F65EEB" w:rsidP="00B5328B">
      <w:pPr>
        <w:spacing w:line="276" w:lineRule="auto"/>
        <w:jc w:val="center"/>
        <w:rPr>
          <w:rFonts w:ascii="Verdana" w:hAnsi="Verdana" w:cs="Arial"/>
          <w:color w:val="000000"/>
          <w:lang w:val="es-ES_tradnl" w:eastAsia="es-CO"/>
        </w:rPr>
      </w:pPr>
      <w:r>
        <w:rPr>
          <w:noProof/>
        </w:rPr>
        <w:drawing>
          <wp:inline distT="0" distB="0" distL="0" distR="0" wp14:anchorId="2FD6A620" wp14:editId="58AFE12E">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1"/>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5328B" w:rsidRPr="00593A5F" w14:paraId="23C14244" w14:textId="77777777" w:rsidTr="0006760E">
        <w:trPr>
          <w:trHeight w:val="315"/>
        </w:trPr>
        <w:tc>
          <w:tcPr>
            <w:tcW w:w="893" w:type="dxa"/>
            <w:vAlign w:val="center"/>
            <w:hideMark/>
          </w:tcPr>
          <w:p w14:paraId="6C52C62E" w14:textId="77777777" w:rsidR="00B5328B" w:rsidRPr="003751C7" w:rsidRDefault="00B5328B" w:rsidP="0006760E">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E89BFF5" w14:textId="77777777" w:rsidR="00B5328B" w:rsidRPr="00254A7A" w:rsidRDefault="00B5328B" w:rsidP="0006760E">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4595ED66" w14:textId="77777777" w:rsidR="00B5328B" w:rsidRPr="00254A7A" w:rsidRDefault="00B5328B" w:rsidP="0006760E">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B5328B" w:rsidRPr="00593A5F" w14:paraId="2AB6DA05" w14:textId="77777777" w:rsidTr="0006760E">
        <w:trPr>
          <w:trHeight w:val="330"/>
        </w:trPr>
        <w:tc>
          <w:tcPr>
            <w:tcW w:w="893" w:type="dxa"/>
            <w:vAlign w:val="center"/>
            <w:hideMark/>
          </w:tcPr>
          <w:p w14:paraId="4817E6DF" w14:textId="77777777" w:rsidR="00B5328B" w:rsidRPr="003751C7" w:rsidRDefault="00B5328B" w:rsidP="0006760E">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800CD61" w14:textId="77777777" w:rsidR="00B5328B" w:rsidRPr="00F31892" w:rsidRDefault="00B5328B" w:rsidP="0006760E">
            <w:pPr>
              <w:pStyle w:val="paragraph"/>
              <w:spacing w:after="0"/>
              <w:contextualSpacing/>
              <w:textAlignment w:val="baseline"/>
              <w:rPr>
                <w:rStyle w:val="normaltextrun"/>
                <w:rFonts w:ascii="Verdana" w:hAnsi="Verdana" w:cs="Arial"/>
                <w:sz w:val="16"/>
                <w:szCs w:val="16"/>
                <w:lang w:val="es-ES_tradnl"/>
              </w:rPr>
            </w:pPr>
            <w:r w:rsidRPr="00F31892">
              <w:rPr>
                <w:rStyle w:val="normaltextrun"/>
                <w:rFonts w:ascii="Verdana" w:hAnsi="Verdana" w:cs="Arial"/>
                <w:sz w:val="16"/>
                <w:szCs w:val="16"/>
                <w:lang w:val="es-ES_tradnl"/>
              </w:rPr>
              <w:t>Alejandro Sarmiento Cantillo</w:t>
            </w:r>
          </w:p>
          <w:p w14:paraId="31D3F04F" w14:textId="77777777" w:rsidR="00B5328B" w:rsidRPr="00A40FD0" w:rsidRDefault="00B5328B" w:rsidP="0006760E">
            <w:pPr>
              <w:pStyle w:val="paragraph"/>
              <w:spacing w:before="0" w:beforeAutospacing="0" w:after="0" w:afterAutospacing="0"/>
              <w:contextualSpacing/>
              <w:textAlignment w:val="baseline"/>
              <w:rPr>
                <w:rFonts w:ascii="Verdana" w:hAnsi="Verdana" w:cs="Segoe UI"/>
                <w:sz w:val="16"/>
                <w:szCs w:val="16"/>
              </w:rPr>
            </w:pPr>
            <w:r w:rsidRPr="00F31892">
              <w:rPr>
                <w:rStyle w:val="normaltextrun"/>
                <w:rFonts w:ascii="Verdana" w:hAnsi="Verdana" w:cs="Arial"/>
                <w:sz w:val="16"/>
                <w:szCs w:val="16"/>
                <w:lang w:val="es-ES_tradnl"/>
              </w:rPr>
              <w:t>Gestor T1 ‒ 15 de la Subdirección de Gestión Contractual</w:t>
            </w:r>
          </w:p>
        </w:tc>
      </w:tr>
      <w:tr w:rsidR="00B5328B" w:rsidRPr="00593A5F" w14:paraId="198FF443" w14:textId="77777777" w:rsidTr="0006760E">
        <w:trPr>
          <w:trHeight w:val="300"/>
        </w:trPr>
        <w:tc>
          <w:tcPr>
            <w:tcW w:w="893" w:type="dxa"/>
            <w:vAlign w:val="center"/>
          </w:tcPr>
          <w:p w14:paraId="43D6CB0E" w14:textId="77777777" w:rsidR="00B5328B" w:rsidRPr="003751C7" w:rsidRDefault="00B5328B" w:rsidP="0006760E">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238BEBD" w14:textId="77777777" w:rsidR="00B5328B" w:rsidRPr="00FE00BE" w:rsidRDefault="00B5328B" w:rsidP="0006760E">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Carolina Quintero Gacharná</w:t>
            </w:r>
          </w:p>
          <w:p w14:paraId="75FA2CA7" w14:textId="77777777" w:rsidR="00B5328B" w:rsidRPr="00FE00BE" w:rsidRDefault="00B5328B" w:rsidP="0006760E">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lastRenderedPageBreak/>
              <w:t>Subdirectora de Gestión Contractual ANCP – CCE</w:t>
            </w:r>
          </w:p>
        </w:tc>
      </w:tr>
    </w:tbl>
    <w:p w14:paraId="429A6FE7" w14:textId="77777777" w:rsidR="00B5328B" w:rsidRDefault="00B5328B" w:rsidP="00B5328B"/>
    <w:p w14:paraId="39C3C849" w14:textId="03CF054A" w:rsidR="00B5328B" w:rsidRPr="00543BFE" w:rsidRDefault="00B5328B" w:rsidP="00B5328B"/>
    <w:p w14:paraId="0F293BF4" w14:textId="16B3393C" w:rsidR="00127233" w:rsidRPr="00E6422D" w:rsidRDefault="00127233" w:rsidP="00E6422D"/>
    <w:sectPr w:rsidR="00127233" w:rsidRPr="00E6422D"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796A58" w14:textId="77777777" w:rsidR="00612362" w:rsidRDefault="00612362" w:rsidP="004A1847">
      <w:pPr>
        <w:spacing w:after="0" w:line="240" w:lineRule="auto"/>
      </w:pPr>
      <w:r>
        <w:separator/>
      </w:r>
    </w:p>
  </w:endnote>
  <w:endnote w:type="continuationSeparator" w:id="0">
    <w:p w14:paraId="71B3623A" w14:textId="77777777" w:rsidR="00612362" w:rsidRDefault="0061236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787987" w14:textId="77777777" w:rsidR="00612362" w:rsidRDefault="00612362" w:rsidP="004A1847">
      <w:pPr>
        <w:spacing w:after="0" w:line="240" w:lineRule="auto"/>
      </w:pPr>
      <w:r>
        <w:separator/>
      </w:r>
    </w:p>
  </w:footnote>
  <w:footnote w:type="continuationSeparator" w:id="0">
    <w:p w14:paraId="4D2B6AE3" w14:textId="77777777" w:rsidR="00612362" w:rsidRDefault="00612362" w:rsidP="004A1847">
      <w:pPr>
        <w:spacing w:after="0" w:line="240" w:lineRule="auto"/>
      </w:pPr>
      <w:r>
        <w:continuationSeparator/>
      </w:r>
    </w:p>
  </w:footnote>
  <w:footnote w:id="1">
    <w:p w14:paraId="5D3282B1" w14:textId="77777777" w:rsidR="00B5328B" w:rsidRPr="00940D18" w:rsidRDefault="00B5328B" w:rsidP="00B5328B">
      <w:pPr>
        <w:pStyle w:val="Textonotapie"/>
        <w:ind w:firstLine="708"/>
        <w:jc w:val="both"/>
        <w:rPr>
          <w:rFonts w:ascii="Verdana" w:hAnsi="Verdana"/>
          <w:sz w:val="16"/>
          <w:szCs w:val="16"/>
        </w:rPr>
      </w:pPr>
      <w:r w:rsidRPr="00940D18">
        <w:rPr>
          <w:rStyle w:val="Refdenotaalpie"/>
          <w:rFonts w:ascii="Verdana" w:hAnsi="Verdana"/>
          <w:sz w:val="16"/>
          <w:szCs w:val="16"/>
        </w:rPr>
        <w:footnoteRef/>
      </w:r>
      <w:r w:rsidRPr="00940D18">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75CCB017" w14:textId="77777777" w:rsidR="00B5328B" w:rsidRPr="00940D18" w:rsidRDefault="00B5328B" w:rsidP="00B5328B">
      <w:pPr>
        <w:pStyle w:val="Textonotapie"/>
        <w:ind w:firstLine="708"/>
        <w:jc w:val="both"/>
        <w:rPr>
          <w:rFonts w:ascii="Verdana" w:hAnsi="Verdana"/>
          <w:sz w:val="16"/>
          <w:szCs w:val="16"/>
        </w:rPr>
      </w:pPr>
      <w:r w:rsidRPr="00940D18">
        <w:rPr>
          <w:rFonts w:ascii="Verdana" w:hAnsi="Verdana"/>
          <w:sz w:val="16"/>
          <w:szCs w:val="16"/>
        </w:rPr>
        <w:t>[…]</w:t>
      </w:r>
    </w:p>
    <w:p w14:paraId="488C62DB" w14:textId="77777777" w:rsidR="00B5328B" w:rsidRPr="00940D18" w:rsidRDefault="00B5328B" w:rsidP="00B5328B">
      <w:pPr>
        <w:pStyle w:val="Textonotapie"/>
        <w:ind w:firstLine="708"/>
        <w:jc w:val="both"/>
        <w:rPr>
          <w:rFonts w:ascii="Verdana" w:hAnsi="Verdana"/>
          <w:sz w:val="16"/>
          <w:szCs w:val="16"/>
        </w:rPr>
      </w:pPr>
      <w:r w:rsidRPr="00940D18">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4CB9592E" w14:textId="77777777" w:rsidR="00B5328B" w:rsidRPr="00940D18" w:rsidRDefault="00B5328B" w:rsidP="00B5328B">
      <w:pPr>
        <w:pStyle w:val="Textonotapie"/>
        <w:ind w:firstLine="708"/>
        <w:jc w:val="both"/>
        <w:rPr>
          <w:rFonts w:ascii="Verdana" w:hAnsi="Verdana"/>
          <w:sz w:val="16"/>
          <w:szCs w:val="16"/>
        </w:rPr>
      </w:pPr>
      <w:r w:rsidRPr="00940D18">
        <w:rPr>
          <w:rFonts w:ascii="Verdana" w:hAnsi="Verdana"/>
          <w:sz w:val="16"/>
          <w:szCs w:val="16"/>
        </w:rPr>
        <w:t>En todo caso, el Presidente de la República podrá celebrar contratos a nombre de la Nación”.</w:t>
      </w:r>
    </w:p>
  </w:footnote>
  <w:footnote w:id="2">
    <w:p w14:paraId="7D9F0995" w14:textId="77777777" w:rsidR="00B5328B" w:rsidRPr="00940D18" w:rsidRDefault="00B5328B" w:rsidP="00B5328B">
      <w:pPr>
        <w:pStyle w:val="Textonotapie"/>
        <w:ind w:firstLine="708"/>
        <w:jc w:val="both"/>
        <w:rPr>
          <w:rFonts w:ascii="Verdana" w:hAnsi="Verdana" w:cs="Arial"/>
          <w:sz w:val="16"/>
          <w:szCs w:val="16"/>
        </w:rPr>
      </w:pPr>
      <w:r w:rsidRPr="00940D18">
        <w:rPr>
          <w:rStyle w:val="Refdenotaalpie"/>
          <w:rFonts w:ascii="Verdana" w:hAnsi="Verdana" w:cs="Arial"/>
          <w:sz w:val="16"/>
          <w:szCs w:val="16"/>
        </w:rPr>
        <w:footnoteRef/>
      </w:r>
      <w:r w:rsidRPr="00940D18">
        <w:rPr>
          <w:rFonts w:ascii="Verdana" w:hAnsi="Verdana" w:cs="Arial"/>
          <w:sz w:val="16"/>
          <w:szCs w:val="16"/>
        </w:rPr>
        <w:t xml:space="preserve"> El inciso primero de norma disponía que, conforme al principio de transparencia, “</w:t>
      </w:r>
      <w:r w:rsidRPr="00940D18">
        <w:rPr>
          <w:rFonts w:ascii="Verdana" w:hAnsi="Verdana" w:cs="Arial"/>
          <w:i/>
          <w:iCs/>
          <w:sz w:val="16"/>
          <w:szCs w:val="16"/>
        </w:rPr>
        <w:t>La escogencia del contratista se efectuará siempre a través de licitación o concurso públicos</w:t>
      </w:r>
      <w:r w:rsidRPr="00940D18">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14:paraId="593F8B18" w14:textId="77777777" w:rsidR="00B5328B" w:rsidRPr="00940D18" w:rsidRDefault="00B5328B" w:rsidP="00B5328B">
      <w:pPr>
        <w:pStyle w:val="Textonotapie"/>
        <w:ind w:firstLine="708"/>
        <w:jc w:val="both"/>
        <w:rPr>
          <w:rFonts w:ascii="Verdana" w:hAnsi="Verdana" w:cs="Arial"/>
          <w:sz w:val="16"/>
          <w:szCs w:val="16"/>
        </w:rPr>
      </w:pPr>
      <w:r w:rsidRPr="00940D18">
        <w:rPr>
          <w:rStyle w:val="Refdenotaalpie"/>
          <w:rFonts w:ascii="Verdana" w:hAnsi="Verdana" w:cs="Arial"/>
          <w:sz w:val="16"/>
          <w:szCs w:val="16"/>
        </w:rPr>
        <w:footnoteRef/>
      </w:r>
      <w:r w:rsidRPr="00940D18">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940D18">
        <w:rPr>
          <w:rFonts w:ascii="Verdana" w:hAnsi="Verdana" w:cs="Arial"/>
          <w:i/>
          <w:iCs/>
          <w:sz w:val="16"/>
          <w:szCs w:val="16"/>
        </w:rPr>
        <w:t>Presentación de la oferta de manera dinámica</w:t>
      </w:r>
      <w:r w:rsidRPr="00940D18">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4">
    <w:p w14:paraId="75C7FC32" w14:textId="77777777" w:rsidR="00B5328B" w:rsidRPr="00940D18" w:rsidRDefault="00B5328B" w:rsidP="00B5328B">
      <w:pPr>
        <w:pStyle w:val="Textonotapie"/>
        <w:ind w:firstLine="708"/>
        <w:jc w:val="both"/>
        <w:rPr>
          <w:rFonts w:ascii="Verdana" w:hAnsi="Verdana" w:cs="Arial"/>
          <w:sz w:val="16"/>
          <w:szCs w:val="16"/>
        </w:rPr>
      </w:pPr>
      <w:r w:rsidRPr="00940D18">
        <w:rPr>
          <w:rStyle w:val="Refdenotaalpie"/>
          <w:rFonts w:ascii="Verdana" w:hAnsi="Verdana" w:cs="Arial"/>
          <w:sz w:val="16"/>
          <w:szCs w:val="16"/>
        </w:rPr>
        <w:footnoteRef/>
      </w:r>
      <w:r w:rsidRPr="00940D18">
        <w:rPr>
          <w:rFonts w:ascii="Verdana" w:hAnsi="Verdana" w:cs="Arial"/>
          <w:sz w:val="16"/>
          <w:szCs w:val="16"/>
        </w:rPr>
        <w:t xml:space="preserve"> JOJOA BOLAÑOS, Alexander. Los regímenes exceptuados en los contratos estatales. Bogotá: Grupo Editorial Ibáñez, 2012. p. 89.</w:t>
      </w:r>
    </w:p>
  </w:footnote>
  <w:footnote w:id="5">
    <w:p w14:paraId="1422FA43" w14:textId="77777777" w:rsidR="00B5328B" w:rsidRPr="00940D18" w:rsidRDefault="00B5328B" w:rsidP="00B5328B">
      <w:pPr>
        <w:pStyle w:val="Textonotapie"/>
        <w:ind w:firstLine="708"/>
        <w:jc w:val="both"/>
        <w:rPr>
          <w:rFonts w:ascii="Verdana" w:hAnsi="Verdana" w:cs="Arial"/>
          <w:sz w:val="16"/>
          <w:szCs w:val="16"/>
        </w:rPr>
      </w:pPr>
      <w:r w:rsidRPr="00940D18">
        <w:rPr>
          <w:rStyle w:val="Refdenotaalpie"/>
          <w:rFonts w:ascii="Verdana" w:hAnsi="Verdana" w:cs="Arial"/>
          <w:sz w:val="16"/>
          <w:szCs w:val="16"/>
        </w:rPr>
        <w:footnoteRef/>
      </w:r>
      <w:r w:rsidRPr="00940D18">
        <w:rPr>
          <w:rFonts w:ascii="Verdana" w:hAnsi="Verdana" w:cs="Arial"/>
          <w:sz w:val="16"/>
          <w:szCs w:val="16"/>
        </w:rPr>
        <w:t xml:space="preserve"> BARRETO MORENO, Antonio Alejandro. El derecho de la compra pública: estudio jurídico de un mercado imperfecto. Bogotá: Legis, 2019. pp. 281 y ss.</w:t>
      </w:r>
    </w:p>
  </w:footnote>
  <w:footnote w:id="6">
    <w:p w14:paraId="1CE785A1" w14:textId="77777777" w:rsidR="00B5328B" w:rsidRPr="00940D18" w:rsidRDefault="00B5328B" w:rsidP="00B5328B">
      <w:pPr>
        <w:pStyle w:val="Textonotapie"/>
        <w:ind w:firstLine="709"/>
        <w:jc w:val="both"/>
        <w:rPr>
          <w:rFonts w:ascii="Verdana" w:hAnsi="Verdana" w:cs="Arial"/>
          <w:color w:val="000000" w:themeColor="text1"/>
          <w:sz w:val="16"/>
          <w:szCs w:val="16"/>
        </w:rPr>
      </w:pPr>
      <w:r w:rsidRPr="00940D18">
        <w:rPr>
          <w:rStyle w:val="Refdenotaalpie"/>
          <w:rFonts w:ascii="Verdana" w:hAnsi="Verdana" w:cs="Arial"/>
          <w:color w:val="000000" w:themeColor="text1"/>
          <w:sz w:val="16"/>
          <w:szCs w:val="16"/>
        </w:rPr>
        <w:footnoteRef/>
      </w:r>
      <w:r w:rsidRPr="00940D18">
        <w:rPr>
          <w:rFonts w:ascii="Verdana" w:hAnsi="Verdana" w:cs="Arial"/>
          <w:color w:val="000000" w:themeColor="text1"/>
          <w:sz w:val="16"/>
          <w:szCs w:val="16"/>
        </w:rPr>
        <w:t xml:space="preserve"> Agencia Nacional de Contratación Pública - Colombia Compra Eficiente. Guía para las Entidades Estatales con régimen especial de contratación: “Entidad Estatal de régimen especial: Entidad Estatal que realiza sus Procesos de Contratación con un régimen distinto al previsto en las Leyes 80 de 1993 y 1150 de 2007”.</w:t>
      </w:r>
    </w:p>
  </w:footnote>
  <w:footnote w:id="7">
    <w:p w14:paraId="78FE282F" w14:textId="77777777" w:rsidR="00B5328B" w:rsidRPr="00940D18" w:rsidRDefault="00B5328B" w:rsidP="00B5328B">
      <w:pPr>
        <w:pStyle w:val="Textonotapie"/>
        <w:ind w:firstLine="709"/>
        <w:jc w:val="both"/>
        <w:rPr>
          <w:rFonts w:ascii="Verdana" w:hAnsi="Verdana" w:cs="Arial"/>
          <w:color w:val="000000" w:themeColor="text1"/>
          <w:sz w:val="16"/>
          <w:szCs w:val="16"/>
        </w:rPr>
      </w:pPr>
      <w:r w:rsidRPr="00940D18">
        <w:rPr>
          <w:rStyle w:val="Refdenotaalpie"/>
          <w:rFonts w:ascii="Verdana" w:hAnsi="Verdana" w:cs="Arial"/>
          <w:color w:val="000000" w:themeColor="text1"/>
          <w:sz w:val="16"/>
          <w:szCs w:val="16"/>
        </w:rPr>
        <w:footnoteRef/>
      </w:r>
      <w:r w:rsidRPr="00940D18">
        <w:rPr>
          <w:rFonts w:ascii="Verdana" w:hAnsi="Verdana" w:cs="Arial"/>
          <w:color w:val="000000" w:themeColor="text1"/>
          <w:sz w:val="16"/>
          <w:szCs w:val="16"/>
        </w:rPr>
        <w:t xml:space="preserve"> CONSEJO DE ESTADO. Sección Tercera. Radicado No. 45.607 del 24 de octubre de 2016. Consejera Ponente: María Nubia Velásquez Rico.</w:t>
      </w:r>
    </w:p>
  </w:footnote>
  <w:footnote w:id="8">
    <w:p w14:paraId="495883D7" w14:textId="77777777" w:rsidR="00B5328B" w:rsidRPr="00940D18" w:rsidRDefault="00B5328B" w:rsidP="00B5328B">
      <w:pPr>
        <w:pStyle w:val="Textonotapie"/>
        <w:ind w:firstLine="709"/>
        <w:jc w:val="both"/>
        <w:rPr>
          <w:rFonts w:ascii="Verdana" w:hAnsi="Verdana" w:cs="Arial"/>
          <w:color w:val="000000" w:themeColor="text1"/>
          <w:sz w:val="16"/>
          <w:szCs w:val="16"/>
        </w:rPr>
      </w:pPr>
      <w:r w:rsidRPr="00940D18">
        <w:rPr>
          <w:rStyle w:val="Refdenotaalpie"/>
          <w:rFonts w:ascii="Verdana" w:hAnsi="Verdana" w:cs="Arial"/>
          <w:color w:val="000000" w:themeColor="text1"/>
          <w:sz w:val="16"/>
          <w:szCs w:val="16"/>
        </w:rPr>
        <w:footnoteRef/>
      </w:r>
      <w:r w:rsidRPr="00940D18">
        <w:rPr>
          <w:rFonts w:ascii="Verdana" w:hAnsi="Verdana" w:cs="Arial"/>
          <w:color w:val="000000" w:themeColor="text1"/>
          <w:sz w:val="16"/>
          <w:szCs w:val="16"/>
        </w:rPr>
        <w:t xml:space="preserve"> Este fenómeno también se ha presentado, en los últimos años, en España. Al respecto, ver: SÁNCHEZ MORÓN, Miguel. El retorno del derecho administrativo. En: Revista de Administración Pública. Nº 216 (2018). Disponible en: </w:t>
      </w:r>
      <w:hyperlink r:id="rId1" w:history="1">
        <w:r w:rsidRPr="00940D18">
          <w:rPr>
            <w:rStyle w:val="Hipervnculo"/>
            <w:rFonts w:ascii="Verdana" w:hAnsi="Verdana" w:cs="Arial"/>
            <w:sz w:val="16"/>
            <w:szCs w:val="16"/>
          </w:rPr>
          <w:t>https://recyt.fecyt.es/index.php/RAP/article/view/67033</w:t>
        </w:r>
      </w:hyperlink>
      <w:r w:rsidRPr="00940D18">
        <w:rPr>
          <w:rFonts w:ascii="Verdana" w:hAnsi="Verdana" w:cs="Arial"/>
          <w:color w:val="000000" w:themeColor="text1"/>
          <w:sz w:val="16"/>
          <w:szCs w:val="16"/>
        </w:rPr>
        <w:t>.</w:t>
      </w:r>
    </w:p>
  </w:footnote>
  <w:footnote w:id="9">
    <w:p w14:paraId="63C6B72E" w14:textId="77777777" w:rsidR="00B5328B" w:rsidRPr="00940D18" w:rsidRDefault="00B5328B" w:rsidP="00B5328B">
      <w:pPr>
        <w:pStyle w:val="Textonotapie"/>
        <w:ind w:firstLine="708"/>
        <w:jc w:val="both"/>
        <w:rPr>
          <w:rFonts w:ascii="Verdana" w:hAnsi="Verdana" w:cs="Arial"/>
          <w:color w:val="000000" w:themeColor="text1"/>
          <w:sz w:val="16"/>
          <w:szCs w:val="16"/>
          <w:lang w:val="es-ES"/>
        </w:rPr>
      </w:pPr>
      <w:r w:rsidRPr="00940D18">
        <w:rPr>
          <w:rStyle w:val="Refdenotaalpie"/>
          <w:rFonts w:ascii="Verdana" w:hAnsi="Verdana" w:cs="Arial"/>
          <w:color w:val="000000" w:themeColor="text1"/>
          <w:sz w:val="16"/>
          <w:szCs w:val="16"/>
        </w:rPr>
        <w:footnoteRef/>
      </w:r>
      <w:r w:rsidRPr="00940D18">
        <w:rPr>
          <w:rFonts w:ascii="Verdana" w:hAnsi="Verdana" w:cs="Arial"/>
          <w:color w:val="000000" w:themeColor="text1"/>
          <w:sz w:val="16"/>
          <w:szCs w:val="16"/>
        </w:rPr>
        <w:t xml:space="preserve"> </w:t>
      </w:r>
      <w:r w:rsidRPr="00940D18">
        <w:rPr>
          <w:rFonts w:ascii="Verdana" w:hAnsi="Verdana" w:cs="Arial"/>
          <w:color w:val="000000" w:themeColor="text1"/>
          <w:sz w:val="16"/>
          <w:szCs w:val="16"/>
          <w:lang w:val="es-ES"/>
        </w:rPr>
        <w:t>Es el caso de: i) las empresas sociales del Estado (art. 195, num. 6, Ley 100/1993), ii) las empresas prestadoras de servicios públicos domiciliarios (arts. 31 y 32, Ley 142/94); iii) las empresas industriales y comerciales del Estado, sociedades públicas y sociedades de economía mixta con capital público mayoritario, siempre que las tres entidades mencionadas anteriormente se encuentren en competencia con el sector público o privado, a nivel nacional o internacional, o ejerzan su actividad en un mercado regulado (art. 14, Ley 1150/07); iv) las universidades públicas (art. 93, Ley 30/92); entre otras.</w:t>
      </w:r>
    </w:p>
  </w:footnote>
  <w:footnote w:id="10">
    <w:p w14:paraId="596E4503" w14:textId="77777777" w:rsidR="00B5328B" w:rsidRPr="00940D18" w:rsidRDefault="00B5328B" w:rsidP="00B5328B">
      <w:pPr>
        <w:pStyle w:val="Textonotapie"/>
        <w:ind w:firstLine="709"/>
        <w:jc w:val="both"/>
        <w:rPr>
          <w:rFonts w:ascii="Verdana" w:hAnsi="Verdana" w:cs="Arial"/>
          <w:color w:val="000000" w:themeColor="text1"/>
          <w:sz w:val="16"/>
          <w:szCs w:val="16"/>
          <w:lang w:val="es-ES"/>
        </w:rPr>
      </w:pPr>
      <w:r w:rsidRPr="00940D18">
        <w:rPr>
          <w:rStyle w:val="Refdenotaalpie"/>
          <w:rFonts w:ascii="Verdana" w:hAnsi="Verdana" w:cs="Arial"/>
          <w:color w:val="000000" w:themeColor="text1"/>
          <w:sz w:val="16"/>
          <w:szCs w:val="16"/>
        </w:rPr>
        <w:footnoteRef/>
      </w:r>
      <w:r w:rsidRPr="00940D18">
        <w:rPr>
          <w:rFonts w:ascii="Verdana" w:hAnsi="Verdana" w:cs="Arial"/>
          <w:color w:val="000000" w:themeColor="text1"/>
          <w:sz w:val="16"/>
          <w:szCs w:val="16"/>
        </w:rPr>
        <w:t xml:space="preserve"> </w:t>
      </w:r>
      <w:r w:rsidRPr="00940D18">
        <w:rPr>
          <w:rFonts w:ascii="Verdana" w:hAnsi="Verdana" w:cs="Arial"/>
          <w:color w:val="000000" w:themeColor="text1"/>
          <w:sz w:val="16"/>
          <w:szCs w:val="16"/>
          <w:lang w:val="es-ES"/>
        </w:rPr>
        <w:t>Leyes que, a su vez, han sido modificadas por otras posteriores, como las Leyes 1474 de 2011 y 1882 de 2018, entre otras. Así mismo, se recuerda que el Estatuto General de Contratación de la Administración Pública se encuentra reglamentado actualmente por el Decreto 1082 de 2015.</w:t>
      </w:r>
    </w:p>
  </w:footnote>
  <w:footnote w:id="11">
    <w:p w14:paraId="765A741B" w14:textId="77777777" w:rsidR="00B5328B" w:rsidRPr="00940D18" w:rsidRDefault="00B5328B" w:rsidP="00B5328B">
      <w:pPr>
        <w:pStyle w:val="Textonotapie"/>
        <w:ind w:firstLine="709"/>
        <w:jc w:val="both"/>
        <w:rPr>
          <w:rFonts w:ascii="Verdana" w:hAnsi="Verdana" w:cs="Arial"/>
          <w:color w:val="000000" w:themeColor="text1"/>
          <w:sz w:val="16"/>
          <w:szCs w:val="16"/>
        </w:rPr>
      </w:pPr>
      <w:r w:rsidRPr="00940D18">
        <w:rPr>
          <w:rStyle w:val="Refdenotaalpie"/>
          <w:rFonts w:ascii="Verdana" w:hAnsi="Verdana" w:cs="Arial"/>
          <w:color w:val="000000" w:themeColor="text1"/>
          <w:sz w:val="16"/>
          <w:szCs w:val="16"/>
        </w:rPr>
        <w:footnoteRef/>
      </w:r>
      <w:r w:rsidRPr="00940D18">
        <w:rPr>
          <w:rFonts w:ascii="Verdana" w:hAnsi="Verdana" w:cs="Arial"/>
          <w:color w:val="000000" w:themeColor="text1"/>
          <w:sz w:val="16"/>
          <w:szCs w:val="16"/>
        </w:rPr>
        <w:t xml:space="preserve"> Así lo sostuvo el Consejo de Estado: “Esta Sala, en sentido contrario al del tribunal, recuerda que las normas que establecen la manera como se perfecciona un contrato son de orden público, por tanto indisponibles por las partes, así que para las entidades excluidas de la Ley 80, un contrato existe si cumple las exigencias del ordenamiento privado; ni siquiera las del manual de contratación que expide cada hospital, ni las que prevean las partes en un contrato específico, porque los últimos no pueden reducirlas o adicionarlas, puesto que semejante acuerdo adolecerá de nulidad, al transgredir el derecho público de la nación. </w:t>
      </w:r>
    </w:p>
    <w:p w14:paraId="07251EDB" w14:textId="77777777" w:rsidR="00B5328B" w:rsidRPr="00940D18" w:rsidRDefault="00B5328B" w:rsidP="00B5328B">
      <w:pPr>
        <w:pStyle w:val="Textonotapie"/>
        <w:ind w:firstLine="709"/>
        <w:jc w:val="both"/>
        <w:rPr>
          <w:rFonts w:ascii="Verdana" w:hAnsi="Verdana" w:cs="Arial"/>
          <w:color w:val="000000" w:themeColor="text1"/>
          <w:sz w:val="16"/>
          <w:szCs w:val="16"/>
        </w:rPr>
      </w:pPr>
      <w:r w:rsidRPr="00940D18">
        <w:rPr>
          <w:rFonts w:ascii="Verdana" w:hAnsi="Verdana" w:cs="Arial"/>
          <w:color w:val="000000" w:themeColor="text1"/>
          <w:sz w:val="16"/>
          <w:szCs w:val="16"/>
        </w:rPr>
        <w:t>Lo anterior explica por qué en el derecho privado las partes no pueden condicionar la existencia de un contrato, que por ley sea consensual, al hecho de que conste por escrito; ni uno que requiere escritura pública al hecho de que el acuerdo verbal sea suficiente. Esto significa que si la ley impuso formalidades especiales para que exista un contrato, las partes no sólo no pueden obviarlas, sino que tampoco las pueden incrementar o adicionar; y a la inversa, si la ley no estableció formalidades especiales para que exista determinado negocio, las partes no las pueden crear con ese propósito –aunque sí podrían hacerlo para otros efectos, pero no para que exista el acuerdo de voluntades-. Lo expresado hasta ahora debe entenderse en los siguientes sentidos:</w:t>
      </w:r>
    </w:p>
    <w:p w14:paraId="361D7261" w14:textId="77777777" w:rsidR="00B5328B" w:rsidRPr="00940D18" w:rsidRDefault="00B5328B" w:rsidP="00B5328B">
      <w:pPr>
        <w:pStyle w:val="Textonotapie"/>
        <w:ind w:firstLine="709"/>
        <w:jc w:val="both"/>
        <w:rPr>
          <w:rFonts w:ascii="Verdana" w:hAnsi="Verdana" w:cs="Arial"/>
          <w:color w:val="000000" w:themeColor="text1"/>
          <w:sz w:val="16"/>
          <w:szCs w:val="16"/>
        </w:rPr>
      </w:pPr>
      <w:r w:rsidRPr="00940D18">
        <w:rPr>
          <w:rFonts w:ascii="Verdana" w:hAnsi="Verdana" w:cs="Arial"/>
          <w:color w:val="000000" w:themeColor="text1"/>
          <w:sz w:val="16"/>
          <w:szCs w:val="16"/>
        </w:rPr>
        <w:t>a. Si la norma aplicable al contrato es la Ley 80, los requisitos de perfeccionamiento son los que ella establezca; de manera que las partes, en ejercicio de la autonomía de la voluntad –que autorizan los arts. 13, 32 y 40- no pueden atenuar ni hacer más exigentes los que contempla.</w:t>
      </w:r>
    </w:p>
    <w:p w14:paraId="22B9BD45" w14:textId="77777777" w:rsidR="00B5328B" w:rsidRPr="00940D18" w:rsidRDefault="00B5328B" w:rsidP="00B5328B">
      <w:pPr>
        <w:pStyle w:val="Textonotapie"/>
        <w:ind w:firstLine="709"/>
        <w:jc w:val="both"/>
        <w:rPr>
          <w:rFonts w:ascii="Verdana" w:hAnsi="Verdana" w:cs="Arial"/>
          <w:color w:val="000000" w:themeColor="text1"/>
          <w:sz w:val="16"/>
          <w:szCs w:val="16"/>
        </w:rPr>
      </w:pPr>
      <w:r w:rsidRPr="00940D18">
        <w:rPr>
          <w:rFonts w:ascii="Verdana" w:hAnsi="Verdana" w:cs="Arial"/>
          <w:color w:val="000000" w:themeColor="text1"/>
          <w:sz w:val="16"/>
          <w:szCs w:val="16"/>
        </w:rPr>
        <w:t>b. Si la norma aplicable al contrato estatal es el derecho privado más los principios de la función administrativa, los requisitos de perfeccionamiento también son los que aquél establezca; por tanto, las partes, en ejercicio de la autonomía de la voluntad, tampoco pueden atenuar ni hacer más exigentes los que contempla.</w:t>
      </w:r>
    </w:p>
    <w:p w14:paraId="4A9EC53A" w14:textId="77777777" w:rsidR="00B5328B" w:rsidRPr="00940D18" w:rsidRDefault="00B5328B" w:rsidP="00B5328B">
      <w:pPr>
        <w:pStyle w:val="Textonotapie"/>
        <w:ind w:firstLine="709"/>
        <w:jc w:val="both"/>
        <w:rPr>
          <w:rFonts w:ascii="Verdana" w:hAnsi="Verdana" w:cs="Arial"/>
          <w:color w:val="000000" w:themeColor="text1"/>
          <w:sz w:val="16"/>
          <w:szCs w:val="16"/>
        </w:rPr>
      </w:pPr>
      <w:r w:rsidRPr="00940D18">
        <w:rPr>
          <w:rFonts w:ascii="Verdana" w:hAnsi="Verdana" w:cs="Arial"/>
          <w:color w:val="000000" w:themeColor="text1"/>
          <w:sz w:val="16"/>
          <w:szCs w:val="16"/>
        </w:rPr>
        <w:t xml:space="preserve">c. Si la entidad excluida de Ley 80 profirió un reglamento o manual de contratación, para señalar con certidumbre la manera como contratará los bienes, obras y servicios de su interés, los requisitos de perfeccionamiento de sus contratos tampoco son disponibles por ese estatuto, porque esta materia está reservada a la ley. Por tanto, cuándo existe un contrato es un aspecto que define el derecho privado, y la entidad no lo puede alterar, ni para atenuar ni para hacer más exigentes los requisitos” (CONSEJO DE ESTADO. Sección Tercera. Subsección C. Sentencia del 8 de abril de 2014. Exp. 25.801 C.P. Enrique Gil Botero). </w:t>
      </w:r>
    </w:p>
  </w:footnote>
  <w:footnote w:id="12">
    <w:p w14:paraId="48010EA6" w14:textId="77777777" w:rsidR="00B5328B" w:rsidRPr="00940D18" w:rsidRDefault="00B5328B" w:rsidP="00B5328B">
      <w:pPr>
        <w:pStyle w:val="Textonotapie"/>
        <w:ind w:firstLine="708"/>
        <w:jc w:val="both"/>
        <w:rPr>
          <w:rFonts w:ascii="Verdana" w:hAnsi="Verdana" w:cs="Arial"/>
          <w:color w:val="000000" w:themeColor="text1"/>
          <w:sz w:val="16"/>
          <w:szCs w:val="16"/>
        </w:rPr>
      </w:pPr>
      <w:r w:rsidRPr="00940D18">
        <w:rPr>
          <w:rStyle w:val="Refdenotaalpie"/>
          <w:rFonts w:ascii="Verdana" w:hAnsi="Verdana" w:cs="Arial"/>
          <w:color w:val="000000" w:themeColor="text1"/>
          <w:sz w:val="16"/>
          <w:szCs w:val="16"/>
        </w:rPr>
        <w:footnoteRef/>
      </w:r>
      <w:r w:rsidRPr="00940D18">
        <w:rPr>
          <w:rFonts w:ascii="Verdana" w:hAnsi="Verdana" w:cs="Arial"/>
          <w:color w:val="000000" w:themeColor="text1"/>
          <w:sz w:val="16"/>
          <w:szCs w:val="16"/>
        </w:rPr>
        <w:t xml:space="preserve"> Al respecto, el artículo 2, literal a) del numeral 1, del Estatuto General de Contratación denomina como entidades estatales a “La Nación, las regiones, los departamentos, las provincias, el distrito capital y los distritos especiales, las áreas metropolitanas, las asociaciones de municipios, los territorios indígenas y los municipios; los establecimientos públicos, </w:t>
      </w:r>
      <w:r w:rsidRPr="00940D18">
        <w:rPr>
          <w:rFonts w:ascii="Verdana" w:hAnsi="Verdana" w:cs="Arial"/>
          <w:i/>
          <w:iCs/>
          <w:color w:val="000000" w:themeColor="text1"/>
          <w:sz w:val="16"/>
          <w:szCs w:val="16"/>
        </w:rPr>
        <w:t>las empresas industriales y comerciales del Estado</w:t>
      </w:r>
      <w:r w:rsidRPr="00940D18">
        <w:rPr>
          <w:rFonts w:ascii="Verdana" w:hAnsi="Verdana" w:cs="Arial"/>
          <w:color w:val="000000" w:themeColor="text1"/>
          <w:sz w:val="16"/>
          <w:szCs w:val="16"/>
        </w:rPr>
        <w:t>,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(Énfasis fuera de texto).</w:t>
      </w:r>
    </w:p>
  </w:footnote>
  <w:footnote w:id="13">
    <w:p w14:paraId="6B9BC234" w14:textId="77777777" w:rsidR="00B5328B" w:rsidRPr="00940D18" w:rsidRDefault="00B5328B" w:rsidP="00B5328B">
      <w:pPr>
        <w:pStyle w:val="Textonotapie"/>
        <w:ind w:firstLine="708"/>
        <w:jc w:val="both"/>
        <w:rPr>
          <w:rFonts w:ascii="Verdana" w:hAnsi="Verdana" w:cs="Arial"/>
          <w:sz w:val="16"/>
          <w:szCs w:val="16"/>
        </w:rPr>
      </w:pPr>
      <w:r w:rsidRPr="00940D18">
        <w:rPr>
          <w:rStyle w:val="Refdenotaalpie"/>
          <w:rFonts w:ascii="Verdana" w:hAnsi="Verdana" w:cs="Arial"/>
          <w:sz w:val="16"/>
          <w:szCs w:val="16"/>
        </w:rPr>
        <w:footnoteRef/>
      </w:r>
      <w:r w:rsidRPr="00940D18">
        <w:rPr>
          <w:rFonts w:ascii="Verdana" w:hAnsi="Verdana" w:cs="Arial"/>
          <w:sz w:val="16"/>
          <w:szCs w:val="16"/>
        </w:rPr>
        <w:t xml:space="preserve"> El numeral derogado disponía que “La escogencia del contratista se efectuará siempre a través de licitación o concurso públicos, salvo en los siguientes casos en los que se podrá contratar directamente: […] m)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esta ley”.</w:t>
      </w:r>
    </w:p>
  </w:footnote>
  <w:footnote w:id="14">
    <w:p w14:paraId="5176452B" w14:textId="77777777" w:rsidR="00B5328B" w:rsidRPr="00940D18" w:rsidRDefault="00B5328B" w:rsidP="00B5328B">
      <w:pPr>
        <w:pStyle w:val="Textonotapie"/>
        <w:ind w:firstLine="708"/>
        <w:jc w:val="both"/>
        <w:rPr>
          <w:rFonts w:ascii="Verdana" w:hAnsi="Verdana"/>
          <w:sz w:val="16"/>
          <w:szCs w:val="16"/>
          <w:lang w:val="es-CO"/>
        </w:rPr>
      </w:pPr>
      <w:r w:rsidRPr="00940D18">
        <w:rPr>
          <w:rStyle w:val="Refdenotaalpie"/>
          <w:rFonts w:ascii="Verdana" w:hAnsi="Verdana"/>
          <w:sz w:val="16"/>
          <w:szCs w:val="16"/>
        </w:rPr>
        <w:footnoteRef/>
      </w:r>
      <w:r w:rsidRPr="00940D18">
        <w:rPr>
          <w:rFonts w:ascii="Verdana" w:hAnsi="Verdana"/>
          <w:sz w:val="16"/>
          <w:szCs w:val="16"/>
        </w:rPr>
        <w:t xml:space="preserve"> El artículo 2.2.1.2.1.2.24 del Decreto 1082 de 2015 precisa lo siguiente: “Las empresas industriales y comerciales del Estado y las sociedades de economía mixta, sus filiales y las empresas en las cuales el Estado tenga más del cincuenta por ciento (50%) del capital social que no se encuentren en situación de competencia, deben utilizar el procedimiento de selección abreviada de menor cuantía para los contratos que tengan como objeto su actividad comercial e industrial, salvo para los contratos de obra pública, consultoría, prestación de servicios, concesión, encargo fiduciario y fiducia pública para los cuales se aplicará la modalidad que corresponda”.</w:t>
      </w:r>
    </w:p>
  </w:footnote>
  <w:footnote w:id="15">
    <w:p w14:paraId="41485B43" w14:textId="77777777" w:rsidR="00B5328B" w:rsidRPr="00940D18" w:rsidRDefault="00B5328B" w:rsidP="00B5328B">
      <w:pPr>
        <w:pStyle w:val="Textonotapie"/>
        <w:ind w:firstLine="708"/>
        <w:jc w:val="both"/>
        <w:rPr>
          <w:rFonts w:ascii="Verdana" w:hAnsi="Verdana" w:cs="Arial"/>
          <w:sz w:val="16"/>
          <w:szCs w:val="16"/>
        </w:rPr>
      </w:pPr>
      <w:r w:rsidRPr="00940D18">
        <w:rPr>
          <w:rStyle w:val="Refdenotaalpie"/>
          <w:rFonts w:ascii="Verdana" w:hAnsi="Verdana" w:cs="Arial"/>
          <w:sz w:val="16"/>
          <w:szCs w:val="16"/>
        </w:rPr>
        <w:footnoteRef/>
      </w:r>
      <w:r w:rsidRPr="00940D18">
        <w:rPr>
          <w:rFonts w:ascii="Verdana" w:hAnsi="Verdana" w:cs="Arial"/>
          <w:sz w:val="16"/>
          <w:szCs w:val="16"/>
        </w:rPr>
        <w:t xml:space="preserve"> CONSEJO DE ESTADO. Sección Tercera. Sentencia del 19 de agosto de 2004. Exp. 12.342. C.P. Ramiro Saavedra Becerra. </w:t>
      </w:r>
    </w:p>
  </w:footnote>
  <w:footnote w:id="16">
    <w:p w14:paraId="0FE1EE9D" w14:textId="77777777" w:rsidR="00B5328B" w:rsidRPr="00940D18" w:rsidRDefault="00B5328B" w:rsidP="00B5328B">
      <w:pPr>
        <w:pStyle w:val="Textonotapie"/>
        <w:ind w:firstLine="708"/>
        <w:contextualSpacing/>
        <w:jc w:val="both"/>
        <w:rPr>
          <w:rFonts w:ascii="Verdana" w:hAnsi="Verdana" w:cs="Arial"/>
          <w:sz w:val="16"/>
          <w:szCs w:val="16"/>
          <w:lang w:val="es-CO"/>
        </w:rPr>
      </w:pPr>
      <w:r w:rsidRPr="00940D18">
        <w:rPr>
          <w:rStyle w:val="Refdenotaalpie"/>
          <w:rFonts w:ascii="Verdana" w:hAnsi="Verdana" w:cs="Arial"/>
          <w:sz w:val="16"/>
          <w:szCs w:val="16"/>
        </w:rPr>
        <w:footnoteRef/>
      </w:r>
      <w:r w:rsidRPr="00940D18">
        <w:rPr>
          <w:rFonts w:ascii="Verdana" w:hAnsi="Verdana" w:cs="Arial"/>
          <w:sz w:val="16"/>
          <w:szCs w:val="16"/>
        </w:rPr>
        <w:t xml:space="preserve"> En lo pertinente, la norma dispone que </w:t>
      </w:r>
      <w:bookmarkStart w:id="3" w:name="_Hlk98942284"/>
      <w:r w:rsidRPr="00940D18">
        <w:rPr>
          <w:rFonts w:ascii="Verdana" w:hAnsi="Verdana" w:cs="Arial"/>
          <w:sz w:val="16"/>
          <w:szCs w:val="16"/>
        </w:rPr>
        <w:t>“</w:t>
      </w:r>
      <w:r w:rsidRPr="00940D18">
        <w:rPr>
          <w:rFonts w:ascii="Verdana" w:hAnsi="Verdana" w:cs="Arial"/>
          <w:sz w:val="16"/>
          <w:szCs w:val="16"/>
          <w:lang w:val="es-CO"/>
        </w:rPr>
        <w:t>Las entidades estatales enviarán mensualmente a la Cámara de Comercio de su domicilio, la información concerniente a los contratos, su cuantía, cumplimiento, multas y sanciones relacionadas con los contratos que hayan sido adjudicados, los que se encuentren en ejecución y los ejecutados</w:t>
      </w:r>
      <w:bookmarkEnd w:id="3"/>
      <w:r w:rsidRPr="00940D18">
        <w:rPr>
          <w:rFonts w:ascii="Verdana" w:hAnsi="Verdana" w:cs="Arial"/>
          <w:sz w:val="16"/>
          <w:szCs w:val="16"/>
          <w:lang w:val="es-CO"/>
        </w:rPr>
        <w:t>.</w:t>
      </w:r>
    </w:p>
    <w:p w14:paraId="698BA545" w14:textId="77777777" w:rsidR="00B5328B" w:rsidRPr="00940D18" w:rsidRDefault="00B5328B" w:rsidP="00B5328B">
      <w:pPr>
        <w:pStyle w:val="Textonotapie"/>
        <w:ind w:firstLine="708"/>
        <w:contextualSpacing/>
        <w:jc w:val="both"/>
        <w:rPr>
          <w:rFonts w:ascii="Verdana" w:hAnsi="Verdana" w:cs="Arial"/>
          <w:sz w:val="16"/>
          <w:szCs w:val="16"/>
          <w:lang w:val="es-CO"/>
        </w:rPr>
      </w:pPr>
      <w:r w:rsidRPr="00940D18">
        <w:rPr>
          <w:rFonts w:ascii="Verdana" w:hAnsi="Verdana" w:cs="Arial"/>
          <w:sz w:val="16"/>
          <w:szCs w:val="16"/>
          <w:lang w:val="es-CO"/>
        </w:rPr>
        <w:t>Las condiciones de remisión de la información y los plazos de permanencia de la misma en el registro serán señalados por el Gobierno Nacional.</w:t>
      </w:r>
    </w:p>
    <w:p w14:paraId="2D5036A9" w14:textId="77777777" w:rsidR="00B5328B" w:rsidRPr="00940D18" w:rsidRDefault="00B5328B" w:rsidP="00B5328B">
      <w:pPr>
        <w:pStyle w:val="Textonotapie"/>
        <w:ind w:firstLine="708"/>
        <w:contextualSpacing/>
        <w:jc w:val="both"/>
        <w:rPr>
          <w:rFonts w:ascii="Verdana" w:hAnsi="Verdana" w:cs="Arial"/>
          <w:sz w:val="16"/>
          <w:szCs w:val="16"/>
          <w:lang w:val="es-CO"/>
        </w:rPr>
      </w:pPr>
      <w:r w:rsidRPr="00940D18">
        <w:rPr>
          <w:rFonts w:ascii="Verdana" w:hAnsi="Verdana" w:cs="Arial"/>
          <w:sz w:val="16"/>
          <w:szCs w:val="16"/>
          <w:lang w:val="es-CO"/>
        </w:rPr>
        <w:t>El servidor público encargado de remitir la información, que incumpla esta obligación incurrirá en causal de mala conducta”.</w:t>
      </w:r>
    </w:p>
  </w:footnote>
  <w:footnote w:id="17">
    <w:p w14:paraId="794DCF20" w14:textId="77777777" w:rsidR="00B5328B" w:rsidRPr="00940D18" w:rsidRDefault="00B5328B" w:rsidP="00B5328B">
      <w:pPr>
        <w:pStyle w:val="Textonotapie"/>
        <w:ind w:firstLine="708"/>
        <w:contextualSpacing/>
        <w:jc w:val="both"/>
        <w:rPr>
          <w:rFonts w:ascii="Verdana" w:hAnsi="Verdana" w:cs="Arial"/>
          <w:sz w:val="16"/>
          <w:szCs w:val="16"/>
        </w:rPr>
      </w:pPr>
      <w:r w:rsidRPr="00940D18">
        <w:rPr>
          <w:rStyle w:val="Refdenotaalpie"/>
          <w:rFonts w:ascii="Verdana" w:hAnsi="Verdana" w:cs="Arial"/>
          <w:sz w:val="16"/>
          <w:szCs w:val="16"/>
        </w:rPr>
        <w:footnoteRef/>
      </w:r>
      <w:r w:rsidRPr="00940D18">
        <w:rPr>
          <w:rFonts w:ascii="Verdana" w:hAnsi="Verdana" w:cs="Arial"/>
          <w:sz w:val="16"/>
          <w:szCs w:val="16"/>
        </w:rPr>
        <w:t xml:space="preserve">  Ley 80 de 1993: “Artículo 31. De la publicación de los actos y sentencias sancionatorias. &lt;Artículo modificado por el artículo </w:t>
      </w:r>
      <w:hyperlink r:id="rId2" w:anchor="218" w:history="1">
        <w:r w:rsidRPr="00940D18">
          <w:rPr>
            <w:rFonts w:ascii="Verdana" w:hAnsi="Verdana" w:cs="Arial"/>
            <w:sz w:val="16"/>
            <w:szCs w:val="16"/>
          </w:rPr>
          <w:t>218</w:t>
        </w:r>
      </w:hyperlink>
      <w:r w:rsidRPr="00940D18">
        <w:rPr>
          <w:rFonts w:ascii="Verdana" w:hAnsi="Verdana" w:cs="Arial"/>
          <w:sz w:val="16"/>
          <w:szCs w:val="16"/>
        </w:rPr>
        <w:t> del Decreto 19 de 2012. El nuevo texto es el siguiente:&gt; La parte resolutiva de los actos que declaren Ia caducidad, impongan multas, sanciones o declaren el incumplimiento, una vez ejecutoriados, se publicarán en el SECOP y se comunicarán a Ia cámara de comercio en que se encuentre inscrito el contratista respectivo. También se comunicarán a Ia Procuraduría General de Ia Nación”.</w:t>
      </w:r>
    </w:p>
  </w:footnote>
  <w:footnote w:id="18">
    <w:p w14:paraId="391007BF" w14:textId="77777777" w:rsidR="00B5328B" w:rsidRPr="00940D18" w:rsidRDefault="00B5328B" w:rsidP="00B5328B">
      <w:pPr>
        <w:pStyle w:val="Textonotapie"/>
        <w:ind w:firstLine="709"/>
        <w:contextualSpacing/>
        <w:jc w:val="both"/>
        <w:rPr>
          <w:rFonts w:ascii="Verdana" w:hAnsi="Verdana" w:cs="Arial"/>
          <w:sz w:val="16"/>
          <w:szCs w:val="16"/>
          <w:lang w:val="es-CO"/>
        </w:rPr>
      </w:pPr>
      <w:r w:rsidRPr="00940D18">
        <w:rPr>
          <w:rStyle w:val="Refdenotaalpie"/>
          <w:rFonts w:ascii="Verdana" w:hAnsi="Verdana" w:cs="Arial"/>
          <w:sz w:val="16"/>
          <w:szCs w:val="16"/>
        </w:rPr>
        <w:footnoteRef/>
      </w:r>
      <w:r w:rsidRPr="00940D18">
        <w:rPr>
          <w:rFonts w:ascii="Verdana" w:hAnsi="Verdana" w:cs="Arial"/>
          <w:sz w:val="16"/>
          <w:szCs w:val="16"/>
        </w:rPr>
        <w:t xml:space="preserve"> Ley 80 de 1993: “Artículo 23. De los principios en las actuaciones contractuales de las entidades estatales.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372E4"/>
    <w:rsid w:val="0015699B"/>
    <w:rsid w:val="001A33BF"/>
    <w:rsid w:val="001C7C09"/>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C5E46"/>
    <w:rsid w:val="003D0F4D"/>
    <w:rsid w:val="003D3AB2"/>
    <w:rsid w:val="003D5B0D"/>
    <w:rsid w:val="003E0499"/>
    <w:rsid w:val="003E4F80"/>
    <w:rsid w:val="003E6439"/>
    <w:rsid w:val="003F3941"/>
    <w:rsid w:val="00404929"/>
    <w:rsid w:val="00406575"/>
    <w:rsid w:val="00414C74"/>
    <w:rsid w:val="0042722E"/>
    <w:rsid w:val="0044528D"/>
    <w:rsid w:val="00466E39"/>
    <w:rsid w:val="004A1847"/>
    <w:rsid w:val="004A305D"/>
    <w:rsid w:val="004F21C4"/>
    <w:rsid w:val="004F685F"/>
    <w:rsid w:val="005566E8"/>
    <w:rsid w:val="00574867"/>
    <w:rsid w:val="005810A4"/>
    <w:rsid w:val="00591460"/>
    <w:rsid w:val="005A4FE7"/>
    <w:rsid w:val="005A65E0"/>
    <w:rsid w:val="005B08B6"/>
    <w:rsid w:val="005C3777"/>
    <w:rsid w:val="005C5CDC"/>
    <w:rsid w:val="005D476C"/>
    <w:rsid w:val="00612362"/>
    <w:rsid w:val="00612A21"/>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56E4"/>
    <w:rsid w:val="00A122D3"/>
    <w:rsid w:val="00A14468"/>
    <w:rsid w:val="00A17F13"/>
    <w:rsid w:val="00A20739"/>
    <w:rsid w:val="00A23AF9"/>
    <w:rsid w:val="00A33C78"/>
    <w:rsid w:val="00AB0ADB"/>
    <w:rsid w:val="00B00C0E"/>
    <w:rsid w:val="00B01B1A"/>
    <w:rsid w:val="00B0381D"/>
    <w:rsid w:val="00B44A47"/>
    <w:rsid w:val="00B5328B"/>
    <w:rsid w:val="00B64368"/>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D31C9"/>
    <w:rsid w:val="00D361FD"/>
    <w:rsid w:val="00D423A2"/>
    <w:rsid w:val="00D44E26"/>
    <w:rsid w:val="00D520D8"/>
    <w:rsid w:val="00D6006F"/>
    <w:rsid w:val="00D63AC2"/>
    <w:rsid w:val="00D7383B"/>
    <w:rsid w:val="00D7788A"/>
    <w:rsid w:val="00DA231B"/>
    <w:rsid w:val="00DC39FC"/>
    <w:rsid w:val="00DF5254"/>
    <w:rsid w:val="00E02524"/>
    <w:rsid w:val="00E16408"/>
    <w:rsid w:val="00E20894"/>
    <w:rsid w:val="00E245AB"/>
    <w:rsid w:val="00E2764C"/>
    <w:rsid w:val="00E27F2E"/>
    <w:rsid w:val="00E50AFE"/>
    <w:rsid w:val="00E6422D"/>
    <w:rsid w:val="00E75C92"/>
    <w:rsid w:val="00E771DC"/>
    <w:rsid w:val="00E8772A"/>
    <w:rsid w:val="00E90F6B"/>
    <w:rsid w:val="00E92C27"/>
    <w:rsid w:val="00EA0E3D"/>
    <w:rsid w:val="00EC38A7"/>
    <w:rsid w:val="00EE1AA8"/>
    <w:rsid w:val="00F23FEA"/>
    <w:rsid w:val="00F31EDC"/>
    <w:rsid w:val="00F329BD"/>
    <w:rsid w:val="00F462B3"/>
    <w:rsid w:val="00F5664F"/>
    <w:rsid w:val="00F65EEB"/>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5328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5328B"/>
    <w:rPr>
      <w:rFonts w:ascii="Geomanist Light" w:hAnsi="Geomanist Light"/>
      <w:lang w:val="es-ES"/>
    </w:rPr>
  </w:style>
  <w:style w:type="character" w:customStyle="1" w:styleId="s15">
    <w:name w:val="s15"/>
    <w:basedOn w:val="Fuentedeprrafopredeter"/>
    <w:rsid w:val="00B532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wp-content/uploads/2026/05/CIRCULAR-EXTERNA-002-DE-2026.pdf"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webSettings" Target="webSettings.xml"/><Relationship Id="rId12" Type="http://schemas.openxmlformats.org/officeDocument/2006/relationships/hyperlink" Target="https://www.colombiacompra.gov.co/wp-content/uploads/2025/09/Guia-para-la-gestion-contractual-de-Entidades-Estatales-con-Regimen-Especial-VF-2-1.pdf"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lizabeth.castrillon@edu.gov.co"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colombiacompra.gov.co/pqrsd/informacion-importante-antes-de-formular-una-pqrs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www.secretariasenado.gov.co/senado/basedoc/decreto_0019_2012_pr004.html" TargetMode="External"/><Relationship Id="rId1" Type="http://schemas.openxmlformats.org/officeDocument/2006/relationships/hyperlink" Target="https://recyt.fecyt.es/index.php/RAP/article/view/6703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51D64A8-8A90-48C1-99C9-31148877CA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26</Pages>
  <Words>8655</Words>
  <Characters>47607</Characters>
  <Application>Microsoft Office Word</Application>
  <DocSecurity>0</DocSecurity>
  <Lines>396</Lines>
  <Paragraphs>112</Paragraphs>
  <ScaleCrop>false</ScaleCrop>
  <Company/>
  <LinksUpToDate>false</LinksUpToDate>
  <CharactersWithSpaces>56150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2026-06-11T03:49:00Z</dcterms:created>
  <dcterms:modified xsi:type="dcterms:W3CDTF">2026-06-30T15:16:00Z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