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C70E8B" w14:textId="77777777" w:rsidR="00100B2C" w:rsidRDefault="00100B2C" w:rsidP="00100B2C">
      <w:pPr>
        <w:spacing w:after="0" w:line="240" w:lineRule="auto"/>
        <w:contextualSpacing/>
        <w:jc w:val="both"/>
        <w:rPr>
          <w:rFonts w:ascii="Verdana" w:eastAsia="Calibri" w:hAnsi="Verdana" w:cs="Arial"/>
          <w:b/>
          <w:bCs/>
          <w:lang w:val="es-ES" w:eastAsia="es-ES"/>
        </w:rPr>
      </w:pPr>
      <w:bookmarkStart w:id="0" w:name="_Hlk143780582"/>
      <w:r w:rsidRPr="001D76D7">
        <w:rPr>
          <w:rFonts w:ascii="Verdana" w:eastAsia="Calibri" w:hAnsi="Verdana" w:cs="Arial"/>
          <w:b/>
          <w:bCs/>
          <w:lang w:val="es-ES" w:eastAsia="es-ES"/>
        </w:rPr>
        <w:t>REQUISITOS HABILITANTES – Noción</w:t>
      </w:r>
    </w:p>
    <w:p w14:paraId="56859A86" w14:textId="77777777" w:rsidR="00100B2C" w:rsidRDefault="00100B2C" w:rsidP="00100B2C">
      <w:pPr>
        <w:spacing w:after="0" w:line="240" w:lineRule="auto"/>
        <w:contextualSpacing/>
        <w:jc w:val="both"/>
        <w:rPr>
          <w:rFonts w:ascii="Verdana" w:eastAsia="Calibri" w:hAnsi="Verdana" w:cs="Arial"/>
          <w:b/>
          <w:bCs/>
          <w:lang w:val="es-ES" w:eastAsia="es-ES"/>
        </w:rPr>
      </w:pPr>
    </w:p>
    <w:p w14:paraId="5E85F114" w14:textId="77777777" w:rsidR="00100B2C" w:rsidRDefault="00100B2C" w:rsidP="00100B2C">
      <w:pPr>
        <w:spacing w:after="0" w:line="240" w:lineRule="auto"/>
        <w:jc w:val="both"/>
        <w:rPr>
          <w:rFonts w:ascii="Verdana" w:eastAsia="Calibri" w:hAnsi="Verdana" w:cs="Arial"/>
          <w:color w:val="000000" w:themeColor="text1"/>
          <w:sz w:val="20"/>
          <w:szCs w:val="20"/>
          <w:lang w:val="es-ES"/>
        </w:rPr>
      </w:pPr>
      <w:r w:rsidRPr="00633F76">
        <w:rPr>
          <w:rFonts w:ascii="Verdana" w:eastAsia="Calibri" w:hAnsi="Verdana" w:cs="Arial"/>
          <w:color w:val="000000" w:themeColor="text1"/>
          <w:sz w:val="20"/>
          <w:szCs w:val="20"/>
          <w:lang w:val="es-ES"/>
        </w:rPr>
        <w:t xml:space="preserve">Los </w:t>
      </w:r>
      <w:r w:rsidRPr="00633F76">
        <w:rPr>
          <w:rFonts w:ascii="Verdana" w:eastAsia="Calibri" w:hAnsi="Verdana" w:cs="Arial"/>
          <w:i/>
          <w:iCs/>
          <w:color w:val="000000" w:themeColor="text1"/>
          <w:sz w:val="20"/>
          <w:szCs w:val="20"/>
          <w:lang w:val="es-ES"/>
        </w:rPr>
        <w:t>requisitos habilitantes</w:t>
      </w:r>
      <w:r w:rsidRPr="00633F76">
        <w:rPr>
          <w:rFonts w:ascii="Verdana" w:eastAsia="Calibri" w:hAnsi="Verdana" w:cs="Arial"/>
          <w:color w:val="000000" w:themeColor="text1"/>
          <w:sz w:val="20"/>
          <w:szCs w:val="20"/>
          <w:lang w:val="es-ES"/>
        </w:rPr>
        <w:t xml:space="preserve"> se definen como exigencias de participación en los procedimientos de selección, establecidas en disposiciones normativas, de carácter legal o reglamentario, o contenidas en el acto administrativo que regula las reglas de la convocatoria, es decir, en el pliego de condiciones o su documento equivalente. Se diferencian de los </w:t>
      </w:r>
      <w:r w:rsidRPr="00633F76">
        <w:rPr>
          <w:rFonts w:ascii="Verdana" w:eastAsia="Calibri" w:hAnsi="Verdana" w:cs="Arial"/>
          <w:i/>
          <w:iCs/>
          <w:color w:val="000000" w:themeColor="text1"/>
          <w:sz w:val="20"/>
          <w:szCs w:val="20"/>
          <w:lang w:val="es-ES"/>
        </w:rPr>
        <w:t>criterios de evaluación</w:t>
      </w:r>
      <w:r w:rsidRPr="00633F76">
        <w:rPr>
          <w:rFonts w:ascii="Verdana" w:eastAsia="Calibri" w:hAnsi="Verdana" w:cs="Arial"/>
          <w:color w:val="000000" w:themeColor="text1"/>
          <w:sz w:val="20"/>
          <w:szCs w:val="20"/>
          <w:lang w:val="es-ES"/>
        </w:rPr>
        <w:t xml:space="preserve"> –también conocidos como </w:t>
      </w:r>
      <w:r w:rsidRPr="00633F76">
        <w:rPr>
          <w:rFonts w:ascii="Verdana" w:eastAsia="Calibri" w:hAnsi="Verdana" w:cs="Arial"/>
          <w:i/>
          <w:iCs/>
          <w:color w:val="000000" w:themeColor="text1"/>
          <w:sz w:val="20"/>
          <w:szCs w:val="20"/>
          <w:lang w:val="es-ES"/>
        </w:rPr>
        <w:t>criterios de calificación</w:t>
      </w:r>
      <w:r w:rsidRPr="00633F76">
        <w:rPr>
          <w:rFonts w:ascii="Verdana" w:eastAsia="Calibri" w:hAnsi="Verdana" w:cs="Arial"/>
          <w:color w:val="000000" w:themeColor="text1"/>
          <w:sz w:val="20"/>
          <w:szCs w:val="20"/>
          <w:lang w:val="es-ES"/>
        </w:rPr>
        <w:t xml:space="preserve">– en que estos son los factores que la Entidad Estatal define para la asignación de puntaje en la comparación de las ofertas y cuya ponderación permite establecer el orden de elegibilidad y, por ende, la propuesta ganadora. </w:t>
      </w:r>
    </w:p>
    <w:p w14:paraId="537E6368" w14:textId="77777777" w:rsidR="00100B2C" w:rsidRPr="00633F76" w:rsidRDefault="00100B2C" w:rsidP="00100B2C">
      <w:pPr>
        <w:spacing w:after="0" w:line="240" w:lineRule="auto"/>
        <w:jc w:val="both"/>
        <w:rPr>
          <w:rFonts w:ascii="Verdana" w:eastAsia="Calibri" w:hAnsi="Verdana" w:cs="Arial"/>
          <w:color w:val="000000" w:themeColor="text1"/>
          <w:sz w:val="20"/>
          <w:szCs w:val="20"/>
          <w:lang w:val="es-ES"/>
        </w:rPr>
      </w:pPr>
    </w:p>
    <w:p w14:paraId="32B87023" w14:textId="77777777" w:rsidR="00100B2C" w:rsidRPr="00633F76" w:rsidRDefault="00100B2C" w:rsidP="00100B2C">
      <w:pPr>
        <w:spacing w:after="0" w:line="240" w:lineRule="auto"/>
        <w:jc w:val="both"/>
        <w:rPr>
          <w:rFonts w:ascii="Verdana" w:eastAsia="Calibri" w:hAnsi="Verdana" w:cs="Arial"/>
          <w:color w:val="000000" w:themeColor="text1"/>
          <w:sz w:val="20"/>
          <w:szCs w:val="20"/>
          <w:lang w:val="es-ES"/>
        </w:rPr>
      </w:pPr>
      <w:r w:rsidRPr="00633F76">
        <w:rPr>
          <w:rFonts w:ascii="Verdana" w:eastAsia="Calibri" w:hAnsi="Verdana" w:cs="Arial"/>
          <w:color w:val="000000" w:themeColor="text1"/>
          <w:sz w:val="20"/>
          <w:szCs w:val="20"/>
          <w:lang w:val="es-ES"/>
        </w:rPr>
        <w:t>En efecto, los requisitos habilitantes constituyen obligaciones que los proponentes deben cumplir y acreditar para participar en el procedimiento de selección, por lo que no son objeto de evaluación a través de la asignación de un puntaje que determine el orden de escogencia. En contraste, los requisitos habilitantes constituyen criterios previos a la evaluación, de manera que quienes no los acrediten no pueden continuar en el procedimiento de selección. Esto sin perjuicio del derecho que tienen los oferentes de subsanar los defectos que presenten en la prueba de tales requisitos, de conformidad con el artículo 5, parágrafos 1º al 4º, de la Ley 1150 de 2007.</w:t>
      </w:r>
    </w:p>
    <w:p w14:paraId="68B2C302" w14:textId="77777777" w:rsidR="00100B2C" w:rsidRPr="001D76D7" w:rsidRDefault="00100B2C" w:rsidP="00100B2C">
      <w:pPr>
        <w:spacing w:after="0" w:line="240" w:lineRule="auto"/>
        <w:contextualSpacing/>
        <w:jc w:val="both"/>
        <w:rPr>
          <w:rFonts w:ascii="Verdana" w:eastAsia="Calibri" w:hAnsi="Verdana" w:cs="Arial"/>
          <w:b/>
          <w:bCs/>
          <w:lang w:val="es-ES" w:eastAsia="es-ES"/>
        </w:rPr>
      </w:pPr>
    </w:p>
    <w:p w14:paraId="2CF00AD4" w14:textId="77777777" w:rsidR="00100B2C" w:rsidRDefault="00100B2C" w:rsidP="00100B2C">
      <w:pPr>
        <w:spacing w:after="0" w:line="240" w:lineRule="auto"/>
        <w:contextualSpacing/>
        <w:jc w:val="both"/>
        <w:rPr>
          <w:rFonts w:ascii="Verdana" w:eastAsia="Calibri" w:hAnsi="Verdana" w:cs="Arial"/>
          <w:b/>
          <w:bCs/>
          <w:lang w:val="es-ES" w:eastAsia="es-ES"/>
        </w:rPr>
      </w:pPr>
      <w:r w:rsidRPr="001D76D7">
        <w:rPr>
          <w:rFonts w:ascii="Verdana" w:eastAsia="Calibri" w:hAnsi="Verdana" w:cs="Arial"/>
          <w:b/>
          <w:bCs/>
          <w:lang w:val="es-ES" w:eastAsia="es-ES"/>
        </w:rPr>
        <w:t>REQUISITOS HABILITANTES – Carácter enunciativo</w:t>
      </w:r>
    </w:p>
    <w:p w14:paraId="0FDC3E76" w14:textId="77777777" w:rsidR="00100B2C" w:rsidRDefault="00100B2C" w:rsidP="00100B2C">
      <w:pPr>
        <w:spacing w:after="0" w:line="240" w:lineRule="auto"/>
        <w:contextualSpacing/>
        <w:jc w:val="both"/>
        <w:rPr>
          <w:rFonts w:ascii="Verdana" w:eastAsia="Calibri" w:hAnsi="Verdana" w:cs="Arial"/>
          <w:b/>
          <w:bCs/>
          <w:lang w:val="es-ES" w:eastAsia="es-ES"/>
        </w:rPr>
      </w:pPr>
    </w:p>
    <w:p w14:paraId="0F54E75F" w14:textId="77777777" w:rsidR="00100B2C" w:rsidRPr="00633F76" w:rsidRDefault="00100B2C" w:rsidP="00100B2C">
      <w:pPr>
        <w:spacing w:after="0" w:line="240" w:lineRule="auto"/>
        <w:contextualSpacing/>
        <w:jc w:val="both"/>
        <w:rPr>
          <w:rFonts w:ascii="Verdana" w:eastAsia="Calibri" w:hAnsi="Verdana" w:cs="Arial"/>
          <w:color w:val="000000" w:themeColor="text1"/>
          <w:sz w:val="20"/>
          <w:szCs w:val="20"/>
          <w:lang w:val="es-ES"/>
        </w:rPr>
      </w:pPr>
      <w:r w:rsidRPr="00633F76">
        <w:rPr>
          <w:rFonts w:ascii="Verdana" w:eastAsia="Calibri" w:hAnsi="Verdana" w:cs="Arial"/>
          <w:color w:val="000000" w:themeColor="text1"/>
          <w:sz w:val="20"/>
          <w:szCs w:val="20"/>
          <w:lang w:val="es-ES"/>
        </w:rPr>
        <w:t xml:space="preserve">Conforme lo ha sostenido esta Agencia en distintos conceptos, los requisitos habilitantes establecidos en el artículo 5, numeral 1, de la Ley 1150 de 2007 son de carácter </w:t>
      </w:r>
      <w:r w:rsidRPr="00633F76">
        <w:rPr>
          <w:rFonts w:ascii="Verdana" w:eastAsia="Calibri" w:hAnsi="Verdana" w:cs="Arial"/>
          <w:i/>
          <w:iCs/>
          <w:color w:val="000000" w:themeColor="text1"/>
          <w:sz w:val="20"/>
          <w:szCs w:val="20"/>
          <w:lang w:val="es-ES"/>
        </w:rPr>
        <w:t xml:space="preserve">enunciativo </w:t>
      </w:r>
      <w:r w:rsidRPr="00633F76">
        <w:rPr>
          <w:rFonts w:ascii="Verdana" w:eastAsia="Calibri" w:hAnsi="Verdana" w:cs="Arial"/>
          <w:color w:val="000000" w:themeColor="text1"/>
          <w:sz w:val="20"/>
          <w:szCs w:val="20"/>
          <w:lang w:val="es-ES"/>
        </w:rPr>
        <w:t>y no taxativo. Esta interpretación legal se resume en los siguientes argumentos: por un lado, esta norma no contiene una expresión como “únicamente” o “solo” al referirse a los requisitos habilitantes, sino que se refiere de forma taxativa a que el listado puede comprender los requisitos enunciados “entre otros”; por otra parte, una lectura integral de las normas que regulan la contratación estatal permite concluir que existen otras condiciones que los proponentes deben cumplir para la contratación con una Entidad Estatal, como es el caso de la capacidad residual a la que se refiere el artículo 6º de la Ley 1150 de 2007.</w:t>
      </w:r>
    </w:p>
    <w:p w14:paraId="473CEB52" w14:textId="77777777" w:rsidR="00100B2C" w:rsidRPr="001D76D7" w:rsidRDefault="00100B2C" w:rsidP="00100B2C">
      <w:pPr>
        <w:spacing w:after="0" w:line="240" w:lineRule="auto"/>
        <w:contextualSpacing/>
        <w:jc w:val="both"/>
        <w:rPr>
          <w:rFonts w:ascii="Verdana" w:eastAsia="Calibri" w:hAnsi="Verdana" w:cs="Arial"/>
          <w:b/>
          <w:bCs/>
          <w:lang w:val="es-ES" w:eastAsia="es-ES"/>
        </w:rPr>
      </w:pPr>
    </w:p>
    <w:p w14:paraId="071C9165" w14:textId="77777777" w:rsidR="00100B2C" w:rsidRDefault="00100B2C" w:rsidP="00100B2C">
      <w:pPr>
        <w:spacing w:after="0" w:line="240" w:lineRule="auto"/>
        <w:contextualSpacing/>
        <w:jc w:val="both"/>
        <w:rPr>
          <w:rFonts w:ascii="Verdana" w:eastAsia="Calibri" w:hAnsi="Verdana" w:cs="Arial"/>
          <w:b/>
          <w:bCs/>
          <w:lang w:val="es-ES" w:eastAsia="es-ES"/>
        </w:rPr>
      </w:pPr>
      <w:r w:rsidRPr="001D76D7">
        <w:rPr>
          <w:rFonts w:ascii="Verdana" w:eastAsia="Calibri" w:hAnsi="Verdana" w:cs="Arial"/>
          <w:b/>
          <w:bCs/>
          <w:lang w:val="es-ES" w:eastAsia="es-ES"/>
        </w:rPr>
        <w:t>REQUISITOS HABILITANTES – Autonomía de la voluntad de las entidades estatales para establecerlos</w:t>
      </w:r>
    </w:p>
    <w:p w14:paraId="6E0272AE" w14:textId="77777777" w:rsidR="00100B2C" w:rsidRDefault="00100B2C" w:rsidP="00100B2C">
      <w:pPr>
        <w:spacing w:after="0" w:line="240" w:lineRule="auto"/>
        <w:contextualSpacing/>
        <w:jc w:val="both"/>
        <w:rPr>
          <w:rFonts w:ascii="Verdana" w:eastAsia="Calibri" w:hAnsi="Verdana" w:cs="Arial"/>
          <w:b/>
          <w:bCs/>
          <w:lang w:val="es-ES" w:eastAsia="es-ES"/>
        </w:rPr>
      </w:pPr>
    </w:p>
    <w:p w14:paraId="6EF676BE" w14:textId="77777777" w:rsidR="00100B2C" w:rsidRPr="00633F76" w:rsidRDefault="00100B2C" w:rsidP="00100B2C">
      <w:pPr>
        <w:widowControl w:val="0"/>
        <w:autoSpaceDE w:val="0"/>
        <w:autoSpaceDN w:val="0"/>
        <w:spacing w:after="0" w:line="240" w:lineRule="auto"/>
        <w:jc w:val="both"/>
        <w:rPr>
          <w:rFonts w:ascii="Verdana" w:eastAsia="Calibri" w:hAnsi="Verdana" w:cs="Arial"/>
          <w:color w:val="000000" w:themeColor="text1"/>
          <w:sz w:val="20"/>
          <w:szCs w:val="20"/>
          <w:lang w:val="es-ES"/>
        </w:rPr>
      </w:pPr>
      <w:r w:rsidRPr="00633F76">
        <w:rPr>
          <w:rFonts w:ascii="Verdana" w:eastAsia="Calibri" w:hAnsi="Verdana" w:cs="Arial"/>
          <w:color w:val="000000" w:themeColor="text1"/>
          <w:sz w:val="20"/>
          <w:szCs w:val="20"/>
          <w:lang w:val="es-ES"/>
        </w:rPr>
        <w:t xml:space="preserve">En consecuencia, corresponde a las entidades estatales, durante la etapa de planeación del contrato estatal, estudiar y determinar los requisitos habilitantes que establecerán en los pliegos de condiciones, los cuales deben fijarse de forma adecuada y proporcional. Según el artículo 2.2.1.1.1.6.2 del Decreto 1082 de 2015, las entidades deben hacer lo anterior de acuerdo con la naturaleza, el valor del contrato, la forma de pago, los riesgos asociados al contrato, el plazo y la complejidad de ejecución del objeto. De esta manera, la facultad de establecer los requisitos habilitantes no puede ejercerse de forma arbitraria, caprichosa, ni con el ánimo de direccionar el proceso de contratación o favorecer (directa o indirectamente) a alguno de los proponentes. Tampoco pueden </w:t>
      </w:r>
      <w:r w:rsidRPr="00633F76">
        <w:rPr>
          <w:rFonts w:ascii="Verdana" w:eastAsia="Calibri" w:hAnsi="Verdana" w:cs="Arial"/>
          <w:color w:val="000000" w:themeColor="text1"/>
          <w:sz w:val="20"/>
          <w:szCs w:val="20"/>
          <w:lang w:val="es-ES"/>
        </w:rPr>
        <w:lastRenderedPageBreak/>
        <w:t xml:space="preserve">ejercer esta facultad desconociendo límites legales, como, por ejemplo, el que estable el parágrafo 2 del artículo 5 de la Ley 1150 de 2007 sobre la prohibición de exigir certificaciones de sistemas de gestión de calidad como requisito habilitante. </w:t>
      </w:r>
    </w:p>
    <w:p w14:paraId="003648D8" w14:textId="77777777" w:rsidR="00100B2C" w:rsidRDefault="00100B2C" w:rsidP="00100B2C">
      <w:pPr>
        <w:contextualSpacing/>
        <w:jc w:val="both"/>
        <w:rPr>
          <w:rFonts w:ascii="Verdana" w:eastAsia="Calibri" w:hAnsi="Verdana" w:cs="Arial"/>
          <w:b/>
          <w:bCs/>
          <w:lang w:val="es-ES" w:eastAsia="es-ES"/>
        </w:rPr>
      </w:pPr>
    </w:p>
    <w:p w14:paraId="3D9536A6" w14:textId="77777777" w:rsidR="00100B2C" w:rsidRPr="001D76D7" w:rsidRDefault="00100B2C" w:rsidP="00100B2C">
      <w:pPr>
        <w:spacing w:after="0" w:line="240" w:lineRule="auto"/>
        <w:contextualSpacing/>
        <w:jc w:val="both"/>
        <w:rPr>
          <w:rFonts w:ascii="Verdana" w:eastAsia="Calibri" w:hAnsi="Verdana" w:cs="Arial"/>
          <w:b/>
          <w:bCs/>
          <w:lang w:val="es-ES" w:eastAsia="es-ES"/>
        </w:rPr>
      </w:pPr>
      <w:r w:rsidRPr="001D76D7">
        <w:rPr>
          <w:rFonts w:ascii="Verdana" w:eastAsia="Calibri" w:hAnsi="Verdana" w:cs="Arial"/>
          <w:b/>
          <w:bCs/>
          <w:lang w:val="es-ES" w:eastAsia="es-ES"/>
        </w:rPr>
        <w:t>SISTEMA DE GESTIÓN DE SEGURIDAD Y SALUD EN EL TRABAJO SG-SST - Contratos Estatales – Requisitos habilitantes o puntuables</w:t>
      </w:r>
    </w:p>
    <w:p w14:paraId="205E5048" w14:textId="77777777" w:rsidR="00100B2C" w:rsidRDefault="00100B2C" w:rsidP="00100B2C">
      <w:pPr>
        <w:spacing w:after="0" w:line="240" w:lineRule="auto"/>
        <w:jc w:val="both"/>
        <w:rPr>
          <w:rFonts w:ascii="Verdana" w:hAnsi="Verdana"/>
          <w:lang w:val="es-ES"/>
        </w:rPr>
      </w:pPr>
    </w:p>
    <w:p w14:paraId="5D3A9114" w14:textId="77777777" w:rsidR="00100B2C" w:rsidRPr="00633F76" w:rsidRDefault="00100B2C" w:rsidP="00100B2C">
      <w:pPr>
        <w:spacing w:after="0" w:line="240" w:lineRule="auto"/>
        <w:jc w:val="both"/>
        <w:rPr>
          <w:rFonts w:ascii="Verdana" w:eastAsia="Calibri" w:hAnsi="Verdana" w:cs="Arial"/>
          <w:sz w:val="20"/>
          <w:szCs w:val="20"/>
          <w:lang w:val="es-ES"/>
        </w:rPr>
      </w:pPr>
      <w:r w:rsidRPr="00633F76">
        <w:rPr>
          <w:rFonts w:ascii="Verdana" w:eastAsia="Calibri" w:hAnsi="Verdana" w:cs="Arial"/>
          <w:sz w:val="20"/>
          <w:szCs w:val="20"/>
          <w:lang w:val="es-ES"/>
        </w:rPr>
        <w:t>Teniendo en cuenta la presunción de legalidad de la normativa que regula el SG-SST, la cual goza de plena aplicación en el ordenamiento jurídico, la prohibición del parágrafo 2° del artículo 5 de la Ley 1150 de 2007 no restringe la posibilidad que tienen las Entidades Estatales de incluir aspectos de seguridad y salud en el trabajo como requisitos habilitantes de los proponentes que les permitan conocer que cuentan con la implementación de los estándares mínimos del SG-SST,  siempre que esto no implique la exigencia de la presentación de una certificación de calidad, como lo es, por ejemplo, la certificación que otorga la ISO 9001, u otras similares. Sin embargo, es importante aclarar que estas certificaciones de calidad son diferentes a la certificación de acreditación en seguridad y salud en el trabajo que expide el Ministerio del Trabajo de manera gratuita a las a las empresas, entidades, empleadores y contratantes, de acuerdo con el artículo 22 de la Resolución 312 del 13 de febrero de 2019.</w:t>
      </w:r>
    </w:p>
    <w:p w14:paraId="2ADC8B93" w14:textId="77777777" w:rsidR="00100B2C" w:rsidRPr="00633F76" w:rsidRDefault="00100B2C" w:rsidP="00100B2C">
      <w:pPr>
        <w:spacing w:after="0" w:line="240" w:lineRule="auto"/>
        <w:jc w:val="both"/>
        <w:rPr>
          <w:rFonts w:ascii="Verdana" w:eastAsia="Calibri" w:hAnsi="Verdana" w:cs="Arial"/>
          <w:sz w:val="20"/>
          <w:szCs w:val="20"/>
          <w:lang w:val="es-ES"/>
        </w:rPr>
      </w:pPr>
    </w:p>
    <w:p w14:paraId="69E3620A" w14:textId="77777777" w:rsidR="00100B2C" w:rsidRPr="00633F76" w:rsidRDefault="00100B2C" w:rsidP="00100B2C">
      <w:pPr>
        <w:widowControl w:val="0"/>
        <w:autoSpaceDE w:val="0"/>
        <w:autoSpaceDN w:val="0"/>
        <w:spacing w:after="0" w:line="240" w:lineRule="auto"/>
        <w:jc w:val="both"/>
        <w:rPr>
          <w:rFonts w:ascii="Verdana" w:eastAsia="Calibri" w:hAnsi="Verdana" w:cs="Arial"/>
          <w:color w:val="000000" w:themeColor="text1"/>
          <w:sz w:val="20"/>
          <w:szCs w:val="20"/>
          <w:lang w:val="es-ES"/>
        </w:rPr>
      </w:pPr>
      <w:r w:rsidRPr="00633F76">
        <w:rPr>
          <w:rFonts w:ascii="Verdana" w:eastAsia="Calibri" w:hAnsi="Verdana" w:cs="Arial"/>
          <w:sz w:val="20"/>
          <w:szCs w:val="20"/>
          <w:lang w:val="es-ES"/>
        </w:rPr>
        <w:t xml:space="preserve">[…] Ahora bien, aunque la interpretación expuesta considera válida la inclusión de este tipo de criterios como requisitos habilitantes, es preciso señalar que su inclusión deberá estar precedida de las mismas exigencias que tiene cualquier otro requisito habilitante o de calificación, de manera que su incorporación no puede ser caprichosa ni arbitraria y </w:t>
      </w:r>
      <w:r w:rsidRPr="00633F76">
        <w:rPr>
          <w:rFonts w:ascii="Verdana" w:eastAsia="Calibri" w:hAnsi="Verdana" w:cs="Arial"/>
          <w:color w:val="000000" w:themeColor="text1"/>
          <w:sz w:val="20"/>
          <w:szCs w:val="20"/>
          <w:lang w:val="es-ES"/>
        </w:rPr>
        <w:t xml:space="preserve">la Entidad Estatal tiene la carga de justificar en los estudios previos y en el análisis del sector del proceso su procedencia, de conformidad con el artículo 2.2.1.1.1.6.2 del Decreto 1082 de 2015. </w:t>
      </w:r>
      <w:r w:rsidRPr="00633F76">
        <w:rPr>
          <w:rFonts w:ascii="Verdana" w:eastAsia="Arial" w:hAnsi="Verdana" w:cs="Arial"/>
          <w:bCs/>
          <w:sz w:val="20"/>
          <w:szCs w:val="20"/>
          <w:lang w:val="es-ES"/>
        </w:rPr>
        <w:t>Esto significa que las entidades no pueden establecer requisitos habilitantes relacionados con el SG-SST de forma mecánica en todos sus procesos de contratación, sino que deberán realizar un análisis integral de la necesidad identificada, el valor, plazo, el objeto contractual, obligaciones y demás condiciones específicas del proceso de selección en concreto para determinar si el requisito resulta adecuado y proporcional, así como la forma en que deberán incluirlo y exigir su acreditación.</w:t>
      </w:r>
    </w:p>
    <w:p w14:paraId="5334F917" w14:textId="77777777" w:rsidR="00100B2C" w:rsidRDefault="00100B2C" w:rsidP="00100B2C">
      <w:pPr>
        <w:spacing w:after="0"/>
        <w:rPr>
          <w:rFonts w:ascii="Verdana" w:hAnsi="Verdana"/>
          <w:lang w:val="es-ES"/>
        </w:rPr>
      </w:pPr>
    </w:p>
    <w:p w14:paraId="3244D0EE" w14:textId="77777777" w:rsidR="00100B2C" w:rsidRDefault="00100B2C" w:rsidP="00100B2C">
      <w:pPr>
        <w:spacing w:after="0"/>
        <w:rPr>
          <w:rFonts w:ascii="Verdana" w:hAnsi="Verdana"/>
          <w:lang w:val="es-ES"/>
        </w:rPr>
      </w:pPr>
    </w:p>
    <w:p w14:paraId="151011AE" w14:textId="77777777" w:rsidR="00100B2C" w:rsidRDefault="00100B2C" w:rsidP="00100B2C">
      <w:pPr>
        <w:spacing w:after="0"/>
        <w:rPr>
          <w:rFonts w:ascii="Verdana" w:hAnsi="Verdana"/>
          <w:lang w:val="es-ES"/>
        </w:rPr>
      </w:pPr>
    </w:p>
    <w:p w14:paraId="2483042C" w14:textId="77777777" w:rsidR="00100B2C" w:rsidRDefault="00100B2C" w:rsidP="00100B2C">
      <w:pPr>
        <w:spacing w:after="0"/>
        <w:rPr>
          <w:rFonts w:ascii="Verdana" w:hAnsi="Verdana"/>
          <w:lang w:val="es-ES"/>
        </w:rPr>
      </w:pPr>
    </w:p>
    <w:p w14:paraId="5143DC28" w14:textId="77777777" w:rsidR="00100B2C" w:rsidRDefault="00100B2C" w:rsidP="00100B2C">
      <w:pPr>
        <w:spacing w:after="0"/>
        <w:rPr>
          <w:rFonts w:ascii="Verdana" w:hAnsi="Verdana"/>
          <w:lang w:val="es-ES"/>
        </w:rPr>
      </w:pPr>
    </w:p>
    <w:p w14:paraId="3361D202" w14:textId="77777777" w:rsidR="00100B2C" w:rsidRDefault="00100B2C" w:rsidP="00100B2C">
      <w:pPr>
        <w:spacing w:after="0"/>
        <w:rPr>
          <w:rFonts w:ascii="Verdana" w:hAnsi="Verdana"/>
          <w:lang w:val="es-ES"/>
        </w:rPr>
      </w:pPr>
    </w:p>
    <w:p w14:paraId="28F152AE" w14:textId="77777777" w:rsidR="00607FA6" w:rsidRDefault="00607FA6" w:rsidP="00100B2C">
      <w:pPr>
        <w:spacing w:after="0"/>
        <w:rPr>
          <w:rFonts w:ascii="Verdana" w:hAnsi="Verdana"/>
          <w:lang w:val="es-ES"/>
        </w:rPr>
      </w:pPr>
    </w:p>
    <w:p w14:paraId="39F47B75" w14:textId="77777777" w:rsidR="00607FA6" w:rsidRDefault="00607FA6" w:rsidP="00100B2C">
      <w:pPr>
        <w:spacing w:after="0"/>
        <w:rPr>
          <w:rFonts w:ascii="Verdana" w:hAnsi="Verdana"/>
          <w:lang w:val="es-ES"/>
        </w:rPr>
      </w:pPr>
    </w:p>
    <w:p w14:paraId="3E2AFADB" w14:textId="77777777" w:rsidR="00607FA6" w:rsidRDefault="00607FA6" w:rsidP="00100B2C">
      <w:pPr>
        <w:spacing w:after="0"/>
        <w:rPr>
          <w:rFonts w:ascii="Verdana" w:hAnsi="Verdana"/>
          <w:lang w:val="es-ES"/>
        </w:rPr>
      </w:pPr>
    </w:p>
    <w:p w14:paraId="4FD62136" w14:textId="77777777" w:rsidR="00607FA6" w:rsidRDefault="00607FA6" w:rsidP="00100B2C">
      <w:pPr>
        <w:spacing w:after="0"/>
        <w:rPr>
          <w:rFonts w:ascii="Verdana" w:hAnsi="Verdana"/>
          <w:lang w:val="es-ES"/>
        </w:rPr>
      </w:pPr>
    </w:p>
    <w:p w14:paraId="74BFF05C" w14:textId="77777777" w:rsidR="00607FA6" w:rsidRDefault="00607FA6" w:rsidP="00100B2C">
      <w:pPr>
        <w:spacing w:after="0"/>
        <w:rPr>
          <w:rFonts w:ascii="Verdana" w:hAnsi="Verdana"/>
          <w:lang w:val="es-ES"/>
        </w:rPr>
      </w:pPr>
    </w:p>
    <w:p w14:paraId="4AC26AA5" w14:textId="1EE33F96" w:rsidR="00100B2C" w:rsidRPr="006E3E0D" w:rsidRDefault="00100B2C" w:rsidP="00100B2C">
      <w:pPr>
        <w:spacing w:after="0"/>
        <w:rPr>
          <w:rFonts w:ascii="Verdana" w:hAnsi="Verdana"/>
          <w:lang w:val="es-ES"/>
        </w:rPr>
      </w:pPr>
      <w:r w:rsidRPr="006E3E0D">
        <w:rPr>
          <w:rFonts w:ascii="Verdana" w:hAnsi="Verdana"/>
          <w:lang w:val="es-ES"/>
        </w:rPr>
        <w:lastRenderedPageBreak/>
        <w:t>Bogotá D.C.,</w:t>
      </w:r>
      <w:r>
        <w:rPr>
          <w:rFonts w:ascii="Verdana" w:hAnsi="Verdana"/>
          <w:lang w:val="es-ES"/>
        </w:rPr>
        <w:t xml:space="preserve"> </w:t>
      </w:r>
      <w:r w:rsidR="00607FA6">
        <w:rPr>
          <w:rFonts w:ascii="Verdana" w:eastAsia="Geomanist Light" w:hAnsi="Verdana" w:cs="Arial"/>
          <w:color w:val="201F1E"/>
        </w:rPr>
        <w:t>26 de junio de 2026</w:t>
      </w:r>
      <w:r w:rsidRPr="006E3E0D">
        <w:rPr>
          <w:rFonts w:ascii="Verdana" w:hAnsi="Verdana"/>
          <w:lang w:val="es-ES"/>
        </w:rPr>
        <w:tab/>
      </w:r>
    </w:p>
    <w:p w14:paraId="1F822691" w14:textId="77777777" w:rsidR="00100B2C" w:rsidRDefault="00100B2C" w:rsidP="00100B2C">
      <w:pPr>
        <w:spacing w:after="0"/>
        <w:rPr>
          <w:rFonts w:ascii="Verdana" w:hAnsi="Verdana"/>
          <w:lang w:val="es-ES"/>
        </w:rPr>
      </w:pPr>
    </w:p>
    <w:p w14:paraId="0FDB6F34" w14:textId="5915457A" w:rsidR="00607FA6" w:rsidRPr="006E3E0D" w:rsidRDefault="00607FA6" w:rsidP="00607FA6">
      <w:pPr>
        <w:spacing w:after="0"/>
        <w:jc w:val="right"/>
        <w:rPr>
          <w:rFonts w:ascii="Verdana" w:hAnsi="Verdana"/>
          <w:lang w:val="es-ES"/>
        </w:rPr>
      </w:pPr>
      <w:r w:rsidRPr="00607FA6">
        <w:rPr>
          <w:rFonts w:ascii="Verdana" w:hAnsi="Verdana"/>
          <w:noProof/>
          <w:lang w:val="es-ES"/>
        </w:rPr>
        <w:drawing>
          <wp:anchor distT="0" distB="0" distL="114300" distR="114300" simplePos="0" relativeHeight="251658240" behindDoc="0" locked="0" layoutInCell="1" allowOverlap="1" wp14:anchorId="12A8E49C" wp14:editId="03530BC6">
            <wp:simplePos x="0" y="0"/>
            <wp:positionH relativeFrom="column">
              <wp:posOffset>3608908</wp:posOffset>
            </wp:positionH>
            <wp:positionV relativeFrom="paragraph">
              <wp:posOffset>-3099</wp:posOffset>
            </wp:positionV>
            <wp:extent cx="1996440" cy="658368"/>
            <wp:effectExtent l="0" t="0" r="3810" b="8890"/>
            <wp:wrapSquare wrapText="bothSides"/>
            <wp:docPr id="200726130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96440" cy="658368"/>
                    </a:xfrm>
                    <a:prstGeom prst="rect">
                      <a:avLst/>
                    </a:prstGeom>
                    <a:noFill/>
                    <a:ln>
                      <a:noFill/>
                    </a:ln>
                  </pic:spPr>
                </pic:pic>
              </a:graphicData>
            </a:graphic>
          </wp:anchor>
        </w:drawing>
      </w:r>
    </w:p>
    <w:p w14:paraId="5F0E4E5C" w14:textId="77777777" w:rsidR="00100B2C" w:rsidRDefault="00100B2C" w:rsidP="00100B2C">
      <w:pPr>
        <w:spacing w:after="0" w:line="240" w:lineRule="auto"/>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Señores</w:t>
      </w:r>
    </w:p>
    <w:p w14:paraId="42E0F66A" w14:textId="77777777" w:rsidR="00100B2C" w:rsidRPr="004B02BE" w:rsidRDefault="00100B2C" w:rsidP="00100B2C">
      <w:pPr>
        <w:spacing w:after="0" w:line="240" w:lineRule="auto"/>
        <w:rPr>
          <w:rFonts w:ascii="Verdana" w:eastAsia="Calibri" w:hAnsi="Verdana" w:cs="Arial"/>
          <w:b/>
          <w:bCs/>
          <w:color w:val="000000" w:themeColor="text1"/>
          <w:lang w:val="es-ES" w:eastAsia="es-ES"/>
        </w:rPr>
      </w:pPr>
      <w:r w:rsidRPr="004B02BE">
        <w:rPr>
          <w:rFonts w:ascii="Verdana" w:eastAsia="Calibri" w:hAnsi="Verdana" w:cs="Arial"/>
          <w:b/>
          <w:bCs/>
          <w:color w:val="000000" w:themeColor="text1"/>
          <w:lang w:val="es-ES" w:eastAsia="es-ES"/>
        </w:rPr>
        <w:t>Juan Carlos Hernández Vesga</w:t>
      </w:r>
    </w:p>
    <w:p w14:paraId="4B5A15ED" w14:textId="77777777" w:rsidR="00100B2C" w:rsidRPr="003F3C00" w:rsidRDefault="00100B2C" w:rsidP="00100B2C">
      <w:pPr>
        <w:spacing w:after="0" w:line="240" w:lineRule="auto"/>
        <w:rPr>
          <w:rFonts w:ascii="Verdana" w:hAnsi="Verdana"/>
        </w:rPr>
      </w:pPr>
      <w:r w:rsidRPr="003F3C00">
        <w:rPr>
          <w:rFonts w:ascii="Verdana" w:hAnsi="Verdana"/>
        </w:rPr>
        <w:t xml:space="preserve">Representante Legal </w:t>
      </w:r>
    </w:p>
    <w:p w14:paraId="5A0801A2" w14:textId="77777777" w:rsidR="00100B2C" w:rsidRPr="003F3C00" w:rsidRDefault="00100B2C" w:rsidP="00100B2C">
      <w:pPr>
        <w:spacing w:after="0" w:line="240" w:lineRule="auto"/>
        <w:rPr>
          <w:rFonts w:ascii="Verdana" w:hAnsi="Verdana"/>
        </w:rPr>
      </w:pPr>
      <w:r w:rsidRPr="003F3C00">
        <w:rPr>
          <w:rFonts w:ascii="Verdana" w:hAnsi="Verdana"/>
        </w:rPr>
        <w:t xml:space="preserve">GRUPO EMPRESARIAL EJECUTAR S.A.S. </w:t>
      </w:r>
    </w:p>
    <w:p w14:paraId="00338A35" w14:textId="77777777" w:rsidR="00100B2C" w:rsidRPr="003F3C00" w:rsidRDefault="00100B2C" w:rsidP="00100B2C">
      <w:pPr>
        <w:spacing w:after="0" w:line="240" w:lineRule="auto"/>
        <w:rPr>
          <w:rFonts w:ascii="Verdana" w:eastAsia="Calibri" w:hAnsi="Verdana" w:cs="Arial"/>
          <w:color w:val="000000" w:themeColor="text1"/>
          <w:lang w:val="es-ES" w:eastAsia="es-ES_tradnl"/>
        </w:rPr>
      </w:pPr>
      <w:hyperlink r:id="rId12" w:history="1">
        <w:r w:rsidRPr="003F3C00">
          <w:rPr>
            <w:rStyle w:val="Hipervnculo"/>
            <w:rFonts w:ascii="Verdana" w:hAnsi="Verdana"/>
          </w:rPr>
          <w:t>somos@grupoejecutar.com</w:t>
        </w:r>
      </w:hyperlink>
      <w:r w:rsidRPr="003F3C00">
        <w:rPr>
          <w:rFonts w:ascii="Verdana" w:hAnsi="Verdana"/>
        </w:rPr>
        <w:t xml:space="preserve"> </w:t>
      </w:r>
    </w:p>
    <w:p w14:paraId="5449CB60" w14:textId="77777777" w:rsidR="00100B2C" w:rsidRPr="003F3C00" w:rsidRDefault="00100B2C" w:rsidP="00100B2C">
      <w:pPr>
        <w:spacing w:after="0" w:line="240" w:lineRule="auto"/>
        <w:rPr>
          <w:rFonts w:ascii="Verdana" w:eastAsia="Calibri" w:hAnsi="Verdana" w:cs="Arial"/>
          <w:color w:val="000000" w:themeColor="text1"/>
          <w:lang w:val="es-ES" w:eastAsia="es-ES_tradnl"/>
        </w:rPr>
      </w:pPr>
      <w:r w:rsidRPr="003F3C00">
        <w:rPr>
          <w:rFonts w:ascii="Verdana" w:eastAsia="Calibri" w:hAnsi="Verdana" w:cs="Arial"/>
          <w:color w:val="000000" w:themeColor="text1"/>
          <w:lang w:val="es-ES" w:eastAsia="es-ES_tradnl"/>
        </w:rPr>
        <w:t>Ciudad</w:t>
      </w:r>
    </w:p>
    <w:p w14:paraId="2E0BFD97" w14:textId="77777777" w:rsidR="00100B2C" w:rsidRPr="006E3E0D" w:rsidRDefault="00100B2C" w:rsidP="00100B2C">
      <w:pPr>
        <w:spacing w:after="0" w:line="240" w:lineRule="auto"/>
        <w:rPr>
          <w:rFonts w:ascii="Verdana" w:eastAsia="Calibri" w:hAnsi="Verdana" w:cs="Arial"/>
          <w:color w:val="000000" w:themeColor="text1"/>
          <w:lang w:val="es-ES" w:eastAsia="es-ES_tradnl"/>
        </w:rPr>
      </w:pPr>
    </w:p>
    <w:p w14:paraId="1D0C584F" w14:textId="77777777" w:rsidR="00100B2C" w:rsidRPr="006E3E0D" w:rsidRDefault="00100B2C" w:rsidP="00100B2C">
      <w:pPr>
        <w:spacing w:after="0" w:line="240" w:lineRule="auto"/>
        <w:ind w:left="2694"/>
        <w:rPr>
          <w:rFonts w:ascii="Verdana" w:eastAsia="Calibri" w:hAnsi="Verdana" w:cs="Arial"/>
          <w:b/>
          <w:bCs/>
          <w:lang w:val="es-ES" w:eastAsia="es-ES"/>
        </w:rPr>
      </w:pPr>
      <w:r w:rsidRPr="006E3E0D">
        <w:rPr>
          <w:rFonts w:ascii="Verdana" w:eastAsia="Calibri" w:hAnsi="Verdana" w:cs="Arial"/>
          <w:b/>
          <w:bCs/>
          <w:lang w:val="es-ES" w:eastAsia="es-ES"/>
        </w:rPr>
        <w:t>Concepto C-</w:t>
      </w:r>
      <w:r>
        <w:rPr>
          <w:rFonts w:ascii="Verdana" w:eastAsia="Calibri" w:hAnsi="Verdana" w:cs="Arial"/>
          <w:b/>
          <w:bCs/>
          <w:lang w:val="es-ES" w:eastAsia="es-ES"/>
        </w:rPr>
        <w:t>900</w:t>
      </w:r>
      <w:r w:rsidRPr="006E3E0D">
        <w:rPr>
          <w:rFonts w:ascii="Verdana" w:eastAsia="Calibri" w:hAnsi="Verdana" w:cs="Arial"/>
          <w:b/>
          <w:bCs/>
          <w:lang w:val="es-ES" w:eastAsia="es-ES"/>
        </w:rPr>
        <w:t xml:space="preserve"> de 202</w:t>
      </w:r>
      <w:r>
        <w:rPr>
          <w:rFonts w:ascii="Verdana" w:eastAsia="Calibri" w:hAnsi="Verdana" w:cs="Arial"/>
          <w:b/>
          <w:bCs/>
          <w:lang w:val="es-ES" w:eastAsia="es-ES"/>
        </w:rPr>
        <w:t>6</w:t>
      </w:r>
    </w:p>
    <w:p w14:paraId="7DA488FD" w14:textId="77777777" w:rsidR="00100B2C" w:rsidRPr="006E3E0D" w:rsidRDefault="00100B2C" w:rsidP="00100B2C">
      <w:pPr>
        <w:spacing w:after="0" w:line="240" w:lineRule="auto"/>
        <w:rPr>
          <w:rFonts w:ascii="Verdana" w:eastAsia="Calibri" w:hAnsi="Verdana" w:cs="Arial"/>
          <w:b/>
          <w:bCs/>
          <w:color w:val="000000" w:themeColor="text1"/>
          <w:lang w:val="es-ES"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100B2C" w:rsidRPr="006E3E0D" w14:paraId="4195A8E8" w14:textId="77777777" w:rsidTr="001B1335">
        <w:trPr>
          <w:trHeight w:val="884"/>
        </w:trPr>
        <w:tc>
          <w:tcPr>
            <w:tcW w:w="2689" w:type="dxa"/>
          </w:tcPr>
          <w:p w14:paraId="2C285E41" w14:textId="77777777" w:rsidR="00100B2C" w:rsidRPr="006E3E0D" w:rsidRDefault="00100B2C" w:rsidP="001B1335">
            <w:pPr>
              <w:jc w:val="both"/>
              <w:rPr>
                <w:rFonts w:ascii="Verdana" w:eastAsia="Calibri" w:hAnsi="Verdana" w:cs="Arial"/>
                <w:color w:val="000000" w:themeColor="text1"/>
                <w:lang w:val="es-ES" w:eastAsia="es-ES_tradnl"/>
              </w:rPr>
            </w:pPr>
            <w:r w:rsidRPr="006E3E0D">
              <w:rPr>
                <w:rFonts w:ascii="Verdana" w:eastAsia="Calibri" w:hAnsi="Verdana" w:cs="Arial"/>
                <w:b/>
                <w:color w:val="000000" w:themeColor="text1"/>
                <w:lang w:val="es-ES" w:eastAsia="es-ES_tradnl"/>
              </w:rPr>
              <w:t>Temas:</w:t>
            </w:r>
            <w:r w:rsidRPr="006E3E0D">
              <w:rPr>
                <w:rFonts w:ascii="Verdana" w:eastAsia="Calibri" w:hAnsi="Verdana" w:cs="Arial"/>
                <w:color w:val="000000" w:themeColor="text1"/>
                <w:lang w:val="es-ES" w:eastAsia="es-ES_tradnl"/>
              </w:rPr>
              <w:t xml:space="preserve">                   </w:t>
            </w:r>
          </w:p>
        </w:tc>
        <w:tc>
          <w:tcPr>
            <w:tcW w:w="6100" w:type="dxa"/>
          </w:tcPr>
          <w:p w14:paraId="23B49F55" w14:textId="77777777" w:rsidR="00100B2C" w:rsidRPr="006E3E0D" w:rsidRDefault="00100B2C" w:rsidP="001B1335">
            <w:pPr>
              <w:spacing w:line="276" w:lineRule="auto"/>
              <w:jc w:val="both"/>
              <w:rPr>
                <w:rFonts w:ascii="Verdana" w:eastAsia="Calibri" w:hAnsi="Verdana" w:cs="Arial"/>
                <w:lang w:val="es-ES" w:eastAsia="es-ES"/>
              </w:rPr>
            </w:pPr>
            <w:r w:rsidRPr="006E3E0D">
              <w:rPr>
                <w:rFonts w:ascii="Verdana" w:eastAsia="Calibri" w:hAnsi="Verdana" w:cs="Arial"/>
                <w:lang w:val="es-ES" w:eastAsia="es-ES"/>
              </w:rPr>
              <w:t>REQUISITOS HABILITANTES – Noción / REQUISITOS HABILITANTES – Carácter enunciativo / REQUISITOS HABILITANTES – Autonomía de la voluntad de las entidades estatales para establecerlos / SISTEMA DE GESTIÓN DE SEGURIDAD Y SALUD EN EL TRABAJO SG-SST - Contratos Estatales – Requisitos habilitantes o puntuables</w:t>
            </w:r>
          </w:p>
          <w:p w14:paraId="635150CD" w14:textId="77777777" w:rsidR="00100B2C" w:rsidRPr="006E3E0D" w:rsidRDefault="00100B2C" w:rsidP="001B1335">
            <w:pPr>
              <w:jc w:val="both"/>
              <w:rPr>
                <w:rFonts w:ascii="Verdana" w:eastAsia="Calibri" w:hAnsi="Verdana" w:cs="Arial"/>
                <w:color w:val="000000" w:themeColor="text1"/>
                <w:lang w:val="es-ES" w:eastAsia="es-ES"/>
              </w:rPr>
            </w:pPr>
          </w:p>
        </w:tc>
      </w:tr>
      <w:tr w:rsidR="00100B2C" w:rsidRPr="006E3E0D" w14:paraId="2F137902" w14:textId="77777777" w:rsidTr="001B1335">
        <w:tc>
          <w:tcPr>
            <w:tcW w:w="2689" w:type="dxa"/>
          </w:tcPr>
          <w:p w14:paraId="257D9D5B" w14:textId="77777777" w:rsidR="00100B2C" w:rsidRPr="006E3E0D" w:rsidRDefault="00100B2C" w:rsidP="001B1335">
            <w:pPr>
              <w:jc w:val="both"/>
              <w:rPr>
                <w:rFonts w:ascii="Verdana" w:eastAsia="Calibri" w:hAnsi="Verdana" w:cs="Arial"/>
                <w:b/>
                <w:color w:val="000000" w:themeColor="text1"/>
                <w:lang w:val="es-ES" w:eastAsia="es-ES_tradnl"/>
              </w:rPr>
            </w:pPr>
            <w:r w:rsidRPr="006E3E0D">
              <w:rPr>
                <w:rFonts w:ascii="Verdana" w:eastAsia="Calibri" w:hAnsi="Verdana" w:cs="Arial"/>
                <w:b/>
                <w:color w:val="000000" w:themeColor="text1"/>
                <w:lang w:val="es-ES" w:eastAsia="es-ES_tradnl"/>
              </w:rPr>
              <w:t>Radicación:</w:t>
            </w:r>
            <w:r w:rsidRPr="006E3E0D">
              <w:rPr>
                <w:rFonts w:ascii="Verdana" w:eastAsia="Calibri" w:hAnsi="Verdana" w:cs="Arial"/>
                <w:color w:val="000000" w:themeColor="text1"/>
                <w:lang w:val="es-ES" w:eastAsia="es-ES_tradnl"/>
              </w:rPr>
              <w:t xml:space="preserve">               </w:t>
            </w:r>
          </w:p>
        </w:tc>
        <w:tc>
          <w:tcPr>
            <w:tcW w:w="6100" w:type="dxa"/>
          </w:tcPr>
          <w:p w14:paraId="5F0A7410" w14:textId="77777777" w:rsidR="00100B2C" w:rsidRPr="006E3E0D" w:rsidRDefault="00100B2C" w:rsidP="001B1335">
            <w:pPr>
              <w:jc w:val="both"/>
              <w:rPr>
                <w:rFonts w:ascii="Verdana" w:eastAsia="Calibri" w:hAnsi="Verdana" w:cs="Arial"/>
                <w:color w:val="000000" w:themeColor="text1"/>
                <w:lang w:val="es-ES" w:eastAsia="es-ES_tradnl"/>
              </w:rPr>
            </w:pPr>
            <w:r w:rsidRPr="006E3E0D">
              <w:rPr>
                <w:rFonts w:ascii="Verdana" w:eastAsia="Calibri" w:hAnsi="Verdana" w:cs="Arial"/>
                <w:color w:val="000000" w:themeColor="text1"/>
                <w:lang w:val="es-ES" w:eastAsia="es-ES_tradnl"/>
              </w:rPr>
              <w:t xml:space="preserve">Respuesta a consulta con radicado No. </w:t>
            </w:r>
            <w:r w:rsidRPr="0086452C">
              <w:rPr>
                <w:rFonts w:ascii="Verdana" w:eastAsia="Calibri" w:hAnsi="Verdana" w:cs="Arial"/>
                <w:color w:val="000000" w:themeColor="text1"/>
                <w:lang w:val="es-ES" w:eastAsia="es-ES_tradnl"/>
              </w:rPr>
              <w:t>1_2026_05_29_007288</w:t>
            </w:r>
          </w:p>
        </w:tc>
      </w:tr>
    </w:tbl>
    <w:p w14:paraId="19160A7C" w14:textId="77777777" w:rsidR="00100B2C" w:rsidRPr="006E3E0D" w:rsidRDefault="00100B2C" w:rsidP="00100B2C">
      <w:pPr>
        <w:spacing w:after="0" w:line="240" w:lineRule="auto"/>
        <w:jc w:val="both"/>
        <w:rPr>
          <w:rFonts w:ascii="Verdana" w:eastAsia="Calibri" w:hAnsi="Verdana" w:cs="Arial"/>
          <w:color w:val="000000" w:themeColor="text1"/>
          <w:lang w:val="es-ES" w:eastAsia="es-ES_tradnl"/>
        </w:rPr>
      </w:pPr>
    </w:p>
    <w:p w14:paraId="7D9CF8D5" w14:textId="77777777" w:rsidR="00100B2C" w:rsidRPr="006E3E0D" w:rsidRDefault="00100B2C" w:rsidP="00100B2C">
      <w:pPr>
        <w:spacing w:after="0" w:line="240" w:lineRule="auto"/>
        <w:jc w:val="both"/>
        <w:rPr>
          <w:rFonts w:ascii="Verdana" w:eastAsia="Calibri" w:hAnsi="Verdana" w:cs="Arial"/>
          <w:color w:val="000000" w:themeColor="text1"/>
          <w:lang w:val="es-ES" w:eastAsia="es-ES_tradnl"/>
        </w:rPr>
      </w:pPr>
    </w:p>
    <w:p w14:paraId="0A02EFA7" w14:textId="77777777" w:rsidR="00100B2C" w:rsidRPr="006E3E0D" w:rsidRDefault="00100B2C" w:rsidP="00100B2C">
      <w:pPr>
        <w:spacing w:after="0" w:line="276" w:lineRule="auto"/>
        <w:jc w:val="both"/>
        <w:rPr>
          <w:rFonts w:ascii="Verdana" w:eastAsia="Calibri" w:hAnsi="Verdana" w:cs="Arial"/>
          <w:color w:val="000000" w:themeColor="text1"/>
          <w:lang w:val="es-ES" w:eastAsia="es-ES"/>
        </w:rPr>
      </w:pPr>
      <w:r w:rsidRPr="006E3E0D">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o señor Hernández</w:t>
      </w:r>
      <w:r w:rsidRPr="006E3E0D">
        <w:rPr>
          <w:rFonts w:ascii="Verdana" w:eastAsia="Calibri" w:hAnsi="Verdana" w:cs="Arial"/>
          <w:color w:val="000000" w:themeColor="text1"/>
          <w:lang w:val="es-ES" w:eastAsia="es-ES"/>
        </w:rPr>
        <w:t xml:space="preserve">: </w:t>
      </w:r>
    </w:p>
    <w:p w14:paraId="2DB09F47" w14:textId="77777777" w:rsidR="00100B2C" w:rsidRPr="006E3E0D" w:rsidRDefault="00100B2C" w:rsidP="00100B2C">
      <w:pPr>
        <w:tabs>
          <w:tab w:val="left" w:pos="3768"/>
        </w:tabs>
        <w:spacing w:after="0" w:line="276" w:lineRule="auto"/>
        <w:jc w:val="both"/>
        <w:rPr>
          <w:rFonts w:ascii="Verdana" w:eastAsia="Calibri" w:hAnsi="Verdana" w:cs="Arial"/>
          <w:color w:val="000000" w:themeColor="text1"/>
          <w:lang w:val="es-ES" w:eastAsia="es-ES"/>
        </w:rPr>
      </w:pPr>
      <w:r w:rsidRPr="006E3E0D">
        <w:rPr>
          <w:rFonts w:ascii="Verdana" w:eastAsia="Calibri" w:hAnsi="Verdana" w:cs="Arial"/>
          <w:color w:val="000000" w:themeColor="text1"/>
          <w:lang w:val="es-ES" w:eastAsia="es-ES"/>
        </w:rPr>
        <w:tab/>
      </w:r>
    </w:p>
    <w:p w14:paraId="6BDB36D0" w14:textId="77777777" w:rsidR="00100B2C" w:rsidRPr="000A1BD6" w:rsidRDefault="00100B2C" w:rsidP="00100B2C">
      <w:pPr>
        <w:spacing w:after="0" w:line="276" w:lineRule="auto"/>
        <w:jc w:val="both"/>
        <w:rPr>
          <w:rFonts w:ascii="Verdana" w:hAnsi="Verdana" w:cs="Arial"/>
          <w:color w:val="000000" w:themeColor="text1"/>
          <w:lang w:val="es-ES"/>
        </w:rPr>
      </w:pPr>
      <w:r w:rsidRPr="006E3E0D">
        <w:rPr>
          <w:rFonts w:ascii="Verdana" w:eastAsia="Calibri" w:hAnsi="Verdana" w:cs="Arial"/>
          <w:color w:val="000000" w:themeColor="text1"/>
          <w:lang w:val="es-ES" w:eastAsia="es-ES"/>
        </w:rPr>
        <w:t>En ejercicio de la competencia otorgada por los artículos 3, numeral 5º, y 11, numeral 8º, del Decreto Ley 4170 de 2011,</w:t>
      </w:r>
      <w:r w:rsidRPr="006E3E0D">
        <w:rPr>
          <w:rFonts w:ascii="Verdana" w:eastAsia="Arial MT" w:hAnsi="Verdana" w:cs="Arial MT"/>
          <w:color w:val="000000" w:themeColor="text1"/>
          <w:lang w:val="es-ES" w:eastAsia="es-ES"/>
        </w:rPr>
        <w:t xml:space="preserve"> </w:t>
      </w:r>
      <w:r w:rsidRPr="00D20014">
        <w:rPr>
          <w:rFonts w:ascii="Verdana" w:eastAsia="Aptos" w:hAnsi="Verdana" w:cs="Arial"/>
        </w:rPr>
        <w:t xml:space="preserve">como lo establecido en </w:t>
      </w:r>
      <w:r>
        <w:rPr>
          <w:rFonts w:ascii="Verdana" w:eastAsia="Aptos" w:hAnsi="Verdana" w:cs="Arial"/>
        </w:rPr>
        <w:t xml:space="preserve">la </w:t>
      </w:r>
      <w:r w:rsidRPr="00713B63">
        <w:rPr>
          <w:rFonts w:ascii="Verdana" w:hAnsi="Verdana" w:cs="Arial"/>
        </w:rPr>
        <w:t xml:space="preserve">Resolución 469 de 2025 </w:t>
      </w:r>
      <w:r w:rsidRPr="00D20014">
        <w:rPr>
          <w:rFonts w:ascii="Verdana" w:eastAsia="Aptos" w:hAnsi="Verdana" w:cs="Arial"/>
        </w:rPr>
        <w:t>expedida por esta Entidad</w:t>
      </w:r>
      <w:r w:rsidRPr="006E3E0D">
        <w:rPr>
          <w:rFonts w:ascii="Verdana" w:hAnsi="Verdana" w:cs="Arial"/>
          <w:color w:val="000000" w:themeColor="text1"/>
          <w:lang w:val="es-ES"/>
        </w:rPr>
        <w:t xml:space="preserve">, la Agencia Nacional de Contratación Pública – Colombia Compra Eficiente– responde su solicitud de consulta de fecha </w:t>
      </w:r>
      <w:r>
        <w:rPr>
          <w:rFonts w:ascii="Verdana" w:hAnsi="Verdana" w:cs="Arial"/>
          <w:color w:val="000000" w:themeColor="text1"/>
          <w:lang w:val="es-ES"/>
        </w:rPr>
        <w:t>29</w:t>
      </w:r>
      <w:r w:rsidRPr="006E3E0D">
        <w:rPr>
          <w:rFonts w:ascii="Verdana" w:hAnsi="Verdana" w:cs="Arial"/>
          <w:color w:val="000000" w:themeColor="text1"/>
          <w:lang w:val="es-ES"/>
        </w:rPr>
        <w:t xml:space="preserve"> de mayo de 202</w:t>
      </w:r>
      <w:r>
        <w:rPr>
          <w:rFonts w:ascii="Verdana" w:hAnsi="Verdana" w:cs="Arial"/>
          <w:color w:val="000000" w:themeColor="text1"/>
          <w:lang w:val="es-ES"/>
        </w:rPr>
        <w:t>6</w:t>
      </w:r>
      <w:r w:rsidRPr="006E3E0D">
        <w:rPr>
          <w:rFonts w:ascii="Verdana" w:hAnsi="Verdana" w:cs="Arial"/>
          <w:color w:val="000000" w:themeColor="text1"/>
          <w:lang w:val="es-ES"/>
        </w:rPr>
        <w:t>, en la cual manifiesta lo siguiente:</w:t>
      </w:r>
      <w:r w:rsidRPr="006E3E0D">
        <w:rPr>
          <w:rFonts w:ascii="Verdana" w:eastAsia="Calibri" w:hAnsi="Verdana" w:cs="Arial"/>
          <w:color w:val="000000" w:themeColor="text1"/>
          <w:lang w:val="es-ES" w:eastAsia="es-ES"/>
        </w:rPr>
        <w:t xml:space="preserve"> </w:t>
      </w:r>
    </w:p>
    <w:p w14:paraId="53D2C977" w14:textId="77777777" w:rsidR="00100B2C" w:rsidRPr="006E3E0D" w:rsidRDefault="00100B2C" w:rsidP="00100B2C">
      <w:pPr>
        <w:spacing w:after="0" w:line="276" w:lineRule="auto"/>
        <w:jc w:val="both"/>
        <w:rPr>
          <w:rFonts w:ascii="Verdana" w:eastAsia="Calibri" w:hAnsi="Verdana" w:cs="Arial"/>
          <w:color w:val="000000" w:themeColor="text1"/>
          <w:lang w:val="es-ES" w:eastAsia="es-ES"/>
        </w:rPr>
      </w:pPr>
    </w:p>
    <w:p w14:paraId="5887B677" w14:textId="77777777" w:rsidR="00100B2C" w:rsidRDefault="00100B2C" w:rsidP="00100B2C">
      <w:pPr>
        <w:spacing w:after="0"/>
        <w:ind w:left="709" w:right="709"/>
        <w:jc w:val="both"/>
        <w:rPr>
          <w:rFonts w:ascii="Verdana" w:eastAsia="Century Gothic" w:hAnsi="Verdana" w:cs="Century Gothic"/>
          <w:color w:val="000000" w:themeColor="text1"/>
          <w:sz w:val="20"/>
          <w:szCs w:val="20"/>
        </w:rPr>
      </w:pPr>
      <w:bookmarkStart w:id="1" w:name="_Hlk95313578"/>
      <w:r w:rsidRPr="006E3E0D">
        <w:rPr>
          <w:rFonts w:ascii="Verdana" w:eastAsia="Century Gothic" w:hAnsi="Verdana" w:cs="Century Gothic"/>
          <w:color w:val="000000" w:themeColor="text1"/>
          <w:sz w:val="20"/>
          <w:szCs w:val="20"/>
          <w:lang w:val="es-ES"/>
        </w:rPr>
        <w:t>“</w:t>
      </w:r>
      <w:bookmarkEnd w:id="1"/>
      <w:r w:rsidRPr="006E3E0D">
        <w:rPr>
          <w:rFonts w:ascii="Verdana" w:eastAsia="Century Gothic" w:hAnsi="Verdana" w:cs="Century Gothic"/>
          <w:color w:val="000000" w:themeColor="text1"/>
          <w:sz w:val="20"/>
          <w:szCs w:val="20"/>
          <w:lang w:val="es-ES"/>
        </w:rPr>
        <w:t xml:space="preserve">[…] </w:t>
      </w:r>
      <w:r w:rsidRPr="00AD6131">
        <w:rPr>
          <w:rFonts w:ascii="Verdana" w:eastAsia="Century Gothic" w:hAnsi="Verdana" w:cs="Century Gothic"/>
          <w:color w:val="000000" w:themeColor="text1"/>
          <w:sz w:val="20"/>
          <w:szCs w:val="20"/>
        </w:rPr>
        <w:t xml:space="preserve">CONCLUSIÓN SOLICITADA A SECOP </w:t>
      </w:r>
    </w:p>
    <w:p w14:paraId="696FE412" w14:textId="77777777" w:rsidR="00100B2C" w:rsidRDefault="00100B2C" w:rsidP="00100B2C">
      <w:pPr>
        <w:spacing w:after="0"/>
        <w:ind w:left="709" w:right="709"/>
        <w:jc w:val="both"/>
        <w:rPr>
          <w:rFonts w:ascii="Verdana" w:eastAsia="Century Gothic" w:hAnsi="Verdana" w:cs="Century Gothic"/>
          <w:color w:val="000000" w:themeColor="text1"/>
          <w:sz w:val="20"/>
          <w:szCs w:val="20"/>
        </w:rPr>
      </w:pPr>
      <w:r w:rsidRPr="00AD6131">
        <w:rPr>
          <w:rFonts w:ascii="Verdana" w:eastAsia="Century Gothic" w:hAnsi="Verdana" w:cs="Century Gothic"/>
          <w:color w:val="000000" w:themeColor="text1"/>
          <w:sz w:val="20"/>
          <w:szCs w:val="20"/>
        </w:rPr>
        <w:t xml:space="preserve">Con base en los riesgos descritos en las preguntas anteriores, respetuosamente solicito a Colombia Compra Eficiente emitir una orientación clara sobre lo siguiente: </w:t>
      </w:r>
    </w:p>
    <w:p w14:paraId="048D7583" w14:textId="77777777" w:rsidR="00100B2C" w:rsidRDefault="00100B2C" w:rsidP="00100B2C">
      <w:pPr>
        <w:spacing w:after="0"/>
        <w:ind w:left="709" w:right="709"/>
        <w:jc w:val="both"/>
        <w:rPr>
          <w:rFonts w:ascii="Verdana" w:eastAsia="Century Gothic" w:hAnsi="Verdana" w:cs="Century Gothic"/>
          <w:color w:val="000000" w:themeColor="text1"/>
          <w:sz w:val="20"/>
          <w:szCs w:val="20"/>
        </w:rPr>
      </w:pPr>
    </w:p>
    <w:p w14:paraId="41E1D671" w14:textId="77777777" w:rsidR="00100B2C" w:rsidRDefault="00100B2C" w:rsidP="00100B2C">
      <w:pPr>
        <w:spacing w:after="0"/>
        <w:ind w:left="709" w:right="709"/>
        <w:jc w:val="both"/>
        <w:rPr>
          <w:rFonts w:ascii="Verdana" w:eastAsia="Century Gothic" w:hAnsi="Verdana" w:cs="Century Gothic"/>
          <w:color w:val="000000" w:themeColor="text1"/>
          <w:sz w:val="20"/>
          <w:szCs w:val="20"/>
        </w:rPr>
      </w:pPr>
      <w:r w:rsidRPr="00AD6131">
        <w:rPr>
          <w:rFonts w:ascii="Verdana" w:eastAsia="Century Gothic" w:hAnsi="Verdana" w:cs="Century Gothic"/>
          <w:color w:val="000000" w:themeColor="text1"/>
          <w:sz w:val="20"/>
          <w:szCs w:val="20"/>
        </w:rPr>
        <w:t xml:space="preserve">¿Es recomendable y ajustado a derecho que las entidades estatales exijan antes de la adjudicación los siguientes documentos, cuando el objeto </w:t>
      </w:r>
      <w:r w:rsidRPr="00AD6131">
        <w:rPr>
          <w:rFonts w:ascii="Verdana" w:eastAsia="Century Gothic" w:hAnsi="Verdana" w:cs="Century Gothic"/>
          <w:color w:val="000000" w:themeColor="text1"/>
          <w:sz w:val="20"/>
          <w:szCs w:val="20"/>
        </w:rPr>
        <w:lastRenderedPageBreak/>
        <w:t xml:space="preserve">contractual implique riesgos para la salud, el ambiente o la seguridad de los trabajadores y esto no limita la pluralidad de oferentes debido que es norma de cumplimiento? </w:t>
      </w:r>
    </w:p>
    <w:p w14:paraId="0FEC7B34" w14:textId="77777777" w:rsidR="00100B2C" w:rsidRDefault="00100B2C" w:rsidP="00100B2C">
      <w:pPr>
        <w:spacing w:after="0"/>
        <w:ind w:left="709" w:right="709"/>
        <w:jc w:val="both"/>
        <w:rPr>
          <w:rFonts w:ascii="Verdana" w:eastAsia="Century Gothic" w:hAnsi="Verdana" w:cs="Century Gothic"/>
          <w:color w:val="000000" w:themeColor="text1"/>
          <w:sz w:val="20"/>
          <w:szCs w:val="20"/>
        </w:rPr>
      </w:pPr>
    </w:p>
    <w:p w14:paraId="7E3F3EAC" w14:textId="77777777" w:rsidR="00100B2C" w:rsidRDefault="00100B2C" w:rsidP="00100B2C">
      <w:pPr>
        <w:spacing w:after="0"/>
        <w:ind w:left="709" w:right="709"/>
        <w:jc w:val="both"/>
        <w:rPr>
          <w:rFonts w:ascii="Verdana" w:eastAsia="Century Gothic" w:hAnsi="Verdana" w:cs="Century Gothic"/>
          <w:color w:val="000000" w:themeColor="text1"/>
          <w:sz w:val="20"/>
          <w:szCs w:val="20"/>
        </w:rPr>
      </w:pPr>
      <w:r w:rsidRPr="00AD6131">
        <w:rPr>
          <w:rFonts w:ascii="Verdana" w:eastAsia="Century Gothic" w:hAnsi="Verdana" w:cs="Century Gothic"/>
          <w:color w:val="000000" w:themeColor="text1"/>
          <w:sz w:val="20"/>
          <w:szCs w:val="20"/>
        </w:rPr>
        <w:sym w:font="Symbol" w:char="F0B7"/>
      </w:r>
      <w:r w:rsidRPr="00AD6131">
        <w:rPr>
          <w:rFonts w:ascii="Verdana" w:eastAsia="Century Gothic" w:hAnsi="Verdana" w:cs="Century Gothic"/>
          <w:color w:val="000000" w:themeColor="text1"/>
          <w:sz w:val="20"/>
          <w:szCs w:val="20"/>
        </w:rPr>
        <w:t xml:space="preserve"> Concepto sanitario favorable </w:t>
      </w:r>
    </w:p>
    <w:p w14:paraId="5B5442F2" w14:textId="77777777" w:rsidR="00100B2C" w:rsidRDefault="00100B2C" w:rsidP="00100B2C">
      <w:pPr>
        <w:spacing w:after="0"/>
        <w:ind w:left="709" w:right="709"/>
        <w:jc w:val="both"/>
        <w:rPr>
          <w:rFonts w:ascii="Verdana" w:eastAsia="Century Gothic" w:hAnsi="Verdana" w:cs="Century Gothic"/>
          <w:color w:val="000000" w:themeColor="text1"/>
          <w:sz w:val="20"/>
          <w:szCs w:val="20"/>
        </w:rPr>
      </w:pPr>
      <w:r w:rsidRPr="00AD6131">
        <w:rPr>
          <w:rFonts w:ascii="Verdana" w:eastAsia="Century Gothic" w:hAnsi="Verdana" w:cs="Century Gothic"/>
          <w:color w:val="000000" w:themeColor="text1"/>
          <w:sz w:val="20"/>
          <w:szCs w:val="20"/>
        </w:rPr>
        <w:sym w:font="Symbol" w:char="F0B7"/>
      </w:r>
      <w:r w:rsidRPr="00AD6131">
        <w:rPr>
          <w:rFonts w:ascii="Verdana" w:eastAsia="Century Gothic" w:hAnsi="Verdana" w:cs="Century Gothic"/>
          <w:color w:val="000000" w:themeColor="text1"/>
          <w:sz w:val="20"/>
          <w:szCs w:val="20"/>
        </w:rPr>
        <w:t xml:space="preserve"> Resolución o autorización para aplicación de plaguicidas </w:t>
      </w:r>
    </w:p>
    <w:p w14:paraId="4A991E7F" w14:textId="77777777" w:rsidR="00100B2C" w:rsidRDefault="00100B2C" w:rsidP="00100B2C">
      <w:pPr>
        <w:spacing w:after="0"/>
        <w:ind w:left="709" w:right="709"/>
        <w:jc w:val="both"/>
        <w:rPr>
          <w:rFonts w:ascii="Verdana" w:eastAsia="Century Gothic" w:hAnsi="Verdana" w:cs="Century Gothic"/>
          <w:color w:val="000000" w:themeColor="text1"/>
          <w:sz w:val="20"/>
          <w:szCs w:val="20"/>
        </w:rPr>
      </w:pPr>
      <w:r w:rsidRPr="00AD6131">
        <w:rPr>
          <w:rFonts w:ascii="Verdana" w:eastAsia="Century Gothic" w:hAnsi="Verdana" w:cs="Century Gothic"/>
          <w:color w:val="000000" w:themeColor="text1"/>
          <w:sz w:val="20"/>
          <w:szCs w:val="20"/>
        </w:rPr>
        <w:sym w:font="Symbol" w:char="F0B7"/>
      </w:r>
      <w:r w:rsidRPr="00AD6131">
        <w:rPr>
          <w:rFonts w:ascii="Verdana" w:eastAsia="Century Gothic" w:hAnsi="Verdana" w:cs="Century Gothic"/>
          <w:color w:val="000000" w:themeColor="text1"/>
          <w:sz w:val="20"/>
          <w:szCs w:val="20"/>
        </w:rPr>
        <w:t xml:space="preserve"> Certificaciones de trabajo seguro en alturas y espacios confinados </w:t>
      </w:r>
    </w:p>
    <w:p w14:paraId="6F33CD25" w14:textId="77777777" w:rsidR="00100B2C" w:rsidRDefault="00100B2C" w:rsidP="00100B2C">
      <w:pPr>
        <w:spacing w:after="0"/>
        <w:ind w:left="709" w:right="709"/>
        <w:jc w:val="both"/>
        <w:rPr>
          <w:rFonts w:ascii="Verdana" w:eastAsia="Century Gothic" w:hAnsi="Verdana" w:cs="Century Gothic"/>
          <w:color w:val="000000" w:themeColor="text1"/>
          <w:sz w:val="20"/>
          <w:szCs w:val="20"/>
        </w:rPr>
      </w:pPr>
      <w:r w:rsidRPr="00AD6131">
        <w:rPr>
          <w:rFonts w:ascii="Verdana" w:eastAsia="Century Gothic" w:hAnsi="Verdana" w:cs="Century Gothic"/>
          <w:color w:val="000000" w:themeColor="text1"/>
          <w:sz w:val="20"/>
          <w:szCs w:val="20"/>
        </w:rPr>
        <w:sym w:font="Symbol" w:char="F0B7"/>
      </w:r>
      <w:r w:rsidRPr="00AD6131">
        <w:rPr>
          <w:rFonts w:ascii="Verdana" w:eastAsia="Century Gothic" w:hAnsi="Verdana" w:cs="Century Gothic"/>
          <w:color w:val="000000" w:themeColor="text1"/>
          <w:sz w:val="20"/>
          <w:szCs w:val="20"/>
        </w:rPr>
        <w:t xml:space="preserve"> Exámenes ocupacionales que acrediten aptitud para las labores </w:t>
      </w:r>
    </w:p>
    <w:p w14:paraId="3151EA92" w14:textId="77777777" w:rsidR="00100B2C" w:rsidRDefault="00100B2C" w:rsidP="00100B2C">
      <w:pPr>
        <w:spacing w:after="0"/>
        <w:ind w:left="709" w:right="709"/>
        <w:jc w:val="both"/>
        <w:rPr>
          <w:rFonts w:ascii="Verdana" w:eastAsia="Century Gothic" w:hAnsi="Verdana" w:cs="Century Gothic"/>
          <w:color w:val="000000" w:themeColor="text1"/>
          <w:sz w:val="20"/>
          <w:szCs w:val="20"/>
        </w:rPr>
      </w:pPr>
      <w:r w:rsidRPr="00AD6131">
        <w:rPr>
          <w:rFonts w:ascii="Verdana" w:eastAsia="Century Gothic" w:hAnsi="Verdana" w:cs="Century Gothic"/>
          <w:color w:val="000000" w:themeColor="text1"/>
          <w:sz w:val="20"/>
          <w:szCs w:val="20"/>
        </w:rPr>
        <w:sym w:font="Symbol" w:char="F0B7"/>
      </w:r>
      <w:r w:rsidRPr="00AD6131">
        <w:rPr>
          <w:rFonts w:ascii="Verdana" w:eastAsia="Century Gothic" w:hAnsi="Verdana" w:cs="Century Gothic"/>
          <w:color w:val="000000" w:themeColor="text1"/>
          <w:sz w:val="20"/>
          <w:szCs w:val="20"/>
        </w:rPr>
        <w:t xml:space="preserve"> Afiliación a ARL </w:t>
      </w:r>
    </w:p>
    <w:p w14:paraId="2EA0ACB2" w14:textId="77777777" w:rsidR="00100B2C" w:rsidRDefault="00100B2C" w:rsidP="00100B2C">
      <w:pPr>
        <w:spacing w:after="0"/>
        <w:ind w:left="709" w:right="709"/>
        <w:jc w:val="both"/>
        <w:rPr>
          <w:rFonts w:ascii="Verdana" w:eastAsia="Century Gothic" w:hAnsi="Verdana" w:cs="Century Gothic"/>
          <w:color w:val="000000" w:themeColor="text1"/>
          <w:sz w:val="20"/>
          <w:szCs w:val="20"/>
        </w:rPr>
      </w:pPr>
      <w:r w:rsidRPr="00AD6131">
        <w:rPr>
          <w:rFonts w:ascii="Verdana" w:eastAsia="Century Gothic" w:hAnsi="Verdana" w:cs="Century Gothic"/>
          <w:color w:val="000000" w:themeColor="text1"/>
          <w:sz w:val="20"/>
          <w:szCs w:val="20"/>
        </w:rPr>
        <w:sym w:font="Symbol" w:char="F0B7"/>
      </w:r>
      <w:r w:rsidRPr="00AD6131">
        <w:rPr>
          <w:rFonts w:ascii="Verdana" w:eastAsia="Century Gothic" w:hAnsi="Verdana" w:cs="Century Gothic"/>
          <w:color w:val="000000" w:themeColor="text1"/>
          <w:sz w:val="20"/>
          <w:szCs w:val="20"/>
        </w:rPr>
        <w:t xml:space="preserve"> Matriz de riesgos y procedimientos seguros de trabajo </w:t>
      </w:r>
    </w:p>
    <w:p w14:paraId="650DF158" w14:textId="77777777" w:rsidR="00100B2C" w:rsidRDefault="00100B2C" w:rsidP="00100B2C">
      <w:pPr>
        <w:spacing w:after="0"/>
        <w:ind w:left="709" w:right="709"/>
        <w:jc w:val="both"/>
        <w:rPr>
          <w:rFonts w:ascii="Verdana" w:eastAsia="Century Gothic" w:hAnsi="Verdana" w:cs="Century Gothic"/>
          <w:color w:val="000000" w:themeColor="text1"/>
          <w:sz w:val="20"/>
          <w:szCs w:val="20"/>
        </w:rPr>
      </w:pPr>
      <w:r w:rsidRPr="00AD6131">
        <w:rPr>
          <w:rFonts w:ascii="Verdana" w:eastAsia="Century Gothic" w:hAnsi="Verdana" w:cs="Century Gothic"/>
          <w:color w:val="000000" w:themeColor="text1"/>
          <w:sz w:val="20"/>
          <w:szCs w:val="20"/>
        </w:rPr>
        <w:sym w:font="Symbol" w:char="F0B7"/>
      </w:r>
      <w:r w:rsidRPr="00AD6131">
        <w:rPr>
          <w:rFonts w:ascii="Verdana" w:eastAsia="Century Gothic" w:hAnsi="Verdana" w:cs="Century Gothic"/>
          <w:color w:val="000000" w:themeColor="text1"/>
          <w:sz w:val="20"/>
          <w:szCs w:val="20"/>
        </w:rPr>
        <w:t xml:space="preserve"> Plan de gestión de residuos peligrosos (RESPEL) </w:t>
      </w:r>
    </w:p>
    <w:p w14:paraId="62F09E26" w14:textId="77777777" w:rsidR="00100B2C" w:rsidRDefault="00100B2C" w:rsidP="00100B2C">
      <w:pPr>
        <w:spacing w:after="0"/>
        <w:ind w:left="709" w:right="709"/>
        <w:jc w:val="both"/>
        <w:rPr>
          <w:rFonts w:ascii="Verdana" w:eastAsia="Century Gothic" w:hAnsi="Verdana" w:cs="Century Gothic"/>
          <w:color w:val="000000" w:themeColor="text1"/>
          <w:sz w:val="20"/>
          <w:szCs w:val="20"/>
        </w:rPr>
      </w:pPr>
      <w:r w:rsidRPr="00AD6131">
        <w:rPr>
          <w:rFonts w:ascii="Verdana" w:eastAsia="Century Gothic" w:hAnsi="Verdana" w:cs="Century Gothic"/>
          <w:color w:val="000000" w:themeColor="text1"/>
          <w:sz w:val="20"/>
          <w:szCs w:val="20"/>
        </w:rPr>
        <w:sym w:font="Symbol" w:char="F0B7"/>
      </w:r>
      <w:r w:rsidRPr="00AD6131">
        <w:rPr>
          <w:rFonts w:ascii="Verdana" w:eastAsia="Century Gothic" w:hAnsi="Verdana" w:cs="Century Gothic"/>
          <w:color w:val="000000" w:themeColor="text1"/>
          <w:sz w:val="20"/>
          <w:szCs w:val="20"/>
        </w:rPr>
        <w:t xml:space="preserve"> Hojas de seguridad de sustancias químicas (SDS) </w:t>
      </w:r>
    </w:p>
    <w:p w14:paraId="43F00832" w14:textId="77777777" w:rsidR="00100B2C" w:rsidRDefault="00100B2C" w:rsidP="00100B2C">
      <w:pPr>
        <w:spacing w:after="0"/>
        <w:ind w:left="709" w:right="709"/>
        <w:jc w:val="both"/>
        <w:rPr>
          <w:rFonts w:ascii="Verdana" w:eastAsia="Century Gothic" w:hAnsi="Verdana" w:cs="Century Gothic"/>
          <w:color w:val="000000" w:themeColor="text1"/>
          <w:sz w:val="20"/>
          <w:szCs w:val="20"/>
        </w:rPr>
      </w:pPr>
    </w:p>
    <w:p w14:paraId="6A7751AF" w14:textId="77777777" w:rsidR="00100B2C" w:rsidRDefault="00100B2C" w:rsidP="00100B2C">
      <w:pPr>
        <w:spacing w:after="0"/>
        <w:ind w:left="709" w:right="709"/>
        <w:jc w:val="both"/>
        <w:rPr>
          <w:rFonts w:ascii="Verdana" w:eastAsia="Century Gothic" w:hAnsi="Verdana" w:cs="Century Gothic"/>
          <w:color w:val="000000" w:themeColor="text1"/>
          <w:sz w:val="20"/>
          <w:szCs w:val="20"/>
        </w:rPr>
      </w:pPr>
      <w:r w:rsidRPr="00AD6131">
        <w:rPr>
          <w:rFonts w:ascii="Verdana" w:eastAsia="Century Gothic" w:hAnsi="Verdana" w:cs="Century Gothic"/>
          <w:color w:val="000000" w:themeColor="text1"/>
          <w:sz w:val="20"/>
          <w:szCs w:val="20"/>
        </w:rPr>
        <w:t xml:space="preserve">Solicito que la respuesta indique expresamente si permitir que estos documentos sean aportados después de la adjudicación constituye una falla en la planeación que expone a la entidad a riesgos de: </w:t>
      </w:r>
    </w:p>
    <w:p w14:paraId="7E859983" w14:textId="77777777" w:rsidR="00100B2C" w:rsidRDefault="00100B2C" w:rsidP="00100B2C">
      <w:pPr>
        <w:spacing w:after="0"/>
        <w:ind w:left="709" w:right="709"/>
        <w:jc w:val="both"/>
        <w:rPr>
          <w:rFonts w:ascii="Verdana" w:eastAsia="Century Gothic" w:hAnsi="Verdana" w:cs="Century Gothic"/>
          <w:color w:val="000000" w:themeColor="text1"/>
          <w:sz w:val="20"/>
          <w:szCs w:val="20"/>
        </w:rPr>
      </w:pPr>
    </w:p>
    <w:p w14:paraId="665F28DA" w14:textId="77777777" w:rsidR="00100B2C" w:rsidRDefault="00100B2C" w:rsidP="00100B2C">
      <w:pPr>
        <w:spacing w:after="0"/>
        <w:ind w:left="709" w:right="709"/>
        <w:jc w:val="both"/>
        <w:rPr>
          <w:rFonts w:ascii="Verdana" w:eastAsia="Century Gothic" w:hAnsi="Verdana" w:cs="Century Gothic"/>
          <w:color w:val="000000" w:themeColor="text1"/>
          <w:sz w:val="20"/>
          <w:szCs w:val="20"/>
        </w:rPr>
      </w:pPr>
      <w:r w:rsidRPr="00AD6131">
        <w:rPr>
          <w:rFonts w:ascii="Verdana" w:eastAsia="Century Gothic" w:hAnsi="Verdana" w:cs="Century Gothic"/>
          <w:color w:val="000000" w:themeColor="text1"/>
          <w:sz w:val="20"/>
          <w:szCs w:val="20"/>
        </w:rPr>
        <w:sym w:font="Symbol" w:char="F0B7"/>
      </w:r>
      <w:r w:rsidRPr="00AD6131">
        <w:rPr>
          <w:rFonts w:ascii="Verdana" w:eastAsia="Century Gothic" w:hAnsi="Verdana" w:cs="Century Gothic"/>
          <w:color w:val="000000" w:themeColor="text1"/>
          <w:sz w:val="20"/>
          <w:szCs w:val="20"/>
        </w:rPr>
        <w:t xml:space="preserve"> Imposibilidad de ejecución del contrato, </w:t>
      </w:r>
    </w:p>
    <w:p w14:paraId="6BAF338C" w14:textId="77777777" w:rsidR="00100B2C" w:rsidRDefault="00100B2C" w:rsidP="00100B2C">
      <w:pPr>
        <w:spacing w:after="0"/>
        <w:ind w:left="709" w:right="709"/>
        <w:jc w:val="both"/>
        <w:rPr>
          <w:rFonts w:ascii="Verdana" w:eastAsia="Century Gothic" w:hAnsi="Verdana" w:cs="Century Gothic"/>
          <w:color w:val="000000" w:themeColor="text1"/>
          <w:sz w:val="20"/>
          <w:szCs w:val="20"/>
        </w:rPr>
      </w:pPr>
      <w:r w:rsidRPr="00AD6131">
        <w:rPr>
          <w:rFonts w:ascii="Verdana" w:eastAsia="Century Gothic" w:hAnsi="Verdana" w:cs="Century Gothic"/>
          <w:color w:val="000000" w:themeColor="text1"/>
          <w:sz w:val="20"/>
          <w:szCs w:val="20"/>
        </w:rPr>
        <w:sym w:font="Symbol" w:char="F0B7"/>
      </w:r>
      <w:r w:rsidRPr="00AD6131">
        <w:rPr>
          <w:rFonts w:ascii="Verdana" w:eastAsia="Century Gothic" w:hAnsi="Verdana" w:cs="Century Gothic"/>
          <w:color w:val="000000" w:themeColor="text1"/>
          <w:sz w:val="20"/>
          <w:szCs w:val="20"/>
        </w:rPr>
        <w:t xml:space="preserve"> Sanciones sanitarias o ambientales, </w:t>
      </w:r>
    </w:p>
    <w:p w14:paraId="3B596178" w14:textId="77777777" w:rsidR="00100B2C" w:rsidRDefault="00100B2C" w:rsidP="00100B2C">
      <w:pPr>
        <w:spacing w:after="0"/>
        <w:ind w:left="709" w:right="709"/>
        <w:jc w:val="both"/>
        <w:rPr>
          <w:rFonts w:ascii="Verdana" w:eastAsia="Century Gothic" w:hAnsi="Verdana" w:cs="Century Gothic"/>
          <w:color w:val="000000" w:themeColor="text1"/>
          <w:sz w:val="20"/>
          <w:szCs w:val="20"/>
        </w:rPr>
      </w:pPr>
      <w:r w:rsidRPr="00AD6131">
        <w:rPr>
          <w:rFonts w:ascii="Verdana" w:eastAsia="Century Gothic" w:hAnsi="Verdana" w:cs="Century Gothic"/>
          <w:color w:val="000000" w:themeColor="text1"/>
          <w:sz w:val="20"/>
          <w:szCs w:val="20"/>
        </w:rPr>
        <w:sym w:font="Symbol" w:char="F0B7"/>
      </w:r>
      <w:r w:rsidRPr="00AD6131">
        <w:rPr>
          <w:rFonts w:ascii="Verdana" w:eastAsia="Century Gothic" w:hAnsi="Verdana" w:cs="Century Gothic"/>
          <w:color w:val="000000" w:themeColor="text1"/>
          <w:sz w:val="20"/>
          <w:szCs w:val="20"/>
        </w:rPr>
        <w:t xml:space="preserve"> Responsabilidad solidaria o subsidiaria por accidentes laborales, </w:t>
      </w:r>
    </w:p>
    <w:p w14:paraId="6EFD09BD" w14:textId="77777777" w:rsidR="00100B2C" w:rsidRDefault="00100B2C" w:rsidP="00100B2C">
      <w:pPr>
        <w:spacing w:after="0"/>
        <w:ind w:left="709" w:right="709"/>
        <w:jc w:val="both"/>
        <w:rPr>
          <w:rFonts w:ascii="Verdana" w:eastAsia="Century Gothic" w:hAnsi="Verdana" w:cs="Century Gothic"/>
          <w:color w:val="000000" w:themeColor="text1"/>
          <w:sz w:val="20"/>
          <w:szCs w:val="20"/>
        </w:rPr>
      </w:pPr>
      <w:r w:rsidRPr="00AD6131">
        <w:rPr>
          <w:rFonts w:ascii="Verdana" w:eastAsia="Century Gothic" w:hAnsi="Verdana" w:cs="Century Gothic"/>
          <w:color w:val="000000" w:themeColor="text1"/>
          <w:sz w:val="20"/>
          <w:szCs w:val="20"/>
        </w:rPr>
        <w:sym w:font="Symbol" w:char="F0B7"/>
      </w:r>
      <w:r w:rsidRPr="00AD6131">
        <w:rPr>
          <w:rFonts w:ascii="Verdana" w:eastAsia="Century Gothic" w:hAnsi="Verdana" w:cs="Century Gothic"/>
          <w:color w:val="000000" w:themeColor="text1"/>
          <w:sz w:val="20"/>
          <w:szCs w:val="20"/>
        </w:rPr>
        <w:t xml:space="preserve"> Declaratoria de nulidad del contrato por falta de capacidad del contratista</w:t>
      </w:r>
      <w:r>
        <w:rPr>
          <w:rFonts w:ascii="Verdana" w:eastAsia="Century Gothic" w:hAnsi="Verdana" w:cs="Century Gothic"/>
          <w:color w:val="000000" w:themeColor="text1"/>
          <w:sz w:val="20"/>
          <w:szCs w:val="20"/>
        </w:rPr>
        <w:t>”</w:t>
      </w:r>
      <w:r w:rsidRPr="00AD6131">
        <w:rPr>
          <w:rFonts w:ascii="Verdana" w:eastAsia="Century Gothic" w:hAnsi="Verdana" w:cs="Century Gothic"/>
          <w:color w:val="000000" w:themeColor="text1"/>
          <w:sz w:val="20"/>
          <w:szCs w:val="20"/>
        </w:rPr>
        <w:t>.</w:t>
      </w:r>
    </w:p>
    <w:p w14:paraId="7C6B8CFF" w14:textId="77777777" w:rsidR="00100B2C" w:rsidRPr="006E3E0D" w:rsidRDefault="00100B2C" w:rsidP="00100B2C">
      <w:pPr>
        <w:spacing w:after="0" w:line="240" w:lineRule="auto"/>
        <w:ind w:left="709" w:right="709"/>
        <w:jc w:val="both"/>
        <w:rPr>
          <w:rFonts w:ascii="Verdana" w:eastAsia="Century Gothic" w:hAnsi="Verdana" w:cs="Century Gothic"/>
          <w:color w:val="000000" w:themeColor="text1"/>
          <w:sz w:val="20"/>
          <w:szCs w:val="20"/>
          <w:lang w:val="es-ES"/>
        </w:rPr>
      </w:pPr>
    </w:p>
    <w:p w14:paraId="450CFDDC" w14:textId="77777777" w:rsidR="00100B2C" w:rsidRPr="006E3E0D" w:rsidRDefault="00100B2C" w:rsidP="00100B2C">
      <w:pPr>
        <w:spacing w:after="120" w:line="276" w:lineRule="auto"/>
        <w:ind w:firstLine="709"/>
        <w:jc w:val="both"/>
        <w:rPr>
          <w:rFonts w:ascii="Verdana" w:eastAsia="Calibri" w:hAnsi="Verdana" w:cs="Arial"/>
          <w:color w:val="000000" w:themeColor="text1"/>
          <w:szCs w:val="24"/>
          <w:lang w:val="es-ES" w:eastAsia="es-ES_tradnl"/>
        </w:rPr>
      </w:pPr>
      <w:r w:rsidRPr="006E3E0D">
        <w:rPr>
          <w:rFonts w:ascii="Verdana" w:eastAsia="Calibri" w:hAnsi="Verdana" w:cs="Arial"/>
          <w:color w:val="000000" w:themeColor="text1"/>
          <w:lang w:val="es-ES" w:eastAsia="es-ES"/>
        </w:rPr>
        <w:t xml:space="preserve">De manera preliminar, es necesario resaltar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6E3E0D">
        <w:rPr>
          <w:rFonts w:ascii="Verdana" w:eastAsia="Calibri" w:hAnsi="Verdana" w:cs="Arial"/>
          <w:color w:val="000000" w:themeColor="text1"/>
          <w:szCs w:val="24"/>
          <w:lang w:val="es-ES" w:eastAsia="es-ES_tradnl"/>
        </w:rPr>
        <w:tab/>
      </w:r>
    </w:p>
    <w:p w14:paraId="1E73B811" w14:textId="77777777" w:rsidR="00100B2C" w:rsidRPr="006E3E0D" w:rsidRDefault="00100B2C" w:rsidP="00100B2C">
      <w:pPr>
        <w:spacing w:after="0" w:line="276" w:lineRule="auto"/>
        <w:ind w:firstLine="709"/>
        <w:jc w:val="both"/>
        <w:rPr>
          <w:rFonts w:ascii="Verdana" w:eastAsia="Calibri" w:hAnsi="Verdana" w:cs="Arial"/>
          <w:color w:val="000000" w:themeColor="text1"/>
          <w:lang w:val="es-ES" w:eastAsia="es-ES"/>
        </w:rPr>
      </w:pPr>
      <w:r w:rsidRPr="006E3E0D">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w:t>
      </w:r>
      <w:r w:rsidRPr="006E3E0D">
        <w:rPr>
          <w:rFonts w:ascii="Verdana" w:eastAsia="Calibri" w:hAnsi="Verdana" w:cs="Arial"/>
          <w:color w:val="000000" w:themeColor="text1"/>
          <w:lang w:val="es-ES" w:eastAsia="es-ES"/>
        </w:rPr>
        <w:lastRenderedPageBreak/>
        <w:t xml:space="preserve">concretas mencionadas en su petición, pero haciendo unas consideraciones sobre las normas generales relacionadas con el problema jurídico de su consulta. </w:t>
      </w:r>
    </w:p>
    <w:p w14:paraId="5869212B" w14:textId="77777777" w:rsidR="00100B2C" w:rsidRPr="006E3E0D" w:rsidRDefault="00100B2C" w:rsidP="00100B2C">
      <w:pPr>
        <w:spacing w:after="0" w:line="276" w:lineRule="auto"/>
        <w:jc w:val="both"/>
        <w:rPr>
          <w:rFonts w:ascii="Verdana" w:eastAsia="Calibri" w:hAnsi="Verdana" w:cs="Arial"/>
          <w:color w:val="000000" w:themeColor="text1"/>
          <w:lang w:val="es-ES" w:eastAsia="es-ES"/>
        </w:rPr>
      </w:pPr>
    </w:p>
    <w:p w14:paraId="542A42EA" w14:textId="77777777" w:rsidR="00100B2C" w:rsidRPr="006E3E0D" w:rsidRDefault="00100B2C" w:rsidP="00100B2C">
      <w:pPr>
        <w:pStyle w:val="Prrafodelista"/>
        <w:numPr>
          <w:ilvl w:val="0"/>
          <w:numId w:val="21"/>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6E3E0D">
        <w:rPr>
          <w:rFonts w:ascii="Verdana" w:eastAsia="Century Gothic" w:hAnsi="Verdana" w:cs="Century Gothic"/>
          <w:b/>
          <w:bCs/>
          <w:color w:val="000000" w:themeColor="text1"/>
        </w:rPr>
        <w:t>Problema planteado:</w:t>
      </w:r>
    </w:p>
    <w:p w14:paraId="7455F21B" w14:textId="77777777" w:rsidR="00100B2C" w:rsidRPr="006E3E0D" w:rsidRDefault="00100B2C" w:rsidP="00100B2C">
      <w:pPr>
        <w:tabs>
          <w:tab w:val="left" w:pos="426"/>
        </w:tabs>
        <w:spacing w:after="0" w:line="276" w:lineRule="auto"/>
        <w:jc w:val="both"/>
        <w:rPr>
          <w:rFonts w:ascii="Verdana" w:eastAsia="Century Gothic" w:hAnsi="Verdana" w:cs="Century Gothic"/>
          <w:color w:val="000000" w:themeColor="text1"/>
          <w:lang w:val="es-ES"/>
        </w:rPr>
      </w:pPr>
    </w:p>
    <w:p w14:paraId="2035F39E" w14:textId="77777777" w:rsidR="00100B2C" w:rsidRPr="006E3E0D" w:rsidRDefault="00100B2C" w:rsidP="00100B2C">
      <w:pPr>
        <w:spacing w:after="0" w:line="276" w:lineRule="auto"/>
        <w:jc w:val="both"/>
        <w:rPr>
          <w:rFonts w:ascii="Verdana" w:eastAsia="Century Gothic" w:hAnsi="Verdana" w:cs="Century Gothic"/>
          <w:color w:val="000000" w:themeColor="text1"/>
          <w:lang w:val="es-ES"/>
        </w:rPr>
      </w:pPr>
      <w:r w:rsidRPr="006E3E0D">
        <w:rPr>
          <w:rFonts w:ascii="Verdana" w:eastAsia="Century Gothic" w:hAnsi="Verdana" w:cs="Century Gothic"/>
          <w:color w:val="000000" w:themeColor="text1"/>
          <w:lang w:val="es-ES"/>
        </w:rPr>
        <w:t>De acuerdo con el contenido de su solicitud, esta Agencia resolverá el siguiente problema jurídico: ¿Pueden las Entidades Estatales establecer requisitos habilitantes que se encuentren relacionados con el Sistema de Gestión de Seguridad y Salud en el Trabajo (SG-SST)?</w:t>
      </w:r>
    </w:p>
    <w:p w14:paraId="50CFA6F9" w14:textId="77777777" w:rsidR="00100B2C" w:rsidRPr="006E3E0D" w:rsidRDefault="00100B2C" w:rsidP="00100B2C">
      <w:pPr>
        <w:spacing w:after="0" w:line="276" w:lineRule="auto"/>
        <w:jc w:val="both"/>
        <w:rPr>
          <w:rFonts w:ascii="Verdana" w:eastAsia="Calibri" w:hAnsi="Verdana" w:cs="Arial"/>
          <w:color w:val="000000" w:themeColor="text1"/>
          <w:lang w:val="es-ES"/>
        </w:rPr>
      </w:pPr>
    </w:p>
    <w:p w14:paraId="49458F99" w14:textId="77777777" w:rsidR="00100B2C" w:rsidRPr="006E3E0D" w:rsidRDefault="00100B2C" w:rsidP="00100B2C">
      <w:pPr>
        <w:pStyle w:val="Prrafodelista"/>
        <w:numPr>
          <w:ilvl w:val="0"/>
          <w:numId w:val="21"/>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6E3E0D">
        <w:rPr>
          <w:rFonts w:ascii="Verdana" w:eastAsia="Century Gothic" w:hAnsi="Verdana" w:cs="Century Gothic"/>
          <w:b/>
          <w:bCs/>
          <w:color w:val="000000" w:themeColor="text1"/>
        </w:rPr>
        <w:t>Respuesta:</w:t>
      </w:r>
    </w:p>
    <w:p w14:paraId="0CA2C510" w14:textId="77777777" w:rsidR="00100B2C" w:rsidRPr="006E3E0D" w:rsidRDefault="00100B2C" w:rsidP="00100B2C">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00B2C" w:rsidRPr="006E3E0D" w14:paraId="14C099A4" w14:textId="77777777" w:rsidTr="001B1335">
        <w:tc>
          <w:tcPr>
            <w:tcW w:w="8828" w:type="dxa"/>
          </w:tcPr>
          <w:p w14:paraId="5B6EC08A" w14:textId="77777777" w:rsidR="00100B2C" w:rsidRPr="006E3E0D" w:rsidRDefault="00100B2C" w:rsidP="001B1335">
            <w:pPr>
              <w:spacing w:after="120" w:line="276" w:lineRule="auto"/>
              <w:ind w:right="79"/>
              <w:jc w:val="both"/>
              <w:rPr>
                <w:rFonts w:ascii="Verdana" w:eastAsia="Arial" w:hAnsi="Verdana" w:cs="Arial"/>
                <w:bCs/>
                <w:lang w:val="es-ES"/>
              </w:rPr>
            </w:pPr>
            <w:r w:rsidRPr="006E3E0D">
              <w:rPr>
                <w:rFonts w:ascii="Verdana" w:eastAsia="Arial" w:hAnsi="Verdana" w:cs="Arial"/>
                <w:bCs/>
                <w:lang w:val="es-ES"/>
              </w:rPr>
              <w:t xml:space="preserve">La Ley 1150 de 2007 determinó como requisitos habilitantes la capacidad jurídica, las condiciones de experiencia, la capacidad financiera y la capacidad de organización de los proponentes. Sin embargo, este listado es enunciativo, de manera que corresponde a las Entidades Estatales establecer los requisitos habilitantes que resulten proporcionales y adecuados en cada proceso contractual, según los </w:t>
            </w:r>
            <w:r>
              <w:rPr>
                <w:rFonts w:ascii="Verdana" w:eastAsia="Arial" w:hAnsi="Verdana" w:cs="Arial"/>
                <w:bCs/>
                <w:lang w:val="es-ES"/>
              </w:rPr>
              <w:t xml:space="preserve">requisitos </w:t>
            </w:r>
            <w:r w:rsidRPr="006E3E0D">
              <w:rPr>
                <w:rFonts w:ascii="Verdana" w:eastAsia="Arial" w:hAnsi="Verdana" w:cs="Arial"/>
                <w:bCs/>
                <w:lang w:val="es-ES"/>
              </w:rPr>
              <w:t>fijados en el Decreto 1082 de 2015. El ejercicio de esta facultad debe cumplir con los parámetros explicados en este concepto y respetar las prohibiciones legales.</w:t>
            </w:r>
          </w:p>
          <w:p w14:paraId="42DD6425" w14:textId="77777777" w:rsidR="00100B2C" w:rsidRPr="006E3E0D" w:rsidRDefault="00100B2C" w:rsidP="001B1335">
            <w:pPr>
              <w:spacing w:after="120" w:line="276" w:lineRule="auto"/>
              <w:ind w:right="79" w:firstLine="601"/>
              <w:jc w:val="both"/>
              <w:rPr>
                <w:rFonts w:ascii="Verdana" w:eastAsia="Arial" w:hAnsi="Verdana" w:cs="Arial"/>
                <w:bCs/>
                <w:lang w:val="es-ES"/>
              </w:rPr>
            </w:pPr>
            <w:r w:rsidRPr="006E3E0D">
              <w:rPr>
                <w:rFonts w:ascii="Verdana" w:eastAsia="Arial" w:hAnsi="Verdana" w:cs="Arial"/>
                <w:bCs/>
                <w:lang w:val="es-ES"/>
              </w:rPr>
              <w:t>Teniendo en cuenta que los requisitos habilitantes establecidos en el artículo 5 de la Ley 1150 de 2007 tienen carácter enunciativo, que</w:t>
            </w:r>
            <w:r>
              <w:rPr>
                <w:rFonts w:ascii="Verdana" w:eastAsia="Arial" w:hAnsi="Verdana" w:cs="Arial"/>
                <w:bCs/>
                <w:lang w:val="es-ES"/>
              </w:rPr>
              <w:t xml:space="preserve"> </w:t>
            </w:r>
            <w:r w:rsidRPr="006E3E0D">
              <w:rPr>
                <w:rFonts w:ascii="Verdana" w:eastAsia="Arial" w:hAnsi="Verdana" w:cs="Arial"/>
                <w:bCs/>
                <w:lang w:val="es-ES"/>
              </w:rPr>
              <w:t>las entidades tienen la facultad de establecer criterios distintos o adicionales en ejercicio de la autonomía de la voluntad, así como lo dispuesto en los artículos 2.2.4.6.4. y 2.2.4.6.28. del Decreto 1072 de 2015 y los artículos 14, 19 y 22 de la Resolución 312 de 2019 emitida por el Ministerio del Trabajo, esta Agencia considera que las Entidades Estatales tienen la potestad para incorporar parámetros o criterios de selección y evaluación en sus Procesos de Contratación que les permitan conocer que los proponentes cuentan con el Sistema de Gestión de Seguridad y Salud en el Trabajo (SG-SST), siempre que lo justifique</w:t>
            </w:r>
            <w:r>
              <w:rPr>
                <w:rFonts w:ascii="Verdana" w:eastAsia="Arial" w:hAnsi="Verdana" w:cs="Arial"/>
                <w:bCs/>
                <w:lang w:val="es-ES"/>
              </w:rPr>
              <w:t>n</w:t>
            </w:r>
            <w:r w:rsidRPr="006E3E0D">
              <w:rPr>
                <w:rFonts w:ascii="Verdana" w:eastAsia="Arial" w:hAnsi="Verdana" w:cs="Arial"/>
                <w:bCs/>
                <w:lang w:val="es-ES"/>
              </w:rPr>
              <w:t xml:space="preserve"> en los estudios previos y el análisis del sector de conformidad con el artículo 2.2.1.1.1.6.2 del Decreto 1082 de 2015.</w:t>
            </w:r>
          </w:p>
          <w:p w14:paraId="4257BC81" w14:textId="77777777" w:rsidR="00100B2C" w:rsidRDefault="00100B2C" w:rsidP="001B1335">
            <w:pPr>
              <w:spacing w:line="276" w:lineRule="auto"/>
              <w:ind w:right="79" w:firstLine="709"/>
              <w:jc w:val="both"/>
              <w:rPr>
                <w:rFonts w:ascii="Verdana" w:eastAsia="Arial" w:hAnsi="Verdana" w:cs="Arial"/>
                <w:bCs/>
                <w:lang w:val="es-ES"/>
              </w:rPr>
            </w:pPr>
            <w:r w:rsidRPr="006E3E0D">
              <w:rPr>
                <w:rFonts w:ascii="Verdana" w:eastAsia="Arial" w:hAnsi="Verdana" w:cs="Arial"/>
                <w:bCs/>
                <w:lang w:val="es-ES"/>
              </w:rPr>
              <w:t xml:space="preserve">En tal sentido, si bien puede considerase valida la inclusión de este criterio como requisito para un proceso de contratación, de acuerdo con la interpretación expuesta en este concepto, es preciso señalar que su fijación </w:t>
            </w:r>
            <w:r w:rsidRPr="006E3E0D">
              <w:rPr>
                <w:rFonts w:ascii="Verdana" w:eastAsia="Arial" w:hAnsi="Verdana" w:cs="Arial"/>
                <w:bCs/>
                <w:lang w:val="es-ES"/>
              </w:rPr>
              <w:lastRenderedPageBreak/>
              <w:t>deberá estar precedida de las mismas exigencias que tiene cualquier otro requisito habilitante o de calificación, de manera que su incorporación no puede ser arbitraria y la Entidad Estatal tiene la carga de justificar en los estudios previos y en el análisis del sector del proceso su procedencia, de conformidad con el artículo 2.2.1.1.1.6.2 del Decreto 1082 de 2015. Esto significa que no debe establecerse de forma mecánica en todos los procesos de contratación, sino que la Entidad Estatal deberá realizar un análisis integral de la necesidad identificada, el valor, plazo, el objeto contractual, obligaciones y demás condiciones para determinar si su incorporación como requisito de selección resulta adecuad</w:t>
            </w:r>
            <w:r>
              <w:rPr>
                <w:rFonts w:ascii="Verdana" w:eastAsia="Arial" w:hAnsi="Verdana" w:cs="Arial"/>
                <w:bCs/>
                <w:lang w:val="es-ES"/>
              </w:rPr>
              <w:t xml:space="preserve">o </w:t>
            </w:r>
            <w:r w:rsidRPr="006E3E0D">
              <w:rPr>
                <w:rFonts w:ascii="Verdana" w:eastAsia="Arial" w:hAnsi="Verdana" w:cs="Arial"/>
                <w:bCs/>
                <w:lang w:val="es-ES"/>
              </w:rPr>
              <w:t>y proporcional en el proceso en el que se pretende aplicar.</w:t>
            </w:r>
          </w:p>
          <w:p w14:paraId="3AE76B45" w14:textId="77777777" w:rsidR="00100B2C" w:rsidRPr="009E2496" w:rsidRDefault="00100B2C" w:rsidP="001B1335">
            <w:pPr>
              <w:spacing w:before="120" w:line="276" w:lineRule="auto"/>
              <w:ind w:firstLine="709"/>
              <w:jc w:val="both"/>
              <w:rPr>
                <w:rFonts w:ascii="Verdana" w:eastAsia="Calibri" w:hAnsi="Verdana" w:cs="Arial"/>
                <w:lang w:val="es-ES"/>
              </w:rPr>
            </w:pPr>
            <w:r>
              <w:rPr>
                <w:rFonts w:ascii="Verdana" w:eastAsia="Calibri" w:hAnsi="Verdana" w:cs="Arial"/>
                <w:lang w:val="es-ES"/>
              </w:rPr>
              <w:t xml:space="preserve">Asimismo, </w:t>
            </w:r>
            <w:r w:rsidRPr="009E2496">
              <w:rPr>
                <w:rFonts w:ascii="Verdana" w:eastAsia="Calibri" w:hAnsi="Verdana" w:cs="Arial"/>
                <w:lang w:val="es-ES"/>
              </w:rPr>
              <w:t>respecto de los requisitos de carácter ambiental y sanitario</w:t>
            </w:r>
            <w:r>
              <w:rPr>
                <w:rFonts w:ascii="Verdana" w:eastAsia="Calibri" w:hAnsi="Verdana" w:cs="Arial"/>
                <w:lang w:val="es-ES"/>
              </w:rPr>
              <w:t xml:space="preserve"> a los que alude en su consulta, </w:t>
            </w:r>
            <w:r w:rsidRPr="009E2496">
              <w:rPr>
                <w:rFonts w:ascii="Verdana" w:eastAsia="Calibri" w:hAnsi="Verdana" w:cs="Arial"/>
                <w:lang w:val="es-ES"/>
              </w:rPr>
              <w:t>tales como conceptos sanitarios, autorizaciones para la aplicación de plaguicidas, planes de gestión de residuos peligroso</w:t>
            </w:r>
            <w:r>
              <w:rPr>
                <w:rFonts w:ascii="Verdana" w:eastAsia="Calibri" w:hAnsi="Verdana" w:cs="Arial"/>
                <w:lang w:val="es-ES"/>
              </w:rPr>
              <w:t>s, entre otros</w:t>
            </w:r>
            <w:r w:rsidRPr="009E2496">
              <w:rPr>
                <w:rFonts w:ascii="Verdana" w:eastAsia="Calibri" w:hAnsi="Verdana" w:cs="Arial"/>
                <w:lang w:val="es-ES"/>
              </w:rPr>
              <w:t>, es importante precisar que corresponde a cada entidad estatal determinar, con fundamento en las características del objeto contractual y en la regulación aplicable, si dichos requisitos deben exigirse como condiciones habilitantes para participar en el proceso de selección o, por el contrario, establecerse como obligaciones contractuales cuyo cumplimiento deba verificarse durante la ejecución del contrato.</w:t>
            </w:r>
          </w:p>
          <w:p w14:paraId="5B0AF7B4" w14:textId="77777777" w:rsidR="00100B2C" w:rsidRPr="009E2496" w:rsidRDefault="00100B2C" w:rsidP="001B1335">
            <w:pPr>
              <w:spacing w:before="120" w:line="276" w:lineRule="auto"/>
              <w:ind w:firstLine="709"/>
              <w:jc w:val="both"/>
              <w:rPr>
                <w:rFonts w:ascii="Verdana" w:eastAsia="Calibri" w:hAnsi="Verdana" w:cs="Arial"/>
                <w:lang w:val="es-ES"/>
              </w:rPr>
            </w:pPr>
            <w:r>
              <w:rPr>
                <w:rFonts w:ascii="Verdana" w:eastAsia="Calibri" w:hAnsi="Verdana" w:cs="Arial"/>
                <w:lang w:val="es-ES"/>
              </w:rPr>
              <w:t>Como se explicó, e</w:t>
            </w:r>
            <w:r w:rsidRPr="009E2496">
              <w:rPr>
                <w:rFonts w:ascii="Verdana" w:eastAsia="Calibri" w:hAnsi="Verdana" w:cs="Arial"/>
                <w:lang w:val="es-ES"/>
              </w:rPr>
              <w:t>sta determinación debe realizarse a partir de un análisis técnico y jurídico de las actividades que comprende el objeto contractual. En ese sentido, cuando la normativa vigente exija una autorización, licencia</w:t>
            </w:r>
            <w:r>
              <w:rPr>
                <w:rFonts w:ascii="Verdana" w:eastAsia="Calibri" w:hAnsi="Verdana" w:cs="Arial"/>
                <w:lang w:val="es-ES"/>
              </w:rPr>
              <w:t xml:space="preserve"> o </w:t>
            </w:r>
            <w:r w:rsidRPr="009E2496">
              <w:rPr>
                <w:rFonts w:ascii="Verdana" w:eastAsia="Calibri" w:hAnsi="Verdana" w:cs="Arial"/>
                <w:lang w:val="es-ES"/>
              </w:rPr>
              <w:t>permiso como condición indispensable para desarrollar la actividad objeto del contrato, la entidad podrá establecer dicho requisito como condición habilitante, en la medida en que su acreditación resulte necesaria para verificar la capacidad jurídica o técnica del proponente para ejecutar válidamente el contrato. En estos casos, la exigencia no responde a un criterio discrecional de la entidad, sino al cumplimiento de un mandato legal que condiciona el ejercicio de la actividad contratada.</w:t>
            </w:r>
          </w:p>
          <w:p w14:paraId="4ECD92BA" w14:textId="77777777" w:rsidR="00100B2C" w:rsidRDefault="00100B2C" w:rsidP="001B1335">
            <w:pPr>
              <w:spacing w:before="120" w:line="276" w:lineRule="auto"/>
              <w:ind w:firstLine="709"/>
              <w:jc w:val="both"/>
              <w:rPr>
                <w:rFonts w:ascii="Verdana" w:eastAsia="Calibri" w:hAnsi="Verdana" w:cs="Arial"/>
                <w:lang w:val="es-ES"/>
              </w:rPr>
            </w:pPr>
            <w:r w:rsidRPr="009E2496">
              <w:rPr>
                <w:rFonts w:ascii="Verdana" w:eastAsia="Calibri" w:hAnsi="Verdana" w:cs="Arial"/>
                <w:lang w:val="es-ES"/>
              </w:rPr>
              <w:t xml:space="preserve">En cualquier caso, la decisión de incorporar este tipo de exigencias como requisitos habilitantes debe observar los principios de proporcionalidad, necesidad y relación con el objeto contractual. En consecuencia, la entidad deberá justificar que tales requisitos guardan una conexión directa con las actividades a ejecutar y que son estrictamente necesarios para verificar la </w:t>
            </w:r>
            <w:r w:rsidRPr="009E2496">
              <w:rPr>
                <w:rFonts w:ascii="Verdana" w:eastAsia="Calibri" w:hAnsi="Verdana" w:cs="Arial"/>
                <w:lang w:val="es-ES"/>
              </w:rPr>
              <w:lastRenderedPageBreak/>
              <w:t>idoneidad del proponente, evitando imponer cargas injustificadas que limiten la libre concurrencia o restrinjan indebidamente la participación de potenciales oferentes.</w:t>
            </w:r>
            <w:r>
              <w:rPr>
                <w:rFonts w:ascii="Verdana" w:eastAsia="Calibri" w:hAnsi="Verdana" w:cs="Arial"/>
                <w:lang w:val="es-ES"/>
              </w:rPr>
              <w:t xml:space="preserve"> </w:t>
            </w:r>
          </w:p>
          <w:p w14:paraId="3F82B759" w14:textId="77777777" w:rsidR="00100B2C" w:rsidRPr="002E40B9" w:rsidRDefault="00100B2C" w:rsidP="001B1335">
            <w:pPr>
              <w:spacing w:before="120" w:line="276" w:lineRule="auto"/>
              <w:ind w:firstLine="709"/>
              <w:jc w:val="both"/>
              <w:rPr>
                <w:rFonts w:ascii="Verdana" w:eastAsia="Calibri" w:hAnsi="Verdana" w:cs="Arial"/>
                <w:lang w:val="es-ES"/>
              </w:rPr>
            </w:pPr>
            <w:r w:rsidRPr="009E2496">
              <w:rPr>
                <w:rFonts w:ascii="Verdana" w:eastAsia="Calibri" w:hAnsi="Verdana" w:cs="Arial"/>
                <w:lang w:val="es-ES"/>
              </w:rPr>
              <w:t xml:space="preserve">Finalmente, debe precisarse que el hecho de que determinados requisitos ambientales o sanitarios se establezcan como obligaciones de ejecución y no como requisitos habilitantes no implica, por sí mismo, una deficiencia en la planeación del proceso de contratación. </w:t>
            </w:r>
            <w:r>
              <w:rPr>
                <w:rFonts w:ascii="Verdana" w:eastAsia="Calibri" w:hAnsi="Verdana" w:cs="Arial"/>
                <w:lang w:val="es-ES"/>
              </w:rPr>
              <w:t>E</w:t>
            </w:r>
            <w:r w:rsidRPr="009E2496">
              <w:rPr>
                <w:rFonts w:ascii="Verdana" w:eastAsia="Calibri" w:hAnsi="Verdana" w:cs="Arial"/>
                <w:lang w:val="es-ES"/>
              </w:rPr>
              <w:t xml:space="preserve">sta decisión </w:t>
            </w:r>
            <w:r>
              <w:rPr>
                <w:rFonts w:ascii="Verdana" w:eastAsia="Calibri" w:hAnsi="Verdana" w:cs="Arial"/>
                <w:lang w:val="es-ES"/>
              </w:rPr>
              <w:t xml:space="preserve">se debe </w:t>
            </w:r>
            <w:r w:rsidRPr="009E2496">
              <w:rPr>
                <w:rFonts w:ascii="Verdana" w:eastAsia="Calibri" w:hAnsi="Verdana" w:cs="Arial"/>
                <w:lang w:val="es-ES"/>
              </w:rPr>
              <w:t>fundame</w:t>
            </w:r>
            <w:r>
              <w:rPr>
                <w:rFonts w:ascii="Verdana" w:eastAsia="Calibri" w:hAnsi="Verdana" w:cs="Arial"/>
                <w:lang w:val="es-ES"/>
              </w:rPr>
              <w:t xml:space="preserve">ntar </w:t>
            </w:r>
            <w:r w:rsidRPr="009E2496">
              <w:rPr>
                <w:rFonts w:ascii="Verdana" w:eastAsia="Calibri" w:hAnsi="Verdana" w:cs="Arial"/>
                <w:lang w:val="es-ES"/>
              </w:rPr>
              <w:t xml:space="preserve">en un análisis de la normativa aplicable, de la naturaleza del objeto contractual y del momento en que tales </w:t>
            </w:r>
            <w:r>
              <w:rPr>
                <w:rFonts w:ascii="Verdana" w:eastAsia="Calibri" w:hAnsi="Verdana" w:cs="Arial"/>
                <w:lang w:val="es-ES"/>
              </w:rPr>
              <w:t>condiciones</w:t>
            </w:r>
            <w:r w:rsidRPr="009E2496">
              <w:rPr>
                <w:rFonts w:ascii="Verdana" w:eastAsia="Calibri" w:hAnsi="Verdana" w:cs="Arial"/>
                <w:lang w:val="es-ES"/>
              </w:rPr>
              <w:t xml:space="preserve"> resultan legalmente exigibles. En consecuencia, corresponderá a cada entidad definir, de manera motivada y atendiendo las particularidades de cada proceso, el momento en el que estos requisitos deben acreditarse, garantizando el cumplimiento de la </w:t>
            </w:r>
            <w:r>
              <w:rPr>
                <w:rFonts w:ascii="Verdana" w:eastAsia="Calibri" w:hAnsi="Verdana" w:cs="Arial"/>
                <w:lang w:val="es-ES"/>
              </w:rPr>
              <w:t xml:space="preserve">normativa </w:t>
            </w:r>
            <w:r w:rsidRPr="009E2496">
              <w:rPr>
                <w:rFonts w:ascii="Verdana" w:eastAsia="Calibri" w:hAnsi="Verdana" w:cs="Arial"/>
                <w:lang w:val="es-ES"/>
              </w:rPr>
              <w:t>ambiental y sanitaria</w:t>
            </w:r>
            <w:r>
              <w:rPr>
                <w:rFonts w:ascii="Verdana" w:eastAsia="Calibri" w:hAnsi="Verdana" w:cs="Arial"/>
                <w:lang w:val="es-ES"/>
              </w:rPr>
              <w:t xml:space="preserve"> aplicable.</w:t>
            </w:r>
          </w:p>
        </w:tc>
      </w:tr>
    </w:tbl>
    <w:p w14:paraId="3BD2E6EB" w14:textId="77777777" w:rsidR="00100B2C" w:rsidRPr="006E3E0D" w:rsidRDefault="00100B2C" w:rsidP="00100B2C">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24F1A402" w14:textId="77777777" w:rsidR="00100B2C" w:rsidRPr="006E3E0D" w:rsidRDefault="00100B2C" w:rsidP="00100B2C">
      <w:pPr>
        <w:pStyle w:val="Prrafodelista"/>
        <w:numPr>
          <w:ilvl w:val="0"/>
          <w:numId w:val="21"/>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6E3E0D">
        <w:rPr>
          <w:rFonts w:ascii="Verdana" w:eastAsia="Century Gothic" w:hAnsi="Verdana" w:cs="Century Gothic"/>
          <w:b/>
          <w:bCs/>
          <w:color w:val="000000" w:themeColor="text1"/>
        </w:rPr>
        <w:t>Razones de la respuesta:</w:t>
      </w:r>
    </w:p>
    <w:p w14:paraId="652DA403" w14:textId="77777777" w:rsidR="00100B2C" w:rsidRPr="006E3E0D" w:rsidRDefault="00100B2C" w:rsidP="00100B2C">
      <w:pPr>
        <w:spacing w:after="0" w:line="276" w:lineRule="auto"/>
        <w:jc w:val="both"/>
        <w:rPr>
          <w:rFonts w:ascii="Verdana" w:eastAsia="Calibri" w:hAnsi="Verdana" w:cs="Arial"/>
          <w:color w:val="000000" w:themeColor="text1"/>
          <w:lang w:val="es-ES"/>
        </w:rPr>
      </w:pPr>
    </w:p>
    <w:p w14:paraId="22F9E547" w14:textId="77777777" w:rsidR="00100B2C" w:rsidRPr="006E3E0D" w:rsidRDefault="00100B2C" w:rsidP="00100B2C">
      <w:pPr>
        <w:spacing w:after="0" w:line="276" w:lineRule="auto"/>
        <w:jc w:val="both"/>
        <w:rPr>
          <w:rFonts w:ascii="Verdana" w:eastAsia="Calibri" w:hAnsi="Verdana" w:cs="Arial"/>
          <w:color w:val="000000" w:themeColor="text1"/>
          <w:lang w:val="es-ES"/>
        </w:rPr>
      </w:pPr>
      <w:r w:rsidRPr="006E3E0D">
        <w:rPr>
          <w:rFonts w:ascii="Verdana" w:eastAsia="Calibri" w:hAnsi="Verdana" w:cs="Arial"/>
          <w:color w:val="000000" w:themeColor="text1"/>
          <w:lang w:val="es-ES"/>
        </w:rPr>
        <w:t xml:space="preserve">Lo anterior se sustenta en las siguientes consideraciones: </w:t>
      </w:r>
    </w:p>
    <w:p w14:paraId="67DD94A1" w14:textId="77777777" w:rsidR="00100B2C" w:rsidRPr="006E3E0D" w:rsidRDefault="00100B2C" w:rsidP="00100B2C">
      <w:pPr>
        <w:spacing w:after="0" w:line="276" w:lineRule="auto"/>
        <w:jc w:val="both"/>
        <w:rPr>
          <w:rFonts w:ascii="Verdana" w:eastAsia="Calibri" w:hAnsi="Verdana" w:cs="Arial"/>
          <w:color w:val="000000" w:themeColor="text1"/>
          <w:lang w:val="es-ES"/>
        </w:rPr>
      </w:pPr>
    </w:p>
    <w:p w14:paraId="3A9BDB66" w14:textId="77777777" w:rsidR="00100B2C" w:rsidRPr="006E3E0D" w:rsidRDefault="00100B2C" w:rsidP="00100B2C">
      <w:pPr>
        <w:spacing w:after="120" w:line="276" w:lineRule="auto"/>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i. </w:t>
      </w:r>
      <w:r w:rsidRPr="006E3E0D">
        <w:rPr>
          <w:rFonts w:ascii="Verdana" w:eastAsia="Calibri" w:hAnsi="Verdana" w:cs="Arial"/>
          <w:color w:val="000000" w:themeColor="text1"/>
          <w:lang w:val="es-ES"/>
        </w:rPr>
        <w:t xml:space="preserve">Los </w:t>
      </w:r>
      <w:r w:rsidRPr="006E3E0D">
        <w:rPr>
          <w:rFonts w:ascii="Verdana" w:eastAsia="Calibri" w:hAnsi="Verdana" w:cs="Arial"/>
          <w:i/>
          <w:iCs/>
          <w:color w:val="000000" w:themeColor="text1"/>
          <w:lang w:val="es-ES"/>
        </w:rPr>
        <w:t>requisitos habilitantes</w:t>
      </w:r>
      <w:r w:rsidRPr="006E3E0D">
        <w:rPr>
          <w:rFonts w:ascii="Verdana" w:eastAsia="Calibri" w:hAnsi="Verdana" w:cs="Arial"/>
          <w:color w:val="000000" w:themeColor="text1"/>
          <w:lang w:val="es-ES"/>
        </w:rPr>
        <w:t xml:space="preserve"> se definen como exigencias de participación en los procedimientos de selección, establecidas en disposiciones normativas, de carácter legal o reglamentario, o contenidas en el acto administrativo que regula las reglas de la convocatoria, es decir, en el pliego de condiciones o su documento equivalente. Se diferencian de los </w:t>
      </w:r>
      <w:r w:rsidRPr="006E3E0D">
        <w:rPr>
          <w:rFonts w:ascii="Verdana" w:eastAsia="Calibri" w:hAnsi="Verdana" w:cs="Arial"/>
          <w:i/>
          <w:iCs/>
          <w:color w:val="000000" w:themeColor="text1"/>
          <w:lang w:val="es-ES"/>
        </w:rPr>
        <w:t>criterios de evaluación</w:t>
      </w:r>
      <w:r w:rsidRPr="006E3E0D">
        <w:rPr>
          <w:rFonts w:ascii="Verdana" w:eastAsia="Calibri" w:hAnsi="Verdana" w:cs="Arial"/>
          <w:color w:val="000000" w:themeColor="text1"/>
          <w:lang w:val="es-ES"/>
        </w:rPr>
        <w:t xml:space="preserve"> –también conocidos como </w:t>
      </w:r>
      <w:r w:rsidRPr="006E3E0D">
        <w:rPr>
          <w:rFonts w:ascii="Verdana" w:eastAsia="Calibri" w:hAnsi="Verdana" w:cs="Arial"/>
          <w:i/>
          <w:iCs/>
          <w:color w:val="000000" w:themeColor="text1"/>
          <w:lang w:val="es-ES"/>
        </w:rPr>
        <w:t>criterios de calificación</w:t>
      </w:r>
      <w:r w:rsidRPr="006E3E0D">
        <w:rPr>
          <w:rFonts w:ascii="Verdana" w:eastAsia="Calibri" w:hAnsi="Verdana" w:cs="Arial"/>
          <w:color w:val="000000" w:themeColor="text1"/>
          <w:lang w:val="es-ES"/>
        </w:rPr>
        <w:t xml:space="preserve">– en que estos son los factores que la Entidad Estatal define para la asignación de puntaje en la comparación de las ofertas y cuya ponderación permite establecer el orden de elegibilidad y, por ende, la propuesta ganadora. </w:t>
      </w:r>
    </w:p>
    <w:p w14:paraId="083CBC03" w14:textId="77777777" w:rsidR="00100B2C" w:rsidRPr="006E3E0D" w:rsidRDefault="00100B2C" w:rsidP="00100B2C">
      <w:pPr>
        <w:spacing w:after="120" w:line="276" w:lineRule="auto"/>
        <w:ind w:firstLine="708"/>
        <w:jc w:val="both"/>
        <w:rPr>
          <w:rFonts w:ascii="Verdana" w:eastAsia="Calibri" w:hAnsi="Verdana" w:cs="Arial"/>
          <w:color w:val="000000" w:themeColor="text1"/>
          <w:lang w:val="es-ES"/>
        </w:rPr>
      </w:pPr>
      <w:r w:rsidRPr="006E3E0D">
        <w:rPr>
          <w:rFonts w:ascii="Verdana" w:eastAsia="Calibri" w:hAnsi="Verdana" w:cs="Arial"/>
          <w:color w:val="000000" w:themeColor="text1"/>
          <w:lang w:val="es-ES"/>
        </w:rPr>
        <w:t xml:space="preserve">En efecto, los requisitos habilitantes constituyen obligaciones que los proponentes deben cumplir y acreditar para participar en el procedimiento de selección, por lo que no son objeto de evaluación a través de la asignación de un puntaje que determine el orden de escogencia. En contraste, los requisitos habilitantes constituyen criterios previos a la evaluación, de manera que quienes no los acrediten no pueden continuar en el procedimiento de selección. Esto sin perjuicio del derecho que tienen los oferentes de subsanar los defectos que </w:t>
      </w:r>
      <w:r w:rsidRPr="006E3E0D">
        <w:rPr>
          <w:rFonts w:ascii="Verdana" w:eastAsia="Calibri" w:hAnsi="Verdana" w:cs="Arial"/>
          <w:color w:val="000000" w:themeColor="text1"/>
          <w:lang w:val="es-ES"/>
        </w:rPr>
        <w:lastRenderedPageBreak/>
        <w:t>presenten en la prueba de tales requisitos, de conformidad con el artículo 5, parágrafos 1º al 4º, de la Ley 1150 de 2007.</w:t>
      </w:r>
    </w:p>
    <w:p w14:paraId="1D057E68" w14:textId="77777777" w:rsidR="00100B2C" w:rsidRDefault="00100B2C" w:rsidP="00100B2C">
      <w:pPr>
        <w:spacing w:before="120" w:line="276" w:lineRule="auto"/>
        <w:ind w:firstLine="709"/>
        <w:jc w:val="both"/>
        <w:rPr>
          <w:rFonts w:ascii="Verdana" w:eastAsia="Calibri" w:hAnsi="Verdana" w:cs="Arial"/>
          <w:color w:val="000000" w:themeColor="text1"/>
          <w:lang w:val="es-ES"/>
        </w:rPr>
      </w:pPr>
      <w:r w:rsidRPr="006E3E0D">
        <w:rPr>
          <w:rFonts w:ascii="Verdana" w:eastAsia="Calibri" w:hAnsi="Verdana" w:cs="Arial"/>
          <w:color w:val="000000" w:themeColor="text1"/>
          <w:lang w:val="es-ES"/>
        </w:rPr>
        <w:t xml:space="preserve">El mencionado artículo dispone que es </w:t>
      </w:r>
      <w:r w:rsidRPr="006E3E0D">
        <w:rPr>
          <w:rFonts w:ascii="Verdana" w:eastAsia="Calibri" w:hAnsi="Verdana" w:cs="Arial"/>
          <w:i/>
          <w:iCs/>
          <w:color w:val="000000" w:themeColor="text1"/>
          <w:lang w:val="es-ES"/>
        </w:rPr>
        <w:t>“</w:t>
      </w:r>
      <w:r w:rsidRPr="006E3E0D">
        <w:rPr>
          <w:rFonts w:ascii="Verdana" w:eastAsia="Calibri" w:hAnsi="Verdana" w:cs="Arial"/>
          <w:color w:val="000000" w:themeColor="text1"/>
          <w:lang w:val="es-ES"/>
        </w:rPr>
        <w:t>objetiva la selección en la cual la escogencia se haga al ofrecimiento más favorable a la entidad y a los fines que ella busca, sin tener en consideración factores de afecto o de interés y, en general, cualquier clase de motivación subjetiva</w:t>
      </w:r>
      <w:r w:rsidRPr="006E3E0D">
        <w:rPr>
          <w:rFonts w:ascii="Verdana" w:eastAsia="Calibri" w:hAnsi="Verdana" w:cs="Arial"/>
          <w:i/>
          <w:iCs/>
          <w:color w:val="000000" w:themeColor="text1"/>
          <w:lang w:val="es-ES"/>
        </w:rPr>
        <w:t>”</w:t>
      </w:r>
      <w:r w:rsidRPr="006E3E0D">
        <w:rPr>
          <w:rFonts w:ascii="Verdana" w:eastAsia="Calibri" w:hAnsi="Verdana" w:cs="Arial"/>
          <w:color w:val="000000" w:themeColor="text1"/>
          <w:lang w:val="es-ES"/>
        </w:rPr>
        <w:t xml:space="preserve">. De este modo, los factores de que establezcan las entidades en los pliegos de condiciones o sus documentos equivalentes deberán tener en cuenta, entre otras cuestiones, lo establecido en esta norma. Específicamente, el numeral 1º del artículo referido establece que en los procesos de selección de contratistas serán objeto de verificación, como requisitos habilitantes, </w:t>
      </w:r>
      <w:r w:rsidRPr="006E3E0D">
        <w:rPr>
          <w:rFonts w:ascii="Verdana" w:eastAsia="Calibri" w:hAnsi="Verdana" w:cs="Arial"/>
          <w:i/>
          <w:iCs/>
          <w:color w:val="000000" w:themeColor="text1"/>
          <w:lang w:val="es-ES"/>
        </w:rPr>
        <w:t>entre otros</w:t>
      </w:r>
      <w:r w:rsidRPr="006E3E0D">
        <w:rPr>
          <w:rFonts w:ascii="Verdana" w:eastAsia="Calibri" w:hAnsi="Verdana" w:cs="Arial"/>
          <w:color w:val="000000" w:themeColor="text1"/>
          <w:lang w:val="es-ES"/>
        </w:rPr>
        <w:t>, los siguientes: (i) la capacidad jurídica, (</w:t>
      </w:r>
      <w:proofErr w:type="spellStart"/>
      <w:r w:rsidRPr="006E3E0D">
        <w:rPr>
          <w:rFonts w:ascii="Verdana" w:eastAsia="Calibri" w:hAnsi="Verdana" w:cs="Arial"/>
          <w:color w:val="000000" w:themeColor="text1"/>
          <w:lang w:val="es-ES"/>
        </w:rPr>
        <w:t>ii</w:t>
      </w:r>
      <w:proofErr w:type="spellEnd"/>
      <w:r w:rsidRPr="006E3E0D">
        <w:rPr>
          <w:rFonts w:ascii="Verdana" w:eastAsia="Calibri" w:hAnsi="Verdana" w:cs="Arial"/>
          <w:color w:val="000000" w:themeColor="text1"/>
          <w:lang w:val="es-ES"/>
        </w:rPr>
        <w:t>) la experiencia, (</w:t>
      </w:r>
      <w:proofErr w:type="spellStart"/>
      <w:r w:rsidRPr="006E3E0D">
        <w:rPr>
          <w:rFonts w:ascii="Verdana" w:eastAsia="Calibri" w:hAnsi="Verdana" w:cs="Arial"/>
          <w:color w:val="000000" w:themeColor="text1"/>
          <w:lang w:val="es-ES"/>
        </w:rPr>
        <w:t>iii</w:t>
      </w:r>
      <w:proofErr w:type="spellEnd"/>
      <w:r w:rsidRPr="006E3E0D">
        <w:rPr>
          <w:rFonts w:ascii="Verdana" w:eastAsia="Calibri" w:hAnsi="Verdana" w:cs="Arial"/>
          <w:color w:val="000000" w:themeColor="text1"/>
          <w:lang w:val="es-ES"/>
        </w:rPr>
        <w:t>) la capacidad financiera y (</w:t>
      </w:r>
      <w:proofErr w:type="spellStart"/>
      <w:r w:rsidRPr="006E3E0D">
        <w:rPr>
          <w:rFonts w:ascii="Verdana" w:eastAsia="Calibri" w:hAnsi="Verdana" w:cs="Arial"/>
          <w:color w:val="000000" w:themeColor="text1"/>
          <w:lang w:val="es-ES"/>
        </w:rPr>
        <w:t>iv</w:t>
      </w:r>
      <w:proofErr w:type="spellEnd"/>
      <w:r w:rsidRPr="006E3E0D">
        <w:rPr>
          <w:rFonts w:ascii="Verdana" w:eastAsia="Calibri" w:hAnsi="Verdana" w:cs="Arial"/>
          <w:color w:val="000000" w:themeColor="text1"/>
          <w:lang w:val="es-ES"/>
        </w:rPr>
        <w:t xml:space="preserve">) la capacidad de organización. Al respecto, la norma citada dispone: </w:t>
      </w:r>
    </w:p>
    <w:p w14:paraId="76CF21E9" w14:textId="77777777" w:rsidR="00100B2C" w:rsidRPr="006E3E0D" w:rsidRDefault="00100B2C" w:rsidP="00100B2C">
      <w:pPr>
        <w:spacing w:after="0" w:line="240" w:lineRule="auto"/>
        <w:ind w:firstLine="709"/>
        <w:jc w:val="both"/>
        <w:rPr>
          <w:rFonts w:ascii="Verdana" w:eastAsia="Calibri" w:hAnsi="Verdana" w:cs="Arial"/>
          <w:color w:val="000000" w:themeColor="text1"/>
          <w:lang w:val="es-ES"/>
        </w:rPr>
      </w:pPr>
    </w:p>
    <w:p w14:paraId="0354E873" w14:textId="77777777" w:rsidR="00100B2C" w:rsidRPr="00F328B8" w:rsidRDefault="00100B2C" w:rsidP="00100B2C">
      <w:pPr>
        <w:spacing w:line="240" w:lineRule="auto"/>
        <w:ind w:left="709" w:right="709"/>
        <w:jc w:val="both"/>
        <w:rPr>
          <w:rFonts w:ascii="Verdana" w:eastAsia="Calibri" w:hAnsi="Verdana" w:cs="Arial"/>
          <w:color w:val="000000" w:themeColor="text1"/>
          <w:sz w:val="20"/>
          <w:szCs w:val="20"/>
          <w:lang w:val="es-ES"/>
        </w:rPr>
      </w:pPr>
      <w:r w:rsidRPr="00F328B8">
        <w:rPr>
          <w:rFonts w:ascii="Verdana" w:eastAsia="Calibri" w:hAnsi="Verdana" w:cs="Arial"/>
          <w:color w:val="000000" w:themeColor="text1"/>
          <w:sz w:val="20"/>
          <w:szCs w:val="20"/>
          <w:lang w:val="es-ES"/>
        </w:rPr>
        <w:t xml:space="preserve">“Artículo 5. De la Selección Objetiva. </w:t>
      </w:r>
    </w:p>
    <w:p w14:paraId="6B66408B" w14:textId="77777777" w:rsidR="00100B2C" w:rsidRPr="00F328B8" w:rsidRDefault="00100B2C" w:rsidP="00100B2C">
      <w:pPr>
        <w:spacing w:after="120" w:line="240" w:lineRule="auto"/>
        <w:ind w:left="709" w:right="709"/>
        <w:jc w:val="both"/>
        <w:rPr>
          <w:rFonts w:ascii="Verdana" w:eastAsia="Calibri" w:hAnsi="Verdana" w:cs="Arial"/>
          <w:color w:val="000000" w:themeColor="text1"/>
          <w:sz w:val="20"/>
          <w:szCs w:val="20"/>
          <w:lang w:val="es-ES"/>
        </w:rPr>
      </w:pPr>
      <w:r w:rsidRPr="00F328B8">
        <w:rPr>
          <w:rFonts w:ascii="Verdana" w:eastAsia="Calibri" w:hAnsi="Verdana" w:cs="Arial"/>
          <w:color w:val="000000" w:themeColor="text1"/>
          <w:sz w:val="20"/>
          <w:szCs w:val="20"/>
          <w:lang w:val="es-ES"/>
        </w:rPr>
        <w:t>[…]</w:t>
      </w:r>
    </w:p>
    <w:p w14:paraId="4CC6FA40" w14:textId="77777777" w:rsidR="00100B2C" w:rsidRDefault="00100B2C" w:rsidP="00100B2C">
      <w:pPr>
        <w:spacing w:after="120" w:line="240" w:lineRule="auto"/>
        <w:ind w:left="709" w:right="709"/>
        <w:jc w:val="both"/>
        <w:rPr>
          <w:rFonts w:ascii="Verdana" w:eastAsia="Calibri" w:hAnsi="Verdana" w:cs="Arial"/>
          <w:color w:val="000000" w:themeColor="text1"/>
          <w:sz w:val="20"/>
          <w:szCs w:val="20"/>
          <w:lang w:val="es-ES"/>
        </w:rPr>
      </w:pPr>
      <w:r w:rsidRPr="00F328B8">
        <w:rPr>
          <w:rFonts w:ascii="Verdana" w:eastAsia="Calibri" w:hAnsi="Verdana" w:cs="Arial"/>
          <w:color w:val="000000" w:themeColor="text1"/>
          <w:sz w:val="20"/>
          <w:szCs w:val="20"/>
          <w:lang w:val="es-ES"/>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 de la presente ley, de acuerdo con lo cual se expedirá la respectiva certificación. […]”.</w:t>
      </w:r>
    </w:p>
    <w:p w14:paraId="087B4D6F" w14:textId="77777777" w:rsidR="00100B2C" w:rsidRPr="00F328B8" w:rsidRDefault="00100B2C" w:rsidP="00100B2C">
      <w:pPr>
        <w:spacing w:after="0" w:line="240" w:lineRule="auto"/>
        <w:ind w:left="709" w:right="709"/>
        <w:jc w:val="both"/>
        <w:rPr>
          <w:rFonts w:ascii="Verdana" w:eastAsia="Calibri" w:hAnsi="Verdana" w:cs="Arial"/>
          <w:color w:val="000000" w:themeColor="text1"/>
          <w:sz w:val="20"/>
          <w:szCs w:val="20"/>
          <w:lang w:val="es-ES"/>
        </w:rPr>
      </w:pPr>
    </w:p>
    <w:p w14:paraId="7D56492D" w14:textId="77777777" w:rsidR="00100B2C" w:rsidRPr="006E3E0D" w:rsidRDefault="00100B2C" w:rsidP="00100B2C">
      <w:pPr>
        <w:spacing w:line="276" w:lineRule="auto"/>
        <w:ind w:firstLine="708"/>
        <w:jc w:val="both"/>
        <w:rPr>
          <w:rFonts w:ascii="Verdana" w:eastAsia="Calibri" w:hAnsi="Verdana" w:cs="Arial"/>
          <w:color w:val="000000" w:themeColor="text1"/>
          <w:lang w:val="es-ES"/>
        </w:rPr>
      </w:pPr>
      <w:r w:rsidRPr="006E3E0D">
        <w:rPr>
          <w:rFonts w:ascii="Verdana" w:eastAsia="Calibri" w:hAnsi="Verdana" w:cs="Arial"/>
          <w:color w:val="000000" w:themeColor="text1"/>
          <w:lang w:val="es-ES"/>
        </w:rPr>
        <w:t xml:space="preserve">Conforme lo ha sostenido esta Agencia en distintos conceptos, los requisitos habilitantes establecidos en el artículo 5, numeral 1, de la Ley 1150 de 2007 son de carácter </w:t>
      </w:r>
      <w:r w:rsidRPr="006E3E0D">
        <w:rPr>
          <w:rFonts w:ascii="Verdana" w:eastAsia="Calibri" w:hAnsi="Verdana" w:cs="Arial"/>
          <w:i/>
          <w:iCs/>
          <w:color w:val="000000" w:themeColor="text1"/>
          <w:lang w:val="es-ES"/>
        </w:rPr>
        <w:t xml:space="preserve">enunciativo </w:t>
      </w:r>
      <w:r w:rsidRPr="006E3E0D">
        <w:rPr>
          <w:rFonts w:ascii="Verdana" w:eastAsia="Calibri" w:hAnsi="Verdana" w:cs="Arial"/>
          <w:color w:val="000000" w:themeColor="text1"/>
          <w:lang w:val="es-ES"/>
        </w:rPr>
        <w:t xml:space="preserve">y no taxativo. Esta interpretación legal se resume en los siguientes argumentos: por un lado, esta norma no contiene una expresión como “únicamente” o “solo” al referirse a los requisitos habilitantes, sino que se refiere de forma taxativa a que el listado puede comprender los requisitos enunciados “entre otros”; por otra parte, una lectura integral de las normas que regulan la contratación estatal permite concluir que existen otras condiciones que los proponentes deben cumplir para la contratación con una </w:t>
      </w:r>
      <w:r w:rsidRPr="006E3E0D">
        <w:rPr>
          <w:rFonts w:ascii="Verdana" w:eastAsia="Calibri" w:hAnsi="Verdana" w:cs="Arial"/>
          <w:color w:val="000000" w:themeColor="text1"/>
          <w:lang w:val="es-ES"/>
        </w:rPr>
        <w:lastRenderedPageBreak/>
        <w:t>Entidad Estatal, como es el caso de la capacidad residual a la que se refiere el artículo 6º de la Ley 1150 de 2007</w:t>
      </w:r>
      <w:r w:rsidRPr="006E3E0D">
        <w:rPr>
          <w:rStyle w:val="Refdenotaalpie"/>
          <w:rFonts w:ascii="Verdana" w:eastAsia="Calibri" w:hAnsi="Verdana" w:cs="Arial"/>
          <w:color w:val="000000" w:themeColor="text1"/>
          <w:lang w:val="es-ES"/>
        </w:rPr>
        <w:footnoteReference w:id="1"/>
      </w:r>
      <w:r w:rsidRPr="006E3E0D">
        <w:rPr>
          <w:rFonts w:ascii="Verdana" w:eastAsia="Calibri" w:hAnsi="Verdana" w:cs="Arial"/>
          <w:color w:val="000000" w:themeColor="text1"/>
          <w:lang w:val="es-ES"/>
        </w:rPr>
        <w:t>.</w:t>
      </w:r>
    </w:p>
    <w:p w14:paraId="724249D7" w14:textId="77777777" w:rsidR="00100B2C" w:rsidRPr="006E3E0D" w:rsidRDefault="00100B2C" w:rsidP="00100B2C">
      <w:pPr>
        <w:spacing w:line="276" w:lineRule="auto"/>
        <w:ind w:firstLine="708"/>
        <w:jc w:val="both"/>
        <w:rPr>
          <w:rFonts w:ascii="Verdana" w:eastAsia="Calibri" w:hAnsi="Verdana" w:cs="Arial"/>
          <w:color w:val="000000" w:themeColor="text1"/>
          <w:lang w:val="es-ES"/>
        </w:rPr>
      </w:pPr>
      <w:r w:rsidRPr="006E3E0D">
        <w:rPr>
          <w:rFonts w:ascii="Verdana" w:eastAsia="Calibri" w:hAnsi="Verdana" w:cs="Arial"/>
          <w:color w:val="000000" w:themeColor="text1"/>
          <w:lang w:val="es-ES"/>
        </w:rPr>
        <w:t>Además, la intención del legislador, de la cual dan cuenta los antecedentes legislativos de la norma sub examine</w:t>
      </w:r>
      <w:r w:rsidRPr="006E3E0D">
        <w:rPr>
          <w:rStyle w:val="Refdenotaalpie"/>
          <w:rFonts w:ascii="Verdana" w:eastAsia="Calibri" w:hAnsi="Verdana" w:cs="Arial"/>
          <w:color w:val="000000" w:themeColor="text1"/>
          <w:lang w:val="es-ES"/>
        </w:rPr>
        <w:footnoteReference w:id="2"/>
      </w:r>
      <w:r w:rsidRPr="006E3E0D">
        <w:rPr>
          <w:rFonts w:ascii="Verdana" w:eastAsia="Calibri" w:hAnsi="Verdana" w:cs="Arial"/>
          <w:color w:val="000000" w:themeColor="text1"/>
          <w:lang w:val="es-ES"/>
        </w:rPr>
        <w:t xml:space="preserve">, también justifica la interpretación propuesta por esta Agencia, ya que solo hasta el cuarto debate legislativo se incluyó </w:t>
      </w:r>
      <w:r>
        <w:rPr>
          <w:rFonts w:ascii="Verdana" w:eastAsia="Calibri" w:hAnsi="Verdana" w:cs="Arial"/>
          <w:color w:val="000000" w:themeColor="text1"/>
          <w:lang w:val="es-ES"/>
        </w:rPr>
        <w:t xml:space="preserve">el </w:t>
      </w:r>
      <w:r w:rsidRPr="006E3E0D">
        <w:rPr>
          <w:rFonts w:ascii="Verdana" w:eastAsia="Calibri" w:hAnsi="Verdana" w:cs="Arial"/>
          <w:color w:val="000000" w:themeColor="text1"/>
          <w:lang w:val="es-ES"/>
        </w:rPr>
        <w:t>parágrafo 2 del artículo 5 de la Ley 1150 de 2007</w:t>
      </w:r>
      <w:r w:rsidRPr="006E3E0D">
        <w:rPr>
          <w:rStyle w:val="Refdenotaalpie"/>
          <w:rFonts w:ascii="Verdana" w:eastAsia="Calibri" w:hAnsi="Verdana" w:cs="Arial"/>
          <w:color w:val="000000" w:themeColor="text1"/>
          <w:lang w:val="es-ES"/>
        </w:rPr>
        <w:footnoteReference w:id="3"/>
      </w:r>
      <w:r w:rsidRPr="006E3E0D">
        <w:rPr>
          <w:rFonts w:ascii="Verdana" w:eastAsia="Calibri" w:hAnsi="Verdana" w:cs="Arial"/>
          <w:color w:val="000000" w:themeColor="text1"/>
          <w:lang w:val="es-ES"/>
        </w:rPr>
        <w:t>, lo cual evidencia la necesidad que tenía el Congreso de aclarar que ciertos documentos no podrían ser tenidos como requisitos habilitantes. Esto igualmente evidencia el reconocimiento tácito de la existencia de otros requisitos habilitantes, distintos a los cuatro que establece el artículo 5 de la Ley 1150 de 2007</w:t>
      </w:r>
      <w:r w:rsidRPr="006E3E0D">
        <w:rPr>
          <w:rStyle w:val="Refdenotaalpie"/>
          <w:rFonts w:ascii="Verdana" w:eastAsia="Calibri" w:hAnsi="Verdana" w:cs="Arial"/>
          <w:color w:val="000000" w:themeColor="text1"/>
          <w:lang w:val="es-ES"/>
        </w:rPr>
        <w:footnoteReference w:id="4"/>
      </w:r>
      <w:r w:rsidRPr="006E3E0D">
        <w:rPr>
          <w:rFonts w:ascii="Verdana" w:eastAsia="Calibri" w:hAnsi="Verdana" w:cs="Arial"/>
          <w:color w:val="000000" w:themeColor="text1"/>
          <w:lang w:val="es-ES"/>
        </w:rPr>
        <w:t xml:space="preserve">. </w:t>
      </w:r>
    </w:p>
    <w:p w14:paraId="7417BF1A" w14:textId="77777777" w:rsidR="00100B2C" w:rsidRPr="006E3E0D" w:rsidRDefault="00100B2C" w:rsidP="00100B2C">
      <w:pPr>
        <w:spacing w:line="276" w:lineRule="auto"/>
        <w:ind w:firstLine="708"/>
        <w:jc w:val="both"/>
        <w:rPr>
          <w:rFonts w:ascii="Verdana" w:eastAsia="Calibri" w:hAnsi="Verdana" w:cs="Arial"/>
          <w:color w:val="000000" w:themeColor="text1"/>
          <w:lang w:val="es-ES"/>
        </w:rPr>
      </w:pPr>
      <w:r w:rsidRPr="006E3E0D">
        <w:rPr>
          <w:rFonts w:ascii="Verdana" w:eastAsia="Calibri" w:hAnsi="Verdana" w:cs="Arial"/>
          <w:color w:val="000000" w:themeColor="text1"/>
          <w:lang w:val="es-ES"/>
        </w:rPr>
        <w:t xml:space="preserve">Por último, el “Manual para determinar y verificar los requisitos habilitantes en los Procesos de Contratación” expedido por esta Agencia determina los parámetros para establecer, acreditar y subsanar los requisitos </w:t>
      </w:r>
      <w:r w:rsidRPr="006E3E0D">
        <w:rPr>
          <w:rFonts w:ascii="Verdana" w:eastAsia="Calibri" w:hAnsi="Verdana" w:cs="Arial"/>
          <w:color w:val="000000" w:themeColor="text1"/>
          <w:lang w:val="es-ES"/>
        </w:rPr>
        <w:lastRenderedPageBreak/>
        <w:t xml:space="preserve">habilitantes estudiados en los párrafos precedentes e indica que su propósito consiste en “establecer unas </w:t>
      </w:r>
      <w:r w:rsidRPr="006E3E0D">
        <w:rPr>
          <w:rFonts w:ascii="Verdana" w:eastAsia="Calibri" w:hAnsi="Verdana" w:cs="Arial"/>
          <w:i/>
          <w:iCs/>
          <w:color w:val="000000" w:themeColor="text1"/>
          <w:lang w:val="es-ES"/>
        </w:rPr>
        <w:t>condiciones mínimas</w:t>
      </w:r>
      <w:r w:rsidRPr="006E3E0D">
        <w:rPr>
          <w:rFonts w:ascii="Verdana" w:eastAsia="Calibri" w:hAnsi="Verdana" w:cs="Arial"/>
          <w:color w:val="000000" w:themeColor="text1"/>
          <w:lang w:val="es-ES"/>
        </w:rPr>
        <w:t xml:space="preserve"> para los proponentes de tal manera que la Entidad Estatal sólo evalúe las ofertas de aquellos que están en condiciones de cumplir con el objeto del Proceso de Contratación”. En otras palabras, al tratarse de condiciones mínimas, significa que las entidades podrían establecer otras, según su autonomía de la voluntad, y teniendo en cuenta el objeto del contrato, los riesgos detectados en los estudios previos</w:t>
      </w:r>
      <w:r>
        <w:rPr>
          <w:rFonts w:ascii="Verdana" w:eastAsia="Calibri" w:hAnsi="Verdana" w:cs="Arial"/>
          <w:color w:val="000000" w:themeColor="text1"/>
          <w:lang w:val="es-ES"/>
        </w:rPr>
        <w:t xml:space="preserve"> y</w:t>
      </w:r>
      <w:r w:rsidRPr="006E3E0D">
        <w:rPr>
          <w:rFonts w:ascii="Verdana" w:eastAsia="Calibri" w:hAnsi="Verdana" w:cs="Arial"/>
          <w:color w:val="000000" w:themeColor="text1"/>
          <w:lang w:val="es-ES"/>
        </w:rPr>
        <w:t xml:space="preserve"> el presupuesto oficial, entre otros factores.</w:t>
      </w:r>
    </w:p>
    <w:p w14:paraId="4E0B4E57" w14:textId="77777777" w:rsidR="00100B2C" w:rsidRPr="006E3E0D" w:rsidRDefault="00100B2C" w:rsidP="00100B2C">
      <w:pPr>
        <w:widowControl w:val="0"/>
        <w:autoSpaceDE w:val="0"/>
        <w:autoSpaceDN w:val="0"/>
        <w:spacing w:line="276" w:lineRule="auto"/>
        <w:ind w:firstLine="709"/>
        <w:jc w:val="both"/>
        <w:rPr>
          <w:rFonts w:ascii="Verdana" w:eastAsia="Calibri" w:hAnsi="Verdana" w:cs="Arial"/>
          <w:color w:val="000000" w:themeColor="text1"/>
          <w:lang w:val="es-ES"/>
        </w:rPr>
      </w:pPr>
      <w:r w:rsidRPr="006E3E0D">
        <w:rPr>
          <w:rFonts w:ascii="Verdana" w:eastAsia="Calibri" w:hAnsi="Verdana" w:cs="Arial"/>
          <w:color w:val="000000" w:themeColor="text1"/>
          <w:lang w:val="es-ES"/>
        </w:rPr>
        <w:t xml:space="preserve">En consecuencia, corresponde a las entidades estatales, durante la etapa de planeación del contrato estatal, estudiar y determinar los requisitos habilitantes que establecerán en los pliegos de condiciones, los cuales deben fijarse de forma adecuada y proporcional. Según el artículo 2.2.1.1.1.6.2 del Decreto 1082 de 2015, las entidades deben hacer lo anterior de acuerdo </w:t>
      </w:r>
      <w:bookmarkStart w:id="2" w:name="_Hlk182863897"/>
      <w:r w:rsidRPr="006E3E0D">
        <w:rPr>
          <w:rFonts w:ascii="Verdana" w:eastAsia="Calibri" w:hAnsi="Verdana" w:cs="Arial"/>
          <w:color w:val="000000" w:themeColor="text1"/>
          <w:lang w:val="es-ES"/>
        </w:rPr>
        <w:t>con la naturaleza, el valor del contrato, la forma de pago, los riesgos asociados al contrato, el plazo y la complejidad de ejecución del objeto</w:t>
      </w:r>
      <w:r w:rsidRPr="006E3E0D">
        <w:rPr>
          <w:rStyle w:val="Refdenotaalpie"/>
          <w:rFonts w:ascii="Verdana" w:eastAsia="Calibri" w:hAnsi="Verdana" w:cs="Arial"/>
          <w:color w:val="000000" w:themeColor="text1"/>
          <w:lang w:val="es-ES"/>
        </w:rPr>
        <w:footnoteReference w:id="5"/>
      </w:r>
      <w:r w:rsidRPr="006E3E0D">
        <w:rPr>
          <w:rFonts w:ascii="Verdana" w:eastAsia="Calibri" w:hAnsi="Verdana" w:cs="Arial"/>
          <w:color w:val="000000" w:themeColor="text1"/>
          <w:lang w:val="es-ES"/>
        </w:rPr>
        <w:t>.</w:t>
      </w:r>
      <w:bookmarkEnd w:id="2"/>
      <w:r>
        <w:rPr>
          <w:rFonts w:ascii="Verdana" w:eastAsia="Calibri" w:hAnsi="Verdana" w:cs="Arial"/>
          <w:color w:val="000000" w:themeColor="text1"/>
          <w:lang w:val="es-ES"/>
        </w:rPr>
        <w:t xml:space="preserve"> </w:t>
      </w:r>
      <w:r w:rsidRPr="006E3E0D">
        <w:rPr>
          <w:rFonts w:ascii="Verdana" w:eastAsia="Calibri" w:hAnsi="Verdana" w:cs="Arial"/>
          <w:color w:val="000000" w:themeColor="text1"/>
          <w:lang w:val="es-ES"/>
        </w:rPr>
        <w:t xml:space="preserve">De esta manera, la facultad de establecer los requisitos habilitantes no puede ejercerse de forma arbitraria, caprichosa, ni con el ánimo de direccionar el proceso de contratación o favorecer (directa o indirectamente) a alguno de los proponentes. Tampoco pueden ejercer esta facultad desconociendo límites legales, como, por ejemplo, el que estable el parágrafo 2 del artículo 5 de la Ley 1150 de 2007 sobre la prohibición de exigir certificaciones de sistemas de gestión de calidad como requisito habilitante. </w:t>
      </w:r>
    </w:p>
    <w:p w14:paraId="22C9503A" w14:textId="77777777" w:rsidR="00100B2C" w:rsidRPr="006E3E0D" w:rsidRDefault="00100B2C" w:rsidP="00100B2C">
      <w:pPr>
        <w:widowControl w:val="0"/>
        <w:autoSpaceDE w:val="0"/>
        <w:autoSpaceDN w:val="0"/>
        <w:spacing w:line="276" w:lineRule="auto"/>
        <w:ind w:firstLine="709"/>
        <w:jc w:val="both"/>
        <w:rPr>
          <w:rFonts w:ascii="Verdana" w:eastAsia="Calibri" w:hAnsi="Verdana" w:cs="Arial"/>
          <w:color w:val="000000" w:themeColor="text1"/>
          <w:lang w:val="es-ES"/>
        </w:rPr>
      </w:pPr>
      <w:r w:rsidRPr="006E3E0D">
        <w:rPr>
          <w:rFonts w:ascii="Verdana" w:eastAsia="Calibri" w:hAnsi="Verdana" w:cs="Arial"/>
          <w:color w:val="000000" w:themeColor="text1"/>
          <w:lang w:val="es-ES"/>
        </w:rPr>
        <w:t>Al respecto, en la Sentencia C-004 de 2017, la Corte Constitucional señaló que la determinación de las “condiciones habilitantes para participar, es competencia de la entidad que planee la celebración del contrato, a través de la valoración en concreto de las características mínimas de idoneidad, experiencia, capacidad jurídica y financiera para que la realización del objeto contractual resulte eficiente y eficaz frente a la necesidad identificada”. De manera que corresponde a cada entidad determinar de manera proporcional y adecuada los requisitos mínimos exigibles a los proponentes para participar en el proceso de contratación e</w:t>
      </w:r>
      <w:r>
        <w:rPr>
          <w:rFonts w:ascii="Verdana" w:eastAsia="Calibri" w:hAnsi="Verdana" w:cs="Arial"/>
          <w:color w:val="000000" w:themeColor="text1"/>
          <w:lang w:val="es-ES"/>
        </w:rPr>
        <w:t>specífico</w:t>
      </w:r>
      <w:r w:rsidRPr="006E3E0D">
        <w:rPr>
          <w:rFonts w:ascii="Verdana" w:eastAsia="Calibri" w:hAnsi="Verdana" w:cs="Arial"/>
          <w:color w:val="000000" w:themeColor="text1"/>
          <w:lang w:val="es-ES"/>
        </w:rPr>
        <w:t xml:space="preserve">. </w:t>
      </w:r>
    </w:p>
    <w:p w14:paraId="201774C6" w14:textId="77777777" w:rsidR="00100B2C" w:rsidRPr="006E3E0D" w:rsidRDefault="00100B2C" w:rsidP="00100B2C">
      <w:pPr>
        <w:widowControl w:val="0"/>
        <w:autoSpaceDE w:val="0"/>
        <w:autoSpaceDN w:val="0"/>
        <w:spacing w:line="276" w:lineRule="auto"/>
        <w:ind w:firstLine="709"/>
        <w:jc w:val="both"/>
        <w:rPr>
          <w:rFonts w:ascii="Verdana" w:eastAsia="Calibri" w:hAnsi="Verdana" w:cs="Arial"/>
          <w:color w:val="000000" w:themeColor="text1"/>
          <w:lang w:val="es-ES"/>
        </w:rPr>
      </w:pPr>
      <w:r w:rsidRPr="006E3E0D">
        <w:rPr>
          <w:rFonts w:ascii="Verdana" w:eastAsia="Calibri" w:hAnsi="Verdana" w:cs="Arial"/>
          <w:color w:val="000000" w:themeColor="text1"/>
          <w:lang w:val="es-ES"/>
        </w:rPr>
        <w:lastRenderedPageBreak/>
        <w:t>En este sentido, el principio de autonomía de la voluntad, reconocido en los artículos 13, 32 y 40 de la Ley 80 de 1993 para las entidades sometidas al Estatuto General de Contratación de la Administración Pública, y en el artículo 1602 del Código Civil para las exceptuadas, es el fundamento normativo que otorga a las Entidades Estatales competencia para que puedan solicitar requisitos habilitantes adicionales o diferentes a los establecidos en el numeral 1º del artículo 5 de la Ley 1150 de 2007. En realidad, lo que este numeral establece es una limitación a la discrecionalidad administrativa para la estipulación de los requisitos de participación, bajo la óptica de que, si se incluyen los allí señalados, por regla general, no otorgarán puntaje; pero este enunciado no debe interpretarse en el sentido de que las entidades pueden exigir única y exclusivamente los requisitos habilitantes enlistados en el artículo. Esta lectura negaría la autonomía reconocida a los órganos del Estado para construir el pliego de condiciones y definir los requisitos que deben reunir los oferentes según el resultado de los estudios previos, en armonía con los principios de legalidad y proporcionalidad.</w:t>
      </w:r>
    </w:p>
    <w:p w14:paraId="3EE79025" w14:textId="77777777" w:rsidR="00100B2C" w:rsidRPr="006E3E0D" w:rsidRDefault="00100B2C" w:rsidP="00100B2C">
      <w:pPr>
        <w:widowControl w:val="0"/>
        <w:autoSpaceDE w:val="0"/>
        <w:autoSpaceDN w:val="0"/>
        <w:spacing w:line="276" w:lineRule="auto"/>
        <w:ind w:firstLine="709"/>
        <w:jc w:val="both"/>
        <w:rPr>
          <w:rFonts w:ascii="Verdana" w:eastAsia="Calibri" w:hAnsi="Verdana" w:cs="Arial"/>
          <w:color w:val="000000" w:themeColor="text1"/>
          <w:lang w:val="es-ES"/>
        </w:rPr>
      </w:pPr>
      <w:r w:rsidRPr="006E3E0D">
        <w:rPr>
          <w:rFonts w:ascii="Verdana" w:eastAsia="Calibri" w:hAnsi="Verdana" w:cs="Arial"/>
          <w:color w:val="000000" w:themeColor="text1"/>
          <w:lang w:val="es-ES"/>
        </w:rPr>
        <w:t>Considerando la discrecionalidad para establecer requisitos habilitantes, es necesario tener en cuenta que el artículo 44 de la Ley 1437 de 2011, aplicable en los procedimientos contractuales en virtud del artículo 77 de la Ley 80 de 1993, dispone que “En la medida en que el contenido de una decisión de carácter general o particular sea discrecional, debe ser adecuada a los fines de la norma que la autoriza, y proporcional a los hechos que le sirven de causa”. En consecuencia, la Entidad Estatal tiene la carga de justificar en los estudios previos y análisis del sector del proceso de selección los requisitos habilitantes que establezca, de conformidad con el artículo 2.2.1.1.1.6.2 del Decreto 1082 de 2015.</w:t>
      </w:r>
    </w:p>
    <w:p w14:paraId="5491A877" w14:textId="77777777" w:rsidR="00100B2C" w:rsidRPr="006E3E0D" w:rsidRDefault="00100B2C" w:rsidP="00100B2C">
      <w:pPr>
        <w:widowControl w:val="0"/>
        <w:autoSpaceDE w:val="0"/>
        <w:autoSpaceDN w:val="0"/>
        <w:spacing w:line="276" w:lineRule="auto"/>
        <w:ind w:firstLine="709"/>
        <w:jc w:val="both"/>
        <w:rPr>
          <w:rFonts w:ascii="Verdana" w:eastAsia="Calibri" w:hAnsi="Verdana" w:cs="Arial"/>
          <w:color w:val="000000" w:themeColor="text1"/>
          <w:lang w:val="es-ES"/>
        </w:rPr>
      </w:pPr>
      <w:r w:rsidRPr="006E3E0D">
        <w:rPr>
          <w:rFonts w:ascii="Verdana" w:eastAsia="Calibri" w:hAnsi="Verdana" w:cs="Arial"/>
          <w:color w:val="000000" w:themeColor="text1"/>
          <w:lang w:val="es-ES"/>
        </w:rPr>
        <w:t>En conclusión, aunque la Ley 1150 de 2007 estableció la capacidad jurídica, las condiciones de experiencia, la capacidad financiera y la capacidad de organización como requisitos habilitantes, este listado no es taxativo. Corresponde a la Entidad Estatal establecerlos en cada proceso contractual, justificando su procedencia y siguiendo los parámetros fijados en el Decreto 1082 de 2015. Una vez establecidos los requisitos habilitantes, quienes presenten ofertas deben acreditar que cumplen con ellos, so pena de que sus propuestas sean rechazadas, sin perjuicio de la posibilidad de subsanarlas, cuando a ello haya lugar.</w:t>
      </w:r>
    </w:p>
    <w:p w14:paraId="72F8D2F1" w14:textId="77777777" w:rsidR="00100B2C" w:rsidRPr="006E3E0D" w:rsidRDefault="00100B2C" w:rsidP="00100B2C">
      <w:pPr>
        <w:widowControl w:val="0"/>
        <w:autoSpaceDE w:val="0"/>
        <w:autoSpaceDN w:val="0"/>
        <w:spacing w:line="276" w:lineRule="auto"/>
        <w:jc w:val="both"/>
        <w:rPr>
          <w:rFonts w:ascii="Verdana" w:eastAsia="Calibri" w:hAnsi="Verdana" w:cs="Arial"/>
          <w:color w:val="000000" w:themeColor="text1"/>
          <w:lang w:val="es-ES"/>
        </w:rPr>
      </w:pPr>
      <w:proofErr w:type="spellStart"/>
      <w:r>
        <w:rPr>
          <w:rFonts w:ascii="Verdana" w:eastAsia="Calibri" w:hAnsi="Verdana" w:cs="Arial"/>
          <w:color w:val="000000" w:themeColor="text1"/>
          <w:lang w:val="es-ES"/>
        </w:rPr>
        <w:lastRenderedPageBreak/>
        <w:t>ii</w:t>
      </w:r>
      <w:proofErr w:type="spellEnd"/>
      <w:r>
        <w:rPr>
          <w:rFonts w:ascii="Verdana" w:eastAsia="Calibri" w:hAnsi="Verdana" w:cs="Arial"/>
          <w:color w:val="000000" w:themeColor="text1"/>
          <w:lang w:val="es-ES"/>
        </w:rPr>
        <w:t xml:space="preserve">. </w:t>
      </w:r>
      <w:r w:rsidRPr="006E3E0D">
        <w:rPr>
          <w:rFonts w:ascii="Verdana" w:eastAsia="Calibri" w:hAnsi="Verdana" w:cs="Arial"/>
          <w:color w:val="000000" w:themeColor="text1"/>
          <w:lang w:val="es-ES"/>
        </w:rPr>
        <w:t xml:space="preserve">Ahora bien, </w:t>
      </w:r>
      <w:r>
        <w:rPr>
          <w:rFonts w:ascii="Verdana" w:eastAsia="Calibri" w:hAnsi="Verdana" w:cs="Arial"/>
          <w:color w:val="000000" w:themeColor="text1"/>
          <w:lang w:val="es-ES"/>
        </w:rPr>
        <w:t xml:space="preserve">respecto de las consultas planteadas </w:t>
      </w:r>
      <w:r w:rsidRPr="006E3E0D">
        <w:rPr>
          <w:rFonts w:ascii="Verdana" w:eastAsia="Calibri" w:hAnsi="Verdana" w:cs="Arial"/>
          <w:color w:val="000000" w:themeColor="text1"/>
          <w:lang w:val="es-ES"/>
        </w:rPr>
        <w:t>para analizar la posibilidad de establecer como requisito habilitante de un proceso de contratación</w:t>
      </w:r>
      <w:r w:rsidRPr="006E3E0D">
        <w:rPr>
          <w:rFonts w:ascii="ArialMT" w:eastAsia="Times New Roman" w:hAnsi="ArialMT" w:cs="Times New Roman"/>
          <w:lang w:val="es-ES"/>
        </w:rPr>
        <w:t xml:space="preserve"> </w:t>
      </w:r>
      <w:r w:rsidRPr="006E3E0D">
        <w:rPr>
          <w:rFonts w:ascii="Verdana" w:eastAsia="Calibri" w:hAnsi="Verdana" w:cs="Arial"/>
          <w:color w:val="000000" w:themeColor="text1"/>
          <w:lang w:val="es-ES"/>
        </w:rPr>
        <w:t>un nivel de implementación del Sistema de Gestión de Seguridad y Salud en el Trabajo (SG-SST), es indispensable hacer referencia a su regulación en el ordenamiento jurídico. El artículo 1 de la Ley 1562 de 2012, que modificó el Sistema de Riesgos Laborales, contempló que el programa de salud ocupacional en adelante se conocería como el Sistema de Gestión de la Seguridad y Salud en el Trabajo, definido como un “Sistema consiste en el desarrollo de un proceso lógico y por etapas, basado en la mejora continua y que incluye la política, la organización, la planificación, la aplicación, la evaluación, la auditoría y las acciones de mejora con el objetivo de anticipar, reconocer, evaluar y controlar los riesgos que puedan afectar la seguridad y salud en el trabajo.”</w:t>
      </w:r>
    </w:p>
    <w:p w14:paraId="4EC14F1A" w14:textId="77777777" w:rsidR="00100B2C" w:rsidRPr="006E3E0D" w:rsidRDefault="00100B2C" w:rsidP="00100B2C">
      <w:pPr>
        <w:widowControl w:val="0"/>
        <w:autoSpaceDE w:val="0"/>
        <w:autoSpaceDN w:val="0"/>
        <w:spacing w:line="276" w:lineRule="auto"/>
        <w:ind w:firstLine="709"/>
        <w:jc w:val="both"/>
        <w:rPr>
          <w:rFonts w:ascii="Verdana" w:eastAsia="Calibri" w:hAnsi="Verdana" w:cs="Arial"/>
          <w:color w:val="000000" w:themeColor="text1"/>
          <w:lang w:val="es-ES"/>
        </w:rPr>
      </w:pPr>
      <w:r w:rsidRPr="006E3E0D">
        <w:rPr>
          <w:rFonts w:ascii="Verdana" w:eastAsia="Calibri" w:hAnsi="Verdana" w:cs="Arial"/>
          <w:color w:val="000000" w:themeColor="text1"/>
          <w:lang w:val="es-ES"/>
        </w:rPr>
        <w:t xml:space="preserve">Por su parte, el Decreto 1443 de 2014, compilado posteriormente en el capítulo 6 del Decreto 1072 de 2015, “por medio del cual se expidió el Decreto Reglamentario del Sector Trabajo”, definió las directrices para la implementación del SG-SST. En particular, el artículo 2.2.4.6.4. del Decreto 1072 de 2015 dispuso que </w:t>
      </w:r>
      <w:bookmarkStart w:id="3" w:name="_Hlk182775658"/>
      <w:r w:rsidRPr="006E3E0D">
        <w:rPr>
          <w:rFonts w:ascii="Verdana" w:eastAsia="Calibri" w:hAnsi="Verdana" w:cs="Arial"/>
          <w:color w:val="000000" w:themeColor="text1"/>
          <w:lang w:val="es-ES"/>
        </w:rPr>
        <w:t xml:space="preserve">el Sistema de Gestión de Seguridad y Salud en el Trabajo </w:t>
      </w:r>
      <w:bookmarkEnd w:id="3"/>
      <w:r w:rsidRPr="006E3E0D">
        <w:rPr>
          <w:rFonts w:ascii="Verdana" w:eastAsia="Calibri" w:hAnsi="Verdana" w:cs="Arial"/>
          <w:color w:val="000000" w:themeColor="text1"/>
          <w:lang w:val="es-ES"/>
        </w:rPr>
        <w:t xml:space="preserve">debe ser liderado e implementado por el empleador o contratante, con la participación de los trabajadores y/o contratistas. Para ello, el artículo estableció que los empleadores o contratantes, entre los que se encuentran las Entidades Estatales, deben garantizar la implementación, mantenimiento y mejora continua del SG-SST en sus contratistas. </w:t>
      </w:r>
    </w:p>
    <w:p w14:paraId="6904737B" w14:textId="77777777" w:rsidR="00100B2C" w:rsidRPr="006E3E0D" w:rsidRDefault="00100B2C" w:rsidP="00100B2C">
      <w:pPr>
        <w:widowControl w:val="0"/>
        <w:autoSpaceDE w:val="0"/>
        <w:autoSpaceDN w:val="0"/>
        <w:spacing w:line="276" w:lineRule="auto"/>
        <w:ind w:firstLine="709"/>
        <w:jc w:val="both"/>
        <w:rPr>
          <w:rFonts w:ascii="Verdana" w:eastAsia="Calibri" w:hAnsi="Verdana" w:cs="Arial"/>
          <w:color w:val="000000" w:themeColor="text1"/>
          <w:lang w:val="es-ES"/>
        </w:rPr>
      </w:pPr>
      <w:r w:rsidRPr="006E3E0D">
        <w:rPr>
          <w:rFonts w:ascii="Verdana" w:eastAsia="Calibri" w:hAnsi="Verdana" w:cs="Arial"/>
          <w:color w:val="000000" w:themeColor="text1"/>
          <w:lang w:val="es-ES"/>
        </w:rPr>
        <w:t>Para esto,</w:t>
      </w:r>
      <w:r w:rsidRPr="006E3E0D">
        <w:rPr>
          <w:lang w:val="es-ES"/>
        </w:rPr>
        <w:t xml:space="preserve"> </w:t>
      </w:r>
      <w:r w:rsidRPr="006E3E0D">
        <w:rPr>
          <w:rFonts w:ascii="Verdana" w:eastAsia="Calibri" w:hAnsi="Verdana" w:cs="Arial"/>
          <w:color w:val="000000" w:themeColor="text1"/>
          <w:lang w:val="es-ES"/>
        </w:rPr>
        <w:t xml:space="preserve">el parágrafo 1º </w:t>
      </w:r>
      <w:r w:rsidRPr="006E3E0D">
        <w:rPr>
          <w:rFonts w:ascii="Verdana" w:eastAsia="Calibri" w:hAnsi="Verdana" w:cs="Arial"/>
          <w:i/>
          <w:iCs/>
          <w:color w:val="000000" w:themeColor="text1"/>
          <w:lang w:val="es-ES"/>
        </w:rPr>
        <w:t>ibidem</w:t>
      </w:r>
      <w:r w:rsidRPr="006E3E0D">
        <w:rPr>
          <w:rFonts w:ascii="Verdana" w:eastAsia="Calibri" w:hAnsi="Verdana" w:cs="Arial"/>
          <w:color w:val="000000" w:themeColor="text1"/>
          <w:lang w:val="es-ES"/>
        </w:rPr>
        <w:t xml:space="preserve"> estableció que el Ministerio del Trabajo, o quien haga sus veces, determinaría de manera progresiva los estándares que hacen parte de los componentes del SG-SST, de conformidad con el desarrollo y avances técnicos y científicos del sector y del país, realizando los ajustes y actualizaciones a que haya lugar. También dispuso que dichos estándares deberán ser implementados por los integrantes del Sistema General de Riesgos Laborales en las fases y dentro de las fechas que al respecto defina el Ministerio de Trabajo. Por su parte, el parágrafo 2° dispuso que “</w:t>
      </w:r>
      <w:bookmarkStart w:id="4" w:name="_Hlk182833290"/>
      <w:r w:rsidRPr="00AD06CE">
        <w:rPr>
          <w:rFonts w:ascii="Verdana" w:eastAsia="Calibri" w:hAnsi="Verdana" w:cs="Arial"/>
          <w:i/>
          <w:iCs/>
          <w:color w:val="000000" w:themeColor="text1"/>
          <w:lang w:val="es-ES"/>
        </w:rPr>
        <w:t>Dentro de los parámetros de selección y evaluación de proveedores y contratistas</w:t>
      </w:r>
      <w:bookmarkEnd w:id="4"/>
      <w:r w:rsidRPr="00AD06CE">
        <w:rPr>
          <w:rFonts w:ascii="Verdana" w:eastAsia="Calibri" w:hAnsi="Verdana" w:cs="Arial"/>
          <w:i/>
          <w:iCs/>
          <w:color w:val="000000" w:themeColor="text1"/>
          <w:lang w:val="es-ES"/>
        </w:rPr>
        <w:t>, el contratante podrá incluir criterios que le permitan conocer que la empresa a contratar cuente con el Sistema de Gestión de la Seguridad y Salud en el Trabajo (SG-SST)</w:t>
      </w:r>
      <w:r w:rsidRPr="006E3E0D">
        <w:rPr>
          <w:rFonts w:ascii="Verdana" w:eastAsia="Calibri" w:hAnsi="Verdana" w:cs="Arial"/>
          <w:color w:val="000000" w:themeColor="text1"/>
          <w:lang w:val="es-ES"/>
        </w:rPr>
        <w:t>”.</w:t>
      </w:r>
    </w:p>
    <w:p w14:paraId="6ACF2A1F" w14:textId="77777777" w:rsidR="00100B2C" w:rsidRPr="006E3E0D" w:rsidRDefault="00100B2C" w:rsidP="00100B2C">
      <w:pPr>
        <w:spacing w:before="120" w:after="120" w:line="276" w:lineRule="auto"/>
        <w:ind w:firstLine="709"/>
        <w:jc w:val="both"/>
        <w:rPr>
          <w:rFonts w:ascii="Verdana" w:eastAsia="Calibri" w:hAnsi="Verdana" w:cs="Arial"/>
          <w:lang w:val="es-ES"/>
        </w:rPr>
      </w:pPr>
      <w:r w:rsidRPr="006E3E0D">
        <w:rPr>
          <w:rFonts w:ascii="Verdana" w:eastAsia="Calibri" w:hAnsi="Verdana" w:cs="Arial"/>
          <w:lang w:val="es-ES"/>
        </w:rPr>
        <w:t>Con base en dicho marco normativo, el Ministerio del Trabajo expidió la Resolución 312 del 13 de febrero de 2019, mediante la cual se defini</w:t>
      </w:r>
      <w:r>
        <w:rPr>
          <w:rFonts w:ascii="Verdana" w:eastAsia="Calibri" w:hAnsi="Verdana" w:cs="Arial"/>
          <w:lang w:val="es-ES"/>
        </w:rPr>
        <w:t>ó</w:t>
      </w:r>
      <w:r w:rsidRPr="006E3E0D">
        <w:rPr>
          <w:rFonts w:ascii="Verdana" w:eastAsia="Calibri" w:hAnsi="Verdana" w:cs="Arial"/>
          <w:lang w:val="es-ES"/>
        </w:rPr>
        <w:t xml:space="preserve"> los </w:t>
      </w:r>
      <w:r w:rsidRPr="006E3E0D">
        <w:rPr>
          <w:rFonts w:ascii="Verdana" w:eastAsia="Calibri" w:hAnsi="Verdana" w:cs="Arial"/>
          <w:lang w:val="es-ES"/>
        </w:rPr>
        <w:lastRenderedPageBreak/>
        <w:t xml:space="preserve">estándares mínimos del SG-SST. En los artículos 14 y 19, la Resolución dispuso los parámetros de selección y evaluación de proveedores y contratistas que pueden incluir los contratantes en sus procesos de selección, lo cual incluye los procesos de contratación que adelanten las Entidades Estatales. </w:t>
      </w:r>
    </w:p>
    <w:p w14:paraId="288FCB71" w14:textId="77777777" w:rsidR="00100B2C" w:rsidRPr="006E3E0D" w:rsidRDefault="00100B2C" w:rsidP="00100B2C">
      <w:pPr>
        <w:spacing w:before="120" w:after="120" w:line="276" w:lineRule="auto"/>
        <w:ind w:firstLine="709"/>
        <w:jc w:val="both"/>
        <w:rPr>
          <w:rFonts w:ascii="Verdana" w:eastAsia="Calibri" w:hAnsi="Verdana" w:cs="Arial"/>
          <w:lang w:val="es-ES"/>
        </w:rPr>
      </w:pPr>
      <w:r w:rsidRPr="006E3E0D">
        <w:rPr>
          <w:rFonts w:ascii="Verdana" w:eastAsia="Calibri" w:hAnsi="Verdana" w:cs="Arial"/>
          <w:lang w:val="es-ES"/>
        </w:rPr>
        <w:t>A criterio de es</w:t>
      </w:r>
      <w:r>
        <w:rPr>
          <w:rFonts w:ascii="Verdana" w:eastAsia="Calibri" w:hAnsi="Verdana" w:cs="Arial"/>
          <w:lang w:val="es-ES"/>
        </w:rPr>
        <w:t>t</w:t>
      </w:r>
      <w:r w:rsidRPr="006E3E0D">
        <w:rPr>
          <w:rFonts w:ascii="Verdana" w:eastAsia="Calibri" w:hAnsi="Verdana" w:cs="Arial"/>
          <w:lang w:val="es-ES"/>
        </w:rPr>
        <w:t>a Agencia, la inclusión de este tipo de requisitos habilitantes es procedente siempre y cuando los criterios permitan identificar que el proveedor o contratista cumple con los Estándares Mínimos del Sistema de Gestión de Seguridad y Salud en el Trabajo SG-SST. En este sentido, los requisitos no deben ir en contra de lo dispuesto en el parágrafo 2° del artículo 5 de la Ley 1150 de 2007, según el cual, las Entidades Estatales no pueden requerir en sus procesos de selección certificaciones de sistemas de gestión de calidad.</w:t>
      </w:r>
    </w:p>
    <w:p w14:paraId="2F7C8259" w14:textId="77777777" w:rsidR="00100B2C" w:rsidRPr="006E3E0D" w:rsidRDefault="00100B2C" w:rsidP="00100B2C">
      <w:pPr>
        <w:spacing w:before="120" w:after="120" w:line="276" w:lineRule="auto"/>
        <w:ind w:firstLine="709"/>
        <w:jc w:val="both"/>
        <w:rPr>
          <w:rFonts w:ascii="Verdana" w:eastAsia="Calibri" w:hAnsi="Verdana" w:cs="Arial"/>
          <w:lang w:val="es-ES"/>
        </w:rPr>
      </w:pPr>
      <w:r w:rsidRPr="006E3E0D">
        <w:rPr>
          <w:rFonts w:ascii="Verdana" w:eastAsia="Calibri" w:hAnsi="Verdana" w:cs="Arial"/>
          <w:lang w:val="es-ES"/>
        </w:rPr>
        <w:t>Teniendo en cuenta la presunción de legalidad de la normativa que regula el SG-SST, la cual goza de plena aplicación en el ordenamiento jurídico, la prohibición del parágrafo 2° del artículo 5 de la Ley 1150 de 2007 no restringe la posibilidad que tienen las Entidades Estatales de incluir aspectos de seguridad y salud en el trabajo como requisitos habilitantes de los proponentes que les permitan conocer que cuentan con la implementación de los estándares mínimos del SG-SST,  siempre que esto no implique la exigencia de la presentación de una certificación de calidad, como lo es, por ejemplo, la certificación que otorga la ISO 9001, u otras similares. Sin embargo, es importante aclarar que estas certificaciones de calidad son diferentes a la certificación de acreditación en seguridad y salud en el trabajo que expide el Ministerio del Trabajo de manera gratuita a las a las empresas, entidades, empleadores y contratantes, de acuerdo con el artículo 22 de la Resolución 312 del 13 de febrero de 2019.</w:t>
      </w:r>
    </w:p>
    <w:p w14:paraId="56A15112" w14:textId="77777777" w:rsidR="00100B2C" w:rsidRPr="006E3E0D" w:rsidRDefault="00100B2C" w:rsidP="00100B2C">
      <w:pPr>
        <w:spacing w:before="120" w:after="120" w:line="276" w:lineRule="auto"/>
        <w:ind w:firstLine="709"/>
        <w:jc w:val="both"/>
        <w:rPr>
          <w:rFonts w:ascii="Verdana" w:eastAsia="Calibri" w:hAnsi="Verdana" w:cs="Arial"/>
          <w:lang w:val="es-ES"/>
        </w:rPr>
      </w:pPr>
      <w:r w:rsidRPr="006E3E0D">
        <w:rPr>
          <w:rFonts w:ascii="Verdana" w:eastAsia="Calibri" w:hAnsi="Verdana" w:cs="Arial"/>
          <w:lang w:val="es-ES"/>
        </w:rPr>
        <w:t xml:space="preserve">Para esta Agencia, la anterior interpretación es el efecto útil de las normas analizadas, pues aceptar una lectura extensiva del parágrafo 2 del artículo 5 de la Ley 1150 de 2007 resta los efectos prácticos a la prohibición establecida por el legislador y contraría lo establecido en el artículo 31 del Código Civil, según el cual lo “Lo favorable u odioso de una disposición no se tomará en cuenta para ampliar o restringir su interpretación. La extensión que deba darse a toda ley se determinará por su genuino sentido, y según las reglas de interpretación precedentes”. Por otro lado, desconocería la finalidad perseguida por el parágrafo 2 del artículo 2.2.4.6.4. del Decreto 1072 de 2015 con la facultad otorgada a las entidades contratantes para que, dentro de los parámetros de </w:t>
      </w:r>
      <w:r w:rsidRPr="006E3E0D">
        <w:rPr>
          <w:rFonts w:ascii="Verdana" w:eastAsia="Calibri" w:hAnsi="Verdana" w:cs="Arial"/>
          <w:lang w:val="es-ES"/>
        </w:rPr>
        <w:lastRenderedPageBreak/>
        <w:t>selección y evaluación de sus proveedores y contratistas, puedan incluir criterios para conocer que el proponente cuenta con el SG-SST.</w:t>
      </w:r>
    </w:p>
    <w:p w14:paraId="05AFF6FC" w14:textId="77777777" w:rsidR="00100B2C" w:rsidRPr="006E3E0D" w:rsidRDefault="00100B2C" w:rsidP="00100B2C">
      <w:pPr>
        <w:widowControl w:val="0"/>
        <w:autoSpaceDE w:val="0"/>
        <w:autoSpaceDN w:val="0"/>
        <w:spacing w:line="276" w:lineRule="auto"/>
        <w:ind w:firstLine="709"/>
        <w:jc w:val="both"/>
        <w:rPr>
          <w:rFonts w:ascii="Verdana" w:eastAsia="Calibri" w:hAnsi="Verdana" w:cs="Arial"/>
          <w:color w:val="000000" w:themeColor="text1"/>
          <w:lang w:val="es-ES"/>
        </w:rPr>
      </w:pPr>
      <w:r w:rsidRPr="006E3E0D">
        <w:rPr>
          <w:rFonts w:ascii="Verdana" w:eastAsia="Calibri" w:hAnsi="Verdana" w:cs="Arial"/>
          <w:lang w:val="es-ES"/>
        </w:rPr>
        <w:t xml:space="preserve">Ahora bien, aunque la interpretación expuesta considera válida la inclusión de este tipo de criterios como requisitos habilitantes, es preciso señalar que su inclusión deberá estar precedida de las mismas exigencias que tiene cualquier otro requisito habilitante o de calificación, de manera que su incorporación no puede ser caprichosa ni arbitraria y </w:t>
      </w:r>
      <w:r w:rsidRPr="006E3E0D">
        <w:rPr>
          <w:rFonts w:ascii="Verdana" w:eastAsia="Calibri" w:hAnsi="Verdana" w:cs="Arial"/>
          <w:color w:val="000000" w:themeColor="text1"/>
          <w:lang w:val="es-ES"/>
        </w:rPr>
        <w:t xml:space="preserve">la Entidad Estatal tiene la carga de justificar en los estudios previos y en el análisis del sector del proceso su procedencia, de conformidad con el artículo 2.2.1.1.1.6.2 del Decreto 1082 de 2015. </w:t>
      </w:r>
      <w:r w:rsidRPr="006E3E0D">
        <w:rPr>
          <w:rFonts w:ascii="Verdana" w:eastAsia="Arial" w:hAnsi="Verdana" w:cs="Arial"/>
          <w:bCs/>
          <w:lang w:val="es-ES"/>
        </w:rPr>
        <w:t>Esto significa que las entidades no pueden establecer requisitos habilitantes relacionados con el SG-SST de forma mecánica en todos sus procesos de contratación, sino que deberán realizar un análisis integral de la necesidad identificada, el valor, plazo, el objeto contractual, obligaciones y demás condiciones específicas del proceso de selección en concreto para determinar si el requisito resulta adecuado y proporcional, así como la forma en que deberán incluirlo y exigir su acreditación.</w:t>
      </w:r>
    </w:p>
    <w:p w14:paraId="4AA2D40C" w14:textId="77777777" w:rsidR="00100B2C" w:rsidRPr="006E3E0D" w:rsidRDefault="00100B2C" w:rsidP="00100B2C">
      <w:pPr>
        <w:widowControl w:val="0"/>
        <w:autoSpaceDE w:val="0"/>
        <w:autoSpaceDN w:val="0"/>
        <w:spacing w:line="276" w:lineRule="auto"/>
        <w:ind w:firstLine="709"/>
        <w:jc w:val="both"/>
        <w:rPr>
          <w:rFonts w:ascii="Verdana" w:eastAsia="Calibri" w:hAnsi="Verdana" w:cs="Arial"/>
          <w:lang w:val="es-ES"/>
        </w:rPr>
      </w:pPr>
      <w:r w:rsidRPr="006E3E0D">
        <w:rPr>
          <w:rFonts w:ascii="Verdana" w:eastAsia="Calibri" w:hAnsi="Verdana" w:cs="Arial"/>
          <w:color w:val="000000" w:themeColor="text1"/>
          <w:lang w:val="es-ES"/>
        </w:rPr>
        <w:t xml:space="preserve">En efecto, el </w:t>
      </w:r>
      <w:r w:rsidRPr="006E3E0D">
        <w:rPr>
          <w:rFonts w:ascii="Verdana" w:eastAsia="Calibri" w:hAnsi="Verdana" w:cs="Arial"/>
          <w:lang w:val="es-ES"/>
        </w:rPr>
        <w:t>parágrafo 2 del artículo 2.2.4.6.4. del Decreto 1072 de 2015, al indicar que la entidad contratante “podrá” incluir criterios</w:t>
      </w:r>
      <w:r w:rsidRPr="006E3E0D">
        <w:rPr>
          <w:rFonts w:ascii="Verdana" w:eastAsia="Calibri" w:hAnsi="Verdana" w:cs="Arial"/>
          <w:i/>
          <w:iCs/>
          <w:lang w:val="es-ES"/>
        </w:rPr>
        <w:t xml:space="preserve"> </w:t>
      </w:r>
      <w:bookmarkStart w:id="5" w:name="_Hlk182862533"/>
      <w:r w:rsidRPr="006E3E0D">
        <w:rPr>
          <w:rFonts w:ascii="Verdana" w:eastAsia="Calibri" w:hAnsi="Verdana" w:cs="Arial"/>
          <w:lang w:val="es-ES"/>
        </w:rPr>
        <w:t xml:space="preserve">que le permitan conocer que la empresa a contratar cuenta con el </w:t>
      </w:r>
      <w:bookmarkEnd w:id="5"/>
      <w:r w:rsidRPr="006E3E0D">
        <w:rPr>
          <w:rFonts w:ascii="Verdana" w:eastAsia="Calibri" w:hAnsi="Verdana" w:cs="Arial"/>
          <w:lang w:val="es-ES"/>
        </w:rPr>
        <w:t xml:space="preserve">SG-SST, establece una facultad para las entidades contratantes, de manera que es discrecional de la entidad incorporar estos criterios como como parámetros de selección y evaluación en los procesos de selección que adelante.  </w:t>
      </w:r>
    </w:p>
    <w:p w14:paraId="63ADBA88" w14:textId="77777777" w:rsidR="00100B2C" w:rsidRPr="006E3E0D" w:rsidRDefault="00100B2C" w:rsidP="00100B2C">
      <w:pPr>
        <w:widowControl w:val="0"/>
        <w:autoSpaceDE w:val="0"/>
        <w:autoSpaceDN w:val="0"/>
        <w:spacing w:line="276" w:lineRule="auto"/>
        <w:ind w:firstLine="709"/>
        <w:jc w:val="both"/>
        <w:rPr>
          <w:rFonts w:ascii="Verdana" w:eastAsia="Calibri" w:hAnsi="Verdana" w:cs="Arial"/>
          <w:lang w:val="es-ES"/>
        </w:rPr>
      </w:pPr>
      <w:r w:rsidRPr="006E3E0D">
        <w:rPr>
          <w:rFonts w:ascii="Verdana" w:eastAsia="Calibri" w:hAnsi="Verdana" w:cs="Arial"/>
          <w:color w:val="000000" w:themeColor="text1"/>
          <w:lang w:val="es-ES"/>
        </w:rPr>
        <w:t>Al respecto, es pertinente indicar que el Consejo de Estado en sentencia del 18 de noviembre de 2024 señ</w:t>
      </w:r>
      <w:r w:rsidRPr="006E3E0D">
        <w:rPr>
          <w:rFonts w:ascii="Verdana" w:eastAsia="Calibri" w:hAnsi="Verdana" w:cs="Arial"/>
          <w:lang w:val="es-ES"/>
        </w:rPr>
        <w:t xml:space="preserve">aló que “En términos generales, la Resolución </w:t>
      </w:r>
      <w:bookmarkStart w:id="6" w:name="_Hlk186491639"/>
      <w:r w:rsidRPr="006E3E0D">
        <w:rPr>
          <w:rFonts w:ascii="Verdana" w:eastAsia="Calibri" w:hAnsi="Verdana" w:cs="Arial"/>
          <w:lang w:val="es-ES"/>
        </w:rPr>
        <w:t xml:space="preserve">312 de 2019 </w:t>
      </w:r>
      <w:bookmarkEnd w:id="6"/>
      <w:r w:rsidRPr="006E3E0D">
        <w:rPr>
          <w:rFonts w:ascii="Verdana" w:eastAsia="Calibri" w:hAnsi="Verdana" w:cs="Arial"/>
          <w:lang w:val="es-ES"/>
        </w:rPr>
        <w:t xml:space="preserve">establece la obligación para las empresas de contar con </w:t>
      </w:r>
      <w:bookmarkStart w:id="7" w:name="_Hlk186491484"/>
      <w:r w:rsidRPr="006E3E0D">
        <w:rPr>
          <w:rFonts w:ascii="Verdana" w:eastAsia="Calibri" w:hAnsi="Verdana" w:cs="Arial"/>
          <w:lang w:val="es-ES"/>
        </w:rPr>
        <w:t>un Sistema de Gestión de la Seguridad y Salud en el Trabajo -SG-SST</w:t>
      </w:r>
      <w:bookmarkEnd w:id="7"/>
      <w:r w:rsidRPr="006E3E0D">
        <w:rPr>
          <w:rFonts w:ascii="Verdana" w:eastAsia="Calibri" w:hAnsi="Verdana" w:cs="Arial"/>
          <w:lang w:val="es-ES"/>
        </w:rPr>
        <w:t xml:space="preserve">- dirigido a anticipar, reconocer, evaluar y controlar los riesgos que puedan afectar la seguridad y la salud en el ejercicio laboral. Sin embargo, </w:t>
      </w:r>
      <w:r w:rsidRPr="006E3E0D">
        <w:rPr>
          <w:rFonts w:ascii="Verdana" w:eastAsia="Calibri" w:hAnsi="Verdana" w:cs="Arial"/>
          <w:i/>
          <w:iCs/>
          <w:lang w:val="es-ES"/>
        </w:rPr>
        <w:t>en ninguna de sus disposiciones se consagra que el certificado previsto en su artículo deba ser considerado como un requisito insoslayable para dotar de juridicidad un procedimiento de selección en la contratación pública o privada</w:t>
      </w:r>
      <w:r w:rsidRPr="006E3E0D">
        <w:rPr>
          <w:rStyle w:val="Refdenotaalpie"/>
          <w:rFonts w:ascii="Verdana" w:eastAsia="Calibri" w:hAnsi="Verdana" w:cs="Arial"/>
          <w:i/>
          <w:iCs/>
          <w:lang w:val="es-ES"/>
        </w:rPr>
        <w:footnoteReference w:id="6"/>
      </w:r>
      <w:r w:rsidRPr="006E3E0D">
        <w:rPr>
          <w:rFonts w:ascii="Verdana" w:eastAsia="Calibri" w:hAnsi="Verdana" w:cs="Arial"/>
          <w:lang w:val="es-ES"/>
        </w:rPr>
        <w:t>”. [Énfasis por fuera de texto]</w:t>
      </w:r>
    </w:p>
    <w:p w14:paraId="1AD9DC02" w14:textId="77777777" w:rsidR="00100B2C" w:rsidRPr="006E3E0D" w:rsidRDefault="00100B2C" w:rsidP="00100B2C">
      <w:pPr>
        <w:widowControl w:val="0"/>
        <w:autoSpaceDE w:val="0"/>
        <w:autoSpaceDN w:val="0"/>
        <w:spacing w:line="276" w:lineRule="auto"/>
        <w:ind w:firstLine="709"/>
        <w:jc w:val="both"/>
        <w:rPr>
          <w:rFonts w:ascii="Verdana" w:eastAsia="Calibri" w:hAnsi="Verdana" w:cs="Arial"/>
          <w:color w:val="000000" w:themeColor="text1"/>
          <w:lang w:val="es-ES"/>
        </w:rPr>
      </w:pPr>
      <w:r w:rsidRPr="006E3E0D">
        <w:rPr>
          <w:rFonts w:ascii="Verdana" w:eastAsia="Calibri" w:hAnsi="Verdana" w:cs="Arial"/>
          <w:lang w:val="es-ES"/>
        </w:rPr>
        <w:t xml:space="preserve">En este sentido, la certificación del Sistema de Gestión de la Seguridad y </w:t>
      </w:r>
      <w:r w:rsidRPr="006E3E0D">
        <w:rPr>
          <w:rFonts w:ascii="Verdana" w:eastAsia="Calibri" w:hAnsi="Verdana" w:cs="Arial"/>
          <w:lang w:val="es-ES"/>
        </w:rPr>
        <w:lastRenderedPageBreak/>
        <w:t xml:space="preserve">Salud en el Trabajo determinada en la Resolución 312 de 2019 no </w:t>
      </w:r>
      <w:r w:rsidRPr="006E3E0D">
        <w:rPr>
          <w:rFonts w:ascii="Verdana" w:eastAsia="Calibri" w:hAnsi="Verdana" w:cs="Arial"/>
          <w:color w:val="000000" w:themeColor="text1"/>
          <w:lang w:val="es-ES"/>
        </w:rPr>
        <w:t xml:space="preserve">es un requisito obligatorio que </w:t>
      </w:r>
      <w:r w:rsidRPr="006E3E0D">
        <w:rPr>
          <w:rFonts w:ascii="Verdana" w:eastAsia="Calibri" w:hAnsi="Verdana" w:cs="Arial"/>
          <w:i/>
          <w:iCs/>
          <w:color w:val="000000" w:themeColor="text1"/>
          <w:lang w:val="es-ES"/>
        </w:rPr>
        <w:t>deba</w:t>
      </w:r>
      <w:r w:rsidRPr="006E3E0D">
        <w:rPr>
          <w:rFonts w:ascii="Verdana" w:eastAsia="Calibri" w:hAnsi="Verdana" w:cs="Arial"/>
          <w:color w:val="000000" w:themeColor="text1"/>
          <w:lang w:val="es-ES"/>
        </w:rPr>
        <w:t xml:space="preserve"> ser exigido como una condición habilitante en los procesos licitatorios que adelante el Estado Colombiano, pues la norma no establece dicha obligación. En los términos del parágrafo 2 del</w:t>
      </w:r>
      <w:r w:rsidRPr="006E3E0D">
        <w:rPr>
          <w:rFonts w:ascii="Verdana" w:eastAsia="Calibri" w:hAnsi="Verdana" w:cs="Arial"/>
          <w:lang w:val="es-ES"/>
        </w:rPr>
        <w:t xml:space="preserve"> artículo 2.2.4.6.4. del Decreto 1072 de 2015, </w:t>
      </w:r>
      <w:r w:rsidRPr="006E3E0D">
        <w:rPr>
          <w:rFonts w:ascii="Verdana" w:eastAsia="Calibri" w:hAnsi="Verdana" w:cs="Arial"/>
          <w:color w:val="000000" w:themeColor="text1"/>
          <w:lang w:val="es-ES"/>
        </w:rPr>
        <w:t>es una facultad de la entidad establecerlo como un requisito de selección o que puede ser tenida en cuenta “como referente en seguridad y salud en el trabajo para efectos de la contratación pública o privada”.</w:t>
      </w:r>
    </w:p>
    <w:p w14:paraId="32DA0215" w14:textId="77777777" w:rsidR="00100B2C" w:rsidRPr="006E3E0D" w:rsidRDefault="00100B2C" w:rsidP="00100B2C">
      <w:pPr>
        <w:widowControl w:val="0"/>
        <w:autoSpaceDE w:val="0"/>
        <w:autoSpaceDN w:val="0"/>
        <w:spacing w:line="276" w:lineRule="auto"/>
        <w:ind w:firstLine="709"/>
        <w:jc w:val="both"/>
        <w:rPr>
          <w:rFonts w:ascii="Verdana" w:eastAsia="Calibri" w:hAnsi="Verdana" w:cs="Arial"/>
          <w:color w:val="000000" w:themeColor="text1"/>
          <w:lang w:val="es-ES"/>
        </w:rPr>
      </w:pPr>
      <w:r w:rsidRPr="006E3E0D">
        <w:rPr>
          <w:rFonts w:ascii="Verdana" w:eastAsia="Calibri" w:hAnsi="Verdana" w:cs="Arial"/>
          <w:lang w:val="es-ES"/>
        </w:rPr>
        <w:t xml:space="preserve">En todo caso, esta facultad no implica que las Entidades Estatales deben incluir dichos criterios en todos los procesos de contratación automáticamente, así como tampoco quiere decir que deban descartarlos inmediatamente por no ser obligatorios. Lo que significa es que, para establecer dichos criterios como requisitos habilitantes y/o de calificación, la entidad deberá siempre y en todo caso analizar que estos sean </w:t>
      </w:r>
      <w:r w:rsidRPr="006E3E0D">
        <w:rPr>
          <w:rFonts w:ascii="Verdana" w:eastAsia="Calibri" w:hAnsi="Verdana" w:cs="Arial"/>
          <w:i/>
          <w:iCs/>
          <w:lang w:val="es-ES"/>
        </w:rPr>
        <w:t>adecuados</w:t>
      </w:r>
      <w:r w:rsidRPr="006E3E0D">
        <w:rPr>
          <w:rFonts w:ascii="Verdana" w:eastAsia="Calibri" w:hAnsi="Verdana" w:cs="Arial"/>
          <w:lang w:val="es-ES"/>
        </w:rPr>
        <w:t xml:space="preserve">, es decir, que </w:t>
      </w:r>
      <w:r w:rsidRPr="006E3E0D">
        <w:rPr>
          <w:rFonts w:ascii="Verdana" w:eastAsia="Calibri" w:hAnsi="Verdana" w:cs="Arial"/>
          <w:color w:val="000000" w:themeColor="text1"/>
          <w:lang w:val="es-ES"/>
        </w:rPr>
        <w:t xml:space="preserve">tengan una relación directa con el objeto del contrato, y que sean </w:t>
      </w:r>
      <w:r w:rsidRPr="006E3E0D">
        <w:rPr>
          <w:rFonts w:ascii="Verdana" w:eastAsia="Calibri" w:hAnsi="Verdana" w:cs="Arial"/>
          <w:i/>
          <w:iCs/>
          <w:lang w:val="es-ES"/>
        </w:rPr>
        <w:t>proporcionales</w:t>
      </w:r>
      <w:r w:rsidRPr="006E3E0D">
        <w:rPr>
          <w:rFonts w:ascii="Verdana" w:eastAsia="Calibri" w:hAnsi="Verdana" w:cs="Arial"/>
          <w:lang w:val="es-ES"/>
        </w:rPr>
        <w:t xml:space="preserve"> a las condiciones del proceso</w:t>
      </w:r>
      <w:r w:rsidRPr="006E3E0D">
        <w:rPr>
          <w:rFonts w:ascii="Verdana" w:eastAsia="Calibri" w:hAnsi="Verdana" w:cs="Arial"/>
          <w:color w:val="000000" w:themeColor="text1"/>
          <w:lang w:val="es-ES"/>
        </w:rPr>
        <w:t xml:space="preserve">, de manera que no establezcan requisitos más allá de los necesarios para verificar la idoneidad de los proponentes respecto del objeto a ejecutar. </w:t>
      </w:r>
    </w:p>
    <w:p w14:paraId="708EB2CC" w14:textId="77777777" w:rsidR="00100B2C" w:rsidRPr="006E3E0D" w:rsidRDefault="00100B2C" w:rsidP="00100B2C">
      <w:pPr>
        <w:widowControl w:val="0"/>
        <w:autoSpaceDE w:val="0"/>
        <w:autoSpaceDN w:val="0"/>
        <w:spacing w:line="276" w:lineRule="auto"/>
        <w:ind w:firstLine="709"/>
        <w:jc w:val="both"/>
        <w:rPr>
          <w:rFonts w:ascii="Verdana" w:eastAsia="Calibri" w:hAnsi="Verdana" w:cs="Arial"/>
          <w:lang w:val="es-ES"/>
        </w:rPr>
      </w:pPr>
      <w:r w:rsidRPr="006E3E0D">
        <w:rPr>
          <w:rFonts w:ascii="Verdana" w:eastAsia="Calibri" w:hAnsi="Verdana" w:cs="Arial"/>
          <w:lang w:val="es-ES"/>
        </w:rPr>
        <w:t>Así las cosas, aunque la norma establece una facultad discrecional que implica que las entidades realicen una elección administrativa y valoren la inclusión de dichos criterios, esta decisión no puede ser irracional o arbitraria. Tal y como sucede con los demás requisitos habilitantes y de calificación, las Entidades Estatales deberán revisar durante la etapa de planeación si es procedente incluir criterios que le</w:t>
      </w:r>
      <w:r>
        <w:rPr>
          <w:rFonts w:ascii="Verdana" w:eastAsia="Calibri" w:hAnsi="Verdana" w:cs="Arial"/>
          <w:lang w:val="es-ES"/>
        </w:rPr>
        <w:t>s</w:t>
      </w:r>
      <w:r w:rsidRPr="006E3E0D">
        <w:rPr>
          <w:rFonts w:ascii="Verdana" w:eastAsia="Calibri" w:hAnsi="Verdana" w:cs="Arial"/>
          <w:lang w:val="es-ES"/>
        </w:rPr>
        <w:t xml:space="preserve"> permitan conocer que la empresa a contratar cuenta con el Sistema de Gestión de la Seguridad y Salud en el Trabajo, teniendo en cuenta las condiciones particulares de cada contrato, </w:t>
      </w:r>
      <w:r w:rsidRPr="006E3E0D">
        <w:rPr>
          <w:rFonts w:ascii="Verdana" w:eastAsia="Calibri" w:hAnsi="Verdana" w:cs="Arial"/>
          <w:color w:val="000000" w:themeColor="text1"/>
          <w:lang w:val="es-ES"/>
        </w:rPr>
        <w:t>la naturaleza, el valor, la forma de pago, los riesgos asociados, el plazo y la complejidad de ejecución del objeto</w:t>
      </w:r>
      <w:r w:rsidRPr="006E3E0D">
        <w:rPr>
          <w:rFonts w:ascii="Verdana" w:eastAsia="Calibri" w:hAnsi="Verdana" w:cs="Arial"/>
          <w:lang w:val="es-ES"/>
        </w:rPr>
        <w:t>, garantizando en todo caso el cumplimiento de los principios de contratación estatal.</w:t>
      </w:r>
    </w:p>
    <w:p w14:paraId="2D6E2DC7" w14:textId="77777777" w:rsidR="00100B2C" w:rsidRPr="006E3E0D" w:rsidRDefault="00100B2C" w:rsidP="00100B2C">
      <w:pPr>
        <w:widowControl w:val="0"/>
        <w:autoSpaceDE w:val="0"/>
        <w:autoSpaceDN w:val="0"/>
        <w:spacing w:line="276" w:lineRule="auto"/>
        <w:ind w:firstLine="709"/>
        <w:jc w:val="both"/>
        <w:rPr>
          <w:rFonts w:ascii="Verdana" w:eastAsia="Calibri" w:hAnsi="Verdana" w:cs="Arial"/>
          <w:lang w:val="es-ES"/>
        </w:rPr>
      </w:pPr>
      <w:r w:rsidRPr="006E3E0D">
        <w:rPr>
          <w:rFonts w:ascii="Verdana" w:eastAsia="Calibri" w:hAnsi="Verdana" w:cs="Arial"/>
          <w:lang w:val="es-ES"/>
        </w:rPr>
        <w:t xml:space="preserve">La anterior no quiere decir que, durante la ejecución del contrato estatal, la entidad no pueda y deba supervisar el cumplimiento de unos estándares mínimos que exige la ley sobre la implementación del Sistema de Gestión de la Seguridad y Salud en el Trabajo, discriminados en la Resolución 0312 del 13 de febrero de 2019. En efecto, los artículos 3, 9, 16 y 20 de esa resolución establecen exigencias mínimas que deberán cumplir las empresas, empleadores y contratantes a los que se refiere el artículo 2 de dicho acto administrativo. Por su parte, el artículo 2.2.4.6.28 del Decreto 1072 de 2015 contempló, en materia </w:t>
      </w:r>
      <w:r w:rsidRPr="006E3E0D">
        <w:rPr>
          <w:rFonts w:ascii="Verdana" w:eastAsia="Calibri" w:hAnsi="Verdana" w:cs="Arial"/>
          <w:lang w:val="es-ES"/>
        </w:rPr>
        <w:lastRenderedPageBreak/>
        <w:t>de contratación, el deber en cabeza del empleador de adoptar y mantener las disposiciones que garanticen el cumplimiento de las normas de seguridad y salud en el trabajo de su empresa, por parte de los proveedores, trabajadores dependientes, trabajadores cooperados, trabajadores en misión, contratistas y sus trabajadores o subcontratistas, durante el desempeño de las actividades del objeto del contrato, es decir, durante la supervisión del contrato.</w:t>
      </w:r>
    </w:p>
    <w:p w14:paraId="76DEF3E5" w14:textId="77777777" w:rsidR="00100B2C" w:rsidRDefault="00100B2C" w:rsidP="00100B2C">
      <w:pPr>
        <w:spacing w:before="120" w:after="0" w:line="276" w:lineRule="auto"/>
        <w:ind w:firstLine="709"/>
        <w:jc w:val="both"/>
        <w:rPr>
          <w:rFonts w:ascii="Verdana" w:eastAsia="Calibri" w:hAnsi="Verdana" w:cs="Arial"/>
          <w:lang w:val="es-ES"/>
        </w:rPr>
      </w:pPr>
      <w:r w:rsidRPr="006E3E0D">
        <w:rPr>
          <w:rFonts w:ascii="Verdana" w:eastAsia="Calibri" w:hAnsi="Verdana" w:cs="Arial"/>
          <w:lang w:val="es-ES"/>
        </w:rPr>
        <w:t>De este modo, el seguimiento de la ejecución del contrato para la dirección, control y vigilancia del correcto cumplimiento del objeto es un deber legal que permite a las entidades estatales tomar medidas orientadas a la satisfacción de los fines de la contratación, dentro de las cuales se encuentra el cumplimiento del ordenamiento jurídico vigente, por lo que las normas técnicas que se encuentran reguladas en la Resolución 0312 de 2019 constituyen estándares mínimos que deberán ser supervisados durante la ejecución del contrato estatal por tratarse de exigencias de rango legal. Para los efectos de este concepto, se resaltan dentro de este seguimiento la verificación y revisión de los soportes de cumplimiento de las obligaciones laborales y la verificación del cumplimiento de las obligaciones del contratista en materia de seguridad social y salud ocupacional, ahora denominada Sistema de Gestión de Seguridad y Salud en el Trabajo.</w:t>
      </w:r>
    </w:p>
    <w:p w14:paraId="623F98C4" w14:textId="77777777" w:rsidR="00100B2C" w:rsidRPr="009E2496" w:rsidRDefault="00100B2C" w:rsidP="00100B2C">
      <w:pPr>
        <w:spacing w:before="120" w:after="0" w:line="276" w:lineRule="auto"/>
        <w:ind w:firstLine="709"/>
        <w:jc w:val="both"/>
        <w:rPr>
          <w:rFonts w:ascii="Verdana" w:eastAsia="Calibri" w:hAnsi="Verdana" w:cs="Arial"/>
          <w:lang w:val="es-ES"/>
        </w:rPr>
      </w:pPr>
      <w:r w:rsidRPr="009E2496">
        <w:rPr>
          <w:rFonts w:ascii="Verdana" w:eastAsia="Calibri" w:hAnsi="Verdana" w:cs="Arial"/>
          <w:lang w:val="es-ES"/>
        </w:rPr>
        <w:t>Ahora bien, respecto de los requisitos de carácter ambiental y sanitario</w:t>
      </w:r>
      <w:r>
        <w:rPr>
          <w:rFonts w:ascii="Verdana" w:eastAsia="Calibri" w:hAnsi="Verdana" w:cs="Arial"/>
          <w:lang w:val="es-ES"/>
        </w:rPr>
        <w:t xml:space="preserve"> a los que alude en su consulta, </w:t>
      </w:r>
      <w:r w:rsidRPr="009E2496">
        <w:rPr>
          <w:rFonts w:ascii="Verdana" w:eastAsia="Calibri" w:hAnsi="Verdana" w:cs="Arial"/>
          <w:lang w:val="es-ES"/>
        </w:rPr>
        <w:t>tales como conceptos sanitarios, autorizaciones para la aplicación de plaguicidas, planes de gestión de residuos peligroso</w:t>
      </w:r>
      <w:r>
        <w:rPr>
          <w:rFonts w:ascii="Verdana" w:eastAsia="Calibri" w:hAnsi="Verdana" w:cs="Arial"/>
          <w:lang w:val="es-ES"/>
        </w:rPr>
        <w:t>s, entre otros</w:t>
      </w:r>
      <w:r w:rsidRPr="009E2496">
        <w:rPr>
          <w:rFonts w:ascii="Verdana" w:eastAsia="Calibri" w:hAnsi="Verdana" w:cs="Arial"/>
          <w:lang w:val="es-ES"/>
        </w:rPr>
        <w:t>, es importante precisar que corresponde a cada entidad estatal determinar, con fundamento en las características del objeto contractual y en la regulación aplicable, si dichos requisitos deben exigirse como condiciones habilitantes para participar en el proceso de selección o, por el contrario, establecerse como obligaciones contractuales cuyo cumplimiento deba verificarse durante la ejecución del contrato.</w:t>
      </w:r>
    </w:p>
    <w:p w14:paraId="3CD48BB8" w14:textId="77777777" w:rsidR="00100B2C" w:rsidRPr="009E2496" w:rsidRDefault="00100B2C" w:rsidP="00100B2C">
      <w:pPr>
        <w:spacing w:before="120" w:after="0" w:line="276" w:lineRule="auto"/>
        <w:ind w:firstLine="709"/>
        <w:jc w:val="both"/>
        <w:rPr>
          <w:rFonts w:ascii="Verdana" w:eastAsia="Calibri" w:hAnsi="Verdana" w:cs="Arial"/>
          <w:lang w:val="es-ES"/>
        </w:rPr>
      </w:pPr>
      <w:r>
        <w:rPr>
          <w:rFonts w:ascii="Verdana" w:eastAsia="Calibri" w:hAnsi="Verdana" w:cs="Arial"/>
          <w:lang w:val="es-ES"/>
        </w:rPr>
        <w:t>Como se explicó, e</w:t>
      </w:r>
      <w:r w:rsidRPr="009E2496">
        <w:rPr>
          <w:rFonts w:ascii="Verdana" w:eastAsia="Calibri" w:hAnsi="Verdana" w:cs="Arial"/>
          <w:lang w:val="es-ES"/>
        </w:rPr>
        <w:t>sta determinación debe realizarse a partir de un análisis técnico y jurídico de las actividades que comprende el objeto contractual. En ese sentido, cuando la normativa vigente exija una autorización, licencia</w:t>
      </w:r>
      <w:r>
        <w:rPr>
          <w:rFonts w:ascii="Verdana" w:eastAsia="Calibri" w:hAnsi="Verdana" w:cs="Arial"/>
          <w:lang w:val="es-ES"/>
        </w:rPr>
        <w:t xml:space="preserve"> o </w:t>
      </w:r>
      <w:r w:rsidRPr="009E2496">
        <w:rPr>
          <w:rFonts w:ascii="Verdana" w:eastAsia="Calibri" w:hAnsi="Verdana" w:cs="Arial"/>
          <w:lang w:val="es-ES"/>
        </w:rPr>
        <w:t xml:space="preserve">permiso como condición indispensable para desarrollar la actividad objeto del contrato, la entidad podrá establecer dicho requisito como condición habilitante, en la medida en que su acreditación resulte necesaria para verificar la capacidad jurídica o técnica del proponente para ejecutar válidamente el contrato. En estos </w:t>
      </w:r>
      <w:r w:rsidRPr="009E2496">
        <w:rPr>
          <w:rFonts w:ascii="Verdana" w:eastAsia="Calibri" w:hAnsi="Verdana" w:cs="Arial"/>
          <w:lang w:val="es-ES"/>
        </w:rPr>
        <w:lastRenderedPageBreak/>
        <w:t>casos, la exigencia no responde a un criterio discrecional de la entidad, sino al cumplimiento de un mandato legal que condiciona el ejercicio de la actividad contratada.</w:t>
      </w:r>
    </w:p>
    <w:p w14:paraId="4100D6A1" w14:textId="77777777" w:rsidR="00100B2C" w:rsidRPr="009E2496" w:rsidRDefault="00100B2C" w:rsidP="00100B2C">
      <w:pPr>
        <w:spacing w:before="120" w:after="0" w:line="276" w:lineRule="auto"/>
        <w:ind w:firstLine="709"/>
        <w:jc w:val="both"/>
        <w:rPr>
          <w:rFonts w:ascii="Verdana" w:eastAsia="Calibri" w:hAnsi="Verdana" w:cs="Arial"/>
          <w:lang w:val="es-ES"/>
        </w:rPr>
      </w:pPr>
      <w:r>
        <w:rPr>
          <w:rFonts w:ascii="Verdana" w:eastAsia="Calibri" w:hAnsi="Verdana" w:cs="Arial"/>
          <w:lang w:val="es-ES"/>
        </w:rPr>
        <w:t>Por el contrario</w:t>
      </w:r>
      <w:r w:rsidRPr="009E2496">
        <w:rPr>
          <w:rFonts w:ascii="Verdana" w:eastAsia="Calibri" w:hAnsi="Verdana" w:cs="Arial"/>
          <w:lang w:val="es-ES"/>
        </w:rPr>
        <w:t xml:space="preserve">, cuando determinadas </w:t>
      </w:r>
      <w:r>
        <w:rPr>
          <w:rFonts w:ascii="Verdana" w:eastAsia="Calibri" w:hAnsi="Verdana" w:cs="Arial"/>
          <w:lang w:val="es-ES"/>
        </w:rPr>
        <w:t>condiciones</w:t>
      </w:r>
      <w:r w:rsidRPr="009E2496">
        <w:rPr>
          <w:rFonts w:ascii="Verdana" w:eastAsia="Calibri" w:hAnsi="Verdana" w:cs="Arial"/>
          <w:lang w:val="es-ES"/>
        </w:rPr>
        <w:t xml:space="preserve"> ambientales o sanitarias </w:t>
      </w:r>
      <w:r>
        <w:rPr>
          <w:rFonts w:ascii="Verdana" w:eastAsia="Calibri" w:hAnsi="Verdana" w:cs="Arial"/>
          <w:lang w:val="es-ES"/>
        </w:rPr>
        <w:t xml:space="preserve">puedan ser objeto de cumplimiento </w:t>
      </w:r>
      <w:r w:rsidRPr="009E2496">
        <w:rPr>
          <w:rFonts w:ascii="Verdana" w:eastAsia="Calibri" w:hAnsi="Verdana" w:cs="Arial"/>
          <w:lang w:val="es-ES"/>
        </w:rPr>
        <w:t xml:space="preserve">durante la ejecución contractual, o cuando </w:t>
      </w:r>
      <w:r>
        <w:rPr>
          <w:rFonts w:ascii="Verdana" w:eastAsia="Calibri" w:hAnsi="Verdana" w:cs="Arial"/>
          <w:lang w:val="es-ES"/>
        </w:rPr>
        <w:t xml:space="preserve">estas </w:t>
      </w:r>
      <w:r w:rsidRPr="009E2496">
        <w:rPr>
          <w:rFonts w:ascii="Verdana" w:eastAsia="Calibri" w:hAnsi="Verdana" w:cs="Arial"/>
          <w:lang w:val="es-ES"/>
        </w:rPr>
        <w:t xml:space="preserve">pueden materializarse una vez iniciado el contrato, la entidad podrá establecerlas como obligaciones contractuales, definiendo los mecanismos de seguimiento y verificación correspondientes. </w:t>
      </w:r>
    </w:p>
    <w:p w14:paraId="5836AE96" w14:textId="77777777" w:rsidR="00100B2C" w:rsidRDefault="00100B2C" w:rsidP="00100B2C">
      <w:pPr>
        <w:spacing w:before="120" w:after="0" w:line="276" w:lineRule="auto"/>
        <w:ind w:firstLine="709"/>
        <w:jc w:val="both"/>
        <w:rPr>
          <w:rFonts w:ascii="Verdana" w:eastAsia="Calibri" w:hAnsi="Verdana" w:cs="Arial"/>
          <w:lang w:val="es-ES"/>
        </w:rPr>
      </w:pPr>
      <w:r w:rsidRPr="009E2496">
        <w:rPr>
          <w:rFonts w:ascii="Verdana" w:eastAsia="Calibri" w:hAnsi="Verdana" w:cs="Arial"/>
          <w:lang w:val="es-ES"/>
        </w:rPr>
        <w:t>En cualquier caso, la decisión de incorporar este tipo de exigencias como requisitos habilitantes debe observar los principios de proporcionalidad, necesidad y relación con el objeto contractual. En consecuencia, la entidad deberá justificar que tales requisitos guardan una conexión directa con las actividades a ejecutar y que son estrictamente necesarios para verificar la idoneidad del proponente, evitando imponer cargas injustificadas que limiten la libre concurrencia o restrinjan indebidamente la participación de potenciales oferentes.</w:t>
      </w:r>
      <w:r>
        <w:rPr>
          <w:rFonts w:ascii="Verdana" w:eastAsia="Calibri" w:hAnsi="Verdana" w:cs="Arial"/>
          <w:lang w:val="es-ES"/>
        </w:rPr>
        <w:t xml:space="preserve"> </w:t>
      </w:r>
    </w:p>
    <w:p w14:paraId="44D49100" w14:textId="77777777" w:rsidR="00100B2C" w:rsidRPr="00834398" w:rsidRDefault="00100B2C" w:rsidP="00100B2C">
      <w:pPr>
        <w:spacing w:before="120" w:after="0" w:line="276" w:lineRule="auto"/>
        <w:ind w:firstLine="709"/>
        <w:jc w:val="both"/>
        <w:rPr>
          <w:rFonts w:ascii="Verdana" w:eastAsia="Calibri" w:hAnsi="Verdana" w:cs="Arial"/>
        </w:rPr>
      </w:pPr>
      <w:r>
        <w:rPr>
          <w:rFonts w:ascii="Verdana" w:eastAsia="Calibri" w:hAnsi="Verdana" w:cs="Arial"/>
          <w:lang w:val="es-ES"/>
        </w:rPr>
        <w:t xml:space="preserve">En este contexto, es fundamental el análisis del sector en el cual la entidad deberá tener en cuenta, entre otros, los aspectos regulatorios en el cual </w:t>
      </w:r>
      <w:r w:rsidRPr="00251F62">
        <w:rPr>
          <w:rFonts w:ascii="Verdana" w:eastAsia="Calibri" w:hAnsi="Verdana" w:cs="Arial"/>
        </w:rPr>
        <w:t xml:space="preserve">debe identificar la regulación aplicable al mercado del objeto correspondiente al </w:t>
      </w:r>
      <w:r>
        <w:rPr>
          <w:rFonts w:ascii="Verdana" w:eastAsia="Calibri" w:hAnsi="Verdana" w:cs="Arial"/>
        </w:rPr>
        <w:t>p</w:t>
      </w:r>
      <w:r w:rsidRPr="00251F62">
        <w:rPr>
          <w:rFonts w:ascii="Verdana" w:eastAsia="Calibri" w:hAnsi="Verdana" w:cs="Arial"/>
        </w:rPr>
        <w:t xml:space="preserve">roceso de </w:t>
      </w:r>
      <w:r>
        <w:rPr>
          <w:rFonts w:ascii="Verdana" w:eastAsia="Calibri" w:hAnsi="Verdana" w:cs="Arial"/>
        </w:rPr>
        <w:t>c</w:t>
      </w:r>
      <w:r w:rsidRPr="00251F62">
        <w:rPr>
          <w:rFonts w:ascii="Verdana" w:eastAsia="Calibri" w:hAnsi="Verdana" w:cs="Arial"/>
        </w:rPr>
        <w:t>ontratación, así como la que regula la actividad de los proveedores y compradores de manera particular</w:t>
      </w:r>
      <w:r>
        <w:rPr>
          <w:rFonts w:ascii="Verdana" w:eastAsia="Calibri" w:hAnsi="Verdana" w:cs="Arial"/>
        </w:rPr>
        <w:t>. Dentro de este estudio es esencial revisar, por ejemplo, las regulaciones específicas del sector, normas técnicas y regulatorias que puedan influir, los requisitos sanitarios y fitosanitarios, etc., lo cual permite e</w:t>
      </w:r>
      <w:r w:rsidRPr="005F30E5">
        <w:rPr>
          <w:rFonts w:ascii="Verdana" w:eastAsia="Calibri" w:hAnsi="Verdana" w:cs="Arial"/>
        </w:rPr>
        <w:t>structurar un proceso de contratación alineado con la normativa vigente, minimizando riesgos y asegurando condiciones óptimas para la ejecución del contrat</w:t>
      </w:r>
      <w:r>
        <w:rPr>
          <w:rFonts w:ascii="Verdana" w:eastAsia="Calibri" w:hAnsi="Verdana" w:cs="Arial"/>
        </w:rPr>
        <w:t>o</w:t>
      </w:r>
      <w:r>
        <w:rPr>
          <w:rStyle w:val="Refdenotaalpie"/>
          <w:rFonts w:ascii="Verdana" w:eastAsia="Calibri" w:hAnsi="Verdana" w:cs="Arial"/>
        </w:rPr>
        <w:footnoteReference w:id="7"/>
      </w:r>
      <w:r>
        <w:rPr>
          <w:rFonts w:ascii="Verdana" w:eastAsia="Calibri" w:hAnsi="Verdana" w:cs="Arial"/>
        </w:rPr>
        <w:t>.</w:t>
      </w:r>
    </w:p>
    <w:p w14:paraId="29CB850B" w14:textId="77777777" w:rsidR="00100B2C" w:rsidRDefault="00100B2C" w:rsidP="00100B2C">
      <w:pPr>
        <w:spacing w:before="120" w:after="0" w:line="276" w:lineRule="auto"/>
        <w:ind w:firstLine="709"/>
        <w:jc w:val="both"/>
        <w:rPr>
          <w:rFonts w:ascii="Verdana" w:eastAsia="Calibri" w:hAnsi="Verdana" w:cs="Arial"/>
          <w:lang w:val="es-ES"/>
        </w:rPr>
      </w:pPr>
      <w:r w:rsidRPr="009E2496">
        <w:rPr>
          <w:rFonts w:ascii="Verdana" w:eastAsia="Calibri" w:hAnsi="Verdana" w:cs="Arial"/>
          <w:lang w:val="es-ES"/>
        </w:rPr>
        <w:t xml:space="preserve">Finalmente, debe precisarse que el hecho de que determinados requisitos ambientales o sanitarios se establezcan como obligaciones de ejecución y no como requisitos habilitantes no implica, por sí mismo, una deficiencia en la planeación del proceso de contratación. </w:t>
      </w:r>
      <w:r>
        <w:rPr>
          <w:rFonts w:ascii="Verdana" w:eastAsia="Calibri" w:hAnsi="Verdana" w:cs="Arial"/>
          <w:lang w:val="es-ES"/>
        </w:rPr>
        <w:t>E</w:t>
      </w:r>
      <w:r w:rsidRPr="009E2496">
        <w:rPr>
          <w:rFonts w:ascii="Verdana" w:eastAsia="Calibri" w:hAnsi="Verdana" w:cs="Arial"/>
          <w:lang w:val="es-ES"/>
        </w:rPr>
        <w:t xml:space="preserve">sta decisión </w:t>
      </w:r>
      <w:r>
        <w:rPr>
          <w:rFonts w:ascii="Verdana" w:eastAsia="Calibri" w:hAnsi="Verdana" w:cs="Arial"/>
          <w:lang w:val="es-ES"/>
        </w:rPr>
        <w:t xml:space="preserve">se debe </w:t>
      </w:r>
      <w:r w:rsidRPr="009E2496">
        <w:rPr>
          <w:rFonts w:ascii="Verdana" w:eastAsia="Calibri" w:hAnsi="Verdana" w:cs="Arial"/>
          <w:lang w:val="es-ES"/>
        </w:rPr>
        <w:t>fundame</w:t>
      </w:r>
      <w:r>
        <w:rPr>
          <w:rFonts w:ascii="Verdana" w:eastAsia="Calibri" w:hAnsi="Verdana" w:cs="Arial"/>
          <w:lang w:val="es-ES"/>
        </w:rPr>
        <w:t xml:space="preserve">ntar </w:t>
      </w:r>
      <w:r w:rsidRPr="009E2496">
        <w:rPr>
          <w:rFonts w:ascii="Verdana" w:eastAsia="Calibri" w:hAnsi="Verdana" w:cs="Arial"/>
          <w:lang w:val="es-ES"/>
        </w:rPr>
        <w:t xml:space="preserve">en un análisis de la normativa aplicable, de la naturaleza del objeto contractual y del momento en que tales </w:t>
      </w:r>
      <w:r>
        <w:rPr>
          <w:rFonts w:ascii="Verdana" w:eastAsia="Calibri" w:hAnsi="Verdana" w:cs="Arial"/>
          <w:lang w:val="es-ES"/>
        </w:rPr>
        <w:t>condiciones</w:t>
      </w:r>
      <w:r w:rsidRPr="009E2496">
        <w:rPr>
          <w:rFonts w:ascii="Verdana" w:eastAsia="Calibri" w:hAnsi="Verdana" w:cs="Arial"/>
          <w:lang w:val="es-ES"/>
        </w:rPr>
        <w:t xml:space="preserve"> resultan legalmente exigibles. En </w:t>
      </w:r>
      <w:r w:rsidRPr="009E2496">
        <w:rPr>
          <w:rFonts w:ascii="Verdana" w:eastAsia="Calibri" w:hAnsi="Verdana" w:cs="Arial"/>
          <w:lang w:val="es-ES"/>
        </w:rPr>
        <w:lastRenderedPageBreak/>
        <w:t xml:space="preserve">consecuencia, corresponderá a cada entidad definir, de manera motivada y atendiendo las particularidades de cada proceso, el momento en el que estos requisitos deben acreditarse, garantizando el cumplimiento de la </w:t>
      </w:r>
      <w:r>
        <w:rPr>
          <w:rFonts w:ascii="Verdana" w:eastAsia="Calibri" w:hAnsi="Verdana" w:cs="Arial"/>
          <w:lang w:val="es-ES"/>
        </w:rPr>
        <w:t xml:space="preserve">normativa </w:t>
      </w:r>
      <w:r w:rsidRPr="009E2496">
        <w:rPr>
          <w:rFonts w:ascii="Verdana" w:eastAsia="Calibri" w:hAnsi="Verdana" w:cs="Arial"/>
          <w:lang w:val="es-ES"/>
        </w:rPr>
        <w:t>ambiental y sanitaria</w:t>
      </w:r>
      <w:r>
        <w:rPr>
          <w:rFonts w:ascii="Verdana" w:eastAsia="Calibri" w:hAnsi="Verdana" w:cs="Arial"/>
          <w:lang w:val="es-ES"/>
        </w:rPr>
        <w:t xml:space="preserve"> aplicable.</w:t>
      </w:r>
    </w:p>
    <w:p w14:paraId="7FBBBAE1" w14:textId="77777777" w:rsidR="00100B2C" w:rsidRPr="004F4C0E" w:rsidRDefault="00100B2C" w:rsidP="00100B2C">
      <w:pPr>
        <w:spacing w:before="120" w:after="0" w:line="276" w:lineRule="auto"/>
        <w:ind w:firstLine="709"/>
        <w:jc w:val="both"/>
        <w:rPr>
          <w:rFonts w:ascii="Verdana" w:eastAsia="Calibri" w:hAnsi="Verdana" w:cs="Arial"/>
          <w:lang w:val="es-ES"/>
        </w:rPr>
      </w:pPr>
      <w:r w:rsidRPr="00B17041">
        <w:rPr>
          <w:rFonts w:ascii="Verdana" w:hAnsi="Verdana" w:cs="Arial"/>
          <w:lang w:val="es-ES" w:eastAsia="es-ES"/>
        </w:rPr>
        <w:t>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86326E">
        <w:rPr>
          <w:rFonts w:ascii="Verdana" w:hAnsi="Verdana" w:cs="Arial"/>
          <w:lang w:val="es-ES_tradnl" w:eastAsia="es-ES"/>
        </w:rPr>
        <w:t xml:space="preserve"> </w:t>
      </w:r>
      <w:r w:rsidRPr="00B17041">
        <w:rPr>
          <w:rFonts w:ascii="Verdana" w:hAnsi="Verdana" w:cs="Arial"/>
          <w:lang w:val="es-ES_tradnl" w:eastAsia="es-ES"/>
        </w:rPr>
        <w:t>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5FFD394E" w14:textId="77777777" w:rsidR="00100B2C" w:rsidRPr="006E3E0D" w:rsidRDefault="00100B2C" w:rsidP="00100B2C">
      <w:pPr>
        <w:spacing w:after="0" w:line="276" w:lineRule="auto"/>
        <w:ind w:firstLine="709"/>
        <w:jc w:val="both"/>
        <w:rPr>
          <w:rFonts w:ascii="Verdana" w:eastAsia="Calibri" w:hAnsi="Verdana" w:cs="Arial"/>
          <w:lang w:val="es-ES"/>
        </w:rPr>
      </w:pPr>
    </w:p>
    <w:p w14:paraId="108C5103" w14:textId="77777777" w:rsidR="00100B2C" w:rsidRPr="006E3E0D" w:rsidRDefault="00100B2C" w:rsidP="00100B2C">
      <w:pPr>
        <w:pStyle w:val="Prrafodelista"/>
        <w:numPr>
          <w:ilvl w:val="0"/>
          <w:numId w:val="21"/>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6E3E0D">
        <w:rPr>
          <w:rFonts w:ascii="Verdana" w:eastAsia="Century Gothic" w:hAnsi="Verdana" w:cs="Century Gothic"/>
          <w:b/>
          <w:bCs/>
          <w:color w:val="000000" w:themeColor="text1"/>
        </w:rPr>
        <w:t>Referencias normativas, jurisprudenciales y otras fuentes:</w:t>
      </w:r>
    </w:p>
    <w:p w14:paraId="720C943D" w14:textId="77777777" w:rsidR="00100B2C" w:rsidRPr="006E3E0D" w:rsidRDefault="00100B2C" w:rsidP="00100B2C">
      <w:pPr>
        <w:widowControl w:val="0"/>
        <w:autoSpaceDE w:val="0"/>
        <w:autoSpaceDN w:val="0"/>
        <w:spacing w:after="0" w:line="276" w:lineRule="auto"/>
        <w:jc w:val="both"/>
        <w:rPr>
          <w:rFonts w:ascii="Verdana" w:hAnsi="Verdana" w:cs="Arial"/>
          <w:color w:val="000000" w:themeColor="text1"/>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00B2C" w:rsidRPr="006E3E0D" w14:paraId="78D468CF" w14:textId="77777777" w:rsidTr="001B1335">
        <w:trPr>
          <w:trHeight w:val="349"/>
        </w:trPr>
        <w:tc>
          <w:tcPr>
            <w:tcW w:w="8647" w:type="dxa"/>
          </w:tcPr>
          <w:p w14:paraId="679FD22E" w14:textId="77777777" w:rsidR="00100B2C" w:rsidRPr="006E3E0D" w:rsidRDefault="00100B2C" w:rsidP="00100B2C">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sidRPr="006E3E0D">
              <w:rPr>
                <w:rFonts w:ascii="Verdana" w:hAnsi="Verdana" w:cs="Arial"/>
              </w:rPr>
              <w:t>Ley 1150 de 2007: artículo 5</w:t>
            </w:r>
          </w:p>
          <w:p w14:paraId="794F2FCF" w14:textId="77777777" w:rsidR="00100B2C" w:rsidRPr="006E3E0D" w:rsidRDefault="00100B2C" w:rsidP="00100B2C">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sidRPr="006E3E0D">
              <w:rPr>
                <w:rFonts w:ascii="Verdana" w:hAnsi="Verdana" w:cs="Arial"/>
              </w:rPr>
              <w:t>Ley 1437 de 2011: artículo 44</w:t>
            </w:r>
          </w:p>
          <w:p w14:paraId="6DEA1720" w14:textId="77777777" w:rsidR="00100B2C" w:rsidRPr="006E3E0D" w:rsidRDefault="00100B2C" w:rsidP="00100B2C">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sidRPr="006E3E0D">
              <w:rPr>
                <w:rFonts w:ascii="Verdana" w:hAnsi="Verdana" w:cs="Arial"/>
              </w:rPr>
              <w:t>Ley 1562 de 2012: artículo 1</w:t>
            </w:r>
          </w:p>
          <w:p w14:paraId="48861B70" w14:textId="77777777" w:rsidR="00100B2C" w:rsidRPr="006E3E0D" w:rsidRDefault="00100B2C" w:rsidP="00100B2C">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sidRPr="006E3E0D">
              <w:rPr>
                <w:rFonts w:ascii="Verdana" w:hAnsi="Verdana" w:cs="Arial"/>
              </w:rPr>
              <w:t>Decreto 1082 de 2015: artículos 2.2.1.1.1.6.2 y 2.2.1.1.2.2.2</w:t>
            </w:r>
          </w:p>
          <w:p w14:paraId="5BD7786B" w14:textId="77777777" w:rsidR="00100B2C" w:rsidRPr="006E3E0D" w:rsidRDefault="00100B2C" w:rsidP="00100B2C">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sidRPr="006E3E0D">
              <w:rPr>
                <w:rFonts w:ascii="Verdana" w:hAnsi="Verdana" w:cs="Arial"/>
              </w:rPr>
              <w:t>Decreto 1072 de 2015: artículos 2.2.4.6.4 y 2.2.4.6.28</w:t>
            </w:r>
          </w:p>
          <w:p w14:paraId="74338DD0" w14:textId="77777777" w:rsidR="00100B2C" w:rsidRPr="006E3E0D" w:rsidRDefault="00100B2C" w:rsidP="00100B2C">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color w:val="000000" w:themeColor="text1"/>
              </w:rPr>
            </w:pPr>
            <w:r w:rsidRPr="006E3E0D">
              <w:rPr>
                <w:rFonts w:ascii="Verdana" w:hAnsi="Verdana" w:cs="Arial"/>
              </w:rPr>
              <w:t>Resolución 312 del 13 de febrero de 2019</w:t>
            </w:r>
            <w:r w:rsidRPr="006E3E0D">
              <w:rPr>
                <w:rFonts w:ascii="Verdana" w:hAnsi="Verdana" w:cs="Arial"/>
                <w:color w:val="000000" w:themeColor="text1"/>
              </w:rPr>
              <w:t xml:space="preserve"> </w:t>
            </w:r>
          </w:p>
        </w:tc>
      </w:tr>
    </w:tbl>
    <w:p w14:paraId="07C5BDF8" w14:textId="77777777" w:rsidR="00100B2C" w:rsidRPr="006E3E0D" w:rsidRDefault="00100B2C" w:rsidP="00100B2C">
      <w:pPr>
        <w:widowControl w:val="0"/>
        <w:autoSpaceDE w:val="0"/>
        <w:autoSpaceDN w:val="0"/>
        <w:spacing w:after="0" w:line="276" w:lineRule="auto"/>
        <w:jc w:val="both"/>
        <w:rPr>
          <w:rFonts w:ascii="Verdana" w:hAnsi="Verdana" w:cs="Arial"/>
          <w:color w:val="000000" w:themeColor="text1"/>
          <w:lang w:val="es-ES"/>
        </w:rPr>
      </w:pPr>
    </w:p>
    <w:p w14:paraId="481594CE" w14:textId="77777777" w:rsidR="00100B2C" w:rsidRPr="006E3E0D" w:rsidRDefault="00100B2C" w:rsidP="00100B2C">
      <w:pPr>
        <w:pStyle w:val="Prrafodelista"/>
        <w:numPr>
          <w:ilvl w:val="0"/>
          <w:numId w:val="21"/>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6E3E0D">
        <w:rPr>
          <w:rFonts w:ascii="Verdana" w:eastAsia="Century Gothic" w:hAnsi="Verdana" w:cs="Century Gothic"/>
          <w:b/>
          <w:bCs/>
          <w:color w:val="000000" w:themeColor="text1"/>
        </w:rPr>
        <w:t>Doctrina de la Agencia Nacional de Contratación Pública:</w:t>
      </w:r>
    </w:p>
    <w:p w14:paraId="7EFA8823" w14:textId="77777777" w:rsidR="00100B2C" w:rsidRPr="006E3E0D" w:rsidRDefault="00100B2C" w:rsidP="00100B2C">
      <w:pPr>
        <w:widowControl w:val="0"/>
        <w:autoSpaceDE w:val="0"/>
        <w:autoSpaceDN w:val="0"/>
        <w:spacing w:after="0" w:line="276" w:lineRule="auto"/>
        <w:jc w:val="both"/>
        <w:rPr>
          <w:rFonts w:ascii="Verdana" w:hAnsi="Verdana" w:cs="Arial"/>
          <w:color w:val="000000" w:themeColor="text1"/>
          <w:lang w:val="es-ES"/>
        </w:rPr>
      </w:pPr>
    </w:p>
    <w:p w14:paraId="6C4596BB" w14:textId="77777777" w:rsidR="00100B2C" w:rsidRPr="00AD6131" w:rsidRDefault="00100B2C" w:rsidP="00100B2C">
      <w:pPr>
        <w:widowControl w:val="0"/>
        <w:autoSpaceDE w:val="0"/>
        <w:autoSpaceDN w:val="0"/>
        <w:spacing w:after="0" w:line="276" w:lineRule="auto"/>
        <w:jc w:val="both"/>
        <w:rPr>
          <w:rFonts w:ascii="Verdana" w:eastAsia="Calibri" w:hAnsi="Verdana" w:cs="Arial"/>
          <w:lang w:val="es-ES" w:eastAsia="es-ES"/>
        </w:rPr>
      </w:pPr>
      <w:r w:rsidRPr="006E3E0D">
        <w:rPr>
          <w:rFonts w:ascii="Verdana" w:eastAsia="Calibri" w:hAnsi="Verdana" w:cs="Arial"/>
          <w:lang w:val="es-ES" w:eastAsia="es-ES"/>
        </w:rPr>
        <w:t xml:space="preserve">La Agencia Nacional de Contratación Pública – Colombia Compra Eficiente </w:t>
      </w:r>
      <w:r w:rsidRPr="006E3E0D">
        <w:rPr>
          <w:rFonts w:ascii="Verdana" w:hAnsi="Verdana" w:cs="Arial"/>
          <w:shd w:val="clear" w:color="auto" w:fill="FFFFFF"/>
          <w:lang w:val="es-ES"/>
        </w:rPr>
        <w:t xml:space="preserve">se ha pronunciado sobre </w:t>
      </w:r>
      <w:r w:rsidRPr="006E3E0D">
        <w:rPr>
          <w:rFonts w:ascii="Verdana" w:eastAsia="Calibri" w:hAnsi="Verdana" w:cs="Arial"/>
          <w:lang w:val="es-ES" w:eastAsia="es-ES"/>
        </w:rPr>
        <w:t>la naturaleza de los requisitos habilitantes y su carácter enunciativo</w:t>
      </w:r>
      <w:r w:rsidRPr="006E3E0D">
        <w:rPr>
          <w:rFonts w:ascii="Verdana" w:hAnsi="Verdana" w:cs="Arial"/>
          <w:shd w:val="clear" w:color="auto" w:fill="FFFFFF"/>
          <w:lang w:val="es-ES"/>
        </w:rPr>
        <w:t xml:space="preserve"> en los Conceptos C</w:t>
      </w:r>
      <w:r w:rsidRPr="006E3E0D">
        <w:rPr>
          <w:rFonts w:ascii="Verdana" w:eastAsia="Calibri" w:hAnsi="Verdana" w:cs="Arial"/>
          <w:lang w:val="es-ES" w:eastAsia="es-ES"/>
        </w:rPr>
        <w:t>-120 del 3 de marzo de 2020, C-204 del 31 de marzo de 2020, C-099 del 6 de abril de 2020, C-195 del 13 de abril de 2020, C-</w:t>
      </w:r>
      <w:r w:rsidRPr="006E3E0D">
        <w:rPr>
          <w:rFonts w:ascii="Verdana" w:eastAsia="Calibri" w:hAnsi="Verdana" w:cs="Arial"/>
          <w:lang w:val="es-ES" w:eastAsia="es-ES"/>
        </w:rPr>
        <w:lastRenderedPageBreak/>
        <w:t>013 del 17 de abril de 2020, C-330 del 27 de mayo de 2020, C-396 de 16 de julio de 2020, C-387 de 3 de agosto de 2021, C-669 de 3 de diciembre de 2021, C-573 de 13 de septiembre de 2022, C- 831 de 28 de noviembre de 2022 y C-868 del 19 de diciembre de 2022, C-124 de 25 de mayo de 2023, C-165 de 2 de junio de 2023, C-167 de 5 de junio de 2023, C-215 de 10 de agosto de 2023, C-277 de 14 de julio de 2023, C-337 de 18 de agosto de 2023, entre otros. Sobre el Sistema de Gestión de la Seguridad y Salud del Trabajo y los requisitos habilitantes o de calificación se refirió en el concepto C-317 del 18 de septiembre de 2023</w:t>
      </w:r>
      <w:r>
        <w:rPr>
          <w:rFonts w:ascii="Verdana" w:eastAsia="Calibri" w:hAnsi="Verdana" w:cs="Arial"/>
          <w:lang w:val="es-ES" w:eastAsia="es-ES"/>
        </w:rPr>
        <w:t>,</w:t>
      </w:r>
      <w:r w:rsidRPr="006E3E0D">
        <w:rPr>
          <w:rFonts w:ascii="Verdana" w:eastAsia="Calibri" w:hAnsi="Verdana" w:cs="Arial"/>
          <w:lang w:val="es-ES" w:eastAsia="es-ES"/>
        </w:rPr>
        <w:t xml:space="preserve"> C-1013 del 31 de diciembre de 2024</w:t>
      </w:r>
      <w:r>
        <w:rPr>
          <w:rFonts w:ascii="Verdana" w:eastAsia="Calibri" w:hAnsi="Verdana" w:cs="Arial"/>
          <w:lang w:val="es-ES" w:eastAsia="es-ES"/>
        </w:rPr>
        <w:t xml:space="preserve"> y C-589 de 2025</w:t>
      </w:r>
      <w:r w:rsidRPr="006E3E0D">
        <w:rPr>
          <w:rFonts w:ascii="Verdana" w:eastAsia="Calibri" w:hAnsi="Verdana" w:cs="Arial"/>
          <w:lang w:val="es-ES" w:eastAsia="es-ES"/>
        </w:rPr>
        <w:t>.</w:t>
      </w:r>
      <w:r w:rsidRPr="006E3E0D">
        <w:rPr>
          <w:rFonts w:ascii="Verdana" w:eastAsia="Calibri" w:hAnsi="Verdana" w:cs="Arial"/>
          <w:b/>
          <w:bCs/>
          <w:lang w:val="es-ES" w:eastAsia="es-ES"/>
        </w:rPr>
        <w:t xml:space="preserve"> </w:t>
      </w:r>
      <w:r w:rsidRPr="006E3E0D">
        <w:rPr>
          <w:rFonts w:ascii="Verdana" w:hAnsi="Verdana" w:cs="Arial"/>
          <w:shd w:val="clear" w:color="auto" w:fill="FFFFFF"/>
          <w:lang w:val="es-ES"/>
        </w:rPr>
        <w:t xml:space="preserve">Estos y otros se encuentran disponibles para consulta en el Sistema de relatoría de la Agencia, al cual puede accederse a través del siguiente enlace: </w:t>
      </w:r>
      <w:hyperlink r:id="rId13" w:history="1">
        <w:r w:rsidRPr="006E3E0D">
          <w:rPr>
            <w:rFonts w:ascii="Verdana" w:hAnsi="Verdana" w:cs="Arial"/>
            <w:color w:val="0000FF"/>
            <w:u w:val="single"/>
            <w:shd w:val="clear" w:color="auto" w:fill="FFFFFF"/>
            <w:lang w:val="es-ES"/>
          </w:rPr>
          <w:t>https://relatoria.colombiacompra.gov.co/busqueda/conceptos</w:t>
        </w:r>
      </w:hyperlink>
      <w:r w:rsidRPr="006E3E0D">
        <w:rPr>
          <w:rFonts w:ascii="Verdana" w:hAnsi="Verdana" w:cs="Arial"/>
          <w:shd w:val="clear" w:color="auto" w:fill="FFFFFF"/>
          <w:lang w:val="es-ES"/>
        </w:rPr>
        <w:t xml:space="preserve">. </w:t>
      </w:r>
      <w:r w:rsidRPr="006E3E0D">
        <w:rPr>
          <w:rFonts w:ascii="Verdana" w:hAnsi="Verdana" w:cs="Arial"/>
          <w:color w:val="FF0000"/>
          <w:shd w:val="clear" w:color="auto" w:fill="FFFFFF"/>
          <w:lang w:val="es-ES"/>
        </w:rPr>
        <w:t xml:space="preserve"> </w:t>
      </w:r>
    </w:p>
    <w:p w14:paraId="44B4730D" w14:textId="77777777" w:rsidR="00100B2C" w:rsidRPr="006E3E0D" w:rsidRDefault="00100B2C" w:rsidP="00100B2C">
      <w:pPr>
        <w:widowControl w:val="0"/>
        <w:autoSpaceDE w:val="0"/>
        <w:autoSpaceDN w:val="0"/>
        <w:spacing w:after="0" w:line="276" w:lineRule="auto"/>
        <w:jc w:val="both"/>
        <w:rPr>
          <w:rFonts w:ascii="Verdana" w:hAnsi="Verdana" w:cs="Arial"/>
          <w:color w:val="000000" w:themeColor="text1"/>
          <w:shd w:val="clear" w:color="auto" w:fill="FFFFFF"/>
          <w:lang w:val="es-ES"/>
        </w:rPr>
      </w:pPr>
    </w:p>
    <w:p w14:paraId="59AEA1F2" w14:textId="77777777" w:rsidR="00100B2C" w:rsidRPr="006E3E0D" w:rsidRDefault="00100B2C" w:rsidP="00100B2C">
      <w:pPr>
        <w:widowControl w:val="0"/>
        <w:autoSpaceDE w:val="0"/>
        <w:autoSpaceDN w:val="0"/>
        <w:spacing w:after="0" w:line="276" w:lineRule="auto"/>
        <w:jc w:val="both"/>
        <w:rPr>
          <w:rFonts w:ascii="Verdana" w:hAnsi="Verdana" w:cs="Arial"/>
          <w:color w:val="000000" w:themeColor="text1"/>
          <w:shd w:val="clear" w:color="auto" w:fill="FFFFFF"/>
          <w:lang w:val="es-ES"/>
        </w:rPr>
      </w:pPr>
      <w:r w:rsidRPr="006E3E0D">
        <w:rPr>
          <w:rFonts w:ascii="Verdana" w:hAnsi="Verdana" w:cs="Arial"/>
          <w:color w:val="000000" w:themeColor="text1"/>
          <w:shd w:val="clear" w:color="auto" w:fill="FFFFFF"/>
          <w:lang w:val="es-ES"/>
        </w:rPr>
        <w:t>También le contamos que ya se encuentra disponible la </w:t>
      </w:r>
      <w:r w:rsidRPr="006E3E0D">
        <w:rPr>
          <w:rFonts w:ascii="Verdana" w:hAnsi="Verdana" w:cs="Arial"/>
          <w:b/>
          <w:bCs/>
          <w:color w:val="000000" w:themeColor="text1"/>
          <w:shd w:val="clear" w:color="auto" w:fill="FFFFFF"/>
          <w:lang w:val="es-ES"/>
        </w:rPr>
        <w:t>Guía de lineamientos de transparencia y selección objetiva para el departamento de La Guajira – Objetivo sexto constitucional de la Sentencia T-302 del 2017. </w:t>
      </w:r>
      <w:r w:rsidRPr="006E3E0D">
        <w:rPr>
          <w:rFonts w:ascii="Verdana" w:hAnsi="Verdana" w:cs="Arial"/>
          <w:color w:val="000000" w:themeColor="text1"/>
          <w:shd w:val="clear" w:color="auto" w:fill="FFFFFF"/>
          <w:lang w:val="es-ES"/>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6E3E0D">
        <w:rPr>
          <w:rFonts w:ascii="Verdana" w:hAnsi="Verdana" w:cs="Arial"/>
          <w:color w:val="000000" w:themeColor="text1"/>
          <w:shd w:val="clear" w:color="auto" w:fill="FFFFFF"/>
          <w:lang w:val="es-ES"/>
        </w:rPr>
        <w:t>Wayúu</w:t>
      </w:r>
      <w:proofErr w:type="spellEnd"/>
      <w:r w:rsidRPr="006E3E0D">
        <w:rPr>
          <w:rFonts w:ascii="Verdana" w:hAnsi="Verdana" w:cs="Arial"/>
          <w:color w:val="000000" w:themeColor="text1"/>
          <w:shd w:val="clear" w:color="auto" w:fill="FFFFFF"/>
          <w:lang w:val="es-ES"/>
        </w:rPr>
        <w:t>. Puede consultar la guía en el siguiente enlace: </w:t>
      </w:r>
      <w:hyperlink r:id="rId14" w:tgtFrame="_blank" w:tooltip="Original URL: https://www.colombiacompra.gov.co/wp-content/uploads/2025/05/GUIA-DE-LINEAMIENTOS-DE-TRANSPARENCIA-Y-SELECCION-OBJETIVA-1.0.pdf. Click or tap if you trust this link." w:history="1">
        <w:r w:rsidRPr="006E3E0D">
          <w:rPr>
            <w:rStyle w:val="Hipervnculo"/>
            <w:rFonts w:ascii="Verdana" w:hAnsi="Verdana" w:cs="Arial"/>
            <w:shd w:val="clear" w:color="auto" w:fill="FFFFFF"/>
            <w:lang w:val="es-ES"/>
          </w:rPr>
          <w:t>Guía de lineamientos de transparencia y selección objetiva para el departamento de La Guajira – Objetivo sexto constitucional de la Sentencia T-302 del 2017</w:t>
        </w:r>
      </w:hyperlink>
      <w:r w:rsidRPr="006E3E0D">
        <w:rPr>
          <w:rFonts w:ascii="Verdana" w:hAnsi="Verdana" w:cs="Arial"/>
          <w:color w:val="000000" w:themeColor="text1"/>
          <w:u w:val="single"/>
          <w:shd w:val="clear" w:color="auto" w:fill="FFFFFF"/>
          <w:lang w:val="es-ES"/>
        </w:rPr>
        <w:t>"</w:t>
      </w:r>
    </w:p>
    <w:p w14:paraId="1B87B428" w14:textId="77777777" w:rsidR="00100B2C" w:rsidRPr="006E3E0D" w:rsidRDefault="00100B2C" w:rsidP="00100B2C">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p>
    <w:p w14:paraId="401723F2" w14:textId="77777777" w:rsidR="00100B2C" w:rsidRPr="006E3E0D" w:rsidRDefault="00100B2C" w:rsidP="00100B2C">
      <w:pPr>
        <w:spacing w:after="0" w:line="240" w:lineRule="auto"/>
        <w:jc w:val="both"/>
        <w:rPr>
          <w:rFonts w:ascii="Verdana" w:hAnsi="Verdana"/>
          <w:lang w:val="es-ES"/>
        </w:rPr>
      </w:pPr>
      <w:r w:rsidRPr="006E3E0D">
        <w:rPr>
          <w:rFonts w:ascii="Verdana" w:hAnsi="Verdana"/>
          <w:lang w:val="es-ES"/>
        </w:rPr>
        <w:t xml:space="preserve">Por último, lo invitamos a seguirnos en las redes sociales en las cuales se difunde información institucional: </w:t>
      </w:r>
    </w:p>
    <w:p w14:paraId="52CAC458" w14:textId="77777777" w:rsidR="00100B2C" w:rsidRPr="006E3E0D" w:rsidRDefault="00100B2C" w:rsidP="00100B2C">
      <w:pPr>
        <w:spacing w:after="0" w:line="240" w:lineRule="auto"/>
        <w:jc w:val="both"/>
        <w:rPr>
          <w:rFonts w:ascii="Verdana" w:hAnsi="Verdana"/>
          <w:lang w:val="es-ES"/>
        </w:rPr>
      </w:pPr>
    </w:p>
    <w:p w14:paraId="47DB3E1B" w14:textId="77777777" w:rsidR="00100B2C" w:rsidRPr="006E3E0D" w:rsidRDefault="00100B2C" w:rsidP="00100B2C">
      <w:pPr>
        <w:spacing w:after="0" w:line="240" w:lineRule="auto"/>
        <w:jc w:val="both"/>
        <w:rPr>
          <w:rFonts w:ascii="Verdana" w:hAnsi="Verdana"/>
          <w:lang w:val="es-ES"/>
        </w:rPr>
      </w:pPr>
      <w:r w:rsidRPr="006E3E0D">
        <w:rPr>
          <w:rFonts w:ascii="Verdana" w:hAnsi="Verdana"/>
          <w:lang w:val="es-ES"/>
        </w:rPr>
        <w:t xml:space="preserve">Twitter: </w:t>
      </w:r>
      <w:r w:rsidRPr="006E3E0D">
        <w:rPr>
          <w:rStyle w:val="Hipervnculo"/>
          <w:rFonts w:ascii="Verdana" w:hAnsi="Verdana" w:cs="Arial"/>
          <w:shd w:val="clear" w:color="auto" w:fill="FFFFFF"/>
          <w:lang w:val="es-ES"/>
        </w:rPr>
        <w:t>@colombiacompra</w:t>
      </w:r>
      <w:r w:rsidRPr="006E3E0D">
        <w:rPr>
          <w:rFonts w:ascii="Verdana" w:hAnsi="Verdana"/>
          <w:color w:val="4472C4" w:themeColor="accent1"/>
          <w:lang w:val="es-ES"/>
        </w:rPr>
        <w:t xml:space="preserve"> </w:t>
      </w:r>
    </w:p>
    <w:p w14:paraId="40EA7F5B" w14:textId="77777777" w:rsidR="00100B2C" w:rsidRPr="006E3E0D" w:rsidRDefault="00100B2C" w:rsidP="00100B2C">
      <w:pPr>
        <w:spacing w:after="0" w:line="240" w:lineRule="auto"/>
        <w:jc w:val="both"/>
        <w:rPr>
          <w:rFonts w:ascii="Verdana" w:hAnsi="Verdana"/>
          <w:lang w:val="es-ES"/>
        </w:rPr>
      </w:pPr>
      <w:r w:rsidRPr="006E3E0D">
        <w:rPr>
          <w:rFonts w:ascii="Verdana" w:hAnsi="Verdana"/>
          <w:lang w:val="es-ES"/>
        </w:rPr>
        <w:t xml:space="preserve">Facebook: </w:t>
      </w:r>
      <w:proofErr w:type="spellStart"/>
      <w:r w:rsidRPr="006E3E0D">
        <w:rPr>
          <w:rStyle w:val="Hipervnculo"/>
          <w:rFonts w:ascii="Verdana" w:hAnsi="Verdana" w:cs="Arial"/>
          <w:shd w:val="clear" w:color="auto" w:fill="FFFFFF"/>
          <w:lang w:val="es-ES"/>
        </w:rPr>
        <w:t>ColombiaCompraEficiente</w:t>
      </w:r>
      <w:proofErr w:type="spellEnd"/>
    </w:p>
    <w:p w14:paraId="7F248EF6" w14:textId="77777777" w:rsidR="00100B2C" w:rsidRPr="006E3E0D" w:rsidRDefault="00100B2C" w:rsidP="00100B2C">
      <w:pPr>
        <w:spacing w:after="0" w:line="240" w:lineRule="auto"/>
        <w:jc w:val="both"/>
        <w:rPr>
          <w:rFonts w:ascii="Verdana" w:hAnsi="Verdana"/>
          <w:lang w:val="es-ES"/>
        </w:rPr>
      </w:pPr>
      <w:r w:rsidRPr="006E3E0D">
        <w:rPr>
          <w:rFonts w:ascii="Verdana" w:hAnsi="Verdana"/>
          <w:lang w:val="es-ES"/>
        </w:rPr>
        <w:t xml:space="preserve">LinkedIn: </w:t>
      </w:r>
      <w:r w:rsidRPr="006E3E0D">
        <w:rPr>
          <w:rStyle w:val="Hipervnculo"/>
          <w:rFonts w:ascii="Verdana" w:hAnsi="Verdana" w:cs="Arial"/>
          <w:shd w:val="clear" w:color="auto" w:fill="FFFFFF"/>
          <w:lang w:val="es-ES"/>
        </w:rPr>
        <w:t>Agencia Nacional de Contratación Pública - Colombia Compra Eficiente</w:t>
      </w:r>
      <w:r w:rsidRPr="006E3E0D">
        <w:rPr>
          <w:rStyle w:val="Hipervnculo"/>
          <w:rFonts w:cs="Arial"/>
          <w:shd w:val="clear" w:color="auto" w:fill="FFFFFF"/>
          <w:lang w:val="es-ES"/>
        </w:rPr>
        <w:t xml:space="preserve"> </w:t>
      </w:r>
      <w:r w:rsidRPr="006E3E0D">
        <w:rPr>
          <w:rFonts w:ascii="Verdana" w:hAnsi="Verdana"/>
          <w:lang w:val="es-ES"/>
        </w:rPr>
        <w:t xml:space="preserve">Instagram: </w:t>
      </w:r>
      <w:r w:rsidRPr="006E3E0D">
        <w:rPr>
          <w:rStyle w:val="Hipervnculo"/>
          <w:rFonts w:ascii="Verdana" w:hAnsi="Verdana" w:cs="Arial"/>
          <w:shd w:val="clear" w:color="auto" w:fill="FFFFFF"/>
          <w:lang w:val="es-ES"/>
        </w:rPr>
        <w:t>@colombiacompraeficiente_cce</w:t>
      </w:r>
    </w:p>
    <w:p w14:paraId="388D6974" w14:textId="77777777" w:rsidR="00100B2C" w:rsidRPr="006E3E0D" w:rsidRDefault="00100B2C" w:rsidP="00100B2C">
      <w:pPr>
        <w:widowControl w:val="0"/>
        <w:autoSpaceDE w:val="0"/>
        <w:autoSpaceDN w:val="0"/>
        <w:spacing w:after="0" w:line="276" w:lineRule="auto"/>
        <w:jc w:val="both"/>
        <w:rPr>
          <w:rFonts w:ascii="Verdana" w:hAnsi="Verdana" w:cs="Arial"/>
          <w:color w:val="000000" w:themeColor="text1"/>
          <w:lang w:val="es-ES"/>
        </w:rPr>
      </w:pPr>
    </w:p>
    <w:p w14:paraId="24136B2C" w14:textId="77777777" w:rsidR="00100B2C" w:rsidRPr="006E3E0D" w:rsidRDefault="00100B2C" w:rsidP="00100B2C">
      <w:pPr>
        <w:widowControl w:val="0"/>
        <w:autoSpaceDE w:val="0"/>
        <w:autoSpaceDN w:val="0"/>
        <w:spacing w:after="0" w:line="276" w:lineRule="auto"/>
        <w:jc w:val="both"/>
        <w:rPr>
          <w:rFonts w:ascii="Verdana" w:hAnsi="Verdana" w:cs="Arial"/>
          <w:color w:val="000000" w:themeColor="text1"/>
          <w:lang w:val="es-ES"/>
        </w:rPr>
      </w:pPr>
      <w:r w:rsidRPr="006E3E0D">
        <w:rPr>
          <w:rFonts w:ascii="Verdana" w:hAnsi="Verdana" w:cs="Arial"/>
          <w:color w:val="000000" w:themeColor="text1"/>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18033D45" w14:textId="77777777" w:rsidR="00100B2C" w:rsidRPr="006E3E0D" w:rsidRDefault="00100B2C" w:rsidP="00100B2C">
      <w:pPr>
        <w:spacing w:after="0" w:line="240" w:lineRule="auto"/>
        <w:rPr>
          <w:rFonts w:ascii="Verdana" w:eastAsia="Times New Roman" w:hAnsi="Verdana" w:cs="Arial"/>
          <w:color w:val="000000" w:themeColor="text1"/>
          <w:lang w:val="es-ES" w:eastAsia="es-CO"/>
        </w:rPr>
      </w:pPr>
    </w:p>
    <w:p w14:paraId="4F524214" w14:textId="77777777" w:rsidR="00100B2C" w:rsidRDefault="00100B2C" w:rsidP="00100B2C">
      <w:pPr>
        <w:spacing w:after="0" w:line="240" w:lineRule="auto"/>
        <w:rPr>
          <w:rFonts w:ascii="Verdana" w:hAnsi="Verdana" w:cs="Arial"/>
          <w:color w:val="000000" w:themeColor="text1"/>
          <w:lang w:val="es-ES" w:eastAsia="es-CO"/>
        </w:rPr>
      </w:pPr>
      <w:r w:rsidRPr="006E3E0D">
        <w:rPr>
          <w:rFonts w:ascii="Verdana" w:eastAsia="Times New Roman" w:hAnsi="Verdana" w:cs="Arial"/>
          <w:color w:val="000000" w:themeColor="text1"/>
          <w:lang w:val="es-ES" w:eastAsia="es-CO"/>
        </w:rPr>
        <w:t>Atentamente,</w:t>
      </w:r>
      <w:r w:rsidRPr="006E3E0D">
        <w:rPr>
          <w:rFonts w:ascii="Verdana" w:hAnsi="Verdana" w:cs="Arial"/>
          <w:color w:val="000000" w:themeColor="text1"/>
          <w:lang w:val="es-ES" w:eastAsia="es-CO"/>
        </w:rPr>
        <w:t xml:space="preserve"> </w:t>
      </w:r>
    </w:p>
    <w:p w14:paraId="513AF0E4" w14:textId="77777777" w:rsidR="00C1421D" w:rsidRPr="006E3E0D" w:rsidRDefault="00C1421D" w:rsidP="00100B2C">
      <w:pPr>
        <w:spacing w:after="0" w:line="240" w:lineRule="auto"/>
        <w:rPr>
          <w:rFonts w:ascii="Verdana" w:hAnsi="Verdana" w:cs="Arial"/>
          <w:color w:val="000000" w:themeColor="text1"/>
          <w:lang w:val="es-ES" w:eastAsia="es-CO"/>
        </w:rPr>
      </w:pPr>
    </w:p>
    <w:bookmarkEnd w:id="0"/>
    <w:p w14:paraId="0A7DE2CE" w14:textId="5D9B71E4" w:rsidR="00100B2C" w:rsidRPr="00C1421D" w:rsidRDefault="00C1421D" w:rsidP="00C1421D">
      <w:pPr>
        <w:jc w:val="center"/>
        <w:rPr>
          <w:lang w:val="es-ES"/>
        </w:rPr>
      </w:pPr>
      <w:r>
        <w:rPr>
          <w:noProof/>
        </w:rPr>
        <w:drawing>
          <wp:inline distT="0" distB="0" distL="0" distR="0" wp14:anchorId="5B286094" wp14:editId="370E0161">
            <wp:extent cx="3044190" cy="1129665"/>
            <wp:effectExtent l="0" t="0" r="3810" b="0"/>
            <wp:docPr id="1827870648" name="Imagen 2"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7870648" name="Imagen 2" descr="Texto&#10;&#10;El contenido generado por IA puede ser incorrecto."/>
                    <pic:cNvPicPr>
                      <a:picLocks noChangeAspect="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044190" cy="1129665"/>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100B2C" w:rsidRPr="007B743D" w14:paraId="05AB9ECA" w14:textId="77777777" w:rsidTr="001B1335">
        <w:trPr>
          <w:trHeight w:val="315"/>
        </w:trPr>
        <w:tc>
          <w:tcPr>
            <w:tcW w:w="893" w:type="dxa"/>
            <w:vAlign w:val="center"/>
            <w:hideMark/>
          </w:tcPr>
          <w:p w14:paraId="1A729CA7" w14:textId="77777777" w:rsidR="00100B2C" w:rsidRPr="007B743D" w:rsidRDefault="00100B2C" w:rsidP="001B1335">
            <w:pPr>
              <w:contextualSpacing/>
              <w:rPr>
                <w:rFonts w:ascii="Verdana" w:hAnsi="Verdana" w:cs="Arial"/>
                <w:sz w:val="16"/>
                <w:szCs w:val="16"/>
                <w:lang w:eastAsia="es-ES"/>
              </w:rPr>
            </w:pPr>
            <w:r w:rsidRPr="007B743D">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39F085C4" w14:textId="77777777" w:rsidR="00100B2C" w:rsidRPr="007B743D" w:rsidRDefault="00100B2C" w:rsidP="001B1335">
            <w:pPr>
              <w:contextualSpacing/>
              <w:rPr>
                <w:rFonts w:ascii="Verdana" w:hAnsi="Verdana"/>
                <w:sz w:val="16"/>
                <w:szCs w:val="16"/>
              </w:rPr>
            </w:pPr>
            <w:r w:rsidRPr="007B743D">
              <w:rPr>
                <w:rFonts w:ascii="Verdana" w:hAnsi="Verdana"/>
                <w:sz w:val="16"/>
                <w:szCs w:val="16"/>
              </w:rPr>
              <w:t>Tatiana Baquero Iguarán</w:t>
            </w:r>
          </w:p>
          <w:p w14:paraId="5B487489" w14:textId="77777777" w:rsidR="00100B2C" w:rsidRPr="007B743D" w:rsidRDefault="00100B2C" w:rsidP="001B1335">
            <w:pPr>
              <w:contextualSpacing/>
              <w:rPr>
                <w:rFonts w:ascii="Verdana" w:eastAsia="Arial" w:hAnsi="Verdana" w:cs="Arial"/>
                <w:sz w:val="16"/>
                <w:szCs w:val="16"/>
              </w:rPr>
            </w:pPr>
            <w:r w:rsidRPr="007B743D">
              <w:rPr>
                <w:rFonts w:ascii="Verdana" w:hAnsi="Verdana"/>
                <w:sz w:val="16"/>
                <w:szCs w:val="16"/>
              </w:rPr>
              <w:t>Contratista de la Subdirección de Gestión Contractual</w:t>
            </w:r>
          </w:p>
        </w:tc>
      </w:tr>
      <w:tr w:rsidR="00100B2C" w:rsidRPr="007B743D" w14:paraId="18B8D30B" w14:textId="77777777" w:rsidTr="001B1335">
        <w:trPr>
          <w:trHeight w:val="330"/>
        </w:trPr>
        <w:tc>
          <w:tcPr>
            <w:tcW w:w="893" w:type="dxa"/>
            <w:vAlign w:val="center"/>
            <w:hideMark/>
          </w:tcPr>
          <w:p w14:paraId="23F757E4" w14:textId="77777777" w:rsidR="00100B2C" w:rsidRPr="007B743D" w:rsidRDefault="00100B2C" w:rsidP="001B1335">
            <w:pPr>
              <w:contextualSpacing/>
              <w:rPr>
                <w:rFonts w:ascii="Verdana" w:hAnsi="Verdana" w:cs="Arial"/>
                <w:sz w:val="16"/>
                <w:szCs w:val="16"/>
                <w:lang w:eastAsia="es-ES"/>
              </w:rPr>
            </w:pPr>
            <w:r w:rsidRPr="007B743D">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2F39B9F" w14:textId="77777777" w:rsidR="00100B2C" w:rsidRPr="007B743D" w:rsidRDefault="00100B2C" w:rsidP="001B1335">
            <w:pPr>
              <w:textAlignment w:val="baseline"/>
              <w:rPr>
                <w:rFonts w:ascii="Verdana" w:eastAsia="Times New Roman" w:hAnsi="Verdana" w:cs="Arial"/>
                <w:sz w:val="16"/>
                <w:szCs w:val="16"/>
                <w:lang w:val="es-MX" w:eastAsia="es-CO"/>
              </w:rPr>
            </w:pPr>
            <w:r w:rsidRPr="007B743D">
              <w:rPr>
                <w:rFonts w:ascii="Verdana" w:eastAsia="Times New Roman" w:hAnsi="Verdana" w:cs="Arial"/>
                <w:sz w:val="16"/>
                <w:szCs w:val="16"/>
                <w:lang w:val="es-MX" w:eastAsia="es-CO"/>
              </w:rPr>
              <w:t>Alejandro Raúl Sarmiento Cantillo</w:t>
            </w:r>
          </w:p>
          <w:p w14:paraId="36A5FBC7" w14:textId="77777777" w:rsidR="00100B2C" w:rsidRPr="007B743D" w:rsidRDefault="00100B2C" w:rsidP="001B1335">
            <w:pPr>
              <w:spacing w:before="100" w:beforeAutospacing="1" w:after="100" w:afterAutospacing="1"/>
              <w:contextualSpacing/>
              <w:textAlignment w:val="baseline"/>
              <w:rPr>
                <w:rFonts w:ascii="Verdana" w:eastAsia="Times New Roman" w:hAnsi="Verdana" w:cs="Segoe UI"/>
                <w:sz w:val="16"/>
                <w:szCs w:val="16"/>
                <w:lang w:eastAsia="es-ES_tradnl"/>
              </w:rPr>
            </w:pPr>
            <w:r w:rsidRPr="007B743D">
              <w:rPr>
                <w:rFonts w:ascii="Verdana" w:eastAsia="Times New Roman" w:hAnsi="Verdana" w:cs="Arial"/>
                <w:sz w:val="16"/>
                <w:szCs w:val="16"/>
                <w:lang w:val="es-MX" w:eastAsia="es-CO"/>
              </w:rPr>
              <w:t>Gestor T1-15 de la Subdirección de Gestión Contractual</w:t>
            </w:r>
          </w:p>
        </w:tc>
      </w:tr>
      <w:tr w:rsidR="00100B2C" w:rsidRPr="007B743D" w14:paraId="08CF079C" w14:textId="77777777" w:rsidTr="001B1335">
        <w:trPr>
          <w:trHeight w:val="300"/>
        </w:trPr>
        <w:tc>
          <w:tcPr>
            <w:tcW w:w="893" w:type="dxa"/>
            <w:vAlign w:val="center"/>
          </w:tcPr>
          <w:p w14:paraId="058506FF" w14:textId="77777777" w:rsidR="00100B2C" w:rsidRPr="007B743D" w:rsidRDefault="00100B2C" w:rsidP="001B1335">
            <w:pPr>
              <w:contextualSpacing/>
              <w:rPr>
                <w:rFonts w:ascii="Verdana" w:hAnsi="Verdana" w:cs="Arial"/>
                <w:sz w:val="16"/>
                <w:szCs w:val="16"/>
                <w:lang w:eastAsia="es-ES"/>
              </w:rPr>
            </w:pPr>
            <w:r w:rsidRPr="007B743D">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B6A0860" w14:textId="77777777" w:rsidR="00100B2C" w:rsidRPr="007B743D" w:rsidRDefault="00100B2C" w:rsidP="001B1335">
            <w:pPr>
              <w:contextualSpacing/>
              <w:rPr>
                <w:rFonts w:ascii="Verdana" w:eastAsia="Calibri" w:hAnsi="Verdana" w:cs="Arial"/>
                <w:sz w:val="16"/>
                <w:szCs w:val="16"/>
                <w:lang w:eastAsia="es-ES"/>
              </w:rPr>
            </w:pPr>
            <w:r w:rsidRPr="007B743D">
              <w:rPr>
                <w:rFonts w:ascii="Verdana" w:eastAsia="Calibri" w:hAnsi="Verdana" w:cs="Arial"/>
                <w:sz w:val="16"/>
                <w:szCs w:val="16"/>
                <w:lang w:eastAsia="es-ES"/>
              </w:rPr>
              <w:t>Carolina Quintero Gacharná</w:t>
            </w:r>
          </w:p>
          <w:p w14:paraId="0DD03D5E" w14:textId="77777777" w:rsidR="00100B2C" w:rsidRPr="007B743D" w:rsidRDefault="00100B2C" w:rsidP="001B1335">
            <w:pPr>
              <w:contextualSpacing/>
              <w:rPr>
                <w:rFonts w:ascii="Verdana" w:eastAsia="Calibri" w:hAnsi="Verdana" w:cs="Arial"/>
                <w:sz w:val="16"/>
                <w:szCs w:val="16"/>
                <w:lang w:eastAsia="es-ES"/>
              </w:rPr>
            </w:pPr>
            <w:r w:rsidRPr="007B743D">
              <w:rPr>
                <w:rFonts w:ascii="Verdana" w:eastAsia="Calibri" w:hAnsi="Verdana" w:cs="Arial"/>
                <w:sz w:val="16"/>
                <w:szCs w:val="16"/>
                <w:lang w:eastAsia="es-ES"/>
              </w:rPr>
              <w:t>Subdirectora de Gestión Contractual ANCP – CCE</w:t>
            </w:r>
          </w:p>
        </w:tc>
      </w:tr>
      <w:tr w:rsidR="00100B2C" w:rsidRPr="007B743D" w14:paraId="4BD4FDE2" w14:textId="77777777" w:rsidTr="001B1335">
        <w:trPr>
          <w:gridAfter w:val="1"/>
          <w:wAfter w:w="5628" w:type="dxa"/>
          <w:trHeight w:val="300"/>
        </w:trPr>
        <w:tc>
          <w:tcPr>
            <w:tcW w:w="893" w:type="dxa"/>
            <w:vAlign w:val="center"/>
          </w:tcPr>
          <w:p w14:paraId="09639197" w14:textId="77777777" w:rsidR="00100B2C" w:rsidRPr="007B743D" w:rsidRDefault="00100B2C" w:rsidP="001B1335">
            <w:pPr>
              <w:contextualSpacing/>
              <w:rPr>
                <w:rFonts w:ascii="Verdana" w:hAnsi="Verdana" w:cs="Arial"/>
                <w:sz w:val="16"/>
                <w:szCs w:val="16"/>
                <w:lang w:eastAsia="es-ES"/>
              </w:rPr>
            </w:pPr>
          </w:p>
        </w:tc>
      </w:tr>
    </w:tbl>
    <w:p w14:paraId="451CB180" w14:textId="77777777" w:rsidR="00100B2C" w:rsidRPr="007B743D" w:rsidRDefault="00100B2C" w:rsidP="00100B2C">
      <w:pPr>
        <w:spacing w:after="0" w:line="240" w:lineRule="auto"/>
        <w:jc w:val="both"/>
        <w:rPr>
          <w:rFonts w:ascii="Verdana" w:eastAsia="Verdana" w:hAnsi="Verdana" w:cs="Verdana"/>
          <w:b/>
          <w:bCs/>
          <w:lang w:val="es-MX"/>
        </w:rPr>
      </w:pPr>
    </w:p>
    <w:p w14:paraId="78D252A3" w14:textId="77777777" w:rsidR="00100B2C" w:rsidRPr="000E2B93" w:rsidRDefault="00100B2C" w:rsidP="00100B2C">
      <w:pPr>
        <w:spacing w:after="0" w:line="240" w:lineRule="auto"/>
        <w:jc w:val="both"/>
        <w:textAlignment w:val="baseline"/>
        <w:rPr>
          <w:rFonts w:ascii="Verdana" w:eastAsia="Verdana" w:hAnsi="Verdana" w:cs="Verdana"/>
          <w:lang w:eastAsia="es-CO"/>
        </w:rPr>
      </w:pPr>
    </w:p>
    <w:p w14:paraId="37B940EF" w14:textId="2F6D1C62" w:rsidR="00100B2C" w:rsidRPr="000E2B93" w:rsidRDefault="00100B2C" w:rsidP="00100B2C">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p>
    <w:p w14:paraId="58FCE544" w14:textId="77777777" w:rsidR="00100B2C" w:rsidRPr="00EF6E4F" w:rsidRDefault="00100B2C" w:rsidP="00100B2C"/>
    <w:p w14:paraId="78F456BD" w14:textId="77777777" w:rsidR="00100B2C" w:rsidRPr="00506D89" w:rsidRDefault="00100B2C" w:rsidP="00100B2C"/>
    <w:p w14:paraId="0F293BF4" w14:textId="66762DD9" w:rsidR="00127233" w:rsidRPr="00100B2C" w:rsidRDefault="00127233" w:rsidP="00100B2C"/>
    <w:sectPr w:rsidR="00127233" w:rsidRPr="00100B2C"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503AEE" w14:textId="77777777" w:rsidR="00740B72" w:rsidRDefault="00740B72" w:rsidP="004A1847">
      <w:pPr>
        <w:spacing w:after="0" w:line="240" w:lineRule="auto"/>
      </w:pPr>
      <w:r>
        <w:separator/>
      </w:r>
    </w:p>
  </w:endnote>
  <w:endnote w:type="continuationSeparator" w:id="0">
    <w:p w14:paraId="62932B7D" w14:textId="77777777" w:rsidR="00740B72" w:rsidRDefault="00740B72"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Century Gothic">
    <w:altName w:val="Calibri"/>
    <w:panose1 w:val="020B0502020202020204"/>
    <w:charset w:val="00"/>
    <w:family w:val="swiss"/>
    <w:pitch w:val="variable"/>
    <w:sig w:usb0="00000287" w:usb1="00000000" w:usb2="00000000" w:usb3="00000000" w:csb0="0000009F" w:csb1="00000000"/>
  </w:font>
  <w:font w:name="ArialMT">
    <w:altName w:val="Arial"/>
    <w:panose1 w:val="00000000000000000000"/>
    <w:charset w:val="00"/>
    <w:family w:val="auto"/>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BF2E96" w14:textId="77777777" w:rsidR="00740B72" w:rsidRDefault="00740B72" w:rsidP="004A1847">
      <w:pPr>
        <w:spacing w:after="0" w:line="240" w:lineRule="auto"/>
      </w:pPr>
      <w:r>
        <w:separator/>
      </w:r>
    </w:p>
  </w:footnote>
  <w:footnote w:type="continuationSeparator" w:id="0">
    <w:p w14:paraId="138F0402" w14:textId="77777777" w:rsidR="00740B72" w:rsidRDefault="00740B72" w:rsidP="004A1847">
      <w:pPr>
        <w:spacing w:after="0" w:line="240" w:lineRule="auto"/>
      </w:pPr>
      <w:r>
        <w:continuationSeparator/>
      </w:r>
    </w:p>
  </w:footnote>
  <w:footnote w:id="1">
    <w:p w14:paraId="22F857EE" w14:textId="77777777" w:rsidR="00100B2C" w:rsidRPr="00171FF6" w:rsidRDefault="00100B2C" w:rsidP="00100B2C">
      <w:pPr>
        <w:pStyle w:val="Textonotapie"/>
        <w:ind w:firstLine="426"/>
        <w:contextualSpacing/>
        <w:jc w:val="both"/>
        <w:rPr>
          <w:rFonts w:ascii="Verdana" w:hAnsi="Verdana"/>
          <w:sz w:val="15"/>
          <w:szCs w:val="15"/>
          <w:lang w:val="es-CO"/>
        </w:rPr>
      </w:pPr>
      <w:r w:rsidRPr="00171FF6">
        <w:rPr>
          <w:rStyle w:val="Refdenotaalpie"/>
          <w:rFonts w:ascii="Verdana" w:hAnsi="Verdana"/>
          <w:sz w:val="15"/>
          <w:szCs w:val="15"/>
        </w:rPr>
        <w:footnoteRef/>
      </w:r>
      <w:r w:rsidRPr="00171FF6">
        <w:rPr>
          <w:rFonts w:ascii="Verdana" w:hAnsi="Verdana"/>
          <w:sz w:val="15"/>
          <w:szCs w:val="15"/>
        </w:rPr>
        <w:t xml:space="preserve"> </w:t>
      </w:r>
      <w:r w:rsidRPr="00171FF6">
        <w:rPr>
          <w:rFonts w:ascii="Verdana" w:hAnsi="Verdana"/>
          <w:sz w:val="15"/>
          <w:szCs w:val="15"/>
          <w:lang w:val="es-ES"/>
        </w:rPr>
        <w:t>“</w:t>
      </w:r>
      <w:r w:rsidRPr="00171FF6">
        <w:rPr>
          <w:rFonts w:ascii="Verdana" w:hAnsi="Verdana"/>
          <w:sz w:val="15"/>
          <w:szCs w:val="15"/>
          <w:lang w:val="es-CO"/>
        </w:rPr>
        <w:t>Para poder participar en los procesos de selección de los contratos de obra, la capacidad residual del proponente o K de contratación deberá ser igual o superior al que la entidad haya establecido para el efecto en los pliegos de condiciones</w:t>
      </w:r>
    </w:p>
    <w:p w14:paraId="2C521842" w14:textId="77777777" w:rsidR="00100B2C" w:rsidRPr="00171FF6" w:rsidRDefault="00100B2C" w:rsidP="00100B2C">
      <w:pPr>
        <w:pStyle w:val="Textonotapie"/>
        <w:contextualSpacing/>
        <w:jc w:val="both"/>
        <w:rPr>
          <w:rFonts w:ascii="Verdana" w:hAnsi="Verdana"/>
          <w:sz w:val="15"/>
          <w:szCs w:val="15"/>
          <w:lang w:val="es-CO"/>
        </w:rPr>
      </w:pPr>
      <w:r w:rsidRPr="00171FF6">
        <w:rPr>
          <w:rFonts w:ascii="Verdana" w:hAnsi="Verdana"/>
          <w:sz w:val="15"/>
          <w:szCs w:val="15"/>
          <w:lang w:val="es-CO"/>
        </w:rPr>
        <w:t>Para establecer la capacidad residual del proponente o K de contratación, se deberán considerar todos los contratos que tenga en ejecución el proponente al momento de presentar la oferta. El desarrollo y ejecución del contrato podrá dar lugar a que los valores que sean cancelados al contratista se consideren para establecer el real K de contratación, en cada oportunidad. El Gobierno Nacional reglamentará la materia.</w:t>
      </w:r>
    </w:p>
  </w:footnote>
  <w:footnote w:id="2">
    <w:p w14:paraId="64796ACD" w14:textId="77777777" w:rsidR="00100B2C" w:rsidRPr="00171FF6" w:rsidRDefault="00100B2C" w:rsidP="00100B2C">
      <w:pPr>
        <w:spacing w:after="0" w:line="240" w:lineRule="auto"/>
        <w:ind w:firstLine="567"/>
        <w:contextualSpacing/>
        <w:jc w:val="both"/>
        <w:rPr>
          <w:rFonts w:ascii="Verdana" w:hAnsi="Verdana"/>
          <w:sz w:val="15"/>
          <w:szCs w:val="15"/>
          <w:lang w:val="es-MX"/>
        </w:rPr>
      </w:pPr>
      <w:r w:rsidRPr="00171FF6">
        <w:rPr>
          <w:rStyle w:val="Refdenotaalpie"/>
          <w:rFonts w:ascii="Verdana" w:hAnsi="Verdana"/>
          <w:sz w:val="15"/>
          <w:szCs w:val="15"/>
        </w:rPr>
        <w:footnoteRef/>
      </w:r>
      <w:r w:rsidRPr="00171FF6">
        <w:rPr>
          <w:rFonts w:ascii="Verdana" w:hAnsi="Verdana"/>
          <w:sz w:val="15"/>
          <w:szCs w:val="15"/>
        </w:rPr>
        <w:t xml:space="preserve"> </w:t>
      </w:r>
      <w:r w:rsidRPr="00171FF6">
        <w:rPr>
          <w:rFonts w:ascii="Verdana" w:hAnsi="Verdana"/>
          <w:sz w:val="15"/>
          <w:szCs w:val="15"/>
          <w:lang w:val="es-MX"/>
        </w:rPr>
        <w:t xml:space="preserve">Gaceta 096 de 2007. Pág. 9. Allí se lee: “Parágrafo 2°. Nuevo. Se adiciona un parágrafo nuevo para establecer de manera concreta que las certificaciones de sistemas de gestión de calidad no serán objeto de calificación, ni podrán establecerse como documento habilitante para participar en licitaciones o concursos, con el fin de evitar la exclusión de aquellas personas o empresas principalmente en regiones apartadas que carecen de tal requisito. Dejando sin embargo a la administración la posibilidad de fijar la implementación de planes de calidad” (Cursivas propias). </w:t>
      </w:r>
    </w:p>
  </w:footnote>
  <w:footnote w:id="3">
    <w:p w14:paraId="2103179C" w14:textId="77777777" w:rsidR="00100B2C" w:rsidRPr="00171FF6" w:rsidRDefault="00100B2C" w:rsidP="00100B2C">
      <w:pPr>
        <w:pStyle w:val="Textonotapie"/>
        <w:ind w:firstLine="567"/>
        <w:contextualSpacing/>
        <w:jc w:val="both"/>
        <w:rPr>
          <w:rFonts w:ascii="Verdana" w:hAnsi="Verdana"/>
          <w:sz w:val="15"/>
          <w:szCs w:val="15"/>
          <w:lang w:val="es-CO"/>
        </w:rPr>
      </w:pPr>
      <w:r w:rsidRPr="00171FF6">
        <w:rPr>
          <w:rStyle w:val="Refdenotaalpie"/>
          <w:rFonts w:ascii="Verdana" w:hAnsi="Verdana"/>
          <w:sz w:val="15"/>
          <w:szCs w:val="15"/>
        </w:rPr>
        <w:footnoteRef/>
      </w:r>
      <w:r w:rsidRPr="00171FF6">
        <w:rPr>
          <w:rFonts w:ascii="Verdana" w:hAnsi="Verdana"/>
          <w:sz w:val="15"/>
          <w:szCs w:val="15"/>
        </w:rPr>
        <w:t xml:space="preserve"> Según este parágrafo</w:t>
      </w:r>
      <w:r w:rsidRPr="00171FF6">
        <w:rPr>
          <w:rFonts w:ascii="Verdana" w:hAnsi="Verdana" w:cs="Arial"/>
          <w:color w:val="000000" w:themeColor="text1"/>
          <w:sz w:val="15"/>
          <w:szCs w:val="15"/>
          <w:lang w:val="es-ES_tradnl"/>
        </w:rPr>
        <w:t xml:space="preserve"> </w:t>
      </w:r>
      <w:r w:rsidRPr="00171FF6">
        <w:rPr>
          <w:rFonts w:ascii="Verdana" w:hAnsi="Verdana"/>
          <w:sz w:val="15"/>
          <w:szCs w:val="15"/>
          <w:lang w:val="es-ES_tradnl"/>
        </w:rPr>
        <w:t>las certificaciones de sistemas de gestión de calidad no serán objeto de calificación, ni podrán establecerse como documento habilitante para participar en licitaciones o concursos.</w:t>
      </w:r>
      <w:r w:rsidRPr="00171FF6">
        <w:rPr>
          <w:rFonts w:ascii="Verdana" w:hAnsi="Verdana"/>
          <w:sz w:val="15"/>
          <w:szCs w:val="15"/>
        </w:rPr>
        <w:t xml:space="preserve"> </w:t>
      </w:r>
    </w:p>
  </w:footnote>
  <w:footnote w:id="4">
    <w:p w14:paraId="0EAD8D0C" w14:textId="77777777" w:rsidR="00100B2C" w:rsidRPr="00171FF6" w:rsidRDefault="00100B2C" w:rsidP="00100B2C">
      <w:pPr>
        <w:pStyle w:val="Textonotapie"/>
        <w:ind w:firstLine="567"/>
        <w:contextualSpacing/>
        <w:jc w:val="both"/>
        <w:rPr>
          <w:rFonts w:ascii="Verdana" w:hAnsi="Verdana"/>
          <w:sz w:val="15"/>
          <w:szCs w:val="15"/>
        </w:rPr>
      </w:pPr>
      <w:r w:rsidRPr="00171FF6">
        <w:rPr>
          <w:rStyle w:val="Refdenotaalpie"/>
          <w:rFonts w:ascii="Verdana" w:hAnsi="Verdana"/>
          <w:sz w:val="15"/>
          <w:szCs w:val="15"/>
        </w:rPr>
        <w:footnoteRef/>
      </w:r>
      <w:r w:rsidRPr="00171FF6">
        <w:rPr>
          <w:rFonts w:ascii="Verdana" w:hAnsi="Verdana"/>
          <w:sz w:val="15"/>
          <w:szCs w:val="15"/>
        </w:rPr>
        <w:t xml:space="preserve"> Artículo 2.2.1.1.1.5.3. Requisitos habilitantes contenidos en el RUP. Las cámaras de comercio, con base en la información a la que hace referencia el artículo anterior, deben verificar y certificar los siguientes requisitos habilitantes:</w:t>
      </w:r>
    </w:p>
    <w:p w14:paraId="3308C2E0" w14:textId="77777777" w:rsidR="00100B2C" w:rsidRPr="00171FF6" w:rsidRDefault="00100B2C" w:rsidP="00100B2C">
      <w:pPr>
        <w:pStyle w:val="Textonotapie"/>
        <w:ind w:firstLine="567"/>
        <w:contextualSpacing/>
        <w:jc w:val="both"/>
        <w:rPr>
          <w:rFonts w:ascii="Verdana" w:hAnsi="Verdana"/>
          <w:sz w:val="15"/>
          <w:szCs w:val="15"/>
        </w:rPr>
      </w:pPr>
      <w:r w:rsidRPr="00171FF6">
        <w:rPr>
          <w:rFonts w:ascii="Verdana" w:hAnsi="Verdana"/>
          <w:sz w:val="15"/>
          <w:szCs w:val="15"/>
        </w:rPr>
        <w:t xml:space="preserve">1. Experiencia – Los contratos celebrados por el interesado para cada uno de los bienes, obras y servicios que ofrecerá a las Entidades Estatales, identificados con el Clasificador de Bienes y Servicios en el tercer nivel y su valor expresado en </w:t>
      </w:r>
      <w:proofErr w:type="spellStart"/>
      <w:r w:rsidRPr="00171FF6">
        <w:rPr>
          <w:rFonts w:ascii="Verdana" w:hAnsi="Verdana"/>
          <w:sz w:val="15"/>
          <w:szCs w:val="15"/>
        </w:rPr>
        <w:t>smmlv</w:t>
      </w:r>
      <w:proofErr w:type="spellEnd"/>
      <w:r w:rsidRPr="00171FF6">
        <w:rPr>
          <w:rFonts w:ascii="Verdana" w:hAnsi="Verdana"/>
          <w:sz w:val="15"/>
          <w:szCs w:val="15"/>
        </w:rPr>
        <w:t>.</w:t>
      </w:r>
    </w:p>
    <w:p w14:paraId="7228EA15" w14:textId="77777777" w:rsidR="00100B2C" w:rsidRPr="00171FF6" w:rsidRDefault="00100B2C" w:rsidP="00100B2C">
      <w:pPr>
        <w:pStyle w:val="Textonotapie"/>
        <w:contextualSpacing/>
        <w:jc w:val="both"/>
        <w:rPr>
          <w:rFonts w:ascii="Verdana" w:hAnsi="Verdana"/>
          <w:sz w:val="15"/>
          <w:szCs w:val="15"/>
        </w:rPr>
      </w:pPr>
      <w:r w:rsidRPr="00171FF6">
        <w:rPr>
          <w:rFonts w:ascii="Verdana" w:hAnsi="Verdana"/>
          <w:sz w:val="15"/>
          <w:szCs w:val="15"/>
        </w:rPr>
        <w:t xml:space="preserve">Los contratos celebrados por consorcios, uniones temporales y sociedades en las cuales el interesado tenga o haya tenido participación, para cada uno de los bienes, obras y servicios que ofrecerá a las Entidades Estatales, identificados con el Clasificador de Bienes y Servicios en el tercer nivel y su valor expresado en </w:t>
      </w:r>
      <w:proofErr w:type="spellStart"/>
      <w:r w:rsidRPr="00171FF6">
        <w:rPr>
          <w:rFonts w:ascii="Verdana" w:hAnsi="Verdana"/>
          <w:sz w:val="15"/>
          <w:szCs w:val="15"/>
        </w:rPr>
        <w:t>smmlv</w:t>
      </w:r>
      <w:proofErr w:type="spellEnd"/>
      <w:r w:rsidRPr="00171FF6">
        <w:rPr>
          <w:rFonts w:ascii="Verdana" w:hAnsi="Verdana"/>
          <w:sz w:val="15"/>
          <w:szCs w:val="15"/>
        </w:rPr>
        <w:t>.</w:t>
      </w:r>
    </w:p>
    <w:p w14:paraId="26A9183F" w14:textId="77777777" w:rsidR="00100B2C" w:rsidRPr="00171FF6" w:rsidRDefault="00100B2C" w:rsidP="00100B2C">
      <w:pPr>
        <w:pStyle w:val="Textonotapie"/>
        <w:ind w:firstLine="709"/>
        <w:contextualSpacing/>
        <w:jc w:val="both"/>
        <w:rPr>
          <w:rFonts w:ascii="Verdana" w:hAnsi="Verdana"/>
          <w:sz w:val="15"/>
          <w:szCs w:val="15"/>
        </w:rPr>
      </w:pPr>
      <w:r w:rsidRPr="00171FF6">
        <w:rPr>
          <w:rFonts w:ascii="Verdana" w:hAnsi="Verdana"/>
          <w:sz w:val="15"/>
          <w:szCs w:val="15"/>
        </w:rPr>
        <w:t>2. Capacidad Jurídica – La capacidad jurídica del proponente para prestar los bienes, obras, o servicios que ofrecerá a las Entidades Estatales y la capacidad del representante legal de las personas jurídicas para celebrar contratos y si requiere, autorizaciones para el efecto con ocasión de los límites a la capacidad del representante legal del interesado en relación con el monto y el tipo de las obligaciones que puede adquirir a nombre del interesado.</w:t>
      </w:r>
    </w:p>
    <w:p w14:paraId="40140307" w14:textId="77777777" w:rsidR="00100B2C" w:rsidRPr="00171FF6" w:rsidRDefault="00100B2C" w:rsidP="00100B2C">
      <w:pPr>
        <w:pStyle w:val="Textonotapie"/>
        <w:ind w:firstLine="567"/>
        <w:contextualSpacing/>
        <w:jc w:val="both"/>
        <w:rPr>
          <w:rFonts w:ascii="Verdana" w:hAnsi="Verdana"/>
          <w:sz w:val="15"/>
          <w:szCs w:val="15"/>
        </w:rPr>
      </w:pPr>
      <w:r w:rsidRPr="00171FF6">
        <w:rPr>
          <w:rFonts w:ascii="Verdana" w:hAnsi="Verdana"/>
          <w:sz w:val="15"/>
          <w:szCs w:val="15"/>
        </w:rPr>
        <w:t>3. Capacidad Financiera – los siguientes indicadores miden la fortaleza financiera del interesado:</w:t>
      </w:r>
    </w:p>
    <w:p w14:paraId="5AC4EAB9" w14:textId="77777777" w:rsidR="00100B2C" w:rsidRPr="00171FF6" w:rsidRDefault="00100B2C" w:rsidP="00100B2C">
      <w:pPr>
        <w:pStyle w:val="Textonotapie"/>
        <w:ind w:firstLine="567"/>
        <w:contextualSpacing/>
        <w:jc w:val="both"/>
        <w:rPr>
          <w:rFonts w:ascii="Verdana" w:hAnsi="Verdana"/>
          <w:sz w:val="15"/>
          <w:szCs w:val="15"/>
        </w:rPr>
      </w:pPr>
      <w:r w:rsidRPr="00171FF6">
        <w:rPr>
          <w:rFonts w:ascii="Verdana" w:hAnsi="Verdana"/>
          <w:sz w:val="15"/>
          <w:szCs w:val="15"/>
        </w:rPr>
        <w:t>3.1. Índice de liquidez: activo corriente dividido por el pasivo corriente.</w:t>
      </w:r>
    </w:p>
    <w:p w14:paraId="4F6DAA7A" w14:textId="77777777" w:rsidR="00100B2C" w:rsidRPr="00171FF6" w:rsidRDefault="00100B2C" w:rsidP="00100B2C">
      <w:pPr>
        <w:pStyle w:val="Textonotapie"/>
        <w:ind w:firstLine="567"/>
        <w:contextualSpacing/>
        <w:jc w:val="both"/>
        <w:rPr>
          <w:rFonts w:ascii="Verdana" w:hAnsi="Verdana"/>
          <w:sz w:val="15"/>
          <w:szCs w:val="15"/>
        </w:rPr>
      </w:pPr>
      <w:r w:rsidRPr="00171FF6">
        <w:rPr>
          <w:rFonts w:ascii="Verdana" w:hAnsi="Verdana"/>
          <w:sz w:val="15"/>
          <w:szCs w:val="15"/>
        </w:rPr>
        <w:t>3.2. Índice de endeudamiento: pasivo total dividido por el activo total.</w:t>
      </w:r>
    </w:p>
    <w:p w14:paraId="3D31DA0B" w14:textId="77777777" w:rsidR="00100B2C" w:rsidRPr="00171FF6" w:rsidRDefault="00100B2C" w:rsidP="00100B2C">
      <w:pPr>
        <w:pStyle w:val="Textonotapie"/>
        <w:ind w:firstLine="567"/>
        <w:contextualSpacing/>
        <w:jc w:val="both"/>
        <w:rPr>
          <w:rFonts w:ascii="Verdana" w:hAnsi="Verdana"/>
          <w:sz w:val="15"/>
          <w:szCs w:val="15"/>
        </w:rPr>
      </w:pPr>
      <w:r w:rsidRPr="00171FF6">
        <w:rPr>
          <w:rFonts w:ascii="Verdana" w:hAnsi="Verdana"/>
          <w:sz w:val="15"/>
          <w:szCs w:val="15"/>
        </w:rPr>
        <w:t>3.3. Razón de cobertura de intereses: utilidad operacional dividida por los gastos de intereses.</w:t>
      </w:r>
    </w:p>
    <w:p w14:paraId="3C86BC07" w14:textId="77777777" w:rsidR="00100B2C" w:rsidRPr="00171FF6" w:rsidRDefault="00100B2C" w:rsidP="00100B2C">
      <w:pPr>
        <w:pStyle w:val="Textonotapie"/>
        <w:ind w:firstLine="567"/>
        <w:contextualSpacing/>
        <w:jc w:val="both"/>
        <w:rPr>
          <w:rFonts w:ascii="Verdana" w:hAnsi="Verdana"/>
          <w:sz w:val="15"/>
          <w:szCs w:val="15"/>
        </w:rPr>
      </w:pPr>
      <w:r w:rsidRPr="00171FF6">
        <w:rPr>
          <w:rFonts w:ascii="Verdana" w:hAnsi="Verdana"/>
          <w:sz w:val="15"/>
          <w:szCs w:val="15"/>
        </w:rPr>
        <w:t>4. Capacidad Organizacional – los siguientes indicadores miden el rendimiento de las inversiones y la eficiencia en el uso de activos del interesado:</w:t>
      </w:r>
    </w:p>
    <w:p w14:paraId="17E81ED4" w14:textId="77777777" w:rsidR="00100B2C" w:rsidRPr="00171FF6" w:rsidRDefault="00100B2C" w:rsidP="00100B2C">
      <w:pPr>
        <w:pStyle w:val="Textonotapie"/>
        <w:ind w:firstLine="567"/>
        <w:contextualSpacing/>
        <w:jc w:val="both"/>
        <w:rPr>
          <w:rFonts w:ascii="Verdana" w:hAnsi="Verdana"/>
          <w:sz w:val="15"/>
          <w:szCs w:val="15"/>
        </w:rPr>
      </w:pPr>
      <w:r w:rsidRPr="00171FF6">
        <w:rPr>
          <w:rFonts w:ascii="Verdana" w:hAnsi="Verdana"/>
          <w:sz w:val="15"/>
          <w:szCs w:val="15"/>
        </w:rPr>
        <w:t>4.1. Rentabilidad del patrimonio: utilidad operacional dividida por el patrimonio.</w:t>
      </w:r>
    </w:p>
    <w:p w14:paraId="3EF36D07" w14:textId="77777777" w:rsidR="00100B2C" w:rsidRPr="00171FF6" w:rsidRDefault="00100B2C" w:rsidP="00100B2C">
      <w:pPr>
        <w:pStyle w:val="Textonotapie"/>
        <w:ind w:firstLine="567"/>
        <w:contextualSpacing/>
        <w:jc w:val="both"/>
        <w:rPr>
          <w:rFonts w:ascii="Verdana" w:hAnsi="Verdana"/>
          <w:sz w:val="15"/>
          <w:szCs w:val="15"/>
          <w:lang w:val="es-CO"/>
        </w:rPr>
      </w:pPr>
      <w:r w:rsidRPr="00171FF6">
        <w:rPr>
          <w:rFonts w:ascii="Verdana" w:hAnsi="Verdana"/>
          <w:sz w:val="15"/>
          <w:szCs w:val="15"/>
        </w:rPr>
        <w:t>4.2. Rentabilidad del activo: utilidad operacional dividida por el activo total”.</w:t>
      </w:r>
    </w:p>
  </w:footnote>
  <w:footnote w:id="5">
    <w:p w14:paraId="1BAA805C" w14:textId="77777777" w:rsidR="00100B2C" w:rsidRPr="00171FF6" w:rsidRDefault="00100B2C" w:rsidP="00100B2C">
      <w:pPr>
        <w:pStyle w:val="Textonotapie"/>
        <w:ind w:firstLine="567"/>
        <w:contextualSpacing/>
        <w:jc w:val="both"/>
        <w:rPr>
          <w:rFonts w:ascii="Verdana" w:hAnsi="Verdana"/>
          <w:sz w:val="15"/>
          <w:szCs w:val="15"/>
          <w:lang w:val="es-CO"/>
        </w:rPr>
      </w:pPr>
      <w:r w:rsidRPr="00171FF6">
        <w:rPr>
          <w:rStyle w:val="Refdenotaalpie"/>
          <w:rFonts w:ascii="Verdana" w:hAnsi="Verdana"/>
          <w:sz w:val="15"/>
          <w:szCs w:val="15"/>
        </w:rPr>
        <w:footnoteRef/>
      </w:r>
      <w:r w:rsidRPr="00171FF6">
        <w:rPr>
          <w:rFonts w:ascii="Verdana" w:hAnsi="Verdana"/>
          <w:sz w:val="15"/>
          <w:szCs w:val="15"/>
        </w:rPr>
        <w:t xml:space="preserve"> “Artículo 2.2.1.1.1.6.2. Determinación de los Requisitos Habilitantes. La Entidad Estatal debe establecer los requisitos habilitantes en los pliegos de condiciones o en la invitación, teniendo en cuenta: (a) el Riesgo del Proceso de Contratación; (b) el valor del contrato objeto del Proceso de Contratación; (c) el análisis del sector económico respectivo; y (d) el conocimiento de fondo de los posibles oferentes desde la perspectiva comercial. La Entidad Estatal no debe limitarse a la aplicación mecánica de fórmulas financieras para verificar los requisitos habilitantes”.</w:t>
      </w:r>
    </w:p>
  </w:footnote>
  <w:footnote w:id="6">
    <w:p w14:paraId="770B0297" w14:textId="77777777" w:rsidR="00100B2C" w:rsidRPr="00171FF6" w:rsidRDefault="00100B2C" w:rsidP="00100B2C">
      <w:pPr>
        <w:pStyle w:val="Textonotapie"/>
        <w:ind w:firstLine="709"/>
        <w:contextualSpacing/>
        <w:rPr>
          <w:rFonts w:ascii="Verdana" w:hAnsi="Verdana"/>
          <w:sz w:val="15"/>
          <w:szCs w:val="15"/>
          <w:lang w:val="es-CO"/>
        </w:rPr>
      </w:pPr>
      <w:r w:rsidRPr="00171FF6">
        <w:rPr>
          <w:rStyle w:val="Refdenotaalpie"/>
          <w:rFonts w:ascii="Verdana" w:hAnsi="Verdana"/>
          <w:sz w:val="15"/>
          <w:szCs w:val="15"/>
        </w:rPr>
        <w:footnoteRef/>
      </w:r>
      <w:r w:rsidRPr="00171FF6">
        <w:rPr>
          <w:rFonts w:ascii="Verdana" w:hAnsi="Verdana"/>
          <w:sz w:val="15"/>
          <w:szCs w:val="15"/>
        </w:rPr>
        <w:t xml:space="preserve"> </w:t>
      </w:r>
      <w:r w:rsidRPr="00171FF6">
        <w:rPr>
          <w:rFonts w:ascii="Verdana" w:hAnsi="Verdana"/>
          <w:sz w:val="15"/>
          <w:szCs w:val="15"/>
          <w:lang w:val="es-CO"/>
        </w:rPr>
        <w:t xml:space="preserve">Consejo de Estado. Sección tercera. Sentencia del 18 de noviembre de 2024. </w:t>
      </w:r>
      <w:proofErr w:type="spellStart"/>
      <w:r w:rsidRPr="00171FF6">
        <w:rPr>
          <w:rFonts w:ascii="Verdana" w:hAnsi="Verdana"/>
          <w:sz w:val="15"/>
          <w:szCs w:val="15"/>
          <w:lang w:val="es-CO"/>
        </w:rPr>
        <w:t>Exp</w:t>
      </w:r>
      <w:proofErr w:type="spellEnd"/>
      <w:r w:rsidRPr="00171FF6">
        <w:rPr>
          <w:rFonts w:ascii="Verdana" w:hAnsi="Verdana"/>
          <w:sz w:val="15"/>
          <w:szCs w:val="15"/>
          <w:lang w:val="es-CO"/>
        </w:rPr>
        <w:t xml:space="preserve">. 66750. C.P María Adriana Marina. </w:t>
      </w:r>
    </w:p>
  </w:footnote>
  <w:footnote w:id="7">
    <w:p w14:paraId="7C6F4B65" w14:textId="77777777" w:rsidR="00100B2C" w:rsidRPr="009F6104" w:rsidRDefault="00100B2C" w:rsidP="00100B2C">
      <w:pPr>
        <w:pStyle w:val="Textonotapie"/>
        <w:ind w:firstLine="709"/>
        <w:jc w:val="both"/>
        <w:rPr>
          <w:lang w:val="es-CO"/>
        </w:rPr>
      </w:pPr>
      <w:r>
        <w:rPr>
          <w:rStyle w:val="Refdenotaalpie"/>
        </w:rPr>
        <w:footnoteRef/>
      </w:r>
      <w:r>
        <w:t xml:space="preserve"> </w:t>
      </w:r>
      <w:r>
        <w:rPr>
          <w:lang w:val="es-CO"/>
        </w:rPr>
        <w:t>P</w:t>
      </w:r>
      <w:r w:rsidRPr="000C4432">
        <w:rPr>
          <w:rFonts w:ascii="Verdana" w:hAnsi="Verdana"/>
          <w:sz w:val="16"/>
          <w:szCs w:val="16"/>
          <w:lang w:val="es-CO"/>
        </w:rPr>
        <w:t xml:space="preserve">ara tales efectos, tener en cuenta lo establecido en la Guía para la Elaboración del Estudios del Sector disponible en: </w:t>
      </w:r>
      <w:hyperlink r:id="rId1" w:history="1">
        <w:r w:rsidRPr="000C4432">
          <w:rPr>
            <w:rStyle w:val="Hipervnculo"/>
            <w:rFonts w:ascii="Verdana" w:hAnsi="Verdana"/>
            <w:sz w:val="16"/>
            <w:szCs w:val="16"/>
            <w:lang w:val="es-CO"/>
          </w:rPr>
          <w:t>https://www.colombiacompra.gov.co/wp-content/uploads/2025/09/Guia-para-la-Elaboracion-de-Estudios-del-Sector-V3.pdf</w:t>
        </w:r>
      </w:hyperlink>
      <w:r w:rsidRPr="000C4432">
        <w:rPr>
          <w:rFonts w:ascii="Verdana" w:hAnsi="Verdana"/>
          <w:sz w:val="16"/>
          <w:szCs w:val="16"/>
          <w:lang w:val="es-CO"/>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1pt;height:12.1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8613BFD"/>
    <w:multiLevelType w:val="hybridMultilevel"/>
    <w:tmpl w:val="47562414"/>
    <w:lvl w:ilvl="0" w:tplc="240A0015">
      <w:start w:val="8"/>
      <w:numFmt w:val="upperLetter"/>
      <w:lvlText w:val="%1."/>
      <w:lvlJc w:val="left"/>
      <w:pPr>
        <w:ind w:left="1070" w:hanging="360"/>
      </w:pPr>
      <w:rPr>
        <w:rFonts w:hint="default"/>
      </w:rPr>
    </w:lvl>
    <w:lvl w:ilvl="1" w:tplc="240A0019" w:tentative="1">
      <w:start w:val="1"/>
      <w:numFmt w:val="lowerLetter"/>
      <w:lvlText w:val="%2."/>
      <w:lvlJc w:val="left"/>
      <w:pPr>
        <w:ind w:left="1790" w:hanging="360"/>
      </w:pPr>
    </w:lvl>
    <w:lvl w:ilvl="2" w:tplc="240A001B" w:tentative="1">
      <w:start w:val="1"/>
      <w:numFmt w:val="lowerRoman"/>
      <w:lvlText w:val="%3."/>
      <w:lvlJc w:val="right"/>
      <w:pPr>
        <w:ind w:left="2510" w:hanging="180"/>
      </w:pPr>
    </w:lvl>
    <w:lvl w:ilvl="3" w:tplc="240A000F" w:tentative="1">
      <w:start w:val="1"/>
      <w:numFmt w:val="decimal"/>
      <w:lvlText w:val="%4."/>
      <w:lvlJc w:val="left"/>
      <w:pPr>
        <w:ind w:left="3230" w:hanging="360"/>
      </w:pPr>
    </w:lvl>
    <w:lvl w:ilvl="4" w:tplc="240A0019" w:tentative="1">
      <w:start w:val="1"/>
      <w:numFmt w:val="lowerLetter"/>
      <w:lvlText w:val="%5."/>
      <w:lvlJc w:val="left"/>
      <w:pPr>
        <w:ind w:left="3950" w:hanging="360"/>
      </w:pPr>
    </w:lvl>
    <w:lvl w:ilvl="5" w:tplc="240A001B" w:tentative="1">
      <w:start w:val="1"/>
      <w:numFmt w:val="lowerRoman"/>
      <w:lvlText w:val="%6."/>
      <w:lvlJc w:val="right"/>
      <w:pPr>
        <w:ind w:left="4670" w:hanging="180"/>
      </w:pPr>
    </w:lvl>
    <w:lvl w:ilvl="6" w:tplc="240A000F" w:tentative="1">
      <w:start w:val="1"/>
      <w:numFmt w:val="decimal"/>
      <w:lvlText w:val="%7."/>
      <w:lvlJc w:val="left"/>
      <w:pPr>
        <w:ind w:left="5390" w:hanging="360"/>
      </w:pPr>
    </w:lvl>
    <w:lvl w:ilvl="7" w:tplc="240A0019" w:tentative="1">
      <w:start w:val="1"/>
      <w:numFmt w:val="lowerLetter"/>
      <w:lvlText w:val="%8."/>
      <w:lvlJc w:val="left"/>
      <w:pPr>
        <w:ind w:left="6110" w:hanging="360"/>
      </w:pPr>
    </w:lvl>
    <w:lvl w:ilvl="8" w:tplc="240A001B" w:tentative="1">
      <w:start w:val="1"/>
      <w:numFmt w:val="lowerRoman"/>
      <w:lvlText w:val="%9."/>
      <w:lvlJc w:val="right"/>
      <w:pPr>
        <w:ind w:left="6830" w:hanging="18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4075157B"/>
    <w:multiLevelType w:val="hybridMultilevel"/>
    <w:tmpl w:val="141E3880"/>
    <w:lvl w:ilvl="0" w:tplc="B73E7620">
      <w:start w:val="24"/>
      <w:numFmt w:val="upperLetter"/>
      <w:lvlText w:val="%1."/>
      <w:lvlJc w:val="left"/>
      <w:pPr>
        <w:ind w:left="1070" w:hanging="360"/>
      </w:pPr>
      <w:rPr>
        <w:rFonts w:hint="default"/>
      </w:rPr>
    </w:lvl>
    <w:lvl w:ilvl="1" w:tplc="240A0019" w:tentative="1">
      <w:start w:val="1"/>
      <w:numFmt w:val="lowerLetter"/>
      <w:lvlText w:val="%2."/>
      <w:lvlJc w:val="left"/>
      <w:pPr>
        <w:ind w:left="1790" w:hanging="360"/>
      </w:pPr>
    </w:lvl>
    <w:lvl w:ilvl="2" w:tplc="240A001B" w:tentative="1">
      <w:start w:val="1"/>
      <w:numFmt w:val="lowerRoman"/>
      <w:lvlText w:val="%3."/>
      <w:lvlJc w:val="right"/>
      <w:pPr>
        <w:ind w:left="2510" w:hanging="180"/>
      </w:pPr>
    </w:lvl>
    <w:lvl w:ilvl="3" w:tplc="240A000F" w:tentative="1">
      <w:start w:val="1"/>
      <w:numFmt w:val="decimal"/>
      <w:lvlText w:val="%4."/>
      <w:lvlJc w:val="left"/>
      <w:pPr>
        <w:ind w:left="3230" w:hanging="360"/>
      </w:pPr>
    </w:lvl>
    <w:lvl w:ilvl="4" w:tplc="240A0019" w:tentative="1">
      <w:start w:val="1"/>
      <w:numFmt w:val="lowerLetter"/>
      <w:lvlText w:val="%5."/>
      <w:lvlJc w:val="left"/>
      <w:pPr>
        <w:ind w:left="3950" w:hanging="360"/>
      </w:pPr>
    </w:lvl>
    <w:lvl w:ilvl="5" w:tplc="240A001B" w:tentative="1">
      <w:start w:val="1"/>
      <w:numFmt w:val="lowerRoman"/>
      <w:lvlText w:val="%6."/>
      <w:lvlJc w:val="right"/>
      <w:pPr>
        <w:ind w:left="4670" w:hanging="180"/>
      </w:pPr>
    </w:lvl>
    <w:lvl w:ilvl="6" w:tplc="240A000F" w:tentative="1">
      <w:start w:val="1"/>
      <w:numFmt w:val="decimal"/>
      <w:lvlText w:val="%7."/>
      <w:lvlJc w:val="left"/>
      <w:pPr>
        <w:ind w:left="5390" w:hanging="360"/>
      </w:pPr>
    </w:lvl>
    <w:lvl w:ilvl="7" w:tplc="240A0019" w:tentative="1">
      <w:start w:val="1"/>
      <w:numFmt w:val="lowerLetter"/>
      <w:lvlText w:val="%8."/>
      <w:lvlJc w:val="left"/>
      <w:pPr>
        <w:ind w:left="6110" w:hanging="360"/>
      </w:pPr>
    </w:lvl>
    <w:lvl w:ilvl="8" w:tplc="240A001B" w:tentative="1">
      <w:start w:val="1"/>
      <w:numFmt w:val="lowerRoman"/>
      <w:lvlText w:val="%9."/>
      <w:lvlJc w:val="right"/>
      <w:pPr>
        <w:ind w:left="6830" w:hanging="180"/>
      </w:p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FC6F58"/>
    <w:multiLevelType w:val="hybridMultilevel"/>
    <w:tmpl w:val="AD226C04"/>
    <w:lvl w:ilvl="0" w:tplc="44AE12E2">
      <w:start w:val="5"/>
      <w:numFmt w:val="upperLetter"/>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5"/>
  </w:num>
  <w:num w:numId="7" w16cid:durableId="1946422806">
    <w:abstractNumId w:val="6"/>
  </w:num>
  <w:num w:numId="8" w16cid:durableId="152644682">
    <w:abstractNumId w:val="14"/>
  </w:num>
  <w:num w:numId="9" w16cid:durableId="1317221377">
    <w:abstractNumId w:val="8"/>
  </w:num>
  <w:num w:numId="10" w16cid:durableId="1471245386">
    <w:abstractNumId w:val="13"/>
  </w:num>
  <w:num w:numId="11" w16cid:durableId="289172385">
    <w:abstractNumId w:val="9"/>
  </w:num>
  <w:num w:numId="12" w16cid:durableId="1470781324">
    <w:abstractNumId w:val="1"/>
  </w:num>
  <w:num w:numId="13" w16cid:durableId="1512908409">
    <w:abstractNumId w:val="3"/>
  </w:num>
  <w:num w:numId="14" w16cid:durableId="895897244">
    <w:abstractNumId w:val="16"/>
  </w:num>
  <w:num w:numId="15" w16cid:durableId="390349800">
    <w:abstractNumId w:val="12"/>
  </w:num>
  <w:num w:numId="16" w16cid:durableId="1423180700">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679089576">
    <w:abstractNumId w:val="10"/>
  </w:num>
  <w:num w:numId="18" w16cid:durableId="1548419692">
    <w:abstractNumId w:val="17"/>
  </w:num>
  <w:num w:numId="19" w16cid:durableId="1443304022">
    <w:abstractNumId w:val="4"/>
  </w:num>
  <w:num w:numId="20" w16cid:durableId="501051064">
    <w:abstractNumId w:val="11"/>
  </w:num>
  <w:num w:numId="21" w16cid:durableId="3412743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4BC7"/>
    <w:rsid w:val="000146DF"/>
    <w:rsid w:val="00016F78"/>
    <w:rsid w:val="00024F01"/>
    <w:rsid w:val="000349AC"/>
    <w:rsid w:val="00035277"/>
    <w:rsid w:val="0004689D"/>
    <w:rsid w:val="00046945"/>
    <w:rsid w:val="00051B3D"/>
    <w:rsid w:val="00060E78"/>
    <w:rsid w:val="00061B2A"/>
    <w:rsid w:val="00070C82"/>
    <w:rsid w:val="00082362"/>
    <w:rsid w:val="000A079B"/>
    <w:rsid w:val="000A1BD6"/>
    <w:rsid w:val="000A683E"/>
    <w:rsid w:val="000B19B9"/>
    <w:rsid w:val="000C332B"/>
    <w:rsid w:val="000C4432"/>
    <w:rsid w:val="000D0334"/>
    <w:rsid w:val="000D5DA7"/>
    <w:rsid w:val="000E4057"/>
    <w:rsid w:val="000F19A6"/>
    <w:rsid w:val="000F4E0B"/>
    <w:rsid w:val="000F6486"/>
    <w:rsid w:val="00100B2C"/>
    <w:rsid w:val="00116940"/>
    <w:rsid w:val="00125105"/>
    <w:rsid w:val="00127233"/>
    <w:rsid w:val="00127972"/>
    <w:rsid w:val="00144FA9"/>
    <w:rsid w:val="00150111"/>
    <w:rsid w:val="0015699B"/>
    <w:rsid w:val="00165C37"/>
    <w:rsid w:val="00167C35"/>
    <w:rsid w:val="0017556A"/>
    <w:rsid w:val="0019068D"/>
    <w:rsid w:val="001A33BF"/>
    <w:rsid w:val="001A7824"/>
    <w:rsid w:val="001A7E2C"/>
    <w:rsid w:val="001E1262"/>
    <w:rsid w:val="001E4177"/>
    <w:rsid w:val="001E6D17"/>
    <w:rsid w:val="001F0B24"/>
    <w:rsid w:val="001F680F"/>
    <w:rsid w:val="001F7DC6"/>
    <w:rsid w:val="0021137F"/>
    <w:rsid w:val="0022017D"/>
    <w:rsid w:val="0022400B"/>
    <w:rsid w:val="0022550C"/>
    <w:rsid w:val="002421BB"/>
    <w:rsid w:val="00244269"/>
    <w:rsid w:val="00251F62"/>
    <w:rsid w:val="0025796E"/>
    <w:rsid w:val="002639D4"/>
    <w:rsid w:val="00270196"/>
    <w:rsid w:val="002707A2"/>
    <w:rsid w:val="002725F0"/>
    <w:rsid w:val="00273D96"/>
    <w:rsid w:val="00274118"/>
    <w:rsid w:val="00275010"/>
    <w:rsid w:val="00276FF6"/>
    <w:rsid w:val="002875B8"/>
    <w:rsid w:val="002951A0"/>
    <w:rsid w:val="002962BC"/>
    <w:rsid w:val="002A093D"/>
    <w:rsid w:val="002A0DD0"/>
    <w:rsid w:val="002A49AC"/>
    <w:rsid w:val="002A64FD"/>
    <w:rsid w:val="002C03A2"/>
    <w:rsid w:val="002C23F8"/>
    <w:rsid w:val="002C7A84"/>
    <w:rsid w:val="002D16B6"/>
    <w:rsid w:val="002D29B9"/>
    <w:rsid w:val="002D2C86"/>
    <w:rsid w:val="002E2BF8"/>
    <w:rsid w:val="002E40B9"/>
    <w:rsid w:val="002E4FD9"/>
    <w:rsid w:val="002E6CB2"/>
    <w:rsid w:val="002F29AE"/>
    <w:rsid w:val="002F2A0B"/>
    <w:rsid w:val="0030657A"/>
    <w:rsid w:val="00322A85"/>
    <w:rsid w:val="00324168"/>
    <w:rsid w:val="00326AB1"/>
    <w:rsid w:val="00330834"/>
    <w:rsid w:val="003320D9"/>
    <w:rsid w:val="003331C4"/>
    <w:rsid w:val="003448F4"/>
    <w:rsid w:val="003554EF"/>
    <w:rsid w:val="00363D30"/>
    <w:rsid w:val="00365927"/>
    <w:rsid w:val="003670C2"/>
    <w:rsid w:val="00370B70"/>
    <w:rsid w:val="00374F5E"/>
    <w:rsid w:val="003766A4"/>
    <w:rsid w:val="00377E3E"/>
    <w:rsid w:val="00386570"/>
    <w:rsid w:val="003878B5"/>
    <w:rsid w:val="003918F6"/>
    <w:rsid w:val="00391D5E"/>
    <w:rsid w:val="00391E53"/>
    <w:rsid w:val="003944CC"/>
    <w:rsid w:val="00397B7B"/>
    <w:rsid w:val="003A469F"/>
    <w:rsid w:val="003A779E"/>
    <w:rsid w:val="003B408A"/>
    <w:rsid w:val="003B4708"/>
    <w:rsid w:val="003C6171"/>
    <w:rsid w:val="003D0F4D"/>
    <w:rsid w:val="003D5B0D"/>
    <w:rsid w:val="003D7AEC"/>
    <w:rsid w:val="003E0499"/>
    <w:rsid w:val="003E4F80"/>
    <w:rsid w:val="003E6439"/>
    <w:rsid w:val="003F035E"/>
    <w:rsid w:val="003F3941"/>
    <w:rsid w:val="003F3C00"/>
    <w:rsid w:val="00406575"/>
    <w:rsid w:val="00414C74"/>
    <w:rsid w:val="00421605"/>
    <w:rsid w:val="004234B5"/>
    <w:rsid w:val="0042722E"/>
    <w:rsid w:val="0042746B"/>
    <w:rsid w:val="0043201C"/>
    <w:rsid w:val="0044528D"/>
    <w:rsid w:val="00461FF9"/>
    <w:rsid w:val="00464FBA"/>
    <w:rsid w:val="00466E39"/>
    <w:rsid w:val="0046741E"/>
    <w:rsid w:val="004929E6"/>
    <w:rsid w:val="004A09F9"/>
    <w:rsid w:val="004A1847"/>
    <w:rsid w:val="004A305D"/>
    <w:rsid w:val="004B02BE"/>
    <w:rsid w:val="004C36A9"/>
    <w:rsid w:val="004C6EF3"/>
    <w:rsid w:val="004C77D8"/>
    <w:rsid w:val="004D0FC4"/>
    <w:rsid w:val="004E485C"/>
    <w:rsid w:val="004F1ACE"/>
    <w:rsid w:val="004F21C4"/>
    <w:rsid w:val="004F4C0E"/>
    <w:rsid w:val="004F6513"/>
    <w:rsid w:val="004F685F"/>
    <w:rsid w:val="004F6983"/>
    <w:rsid w:val="00515D21"/>
    <w:rsid w:val="00521C7B"/>
    <w:rsid w:val="0052534C"/>
    <w:rsid w:val="00541001"/>
    <w:rsid w:val="005412E9"/>
    <w:rsid w:val="00550236"/>
    <w:rsid w:val="005566E8"/>
    <w:rsid w:val="00564C5A"/>
    <w:rsid w:val="0057445D"/>
    <w:rsid w:val="00574867"/>
    <w:rsid w:val="00576D5E"/>
    <w:rsid w:val="00582908"/>
    <w:rsid w:val="0058384E"/>
    <w:rsid w:val="00586DAE"/>
    <w:rsid w:val="00591460"/>
    <w:rsid w:val="00593E09"/>
    <w:rsid w:val="005A65E0"/>
    <w:rsid w:val="005B358E"/>
    <w:rsid w:val="005B648D"/>
    <w:rsid w:val="005C3777"/>
    <w:rsid w:val="005C5CDC"/>
    <w:rsid w:val="005D476C"/>
    <w:rsid w:val="005D6D53"/>
    <w:rsid w:val="005F30E5"/>
    <w:rsid w:val="0060101A"/>
    <w:rsid w:val="00606B35"/>
    <w:rsid w:val="00607FA6"/>
    <w:rsid w:val="0061176B"/>
    <w:rsid w:val="0061253C"/>
    <w:rsid w:val="006200BF"/>
    <w:rsid w:val="006219F8"/>
    <w:rsid w:val="00623091"/>
    <w:rsid w:val="006302F7"/>
    <w:rsid w:val="00630780"/>
    <w:rsid w:val="00633F76"/>
    <w:rsid w:val="00636A2F"/>
    <w:rsid w:val="00641465"/>
    <w:rsid w:val="00646B9F"/>
    <w:rsid w:val="0064714F"/>
    <w:rsid w:val="0064758F"/>
    <w:rsid w:val="00661EC4"/>
    <w:rsid w:val="00665D70"/>
    <w:rsid w:val="006822B2"/>
    <w:rsid w:val="006900D9"/>
    <w:rsid w:val="00694EA9"/>
    <w:rsid w:val="00697766"/>
    <w:rsid w:val="006B05E9"/>
    <w:rsid w:val="006B6EC0"/>
    <w:rsid w:val="006D4D73"/>
    <w:rsid w:val="007028CC"/>
    <w:rsid w:val="00702EF4"/>
    <w:rsid w:val="00706AAE"/>
    <w:rsid w:val="00706C16"/>
    <w:rsid w:val="00711525"/>
    <w:rsid w:val="0073114F"/>
    <w:rsid w:val="007340C3"/>
    <w:rsid w:val="00740B72"/>
    <w:rsid w:val="0075235A"/>
    <w:rsid w:val="00752E64"/>
    <w:rsid w:val="00756841"/>
    <w:rsid w:val="00763D3E"/>
    <w:rsid w:val="007649AB"/>
    <w:rsid w:val="0077191F"/>
    <w:rsid w:val="00771D0C"/>
    <w:rsid w:val="00772CC9"/>
    <w:rsid w:val="00772DFF"/>
    <w:rsid w:val="0077468F"/>
    <w:rsid w:val="00777BC8"/>
    <w:rsid w:val="007833AC"/>
    <w:rsid w:val="007A0412"/>
    <w:rsid w:val="007A12D1"/>
    <w:rsid w:val="007B268C"/>
    <w:rsid w:val="007B6029"/>
    <w:rsid w:val="007B6537"/>
    <w:rsid w:val="007B7171"/>
    <w:rsid w:val="007B7362"/>
    <w:rsid w:val="007C0C0F"/>
    <w:rsid w:val="007C3DC2"/>
    <w:rsid w:val="007C46A7"/>
    <w:rsid w:val="007D0A82"/>
    <w:rsid w:val="007E5497"/>
    <w:rsid w:val="007F5448"/>
    <w:rsid w:val="00804A92"/>
    <w:rsid w:val="00806F5F"/>
    <w:rsid w:val="008118B0"/>
    <w:rsid w:val="00820278"/>
    <w:rsid w:val="008258C9"/>
    <w:rsid w:val="008302D2"/>
    <w:rsid w:val="00832BE9"/>
    <w:rsid w:val="00834398"/>
    <w:rsid w:val="0083620F"/>
    <w:rsid w:val="0084337F"/>
    <w:rsid w:val="00844AE9"/>
    <w:rsid w:val="0085447D"/>
    <w:rsid w:val="0086326E"/>
    <w:rsid w:val="0086452C"/>
    <w:rsid w:val="00867F95"/>
    <w:rsid w:val="008843B6"/>
    <w:rsid w:val="00891928"/>
    <w:rsid w:val="0089234E"/>
    <w:rsid w:val="00895125"/>
    <w:rsid w:val="008A446D"/>
    <w:rsid w:val="008A7481"/>
    <w:rsid w:val="008B25F1"/>
    <w:rsid w:val="008B4354"/>
    <w:rsid w:val="008D180B"/>
    <w:rsid w:val="008D47C5"/>
    <w:rsid w:val="008F0EA7"/>
    <w:rsid w:val="008F2A2E"/>
    <w:rsid w:val="008F5FB8"/>
    <w:rsid w:val="009153A4"/>
    <w:rsid w:val="009232AE"/>
    <w:rsid w:val="00923EEF"/>
    <w:rsid w:val="009253AE"/>
    <w:rsid w:val="00925EE0"/>
    <w:rsid w:val="00927D41"/>
    <w:rsid w:val="009359EF"/>
    <w:rsid w:val="009368BF"/>
    <w:rsid w:val="00936EAA"/>
    <w:rsid w:val="009419F9"/>
    <w:rsid w:val="00944DC0"/>
    <w:rsid w:val="0095685E"/>
    <w:rsid w:val="00961B09"/>
    <w:rsid w:val="00964489"/>
    <w:rsid w:val="00965334"/>
    <w:rsid w:val="0097039D"/>
    <w:rsid w:val="0097093E"/>
    <w:rsid w:val="0098051C"/>
    <w:rsid w:val="00981292"/>
    <w:rsid w:val="00981DC4"/>
    <w:rsid w:val="00994FFD"/>
    <w:rsid w:val="0099501A"/>
    <w:rsid w:val="009A0DFA"/>
    <w:rsid w:val="009A1C6F"/>
    <w:rsid w:val="009B2D26"/>
    <w:rsid w:val="009B5E9F"/>
    <w:rsid w:val="009C1B5E"/>
    <w:rsid w:val="009C6023"/>
    <w:rsid w:val="009C71FA"/>
    <w:rsid w:val="009C72E7"/>
    <w:rsid w:val="009C7F7E"/>
    <w:rsid w:val="009D3058"/>
    <w:rsid w:val="009D3F40"/>
    <w:rsid w:val="009E0655"/>
    <w:rsid w:val="009E2496"/>
    <w:rsid w:val="009E4DC8"/>
    <w:rsid w:val="009E7A0F"/>
    <w:rsid w:val="009F0CF9"/>
    <w:rsid w:val="009F3A13"/>
    <w:rsid w:val="009F3BCC"/>
    <w:rsid w:val="009F6104"/>
    <w:rsid w:val="00A02D02"/>
    <w:rsid w:val="00A122D3"/>
    <w:rsid w:val="00A14468"/>
    <w:rsid w:val="00A147C1"/>
    <w:rsid w:val="00A15EAF"/>
    <w:rsid w:val="00A15FBB"/>
    <w:rsid w:val="00A17CE9"/>
    <w:rsid w:val="00A17F13"/>
    <w:rsid w:val="00A20739"/>
    <w:rsid w:val="00A23718"/>
    <w:rsid w:val="00A23AF9"/>
    <w:rsid w:val="00A27B80"/>
    <w:rsid w:val="00A33C78"/>
    <w:rsid w:val="00A35B7C"/>
    <w:rsid w:val="00A57F0E"/>
    <w:rsid w:val="00A63931"/>
    <w:rsid w:val="00A8341D"/>
    <w:rsid w:val="00A9072D"/>
    <w:rsid w:val="00AA49D9"/>
    <w:rsid w:val="00AB0ADB"/>
    <w:rsid w:val="00AB0D7F"/>
    <w:rsid w:val="00AC2478"/>
    <w:rsid w:val="00AD6131"/>
    <w:rsid w:val="00AE3A36"/>
    <w:rsid w:val="00AF2F13"/>
    <w:rsid w:val="00B00C0E"/>
    <w:rsid w:val="00B01B1A"/>
    <w:rsid w:val="00B0381D"/>
    <w:rsid w:val="00B04B11"/>
    <w:rsid w:val="00B06EDB"/>
    <w:rsid w:val="00B21851"/>
    <w:rsid w:val="00B44A47"/>
    <w:rsid w:val="00B46005"/>
    <w:rsid w:val="00B65134"/>
    <w:rsid w:val="00B67AAF"/>
    <w:rsid w:val="00B72CD3"/>
    <w:rsid w:val="00B72FFF"/>
    <w:rsid w:val="00B83D5B"/>
    <w:rsid w:val="00B84C88"/>
    <w:rsid w:val="00B94A34"/>
    <w:rsid w:val="00BA5B12"/>
    <w:rsid w:val="00BC3D36"/>
    <w:rsid w:val="00BD54A6"/>
    <w:rsid w:val="00BD7F72"/>
    <w:rsid w:val="00BE016C"/>
    <w:rsid w:val="00BE7F3E"/>
    <w:rsid w:val="00BF04EE"/>
    <w:rsid w:val="00BF7425"/>
    <w:rsid w:val="00BF7CC1"/>
    <w:rsid w:val="00C02042"/>
    <w:rsid w:val="00C0258E"/>
    <w:rsid w:val="00C04FB3"/>
    <w:rsid w:val="00C11D8B"/>
    <w:rsid w:val="00C1421D"/>
    <w:rsid w:val="00C15139"/>
    <w:rsid w:val="00C25191"/>
    <w:rsid w:val="00C30AAF"/>
    <w:rsid w:val="00C330EB"/>
    <w:rsid w:val="00C50D69"/>
    <w:rsid w:val="00C5365C"/>
    <w:rsid w:val="00C57F16"/>
    <w:rsid w:val="00C64141"/>
    <w:rsid w:val="00C66E6A"/>
    <w:rsid w:val="00C754BE"/>
    <w:rsid w:val="00C7596E"/>
    <w:rsid w:val="00C76B1C"/>
    <w:rsid w:val="00C83D92"/>
    <w:rsid w:val="00C925AC"/>
    <w:rsid w:val="00CB5E7E"/>
    <w:rsid w:val="00CB6357"/>
    <w:rsid w:val="00CC1B26"/>
    <w:rsid w:val="00CC5C2A"/>
    <w:rsid w:val="00CD30F1"/>
    <w:rsid w:val="00CF00DC"/>
    <w:rsid w:val="00D14274"/>
    <w:rsid w:val="00D17A30"/>
    <w:rsid w:val="00D2442C"/>
    <w:rsid w:val="00D3044E"/>
    <w:rsid w:val="00D361FD"/>
    <w:rsid w:val="00D423A2"/>
    <w:rsid w:val="00D43520"/>
    <w:rsid w:val="00D44E26"/>
    <w:rsid w:val="00D45947"/>
    <w:rsid w:val="00D520D8"/>
    <w:rsid w:val="00D63AC2"/>
    <w:rsid w:val="00D7383B"/>
    <w:rsid w:val="00D7788A"/>
    <w:rsid w:val="00D87F46"/>
    <w:rsid w:val="00D946E2"/>
    <w:rsid w:val="00DA231B"/>
    <w:rsid w:val="00DA7AB3"/>
    <w:rsid w:val="00DC39FC"/>
    <w:rsid w:val="00DC3C66"/>
    <w:rsid w:val="00DC5A47"/>
    <w:rsid w:val="00DE4314"/>
    <w:rsid w:val="00DF5080"/>
    <w:rsid w:val="00DF5254"/>
    <w:rsid w:val="00E02524"/>
    <w:rsid w:val="00E102B7"/>
    <w:rsid w:val="00E10D5F"/>
    <w:rsid w:val="00E13946"/>
    <w:rsid w:val="00E16408"/>
    <w:rsid w:val="00E20894"/>
    <w:rsid w:val="00E209F4"/>
    <w:rsid w:val="00E245AB"/>
    <w:rsid w:val="00E26FBC"/>
    <w:rsid w:val="00E2764C"/>
    <w:rsid w:val="00E27F2E"/>
    <w:rsid w:val="00E45AE9"/>
    <w:rsid w:val="00E46F18"/>
    <w:rsid w:val="00E50AFE"/>
    <w:rsid w:val="00E5643F"/>
    <w:rsid w:val="00E61736"/>
    <w:rsid w:val="00E662BD"/>
    <w:rsid w:val="00E715A5"/>
    <w:rsid w:val="00E759B2"/>
    <w:rsid w:val="00E75C92"/>
    <w:rsid w:val="00E771DC"/>
    <w:rsid w:val="00E8772A"/>
    <w:rsid w:val="00E906B3"/>
    <w:rsid w:val="00E90F6B"/>
    <w:rsid w:val="00E92C27"/>
    <w:rsid w:val="00EA0E3D"/>
    <w:rsid w:val="00EB0917"/>
    <w:rsid w:val="00EB525A"/>
    <w:rsid w:val="00EC38A7"/>
    <w:rsid w:val="00EC5A74"/>
    <w:rsid w:val="00ED1A98"/>
    <w:rsid w:val="00ED4D9C"/>
    <w:rsid w:val="00EE1AA8"/>
    <w:rsid w:val="00EE28A2"/>
    <w:rsid w:val="00EF6E4F"/>
    <w:rsid w:val="00F00C3D"/>
    <w:rsid w:val="00F149B6"/>
    <w:rsid w:val="00F23FEA"/>
    <w:rsid w:val="00F31EDC"/>
    <w:rsid w:val="00F328B8"/>
    <w:rsid w:val="00F462B3"/>
    <w:rsid w:val="00F46C94"/>
    <w:rsid w:val="00F50690"/>
    <w:rsid w:val="00F5664F"/>
    <w:rsid w:val="00F61691"/>
    <w:rsid w:val="00F666C4"/>
    <w:rsid w:val="00F707D2"/>
    <w:rsid w:val="00F76AFC"/>
    <w:rsid w:val="00F9299F"/>
    <w:rsid w:val="00FA1567"/>
    <w:rsid w:val="00FA47C0"/>
    <w:rsid w:val="00FB3F10"/>
    <w:rsid w:val="00FB5583"/>
    <w:rsid w:val="00FB5820"/>
    <w:rsid w:val="00FB5DD1"/>
    <w:rsid w:val="00FC01C6"/>
    <w:rsid w:val="00FC2B5D"/>
    <w:rsid w:val="00FC4175"/>
    <w:rsid w:val="00FD57B4"/>
    <w:rsid w:val="00FE0A59"/>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7468F"/>
    <w:rPr>
      <w:rFonts w:ascii="Geomanist Light" w:hAnsi="Geomanist Light"/>
      <w:lang w:val="es-ES"/>
    </w:rPr>
  </w:style>
  <w:style w:type="paragraph" w:customStyle="1" w:styleId="Appelnotedebasde">
    <w:name w:val="Appel note de bas de..."/>
    <w:basedOn w:val="Normal"/>
    <w:link w:val="Refdenotaalpie"/>
    <w:uiPriority w:val="99"/>
    <w:rsid w:val="0077468F"/>
    <w:pPr>
      <w:spacing w:line="240" w:lineRule="exact"/>
    </w:pPr>
    <w:rPr>
      <w:vertAlign w:val="superscript"/>
    </w:rPr>
  </w:style>
  <w:style w:type="paragraph" w:styleId="Textoindependiente">
    <w:name w:val="Body Text"/>
    <w:basedOn w:val="Normal"/>
    <w:link w:val="TextoindependienteCar"/>
    <w:uiPriority w:val="99"/>
    <w:unhideWhenUsed/>
    <w:rsid w:val="0077468F"/>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77468F"/>
    <w:rPr>
      <w:rFonts w:eastAsiaTheme="minorEastAsia"/>
      <w:lang w:eastAsia="es-CO"/>
    </w:rPr>
  </w:style>
  <w:style w:type="table" w:customStyle="1" w:styleId="Tablaconcuadrcula1">
    <w:name w:val="Tabla con cuadrícula1"/>
    <w:basedOn w:val="Tablanormal"/>
    <w:next w:val="Tablaconcuadrcula"/>
    <w:uiPriority w:val="39"/>
    <w:qFormat/>
    <w:rsid w:val="0077468F"/>
    <w:pPr>
      <w:spacing w:after="0" w:line="240" w:lineRule="auto"/>
    </w:pPr>
    <w:tblPr/>
  </w:style>
  <w:style w:type="character" w:customStyle="1" w:styleId="NormalWebCar">
    <w:name w:val="Normal (Web) Car"/>
    <w:link w:val="NormalWeb"/>
    <w:uiPriority w:val="99"/>
    <w:rsid w:val="0077468F"/>
    <w:rPr>
      <w:rFonts w:ascii="Times New Roman" w:eastAsia="Times New Roman" w:hAnsi="Times New Roman" w:cs="Times New Roman"/>
      <w:sz w:val="24"/>
      <w:szCs w:val="24"/>
      <w:lang w:eastAsia="es-CO"/>
    </w:rPr>
  </w:style>
  <w:style w:type="character" w:styleId="Refdecomentario">
    <w:name w:val="annotation reference"/>
    <w:basedOn w:val="Fuentedeprrafopredeter"/>
    <w:uiPriority w:val="99"/>
    <w:semiHidden/>
    <w:unhideWhenUsed/>
    <w:rsid w:val="00895125"/>
    <w:rPr>
      <w:sz w:val="16"/>
      <w:szCs w:val="16"/>
    </w:rPr>
  </w:style>
  <w:style w:type="paragraph" w:styleId="Textocomentario">
    <w:name w:val="annotation text"/>
    <w:basedOn w:val="Normal"/>
    <w:link w:val="TextocomentarioCar"/>
    <w:uiPriority w:val="99"/>
    <w:unhideWhenUsed/>
    <w:rsid w:val="00895125"/>
    <w:pPr>
      <w:spacing w:line="240" w:lineRule="auto"/>
    </w:pPr>
    <w:rPr>
      <w:sz w:val="20"/>
      <w:szCs w:val="20"/>
    </w:rPr>
  </w:style>
  <w:style w:type="character" w:customStyle="1" w:styleId="TextocomentarioCar">
    <w:name w:val="Texto comentario Car"/>
    <w:basedOn w:val="Fuentedeprrafopredeter"/>
    <w:link w:val="Textocomentario"/>
    <w:uiPriority w:val="99"/>
    <w:rsid w:val="00895125"/>
    <w:rPr>
      <w:sz w:val="20"/>
      <w:szCs w:val="20"/>
    </w:rPr>
  </w:style>
  <w:style w:type="paragraph" w:styleId="Asuntodelcomentario">
    <w:name w:val="annotation subject"/>
    <w:basedOn w:val="Textocomentario"/>
    <w:next w:val="Textocomentario"/>
    <w:link w:val="AsuntodelcomentarioCar"/>
    <w:uiPriority w:val="99"/>
    <w:semiHidden/>
    <w:unhideWhenUsed/>
    <w:rsid w:val="00895125"/>
    <w:rPr>
      <w:b/>
      <w:bCs/>
    </w:rPr>
  </w:style>
  <w:style w:type="character" w:customStyle="1" w:styleId="AsuntodelcomentarioCar">
    <w:name w:val="Asunto del comentario Car"/>
    <w:basedOn w:val="TextocomentarioCar"/>
    <w:link w:val="Asuntodelcomentario"/>
    <w:uiPriority w:val="99"/>
    <w:semiHidden/>
    <w:rsid w:val="00895125"/>
    <w:rPr>
      <w:b/>
      <w:bCs/>
      <w:sz w:val="20"/>
      <w:szCs w:val="20"/>
    </w:rPr>
  </w:style>
  <w:style w:type="paragraph" w:customStyle="1" w:styleId="pf0">
    <w:name w:val="pf0"/>
    <w:basedOn w:val="Normal"/>
    <w:rsid w:val="00895125"/>
    <w:pPr>
      <w:spacing w:before="100" w:beforeAutospacing="1" w:after="100" w:afterAutospacing="1" w:line="240" w:lineRule="auto"/>
    </w:pPr>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somos@grupoejecutar.co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ana.bonilla%40colombiacompra.gov.co%7C7cfff6dece924643582c08dd97bfed90%7C7b09041e245149d08cb179d5e3d8c1be%7C0%7C0%7C638833572791704363%7CUnknown%7CTWFpbGZsb3d8eyJFbXB0eU1hcGkiOnRydWUsIlYiOiIwLjAuMDAwMCIsIlAiOiJXaW4zMiIsIkFOIjoiTWFpbCIsIldUIjoyfQ%3D%3D%7C0%7C%7C%7C&amp;sdata=bvCyjLqjhhHk8z%2FCef2mJuv9SIv2uGUVZNSAdLedWrk%3D&amp;reserved=0"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wp-content/uploads/2025/09/Guia-para-la-Elaboracion-de-Estudios-del-Sector-V3.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6C3CDC7A-9F6C-4035-8B29-B5C60A7F331F}">
  <ds:schemaRefs>
    <ds:schemaRef ds:uri="http://schemas.openxmlformats.org/officeDocument/2006/bibliography"/>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81C49B30-1E82-4E30-B395-3B211EB9402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6</TotalTime>
  <Pages>20</Pages>
  <Words>6857</Words>
  <Characters>37718</Characters>
  <Application>Microsoft Office Word</Application>
  <DocSecurity>0</DocSecurity>
  <Lines>314</Lines>
  <Paragraphs>88</Paragraphs>
  <ScaleCrop>false</ScaleCrop>
  <Company/>
  <LinksUpToDate>false</LinksUpToDate>
  <CharactersWithSpaces>44487</CharactersWithSpaces>
  <SharedDoc>false</SharedDoc>
  <HLinks>
    <vt:vector size="36" baseType="variant">
      <vt:variant>
        <vt:i4>3276900</vt:i4>
      </vt:variant>
      <vt:variant>
        <vt:i4>12</vt:i4>
      </vt:variant>
      <vt:variant>
        <vt:i4>0</vt:i4>
      </vt:variant>
      <vt:variant>
        <vt:i4>5</vt:i4>
      </vt:variant>
      <vt:variant>
        <vt:lpwstr>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vt:lpwstr>
      </vt:variant>
      <vt:variant>
        <vt:lpwstr/>
      </vt:variant>
      <vt:variant>
        <vt:i4>7471218</vt:i4>
      </vt:variant>
      <vt:variant>
        <vt:i4>9</vt:i4>
      </vt:variant>
      <vt:variant>
        <vt:i4>0</vt:i4>
      </vt:variant>
      <vt:variant>
        <vt:i4>5</vt:i4>
      </vt:variant>
      <vt:variant>
        <vt:lpwstr>https://relatoria.colombiacompra.gov.co/busqueda/conceptos</vt:lpwstr>
      </vt:variant>
      <vt:variant>
        <vt:lpwstr/>
      </vt:variant>
      <vt:variant>
        <vt:i4>65617</vt:i4>
      </vt:variant>
      <vt:variant>
        <vt:i4>6</vt:i4>
      </vt:variant>
      <vt:variant>
        <vt:i4>0</vt:i4>
      </vt:variant>
      <vt:variant>
        <vt:i4>5</vt:i4>
      </vt:variant>
      <vt:variant>
        <vt:lpwstr>https://www.colombiacompra.gov.co/archivos/manual/manual-para-determinar-y-verificar-los-requisitos-habilitantes-en-los-procesos-de-contratacion</vt:lpwstr>
      </vt:variant>
      <vt:variant>
        <vt:lpwstr/>
      </vt:variant>
      <vt:variant>
        <vt:i4>6684780</vt:i4>
      </vt:variant>
      <vt:variant>
        <vt:i4>3</vt:i4>
      </vt:variant>
      <vt:variant>
        <vt:i4>0</vt:i4>
      </vt:variant>
      <vt:variant>
        <vt:i4>5</vt:i4>
      </vt:variant>
      <vt:variant>
        <vt:lpwstr>https://www.colombiacompra.gov.co/archivos/manual/guia-para-determinar-y-verificar-la-capacidad-residual-del-proponente-en-los-procesos-de-contratacion-de-obra-publica</vt:lpwstr>
      </vt:variant>
      <vt:variant>
        <vt:lpwstr/>
      </vt:variant>
      <vt:variant>
        <vt:i4>1245235</vt:i4>
      </vt:variant>
      <vt:variant>
        <vt:i4>0</vt:i4>
      </vt:variant>
      <vt:variant>
        <vt:i4>0</vt:i4>
      </vt:variant>
      <vt:variant>
        <vt:i4>5</vt:i4>
      </vt:variant>
      <vt:variant>
        <vt:lpwstr>mailto:ayalgarrav@gmail.com</vt:lpwstr>
      </vt:variant>
      <vt:variant>
        <vt:lpwstr/>
      </vt:variant>
      <vt:variant>
        <vt:i4>65617</vt:i4>
      </vt:variant>
      <vt:variant>
        <vt:i4>0</vt:i4>
      </vt:variant>
      <vt:variant>
        <vt:i4>0</vt:i4>
      </vt:variant>
      <vt:variant>
        <vt:i4>5</vt:i4>
      </vt:variant>
      <vt:variant>
        <vt:lpwstr>https://www.colombiacompra.gov.co/archivos/manual/manual-para-determinar-y-verificar-los-requisitos-habilitantes-en-los-procesos-de-contratacion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ANCP</cp:lastModifiedBy>
  <cp:revision>6</cp:revision>
  <cp:lastPrinted>2023-01-10T21:18:00Z</cp:lastPrinted>
  <dcterms:created xsi:type="dcterms:W3CDTF">2026-06-30T20:19:00Z</dcterms:created>
  <dcterms:modified xsi:type="dcterms:W3CDTF">2026-06-30T20:24:00Z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