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17AF6" w14:textId="15B57D6E" w:rsidR="00304D34" w:rsidRPr="00EE5378" w:rsidRDefault="00304D34" w:rsidP="00304D34">
      <w:pPr>
        <w:jc w:val="both"/>
        <w:rPr>
          <w:rFonts w:ascii="Verdana" w:eastAsia="Calibri" w:hAnsi="Verdana" w:cs="Arial"/>
          <w:b/>
        </w:rPr>
      </w:pPr>
      <w:bookmarkStart w:id="0" w:name="_Hlk143780582"/>
      <w:r w:rsidRPr="00EE5378">
        <w:rPr>
          <w:rFonts w:ascii="Verdana" w:eastAsia="Calibri" w:hAnsi="Verdana" w:cs="Arial"/>
          <w:b/>
        </w:rPr>
        <w:t>RESGUARDOS INDÍGENAS – Administración de recursos del SGP – Entidades Estatales</w:t>
      </w:r>
    </w:p>
    <w:p w14:paraId="2D16F115" w14:textId="77777777" w:rsidR="00304D34" w:rsidRPr="00EE5378" w:rsidRDefault="00304D34" w:rsidP="00304D34">
      <w:pPr>
        <w:spacing w:after="0" w:line="240" w:lineRule="auto"/>
        <w:jc w:val="both"/>
        <w:rPr>
          <w:rFonts w:ascii="Verdana" w:eastAsia="Calibri" w:hAnsi="Verdana" w:cs="Arial"/>
          <w:sz w:val="20"/>
        </w:rPr>
      </w:pPr>
      <w:r w:rsidRPr="00EE5378">
        <w:rPr>
          <w:rFonts w:ascii="Verdana" w:eastAsia="Calibri" w:hAnsi="Verdana" w:cs="Arial"/>
          <w:sz w:val="20"/>
        </w:rPr>
        <w:t xml:space="preserve">Al respecto, [el Decreto 1953 de 2014] dispone que los resguardos indígenas que se ubiquen en ciertos supuestos,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   </w:t>
      </w:r>
    </w:p>
    <w:p w14:paraId="642B7191" w14:textId="77777777" w:rsidR="00304D34" w:rsidRPr="00EE5378" w:rsidRDefault="00304D34" w:rsidP="00304D34">
      <w:pPr>
        <w:spacing w:after="0" w:line="240" w:lineRule="auto"/>
        <w:jc w:val="both"/>
        <w:rPr>
          <w:rFonts w:ascii="Verdana" w:eastAsia="Calibri" w:hAnsi="Verdana" w:cs="Arial"/>
          <w:b/>
        </w:rPr>
      </w:pPr>
    </w:p>
    <w:p w14:paraId="71B0B7B1" w14:textId="1FAFE077" w:rsidR="00304D34" w:rsidRPr="00EE5378" w:rsidRDefault="00304D34" w:rsidP="00304D34">
      <w:pPr>
        <w:spacing w:after="0" w:line="240" w:lineRule="auto"/>
        <w:jc w:val="both"/>
        <w:rPr>
          <w:rFonts w:ascii="Verdana" w:eastAsia="Calibri" w:hAnsi="Verdana" w:cs="Arial"/>
          <w:sz w:val="20"/>
        </w:rPr>
      </w:pPr>
      <w:r w:rsidRPr="00EE5378">
        <w:rPr>
          <w:rFonts w:ascii="Verdana" w:eastAsia="Calibri" w:hAnsi="Verdana" w:cs="Arial"/>
          <w:sz w:val="20"/>
        </w:rPr>
        <w:t xml:space="preserve">Adicionalmente, establece que para los fines y la ejecución de los recursos de que trata dicho decreto, los territorios y resguardos indígenas que hayan sido autorizados para administrar recursos del SGP serán considerados </w:t>
      </w:r>
      <w:r w:rsidR="00085A10" w:rsidRPr="00EE5378">
        <w:rPr>
          <w:rFonts w:ascii="Verdana" w:eastAsia="Calibri" w:hAnsi="Verdana" w:cs="Arial"/>
          <w:sz w:val="20"/>
        </w:rPr>
        <w:t>E</w:t>
      </w:r>
      <w:r w:rsidRPr="00EE5378">
        <w:rPr>
          <w:rFonts w:ascii="Verdana" w:eastAsia="Calibri" w:hAnsi="Verdana" w:cs="Arial"/>
          <w:sz w:val="20"/>
        </w:rPr>
        <w:t xml:space="preserve">ntidades </w:t>
      </w:r>
      <w:r w:rsidR="00085A10" w:rsidRPr="00EE5378">
        <w:rPr>
          <w:rFonts w:ascii="Verdana" w:eastAsia="Calibri" w:hAnsi="Verdana" w:cs="Arial"/>
          <w:sz w:val="20"/>
        </w:rPr>
        <w:t>E</w:t>
      </w:r>
      <w:r w:rsidRPr="00EE5378">
        <w:rPr>
          <w:rFonts w:ascii="Verdana" w:eastAsia="Calibri" w:hAnsi="Verdana" w:cs="Arial"/>
          <w:sz w:val="20"/>
        </w:rPr>
        <w:t xml:space="preserve">statales de acuerdo con lo indicado en el artículo 2 de la Ley 80 de 1993. </w:t>
      </w:r>
    </w:p>
    <w:p w14:paraId="10E966A3" w14:textId="77777777" w:rsidR="00866006" w:rsidRPr="00EE5378" w:rsidRDefault="00866006" w:rsidP="00304D34">
      <w:pPr>
        <w:spacing w:after="0" w:line="240" w:lineRule="auto"/>
        <w:jc w:val="both"/>
        <w:rPr>
          <w:rFonts w:ascii="Verdana" w:eastAsia="Calibri" w:hAnsi="Verdana" w:cs="Arial"/>
          <w:sz w:val="20"/>
        </w:rPr>
      </w:pPr>
    </w:p>
    <w:p w14:paraId="2F0C6A48" w14:textId="1D038E34" w:rsidR="00866006" w:rsidRPr="00EE5378" w:rsidRDefault="00866006" w:rsidP="003031C7">
      <w:pPr>
        <w:spacing w:after="240" w:line="240" w:lineRule="auto"/>
        <w:jc w:val="both"/>
        <w:rPr>
          <w:rFonts w:ascii="Verdana" w:eastAsia="Calibri" w:hAnsi="Verdana" w:cs="Arial"/>
          <w:b/>
          <w:bCs/>
          <w:sz w:val="20"/>
        </w:rPr>
      </w:pPr>
      <w:r w:rsidRPr="00EE5378">
        <w:rPr>
          <w:rFonts w:ascii="Verdana" w:eastAsia="Calibri" w:hAnsi="Verdana" w:cs="Arial"/>
          <w:b/>
          <w:bCs/>
          <w:lang w:val="es-ES" w:eastAsia="es-ES"/>
        </w:rPr>
        <w:t>RESGUARDOS INDÍGENAS – Contratos de administración</w:t>
      </w:r>
      <w:r w:rsidR="005B421E" w:rsidRPr="00EE5378">
        <w:rPr>
          <w:rFonts w:ascii="Verdana" w:eastAsia="Calibri" w:hAnsi="Verdana" w:cs="Arial"/>
          <w:b/>
          <w:bCs/>
          <w:lang w:val="es-ES" w:eastAsia="es-ES"/>
        </w:rPr>
        <w:t xml:space="preserve"> – </w:t>
      </w:r>
      <w:r w:rsidR="00085A10" w:rsidRPr="00EE5378">
        <w:rPr>
          <w:rFonts w:ascii="Verdana" w:eastAsia="Calibri" w:hAnsi="Verdana" w:cs="Arial"/>
          <w:b/>
          <w:bCs/>
          <w:lang w:val="es-ES" w:eastAsia="es-ES"/>
        </w:rPr>
        <w:t>Recursos del Sistema General de Participaciones -</w:t>
      </w:r>
      <w:r w:rsidR="005B421E" w:rsidRPr="00EE5378">
        <w:rPr>
          <w:rFonts w:ascii="Verdana" w:eastAsia="Calibri" w:hAnsi="Verdana" w:cs="Arial"/>
          <w:b/>
          <w:bCs/>
          <w:lang w:val="es-ES" w:eastAsia="es-ES"/>
        </w:rPr>
        <w:t xml:space="preserve">SGP - </w:t>
      </w:r>
    </w:p>
    <w:p w14:paraId="64D60E25" w14:textId="41978C37" w:rsidR="008F5F8A" w:rsidRPr="00EE5378" w:rsidRDefault="008F5F8A" w:rsidP="003031C7">
      <w:pPr>
        <w:spacing w:line="240" w:lineRule="auto"/>
        <w:jc w:val="both"/>
        <w:rPr>
          <w:rFonts w:ascii="Verdana" w:eastAsia="Calibri" w:hAnsi="Verdana" w:cs="Arial"/>
          <w:sz w:val="20"/>
          <w:szCs w:val="20"/>
        </w:rPr>
      </w:pPr>
      <w:r w:rsidRPr="00EE5378">
        <w:rPr>
          <w:rFonts w:ascii="Verdana" w:eastAsia="Calibri" w:hAnsi="Verdana" w:cs="Arial"/>
          <w:sz w:val="20"/>
          <w:szCs w:val="20"/>
        </w:rPr>
        <w:t>[…] 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p>
    <w:p w14:paraId="44EB8224" w14:textId="77777777" w:rsidR="007A37F2" w:rsidRPr="00EE5378" w:rsidRDefault="007A37F2" w:rsidP="003031C7">
      <w:pPr>
        <w:spacing w:after="240"/>
        <w:jc w:val="both"/>
        <w:rPr>
          <w:rFonts w:ascii="Verdana" w:eastAsia="Calibri" w:hAnsi="Verdana" w:cs="Arial"/>
          <w:b/>
          <w:bCs/>
          <w:lang w:eastAsia="es-ES"/>
        </w:rPr>
      </w:pPr>
      <w:r w:rsidRPr="00EE5378">
        <w:rPr>
          <w:rFonts w:ascii="Verdana" w:eastAsia="Calibri" w:hAnsi="Verdana" w:cs="Arial"/>
          <w:b/>
          <w:bCs/>
          <w:lang w:eastAsia="es-ES"/>
        </w:rPr>
        <w:t xml:space="preserve">DEBER DE PUBLICIDAD – Democracia – Estado social de Derecho </w:t>
      </w:r>
    </w:p>
    <w:p w14:paraId="1365D18D" w14:textId="6EF9E8FD" w:rsidR="00931898" w:rsidRPr="00EE5378" w:rsidRDefault="00931898" w:rsidP="00931898">
      <w:pPr>
        <w:spacing w:after="0" w:line="240" w:lineRule="auto"/>
        <w:jc w:val="both"/>
        <w:rPr>
          <w:rFonts w:ascii="Verdana" w:eastAsia="Geomanist Light" w:hAnsi="Verdana" w:cs="Arial"/>
          <w:color w:val="000000" w:themeColor="text1"/>
          <w:sz w:val="20"/>
          <w:szCs w:val="20"/>
        </w:rPr>
      </w:pPr>
      <w:r w:rsidRPr="00EE5378">
        <w:rPr>
          <w:rFonts w:ascii="Verdana" w:eastAsia="Calibri" w:hAnsi="Verdana" w:cs="Arial"/>
          <w:sz w:val="20"/>
          <w:szCs w:val="20"/>
        </w:rPr>
        <w:t xml:space="preserve">[…] </w:t>
      </w:r>
      <w:r w:rsidRPr="00EE5378">
        <w:rPr>
          <w:rFonts w:ascii="Verdana" w:eastAsia="Geomanist Light" w:hAnsi="Verdana" w:cs="Arial"/>
          <w:color w:val="000000" w:themeColor="text1"/>
          <w:sz w:val="20"/>
          <w:szCs w:val="20"/>
        </w:rPr>
        <w:t xml:space="preserve">Uno de los postulados más importantes de un Estado Social y Democrático de Derecho es el principio de publicidad, pues este permite que las actuaciones de las autoridades gocen de visibilidad.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artículo 74, que consagra la garantía de acceso a los documentos públicos que no gocen de reserva –y esta, además, es excepcional, pues solo procede si existe causal constitucional o legal expresa–. </w:t>
      </w:r>
      <w:r w:rsidRPr="00EE5378">
        <w:rPr>
          <w:rFonts w:ascii="Verdana" w:eastAsia="Calibri" w:hAnsi="Verdana" w:cs="Arial"/>
          <w:sz w:val="20"/>
          <w:szCs w:val="20"/>
        </w:rPr>
        <w:t>[…]</w:t>
      </w:r>
    </w:p>
    <w:p w14:paraId="2135120B" w14:textId="77777777" w:rsidR="007A37F2" w:rsidRPr="00EE5378" w:rsidRDefault="007A37F2" w:rsidP="007A37F2">
      <w:pPr>
        <w:spacing w:after="0"/>
        <w:jc w:val="both"/>
        <w:rPr>
          <w:rFonts w:ascii="Verdana" w:eastAsia="Calibri" w:hAnsi="Verdana" w:cs="Arial"/>
          <w:b/>
          <w:bCs/>
          <w:highlight w:val="cyan"/>
          <w:lang w:eastAsia="es-ES"/>
        </w:rPr>
      </w:pPr>
    </w:p>
    <w:p w14:paraId="649D0A52" w14:textId="19EC819D" w:rsidR="009A14BE" w:rsidRPr="00EE5378" w:rsidRDefault="007A37F2" w:rsidP="00B56C5E">
      <w:pPr>
        <w:spacing w:after="120"/>
        <w:jc w:val="both"/>
        <w:rPr>
          <w:rFonts w:ascii="Verdana" w:hAnsi="Verdana"/>
        </w:rPr>
      </w:pPr>
      <w:r w:rsidRPr="00EE5378">
        <w:rPr>
          <w:rFonts w:ascii="Verdana" w:eastAsia="Calibri" w:hAnsi="Verdana" w:cs="Arial"/>
          <w:b/>
          <w:bCs/>
          <w:lang w:eastAsia="es-ES"/>
        </w:rPr>
        <w:t>SECOP I y II – Principio de Publicidad y Transparencia.</w:t>
      </w:r>
    </w:p>
    <w:p w14:paraId="3109E51F" w14:textId="190D6955" w:rsidR="00B56C5E" w:rsidRPr="00EE5378" w:rsidRDefault="00B56C5E" w:rsidP="00B56C5E">
      <w:pPr>
        <w:spacing w:after="0" w:line="240" w:lineRule="auto"/>
        <w:jc w:val="both"/>
        <w:rPr>
          <w:rFonts w:ascii="Verdana" w:eastAsia="Geomanist Light" w:hAnsi="Verdana" w:cs="Arial"/>
          <w:color w:val="000000" w:themeColor="text1"/>
          <w:sz w:val="20"/>
          <w:szCs w:val="20"/>
        </w:rPr>
      </w:pPr>
      <w:r w:rsidRPr="00EE5378">
        <w:rPr>
          <w:rFonts w:ascii="Verdana" w:eastAsia="Calibri" w:hAnsi="Verdana" w:cs="Arial"/>
          <w:sz w:val="20"/>
          <w:szCs w:val="20"/>
        </w:rPr>
        <w:t>[…]</w:t>
      </w:r>
      <w:r w:rsidR="00F0604C" w:rsidRPr="00EE5378">
        <w:rPr>
          <w:rFonts w:ascii="Verdana" w:eastAsia="Calibri" w:hAnsi="Verdana" w:cs="Arial"/>
          <w:sz w:val="20"/>
          <w:szCs w:val="20"/>
        </w:rPr>
        <w:t xml:space="preserve"> </w:t>
      </w:r>
      <w:r w:rsidRPr="00EE5378">
        <w:rPr>
          <w:rFonts w:ascii="Verdana" w:eastAsia="Geomanist Light" w:hAnsi="Verdana" w:cs="Arial"/>
          <w:color w:val="000000" w:themeColor="text1"/>
          <w:sz w:val="20"/>
          <w:szCs w:val="20"/>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p>
    <w:p w14:paraId="47BBFE0D" w14:textId="77777777" w:rsidR="00B56C5E" w:rsidRPr="00EE5378" w:rsidRDefault="00B56C5E" w:rsidP="00B56C5E">
      <w:pPr>
        <w:spacing w:after="0" w:line="240" w:lineRule="auto"/>
        <w:jc w:val="both"/>
        <w:rPr>
          <w:rFonts w:ascii="Verdana" w:eastAsia="Geomanist Light" w:hAnsi="Verdana" w:cs="Arial"/>
          <w:color w:val="000000" w:themeColor="text1"/>
          <w:sz w:val="20"/>
          <w:szCs w:val="20"/>
        </w:rPr>
      </w:pPr>
    </w:p>
    <w:p w14:paraId="63A7A16A" w14:textId="77777777" w:rsidR="00B56C5E" w:rsidRPr="00EE5378" w:rsidRDefault="00B56C5E" w:rsidP="00B56C5E">
      <w:pPr>
        <w:spacing w:after="0" w:line="240" w:lineRule="auto"/>
        <w:jc w:val="both"/>
        <w:rPr>
          <w:rFonts w:ascii="Verdana" w:eastAsia="Geomanist Light" w:hAnsi="Verdana" w:cs="Arial"/>
          <w:color w:val="000000" w:themeColor="text1"/>
          <w:sz w:val="20"/>
          <w:szCs w:val="20"/>
        </w:rPr>
      </w:pPr>
      <w:r w:rsidRPr="00EE5378">
        <w:rPr>
          <w:rFonts w:ascii="Verdana" w:eastAsia="Geomanist Light" w:hAnsi="Verdana" w:cs="Arial"/>
          <w:color w:val="000000" w:themeColor="text1"/>
          <w:sz w:val="20"/>
          <w:szCs w:val="20"/>
        </w:rPr>
        <w:lastRenderedPageBreak/>
        <w:t>Asimismo, de acuerdo con el literal g) del artículo 11 de la Ley 1712 de 2014,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w:t>
      </w:r>
    </w:p>
    <w:p w14:paraId="59538B55" w14:textId="77777777" w:rsidR="009A14BE" w:rsidRPr="00EE5378" w:rsidRDefault="009A14BE" w:rsidP="30821638">
      <w:pPr>
        <w:spacing w:after="0"/>
        <w:rPr>
          <w:rFonts w:ascii="Verdana" w:eastAsia="Verdana" w:hAnsi="Verdana" w:cs="Verdana"/>
        </w:rPr>
      </w:pPr>
    </w:p>
    <w:p w14:paraId="4789E783" w14:textId="77777777" w:rsidR="009A14BE" w:rsidRPr="00EE5378" w:rsidRDefault="009A14BE" w:rsidP="30821638">
      <w:pPr>
        <w:spacing w:after="0"/>
        <w:rPr>
          <w:rFonts w:ascii="Verdana" w:eastAsia="Verdana" w:hAnsi="Verdana" w:cs="Verdana"/>
        </w:rPr>
      </w:pPr>
    </w:p>
    <w:p w14:paraId="1C64D6FB" w14:textId="77777777" w:rsidR="009A14BE" w:rsidRPr="00EE5378" w:rsidRDefault="009A14BE" w:rsidP="30821638">
      <w:pPr>
        <w:spacing w:after="0"/>
        <w:rPr>
          <w:rFonts w:ascii="Verdana" w:eastAsia="Verdana" w:hAnsi="Verdana" w:cs="Verdana"/>
        </w:rPr>
      </w:pPr>
    </w:p>
    <w:p w14:paraId="053B6981" w14:textId="77777777" w:rsidR="009A14BE" w:rsidRPr="00EE5378" w:rsidRDefault="009A14BE" w:rsidP="30821638">
      <w:pPr>
        <w:spacing w:after="0"/>
        <w:rPr>
          <w:rFonts w:ascii="Verdana" w:eastAsia="Verdana" w:hAnsi="Verdana" w:cs="Verdana"/>
        </w:rPr>
      </w:pPr>
    </w:p>
    <w:p w14:paraId="5A651291" w14:textId="77777777" w:rsidR="00CD71B9" w:rsidRPr="00EE5378" w:rsidRDefault="00CD71B9" w:rsidP="30821638">
      <w:pPr>
        <w:spacing w:after="0"/>
        <w:rPr>
          <w:rFonts w:ascii="Verdana" w:eastAsia="Verdana" w:hAnsi="Verdana" w:cs="Verdana"/>
        </w:rPr>
      </w:pPr>
    </w:p>
    <w:p w14:paraId="1F75924F" w14:textId="77777777" w:rsidR="00CD71B9" w:rsidRPr="00EE5378" w:rsidRDefault="00CD71B9" w:rsidP="30821638">
      <w:pPr>
        <w:spacing w:after="0"/>
        <w:rPr>
          <w:rFonts w:ascii="Verdana" w:eastAsia="Verdana" w:hAnsi="Verdana" w:cs="Verdana"/>
        </w:rPr>
      </w:pPr>
    </w:p>
    <w:p w14:paraId="052618F0" w14:textId="77777777" w:rsidR="00CD71B9" w:rsidRPr="00EE5378" w:rsidRDefault="00CD71B9" w:rsidP="30821638">
      <w:pPr>
        <w:spacing w:after="0"/>
        <w:rPr>
          <w:rFonts w:ascii="Verdana" w:eastAsia="Verdana" w:hAnsi="Verdana" w:cs="Verdana"/>
        </w:rPr>
      </w:pPr>
    </w:p>
    <w:p w14:paraId="481860C6" w14:textId="77777777" w:rsidR="00CD71B9" w:rsidRPr="00EE5378" w:rsidRDefault="00CD71B9" w:rsidP="30821638">
      <w:pPr>
        <w:spacing w:after="0"/>
        <w:rPr>
          <w:rFonts w:ascii="Verdana" w:eastAsia="Verdana" w:hAnsi="Verdana" w:cs="Verdana"/>
        </w:rPr>
      </w:pPr>
    </w:p>
    <w:p w14:paraId="04104039" w14:textId="77777777" w:rsidR="00CD71B9" w:rsidRPr="00EE5378" w:rsidRDefault="00CD71B9" w:rsidP="30821638">
      <w:pPr>
        <w:spacing w:after="0"/>
        <w:rPr>
          <w:rFonts w:ascii="Verdana" w:eastAsia="Verdana" w:hAnsi="Verdana" w:cs="Verdana"/>
        </w:rPr>
      </w:pPr>
    </w:p>
    <w:p w14:paraId="0AE48D06" w14:textId="77777777" w:rsidR="00CD71B9" w:rsidRPr="00EE5378" w:rsidRDefault="00CD71B9" w:rsidP="30821638">
      <w:pPr>
        <w:spacing w:after="0"/>
        <w:rPr>
          <w:rFonts w:ascii="Verdana" w:eastAsia="Verdana" w:hAnsi="Verdana" w:cs="Verdana"/>
        </w:rPr>
      </w:pPr>
    </w:p>
    <w:p w14:paraId="7007CC52" w14:textId="77777777" w:rsidR="00CD71B9" w:rsidRPr="00EE5378" w:rsidRDefault="00CD71B9" w:rsidP="30821638">
      <w:pPr>
        <w:spacing w:after="0"/>
        <w:rPr>
          <w:rFonts w:ascii="Verdana" w:eastAsia="Verdana" w:hAnsi="Verdana" w:cs="Verdana"/>
        </w:rPr>
      </w:pPr>
    </w:p>
    <w:p w14:paraId="1FF39306" w14:textId="77777777" w:rsidR="00CD71B9" w:rsidRPr="00EE5378" w:rsidRDefault="00CD71B9" w:rsidP="30821638">
      <w:pPr>
        <w:spacing w:after="0"/>
        <w:rPr>
          <w:rFonts w:ascii="Verdana" w:eastAsia="Verdana" w:hAnsi="Verdana" w:cs="Verdana"/>
        </w:rPr>
      </w:pPr>
    </w:p>
    <w:p w14:paraId="0B8EF353" w14:textId="77777777" w:rsidR="00CD71B9" w:rsidRPr="00EE5378" w:rsidRDefault="00CD71B9" w:rsidP="30821638">
      <w:pPr>
        <w:spacing w:after="0"/>
        <w:rPr>
          <w:rFonts w:ascii="Verdana" w:eastAsia="Verdana" w:hAnsi="Verdana" w:cs="Verdana"/>
        </w:rPr>
      </w:pPr>
    </w:p>
    <w:p w14:paraId="42757070" w14:textId="77777777" w:rsidR="000C2CCF" w:rsidRPr="00EE5378" w:rsidRDefault="000C2CCF" w:rsidP="30821638">
      <w:pPr>
        <w:spacing w:after="0"/>
        <w:rPr>
          <w:rFonts w:ascii="Verdana" w:eastAsia="Verdana" w:hAnsi="Verdana" w:cs="Verdana"/>
        </w:rPr>
      </w:pPr>
    </w:p>
    <w:p w14:paraId="6803403C" w14:textId="77777777" w:rsidR="000C2CCF" w:rsidRPr="00EE5378" w:rsidRDefault="000C2CCF" w:rsidP="30821638">
      <w:pPr>
        <w:spacing w:after="0"/>
        <w:rPr>
          <w:rFonts w:ascii="Verdana" w:eastAsia="Verdana" w:hAnsi="Verdana" w:cs="Verdana"/>
        </w:rPr>
      </w:pPr>
    </w:p>
    <w:p w14:paraId="1B3010BA" w14:textId="77777777" w:rsidR="00CD71B9" w:rsidRPr="00EE5378" w:rsidRDefault="00CD71B9" w:rsidP="30821638">
      <w:pPr>
        <w:spacing w:after="0"/>
        <w:rPr>
          <w:rFonts w:ascii="Verdana" w:eastAsia="Verdana" w:hAnsi="Verdana" w:cs="Verdana"/>
        </w:rPr>
      </w:pPr>
    </w:p>
    <w:p w14:paraId="5D01494E" w14:textId="77777777" w:rsidR="009A14BE" w:rsidRPr="00EE5378" w:rsidRDefault="009A14BE" w:rsidP="30821638">
      <w:pPr>
        <w:spacing w:after="0"/>
        <w:rPr>
          <w:rFonts w:ascii="Verdana" w:eastAsia="Verdana" w:hAnsi="Verdana" w:cs="Verdana"/>
        </w:rPr>
      </w:pPr>
    </w:p>
    <w:p w14:paraId="4E57C9BB" w14:textId="77777777" w:rsidR="00F0604C" w:rsidRPr="00EE5378" w:rsidRDefault="00F0604C" w:rsidP="30821638">
      <w:pPr>
        <w:spacing w:after="0"/>
        <w:rPr>
          <w:rFonts w:ascii="Verdana" w:eastAsia="Verdana" w:hAnsi="Verdana" w:cs="Verdana"/>
        </w:rPr>
      </w:pPr>
    </w:p>
    <w:p w14:paraId="5643B103" w14:textId="77777777" w:rsidR="00F0604C" w:rsidRPr="00EE5378" w:rsidRDefault="00F0604C" w:rsidP="30821638">
      <w:pPr>
        <w:spacing w:after="0"/>
        <w:rPr>
          <w:rFonts w:ascii="Verdana" w:eastAsia="Verdana" w:hAnsi="Verdana" w:cs="Verdana"/>
        </w:rPr>
      </w:pPr>
    </w:p>
    <w:p w14:paraId="2BA75691" w14:textId="77777777" w:rsidR="00F0604C" w:rsidRPr="00EE5378" w:rsidRDefault="00F0604C" w:rsidP="30821638">
      <w:pPr>
        <w:spacing w:after="0"/>
        <w:rPr>
          <w:rFonts w:ascii="Verdana" w:eastAsia="Verdana" w:hAnsi="Verdana" w:cs="Verdana"/>
        </w:rPr>
      </w:pPr>
    </w:p>
    <w:p w14:paraId="10A904BC" w14:textId="77777777" w:rsidR="00F0604C" w:rsidRPr="00EE5378" w:rsidRDefault="00F0604C" w:rsidP="30821638">
      <w:pPr>
        <w:spacing w:after="0"/>
        <w:rPr>
          <w:rFonts w:ascii="Verdana" w:eastAsia="Verdana" w:hAnsi="Verdana" w:cs="Verdana"/>
        </w:rPr>
      </w:pPr>
    </w:p>
    <w:p w14:paraId="65944445" w14:textId="77777777" w:rsidR="00F0604C" w:rsidRPr="00EE5378" w:rsidRDefault="00F0604C" w:rsidP="30821638">
      <w:pPr>
        <w:spacing w:after="0"/>
        <w:rPr>
          <w:rFonts w:ascii="Verdana" w:eastAsia="Verdana" w:hAnsi="Verdana" w:cs="Verdana"/>
        </w:rPr>
      </w:pPr>
    </w:p>
    <w:p w14:paraId="581CE128" w14:textId="77777777" w:rsidR="00F0604C" w:rsidRPr="00EE5378" w:rsidRDefault="00F0604C" w:rsidP="30821638">
      <w:pPr>
        <w:spacing w:after="0"/>
        <w:rPr>
          <w:rFonts w:ascii="Verdana" w:eastAsia="Verdana" w:hAnsi="Verdana" w:cs="Verdana"/>
        </w:rPr>
      </w:pPr>
    </w:p>
    <w:p w14:paraId="20BB41EC" w14:textId="77777777" w:rsidR="00F0604C" w:rsidRPr="00EE5378" w:rsidRDefault="00F0604C" w:rsidP="30821638">
      <w:pPr>
        <w:spacing w:after="0"/>
        <w:rPr>
          <w:rFonts w:ascii="Verdana" w:eastAsia="Verdana" w:hAnsi="Verdana" w:cs="Verdana"/>
        </w:rPr>
      </w:pPr>
    </w:p>
    <w:p w14:paraId="1153056D" w14:textId="77777777" w:rsidR="00F0604C" w:rsidRPr="00EE5378" w:rsidRDefault="00F0604C" w:rsidP="30821638">
      <w:pPr>
        <w:spacing w:after="0"/>
        <w:rPr>
          <w:rFonts w:ascii="Verdana" w:eastAsia="Verdana" w:hAnsi="Verdana" w:cs="Verdana"/>
        </w:rPr>
      </w:pPr>
    </w:p>
    <w:p w14:paraId="66B77B35" w14:textId="77777777" w:rsidR="00F0604C" w:rsidRPr="00EE5378" w:rsidRDefault="00F0604C" w:rsidP="30821638">
      <w:pPr>
        <w:spacing w:after="0"/>
        <w:rPr>
          <w:rFonts w:ascii="Verdana" w:eastAsia="Verdana" w:hAnsi="Verdana" w:cs="Verdana"/>
        </w:rPr>
      </w:pPr>
    </w:p>
    <w:p w14:paraId="6A312A48" w14:textId="77777777" w:rsidR="00F0604C" w:rsidRPr="00EE5378" w:rsidRDefault="00F0604C" w:rsidP="30821638">
      <w:pPr>
        <w:spacing w:after="0"/>
        <w:rPr>
          <w:rFonts w:ascii="Verdana" w:eastAsia="Verdana" w:hAnsi="Verdana" w:cs="Verdana"/>
        </w:rPr>
      </w:pPr>
    </w:p>
    <w:p w14:paraId="7D0C3A74" w14:textId="77777777" w:rsidR="00F0604C" w:rsidRPr="00EE5378" w:rsidRDefault="00F0604C" w:rsidP="30821638">
      <w:pPr>
        <w:spacing w:after="0"/>
        <w:rPr>
          <w:rFonts w:ascii="Verdana" w:eastAsia="Verdana" w:hAnsi="Verdana" w:cs="Verdana"/>
        </w:rPr>
      </w:pPr>
    </w:p>
    <w:p w14:paraId="71D93433" w14:textId="77777777" w:rsidR="00F0604C" w:rsidRPr="00EE5378" w:rsidRDefault="00F0604C" w:rsidP="30821638">
      <w:pPr>
        <w:spacing w:after="0"/>
        <w:rPr>
          <w:rFonts w:ascii="Verdana" w:eastAsia="Verdana" w:hAnsi="Verdana" w:cs="Verdana"/>
        </w:rPr>
      </w:pPr>
    </w:p>
    <w:p w14:paraId="60545769" w14:textId="77777777" w:rsidR="00F0604C" w:rsidRPr="00EE5378" w:rsidRDefault="00F0604C" w:rsidP="30821638">
      <w:pPr>
        <w:spacing w:after="0"/>
        <w:rPr>
          <w:rFonts w:ascii="Verdana" w:eastAsia="Verdana" w:hAnsi="Verdana" w:cs="Verdana"/>
        </w:rPr>
      </w:pPr>
    </w:p>
    <w:p w14:paraId="0A3D8DBF" w14:textId="77777777" w:rsidR="00C2156C" w:rsidRPr="00EE5378" w:rsidRDefault="00C2156C" w:rsidP="30821638">
      <w:pPr>
        <w:spacing w:after="0"/>
        <w:rPr>
          <w:rFonts w:ascii="Verdana" w:eastAsia="Verdana" w:hAnsi="Verdana" w:cs="Verdana"/>
        </w:rPr>
      </w:pPr>
    </w:p>
    <w:p w14:paraId="2153813D" w14:textId="77777777" w:rsidR="00E129B8" w:rsidRPr="00EE5378" w:rsidRDefault="00E129B8" w:rsidP="30821638">
      <w:pPr>
        <w:spacing w:after="0"/>
        <w:rPr>
          <w:rFonts w:ascii="Verdana" w:eastAsia="Verdana" w:hAnsi="Verdana" w:cs="Verdana"/>
        </w:rPr>
      </w:pPr>
    </w:p>
    <w:p w14:paraId="422D0778" w14:textId="77777777" w:rsidR="00E129B8" w:rsidRPr="00EE5378" w:rsidRDefault="00E129B8" w:rsidP="30821638">
      <w:pPr>
        <w:spacing w:after="0"/>
        <w:rPr>
          <w:rFonts w:ascii="Verdana" w:eastAsia="Verdana" w:hAnsi="Verdana" w:cs="Verdana"/>
        </w:rPr>
      </w:pPr>
    </w:p>
    <w:p w14:paraId="05C0BBB6" w14:textId="77777777" w:rsidR="00F0604C" w:rsidRPr="00EE5378" w:rsidRDefault="00F0604C" w:rsidP="30821638">
      <w:pPr>
        <w:spacing w:after="0"/>
        <w:rPr>
          <w:rFonts w:ascii="Verdana" w:eastAsia="Verdana" w:hAnsi="Verdana" w:cs="Verdana"/>
        </w:rPr>
      </w:pPr>
    </w:p>
    <w:p w14:paraId="0FEBFD4D" w14:textId="77777777" w:rsidR="00C2156C" w:rsidRPr="00EE5378" w:rsidRDefault="00C15139" w:rsidP="30821638">
      <w:pPr>
        <w:spacing w:after="0"/>
        <w:rPr>
          <w:rFonts w:ascii="Verdana" w:eastAsia="Verdana" w:hAnsi="Verdana" w:cs="Verdana"/>
        </w:rPr>
      </w:pPr>
      <w:r w:rsidRPr="00EE5378">
        <w:rPr>
          <w:rFonts w:ascii="Verdana" w:eastAsia="Verdana" w:hAnsi="Verdana" w:cs="Verdana"/>
        </w:rPr>
        <w:lastRenderedPageBreak/>
        <w:t xml:space="preserve">Bogotá D.C., </w:t>
      </w:r>
      <w:r w:rsidR="00C2156C" w:rsidRPr="00EE5378">
        <w:rPr>
          <w:rFonts w:ascii="Verdana" w:eastAsia="Verdana" w:hAnsi="Verdana" w:cs="Verdana"/>
        </w:rPr>
        <w:t>18 de junio del 2026</w:t>
      </w:r>
    </w:p>
    <w:p w14:paraId="1468C46D" w14:textId="0CBD63D1" w:rsidR="00C15139" w:rsidRPr="00EE5378" w:rsidRDefault="00AE2FB7" w:rsidP="00AE2FB7">
      <w:pPr>
        <w:spacing w:after="0"/>
        <w:jc w:val="right"/>
        <w:rPr>
          <w:rFonts w:ascii="Verdana" w:eastAsia="Verdana" w:hAnsi="Verdana" w:cs="Verdana"/>
        </w:rPr>
      </w:pPr>
      <w:r w:rsidRPr="00EE5378">
        <w:rPr>
          <w:rFonts w:ascii="Verdana" w:eastAsia="Verdana" w:hAnsi="Verdana" w:cs="Verdana"/>
        </w:rPr>
        <w:drawing>
          <wp:inline distT="0" distB="0" distL="0" distR="0" wp14:anchorId="58AAF668" wp14:editId="74833247">
            <wp:extent cx="2618740" cy="838200"/>
            <wp:effectExtent l="0" t="0" r="0" b="0"/>
            <wp:docPr id="25631071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310713" name=""/>
                    <pic:cNvPicPr/>
                  </pic:nvPicPr>
                  <pic:blipFill>
                    <a:blip r:embed="rId11"/>
                    <a:stretch>
                      <a:fillRect/>
                    </a:stretch>
                  </pic:blipFill>
                  <pic:spPr>
                    <a:xfrm>
                      <a:off x="0" y="0"/>
                      <a:ext cx="2624345" cy="839994"/>
                    </a:xfrm>
                    <a:prstGeom prst="rect">
                      <a:avLst/>
                    </a:prstGeom>
                  </pic:spPr>
                </pic:pic>
              </a:graphicData>
            </a:graphic>
          </wp:inline>
        </w:drawing>
      </w:r>
    </w:p>
    <w:p w14:paraId="5660F0BA" w14:textId="015D0DD5" w:rsidR="00EC0674" w:rsidRPr="00EE5378" w:rsidRDefault="00EC0674" w:rsidP="00EC0674">
      <w:pPr>
        <w:spacing w:after="0"/>
        <w:rPr>
          <w:rFonts w:ascii="Verdana" w:hAnsi="Verdana"/>
        </w:rPr>
      </w:pPr>
      <w:r w:rsidRPr="00EE5378">
        <w:rPr>
          <w:rFonts w:ascii="Verdana" w:eastAsia="Calibri" w:hAnsi="Verdana" w:cs="Arial"/>
          <w:color w:val="000000" w:themeColor="text1"/>
          <w:lang w:eastAsia="es-ES"/>
        </w:rPr>
        <w:t>Señor</w:t>
      </w:r>
      <w:r w:rsidR="00E5731D" w:rsidRPr="00EE5378">
        <w:rPr>
          <w:rFonts w:ascii="Verdana" w:eastAsia="Calibri" w:hAnsi="Verdana" w:cs="Arial"/>
          <w:color w:val="000000" w:themeColor="text1"/>
          <w:lang w:eastAsia="es-ES"/>
        </w:rPr>
        <w:t>a</w:t>
      </w:r>
      <w:r w:rsidRPr="00EE5378">
        <w:rPr>
          <w:rFonts w:ascii="Verdana" w:eastAsia="Calibri" w:hAnsi="Verdana" w:cs="Arial"/>
          <w:color w:val="000000" w:themeColor="text1"/>
          <w:lang w:eastAsia="es-ES"/>
        </w:rPr>
        <w:t>:</w:t>
      </w:r>
    </w:p>
    <w:p w14:paraId="5FFFF3D3" w14:textId="04A7182A" w:rsidR="00EC0674" w:rsidRPr="00EE5378" w:rsidRDefault="00E5731D" w:rsidP="00EC0674">
      <w:pPr>
        <w:spacing w:after="0" w:line="240" w:lineRule="auto"/>
        <w:jc w:val="both"/>
        <w:rPr>
          <w:rFonts w:ascii="Verdana" w:eastAsia="Calibri" w:hAnsi="Verdana" w:cs="Arial"/>
          <w:b/>
          <w:bCs/>
          <w:color w:val="000000" w:themeColor="text1"/>
          <w:lang w:eastAsia="es-ES"/>
        </w:rPr>
      </w:pPr>
      <w:r w:rsidRPr="00EE5378">
        <w:rPr>
          <w:rFonts w:ascii="Verdana" w:eastAsia="Calibri" w:hAnsi="Verdana" w:cs="Arial"/>
          <w:b/>
          <w:bCs/>
          <w:color w:val="000000" w:themeColor="text1"/>
          <w:lang w:eastAsia="es-ES"/>
        </w:rPr>
        <w:t xml:space="preserve">Mónica Milena Almeciga Reyes </w:t>
      </w:r>
    </w:p>
    <w:p w14:paraId="273E06AD" w14:textId="23E99625" w:rsidR="00E5731D" w:rsidRPr="00EE5378" w:rsidRDefault="00E5731D" w:rsidP="00EC0674">
      <w:pPr>
        <w:spacing w:after="0" w:line="240" w:lineRule="auto"/>
        <w:rPr>
          <w:rFonts w:ascii="Verdana" w:hAnsi="Verdana"/>
        </w:rPr>
      </w:pPr>
      <w:hyperlink r:id="rId12" w:history="1">
        <w:r w:rsidRPr="00EE5378">
          <w:rPr>
            <w:rStyle w:val="Hipervnculo"/>
            <w:rFonts w:ascii="Verdana" w:hAnsi="Verdana"/>
          </w:rPr>
          <w:t>resguardosindigenas@amazonas.gov.co</w:t>
        </w:r>
      </w:hyperlink>
    </w:p>
    <w:p w14:paraId="37A7D41E" w14:textId="26124BAC" w:rsidR="00EC0674" w:rsidRPr="00EE5378" w:rsidRDefault="00E5731D" w:rsidP="00EC0674">
      <w:pPr>
        <w:spacing w:after="0" w:line="240" w:lineRule="auto"/>
        <w:rPr>
          <w:rFonts w:ascii="Verdana" w:eastAsia="Calibri" w:hAnsi="Verdana" w:cs="Arial"/>
          <w:b/>
          <w:bCs/>
          <w:color w:val="000000" w:themeColor="text1"/>
          <w:lang w:val="es-ES_tradnl" w:eastAsia="es-ES"/>
        </w:rPr>
      </w:pPr>
      <w:r w:rsidRPr="00EE5378">
        <w:rPr>
          <w:rFonts w:ascii="Verdana" w:eastAsia="Calibri" w:hAnsi="Verdana" w:cs="Arial"/>
          <w:color w:val="000000" w:themeColor="text1"/>
          <w:lang w:val="es-ES_tradnl" w:eastAsia="es-ES"/>
        </w:rPr>
        <w:t xml:space="preserve">Amazonas </w:t>
      </w:r>
    </w:p>
    <w:p w14:paraId="4A200CB6" w14:textId="77777777" w:rsidR="00EC0674" w:rsidRPr="00EE5378" w:rsidRDefault="00EC0674" w:rsidP="00EC0674">
      <w:pPr>
        <w:spacing w:after="0" w:line="240" w:lineRule="auto"/>
        <w:rPr>
          <w:rFonts w:ascii="Verdana" w:eastAsia="Calibri" w:hAnsi="Verdana" w:cs="Arial"/>
          <w:b/>
          <w:bCs/>
          <w:color w:val="000000" w:themeColor="text1"/>
          <w:highlight w:val="cyan"/>
          <w:lang w:val="es-ES_tradnl" w:eastAsia="es-ES_tradnl"/>
        </w:rPr>
      </w:pPr>
    </w:p>
    <w:p w14:paraId="4A947B35" w14:textId="05AE3666" w:rsidR="00EC0674" w:rsidRPr="00EE5378" w:rsidRDefault="00EC0674" w:rsidP="00EC0674">
      <w:pPr>
        <w:spacing w:after="0" w:line="240" w:lineRule="auto"/>
        <w:rPr>
          <w:rFonts w:ascii="Verdana" w:eastAsia="Calibri" w:hAnsi="Verdana" w:cs="Arial"/>
          <w:b/>
          <w:bCs/>
          <w:color w:val="000000" w:themeColor="text1"/>
          <w:lang w:val="es-ES_tradnl" w:eastAsia="es-ES_tradnl"/>
        </w:rPr>
      </w:pPr>
      <w:r w:rsidRPr="00EE5378">
        <w:rPr>
          <w:rFonts w:ascii="Verdana" w:eastAsia="Calibri" w:hAnsi="Verdana" w:cs="Arial"/>
          <w:b/>
          <w:bCs/>
          <w:color w:val="000000" w:themeColor="text1"/>
          <w:lang w:val="es-ES_tradnl" w:eastAsia="es-ES_tradnl"/>
        </w:rPr>
        <w:t xml:space="preserve">                                   Concepto C-</w:t>
      </w:r>
      <w:r w:rsidR="004F2855" w:rsidRPr="00EE5378">
        <w:rPr>
          <w:rFonts w:ascii="Verdana" w:eastAsia="Calibri" w:hAnsi="Verdana" w:cs="Arial"/>
          <w:b/>
          <w:bCs/>
          <w:color w:val="000000" w:themeColor="text1"/>
          <w:lang w:val="es-ES_tradnl" w:eastAsia="es-ES_tradnl"/>
        </w:rPr>
        <w:t>938</w:t>
      </w:r>
      <w:r w:rsidRPr="00EE5378">
        <w:rPr>
          <w:rFonts w:ascii="Verdana" w:eastAsia="Calibri" w:hAnsi="Verdana" w:cs="Arial"/>
          <w:b/>
          <w:bCs/>
          <w:color w:val="000000" w:themeColor="text1"/>
          <w:lang w:val="es-ES_tradnl" w:eastAsia="es-ES_tradnl"/>
        </w:rPr>
        <w:t xml:space="preserve"> del 2026</w:t>
      </w:r>
    </w:p>
    <w:p w14:paraId="4A53DB65" w14:textId="77777777" w:rsidR="004F2855" w:rsidRPr="00EE5378" w:rsidRDefault="004F2855" w:rsidP="00EC0674">
      <w:pPr>
        <w:spacing w:after="0" w:line="240" w:lineRule="auto"/>
        <w:rPr>
          <w:rFonts w:ascii="Verdana" w:eastAsia="Calibri" w:hAnsi="Verdana" w:cs="Arial"/>
          <w:b/>
          <w:bCs/>
          <w:color w:val="000000" w:themeColor="text1"/>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C0674" w:rsidRPr="00EE5378" w14:paraId="19E0926C" w14:textId="77777777" w:rsidTr="00355861">
        <w:trPr>
          <w:trHeight w:val="884"/>
        </w:trPr>
        <w:tc>
          <w:tcPr>
            <w:tcW w:w="2689" w:type="dxa"/>
          </w:tcPr>
          <w:p w14:paraId="7044AB2D" w14:textId="77777777" w:rsidR="00EC0674" w:rsidRPr="00EE5378" w:rsidRDefault="00EC0674" w:rsidP="00355861">
            <w:pPr>
              <w:jc w:val="both"/>
              <w:rPr>
                <w:rFonts w:ascii="Verdana" w:eastAsia="Calibri" w:hAnsi="Verdana" w:cs="Arial"/>
                <w:color w:val="000000" w:themeColor="text1"/>
                <w:highlight w:val="cyan"/>
                <w:lang w:val="es-ES_tradnl" w:eastAsia="es-ES_tradnl"/>
              </w:rPr>
            </w:pPr>
            <w:r w:rsidRPr="00EE5378">
              <w:rPr>
                <w:rFonts w:ascii="Verdana" w:eastAsia="Calibri" w:hAnsi="Verdana" w:cs="Arial"/>
                <w:b/>
                <w:color w:val="000000" w:themeColor="text1"/>
                <w:lang w:val="es-ES_tradnl" w:eastAsia="es-ES_tradnl"/>
              </w:rPr>
              <w:t>Temas:</w:t>
            </w:r>
            <w:r w:rsidRPr="00EE5378">
              <w:rPr>
                <w:rFonts w:ascii="Verdana" w:eastAsia="Calibri" w:hAnsi="Verdana" w:cs="Arial"/>
                <w:color w:val="000000" w:themeColor="text1"/>
                <w:lang w:val="es-ES_tradnl" w:eastAsia="es-ES_tradnl"/>
              </w:rPr>
              <w:t xml:space="preserve">                   </w:t>
            </w:r>
          </w:p>
        </w:tc>
        <w:tc>
          <w:tcPr>
            <w:tcW w:w="6100" w:type="dxa"/>
          </w:tcPr>
          <w:p w14:paraId="0FEFA4E0" w14:textId="77777777" w:rsidR="00B04EC1" w:rsidRPr="00EE5378" w:rsidRDefault="00D62F82" w:rsidP="00355861">
            <w:pPr>
              <w:spacing w:line="276" w:lineRule="auto"/>
              <w:jc w:val="both"/>
              <w:rPr>
                <w:rFonts w:ascii="Verdana" w:eastAsia="Calibri" w:hAnsi="Verdana" w:cs="Arial"/>
                <w:lang w:val="es-ES" w:eastAsia="es-ES"/>
              </w:rPr>
            </w:pPr>
            <w:r w:rsidRPr="00EE5378">
              <w:rPr>
                <w:rFonts w:ascii="Verdana" w:eastAsia="Calibri" w:hAnsi="Verdana" w:cs="Arial"/>
                <w:lang w:val="es-ES" w:eastAsia="es-ES"/>
              </w:rPr>
              <w:t>RESGUARDOS INDÍGENAS – Administración de recursos del SGP – Entidades Estatales / RESGUARDOS INDÍGENAS – Contratos de administración / DEBER DE PUBLICIDAD – Democracia – Estado social de Derecho / SECOP I y II – Principio de Publicidad y Transparencia</w:t>
            </w:r>
          </w:p>
          <w:p w14:paraId="4910858F" w14:textId="5FC41D1B" w:rsidR="000C2CCF" w:rsidRPr="00EE5378" w:rsidRDefault="000C2CCF" w:rsidP="00355861">
            <w:pPr>
              <w:spacing w:line="276" w:lineRule="auto"/>
              <w:jc w:val="both"/>
              <w:rPr>
                <w:rFonts w:ascii="Verdana" w:hAnsi="Verdana" w:cs="Arial"/>
                <w:highlight w:val="cyan"/>
                <w:lang w:val="es-ES" w:eastAsia="es-ES_tradnl"/>
              </w:rPr>
            </w:pPr>
          </w:p>
        </w:tc>
      </w:tr>
      <w:tr w:rsidR="00EC0674" w:rsidRPr="00EE5378" w14:paraId="5BD588F7" w14:textId="77777777" w:rsidTr="00355861">
        <w:tc>
          <w:tcPr>
            <w:tcW w:w="2689" w:type="dxa"/>
          </w:tcPr>
          <w:p w14:paraId="575DFA0C" w14:textId="77777777" w:rsidR="00EC0674" w:rsidRPr="00EE5378" w:rsidRDefault="00EC0674" w:rsidP="00355861">
            <w:pPr>
              <w:jc w:val="both"/>
              <w:rPr>
                <w:rFonts w:ascii="Verdana" w:eastAsia="Calibri" w:hAnsi="Verdana" w:cs="Arial"/>
                <w:b/>
                <w:color w:val="000000" w:themeColor="text1"/>
                <w:lang w:val="es-ES_tradnl" w:eastAsia="es-ES_tradnl"/>
              </w:rPr>
            </w:pPr>
            <w:r w:rsidRPr="00EE5378">
              <w:rPr>
                <w:rFonts w:ascii="Verdana" w:eastAsia="Calibri" w:hAnsi="Verdana" w:cs="Arial"/>
                <w:b/>
                <w:color w:val="000000" w:themeColor="text1"/>
                <w:lang w:val="es-ES_tradnl" w:eastAsia="es-ES_tradnl"/>
              </w:rPr>
              <w:t>Radicación:</w:t>
            </w:r>
            <w:r w:rsidRPr="00EE5378">
              <w:rPr>
                <w:rFonts w:ascii="Verdana" w:eastAsia="Calibri" w:hAnsi="Verdana" w:cs="Arial"/>
                <w:color w:val="000000" w:themeColor="text1"/>
                <w:lang w:val="es-ES_tradnl" w:eastAsia="es-ES_tradnl"/>
              </w:rPr>
              <w:t xml:space="preserve">               </w:t>
            </w:r>
          </w:p>
        </w:tc>
        <w:tc>
          <w:tcPr>
            <w:tcW w:w="6100" w:type="dxa"/>
          </w:tcPr>
          <w:p w14:paraId="5902CF3F" w14:textId="77B48060" w:rsidR="0022224E" w:rsidRPr="00EE5378" w:rsidRDefault="00EC0674" w:rsidP="00355861">
            <w:pPr>
              <w:jc w:val="both"/>
              <w:rPr>
                <w:rFonts w:ascii="Verdana" w:eastAsia="Calibri" w:hAnsi="Verdana" w:cs="Arial"/>
                <w:color w:val="000000" w:themeColor="text1"/>
                <w:lang w:eastAsia="es-ES_tradnl"/>
              </w:rPr>
            </w:pPr>
            <w:r w:rsidRPr="00EE5378">
              <w:rPr>
                <w:rFonts w:ascii="Verdana" w:eastAsia="Calibri" w:hAnsi="Verdana" w:cs="Arial"/>
                <w:color w:val="000000" w:themeColor="text1"/>
                <w:lang w:val="es-ES_tradnl" w:eastAsia="es-ES_tradnl"/>
              </w:rPr>
              <w:t>Respuesta a consulta con radicado No.</w:t>
            </w:r>
            <w:r w:rsidRPr="00EE5378">
              <w:rPr>
                <w:rFonts w:ascii="Verdana" w:hAnsi="Verdana"/>
              </w:rPr>
              <w:t xml:space="preserve"> </w:t>
            </w:r>
            <w:r w:rsidR="0022224E" w:rsidRPr="00EE5378">
              <w:rPr>
                <w:rFonts w:ascii="Verdana" w:eastAsia="Calibri" w:hAnsi="Verdana" w:cs="Arial"/>
                <w:color w:val="000000" w:themeColor="text1"/>
                <w:lang w:eastAsia="es-ES_tradnl"/>
              </w:rPr>
              <w:t>1_2026_06_05_007712</w:t>
            </w:r>
          </w:p>
        </w:tc>
      </w:tr>
    </w:tbl>
    <w:p w14:paraId="7EA79788" w14:textId="77777777" w:rsidR="0022224E" w:rsidRPr="00EE5378" w:rsidRDefault="0022224E" w:rsidP="00EC0674">
      <w:pPr>
        <w:spacing w:after="0" w:line="276" w:lineRule="auto"/>
        <w:jc w:val="both"/>
        <w:rPr>
          <w:rFonts w:ascii="Verdana" w:eastAsia="Calibri" w:hAnsi="Verdana" w:cs="Arial"/>
          <w:color w:val="000000" w:themeColor="text1"/>
          <w:highlight w:val="cyan"/>
          <w:lang w:val="es-ES" w:eastAsia="es-ES"/>
        </w:rPr>
      </w:pPr>
    </w:p>
    <w:p w14:paraId="29F446D8" w14:textId="6E7DC377" w:rsidR="00EC0674" w:rsidRPr="00EE5378" w:rsidRDefault="00EC0674" w:rsidP="00EC0674">
      <w:pPr>
        <w:spacing w:after="0" w:line="276" w:lineRule="auto"/>
        <w:jc w:val="both"/>
        <w:rPr>
          <w:rFonts w:ascii="Verdana" w:eastAsia="Calibri" w:hAnsi="Verdana" w:cs="Arial"/>
          <w:color w:val="000000" w:themeColor="text1"/>
          <w:lang w:val="es-ES" w:eastAsia="es-ES"/>
        </w:rPr>
      </w:pPr>
      <w:r w:rsidRPr="00EE5378">
        <w:rPr>
          <w:rFonts w:ascii="Verdana" w:eastAsia="Calibri" w:hAnsi="Verdana" w:cs="Arial"/>
          <w:color w:val="000000" w:themeColor="text1"/>
          <w:lang w:val="es-ES" w:eastAsia="es-ES"/>
        </w:rPr>
        <w:t>Estimad</w:t>
      </w:r>
      <w:r w:rsidR="00C11996" w:rsidRPr="00EE5378">
        <w:rPr>
          <w:rFonts w:ascii="Verdana" w:eastAsia="Calibri" w:hAnsi="Verdana" w:cs="Arial"/>
          <w:color w:val="000000" w:themeColor="text1"/>
          <w:lang w:val="es-ES" w:eastAsia="es-ES"/>
        </w:rPr>
        <w:t>a</w:t>
      </w:r>
      <w:r w:rsidRPr="00EE5378">
        <w:rPr>
          <w:rFonts w:ascii="Verdana" w:eastAsia="Calibri" w:hAnsi="Verdana" w:cs="Arial"/>
          <w:color w:val="000000" w:themeColor="text1"/>
          <w:lang w:val="es-ES" w:eastAsia="es-ES"/>
        </w:rPr>
        <w:t xml:space="preserve"> Señor</w:t>
      </w:r>
      <w:r w:rsidR="00C11996" w:rsidRPr="00EE5378">
        <w:rPr>
          <w:rFonts w:ascii="Verdana" w:eastAsia="Calibri" w:hAnsi="Verdana" w:cs="Arial"/>
          <w:color w:val="000000" w:themeColor="text1"/>
          <w:lang w:val="es-ES" w:eastAsia="es-ES"/>
        </w:rPr>
        <w:t>a</w:t>
      </w:r>
      <w:r w:rsidRPr="00EE5378">
        <w:rPr>
          <w:rFonts w:ascii="Verdana" w:eastAsia="Calibri" w:hAnsi="Verdana" w:cs="Arial"/>
          <w:color w:val="000000" w:themeColor="text1"/>
          <w:lang w:val="es-ES" w:eastAsia="es-ES"/>
        </w:rPr>
        <w:t xml:space="preserve"> </w:t>
      </w:r>
      <w:r w:rsidR="00C11996" w:rsidRPr="00EE5378">
        <w:rPr>
          <w:rFonts w:ascii="Verdana" w:eastAsia="Calibri" w:hAnsi="Verdana" w:cs="Arial"/>
          <w:color w:val="000000" w:themeColor="text1"/>
          <w:lang w:val="es-ES" w:eastAsia="es-ES"/>
        </w:rPr>
        <w:t>Almeciga Reyes</w:t>
      </w:r>
      <w:r w:rsidRPr="00EE5378">
        <w:rPr>
          <w:rFonts w:ascii="Verdana" w:eastAsia="Calibri" w:hAnsi="Verdana" w:cs="Arial"/>
          <w:color w:val="000000" w:themeColor="text1"/>
          <w:lang w:val="es-ES" w:eastAsia="es-ES"/>
        </w:rPr>
        <w:t xml:space="preserve">: </w:t>
      </w:r>
    </w:p>
    <w:p w14:paraId="1B4EA184" w14:textId="77777777" w:rsidR="00EC0674" w:rsidRPr="00EE5378" w:rsidRDefault="00EC0674" w:rsidP="00EC0674">
      <w:pPr>
        <w:spacing w:after="0"/>
        <w:rPr>
          <w:rFonts w:ascii="Verdana" w:eastAsia="Times New Roman" w:hAnsi="Verdana" w:cs="Segoe UI"/>
          <w:highlight w:val="cyan"/>
          <w:lang w:eastAsia="es-CO"/>
        </w:rPr>
      </w:pPr>
    </w:p>
    <w:p w14:paraId="3296FEA6" w14:textId="2B3F0225" w:rsidR="00EC0674" w:rsidRPr="00EE5378" w:rsidRDefault="00EC0674" w:rsidP="00EC0674">
      <w:pPr>
        <w:spacing w:after="0" w:line="276" w:lineRule="auto"/>
        <w:jc w:val="both"/>
        <w:rPr>
          <w:rFonts w:ascii="Verdana" w:eastAsia="Calibri" w:hAnsi="Verdana" w:cs="Arial"/>
          <w:lang w:val="es-ES" w:eastAsia="es-ES"/>
        </w:rPr>
      </w:pPr>
      <w:r w:rsidRPr="00EE5378">
        <w:rPr>
          <w:rFonts w:ascii="Verdana" w:eastAsia="Calibri" w:hAnsi="Verdana" w:cs="Arial"/>
          <w:lang w:val="es-ES" w:eastAsia="es-ES"/>
        </w:rPr>
        <w:t>En ejercicio de la competencia otorgada por los artículos 3, numeral 5º, y 11, numeral 8º, del Decreto Ley 4170 de 2011,</w:t>
      </w:r>
      <w:r w:rsidRPr="00EE5378">
        <w:rPr>
          <w:rFonts w:ascii="Verdana" w:eastAsia="Arial MT" w:hAnsi="Verdana" w:cs="Arial"/>
          <w:lang w:val="es-ES" w:eastAsia="es-ES"/>
        </w:rPr>
        <w:t xml:space="preserve"> </w:t>
      </w:r>
      <w:r w:rsidRPr="00EE5378">
        <w:rPr>
          <w:rFonts w:ascii="Verdana" w:hAnsi="Verdana" w:cs="Arial"/>
        </w:rPr>
        <w:t xml:space="preserve">así como lo establecido en el artículo 4 de la Resolución 1707 de 2018 expedida por esta Entidad, </w:t>
      </w:r>
      <w:r w:rsidRPr="00EE5378">
        <w:rPr>
          <w:rFonts w:ascii="Verdana" w:eastAsia="Calibri" w:hAnsi="Verdana" w:cs="Arial"/>
          <w:lang w:val="es-ES" w:eastAsia="es-ES"/>
        </w:rPr>
        <w:t xml:space="preserve">la Agencia Nacional de Contratación Pública – Colombia Compra Eficiente– responde su solicitud del </w:t>
      </w:r>
      <w:r w:rsidR="00763C00" w:rsidRPr="00EE5378">
        <w:rPr>
          <w:rFonts w:ascii="Verdana" w:eastAsia="Calibri" w:hAnsi="Verdana" w:cs="Arial"/>
          <w:lang w:val="es-ES" w:eastAsia="es-ES"/>
        </w:rPr>
        <w:t>04 de junio del 2026</w:t>
      </w:r>
      <w:r w:rsidRPr="00EE5378">
        <w:rPr>
          <w:rFonts w:ascii="Verdana" w:eastAsia="Calibri" w:hAnsi="Verdana" w:cs="Arial"/>
          <w:lang w:val="es-ES" w:eastAsia="es-ES"/>
        </w:rPr>
        <w:t>,</w:t>
      </w:r>
      <w:r w:rsidR="00763C00" w:rsidRPr="00EE5378">
        <w:rPr>
          <w:rFonts w:ascii="Verdana" w:eastAsia="Calibri" w:hAnsi="Verdana" w:cs="Arial"/>
          <w:lang w:val="es-ES" w:eastAsia="es-ES"/>
        </w:rPr>
        <w:t xml:space="preserve"> </w:t>
      </w:r>
      <w:r w:rsidRPr="00EE5378">
        <w:rPr>
          <w:rFonts w:ascii="Verdana" w:eastAsia="Calibri" w:hAnsi="Verdana" w:cs="Arial"/>
          <w:lang w:val="es-ES" w:eastAsia="es-ES"/>
        </w:rPr>
        <w:t xml:space="preserve">en la cual manifiesta lo siguiente: </w:t>
      </w:r>
    </w:p>
    <w:p w14:paraId="65B3FAE6" w14:textId="77777777" w:rsidR="00EC0674" w:rsidRPr="00EE5378" w:rsidRDefault="00EC0674" w:rsidP="00EC0674">
      <w:pPr>
        <w:spacing w:after="0" w:line="276" w:lineRule="auto"/>
        <w:jc w:val="both"/>
        <w:rPr>
          <w:rFonts w:ascii="Verdana" w:eastAsia="Calibri" w:hAnsi="Verdana" w:cs="Arial"/>
          <w:highlight w:val="cyan"/>
          <w:lang w:val="es-ES" w:eastAsia="es-ES"/>
        </w:rPr>
      </w:pPr>
    </w:p>
    <w:p w14:paraId="674AF7CE" w14:textId="24D418E0" w:rsidR="00EC0674" w:rsidRPr="00EE5378" w:rsidRDefault="00EC0674" w:rsidP="002E7BF0">
      <w:pPr>
        <w:spacing w:after="0" w:line="240" w:lineRule="auto"/>
        <w:ind w:left="709" w:right="709"/>
        <w:jc w:val="both"/>
        <w:rPr>
          <w:rFonts w:ascii="Verdana" w:hAnsi="Verdana" w:cs="Arial"/>
          <w:sz w:val="20"/>
          <w:szCs w:val="20"/>
        </w:rPr>
      </w:pPr>
      <w:r w:rsidRPr="00EE5378">
        <w:rPr>
          <w:rFonts w:ascii="Verdana" w:eastAsia="Century Gothic" w:hAnsi="Verdana" w:cs="Arial"/>
          <w:sz w:val="20"/>
          <w:szCs w:val="20"/>
          <w:lang w:val="es-ES"/>
        </w:rPr>
        <w:t xml:space="preserve">“[…] </w:t>
      </w:r>
      <w:r w:rsidR="002E7BF0" w:rsidRPr="00EE5378">
        <w:rPr>
          <w:rFonts w:ascii="Verdana" w:eastAsia="Century Gothic" w:hAnsi="Verdana" w:cs="Arial"/>
          <w:sz w:val="20"/>
          <w:szCs w:val="20"/>
          <w:lang w:val="es-ES"/>
        </w:rPr>
        <w:t xml:space="preserve">Respetuosamente, solicito asistencia técnica con el fin de determinar si los contratos de administración que suscriben los resguardos indígenas para la ejecución y administración de los recursos del Sistema General de Participaciones (SGP) deben ser publicados y/o cargados en la plataforma SECOP II, de conformidad con la normatividad vigente aplicable. Agradezco su orientación sobre las obligaciones de publicidad y reporte que correspondan a este tipo de contratos. </w:t>
      </w:r>
      <w:r w:rsidRPr="00EE5378">
        <w:rPr>
          <w:rFonts w:ascii="Verdana" w:eastAsia="Century Gothic" w:hAnsi="Verdana" w:cs="Arial"/>
          <w:sz w:val="20"/>
          <w:szCs w:val="20"/>
          <w:lang w:val="es-ES"/>
        </w:rPr>
        <w:t>[…]”</w:t>
      </w:r>
    </w:p>
    <w:p w14:paraId="4211910C" w14:textId="77777777" w:rsidR="00EC0674" w:rsidRPr="00EE5378" w:rsidRDefault="00EC0674" w:rsidP="00EC0674">
      <w:pPr>
        <w:spacing w:after="0"/>
        <w:jc w:val="both"/>
        <w:rPr>
          <w:rFonts w:ascii="Verdana" w:hAnsi="Verdana" w:cs="Arial"/>
          <w:highlight w:val="cyan"/>
          <w:lang w:val="es-ES"/>
        </w:rPr>
      </w:pPr>
    </w:p>
    <w:p w14:paraId="36F652D3" w14:textId="77777777" w:rsidR="00EC0674" w:rsidRPr="00EE5378" w:rsidRDefault="00EC0674" w:rsidP="00EC0674">
      <w:pPr>
        <w:spacing w:after="120" w:line="276" w:lineRule="auto"/>
        <w:ind w:firstLine="709"/>
        <w:jc w:val="both"/>
        <w:rPr>
          <w:rFonts w:ascii="Verdana" w:eastAsia="Calibri" w:hAnsi="Verdana" w:cs="Arial"/>
          <w:color w:val="000000"/>
          <w:lang w:val="es-ES_tradnl" w:eastAsia="es-ES_tradnl"/>
        </w:rPr>
      </w:pPr>
      <w:r w:rsidRPr="00EE5378">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w:t>
      </w:r>
      <w:r w:rsidRPr="00EE5378">
        <w:rPr>
          <w:rFonts w:ascii="Verdana" w:eastAsia="Calibri" w:hAnsi="Verdana" w:cs="Arial"/>
          <w:color w:val="000000"/>
          <w:lang w:val="es-ES" w:eastAsia="es-ES"/>
        </w:rPr>
        <w:lastRenderedPageBreak/>
        <w:t>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22D43DD9" w14:textId="77777777" w:rsidR="00EC0674" w:rsidRPr="00EE5378" w:rsidRDefault="00EC0674" w:rsidP="00EC0674">
      <w:pPr>
        <w:spacing w:after="0" w:line="276" w:lineRule="auto"/>
        <w:ind w:firstLine="709"/>
        <w:jc w:val="both"/>
        <w:rPr>
          <w:rFonts w:ascii="Verdana" w:eastAsia="Calibri" w:hAnsi="Verdana" w:cs="Arial"/>
          <w:color w:val="000000"/>
          <w:lang w:val="es-ES" w:eastAsia="es-ES"/>
        </w:rPr>
      </w:pPr>
      <w:r w:rsidRPr="00EE5378">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43557577" w14:textId="77777777" w:rsidR="00EC0674" w:rsidRPr="00EE5378" w:rsidRDefault="00EC0674" w:rsidP="00EC0674">
      <w:pPr>
        <w:spacing w:after="0"/>
        <w:jc w:val="both"/>
        <w:rPr>
          <w:rStyle w:val="Hipervnculo"/>
          <w:rFonts w:ascii="Verdana" w:hAnsi="Verdana"/>
          <w:highlight w:val="cyan"/>
          <w:lang w:val="es-ES"/>
        </w:rPr>
      </w:pPr>
    </w:p>
    <w:p w14:paraId="40882295" w14:textId="77777777" w:rsidR="00EC0674" w:rsidRPr="00EE5378" w:rsidRDefault="00EC0674" w:rsidP="00EC0674">
      <w:pPr>
        <w:pStyle w:val="Prrafodelista"/>
        <w:numPr>
          <w:ilvl w:val="0"/>
          <w:numId w:val="16"/>
        </w:numPr>
        <w:tabs>
          <w:tab w:val="left" w:pos="142"/>
          <w:tab w:val="left" w:pos="284"/>
        </w:tabs>
        <w:spacing w:after="0" w:line="276" w:lineRule="auto"/>
        <w:ind w:left="0" w:firstLine="0"/>
        <w:jc w:val="both"/>
        <w:rPr>
          <w:rFonts w:ascii="Verdana" w:eastAsia="Century Gothic" w:hAnsi="Verdana" w:cs="Arial"/>
          <w:b/>
          <w:bCs/>
        </w:rPr>
      </w:pPr>
      <w:r w:rsidRPr="00EE5378">
        <w:rPr>
          <w:rFonts w:ascii="Verdana" w:eastAsia="Century Gothic" w:hAnsi="Verdana" w:cs="Arial"/>
          <w:b/>
          <w:bCs/>
        </w:rPr>
        <w:t>Problema planteado:</w:t>
      </w:r>
    </w:p>
    <w:p w14:paraId="41A38B7D" w14:textId="77777777" w:rsidR="00EC0674" w:rsidRPr="00EE5378" w:rsidRDefault="00EC0674" w:rsidP="00EC0674">
      <w:pPr>
        <w:spacing w:after="0"/>
        <w:jc w:val="both"/>
        <w:rPr>
          <w:rStyle w:val="Hipervnculo"/>
          <w:rFonts w:ascii="Verdana" w:hAnsi="Verdana" w:cs="Arial"/>
          <w:highlight w:val="cyan"/>
        </w:rPr>
      </w:pPr>
    </w:p>
    <w:p w14:paraId="3A2B20B0" w14:textId="0C791BCC" w:rsidR="00EC0674" w:rsidRPr="00EE5378" w:rsidRDefault="00EC0674" w:rsidP="00EC0674">
      <w:pPr>
        <w:spacing w:after="0" w:line="276" w:lineRule="auto"/>
        <w:jc w:val="both"/>
        <w:rPr>
          <w:rFonts w:ascii="Verdana" w:eastAsia="Century Gothic" w:hAnsi="Verdana" w:cs="Century Gothic"/>
          <w:color w:val="000000" w:themeColor="text1"/>
        </w:rPr>
      </w:pPr>
      <w:r w:rsidRPr="00EE5378">
        <w:rPr>
          <w:rFonts w:ascii="Verdana" w:eastAsia="Century Gothic" w:hAnsi="Verdana" w:cs="Arial"/>
        </w:rPr>
        <w:t xml:space="preserve">De acuerdo con el contenido de su solicitud, esta Agencia resolverá </w:t>
      </w:r>
      <w:r w:rsidR="00E35596" w:rsidRPr="00EE5378">
        <w:rPr>
          <w:rFonts w:ascii="Verdana" w:eastAsia="Century Gothic" w:hAnsi="Verdana" w:cs="Arial"/>
        </w:rPr>
        <w:t>el</w:t>
      </w:r>
      <w:r w:rsidRPr="00EE5378">
        <w:rPr>
          <w:rFonts w:ascii="Verdana" w:eastAsia="Century Gothic" w:hAnsi="Verdana" w:cs="Arial"/>
        </w:rPr>
        <w:t xml:space="preserve"> siguiente problema jurídico: </w:t>
      </w:r>
      <w:r w:rsidR="009138DF" w:rsidRPr="00EE5378">
        <w:rPr>
          <w:rFonts w:ascii="Verdana" w:eastAsia="Century Gothic" w:hAnsi="Verdana" w:cs="Arial"/>
        </w:rPr>
        <w:t xml:space="preserve">¿Resulta exigible </w:t>
      </w:r>
      <w:r w:rsidR="000B5728" w:rsidRPr="00EE5378">
        <w:rPr>
          <w:rFonts w:ascii="Verdana" w:eastAsia="Century Gothic" w:hAnsi="Verdana" w:cs="Arial"/>
        </w:rPr>
        <w:t>el deber de</w:t>
      </w:r>
      <w:r w:rsidR="009138DF" w:rsidRPr="00EE5378">
        <w:rPr>
          <w:rFonts w:ascii="Verdana" w:eastAsia="Century Gothic" w:hAnsi="Verdana" w:cs="Arial"/>
        </w:rPr>
        <w:t xml:space="preserve"> publicación </w:t>
      </w:r>
      <w:r w:rsidR="001F295C" w:rsidRPr="00EE5378">
        <w:rPr>
          <w:rFonts w:ascii="Verdana" w:eastAsia="Century Gothic" w:hAnsi="Verdana" w:cs="Arial"/>
        </w:rPr>
        <w:t>en</w:t>
      </w:r>
      <w:r w:rsidR="009138DF" w:rsidRPr="00EE5378">
        <w:rPr>
          <w:rFonts w:ascii="Verdana" w:eastAsia="Century Gothic" w:hAnsi="Verdana" w:cs="Arial"/>
        </w:rPr>
        <w:t xml:space="preserve"> SECOP de los contratos de administración que</w:t>
      </w:r>
      <w:r w:rsidR="00871EEC" w:rsidRPr="00EE5378">
        <w:rPr>
          <w:rFonts w:ascii="Verdana" w:eastAsia="Century Gothic" w:hAnsi="Verdana" w:cs="Arial"/>
        </w:rPr>
        <w:t xml:space="preserve"> se</w:t>
      </w:r>
      <w:r w:rsidR="009138DF" w:rsidRPr="00EE5378">
        <w:rPr>
          <w:rFonts w:ascii="Verdana" w:eastAsia="Century Gothic" w:hAnsi="Verdana" w:cs="Arial"/>
        </w:rPr>
        <w:t xml:space="preserve"> suscriben </w:t>
      </w:r>
      <w:r w:rsidR="00215432" w:rsidRPr="00EE5378">
        <w:rPr>
          <w:rFonts w:ascii="Verdana" w:eastAsia="Century Gothic" w:hAnsi="Verdana" w:cs="Arial"/>
        </w:rPr>
        <w:t xml:space="preserve">con </w:t>
      </w:r>
      <w:r w:rsidR="009138DF" w:rsidRPr="00EE5378">
        <w:rPr>
          <w:rFonts w:ascii="Verdana" w:eastAsia="Century Gothic" w:hAnsi="Verdana" w:cs="Arial"/>
        </w:rPr>
        <w:t xml:space="preserve">los resguardos indígenas para la ejecución de los recursos del Sistema General de Participaciones </w:t>
      </w:r>
      <w:r w:rsidR="004D5424" w:rsidRPr="00EE5378">
        <w:rPr>
          <w:rFonts w:ascii="Verdana" w:eastAsia="Century Gothic" w:hAnsi="Verdana" w:cs="Arial"/>
        </w:rPr>
        <w:t>-</w:t>
      </w:r>
      <w:r w:rsidR="009138DF" w:rsidRPr="00EE5378">
        <w:rPr>
          <w:rFonts w:ascii="Verdana" w:eastAsia="Century Gothic" w:hAnsi="Verdana" w:cs="Arial"/>
        </w:rPr>
        <w:t>SGP</w:t>
      </w:r>
      <w:r w:rsidR="004D5424" w:rsidRPr="00EE5378">
        <w:rPr>
          <w:rFonts w:ascii="Verdana" w:eastAsia="Century Gothic" w:hAnsi="Verdana" w:cs="Arial"/>
        </w:rPr>
        <w:t>-</w:t>
      </w:r>
      <w:r w:rsidR="009138DF" w:rsidRPr="00EE5378">
        <w:rPr>
          <w:rFonts w:ascii="Verdana" w:eastAsia="Century Gothic" w:hAnsi="Verdana" w:cs="Arial"/>
        </w:rPr>
        <w:t>?</w:t>
      </w:r>
    </w:p>
    <w:p w14:paraId="2391D775" w14:textId="77777777" w:rsidR="00EC0674" w:rsidRPr="00EE5378" w:rsidRDefault="00EC0674" w:rsidP="00EC0674">
      <w:pPr>
        <w:spacing w:after="0" w:line="276" w:lineRule="auto"/>
        <w:jc w:val="both"/>
        <w:rPr>
          <w:rStyle w:val="Hipervnculo"/>
          <w:rFonts w:ascii="Verdana" w:hAnsi="Verdana" w:cs="Arial"/>
          <w:highlight w:val="cyan"/>
        </w:rPr>
      </w:pPr>
    </w:p>
    <w:p w14:paraId="2D035CFA" w14:textId="77777777" w:rsidR="00EC0674" w:rsidRPr="00EE5378" w:rsidRDefault="00EC0674" w:rsidP="00EC0674">
      <w:pPr>
        <w:pStyle w:val="Prrafodelista"/>
        <w:widowControl w:val="0"/>
        <w:numPr>
          <w:ilvl w:val="0"/>
          <w:numId w:val="16"/>
        </w:numPr>
        <w:autoSpaceDE w:val="0"/>
        <w:autoSpaceDN w:val="0"/>
        <w:spacing w:before="1" w:after="0" w:line="240" w:lineRule="auto"/>
        <w:ind w:left="360"/>
        <w:jc w:val="both"/>
        <w:outlineLvl w:val="0"/>
        <w:rPr>
          <w:rFonts w:ascii="Verdana" w:eastAsia="Arial" w:hAnsi="Verdana" w:cs="Arial"/>
          <w:b/>
          <w:bCs/>
        </w:rPr>
      </w:pPr>
      <w:r w:rsidRPr="00EE5378">
        <w:rPr>
          <w:rFonts w:ascii="Verdana" w:eastAsia="Arial" w:hAnsi="Verdana" w:cs="Arial"/>
          <w:b/>
          <w:bCs/>
        </w:rPr>
        <w:t>Respuesta:</w:t>
      </w:r>
    </w:p>
    <w:p w14:paraId="7512A282" w14:textId="77777777" w:rsidR="00EC0674" w:rsidRPr="00EE5378" w:rsidRDefault="00EC0674" w:rsidP="00EC0674">
      <w:pPr>
        <w:spacing w:after="0"/>
        <w:rPr>
          <w:rFonts w:ascii="Verdana" w:eastAsia="Aptos" w:hAnsi="Verdana" w:cs="Arial"/>
          <w:highlight w:val="cyan"/>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C0674" w:rsidRPr="00EE5378" w14:paraId="37559AE5" w14:textId="77777777" w:rsidTr="00355861">
        <w:tc>
          <w:tcPr>
            <w:tcW w:w="8828" w:type="dxa"/>
          </w:tcPr>
          <w:p w14:paraId="66F13E33" w14:textId="7E8B7F87" w:rsidR="00EC0674" w:rsidRPr="00EE5378" w:rsidRDefault="00EC0674" w:rsidP="00355861">
            <w:pPr>
              <w:spacing w:after="120" w:line="276" w:lineRule="auto"/>
              <w:jc w:val="both"/>
              <w:rPr>
                <w:rFonts w:ascii="Verdana" w:hAnsi="Verdana" w:cs="Arial"/>
                <w:color w:val="000000" w:themeColor="text1"/>
              </w:rPr>
            </w:pPr>
            <w:bookmarkStart w:id="1" w:name="_Hlk171067516"/>
            <w:r w:rsidRPr="00EE5378">
              <w:rPr>
                <w:rFonts w:ascii="Verdana" w:hAnsi="Verdana" w:cs="Arial"/>
                <w:color w:val="000000" w:themeColor="text1"/>
              </w:rPr>
              <w:t>En respuesta a</w:t>
            </w:r>
            <w:r w:rsidR="001F295C" w:rsidRPr="00EE5378">
              <w:rPr>
                <w:rFonts w:ascii="Verdana" w:hAnsi="Verdana" w:cs="Arial"/>
                <w:color w:val="000000" w:themeColor="text1"/>
              </w:rPr>
              <w:t>l</w:t>
            </w:r>
            <w:r w:rsidRPr="00EE5378">
              <w:rPr>
                <w:rFonts w:ascii="Verdana" w:hAnsi="Verdana" w:cs="Arial"/>
                <w:color w:val="000000" w:themeColor="text1"/>
              </w:rPr>
              <w:t xml:space="preserve"> problema antes planteado esta Subdirección manifiesta lo siguiente:</w:t>
            </w:r>
          </w:p>
          <w:p w14:paraId="34B02BFD" w14:textId="3E806E67" w:rsidR="004F12C4" w:rsidRPr="00EE5378" w:rsidRDefault="00BB72F5" w:rsidP="009C1284">
            <w:pPr>
              <w:spacing w:after="120" w:line="276" w:lineRule="auto"/>
              <w:ind w:firstLine="708"/>
              <w:jc w:val="both"/>
              <w:rPr>
                <w:rFonts w:ascii="Verdana" w:eastAsia="Calibri" w:hAnsi="Verdana" w:cs="Arial"/>
                <w:iCs/>
                <w:color w:val="000000" w:themeColor="text1"/>
              </w:rPr>
            </w:pPr>
            <w:r w:rsidRPr="00EE5378">
              <w:rPr>
                <w:rFonts w:ascii="Verdana" w:eastAsia="Calibri" w:hAnsi="Verdana" w:cs="Arial"/>
                <w:iCs/>
                <w:color w:val="000000" w:themeColor="text1"/>
              </w:rPr>
              <w:t xml:space="preserve">En </w:t>
            </w:r>
            <w:r w:rsidRPr="00EE5378">
              <w:rPr>
                <w:rFonts w:ascii="Verdana" w:eastAsia="Calibri" w:hAnsi="Verdana" w:cs="Arial"/>
                <w:i/>
                <w:color w:val="000000" w:themeColor="text1"/>
              </w:rPr>
              <w:t>primer lugar</w:t>
            </w:r>
            <w:r w:rsidRPr="00EE5378">
              <w:rPr>
                <w:rFonts w:ascii="Verdana" w:eastAsia="Calibri" w:hAnsi="Verdana" w:cs="Arial"/>
                <w:iCs/>
                <w:color w:val="000000" w:themeColor="text1"/>
              </w:rPr>
              <w:t xml:space="preserve"> debe indicarse que l</w:t>
            </w:r>
            <w:r w:rsidR="00302D3F" w:rsidRPr="00EE5378">
              <w:rPr>
                <w:rFonts w:ascii="Verdana" w:eastAsia="Calibri" w:hAnsi="Verdana" w:cs="Arial"/>
                <w:iCs/>
                <w:color w:val="000000" w:themeColor="text1"/>
              </w:rPr>
              <w:t xml:space="preserve">os resguardos indígenas que hayan sido autorizados para administrar y ejecutar directamente los recursos de la asignación especial del Sistema General de Participaciones </w:t>
            </w:r>
            <w:r w:rsidR="004D5424" w:rsidRPr="00EE5378">
              <w:rPr>
                <w:rFonts w:ascii="Verdana" w:eastAsia="Calibri" w:hAnsi="Verdana" w:cs="Arial"/>
                <w:iCs/>
                <w:color w:val="000000" w:themeColor="text1"/>
              </w:rPr>
              <w:t>-</w:t>
            </w:r>
            <w:r w:rsidR="00302D3F" w:rsidRPr="00EE5378">
              <w:rPr>
                <w:rFonts w:ascii="Verdana" w:eastAsia="Calibri" w:hAnsi="Verdana" w:cs="Arial"/>
                <w:iCs/>
                <w:color w:val="000000" w:themeColor="text1"/>
              </w:rPr>
              <w:t>SGP</w:t>
            </w:r>
            <w:r w:rsidR="004D5424" w:rsidRPr="00EE5378">
              <w:rPr>
                <w:rFonts w:ascii="Verdana" w:eastAsia="Calibri" w:hAnsi="Verdana" w:cs="Arial"/>
                <w:iCs/>
                <w:color w:val="000000" w:themeColor="text1"/>
              </w:rPr>
              <w:t>-</w:t>
            </w:r>
            <w:r w:rsidR="00302D3F" w:rsidRPr="00EE5378">
              <w:rPr>
                <w:rFonts w:ascii="Verdana" w:eastAsia="Calibri" w:hAnsi="Verdana" w:cs="Arial"/>
                <w:iCs/>
                <w:color w:val="000000" w:themeColor="text1"/>
              </w:rPr>
              <w:t xml:space="preserve">, en los términos del Decreto 1953 de 2014, son considerados </w:t>
            </w:r>
            <w:r w:rsidR="00044F46" w:rsidRPr="00EE5378">
              <w:rPr>
                <w:rFonts w:ascii="Verdana" w:eastAsia="Calibri" w:hAnsi="Verdana" w:cs="Arial"/>
                <w:iCs/>
                <w:color w:val="000000" w:themeColor="text1"/>
              </w:rPr>
              <w:t>E</w:t>
            </w:r>
            <w:r w:rsidR="00302D3F" w:rsidRPr="00EE5378">
              <w:rPr>
                <w:rFonts w:ascii="Verdana" w:eastAsia="Calibri" w:hAnsi="Verdana" w:cs="Arial"/>
                <w:iCs/>
                <w:color w:val="000000" w:themeColor="text1"/>
              </w:rPr>
              <w:t xml:space="preserve">ntidades </w:t>
            </w:r>
            <w:r w:rsidR="00044F46" w:rsidRPr="00EE5378">
              <w:rPr>
                <w:rFonts w:ascii="Verdana" w:eastAsia="Calibri" w:hAnsi="Verdana" w:cs="Arial"/>
                <w:iCs/>
                <w:color w:val="000000" w:themeColor="text1"/>
              </w:rPr>
              <w:t>E</w:t>
            </w:r>
            <w:r w:rsidR="00302D3F" w:rsidRPr="00EE5378">
              <w:rPr>
                <w:rFonts w:ascii="Verdana" w:eastAsia="Calibri" w:hAnsi="Verdana" w:cs="Arial"/>
                <w:iCs/>
                <w:color w:val="000000" w:themeColor="text1"/>
              </w:rPr>
              <w:t xml:space="preserve">statales de carácter especial conforme al artículo 2 de la Ley 80 de 1993. En virtud de dicha condición, les es exigible el deber de publicar su actividad contractual en </w:t>
            </w:r>
            <w:r w:rsidR="008E412B" w:rsidRPr="00EE5378">
              <w:rPr>
                <w:rFonts w:ascii="Verdana" w:eastAsia="Calibri" w:hAnsi="Verdana" w:cs="Arial"/>
                <w:iCs/>
                <w:color w:val="000000" w:themeColor="text1"/>
              </w:rPr>
              <w:t xml:space="preserve">el Sistema Electrónico para la Contratación Pública </w:t>
            </w:r>
            <w:r w:rsidR="00040140" w:rsidRPr="00EE5378">
              <w:rPr>
                <w:rFonts w:ascii="Verdana" w:eastAsia="Calibri" w:hAnsi="Verdana" w:cs="Arial"/>
                <w:iCs/>
                <w:color w:val="000000" w:themeColor="text1"/>
              </w:rPr>
              <w:t>-</w:t>
            </w:r>
            <w:r w:rsidR="00302D3F" w:rsidRPr="00EE5378">
              <w:rPr>
                <w:rFonts w:ascii="Verdana" w:eastAsia="Calibri" w:hAnsi="Verdana" w:cs="Arial"/>
                <w:iCs/>
                <w:color w:val="000000" w:themeColor="text1"/>
              </w:rPr>
              <w:t>SECOP</w:t>
            </w:r>
            <w:r w:rsidR="00040140" w:rsidRPr="00EE5378">
              <w:rPr>
                <w:rFonts w:ascii="Verdana" w:eastAsia="Calibri" w:hAnsi="Verdana" w:cs="Arial"/>
                <w:iCs/>
                <w:color w:val="000000" w:themeColor="text1"/>
              </w:rPr>
              <w:t>-</w:t>
            </w:r>
            <w:r w:rsidR="004E48E4" w:rsidRPr="00EE5378">
              <w:rPr>
                <w:rFonts w:ascii="Verdana" w:eastAsia="Calibri" w:hAnsi="Verdana" w:cs="Arial"/>
                <w:iCs/>
                <w:color w:val="000000" w:themeColor="text1"/>
              </w:rPr>
              <w:t>.</w:t>
            </w:r>
            <w:r w:rsidR="009C1284" w:rsidRPr="00EE5378">
              <w:rPr>
                <w:rFonts w:ascii="Verdana" w:eastAsia="Calibri" w:hAnsi="Verdana" w:cs="Arial"/>
                <w:iCs/>
                <w:color w:val="000000" w:themeColor="text1"/>
              </w:rPr>
              <w:t xml:space="preserve"> </w:t>
            </w:r>
          </w:p>
          <w:p w14:paraId="2867F603" w14:textId="7A5D2BFF" w:rsidR="00EC0674" w:rsidRPr="00EE5378" w:rsidRDefault="00302D3F" w:rsidP="009C1284">
            <w:pPr>
              <w:spacing w:after="120" w:line="276" w:lineRule="auto"/>
              <w:ind w:firstLine="708"/>
              <w:jc w:val="both"/>
              <w:rPr>
                <w:rFonts w:ascii="Verdana" w:eastAsia="Calibri" w:hAnsi="Verdana" w:cs="Arial"/>
                <w:iCs/>
                <w:color w:val="000000" w:themeColor="text1"/>
              </w:rPr>
            </w:pPr>
            <w:r w:rsidRPr="00EE5378">
              <w:rPr>
                <w:rFonts w:ascii="Verdana" w:eastAsia="Calibri" w:hAnsi="Verdana" w:cs="Arial"/>
                <w:iCs/>
                <w:color w:val="000000" w:themeColor="text1"/>
              </w:rPr>
              <w:lastRenderedPageBreak/>
              <w:t xml:space="preserve">Ahora bien, cuando el resguardo indígena no ha sido autorizado para administrar directamente dichos recursos, el Decreto 1953 de 2014 prevé que su ejecución se realizará a través de un contrato de administración suscrito entre la entidad territorial respectiva y el representante legal del resguardo, designado por las autoridades propias. En este supuesto, la obligación de publicación en </w:t>
            </w:r>
            <w:r w:rsidR="001B6483" w:rsidRPr="00EE5378">
              <w:rPr>
                <w:rFonts w:ascii="Verdana" w:eastAsia="Calibri" w:hAnsi="Verdana" w:cs="Arial"/>
                <w:iCs/>
                <w:color w:val="000000" w:themeColor="text1"/>
              </w:rPr>
              <w:t xml:space="preserve">el Sistema Electrónico para la Contratación Pública </w:t>
            </w:r>
            <w:r w:rsidRPr="00EE5378">
              <w:rPr>
                <w:rFonts w:ascii="Verdana" w:eastAsia="Calibri" w:hAnsi="Verdana" w:cs="Arial"/>
                <w:iCs/>
                <w:color w:val="000000" w:themeColor="text1"/>
              </w:rPr>
              <w:t xml:space="preserve">recae sobre la entidad territorial suscribiente del contrato, por ser esta una </w:t>
            </w:r>
            <w:r w:rsidR="00ED6ACA" w:rsidRPr="00EE5378">
              <w:rPr>
                <w:rFonts w:ascii="Verdana" w:eastAsia="Calibri" w:hAnsi="Verdana" w:cs="Arial"/>
                <w:iCs/>
                <w:color w:val="000000" w:themeColor="text1"/>
              </w:rPr>
              <w:t>E</w:t>
            </w:r>
            <w:r w:rsidRPr="00EE5378">
              <w:rPr>
                <w:rFonts w:ascii="Verdana" w:eastAsia="Calibri" w:hAnsi="Verdana" w:cs="Arial"/>
                <w:iCs/>
                <w:color w:val="000000" w:themeColor="text1"/>
              </w:rPr>
              <w:t xml:space="preserve">ntidad </w:t>
            </w:r>
            <w:r w:rsidR="00ED6ACA" w:rsidRPr="00EE5378">
              <w:rPr>
                <w:rFonts w:ascii="Verdana" w:eastAsia="Calibri" w:hAnsi="Verdana" w:cs="Arial"/>
                <w:iCs/>
                <w:color w:val="000000" w:themeColor="text1"/>
              </w:rPr>
              <w:t>E</w:t>
            </w:r>
            <w:r w:rsidRPr="00EE5378">
              <w:rPr>
                <w:rFonts w:ascii="Verdana" w:eastAsia="Calibri" w:hAnsi="Verdana" w:cs="Arial"/>
                <w:iCs/>
                <w:color w:val="000000" w:themeColor="text1"/>
              </w:rPr>
              <w:t>statal sometida al régimen general de publicidad de la contratación pública, y por tratarse de recursos de naturaleza pública cuya ejecución debe ser transparente</w:t>
            </w:r>
            <w:r w:rsidR="008272AB" w:rsidRPr="00EE5378">
              <w:rPr>
                <w:rFonts w:ascii="Verdana" w:eastAsia="Calibri" w:hAnsi="Verdana" w:cs="Arial"/>
                <w:iCs/>
                <w:color w:val="000000" w:themeColor="text1"/>
              </w:rPr>
              <w:t xml:space="preserve">, </w:t>
            </w:r>
            <w:r w:rsidRPr="00EE5378">
              <w:rPr>
                <w:rFonts w:ascii="Verdana" w:eastAsia="Calibri" w:hAnsi="Verdana" w:cs="Arial"/>
                <w:iCs/>
                <w:color w:val="000000" w:themeColor="text1"/>
              </w:rPr>
              <w:t>con independencia de la naturaleza jurídica del contratista.</w:t>
            </w:r>
          </w:p>
        </w:tc>
      </w:tr>
      <w:bookmarkEnd w:id="1"/>
    </w:tbl>
    <w:p w14:paraId="6A2419CE" w14:textId="77777777" w:rsidR="00EC0674" w:rsidRPr="00EE5378" w:rsidRDefault="00EC0674" w:rsidP="00EC0674">
      <w:pPr>
        <w:widowControl w:val="0"/>
        <w:autoSpaceDE w:val="0"/>
        <w:autoSpaceDN w:val="0"/>
        <w:spacing w:before="1" w:after="0" w:line="240" w:lineRule="auto"/>
        <w:ind w:left="360" w:hanging="360"/>
        <w:outlineLvl w:val="0"/>
        <w:rPr>
          <w:rFonts w:ascii="Verdana" w:eastAsia="Arial" w:hAnsi="Verdana" w:cs="Arial"/>
          <w:b/>
          <w:bCs/>
          <w:highlight w:val="cyan"/>
          <w:lang w:val="es-ES"/>
        </w:rPr>
      </w:pPr>
    </w:p>
    <w:p w14:paraId="05FEF325" w14:textId="77777777" w:rsidR="00EC0674" w:rsidRPr="00EE5378" w:rsidRDefault="00EC0674" w:rsidP="00EC0674">
      <w:pPr>
        <w:widowControl w:val="0"/>
        <w:autoSpaceDE w:val="0"/>
        <w:autoSpaceDN w:val="0"/>
        <w:spacing w:before="1" w:after="0" w:line="240" w:lineRule="auto"/>
        <w:ind w:left="360" w:hanging="360"/>
        <w:outlineLvl w:val="0"/>
        <w:rPr>
          <w:rFonts w:ascii="Verdana" w:eastAsia="Arial" w:hAnsi="Verdana" w:cs="Arial"/>
          <w:b/>
          <w:bCs/>
          <w:lang w:val="es-ES"/>
        </w:rPr>
      </w:pPr>
      <w:r w:rsidRPr="00EE5378">
        <w:rPr>
          <w:rFonts w:ascii="Verdana" w:eastAsia="Arial" w:hAnsi="Verdana" w:cs="Arial"/>
          <w:b/>
          <w:bCs/>
          <w:lang w:val="es-ES"/>
        </w:rPr>
        <w:t>3. Razones de la respuesta:</w:t>
      </w:r>
    </w:p>
    <w:p w14:paraId="20C276DC" w14:textId="77777777" w:rsidR="00EC0674" w:rsidRPr="00EE5378" w:rsidRDefault="00EC0674" w:rsidP="00EC0674">
      <w:pPr>
        <w:spacing w:after="0" w:line="276" w:lineRule="auto"/>
        <w:jc w:val="both"/>
        <w:rPr>
          <w:rFonts w:ascii="Verdana" w:eastAsia="Calibri" w:hAnsi="Verdana" w:cs="Arial"/>
          <w:lang w:val="es-ES"/>
        </w:rPr>
      </w:pPr>
    </w:p>
    <w:p w14:paraId="605FF4FF" w14:textId="77777777" w:rsidR="006674F1" w:rsidRPr="00EE5378" w:rsidRDefault="00EC0674" w:rsidP="006674F1">
      <w:pPr>
        <w:spacing w:after="0" w:line="276" w:lineRule="auto"/>
        <w:jc w:val="both"/>
        <w:rPr>
          <w:rFonts w:ascii="Verdana" w:eastAsia="Calibri" w:hAnsi="Verdana" w:cs="Arial"/>
          <w:lang w:val="es-ES"/>
        </w:rPr>
      </w:pPr>
      <w:r w:rsidRPr="00EE5378">
        <w:rPr>
          <w:rFonts w:ascii="Verdana" w:eastAsia="Calibri" w:hAnsi="Verdana" w:cs="Arial"/>
          <w:lang w:val="es-ES"/>
        </w:rPr>
        <w:t xml:space="preserve">La respuesta anterior se sustenta en las siguientes consideraciones: </w:t>
      </w:r>
    </w:p>
    <w:p w14:paraId="21F641EE" w14:textId="77777777" w:rsidR="006674F1" w:rsidRPr="00EE5378" w:rsidRDefault="006674F1" w:rsidP="006674F1">
      <w:pPr>
        <w:spacing w:after="0" w:line="276" w:lineRule="auto"/>
        <w:jc w:val="both"/>
        <w:rPr>
          <w:rFonts w:ascii="Verdana" w:eastAsia="Calibri" w:hAnsi="Verdana" w:cs="Arial"/>
          <w:lang w:val="es-ES"/>
        </w:rPr>
      </w:pPr>
    </w:p>
    <w:p w14:paraId="3991D0F7" w14:textId="4F1893C5" w:rsidR="006674F1" w:rsidRPr="00EE5378" w:rsidRDefault="006674F1" w:rsidP="00B00AEA">
      <w:pPr>
        <w:spacing w:after="120" w:line="276" w:lineRule="auto"/>
        <w:jc w:val="both"/>
        <w:rPr>
          <w:rFonts w:ascii="Verdana" w:eastAsia="Calibri" w:hAnsi="Verdana" w:cs="Arial"/>
          <w:lang w:val="es-ES"/>
        </w:rPr>
      </w:pPr>
      <w:r w:rsidRPr="00EE5378">
        <w:rPr>
          <w:rFonts w:ascii="Verdana" w:eastAsia="Calibri" w:hAnsi="Verdana" w:cs="Arial"/>
          <w:lang w:val="es-ES"/>
        </w:rPr>
        <w:t>i) El artículo 329 de la Constitución Política de 1991 dispuso que la conformación de las entidades territoriales indígenas se realizaría conforme a lo dispuesto en la Ley de Ordenamiento Territorial – LOT. En ese sentido, la norma previamente mencionada dispuso que la conformación de las entidades territoriales indígenas se realizaría de acuerdo con lo indicado en la Ley de Ordenamiento Territorial. No obstante, mientras esa ley era expedida por el Congreso de la República, la Constitución contempló un mecanismo para poner en funcionamiento los territorios indígenas de manera transitoria. En efecto, el artículo 56 transitorio de la Constitución Política prescribe que “Mientras se expide la ley a que se refiere el artículo 329, el Gobierno podrá dictar las normas fiscales necesarias y las demás relativas al funcionamiento de los territorios indígenas y su coordinación con las demás entidades territoriales”.</w:t>
      </w:r>
    </w:p>
    <w:p w14:paraId="1B4C6FA7" w14:textId="77777777" w:rsidR="00B00AEA" w:rsidRPr="00EE5378" w:rsidRDefault="00B00AEA" w:rsidP="00B00AEA">
      <w:pPr>
        <w:spacing w:after="120" w:line="276" w:lineRule="auto"/>
        <w:ind w:firstLine="680"/>
        <w:jc w:val="both"/>
        <w:rPr>
          <w:rFonts w:ascii="Verdana" w:eastAsia="Calibri" w:hAnsi="Verdana" w:cs="Arial"/>
          <w:lang w:val="es-ES"/>
        </w:rPr>
      </w:pPr>
      <w:r w:rsidRPr="00EE5378">
        <w:rPr>
          <w:rFonts w:ascii="Verdana" w:eastAsia="Calibri" w:hAnsi="Verdana" w:cs="Arial"/>
          <w:lang w:val="es-ES"/>
        </w:rPr>
        <w:t>De este modo, basados en el artículo 56 de la Constitución Política, en junio de 1993 se expidió el Decreto 1088, “Por el cual se regula la creación de las asociaciones de Cabildos y/o Autoridades Tradicionales Indígenas”, que otorgó a los cabildos y/o autoridades indígenas la posibilidad de conformar asociaciones</w:t>
      </w:r>
      <w:r w:rsidRPr="00EE5378">
        <w:rPr>
          <w:rStyle w:val="Refdenotaalpie"/>
          <w:rFonts w:ascii="Verdana" w:eastAsia="Calibri" w:hAnsi="Verdana" w:cs="Arial"/>
          <w:lang w:val="es-ES"/>
        </w:rPr>
        <w:footnoteReference w:id="1"/>
      </w:r>
      <w:r w:rsidRPr="00EE5378">
        <w:rPr>
          <w:rFonts w:ascii="Verdana" w:eastAsia="Calibri" w:hAnsi="Verdana" w:cs="Arial"/>
          <w:lang w:val="es-ES"/>
        </w:rPr>
        <w:t xml:space="preserve">. Con base en esto, los cabildos y las asociaciones de autoridades </w:t>
      </w:r>
      <w:r w:rsidRPr="00EE5378">
        <w:rPr>
          <w:rFonts w:ascii="Verdana" w:eastAsia="Calibri" w:hAnsi="Verdana" w:cs="Arial"/>
          <w:lang w:val="es-ES"/>
        </w:rPr>
        <w:lastRenderedPageBreak/>
        <w:t>tradicionales indígenas pueden asociarse en representación de sus territorios, y esas asociaciones tienen la naturaleza de ser entidades de derecho público de carácter especial, que gozan de personería jurídica y tienen capacidad para adquirir obligaciones.</w:t>
      </w:r>
    </w:p>
    <w:p w14:paraId="2834DFE1" w14:textId="77777777" w:rsidR="007E0070" w:rsidRPr="00EE5378" w:rsidRDefault="007E0070" w:rsidP="007E0070">
      <w:pPr>
        <w:spacing w:after="120" w:line="276" w:lineRule="auto"/>
        <w:ind w:firstLine="680"/>
        <w:jc w:val="both"/>
        <w:rPr>
          <w:rFonts w:ascii="Verdana" w:eastAsia="Calibri" w:hAnsi="Verdana" w:cs="Arial"/>
          <w:lang w:val="es-ES"/>
        </w:rPr>
      </w:pPr>
      <w:r w:rsidRPr="00EE5378">
        <w:rPr>
          <w:rFonts w:ascii="Verdana" w:eastAsia="Calibri" w:hAnsi="Verdana" w:cs="Arial"/>
          <w:lang w:val="es-ES"/>
        </w:rPr>
        <w:t>De otra parte, artículo 329 de la Constitución además involucra dentro del tema relativo a las entidades territoriales indígenas a los resguardos, de quienes predica su carácter de propiedad colectiva no enajenable. Esto es concordante con el artículo 63 de la Carta Política cuyo texto establece expresamente que: “Los bienes de uso público, los parques naturales, las tierras comunales de grupos étnicos, las tierras de resguardo, el patrimonio arqueológico de la Nación y los demás bienes que determine la ley, son inalienables, imprescriptibles e inembargables”</w:t>
      </w:r>
      <w:r w:rsidRPr="00EE5378">
        <w:rPr>
          <w:rStyle w:val="Refdenotaalpie"/>
          <w:rFonts w:ascii="Verdana" w:eastAsia="Calibri" w:hAnsi="Verdana" w:cs="Arial"/>
          <w:lang w:val="es-ES"/>
        </w:rPr>
        <w:footnoteReference w:id="2"/>
      </w:r>
      <w:r w:rsidRPr="00EE5378">
        <w:rPr>
          <w:rFonts w:ascii="Verdana" w:eastAsia="Calibri" w:hAnsi="Verdana" w:cs="Arial"/>
          <w:lang w:val="es-ES"/>
        </w:rPr>
        <w:t xml:space="preserve">. De estos artículos se colige como los resguardos indígenas son una forma de propiedad colectiva a la que la Constitución le endilga unos atributos que la sustraen de actos traslaticios o de comercio, al igual que con los bienes de uso público.  </w:t>
      </w:r>
    </w:p>
    <w:p w14:paraId="73BEBBDA" w14:textId="77777777" w:rsidR="0053684C" w:rsidRPr="00EE5378" w:rsidRDefault="0053684C" w:rsidP="0053684C">
      <w:pPr>
        <w:spacing w:before="120" w:line="276" w:lineRule="auto"/>
        <w:ind w:firstLine="680"/>
        <w:jc w:val="both"/>
        <w:rPr>
          <w:rFonts w:ascii="Verdana" w:eastAsia="Calibri" w:hAnsi="Verdana" w:cs="Arial"/>
          <w:lang w:val="es-ES"/>
        </w:rPr>
      </w:pPr>
      <w:r w:rsidRPr="00EE5378">
        <w:rPr>
          <w:rFonts w:ascii="Verdana" w:eastAsia="Calibri" w:hAnsi="Verdana" w:cs="Arial"/>
          <w:lang w:val="es-ES"/>
        </w:rPr>
        <w:t xml:space="preserve">De acuerdo con esto, la Ley 160 de 1994 </w:t>
      </w:r>
      <w:r w:rsidRPr="00EE5378">
        <w:rPr>
          <w:rFonts w:ascii="Verdana" w:hAnsi="Verdana"/>
        </w:rPr>
        <w:t>“</w:t>
      </w:r>
      <w:r w:rsidRPr="00EE5378">
        <w:rPr>
          <w:rFonts w:ascii="Verdana" w:eastAsia="Calibri" w:hAnsi="Verdana" w:cs="Arial"/>
          <w:lang w:val="es-ES"/>
        </w:rPr>
        <w:t>por la cual se crea el Sistema Nacional de Reforma Agraria y Desarrollo Rural Campesino, se establece un subsidio para la adquisición de tierras, se reforma el Instituto Colombiano de la Reforma Agraria y se dictan otras disposiciones”, concibe la constitución, ampliación, saneamiento y reestructuración de resguardos como formas para satisfacer las necesidades de tierras de las comunidades indígenas, tal como se colige de los artículos 12-18</w:t>
      </w:r>
      <w:r w:rsidRPr="00EE5378">
        <w:rPr>
          <w:rStyle w:val="Refdenotaalpie"/>
          <w:rFonts w:ascii="Verdana" w:eastAsia="Calibri" w:hAnsi="Verdana" w:cs="Arial"/>
          <w:lang w:val="es-ES"/>
        </w:rPr>
        <w:footnoteReference w:id="3"/>
      </w:r>
      <w:r w:rsidRPr="00EE5378">
        <w:rPr>
          <w:rFonts w:ascii="Verdana" w:eastAsia="Calibri" w:hAnsi="Verdana" w:cs="Arial"/>
          <w:lang w:val="es-ES"/>
        </w:rPr>
        <w:t xml:space="preserve"> y 85 de dicha Ley</w:t>
      </w:r>
      <w:r w:rsidRPr="00EE5378">
        <w:rPr>
          <w:rStyle w:val="Refdenotaalpie"/>
          <w:rFonts w:ascii="Verdana" w:eastAsia="Calibri" w:hAnsi="Verdana" w:cs="Arial"/>
          <w:lang w:val="es-ES"/>
        </w:rPr>
        <w:footnoteReference w:id="4"/>
      </w:r>
      <w:r w:rsidRPr="00EE5378">
        <w:rPr>
          <w:rFonts w:ascii="Verdana" w:eastAsia="Calibri" w:hAnsi="Verdana" w:cs="Arial"/>
          <w:lang w:val="es-ES"/>
        </w:rPr>
        <w:t xml:space="preserve">. De hecho, esta última norma </w:t>
      </w:r>
      <w:r w:rsidRPr="00EE5378">
        <w:rPr>
          <w:rFonts w:ascii="Verdana" w:eastAsia="Calibri" w:hAnsi="Verdana" w:cs="Arial"/>
          <w:lang w:val="es-ES"/>
        </w:rPr>
        <w:lastRenderedPageBreak/>
        <w:t>hace parte del Capítulo XIV de la Ley 160 de 1994, específicamente referido a resguardos indígenas, el cual sería reglamentado por el Decreto 2164 de 1995, norma compilada por el Decreto 1071 de 2015, “Por medio del cual se expide el Decreto Único Reglamentario del Sector Administrativo Agropecuario, Pesquero y de Desarrollo Rural”, y contiene las definiciones de resguardo, cabildo y autoridad indígena:</w:t>
      </w:r>
    </w:p>
    <w:p w14:paraId="219C3775" w14:textId="77777777" w:rsidR="00BF2AD8" w:rsidRPr="00EE5378" w:rsidRDefault="00BF2AD8" w:rsidP="00BF2AD8">
      <w:pPr>
        <w:spacing w:after="0" w:line="240" w:lineRule="auto"/>
        <w:ind w:left="709" w:right="709"/>
        <w:jc w:val="both"/>
        <w:rPr>
          <w:rFonts w:ascii="Verdana" w:eastAsia="Calibri" w:hAnsi="Verdana" w:cs="Arial"/>
          <w:sz w:val="20"/>
          <w:szCs w:val="20"/>
          <w:lang w:val="es-ES"/>
        </w:rPr>
      </w:pPr>
      <w:r w:rsidRPr="00EE5378">
        <w:rPr>
          <w:rFonts w:ascii="Verdana" w:hAnsi="Verdana"/>
          <w:color w:val="242424"/>
          <w:sz w:val="20"/>
          <w:szCs w:val="20"/>
          <w:shd w:val="clear" w:color="auto" w:fill="FFFFFF"/>
        </w:rPr>
        <w:t xml:space="preserve">“[…] </w:t>
      </w:r>
      <w:r w:rsidRPr="00EE5378">
        <w:rPr>
          <w:rFonts w:ascii="Verdana" w:eastAsia="Calibri" w:hAnsi="Verdana" w:cs="Arial"/>
          <w:sz w:val="20"/>
          <w:szCs w:val="20"/>
          <w:lang w:val="es-ES"/>
        </w:rPr>
        <w:t xml:space="preserve">Artículo 2.14.7.5.1. Naturaleza Jurídica. Los resguardos indígenas son propiedad colectiva de las comunidades indígenas en favor de las cuales se constituyen y conforme a los artículos 63 y 329 de la Constitución Política, tienen el carácter de inalienables, imprescriptibles e inembargables. </w:t>
      </w:r>
    </w:p>
    <w:p w14:paraId="010847B1" w14:textId="77777777" w:rsidR="00BF2AD8" w:rsidRPr="00EE5378" w:rsidRDefault="00BF2AD8" w:rsidP="00BF2AD8">
      <w:pPr>
        <w:spacing w:after="0" w:line="240" w:lineRule="auto"/>
        <w:ind w:left="709" w:right="709"/>
        <w:jc w:val="both"/>
        <w:rPr>
          <w:rFonts w:ascii="Verdana" w:eastAsia="Calibri" w:hAnsi="Verdana" w:cs="Arial"/>
          <w:sz w:val="20"/>
          <w:szCs w:val="20"/>
          <w:lang w:val="es-ES"/>
        </w:rPr>
      </w:pPr>
    </w:p>
    <w:p w14:paraId="35B31004" w14:textId="77777777" w:rsidR="00BF2AD8" w:rsidRPr="00EE5378" w:rsidRDefault="00BF2AD8" w:rsidP="00BF2AD8">
      <w:pPr>
        <w:spacing w:after="0" w:line="240" w:lineRule="auto"/>
        <w:ind w:left="709" w:right="709"/>
        <w:jc w:val="both"/>
        <w:rPr>
          <w:rFonts w:ascii="Verdana" w:eastAsia="Calibri" w:hAnsi="Verdana" w:cs="Arial"/>
          <w:sz w:val="20"/>
          <w:szCs w:val="20"/>
          <w:lang w:val="es-ES"/>
        </w:rPr>
      </w:pPr>
      <w:r w:rsidRPr="00EE5378">
        <w:rPr>
          <w:rFonts w:ascii="Verdana" w:eastAsia="Calibri" w:hAnsi="Verdana" w:cs="Arial"/>
          <w:sz w:val="20"/>
          <w:szCs w:val="20"/>
          <w:lang w:val="es-ES"/>
        </w:rPr>
        <w:t xml:space="preserve">Los resguardos son una institución legal y sociopolítica de carácter especial, conformada por una o más comunidades indígenas, que con un título de propiedad colectiva que goza de las garantías de la propiedad privada, poseen su territorio y se rigen para el manejo de este y su vida interna por una organización autónoma amparada por el fuero indígena y su sistema normativo propio. </w:t>
      </w:r>
    </w:p>
    <w:p w14:paraId="317A4491" w14:textId="77777777" w:rsidR="00BF2AD8" w:rsidRPr="00EE5378" w:rsidRDefault="00BF2AD8" w:rsidP="00BF2AD8">
      <w:pPr>
        <w:spacing w:after="0" w:line="240" w:lineRule="auto"/>
        <w:ind w:left="709" w:right="709"/>
        <w:jc w:val="both"/>
        <w:rPr>
          <w:rFonts w:ascii="Verdana" w:eastAsia="Calibri" w:hAnsi="Verdana" w:cs="Arial"/>
          <w:sz w:val="20"/>
          <w:szCs w:val="20"/>
          <w:lang w:val="es-ES"/>
        </w:rPr>
      </w:pPr>
    </w:p>
    <w:p w14:paraId="3AA54F2F" w14:textId="77777777" w:rsidR="00BF2AD8" w:rsidRPr="00EE5378" w:rsidRDefault="00BF2AD8" w:rsidP="00BF2AD8">
      <w:pPr>
        <w:spacing w:after="0" w:line="240" w:lineRule="auto"/>
        <w:ind w:left="709" w:right="709"/>
        <w:jc w:val="both"/>
        <w:rPr>
          <w:rFonts w:ascii="Verdana" w:eastAsia="Calibri" w:hAnsi="Verdana" w:cs="Arial"/>
          <w:sz w:val="20"/>
          <w:szCs w:val="20"/>
          <w:lang w:val="es-ES"/>
        </w:rPr>
      </w:pPr>
      <w:r w:rsidRPr="00EE5378">
        <w:rPr>
          <w:rFonts w:ascii="Verdana" w:eastAsia="Calibri" w:hAnsi="Verdana" w:cs="Arial"/>
          <w:sz w:val="20"/>
          <w:szCs w:val="20"/>
          <w:lang w:val="es-ES"/>
        </w:rPr>
        <w:t>Parágrafo. Los integrantes de la comunidad indígena del resguardo no podrán enajenar a cualquier título, arrendar por cuenta propia o hipotecar los terrenos que constituyen el resguardo. (Decreto número 2164 de 1995, artículo 21) (Cursiva fuera de texto).</w:t>
      </w:r>
    </w:p>
    <w:p w14:paraId="72DB961D" w14:textId="77777777" w:rsidR="00BF2AD8" w:rsidRPr="00EE5378" w:rsidRDefault="00BF2AD8" w:rsidP="00BF2AD8">
      <w:pPr>
        <w:spacing w:after="0" w:line="240" w:lineRule="auto"/>
        <w:ind w:left="709" w:right="709"/>
        <w:jc w:val="both"/>
        <w:rPr>
          <w:rFonts w:ascii="Verdana" w:eastAsia="Calibri" w:hAnsi="Verdana" w:cs="Arial"/>
          <w:sz w:val="20"/>
          <w:szCs w:val="20"/>
          <w:lang w:val="es-ES"/>
        </w:rPr>
      </w:pPr>
    </w:p>
    <w:p w14:paraId="6D1AC0C8" w14:textId="77777777" w:rsidR="00BF2AD8" w:rsidRPr="00EE5378" w:rsidRDefault="00BF2AD8" w:rsidP="00BF2AD8">
      <w:pPr>
        <w:spacing w:after="0" w:line="240" w:lineRule="auto"/>
        <w:ind w:left="708" w:right="709"/>
        <w:jc w:val="both"/>
        <w:rPr>
          <w:rFonts w:ascii="Verdana" w:eastAsia="Calibri" w:hAnsi="Verdana" w:cs="Arial"/>
          <w:sz w:val="20"/>
          <w:szCs w:val="20"/>
          <w:lang w:val="es-ES"/>
        </w:rPr>
      </w:pPr>
      <w:r w:rsidRPr="00EE5378">
        <w:rPr>
          <w:rFonts w:ascii="Verdana" w:eastAsia="Calibri" w:hAnsi="Verdana" w:cs="Arial"/>
          <w:sz w:val="20"/>
          <w:szCs w:val="20"/>
          <w:lang w:val="es-ES"/>
        </w:rPr>
        <w:t>Artículo 2.14.7.5.2. Manejo y Administración. Las áreas que se constituyan con el carácter de resguardo indígena serán manejadas y administradas por lo respectivos cabildos o autoridades tradicionales de las comunidades, de acuerdo con sus usos y costumbres, la legislación especial referida a la materia y a las normas que sobre este particular se adopten por aquellas.</w:t>
      </w:r>
      <w:r w:rsidRPr="00EE5378">
        <w:rPr>
          <w:rFonts w:ascii="Verdana" w:hAnsi="Verdana"/>
          <w:color w:val="242424"/>
          <w:sz w:val="20"/>
          <w:szCs w:val="20"/>
          <w:shd w:val="clear" w:color="auto" w:fill="FFFFFF"/>
        </w:rPr>
        <w:t xml:space="preserve"> […]”</w:t>
      </w:r>
    </w:p>
    <w:p w14:paraId="3662A860" w14:textId="77777777" w:rsidR="00BF2AD8" w:rsidRPr="00EE5378" w:rsidRDefault="00BF2AD8" w:rsidP="00BF2AD8">
      <w:pPr>
        <w:spacing w:after="120" w:line="276" w:lineRule="auto"/>
        <w:jc w:val="both"/>
        <w:rPr>
          <w:rFonts w:ascii="Verdana" w:eastAsia="Calibri" w:hAnsi="Verdana" w:cs="Arial"/>
          <w:lang w:val="es-ES"/>
        </w:rPr>
      </w:pPr>
    </w:p>
    <w:p w14:paraId="01E23E20" w14:textId="77777777" w:rsidR="00BF2AD8" w:rsidRPr="00EE5378" w:rsidRDefault="00BF2AD8" w:rsidP="00BF2AD8">
      <w:pPr>
        <w:spacing w:line="276" w:lineRule="auto"/>
        <w:ind w:firstLine="708"/>
        <w:jc w:val="both"/>
        <w:rPr>
          <w:rFonts w:ascii="Verdana" w:eastAsia="Calibri" w:hAnsi="Verdana" w:cs="Arial"/>
          <w:lang w:val="es-ES"/>
        </w:rPr>
      </w:pPr>
      <w:r w:rsidRPr="00EE5378">
        <w:rPr>
          <w:rFonts w:ascii="Verdana" w:eastAsia="Calibri" w:hAnsi="Verdana" w:cs="Arial"/>
          <w:lang w:val="es-ES"/>
        </w:rPr>
        <w:t xml:space="preserve">Ahora bien, en octubre de 1993 se expidió la Ley 80, “Por la cual se expide el Estatuto General de Contratación de la Administración Pública”. El artículo 2 define las entidades estatales a las cuales le aplican sus disposiciones, e incluye a los territorios indígenas: </w:t>
      </w:r>
    </w:p>
    <w:p w14:paraId="5F75FD88" w14:textId="77777777" w:rsidR="00BF2AD8" w:rsidRPr="00EE5378" w:rsidRDefault="00BF2AD8" w:rsidP="00BF2AD8">
      <w:pPr>
        <w:spacing w:after="0" w:line="240" w:lineRule="auto"/>
        <w:ind w:left="708" w:right="709"/>
        <w:jc w:val="both"/>
        <w:rPr>
          <w:rFonts w:ascii="Verdana" w:eastAsia="Calibri" w:hAnsi="Verdana" w:cs="Arial"/>
          <w:sz w:val="20"/>
          <w:szCs w:val="20"/>
          <w:lang w:val="es-ES"/>
        </w:rPr>
      </w:pPr>
      <w:r w:rsidRPr="00EE5378">
        <w:rPr>
          <w:rFonts w:ascii="Verdana" w:hAnsi="Verdana"/>
          <w:color w:val="242424"/>
          <w:sz w:val="20"/>
          <w:szCs w:val="20"/>
          <w:shd w:val="clear" w:color="auto" w:fill="FFFFFF"/>
        </w:rPr>
        <w:lastRenderedPageBreak/>
        <w:t xml:space="preserve">[…] </w:t>
      </w:r>
      <w:r w:rsidRPr="00EE5378">
        <w:rPr>
          <w:rFonts w:ascii="Verdana" w:eastAsia="Calibri" w:hAnsi="Verdana" w:cs="Arial"/>
          <w:sz w:val="20"/>
          <w:szCs w:val="20"/>
          <w:lang w:val="es-ES"/>
        </w:rPr>
        <w:t xml:space="preserve">Artículo 2o. De la definición de entidades, servidores y servicios públicos. Para los solos efectos de esta ley: </w:t>
      </w:r>
    </w:p>
    <w:p w14:paraId="4C8C352E" w14:textId="77777777" w:rsidR="00BF2AD8" w:rsidRPr="00EE5378" w:rsidRDefault="00BF2AD8" w:rsidP="00BF2AD8">
      <w:pPr>
        <w:spacing w:after="0" w:line="240" w:lineRule="auto"/>
        <w:ind w:left="708" w:right="709"/>
        <w:jc w:val="both"/>
        <w:rPr>
          <w:rFonts w:ascii="Verdana" w:eastAsia="Calibri" w:hAnsi="Verdana" w:cs="Arial"/>
          <w:sz w:val="20"/>
          <w:szCs w:val="20"/>
          <w:lang w:val="es-ES"/>
        </w:rPr>
      </w:pPr>
    </w:p>
    <w:p w14:paraId="39E11056" w14:textId="77777777" w:rsidR="00BF2AD8" w:rsidRPr="00EE5378" w:rsidRDefault="00BF2AD8" w:rsidP="00BF2AD8">
      <w:pPr>
        <w:spacing w:after="0" w:line="240" w:lineRule="auto"/>
        <w:ind w:left="708" w:right="709"/>
        <w:jc w:val="both"/>
        <w:rPr>
          <w:rFonts w:ascii="Verdana" w:eastAsia="Calibri" w:hAnsi="Verdana" w:cs="Arial"/>
          <w:sz w:val="20"/>
          <w:szCs w:val="20"/>
          <w:lang w:val="es-ES"/>
        </w:rPr>
      </w:pPr>
      <w:r w:rsidRPr="00EE5378">
        <w:rPr>
          <w:rFonts w:ascii="Verdana" w:eastAsia="Calibri" w:hAnsi="Verdana" w:cs="Arial"/>
          <w:sz w:val="20"/>
          <w:szCs w:val="20"/>
          <w:lang w:val="es-ES"/>
        </w:rPr>
        <w:t xml:space="preserve">1o. Se denominan entidades estatales: </w:t>
      </w:r>
    </w:p>
    <w:p w14:paraId="0A3C78EE" w14:textId="77777777" w:rsidR="00BF2AD8" w:rsidRPr="00EE5378" w:rsidRDefault="00BF2AD8" w:rsidP="00BF2AD8">
      <w:pPr>
        <w:spacing w:after="0" w:line="240" w:lineRule="auto"/>
        <w:ind w:left="708" w:right="709"/>
        <w:jc w:val="both"/>
        <w:rPr>
          <w:rFonts w:ascii="Verdana" w:eastAsia="Calibri" w:hAnsi="Verdana" w:cs="Arial"/>
          <w:sz w:val="20"/>
          <w:szCs w:val="20"/>
          <w:lang w:val="es-ES"/>
        </w:rPr>
      </w:pPr>
    </w:p>
    <w:p w14:paraId="4CF7F317" w14:textId="77777777" w:rsidR="00BF2AD8" w:rsidRPr="00EE5378" w:rsidRDefault="00BF2AD8" w:rsidP="00BF2AD8">
      <w:pPr>
        <w:spacing w:after="0" w:line="240" w:lineRule="auto"/>
        <w:ind w:left="708" w:right="709"/>
        <w:jc w:val="both"/>
        <w:rPr>
          <w:rFonts w:ascii="Verdana" w:eastAsia="Calibri" w:hAnsi="Verdana" w:cs="Arial"/>
          <w:sz w:val="20"/>
          <w:szCs w:val="20"/>
          <w:lang w:val="es-ES"/>
        </w:rPr>
      </w:pPr>
      <w:r w:rsidRPr="00EE5378">
        <w:rPr>
          <w:rFonts w:ascii="Verdana" w:eastAsia="Calibri" w:hAnsi="Verdana" w:cs="Arial"/>
          <w:sz w:val="20"/>
          <w:szCs w:val="20"/>
          <w:lang w:val="es-ES"/>
        </w:rPr>
        <w:t xml:space="preserve">a) La Nación, las regiones, los departamentos, las provincias, el distrito capital y los distritos especiales, las áreas metropolitanas, las asociaciones de municipios, </w:t>
      </w:r>
      <w:r w:rsidRPr="00EE5378">
        <w:rPr>
          <w:rFonts w:ascii="Verdana" w:eastAsia="Calibri" w:hAnsi="Verdana" w:cs="Arial"/>
          <w:i/>
          <w:sz w:val="20"/>
          <w:szCs w:val="20"/>
          <w:lang w:val="es-ES"/>
        </w:rPr>
        <w:t>los territorios indígenas</w:t>
      </w:r>
      <w:r w:rsidRPr="00EE5378">
        <w:rPr>
          <w:rFonts w:ascii="Verdana" w:eastAsia="Calibri" w:hAnsi="Verdana" w:cs="Arial"/>
          <w:sz w:val="20"/>
          <w:szCs w:val="20"/>
          <w:lang w:val="es-ES"/>
        </w:rPr>
        <w:t xml:space="preserve">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 (énfasis fuera de texto).</w:t>
      </w:r>
    </w:p>
    <w:p w14:paraId="5F358EC6" w14:textId="77777777" w:rsidR="00BF2AD8" w:rsidRPr="00EE5378" w:rsidRDefault="00BF2AD8" w:rsidP="00BF2AD8">
      <w:pPr>
        <w:spacing w:after="0" w:line="240" w:lineRule="auto"/>
        <w:textAlignment w:val="baseline"/>
        <w:rPr>
          <w:rFonts w:ascii="Verdana" w:eastAsia="Times New Roman" w:hAnsi="Verdana" w:cs="Segoe UI"/>
          <w:b/>
          <w:bCs/>
          <w:color w:val="46589C"/>
          <w:lang w:val="es-ES" w:eastAsia="es-CO"/>
        </w:rPr>
      </w:pPr>
    </w:p>
    <w:p w14:paraId="24B31E78" w14:textId="77777777" w:rsidR="00BF2AD8" w:rsidRPr="00EE5378" w:rsidRDefault="00BF2AD8" w:rsidP="00BF2AD8">
      <w:pPr>
        <w:spacing w:after="120" w:line="276" w:lineRule="auto"/>
        <w:ind w:firstLine="708"/>
        <w:jc w:val="both"/>
        <w:rPr>
          <w:rFonts w:ascii="Verdana" w:eastAsia="Calibri" w:hAnsi="Verdana" w:cs="Arial"/>
          <w:lang w:val="es-ES"/>
        </w:rPr>
      </w:pPr>
      <w:r w:rsidRPr="00EE5378">
        <w:rPr>
          <w:rFonts w:ascii="Verdana" w:eastAsia="Calibri" w:hAnsi="Verdana" w:cs="Arial"/>
          <w:lang w:val="es-ES"/>
        </w:rPr>
        <w:t xml:space="preserve">De acuerdo con la Ley 80 de 1993, los territorios indígenas eran considerados Entidades Estatales. Sin embargo, la existencia de aquellos se encuentra condicionada a la expedición de la Ley de Ordenamiento Territorial, por lo que la aplicación del Estatuto General de Contratación de la Administración Pública para este tipo de entidades, a luz de las disposiciones hasta aquí referidas, presenta dificultades. Esto en la medida que no existe una norma que defina los territorios indígenas a los que hace referencia el artículo 2 de esta Ley, lo que necesariamente remite a otras normas a efectos de determinar qué se entiende por estos y cuáles tienen capacidad para adquirir obligaciones. </w:t>
      </w:r>
    </w:p>
    <w:p w14:paraId="06A4A196" w14:textId="77777777" w:rsidR="00BF2AD8" w:rsidRPr="00EE5378" w:rsidRDefault="00BF2AD8" w:rsidP="00BF2AD8">
      <w:pPr>
        <w:spacing w:before="120" w:line="276" w:lineRule="auto"/>
        <w:ind w:firstLine="680"/>
        <w:jc w:val="both"/>
        <w:rPr>
          <w:rFonts w:ascii="Verdana" w:eastAsia="Calibri" w:hAnsi="Verdana" w:cs="Arial"/>
          <w:lang w:val="es-ES"/>
        </w:rPr>
      </w:pPr>
      <w:r w:rsidRPr="00EE5378">
        <w:rPr>
          <w:rFonts w:ascii="Verdana" w:eastAsia="Calibri" w:hAnsi="Verdana" w:cs="Arial"/>
          <w:lang w:val="es-ES"/>
        </w:rPr>
        <w:t xml:space="preserve">En este contexto, posteriormente, se expediría la Ley 1454 de 2011, “Por la cual se dictan normas orgánicas sobre ordenamiento territorial y se modifican otras disposiciones”, que reguló asuntos relacionados con el ordenamiento territorial. Sin embargo, esta ley no constituyó a los territorios indígenas, como lo demuestra el parágrafo 2° del artículo 37, al disponer que el Gobierno debía presentar al Congreso un proyecto de ley que regulara la materia. </w:t>
      </w:r>
    </w:p>
    <w:p w14:paraId="74D7AF9C" w14:textId="77777777" w:rsidR="00BF2AD8" w:rsidRPr="00EE5378" w:rsidRDefault="00BF2AD8" w:rsidP="00BF2AD8">
      <w:pPr>
        <w:spacing w:after="120" w:line="276" w:lineRule="auto"/>
        <w:jc w:val="both"/>
        <w:rPr>
          <w:rFonts w:ascii="Verdana" w:eastAsia="Calibri" w:hAnsi="Verdana" w:cs="Arial"/>
          <w:lang w:val="es-ES"/>
        </w:rPr>
      </w:pPr>
      <w:r w:rsidRPr="00EE5378">
        <w:rPr>
          <w:rFonts w:ascii="Verdana" w:eastAsia="Calibri" w:hAnsi="Verdana" w:cs="Arial"/>
          <w:lang w:val="es-ES"/>
        </w:rPr>
        <w:tab/>
        <w:t xml:space="preserve">Otra disposición de relevancia es el artículo 356 superior, el cual habla de la de la distribución de los recursos del Sistema General de Participaciones–SGP, estableciendo que “[…] serán beneficiarias las entidades territoriales indígenas, una vez constituidas. Así mismo, la ley establecerá como beneficiarios a los resguardos indígenas, siempre y cuando estos no se hayan constituido en entidad territorial indígena”. A efectos de materializar esta distribución, –y ante la </w:t>
      </w:r>
      <w:proofErr w:type="spellStart"/>
      <w:r w:rsidRPr="00EE5378">
        <w:rPr>
          <w:rFonts w:ascii="Verdana" w:eastAsia="Calibri" w:hAnsi="Verdana" w:cs="Arial"/>
          <w:lang w:val="es-ES"/>
        </w:rPr>
        <w:t>omisión</w:t>
      </w:r>
      <w:proofErr w:type="spellEnd"/>
      <w:r w:rsidRPr="00EE5378">
        <w:rPr>
          <w:rFonts w:ascii="Verdana" w:eastAsia="Calibri" w:hAnsi="Verdana" w:cs="Arial"/>
          <w:lang w:val="es-ES"/>
        </w:rPr>
        <w:t xml:space="preserve"> legislativa identificada por la Corte Constitucional en la sentencia C-489 del 2012–, con sustento en el mencionado artículo 56 transitorio  se expidió </w:t>
      </w:r>
      <w:r w:rsidRPr="00EE5378">
        <w:rPr>
          <w:rFonts w:ascii="Verdana" w:eastAsia="Calibri" w:hAnsi="Verdana" w:cs="Arial"/>
          <w:lang w:val="es-ES"/>
        </w:rPr>
        <w:lastRenderedPageBreak/>
        <w:t xml:space="preserve">el Decreto 1953 de 2014, “Por el cual se crea un régimen especial con el fin de poner en funcionamiento los territorios indígenas respecto de la administración de los sistemas propios de los pueblos indígenas hasta que el Congreso expida la ley de qué trata el artículo 329 de la Constitución Política”. </w:t>
      </w:r>
    </w:p>
    <w:p w14:paraId="1178F5C0" w14:textId="77777777" w:rsidR="00BF2AD8" w:rsidRPr="00EE5378" w:rsidRDefault="00BF2AD8" w:rsidP="00BF2AD8">
      <w:pPr>
        <w:spacing w:line="276" w:lineRule="auto"/>
        <w:ind w:firstLine="708"/>
        <w:jc w:val="both"/>
        <w:rPr>
          <w:rFonts w:ascii="Verdana" w:eastAsia="Calibri" w:hAnsi="Verdana" w:cs="Arial"/>
          <w:lang w:val="es-ES"/>
        </w:rPr>
      </w:pPr>
      <w:r w:rsidRPr="00EE5378">
        <w:rPr>
          <w:rFonts w:ascii="Verdana" w:eastAsia="Calibri" w:hAnsi="Verdana" w:cs="Arial"/>
          <w:lang w:val="es-ES"/>
        </w:rPr>
        <w:t>Los aspectos más relevantes de esta norma son los relacionados con el funcionamiento de los territorios indígenas. Al respecto, dispone que los resguardos indígenas que se ubiquen en ciertos supuestos</w:t>
      </w:r>
      <w:r w:rsidRPr="00EE5378">
        <w:rPr>
          <w:rStyle w:val="Refdenotaalpie"/>
          <w:rFonts w:ascii="Verdana" w:eastAsia="Calibri" w:hAnsi="Verdana" w:cs="Arial"/>
          <w:lang w:val="es-ES"/>
        </w:rPr>
        <w:footnoteReference w:id="5"/>
      </w:r>
      <w:r w:rsidRPr="00EE5378">
        <w:rPr>
          <w:rFonts w:ascii="Verdana" w:eastAsia="Calibri" w:hAnsi="Verdana" w:cs="Arial"/>
          <w:lang w:val="es-ES"/>
        </w:rPr>
        <w:t>, al igual que las asociaciones que estos conformen para administrar recursos del SGP, podrán ser considerados como territorios indígenas, de manera transitoria, “[…] mientras el Congreso expide la Ley Orgánica de Ordenamiento Territorial que crea las entidades territoriales indígenas”.</w:t>
      </w:r>
      <w:r w:rsidRPr="00EE5378">
        <w:rPr>
          <w:rStyle w:val="Refdenotaalpie"/>
          <w:rFonts w:ascii="Verdana" w:eastAsia="Calibri" w:hAnsi="Verdana" w:cs="Arial"/>
          <w:lang w:val="es-ES"/>
        </w:rPr>
        <w:footnoteReference w:id="6"/>
      </w:r>
      <w:r w:rsidRPr="00EE5378">
        <w:rPr>
          <w:rFonts w:ascii="Verdana" w:eastAsia="Calibri" w:hAnsi="Verdana" w:cs="Arial"/>
          <w:lang w:val="es-ES"/>
        </w:rPr>
        <w:t xml:space="preserve">  Adicionalmente, establece que para los fines y la ejecución de los recursos de que trata dicho decreto, los territorios y resguardos indígenas que hayan sido autorizados para administrar recursos del SGP serán considerados Entidades Estatales de acuerdo con lo indicado en el artículo 2 de la Ley 80 de 1993. 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p>
    <w:p w14:paraId="687886D0" w14:textId="77777777" w:rsidR="00BF2AD8" w:rsidRPr="00EE5378" w:rsidRDefault="00BF2AD8" w:rsidP="00BF2AD8">
      <w:pPr>
        <w:spacing w:after="120" w:line="276" w:lineRule="auto"/>
        <w:ind w:firstLine="708"/>
        <w:jc w:val="both"/>
        <w:rPr>
          <w:rFonts w:ascii="Verdana" w:eastAsia="Calibri" w:hAnsi="Verdana" w:cs="Arial"/>
          <w:lang w:val="es-ES"/>
        </w:rPr>
      </w:pPr>
      <w:r w:rsidRPr="00EE5378">
        <w:rPr>
          <w:rFonts w:ascii="Verdana" w:eastAsia="Calibri" w:hAnsi="Verdana" w:cs="Arial"/>
          <w:lang w:val="es-ES"/>
        </w:rPr>
        <w:t>Por otro lado, el artículo 20 del Decreto 1953 de 2014 dispone que los actos o contratos que celebren o expidan los territorios indígenas en virtud de dicho decreto se regirán por el Estatuto Orgánico del Presupuesto y el Estatuto de Contratación Estatal, entre otras normas. También dispuso que los territorios indígenas pueden celebrar contratos con las asociaciones de cabildos y/o autoridades tradicionales de que trata el Decreto 1088 de 1993, pero estos solo podrán celebrarse entre territorios indígenas, cabildos y/o autoridades tradicionales constituidos bajo lo dispuesto en el Decreto 1088 de 1993, no con otras entidades del Estado</w:t>
      </w:r>
      <w:r w:rsidRPr="00EE5378">
        <w:rPr>
          <w:rStyle w:val="Refdenotaalpie"/>
          <w:rFonts w:ascii="Verdana" w:eastAsia="Calibri" w:hAnsi="Verdana" w:cs="Arial"/>
          <w:lang w:val="es-ES"/>
        </w:rPr>
        <w:footnoteReference w:id="7"/>
      </w:r>
      <w:r w:rsidRPr="00EE5378">
        <w:rPr>
          <w:rFonts w:ascii="Verdana" w:eastAsia="Calibri" w:hAnsi="Verdana" w:cs="Arial"/>
          <w:lang w:val="es-ES"/>
        </w:rPr>
        <w:t xml:space="preserve">. </w:t>
      </w:r>
    </w:p>
    <w:p w14:paraId="72D8BF03" w14:textId="77777777" w:rsidR="00BF2AD8" w:rsidRPr="00EE5378" w:rsidRDefault="00BF2AD8" w:rsidP="00BF2AD8">
      <w:pPr>
        <w:spacing w:after="120" w:line="276" w:lineRule="auto"/>
        <w:ind w:firstLine="709"/>
        <w:jc w:val="both"/>
        <w:rPr>
          <w:rFonts w:ascii="Verdana" w:eastAsia="Calibri" w:hAnsi="Verdana" w:cs="Arial"/>
          <w:lang w:val="es-ES"/>
        </w:rPr>
      </w:pPr>
      <w:r w:rsidRPr="00EE5378">
        <w:rPr>
          <w:rFonts w:ascii="Verdana" w:eastAsia="Calibri" w:hAnsi="Verdana" w:cs="Arial"/>
          <w:lang w:val="es-ES"/>
        </w:rPr>
        <w:lastRenderedPageBreak/>
        <w:t xml:space="preserve">Conforme a lo anterior, el Decreto 1953 de 2014 permite que resguardos podrán asociarse para administrar y ejecutar los recursos de la asignación especial del SGP, siempre que acrediten los requisitos establecidos en el decreto, y son personas jurídicas de derecho público especial. Los territorios y resguardos Indígenas que hayan sido autorizados para administrar recursos del SGP, conforme a lo dispuesto por ese decreto, se consideran Entidades Estatales, de acuerdo con lo dispuesto en el artículo 2° de la Ley 80 de 1993. Dicha capacidad será ejercida a través de su representante legal, de acuerdo con lo dispuesto en el decreto. En caso de que un resguardo indígena no administre la asignación especial del Sistema General de Participaciones, o no se haya asociado con otros para administrarlos, su ejecución se realizará mediante la celebración de un contrato de administración suscrito entre la entidad territorial respectiva y el representante legal del resguardo designado por las autoridades propias. </w:t>
      </w:r>
    </w:p>
    <w:p w14:paraId="0024D40C" w14:textId="77777777" w:rsidR="00BF2AD8" w:rsidRPr="00EE5378" w:rsidRDefault="00BF2AD8" w:rsidP="00BF2AD8">
      <w:pPr>
        <w:spacing w:after="120" w:line="276" w:lineRule="auto"/>
        <w:jc w:val="both"/>
        <w:rPr>
          <w:rFonts w:ascii="Verdana" w:eastAsia="Calibri" w:hAnsi="Verdana" w:cs="Arial"/>
          <w:lang w:val="es-ES"/>
        </w:rPr>
      </w:pPr>
      <w:r w:rsidRPr="00EE5378">
        <w:rPr>
          <w:rFonts w:ascii="Verdana" w:eastAsia="Calibri" w:hAnsi="Verdana" w:cs="Arial"/>
          <w:lang w:val="es-ES"/>
        </w:rPr>
        <w:t>  </w:t>
      </w:r>
      <w:r w:rsidRPr="00EE5378">
        <w:rPr>
          <w:rFonts w:ascii="Verdana" w:eastAsia="Calibri" w:hAnsi="Verdana" w:cs="Arial"/>
          <w:lang w:val="es-ES"/>
        </w:rPr>
        <w:tab/>
        <w:t xml:space="preserve"> Las normas hasta aquí analizadas, por un lado, conciben a los resguardos indígenas como una instituciones legales y sociopolíticas de carácter especial, que pueden estar conformadas por una o más comunidades indígenas, que ejercen la propiedad colectiva sobre un territorio común, y que, si bien gozan de las garantías de la propiedad privada, tienen naturaleza inalienable, imprescriptible e inembargable. En ese sentido, a pesar de que la noción de resguardos indígenas no se agota en el territorio físico que es objeto de propiedad colectiva, tampoco es susceptible de ser equiparado al concepto de territorios indígenas al que se refiere el artículo 2 de la Ley 80 de 1993, ya que este aplica a las entidades territoriales indígenas, que, conforme a lo aquí explicado, aún no han sido objeto de implementación. Así pues, en principio, los resguardos indígenas no tienen el carácter de Entidades Estatales en el marco del Estatuto General de Contratación de la Administración Pública, ni tampoco tienen capacidad para contratar a luz del artículo 6 de la Ley 80 de 1993.</w:t>
      </w:r>
    </w:p>
    <w:p w14:paraId="1FE790E0" w14:textId="77777777" w:rsidR="00BF2AD8" w:rsidRPr="00EE5378" w:rsidRDefault="00BF2AD8" w:rsidP="00BF2AD8">
      <w:pPr>
        <w:spacing w:after="120" w:line="276" w:lineRule="auto"/>
        <w:jc w:val="both"/>
        <w:rPr>
          <w:rFonts w:ascii="Verdana" w:eastAsia="Calibri" w:hAnsi="Verdana" w:cs="Arial"/>
          <w:lang w:val="es-ES"/>
        </w:rPr>
      </w:pPr>
      <w:r w:rsidRPr="00EE5378">
        <w:rPr>
          <w:rFonts w:ascii="Verdana" w:eastAsia="Calibri" w:hAnsi="Verdana" w:cs="Arial"/>
          <w:lang w:val="es-ES"/>
        </w:rPr>
        <w:tab/>
        <w:t xml:space="preserve">No obstante, el régimen para la transitoria puesta en marcha de los territorios indígenas establecido por el Decreto autónomo 1953 de 2014, a </w:t>
      </w:r>
      <w:r w:rsidRPr="00EE5378">
        <w:rPr>
          <w:rFonts w:ascii="Verdana" w:eastAsia="Calibri" w:hAnsi="Verdana" w:cs="Arial"/>
          <w:lang w:val="es-ES"/>
        </w:rPr>
        <w:lastRenderedPageBreak/>
        <w:t xml:space="preserve">efectos de garantizar la distribución de los recursos de asignación especial del Sistema General de Participaciones que corresponden a los pueblos indígenas, estableció diferentes mecanismos para que se ejecutaran los mismos. Dentro de estos mecanismos se estableció la posibilidad de que los resguardos indígenas que cumplieran ciertos requisitos o se agruparan con otros resguardos fueran reconocidos de manera transitoria como territorios indígenas, evento en el que, de conformidad con el artículo 9 del Decreto 1953 de 2014, son consideradas como Entidades Estatales de acuerdo con el artículo 2 de la Ley 80 de 1993. No obstante, la capacidad jurídica que deriva de este artículo está limitada a lo relacionado con el ejercicio de las funciones públicas y la ejecución de recursos de los que trata el decreto.   </w:t>
      </w:r>
    </w:p>
    <w:p w14:paraId="11ADA3EA" w14:textId="77777777" w:rsidR="00BF2AD8" w:rsidRPr="00EE5378" w:rsidRDefault="00BF2AD8" w:rsidP="00BF2AD8">
      <w:pPr>
        <w:spacing w:after="120" w:line="276" w:lineRule="auto"/>
        <w:jc w:val="both"/>
        <w:rPr>
          <w:rFonts w:ascii="Verdana" w:eastAsia="Calibri" w:hAnsi="Verdana" w:cs="Arial"/>
          <w:lang w:val="es-ES"/>
        </w:rPr>
      </w:pPr>
      <w:r w:rsidRPr="00EE5378">
        <w:rPr>
          <w:rFonts w:ascii="Verdana" w:eastAsia="Calibri" w:hAnsi="Verdana" w:cs="Arial"/>
          <w:lang w:val="es-ES"/>
        </w:rPr>
        <w:tab/>
        <w:t>En síntesis, a pesar de que el Decreto 1953 de 2014 establece el carácter de Entidades Estatales de los territorios indígenas regulados de manera transitoria, los resguardos indígenas y sus asociaciones, esto solo resulta aplicable a los asuntos contractuales regulados por dicha norma autónoma. Esto significa que, los territorios, resguardos indígenas y asociaciones de estos, solo son consideradas Entidades Estatales para efectos de celebrar los negocios jurídicos requeridos para el cumplimiento de las funciones que les asigna el decreto</w:t>
      </w:r>
      <w:r w:rsidRPr="00EE5378">
        <w:rPr>
          <w:rStyle w:val="Refdenotaalpie"/>
          <w:rFonts w:ascii="Verdana" w:eastAsia="Calibri" w:hAnsi="Verdana" w:cs="Arial"/>
          <w:lang w:val="es-ES"/>
        </w:rPr>
        <w:footnoteReference w:id="8"/>
      </w:r>
      <w:r w:rsidRPr="00EE5378">
        <w:rPr>
          <w:rFonts w:ascii="Verdana" w:eastAsia="Calibri" w:hAnsi="Verdana" w:cs="Arial"/>
          <w:lang w:val="es-ES"/>
        </w:rPr>
        <w:t xml:space="preserve">, prevalentemente relacionadas con la ejecución y administración de recursos del Sistema General de Participaciones, por lo que no estarían facultados para ejecutar negocios jurídicos no relacionados con tales atribuciones. </w:t>
      </w:r>
    </w:p>
    <w:p w14:paraId="72782AB8" w14:textId="77777777" w:rsidR="006300F2" w:rsidRPr="00EE5378" w:rsidRDefault="00BF2AD8" w:rsidP="00BD1394">
      <w:pPr>
        <w:spacing w:before="120" w:line="276" w:lineRule="auto"/>
        <w:jc w:val="both"/>
        <w:rPr>
          <w:rFonts w:ascii="Verdana" w:eastAsia="Calibri" w:hAnsi="Verdana" w:cs="Arial"/>
          <w:lang w:val="es-ES_tradnl"/>
        </w:rPr>
      </w:pPr>
      <w:proofErr w:type="spellStart"/>
      <w:r w:rsidRPr="00EE5378">
        <w:rPr>
          <w:rFonts w:ascii="Verdana" w:eastAsia="Calibri" w:hAnsi="Verdana" w:cs="Arial"/>
          <w:lang w:val="es-ES"/>
        </w:rPr>
        <w:lastRenderedPageBreak/>
        <w:t>ii</w:t>
      </w:r>
      <w:proofErr w:type="spellEnd"/>
      <w:r w:rsidRPr="00EE5378">
        <w:rPr>
          <w:rFonts w:ascii="Verdana" w:eastAsia="Calibri" w:hAnsi="Verdana" w:cs="Arial"/>
          <w:lang w:val="es-ES"/>
        </w:rPr>
        <w:t xml:space="preserve">) </w:t>
      </w:r>
      <w:r w:rsidR="006300F2" w:rsidRPr="00EE5378">
        <w:rPr>
          <w:rFonts w:ascii="Verdana" w:hAnsi="Verdana" w:cs="Arial"/>
          <w:bdr w:val="none" w:sz="0" w:space="0" w:color="auto" w:frame="1"/>
          <w:lang w:val="es-MX"/>
        </w:rPr>
        <w:t xml:space="preserve">Por otro lado, y en lo que respecta a la publicación en SECOP, es preciso indicar que </w:t>
      </w:r>
      <w:r w:rsidR="006300F2" w:rsidRPr="00EE5378">
        <w:rPr>
          <w:rFonts w:ascii="Verdana" w:eastAsia="Calibri" w:hAnsi="Verdana" w:cs="Arial"/>
          <w:lang w:val="es-ES_tradnl"/>
        </w:rPr>
        <w:t xml:space="preserve">uno de los postulados más importantes de un Estado social y democrático de derecho es el principio de </w:t>
      </w:r>
      <w:r w:rsidR="006300F2" w:rsidRPr="00EE5378">
        <w:rPr>
          <w:rFonts w:ascii="Verdana" w:eastAsia="Calibri" w:hAnsi="Verdana" w:cs="Arial"/>
          <w:i/>
          <w:iCs/>
          <w:lang w:val="es-ES_tradnl"/>
        </w:rPr>
        <w:t>publicidad</w:t>
      </w:r>
      <w:r w:rsidR="006300F2" w:rsidRPr="00EE5378">
        <w:rPr>
          <w:rFonts w:ascii="Verdana" w:eastAsia="Calibri" w:hAnsi="Verdana" w:cs="Arial"/>
          <w:lang w:val="es-ES_tradnl"/>
        </w:rPr>
        <w:t xml:space="preserve">, pues este permite que las actuaciones de las autoridades gocen de visibilidad. La Constitución Política de 1991 consagra en varios artículos la publicidad como un principio rector del Estado colombiano. Entre los más destacados, puede mencionarse el 209, que afirma que la publicidad es uno de los principios que fundamentan el ejercicio de la función administrativa, y el artículo 74, que consagra la garantía de acceso a los documentos públicos que no gocen de reserva –y esta, además, es excepcional, pues solo procede si existe causal constitucional o legal expresa–. En tal perspectiva, la Corte Constitucional ha señalado que el principio de publicidad es la garantía que tienen las personas de conocer las actuaciones judiciales y administrativas. </w:t>
      </w:r>
    </w:p>
    <w:p w14:paraId="5699E369" w14:textId="77777777" w:rsidR="00BD1394" w:rsidRPr="00EE5378" w:rsidRDefault="00BD1394" w:rsidP="00BD1394">
      <w:pPr>
        <w:spacing w:after="120" w:line="276" w:lineRule="auto"/>
        <w:ind w:firstLine="709"/>
        <w:jc w:val="both"/>
        <w:rPr>
          <w:rFonts w:ascii="Verdana" w:eastAsia="Calibri" w:hAnsi="Verdana" w:cs="Arial"/>
          <w:lang w:val="es-ES_tradnl" w:eastAsia="es-ES_tradnl"/>
        </w:rPr>
      </w:pPr>
      <w:bookmarkStart w:id="2" w:name="_Hlk110868438"/>
      <w:r w:rsidRPr="00EE5378">
        <w:rPr>
          <w:rFonts w:ascii="Verdana" w:hAnsi="Verdana" w:cs="Arial"/>
        </w:rPr>
        <w:t>El principio de publicidad impone a las autoridades administrativas el deber de dar</w:t>
      </w:r>
      <w:r w:rsidRPr="00EE5378">
        <w:rPr>
          <w:rFonts w:ascii="Verdana" w:eastAsia="Calibri" w:hAnsi="Verdana" w:cs="Arial"/>
        </w:rPr>
        <w:t xml:space="preserve"> a conocer sus actos, contratos y decisiones, para que se divulguen y, eventualmente, </w:t>
      </w:r>
      <w:bookmarkStart w:id="3" w:name="_Hlk110596634"/>
      <w:r w:rsidRPr="00EE5378">
        <w:rPr>
          <w:rFonts w:ascii="Verdana" w:eastAsia="Calibri" w:hAnsi="Verdana" w:cs="Arial"/>
        </w:rPr>
        <w:t>se controlen las actuaciones. En virtud de ello, en el ámbito de la contratación estatal el literal c) del artículo 3 de la Ley 1150 de 2007 establece el Sistema Electrónico para la Contratación Pública – SECOP – como un mecanismo que “contará con la información oficial de la contratación realizada con dineros públicos, para lo cual establecerá los patrones a que haya lugar y se encargará de su difusión a través de canales electrónicos”</w:t>
      </w:r>
      <w:r w:rsidRPr="00EE5378">
        <w:rPr>
          <w:rFonts w:ascii="Verdana" w:eastAsia="Calibri" w:hAnsi="Verdana" w:cs="Arial"/>
          <w:vertAlign w:val="superscript"/>
        </w:rPr>
        <w:footnoteReference w:id="9"/>
      </w:r>
      <w:r w:rsidRPr="00EE5378">
        <w:rPr>
          <w:rFonts w:ascii="Verdana" w:eastAsia="Calibri" w:hAnsi="Verdana" w:cs="Arial"/>
        </w:rPr>
        <w:t xml:space="preserve">. </w:t>
      </w:r>
    </w:p>
    <w:bookmarkEnd w:id="2"/>
    <w:bookmarkEnd w:id="3"/>
    <w:p w14:paraId="68B613E0" w14:textId="77777777" w:rsidR="00BD1394" w:rsidRPr="00EE5378" w:rsidRDefault="00BD1394" w:rsidP="00BD1394">
      <w:pPr>
        <w:spacing w:after="120" w:line="276" w:lineRule="auto"/>
        <w:ind w:firstLine="708"/>
        <w:jc w:val="both"/>
        <w:rPr>
          <w:rFonts w:ascii="Verdana" w:eastAsia="Times New Roman" w:hAnsi="Verdana" w:cs="Arial"/>
          <w:lang w:eastAsia="es-CO"/>
        </w:rPr>
      </w:pPr>
      <w:r w:rsidRPr="00EE5378">
        <w:rPr>
          <w:rFonts w:ascii="Verdana" w:eastAsia="Times New Roman" w:hAnsi="Verdana" w:cs="Arial"/>
          <w:lang w:eastAsia="es-CO"/>
        </w:rPr>
        <w:t xml:space="preserve">De otra parte, la Ley 1712 de 2014, </w:t>
      </w:r>
      <w:r w:rsidRPr="00EE5378">
        <w:rPr>
          <w:rFonts w:ascii="Verdana" w:eastAsia="Calibri" w:hAnsi="Verdana" w:cs="Arial"/>
        </w:rPr>
        <w:t>“P</w:t>
      </w:r>
      <w:r w:rsidRPr="00EE5378">
        <w:rPr>
          <w:rFonts w:ascii="Verdana" w:eastAsia="Times New Roman" w:hAnsi="Verdana" w:cs="Arial"/>
          <w:lang w:eastAsia="es-CO"/>
        </w:rPr>
        <w:t>or medio de la cual se crea la Ley de Transparencia y del Derecho de Acceso a la Información Pública Nacional y se dictan otras disposiciones</w:t>
      </w:r>
      <w:r w:rsidRPr="00EE5378">
        <w:rPr>
          <w:rFonts w:ascii="Verdana" w:eastAsia="Calibri" w:hAnsi="Verdana" w:cs="Arial"/>
        </w:rPr>
        <w:t>”</w:t>
      </w:r>
      <w:r w:rsidRPr="00EE5378">
        <w:rPr>
          <w:rFonts w:ascii="Verdana" w:eastAsia="Times New Roman" w:hAnsi="Verdana" w:cs="Arial"/>
          <w:lang w:eastAsia="es-CO"/>
        </w:rPr>
        <w:t xml:space="preserve">, identifica como principios que orientan el derecho </w:t>
      </w:r>
      <w:r w:rsidRPr="00EE5378">
        <w:rPr>
          <w:rFonts w:ascii="Verdana" w:eastAsia="Times New Roman" w:hAnsi="Verdana" w:cs="Arial"/>
          <w:lang w:eastAsia="es-CO"/>
        </w:rPr>
        <w:lastRenderedPageBreak/>
        <w:t>de acceso a la información pública, el principio de máxima publicidad, el principio de transparencia en la información y el principio de buena fe. El principio de máxima publicidad establece que “toda información en posesión, bajo control o custodia de un sujeto obligado es pública y no podrá ser reservada o limitada sino por disposición constitucional o legal”</w:t>
      </w:r>
      <w:r w:rsidRPr="00EE5378">
        <w:rPr>
          <w:rFonts w:ascii="Verdana" w:eastAsia="Times New Roman" w:hAnsi="Verdana" w:cs="Arial"/>
          <w:vertAlign w:val="superscript"/>
          <w:lang w:eastAsia="es-CO"/>
        </w:rPr>
        <w:footnoteReference w:id="10"/>
      </w:r>
      <w:r w:rsidRPr="00EE5378">
        <w:rPr>
          <w:rFonts w:ascii="Verdana" w:eastAsia="Times New Roman" w:hAnsi="Verdana" w:cs="Arial"/>
          <w:lang w:eastAsia="es-CO"/>
        </w:rPr>
        <w:t>. El principio de transparencia en la información alude al deber de los sujetos de proporcionar y facilitar el acceso a la misma en los términos más amplios posibles, a través de los medios y procedimientos que establezca la</w:t>
      </w:r>
      <w:r w:rsidRPr="00EE5378">
        <w:rPr>
          <w:rFonts w:ascii="Verdana" w:eastAsia="Times New Roman" w:hAnsi="Verdana" w:cs="Arial"/>
          <w:spacing w:val="-2"/>
          <w:lang w:eastAsia="es-CO"/>
        </w:rPr>
        <w:t xml:space="preserve"> </w:t>
      </w:r>
      <w:r w:rsidRPr="00EE5378">
        <w:rPr>
          <w:rFonts w:ascii="Verdana" w:eastAsia="Times New Roman" w:hAnsi="Verdana" w:cs="Arial"/>
          <w:lang w:eastAsia="es-CO"/>
        </w:rPr>
        <w:t>ley</w:t>
      </w:r>
      <w:r w:rsidRPr="00EE5378">
        <w:rPr>
          <w:rFonts w:ascii="Verdana" w:eastAsia="Times New Roman" w:hAnsi="Verdana" w:cs="Arial"/>
          <w:vertAlign w:val="superscript"/>
          <w:lang w:eastAsia="es-CO"/>
        </w:rPr>
        <w:footnoteReference w:id="11"/>
      </w:r>
      <w:r w:rsidRPr="00EE5378">
        <w:rPr>
          <w:rFonts w:ascii="Verdana" w:eastAsia="Times New Roman" w:hAnsi="Verdana" w:cs="Arial"/>
          <w:lang w:eastAsia="es-CO"/>
        </w:rPr>
        <w:t>. Finalmente, el principio de buena fe hace referencia al deber de todo sujeto obligado de cumplir con las obligaciones derivadas del derecho de acceso a la información pública con motivación honesta, leal y desprovista de cualquier intención dolosa o culposa</w:t>
      </w:r>
      <w:r w:rsidRPr="00EE5378">
        <w:rPr>
          <w:rFonts w:ascii="Verdana" w:eastAsia="Times New Roman" w:hAnsi="Verdana" w:cs="Arial"/>
          <w:vertAlign w:val="superscript"/>
          <w:lang w:eastAsia="es-CO"/>
        </w:rPr>
        <w:footnoteReference w:id="12"/>
      </w:r>
      <w:r w:rsidRPr="00EE5378">
        <w:rPr>
          <w:rFonts w:ascii="Verdana" w:eastAsia="Times New Roman" w:hAnsi="Verdana" w:cs="Arial"/>
          <w:lang w:eastAsia="es-CO"/>
        </w:rPr>
        <w:t xml:space="preserve">. </w:t>
      </w:r>
    </w:p>
    <w:p w14:paraId="2C256553" w14:textId="77777777" w:rsidR="00BD1394" w:rsidRPr="00EE5378" w:rsidRDefault="00BD1394" w:rsidP="00BD1394">
      <w:pPr>
        <w:spacing w:after="120" w:line="276" w:lineRule="auto"/>
        <w:ind w:firstLine="709"/>
        <w:jc w:val="both"/>
        <w:rPr>
          <w:rFonts w:ascii="Verdana" w:eastAsia="Times New Roman" w:hAnsi="Verdana" w:cs="Arial"/>
          <w:lang w:eastAsia="es-CO"/>
        </w:rPr>
      </w:pPr>
      <w:r w:rsidRPr="00EE5378">
        <w:rPr>
          <w:rFonts w:ascii="Verdana" w:eastAsia="Times New Roman" w:hAnsi="Verdana" w:cs="Arial"/>
          <w:lang w:eastAsia="es-CO"/>
        </w:rPr>
        <w:t xml:space="preserve">La citada ley establece, en el literal e) del artículo 9, que los </w:t>
      </w:r>
      <w:r w:rsidRPr="00EE5378">
        <w:rPr>
          <w:rFonts w:ascii="Verdana" w:eastAsia="Times New Roman" w:hAnsi="Verdana" w:cs="Arial"/>
          <w:i/>
          <w:iCs/>
          <w:lang w:eastAsia="es-CO"/>
        </w:rPr>
        <w:t xml:space="preserve">sujetos obligados </w:t>
      </w:r>
      <w:r w:rsidRPr="00EE5378">
        <w:rPr>
          <w:rFonts w:ascii="Verdana" w:eastAsia="Times New Roman" w:hAnsi="Verdana" w:cs="Arial"/>
          <w:lang w:eastAsia="es-CO"/>
        </w:rPr>
        <w:t>deben publicar la información relativa a su contratación</w:t>
      </w:r>
      <w:r w:rsidRPr="00EE5378">
        <w:rPr>
          <w:rStyle w:val="Refdenotaalpie"/>
          <w:rFonts w:ascii="Verdana" w:eastAsia="Times New Roman" w:hAnsi="Verdana" w:cs="Arial"/>
          <w:lang w:eastAsia="es-CO"/>
        </w:rPr>
        <w:footnoteReference w:id="13"/>
      </w:r>
      <w:r w:rsidRPr="00EE5378">
        <w:rPr>
          <w:rFonts w:ascii="Verdana" w:eastAsia="Times New Roman" w:hAnsi="Verdana" w:cs="Arial"/>
          <w:lang w:eastAsia="es-CO"/>
        </w:rPr>
        <w:t xml:space="preserve">. </w:t>
      </w:r>
      <w:r w:rsidRPr="00EE5378">
        <w:rPr>
          <w:rFonts w:ascii="Verdana" w:eastAsia="Arial MT" w:hAnsi="Verdana" w:cs="Arial"/>
          <w:lang w:val="es-ES"/>
        </w:rPr>
        <w:t xml:space="preserve">El artículo </w:t>
      </w:r>
      <w:r w:rsidRPr="00EE5378">
        <w:rPr>
          <w:rFonts w:ascii="Verdana" w:eastAsia="Arial MT" w:hAnsi="Verdana" w:cs="Arial"/>
          <w:lang w:val="es-ES"/>
        </w:rPr>
        <w:lastRenderedPageBreak/>
        <w:t xml:space="preserve">5 </w:t>
      </w:r>
      <w:r w:rsidRPr="00EE5378">
        <w:rPr>
          <w:rFonts w:ascii="Verdana" w:eastAsia="Arial MT" w:hAnsi="Verdana" w:cs="Arial"/>
          <w:i/>
          <w:iCs/>
          <w:lang w:val="es-ES"/>
        </w:rPr>
        <w:t>ibidem</w:t>
      </w:r>
      <w:r w:rsidRPr="00EE5378">
        <w:rPr>
          <w:rFonts w:ascii="Verdana" w:eastAsia="Arial MT" w:hAnsi="Verdana" w:cs="Arial"/>
          <w:lang w:val="es-ES"/>
        </w:rPr>
        <w:t>, al describir qué se entiende por sujetos obligados, consagra una lista cuyo propósito es incluir a cualquier entidad, órgano, organismo, o persona natural que desempeñe funciones públicas o administre recursos públicos. Igualmente, establece que son sujetos obligados las empresas públicas, las empresas del Estado y las sociedades en las que el Estado tenga participación, sin que importe su monto</w:t>
      </w:r>
      <w:r w:rsidRPr="00EE5378">
        <w:rPr>
          <w:rFonts w:ascii="Verdana" w:eastAsia="Times New Roman" w:hAnsi="Verdana" w:cs="Arial"/>
          <w:vertAlign w:val="superscript"/>
          <w:lang w:eastAsia="es-CO"/>
        </w:rPr>
        <w:footnoteReference w:id="14"/>
      </w:r>
      <w:r w:rsidRPr="00EE5378">
        <w:rPr>
          <w:rFonts w:ascii="Verdana" w:eastAsia="Arial MT" w:hAnsi="Verdana" w:cs="Arial"/>
          <w:lang w:val="es-ES"/>
        </w:rPr>
        <w:t>.</w:t>
      </w:r>
      <w:r w:rsidRPr="00EE5378">
        <w:rPr>
          <w:rFonts w:ascii="Verdana" w:eastAsia="Times New Roman" w:hAnsi="Verdana" w:cs="Arial"/>
          <w:lang w:eastAsia="es-CO"/>
        </w:rPr>
        <w:t xml:space="preserve"> 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w:t>
      </w:r>
    </w:p>
    <w:p w14:paraId="31ACD8AD" w14:textId="77777777" w:rsidR="00BD1394" w:rsidRPr="00EE5378" w:rsidRDefault="00BD1394" w:rsidP="00BD1394">
      <w:pPr>
        <w:spacing w:after="120" w:line="276" w:lineRule="auto"/>
        <w:ind w:firstLine="709"/>
        <w:jc w:val="both"/>
        <w:rPr>
          <w:rFonts w:ascii="Verdana" w:eastAsia="Calibri" w:hAnsi="Verdana" w:cs="Arial"/>
          <w:lang w:val="es-ES_tradnl"/>
        </w:rPr>
      </w:pPr>
      <w:r w:rsidRPr="00EE5378">
        <w:rPr>
          <w:rFonts w:ascii="Verdana" w:eastAsia="Times New Roman" w:hAnsi="Verdana" w:cs="Arial"/>
          <w:lang w:eastAsia="es-CO"/>
        </w:rPr>
        <w:t>La obligación de publicidad antes mencionada fue desarrollada a través del Decreto Reglamentario 103 de 2015</w:t>
      </w:r>
      <w:r w:rsidRPr="00EE5378">
        <w:rPr>
          <w:rFonts w:ascii="Verdana" w:eastAsia="Calibri" w:hAnsi="Verdana" w:cs="Arial"/>
          <w:lang w:val="es-ES_tradnl"/>
        </w:rPr>
        <w:t xml:space="preserve">–“Por el cual se reglamenta parcialmente la Ley 1712 de 2014 y se dictan otras disposiciones”–, el cual fue recopilado en el </w:t>
      </w:r>
      <w:r w:rsidRPr="00EE5378">
        <w:rPr>
          <w:rFonts w:ascii="Verdana" w:eastAsia="Times New Roman" w:hAnsi="Verdana" w:cs="Arial"/>
          <w:lang w:eastAsia="es-CO"/>
        </w:rPr>
        <w:t>Decreto Único Reglamentario 1081 de 2015</w:t>
      </w:r>
      <w:r w:rsidRPr="00EE5378">
        <w:rPr>
          <w:rFonts w:ascii="Verdana" w:eastAsia="Calibri" w:hAnsi="Verdana" w:cs="Arial"/>
          <w:lang w:val="es-ES_tradnl"/>
        </w:rPr>
        <w:t>. Puntualmente, el artículo 7 –</w:t>
      </w:r>
      <w:r w:rsidRPr="00EE5378">
        <w:rPr>
          <w:rFonts w:ascii="Verdana" w:eastAsia="Times New Roman" w:hAnsi="Verdana" w:cs="Arial"/>
          <w:lang w:eastAsia="es-CO"/>
        </w:rPr>
        <w:t>artículo 2.1.1.2.1.7. del Decreto 1081 de 2015</w:t>
      </w:r>
      <w:r w:rsidRPr="00EE5378">
        <w:rPr>
          <w:rFonts w:ascii="Verdana" w:eastAsia="Times New Roman" w:hAnsi="Verdana" w:cs="Arial"/>
          <w:vertAlign w:val="superscript"/>
          <w:lang w:eastAsia="es-CO"/>
        </w:rPr>
        <w:footnoteReference w:id="15"/>
      </w:r>
      <w:r w:rsidRPr="00EE5378">
        <w:rPr>
          <w:rFonts w:ascii="Verdana" w:eastAsia="Calibri" w:hAnsi="Verdana" w:cs="Arial"/>
          <w:lang w:val="es-ES_tradnl"/>
        </w:rPr>
        <w:t>–</w:t>
      </w:r>
      <w:r w:rsidRPr="00EE5378">
        <w:rPr>
          <w:rFonts w:ascii="Verdana" w:eastAsia="Times New Roman" w:hAnsi="Verdana" w:cs="Arial"/>
          <w:lang w:eastAsia="es-CO"/>
        </w:rPr>
        <w:t>, dispone que la publicación de la información de la gestión contractual de los sujetos obligados,</w:t>
      </w:r>
      <w:r w:rsidRPr="00EE5378">
        <w:rPr>
          <w:rFonts w:ascii="Verdana" w:eastAsia="Times New Roman" w:hAnsi="Verdana" w:cs="Arial"/>
          <w:spacing w:val="3"/>
          <w:lang w:eastAsia="es-CO"/>
        </w:rPr>
        <w:t xml:space="preserve"> </w:t>
      </w:r>
      <w:r w:rsidRPr="00EE5378">
        <w:rPr>
          <w:rFonts w:ascii="Verdana" w:eastAsia="Times New Roman" w:hAnsi="Verdana" w:cs="Arial"/>
          <w:lang w:eastAsia="es-CO"/>
        </w:rPr>
        <w:t>que contratan con cargo a recursos públicos, debe hacerse en el Sistema Electrónico de Contratación Pública ─ SECOP. Asimismo,</w:t>
      </w:r>
      <w:r w:rsidRPr="00EE5378">
        <w:rPr>
          <w:rFonts w:ascii="Verdana" w:eastAsia="Calibri" w:hAnsi="Verdana" w:cs="Arial"/>
          <w:lang w:val="es-ES_tradnl"/>
        </w:rPr>
        <w:t xml:space="preserve"> el artículo 8 –artículo 2.1.1.2.1.8. del Decreto 1081 de 2015–, de forma enunciativa, señala que se debe publicar la información relativa a la ejecución del contrato, como las aprobaciones, autorizaciones, requerimientos o informes del supervisor o interventor, que </w:t>
      </w:r>
      <w:r w:rsidRPr="00EE5378">
        <w:rPr>
          <w:rFonts w:ascii="Verdana" w:eastAsia="Calibri" w:hAnsi="Verdana" w:cs="Arial"/>
          <w:lang w:val="es-ES_tradnl"/>
        </w:rPr>
        <w:lastRenderedPageBreak/>
        <w:t>aprueben la ejecución del contrato</w:t>
      </w:r>
      <w:r w:rsidRPr="00EE5378">
        <w:rPr>
          <w:rStyle w:val="Refdenotaalpie"/>
          <w:rFonts w:ascii="Verdana" w:eastAsia="Calibri" w:hAnsi="Verdana" w:cs="Arial"/>
          <w:lang w:val="es-ES_tradnl"/>
        </w:rPr>
        <w:footnoteReference w:id="16"/>
      </w:r>
      <w:r w:rsidRPr="00EE5378">
        <w:rPr>
          <w:rFonts w:ascii="Verdana" w:eastAsia="Calibri" w:hAnsi="Verdana" w:cs="Arial"/>
          <w:lang w:val="es-ES_tradnl"/>
        </w:rPr>
        <w:t>. Más adelante, el artículo 9 del Decreto 103 de 2015 –artículo 2.1.1.2.1.9. del Decreto 1081 de 2015– indica que las Entidades deberán publicar los procedimientos, lineamientos y políticas en materia de adquisición, que no son otros que los previstos en el manual de contratación, que se haya expedido de acuerdo con los lineamientos de la Agencia Nacional de Contratación Pública – Colombia Compra Eficiente, el cual debe publicarse en el sitio web del sujeto obligado</w:t>
      </w:r>
      <w:r w:rsidRPr="00EE5378">
        <w:rPr>
          <w:rStyle w:val="Refdenotaalpie"/>
          <w:rFonts w:ascii="Verdana" w:eastAsia="Calibri" w:hAnsi="Verdana" w:cs="Arial"/>
          <w:lang w:val="es-ES_tradnl"/>
        </w:rPr>
        <w:footnoteReference w:id="17"/>
      </w:r>
      <w:r w:rsidRPr="00EE5378">
        <w:rPr>
          <w:rFonts w:ascii="Verdana" w:eastAsia="Calibri" w:hAnsi="Verdana" w:cs="Arial"/>
          <w:lang w:val="es-ES_tradnl"/>
        </w:rPr>
        <w:t>. Finalmente, el artículo 10 del Decreto 103 de 2015 –</w:t>
      </w:r>
      <w:r w:rsidRPr="00EE5378">
        <w:rPr>
          <w:rFonts w:ascii="Verdana" w:hAnsi="Verdana" w:cs="Arial"/>
          <w:lang w:val="es-ES_tradnl"/>
        </w:rPr>
        <w:t xml:space="preserve">artículo </w:t>
      </w:r>
      <w:r w:rsidRPr="00EE5378">
        <w:rPr>
          <w:rFonts w:ascii="Verdana" w:eastAsia="Calibri" w:hAnsi="Verdana" w:cs="Arial"/>
          <w:lang w:val="es-ES_tradnl"/>
        </w:rPr>
        <w:t>2.1.1.2.1.10. del Decreto 1081 de 2015– consagra la obligación que tienen las entidades estatales de publicar en el SECOP el Plan Anual de Adquisiciones</w:t>
      </w:r>
      <w:r w:rsidRPr="00EE5378">
        <w:rPr>
          <w:rStyle w:val="Refdenotaalpie"/>
          <w:rFonts w:ascii="Verdana" w:eastAsia="Calibri" w:hAnsi="Verdana" w:cs="Arial"/>
          <w:lang w:val="es-ES_tradnl"/>
        </w:rPr>
        <w:footnoteReference w:id="18"/>
      </w:r>
      <w:r w:rsidRPr="00EE5378">
        <w:rPr>
          <w:rFonts w:ascii="Verdana" w:eastAsia="Calibri" w:hAnsi="Verdana" w:cs="Arial"/>
          <w:lang w:val="es-ES_tradnl"/>
        </w:rPr>
        <w:t>.</w:t>
      </w:r>
      <w:bookmarkStart w:id="5" w:name="_Hlk109111930"/>
    </w:p>
    <w:p w14:paraId="4F012F2D" w14:textId="77777777" w:rsidR="00BD1394" w:rsidRPr="00EE5378" w:rsidRDefault="00BD1394" w:rsidP="00BD1394">
      <w:pPr>
        <w:spacing w:after="120" w:line="276" w:lineRule="auto"/>
        <w:ind w:firstLine="709"/>
        <w:jc w:val="both"/>
        <w:rPr>
          <w:rFonts w:ascii="Verdana" w:eastAsia="Calibri" w:hAnsi="Verdana" w:cs="Arial"/>
          <w:lang w:val="es-ES_tradnl"/>
        </w:rPr>
      </w:pPr>
      <w:r w:rsidRPr="00EE5378">
        <w:rPr>
          <w:rFonts w:ascii="Verdana" w:hAnsi="Verdana" w:cs="Arial"/>
        </w:rPr>
        <w:t xml:space="preserve">Las disposiciones normativas antes fueron complementadas con la expedición de la Ley 2195 de 2022, </w:t>
      </w:r>
      <w:r w:rsidRPr="00EE5378">
        <w:rPr>
          <w:rFonts w:ascii="Verdana" w:eastAsia="Calibri" w:hAnsi="Verdana" w:cs="Arial"/>
        </w:rPr>
        <w:t>“P</w:t>
      </w:r>
      <w:r w:rsidRPr="00EE5378">
        <w:rPr>
          <w:rFonts w:ascii="Verdana" w:hAnsi="Verdana" w:cs="Arial"/>
        </w:rPr>
        <w:t>or medio de la cual se adoptan medidas en materia de transparencia, prevención y lucha contra la corrupción y se dictan otras disposiciones</w:t>
      </w:r>
      <w:r w:rsidRPr="00EE5378">
        <w:rPr>
          <w:rFonts w:ascii="Verdana" w:eastAsia="Calibri" w:hAnsi="Verdana" w:cs="Arial"/>
        </w:rPr>
        <w:t>”</w:t>
      </w:r>
      <w:r w:rsidRPr="00EE5378">
        <w:rPr>
          <w:rFonts w:ascii="Verdana" w:hAnsi="Verdana" w:cs="Arial"/>
        </w:rPr>
        <w:t xml:space="preserve">. </w:t>
      </w:r>
      <w:r w:rsidRPr="00EE5378">
        <w:rPr>
          <w:rFonts w:ascii="Verdana" w:eastAsia="Calibri" w:hAnsi="Verdana" w:cs="Arial"/>
          <w:lang w:val="es-ES_tradnl" w:eastAsia="es-ES_tradnl"/>
        </w:rPr>
        <w:t>Según el artículo 1, esta Ley “</w:t>
      </w:r>
      <w:r w:rsidRPr="00EE5378">
        <w:rPr>
          <w:rFonts w:ascii="Verdana" w:eastAsia="Times New Roman" w:hAnsi="Verdana" w:cs="Arial"/>
          <w:lang w:val="es-ES_tradnl" w:eastAsia="es-ES_tradnl"/>
        </w:rPr>
        <w:t xml:space="preserve">[…] </w:t>
      </w:r>
      <w:r w:rsidRPr="00EE5378">
        <w:rPr>
          <w:rFonts w:ascii="Verdana" w:eastAsia="Calibri" w:hAnsi="Verdana" w:cs="Arial"/>
          <w:lang w:val="es-ES_tradnl" w:eastAsia="es-ES_tradnl"/>
        </w:rPr>
        <w:t xml:space="preserve">tiene por objeto adoptar disposiciones tendientes a prevenir los actos de corrupción, a reforzar la </w:t>
      </w:r>
      <w:r w:rsidRPr="00EE5378">
        <w:rPr>
          <w:rFonts w:ascii="Verdana" w:eastAsia="Calibri" w:hAnsi="Verdana" w:cs="Arial"/>
          <w:lang w:val="es-ES_tradnl" w:eastAsia="es-ES_tradnl"/>
        </w:rPr>
        <w:lastRenderedPageBreak/>
        <w:t xml:space="preserve">articulación y coordinación de las entidades del Estado y a recuperar los daños ocasionados por dichos actos con el fin de asegurar promover la cultura de la legalidad e integridad y recuperar la confianza ciudadana y el respeto por lo público”. Dentro del capítulo VIII de la mencionada Ley, que lleva por título “Disposiciones en materia contractual para la moralización y la transparencia”, se ubica </w:t>
      </w:r>
      <w:r w:rsidRPr="00EE5378">
        <w:rPr>
          <w:rFonts w:ascii="Verdana" w:hAnsi="Verdana" w:cs="Arial"/>
        </w:rPr>
        <w:t xml:space="preserve">el artículo 53, mediante el cual se adiciona el artículo 13 de la Ley 1150 de 2007. La referida disposición les asigna a las entidades estatales que por disposición legal cuenten con un régimen contractual excepcional al del Estatuto General de Contratación de la Administración Pública – en adelante EGCAP, la obligación de publicar los documentos relacionados con su actividad contractual en el Sistema Electrónico para la Contratación Pública –SECOP II– o la plataforma transaccional que haga sus veces. </w:t>
      </w:r>
      <w:bookmarkEnd w:id="5"/>
    </w:p>
    <w:p w14:paraId="7B7BB260" w14:textId="5A1B2FC6" w:rsidR="00BD1394" w:rsidRPr="00EE5378" w:rsidRDefault="00BD1394" w:rsidP="00BD1394">
      <w:pPr>
        <w:spacing w:after="120" w:line="276" w:lineRule="auto"/>
        <w:ind w:firstLine="709"/>
        <w:jc w:val="both"/>
        <w:rPr>
          <w:rFonts w:ascii="Verdana" w:eastAsia="Calibri" w:hAnsi="Verdana" w:cs="Arial"/>
          <w:lang w:val="es-ES_tradnl"/>
        </w:rPr>
      </w:pPr>
      <w:r w:rsidRPr="00EE5378">
        <w:rPr>
          <w:rFonts w:ascii="Verdana" w:eastAsia="Calibri" w:hAnsi="Verdana" w:cs="Arial"/>
          <w:lang w:val="es-ES_tradnl"/>
        </w:rPr>
        <w:t xml:space="preserve">Como puede observarse, aunque la publicación en el SECOP de los documentos relacionados con la actividad contractual ya era obligatoria para las Entidades que cuentan con un régimen especial, el artículo 53 de la Ley 2195 de 2022 –que modifica el artículo 13 de la Ley 1150 de 2007– establece con mayor precisión esta obligación y la complementa con la exigencia de emplear el SECOP II. En otras palabras, a través del artículo 53 de la Ley 2195 de 2022 el Congreso de la República dispone que las </w:t>
      </w:r>
      <w:r w:rsidR="006A3F7B" w:rsidRPr="00EE5378">
        <w:rPr>
          <w:rFonts w:ascii="Verdana" w:eastAsia="Calibri" w:hAnsi="Verdana" w:cs="Arial"/>
          <w:lang w:val="es-ES_tradnl"/>
        </w:rPr>
        <w:t>E</w:t>
      </w:r>
      <w:r w:rsidRPr="00EE5378">
        <w:rPr>
          <w:rFonts w:ascii="Verdana" w:eastAsia="Calibri" w:hAnsi="Verdana" w:cs="Arial"/>
          <w:lang w:val="es-ES_tradnl"/>
        </w:rPr>
        <w:t xml:space="preserve">ntidades </w:t>
      </w:r>
      <w:r w:rsidR="006A3F7B" w:rsidRPr="00EE5378">
        <w:rPr>
          <w:rFonts w:ascii="Verdana" w:eastAsia="Calibri" w:hAnsi="Verdana" w:cs="Arial"/>
          <w:lang w:val="es-ES_tradnl"/>
        </w:rPr>
        <w:t>E</w:t>
      </w:r>
      <w:r w:rsidRPr="00EE5378">
        <w:rPr>
          <w:rFonts w:ascii="Verdana" w:eastAsia="Calibri" w:hAnsi="Verdana" w:cs="Arial"/>
          <w:lang w:val="es-ES_tradnl"/>
        </w:rPr>
        <w:t xml:space="preserve">statales exceptuadas del EGCAP deben publicar en el SECOP II –es decir en la plataforma transaccional vigente– su actividad contractual. </w:t>
      </w:r>
    </w:p>
    <w:p w14:paraId="537715B1" w14:textId="64DFE768" w:rsidR="00BD1394" w:rsidRPr="00EE5378" w:rsidRDefault="00BD1394" w:rsidP="00BD1394">
      <w:pPr>
        <w:spacing w:after="120" w:line="276" w:lineRule="auto"/>
        <w:ind w:firstLine="709"/>
        <w:jc w:val="both"/>
        <w:rPr>
          <w:rFonts w:ascii="Verdana" w:eastAsia="Calibri" w:hAnsi="Verdana" w:cs="Arial"/>
          <w:lang w:val="es-ES_tradnl"/>
        </w:rPr>
      </w:pPr>
      <w:r w:rsidRPr="00EE5378">
        <w:rPr>
          <w:rFonts w:ascii="Verdana" w:eastAsia="Calibri" w:hAnsi="Verdana" w:cs="Arial"/>
          <w:lang w:val="es-ES_tradnl"/>
        </w:rPr>
        <w:t xml:space="preserve">Bajo este contexto, cabe destacar que, cuando la norma trascrita hace referencia a que el mencionado deber de publicidad debe cumplirse en el SECOP II o </w:t>
      </w:r>
      <w:r w:rsidRPr="00EE5378">
        <w:rPr>
          <w:rFonts w:ascii="Verdana" w:hAnsi="Verdana" w:cs="Arial"/>
        </w:rPr>
        <w:t>“</w:t>
      </w:r>
      <w:r w:rsidRPr="00EE5378">
        <w:rPr>
          <w:rFonts w:ascii="Verdana" w:eastAsia="Calibri" w:hAnsi="Verdana" w:cs="Arial"/>
          <w:lang w:val="es-ES_tradnl"/>
        </w:rPr>
        <w:t>la plataforma transaccional que haga sus veces</w:t>
      </w:r>
      <w:r w:rsidRPr="00EE5378">
        <w:rPr>
          <w:rFonts w:ascii="Verdana" w:hAnsi="Verdana" w:cs="Arial"/>
        </w:rPr>
        <w:t>”</w:t>
      </w:r>
      <w:r w:rsidRPr="00EE5378">
        <w:rPr>
          <w:rFonts w:ascii="Verdana" w:eastAsia="Calibri" w:hAnsi="Verdana" w:cs="Arial"/>
          <w:lang w:val="es-ES_tradnl"/>
        </w:rPr>
        <w:t xml:space="preserve">, esta expresión debe interpretarse en el sentido de que si bien el SECOP II es la plataforma oficial que actualmente se utiliza como mecanismo transaccional, en caso de que en el futuro dicha plataforma sea remplazada por otra que tenga una denominación distinta, las Entidades que tienen un régimen exceptuado deberán continuar publicando la documentación de su actividad contractual en la nueva plataforma transaccional que para efecto se cree. En ese sentido, la expresión </w:t>
      </w:r>
      <w:r w:rsidR="00E660A6" w:rsidRPr="00EE5378">
        <w:rPr>
          <w:rFonts w:ascii="Verdana" w:hAnsi="Verdana" w:cs="Arial"/>
        </w:rPr>
        <w:t>“</w:t>
      </w:r>
      <w:r w:rsidRPr="00EE5378">
        <w:rPr>
          <w:rFonts w:ascii="Verdana" w:eastAsia="Calibri" w:hAnsi="Verdana" w:cs="Arial"/>
          <w:lang w:val="es-ES_tradnl"/>
        </w:rPr>
        <w:t>la plataforma que haga sus veces</w:t>
      </w:r>
      <w:r w:rsidR="00E660A6" w:rsidRPr="00EE5378">
        <w:rPr>
          <w:rFonts w:ascii="Verdana" w:hAnsi="Verdana" w:cs="Arial"/>
        </w:rPr>
        <w:t>”</w:t>
      </w:r>
      <w:r w:rsidRPr="00EE5378">
        <w:rPr>
          <w:rFonts w:ascii="Verdana" w:eastAsia="Calibri" w:hAnsi="Verdana" w:cs="Arial"/>
          <w:lang w:val="es-ES_tradnl"/>
        </w:rPr>
        <w:t xml:space="preserve"> no puede interpretarse como una autorización para que las entidades obligadas en virtud del artículo 53 de la Ley 2195 de 2022 empleen sus páginas web o sus propios portales electrónicos para cumplir con el deber de publicidad que les asiste. </w:t>
      </w:r>
      <w:r w:rsidRPr="00EE5378">
        <w:rPr>
          <w:rFonts w:ascii="Verdana" w:eastAsia="Calibri" w:hAnsi="Verdana" w:cs="Arial"/>
          <w:lang w:val="es-ES_tradnl" w:eastAsia="es-ES_tradnl"/>
        </w:rPr>
        <w:t xml:space="preserve">Con esto se logra que la ciudadanía pueda encontrar en un mismo sistema la gestión de la actividad contractual del Estado, </w:t>
      </w:r>
      <w:r w:rsidRPr="00EE5378">
        <w:rPr>
          <w:rFonts w:ascii="Verdana" w:eastAsia="Calibri" w:hAnsi="Verdana" w:cs="Arial"/>
          <w:lang w:val="es-ES_tradnl" w:eastAsia="es-ES_tradnl"/>
        </w:rPr>
        <w:lastRenderedPageBreak/>
        <w:t>garantizándose en mayor grado la transparencia y el acceso a la documentación pública.</w:t>
      </w:r>
      <w:bookmarkStart w:id="6" w:name="_Hlk109111956"/>
    </w:p>
    <w:p w14:paraId="1A881B38" w14:textId="77777777" w:rsidR="00BD1394" w:rsidRPr="00EE5378" w:rsidRDefault="00BD1394" w:rsidP="00BD1394">
      <w:pPr>
        <w:spacing w:after="120" w:line="276" w:lineRule="auto"/>
        <w:ind w:firstLine="709"/>
        <w:jc w:val="both"/>
        <w:rPr>
          <w:rFonts w:ascii="Verdana" w:eastAsia="Calibri" w:hAnsi="Verdana" w:cs="Arial"/>
          <w:lang w:val="es-ES_tradnl"/>
        </w:rPr>
      </w:pPr>
      <w:r w:rsidRPr="00EE5378">
        <w:rPr>
          <w:rFonts w:ascii="Verdana" w:eastAsia="Calibri" w:hAnsi="Verdana" w:cs="Arial"/>
          <w:lang w:val="es-ES_tradnl"/>
        </w:rPr>
        <w:t xml:space="preserve">En cuanto a los documentos que deben ser publicados en el SECOP II a efectos de dar cumplimiento al mandato consagrado en el artículo 53 de la Ley 2195 de 2022, es preciso advertir que la disposición hace referencia a los documentos relacionados con su </w:t>
      </w:r>
      <w:r w:rsidRPr="00EE5378">
        <w:rPr>
          <w:rFonts w:ascii="Verdana" w:eastAsia="Calibri" w:hAnsi="Verdana" w:cs="Arial"/>
          <w:i/>
          <w:iCs/>
          <w:lang w:val="es-ES_tradnl"/>
        </w:rPr>
        <w:t>actividad contractual,</w:t>
      </w:r>
      <w:r w:rsidRPr="00EE5378">
        <w:rPr>
          <w:rFonts w:ascii="Verdana" w:eastAsia="Calibri" w:hAnsi="Verdana" w:cs="Arial"/>
          <w:lang w:val="es-ES_tradnl"/>
        </w:rPr>
        <w:t xml:space="preserve"> la cual define como “[…] los documentos, contratos, actos e información generada por oferentes, contratista, contratante, supervisor o interventor, tanto en la etapa precontractual, como en la contractual y la </w:t>
      </w:r>
      <w:proofErr w:type="spellStart"/>
      <w:r w:rsidRPr="00EE5378">
        <w:rPr>
          <w:rFonts w:ascii="Verdana" w:eastAsia="Calibri" w:hAnsi="Verdana" w:cs="Arial"/>
          <w:lang w:val="es-ES_tradnl"/>
        </w:rPr>
        <w:t>postcontractual</w:t>
      </w:r>
      <w:proofErr w:type="spellEnd"/>
      <w:r w:rsidRPr="00EE5378">
        <w:rPr>
          <w:rFonts w:ascii="Verdana" w:eastAsia="Calibri" w:hAnsi="Verdana" w:cs="Arial"/>
          <w:lang w:val="es-ES_tradnl"/>
        </w:rPr>
        <w:t>”. En ese sentido, el artículo 53 de la Ley 2195 de 2022 establece el deber de publicar toda aquella información relacionada con el respectivo contrato, sin incluir ninguna excepción relacionada con la naturaleza u objeto contractual.</w:t>
      </w:r>
      <w:bookmarkEnd w:id="6"/>
      <w:r w:rsidRPr="00EE5378">
        <w:rPr>
          <w:rFonts w:ascii="Verdana" w:eastAsia="Calibri" w:hAnsi="Verdana" w:cs="Arial"/>
          <w:lang w:val="es-ES_tradnl"/>
        </w:rPr>
        <w:t xml:space="preserve"> Por lo tanto, para que las entidades exceptuadas cumplan con el deber de publicidad consagrado en el artículo 53 de la Ley 2195 de 2022, se requiere que publiquen en el SECOP II todo documento expedido durante las diferentes etapas del proceso contractual, lo que abarca tanto la fase previa a su celebración, como la ejecución y la fase posterior a su ejecución. </w:t>
      </w:r>
      <w:r w:rsidRPr="00EE5378">
        <w:rPr>
          <w:rFonts w:ascii="Verdana" w:eastAsia="Calibri" w:hAnsi="Verdana" w:cs="Arial"/>
          <w:lang w:val="es-ES"/>
        </w:rPr>
        <w:t>Sin perjuicio de lo anterior, vale la pena aclarar que el cumplimiento del deber de publicar la documentación contractual debe armonizarse con las normas aplicables al tipo de información que estas contienen, para garantizar la reserva de algunos documentos o de una parte de estos</w:t>
      </w:r>
      <w:r w:rsidRPr="00EE5378">
        <w:rPr>
          <w:rFonts w:ascii="Verdana" w:eastAsia="Calibri" w:hAnsi="Verdana" w:cs="Arial"/>
          <w:vertAlign w:val="superscript"/>
          <w:lang w:val="es-ES"/>
        </w:rPr>
        <w:footnoteReference w:id="19"/>
      </w:r>
      <w:r w:rsidRPr="00EE5378">
        <w:rPr>
          <w:rFonts w:ascii="Verdana" w:eastAsia="Calibri" w:hAnsi="Verdana" w:cs="Arial"/>
          <w:lang w:val="es-ES"/>
        </w:rPr>
        <w:t xml:space="preserve">. Lo anterior significa que, respecto de datos sensibles, información </w:t>
      </w:r>
      <w:r w:rsidRPr="00EE5378">
        <w:rPr>
          <w:rFonts w:ascii="Verdana" w:eastAsia="Calibri" w:hAnsi="Verdana" w:cs="Arial"/>
          <w:lang w:val="es-ES"/>
        </w:rPr>
        <w:lastRenderedPageBreak/>
        <w:t xml:space="preserve">sometida a reserva o de la cual proceda un tratamiento especial que impida su publicidad, las Entidades deberán proceder de conformidad con el tratamiento que impongan tales normas. </w:t>
      </w:r>
    </w:p>
    <w:p w14:paraId="7288E6BE" w14:textId="77777777" w:rsidR="00BD1394" w:rsidRPr="00EE5378" w:rsidRDefault="00BD1394" w:rsidP="00BD1394">
      <w:pPr>
        <w:spacing w:after="120" w:line="276" w:lineRule="auto"/>
        <w:ind w:firstLine="708"/>
        <w:jc w:val="both"/>
        <w:rPr>
          <w:rFonts w:ascii="Verdana" w:eastAsia="Calibri" w:hAnsi="Verdana" w:cs="Arial"/>
          <w:lang w:val="es-ES"/>
        </w:rPr>
      </w:pPr>
      <w:r w:rsidRPr="00EE5378">
        <w:rPr>
          <w:rFonts w:ascii="Verdana" w:eastAsia="Calibri" w:hAnsi="Verdana" w:cs="Arial"/>
          <w:lang w:val="es-ES"/>
        </w:rPr>
        <w:t xml:space="preserve">En conclusión, los resguardos indígenas bien sean en calidad de administradores y ejecutores de los recursos de la asignación especial del SGP, en este caso considerados como Entidades Públicas de carácter especial, entendidas solo bajo este supuesto como Entidades Estatales, de acuerdo con lo dispuesto en el artículo 2° de la Ley 80 de 1993, tienen el deber de publicar su actividad contractual en SECOP. Esta obligación, también se hace extensible para los contratos de administración que se suscriban con los resguardos indígenas cuando estos no han sido autorizados para para administrar de manera directa los recursos del SGP. </w:t>
      </w:r>
    </w:p>
    <w:p w14:paraId="3C3305D9" w14:textId="77777777" w:rsidR="00A34593" w:rsidRPr="00EE5378" w:rsidRDefault="00A34593" w:rsidP="00A34593">
      <w:pPr>
        <w:spacing w:after="120" w:line="276" w:lineRule="auto"/>
        <w:ind w:firstLine="708"/>
        <w:jc w:val="both"/>
        <w:rPr>
          <w:rFonts w:ascii="Verdana" w:eastAsia="Times New Roman" w:hAnsi="Verdana" w:cs="Arial"/>
          <w:lang w:eastAsia="es-CO"/>
        </w:rPr>
      </w:pPr>
      <w:r w:rsidRPr="00EE5378">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C7436CB" w14:textId="77777777" w:rsidR="00A34593" w:rsidRPr="00EE5378" w:rsidRDefault="00A34593" w:rsidP="00A34593">
      <w:pPr>
        <w:spacing w:after="0" w:line="276" w:lineRule="auto"/>
        <w:ind w:firstLine="708"/>
        <w:jc w:val="both"/>
        <w:rPr>
          <w:rFonts w:ascii="Verdana" w:hAnsi="Verdana" w:cs="Arial"/>
          <w:bCs/>
          <w:color w:val="000000" w:themeColor="text1"/>
        </w:rPr>
      </w:pPr>
      <w:r w:rsidRPr="00EE5378">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007B5D42" w14:textId="77777777" w:rsidR="00835674" w:rsidRPr="00EE5378" w:rsidRDefault="00835674" w:rsidP="00A34593">
      <w:pPr>
        <w:spacing w:after="0" w:line="276" w:lineRule="auto"/>
        <w:ind w:firstLine="708"/>
        <w:jc w:val="both"/>
        <w:rPr>
          <w:rFonts w:ascii="Verdana" w:hAnsi="Verdana" w:cs="Arial"/>
          <w:bCs/>
          <w:color w:val="000000" w:themeColor="text1"/>
        </w:rPr>
      </w:pPr>
    </w:p>
    <w:p w14:paraId="2D728EA7" w14:textId="77777777" w:rsidR="00BE3A41" w:rsidRPr="00EE5378" w:rsidRDefault="00BE3A41" w:rsidP="00BE3A41">
      <w:pPr>
        <w:pStyle w:val="Prrafodelista"/>
        <w:numPr>
          <w:ilvl w:val="0"/>
          <w:numId w:val="18"/>
        </w:numPr>
        <w:tabs>
          <w:tab w:val="left" w:pos="142"/>
          <w:tab w:val="left" w:pos="284"/>
        </w:tabs>
        <w:spacing w:after="0" w:line="276" w:lineRule="auto"/>
        <w:jc w:val="both"/>
        <w:rPr>
          <w:rFonts w:ascii="Verdana" w:eastAsia="Century Gothic" w:hAnsi="Verdana" w:cs="Century Gothic"/>
          <w:b/>
          <w:bCs/>
        </w:rPr>
      </w:pPr>
      <w:r w:rsidRPr="00EE5378">
        <w:rPr>
          <w:rFonts w:ascii="Verdana" w:eastAsia="Century Gothic" w:hAnsi="Verdana" w:cs="Century Gothic"/>
          <w:b/>
          <w:bCs/>
        </w:rPr>
        <w:lastRenderedPageBreak/>
        <w:t>Referencias normativas, jurisprudenciales y otras fuentes:</w:t>
      </w:r>
    </w:p>
    <w:p w14:paraId="1ED75C5C" w14:textId="77777777" w:rsidR="00BE3A41" w:rsidRPr="00EE5378" w:rsidRDefault="00BE3A41" w:rsidP="00BE3A41">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E3A41" w:rsidRPr="00EE5378" w14:paraId="01E87346" w14:textId="77777777" w:rsidTr="00355861">
        <w:trPr>
          <w:trHeight w:val="870"/>
        </w:trPr>
        <w:tc>
          <w:tcPr>
            <w:tcW w:w="8647" w:type="dxa"/>
          </w:tcPr>
          <w:p w14:paraId="46FEF808" w14:textId="6A1A4DF2" w:rsidR="00BE3A41" w:rsidRPr="00EE5378" w:rsidRDefault="00543571" w:rsidP="00355861">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EE5378">
              <w:rPr>
                <w:rFonts w:ascii="Verdana" w:hAnsi="Verdana" w:cs="Arial"/>
                <w:lang w:val="es-CO"/>
              </w:rPr>
              <w:t xml:space="preserve">Constitución Política. Artículos 56 transitorio, </w:t>
            </w:r>
            <w:r w:rsidR="0003470E" w:rsidRPr="00EE5378">
              <w:rPr>
                <w:rFonts w:ascii="Verdana" w:hAnsi="Verdana" w:cs="Arial"/>
                <w:lang w:val="es-CO"/>
              </w:rPr>
              <w:t>74, 209 y 329</w:t>
            </w:r>
          </w:p>
          <w:p w14:paraId="43EDAB8F" w14:textId="77777777" w:rsidR="00BE3A41" w:rsidRPr="00EE5378" w:rsidRDefault="00FF5C37" w:rsidP="00543571">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EE5378">
              <w:rPr>
                <w:rFonts w:ascii="Verdana" w:hAnsi="Verdana" w:cs="Arial"/>
              </w:rPr>
              <w:t>Decreto 1088 de 1993</w:t>
            </w:r>
          </w:p>
          <w:p w14:paraId="4962083D" w14:textId="77777777" w:rsidR="00FF5C37" w:rsidRPr="00EE5378" w:rsidRDefault="00FF5C37" w:rsidP="00543571">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EE5378">
              <w:rPr>
                <w:rFonts w:ascii="Verdana" w:hAnsi="Verdana" w:cs="Arial"/>
              </w:rPr>
              <w:t>Ley 80 de 1993. Artículo 2</w:t>
            </w:r>
          </w:p>
          <w:p w14:paraId="646AB835" w14:textId="77777777" w:rsidR="00FF5C37" w:rsidRPr="00EE5378" w:rsidRDefault="009E36C0" w:rsidP="00543571">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EE5378">
              <w:rPr>
                <w:rFonts w:ascii="Verdana" w:hAnsi="Verdana" w:cs="Arial"/>
              </w:rPr>
              <w:t>Decreto 1953 de 2014</w:t>
            </w:r>
          </w:p>
          <w:p w14:paraId="4449C329" w14:textId="77777777" w:rsidR="00295477" w:rsidRPr="00EE5378" w:rsidRDefault="009E36C0" w:rsidP="00295477">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EE5378">
              <w:rPr>
                <w:rFonts w:ascii="Verdana" w:hAnsi="Verdana" w:cs="Arial"/>
              </w:rPr>
              <w:t>Ley 1150 de 2007. Artículo 3 literal c</w:t>
            </w:r>
          </w:p>
          <w:p w14:paraId="22B2BA17" w14:textId="77777777" w:rsidR="009219DF" w:rsidRPr="00EE5378" w:rsidRDefault="00295477" w:rsidP="009219DF">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EE5378">
              <w:rPr>
                <w:rFonts w:ascii="Verdana" w:eastAsia="Times New Roman" w:hAnsi="Verdana" w:cs="Arial"/>
                <w:lang w:eastAsia="es-CO"/>
              </w:rPr>
              <w:t>Ley 1712 de 2014</w:t>
            </w:r>
          </w:p>
          <w:p w14:paraId="74ABA76E" w14:textId="77777777" w:rsidR="009E36C0" w:rsidRPr="00EE5378" w:rsidRDefault="009219DF" w:rsidP="009219DF">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EE5378">
              <w:rPr>
                <w:rFonts w:ascii="Verdana" w:hAnsi="Verdana" w:cs="Arial"/>
              </w:rPr>
              <w:t>Ley 2195 de 2022</w:t>
            </w:r>
          </w:p>
          <w:p w14:paraId="35D9DC62" w14:textId="386F45ED" w:rsidR="005350BD" w:rsidRPr="00EE5378" w:rsidRDefault="005350BD" w:rsidP="009219DF">
            <w:pPr>
              <w:pStyle w:val="Prrafodelista"/>
              <w:widowControl w:val="0"/>
              <w:numPr>
                <w:ilvl w:val="0"/>
                <w:numId w:val="17"/>
              </w:numPr>
              <w:autoSpaceDE w:val="0"/>
              <w:autoSpaceDN w:val="0"/>
              <w:spacing w:after="120" w:line="276" w:lineRule="auto"/>
              <w:contextualSpacing w:val="0"/>
              <w:jc w:val="both"/>
              <w:rPr>
                <w:rFonts w:ascii="Verdana" w:hAnsi="Verdana" w:cs="Arial"/>
              </w:rPr>
            </w:pPr>
            <w:r w:rsidRPr="00EE5378">
              <w:rPr>
                <w:rFonts w:ascii="Verdana" w:hAnsi="Verdana" w:cs="Arial"/>
              </w:rPr>
              <w:t>Ley 1437 de 2011</w:t>
            </w:r>
          </w:p>
        </w:tc>
      </w:tr>
    </w:tbl>
    <w:p w14:paraId="4D9AE579" w14:textId="77777777" w:rsidR="00BE3A41" w:rsidRPr="00EE5378" w:rsidRDefault="00BE3A41" w:rsidP="00BE3A41">
      <w:pPr>
        <w:widowControl w:val="0"/>
        <w:autoSpaceDE w:val="0"/>
        <w:autoSpaceDN w:val="0"/>
        <w:spacing w:after="0" w:line="276" w:lineRule="auto"/>
        <w:jc w:val="both"/>
        <w:rPr>
          <w:rFonts w:ascii="Verdana" w:hAnsi="Verdana" w:cs="Arial"/>
        </w:rPr>
      </w:pPr>
    </w:p>
    <w:p w14:paraId="4A6230C5" w14:textId="77777777" w:rsidR="00BE3A41" w:rsidRPr="00EE5378" w:rsidRDefault="00BE3A41" w:rsidP="00BE3A41">
      <w:pPr>
        <w:pStyle w:val="Prrafodelista"/>
        <w:numPr>
          <w:ilvl w:val="0"/>
          <w:numId w:val="18"/>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EE5378">
        <w:rPr>
          <w:rFonts w:ascii="Verdana" w:eastAsia="Century Gothic" w:hAnsi="Verdana" w:cs="Century Gothic"/>
          <w:b/>
          <w:bCs/>
        </w:rPr>
        <w:t>Doctrina de la Agencia Nacional de Contratación Pública:</w:t>
      </w:r>
    </w:p>
    <w:p w14:paraId="33F5CFEE" w14:textId="77777777" w:rsidR="00BE3A41" w:rsidRPr="00EE5378" w:rsidRDefault="00BE3A41" w:rsidP="00BE3A41">
      <w:pPr>
        <w:widowControl w:val="0"/>
        <w:autoSpaceDE w:val="0"/>
        <w:autoSpaceDN w:val="0"/>
        <w:spacing w:after="0" w:line="276" w:lineRule="auto"/>
        <w:jc w:val="both"/>
        <w:rPr>
          <w:rFonts w:ascii="Verdana" w:hAnsi="Verdana" w:cs="Arial"/>
        </w:rPr>
      </w:pPr>
    </w:p>
    <w:p w14:paraId="7836B98B" w14:textId="699F755D" w:rsidR="00BE3A41" w:rsidRPr="00EE5378" w:rsidRDefault="00BE3A41" w:rsidP="00BE3A41">
      <w:pPr>
        <w:widowControl w:val="0"/>
        <w:autoSpaceDE w:val="0"/>
        <w:autoSpaceDN w:val="0"/>
        <w:spacing w:after="240" w:line="276" w:lineRule="auto"/>
        <w:jc w:val="both"/>
        <w:rPr>
          <w:rFonts w:ascii="Verdana" w:hAnsi="Verdana" w:cs="Arial"/>
          <w:shd w:val="clear" w:color="auto" w:fill="FFFFFF"/>
        </w:rPr>
      </w:pPr>
      <w:r w:rsidRPr="00EE5378">
        <w:rPr>
          <w:rStyle w:val="normaltextrun"/>
          <w:rFonts w:ascii="Verdana" w:hAnsi="Verdana" w:cs="Arial"/>
          <w:shd w:val="clear" w:color="auto" w:fill="FFFFFF"/>
          <w:lang w:val="es-ES"/>
        </w:rPr>
        <w:t xml:space="preserve">Sobre el </w:t>
      </w:r>
      <w:r w:rsidRPr="00EE5378">
        <w:rPr>
          <w:rFonts w:ascii="Verdana" w:hAnsi="Verdana" w:cs="Arial"/>
          <w:shd w:val="clear" w:color="auto" w:fill="FFFFFF"/>
        </w:rPr>
        <w:t>el marco jurídico de la contratación con pueblos indígenas en los conceptos Nro. C-459 del 22 de diciembre del 2023, C-011 del 01 de marzo del 2024, C-012 del 21 de marzo del 2024, C-062 del 07 de junio del 2024, C-371 del 09 de agosto del 2024, C-256 del 30 de agosto del 2024, C-596 del 16 de octubre del 2024</w:t>
      </w:r>
      <w:r w:rsidRPr="00EE5378">
        <w:rPr>
          <w:rFonts w:ascii="Verdana" w:hAnsi="Verdana" w:cs="Arial"/>
          <w:shd w:val="clear" w:color="auto" w:fill="FFFFFF"/>
          <w:lang w:val="es-ES"/>
        </w:rPr>
        <w:t>, C-484 del 2025, C-891 del 20 de diciembre del 2024, C-714 del 04 de julio del 2025, C-844 del 06 de agosto del 2025, C-1130 del 17 de septiembre del 2025, C-1585 del 03 de diciembre del 2025, C-026 del 23 de enero de 2026, C-128 del 10 de febrero de 2026 y C-289 del 6 de abril de 2026, C-571 del 19 de mayo del 2026</w:t>
      </w:r>
      <w:r w:rsidR="00227F8C" w:rsidRPr="00EE5378">
        <w:rPr>
          <w:rFonts w:ascii="Verdana" w:hAnsi="Verdana" w:cs="Arial"/>
          <w:shd w:val="clear" w:color="auto" w:fill="FFFFFF"/>
          <w:lang w:val="es-ES"/>
        </w:rPr>
        <w:t xml:space="preserve"> y C-658 del 26 de mayo del 2026</w:t>
      </w:r>
      <w:r w:rsidRPr="00EE5378">
        <w:rPr>
          <w:rFonts w:ascii="Verdana" w:hAnsi="Verdana" w:cs="Arial"/>
          <w:shd w:val="clear" w:color="auto" w:fill="FFFFFF"/>
          <w:lang w:val="es-ES"/>
        </w:rPr>
        <w:t xml:space="preserve">. </w:t>
      </w:r>
      <w:r w:rsidRPr="00EE5378">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EE5378">
          <w:rPr>
            <w:rStyle w:val="Hipervnculo"/>
            <w:rFonts w:ascii="Verdana" w:hAnsi="Verdana" w:cs="Arial"/>
            <w:shd w:val="clear" w:color="auto" w:fill="FFFFFF"/>
          </w:rPr>
          <w:t>https://relatoria.colombiacompra.gov.co/</w:t>
        </w:r>
      </w:hyperlink>
    </w:p>
    <w:p w14:paraId="667912C3" w14:textId="77777777" w:rsidR="00BE3A41" w:rsidRPr="00EE5378" w:rsidRDefault="00BE3A41" w:rsidP="00BE3A41">
      <w:pPr>
        <w:spacing w:after="0" w:line="276" w:lineRule="auto"/>
        <w:jc w:val="both"/>
        <w:rPr>
          <w:rFonts w:ascii="Verdana" w:hAnsi="Verdana" w:cs="Arial"/>
        </w:rPr>
      </w:pPr>
      <w:r w:rsidRPr="00EE5378">
        <w:rPr>
          <w:rFonts w:ascii="Verdana" w:hAnsi="Verdana" w:cs="Arial"/>
        </w:rPr>
        <w:t xml:space="preserve">La sostenibilidad no es una opción, es una obligación. Por ello, la Agencia Nacional de Contratación Pública –Colombia Compra Eficiente– te invita a realizar el </w:t>
      </w:r>
      <w:r w:rsidRPr="00EE5378">
        <w:rPr>
          <w:rFonts w:ascii="Verdana" w:hAnsi="Verdana" w:cs="Arial"/>
          <w:b/>
          <w:bCs/>
        </w:rPr>
        <w:t>Curso de Contratación Pública Sostenible y Socialmente Responsable</w:t>
      </w:r>
      <w:r w:rsidRPr="00EE5378">
        <w:rPr>
          <w:rFonts w:ascii="Verdana" w:hAnsi="Verdana" w:cs="Arial"/>
        </w:rPr>
        <w:t xml:space="preserve">, una herramienta clave para fortalecer las capacidades de todos los compradores públicos, proveedores, servidores públicos v para generar </w:t>
      </w:r>
      <w:r w:rsidRPr="00EE5378">
        <w:rPr>
          <w:rFonts w:ascii="Verdana" w:hAnsi="Verdana" w:cs="Arial"/>
        </w:rPr>
        <w:lastRenderedPageBreak/>
        <w:t>mayor valor público. Accede al curso y aprende como implementar criterios sociales y ambientales en las diferentes etapas del proceso de contratación:</w:t>
      </w:r>
      <w:r w:rsidRPr="00EE5378">
        <w:rPr>
          <w:rFonts w:ascii="Verdana" w:hAnsi="Verdana" w:cs="Arial"/>
        </w:rPr>
        <w:br/>
      </w:r>
      <w:hyperlink r:id="rId14" w:tgtFrame="_new" w:history="1">
        <w:r w:rsidRPr="00EE5378">
          <w:rPr>
            <w:rStyle w:val="Hipervnculo"/>
            <w:rFonts w:ascii="Verdana" w:hAnsi="Verdana" w:cs="Arial"/>
          </w:rPr>
          <w:t>https://formacionvirtual.colombiacompra.gov.co/mod/page/view.php?id=3718</w:t>
        </w:r>
      </w:hyperlink>
    </w:p>
    <w:p w14:paraId="4DD1BA0D" w14:textId="77777777" w:rsidR="00BE3A41" w:rsidRPr="00EE5378" w:rsidRDefault="00BE3A41" w:rsidP="00BE3A41">
      <w:pPr>
        <w:spacing w:after="0" w:line="276" w:lineRule="auto"/>
        <w:jc w:val="both"/>
        <w:rPr>
          <w:rFonts w:ascii="Verdana" w:hAnsi="Verdana" w:cs="Arial"/>
        </w:rPr>
      </w:pPr>
    </w:p>
    <w:p w14:paraId="01DB5E31" w14:textId="77777777" w:rsidR="00BE3A41" w:rsidRPr="00EE5378" w:rsidRDefault="00BE3A41" w:rsidP="00BE3A41">
      <w:pPr>
        <w:spacing w:after="0" w:line="276" w:lineRule="auto"/>
        <w:jc w:val="both"/>
        <w:rPr>
          <w:rFonts w:ascii="Verdana" w:hAnsi="Verdana" w:cs="Arial"/>
        </w:rPr>
      </w:pPr>
      <w:r w:rsidRPr="00EE5378">
        <w:rPr>
          <w:rFonts w:ascii="Verdana" w:hAnsi="Verdana" w:cs="Arial"/>
        </w:rPr>
        <w:t xml:space="preserve">De otro lado, te contamos que esta Agencia ha da un paso decisivo en la estandarización y modernización del </w:t>
      </w:r>
      <w:r w:rsidRPr="00EE5378">
        <w:rPr>
          <w:rFonts w:ascii="Verdana" w:hAnsi="Verdana" w:cs="Arial"/>
          <w:b/>
          <w:bCs/>
        </w:rPr>
        <w:t>sector  social</w:t>
      </w:r>
      <w:r w:rsidRPr="00EE5378">
        <w:rPr>
          <w:rFonts w:ascii="Verdana" w:hAnsi="Verdana" w:cs="Arial"/>
        </w:rPr>
        <w:t xml:space="preserve"> con la expedición de las </w:t>
      </w:r>
      <w:r w:rsidRPr="00EE5378">
        <w:rPr>
          <w:rFonts w:ascii="Verdana" w:hAnsi="Verdana" w:cs="Arial"/>
          <w:b/>
          <w:bCs/>
        </w:rPr>
        <w:t>Resoluciones 539, 540, 541, 952 y 953 de 2025</w:t>
      </w:r>
      <w:r w:rsidRPr="00EE5378">
        <w:rPr>
          <w:rFonts w:ascii="Verdana" w:hAnsi="Verdana" w:cs="Arial"/>
        </w:rPr>
        <w:t xml:space="preserve">, </w:t>
      </w:r>
      <w:r w:rsidRPr="00EE5378">
        <w:rPr>
          <w:rFonts w:ascii="Verdana" w:hAnsi="Verdana" w:cs="Arial"/>
          <w:b/>
          <w:bCs/>
        </w:rPr>
        <w:t>mediante las cuales adoptó Documentos Tipo</w:t>
      </w:r>
      <w:r w:rsidRPr="00EE5378">
        <w:rPr>
          <w:rFonts w:ascii="Verdana" w:hAnsi="Verdana" w:cs="Arial"/>
        </w:rPr>
        <w:t xml:space="preserve"> para las modalidades de selección de</w:t>
      </w:r>
      <w:r w:rsidRPr="00EE5378">
        <w:rPr>
          <w:rFonts w:ascii="Verdana" w:hAnsi="Verdana" w:cs="Arial"/>
          <w:b/>
          <w:bCs/>
        </w:rPr>
        <w:t xml:space="preserve"> licitación pública (versión 2), selección abreviada de menor cuantía, mínima cuantía, consultoría e interventoría</w:t>
      </w:r>
      <w:r w:rsidRPr="00EE5378">
        <w:rPr>
          <w:rFonts w:ascii="Verdana"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EE5378">
          <w:rPr>
            <w:rStyle w:val="Hipervnculo"/>
            <w:rFonts w:ascii="Verdana" w:hAnsi="Verdana" w:cs="Arial"/>
          </w:rPr>
          <w:t>https://www.colombiacompra.gov.co/normativa-y-relatoria/documentos-tipo</w:t>
        </w:r>
      </w:hyperlink>
    </w:p>
    <w:p w14:paraId="57B92CA1" w14:textId="77777777" w:rsidR="00BE3A41" w:rsidRPr="00EE5378" w:rsidRDefault="00BE3A41" w:rsidP="00BE3A41">
      <w:pPr>
        <w:spacing w:after="0" w:line="276" w:lineRule="auto"/>
        <w:jc w:val="both"/>
        <w:rPr>
          <w:rFonts w:ascii="Verdana" w:hAnsi="Verdana" w:cs="Arial"/>
        </w:rPr>
      </w:pPr>
    </w:p>
    <w:p w14:paraId="75F20A7B" w14:textId="77777777" w:rsidR="00BE3A41" w:rsidRPr="00EE5378" w:rsidRDefault="00BE3A41" w:rsidP="00BE3A41">
      <w:pPr>
        <w:spacing w:after="0" w:line="276" w:lineRule="auto"/>
        <w:jc w:val="both"/>
        <w:rPr>
          <w:rFonts w:ascii="Verdana" w:hAnsi="Verdana" w:cs="Arial"/>
        </w:rPr>
      </w:pPr>
      <w:r w:rsidRPr="00EE5378">
        <w:rPr>
          <w:rFonts w:ascii="Verdana" w:hAnsi="Verdana" w:cs="Arial"/>
        </w:rPr>
        <w:t xml:space="preserve">Si quieres conocer más sobre la aplicación de Documentos Tipo puedes consultar la última versión de la </w:t>
      </w:r>
      <w:r w:rsidRPr="00EE5378">
        <w:rPr>
          <w:rFonts w:ascii="Verdana" w:hAnsi="Verdana" w:cs="Arial"/>
          <w:b/>
          <w:bCs/>
        </w:rPr>
        <w:t>Guía para la comprensión e implementación de los Documentos Tipo de obra pública de infraestructura de transporte</w:t>
      </w:r>
      <w:r w:rsidRPr="00EE5378">
        <w:rPr>
          <w:rFonts w:ascii="Verdana" w:hAnsi="Verdana" w:cs="Ari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EE5378">
        <w:rPr>
          <w:rFonts w:ascii="Verdana" w:hAnsi="Verdana" w:cs="Arial"/>
        </w:rPr>
        <w:br/>
      </w:r>
      <w:hyperlink r:id="rId16" w:tgtFrame="_new" w:history="1">
        <w:r w:rsidRPr="00EE5378">
          <w:rPr>
            <w:rStyle w:val="Hipervnculo"/>
            <w:rFonts w:ascii="Verdana" w:hAnsi="Verdana" w:cs="Arial"/>
          </w:rPr>
          <w:t>https://www.colombiacompra.gov.co/archivos/manual/guia-para-la-comprension-e-implementacion-de-los-documentos-tipo-de-obra-publica-de-infraestructura-de-transporte-bajo-las-diferentes-modalidades-de-contratacion-vigentes</w:t>
        </w:r>
      </w:hyperlink>
    </w:p>
    <w:p w14:paraId="61891A66" w14:textId="77777777" w:rsidR="00BE3A41" w:rsidRPr="00EE5378" w:rsidRDefault="00BE3A41" w:rsidP="00BE3A41">
      <w:pPr>
        <w:spacing w:after="0" w:line="276" w:lineRule="auto"/>
        <w:jc w:val="both"/>
        <w:rPr>
          <w:rFonts w:ascii="Verdana" w:hAnsi="Verdana" w:cs="Arial"/>
        </w:rPr>
      </w:pPr>
    </w:p>
    <w:p w14:paraId="63C6B5DC" w14:textId="77777777" w:rsidR="00BE3A41" w:rsidRPr="00EE5378" w:rsidRDefault="00BE3A41" w:rsidP="00BE3A41">
      <w:pPr>
        <w:spacing w:after="0" w:line="276" w:lineRule="auto"/>
        <w:jc w:val="both"/>
        <w:rPr>
          <w:rFonts w:ascii="Verdana" w:hAnsi="Verdana" w:cs="Arial"/>
        </w:rPr>
      </w:pPr>
      <w:r w:rsidRPr="00EE5378">
        <w:rPr>
          <w:rFonts w:ascii="Verdana" w:hAnsi="Verdana" w:cs="Arial"/>
        </w:rPr>
        <w:t xml:space="preserve">Por último, lo invitamos a seguirnos en las redes sociales en las cuales se difunde información institucional: </w:t>
      </w:r>
    </w:p>
    <w:p w14:paraId="593BADF5" w14:textId="77777777" w:rsidR="00BE3A41" w:rsidRPr="00EE5378" w:rsidRDefault="00BE3A41" w:rsidP="00BE3A41">
      <w:pPr>
        <w:spacing w:after="0" w:line="276" w:lineRule="auto"/>
        <w:jc w:val="both"/>
        <w:rPr>
          <w:rFonts w:ascii="Verdana" w:hAnsi="Verdana" w:cs="Arial"/>
        </w:rPr>
      </w:pPr>
    </w:p>
    <w:p w14:paraId="618D8591" w14:textId="77777777" w:rsidR="00BE3A41" w:rsidRPr="00EE5378" w:rsidRDefault="00BE3A41" w:rsidP="00BE3A41">
      <w:pPr>
        <w:spacing w:after="0" w:line="276" w:lineRule="auto"/>
        <w:jc w:val="both"/>
        <w:rPr>
          <w:rFonts w:ascii="Verdana" w:hAnsi="Verdana" w:cs="Arial"/>
        </w:rPr>
      </w:pPr>
      <w:r w:rsidRPr="00EE5378">
        <w:rPr>
          <w:rFonts w:ascii="Verdana" w:hAnsi="Verdana" w:cs="Arial"/>
        </w:rPr>
        <w:t xml:space="preserve">Twitter: </w:t>
      </w:r>
      <w:r w:rsidRPr="00EE5378">
        <w:rPr>
          <w:rStyle w:val="Hipervnculo"/>
          <w:rFonts w:ascii="Verdana" w:hAnsi="Verdana" w:cs="Arial"/>
          <w:color w:val="4472C4" w:themeColor="accent1"/>
        </w:rPr>
        <w:t>@colombiacompra</w:t>
      </w:r>
      <w:r w:rsidRPr="00EE5378">
        <w:rPr>
          <w:rFonts w:ascii="Verdana" w:hAnsi="Verdana" w:cs="Arial"/>
          <w:color w:val="4472C4" w:themeColor="accent1"/>
        </w:rPr>
        <w:t xml:space="preserve"> </w:t>
      </w:r>
    </w:p>
    <w:p w14:paraId="0D49E54B" w14:textId="77777777" w:rsidR="00BE3A41" w:rsidRPr="00EE5378" w:rsidRDefault="00BE3A41" w:rsidP="00BE3A41">
      <w:pPr>
        <w:spacing w:after="0" w:line="276" w:lineRule="auto"/>
        <w:jc w:val="both"/>
        <w:rPr>
          <w:rFonts w:ascii="Verdana" w:hAnsi="Verdana" w:cs="Arial"/>
        </w:rPr>
      </w:pPr>
      <w:r w:rsidRPr="00EE5378">
        <w:rPr>
          <w:rFonts w:ascii="Verdana" w:hAnsi="Verdana" w:cs="Arial"/>
        </w:rPr>
        <w:t xml:space="preserve">Facebook: </w:t>
      </w:r>
      <w:proofErr w:type="spellStart"/>
      <w:r w:rsidRPr="00EE5378">
        <w:rPr>
          <w:rStyle w:val="Hipervnculo"/>
          <w:rFonts w:ascii="Verdana" w:hAnsi="Verdana" w:cs="Arial"/>
          <w:color w:val="4472C4" w:themeColor="accent1"/>
        </w:rPr>
        <w:t>ColombiaCompraEficiente</w:t>
      </w:r>
      <w:proofErr w:type="spellEnd"/>
    </w:p>
    <w:p w14:paraId="66EE2B03" w14:textId="77777777" w:rsidR="00BE3A41" w:rsidRPr="00EE5378" w:rsidRDefault="00BE3A41" w:rsidP="00BE3A41">
      <w:pPr>
        <w:spacing w:after="0" w:line="276" w:lineRule="auto"/>
        <w:jc w:val="both"/>
        <w:rPr>
          <w:rStyle w:val="Hipervnculo"/>
          <w:rFonts w:ascii="Verdana" w:hAnsi="Verdana" w:cs="Arial"/>
          <w:color w:val="4472C4" w:themeColor="accent1"/>
        </w:rPr>
      </w:pPr>
      <w:r w:rsidRPr="00EE5378">
        <w:rPr>
          <w:rFonts w:ascii="Verdana" w:hAnsi="Verdana" w:cs="Arial"/>
        </w:rPr>
        <w:t xml:space="preserve">LinkedIn: </w:t>
      </w:r>
      <w:r w:rsidRPr="00EE5378">
        <w:rPr>
          <w:rStyle w:val="Hipervnculo"/>
          <w:rFonts w:ascii="Verdana" w:hAnsi="Verdana" w:cs="Arial"/>
          <w:color w:val="4472C4" w:themeColor="accent1"/>
        </w:rPr>
        <w:t>Agencia Nacional de Contratación Pública - Colombia Compra Eficiente</w:t>
      </w:r>
      <w:r w:rsidRPr="00EE5378">
        <w:rPr>
          <w:rFonts w:ascii="Verdana" w:hAnsi="Verdana" w:cs="Arial"/>
          <w:color w:val="4472C4" w:themeColor="accent1"/>
        </w:rPr>
        <w:t xml:space="preserve"> </w:t>
      </w:r>
      <w:r w:rsidRPr="00EE5378">
        <w:rPr>
          <w:rFonts w:ascii="Verdana" w:hAnsi="Verdana" w:cs="Arial"/>
        </w:rPr>
        <w:t xml:space="preserve">Instagram: </w:t>
      </w:r>
      <w:r w:rsidRPr="00EE5378">
        <w:rPr>
          <w:rStyle w:val="Hipervnculo"/>
          <w:rFonts w:ascii="Verdana" w:hAnsi="Verdana" w:cs="Arial"/>
          <w:color w:val="4472C4" w:themeColor="accent1"/>
        </w:rPr>
        <w:t>@colombiacompraeficiente_cce</w:t>
      </w:r>
    </w:p>
    <w:p w14:paraId="59F4F7D7" w14:textId="77777777" w:rsidR="00BE3A41" w:rsidRPr="00EE5378" w:rsidRDefault="00BE3A41" w:rsidP="00BE3A41">
      <w:pPr>
        <w:spacing w:after="0" w:line="276" w:lineRule="auto"/>
        <w:jc w:val="both"/>
        <w:rPr>
          <w:rStyle w:val="Hipervnculo"/>
          <w:rFonts w:ascii="Verdana" w:hAnsi="Verdana" w:cs="Arial"/>
          <w:color w:val="4472C4" w:themeColor="accent1"/>
        </w:rPr>
      </w:pPr>
    </w:p>
    <w:p w14:paraId="25D4E692" w14:textId="77777777" w:rsidR="00BE3A41" w:rsidRPr="00EE5378" w:rsidRDefault="00BE3A41" w:rsidP="00BE3A41">
      <w:pPr>
        <w:widowControl w:val="0"/>
        <w:autoSpaceDE w:val="0"/>
        <w:autoSpaceDN w:val="0"/>
        <w:spacing w:after="0" w:line="276" w:lineRule="auto"/>
        <w:jc w:val="both"/>
        <w:rPr>
          <w:rFonts w:ascii="Verdana" w:hAnsi="Verdana" w:cs="Arial"/>
          <w:lang w:val="es-ES_tradnl"/>
        </w:rPr>
      </w:pPr>
      <w:r w:rsidRPr="00EE5378">
        <w:rPr>
          <w:rFonts w:ascii="Verdana" w:hAnsi="Verdana" w:cs="Arial"/>
        </w:rPr>
        <w:t xml:space="preserve">Este concepto tiene el alcance previsto en el artículo 28 del Código de Procedimiento Administrativo y de lo Contencioso Administrativo </w:t>
      </w:r>
      <w:r w:rsidRPr="00EE5378">
        <w:rPr>
          <w:rFonts w:ascii="Verdana" w:hAnsi="Verdana" w:cs="Arial"/>
          <w:lang w:val="es-ES_tradnl"/>
        </w:rPr>
        <w:t>y las expresiones aquí utilizadas con mayúscula inicial deben ser entendidas con el significado que les otorga el artículo 2.2.1.1.1.3.1. del Decreto 1082 de 2015.</w:t>
      </w:r>
    </w:p>
    <w:p w14:paraId="739E455B" w14:textId="77777777" w:rsidR="00BE3A41" w:rsidRPr="00EE5378" w:rsidRDefault="00BE3A41" w:rsidP="00BE3A41">
      <w:pPr>
        <w:widowControl w:val="0"/>
        <w:autoSpaceDE w:val="0"/>
        <w:autoSpaceDN w:val="0"/>
        <w:spacing w:after="0" w:line="276" w:lineRule="auto"/>
        <w:jc w:val="both"/>
        <w:rPr>
          <w:rFonts w:ascii="Verdana" w:hAnsi="Verdana" w:cs="Arial"/>
        </w:rPr>
      </w:pPr>
    </w:p>
    <w:p w14:paraId="19D7977E" w14:textId="77777777" w:rsidR="00BE3A41" w:rsidRPr="00EE5378" w:rsidRDefault="00BE3A41" w:rsidP="00BE3A41">
      <w:pPr>
        <w:spacing w:after="0" w:line="276" w:lineRule="auto"/>
        <w:jc w:val="both"/>
        <w:rPr>
          <w:rFonts w:ascii="Verdana" w:hAnsi="Verdana" w:cs="Arial"/>
          <w:lang w:eastAsia="es-CO"/>
        </w:rPr>
      </w:pPr>
      <w:r w:rsidRPr="00EE5378">
        <w:rPr>
          <w:rFonts w:ascii="Verdana" w:eastAsia="Times New Roman" w:hAnsi="Verdana" w:cs="Arial"/>
          <w:lang w:eastAsia="es-CO"/>
        </w:rPr>
        <w:t>Atentamente,</w:t>
      </w:r>
      <w:r w:rsidRPr="00EE5378">
        <w:rPr>
          <w:rFonts w:ascii="Verdana" w:hAnsi="Verdana" w:cs="Arial"/>
          <w:lang w:eastAsia="es-CO"/>
        </w:rPr>
        <w:t xml:space="preserve"> </w:t>
      </w:r>
    </w:p>
    <w:p w14:paraId="7EDB71BF" w14:textId="75983057" w:rsidR="00BE3A41" w:rsidRPr="00EE5378" w:rsidRDefault="002656C3" w:rsidP="00BE3A41">
      <w:pPr>
        <w:spacing w:line="276" w:lineRule="auto"/>
        <w:jc w:val="center"/>
        <w:rPr>
          <w:rFonts w:ascii="Verdana" w:hAnsi="Verdana" w:cs="Arial"/>
          <w:color w:val="000000"/>
          <w:sz w:val="16"/>
          <w:szCs w:val="16"/>
          <w:lang w:val="es-ES_tradnl" w:eastAsia="es-CO"/>
        </w:rPr>
      </w:pPr>
      <w:r w:rsidRPr="00EE5378">
        <w:rPr>
          <w:rFonts w:ascii="Verdana" w:hAnsi="Verdana"/>
          <w:noProof/>
        </w:rPr>
        <w:drawing>
          <wp:inline distT="0" distB="0" distL="0" distR="0" wp14:anchorId="6A83759C" wp14:editId="5043D330">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E3A41" w:rsidRPr="00EE5378" w14:paraId="04C25A1D" w14:textId="77777777" w:rsidTr="00355861">
        <w:trPr>
          <w:trHeight w:val="315"/>
        </w:trPr>
        <w:tc>
          <w:tcPr>
            <w:tcW w:w="893" w:type="dxa"/>
            <w:vAlign w:val="center"/>
            <w:hideMark/>
          </w:tcPr>
          <w:p w14:paraId="43A79656" w14:textId="77777777" w:rsidR="00BE3A41" w:rsidRPr="00EE5378" w:rsidRDefault="00BE3A41" w:rsidP="00355861">
            <w:pPr>
              <w:contextualSpacing/>
              <w:rPr>
                <w:rFonts w:ascii="Verdana" w:hAnsi="Verdana" w:cs="Arial"/>
                <w:sz w:val="16"/>
                <w:szCs w:val="16"/>
                <w:lang w:val="es-ES" w:eastAsia="es-ES"/>
              </w:rPr>
            </w:pPr>
            <w:r w:rsidRPr="00EE5378">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F3F3517" w14:textId="77777777" w:rsidR="00BE3A41" w:rsidRPr="00EE5378" w:rsidRDefault="00BE3A41" w:rsidP="00355861">
            <w:pPr>
              <w:contextualSpacing/>
              <w:rPr>
                <w:rFonts w:ascii="Verdana" w:eastAsia="Arial" w:hAnsi="Verdana" w:cs="Arial"/>
                <w:sz w:val="16"/>
                <w:szCs w:val="16"/>
              </w:rPr>
            </w:pPr>
            <w:r w:rsidRPr="00EE5378">
              <w:rPr>
                <w:rFonts w:ascii="Verdana" w:eastAsia="Arial" w:hAnsi="Verdana" w:cs="Arial"/>
                <w:sz w:val="16"/>
                <w:szCs w:val="16"/>
              </w:rPr>
              <w:t>Ana María Ortiz Ballesteros</w:t>
            </w:r>
          </w:p>
          <w:p w14:paraId="06E470A7" w14:textId="77777777" w:rsidR="00BE3A41" w:rsidRPr="00EE5378" w:rsidRDefault="00BE3A41" w:rsidP="00355861">
            <w:pPr>
              <w:contextualSpacing/>
              <w:rPr>
                <w:rFonts w:ascii="Verdana" w:eastAsia="Arial" w:hAnsi="Verdana" w:cs="Arial"/>
                <w:sz w:val="16"/>
                <w:szCs w:val="16"/>
              </w:rPr>
            </w:pPr>
            <w:r w:rsidRPr="00EE5378">
              <w:rPr>
                <w:rStyle w:val="normaltextrun"/>
                <w:rFonts w:ascii="Verdana" w:eastAsia="Arial" w:hAnsi="Verdana" w:cs="Arial"/>
                <w:sz w:val="16"/>
                <w:szCs w:val="16"/>
              </w:rPr>
              <w:t>C</w:t>
            </w:r>
            <w:r w:rsidRPr="00EE5378">
              <w:rPr>
                <w:rStyle w:val="normaltextrun"/>
                <w:rFonts w:ascii="Verdana" w:hAnsi="Verdana"/>
                <w:sz w:val="16"/>
                <w:szCs w:val="16"/>
              </w:rPr>
              <w:t>ontratista</w:t>
            </w:r>
            <w:r w:rsidRPr="00EE5378">
              <w:rPr>
                <w:rStyle w:val="normaltextrun"/>
                <w:rFonts w:ascii="Verdana" w:eastAsia="Arial" w:hAnsi="Verdana" w:cs="Arial"/>
                <w:sz w:val="16"/>
                <w:szCs w:val="16"/>
              </w:rPr>
              <w:t xml:space="preserve"> de la Subdirección de Gestión Contractual</w:t>
            </w:r>
          </w:p>
        </w:tc>
      </w:tr>
      <w:tr w:rsidR="00BE3A41" w:rsidRPr="00EE5378" w14:paraId="006DD0F2" w14:textId="77777777" w:rsidTr="00355861">
        <w:trPr>
          <w:trHeight w:val="330"/>
        </w:trPr>
        <w:tc>
          <w:tcPr>
            <w:tcW w:w="893" w:type="dxa"/>
            <w:vAlign w:val="center"/>
            <w:hideMark/>
          </w:tcPr>
          <w:p w14:paraId="2F07BACA" w14:textId="77777777" w:rsidR="00BE3A41" w:rsidRPr="00EE5378" w:rsidRDefault="00BE3A41" w:rsidP="00355861">
            <w:pPr>
              <w:contextualSpacing/>
              <w:rPr>
                <w:rFonts w:ascii="Verdana" w:hAnsi="Verdana" w:cs="Arial"/>
                <w:sz w:val="16"/>
                <w:szCs w:val="16"/>
                <w:lang w:val="es-ES" w:eastAsia="es-ES"/>
              </w:rPr>
            </w:pPr>
            <w:r w:rsidRPr="00EE5378">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695B052" w14:textId="77777777" w:rsidR="00BE3A41" w:rsidRPr="00EE5378" w:rsidRDefault="00BE3A41" w:rsidP="00355861">
            <w:pPr>
              <w:pStyle w:val="paragraph"/>
              <w:spacing w:before="0" w:beforeAutospacing="0" w:after="0" w:afterAutospacing="0"/>
              <w:contextualSpacing/>
              <w:textAlignment w:val="baseline"/>
              <w:rPr>
                <w:rFonts w:ascii="Verdana" w:hAnsi="Verdana" w:cs="Arial"/>
                <w:sz w:val="16"/>
                <w:szCs w:val="16"/>
              </w:rPr>
            </w:pPr>
            <w:r w:rsidRPr="00EE5378">
              <w:rPr>
                <w:rFonts w:ascii="Verdana" w:hAnsi="Verdana" w:cs="Arial"/>
                <w:sz w:val="16"/>
                <w:szCs w:val="16"/>
              </w:rPr>
              <w:t xml:space="preserve">Alejandro Sarmiento Cantillo </w:t>
            </w:r>
          </w:p>
          <w:p w14:paraId="479A2AEE" w14:textId="77777777" w:rsidR="00BE3A41" w:rsidRPr="00EE5378" w:rsidRDefault="00BE3A41" w:rsidP="00355861">
            <w:pPr>
              <w:pStyle w:val="paragraph"/>
              <w:spacing w:before="0" w:beforeAutospacing="0" w:after="0" w:afterAutospacing="0"/>
              <w:contextualSpacing/>
              <w:textAlignment w:val="baseline"/>
              <w:rPr>
                <w:rFonts w:ascii="Verdana" w:hAnsi="Verdana" w:cs="Arial"/>
                <w:sz w:val="16"/>
                <w:szCs w:val="16"/>
              </w:rPr>
            </w:pPr>
            <w:r w:rsidRPr="00EE5378">
              <w:rPr>
                <w:rFonts w:ascii="Verdana" w:hAnsi="Verdana" w:cs="Arial"/>
                <w:sz w:val="16"/>
                <w:szCs w:val="16"/>
              </w:rPr>
              <w:t>Gestor T1-15 de la Subdirección de Gestión Contractual</w:t>
            </w:r>
          </w:p>
        </w:tc>
      </w:tr>
      <w:tr w:rsidR="00BE3A41" w:rsidRPr="00EE5378" w14:paraId="7BCCE111" w14:textId="77777777" w:rsidTr="00355861">
        <w:trPr>
          <w:trHeight w:val="300"/>
        </w:trPr>
        <w:tc>
          <w:tcPr>
            <w:tcW w:w="893" w:type="dxa"/>
            <w:vAlign w:val="center"/>
          </w:tcPr>
          <w:p w14:paraId="0FF57749" w14:textId="77777777" w:rsidR="00BE3A41" w:rsidRPr="00EE5378" w:rsidRDefault="00BE3A41" w:rsidP="00355861">
            <w:pPr>
              <w:contextualSpacing/>
              <w:rPr>
                <w:rFonts w:ascii="Verdana" w:hAnsi="Verdana" w:cs="Arial"/>
                <w:sz w:val="16"/>
                <w:szCs w:val="16"/>
                <w:lang w:val="es-ES" w:eastAsia="es-ES"/>
              </w:rPr>
            </w:pPr>
            <w:r w:rsidRPr="00EE5378">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6EDD4CE" w14:textId="77777777" w:rsidR="00BE3A41" w:rsidRPr="00EE5378" w:rsidRDefault="00BE3A41" w:rsidP="00355861">
            <w:pPr>
              <w:contextualSpacing/>
              <w:rPr>
                <w:rFonts w:ascii="Verdana" w:eastAsia="Calibri" w:hAnsi="Verdana" w:cs="Arial"/>
                <w:sz w:val="16"/>
                <w:szCs w:val="16"/>
                <w:lang w:val="pt-BR" w:eastAsia="es-ES"/>
              </w:rPr>
            </w:pPr>
            <w:r w:rsidRPr="00EE5378">
              <w:rPr>
                <w:rFonts w:ascii="Verdana" w:eastAsia="Calibri" w:hAnsi="Verdana" w:cs="Arial"/>
                <w:sz w:val="16"/>
                <w:szCs w:val="16"/>
                <w:lang w:val="pt-BR" w:eastAsia="es-ES"/>
              </w:rPr>
              <w:t xml:space="preserve">Carolina Quintero </w:t>
            </w:r>
            <w:proofErr w:type="spellStart"/>
            <w:r w:rsidRPr="00EE5378">
              <w:rPr>
                <w:rFonts w:ascii="Verdana" w:eastAsia="Calibri" w:hAnsi="Verdana" w:cs="Arial"/>
                <w:sz w:val="16"/>
                <w:szCs w:val="16"/>
                <w:lang w:val="pt-BR" w:eastAsia="es-ES"/>
              </w:rPr>
              <w:t>Gacharná</w:t>
            </w:r>
            <w:proofErr w:type="spellEnd"/>
          </w:p>
          <w:p w14:paraId="7D09CB65" w14:textId="77777777" w:rsidR="00BE3A41" w:rsidRPr="00EE5378" w:rsidRDefault="00BE3A41" w:rsidP="00355861">
            <w:pPr>
              <w:contextualSpacing/>
              <w:rPr>
                <w:rFonts w:ascii="Verdana" w:eastAsia="Calibri" w:hAnsi="Verdana" w:cs="Arial"/>
                <w:sz w:val="16"/>
                <w:szCs w:val="16"/>
                <w:lang w:val="pt-BR" w:eastAsia="es-ES"/>
              </w:rPr>
            </w:pPr>
            <w:r w:rsidRPr="00EE5378">
              <w:rPr>
                <w:rFonts w:ascii="Verdana" w:eastAsia="Calibri" w:hAnsi="Verdana" w:cs="Arial"/>
                <w:sz w:val="16"/>
                <w:szCs w:val="16"/>
                <w:lang w:eastAsia="es-ES"/>
              </w:rPr>
              <w:t>Subdirectora</w:t>
            </w:r>
            <w:r w:rsidRPr="00EE5378">
              <w:rPr>
                <w:rFonts w:ascii="Verdana" w:eastAsia="Calibri" w:hAnsi="Verdana" w:cs="Arial"/>
                <w:sz w:val="16"/>
                <w:szCs w:val="16"/>
                <w:lang w:val="pt-BR" w:eastAsia="es-ES"/>
              </w:rPr>
              <w:t xml:space="preserve"> de Gestión Contractual ANCP – CCE</w:t>
            </w:r>
          </w:p>
        </w:tc>
      </w:tr>
    </w:tbl>
    <w:p w14:paraId="0E940EE3" w14:textId="295AF261" w:rsidR="00C97EC4" w:rsidRPr="00EE5378" w:rsidRDefault="00C97EC4" w:rsidP="00BE3A41">
      <w:pPr>
        <w:spacing w:after="0" w:line="240" w:lineRule="auto"/>
        <w:textAlignment w:val="baseline"/>
        <w:rPr>
          <w:rFonts w:ascii="Verdana" w:eastAsia="Verdana" w:hAnsi="Verdana" w:cs="Verdana"/>
          <w:lang w:eastAsia="es-CO"/>
        </w:rPr>
      </w:pPr>
    </w:p>
    <w:p w14:paraId="69BC4D14" w14:textId="36F673B9" w:rsidR="00C15139" w:rsidRPr="00EE5378" w:rsidRDefault="00C15139" w:rsidP="30821638">
      <w:pPr>
        <w:spacing w:after="0" w:line="240" w:lineRule="auto"/>
        <w:textAlignment w:val="baseline"/>
        <w:rPr>
          <w:rFonts w:ascii="Verdana" w:eastAsia="Verdana" w:hAnsi="Verdana" w:cs="Verdana"/>
          <w:lang w:eastAsia="es-CO"/>
        </w:rPr>
      </w:pPr>
      <w:r w:rsidRPr="00EE5378">
        <w:rPr>
          <w:rFonts w:ascii="Verdana" w:eastAsia="Verdana" w:hAnsi="Verdana" w:cs="Verdana"/>
          <w:lang w:eastAsia="es-CO"/>
        </w:rPr>
        <w:t> </w:t>
      </w:r>
      <w:bookmarkEnd w:id="0"/>
    </w:p>
    <w:sectPr w:rsidR="00C15139" w:rsidRPr="00EE5378"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C6EC21" w14:textId="77777777" w:rsidR="002039E7" w:rsidRDefault="002039E7" w:rsidP="004A1847">
      <w:pPr>
        <w:spacing w:after="0" w:line="240" w:lineRule="auto"/>
      </w:pPr>
      <w:r>
        <w:separator/>
      </w:r>
    </w:p>
  </w:endnote>
  <w:endnote w:type="continuationSeparator" w:id="0">
    <w:p w14:paraId="0505AF24" w14:textId="77777777" w:rsidR="002039E7" w:rsidRDefault="002039E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3274BE" w14:textId="77777777" w:rsidR="002039E7" w:rsidRDefault="002039E7" w:rsidP="004A1847">
      <w:pPr>
        <w:spacing w:after="0" w:line="240" w:lineRule="auto"/>
      </w:pPr>
      <w:r>
        <w:separator/>
      </w:r>
    </w:p>
  </w:footnote>
  <w:footnote w:type="continuationSeparator" w:id="0">
    <w:p w14:paraId="086A92D2" w14:textId="77777777" w:rsidR="002039E7" w:rsidRDefault="002039E7" w:rsidP="004A1847">
      <w:pPr>
        <w:spacing w:after="0" w:line="240" w:lineRule="auto"/>
      </w:pPr>
      <w:r>
        <w:continuationSeparator/>
      </w:r>
    </w:p>
  </w:footnote>
  <w:footnote w:id="1">
    <w:p w14:paraId="5E641649" w14:textId="77777777" w:rsidR="00B00AEA" w:rsidRPr="009E0ECF" w:rsidRDefault="00B00AEA" w:rsidP="00B00AEA">
      <w:pPr>
        <w:pStyle w:val="Textonotapie"/>
        <w:ind w:firstLine="708"/>
        <w:jc w:val="both"/>
        <w:rPr>
          <w:rFonts w:ascii="Verdana" w:hAnsi="Verdana" w:cs="Arial"/>
          <w:sz w:val="18"/>
          <w:szCs w:val="18"/>
        </w:rPr>
      </w:pPr>
      <w:r w:rsidRPr="009E0ECF">
        <w:rPr>
          <w:rStyle w:val="Refdenotaalpie"/>
          <w:rFonts w:ascii="Verdana" w:hAnsi="Verdana" w:cs="Arial"/>
          <w:sz w:val="18"/>
          <w:szCs w:val="18"/>
        </w:rPr>
        <w:footnoteRef/>
      </w:r>
      <w:r w:rsidRPr="009E0ECF">
        <w:rPr>
          <w:rFonts w:ascii="Verdana" w:hAnsi="Verdana" w:cs="Arial"/>
          <w:sz w:val="18"/>
          <w:szCs w:val="18"/>
        </w:rPr>
        <w:t xml:space="preserve"> Decreto 1088 de 1993: “Artículo 1° Aplicabilidad. Los Cabildos y/o Autoridades Tradicionales Indígenas, en representación de sus respectivos territorios indígenas, podrán conformar asociaciones de conformidad con el presente Decreto. </w:t>
      </w:r>
    </w:p>
    <w:p w14:paraId="40B7C656" w14:textId="77777777" w:rsidR="00B00AEA" w:rsidRPr="009E0ECF" w:rsidRDefault="00B00AEA" w:rsidP="00B00AEA">
      <w:pPr>
        <w:pStyle w:val="Textonotapie"/>
        <w:ind w:firstLine="708"/>
        <w:jc w:val="both"/>
        <w:rPr>
          <w:rFonts w:ascii="Verdana" w:hAnsi="Verdana" w:cs="Arial"/>
          <w:sz w:val="18"/>
          <w:szCs w:val="18"/>
        </w:rPr>
      </w:pPr>
      <w:r w:rsidRPr="009E0ECF">
        <w:rPr>
          <w:rFonts w:ascii="Verdana" w:hAnsi="Verdana" w:cs="Arial"/>
          <w:sz w:val="18"/>
          <w:szCs w:val="18"/>
        </w:rPr>
        <w:t>“Artículo 2° Naturaleza Jurídica. Las asociaciones de que trata el presente Decreto son entidades de Derecho Público de carácter especial, con personería jurídica, patrimonio propio y autonomía administrativa”.</w:t>
      </w:r>
    </w:p>
  </w:footnote>
  <w:footnote w:id="2">
    <w:p w14:paraId="0F7D7FE6" w14:textId="77777777" w:rsidR="007E0070" w:rsidRPr="009E0ECF" w:rsidRDefault="007E0070" w:rsidP="007E0070">
      <w:pPr>
        <w:shd w:val="clear" w:color="auto" w:fill="FFFFFF"/>
        <w:spacing w:after="0" w:line="240" w:lineRule="auto"/>
        <w:ind w:firstLine="708"/>
        <w:jc w:val="both"/>
        <w:rPr>
          <w:rFonts w:ascii="Verdana" w:hAnsi="Verdana" w:cs="Arial"/>
          <w:color w:val="2D2D2D"/>
          <w:sz w:val="18"/>
          <w:szCs w:val="18"/>
          <w:lang w:eastAsia="es-CO"/>
        </w:rPr>
      </w:pPr>
      <w:r w:rsidRPr="009E0ECF">
        <w:rPr>
          <w:rStyle w:val="Refdenotaalpie"/>
          <w:rFonts w:ascii="Verdana" w:hAnsi="Verdana" w:cs="Arial"/>
          <w:sz w:val="18"/>
          <w:szCs w:val="18"/>
        </w:rPr>
        <w:footnoteRef/>
      </w:r>
      <w:r w:rsidRPr="009E0ECF">
        <w:rPr>
          <w:rFonts w:ascii="Verdana" w:hAnsi="Verdana" w:cs="Arial"/>
          <w:sz w:val="18"/>
          <w:szCs w:val="18"/>
        </w:rPr>
        <w:t xml:space="preserve"> Sobre la noción de Resguardos indígenas la Corte Constitucional: “</w:t>
      </w:r>
      <w:r w:rsidRPr="009E0ECF">
        <w:rPr>
          <w:rFonts w:ascii="Verdana" w:hAnsi="Verdana" w:cs="Arial"/>
          <w:color w:val="2D2D2D"/>
          <w:sz w:val="18"/>
          <w:szCs w:val="18"/>
          <w:lang w:eastAsia="es-CO"/>
        </w:rPr>
        <w:t>Cabe recordar, que los resguardos indígenas se remontan a la época de la colonización española, fueron creados por Cédula Real y deben su nombre al propósito de “</w:t>
      </w:r>
      <w:r w:rsidRPr="009E0ECF">
        <w:rPr>
          <w:rFonts w:ascii="Verdana" w:hAnsi="Verdana" w:cs="Arial"/>
          <w:i/>
          <w:iCs/>
          <w:color w:val="2D2D2D"/>
          <w:sz w:val="18"/>
          <w:szCs w:val="18"/>
          <w:lang w:eastAsia="es-CO"/>
        </w:rPr>
        <w:t>resguardar</w:t>
      </w:r>
      <w:r w:rsidRPr="009E0ECF">
        <w:rPr>
          <w:rFonts w:ascii="Verdana" w:hAnsi="Verdana" w:cs="Arial"/>
          <w:color w:val="2D2D2D"/>
          <w:sz w:val="18"/>
          <w:szCs w:val="18"/>
          <w:lang w:eastAsia="es-CO"/>
        </w:rPr>
        <w:t xml:space="preserve">” a las comunidades indígenas del desalojo, el despojo y el exterminio al que estaban siendo sometidas por parte de los denominados conquistadores. </w:t>
      </w:r>
    </w:p>
    <w:p w14:paraId="248FA676" w14:textId="77777777" w:rsidR="00E646CF" w:rsidRPr="009E0ECF" w:rsidRDefault="00E646CF" w:rsidP="007E0070">
      <w:pPr>
        <w:shd w:val="clear" w:color="auto" w:fill="FFFFFF"/>
        <w:spacing w:after="0" w:line="240" w:lineRule="auto"/>
        <w:ind w:firstLine="708"/>
        <w:jc w:val="both"/>
        <w:rPr>
          <w:rFonts w:ascii="Verdana" w:hAnsi="Verdana" w:cs="Arial"/>
          <w:color w:val="2D2D2D"/>
          <w:sz w:val="18"/>
          <w:szCs w:val="18"/>
          <w:lang w:eastAsia="es-CO"/>
        </w:rPr>
      </w:pPr>
    </w:p>
  </w:footnote>
  <w:footnote w:id="3">
    <w:p w14:paraId="7739826B" w14:textId="77777777" w:rsidR="0053684C" w:rsidRPr="009E0ECF" w:rsidRDefault="0053684C" w:rsidP="0053684C">
      <w:pPr>
        <w:pStyle w:val="NormalWeb"/>
        <w:spacing w:before="0" w:beforeAutospacing="0" w:after="0" w:afterAutospacing="0"/>
        <w:ind w:firstLine="708"/>
        <w:jc w:val="both"/>
        <w:rPr>
          <w:rFonts w:ascii="Verdana" w:hAnsi="Verdana" w:cs="Arial"/>
          <w:color w:val="000000"/>
          <w:sz w:val="18"/>
          <w:szCs w:val="18"/>
        </w:rPr>
      </w:pPr>
      <w:r w:rsidRPr="009E0ECF">
        <w:rPr>
          <w:rStyle w:val="Refdenotaalpie"/>
          <w:rFonts w:ascii="Verdana" w:hAnsi="Verdana" w:cs="Arial"/>
          <w:sz w:val="18"/>
          <w:szCs w:val="18"/>
        </w:rPr>
        <w:footnoteRef/>
      </w:r>
      <w:r w:rsidRPr="009E0ECF">
        <w:rPr>
          <w:rFonts w:ascii="Verdana" w:hAnsi="Verdana" w:cs="Arial"/>
          <w:sz w:val="18"/>
          <w:szCs w:val="18"/>
        </w:rPr>
        <w:t xml:space="preserve"> Ley 160 de 1994: «</w:t>
      </w:r>
      <w:r w:rsidRPr="009E0ECF">
        <w:rPr>
          <w:rFonts w:ascii="Verdana" w:hAnsi="Verdana" w:cs="Arial"/>
          <w:color w:val="000000"/>
          <w:sz w:val="18"/>
          <w:szCs w:val="18"/>
        </w:rPr>
        <w:t>Artículo 12. Son funciones del Instituto Colombiano de la Reforma Agraria:  </w:t>
      </w:r>
    </w:p>
    <w:p w14:paraId="744D362F" w14:textId="77777777" w:rsidR="0053684C" w:rsidRPr="009E0ECF" w:rsidRDefault="0053684C" w:rsidP="0053684C">
      <w:pPr>
        <w:spacing w:after="0" w:line="240" w:lineRule="auto"/>
        <w:ind w:firstLine="708"/>
        <w:jc w:val="both"/>
        <w:rPr>
          <w:rFonts w:ascii="Verdana" w:hAnsi="Verdana" w:cs="Arial"/>
          <w:color w:val="000000"/>
          <w:sz w:val="18"/>
          <w:szCs w:val="18"/>
          <w:lang w:eastAsia="es-CO"/>
        </w:rPr>
      </w:pPr>
      <w:r w:rsidRPr="009E0ECF">
        <w:rPr>
          <w:rFonts w:ascii="Verdana" w:hAnsi="Verdana" w:cs="Arial"/>
          <w:color w:val="000000"/>
          <w:sz w:val="18"/>
          <w:szCs w:val="18"/>
          <w:lang w:eastAsia="es-CO"/>
        </w:rPr>
        <w:t>[…]</w:t>
      </w:r>
    </w:p>
    <w:p w14:paraId="512497E4" w14:textId="77777777" w:rsidR="0053684C" w:rsidRPr="009E0ECF" w:rsidRDefault="0053684C" w:rsidP="0053684C">
      <w:pPr>
        <w:spacing w:after="0" w:line="240" w:lineRule="auto"/>
        <w:ind w:firstLine="708"/>
        <w:jc w:val="both"/>
        <w:rPr>
          <w:rFonts w:ascii="Verdana" w:hAnsi="Verdana" w:cs="Arial"/>
          <w:color w:val="000000"/>
          <w:sz w:val="18"/>
          <w:szCs w:val="18"/>
          <w:lang w:eastAsia="es-CO"/>
        </w:rPr>
      </w:pPr>
      <w:r w:rsidRPr="009E0ECF">
        <w:rPr>
          <w:rFonts w:ascii="Verdana" w:hAnsi="Verdana" w:cs="Arial"/>
          <w:color w:val="000000"/>
          <w:sz w:val="18"/>
          <w:szCs w:val="18"/>
          <w:lang w:eastAsia="es-CO"/>
        </w:rPr>
        <w:t>“18. Estudiar las necesidades de tierras de las comunidades indígenas y constituir, ampliar, sanear y reestructurar los resguardos en beneficio de las respectivas parcialidades […]”.</w:t>
      </w:r>
    </w:p>
    <w:p w14:paraId="1814A2F5" w14:textId="77777777" w:rsidR="00E646CF" w:rsidRPr="009E0ECF" w:rsidRDefault="00E646CF" w:rsidP="0053684C">
      <w:pPr>
        <w:spacing w:after="0" w:line="240" w:lineRule="auto"/>
        <w:ind w:firstLine="708"/>
        <w:jc w:val="both"/>
        <w:rPr>
          <w:rFonts w:ascii="Verdana" w:hAnsi="Verdana" w:cs="Arial"/>
          <w:color w:val="000000"/>
          <w:sz w:val="18"/>
          <w:szCs w:val="18"/>
          <w:lang w:eastAsia="es-CO"/>
        </w:rPr>
      </w:pPr>
    </w:p>
  </w:footnote>
  <w:footnote w:id="4">
    <w:p w14:paraId="03E3F88C" w14:textId="77777777" w:rsidR="0053684C" w:rsidRPr="009E0ECF" w:rsidRDefault="0053684C" w:rsidP="0053684C">
      <w:pPr>
        <w:pStyle w:val="Textonotapie"/>
        <w:ind w:firstLine="708"/>
        <w:jc w:val="both"/>
        <w:rPr>
          <w:rFonts w:ascii="Verdana" w:hAnsi="Verdana" w:cs="Arial"/>
          <w:sz w:val="18"/>
          <w:szCs w:val="18"/>
        </w:rPr>
      </w:pPr>
      <w:r w:rsidRPr="009E0ECF">
        <w:rPr>
          <w:rStyle w:val="Refdenotaalpie"/>
          <w:rFonts w:ascii="Verdana" w:hAnsi="Verdana" w:cs="Arial"/>
          <w:sz w:val="18"/>
          <w:szCs w:val="18"/>
        </w:rPr>
        <w:footnoteRef/>
      </w:r>
      <w:r w:rsidRPr="009E0ECF">
        <w:rPr>
          <w:rFonts w:ascii="Verdana" w:hAnsi="Verdana" w:cs="Arial"/>
          <w:sz w:val="18"/>
          <w:szCs w:val="18"/>
        </w:rPr>
        <w:t xml:space="preserve">  Ley 160 de 1994 “Articulo 85. El Instituto estudiará las necesidades de tierras, de las comunidades indígenas, para el efecto de dotarlas de las superficies indispensables que faciliten su adecuado asentamiento y desarrollo, y además llevará a cabo el estudio de los títulos que aquellas presenten con el fin de establecer la existencia legal de los resguardos. </w:t>
      </w:r>
    </w:p>
    <w:p w14:paraId="5BC2C9DB" w14:textId="77777777" w:rsidR="0053684C" w:rsidRPr="009E0ECF" w:rsidRDefault="0053684C" w:rsidP="0053684C">
      <w:pPr>
        <w:pStyle w:val="Textonotapie"/>
        <w:ind w:firstLine="708"/>
        <w:jc w:val="both"/>
        <w:rPr>
          <w:rFonts w:ascii="Verdana" w:hAnsi="Verdana" w:cs="Arial"/>
          <w:sz w:val="18"/>
          <w:szCs w:val="18"/>
        </w:rPr>
      </w:pPr>
      <w:r w:rsidRPr="009E0ECF">
        <w:rPr>
          <w:rFonts w:ascii="Verdana" w:hAnsi="Verdana" w:cs="Arial"/>
          <w:sz w:val="18"/>
          <w:szCs w:val="18"/>
        </w:rPr>
        <w:t xml:space="preserve">“Con tal objeto constituirá o ampliará resguardos de tierras y procederá al saneamiento de aquellos que estuvieren ocupados por personas que no pertenezcan a la respectiva parcialidad. </w:t>
      </w:r>
    </w:p>
  </w:footnote>
  <w:footnote w:id="5">
    <w:p w14:paraId="4D761542" w14:textId="77777777" w:rsidR="00BF2AD8" w:rsidRPr="009E0ECF" w:rsidRDefault="00BF2AD8" w:rsidP="00BF2AD8">
      <w:pPr>
        <w:pStyle w:val="NormalWeb"/>
        <w:spacing w:before="0" w:beforeAutospacing="0" w:after="0" w:afterAutospacing="0"/>
        <w:ind w:firstLine="708"/>
        <w:jc w:val="both"/>
        <w:rPr>
          <w:rFonts w:ascii="Verdana" w:hAnsi="Verdana" w:cs="Arial"/>
          <w:sz w:val="18"/>
          <w:szCs w:val="18"/>
        </w:rPr>
      </w:pPr>
      <w:r w:rsidRPr="009E0ECF">
        <w:rPr>
          <w:rStyle w:val="Refdenotaalpie"/>
          <w:rFonts w:ascii="Verdana" w:hAnsi="Verdana" w:cs="Arial"/>
          <w:sz w:val="18"/>
          <w:szCs w:val="18"/>
        </w:rPr>
        <w:footnoteRef/>
      </w:r>
      <w:r w:rsidRPr="009E0ECF">
        <w:rPr>
          <w:rFonts w:ascii="Verdana" w:hAnsi="Verdana" w:cs="Arial"/>
          <w:sz w:val="18"/>
          <w:szCs w:val="18"/>
        </w:rPr>
        <w:t xml:space="preserve"> Decreto 1953 de 2014: “</w:t>
      </w:r>
      <w:r w:rsidRPr="009E0ECF">
        <w:rPr>
          <w:rFonts w:ascii="Verdana" w:hAnsi="Verdana" w:cs="Arial"/>
          <w:color w:val="000000"/>
          <w:sz w:val="18"/>
          <w:szCs w:val="18"/>
        </w:rPr>
        <w:t>Artículo 3°. Funcionamiento de los Territorios Indígenas</w:t>
      </w:r>
      <w:r w:rsidRPr="009E0ECF">
        <w:rPr>
          <w:rFonts w:ascii="Verdana" w:hAnsi="Verdana" w:cs="Arial"/>
          <w:i/>
          <w:iCs/>
          <w:color w:val="000000"/>
          <w:sz w:val="18"/>
          <w:szCs w:val="18"/>
        </w:rPr>
        <w:t>. </w:t>
      </w:r>
      <w:r w:rsidRPr="009E0ECF">
        <w:rPr>
          <w:rFonts w:ascii="Verdana" w:hAnsi="Verdana" w:cs="Arial"/>
          <w:color w:val="000000"/>
          <w:sz w:val="18"/>
          <w:szCs w:val="18"/>
        </w:rPr>
        <w:t xml:space="preserve">Los Territorios Indígenas podrán ponerse en funcionamiento, de manera transitoria, de conformidad con las disposiciones del presente decreto, mientras el Congreso expide la Ley Orgánica de Ordenamiento Territorial que crea las entidades territoriales indígenas. </w:t>
      </w:r>
    </w:p>
  </w:footnote>
  <w:footnote w:id="6">
    <w:p w14:paraId="461A693B" w14:textId="77777777" w:rsidR="00BF2AD8" w:rsidRPr="009E0ECF" w:rsidRDefault="00BF2AD8" w:rsidP="00BF2AD8">
      <w:pPr>
        <w:pStyle w:val="Textonotapie"/>
        <w:ind w:firstLine="708"/>
        <w:jc w:val="both"/>
        <w:rPr>
          <w:rFonts w:ascii="Verdana" w:hAnsi="Verdana" w:cs="Arial"/>
          <w:sz w:val="18"/>
          <w:szCs w:val="18"/>
        </w:rPr>
      </w:pPr>
    </w:p>
    <w:p w14:paraId="7E43D79E" w14:textId="77777777" w:rsidR="00BF2AD8" w:rsidRPr="009E0ECF" w:rsidRDefault="00BF2AD8" w:rsidP="00BF2AD8">
      <w:pPr>
        <w:pStyle w:val="Textonotapie"/>
        <w:ind w:firstLine="708"/>
        <w:jc w:val="both"/>
        <w:rPr>
          <w:rFonts w:ascii="Verdana" w:hAnsi="Verdana" w:cs="Arial"/>
          <w:sz w:val="18"/>
          <w:szCs w:val="18"/>
        </w:rPr>
      </w:pPr>
      <w:r w:rsidRPr="009E0ECF">
        <w:rPr>
          <w:rStyle w:val="Refdenotaalpie"/>
          <w:rFonts w:ascii="Verdana" w:hAnsi="Verdana" w:cs="Arial"/>
          <w:sz w:val="18"/>
          <w:szCs w:val="18"/>
        </w:rPr>
        <w:footnoteRef/>
      </w:r>
      <w:r w:rsidRPr="009E0ECF">
        <w:rPr>
          <w:rFonts w:ascii="Verdana" w:hAnsi="Verdana" w:cs="Arial"/>
          <w:sz w:val="18"/>
          <w:szCs w:val="18"/>
        </w:rPr>
        <w:t xml:space="preserve"> Ibidem. </w:t>
      </w:r>
    </w:p>
    <w:p w14:paraId="0BB3CAC7" w14:textId="77777777" w:rsidR="00BF2AD8" w:rsidRPr="009E0ECF" w:rsidRDefault="00BF2AD8" w:rsidP="00BF2AD8">
      <w:pPr>
        <w:pStyle w:val="Textonotapie"/>
        <w:ind w:firstLine="708"/>
        <w:jc w:val="both"/>
        <w:rPr>
          <w:rFonts w:ascii="Verdana" w:hAnsi="Verdana" w:cs="Arial"/>
          <w:sz w:val="18"/>
          <w:szCs w:val="18"/>
        </w:rPr>
      </w:pPr>
    </w:p>
  </w:footnote>
  <w:footnote w:id="7">
    <w:p w14:paraId="0B76E9DF" w14:textId="77777777" w:rsidR="00BF2AD8" w:rsidRPr="009E0ECF" w:rsidRDefault="00BF2AD8" w:rsidP="00BF2AD8">
      <w:pPr>
        <w:spacing w:after="0" w:line="240" w:lineRule="auto"/>
        <w:ind w:firstLine="708"/>
        <w:jc w:val="both"/>
        <w:rPr>
          <w:rFonts w:ascii="Verdana" w:eastAsia="Calibri" w:hAnsi="Verdana" w:cs="Arial"/>
          <w:sz w:val="18"/>
          <w:szCs w:val="18"/>
          <w:lang w:val="es-ES"/>
        </w:rPr>
      </w:pPr>
      <w:r w:rsidRPr="009E0ECF">
        <w:rPr>
          <w:rStyle w:val="Refdenotaalpie"/>
          <w:rFonts w:ascii="Verdana" w:hAnsi="Verdana" w:cs="Arial"/>
          <w:sz w:val="18"/>
          <w:szCs w:val="18"/>
        </w:rPr>
        <w:footnoteRef/>
      </w:r>
      <w:r w:rsidRPr="009E0ECF">
        <w:rPr>
          <w:rFonts w:ascii="Verdana" w:hAnsi="Verdana" w:cs="Arial"/>
          <w:sz w:val="18"/>
          <w:szCs w:val="18"/>
        </w:rPr>
        <w:t xml:space="preserve"> </w:t>
      </w:r>
      <w:r w:rsidRPr="009E0ECF">
        <w:rPr>
          <w:rFonts w:ascii="Verdana" w:eastAsia="Calibri" w:hAnsi="Verdana" w:cs="Arial"/>
          <w:sz w:val="18"/>
          <w:szCs w:val="18"/>
          <w:lang w:val="es-ES"/>
        </w:rPr>
        <w:t xml:space="preserve">Artículo 20. Ejecución de recursos. Los actos o contratos que expidan o celebren los Territorios Indígenas, según sea el caso, para la ejecución de los recursos a que hace referencia el presente decreto, se regirán por las normas del Estatuto Orgánico de Presupuesto, el Estatuto de Contratación Estatal, las normas contables que para este efecto defina la Contaduría General de la Nación y las demás disposiciones complementarias, y por las disposiciones vigentes para aquellos sectores en los cuales haya sido certificado. </w:t>
      </w:r>
    </w:p>
    <w:p w14:paraId="6BF6BE9D" w14:textId="77777777" w:rsidR="00BF2AD8" w:rsidRPr="009E0ECF" w:rsidRDefault="00BF2AD8" w:rsidP="00BF2AD8">
      <w:pPr>
        <w:spacing w:after="0" w:line="240" w:lineRule="auto"/>
        <w:ind w:firstLine="708"/>
        <w:jc w:val="both"/>
        <w:rPr>
          <w:rFonts w:ascii="Verdana" w:eastAsia="Calibri" w:hAnsi="Verdana" w:cs="Arial"/>
          <w:sz w:val="18"/>
          <w:szCs w:val="18"/>
          <w:lang w:val="es-ES"/>
        </w:rPr>
      </w:pPr>
      <w:r w:rsidRPr="009E0ECF">
        <w:rPr>
          <w:rFonts w:ascii="Verdana" w:eastAsia="Calibri" w:hAnsi="Verdana" w:cs="Arial"/>
          <w:sz w:val="18"/>
          <w:szCs w:val="18"/>
          <w:lang w:val="es-ES"/>
        </w:rPr>
        <w:t>Parágrafo. Cuando los Territorios Indígenas requieran celebrar contratos con las asociaciones de cabildos y/o autoridades tradicionales indígenas constituidos bajo lo dispuesto en el Decreto 1088 de 1993, la modalidad de selección se surtirá de acuerdo con lo establecido en el literal c) del numeral 4 del artículo 2° de la Ley 1150 de 2007.</w:t>
      </w:r>
    </w:p>
  </w:footnote>
  <w:footnote w:id="8">
    <w:p w14:paraId="73FB8C7C" w14:textId="77777777" w:rsidR="00BF2AD8" w:rsidRPr="009E0ECF" w:rsidRDefault="00BF2AD8" w:rsidP="00BF2AD8">
      <w:pPr>
        <w:pStyle w:val="Textonotapie"/>
        <w:ind w:firstLine="709"/>
        <w:jc w:val="both"/>
        <w:rPr>
          <w:rFonts w:ascii="Verdana" w:hAnsi="Verdana" w:cs="Arial"/>
          <w:sz w:val="18"/>
          <w:szCs w:val="18"/>
        </w:rPr>
      </w:pPr>
      <w:r w:rsidRPr="009E0ECF">
        <w:rPr>
          <w:rStyle w:val="Refdenotaalpie"/>
          <w:rFonts w:ascii="Verdana" w:hAnsi="Verdana" w:cs="Arial"/>
          <w:sz w:val="18"/>
          <w:szCs w:val="18"/>
        </w:rPr>
        <w:footnoteRef/>
      </w:r>
      <w:r w:rsidRPr="009E0ECF">
        <w:rPr>
          <w:rFonts w:ascii="Verdana" w:hAnsi="Verdana" w:cs="Arial"/>
          <w:sz w:val="18"/>
          <w:szCs w:val="18"/>
        </w:rPr>
        <w:t xml:space="preserve"> Decreto 1953 de 2014: “Artículo 13. Competencias Generales de los Territorios Indígenas. Los Territorios Indígenas ejercerán las siguientes competencias dentro del ámbito de su autonomía para la gestión de sus intereses en el marco de sus planes de vida:</w:t>
      </w:r>
    </w:p>
    <w:p w14:paraId="14497034" w14:textId="77777777" w:rsidR="00BF2AD8" w:rsidRPr="009E0ECF" w:rsidRDefault="00BF2AD8" w:rsidP="00BF2AD8">
      <w:pPr>
        <w:pStyle w:val="Textonotapie"/>
        <w:ind w:firstLine="709"/>
        <w:jc w:val="both"/>
        <w:rPr>
          <w:rFonts w:ascii="Verdana" w:hAnsi="Verdana" w:cs="Arial"/>
          <w:sz w:val="18"/>
          <w:szCs w:val="18"/>
        </w:rPr>
      </w:pPr>
      <w:r w:rsidRPr="009E0ECF">
        <w:rPr>
          <w:rFonts w:ascii="Verdana" w:hAnsi="Verdana" w:cs="Arial"/>
          <w:sz w:val="18"/>
          <w:szCs w:val="18"/>
        </w:rPr>
        <w:t>“1. Gobernarse por Autoridades Propias de acuerdo con la ley de origen, derecho mayor o derecho propio.</w:t>
      </w:r>
    </w:p>
    <w:p w14:paraId="606237CE" w14:textId="77777777" w:rsidR="00BF2AD8" w:rsidRPr="009E0ECF" w:rsidRDefault="00BF2AD8" w:rsidP="00BF2AD8">
      <w:pPr>
        <w:pStyle w:val="Textonotapie"/>
        <w:ind w:firstLine="709"/>
        <w:jc w:val="both"/>
        <w:rPr>
          <w:rFonts w:ascii="Verdana" w:hAnsi="Verdana" w:cs="Arial"/>
          <w:sz w:val="18"/>
          <w:szCs w:val="18"/>
        </w:rPr>
      </w:pPr>
      <w:r w:rsidRPr="009E0ECF">
        <w:rPr>
          <w:rFonts w:ascii="Verdana" w:hAnsi="Verdana" w:cs="Arial"/>
          <w:sz w:val="18"/>
          <w:szCs w:val="18"/>
        </w:rPr>
        <w:t>“2. Ejercer las competencias y derechos establecidos en este decreto, conforme con la Constitución Política, la legislación nacional e internacional que hace parte del bloque de constitucionalidad, la ley de origen, el derecho mayor o derecho propio.</w:t>
      </w:r>
    </w:p>
    <w:p w14:paraId="3303CD87" w14:textId="77777777" w:rsidR="00BF2AD8" w:rsidRPr="009E0ECF" w:rsidRDefault="00BF2AD8" w:rsidP="00BF2AD8">
      <w:pPr>
        <w:pStyle w:val="Textonotapie"/>
        <w:ind w:firstLine="709"/>
        <w:jc w:val="both"/>
        <w:rPr>
          <w:rFonts w:ascii="Verdana" w:hAnsi="Verdana" w:cs="Arial"/>
          <w:sz w:val="18"/>
          <w:szCs w:val="18"/>
        </w:rPr>
      </w:pPr>
      <w:r w:rsidRPr="009E0ECF">
        <w:rPr>
          <w:rFonts w:ascii="Verdana" w:hAnsi="Verdana" w:cs="Arial"/>
          <w:sz w:val="18"/>
          <w:szCs w:val="18"/>
        </w:rPr>
        <w:t>“3. Definir, ejecutar y evaluar las políticas económicas, sociales, ambientales y culturales propias en el marco de los planes de vida, en los respectivos territorios dentro del marco de la legislación nacional, y conforme a los principios de coordinación, concurrencia y subsidiariedad.</w:t>
      </w:r>
    </w:p>
    <w:p w14:paraId="33F078E7" w14:textId="77777777" w:rsidR="00BF2AD8" w:rsidRPr="009E0ECF" w:rsidRDefault="00BF2AD8" w:rsidP="00BF2AD8">
      <w:pPr>
        <w:pStyle w:val="Textonotapie"/>
        <w:ind w:firstLine="709"/>
        <w:jc w:val="both"/>
        <w:rPr>
          <w:rFonts w:ascii="Verdana" w:hAnsi="Verdana" w:cs="Arial"/>
          <w:sz w:val="18"/>
          <w:szCs w:val="18"/>
        </w:rPr>
      </w:pPr>
      <w:r w:rsidRPr="009E0ECF">
        <w:rPr>
          <w:rFonts w:ascii="Verdana" w:hAnsi="Verdana" w:cs="Arial"/>
          <w:sz w:val="18"/>
          <w:szCs w:val="18"/>
        </w:rPr>
        <w:t>“4. Darse sus estructuras de gobierno propio y de coordinación para efectos del desarrollo de sus respectivas competencias.</w:t>
      </w:r>
    </w:p>
    <w:p w14:paraId="2B5B0CFC" w14:textId="77777777" w:rsidR="00BF2AD8" w:rsidRPr="009E0ECF" w:rsidRDefault="00BF2AD8" w:rsidP="00BF2AD8">
      <w:pPr>
        <w:pStyle w:val="Textonotapie"/>
        <w:ind w:firstLine="708"/>
        <w:jc w:val="both"/>
        <w:rPr>
          <w:rFonts w:ascii="Verdana" w:hAnsi="Verdana" w:cs="Arial"/>
          <w:sz w:val="18"/>
          <w:szCs w:val="18"/>
        </w:rPr>
      </w:pPr>
      <w:r w:rsidRPr="009E0ECF">
        <w:rPr>
          <w:rFonts w:ascii="Verdana" w:hAnsi="Verdana" w:cs="Arial"/>
          <w:sz w:val="18"/>
          <w:szCs w:val="18"/>
        </w:rPr>
        <w:t>“5. Percibir y administrar los recursos provenientes de fuentes de financiación públicas y/o privadas para el desarrollo de sus funciones y competencias de acuerdo con lo establecido en este decreto”.</w:t>
      </w:r>
    </w:p>
  </w:footnote>
  <w:footnote w:id="9">
    <w:p w14:paraId="0908F818" w14:textId="77777777" w:rsidR="00BD1394" w:rsidRPr="009E0ECF" w:rsidRDefault="00BD1394" w:rsidP="00BD1394">
      <w:pPr>
        <w:pStyle w:val="Textonotapie"/>
        <w:ind w:firstLine="708"/>
        <w:contextualSpacing/>
        <w:jc w:val="both"/>
        <w:rPr>
          <w:rFonts w:ascii="Verdana" w:hAnsi="Verdana" w:cs="Arial"/>
          <w:color w:val="000000" w:themeColor="text1"/>
          <w:sz w:val="18"/>
          <w:szCs w:val="18"/>
        </w:rPr>
      </w:pPr>
      <w:r w:rsidRPr="009E0ECF">
        <w:rPr>
          <w:rStyle w:val="Refdenotaalpie"/>
          <w:rFonts w:ascii="Verdana" w:hAnsi="Verdana" w:cs="Arial"/>
          <w:color w:val="000000" w:themeColor="text1"/>
          <w:sz w:val="18"/>
          <w:szCs w:val="18"/>
        </w:rPr>
        <w:footnoteRef/>
      </w:r>
      <w:r w:rsidRPr="009E0ECF">
        <w:rPr>
          <w:rFonts w:ascii="Verdana" w:hAnsi="Verdana" w:cs="Arial"/>
          <w:color w:val="000000" w:themeColor="text1"/>
          <w:sz w:val="18"/>
          <w:szCs w:val="18"/>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382267F1" w14:textId="77777777" w:rsidR="00BD1394" w:rsidRPr="009E0ECF" w:rsidRDefault="00BD1394" w:rsidP="00BD1394">
      <w:pPr>
        <w:pStyle w:val="Textonotapie"/>
        <w:ind w:firstLine="708"/>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“Lo anterior, sin perjuicio de las publicaciones previstas en el numeral 3 del artículo 30 de la Ley 80 de 1993.</w:t>
      </w:r>
    </w:p>
    <w:p w14:paraId="1AFA5D5F" w14:textId="77777777" w:rsidR="00BD1394" w:rsidRPr="009E0ECF" w:rsidRDefault="00BD1394" w:rsidP="00BD1394">
      <w:pPr>
        <w:pStyle w:val="Textonotapie"/>
        <w:ind w:firstLine="708"/>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 xml:space="preserve">“Con el fin de materializar los objetivos a que se refiere el inciso anterior, el Gobierno Nacional desarrollará el Sistema Electrónico para la Contratación Pública, </w:t>
      </w:r>
      <w:proofErr w:type="spellStart"/>
      <w:r w:rsidRPr="009E0ECF">
        <w:rPr>
          <w:rFonts w:ascii="Verdana" w:hAnsi="Verdana" w:cs="Arial"/>
          <w:color w:val="000000" w:themeColor="text1"/>
          <w:sz w:val="18"/>
          <w:szCs w:val="18"/>
        </w:rPr>
        <w:t>Secop</w:t>
      </w:r>
      <w:proofErr w:type="spellEnd"/>
      <w:r w:rsidRPr="009E0ECF">
        <w:rPr>
          <w:rFonts w:ascii="Verdana" w:hAnsi="Verdana" w:cs="Arial"/>
          <w:color w:val="000000" w:themeColor="text1"/>
          <w:sz w:val="18"/>
          <w:szCs w:val="18"/>
        </w:rPr>
        <w:t xml:space="preserve">, el cual: </w:t>
      </w:r>
    </w:p>
    <w:p w14:paraId="11DCD0AB" w14:textId="77777777" w:rsidR="00BD1394" w:rsidRPr="009E0ECF" w:rsidRDefault="00BD1394" w:rsidP="00BD1394">
      <w:pPr>
        <w:pStyle w:val="Textonotapie"/>
        <w:ind w:firstLine="708"/>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w:t>
      </w:r>
    </w:p>
    <w:p w14:paraId="5F3DEAB7" w14:textId="77777777" w:rsidR="00BD1394" w:rsidRPr="009E0ECF" w:rsidRDefault="00BD1394" w:rsidP="00BD1394">
      <w:pPr>
        <w:pStyle w:val="Textonotapie"/>
        <w:ind w:firstLine="708"/>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 xml:space="preserve">“c) Contará con la información oficial de la contratación realizada con dineros públicos, para lo cual establecerá los patrones a que haya lugar y se encargará de su difusión a través de canales electrónico”. </w:t>
      </w:r>
    </w:p>
  </w:footnote>
  <w:footnote w:id="10">
    <w:p w14:paraId="656249F7" w14:textId="77777777" w:rsidR="00BD1394" w:rsidRPr="009E0ECF" w:rsidRDefault="00BD1394" w:rsidP="00BD1394">
      <w:pPr>
        <w:spacing w:after="0" w:line="240" w:lineRule="auto"/>
        <w:ind w:firstLine="707"/>
        <w:contextualSpacing/>
        <w:jc w:val="both"/>
        <w:rPr>
          <w:rFonts w:ascii="Verdana" w:hAnsi="Verdana" w:cs="Arial"/>
          <w:color w:val="000000" w:themeColor="text1"/>
          <w:sz w:val="18"/>
          <w:szCs w:val="18"/>
        </w:rPr>
      </w:pPr>
      <w:r w:rsidRPr="009E0ECF">
        <w:rPr>
          <w:rStyle w:val="Refdenotaalpie"/>
          <w:rFonts w:ascii="Verdana" w:hAnsi="Verdana" w:cs="Arial"/>
          <w:color w:val="000000" w:themeColor="text1"/>
          <w:sz w:val="18"/>
          <w:szCs w:val="18"/>
        </w:rPr>
        <w:footnoteRef/>
      </w:r>
      <w:r w:rsidRPr="009E0ECF">
        <w:rPr>
          <w:rFonts w:ascii="Verdana" w:hAnsi="Verdana" w:cs="Arial"/>
          <w:color w:val="000000" w:themeColor="text1"/>
          <w:sz w:val="18"/>
          <w:szCs w:val="18"/>
          <w:vertAlign w:val="superscript"/>
        </w:rPr>
        <w:t xml:space="preserve"> </w:t>
      </w:r>
      <w:r w:rsidRPr="009E0ECF">
        <w:rPr>
          <w:rFonts w:ascii="Verdana" w:hAnsi="Verdana" w:cs="Arial"/>
          <w:color w:val="000000" w:themeColor="text1"/>
          <w:sz w:val="18"/>
          <w:szCs w:val="18"/>
        </w:rPr>
        <w:t>Ley 1712 de 2014: “Artículo 2. Toda información en posesión, bajo control o custodia de un sujeto obligado es pública y no podrá ser reservada o limitada sino por disposición constitucional o legal, de conformidad con la presente ley”.</w:t>
      </w:r>
    </w:p>
    <w:p w14:paraId="06BC809F" w14:textId="77777777" w:rsidR="00BD1394" w:rsidRPr="009E0ECF" w:rsidRDefault="00BD1394" w:rsidP="00BD1394">
      <w:pPr>
        <w:spacing w:after="0" w:line="240" w:lineRule="auto"/>
        <w:ind w:firstLine="707"/>
        <w:contextualSpacing/>
        <w:jc w:val="both"/>
        <w:rPr>
          <w:rFonts w:ascii="Verdana" w:hAnsi="Verdana" w:cs="Arial"/>
          <w:color w:val="000000" w:themeColor="text1"/>
          <w:sz w:val="18"/>
          <w:szCs w:val="18"/>
        </w:rPr>
      </w:pPr>
    </w:p>
  </w:footnote>
  <w:footnote w:id="11">
    <w:p w14:paraId="089EF8DB" w14:textId="77777777" w:rsidR="00BD1394" w:rsidRPr="009E0ECF" w:rsidRDefault="00BD1394" w:rsidP="00BD1394">
      <w:pPr>
        <w:pStyle w:val="Textonotapie"/>
        <w:ind w:firstLine="707"/>
        <w:contextualSpacing/>
        <w:jc w:val="both"/>
        <w:rPr>
          <w:rFonts w:ascii="Verdana" w:hAnsi="Verdana" w:cs="Arial"/>
          <w:color w:val="000000" w:themeColor="text1"/>
          <w:sz w:val="18"/>
          <w:szCs w:val="18"/>
          <w:lang w:val="es-CO"/>
        </w:rPr>
      </w:pPr>
      <w:r w:rsidRPr="009E0ECF">
        <w:rPr>
          <w:rStyle w:val="Refdenotaalpie"/>
          <w:rFonts w:ascii="Verdana" w:hAnsi="Verdana" w:cs="Arial"/>
          <w:color w:val="000000" w:themeColor="text1"/>
          <w:sz w:val="18"/>
          <w:szCs w:val="18"/>
        </w:rPr>
        <w:footnoteRef/>
      </w:r>
      <w:r w:rsidRPr="009E0ECF">
        <w:rPr>
          <w:rFonts w:ascii="Verdana" w:hAnsi="Verdana" w:cs="Arial"/>
          <w:color w:val="000000" w:themeColor="text1"/>
          <w:sz w:val="18"/>
          <w:szCs w:val="18"/>
          <w:vertAlign w:val="superscript"/>
        </w:rPr>
        <w:t xml:space="preserve"> </w:t>
      </w:r>
      <w:r w:rsidRPr="009E0ECF">
        <w:rPr>
          <w:rFonts w:ascii="Verdana" w:hAnsi="Verdana" w:cs="Arial"/>
          <w:color w:val="000000" w:themeColor="text1"/>
          <w:sz w:val="18"/>
          <w:szCs w:val="18"/>
        </w:rPr>
        <w:t xml:space="preserve">Ley 1712 de 2014: «Artículo 3. </w:t>
      </w:r>
      <w:bookmarkStart w:id="4" w:name="3"/>
      <w:r w:rsidRPr="009E0ECF">
        <w:rPr>
          <w:rFonts w:ascii="Verdana" w:hAnsi="Verdana" w:cs="Arial"/>
          <w:color w:val="000000" w:themeColor="text1"/>
          <w:sz w:val="18"/>
          <w:szCs w:val="18"/>
          <w:lang w:val="es-CO"/>
        </w:rPr>
        <w:t>Otros principios de la transparencia y acceso a la información pública.</w:t>
      </w:r>
      <w:bookmarkEnd w:id="4"/>
      <w:r w:rsidRPr="009E0ECF">
        <w:rPr>
          <w:rFonts w:ascii="Verdana" w:hAnsi="Verdana" w:cs="Arial"/>
          <w:color w:val="000000" w:themeColor="text1"/>
          <w:sz w:val="18"/>
          <w:szCs w:val="18"/>
          <w:lang w:val="es-CO"/>
        </w:rPr>
        <w:t> </w:t>
      </w:r>
    </w:p>
    <w:p w14:paraId="55BD99A9" w14:textId="77777777" w:rsidR="00BD1394" w:rsidRPr="009E0ECF" w:rsidRDefault="00BD1394" w:rsidP="00BD1394">
      <w:pPr>
        <w:pStyle w:val="Textonotapie"/>
        <w:ind w:firstLine="707"/>
        <w:contextualSpacing/>
        <w:jc w:val="both"/>
        <w:rPr>
          <w:rFonts w:ascii="Verdana" w:hAnsi="Verdana" w:cs="Arial"/>
          <w:color w:val="000000" w:themeColor="text1"/>
          <w:sz w:val="18"/>
          <w:szCs w:val="18"/>
          <w:lang w:val="es-CO"/>
        </w:rPr>
      </w:pPr>
      <w:r w:rsidRPr="009E0ECF">
        <w:rPr>
          <w:rFonts w:ascii="Verdana" w:hAnsi="Verdana" w:cs="Arial"/>
          <w:color w:val="000000" w:themeColor="text1"/>
          <w:sz w:val="18"/>
          <w:szCs w:val="18"/>
          <w:lang w:val="es-CO"/>
        </w:rPr>
        <w:t>[…]</w:t>
      </w:r>
    </w:p>
    <w:p w14:paraId="65BCD9C2" w14:textId="77777777" w:rsidR="00BD1394" w:rsidRPr="009E0ECF" w:rsidRDefault="00BD1394" w:rsidP="00BD1394">
      <w:pPr>
        <w:pStyle w:val="Textonotapie"/>
        <w:ind w:firstLine="707"/>
        <w:contextualSpacing/>
        <w:jc w:val="both"/>
        <w:rPr>
          <w:rFonts w:ascii="Verdana" w:hAnsi="Verdana" w:cs="Arial"/>
          <w:color w:val="000000" w:themeColor="text1"/>
          <w:sz w:val="18"/>
          <w:szCs w:val="18"/>
        </w:rPr>
      </w:pPr>
      <w:r w:rsidRPr="009E0ECF">
        <w:rPr>
          <w:rStyle w:val="baj"/>
          <w:rFonts w:ascii="Verdana" w:hAnsi="Verdana" w:cs="Arial"/>
          <w:color w:val="000000" w:themeColor="text1"/>
          <w:sz w:val="18"/>
          <w:szCs w:val="18"/>
        </w:rPr>
        <w:t>Principio de transparencia</w:t>
      </w:r>
      <w:r w:rsidRPr="009E0ECF">
        <w:rPr>
          <w:rFonts w:ascii="Verdana" w:hAnsi="Verdana" w:cs="Arial"/>
          <w:color w:val="000000" w:themeColor="text1"/>
          <w:sz w:val="18"/>
          <w:szCs w:val="18"/>
        </w:rPr>
        <w:t>. Principio conforme al cual toda la información en poder de los sujetos obligados definidos en esta ley se presume pública, en consecuencia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w:t>
      </w:r>
    </w:p>
    <w:p w14:paraId="18FAE0DD" w14:textId="77777777" w:rsidR="00BD1394" w:rsidRPr="009E0ECF" w:rsidRDefault="00BD1394" w:rsidP="00BD1394">
      <w:pPr>
        <w:pStyle w:val="Textonotapie"/>
        <w:ind w:firstLine="707"/>
        <w:contextualSpacing/>
        <w:jc w:val="both"/>
        <w:rPr>
          <w:rFonts w:ascii="Verdana" w:hAnsi="Verdana" w:cs="Arial"/>
          <w:color w:val="000000" w:themeColor="text1"/>
          <w:sz w:val="18"/>
          <w:szCs w:val="18"/>
        </w:rPr>
      </w:pPr>
    </w:p>
  </w:footnote>
  <w:footnote w:id="12">
    <w:p w14:paraId="6B913BA6" w14:textId="77777777" w:rsidR="00BD1394" w:rsidRPr="009E0ECF" w:rsidRDefault="00BD1394" w:rsidP="00BD1394">
      <w:pPr>
        <w:pStyle w:val="Textonotapie"/>
        <w:ind w:firstLine="707"/>
        <w:contextualSpacing/>
        <w:jc w:val="both"/>
        <w:rPr>
          <w:rFonts w:ascii="Verdana" w:hAnsi="Verdana" w:cs="Arial"/>
          <w:color w:val="000000" w:themeColor="text1"/>
          <w:sz w:val="18"/>
          <w:szCs w:val="18"/>
          <w:lang w:val="es-CO"/>
        </w:rPr>
      </w:pPr>
      <w:r w:rsidRPr="009E0ECF">
        <w:rPr>
          <w:rStyle w:val="Refdenotaalpie"/>
          <w:rFonts w:ascii="Verdana" w:hAnsi="Verdana" w:cs="Arial"/>
          <w:color w:val="000000" w:themeColor="text1"/>
          <w:sz w:val="18"/>
          <w:szCs w:val="18"/>
        </w:rPr>
        <w:footnoteRef/>
      </w:r>
      <w:r w:rsidRPr="009E0ECF">
        <w:rPr>
          <w:rFonts w:ascii="Verdana" w:hAnsi="Verdana" w:cs="Arial"/>
          <w:color w:val="000000" w:themeColor="text1"/>
          <w:sz w:val="18"/>
          <w:szCs w:val="18"/>
          <w:vertAlign w:val="superscript"/>
        </w:rPr>
        <w:t xml:space="preserve"> </w:t>
      </w:r>
      <w:r w:rsidRPr="009E0ECF">
        <w:rPr>
          <w:rFonts w:ascii="Verdana" w:hAnsi="Verdana" w:cs="Arial"/>
          <w:color w:val="000000" w:themeColor="text1"/>
          <w:sz w:val="18"/>
          <w:szCs w:val="18"/>
        </w:rPr>
        <w:t xml:space="preserve">Ley 1712 de 2014: “Artículo 3. </w:t>
      </w:r>
      <w:r w:rsidRPr="009E0ECF">
        <w:rPr>
          <w:rFonts w:ascii="Verdana" w:hAnsi="Verdana" w:cs="Arial"/>
          <w:color w:val="000000" w:themeColor="text1"/>
          <w:sz w:val="18"/>
          <w:szCs w:val="18"/>
          <w:lang w:val="es-CO"/>
        </w:rPr>
        <w:t>Otros principios de la transparencia y acceso a la información pública. </w:t>
      </w:r>
    </w:p>
    <w:p w14:paraId="3DAA4671" w14:textId="77777777" w:rsidR="00BD1394" w:rsidRPr="009E0ECF" w:rsidRDefault="00BD1394" w:rsidP="00BD1394">
      <w:pPr>
        <w:pStyle w:val="Textonotapie"/>
        <w:ind w:firstLine="707"/>
        <w:contextualSpacing/>
        <w:jc w:val="both"/>
        <w:rPr>
          <w:rFonts w:ascii="Verdana" w:hAnsi="Verdana" w:cs="Arial"/>
          <w:color w:val="000000" w:themeColor="text1"/>
          <w:sz w:val="18"/>
          <w:szCs w:val="18"/>
          <w:lang w:val="es-ES"/>
        </w:rPr>
      </w:pPr>
      <w:r w:rsidRPr="009E0ECF">
        <w:rPr>
          <w:rFonts w:ascii="Verdana" w:hAnsi="Verdana" w:cs="Arial"/>
          <w:color w:val="000000" w:themeColor="text1"/>
          <w:sz w:val="18"/>
          <w:szCs w:val="18"/>
          <w:lang w:val="es-ES"/>
        </w:rPr>
        <w:t>[…]</w:t>
      </w:r>
    </w:p>
    <w:p w14:paraId="485D2FB2" w14:textId="77777777" w:rsidR="00BD1394" w:rsidRPr="009E0ECF" w:rsidRDefault="00BD1394" w:rsidP="00BD1394">
      <w:pPr>
        <w:pStyle w:val="Textonotapie"/>
        <w:ind w:firstLine="707"/>
        <w:contextualSpacing/>
        <w:jc w:val="both"/>
        <w:rPr>
          <w:rFonts w:ascii="Verdana" w:hAnsi="Verdana" w:cs="Arial"/>
          <w:color w:val="000000" w:themeColor="text1"/>
          <w:sz w:val="18"/>
          <w:szCs w:val="18"/>
          <w:lang w:val="es-ES"/>
        </w:rPr>
      </w:pPr>
      <w:r w:rsidRPr="009E0ECF">
        <w:rPr>
          <w:rStyle w:val="baj"/>
          <w:rFonts w:ascii="Verdana" w:hAnsi="Verdana" w:cs="Arial"/>
          <w:color w:val="000000" w:themeColor="text1"/>
          <w:sz w:val="18"/>
          <w:szCs w:val="18"/>
        </w:rPr>
        <w:t>Principio de buena fe</w:t>
      </w:r>
      <w:r w:rsidRPr="009E0ECF">
        <w:rPr>
          <w:rFonts w:ascii="Verdana" w:hAnsi="Verdana" w:cs="Arial"/>
          <w:color w:val="000000" w:themeColor="text1"/>
          <w:sz w:val="18"/>
          <w:szCs w:val="18"/>
        </w:rPr>
        <w:t>. En virtud del cual todo sujeto obligado, al cumplir con las obligaciones derivadas del derecho de acceso a la información pública, lo hará con motivación honesta, leal y desprovista de cualquier intención dolosa o culposa.</w:t>
      </w:r>
    </w:p>
  </w:footnote>
  <w:footnote w:id="13">
    <w:p w14:paraId="39FBA6EA" w14:textId="77777777" w:rsidR="00BD1394" w:rsidRPr="009E0ECF" w:rsidRDefault="00BD1394" w:rsidP="00BD1394">
      <w:pPr>
        <w:pStyle w:val="Textonotapie"/>
        <w:contextualSpacing/>
        <w:jc w:val="both"/>
        <w:rPr>
          <w:rFonts w:ascii="Verdana" w:hAnsi="Verdana" w:cs="Arial"/>
          <w:color w:val="000000" w:themeColor="text1"/>
          <w:sz w:val="18"/>
          <w:szCs w:val="18"/>
        </w:rPr>
      </w:pPr>
    </w:p>
    <w:p w14:paraId="063F4464" w14:textId="77777777" w:rsidR="00BD1394" w:rsidRPr="009E0ECF" w:rsidRDefault="00BD1394" w:rsidP="00BD1394">
      <w:pPr>
        <w:pStyle w:val="Textonotapie"/>
        <w:ind w:firstLine="707"/>
        <w:contextualSpacing/>
        <w:jc w:val="both"/>
        <w:rPr>
          <w:rFonts w:ascii="Verdana" w:hAnsi="Verdana" w:cs="Arial"/>
          <w:color w:val="000000" w:themeColor="text1"/>
          <w:sz w:val="18"/>
          <w:szCs w:val="18"/>
          <w:shd w:val="clear" w:color="auto" w:fill="FFFFFF"/>
        </w:rPr>
      </w:pPr>
      <w:r w:rsidRPr="009E0ECF">
        <w:rPr>
          <w:rStyle w:val="Refdenotaalpie"/>
          <w:rFonts w:ascii="Verdana" w:hAnsi="Verdana" w:cs="Arial"/>
          <w:color w:val="000000" w:themeColor="text1"/>
          <w:sz w:val="18"/>
          <w:szCs w:val="18"/>
        </w:rPr>
        <w:footnoteRef/>
      </w:r>
      <w:r w:rsidRPr="009E0ECF">
        <w:rPr>
          <w:rFonts w:ascii="Verdana" w:hAnsi="Verdana" w:cs="Arial"/>
          <w:color w:val="000000" w:themeColor="text1"/>
          <w:sz w:val="18"/>
          <w:szCs w:val="18"/>
        </w:rPr>
        <w:t xml:space="preserve"> Ley 1712 de 2014: “Artículo 9. </w:t>
      </w:r>
      <w:r w:rsidRPr="009E0ECF">
        <w:rPr>
          <w:rFonts w:ascii="Verdana" w:hAnsi="Verdana" w:cs="Arial"/>
          <w:color w:val="000000" w:themeColor="text1"/>
          <w:sz w:val="18"/>
          <w:szCs w:val="18"/>
          <w:shd w:val="clear" w:color="auto" w:fill="FFFFFF"/>
        </w:rPr>
        <w:t> </w:t>
      </w:r>
      <w:r w:rsidRPr="009E0ECF">
        <w:rPr>
          <w:rStyle w:val="nfasis"/>
          <w:rFonts w:ascii="Verdana" w:hAnsi="Verdana" w:cs="Arial"/>
          <w:color w:val="000000" w:themeColor="text1"/>
          <w:sz w:val="18"/>
          <w:szCs w:val="18"/>
          <w:shd w:val="clear" w:color="auto" w:fill="FFFFFF"/>
        </w:rPr>
        <w:t>Información mínima obligatoria respecto a la estructura del sujeto obligado. </w:t>
      </w:r>
      <w:r w:rsidRPr="009E0ECF">
        <w:rPr>
          <w:rFonts w:ascii="Verdana" w:hAnsi="Verdana" w:cs="Arial"/>
          <w:color w:val="000000" w:themeColor="text1"/>
          <w:sz w:val="18"/>
          <w:szCs w:val="18"/>
          <w:shd w:val="clear" w:color="auto" w:fill="FFFFFF"/>
        </w:rPr>
        <w:t>Todo sujeto obligado deberá publicar la siguiente información mínima obligatoria de manera proactiva en los sistemas de información del Estado o herramientas que lo sustituyan:</w:t>
      </w:r>
    </w:p>
    <w:p w14:paraId="442F5A96" w14:textId="77777777" w:rsidR="00BD1394" w:rsidRPr="009E0ECF" w:rsidRDefault="00BD1394" w:rsidP="00BD1394">
      <w:pPr>
        <w:pStyle w:val="Textonotapie"/>
        <w:ind w:firstLine="707"/>
        <w:contextualSpacing/>
        <w:jc w:val="both"/>
        <w:rPr>
          <w:rFonts w:ascii="Verdana" w:hAnsi="Verdana" w:cs="Arial"/>
          <w:color w:val="000000" w:themeColor="text1"/>
          <w:sz w:val="18"/>
          <w:szCs w:val="18"/>
          <w:shd w:val="clear" w:color="auto" w:fill="FFFFFF"/>
        </w:rPr>
      </w:pPr>
      <w:r w:rsidRPr="009E0ECF">
        <w:rPr>
          <w:rFonts w:ascii="Verdana" w:hAnsi="Verdana" w:cs="Arial"/>
          <w:color w:val="000000" w:themeColor="text1"/>
          <w:sz w:val="18"/>
          <w:szCs w:val="18"/>
          <w:shd w:val="clear" w:color="auto" w:fill="FFFFFF"/>
        </w:rPr>
        <w:t>[…]</w:t>
      </w:r>
    </w:p>
    <w:p w14:paraId="67B3176A" w14:textId="77777777" w:rsidR="00BD1394" w:rsidRPr="009E0ECF" w:rsidRDefault="00BD1394" w:rsidP="00BD1394">
      <w:pPr>
        <w:pStyle w:val="Textonotapie"/>
        <w:ind w:firstLine="707"/>
        <w:contextualSpacing/>
        <w:jc w:val="both"/>
        <w:rPr>
          <w:rFonts w:ascii="Verdana" w:hAnsi="Verdana" w:cs="Arial"/>
          <w:color w:val="000000" w:themeColor="text1"/>
          <w:sz w:val="18"/>
          <w:szCs w:val="18"/>
          <w:lang w:val="es-ES"/>
        </w:rPr>
      </w:pPr>
      <w:r w:rsidRPr="009E0ECF">
        <w:rPr>
          <w:rFonts w:ascii="Verdana" w:hAnsi="Verdana" w:cs="Arial"/>
          <w:color w:val="000000" w:themeColor="text1"/>
          <w:sz w:val="18"/>
          <w:szCs w:val="18"/>
          <w:shd w:val="clear" w:color="auto" w:fill="FFFFFF"/>
        </w:rPr>
        <w:t>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w:t>
      </w:r>
      <w:r w:rsidRPr="009E0ECF">
        <w:rPr>
          <w:rFonts w:ascii="Verdana" w:hAnsi="Verdana" w:cs="Arial"/>
          <w:color w:val="000000" w:themeColor="text1"/>
          <w:sz w:val="18"/>
          <w:szCs w:val="18"/>
        </w:rPr>
        <w:t xml:space="preserve"> </w:t>
      </w:r>
      <w:r w:rsidRPr="009E0ECF">
        <w:rPr>
          <w:rFonts w:ascii="Verdana" w:hAnsi="Verdana" w:cs="Arial"/>
          <w:color w:val="000000" w:themeColor="text1"/>
          <w:sz w:val="18"/>
          <w:szCs w:val="18"/>
          <w:shd w:val="clear" w:color="auto" w:fill="FFFFFF"/>
        </w:rPr>
        <w:t>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w:t>
      </w:r>
      <w:r w:rsidRPr="009E0ECF">
        <w:rPr>
          <w:rFonts w:ascii="Verdana" w:hAnsi="Verdana" w:cs="Arial"/>
          <w:color w:val="000000" w:themeColor="text1"/>
          <w:sz w:val="18"/>
          <w:szCs w:val="18"/>
        </w:rPr>
        <w:t>”.</w:t>
      </w:r>
    </w:p>
  </w:footnote>
  <w:footnote w:id="14">
    <w:p w14:paraId="5C961F10" w14:textId="77777777" w:rsidR="00BD1394" w:rsidRPr="009E0ECF" w:rsidRDefault="00BD1394" w:rsidP="00BD1394">
      <w:pPr>
        <w:spacing w:after="0" w:line="240" w:lineRule="auto"/>
        <w:ind w:firstLine="707"/>
        <w:contextualSpacing/>
        <w:jc w:val="both"/>
        <w:rPr>
          <w:rFonts w:ascii="Verdana" w:hAnsi="Verdana" w:cs="Arial"/>
          <w:color w:val="000000" w:themeColor="text1"/>
          <w:sz w:val="18"/>
          <w:szCs w:val="18"/>
        </w:rPr>
      </w:pPr>
      <w:r w:rsidRPr="009E0ECF">
        <w:rPr>
          <w:rStyle w:val="Refdenotaalpie"/>
          <w:rFonts w:ascii="Verdana" w:hAnsi="Verdana" w:cs="Arial"/>
          <w:color w:val="000000" w:themeColor="text1"/>
          <w:sz w:val="18"/>
          <w:szCs w:val="18"/>
        </w:rPr>
        <w:footnoteRef/>
      </w:r>
      <w:r w:rsidRPr="009E0ECF">
        <w:rPr>
          <w:rFonts w:ascii="Verdana" w:hAnsi="Verdana" w:cs="Arial"/>
          <w:color w:val="000000" w:themeColor="text1"/>
          <w:sz w:val="18"/>
          <w:szCs w:val="18"/>
        </w:rPr>
        <w:t xml:space="preserve"> Ley 1712 de 2014: “Artículo 5. Ámbito de aplicación. Las disposiciones de esta ley serán aplicables a las siguientes personas en calidad de sujetos obligados:</w:t>
      </w:r>
    </w:p>
    <w:p w14:paraId="063295B0" w14:textId="77777777" w:rsidR="00BD1394" w:rsidRPr="009E0ECF" w:rsidRDefault="00BD1394" w:rsidP="00BD1394">
      <w:pPr>
        <w:spacing w:after="0" w:line="240" w:lineRule="auto"/>
        <w:ind w:firstLine="707"/>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“a) Toda entidad pública, incluyendo las pertenecientes a todas las Ramas del Poder Público, en todos los niveles de la estructura estatal, central o descentralizada por servicios o territorialmente, en los órdenes nacional, departamental, municipal y distrital”.</w:t>
      </w:r>
    </w:p>
    <w:p w14:paraId="5DA5317D" w14:textId="77777777" w:rsidR="00BD1394" w:rsidRPr="009E0ECF" w:rsidRDefault="00BD1394" w:rsidP="00BD1394">
      <w:pPr>
        <w:spacing w:after="0" w:line="240" w:lineRule="auto"/>
        <w:ind w:firstLine="707"/>
        <w:contextualSpacing/>
        <w:jc w:val="both"/>
        <w:rPr>
          <w:rFonts w:ascii="Verdana" w:hAnsi="Verdana" w:cs="Arial"/>
          <w:color w:val="000000" w:themeColor="text1"/>
          <w:sz w:val="18"/>
          <w:szCs w:val="18"/>
        </w:rPr>
      </w:pPr>
    </w:p>
  </w:footnote>
  <w:footnote w:id="15">
    <w:p w14:paraId="25687D3A" w14:textId="77777777" w:rsidR="00BD1394" w:rsidRPr="009E0ECF" w:rsidRDefault="00BD1394" w:rsidP="00BD1394">
      <w:pPr>
        <w:spacing w:after="0" w:line="240" w:lineRule="auto"/>
        <w:ind w:firstLine="707"/>
        <w:contextualSpacing/>
        <w:jc w:val="both"/>
        <w:rPr>
          <w:rFonts w:ascii="Verdana" w:hAnsi="Verdana" w:cs="Arial"/>
          <w:color w:val="000000" w:themeColor="text1"/>
          <w:sz w:val="18"/>
          <w:szCs w:val="18"/>
        </w:rPr>
      </w:pPr>
      <w:r w:rsidRPr="009E0ECF">
        <w:rPr>
          <w:rStyle w:val="Refdenotaalpie"/>
          <w:rFonts w:ascii="Verdana" w:hAnsi="Verdana" w:cs="Arial"/>
          <w:color w:val="000000" w:themeColor="text1"/>
          <w:sz w:val="18"/>
          <w:szCs w:val="18"/>
        </w:rPr>
        <w:footnoteRef/>
      </w:r>
      <w:r w:rsidRPr="009E0ECF">
        <w:rPr>
          <w:rFonts w:ascii="Verdana" w:hAnsi="Verdana" w:cs="Arial"/>
          <w:color w:val="000000" w:themeColor="text1"/>
          <w:sz w:val="18"/>
          <w:szCs w:val="18"/>
        </w:rPr>
        <w:t xml:space="preserve"> “Artículo 2.1.1.2.1.7.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w:t>
      </w:r>
    </w:p>
    <w:p w14:paraId="3498D45E" w14:textId="77777777" w:rsidR="00BD1394" w:rsidRPr="009E0ECF" w:rsidRDefault="00BD1394" w:rsidP="00BD1394">
      <w:pPr>
        <w:spacing w:after="0" w:line="240" w:lineRule="auto"/>
        <w:ind w:firstLine="708"/>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w:t>
      </w:r>
    </w:p>
    <w:p w14:paraId="6617D9C3" w14:textId="77777777" w:rsidR="00BD1394" w:rsidRPr="009E0ECF" w:rsidRDefault="00BD1394" w:rsidP="00BD1394">
      <w:pPr>
        <w:spacing w:after="0" w:line="240" w:lineRule="auto"/>
        <w:ind w:firstLine="709"/>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“Los sujetos obligados que contratan con recursos públicos y recursos privados, deben publicar la información de su gestión contractual con cargo a recursos públicos en el Sistema Electrónico para la Contratación Pública [SECOP]”.</w:t>
      </w:r>
    </w:p>
    <w:p w14:paraId="3C09EFD9" w14:textId="77777777" w:rsidR="00BD1394" w:rsidRPr="009E0ECF" w:rsidRDefault="00BD1394" w:rsidP="00BD1394">
      <w:pPr>
        <w:spacing w:after="0" w:line="240" w:lineRule="auto"/>
        <w:ind w:firstLine="709"/>
        <w:contextualSpacing/>
        <w:jc w:val="both"/>
        <w:rPr>
          <w:rFonts w:ascii="Verdana" w:hAnsi="Verdana" w:cs="Arial"/>
          <w:color w:val="000000" w:themeColor="text1"/>
          <w:sz w:val="18"/>
          <w:szCs w:val="18"/>
        </w:rPr>
      </w:pPr>
    </w:p>
  </w:footnote>
  <w:footnote w:id="16">
    <w:p w14:paraId="644321C9" w14:textId="77777777" w:rsidR="00BD1394" w:rsidRPr="009E0ECF" w:rsidRDefault="00BD1394" w:rsidP="00BD1394">
      <w:pPr>
        <w:pStyle w:val="Textonotapie"/>
        <w:ind w:firstLine="709"/>
        <w:contextualSpacing/>
        <w:jc w:val="both"/>
        <w:rPr>
          <w:rFonts w:ascii="Verdana" w:hAnsi="Verdana" w:cs="Arial"/>
          <w:color w:val="000000" w:themeColor="text1"/>
          <w:sz w:val="18"/>
          <w:szCs w:val="18"/>
        </w:rPr>
      </w:pPr>
      <w:r w:rsidRPr="009E0ECF">
        <w:rPr>
          <w:rStyle w:val="Refdenotaalpie"/>
          <w:rFonts w:ascii="Verdana" w:hAnsi="Verdana" w:cs="Arial"/>
          <w:color w:val="000000" w:themeColor="text1"/>
          <w:sz w:val="18"/>
          <w:szCs w:val="18"/>
        </w:rPr>
        <w:footnoteRef/>
      </w:r>
      <w:r w:rsidRPr="009E0ECF">
        <w:rPr>
          <w:rFonts w:ascii="Verdana" w:hAnsi="Verdana" w:cs="Arial"/>
          <w:color w:val="000000" w:themeColor="text1"/>
          <w:sz w:val="18"/>
          <w:szCs w:val="18"/>
        </w:rPr>
        <w:t xml:space="preserve"> Decreto 103 de 2015: “Artículo 8°. Publicación de la ejecución de contratos. Para efectos del cumplimiento de la obligación contenida en el literal g) del artículo 11 de la Ley 1712 de 2014, relativa a la información sobre la ejecución de contratos, el sujeto obligado debe publicar las aprobaciones, autorizaciones, requerimientos o informes del supervisor o del interventor, que prueben la ejecución del contrato”.</w:t>
      </w:r>
    </w:p>
    <w:p w14:paraId="53F06786" w14:textId="77777777" w:rsidR="009E0ECF" w:rsidRPr="009E0ECF" w:rsidRDefault="009E0ECF" w:rsidP="00BD1394">
      <w:pPr>
        <w:pStyle w:val="Textonotapie"/>
        <w:ind w:firstLine="709"/>
        <w:contextualSpacing/>
        <w:jc w:val="both"/>
        <w:rPr>
          <w:rFonts w:ascii="Verdana" w:hAnsi="Verdana" w:cs="Arial"/>
          <w:color w:val="000000" w:themeColor="text1"/>
          <w:sz w:val="18"/>
          <w:szCs w:val="18"/>
        </w:rPr>
      </w:pPr>
    </w:p>
  </w:footnote>
  <w:footnote w:id="17">
    <w:p w14:paraId="7E740092" w14:textId="77777777" w:rsidR="00BD1394" w:rsidRPr="009E0ECF" w:rsidRDefault="00BD1394" w:rsidP="00BD1394">
      <w:pPr>
        <w:pStyle w:val="Textonotapie"/>
        <w:ind w:firstLine="708"/>
        <w:contextualSpacing/>
        <w:jc w:val="both"/>
        <w:rPr>
          <w:rFonts w:ascii="Verdana" w:hAnsi="Verdana" w:cs="Arial"/>
          <w:color w:val="000000" w:themeColor="text1"/>
          <w:sz w:val="18"/>
          <w:szCs w:val="18"/>
        </w:rPr>
      </w:pPr>
      <w:r w:rsidRPr="009E0ECF">
        <w:rPr>
          <w:rStyle w:val="Refdenotaalpie"/>
          <w:rFonts w:ascii="Verdana" w:hAnsi="Verdana" w:cs="Arial"/>
          <w:color w:val="000000" w:themeColor="text1"/>
          <w:sz w:val="18"/>
          <w:szCs w:val="18"/>
        </w:rPr>
        <w:footnoteRef/>
      </w:r>
      <w:r w:rsidRPr="009E0ECF">
        <w:rPr>
          <w:rFonts w:ascii="Verdana" w:hAnsi="Verdana" w:cs="Arial"/>
          <w:color w:val="000000" w:themeColor="text1"/>
          <w:sz w:val="18"/>
          <w:szCs w:val="18"/>
        </w:rPr>
        <w:t xml:space="preserve"> Decreto 103 de 2015: “Artículo 9°. Publicación de procedimientos, lineamientos y políticas en materia de adquisición y compras. Para los sujetos obligados que contratan con cargo a recursos públicos, los procedimientos, lineamientos y políticas en materia de adquisición y compras de los que trata el literal g) del artículo 11 de la Ley 1712 de 2014 son los previstos en el manual de contratación expedido conforme a las directrices señaladas por la Agencia Nacional de Contratación Pública ─ Colombia Compra Eficiente, el cual debe estar publicado en el sitio web oficial del sujeto obligado”.</w:t>
      </w:r>
    </w:p>
    <w:p w14:paraId="4346D81A" w14:textId="77777777" w:rsidR="00BD1394" w:rsidRPr="009E0ECF" w:rsidRDefault="00BD1394" w:rsidP="00BD1394">
      <w:pPr>
        <w:pStyle w:val="Textonotapie"/>
        <w:ind w:firstLine="708"/>
        <w:contextualSpacing/>
        <w:jc w:val="both"/>
        <w:rPr>
          <w:rFonts w:ascii="Verdana" w:hAnsi="Verdana" w:cs="Arial"/>
          <w:color w:val="000000" w:themeColor="text1"/>
          <w:sz w:val="18"/>
          <w:szCs w:val="18"/>
        </w:rPr>
      </w:pPr>
    </w:p>
  </w:footnote>
  <w:footnote w:id="18">
    <w:p w14:paraId="0FDD290D" w14:textId="77777777" w:rsidR="00BD1394" w:rsidRPr="009E0ECF" w:rsidRDefault="00BD1394" w:rsidP="00BD1394">
      <w:pPr>
        <w:pStyle w:val="Textonotapie"/>
        <w:ind w:firstLine="708"/>
        <w:contextualSpacing/>
        <w:jc w:val="both"/>
        <w:rPr>
          <w:rFonts w:ascii="Verdana" w:hAnsi="Verdana" w:cs="Arial"/>
          <w:color w:val="000000" w:themeColor="text1"/>
          <w:sz w:val="18"/>
          <w:szCs w:val="18"/>
        </w:rPr>
      </w:pPr>
      <w:r w:rsidRPr="009E0ECF">
        <w:rPr>
          <w:rStyle w:val="Refdenotaalpie"/>
          <w:rFonts w:ascii="Verdana" w:hAnsi="Verdana" w:cs="Arial"/>
          <w:color w:val="000000" w:themeColor="text1"/>
          <w:sz w:val="18"/>
          <w:szCs w:val="18"/>
        </w:rPr>
        <w:footnoteRef/>
      </w:r>
      <w:r w:rsidRPr="009E0ECF">
        <w:rPr>
          <w:rFonts w:ascii="Verdana" w:hAnsi="Verdana" w:cs="Arial"/>
          <w:color w:val="000000" w:themeColor="text1"/>
          <w:sz w:val="18"/>
          <w:szCs w:val="18"/>
        </w:rPr>
        <w:t xml:space="preserve"> Decreto 103 de 2015: «Artículo 10. Publicación del Plan Anual de Adquisiciones. Los sujetos obligados que contratan con cargo a recursos públicos deben publicar en su página web y en el </w:t>
      </w:r>
      <w:proofErr w:type="spellStart"/>
      <w:r w:rsidRPr="009E0ECF">
        <w:rPr>
          <w:rFonts w:ascii="Verdana" w:hAnsi="Verdana" w:cs="Arial"/>
          <w:color w:val="000000" w:themeColor="text1"/>
          <w:sz w:val="18"/>
          <w:szCs w:val="18"/>
        </w:rPr>
        <w:t>Secop</w:t>
      </w:r>
      <w:proofErr w:type="spellEnd"/>
      <w:r w:rsidRPr="009E0ECF">
        <w:rPr>
          <w:rFonts w:ascii="Verdana" w:hAnsi="Verdana" w:cs="Arial"/>
          <w:color w:val="000000" w:themeColor="text1"/>
          <w:sz w:val="18"/>
          <w:szCs w:val="18"/>
        </w:rPr>
        <w:t xml:space="preserve"> el Plan Anual de Adquisiciones, de acuerdo con lo previsto en el artículo 74 de la Ley 1474 de 2011, el literal e) del artículo 9° de la Ley 1712 de 2014 y el Decreto 1510 de 2013, o el que lo modifique, sustituya o adicione.</w:t>
      </w:r>
    </w:p>
    <w:p w14:paraId="327C95C4" w14:textId="77777777" w:rsidR="00BD1394" w:rsidRPr="009E0ECF" w:rsidRDefault="00BD1394" w:rsidP="00BD1394">
      <w:pPr>
        <w:pStyle w:val="Textonotapie"/>
        <w:ind w:firstLine="709"/>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“Los sujetos obligados que no contratan con cargo a recursos públicos no están obligados a publicar su Plan Anual de Adquisiciones.</w:t>
      </w:r>
    </w:p>
    <w:p w14:paraId="708A42F6" w14:textId="77777777" w:rsidR="00BD1394" w:rsidRPr="009E0ECF" w:rsidRDefault="00BD1394" w:rsidP="00BD1394">
      <w:pPr>
        <w:pStyle w:val="Textonotapie"/>
        <w:ind w:firstLine="709"/>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“Los sujetos obligados que contratan con cargo a recursos públicos y recursos privados, deben publicar en su página web y en el SECOP el Plan Anual de Adquisiciones para los recursos de carácter público que ejecutarán en el año.</w:t>
      </w:r>
    </w:p>
    <w:p w14:paraId="0337D181" w14:textId="77777777" w:rsidR="00BD1394" w:rsidRPr="009E0ECF" w:rsidRDefault="00BD1394" w:rsidP="00BD1394">
      <w:pPr>
        <w:pStyle w:val="Textonotapie"/>
        <w:ind w:firstLine="709"/>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“Se entenderá como definición de Plan Anual de Adquisiciones respecto a todos los sujetos obligados que contratan con recursos públicos, la prevista en el artículo 3° del Decreto 1510 de 2013, o el que lo modifique, sustituya o adicione”.</w:t>
      </w:r>
    </w:p>
    <w:p w14:paraId="0F6CF857" w14:textId="77777777" w:rsidR="00BD1394" w:rsidRPr="009E0ECF" w:rsidRDefault="00BD1394" w:rsidP="00BD1394">
      <w:pPr>
        <w:pStyle w:val="Textonotapie"/>
        <w:ind w:firstLine="709"/>
        <w:contextualSpacing/>
        <w:jc w:val="both"/>
        <w:rPr>
          <w:rFonts w:ascii="Verdana" w:hAnsi="Verdana" w:cs="Arial"/>
          <w:color w:val="000000" w:themeColor="text1"/>
          <w:sz w:val="18"/>
          <w:szCs w:val="18"/>
        </w:rPr>
      </w:pPr>
    </w:p>
  </w:footnote>
  <w:footnote w:id="19">
    <w:p w14:paraId="627FD71B" w14:textId="77777777" w:rsidR="00BD1394" w:rsidRPr="009E0ECF" w:rsidRDefault="00BD1394" w:rsidP="00BD1394">
      <w:pPr>
        <w:pStyle w:val="Textonotapie"/>
        <w:ind w:firstLine="708"/>
        <w:contextualSpacing/>
        <w:jc w:val="both"/>
        <w:rPr>
          <w:rFonts w:ascii="Verdana" w:hAnsi="Verdana" w:cs="Arial"/>
          <w:color w:val="000000" w:themeColor="text1"/>
          <w:sz w:val="18"/>
          <w:szCs w:val="18"/>
        </w:rPr>
      </w:pPr>
      <w:r w:rsidRPr="009E0ECF">
        <w:rPr>
          <w:rStyle w:val="Refdenotaalpie"/>
          <w:rFonts w:ascii="Verdana" w:hAnsi="Verdana" w:cs="Arial"/>
          <w:color w:val="000000" w:themeColor="text1"/>
          <w:sz w:val="18"/>
          <w:szCs w:val="18"/>
        </w:rPr>
        <w:footnoteRef/>
      </w:r>
      <w:r w:rsidRPr="009E0ECF">
        <w:rPr>
          <w:rFonts w:ascii="Verdana" w:hAnsi="Verdana" w:cs="Arial"/>
          <w:color w:val="000000" w:themeColor="text1"/>
          <w:sz w:val="18"/>
          <w:szCs w:val="18"/>
        </w:rPr>
        <w:t xml:space="preserve"> Ley 1437 de 2011: “Artículo 24. Informaciones y documentos reservados. Solo tendrán carácter reservado las informaciones y documentos expresamente sometidos a reserva por la Constitución Política o la ley, y en especial:  </w:t>
      </w:r>
    </w:p>
    <w:p w14:paraId="5D6C0BCF" w14:textId="77777777" w:rsidR="00BD1394" w:rsidRPr="009E0ECF" w:rsidRDefault="00BD1394" w:rsidP="00BD1394">
      <w:pPr>
        <w:pStyle w:val="Textonotapie"/>
        <w:ind w:firstLine="708"/>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 xml:space="preserve">“1. Los relacionados con la defensa o seguridad nacionales.  </w:t>
      </w:r>
    </w:p>
    <w:p w14:paraId="150DFEB6" w14:textId="77777777" w:rsidR="00BD1394" w:rsidRPr="009E0ECF" w:rsidRDefault="00BD1394" w:rsidP="00BD1394">
      <w:pPr>
        <w:pStyle w:val="Textonotapie"/>
        <w:ind w:firstLine="708"/>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 xml:space="preserve">“2. Las instrucciones en materia diplomática o sobre negociaciones reservadas.  </w:t>
      </w:r>
    </w:p>
    <w:p w14:paraId="54F13EEB" w14:textId="77777777" w:rsidR="00BD1394" w:rsidRPr="009E0ECF" w:rsidRDefault="00BD1394" w:rsidP="00BD1394">
      <w:pPr>
        <w:pStyle w:val="Textonotapie"/>
        <w:ind w:firstLine="708"/>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 xml:space="preserve">“3. Los que involucren derechos a la privacidad e intimidad de las personas, incluidas en las hojas de vida, la historia laboral y los expedientes pensionales y demás registros de personal que obren en los archivos de las instituciones públicas o privadas, así como la historia clínica.  </w:t>
      </w:r>
    </w:p>
    <w:p w14:paraId="46079D0E" w14:textId="77777777" w:rsidR="00BD1394" w:rsidRPr="009E0ECF" w:rsidRDefault="00BD1394" w:rsidP="00BD1394">
      <w:pPr>
        <w:pStyle w:val="Textonotapie"/>
        <w:ind w:firstLine="708"/>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 xml:space="preserve">“4. Los relativos a las condiciones financieras de las operaciones de crédito público y tesorería que realice la nación, así como a los estudios técnicos de valoración de los activos de la nación. Estos documentos e informaciones estarán sometidos a reserva por un término de seis (6) meses contados a partir de la realización de la respectiva operación.  </w:t>
      </w:r>
    </w:p>
    <w:p w14:paraId="2D20FA34" w14:textId="77777777" w:rsidR="00BD1394" w:rsidRPr="009E0ECF" w:rsidRDefault="00BD1394" w:rsidP="00BD1394">
      <w:pPr>
        <w:pStyle w:val="Textonotapie"/>
        <w:ind w:firstLine="708"/>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 xml:space="preserve">“5. Los datos referentes a la información financiera y comercial, en los términos de la Ley Estatutaria 1266 de 2008.  </w:t>
      </w:r>
    </w:p>
    <w:p w14:paraId="652B67BE" w14:textId="77777777" w:rsidR="00BD1394" w:rsidRPr="009E0ECF" w:rsidRDefault="00BD1394" w:rsidP="00BD1394">
      <w:pPr>
        <w:pStyle w:val="Textonotapie"/>
        <w:ind w:firstLine="708"/>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 xml:space="preserve">“6. Los protegidos por el secreto comercial o industrial, así como los planes estratégicos de las empresas públicas de servicios públicos.  </w:t>
      </w:r>
    </w:p>
    <w:p w14:paraId="4D37CF78" w14:textId="77777777" w:rsidR="00BD1394" w:rsidRPr="009E0ECF" w:rsidRDefault="00BD1394" w:rsidP="00BD1394">
      <w:pPr>
        <w:pStyle w:val="Textonotapie"/>
        <w:ind w:firstLine="708"/>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 xml:space="preserve">“7. Los amparados por el secreto profesional.  </w:t>
      </w:r>
    </w:p>
    <w:p w14:paraId="711F1A90" w14:textId="77777777" w:rsidR="00BD1394" w:rsidRPr="009E0ECF" w:rsidRDefault="00BD1394" w:rsidP="00BD1394">
      <w:pPr>
        <w:pStyle w:val="Textonotapie"/>
        <w:ind w:firstLine="708"/>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 xml:space="preserve">“8. Los datos genéticos humanos.  </w:t>
      </w:r>
    </w:p>
    <w:p w14:paraId="514AFCB3" w14:textId="77777777" w:rsidR="00BD1394" w:rsidRPr="009E0ECF" w:rsidRDefault="00BD1394" w:rsidP="00BD1394">
      <w:pPr>
        <w:pStyle w:val="Textonotapie"/>
        <w:ind w:firstLine="708"/>
        <w:contextualSpacing/>
        <w:jc w:val="both"/>
        <w:rPr>
          <w:rFonts w:ascii="Verdana" w:hAnsi="Verdana" w:cs="Arial"/>
          <w:color w:val="000000" w:themeColor="text1"/>
          <w:sz w:val="18"/>
          <w:szCs w:val="18"/>
        </w:rPr>
      </w:pPr>
      <w:r w:rsidRPr="009E0ECF">
        <w:rPr>
          <w:rFonts w:ascii="Verdana" w:hAnsi="Verdana" w:cs="Arial"/>
          <w:color w:val="000000" w:themeColor="text1"/>
          <w:sz w:val="18"/>
          <w:szCs w:val="18"/>
        </w:rPr>
        <w:t xml:space="preserve">“Parágrafo. Para efecto de la solicitud de información de carácter reservado, enunciada en los numerales 3, 5, 6 y 7 solo podrá ser solicitada por el titular de la información, por sus apoderados o por personas autorizadas con facultad expresa para acceder a esa información”.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3244075"/>
    <w:multiLevelType w:val="hybridMultilevel"/>
    <w:tmpl w:val="99FC0930"/>
    <w:lvl w:ilvl="0" w:tplc="6DD292B4">
      <w:start w:val="4"/>
      <w:numFmt w:val="decimal"/>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679089576">
    <w:abstractNumId w:val="9"/>
  </w:num>
  <w:num w:numId="18" w16cid:durableId="4105403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46BA"/>
    <w:rsid w:val="00016F78"/>
    <w:rsid w:val="000210E9"/>
    <w:rsid w:val="00022847"/>
    <w:rsid w:val="0003470E"/>
    <w:rsid w:val="00040140"/>
    <w:rsid w:val="00044F46"/>
    <w:rsid w:val="00046945"/>
    <w:rsid w:val="00061B2A"/>
    <w:rsid w:val="00066A6A"/>
    <w:rsid w:val="00082362"/>
    <w:rsid w:val="00085A10"/>
    <w:rsid w:val="00086F9D"/>
    <w:rsid w:val="000A1B59"/>
    <w:rsid w:val="000A683E"/>
    <w:rsid w:val="000B19B9"/>
    <w:rsid w:val="000B5728"/>
    <w:rsid w:val="000C2CCF"/>
    <w:rsid w:val="000C78C0"/>
    <w:rsid w:val="000D0334"/>
    <w:rsid w:val="000D5DA7"/>
    <w:rsid w:val="000F3FB7"/>
    <w:rsid w:val="000F6486"/>
    <w:rsid w:val="00116940"/>
    <w:rsid w:val="00125105"/>
    <w:rsid w:val="00127233"/>
    <w:rsid w:val="0015699B"/>
    <w:rsid w:val="001A33BF"/>
    <w:rsid w:val="001B6483"/>
    <w:rsid w:val="001E4177"/>
    <w:rsid w:val="001F0B24"/>
    <w:rsid w:val="001F295C"/>
    <w:rsid w:val="001F7DC6"/>
    <w:rsid w:val="002039E7"/>
    <w:rsid w:val="0021335F"/>
    <w:rsid w:val="00215432"/>
    <w:rsid w:val="0022224E"/>
    <w:rsid w:val="0022400B"/>
    <w:rsid w:val="00227F8C"/>
    <w:rsid w:val="00234A1A"/>
    <w:rsid w:val="002421BB"/>
    <w:rsid w:val="0025796E"/>
    <w:rsid w:val="002656C3"/>
    <w:rsid w:val="002707A2"/>
    <w:rsid w:val="002951A0"/>
    <w:rsid w:val="00295477"/>
    <w:rsid w:val="002962BC"/>
    <w:rsid w:val="002A093D"/>
    <w:rsid w:val="002A0DD0"/>
    <w:rsid w:val="002A49AC"/>
    <w:rsid w:val="002A64FD"/>
    <w:rsid w:val="002C7A84"/>
    <w:rsid w:val="002D40E7"/>
    <w:rsid w:val="002E2BF8"/>
    <w:rsid w:val="002E4FD9"/>
    <w:rsid w:val="002E7BF0"/>
    <w:rsid w:val="00302D3F"/>
    <w:rsid w:val="003031C7"/>
    <w:rsid w:val="00304D34"/>
    <w:rsid w:val="0030657A"/>
    <w:rsid w:val="00322A85"/>
    <w:rsid w:val="00324168"/>
    <w:rsid w:val="00330834"/>
    <w:rsid w:val="003448F4"/>
    <w:rsid w:val="00374F5E"/>
    <w:rsid w:val="00377E3E"/>
    <w:rsid w:val="003A779E"/>
    <w:rsid w:val="003B4CD9"/>
    <w:rsid w:val="003D0F4D"/>
    <w:rsid w:val="003D5B0D"/>
    <w:rsid w:val="003E0499"/>
    <w:rsid w:val="003E4F80"/>
    <w:rsid w:val="003E6439"/>
    <w:rsid w:val="003F3941"/>
    <w:rsid w:val="00403ED0"/>
    <w:rsid w:val="00406575"/>
    <w:rsid w:val="00414C74"/>
    <w:rsid w:val="0042722E"/>
    <w:rsid w:val="0044528D"/>
    <w:rsid w:val="00466E39"/>
    <w:rsid w:val="004A1847"/>
    <w:rsid w:val="004A305D"/>
    <w:rsid w:val="004D5424"/>
    <w:rsid w:val="004E48E4"/>
    <w:rsid w:val="004E7447"/>
    <w:rsid w:val="004F12C4"/>
    <w:rsid w:val="004F21C4"/>
    <w:rsid w:val="004F2855"/>
    <w:rsid w:val="004F685F"/>
    <w:rsid w:val="005350BD"/>
    <w:rsid w:val="0053684C"/>
    <w:rsid w:val="005432EB"/>
    <w:rsid w:val="00543571"/>
    <w:rsid w:val="00553AC4"/>
    <w:rsid w:val="005566E8"/>
    <w:rsid w:val="00574867"/>
    <w:rsid w:val="00591460"/>
    <w:rsid w:val="005A65E0"/>
    <w:rsid w:val="005B421E"/>
    <w:rsid w:val="005C3777"/>
    <w:rsid w:val="005C433C"/>
    <w:rsid w:val="005C5CDC"/>
    <w:rsid w:val="005D476C"/>
    <w:rsid w:val="005E6217"/>
    <w:rsid w:val="006200BF"/>
    <w:rsid w:val="006219F8"/>
    <w:rsid w:val="006300F2"/>
    <w:rsid w:val="006302F7"/>
    <w:rsid w:val="00640914"/>
    <w:rsid w:val="0064104E"/>
    <w:rsid w:val="00644BBE"/>
    <w:rsid w:val="00646B9F"/>
    <w:rsid w:val="00665D70"/>
    <w:rsid w:val="00666013"/>
    <w:rsid w:val="006674F1"/>
    <w:rsid w:val="006900D9"/>
    <w:rsid w:val="006A3F7B"/>
    <w:rsid w:val="006B1467"/>
    <w:rsid w:val="00706C16"/>
    <w:rsid w:val="007340C3"/>
    <w:rsid w:val="0075235A"/>
    <w:rsid w:val="00756841"/>
    <w:rsid w:val="00763C00"/>
    <w:rsid w:val="007649AB"/>
    <w:rsid w:val="00771D0C"/>
    <w:rsid w:val="007833AC"/>
    <w:rsid w:val="00791552"/>
    <w:rsid w:val="007A37F2"/>
    <w:rsid w:val="007B268C"/>
    <w:rsid w:val="007B7171"/>
    <w:rsid w:val="007C0C0F"/>
    <w:rsid w:val="007C3DC2"/>
    <w:rsid w:val="007E0070"/>
    <w:rsid w:val="007E5497"/>
    <w:rsid w:val="00806F5F"/>
    <w:rsid w:val="00814535"/>
    <w:rsid w:val="00820278"/>
    <w:rsid w:val="008258C9"/>
    <w:rsid w:val="008272AB"/>
    <w:rsid w:val="00835674"/>
    <w:rsid w:val="00844AE9"/>
    <w:rsid w:val="00866006"/>
    <w:rsid w:val="00867F95"/>
    <w:rsid w:val="00871EEC"/>
    <w:rsid w:val="008843B6"/>
    <w:rsid w:val="00891928"/>
    <w:rsid w:val="008A446D"/>
    <w:rsid w:val="008B25F1"/>
    <w:rsid w:val="008D180B"/>
    <w:rsid w:val="008E412B"/>
    <w:rsid w:val="008F0EA7"/>
    <w:rsid w:val="008F5F8A"/>
    <w:rsid w:val="009138DF"/>
    <w:rsid w:val="009219DF"/>
    <w:rsid w:val="00923EEF"/>
    <w:rsid w:val="00931898"/>
    <w:rsid w:val="009419F9"/>
    <w:rsid w:val="0095685E"/>
    <w:rsid w:val="00961B09"/>
    <w:rsid w:val="00963C14"/>
    <w:rsid w:val="00965027"/>
    <w:rsid w:val="00965334"/>
    <w:rsid w:val="0097093E"/>
    <w:rsid w:val="009A0DFA"/>
    <w:rsid w:val="009A14BE"/>
    <w:rsid w:val="009A1C6F"/>
    <w:rsid w:val="009B2D26"/>
    <w:rsid w:val="009C1284"/>
    <w:rsid w:val="009C71FA"/>
    <w:rsid w:val="009C72E7"/>
    <w:rsid w:val="009C7F7E"/>
    <w:rsid w:val="009D25FC"/>
    <w:rsid w:val="009D3058"/>
    <w:rsid w:val="009E0ECF"/>
    <w:rsid w:val="009E36C0"/>
    <w:rsid w:val="009E72B0"/>
    <w:rsid w:val="009F3A13"/>
    <w:rsid w:val="00A122D3"/>
    <w:rsid w:val="00A14468"/>
    <w:rsid w:val="00A17F13"/>
    <w:rsid w:val="00A20739"/>
    <w:rsid w:val="00A23AF9"/>
    <w:rsid w:val="00A33C78"/>
    <w:rsid w:val="00A34593"/>
    <w:rsid w:val="00A827EB"/>
    <w:rsid w:val="00AB0ADB"/>
    <w:rsid w:val="00AC0DB5"/>
    <w:rsid w:val="00AD0F8E"/>
    <w:rsid w:val="00AE2FB7"/>
    <w:rsid w:val="00B00AEA"/>
    <w:rsid w:val="00B00C0E"/>
    <w:rsid w:val="00B01B1A"/>
    <w:rsid w:val="00B0381D"/>
    <w:rsid w:val="00B04EC1"/>
    <w:rsid w:val="00B221E5"/>
    <w:rsid w:val="00B4149A"/>
    <w:rsid w:val="00B44A47"/>
    <w:rsid w:val="00B56C5E"/>
    <w:rsid w:val="00B72CD3"/>
    <w:rsid w:val="00B72FFF"/>
    <w:rsid w:val="00B81C85"/>
    <w:rsid w:val="00BB49BA"/>
    <w:rsid w:val="00BB72F5"/>
    <w:rsid w:val="00BC3D36"/>
    <w:rsid w:val="00BD1394"/>
    <w:rsid w:val="00BD54A6"/>
    <w:rsid w:val="00BD7F72"/>
    <w:rsid w:val="00BE3A41"/>
    <w:rsid w:val="00BF2AD8"/>
    <w:rsid w:val="00BF7425"/>
    <w:rsid w:val="00C04FB3"/>
    <w:rsid w:val="00C11996"/>
    <w:rsid w:val="00C11D8B"/>
    <w:rsid w:val="00C15139"/>
    <w:rsid w:val="00C2156C"/>
    <w:rsid w:val="00C330EB"/>
    <w:rsid w:val="00C50D69"/>
    <w:rsid w:val="00C5365C"/>
    <w:rsid w:val="00C754BE"/>
    <w:rsid w:val="00C76B1C"/>
    <w:rsid w:val="00C925AC"/>
    <w:rsid w:val="00C97EC4"/>
    <w:rsid w:val="00CB6357"/>
    <w:rsid w:val="00CC1B26"/>
    <w:rsid w:val="00CD71B9"/>
    <w:rsid w:val="00D361FD"/>
    <w:rsid w:val="00D423A2"/>
    <w:rsid w:val="00D44E26"/>
    <w:rsid w:val="00D520D8"/>
    <w:rsid w:val="00D62F82"/>
    <w:rsid w:val="00D63AC2"/>
    <w:rsid w:val="00D72732"/>
    <w:rsid w:val="00D7383B"/>
    <w:rsid w:val="00D7788A"/>
    <w:rsid w:val="00DA231B"/>
    <w:rsid w:val="00DC39FC"/>
    <w:rsid w:val="00DF5254"/>
    <w:rsid w:val="00E02524"/>
    <w:rsid w:val="00E129B8"/>
    <w:rsid w:val="00E16408"/>
    <w:rsid w:val="00E20894"/>
    <w:rsid w:val="00E245AB"/>
    <w:rsid w:val="00E2764C"/>
    <w:rsid w:val="00E27F2E"/>
    <w:rsid w:val="00E35596"/>
    <w:rsid w:val="00E50AFE"/>
    <w:rsid w:val="00E5145B"/>
    <w:rsid w:val="00E5731D"/>
    <w:rsid w:val="00E646CF"/>
    <w:rsid w:val="00E660A6"/>
    <w:rsid w:val="00E75C92"/>
    <w:rsid w:val="00E771DC"/>
    <w:rsid w:val="00E8772A"/>
    <w:rsid w:val="00E8781C"/>
    <w:rsid w:val="00E90F6B"/>
    <w:rsid w:val="00E92C27"/>
    <w:rsid w:val="00EA0E3D"/>
    <w:rsid w:val="00EC0674"/>
    <w:rsid w:val="00EC38A7"/>
    <w:rsid w:val="00ED6ACA"/>
    <w:rsid w:val="00EE1AA8"/>
    <w:rsid w:val="00EE5378"/>
    <w:rsid w:val="00F0604C"/>
    <w:rsid w:val="00F23FEA"/>
    <w:rsid w:val="00F31EDC"/>
    <w:rsid w:val="00F462B3"/>
    <w:rsid w:val="00F5664F"/>
    <w:rsid w:val="00F666C4"/>
    <w:rsid w:val="00F76AFC"/>
    <w:rsid w:val="00F80239"/>
    <w:rsid w:val="00FA47C0"/>
    <w:rsid w:val="00FB5DD1"/>
    <w:rsid w:val="00FC2B5D"/>
    <w:rsid w:val="00FF1449"/>
    <w:rsid w:val="00FF5C37"/>
    <w:rsid w:val="00FF7963"/>
    <w:rsid w:val="071B8F93"/>
    <w:rsid w:val="07C73DD1"/>
    <w:rsid w:val="09908A09"/>
    <w:rsid w:val="0E0AF0F4"/>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008FFA0"/>
    <w:rsid w:val="69614A15"/>
    <w:rsid w:val="6BF8D4EF"/>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C0674"/>
    <w:rPr>
      <w:rFonts w:ascii="Geomanist Light" w:hAnsi="Geomanist Light"/>
      <w:lang w:val="es-ES"/>
    </w:rPr>
  </w:style>
  <w:style w:type="character" w:customStyle="1" w:styleId="s15">
    <w:name w:val="s15"/>
    <w:basedOn w:val="Fuentedeprrafopredeter"/>
    <w:rsid w:val="00EC0674"/>
  </w:style>
  <w:style w:type="paragraph" w:customStyle="1" w:styleId="Appelnotedebasde">
    <w:name w:val="Appel note de bas de..."/>
    <w:basedOn w:val="Normal"/>
    <w:link w:val="Refdenotaalpie"/>
    <w:uiPriority w:val="99"/>
    <w:rsid w:val="00B00AEA"/>
    <w:pPr>
      <w:spacing w:line="240" w:lineRule="exact"/>
    </w:pPr>
    <w:rPr>
      <w:vertAlign w:val="superscript"/>
    </w:rPr>
  </w:style>
  <w:style w:type="character" w:customStyle="1" w:styleId="NormalWebCar">
    <w:name w:val="Normal (Web) Car"/>
    <w:link w:val="NormalWeb"/>
    <w:uiPriority w:val="99"/>
    <w:rsid w:val="0053684C"/>
    <w:rPr>
      <w:rFonts w:ascii="Times New Roman" w:eastAsia="Times New Roman" w:hAnsi="Times New Roman" w:cs="Times New Roman"/>
      <w:sz w:val="24"/>
      <w:szCs w:val="24"/>
      <w:lang w:eastAsia="es-CO"/>
    </w:rPr>
  </w:style>
  <w:style w:type="character" w:customStyle="1" w:styleId="baj">
    <w:name w:val="b_aj"/>
    <w:basedOn w:val="Fuentedeprrafopredeter"/>
    <w:rsid w:val="00BD1394"/>
  </w:style>
  <w:style w:type="character" w:styleId="nfasis">
    <w:name w:val="Emphasis"/>
    <w:basedOn w:val="Fuentedeprrafopredeter"/>
    <w:uiPriority w:val="20"/>
    <w:qFormat/>
    <w:rsid w:val="00BD139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relatoria.colombiacompra.gov.co%2F&amp;data=05%7C02%7Cana.ortizb%40colombiacompra.gov.co%7C5aad36a736844ec87b2108dcc1fa4639%7C7b09041e245149d08cb179d5e3d8c1be%7C0%7C0%7C638598527916488011%7CUnknown%7CTWFpbGZsb3d8eyJWIjoiMC4wLjAwMDAiLCJQIjoiV2luMzIiLCJBTiI6Ik1haWwiLCJXVCI6Mn0%3D%7C0%7C%7C%7C&amp;sdata=in4o%2Be0khWNMSHjVv27rZM0qcYLJmM4DxpEWjOE8yIU%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resguardosindigenas@amazonas.gov.c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581A852-532A-4FF1-AD5F-E6C93D527195}"/>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06059D3-D0E6-4FB3-B9B2-CE8BD7DA94DE}">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21</Pages>
  <Words>5928</Words>
  <Characters>32604</Characters>
  <Application>Microsoft Office Word</Application>
  <DocSecurity>0</DocSecurity>
  <Lines>271</Lines>
  <Paragraphs>76</Paragraphs>
  <ScaleCrop>false</ScaleCrop>
  <Company/>
  <LinksUpToDate>false</LinksUpToDate>
  <CharactersWithSpaces>38456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11</cp:revision>
  <cp:lastPrinted>2023-01-10T21:18:00Z</cp:lastPrinted>
  <dcterms:created xsi:type="dcterms:W3CDTF">2026-06-18T23:40:00Z</dcterms:created>
  <dcterms:modified xsi:type="dcterms:W3CDTF">2026-06-19T00:19:00Z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