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A9D14" w14:textId="77777777" w:rsidR="00C94137" w:rsidRPr="00817382" w:rsidRDefault="00C94137" w:rsidP="00C94137">
      <w:pPr>
        <w:tabs>
          <w:tab w:val="left" w:pos="709"/>
        </w:tabs>
        <w:spacing w:after="0" w:line="240" w:lineRule="auto"/>
        <w:jc w:val="both"/>
        <w:rPr>
          <w:rFonts w:ascii="Verdana" w:eastAsia="Calibri" w:hAnsi="Verdana" w:cs="Arial"/>
          <w:bCs/>
          <w:sz w:val="20"/>
          <w:szCs w:val="20"/>
          <w:lang w:val="es-ES_tradnl" w:eastAsia="es-ES_tradnl"/>
        </w:rPr>
      </w:pPr>
    </w:p>
    <w:p w14:paraId="1EB8DFA2" w14:textId="77777777" w:rsidR="00C94137" w:rsidRPr="00817382" w:rsidRDefault="00C94137" w:rsidP="00C94137">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35681BC0" w14:textId="77777777" w:rsidR="00C94137" w:rsidRPr="00817382" w:rsidRDefault="00C94137" w:rsidP="00C94137">
      <w:pPr>
        <w:spacing w:after="0" w:line="240" w:lineRule="auto"/>
        <w:jc w:val="both"/>
        <w:rPr>
          <w:rFonts w:ascii="Verdana" w:eastAsia="Calibri" w:hAnsi="Verdana" w:cs="Arial"/>
          <w:bCs/>
          <w:color w:val="000000" w:themeColor="text1"/>
          <w:sz w:val="20"/>
          <w:szCs w:val="20"/>
          <w:lang w:val="es-ES_tradnl"/>
        </w:rPr>
      </w:pPr>
    </w:p>
    <w:p w14:paraId="75FD5CAE" w14:textId="77777777" w:rsidR="00C94137" w:rsidRPr="00817382" w:rsidRDefault="00C94137" w:rsidP="00C94137">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eastAsia="Calibri" w:hAnsi="Verdana" w:cs="Arial"/>
          <w:bCs/>
          <w:i/>
          <w:iCs/>
          <w:color w:val="000000" w:themeColor="text1"/>
          <w:sz w:val="20"/>
          <w:szCs w:val="20"/>
          <w:lang w:val="es-ES_tradnl" w:eastAsia="es-ES_tradnl"/>
        </w:rPr>
        <w:t>entidades estatales</w:t>
      </w:r>
      <w:r w:rsidRPr="00817382">
        <w:rPr>
          <w:rFonts w:ascii="Verdana" w:eastAsia="Calibri" w:hAnsi="Verdana" w:cs="Arial"/>
          <w:bCs/>
          <w:color w:val="000000" w:themeColor="text1"/>
          <w:sz w:val="20"/>
          <w:szCs w:val="20"/>
          <w:lang w:val="es-ES_tradnl" w:eastAsia="es-ES_tradnl"/>
        </w:rPr>
        <w:t xml:space="preserve">, esto es, aquellas previstas en los literales a) y b) del numeral 1 del artículo 2 </w:t>
      </w:r>
      <w:r w:rsidRPr="00817382">
        <w:rPr>
          <w:rFonts w:ascii="Verdana" w:eastAsia="Calibri" w:hAnsi="Verdana" w:cs="Arial"/>
          <w:bCs/>
          <w:i/>
          <w:iCs/>
          <w:color w:val="000000" w:themeColor="text1"/>
          <w:sz w:val="20"/>
          <w:szCs w:val="20"/>
          <w:lang w:val="es-ES_tradnl" w:eastAsia="es-ES_tradnl"/>
        </w:rPr>
        <w:t>ibidem</w:t>
      </w:r>
      <w:r w:rsidRPr="00817382">
        <w:rPr>
          <w:rFonts w:ascii="Verdana" w:eastAsia="Calibri" w:hAnsi="Verdana" w:cs="Arial"/>
          <w:bCs/>
          <w:color w:val="000000" w:themeColor="text1"/>
          <w:sz w:val="20"/>
          <w:szCs w:val="20"/>
          <w:lang w:val="es-ES_tradnl" w:eastAsia="es-ES_tradnl"/>
        </w:rPr>
        <w:t xml:space="preserve">. La norma citada define la competencia contractual en los siguientes términos: </w:t>
      </w:r>
    </w:p>
    <w:p w14:paraId="13D96770" w14:textId="77777777" w:rsidR="00C94137" w:rsidRPr="00817382" w:rsidRDefault="00C94137" w:rsidP="00C94137">
      <w:pPr>
        <w:spacing w:after="0" w:line="240" w:lineRule="auto"/>
        <w:jc w:val="both"/>
        <w:rPr>
          <w:rFonts w:ascii="Verdana" w:eastAsia="Calibri" w:hAnsi="Verdana" w:cs="Arial"/>
          <w:bCs/>
          <w:color w:val="000000" w:themeColor="text1"/>
          <w:sz w:val="20"/>
          <w:szCs w:val="20"/>
          <w:lang w:val="es-ES_tradnl" w:eastAsia="es-ES_tradnl"/>
        </w:rPr>
      </w:pPr>
    </w:p>
    <w:p w14:paraId="166200A4" w14:textId="77777777" w:rsidR="00C94137" w:rsidRPr="00817382" w:rsidRDefault="00C94137" w:rsidP="00C94137">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48BF5BF5" w14:textId="77777777" w:rsidR="00C94137" w:rsidRPr="00817382" w:rsidRDefault="00C94137" w:rsidP="00C94137">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 </w:t>
      </w:r>
    </w:p>
    <w:p w14:paraId="7037B1AC" w14:textId="77777777" w:rsidR="00C94137" w:rsidRPr="00817382" w:rsidRDefault="00C94137" w:rsidP="00C94137">
      <w:pPr>
        <w:spacing w:after="0" w:line="240" w:lineRule="auto"/>
        <w:jc w:val="both"/>
        <w:rPr>
          <w:rFonts w:ascii="Verdana" w:eastAsia="Calibri" w:hAnsi="Verdana" w:cs="Arial"/>
          <w:i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Fonts w:ascii="Verdana" w:eastAsia="Calibri" w:hAnsi="Verdana" w:cs="Arial"/>
          <w:color w:val="000000" w:themeColor="text1"/>
          <w:sz w:val="20"/>
          <w:szCs w:val="20"/>
          <w:lang w:val="es-ES_tradnl"/>
        </w:rPr>
        <w:t>.</w:t>
      </w:r>
    </w:p>
    <w:p w14:paraId="23A8145D" w14:textId="77777777" w:rsidR="00C94137" w:rsidRDefault="00C94137" w:rsidP="00C94137">
      <w:pPr>
        <w:spacing w:after="0" w:line="240" w:lineRule="auto"/>
        <w:jc w:val="both"/>
        <w:rPr>
          <w:rFonts w:ascii="Verdana" w:eastAsia="Calibri" w:hAnsi="Verdana" w:cs="Arial"/>
          <w:b/>
          <w:lang w:val="es-ES_tradnl"/>
        </w:rPr>
      </w:pPr>
    </w:p>
    <w:p w14:paraId="0221F773" w14:textId="77777777" w:rsidR="00C94137" w:rsidRPr="0091122A" w:rsidRDefault="00C94137" w:rsidP="00C94137">
      <w:pPr>
        <w:spacing w:after="0" w:line="240" w:lineRule="auto"/>
        <w:jc w:val="both"/>
        <w:rPr>
          <w:rFonts w:ascii="Verdana" w:hAnsi="Verdana" w:cs="Arial"/>
          <w:b/>
          <w:bCs/>
          <w:lang w:val="es-ES_tradnl" w:eastAsia="es-ES" w:bidi="es-ES"/>
        </w:rPr>
      </w:pPr>
      <w:r w:rsidRPr="0091122A">
        <w:rPr>
          <w:rFonts w:ascii="Verdana" w:eastAsia="Arial" w:hAnsi="Verdana" w:cs="Arial"/>
          <w:b/>
          <w:lang w:val="es-ES"/>
        </w:rPr>
        <w:t>PRINCIPIO DE PUBLICIDAD – Concepto – Fundamento axiológico – Fundamento constitucional</w:t>
      </w:r>
      <w:r w:rsidRPr="0091122A">
        <w:rPr>
          <w:rFonts w:ascii="Verdana" w:hAnsi="Verdana" w:cs="Arial"/>
          <w:b/>
          <w:bCs/>
          <w:lang w:val="es-ES_tradnl" w:eastAsia="es-ES" w:bidi="es-ES"/>
        </w:rPr>
        <w:t xml:space="preserve"> </w:t>
      </w:r>
    </w:p>
    <w:p w14:paraId="6C1EAB13" w14:textId="77777777" w:rsidR="00C94137" w:rsidRPr="0091122A" w:rsidRDefault="00C94137" w:rsidP="00C94137">
      <w:pPr>
        <w:spacing w:after="0" w:line="240" w:lineRule="auto"/>
        <w:jc w:val="both"/>
        <w:rPr>
          <w:rFonts w:ascii="Verdana" w:hAnsi="Verdana" w:cs="Arial"/>
          <w:b/>
          <w:bCs/>
          <w:sz w:val="20"/>
          <w:szCs w:val="20"/>
          <w:lang w:val="es-ES_tradnl" w:eastAsia="es-ES" w:bidi="es-ES"/>
        </w:rPr>
      </w:pPr>
    </w:p>
    <w:p w14:paraId="6F95EFDD" w14:textId="77777777" w:rsidR="00C94137" w:rsidRPr="0091122A" w:rsidRDefault="00C94137" w:rsidP="00C94137">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91122A">
        <w:rPr>
          <w:rFonts w:ascii="Verdana" w:eastAsia="Times New Roman" w:hAnsi="Verdana" w:cs="Arial"/>
          <w:i/>
          <w:iCs/>
          <w:sz w:val="20"/>
          <w:szCs w:val="20"/>
          <w:lang w:val="es-ES" w:eastAsia="es-ES"/>
          <w14:ligatures w14:val="standardContextual"/>
        </w:rPr>
        <w:t>publicidad</w:t>
      </w:r>
      <w:r w:rsidRPr="0091122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661FDAB5" w14:textId="77777777" w:rsidR="00C94137" w:rsidRDefault="00C94137" w:rsidP="00C94137">
      <w:pPr>
        <w:spacing w:after="0" w:line="240" w:lineRule="auto"/>
        <w:jc w:val="both"/>
        <w:rPr>
          <w:rFonts w:ascii="Verdana" w:eastAsia="Times New Roman" w:hAnsi="Verdana" w:cs="Arial"/>
          <w:sz w:val="20"/>
          <w:szCs w:val="20"/>
          <w:lang w:val="es-ES" w:eastAsia="es-ES"/>
          <w14:ligatures w14:val="standardContextual"/>
        </w:rPr>
      </w:pPr>
    </w:p>
    <w:p w14:paraId="6F164178" w14:textId="77777777" w:rsidR="00C94137" w:rsidRPr="0091122A" w:rsidRDefault="00C94137" w:rsidP="00C94137">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lastRenderedPageBreak/>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3DA9221" w14:textId="77777777" w:rsidR="00C94137" w:rsidRPr="0091122A" w:rsidRDefault="00C94137" w:rsidP="00C94137">
      <w:pPr>
        <w:spacing w:after="0" w:line="240" w:lineRule="auto"/>
        <w:jc w:val="both"/>
        <w:rPr>
          <w:rFonts w:ascii="Verdana" w:hAnsi="Verdana" w:cs="Arial"/>
          <w:b/>
          <w:bCs/>
          <w:lang w:val="es-ES" w:eastAsia="es-ES" w:bidi="es-ES"/>
        </w:rPr>
      </w:pPr>
    </w:p>
    <w:p w14:paraId="3324C74B" w14:textId="77777777" w:rsidR="00C94137" w:rsidRPr="0091122A" w:rsidRDefault="00C94137" w:rsidP="00C94137">
      <w:pPr>
        <w:spacing w:after="0" w:line="240" w:lineRule="auto"/>
        <w:jc w:val="both"/>
        <w:rPr>
          <w:rFonts w:ascii="Verdana" w:hAnsi="Verdana" w:cs="Arial"/>
          <w:b/>
          <w:bCs/>
          <w:lang w:val="es-ES_tradnl" w:eastAsia="es-ES" w:bidi="es-ES"/>
        </w:rPr>
      </w:pPr>
      <w:r w:rsidRPr="0091122A">
        <w:rPr>
          <w:rFonts w:ascii="Verdana" w:hAnsi="Verdana" w:cs="Arial"/>
          <w:b/>
          <w:bCs/>
          <w:lang w:val="es-ES_tradnl" w:eastAsia="es-ES" w:bidi="es-ES"/>
        </w:rPr>
        <w:t xml:space="preserve">PRINCIPIO DE PUBLICIDAD – SECOP – Documentos del proceso – Deber de publicación </w:t>
      </w:r>
    </w:p>
    <w:p w14:paraId="24FE50C7" w14:textId="77777777" w:rsidR="00C94137" w:rsidRDefault="00C94137" w:rsidP="00C94137">
      <w:pPr>
        <w:spacing w:after="0" w:line="240" w:lineRule="auto"/>
        <w:jc w:val="both"/>
        <w:rPr>
          <w:rFonts w:ascii="Verdana" w:hAnsi="Verdana"/>
          <w:b/>
        </w:rPr>
      </w:pPr>
    </w:p>
    <w:p w14:paraId="4B6DB58A" w14:textId="77777777" w:rsidR="00C94137" w:rsidRPr="0091122A" w:rsidRDefault="00C94137" w:rsidP="00C94137">
      <w:pPr>
        <w:spacing w:after="0" w:line="240" w:lineRule="auto"/>
        <w:jc w:val="both"/>
        <w:rPr>
          <w:rFonts w:ascii="Verdana" w:eastAsia="Times New Roman" w:hAnsi="Verdana" w:cs="Arial"/>
          <w:sz w:val="20"/>
          <w:szCs w:val="20"/>
          <w:lang w:val="es-ES_tradnl" w:eastAsia="es-ES_tradnl"/>
          <w14:ligatures w14:val="standardContextual"/>
        </w:rPr>
      </w:pPr>
      <w:r w:rsidRPr="0091122A">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4ADA4167" w14:textId="77777777" w:rsidR="00C94137" w:rsidRDefault="00C94137" w:rsidP="00C94137">
      <w:pPr>
        <w:tabs>
          <w:tab w:val="left" w:pos="709"/>
        </w:tabs>
        <w:spacing w:after="0" w:line="240" w:lineRule="auto"/>
        <w:jc w:val="both"/>
        <w:rPr>
          <w:rFonts w:ascii="Verdana" w:hAnsi="Verdana" w:cs="Arial"/>
          <w:sz w:val="20"/>
          <w:szCs w:val="20"/>
          <w:shd w:val="clear" w:color="auto" w:fill="FFFFFF"/>
        </w:rPr>
      </w:pPr>
    </w:p>
    <w:p w14:paraId="320BF731" w14:textId="77777777" w:rsidR="00C94137" w:rsidRPr="0091122A" w:rsidRDefault="00C94137" w:rsidP="00C94137">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La expresión </w:t>
      </w:r>
      <w:r w:rsidRPr="0091122A">
        <w:rPr>
          <w:rFonts w:ascii="Verdana" w:hAnsi="Verdana" w:cs="Arial"/>
          <w:i/>
          <w:iCs/>
          <w:sz w:val="20"/>
          <w:szCs w:val="20"/>
          <w:shd w:val="clear" w:color="auto" w:fill="FFFFFF"/>
        </w:rPr>
        <w:t xml:space="preserve">Documentos del Proceso </w:t>
      </w:r>
      <w:r w:rsidRPr="0091122A">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91122A">
        <w:rPr>
          <w:rFonts w:ascii="Verdana" w:hAnsi="Verdana" w:cs="Arial"/>
          <w:i/>
          <w:iCs/>
          <w:sz w:val="20"/>
          <w:szCs w:val="20"/>
          <w:shd w:val="clear" w:color="auto" w:fill="FFFFFF"/>
        </w:rPr>
        <w:t>y cualquier otro documento expedido por la Entidad Estatal durante el Proceso de Contratación</w:t>
      </w:r>
      <w:r w:rsidRPr="0091122A">
        <w:rPr>
          <w:rFonts w:ascii="Verdana" w:hAnsi="Verdana" w:cs="Arial"/>
          <w:sz w:val="20"/>
          <w:szCs w:val="20"/>
          <w:shd w:val="clear" w:color="auto" w:fill="FFFFFF"/>
        </w:rPr>
        <w:t>”. [Énfasis fuera de texto]</w:t>
      </w:r>
    </w:p>
    <w:p w14:paraId="1016E66D" w14:textId="77777777" w:rsidR="00C94137" w:rsidRDefault="00C94137" w:rsidP="00C94137">
      <w:pPr>
        <w:tabs>
          <w:tab w:val="left" w:pos="709"/>
        </w:tabs>
        <w:spacing w:after="0" w:line="240" w:lineRule="auto"/>
        <w:jc w:val="both"/>
        <w:rPr>
          <w:rFonts w:ascii="Verdana" w:hAnsi="Verdana" w:cs="Arial"/>
          <w:sz w:val="20"/>
          <w:szCs w:val="20"/>
          <w:shd w:val="clear" w:color="auto" w:fill="FFFFFF"/>
        </w:rPr>
      </w:pPr>
    </w:p>
    <w:p w14:paraId="59928BFC" w14:textId="77777777" w:rsidR="00C94137" w:rsidRPr="0091122A" w:rsidRDefault="00C94137" w:rsidP="00C94137">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91122A">
        <w:rPr>
          <w:rFonts w:ascii="Verdana" w:hAnsi="Verdana" w:cs="Arial"/>
          <w:i/>
          <w:iCs/>
          <w:sz w:val="20"/>
          <w:szCs w:val="20"/>
          <w:shd w:val="clear" w:color="auto" w:fill="FFFFFF"/>
        </w:rPr>
        <w:t>Ibidem</w:t>
      </w:r>
      <w:r w:rsidRPr="0091122A">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661118B6" w14:textId="77777777" w:rsidR="00C94137" w:rsidRDefault="00C94137" w:rsidP="00C94137">
      <w:pPr>
        <w:tabs>
          <w:tab w:val="left" w:pos="709"/>
        </w:tabs>
        <w:spacing w:after="0" w:line="240" w:lineRule="auto"/>
        <w:jc w:val="both"/>
        <w:rPr>
          <w:rFonts w:ascii="Verdana" w:hAnsi="Verdana" w:cs="Arial"/>
          <w:sz w:val="20"/>
          <w:szCs w:val="20"/>
          <w:shd w:val="clear" w:color="auto" w:fill="FFFFFF"/>
        </w:rPr>
      </w:pPr>
    </w:p>
    <w:p w14:paraId="38EDF9F9" w14:textId="77777777" w:rsidR="00C94137" w:rsidRPr="0091122A" w:rsidRDefault="00C94137" w:rsidP="00C94137">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C9BA8F7" w14:textId="77777777" w:rsidR="00C94137" w:rsidRPr="00133D47" w:rsidRDefault="00C94137" w:rsidP="00C94137">
      <w:pPr>
        <w:spacing w:after="0" w:line="240" w:lineRule="auto"/>
        <w:jc w:val="both"/>
        <w:rPr>
          <w:rFonts w:ascii="Verdana" w:hAnsi="Verdana"/>
          <w:b/>
          <w:sz w:val="20"/>
          <w:szCs w:val="20"/>
        </w:rPr>
      </w:pPr>
    </w:p>
    <w:p w14:paraId="1AADC79A" w14:textId="77777777" w:rsidR="00C94137" w:rsidRPr="00133D47" w:rsidRDefault="00C94137" w:rsidP="00C94137">
      <w:pPr>
        <w:spacing w:after="0" w:line="240" w:lineRule="auto"/>
        <w:jc w:val="both"/>
        <w:rPr>
          <w:rFonts w:ascii="Verdana" w:hAnsi="Verdana"/>
          <w:b/>
        </w:rPr>
      </w:pPr>
      <w:r w:rsidRPr="00133D47">
        <w:rPr>
          <w:rFonts w:ascii="Verdana" w:hAnsi="Verdana"/>
          <w:b/>
        </w:rPr>
        <w:t>PRESUNCIÓN</w:t>
      </w:r>
      <w:r>
        <w:rPr>
          <w:rFonts w:ascii="Verdana" w:hAnsi="Verdana"/>
          <w:b/>
        </w:rPr>
        <w:t xml:space="preserve"> DE LEGALIDAD – Actos administrativos – Ajustes al SECOP – Competencia</w:t>
      </w:r>
      <w:r w:rsidRPr="00133D47">
        <w:rPr>
          <w:rFonts w:ascii="Verdana" w:hAnsi="Verdana"/>
          <w:b/>
        </w:rPr>
        <w:t xml:space="preserve"> </w:t>
      </w:r>
    </w:p>
    <w:p w14:paraId="17CF1772" w14:textId="77777777" w:rsidR="00C94137" w:rsidRPr="00133D47" w:rsidRDefault="00C94137" w:rsidP="00C94137">
      <w:pPr>
        <w:spacing w:after="0" w:line="240" w:lineRule="auto"/>
        <w:jc w:val="both"/>
        <w:rPr>
          <w:rFonts w:ascii="Verdana" w:hAnsi="Verdana"/>
          <w:b/>
          <w:sz w:val="20"/>
          <w:szCs w:val="20"/>
        </w:rPr>
      </w:pPr>
    </w:p>
    <w:p w14:paraId="7EC3223D" w14:textId="77777777" w:rsidR="00C94137" w:rsidRDefault="00C94137" w:rsidP="00C94137">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lastRenderedPageBreak/>
        <w:t>P</w:t>
      </w:r>
      <w:r w:rsidRPr="00133D47">
        <w:rPr>
          <w:rFonts w:ascii="Verdana" w:hAnsi="Verdana" w:cs="Arial"/>
          <w:bCs/>
          <w:sz w:val="20"/>
          <w:szCs w:val="20"/>
          <w:lang w:val="es-ES_tradnl" w:eastAsia="es-CO"/>
        </w:rPr>
        <w:t>ese a la solicitud de “[…] nulidad del Decreto expedido por el Gobernador de Santander, decreto de fecha 23 de diciembre de 1887, publicado en la Gaceta de Santander el 30 de diciembre de 1887”, es necesario tener en cuenta que –por remisión del inciso primero del artículo 77 de la Ley 80 de 1993 y aplicación del inciso final del artículo 2 de la Ley 1437 de 2011– el artículo 88 del Código de Procedimiento Administrativo y de lo Contencioso Administrativo precisa que “Los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p>
    <w:p w14:paraId="1F057659" w14:textId="77777777" w:rsidR="00C94137" w:rsidRPr="00133D47" w:rsidRDefault="00C94137" w:rsidP="00C94137">
      <w:pPr>
        <w:spacing w:after="0" w:line="240" w:lineRule="auto"/>
        <w:jc w:val="both"/>
        <w:textAlignment w:val="baseline"/>
        <w:rPr>
          <w:rFonts w:ascii="Verdana" w:hAnsi="Verdana" w:cs="Arial"/>
          <w:bCs/>
          <w:sz w:val="20"/>
          <w:szCs w:val="20"/>
          <w:lang w:val="es-ES_tradnl" w:eastAsia="es-CO"/>
        </w:rPr>
      </w:pPr>
    </w:p>
    <w:p w14:paraId="2F99F54C" w14:textId="77777777" w:rsidR="00C94137" w:rsidRPr="00133D47" w:rsidRDefault="00C94137" w:rsidP="00C94137">
      <w:pPr>
        <w:spacing w:after="0" w:line="240" w:lineRule="auto"/>
        <w:jc w:val="both"/>
        <w:textAlignment w:val="baseline"/>
        <w:rPr>
          <w:rFonts w:ascii="Verdana" w:hAnsi="Verdana" w:cs="Arial"/>
          <w:bCs/>
          <w:sz w:val="20"/>
          <w:szCs w:val="20"/>
          <w:lang w:val="es-ES_tradnl" w:eastAsia="es-CO"/>
        </w:rPr>
      </w:pPr>
      <w:r w:rsidRPr="00133D47">
        <w:rPr>
          <w:rFonts w:ascii="Verdana" w:hAnsi="Verdana" w:cs="Arial"/>
          <w:bCs/>
          <w:sz w:val="20"/>
          <w:szCs w:val="20"/>
          <w:lang w:val="es-ES_tradnl" w:eastAsia="es-CO"/>
        </w:rPr>
        <w:t xml:space="preserve">En este marco, el acto administrativo que crea los cinco (5) municipios citados en la petición goza de una presunción de legalidad, destacándose su ejecutoriedad y obligatoriedad inmediata: dicha presunción se mantiene hasta que una sentencia judicial declare su nulidad, momento en el cual cesan sus efectos. Salvo que el proceso sea de única instancia, las sentencias son susceptibles de apelación conforme al artículo 243 de la Ley 1437 de 2011. De acuerdo con el parágrafo 1˚ </w:t>
      </w:r>
      <w:proofErr w:type="spellStart"/>
      <w:r w:rsidRPr="00133D47">
        <w:rPr>
          <w:rFonts w:ascii="Verdana" w:hAnsi="Verdana" w:cs="Arial"/>
          <w:bCs/>
          <w:i/>
          <w:iCs/>
          <w:sz w:val="20"/>
          <w:szCs w:val="20"/>
          <w:lang w:val="es-ES_tradnl" w:eastAsia="es-CO"/>
        </w:rPr>
        <w:t>ibídem</w:t>
      </w:r>
      <w:proofErr w:type="spellEnd"/>
      <w:r w:rsidRPr="00133D47">
        <w:rPr>
          <w:rFonts w:ascii="Verdana" w:hAnsi="Verdana" w:cs="Arial"/>
          <w:bCs/>
          <w:sz w:val="20"/>
          <w:szCs w:val="20"/>
          <w:lang w:val="es-ES_tradnl" w:eastAsia="es-CO"/>
        </w:rPr>
        <w:t xml:space="preserve">, dicho recurso se concede con efecto suspensivo; luego, por remisión del artículo 306 del CPACA a la Ley 1564 de 2012, el numeral 323.1 del Código General del Proceso dispone que “[…] la competencia del juez de primera instancia se suspenderá desde la ejecutoria del auto que la concede hasta que se notifique el de obedecimiento a lo resuelto por el superior […]”. </w:t>
      </w:r>
    </w:p>
    <w:p w14:paraId="40642A98" w14:textId="77777777" w:rsidR="00C94137" w:rsidRDefault="00C94137" w:rsidP="00C94137">
      <w:pPr>
        <w:spacing w:after="0" w:line="240" w:lineRule="auto"/>
        <w:jc w:val="both"/>
        <w:textAlignment w:val="baseline"/>
        <w:rPr>
          <w:rFonts w:ascii="Verdana" w:hAnsi="Verdana" w:cs="Arial"/>
          <w:bCs/>
          <w:sz w:val="20"/>
          <w:szCs w:val="20"/>
          <w:lang w:val="es-ES_tradnl" w:eastAsia="es-CO"/>
        </w:rPr>
      </w:pPr>
    </w:p>
    <w:p w14:paraId="5DC2D5B8" w14:textId="77777777" w:rsidR="00C94137" w:rsidRPr="002C0402" w:rsidRDefault="00C94137" w:rsidP="00C94137">
      <w:pPr>
        <w:spacing w:after="0" w:line="240" w:lineRule="auto"/>
        <w:jc w:val="both"/>
        <w:textAlignment w:val="baseline"/>
        <w:rPr>
          <w:rFonts w:ascii="Verdana" w:hAnsi="Verdana" w:cs="Arial"/>
          <w:bCs/>
          <w:sz w:val="20"/>
          <w:szCs w:val="20"/>
          <w:lang w:val="es-ES_tradnl" w:eastAsia="es-CO"/>
        </w:rPr>
      </w:pPr>
      <w:r w:rsidRPr="00133D47">
        <w:rPr>
          <w:rFonts w:ascii="Verdana" w:hAnsi="Verdana" w:cs="Arial"/>
          <w:bCs/>
          <w:sz w:val="20"/>
          <w:szCs w:val="20"/>
          <w:lang w:val="es-ES_tradnl" w:eastAsia="es-CO"/>
        </w:rPr>
        <w:t xml:space="preserve">A menos que la sentencia de primera instancia quede ejecutoriada, la concesión del recurso de alzada oportunamente interpuesto suspende los efectos de la nulidad eventualmente declarada por el </w:t>
      </w:r>
      <w:r w:rsidRPr="00133D47">
        <w:rPr>
          <w:rFonts w:ascii="Verdana" w:hAnsi="Verdana" w:cs="Arial"/>
          <w:bCs/>
          <w:i/>
          <w:iCs/>
          <w:sz w:val="20"/>
          <w:szCs w:val="20"/>
          <w:lang w:val="es-ES_tradnl" w:eastAsia="es-CO"/>
        </w:rPr>
        <w:t>a quo</w:t>
      </w:r>
      <w:r w:rsidRPr="00133D47">
        <w:rPr>
          <w:rFonts w:ascii="Verdana" w:hAnsi="Verdana" w:cs="Arial"/>
          <w:bCs/>
          <w:sz w:val="20"/>
          <w:szCs w:val="20"/>
          <w:lang w:val="es-ES_tradnl" w:eastAsia="es-CO"/>
        </w:rPr>
        <w:t xml:space="preserve"> hasta que se decida el </w:t>
      </w:r>
      <w:r w:rsidRPr="00133D47">
        <w:rPr>
          <w:rFonts w:ascii="Verdana" w:hAnsi="Verdana" w:cs="Arial"/>
          <w:bCs/>
          <w:i/>
          <w:iCs/>
          <w:sz w:val="20"/>
          <w:szCs w:val="20"/>
          <w:lang w:val="es-ES_tradnl" w:eastAsia="es-CO"/>
        </w:rPr>
        <w:t xml:space="preserve">ad </w:t>
      </w:r>
      <w:proofErr w:type="spellStart"/>
      <w:r w:rsidRPr="00133D47">
        <w:rPr>
          <w:rFonts w:ascii="Verdana" w:hAnsi="Verdana" w:cs="Arial"/>
          <w:bCs/>
          <w:i/>
          <w:iCs/>
          <w:sz w:val="20"/>
          <w:szCs w:val="20"/>
          <w:lang w:val="es-ES_tradnl" w:eastAsia="es-CO"/>
        </w:rPr>
        <w:t>quem</w:t>
      </w:r>
      <w:proofErr w:type="spellEnd"/>
      <w:r w:rsidRPr="00133D47">
        <w:rPr>
          <w:rFonts w:ascii="Verdana" w:hAnsi="Verdana" w:cs="Arial"/>
          <w:bCs/>
          <w:sz w:val="20"/>
          <w:szCs w:val="20"/>
          <w:lang w:val="es-ES_tradnl" w:eastAsia="es-CO"/>
        </w:rPr>
        <w:t>. Si este último confirma la decisión, los efectos de la nulidad comienzan con la ejecutoria de la sentencia de segunda instancia. De esta manera, en caso de que prospere la solicitud de “[…] nulidad del Decreto expedido por el Gobernador de Santander, decreto de fecha 23 de diciembre de 1887, publicado en la Gaceta de Santander el 30 de diciembre de 1887”, la Agencia Nacional de Contratación Pública – Colombia Compra Eficiente –a través de la Subdirección de Información y Desarrollo Tecnológico– realizará los ajustes al SECOP II, pues tiene la competencia para desarrollar, administrar y gestionar la plataforma conforme a los artículos 3.8 y 13.6 del Decreto Ley 4170 de 2011.</w:t>
      </w:r>
      <w:r w:rsidRPr="002C0402">
        <w:rPr>
          <w:rFonts w:ascii="Verdana" w:hAnsi="Verdana" w:cs="Arial"/>
          <w:bCs/>
          <w:sz w:val="20"/>
          <w:szCs w:val="20"/>
          <w:lang w:val="es-ES_tradnl" w:eastAsia="es-CO"/>
        </w:rPr>
        <w:t xml:space="preserve">  </w:t>
      </w:r>
    </w:p>
    <w:p w14:paraId="168DDF25" w14:textId="77777777" w:rsidR="00C94137" w:rsidRDefault="00C94137" w:rsidP="00C94137">
      <w:pPr>
        <w:spacing w:after="0" w:line="240" w:lineRule="auto"/>
        <w:rPr>
          <w:rFonts w:ascii="Verdana" w:eastAsia="Calibri" w:hAnsi="Verdana" w:cs="Arial"/>
          <w:b/>
          <w:color w:val="000000" w:themeColor="text1"/>
          <w:lang w:val="es-ES"/>
        </w:rPr>
      </w:pPr>
    </w:p>
    <w:p w14:paraId="5BB6461D" w14:textId="77777777" w:rsidR="00C94137" w:rsidRDefault="00C94137" w:rsidP="00C94137">
      <w:pPr>
        <w:spacing w:after="0" w:line="240" w:lineRule="auto"/>
        <w:rPr>
          <w:rFonts w:ascii="Verdana" w:eastAsia="Calibri" w:hAnsi="Verdana" w:cs="Arial"/>
          <w:b/>
          <w:color w:val="000000" w:themeColor="text1"/>
          <w:lang w:val="es-ES"/>
        </w:rPr>
      </w:pPr>
    </w:p>
    <w:p w14:paraId="7AAC9ECC" w14:textId="77777777" w:rsidR="00C94137" w:rsidRDefault="00C94137" w:rsidP="00C94137">
      <w:pPr>
        <w:spacing w:after="0" w:line="240" w:lineRule="auto"/>
        <w:rPr>
          <w:rFonts w:ascii="Verdana" w:eastAsia="Calibri" w:hAnsi="Verdana" w:cs="Arial"/>
          <w:b/>
          <w:color w:val="000000" w:themeColor="text1"/>
          <w:lang w:val="es-ES"/>
        </w:rPr>
      </w:pPr>
    </w:p>
    <w:p w14:paraId="4B54F743" w14:textId="77777777" w:rsidR="00C94137" w:rsidRDefault="00C94137" w:rsidP="00C94137">
      <w:pPr>
        <w:spacing w:after="0" w:line="240" w:lineRule="auto"/>
        <w:rPr>
          <w:rFonts w:ascii="Verdana" w:eastAsia="Calibri" w:hAnsi="Verdana" w:cs="Arial"/>
          <w:b/>
          <w:color w:val="000000" w:themeColor="text1"/>
          <w:lang w:val="es-ES"/>
        </w:rPr>
      </w:pPr>
    </w:p>
    <w:p w14:paraId="159EA89F" w14:textId="77777777" w:rsidR="00C94137" w:rsidRDefault="00C94137" w:rsidP="00C94137">
      <w:pPr>
        <w:spacing w:after="0" w:line="240" w:lineRule="auto"/>
        <w:rPr>
          <w:rFonts w:ascii="Verdana" w:eastAsia="Calibri" w:hAnsi="Verdana" w:cs="Arial"/>
          <w:b/>
          <w:color w:val="000000" w:themeColor="text1"/>
          <w:lang w:val="es-ES"/>
        </w:rPr>
      </w:pPr>
    </w:p>
    <w:p w14:paraId="02B7A917" w14:textId="77777777" w:rsidR="00C94137" w:rsidRDefault="00C94137" w:rsidP="00C94137">
      <w:pPr>
        <w:spacing w:after="0" w:line="240" w:lineRule="auto"/>
        <w:rPr>
          <w:rFonts w:ascii="Verdana" w:eastAsia="Calibri" w:hAnsi="Verdana" w:cs="Arial"/>
          <w:b/>
          <w:color w:val="000000" w:themeColor="text1"/>
          <w:lang w:val="es-ES"/>
        </w:rPr>
      </w:pPr>
    </w:p>
    <w:p w14:paraId="5ADE9C37" w14:textId="77777777" w:rsidR="00C94137" w:rsidRDefault="00C94137" w:rsidP="00C94137">
      <w:pPr>
        <w:spacing w:after="0" w:line="240" w:lineRule="auto"/>
        <w:rPr>
          <w:rFonts w:ascii="Verdana" w:eastAsia="Calibri" w:hAnsi="Verdana" w:cs="Arial"/>
          <w:b/>
          <w:color w:val="000000" w:themeColor="text1"/>
          <w:lang w:val="es-ES"/>
        </w:rPr>
      </w:pPr>
    </w:p>
    <w:p w14:paraId="291BC10D" w14:textId="77777777" w:rsidR="00C94137" w:rsidRDefault="00C94137" w:rsidP="00C94137">
      <w:pPr>
        <w:spacing w:after="0" w:line="240" w:lineRule="auto"/>
        <w:rPr>
          <w:rFonts w:ascii="Verdana" w:eastAsia="Calibri" w:hAnsi="Verdana" w:cs="Arial"/>
          <w:b/>
          <w:color w:val="000000" w:themeColor="text1"/>
          <w:lang w:val="es-ES"/>
        </w:rPr>
      </w:pPr>
    </w:p>
    <w:p w14:paraId="28C9DCC0" w14:textId="77777777" w:rsidR="00C94137" w:rsidRDefault="00C94137" w:rsidP="00C94137">
      <w:pPr>
        <w:spacing w:after="0" w:line="240" w:lineRule="auto"/>
        <w:rPr>
          <w:rFonts w:ascii="Verdana" w:eastAsia="Calibri" w:hAnsi="Verdana" w:cs="Arial"/>
          <w:b/>
          <w:color w:val="000000" w:themeColor="text1"/>
          <w:lang w:val="es-ES"/>
        </w:rPr>
      </w:pPr>
    </w:p>
    <w:p w14:paraId="63268119" w14:textId="77777777" w:rsidR="00C94137" w:rsidRDefault="00C94137" w:rsidP="00C94137">
      <w:pPr>
        <w:spacing w:after="0" w:line="240" w:lineRule="auto"/>
        <w:rPr>
          <w:rFonts w:ascii="Verdana" w:eastAsia="Calibri" w:hAnsi="Verdana" w:cs="Arial"/>
          <w:b/>
          <w:color w:val="000000" w:themeColor="text1"/>
          <w:lang w:val="es-ES"/>
        </w:rPr>
      </w:pPr>
    </w:p>
    <w:p w14:paraId="306AEAB8" w14:textId="77777777" w:rsidR="00C94137" w:rsidRDefault="00C94137" w:rsidP="009A1D0D">
      <w:pPr>
        <w:spacing w:after="0" w:line="240" w:lineRule="auto"/>
        <w:rPr>
          <w:rFonts w:ascii="Verdana" w:eastAsia="Calibri" w:hAnsi="Verdana" w:cs="Arial"/>
          <w:b/>
          <w:color w:val="000000" w:themeColor="text1"/>
          <w:lang w:val="es-ES"/>
        </w:rPr>
      </w:pPr>
    </w:p>
    <w:p w14:paraId="23A4A11B" w14:textId="77777777" w:rsidR="00C94137" w:rsidRDefault="00C94137" w:rsidP="009A1D0D">
      <w:pPr>
        <w:spacing w:after="0" w:line="240" w:lineRule="auto"/>
        <w:rPr>
          <w:rFonts w:ascii="Verdana" w:eastAsia="Geomanist Light" w:hAnsi="Verdana" w:cs="Arial"/>
          <w:color w:val="000000" w:themeColor="text1"/>
          <w:lang w:val="es-MX"/>
        </w:rPr>
      </w:pPr>
    </w:p>
    <w:p w14:paraId="7EF43F60" w14:textId="77777777" w:rsidR="00C94137" w:rsidRDefault="00C94137" w:rsidP="009A1D0D">
      <w:pPr>
        <w:spacing w:after="0" w:line="240" w:lineRule="auto"/>
        <w:rPr>
          <w:rFonts w:ascii="Verdana" w:eastAsia="Geomanist Light" w:hAnsi="Verdana" w:cs="Arial"/>
          <w:color w:val="000000" w:themeColor="text1"/>
          <w:lang w:val="es-MX"/>
        </w:rPr>
      </w:pPr>
    </w:p>
    <w:p w14:paraId="53A2D1E9" w14:textId="10BB5D3A" w:rsidR="009A1D0D" w:rsidRPr="00593A5F" w:rsidRDefault="009A1D0D" w:rsidP="009A1D0D">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82E26">
        <w:rPr>
          <w:rFonts w:ascii="Verdana" w:hAnsi="Verdana" w:cs="Verdana"/>
          <w:color w:val="000000"/>
          <w:lang w:val="es-MX"/>
        </w:rPr>
        <w:t>22 de Junio de 2026</w:t>
      </w:r>
    </w:p>
    <w:p w14:paraId="285BC2CB" w14:textId="77777777" w:rsidR="009A1D0D" w:rsidRDefault="009A1D0D" w:rsidP="009A1D0D">
      <w:pPr>
        <w:spacing w:after="0" w:line="240" w:lineRule="auto"/>
        <w:jc w:val="both"/>
        <w:rPr>
          <w:rFonts w:ascii="Verdana" w:eastAsia="Calibri" w:hAnsi="Verdana" w:cs="Arial"/>
          <w:color w:val="000000"/>
          <w:lang w:val="es-ES"/>
        </w:rPr>
      </w:pPr>
    </w:p>
    <w:p w14:paraId="63E3CC68" w14:textId="3DA3DA3D" w:rsidR="00B82E26" w:rsidRDefault="00B82E26" w:rsidP="00B82E26">
      <w:pPr>
        <w:spacing w:after="0" w:line="240" w:lineRule="auto"/>
        <w:jc w:val="right"/>
        <w:rPr>
          <w:rFonts w:ascii="Verdana" w:eastAsia="Calibri" w:hAnsi="Verdana" w:cs="Arial"/>
          <w:color w:val="000000"/>
          <w:lang w:val="es-ES"/>
        </w:rPr>
      </w:pPr>
      <w:r w:rsidRPr="00B82E26">
        <w:rPr>
          <w:rFonts w:ascii="Verdana" w:eastAsia="Calibri" w:hAnsi="Verdana" w:cs="Arial"/>
          <w:noProof/>
          <w:color w:val="000000"/>
          <w:lang w:val="es-ES"/>
        </w:rPr>
        <w:drawing>
          <wp:inline distT="0" distB="0" distL="0" distR="0" wp14:anchorId="51F83C49" wp14:editId="3B2DAC77">
            <wp:extent cx="2400300" cy="622300"/>
            <wp:effectExtent l="0" t="0" r="0" b="0"/>
            <wp:docPr id="19297603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760312" name=""/>
                    <pic:cNvPicPr/>
                  </pic:nvPicPr>
                  <pic:blipFill>
                    <a:blip r:embed="rId10"/>
                    <a:stretch>
                      <a:fillRect/>
                    </a:stretch>
                  </pic:blipFill>
                  <pic:spPr>
                    <a:xfrm>
                      <a:off x="0" y="0"/>
                      <a:ext cx="2400300" cy="622300"/>
                    </a:xfrm>
                    <a:prstGeom prst="rect">
                      <a:avLst/>
                    </a:prstGeom>
                  </pic:spPr>
                </pic:pic>
              </a:graphicData>
            </a:graphic>
          </wp:inline>
        </w:drawing>
      </w:r>
    </w:p>
    <w:p w14:paraId="634CB5D8" w14:textId="77777777" w:rsidR="009A1D0D" w:rsidRPr="00593A5F" w:rsidRDefault="009A1D0D" w:rsidP="009A1D0D">
      <w:pPr>
        <w:spacing w:after="0" w:line="240" w:lineRule="auto"/>
        <w:jc w:val="both"/>
        <w:rPr>
          <w:rFonts w:ascii="Verdana" w:eastAsia="Calibri" w:hAnsi="Verdana" w:cs="Arial"/>
          <w:color w:val="000000"/>
          <w:lang w:val="es-ES"/>
        </w:rPr>
      </w:pPr>
    </w:p>
    <w:p w14:paraId="10E8FFFB" w14:textId="77777777" w:rsidR="009A1D0D" w:rsidRPr="00B96799" w:rsidRDefault="009A1D0D" w:rsidP="009A1D0D">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5B0F1DC" w14:textId="77777777" w:rsidR="009A1D0D" w:rsidRDefault="009A1D0D" w:rsidP="009A1D0D">
      <w:pPr>
        <w:spacing w:after="0" w:line="240" w:lineRule="auto"/>
        <w:rPr>
          <w:rFonts w:ascii="Verdana" w:eastAsia="Calibri" w:hAnsi="Verdana" w:cs="Arial"/>
          <w:b/>
          <w:lang w:val="es-ES_tradnl" w:eastAsia="es-ES_tradnl"/>
        </w:rPr>
      </w:pPr>
      <w:r w:rsidRPr="00CD4FA6">
        <w:rPr>
          <w:rFonts w:ascii="Verdana" w:eastAsia="Calibri" w:hAnsi="Verdana" w:cs="Arial"/>
          <w:b/>
          <w:lang w:val="es-ES_tradnl" w:eastAsia="es-ES_tradnl"/>
        </w:rPr>
        <w:t>Eduard Alexánder Díaz León</w:t>
      </w:r>
      <w:r w:rsidRPr="008777D5">
        <w:rPr>
          <w:rFonts w:ascii="Verdana" w:eastAsia="Calibri" w:hAnsi="Verdana" w:cs="Arial"/>
          <w:b/>
          <w:lang w:val="es-ES_tradnl" w:eastAsia="es-ES_tradnl"/>
        </w:rPr>
        <w:t xml:space="preserve"> </w:t>
      </w:r>
    </w:p>
    <w:p w14:paraId="003B6F2D" w14:textId="77777777" w:rsidR="009A1D0D" w:rsidRPr="00CD4FA6" w:rsidRDefault="009A1D0D" w:rsidP="009A1D0D">
      <w:pPr>
        <w:spacing w:after="0" w:line="240" w:lineRule="auto"/>
        <w:rPr>
          <w:rFonts w:ascii="Verdana" w:eastAsia="Calibri" w:hAnsi="Verdana" w:cs="Arial"/>
          <w:lang w:val="es-ES" w:eastAsia="es-ES"/>
        </w:rPr>
      </w:pPr>
      <w:hyperlink r:id="rId11" w:history="1">
        <w:r w:rsidRPr="00ED3117">
          <w:rPr>
            <w:rStyle w:val="Hipervnculo"/>
            <w:rFonts w:ascii="Verdana" w:hAnsi="Verdana"/>
          </w:rPr>
          <w:t>edwardalexanderdiazleon2022@gmail.com</w:t>
        </w:r>
      </w:hyperlink>
      <w:r>
        <w:rPr>
          <w:rFonts w:ascii="Verdana" w:hAnsi="Verdana"/>
        </w:rPr>
        <w:t xml:space="preserve"> </w:t>
      </w:r>
      <w:r w:rsidRPr="00CD4FA6">
        <w:rPr>
          <w:rFonts w:ascii="Verdana" w:hAnsi="Verdana"/>
        </w:rPr>
        <w:t xml:space="preserve">                    </w:t>
      </w:r>
      <w:r w:rsidRPr="00CD4FA6">
        <w:rPr>
          <w:rFonts w:ascii="Verdana" w:eastAsia="Calibri" w:hAnsi="Verdana" w:cs="Arial"/>
          <w:lang w:val="es-ES" w:eastAsia="es-ES"/>
        </w:rPr>
        <w:t xml:space="preserve">    </w:t>
      </w:r>
    </w:p>
    <w:p w14:paraId="0324B431" w14:textId="77777777" w:rsidR="009A1D0D" w:rsidRDefault="009A1D0D" w:rsidP="009A1D0D">
      <w:pPr>
        <w:spacing w:after="0" w:line="240" w:lineRule="auto"/>
        <w:rPr>
          <w:rFonts w:ascii="Verdana" w:eastAsia="Calibri" w:hAnsi="Verdana" w:cs="Arial"/>
          <w:lang w:val="es-ES" w:eastAsia="es-ES"/>
        </w:rPr>
      </w:pPr>
      <w:r>
        <w:rPr>
          <w:rFonts w:ascii="Verdana" w:eastAsia="Calibri" w:hAnsi="Verdana" w:cs="Arial"/>
          <w:lang w:val="es-ES" w:eastAsia="es-ES"/>
        </w:rPr>
        <w:t>Bucaramanga</w:t>
      </w:r>
      <w:r w:rsidRPr="004513BB">
        <w:rPr>
          <w:rFonts w:ascii="Verdana" w:eastAsia="Calibri" w:hAnsi="Verdana" w:cs="Arial"/>
          <w:lang w:val="es-ES" w:eastAsia="es-ES"/>
        </w:rPr>
        <w:t xml:space="preserve">, </w:t>
      </w:r>
      <w:r>
        <w:rPr>
          <w:rFonts w:ascii="Verdana" w:eastAsia="Calibri" w:hAnsi="Verdana" w:cs="Arial"/>
          <w:lang w:val="es-ES" w:eastAsia="es-ES"/>
        </w:rPr>
        <w:t xml:space="preserve">Santander </w:t>
      </w:r>
    </w:p>
    <w:p w14:paraId="3221810A" w14:textId="77777777" w:rsidR="009A1D0D" w:rsidRPr="00593A5F" w:rsidRDefault="009A1D0D" w:rsidP="009A1D0D">
      <w:pPr>
        <w:spacing w:after="0" w:line="240" w:lineRule="auto"/>
        <w:rPr>
          <w:rFonts w:ascii="Verdana" w:eastAsia="Calibri" w:hAnsi="Verdana" w:cs="Arial"/>
          <w:b/>
          <w:bCs/>
          <w:color w:val="000000"/>
          <w:lang w:val="es-ES_tradnl" w:eastAsia="es-ES_tradnl"/>
        </w:rPr>
      </w:pPr>
    </w:p>
    <w:p w14:paraId="4A601830" w14:textId="77777777" w:rsidR="009A1D0D" w:rsidRPr="00593A5F" w:rsidRDefault="009A1D0D" w:rsidP="009A1D0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A1D0D" w:rsidRPr="00593A5F" w14:paraId="50D8F8C2" w14:textId="77777777" w:rsidTr="00647FCF">
        <w:trPr>
          <w:trHeight w:val="884"/>
        </w:trPr>
        <w:tc>
          <w:tcPr>
            <w:tcW w:w="2689" w:type="dxa"/>
          </w:tcPr>
          <w:p w14:paraId="638CD2E6" w14:textId="77777777" w:rsidR="009A1D0D" w:rsidRPr="00C00976" w:rsidRDefault="009A1D0D" w:rsidP="00647FCF">
            <w:pPr>
              <w:jc w:val="both"/>
              <w:rPr>
                <w:rFonts w:ascii="Verdana" w:eastAsia="Calibri" w:hAnsi="Verdana" w:cs="Arial"/>
                <w:b/>
                <w:bCs/>
                <w:color w:val="7030A0"/>
                <w:lang w:val="es-ES_tradnl" w:eastAsia="es-ES_tradnl"/>
              </w:rPr>
            </w:pPr>
          </w:p>
        </w:tc>
        <w:tc>
          <w:tcPr>
            <w:tcW w:w="6100" w:type="dxa"/>
          </w:tcPr>
          <w:p w14:paraId="2C83A18A" w14:textId="3FD47352" w:rsidR="009A1D0D" w:rsidRPr="00C00976" w:rsidRDefault="009A1D0D" w:rsidP="00647FC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BB125E" w:rsidRPr="00457110">
              <w:rPr>
                <w:rFonts w:ascii="Verdana" w:eastAsia="Calibri" w:hAnsi="Verdana" w:cs="Arial"/>
                <w:b/>
                <w:bCs/>
                <w:lang w:val="es-ES" w:eastAsia="es-ES"/>
              </w:rPr>
              <w:t>976</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9A1D0D" w:rsidRPr="00593A5F" w14:paraId="2DB86BD7" w14:textId="77777777" w:rsidTr="00647FCF">
        <w:trPr>
          <w:trHeight w:val="884"/>
        </w:trPr>
        <w:tc>
          <w:tcPr>
            <w:tcW w:w="2689" w:type="dxa"/>
          </w:tcPr>
          <w:p w14:paraId="2ECC0B36" w14:textId="77777777" w:rsidR="009A1D0D" w:rsidRPr="00593A5F" w:rsidRDefault="009A1D0D" w:rsidP="00647FC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4D6DD33" w14:textId="77777777" w:rsidR="009A1D0D" w:rsidRPr="00A11406" w:rsidRDefault="009A1D0D" w:rsidP="00647FCF">
            <w:pPr>
              <w:spacing w:line="276" w:lineRule="auto"/>
              <w:jc w:val="both"/>
              <w:rPr>
                <w:rFonts w:ascii="Verdana" w:eastAsia="Calibri" w:hAnsi="Verdana" w:cs="Arial"/>
                <w:lang w:val="es-ES" w:eastAsia="es-ES"/>
              </w:rPr>
            </w:pPr>
            <w:r w:rsidRPr="00133D47">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133D47">
              <w:rPr>
                <w:rFonts w:ascii="Verdana" w:eastAsia="Calibri" w:hAnsi="Verdana" w:cs="Arial"/>
                <w:lang w:val="es-ES" w:eastAsia="es-ES"/>
              </w:rPr>
              <w:t>PRINCIPIO DE PUBLICIDAD – Concepto – Fundamento axiológico – Fundamento constitucional</w:t>
            </w:r>
            <w:r>
              <w:rPr>
                <w:rFonts w:ascii="Verdana" w:eastAsia="Calibri" w:hAnsi="Verdana" w:cs="Arial"/>
                <w:lang w:val="es-ES" w:eastAsia="es-ES"/>
              </w:rPr>
              <w:t xml:space="preserve"> / </w:t>
            </w:r>
            <w:r w:rsidRPr="00133D47">
              <w:rPr>
                <w:rFonts w:ascii="Verdana" w:eastAsia="Calibri" w:hAnsi="Verdana" w:cs="Arial"/>
                <w:lang w:val="es-ES" w:eastAsia="es-ES"/>
              </w:rPr>
              <w:t>PRINCIPIO DE PUBLICIDAD – SECOP – Documentos del proceso – Deber de publicación</w:t>
            </w:r>
            <w:r>
              <w:rPr>
                <w:rFonts w:ascii="Verdana" w:eastAsia="Calibri" w:hAnsi="Verdana" w:cs="Arial"/>
                <w:lang w:val="es-ES" w:eastAsia="es-ES"/>
              </w:rPr>
              <w:t xml:space="preserve"> / </w:t>
            </w:r>
            <w:r w:rsidRPr="00133D47">
              <w:rPr>
                <w:rFonts w:ascii="Verdana" w:eastAsia="Calibri" w:hAnsi="Verdana" w:cs="Arial"/>
                <w:lang w:val="es-ES" w:eastAsia="es-ES"/>
              </w:rPr>
              <w:t xml:space="preserve">PRESUNCIÓN DE LEGALIDAD – Actos administrativos – Ajustes al SECOP – Competencia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1F0CB6A" w14:textId="77777777" w:rsidR="009A1D0D" w:rsidRPr="00593A5F" w:rsidRDefault="009A1D0D" w:rsidP="00647FC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A1D0D" w:rsidRPr="008E6AD9" w14:paraId="06CB525F" w14:textId="77777777" w:rsidTr="00647FCF">
        <w:tc>
          <w:tcPr>
            <w:tcW w:w="2689" w:type="dxa"/>
          </w:tcPr>
          <w:p w14:paraId="170DD1C7" w14:textId="77777777" w:rsidR="009A1D0D" w:rsidRPr="008E6AD9" w:rsidRDefault="009A1D0D" w:rsidP="00647FC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8357B64" w14:textId="77777777" w:rsidR="009A1D0D" w:rsidRPr="00B92340" w:rsidRDefault="009A1D0D" w:rsidP="00647FC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C2640">
              <w:rPr>
                <w:rFonts w:ascii="Verdana" w:eastAsia="Calibri" w:hAnsi="Verdana" w:cs="Arial"/>
                <w:lang w:val="es-ES_tradnl" w:eastAsia="es-ES_tradnl"/>
              </w:rPr>
              <w:t>1_2026_06_11_007945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4123ABFA" w14:textId="77777777" w:rsidR="009A1D0D" w:rsidRPr="00593A5F" w:rsidRDefault="009A1D0D" w:rsidP="009A1D0D">
      <w:pPr>
        <w:spacing w:after="0" w:line="240" w:lineRule="auto"/>
        <w:jc w:val="both"/>
        <w:rPr>
          <w:rFonts w:ascii="Verdana" w:eastAsia="Calibri" w:hAnsi="Verdana" w:cs="Arial"/>
          <w:color w:val="000000"/>
          <w:lang w:val="es-ES_tradnl" w:eastAsia="es-ES_tradnl"/>
        </w:rPr>
      </w:pPr>
    </w:p>
    <w:p w14:paraId="108968C5" w14:textId="77777777" w:rsidR="009A1D0D" w:rsidRPr="00593A5F" w:rsidRDefault="009A1D0D" w:rsidP="009A1D0D">
      <w:pPr>
        <w:spacing w:after="0" w:line="240" w:lineRule="auto"/>
        <w:jc w:val="both"/>
        <w:rPr>
          <w:rFonts w:ascii="Verdana" w:eastAsia="Calibri" w:hAnsi="Verdana" w:cs="Arial"/>
          <w:color w:val="000000"/>
          <w:lang w:val="es-ES_tradnl" w:eastAsia="es-ES_tradnl"/>
        </w:rPr>
      </w:pPr>
    </w:p>
    <w:p w14:paraId="028503F8" w14:textId="77777777" w:rsidR="009A1D0D" w:rsidRPr="008E6AD9" w:rsidRDefault="009A1D0D" w:rsidP="009A1D0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CD4FA6">
        <w:rPr>
          <w:rFonts w:ascii="Verdana" w:eastAsia="Calibri" w:hAnsi="Verdana" w:cs="Arial"/>
          <w:lang w:val="es-ES" w:eastAsia="es-ES"/>
        </w:rPr>
        <w:t>Díaz León</w:t>
      </w:r>
      <w:r w:rsidRPr="008E6AD9">
        <w:rPr>
          <w:rFonts w:ascii="Verdana" w:eastAsia="Calibri" w:hAnsi="Verdana" w:cs="Arial"/>
          <w:lang w:val="es-ES" w:eastAsia="es-ES"/>
        </w:rPr>
        <w:t xml:space="preserve">: </w:t>
      </w:r>
    </w:p>
    <w:p w14:paraId="43F5EFA0" w14:textId="77777777" w:rsidR="009A1D0D" w:rsidRDefault="009A1D0D" w:rsidP="009A1D0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CF69F40" w14:textId="77777777" w:rsidR="009A1D0D" w:rsidRPr="00593A5F" w:rsidRDefault="009A1D0D" w:rsidP="009A1D0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 xml:space="preserve">el punto 5 de </w:t>
      </w:r>
      <w:r w:rsidRPr="00593A5F">
        <w:rPr>
          <w:rFonts w:ascii="Verdana" w:eastAsia="Calibri" w:hAnsi="Verdana" w:cs="Arial"/>
          <w:color w:val="000000" w:themeColor="text1"/>
          <w:lang w:val="es-ES" w:eastAsia="es-ES"/>
        </w:rPr>
        <w:t>su solicitud de</w:t>
      </w:r>
      <w:r>
        <w:rPr>
          <w:rFonts w:ascii="Verdana" w:eastAsia="Calibri" w:hAnsi="Verdana" w:cs="Arial"/>
          <w:color w:val="000000" w:themeColor="text1"/>
          <w:lang w:val="es-ES" w:eastAsia="es-ES"/>
        </w:rPr>
        <w:t xml:space="preserve"> consulta</w:t>
      </w:r>
      <w:r>
        <w:rPr>
          <w:rFonts w:ascii="Verdana" w:eastAsia="Calibri" w:hAnsi="Verdana" w:cs="Arial"/>
          <w:lang w:val="es-ES" w:eastAsia="es-ES"/>
        </w:rPr>
        <w:t xml:space="preserve">, la cual –conforme al artículo 21 de la Ley 1437 de 2011– fue remitida por competencia a esta entidad por la </w:t>
      </w:r>
      <w:r w:rsidRPr="00CD4FA6">
        <w:rPr>
          <w:rFonts w:ascii="Verdana" w:eastAsia="Calibri" w:hAnsi="Verdana" w:cs="Arial"/>
          <w:lang w:val="es-ES" w:eastAsia="es-ES"/>
        </w:rPr>
        <w:t xml:space="preserve">Registraduría Nacional </w:t>
      </w:r>
      <w:r>
        <w:rPr>
          <w:rFonts w:ascii="Verdana" w:eastAsia="Calibri" w:hAnsi="Verdana" w:cs="Arial"/>
          <w:lang w:val="es-ES" w:eastAsia="es-ES"/>
        </w:rPr>
        <w:t>d</w:t>
      </w:r>
      <w:r w:rsidRPr="00CD4FA6">
        <w:rPr>
          <w:rFonts w:ascii="Verdana" w:eastAsia="Calibri" w:hAnsi="Verdana" w:cs="Arial"/>
          <w:lang w:val="es-ES" w:eastAsia="es-ES"/>
        </w:rPr>
        <w:t>el Estado Civil</w:t>
      </w:r>
      <w:r>
        <w:rPr>
          <w:rFonts w:ascii="Verdana" w:eastAsia="Calibri" w:hAnsi="Verdana" w:cs="Arial"/>
          <w:lang w:val="es-ES" w:eastAsia="es-ES"/>
        </w:rPr>
        <w:t xml:space="preserve"> mediante oficio </w:t>
      </w:r>
      <w:r w:rsidRPr="00CD4FA6">
        <w:rPr>
          <w:rFonts w:ascii="Verdana" w:eastAsia="Calibri" w:hAnsi="Verdana" w:cs="Arial"/>
          <w:lang w:val="es-ES" w:eastAsia="es-ES"/>
        </w:rPr>
        <w:t xml:space="preserve">RNEC-S-2026-0095956 </w:t>
      </w:r>
      <w:r>
        <w:rPr>
          <w:rFonts w:ascii="Verdana" w:eastAsia="Calibri" w:hAnsi="Verdana" w:cs="Arial"/>
          <w:lang w:val="es-ES" w:eastAsia="es-ES"/>
        </w:rPr>
        <w:t>del 9 de junio de 2026, donde manifiesta lo siguiente</w:t>
      </w:r>
      <w:r w:rsidRPr="008E6AD9">
        <w:rPr>
          <w:rFonts w:ascii="Verdana" w:eastAsia="Calibri" w:hAnsi="Verdana" w:cs="Arial"/>
          <w:lang w:val="es-ES" w:eastAsia="es-ES"/>
        </w:rPr>
        <w:t xml:space="preserve">: </w:t>
      </w:r>
    </w:p>
    <w:p w14:paraId="2C4827BA" w14:textId="77777777" w:rsidR="009A1D0D" w:rsidRPr="00272A7B" w:rsidRDefault="009A1D0D" w:rsidP="009A1D0D">
      <w:pPr>
        <w:pStyle w:val="Prrafodelista"/>
        <w:tabs>
          <w:tab w:val="left" w:pos="142"/>
          <w:tab w:val="left" w:pos="284"/>
        </w:tabs>
        <w:spacing w:after="0" w:line="276" w:lineRule="auto"/>
        <w:ind w:left="0"/>
        <w:jc w:val="both"/>
        <w:rPr>
          <w:rFonts w:ascii="Verdana" w:eastAsia="Century Gothic" w:hAnsi="Verdana" w:cs="Century Gothic"/>
          <w:b/>
          <w:bCs/>
        </w:rPr>
      </w:pPr>
    </w:p>
    <w:p w14:paraId="6728DD5D" w14:textId="77777777" w:rsidR="009A1D0D" w:rsidRPr="0054046E" w:rsidRDefault="009A1D0D" w:rsidP="009A1D0D">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lastRenderedPageBreak/>
        <w:t>“</w:t>
      </w:r>
      <w:bookmarkEnd w:id="0"/>
      <w:r w:rsidRPr="0054046E">
        <w:rPr>
          <w:rFonts w:ascii="Verdana" w:eastAsia="Century Gothic" w:hAnsi="Verdana" w:cs="Century Gothic"/>
          <w:sz w:val="20"/>
          <w:szCs w:val="20"/>
          <w:lang w:val="es-ES"/>
        </w:rPr>
        <w:t>EL TRIBUNAL ADMINISTRATIVO DE SANTANDER, mediante Radicado número 68001233300020230073300, profiere auto de fecha 10 de abril de 2024, en el que admite demanda de NULIDAD, contra el acto administrativo de fecha 23 de diciembre de 1887, proferido por el Gobernador de Santander de aquel entonces, el cual creó 5 municipios de manera inconstitucional, e ilegal, con violación a las normas de aquel entonces y las normas actuales.</w:t>
      </w:r>
    </w:p>
    <w:p w14:paraId="25C12DFA" w14:textId="77777777" w:rsidR="009A1D0D" w:rsidRDefault="009A1D0D" w:rsidP="009A1D0D">
      <w:pPr>
        <w:spacing w:after="0" w:line="240" w:lineRule="auto"/>
        <w:ind w:left="709" w:right="709"/>
        <w:jc w:val="both"/>
        <w:rPr>
          <w:rFonts w:ascii="Verdana" w:eastAsia="Century Gothic" w:hAnsi="Verdana" w:cs="Century Gothic"/>
          <w:sz w:val="20"/>
          <w:szCs w:val="20"/>
          <w:lang w:val="es-ES"/>
        </w:rPr>
      </w:pPr>
      <w:r w:rsidRPr="0054046E">
        <w:rPr>
          <w:rFonts w:ascii="Verdana" w:eastAsia="Century Gothic" w:hAnsi="Verdana" w:cs="Century Gothic"/>
          <w:sz w:val="20"/>
          <w:szCs w:val="20"/>
          <w:lang w:val="es-ES"/>
        </w:rPr>
        <w:t>Esos 5 municipios son: MUNICIPIO DE JORDÁN (S); MUNICIPIO DE CEPITÁ (S); MUNICIPIO DE CALIFORNIA (S); MUNICIPIO DE AGUADA (S); MUNICIPIO DE TEORAMA (N.S.)</w:t>
      </w:r>
    </w:p>
    <w:p w14:paraId="7F0D8697" w14:textId="77777777" w:rsidR="009A1D0D" w:rsidRDefault="009A1D0D" w:rsidP="009A1D0D">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44F14697" w14:textId="77777777" w:rsidR="009A1D0D" w:rsidRPr="000E3937" w:rsidRDefault="009A1D0D" w:rsidP="009A1D0D">
      <w:pPr>
        <w:spacing w:after="120" w:line="240" w:lineRule="auto"/>
        <w:ind w:left="709" w:right="709"/>
        <w:jc w:val="both"/>
        <w:rPr>
          <w:rFonts w:ascii="Verdana" w:eastAsia="Century Gothic" w:hAnsi="Verdana" w:cs="Century Gothic"/>
          <w:sz w:val="20"/>
          <w:szCs w:val="20"/>
          <w:lang w:val="es-ES"/>
        </w:rPr>
      </w:pPr>
      <w:r w:rsidRPr="000E3937">
        <w:rPr>
          <w:rFonts w:ascii="Verdana" w:eastAsia="Century Gothic" w:hAnsi="Verdana" w:cs="Century Gothic"/>
          <w:sz w:val="20"/>
          <w:szCs w:val="20"/>
          <w:lang w:val="es-ES"/>
        </w:rPr>
        <w:t xml:space="preserve">Las razones de nulidad están contempladas en el art. 137 del CPACA, y dentro de las 6 causales que están enunciadas expresamente, se tipifican 5 de ellas, causales, con una sola de ellas que quede probada se profiere sentencia accediendo a las pretensiones de la demanda, las cuales son: </w:t>
      </w:r>
    </w:p>
    <w:p w14:paraId="772DF2BB" w14:textId="77777777" w:rsidR="009A1D0D" w:rsidRPr="000E3937" w:rsidRDefault="009A1D0D" w:rsidP="009A1D0D">
      <w:pPr>
        <w:spacing w:after="120" w:line="240" w:lineRule="auto"/>
        <w:ind w:left="992" w:right="992"/>
        <w:jc w:val="both"/>
        <w:rPr>
          <w:rFonts w:ascii="Verdana" w:eastAsia="Century Gothic" w:hAnsi="Verdana" w:cs="Century Gothic"/>
          <w:sz w:val="20"/>
          <w:szCs w:val="20"/>
          <w:lang w:val="es-ES"/>
        </w:rPr>
      </w:pPr>
      <w:r w:rsidRPr="000E3937">
        <w:rPr>
          <w:rFonts w:ascii="Verdana" w:eastAsia="Century Gothic" w:hAnsi="Verdana" w:cs="Century Gothic"/>
          <w:sz w:val="20"/>
          <w:szCs w:val="20"/>
          <w:lang w:val="es-ES"/>
        </w:rPr>
        <w:t xml:space="preserve">PRIMERA: Que se declare la nulidad del Decreto expedido por el Gobernador de Santander, decreto de fecha 23 de diciembre de 1887, publicado en la Gaceta de Santander el 30 de diciembre de 1887. </w:t>
      </w:r>
    </w:p>
    <w:p w14:paraId="38C5F502" w14:textId="77777777" w:rsidR="009A1D0D" w:rsidRPr="000E3937" w:rsidRDefault="009A1D0D" w:rsidP="009A1D0D">
      <w:pPr>
        <w:spacing w:after="120" w:line="240" w:lineRule="auto"/>
        <w:ind w:left="992" w:right="992"/>
        <w:jc w:val="both"/>
        <w:rPr>
          <w:rFonts w:ascii="Verdana" w:eastAsia="Century Gothic" w:hAnsi="Verdana" w:cs="Century Gothic"/>
          <w:sz w:val="20"/>
          <w:szCs w:val="20"/>
          <w:lang w:val="es-ES"/>
        </w:rPr>
      </w:pPr>
      <w:r w:rsidRPr="000E3937">
        <w:rPr>
          <w:rFonts w:ascii="Verdana" w:eastAsia="Century Gothic" w:hAnsi="Verdana" w:cs="Century Gothic"/>
          <w:sz w:val="20"/>
          <w:szCs w:val="20"/>
          <w:lang w:val="es-ES"/>
        </w:rPr>
        <w:t xml:space="preserve">SEGUNDA: Que, como consecuencia de lo anterior, se ordene a las respectivas Asambleas Departamentales, para que, con base en la nueva legislación, se creen de nuevo dichos municipios, y de no cumplir con los requisitos exigidos por las normas actualmente establecidas para la creación de municipios, se ordene fusionarlos a uno de los municipios limítrofes, de conformidad con la ley. </w:t>
      </w:r>
    </w:p>
    <w:p w14:paraId="1D5517FC" w14:textId="77777777" w:rsidR="009A1D0D" w:rsidRPr="000E3937" w:rsidRDefault="009A1D0D" w:rsidP="009A1D0D">
      <w:pPr>
        <w:spacing w:after="120" w:line="240" w:lineRule="auto"/>
        <w:ind w:left="992" w:right="992"/>
        <w:jc w:val="both"/>
        <w:rPr>
          <w:rFonts w:ascii="Verdana" w:eastAsia="Century Gothic" w:hAnsi="Verdana" w:cs="Century Gothic"/>
          <w:sz w:val="20"/>
          <w:szCs w:val="20"/>
          <w:lang w:val="es-ES"/>
        </w:rPr>
      </w:pPr>
      <w:r w:rsidRPr="000E3937">
        <w:rPr>
          <w:rFonts w:ascii="Verdana" w:eastAsia="Century Gothic" w:hAnsi="Verdana" w:cs="Century Gothic"/>
          <w:sz w:val="20"/>
          <w:szCs w:val="20"/>
          <w:lang w:val="es-ES"/>
        </w:rPr>
        <w:t xml:space="preserve">TERCERA: Se comunique esta sentencia a las Entidades del Estado para que provean de conformidad. </w:t>
      </w:r>
    </w:p>
    <w:p w14:paraId="6485D23F" w14:textId="77777777" w:rsidR="009A1D0D" w:rsidRDefault="009A1D0D" w:rsidP="009A1D0D">
      <w:pPr>
        <w:spacing w:after="0" w:line="240" w:lineRule="auto"/>
        <w:ind w:left="709" w:right="709"/>
        <w:jc w:val="both"/>
        <w:rPr>
          <w:rFonts w:ascii="Verdana" w:eastAsia="Century Gothic" w:hAnsi="Verdana" w:cs="Century Gothic"/>
          <w:sz w:val="20"/>
          <w:szCs w:val="20"/>
          <w:lang w:val="es-ES"/>
        </w:rPr>
      </w:pPr>
      <w:r w:rsidRPr="000E3937">
        <w:rPr>
          <w:rFonts w:ascii="Verdana" w:eastAsia="Century Gothic" w:hAnsi="Verdana" w:cs="Century Gothic"/>
          <w:sz w:val="20"/>
          <w:szCs w:val="20"/>
          <w:lang w:val="es-ES"/>
        </w:rPr>
        <w:t>De llegarse a dar favorablemente sentencia a favor del accionante, concediendo las pretensiones de la demanda, surgiría las siguientes inquietudes, que quisiera de la manera más atenta me informe y de respuesta y son las siguientes inquietudes:</w:t>
      </w:r>
    </w:p>
    <w:p w14:paraId="7CDFA176" w14:textId="77777777" w:rsidR="009A1D0D" w:rsidRDefault="009A1D0D" w:rsidP="009A1D0D">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2A421F42" w14:textId="77777777" w:rsidR="009A1D0D" w:rsidRPr="00740C73" w:rsidRDefault="009A1D0D" w:rsidP="009A1D0D">
      <w:pPr>
        <w:spacing w:after="0" w:line="240" w:lineRule="auto"/>
        <w:ind w:left="709" w:right="709"/>
        <w:jc w:val="both"/>
        <w:rPr>
          <w:rFonts w:ascii="Verdana" w:eastAsia="Century Gothic" w:hAnsi="Verdana" w:cs="Century Gothic"/>
          <w:sz w:val="20"/>
          <w:szCs w:val="20"/>
          <w:lang w:val="es-ES"/>
        </w:rPr>
      </w:pPr>
      <w:r w:rsidRPr="000E3937">
        <w:rPr>
          <w:rFonts w:ascii="Verdana" w:eastAsia="Century Gothic" w:hAnsi="Verdana" w:cs="Century Gothic"/>
          <w:sz w:val="20"/>
          <w:szCs w:val="20"/>
          <w:lang w:val="es-ES"/>
        </w:rPr>
        <w:t xml:space="preserve">5) ¿Ante quien se le solicita se paralice la plataforma del SECOP II, para esos 5 municipios? y ¿desde qué momento: i) ¿desde la sentencia de primera instancia? </w:t>
      </w:r>
      <w:proofErr w:type="spellStart"/>
      <w:r w:rsidRPr="000E3937">
        <w:rPr>
          <w:rFonts w:ascii="Verdana" w:eastAsia="Century Gothic" w:hAnsi="Verdana" w:cs="Century Gothic"/>
          <w:sz w:val="20"/>
          <w:szCs w:val="20"/>
          <w:lang w:val="es-ES"/>
        </w:rPr>
        <w:t>ii</w:t>
      </w:r>
      <w:proofErr w:type="spellEnd"/>
      <w:r w:rsidRPr="000E3937">
        <w:rPr>
          <w:rFonts w:ascii="Verdana" w:eastAsia="Century Gothic" w:hAnsi="Verdana" w:cs="Century Gothic"/>
          <w:sz w:val="20"/>
          <w:szCs w:val="20"/>
          <w:lang w:val="es-ES"/>
        </w:rPr>
        <w:t>) ¿desde la sentencia de segunda instancia?</w:t>
      </w:r>
      <w:r>
        <w:rPr>
          <w:rFonts w:ascii="Verdana" w:eastAsia="Century Gothic" w:hAnsi="Verdana" w:cs="Century Gothic"/>
          <w:sz w:val="20"/>
          <w:szCs w:val="20"/>
          <w:lang w:val="es-ES"/>
        </w:rPr>
        <w:t>”.</w:t>
      </w:r>
    </w:p>
    <w:p w14:paraId="45B5F653" w14:textId="77777777" w:rsidR="009A1D0D" w:rsidRDefault="009A1D0D" w:rsidP="009A1D0D">
      <w:pPr>
        <w:spacing w:after="0" w:line="276" w:lineRule="auto"/>
        <w:ind w:firstLine="709"/>
        <w:jc w:val="both"/>
        <w:rPr>
          <w:rFonts w:ascii="Verdana" w:eastAsia="Calibri" w:hAnsi="Verdana" w:cs="Arial"/>
          <w:color w:val="000000"/>
          <w:lang w:val="es-ES" w:eastAsia="es-ES"/>
        </w:rPr>
      </w:pPr>
    </w:p>
    <w:p w14:paraId="70B7B5B3" w14:textId="77777777" w:rsidR="009A1D0D" w:rsidRPr="00A652FF" w:rsidRDefault="009A1D0D" w:rsidP="009A1D0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2C29547" w14:textId="77777777" w:rsidR="009A1D0D" w:rsidRDefault="009A1D0D" w:rsidP="009A1D0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DE5AB60" w14:textId="77777777" w:rsidR="009A1D0D" w:rsidRPr="00593A5F" w:rsidRDefault="009A1D0D" w:rsidP="009A1D0D">
      <w:pPr>
        <w:spacing w:after="0" w:line="276" w:lineRule="auto"/>
        <w:ind w:firstLine="709"/>
        <w:jc w:val="both"/>
        <w:rPr>
          <w:rFonts w:ascii="Verdana" w:eastAsia="Calibri" w:hAnsi="Verdana" w:cs="Arial"/>
          <w:color w:val="000000"/>
          <w:lang w:val="es-ES" w:eastAsia="es-ES"/>
        </w:rPr>
      </w:pPr>
    </w:p>
    <w:p w14:paraId="3EEC288A" w14:textId="77777777" w:rsidR="009A1D0D" w:rsidRPr="00593A5F" w:rsidRDefault="009A1D0D" w:rsidP="009A1D0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4DC057C" w14:textId="77777777" w:rsidR="009A1D0D" w:rsidRPr="00593A5F" w:rsidRDefault="009A1D0D" w:rsidP="009A1D0D">
      <w:pPr>
        <w:tabs>
          <w:tab w:val="left" w:pos="426"/>
        </w:tabs>
        <w:spacing w:after="0" w:line="276" w:lineRule="auto"/>
        <w:jc w:val="both"/>
        <w:rPr>
          <w:rFonts w:ascii="Verdana" w:eastAsia="Century Gothic" w:hAnsi="Verdana" w:cs="Century Gothic"/>
          <w:lang w:val="es-ES"/>
        </w:rPr>
      </w:pPr>
    </w:p>
    <w:p w14:paraId="07CB273D" w14:textId="369DA816" w:rsidR="009A1D0D" w:rsidRPr="00593A5F" w:rsidRDefault="009A1D0D" w:rsidP="009A1D0D">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00B06570">
        <w:rPr>
          <w:rFonts w:ascii="Verdana" w:eastAsia="Century Gothic" w:hAnsi="Verdana" w:cs="Century Gothic"/>
        </w:rPr>
        <w:t xml:space="preserve">ante </w:t>
      </w:r>
      <w:r>
        <w:rPr>
          <w:rFonts w:ascii="Verdana" w:eastAsia="Century Gothic" w:hAnsi="Verdana" w:cs="Century Gothic"/>
        </w:rPr>
        <w:t>la</w:t>
      </w:r>
      <w:r w:rsidR="00CD2B3B">
        <w:rPr>
          <w:rFonts w:ascii="Verdana" w:eastAsia="Century Gothic" w:hAnsi="Verdana" w:cs="Century Gothic"/>
        </w:rPr>
        <w:t xml:space="preserve"> eventual</w:t>
      </w:r>
      <w:r>
        <w:rPr>
          <w:rFonts w:ascii="Verdana" w:eastAsia="Century Gothic" w:hAnsi="Verdana" w:cs="Century Gothic"/>
        </w:rPr>
        <w:t xml:space="preserve"> declaración nulidad de actos administrativos por los que se crean municipios, </w:t>
      </w:r>
      <w:r w:rsidR="00B06570">
        <w:rPr>
          <w:rFonts w:ascii="Verdana" w:eastAsia="Century Gothic" w:hAnsi="Verdana" w:cs="Century Gothic"/>
        </w:rPr>
        <w:t>¿</w:t>
      </w:r>
      <w:r>
        <w:rPr>
          <w:rFonts w:ascii="Verdana" w:eastAsia="Century Gothic" w:hAnsi="Verdana" w:cs="Century Gothic"/>
        </w:rPr>
        <w:t>cuál es órgano facultado para ajustar la plataforma transaccional y a partir de cuándo debe hacerlo</w:t>
      </w:r>
      <w:r w:rsidRPr="002B6143">
        <w:rPr>
          <w:rFonts w:ascii="Verdana" w:eastAsia="Century Gothic" w:hAnsi="Verdana" w:cs="Century Gothic"/>
        </w:rPr>
        <w:t>?</w:t>
      </w:r>
      <w:r>
        <w:rPr>
          <w:rFonts w:ascii="Verdana" w:eastAsia="Century Gothic" w:hAnsi="Verdana" w:cs="Century Gothic"/>
        </w:rPr>
        <w:t xml:space="preserve"> </w:t>
      </w:r>
    </w:p>
    <w:p w14:paraId="17AD03B0" w14:textId="77777777" w:rsidR="009A1D0D" w:rsidRPr="004B140F" w:rsidRDefault="009A1D0D" w:rsidP="009A1D0D">
      <w:pPr>
        <w:spacing w:after="0" w:line="276" w:lineRule="auto"/>
        <w:jc w:val="both"/>
        <w:rPr>
          <w:rFonts w:ascii="Verdana" w:eastAsia="Calibri" w:hAnsi="Verdana" w:cs="Arial"/>
          <w:color w:val="7030A0"/>
        </w:rPr>
      </w:pPr>
    </w:p>
    <w:p w14:paraId="63733713" w14:textId="77777777" w:rsidR="009A1D0D" w:rsidRPr="00593A5F" w:rsidRDefault="009A1D0D" w:rsidP="009A1D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614C053" w14:textId="77777777" w:rsidR="009A1D0D" w:rsidRPr="00593A5F" w:rsidRDefault="009A1D0D" w:rsidP="009A1D0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1D0D" w:rsidRPr="00593A5F" w14:paraId="4C1ED64F" w14:textId="77777777" w:rsidTr="00647FCF">
        <w:trPr>
          <w:jc w:val="center"/>
        </w:trPr>
        <w:tc>
          <w:tcPr>
            <w:tcW w:w="8828" w:type="dxa"/>
          </w:tcPr>
          <w:p w14:paraId="7523039F" w14:textId="77777777" w:rsidR="009A1D0D" w:rsidRPr="00F16D2E" w:rsidRDefault="009A1D0D" w:rsidP="00647FCF">
            <w:pPr>
              <w:widowControl w:val="0"/>
              <w:tabs>
                <w:tab w:val="left" w:pos="728"/>
              </w:tabs>
              <w:autoSpaceDE w:val="0"/>
              <w:autoSpaceDN w:val="0"/>
              <w:spacing w:after="120" w:line="276" w:lineRule="auto"/>
              <w:jc w:val="both"/>
              <w:rPr>
                <w:rFonts w:ascii="Verdana" w:eastAsia="Arial" w:hAnsi="Verdana" w:cs="Arial"/>
                <w:lang w:val="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a</w:t>
            </w:r>
            <w:r>
              <w:rPr>
                <w:rFonts w:ascii="Verdana" w:hAnsi="Verdana" w:cs="Arial"/>
                <w:color w:val="000000" w:themeColor="text1"/>
                <w:lang w:val="es-ES_tradnl"/>
              </w:rPr>
              <w:t xml:space="preserve"> las entidades mencionadas en el artículo 2.1 de la Ley 80 de 1993, incluidos los municipios, </w:t>
            </w:r>
            <w:r>
              <w:rPr>
                <w:rFonts w:ascii="Verdana" w:eastAsia="Arial" w:hAnsi="Verdana" w:cs="Arial"/>
                <w:lang w:val="es-ES"/>
              </w:rPr>
              <w:t>e</w:t>
            </w:r>
            <w:r w:rsidRPr="00F16D2E">
              <w:rPr>
                <w:rFonts w:ascii="Verdana" w:eastAsia="Arial" w:hAnsi="Verdana" w:cs="Arial"/>
                <w:lang w:val="es-ES"/>
              </w:rPr>
              <w:t xml:space="preserve">l principio de publicidad </w:t>
            </w:r>
            <w:r>
              <w:rPr>
                <w:rFonts w:ascii="Verdana" w:eastAsia="Arial" w:hAnsi="Verdana" w:cs="Arial"/>
                <w:lang w:val="es-ES"/>
              </w:rPr>
              <w:t xml:space="preserve">les </w:t>
            </w:r>
            <w:r w:rsidRPr="00F16D2E">
              <w:rPr>
                <w:rFonts w:ascii="Verdana" w:eastAsia="Arial" w:hAnsi="Verdana" w:cs="Arial"/>
                <w:lang w:val="es-ES"/>
              </w:rPr>
              <w:t xml:space="preserve">impone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5B4ED1F0" w14:textId="77777777" w:rsidR="009A1D0D" w:rsidRPr="0061176B" w:rsidRDefault="009A1D0D" w:rsidP="00647FCF">
            <w:pPr>
              <w:tabs>
                <w:tab w:val="left" w:pos="426"/>
              </w:tabs>
              <w:spacing w:after="120" w:line="276" w:lineRule="auto"/>
              <w:ind w:firstLine="737"/>
              <w:jc w:val="both"/>
              <w:rPr>
                <w:rFonts w:ascii="Verdana" w:eastAsia="Calibri" w:hAnsi="Verdana" w:cs="Arial"/>
                <w:bCs/>
                <w:color w:val="000000" w:themeColor="text1"/>
                <w:lang w:val="es-ES"/>
              </w:rPr>
            </w:pPr>
            <w:r>
              <w:rPr>
                <w:rFonts w:ascii="Verdana" w:hAnsi="Verdana" w:cs="Arial"/>
                <w:lang w:val="es-ES"/>
              </w:rPr>
              <w:t xml:space="preserve">Ahora bien, pese a la solicitud de “[…] </w:t>
            </w:r>
            <w:r w:rsidRPr="00FF6E61">
              <w:rPr>
                <w:rFonts w:ascii="Verdana" w:hAnsi="Verdana" w:cs="Arial"/>
                <w:lang w:val="es-ES"/>
              </w:rPr>
              <w:t>nulidad del Decreto expedido por el Gobernador de Santander, decreto de fecha 23 de diciembre de 1887, publicado en la Gaceta de Santander el 30 de diciembre de 1887</w:t>
            </w:r>
            <w:r>
              <w:rPr>
                <w:rFonts w:ascii="Verdana" w:hAnsi="Verdana" w:cs="Arial"/>
                <w:lang w:val="es-ES"/>
              </w:rPr>
              <w:t xml:space="preserve">”, </w:t>
            </w:r>
            <w:r>
              <w:rPr>
                <w:rFonts w:ascii="Verdana" w:eastAsia="Calibri" w:hAnsi="Verdana" w:cs="Arial"/>
                <w:color w:val="000000" w:themeColor="text1"/>
              </w:rPr>
              <w:t xml:space="preserve">es necesario tener en cuenta que –por remisión del inciso primero del artículo 77 de la Ley </w:t>
            </w:r>
            <w:r>
              <w:rPr>
                <w:rFonts w:ascii="Verdana" w:eastAsia="Calibri" w:hAnsi="Verdana" w:cs="Arial"/>
                <w:color w:val="000000" w:themeColor="text1"/>
              </w:rPr>
              <w:lastRenderedPageBreak/>
              <w:t>80 de 1993 y aplicación del inciso final del artículo 2 de la Ley 1437 de 2011– el artículo 88 del Código de Procedimiento Administrativo y de lo Contencioso Administrativo precisa que “</w:t>
            </w:r>
            <w:r w:rsidRPr="00DC5B6C">
              <w:rPr>
                <w:rFonts w:ascii="Verdana" w:eastAsia="Calibri" w:hAnsi="Verdana" w:cs="Arial"/>
                <w:color w:val="000000" w:themeColor="text1"/>
              </w:rPr>
              <w:t>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r>
              <w:rPr>
                <w:rFonts w:ascii="Verdana" w:eastAsia="Calibri" w:hAnsi="Verdana" w:cs="Arial"/>
                <w:color w:val="000000" w:themeColor="text1"/>
              </w:rPr>
              <w:t>”</w:t>
            </w:r>
            <w:r w:rsidRPr="00DC5B6C">
              <w:rPr>
                <w:rFonts w:ascii="Verdana" w:eastAsia="Calibri" w:hAnsi="Verdana" w:cs="Arial"/>
                <w:color w:val="000000" w:themeColor="text1"/>
              </w:rPr>
              <w:t>.</w:t>
            </w:r>
          </w:p>
          <w:p w14:paraId="79D8C2AB" w14:textId="77777777" w:rsidR="009A1D0D" w:rsidRDefault="009A1D0D" w:rsidP="00647FCF">
            <w:pPr>
              <w:tabs>
                <w:tab w:val="left" w:pos="709"/>
              </w:tabs>
              <w:spacing w:after="180" w:line="276" w:lineRule="auto"/>
              <w:ind w:firstLine="737"/>
              <w:jc w:val="both"/>
              <w:rPr>
                <w:rFonts w:ascii="Verdana" w:eastAsia="Calibri" w:hAnsi="Verdana" w:cs="Arial"/>
                <w:color w:val="000000" w:themeColor="text1"/>
              </w:rPr>
            </w:pPr>
            <w:r>
              <w:rPr>
                <w:rFonts w:ascii="Verdana" w:eastAsia="Batang" w:hAnsi="Verdana" w:cs="Arial"/>
              </w:rPr>
              <w:t xml:space="preserve">En este marco, </w:t>
            </w:r>
            <w:r>
              <w:rPr>
                <w:rFonts w:ascii="Verdana" w:eastAsia="Calibri" w:hAnsi="Verdana" w:cs="Arial"/>
                <w:color w:val="000000" w:themeColor="text1"/>
              </w:rPr>
              <w:t>el acto administrativo que crea los cinco (5) municipios citados en la petición</w:t>
            </w:r>
            <w:r w:rsidRPr="00CA0670">
              <w:rPr>
                <w:rFonts w:ascii="Verdana" w:eastAsia="Calibri" w:hAnsi="Verdana" w:cs="Arial"/>
                <w:color w:val="000000" w:themeColor="text1"/>
              </w:rPr>
              <w:t xml:space="preserve"> goza de una presunción de legalidad, destacándose su ejecutoriedad</w:t>
            </w:r>
            <w:r>
              <w:rPr>
                <w:rFonts w:ascii="Verdana" w:eastAsia="Calibri" w:hAnsi="Verdana" w:cs="Arial"/>
                <w:color w:val="000000" w:themeColor="text1"/>
              </w:rPr>
              <w:t xml:space="preserve"> y obligatoriedad</w:t>
            </w:r>
            <w:r w:rsidRPr="00CA0670">
              <w:rPr>
                <w:rFonts w:ascii="Verdana" w:eastAsia="Calibri" w:hAnsi="Verdana" w:cs="Arial"/>
                <w:color w:val="000000" w:themeColor="text1"/>
              </w:rPr>
              <w:t xml:space="preserve"> inmediata</w:t>
            </w:r>
            <w:r>
              <w:rPr>
                <w:rFonts w:ascii="Verdana" w:eastAsia="Calibri" w:hAnsi="Verdana" w:cs="Arial"/>
                <w:color w:val="000000" w:themeColor="text1"/>
              </w:rPr>
              <w:t>: dicha</w:t>
            </w:r>
            <w:r w:rsidRPr="00CA0670">
              <w:rPr>
                <w:rFonts w:ascii="Verdana" w:eastAsia="Calibri" w:hAnsi="Verdana" w:cs="Arial"/>
                <w:color w:val="000000" w:themeColor="text1"/>
              </w:rPr>
              <w:t xml:space="preserve"> presunción se mantiene hasta que una sentencia judicial declare </w:t>
            </w:r>
            <w:r>
              <w:rPr>
                <w:rFonts w:ascii="Verdana" w:eastAsia="Calibri" w:hAnsi="Verdana" w:cs="Arial"/>
                <w:color w:val="000000" w:themeColor="text1"/>
              </w:rPr>
              <w:t>su</w:t>
            </w:r>
            <w:r w:rsidRPr="00CA0670">
              <w:rPr>
                <w:rFonts w:ascii="Verdana" w:eastAsia="Calibri" w:hAnsi="Verdana" w:cs="Arial"/>
                <w:color w:val="000000" w:themeColor="text1"/>
              </w:rPr>
              <w:t xml:space="preserve"> nulidad, momento en el cual </w:t>
            </w:r>
            <w:r>
              <w:rPr>
                <w:rFonts w:ascii="Verdana" w:eastAsia="Calibri" w:hAnsi="Verdana" w:cs="Arial"/>
                <w:color w:val="000000" w:themeColor="text1"/>
              </w:rPr>
              <w:t>cesan sus</w:t>
            </w:r>
            <w:r w:rsidRPr="00CA0670">
              <w:rPr>
                <w:rFonts w:ascii="Verdana" w:eastAsia="Calibri" w:hAnsi="Verdana" w:cs="Arial"/>
                <w:color w:val="000000" w:themeColor="text1"/>
              </w:rPr>
              <w:t xml:space="preserve"> efectos.</w:t>
            </w:r>
            <w:r>
              <w:rPr>
                <w:rFonts w:ascii="Verdana" w:eastAsia="Calibri" w:hAnsi="Verdana" w:cs="Arial"/>
                <w:color w:val="000000" w:themeColor="text1"/>
              </w:rPr>
              <w:t xml:space="preserve"> Salvo que el proceso sea de única instancia, las sentencias son susceptibles de apelación conforme al artículo 243 de la Ley 1437 de 2011. De acuerdo con el parágrafo 1˚ </w:t>
            </w:r>
            <w:proofErr w:type="spellStart"/>
            <w:r w:rsidRPr="00905FC1">
              <w:rPr>
                <w:rFonts w:ascii="Verdana" w:eastAsia="Calibri" w:hAnsi="Verdana" w:cs="Arial"/>
                <w:i/>
                <w:iCs/>
                <w:color w:val="000000" w:themeColor="text1"/>
              </w:rPr>
              <w:t>ibídem</w:t>
            </w:r>
            <w:proofErr w:type="spellEnd"/>
            <w:r>
              <w:rPr>
                <w:rFonts w:ascii="Verdana" w:eastAsia="Calibri" w:hAnsi="Verdana" w:cs="Arial"/>
                <w:color w:val="000000" w:themeColor="text1"/>
              </w:rPr>
              <w:t xml:space="preserve">, dicho recurso se concede con efecto suspensivo; luego, por remisión del artículo 306 del CPACA a la Ley 1564 de 2012, el numeral 323.1 del Código General del Proceso dispone que “[…] </w:t>
            </w:r>
            <w:r w:rsidRPr="00B16695">
              <w:rPr>
                <w:rFonts w:ascii="Verdana" w:eastAsia="Calibri" w:hAnsi="Verdana" w:cs="Arial"/>
                <w:color w:val="000000" w:themeColor="text1"/>
              </w:rPr>
              <w:t>la competencia del juez de primera instancia se suspenderá desde la ejecutoria del auto que la concede hasta que se notifique el de obedecimiento a lo resuelto por el superior</w:t>
            </w:r>
            <w:r>
              <w:rPr>
                <w:rFonts w:ascii="Verdana" w:eastAsia="Calibri" w:hAnsi="Verdana" w:cs="Arial"/>
                <w:color w:val="000000" w:themeColor="text1"/>
              </w:rPr>
              <w:t xml:space="preserve"> […]”. </w:t>
            </w:r>
          </w:p>
          <w:p w14:paraId="0BB11C33" w14:textId="77777777" w:rsidR="009A1D0D" w:rsidRPr="00F70A79" w:rsidRDefault="009A1D0D" w:rsidP="00647FCF">
            <w:pPr>
              <w:tabs>
                <w:tab w:val="left" w:pos="709"/>
              </w:tabs>
              <w:spacing w:after="180" w:line="276" w:lineRule="auto"/>
              <w:jc w:val="both"/>
              <w:rPr>
                <w:rFonts w:ascii="Verdana" w:hAnsi="Verdana" w:cs="Arial"/>
                <w:color w:val="000000" w:themeColor="text1"/>
                <w:lang w:val="es-ES"/>
              </w:rPr>
            </w:pPr>
            <w:r>
              <w:rPr>
                <w:rFonts w:ascii="Verdana" w:eastAsia="Calibri" w:hAnsi="Verdana" w:cs="Arial"/>
                <w:color w:val="000000" w:themeColor="text1"/>
              </w:rPr>
              <w:tab/>
              <w:t xml:space="preserve">A menos que la sentencia de primera instancia quede ejecutoriada, la concesión del recurso de alzada oportunamente interpuesto suspende los efectos de la nulidad eventualmente declarada por el </w:t>
            </w:r>
            <w:r w:rsidRPr="00D53951">
              <w:rPr>
                <w:rFonts w:ascii="Verdana" w:eastAsia="Calibri" w:hAnsi="Verdana" w:cs="Arial"/>
                <w:i/>
                <w:iCs/>
                <w:color w:val="000000" w:themeColor="text1"/>
              </w:rPr>
              <w:t>a</w:t>
            </w:r>
            <w:r>
              <w:rPr>
                <w:rFonts w:ascii="Verdana" w:eastAsia="Calibri" w:hAnsi="Verdana" w:cs="Arial"/>
                <w:i/>
                <w:iCs/>
                <w:color w:val="000000" w:themeColor="text1"/>
              </w:rPr>
              <w:t xml:space="preserve"> </w:t>
            </w:r>
            <w:r w:rsidRPr="00D53951">
              <w:rPr>
                <w:rFonts w:ascii="Verdana" w:eastAsia="Calibri" w:hAnsi="Verdana" w:cs="Arial"/>
                <w:i/>
                <w:iCs/>
                <w:color w:val="000000" w:themeColor="text1"/>
              </w:rPr>
              <w:t>quo</w:t>
            </w:r>
            <w:r>
              <w:rPr>
                <w:rFonts w:ascii="Verdana" w:eastAsia="Calibri" w:hAnsi="Verdana" w:cs="Arial"/>
                <w:color w:val="000000" w:themeColor="text1"/>
              </w:rPr>
              <w:t xml:space="preserve"> hasta que se decida el </w:t>
            </w:r>
            <w:r w:rsidRPr="00D53951">
              <w:rPr>
                <w:rFonts w:ascii="Verdana" w:eastAsia="Calibri" w:hAnsi="Verdana" w:cs="Arial"/>
                <w:i/>
                <w:iCs/>
                <w:color w:val="000000" w:themeColor="text1"/>
              </w:rPr>
              <w:t>ad</w:t>
            </w:r>
            <w:r>
              <w:rPr>
                <w:rFonts w:ascii="Verdana" w:eastAsia="Calibri" w:hAnsi="Verdana" w:cs="Arial"/>
                <w:i/>
                <w:iCs/>
                <w:color w:val="000000" w:themeColor="text1"/>
              </w:rPr>
              <w:t xml:space="preserve"> </w:t>
            </w:r>
            <w:proofErr w:type="spellStart"/>
            <w:r w:rsidRPr="00D53951">
              <w:rPr>
                <w:rFonts w:ascii="Verdana" w:eastAsia="Calibri" w:hAnsi="Verdana" w:cs="Arial"/>
                <w:i/>
                <w:iCs/>
                <w:color w:val="000000" w:themeColor="text1"/>
              </w:rPr>
              <w:t>quem</w:t>
            </w:r>
            <w:proofErr w:type="spellEnd"/>
            <w:r>
              <w:rPr>
                <w:rFonts w:ascii="Verdana" w:eastAsia="Calibri" w:hAnsi="Verdana" w:cs="Arial"/>
                <w:color w:val="000000" w:themeColor="text1"/>
              </w:rPr>
              <w:t xml:space="preserve">. Si este último confirma la decisión, los efectos de la nulidad comienzan con la ejecutoria de la sentencia de segunda instancia. De esta manera, en caso de que prospere </w:t>
            </w:r>
            <w:r>
              <w:rPr>
                <w:rFonts w:ascii="Verdana" w:hAnsi="Verdana" w:cs="Arial"/>
                <w:lang w:val="es-ES"/>
              </w:rPr>
              <w:t xml:space="preserve">la solicitud de “[…] </w:t>
            </w:r>
            <w:r w:rsidRPr="00FF6E61">
              <w:rPr>
                <w:rFonts w:ascii="Verdana" w:hAnsi="Verdana" w:cs="Arial"/>
                <w:lang w:val="es-ES"/>
              </w:rPr>
              <w:t>nulidad del Decreto expedido por el Gobernador de Santander, decreto de fecha 23 de diciembre de 1887, publicado en la Gaceta de Santander el 30 de diciembre de 1887</w:t>
            </w:r>
            <w:r>
              <w:rPr>
                <w:rFonts w:ascii="Verdana" w:hAnsi="Verdana" w:cs="Arial"/>
                <w:lang w:val="es-ES"/>
              </w:rPr>
              <w:t>”, l</w:t>
            </w:r>
            <w:r w:rsidRPr="00593A5F">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color w:val="000000" w:themeColor="text1"/>
                <w:lang w:val="es-ES" w:eastAsia="es-ES"/>
              </w:rPr>
              <w:t xml:space="preserve"> –a través de la </w:t>
            </w:r>
            <w:r w:rsidRPr="006F28F1">
              <w:rPr>
                <w:rFonts w:ascii="Verdana" w:eastAsia="Calibri" w:hAnsi="Verdana" w:cs="Arial"/>
                <w:color w:val="000000" w:themeColor="text1"/>
                <w:lang w:val="es-ES" w:eastAsia="es-ES"/>
              </w:rPr>
              <w:t>Subdirección de Información y Desarrollo Tecnológico</w:t>
            </w:r>
            <w:r>
              <w:rPr>
                <w:rFonts w:ascii="Verdana" w:eastAsia="Calibri" w:hAnsi="Verdana" w:cs="Arial"/>
                <w:color w:val="000000" w:themeColor="text1"/>
                <w:lang w:val="es-ES" w:eastAsia="es-ES"/>
              </w:rPr>
              <w:t xml:space="preserve">– realizará los ajustes al SECOP II, pues tiene la competencia para desarrollar, administrar y gestionar la plataforma conforme a los artículos 3.8 y 13.6 del Decreto Ley 4170 de 2011.  </w:t>
            </w:r>
          </w:p>
          <w:p w14:paraId="24939098" w14:textId="77777777" w:rsidR="009A1D0D" w:rsidRPr="001941FD" w:rsidRDefault="009A1D0D" w:rsidP="00647FCF">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w:t>
            </w:r>
            <w:r w:rsidRPr="00A47393">
              <w:rPr>
                <w:rStyle w:val="s15"/>
                <w:rFonts w:ascii="Verdana" w:hAnsi="Verdana"/>
                <w:color w:val="000000"/>
              </w:rPr>
              <w:lastRenderedPageBreak/>
              <w:t>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6106C4A" w14:textId="77777777" w:rsidR="009A1D0D" w:rsidRPr="00593A5F" w:rsidRDefault="009A1D0D" w:rsidP="009A1D0D">
      <w:pPr>
        <w:tabs>
          <w:tab w:val="left" w:pos="142"/>
          <w:tab w:val="left" w:pos="284"/>
        </w:tabs>
        <w:spacing w:after="0" w:line="276" w:lineRule="auto"/>
        <w:jc w:val="both"/>
        <w:rPr>
          <w:rFonts w:ascii="Verdana" w:eastAsia="Century Gothic" w:hAnsi="Verdana" w:cs="Century Gothic"/>
          <w:b/>
          <w:bCs/>
          <w:lang w:val="es-ES"/>
        </w:rPr>
      </w:pPr>
    </w:p>
    <w:bookmarkEnd w:id="1"/>
    <w:p w14:paraId="4F1739AF" w14:textId="77777777" w:rsidR="009A1D0D" w:rsidRPr="00593A5F" w:rsidRDefault="009A1D0D" w:rsidP="009A1D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90CD081" w14:textId="77777777" w:rsidR="009A1D0D" w:rsidRPr="00593A5F" w:rsidRDefault="009A1D0D" w:rsidP="009A1D0D">
      <w:pPr>
        <w:spacing w:after="0" w:line="276" w:lineRule="auto"/>
        <w:jc w:val="both"/>
        <w:rPr>
          <w:rFonts w:ascii="Verdana" w:eastAsia="Calibri" w:hAnsi="Verdana" w:cs="Arial"/>
          <w:color w:val="7030A0"/>
          <w:lang w:val="es-ES"/>
        </w:rPr>
      </w:pPr>
    </w:p>
    <w:p w14:paraId="0BA7CE37" w14:textId="77777777" w:rsidR="009A1D0D" w:rsidRDefault="009A1D0D" w:rsidP="009A1D0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F9ED64B" w14:textId="77777777" w:rsidR="009A1D0D" w:rsidRPr="00415608" w:rsidRDefault="009A1D0D" w:rsidP="009A1D0D">
      <w:pPr>
        <w:spacing w:after="0" w:line="276" w:lineRule="auto"/>
        <w:jc w:val="both"/>
        <w:rPr>
          <w:rFonts w:ascii="Verdana" w:eastAsia="Calibri" w:hAnsi="Verdana" w:cs="Arial"/>
          <w:lang w:val="es-ES"/>
        </w:rPr>
      </w:pPr>
    </w:p>
    <w:p w14:paraId="4B8FCB92" w14:textId="77777777" w:rsidR="009A1D0D" w:rsidRPr="00817382" w:rsidRDefault="009A1D0D" w:rsidP="009A1D0D">
      <w:pPr>
        <w:spacing w:after="120" w:line="276" w:lineRule="auto"/>
        <w:jc w:val="both"/>
        <w:rPr>
          <w:rFonts w:ascii="Verdana" w:hAnsi="Verdana" w:cs="Arial"/>
          <w:lang w:val="es-ES_tradnl"/>
        </w:rPr>
      </w:pPr>
      <w:r w:rsidRPr="00817382">
        <w:rPr>
          <w:rFonts w:ascii="Verdana" w:hAnsi="Verdana" w:cs="Arial"/>
          <w:lang w:val="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hAnsi="Verdana" w:cs="Arial"/>
          <w:i/>
          <w:iCs/>
          <w:lang w:val="es-ES_tradnl"/>
        </w:rPr>
        <w:t>entidades estatales</w:t>
      </w:r>
      <w:r w:rsidRPr="00817382">
        <w:rPr>
          <w:rFonts w:ascii="Verdana" w:hAnsi="Verdana" w:cs="Arial"/>
          <w:lang w:val="es-ES_tradnl"/>
        </w:rPr>
        <w:t xml:space="preserve">, esto es, aquellas previstas en los literales a) y b) del numeral 1 del artículo 2 </w:t>
      </w:r>
      <w:r w:rsidRPr="00817382">
        <w:rPr>
          <w:rFonts w:ascii="Verdana" w:hAnsi="Verdana" w:cs="Arial"/>
          <w:i/>
          <w:iCs/>
          <w:lang w:val="es-ES_tradnl"/>
        </w:rPr>
        <w:t>ibidem</w:t>
      </w:r>
      <w:r w:rsidRPr="00817382">
        <w:rPr>
          <w:rFonts w:ascii="Verdana" w:hAnsi="Verdana" w:cs="Arial"/>
          <w:lang w:val="es-ES_tradnl"/>
        </w:rPr>
        <w:t xml:space="preserve">. La norma citada define la competencia contractual en los siguientes términos: </w:t>
      </w:r>
    </w:p>
    <w:p w14:paraId="66816F16" w14:textId="77777777" w:rsidR="009A1D0D" w:rsidRPr="00817382" w:rsidRDefault="009A1D0D" w:rsidP="009A1D0D">
      <w:pPr>
        <w:spacing w:after="120" w:line="276" w:lineRule="auto"/>
        <w:ind w:firstLine="708"/>
        <w:jc w:val="both"/>
        <w:rPr>
          <w:rFonts w:ascii="Verdana" w:hAnsi="Verdana" w:cs="Arial"/>
          <w:lang w:val="es-ES_tradnl"/>
        </w:rPr>
      </w:pPr>
      <w:r w:rsidRPr="00817382">
        <w:rPr>
          <w:rFonts w:ascii="Verdana" w:hAnsi="Verdana" w:cs="Arial"/>
          <w:lang w:val="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E8F9109" w14:textId="77777777" w:rsidR="009A1D0D" w:rsidRPr="00817382" w:rsidRDefault="009A1D0D" w:rsidP="009A1D0D">
      <w:pPr>
        <w:spacing w:after="120" w:line="276" w:lineRule="auto"/>
        <w:ind w:firstLine="708"/>
        <w:jc w:val="both"/>
        <w:rPr>
          <w:rFonts w:ascii="Verdana" w:hAnsi="Verdana" w:cs="Arial"/>
          <w:lang w:val="es-ES_tradnl"/>
        </w:rPr>
      </w:pPr>
      <w:r w:rsidRPr="00817382">
        <w:rPr>
          <w:rFonts w:ascii="Verdana" w:hAnsi="Verdana" w:cs="Arial"/>
          <w:lang w:val="es-ES_tradnl"/>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w:t>
      </w:r>
      <w:r w:rsidRPr="00817382">
        <w:rPr>
          <w:rFonts w:ascii="Verdana" w:hAnsi="Verdana" w:cs="Arial"/>
          <w:lang w:val="es-ES_tradnl"/>
        </w:rPr>
        <w:lastRenderedPageBreak/>
        <w:t>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Style w:val="Refdenotaalpie"/>
          <w:rFonts w:ascii="Verdana" w:hAnsi="Verdana" w:cs="Arial"/>
          <w:lang w:val="es-ES_tradnl"/>
        </w:rPr>
        <w:footnoteReference w:id="1"/>
      </w:r>
      <w:r w:rsidRPr="00817382">
        <w:rPr>
          <w:rFonts w:ascii="Verdana" w:hAnsi="Verdana" w:cs="Arial"/>
          <w:lang w:val="es-ES_tradnl"/>
        </w:rPr>
        <w:t xml:space="preserve">. </w:t>
      </w:r>
    </w:p>
    <w:p w14:paraId="34BBCB48" w14:textId="77777777" w:rsidR="009A1D0D" w:rsidRPr="00F16D2E" w:rsidRDefault="009A1D0D" w:rsidP="009A1D0D">
      <w:pPr>
        <w:widowControl w:val="0"/>
        <w:tabs>
          <w:tab w:val="left" w:pos="728"/>
        </w:tabs>
        <w:autoSpaceDE w:val="0"/>
        <w:autoSpaceDN w:val="0"/>
        <w:spacing w:after="120" w:line="276" w:lineRule="auto"/>
        <w:jc w:val="both"/>
        <w:rPr>
          <w:rFonts w:ascii="Verdana" w:eastAsia="Arial" w:hAnsi="Verdana" w:cs="Arial"/>
          <w:lang w:val="es-ES"/>
        </w:rPr>
      </w:pPr>
      <w:r>
        <w:rPr>
          <w:rFonts w:ascii="Verdana" w:hAnsi="Verdana" w:cs="Arial"/>
          <w:color w:val="000000" w:themeColor="text1"/>
          <w:lang w:val="es-ES_tradnl"/>
        </w:rPr>
        <w:tab/>
        <w:t xml:space="preserve">A las entidades mencionadas en los dos (2) párrafos precedentes, incluidos los municipios, </w:t>
      </w:r>
      <w:r>
        <w:rPr>
          <w:rFonts w:ascii="Verdana" w:eastAsia="Arial" w:hAnsi="Verdana" w:cs="Arial"/>
          <w:lang w:val="es-ES"/>
        </w:rPr>
        <w:t>e</w:t>
      </w:r>
      <w:r w:rsidRPr="00F16D2E">
        <w:rPr>
          <w:rFonts w:ascii="Verdana" w:eastAsia="Arial" w:hAnsi="Verdana" w:cs="Arial"/>
          <w:lang w:val="es-ES"/>
        </w:rPr>
        <w:t xml:space="preserve">l principio de publicidad </w:t>
      </w:r>
      <w:r>
        <w:rPr>
          <w:rFonts w:ascii="Verdana" w:eastAsia="Arial" w:hAnsi="Verdana" w:cs="Arial"/>
          <w:lang w:val="es-ES"/>
        </w:rPr>
        <w:t xml:space="preserve">les </w:t>
      </w:r>
      <w:r w:rsidRPr="00F16D2E">
        <w:rPr>
          <w:rFonts w:ascii="Verdana" w:eastAsia="Arial" w:hAnsi="Verdana" w:cs="Arial"/>
          <w:lang w:val="es-ES"/>
        </w:rPr>
        <w:t xml:space="preserve">impone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237247CC" w14:textId="77777777" w:rsidR="009A1D0D" w:rsidRPr="00F16D2E" w:rsidRDefault="009A1D0D" w:rsidP="009A1D0D">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De otra parte,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72393140" w14:textId="77777777" w:rsidR="009A1D0D" w:rsidRPr="00F16D2E" w:rsidRDefault="009A1D0D" w:rsidP="009A1D0D">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La ley citada dispone, en el literal </w:t>
      </w:r>
      <w:r>
        <w:rPr>
          <w:rFonts w:ascii="Verdana" w:eastAsia="Arial" w:hAnsi="Verdana" w:cs="Arial"/>
          <w:lang w:val="es-ES"/>
        </w:rPr>
        <w:t>a</w:t>
      </w:r>
      <w:r w:rsidRPr="00F16D2E">
        <w:rPr>
          <w:rFonts w:ascii="Verdana" w:eastAsia="Arial" w:hAnsi="Verdana" w:cs="Arial"/>
          <w:lang w:val="es-ES"/>
        </w:rPr>
        <w:t xml:space="preserve">) del artículo </w:t>
      </w:r>
      <w:r>
        <w:rPr>
          <w:rFonts w:ascii="Verdana" w:eastAsia="Arial" w:hAnsi="Verdana" w:cs="Arial"/>
          <w:lang w:val="es-ES"/>
        </w:rPr>
        <w:t>5</w:t>
      </w:r>
      <w:r w:rsidRPr="00F16D2E">
        <w:rPr>
          <w:rFonts w:ascii="Verdana" w:eastAsia="Arial" w:hAnsi="Verdana" w:cs="Arial"/>
          <w:lang w:val="es-ES"/>
        </w:rPr>
        <w:t>, que los sujetos obligados, que son todas las entidades públicas, deben publicar la información relativa a su contratación</w:t>
      </w:r>
      <w:r w:rsidRPr="00F16D2E">
        <w:rPr>
          <w:rFonts w:ascii="Verdana" w:eastAsia="Arial" w:hAnsi="Verdana" w:cs="Arial"/>
          <w:vertAlign w:val="superscript"/>
          <w:lang w:val="es-ES"/>
        </w:rPr>
        <w:footnoteReference w:id="2"/>
      </w:r>
      <w:r w:rsidRPr="00F16D2E">
        <w:rPr>
          <w:rFonts w:ascii="Verdana" w:eastAsia="Arial" w:hAnsi="Verdana" w:cs="Arial"/>
          <w:lang w:val="es-ES"/>
        </w:rPr>
        <w:t xml:space="preserve">. Esta obligación fue en principio desarrollada por el </w:t>
      </w:r>
      <w:r w:rsidRPr="00F16D2E">
        <w:rPr>
          <w:rFonts w:ascii="Verdana" w:eastAsia="Arial" w:hAnsi="Verdana" w:cs="Arial"/>
          <w:lang w:val="es-ES"/>
        </w:rPr>
        <w:lastRenderedPageBreak/>
        <w:t>Decreto 103 de 2015, compilado en el Decreto 1081 de 2015, el cual dispuso que la publicación de la información contractual de los sujetos obligados, que contratan con cargo a recursos públicos, debe hacerse en el Sistema Electrónico de Contratación Pública –SECOP–</w:t>
      </w:r>
      <w:r w:rsidRPr="00F16D2E">
        <w:rPr>
          <w:rFonts w:ascii="Verdana" w:eastAsia="Arial" w:hAnsi="Verdana" w:cs="Arial"/>
          <w:vertAlign w:val="superscript"/>
          <w:lang w:val="es-ES"/>
        </w:rPr>
        <w:footnoteReference w:id="3"/>
      </w:r>
      <w:r w:rsidRPr="00F16D2E">
        <w:rPr>
          <w:rFonts w:ascii="Verdana" w:eastAsia="Arial" w:hAnsi="Verdana" w:cs="Arial"/>
          <w:lang w:val="es-ES"/>
        </w:rPr>
        <w:t>.</w:t>
      </w:r>
    </w:p>
    <w:p w14:paraId="172363C8" w14:textId="77777777" w:rsidR="009A1D0D" w:rsidRPr="00F16D2E" w:rsidRDefault="009A1D0D" w:rsidP="009A1D0D">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43B7A8FA" w14:textId="77777777" w:rsidR="009A1D0D" w:rsidRPr="00F16D2E" w:rsidRDefault="009A1D0D" w:rsidP="009A1D0D">
      <w:pPr>
        <w:widowControl w:val="0"/>
        <w:tabs>
          <w:tab w:val="left" w:pos="728"/>
        </w:tabs>
        <w:autoSpaceDE w:val="0"/>
        <w:autoSpaceDN w:val="0"/>
        <w:spacing w:after="120" w:line="276" w:lineRule="auto"/>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4"/>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77DA56EF" w14:textId="77777777" w:rsidR="009A1D0D" w:rsidRPr="00F16D2E" w:rsidRDefault="009A1D0D" w:rsidP="009A1D0D">
      <w:pPr>
        <w:widowControl w:val="0"/>
        <w:tabs>
          <w:tab w:val="left" w:pos="728"/>
        </w:tabs>
        <w:autoSpaceDE w:val="0"/>
        <w:autoSpaceDN w:val="0"/>
        <w:spacing w:after="120" w:line="276" w:lineRule="auto"/>
        <w:jc w:val="both"/>
        <w:rPr>
          <w:rFonts w:ascii="Verdana" w:hAnsi="Verdana" w:cs="Arial"/>
          <w:lang w:val="es-ES"/>
        </w:rPr>
      </w:pPr>
      <w:r w:rsidRPr="00F16D2E">
        <w:rPr>
          <w:rFonts w:ascii="Verdana" w:hAnsi="Verdana" w:cs="Arial"/>
          <w:lang w:val="es-ES"/>
        </w:rPr>
        <w:tab/>
      </w:r>
      <w:r>
        <w:rPr>
          <w:rFonts w:ascii="Verdana" w:hAnsi="Verdana" w:cs="Arial"/>
          <w:lang w:val="es-ES"/>
        </w:rPr>
        <w:t>L</w:t>
      </w:r>
      <w:r w:rsidRPr="00F16D2E">
        <w:rPr>
          <w:rFonts w:ascii="Verdana" w:hAnsi="Verdana" w:cs="Arial"/>
          <w:lang w:val="es-ES"/>
        </w:rPr>
        <w:t xml:space="preserve">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w:t>
      </w:r>
      <w:r w:rsidRPr="00F16D2E">
        <w:rPr>
          <w:rFonts w:ascii="Verdana" w:hAnsi="Verdana" w:cs="Arial"/>
          <w:lang w:val="es-ES"/>
        </w:rPr>
        <w:lastRenderedPageBreak/>
        <w:t>documentos previos; (b) el aviso de convocatoria; (c) los pliegos de condiciones o la invitación; (d) las adendas; (e) la oferta; (f) el informe de evaluación; (g) el contrato; y cualquier otro documento expedido por la Entidad Estatal durante el Proceso de Contratación”.</w:t>
      </w:r>
    </w:p>
    <w:p w14:paraId="0E46000B" w14:textId="77777777" w:rsidR="009A1D0D" w:rsidRPr="00F16D2E" w:rsidRDefault="009A1D0D" w:rsidP="009A1D0D">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Pr>
          <w:rFonts w:ascii="Verdana" w:eastAsia="Arial" w:hAnsi="Verdana" w:cs="Arial"/>
          <w:i/>
          <w:iCs/>
          <w:lang w:val="es-ES"/>
        </w:rPr>
        <w:t>ibidem</w:t>
      </w:r>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2E7C6B28" w14:textId="77777777" w:rsidR="009A1D0D" w:rsidRPr="00F16D2E" w:rsidRDefault="009A1D0D" w:rsidP="009A1D0D">
      <w:pPr>
        <w:widowControl w:val="0"/>
        <w:autoSpaceDE w:val="0"/>
        <w:autoSpaceDN w:val="0"/>
        <w:spacing w:after="120" w:line="276" w:lineRule="auto"/>
        <w:ind w:firstLine="708"/>
        <w:jc w:val="both"/>
        <w:rPr>
          <w:rFonts w:ascii="Verdana" w:eastAsia="Arial" w:hAnsi="Verdana" w:cs="Arial"/>
          <w:lang w:val="es-ES"/>
        </w:rPr>
      </w:pPr>
      <w:r w:rsidRPr="00F16D2E">
        <w:rPr>
          <w:rFonts w:ascii="Verdana" w:eastAsia="Arial" w:hAnsi="Verdana" w:cs="Arial"/>
          <w:lang w:val="es-ES"/>
        </w:rPr>
        <w:t xml:space="preserve">En todo caso, de conformidad con la segunda parte del inciso primero del artículo 2.2.1.1.1.7.1 </w:t>
      </w:r>
      <w:r>
        <w:rPr>
          <w:rFonts w:ascii="Verdana" w:eastAsia="Arial" w:hAnsi="Verdana" w:cs="Arial"/>
          <w:i/>
          <w:iCs/>
          <w:lang w:val="es-ES"/>
        </w:rPr>
        <w:t>i</w:t>
      </w:r>
      <w:r w:rsidRPr="00F16D2E">
        <w:rPr>
          <w:rFonts w:ascii="Verdana" w:eastAsia="Arial" w:hAnsi="Verdana" w:cs="Arial"/>
          <w:i/>
          <w:iCs/>
          <w:lang w:val="es-ES"/>
        </w:rPr>
        <w:t>bidem</w:t>
      </w:r>
      <w:r w:rsidRPr="00F16D2E">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F16D2E">
        <w:rPr>
          <w:rFonts w:ascii="Verdana" w:eastAsia="Arial" w:hAnsi="Verdana" w:cs="Arial"/>
          <w:i/>
          <w:iCs/>
          <w:lang w:val="es-ES"/>
        </w:rPr>
        <w:t xml:space="preserve"> </w:t>
      </w:r>
      <w:r w:rsidRPr="00F16D2E">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7627AA1B" w14:textId="77777777" w:rsidR="009A1D0D" w:rsidRPr="00F16D2E" w:rsidRDefault="009A1D0D" w:rsidP="009A1D0D">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xml:space="preserve">. Este deber aplica a todas las modalidades de selección y entidades regidas por el Estatuto General de Contratación de la Administración Pública, y solo se encuentran excluidas las ofertas perdedoras y los documentos expedidos en el marco de operaciones de bolsa de productos. </w:t>
      </w:r>
    </w:p>
    <w:p w14:paraId="6AB5C012" w14:textId="77777777" w:rsidR="009A1D0D" w:rsidRPr="00F16D2E" w:rsidRDefault="009A1D0D" w:rsidP="009A1D0D">
      <w:pPr>
        <w:spacing w:before="120" w:after="120" w:line="276" w:lineRule="auto"/>
        <w:ind w:firstLine="709"/>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w:t>
      </w:r>
      <w:r w:rsidRPr="00F16D2E">
        <w:rPr>
          <w:rFonts w:ascii="Verdana" w:eastAsia="Arial" w:hAnsi="Verdana" w:cs="Arial"/>
          <w:lang w:val="es-ES"/>
        </w:rPr>
        <w:lastRenderedPageBreak/>
        <w:t xml:space="preserve">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599672E4" w14:textId="77777777" w:rsidR="009A1D0D" w:rsidRPr="00F16D2E" w:rsidRDefault="009A1D0D" w:rsidP="009A1D0D">
      <w:pPr>
        <w:spacing w:before="120"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sidRPr="00F16D2E">
        <w:rPr>
          <w:rFonts w:ascii="Verdana" w:eastAsia="Arial" w:hAnsi="Verdana" w:cs="Arial"/>
          <w:i/>
          <w:iCs/>
          <w:lang w:val="es-ES"/>
        </w:rPr>
        <w:t>información</w:t>
      </w:r>
      <w:r w:rsidRPr="00F16D2E">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sidRPr="00F16D2E">
        <w:rPr>
          <w:rFonts w:ascii="Verdana" w:eastAsia="Arial" w:hAnsi="Verdana" w:cs="Arial"/>
          <w:i/>
          <w:iCs/>
          <w:lang w:val="es-ES"/>
        </w:rPr>
        <w:t>ibidem</w:t>
      </w:r>
      <w:r w:rsidRPr="00F16D2E">
        <w:rPr>
          <w:rFonts w:ascii="Verdana" w:eastAsia="Arial" w:hAnsi="Verdana" w:cs="Arial"/>
          <w:lang w:val="es-ES"/>
        </w:rPr>
        <w:t xml:space="preserve"> define la </w:t>
      </w:r>
      <w:r w:rsidRPr="00F16D2E">
        <w:rPr>
          <w:rFonts w:ascii="Verdana" w:eastAsia="Arial" w:hAnsi="Verdana" w:cs="Arial"/>
          <w:i/>
          <w:iCs/>
          <w:lang w:val="es-ES"/>
        </w:rPr>
        <w:t>información pública</w:t>
      </w:r>
      <w:r w:rsidRPr="00F16D2E">
        <w:rPr>
          <w:rFonts w:ascii="Verdana" w:eastAsia="Arial" w:hAnsi="Verdana" w:cs="Arial"/>
          <w:lang w:val="es-ES"/>
        </w:rPr>
        <w:t xml:space="preserve"> como “[…] toda información que un sujeto obligado </w:t>
      </w:r>
      <w:proofErr w:type="gramStart"/>
      <w:r w:rsidRPr="00F16D2E">
        <w:rPr>
          <w:rFonts w:ascii="Verdana" w:eastAsia="Arial" w:hAnsi="Verdana" w:cs="Arial"/>
          <w:lang w:val="es-ES"/>
        </w:rPr>
        <w:t>genere,</w:t>
      </w:r>
      <w:proofErr w:type="gramEnd"/>
      <w:r w:rsidRPr="00F16D2E">
        <w:rPr>
          <w:rFonts w:ascii="Verdana" w:eastAsia="Arial" w:hAnsi="Verdana" w:cs="Arial"/>
          <w:lang w:val="es-ES"/>
        </w:rPr>
        <w:t xml:space="preserve"> obtenga, adquiera, o controle en su calidad de tal”.</w:t>
      </w:r>
    </w:p>
    <w:p w14:paraId="7BC2746F" w14:textId="77777777" w:rsidR="009A1D0D" w:rsidRPr="00F16D2E" w:rsidRDefault="009A1D0D" w:rsidP="009A1D0D">
      <w:pPr>
        <w:spacing w:before="120" w:after="120" w:line="276" w:lineRule="auto"/>
        <w:ind w:firstLine="709"/>
        <w:jc w:val="both"/>
        <w:rPr>
          <w:rFonts w:ascii="Verdana" w:eastAsia="Calibri" w:hAnsi="Verdana" w:cs="Arial"/>
          <w:lang w:val="es-ES"/>
        </w:rPr>
      </w:pPr>
      <w:r w:rsidRPr="00F16D2E">
        <w:rPr>
          <w:rFonts w:ascii="Verdana" w:eastAsia="Calibri" w:hAnsi="Verdana" w:cs="Arial"/>
          <w:lang w:val="es-ES"/>
        </w:rPr>
        <w:t xml:space="preserve">Las publicaciones que corresponde efectuar a las entidades estatales, como sujetos obligados por la normativa de la transparencia y acceso a la información pública, antes que una derogación o subrogación del contenido del deber de publicidad regulado por el EGCAP, suponen una ampliación de su alcance, que lo extiende de la simple publicación de la información “producida por la entidad estatal” asociada a la noción de </w:t>
      </w:r>
      <w:r w:rsidRPr="00F16D2E">
        <w:rPr>
          <w:rFonts w:ascii="Verdana" w:eastAsia="Calibri" w:hAnsi="Verdana" w:cs="Arial"/>
          <w:i/>
          <w:iCs/>
          <w:lang w:val="es-ES"/>
        </w:rPr>
        <w:t>Documentos del Proceso</w:t>
      </w:r>
      <w:r w:rsidRPr="00F16D2E">
        <w:rPr>
          <w:rFonts w:ascii="Verdana" w:eastAsia="Calibri" w:hAnsi="Verdana" w:cs="Arial"/>
          <w:lang w:val="es-ES"/>
        </w:rPr>
        <w:t xml:space="preserve">. Esto implica que la publicación que corresponde a las entidades estatales, como sujetos obligados en el marco de la Ley 1712 de 2014, se extiende a todo el desarrollo del procedimiento, desde la etapa de planeación hasta el vencimiento de las garantías, incluyendo cada actuación que se produzca en ese lapso.  </w:t>
      </w:r>
    </w:p>
    <w:p w14:paraId="6DF9BDD5" w14:textId="77777777" w:rsidR="009A1D0D" w:rsidRDefault="009A1D0D" w:rsidP="009A1D0D">
      <w:pPr>
        <w:tabs>
          <w:tab w:val="left" w:pos="709"/>
        </w:tabs>
        <w:spacing w:after="180" w:line="276" w:lineRule="auto"/>
        <w:jc w:val="both"/>
        <w:rPr>
          <w:rFonts w:ascii="Verdana" w:eastAsia="Calibri" w:hAnsi="Verdana" w:cs="Arial"/>
          <w:color w:val="000000" w:themeColor="text1"/>
        </w:rPr>
      </w:pPr>
      <w:r>
        <w:rPr>
          <w:rFonts w:ascii="Verdana" w:hAnsi="Verdana" w:cs="Arial"/>
          <w:lang w:val="es-ES"/>
        </w:rPr>
        <w:tab/>
        <w:t xml:space="preserve">Ahora bien, pese a la solicitud de “[…] </w:t>
      </w:r>
      <w:r w:rsidRPr="00FF6E61">
        <w:rPr>
          <w:rFonts w:ascii="Verdana" w:hAnsi="Verdana" w:cs="Arial"/>
          <w:lang w:val="es-ES"/>
        </w:rPr>
        <w:t>nulidad del Decreto expedido por el Gobernador de Santander, decreto de fecha 23 de diciembre de 1887, publicado en la Gaceta de Santander el 30 de diciembre de 1887</w:t>
      </w:r>
      <w:r>
        <w:rPr>
          <w:rFonts w:ascii="Verdana" w:hAnsi="Verdana" w:cs="Arial"/>
          <w:lang w:val="es-ES"/>
        </w:rPr>
        <w:t xml:space="preserve">”, </w:t>
      </w:r>
      <w:r>
        <w:rPr>
          <w:rFonts w:ascii="Verdana" w:eastAsia="Calibri" w:hAnsi="Verdana" w:cs="Arial"/>
          <w:color w:val="000000" w:themeColor="text1"/>
        </w:rPr>
        <w:t>es necesario tener en cuenta que –por remisión del inciso primero del artículo 77 de la Ley 80 de 1993 y aplicación del inciso final del artículo 2 de la Ley 1437 de 2011– el artículo 88 del Código de Procedimiento Administrativo y de lo Contencioso Administrativo precisa que “</w:t>
      </w:r>
      <w:r w:rsidRPr="00DC5B6C">
        <w:rPr>
          <w:rFonts w:ascii="Verdana" w:eastAsia="Calibri" w:hAnsi="Verdana" w:cs="Arial"/>
          <w:color w:val="000000" w:themeColor="text1"/>
        </w:rPr>
        <w:t>Los actos administrativos se presumen legales mientras no hayan sido anulados por la Jurisdicción de lo Contencioso Administrativo. Cuando fueren suspendidos, no podrán ejecutarse hasta tanto se resuelva definitivamente sobre su legalidad o se levante dicha medida cautelar</w:t>
      </w:r>
      <w:r>
        <w:rPr>
          <w:rFonts w:ascii="Verdana" w:eastAsia="Calibri" w:hAnsi="Verdana" w:cs="Arial"/>
          <w:color w:val="000000" w:themeColor="text1"/>
        </w:rPr>
        <w:t>”</w:t>
      </w:r>
      <w:r w:rsidRPr="00DC5B6C">
        <w:rPr>
          <w:rFonts w:ascii="Verdana" w:eastAsia="Calibri" w:hAnsi="Verdana" w:cs="Arial"/>
          <w:color w:val="000000" w:themeColor="text1"/>
        </w:rPr>
        <w:t>.</w:t>
      </w:r>
    </w:p>
    <w:p w14:paraId="20F489CB" w14:textId="77777777" w:rsidR="009A1D0D" w:rsidRDefault="009A1D0D" w:rsidP="009A1D0D">
      <w:pPr>
        <w:spacing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 xml:space="preserve">En efecto, al juzgar </w:t>
      </w:r>
      <w:proofErr w:type="spellStart"/>
      <w:r>
        <w:rPr>
          <w:rFonts w:ascii="Verdana" w:eastAsia="Calibri" w:hAnsi="Verdana" w:cs="Arial"/>
          <w:color w:val="000000" w:themeColor="text1"/>
        </w:rPr>
        <w:t>exequibilidad</w:t>
      </w:r>
      <w:proofErr w:type="spellEnd"/>
      <w:r>
        <w:rPr>
          <w:rFonts w:ascii="Verdana" w:eastAsia="Calibri" w:hAnsi="Verdana" w:cs="Arial"/>
          <w:color w:val="000000" w:themeColor="text1"/>
        </w:rPr>
        <w:t xml:space="preserve"> del artículo 12 de la Ley 153 de 1887, la Corte Constitucional –en Sentencia C-037 de 2000, con ponencia del Magistrado </w:t>
      </w:r>
      <w:r w:rsidRPr="00103E76">
        <w:rPr>
          <w:rFonts w:ascii="Verdana" w:eastAsia="Calibri" w:hAnsi="Verdana" w:cs="Arial"/>
          <w:color w:val="000000" w:themeColor="text1"/>
        </w:rPr>
        <w:t>Vladimiro Naranjo Mesa</w:t>
      </w:r>
      <w:r>
        <w:rPr>
          <w:rFonts w:ascii="Verdana" w:eastAsia="Calibri" w:hAnsi="Verdana" w:cs="Arial"/>
          <w:color w:val="000000" w:themeColor="text1"/>
        </w:rPr>
        <w:t xml:space="preserve">– descartó la existencia de una </w:t>
      </w:r>
      <w:r w:rsidRPr="00103E76">
        <w:rPr>
          <w:rFonts w:ascii="Verdana" w:eastAsia="Calibri" w:hAnsi="Verdana" w:cs="Arial"/>
          <w:i/>
          <w:iCs/>
          <w:color w:val="000000" w:themeColor="text1"/>
        </w:rPr>
        <w:t>excepción de ilegalidad</w:t>
      </w:r>
      <w:r>
        <w:rPr>
          <w:rFonts w:ascii="Verdana" w:eastAsia="Calibri" w:hAnsi="Verdana" w:cs="Arial"/>
          <w:color w:val="000000" w:themeColor="text1"/>
        </w:rPr>
        <w:t xml:space="preserve"> en el ordenamiento colombiano, pues “[…] </w:t>
      </w:r>
      <w:r w:rsidRPr="00103E76">
        <w:rPr>
          <w:rFonts w:ascii="Verdana" w:eastAsia="Calibri" w:hAnsi="Verdana" w:cs="Arial"/>
          <w:color w:val="000000" w:themeColor="text1"/>
        </w:rPr>
        <w:t>dejar al criterio de cualquier autoridad, o aun al de los particulares, la observancia de las disposiciones de las autoridades contenidas en los actos administrativos, propiciaría la anarquía en perjuicio de la efectividad de los derechos de los ciudadanos y dificultaría en alto grado la posibilidad de alcanzar el bien común</w:t>
      </w:r>
      <w:r>
        <w:rPr>
          <w:rFonts w:ascii="Verdana" w:eastAsia="Calibri" w:hAnsi="Verdana" w:cs="Arial"/>
          <w:color w:val="000000" w:themeColor="text1"/>
        </w:rPr>
        <w:t xml:space="preserve"> […]”</w:t>
      </w:r>
      <w:r w:rsidRPr="00103E76">
        <w:rPr>
          <w:rFonts w:ascii="Verdana" w:eastAsia="Calibri" w:hAnsi="Verdana" w:cs="Arial"/>
          <w:color w:val="000000" w:themeColor="text1"/>
        </w:rPr>
        <w:t>.</w:t>
      </w:r>
      <w:r>
        <w:rPr>
          <w:rFonts w:ascii="Verdana" w:eastAsia="Calibri" w:hAnsi="Verdana" w:cs="Arial"/>
          <w:color w:val="000000" w:themeColor="text1"/>
        </w:rPr>
        <w:t xml:space="preserve"> Por ello, como explica la doctrina, la </w:t>
      </w:r>
      <w:r w:rsidRPr="00DD2F4D">
        <w:rPr>
          <w:rFonts w:ascii="Verdana" w:eastAsia="Calibri" w:hAnsi="Verdana" w:cs="Arial"/>
          <w:i/>
          <w:iCs/>
          <w:color w:val="000000" w:themeColor="text1"/>
        </w:rPr>
        <w:t>presunción de legalidad</w:t>
      </w:r>
      <w:r>
        <w:rPr>
          <w:rFonts w:ascii="Verdana" w:eastAsia="Calibri" w:hAnsi="Verdana" w:cs="Arial"/>
          <w:color w:val="000000" w:themeColor="text1"/>
        </w:rPr>
        <w:t xml:space="preserve"> se funda en la imposibilidad de que los particulares administren justicia por mano propia para inaplicar actos que estimen contrarios al ordenamiento, lo que obliga al ejercicio del derecho de acción para obtener la declaración de nulidad:</w:t>
      </w:r>
      <w:r w:rsidRPr="00103E76">
        <w:rPr>
          <w:rFonts w:ascii="Verdana" w:eastAsia="Calibri" w:hAnsi="Verdana" w:cs="Arial"/>
          <w:color w:val="000000" w:themeColor="text1"/>
        </w:rPr>
        <w:t xml:space="preserve"> </w:t>
      </w:r>
    </w:p>
    <w:p w14:paraId="6056FC7F" w14:textId="77777777" w:rsidR="009A1D0D" w:rsidRDefault="009A1D0D" w:rsidP="009A1D0D">
      <w:pPr>
        <w:spacing w:after="0" w:line="276" w:lineRule="auto"/>
        <w:ind w:firstLine="708"/>
        <w:jc w:val="both"/>
        <w:rPr>
          <w:rFonts w:ascii="Verdana" w:eastAsia="Calibri" w:hAnsi="Verdana" w:cs="Arial"/>
          <w:color w:val="000000" w:themeColor="text1"/>
        </w:rPr>
      </w:pPr>
    </w:p>
    <w:p w14:paraId="0421867B" w14:textId="77777777" w:rsidR="009A1D0D" w:rsidRPr="00671BA1" w:rsidRDefault="009A1D0D" w:rsidP="009A1D0D">
      <w:pPr>
        <w:spacing w:after="120" w:line="240" w:lineRule="auto"/>
        <w:ind w:left="709" w:right="709"/>
        <w:jc w:val="both"/>
        <w:rPr>
          <w:rFonts w:ascii="Verdana" w:eastAsia="Batang" w:hAnsi="Verdana" w:cs="Arial"/>
          <w:sz w:val="20"/>
          <w:szCs w:val="20"/>
        </w:rPr>
      </w:pPr>
      <w:r w:rsidRPr="00671BA1">
        <w:rPr>
          <w:rFonts w:ascii="Verdana" w:eastAsia="Batang" w:hAnsi="Verdana" w:cs="Arial"/>
          <w:sz w:val="20"/>
          <w:szCs w:val="20"/>
        </w:rPr>
        <w:t xml:space="preserve">“De la presunción legal relativa de legitimidad del acto administrativo deriva la posibilidad de que produzca las consecuencias jurídicas que le son propias, a pesar de que tenga vicios […]. Las consecuencias, los efectos que surgen de este acto, son legítimos. Para llegar a esta solución, se ha considerado que el acto inválido está dotado de una validez provisional, que puede transformarse en definitiva si el acto no se invalidara. La presunción se refiere, sea al acto legítimo, sea al viciado y, dado su carácter relativo, no implica una modificación en la situación del mismo. </w:t>
      </w:r>
    </w:p>
    <w:p w14:paraId="1530D735" w14:textId="77777777" w:rsidR="009A1D0D" w:rsidRDefault="009A1D0D" w:rsidP="009A1D0D">
      <w:pPr>
        <w:spacing w:after="0" w:line="240" w:lineRule="auto"/>
        <w:ind w:left="709" w:right="709"/>
        <w:jc w:val="both"/>
        <w:rPr>
          <w:rFonts w:ascii="Verdana" w:eastAsia="Batang" w:hAnsi="Verdana" w:cs="Arial"/>
        </w:rPr>
      </w:pPr>
      <w:r w:rsidRPr="00671BA1">
        <w:rPr>
          <w:rFonts w:ascii="Verdana" w:eastAsia="Batang" w:hAnsi="Verdana" w:cs="Arial"/>
          <w:sz w:val="20"/>
          <w:szCs w:val="20"/>
        </w:rPr>
        <w:t>El administrado no puede sustituirse a la autoridad competente, a los efectos de establecer la legitimidad del acto; por ello el acto legítimo y el acto inválido no se diferencian, ya que ambos lo vinculan igualmente. De allí, entonces, que la situación jurídica de los actos que se presumen legítimos, hasta que no se demuestre lo contrario, es común a los actos legítimos y a los inválidos. Por ello, pues, las consecuencias jurídicas de los actos legítimos e inválidos se presumen legítimas hasta tanto no se demuestre el vicio eventual que pudieran contener […]”</w:t>
      </w:r>
      <w:r w:rsidRPr="00671BA1">
        <w:rPr>
          <w:rStyle w:val="Refdenotaalpie"/>
          <w:rFonts w:ascii="Verdana" w:eastAsia="Batang" w:hAnsi="Verdana" w:cs="Arial"/>
          <w:sz w:val="20"/>
          <w:szCs w:val="20"/>
        </w:rPr>
        <w:footnoteReference w:id="5"/>
      </w:r>
      <w:r w:rsidRPr="00671BA1">
        <w:rPr>
          <w:rFonts w:ascii="Verdana" w:eastAsia="Batang" w:hAnsi="Verdana" w:cs="Arial"/>
          <w:sz w:val="20"/>
          <w:szCs w:val="20"/>
        </w:rPr>
        <w:t>.</w:t>
      </w:r>
    </w:p>
    <w:p w14:paraId="0DBCBA6A" w14:textId="77777777" w:rsidR="009A1D0D" w:rsidRDefault="009A1D0D" w:rsidP="009A1D0D">
      <w:pPr>
        <w:spacing w:after="0" w:line="276" w:lineRule="auto"/>
        <w:jc w:val="both"/>
        <w:rPr>
          <w:rFonts w:ascii="Verdana" w:eastAsia="Batang" w:hAnsi="Verdana" w:cs="Arial"/>
        </w:rPr>
      </w:pPr>
    </w:p>
    <w:p w14:paraId="1C4823CA" w14:textId="77777777" w:rsidR="009A1D0D" w:rsidRDefault="009A1D0D" w:rsidP="009A1D0D">
      <w:pPr>
        <w:tabs>
          <w:tab w:val="left" w:pos="709"/>
        </w:tabs>
        <w:spacing w:after="180" w:line="276" w:lineRule="auto"/>
        <w:jc w:val="both"/>
        <w:rPr>
          <w:rFonts w:ascii="Verdana" w:eastAsia="Calibri" w:hAnsi="Verdana" w:cs="Arial"/>
          <w:color w:val="000000" w:themeColor="text1"/>
        </w:rPr>
      </w:pPr>
      <w:r>
        <w:rPr>
          <w:rFonts w:ascii="Verdana" w:eastAsia="Batang" w:hAnsi="Verdana" w:cs="Arial"/>
        </w:rPr>
        <w:tab/>
        <w:t xml:space="preserve">En este marco, </w:t>
      </w:r>
      <w:r>
        <w:rPr>
          <w:rFonts w:ascii="Verdana" w:eastAsia="Calibri" w:hAnsi="Verdana" w:cs="Arial"/>
          <w:color w:val="000000" w:themeColor="text1"/>
        </w:rPr>
        <w:t>el acto administrativo que crea los cinco (5) municipios citados en la petición</w:t>
      </w:r>
      <w:r w:rsidRPr="00CA0670">
        <w:rPr>
          <w:rFonts w:ascii="Verdana" w:eastAsia="Calibri" w:hAnsi="Verdana" w:cs="Arial"/>
          <w:color w:val="000000" w:themeColor="text1"/>
        </w:rPr>
        <w:t xml:space="preserve"> goza de una presunción de legalidad, destacándose su ejecutoriedad</w:t>
      </w:r>
      <w:r>
        <w:rPr>
          <w:rFonts w:ascii="Verdana" w:eastAsia="Calibri" w:hAnsi="Verdana" w:cs="Arial"/>
          <w:color w:val="000000" w:themeColor="text1"/>
        </w:rPr>
        <w:t xml:space="preserve"> y obligatoriedad</w:t>
      </w:r>
      <w:r w:rsidRPr="00CA0670">
        <w:rPr>
          <w:rFonts w:ascii="Verdana" w:eastAsia="Calibri" w:hAnsi="Verdana" w:cs="Arial"/>
          <w:color w:val="000000" w:themeColor="text1"/>
        </w:rPr>
        <w:t xml:space="preserve"> inmediata</w:t>
      </w:r>
      <w:r>
        <w:rPr>
          <w:rFonts w:ascii="Verdana" w:eastAsia="Calibri" w:hAnsi="Verdana" w:cs="Arial"/>
          <w:color w:val="000000" w:themeColor="text1"/>
        </w:rPr>
        <w:t>: dicha</w:t>
      </w:r>
      <w:r w:rsidRPr="00CA0670">
        <w:rPr>
          <w:rFonts w:ascii="Verdana" w:eastAsia="Calibri" w:hAnsi="Verdana" w:cs="Arial"/>
          <w:color w:val="000000" w:themeColor="text1"/>
        </w:rPr>
        <w:t xml:space="preserve"> presunción se mantiene hasta que una sentencia judicial declare </w:t>
      </w:r>
      <w:r>
        <w:rPr>
          <w:rFonts w:ascii="Verdana" w:eastAsia="Calibri" w:hAnsi="Verdana" w:cs="Arial"/>
          <w:color w:val="000000" w:themeColor="text1"/>
        </w:rPr>
        <w:t>su</w:t>
      </w:r>
      <w:r w:rsidRPr="00CA0670">
        <w:rPr>
          <w:rFonts w:ascii="Verdana" w:eastAsia="Calibri" w:hAnsi="Verdana" w:cs="Arial"/>
          <w:color w:val="000000" w:themeColor="text1"/>
        </w:rPr>
        <w:t xml:space="preserve"> nulidad, momento en el cual </w:t>
      </w:r>
      <w:r>
        <w:rPr>
          <w:rFonts w:ascii="Verdana" w:eastAsia="Calibri" w:hAnsi="Verdana" w:cs="Arial"/>
          <w:color w:val="000000" w:themeColor="text1"/>
        </w:rPr>
        <w:t>cesan sus</w:t>
      </w:r>
      <w:r w:rsidRPr="00CA0670">
        <w:rPr>
          <w:rFonts w:ascii="Verdana" w:eastAsia="Calibri" w:hAnsi="Verdana" w:cs="Arial"/>
          <w:color w:val="000000" w:themeColor="text1"/>
        </w:rPr>
        <w:t xml:space="preserve"> efectos</w:t>
      </w:r>
      <w:r>
        <w:rPr>
          <w:rStyle w:val="Refdenotaalpie"/>
          <w:rFonts w:ascii="Verdana" w:eastAsia="Calibri" w:hAnsi="Verdana" w:cs="Arial"/>
          <w:color w:val="000000" w:themeColor="text1"/>
        </w:rPr>
        <w:footnoteReference w:id="6"/>
      </w:r>
      <w:r w:rsidRPr="00CA0670">
        <w:rPr>
          <w:rFonts w:ascii="Verdana" w:eastAsia="Calibri" w:hAnsi="Verdana" w:cs="Arial"/>
          <w:color w:val="000000" w:themeColor="text1"/>
        </w:rPr>
        <w:t>.</w:t>
      </w:r>
      <w:r>
        <w:rPr>
          <w:rFonts w:ascii="Verdana" w:eastAsia="Calibri" w:hAnsi="Verdana" w:cs="Arial"/>
          <w:color w:val="000000" w:themeColor="text1"/>
        </w:rPr>
        <w:t xml:space="preserve"> Salvo que el proceso sea de única instancia, las sentencias son </w:t>
      </w:r>
      <w:r>
        <w:rPr>
          <w:rFonts w:ascii="Verdana" w:eastAsia="Calibri" w:hAnsi="Verdana" w:cs="Arial"/>
          <w:color w:val="000000" w:themeColor="text1"/>
        </w:rPr>
        <w:lastRenderedPageBreak/>
        <w:t xml:space="preserve">susceptibles de apelación conforme al artículo 243 de la Ley 1437 de 2011. De acuerdo con el parágrafo 1˚ </w:t>
      </w:r>
      <w:proofErr w:type="spellStart"/>
      <w:r w:rsidRPr="00905FC1">
        <w:rPr>
          <w:rFonts w:ascii="Verdana" w:eastAsia="Calibri" w:hAnsi="Verdana" w:cs="Arial"/>
          <w:i/>
          <w:iCs/>
          <w:color w:val="000000" w:themeColor="text1"/>
        </w:rPr>
        <w:t>ibídem</w:t>
      </w:r>
      <w:proofErr w:type="spellEnd"/>
      <w:r>
        <w:rPr>
          <w:rFonts w:ascii="Verdana" w:eastAsia="Calibri" w:hAnsi="Verdana" w:cs="Arial"/>
          <w:color w:val="000000" w:themeColor="text1"/>
        </w:rPr>
        <w:t xml:space="preserve">, dicho recurso se concede con efecto suspensivo; luego, por remisión del artículo 306 del CPACA a la Ley 1564 de 2012, el numeral 323.1 del Código General del Proceso dispone que “[…] </w:t>
      </w:r>
      <w:r w:rsidRPr="00B16695">
        <w:rPr>
          <w:rFonts w:ascii="Verdana" w:eastAsia="Calibri" w:hAnsi="Verdana" w:cs="Arial"/>
          <w:color w:val="000000" w:themeColor="text1"/>
        </w:rPr>
        <w:t>la competencia del juez de primera instancia se suspenderá desde la ejecutoria del auto que la concede hasta que se notifique el de obedecimiento a lo resuelto por el superior</w:t>
      </w:r>
      <w:r>
        <w:rPr>
          <w:rFonts w:ascii="Verdana" w:eastAsia="Calibri" w:hAnsi="Verdana" w:cs="Arial"/>
          <w:color w:val="000000" w:themeColor="text1"/>
        </w:rPr>
        <w:t xml:space="preserve"> […]”. </w:t>
      </w:r>
    </w:p>
    <w:p w14:paraId="1691C777" w14:textId="77777777" w:rsidR="009A1D0D" w:rsidRDefault="009A1D0D" w:rsidP="009A1D0D">
      <w:pPr>
        <w:tabs>
          <w:tab w:val="left" w:pos="709"/>
        </w:tabs>
        <w:spacing w:after="180" w:line="276" w:lineRule="auto"/>
        <w:jc w:val="both"/>
        <w:rPr>
          <w:rFonts w:ascii="Verdana" w:hAnsi="Verdana" w:cs="Arial"/>
          <w:color w:val="000000" w:themeColor="text1"/>
          <w:lang w:val="es-ES"/>
        </w:rPr>
      </w:pPr>
      <w:r>
        <w:rPr>
          <w:rFonts w:ascii="Verdana" w:eastAsia="Calibri" w:hAnsi="Verdana" w:cs="Arial"/>
          <w:color w:val="000000" w:themeColor="text1"/>
        </w:rPr>
        <w:tab/>
        <w:t xml:space="preserve">A menos que la sentencia de primera instancia quede ejecutoriada, la concesión del recurso de alzada oportunamente interpuesto suspende los efectos de la nulidad eventualmente declarada por el </w:t>
      </w:r>
      <w:r w:rsidRPr="00D53951">
        <w:rPr>
          <w:rFonts w:ascii="Verdana" w:eastAsia="Calibri" w:hAnsi="Verdana" w:cs="Arial"/>
          <w:i/>
          <w:iCs/>
          <w:color w:val="000000" w:themeColor="text1"/>
        </w:rPr>
        <w:t>a</w:t>
      </w:r>
      <w:r>
        <w:rPr>
          <w:rFonts w:ascii="Verdana" w:eastAsia="Calibri" w:hAnsi="Verdana" w:cs="Arial"/>
          <w:i/>
          <w:iCs/>
          <w:color w:val="000000" w:themeColor="text1"/>
        </w:rPr>
        <w:t xml:space="preserve"> </w:t>
      </w:r>
      <w:r w:rsidRPr="00D53951">
        <w:rPr>
          <w:rFonts w:ascii="Verdana" w:eastAsia="Calibri" w:hAnsi="Verdana" w:cs="Arial"/>
          <w:i/>
          <w:iCs/>
          <w:color w:val="000000" w:themeColor="text1"/>
        </w:rPr>
        <w:t>quo</w:t>
      </w:r>
      <w:r>
        <w:rPr>
          <w:rFonts w:ascii="Verdana" w:eastAsia="Calibri" w:hAnsi="Verdana" w:cs="Arial"/>
          <w:color w:val="000000" w:themeColor="text1"/>
        </w:rPr>
        <w:t xml:space="preserve"> hasta que se decida el </w:t>
      </w:r>
      <w:r w:rsidRPr="00D53951">
        <w:rPr>
          <w:rFonts w:ascii="Verdana" w:eastAsia="Calibri" w:hAnsi="Verdana" w:cs="Arial"/>
          <w:i/>
          <w:iCs/>
          <w:color w:val="000000" w:themeColor="text1"/>
        </w:rPr>
        <w:t>ad</w:t>
      </w:r>
      <w:r>
        <w:rPr>
          <w:rFonts w:ascii="Verdana" w:eastAsia="Calibri" w:hAnsi="Verdana" w:cs="Arial"/>
          <w:i/>
          <w:iCs/>
          <w:color w:val="000000" w:themeColor="text1"/>
        </w:rPr>
        <w:t xml:space="preserve"> </w:t>
      </w:r>
      <w:proofErr w:type="spellStart"/>
      <w:r w:rsidRPr="00D53951">
        <w:rPr>
          <w:rFonts w:ascii="Verdana" w:eastAsia="Calibri" w:hAnsi="Verdana" w:cs="Arial"/>
          <w:i/>
          <w:iCs/>
          <w:color w:val="000000" w:themeColor="text1"/>
        </w:rPr>
        <w:t>quem</w:t>
      </w:r>
      <w:proofErr w:type="spellEnd"/>
      <w:r>
        <w:rPr>
          <w:rFonts w:ascii="Verdana" w:eastAsia="Calibri" w:hAnsi="Verdana" w:cs="Arial"/>
          <w:color w:val="000000" w:themeColor="text1"/>
        </w:rPr>
        <w:t xml:space="preserve">. Si este último confirma la decisión, los efectos de la nulidad comienzan con la ejecutoria de la sentencia de segunda instancia. De esta manera, en caso de que prospere </w:t>
      </w:r>
      <w:r>
        <w:rPr>
          <w:rFonts w:ascii="Verdana" w:hAnsi="Verdana" w:cs="Arial"/>
          <w:lang w:val="es-ES"/>
        </w:rPr>
        <w:t xml:space="preserve">la solicitud de “[…] </w:t>
      </w:r>
      <w:r w:rsidRPr="00FF6E61">
        <w:rPr>
          <w:rFonts w:ascii="Verdana" w:hAnsi="Verdana" w:cs="Arial"/>
          <w:lang w:val="es-ES"/>
        </w:rPr>
        <w:t>nulidad del Decreto expedido por el Gobernador de Santander, decreto de fecha 23 de diciembre de 1887, publicado en la Gaceta de Santander el 30 de diciembre de 1887</w:t>
      </w:r>
      <w:r>
        <w:rPr>
          <w:rFonts w:ascii="Verdana" w:hAnsi="Verdana" w:cs="Arial"/>
          <w:lang w:val="es-ES"/>
        </w:rPr>
        <w:t>”, l</w:t>
      </w:r>
      <w:r w:rsidRPr="00593A5F">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color w:val="000000" w:themeColor="text1"/>
          <w:lang w:val="es-ES" w:eastAsia="es-ES"/>
        </w:rPr>
        <w:t xml:space="preserve"> –a través de la </w:t>
      </w:r>
      <w:r w:rsidRPr="006F28F1">
        <w:rPr>
          <w:rFonts w:ascii="Verdana" w:eastAsia="Calibri" w:hAnsi="Verdana" w:cs="Arial"/>
          <w:color w:val="000000" w:themeColor="text1"/>
          <w:lang w:val="es-ES" w:eastAsia="es-ES"/>
        </w:rPr>
        <w:t>Subdirección de Información y Desarrollo Tecnológico</w:t>
      </w:r>
      <w:r>
        <w:rPr>
          <w:rFonts w:ascii="Verdana" w:eastAsia="Calibri" w:hAnsi="Verdana" w:cs="Arial"/>
          <w:color w:val="000000" w:themeColor="text1"/>
          <w:lang w:val="es-ES" w:eastAsia="es-ES"/>
        </w:rPr>
        <w:t xml:space="preserve">– realizará los ajustes al SECOP II, pues tiene la competencia para desarrollar, administrar y gestionar la plataforma conforme a los artículos 3.8 y 13.6 del Decreto Ley 4170 de 2011.  </w:t>
      </w:r>
    </w:p>
    <w:p w14:paraId="719DD3DA" w14:textId="77777777" w:rsidR="009A1D0D" w:rsidRPr="00A47393" w:rsidRDefault="009A1D0D" w:rsidP="009A1D0D">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D5582B" w14:textId="77777777" w:rsidR="009A1D0D" w:rsidRPr="00185EE9" w:rsidRDefault="009A1D0D" w:rsidP="009A1D0D">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A47393">
        <w:rPr>
          <w:rFonts w:ascii="Verdana" w:eastAsia="Calibri"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69A43AC4" w14:textId="77777777" w:rsidR="009A1D0D" w:rsidRPr="00182C89" w:rsidRDefault="009A1D0D" w:rsidP="009A1D0D">
      <w:pPr>
        <w:tabs>
          <w:tab w:val="left" w:pos="709"/>
        </w:tabs>
        <w:spacing w:after="0" w:line="276" w:lineRule="auto"/>
        <w:jc w:val="both"/>
        <w:rPr>
          <w:rFonts w:ascii="Verdana" w:eastAsia="Calibri" w:hAnsi="Verdana" w:cs="Arial"/>
          <w:color w:val="000000" w:themeColor="text1"/>
        </w:rPr>
      </w:pPr>
    </w:p>
    <w:p w14:paraId="5C6F668A" w14:textId="77777777" w:rsidR="009A1D0D" w:rsidRPr="00593A5F" w:rsidRDefault="009A1D0D" w:rsidP="009A1D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8BDA735" w14:textId="77777777" w:rsidR="009A1D0D" w:rsidRPr="00593A5F" w:rsidRDefault="009A1D0D" w:rsidP="009A1D0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A1D0D" w:rsidRPr="002407CE" w14:paraId="57D5FA4F" w14:textId="77777777" w:rsidTr="00647FCF">
        <w:trPr>
          <w:trHeight w:val="56"/>
          <w:jc w:val="center"/>
        </w:trPr>
        <w:tc>
          <w:tcPr>
            <w:tcW w:w="8647" w:type="dxa"/>
          </w:tcPr>
          <w:p w14:paraId="5EC46562"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y 352.</w:t>
            </w:r>
            <w:r w:rsidRPr="00B87E7A">
              <w:rPr>
                <w:rFonts w:ascii="Verdana" w:hAnsi="Verdana" w:cs="Arial"/>
              </w:rPr>
              <w:t xml:space="preserve"> </w:t>
            </w:r>
          </w:p>
          <w:p w14:paraId="2F72453B"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153 de 1887, artículo 12.</w:t>
            </w:r>
          </w:p>
          <w:p w14:paraId="4DD6C019"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y 77.</w:t>
            </w:r>
          </w:p>
          <w:p w14:paraId="42946CDA"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3.</w:t>
            </w:r>
          </w:p>
          <w:p w14:paraId="5320C501"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2, 88, 243 y 306.</w:t>
            </w:r>
          </w:p>
          <w:p w14:paraId="2B32A117"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1564 de 2012, artículo 323. </w:t>
            </w:r>
          </w:p>
          <w:p w14:paraId="505AAE25"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5, 6 y 11.</w:t>
            </w:r>
          </w:p>
          <w:p w14:paraId="41D7A386"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111 de 1996, artículo 110.</w:t>
            </w:r>
          </w:p>
          <w:p w14:paraId="08A91C9B" w14:textId="77777777" w:rsidR="009A1D0D" w:rsidRDefault="009A1D0D" w:rsidP="00647F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4170 de 2011, artículos 3 y 13.</w:t>
            </w:r>
          </w:p>
          <w:p w14:paraId="5ABB2060" w14:textId="77777777" w:rsidR="009A1D0D" w:rsidRPr="00B87E7A" w:rsidRDefault="009A1D0D" w:rsidP="00647FC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F16D2E">
              <w:rPr>
                <w:rFonts w:ascii="Verdana" w:eastAsia="Arial" w:hAnsi="Verdana" w:cs="Arial"/>
              </w:rPr>
              <w:t>2.2.1.1.1.3.1</w:t>
            </w:r>
            <w:r>
              <w:rPr>
                <w:rFonts w:ascii="Verdana" w:eastAsia="Arial" w:hAnsi="Verdana" w:cs="Arial"/>
              </w:rPr>
              <w:t xml:space="preserve"> y</w:t>
            </w:r>
            <w:r>
              <w:rPr>
                <w:rFonts w:ascii="Verdana" w:hAnsi="Verdana" w:cs="Arial"/>
              </w:rPr>
              <w:t xml:space="preserve"> </w:t>
            </w:r>
            <w:r w:rsidRPr="00F16D2E">
              <w:rPr>
                <w:rFonts w:ascii="Verdana" w:hAnsi="Verdana" w:cs="Arial"/>
              </w:rPr>
              <w:t>2.2.1.1.1.7.1</w:t>
            </w:r>
            <w:r>
              <w:rPr>
                <w:rFonts w:ascii="Verdana" w:hAnsi="Verdana" w:cs="Arial"/>
              </w:rPr>
              <w:t xml:space="preserve">. </w:t>
            </w:r>
          </w:p>
        </w:tc>
      </w:tr>
    </w:tbl>
    <w:p w14:paraId="46F09712" w14:textId="77777777" w:rsidR="009A1D0D" w:rsidRPr="002407CE" w:rsidRDefault="009A1D0D" w:rsidP="009A1D0D">
      <w:pPr>
        <w:widowControl w:val="0"/>
        <w:autoSpaceDE w:val="0"/>
        <w:autoSpaceDN w:val="0"/>
        <w:spacing w:after="0" w:line="276" w:lineRule="auto"/>
        <w:jc w:val="both"/>
        <w:rPr>
          <w:rFonts w:ascii="Verdana" w:hAnsi="Verdana" w:cs="Arial"/>
        </w:rPr>
      </w:pPr>
    </w:p>
    <w:p w14:paraId="16E0565F" w14:textId="77777777" w:rsidR="009A1D0D" w:rsidRPr="00593A5F" w:rsidRDefault="009A1D0D" w:rsidP="009A1D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75E4345" w14:textId="77777777" w:rsidR="009A1D0D" w:rsidRPr="00593A5F" w:rsidRDefault="009A1D0D" w:rsidP="009A1D0D">
      <w:pPr>
        <w:widowControl w:val="0"/>
        <w:autoSpaceDE w:val="0"/>
        <w:autoSpaceDN w:val="0"/>
        <w:spacing w:after="0" w:line="276" w:lineRule="auto"/>
        <w:jc w:val="both"/>
        <w:rPr>
          <w:rFonts w:ascii="Verdana" w:hAnsi="Verdana" w:cs="Arial"/>
        </w:rPr>
      </w:pPr>
    </w:p>
    <w:p w14:paraId="36476FDB" w14:textId="77777777" w:rsidR="009A1D0D" w:rsidRPr="00ED0098" w:rsidRDefault="009A1D0D" w:rsidP="009A1D0D">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Pr>
          <w:rStyle w:val="normaltextrun"/>
          <w:rFonts w:ascii="Verdana" w:hAnsi="Verdana" w:cs="Arial"/>
          <w:shd w:val="clear" w:color="auto" w:fill="FFFFFF"/>
        </w:rPr>
        <w:t xml:space="preserve">sobre la publicidad de la información contractual </w:t>
      </w:r>
      <w:r w:rsidRPr="00A61871">
        <w:rPr>
          <w:rStyle w:val="normaltextrun"/>
          <w:rFonts w:ascii="Verdana" w:hAnsi="Verdana" w:cs="Arial"/>
          <w:shd w:val="clear" w:color="auto" w:fill="FFFFFF"/>
        </w:rPr>
        <w:t xml:space="preserve">en los </w:t>
      </w:r>
      <w:r>
        <w:rPr>
          <w:rStyle w:val="normaltextrun"/>
          <w:rFonts w:ascii="Verdana" w:hAnsi="Verdana" w:cs="Arial"/>
          <w:shd w:val="clear" w:color="auto" w:fill="FFFFFF"/>
        </w:rPr>
        <w:t>C</w:t>
      </w:r>
      <w:r w:rsidRPr="00A61871">
        <w:rPr>
          <w:rStyle w:val="normaltextrun"/>
          <w:rFonts w:ascii="Verdana" w:hAnsi="Verdana" w:cs="Arial"/>
          <w:shd w:val="clear" w:color="auto" w:fill="FFFFFF"/>
        </w:rPr>
        <w:t>onceptos CU-367 del 23 de julio de 2020,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C-872 del 20 de diciembre de 2024, C-185 del 24 de marzo de 2025, C-292 del 21 de abril de 2025</w:t>
      </w:r>
      <w:r>
        <w:rPr>
          <w:rStyle w:val="normaltextrun"/>
          <w:rFonts w:ascii="Verdana" w:hAnsi="Verdana" w:cs="Arial"/>
          <w:shd w:val="clear" w:color="auto" w:fill="FFFFFF"/>
        </w:rPr>
        <w:t xml:space="preserve"> y</w:t>
      </w:r>
      <w:r w:rsidRPr="00A61871">
        <w:rPr>
          <w:rStyle w:val="normaltextrun"/>
          <w:rFonts w:ascii="Verdana" w:hAnsi="Verdana" w:cs="Arial"/>
          <w:shd w:val="clear" w:color="auto" w:fill="FFFFFF"/>
        </w:rPr>
        <w:t xml:space="preserve"> C-487 del 30 de mayo de 2025</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D9AEA77" w14:textId="77777777" w:rsidR="009A1D0D" w:rsidRPr="00096788" w:rsidRDefault="009A1D0D" w:rsidP="009A1D0D">
      <w:pPr>
        <w:widowControl w:val="0"/>
        <w:autoSpaceDE w:val="0"/>
        <w:autoSpaceDN w:val="0"/>
        <w:spacing w:after="0" w:line="276" w:lineRule="auto"/>
        <w:jc w:val="both"/>
        <w:rPr>
          <w:rFonts w:ascii="Verdana" w:hAnsi="Verdana" w:cs="Arial"/>
          <w:color w:val="000000" w:themeColor="text1"/>
          <w:shd w:val="clear" w:color="auto" w:fill="FFFFFF"/>
        </w:rPr>
      </w:pPr>
    </w:p>
    <w:p w14:paraId="6B21C320" w14:textId="77777777" w:rsidR="009A1D0D" w:rsidRDefault="009A1D0D" w:rsidP="009A1D0D">
      <w:pPr>
        <w:spacing w:after="0"/>
        <w:jc w:val="both"/>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947920C" w14:textId="77777777" w:rsidR="009A1D0D" w:rsidRPr="009A385A" w:rsidRDefault="009A1D0D" w:rsidP="009A1D0D">
      <w:pPr>
        <w:spacing w:after="0"/>
        <w:jc w:val="both"/>
        <w:rPr>
          <w:rFonts w:ascii="Verdana" w:hAnsi="Verdana"/>
        </w:rPr>
      </w:pPr>
    </w:p>
    <w:p w14:paraId="19BA8DBC" w14:textId="77777777" w:rsidR="009A1D0D" w:rsidRDefault="009A1D0D" w:rsidP="009A1D0D">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24DC21B1" w14:textId="77777777" w:rsidR="009A1D0D" w:rsidRDefault="009A1D0D" w:rsidP="009A1D0D">
      <w:pPr>
        <w:spacing w:after="0"/>
        <w:jc w:val="both"/>
        <w:rPr>
          <w:rFonts w:ascii="Verdana" w:hAnsi="Verdana"/>
        </w:rPr>
      </w:pPr>
    </w:p>
    <w:p w14:paraId="2C054637" w14:textId="77777777" w:rsidR="009A1D0D" w:rsidRPr="008E1CD7" w:rsidRDefault="009A1D0D" w:rsidP="009A1D0D">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1636752" w14:textId="77777777" w:rsidR="009A1D0D" w:rsidRDefault="009A1D0D" w:rsidP="009A1D0D">
      <w:pPr>
        <w:shd w:val="clear" w:color="auto" w:fill="FFFFFF"/>
        <w:spacing w:after="0" w:line="276" w:lineRule="auto"/>
        <w:jc w:val="both"/>
        <w:rPr>
          <w:rFonts w:ascii="Verdana" w:hAnsi="Verdana"/>
          <w:color w:val="000000"/>
          <w:u w:val="single"/>
        </w:rPr>
      </w:pPr>
    </w:p>
    <w:p w14:paraId="3D7FAF99" w14:textId="77777777" w:rsidR="009A1D0D" w:rsidRPr="00116940" w:rsidRDefault="009A1D0D" w:rsidP="009A1D0D">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6804F41" w14:textId="77777777" w:rsidR="009A1D0D" w:rsidRPr="00116940" w:rsidRDefault="009A1D0D" w:rsidP="009A1D0D">
      <w:pPr>
        <w:spacing w:after="0"/>
        <w:jc w:val="both"/>
        <w:rPr>
          <w:rFonts w:ascii="Verdana" w:hAnsi="Verdana"/>
        </w:rPr>
      </w:pPr>
    </w:p>
    <w:p w14:paraId="636D662D" w14:textId="77777777" w:rsidR="009A1D0D" w:rsidRPr="00116940" w:rsidRDefault="009A1D0D" w:rsidP="009A1D0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6F5A5F5" w14:textId="77777777" w:rsidR="009A1D0D" w:rsidRPr="00116940" w:rsidRDefault="009A1D0D" w:rsidP="009A1D0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8ECB17F" w14:textId="77777777" w:rsidR="009A1D0D" w:rsidRPr="00116940" w:rsidRDefault="009A1D0D" w:rsidP="009A1D0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B623AF7" w14:textId="77777777" w:rsidR="009A1D0D" w:rsidRPr="00116940" w:rsidRDefault="009A1D0D" w:rsidP="009A1D0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27CE9CD" w14:textId="77777777" w:rsidR="009A1D0D" w:rsidRPr="00116940" w:rsidRDefault="009A1D0D" w:rsidP="009A1D0D">
      <w:pPr>
        <w:spacing w:after="0" w:line="240" w:lineRule="auto"/>
        <w:ind w:left="720"/>
        <w:jc w:val="both"/>
        <w:rPr>
          <w:rFonts w:ascii="Verdana" w:hAnsi="Verdana"/>
        </w:rPr>
      </w:pPr>
    </w:p>
    <w:p w14:paraId="4D222FAB" w14:textId="77777777" w:rsidR="009A1D0D" w:rsidRPr="00116940" w:rsidRDefault="009A1D0D" w:rsidP="009A1D0D">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38B96ED" w14:textId="77777777" w:rsidR="009A1D0D" w:rsidRPr="00116940" w:rsidRDefault="009A1D0D" w:rsidP="009A1D0D">
      <w:pPr>
        <w:spacing w:after="0" w:line="240" w:lineRule="auto"/>
        <w:rPr>
          <w:rFonts w:ascii="Verdana" w:hAnsi="Verdana"/>
        </w:rPr>
      </w:pPr>
    </w:p>
    <w:p w14:paraId="0D29D9D8" w14:textId="77777777" w:rsidR="009A1D0D" w:rsidRPr="00116940" w:rsidRDefault="009A1D0D" w:rsidP="009A1D0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996DB7C" w14:textId="77777777" w:rsidR="009A1D0D" w:rsidRPr="00116940" w:rsidRDefault="009A1D0D" w:rsidP="009A1D0D">
      <w:pPr>
        <w:spacing w:after="0" w:line="240" w:lineRule="auto"/>
        <w:jc w:val="both"/>
        <w:rPr>
          <w:rFonts w:ascii="Verdana" w:hAnsi="Verdana"/>
        </w:rPr>
      </w:pPr>
    </w:p>
    <w:p w14:paraId="4B6ED75F" w14:textId="77777777" w:rsidR="009A1D0D" w:rsidRPr="00116940" w:rsidRDefault="009A1D0D" w:rsidP="009A1D0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649419B" w14:textId="77777777" w:rsidR="009A1D0D" w:rsidRPr="00116940" w:rsidRDefault="009A1D0D" w:rsidP="009A1D0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366DF4D" w14:textId="77777777" w:rsidR="009A1D0D" w:rsidRPr="00116940" w:rsidRDefault="009A1D0D" w:rsidP="009A1D0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C9180E3" w14:textId="77777777" w:rsidR="009A1D0D" w:rsidRPr="009C4035" w:rsidRDefault="009A1D0D" w:rsidP="009A1D0D">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50A5E4F" w14:textId="77777777" w:rsidR="009A1D0D" w:rsidRPr="00593A5F" w:rsidRDefault="009A1D0D" w:rsidP="009A1D0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9D0A801" w14:textId="77777777" w:rsidR="009A1D0D" w:rsidRPr="00593A5F" w:rsidRDefault="009A1D0D" w:rsidP="009A1D0D">
      <w:pPr>
        <w:widowControl w:val="0"/>
        <w:autoSpaceDE w:val="0"/>
        <w:autoSpaceDN w:val="0"/>
        <w:spacing w:after="0" w:line="276" w:lineRule="auto"/>
        <w:jc w:val="both"/>
        <w:rPr>
          <w:rFonts w:ascii="Verdana" w:hAnsi="Verdana" w:cs="Arial"/>
        </w:rPr>
      </w:pPr>
    </w:p>
    <w:p w14:paraId="54CA2E1D" w14:textId="77777777" w:rsidR="009A1D0D" w:rsidRPr="00593A5F" w:rsidRDefault="009A1D0D" w:rsidP="009A1D0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B580332" w14:textId="68AC9E6B" w:rsidR="009A1D0D" w:rsidRPr="00593A5F" w:rsidRDefault="008F7107" w:rsidP="009A1D0D">
      <w:pPr>
        <w:spacing w:line="276" w:lineRule="auto"/>
        <w:jc w:val="center"/>
        <w:rPr>
          <w:rFonts w:ascii="Verdana" w:hAnsi="Verdana" w:cs="Arial"/>
          <w:color w:val="000000"/>
          <w:lang w:val="es-ES_tradnl" w:eastAsia="es-CO"/>
        </w:rPr>
      </w:pPr>
      <w:r>
        <w:rPr>
          <w:noProof/>
        </w:rPr>
        <w:drawing>
          <wp:inline distT="0" distB="0" distL="0" distR="0" wp14:anchorId="41465C7E" wp14:editId="43571DA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1D0D" w:rsidRPr="00593A5F" w14:paraId="2284D32D" w14:textId="77777777" w:rsidTr="00647FCF">
        <w:trPr>
          <w:trHeight w:val="315"/>
        </w:trPr>
        <w:tc>
          <w:tcPr>
            <w:tcW w:w="893" w:type="dxa"/>
            <w:vAlign w:val="center"/>
            <w:hideMark/>
          </w:tcPr>
          <w:p w14:paraId="2A7F8E40" w14:textId="77777777" w:rsidR="009A1D0D" w:rsidRPr="003751C7" w:rsidRDefault="009A1D0D" w:rsidP="00647FC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80F51A" w14:textId="77777777" w:rsidR="009A1D0D" w:rsidRPr="00254A7A" w:rsidRDefault="009A1D0D" w:rsidP="00647FC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047EE11" w14:textId="77777777" w:rsidR="009A1D0D" w:rsidRPr="00254A7A" w:rsidRDefault="009A1D0D" w:rsidP="00647FC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A1D0D" w:rsidRPr="00593A5F" w14:paraId="17AE446D" w14:textId="77777777" w:rsidTr="00647FCF">
        <w:trPr>
          <w:trHeight w:val="330"/>
        </w:trPr>
        <w:tc>
          <w:tcPr>
            <w:tcW w:w="893" w:type="dxa"/>
            <w:vAlign w:val="center"/>
            <w:hideMark/>
          </w:tcPr>
          <w:p w14:paraId="5CA62662" w14:textId="77777777" w:rsidR="009A1D0D" w:rsidRPr="003751C7" w:rsidRDefault="009A1D0D" w:rsidP="00647FC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1B70EA" w14:textId="77777777" w:rsidR="009A1D0D" w:rsidRPr="007520F2" w:rsidRDefault="009A1D0D" w:rsidP="00647FCF">
            <w:pPr>
              <w:pStyle w:val="paragraph"/>
              <w:spacing w:after="0"/>
              <w:contextualSpacing/>
              <w:textAlignment w:val="baseline"/>
              <w:rPr>
                <w:rStyle w:val="normaltextrun"/>
                <w:rFonts w:ascii="Verdana" w:hAnsi="Verdana" w:cs="Arial"/>
                <w:sz w:val="16"/>
                <w:szCs w:val="16"/>
                <w:lang w:val="es-ES_tradnl"/>
              </w:rPr>
            </w:pPr>
            <w:r w:rsidRPr="007520F2">
              <w:rPr>
                <w:rStyle w:val="normaltextrun"/>
                <w:rFonts w:ascii="Verdana" w:hAnsi="Verdana" w:cs="Arial"/>
                <w:sz w:val="16"/>
                <w:szCs w:val="16"/>
                <w:lang w:val="es-ES_tradnl"/>
              </w:rPr>
              <w:t>Alejandro Sarmiento Cantillo</w:t>
            </w:r>
          </w:p>
          <w:p w14:paraId="50C7AFC0" w14:textId="77777777" w:rsidR="009A1D0D" w:rsidRPr="00A40FD0" w:rsidRDefault="009A1D0D" w:rsidP="00647FCF">
            <w:pPr>
              <w:pStyle w:val="paragraph"/>
              <w:spacing w:before="0" w:beforeAutospacing="0" w:after="0" w:afterAutospacing="0"/>
              <w:contextualSpacing/>
              <w:textAlignment w:val="baseline"/>
              <w:rPr>
                <w:rFonts w:ascii="Verdana" w:hAnsi="Verdana" w:cs="Segoe UI"/>
                <w:sz w:val="16"/>
                <w:szCs w:val="16"/>
              </w:rPr>
            </w:pPr>
            <w:r w:rsidRPr="007520F2">
              <w:rPr>
                <w:rStyle w:val="normaltextrun"/>
                <w:rFonts w:ascii="Verdana" w:hAnsi="Verdana" w:cs="Arial"/>
                <w:sz w:val="16"/>
                <w:szCs w:val="16"/>
                <w:lang w:val="es-ES_tradnl"/>
              </w:rPr>
              <w:t>Gestor T1 ‒ 15 de la Subdirección de Gestión Contractual</w:t>
            </w:r>
          </w:p>
        </w:tc>
      </w:tr>
      <w:tr w:rsidR="009A1D0D" w:rsidRPr="00593A5F" w14:paraId="7BCE96CB" w14:textId="77777777" w:rsidTr="00647FCF">
        <w:trPr>
          <w:trHeight w:val="300"/>
        </w:trPr>
        <w:tc>
          <w:tcPr>
            <w:tcW w:w="893" w:type="dxa"/>
            <w:vAlign w:val="center"/>
          </w:tcPr>
          <w:p w14:paraId="1383BDC0" w14:textId="77777777" w:rsidR="009A1D0D" w:rsidRPr="003751C7" w:rsidRDefault="009A1D0D" w:rsidP="00647FCF">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133269" w14:textId="77777777" w:rsidR="009A1D0D" w:rsidRPr="00FE00BE" w:rsidRDefault="009A1D0D" w:rsidP="00647FCF">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3B81C0CF" w14:textId="77777777" w:rsidR="009A1D0D" w:rsidRPr="00FE00BE" w:rsidRDefault="009A1D0D" w:rsidP="00647FCF">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3F7BE288" w14:textId="77777777" w:rsidR="009A1D0D" w:rsidRDefault="009A1D0D" w:rsidP="009A1D0D"/>
    <w:p w14:paraId="0EAE4DC1" w14:textId="77777777" w:rsidR="009A1D0D" w:rsidRPr="00543BFE" w:rsidRDefault="009A1D0D" w:rsidP="009A1D0D">
      <w:r>
        <w:rPr>
          <w:noProof/>
        </w:rPr>
        <w:drawing>
          <wp:inline distT="0" distB="0" distL="0" distR="0" wp14:anchorId="3F4BC98E" wp14:editId="59801F3B">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43467929" w:rsidR="00127233" w:rsidRPr="009D3214" w:rsidRDefault="00127233" w:rsidP="009D3214"/>
    <w:sectPr w:rsidR="00127233" w:rsidRPr="009D3214"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C6F82" w14:textId="77777777" w:rsidR="00A864F4" w:rsidRDefault="00A864F4" w:rsidP="004A1847">
      <w:pPr>
        <w:spacing w:after="0" w:line="240" w:lineRule="auto"/>
      </w:pPr>
      <w:r>
        <w:separator/>
      </w:r>
    </w:p>
  </w:endnote>
  <w:endnote w:type="continuationSeparator" w:id="0">
    <w:p w14:paraId="5F5DD4C6" w14:textId="77777777" w:rsidR="00A864F4" w:rsidRDefault="00A864F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D5464" w14:textId="77777777" w:rsidR="00A864F4" w:rsidRDefault="00A864F4" w:rsidP="004A1847">
      <w:pPr>
        <w:spacing w:after="0" w:line="240" w:lineRule="auto"/>
      </w:pPr>
      <w:r>
        <w:separator/>
      </w:r>
    </w:p>
  </w:footnote>
  <w:footnote w:type="continuationSeparator" w:id="0">
    <w:p w14:paraId="1A270E20" w14:textId="77777777" w:rsidR="00A864F4" w:rsidRDefault="00A864F4" w:rsidP="004A1847">
      <w:pPr>
        <w:spacing w:after="0" w:line="240" w:lineRule="auto"/>
      </w:pPr>
      <w:r>
        <w:continuationSeparator/>
      </w:r>
    </w:p>
  </w:footnote>
  <w:footnote w:id="1">
    <w:p w14:paraId="233B01B0" w14:textId="77777777" w:rsidR="009A1D0D" w:rsidRPr="001244F3" w:rsidRDefault="009A1D0D" w:rsidP="009A1D0D">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29BC7BF4" w14:textId="77777777" w:rsidR="009A1D0D" w:rsidRPr="001244F3" w:rsidRDefault="009A1D0D" w:rsidP="009A1D0D">
      <w:pPr>
        <w:pStyle w:val="Textonotapie"/>
        <w:ind w:firstLine="708"/>
        <w:jc w:val="both"/>
        <w:rPr>
          <w:rFonts w:ascii="Verdana" w:hAnsi="Verdana"/>
          <w:sz w:val="16"/>
          <w:szCs w:val="16"/>
        </w:rPr>
      </w:pPr>
      <w:r w:rsidRPr="001244F3">
        <w:rPr>
          <w:rFonts w:ascii="Verdana" w:hAnsi="Verdana"/>
          <w:sz w:val="16"/>
          <w:szCs w:val="16"/>
        </w:rPr>
        <w:t>[…]</w:t>
      </w:r>
    </w:p>
    <w:p w14:paraId="3EEC1044" w14:textId="77777777" w:rsidR="009A1D0D" w:rsidRPr="001244F3" w:rsidRDefault="009A1D0D" w:rsidP="009A1D0D">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0138C544" w14:textId="77777777" w:rsidR="009A1D0D" w:rsidRPr="001244F3" w:rsidRDefault="009A1D0D" w:rsidP="009A1D0D">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2">
    <w:p w14:paraId="79F47CE5" w14:textId="77777777" w:rsidR="009A1D0D" w:rsidRPr="00F16D2E" w:rsidRDefault="009A1D0D" w:rsidP="009A1D0D">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33684A11" w14:textId="77777777" w:rsidR="009A1D0D" w:rsidRPr="00F16D2E" w:rsidRDefault="009A1D0D" w:rsidP="009A1D0D">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3">
    <w:p w14:paraId="42EE2A32" w14:textId="77777777" w:rsidR="009A1D0D" w:rsidRPr="00F16D2E" w:rsidRDefault="009A1D0D" w:rsidP="009A1D0D">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5D58699" w14:textId="77777777" w:rsidR="009A1D0D" w:rsidRPr="00F16D2E" w:rsidRDefault="009A1D0D" w:rsidP="009A1D0D">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14:paraId="2B996B88" w14:textId="77777777" w:rsidR="009A1D0D" w:rsidRPr="00F16D2E" w:rsidRDefault="009A1D0D" w:rsidP="009A1D0D">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4">
    <w:p w14:paraId="37BF12FA" w14:textId="77777777" w:rsidR="009A1D0D" w:rsidRPr="00F16D2E" w:rsidRDefault="009A1D0D" w:rsidP="009A1D0D">
      <w:pPr>
        <w:pStyle w:val="Textonotapie"/>
        <w:ind w:right="49" w:firstLine="708"/>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3847E11B" w14:textId="77777777" w:rsidR="009A1D0D" w:rsidRPr="00F16D2E" w:rsidRDefault="009A1D0D" w:rsidP="009A1D0D">
      <w:pPr>
        <w:pStyle w:val="Textonotapie"/>
        <w:ind w:right="49" w:firstLine="708"/>
        <w:jc w:val="both"/>
        <w:rPr>
          <w:rFonts w:ascii="Verdana" w:hAnsi="Verdana" w:cs="Arial"/>
          <w:color w:val="000000" w:themeColor="text1"/>
          <w:sz w:val="16"/>
          <w:szCs w:val="16"/>
          <w:lang w:val="es-ES"/>
        </w:rPr>
      </w:pPr>
      <w:r w:rsidRPr="00F16D2E">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 w:id="5">
    <w:p w14:paraId="38938BF2" w14:textId="77777777" w:rsidR="009A1D0D" w:rsidRPr="002E6954" w:rsidRDefault="009A1D0D" w:rsidP="009A1D0D">
      <w:pPr>
        <w:pStyle w:val="Textonotapie"/>
        <w:ind w:firstLine="708"/>
        <w:jc w:val="both"/>
        <w:rPr>
          <w:rFonts w:ascii="Verdana" w:hAnsi="Verdana"/>
          <w:sz w:val="16"/>
          <w:szCs w:val="16"/>
          <w:lang w:val="es-CO"/>
        </w:rPr>
      </w:pPr>
      <w:r w:rsidRPr="005C6C8B">
        <w:rPr>
          <w:rStyle w:val="Refdenotaalpie"/>
          <w:rFonts w:ascii="Verdana" w:hAnsi="Verdana"/>
          <w:sz w:val="16"/>
          <w:szCs w:val="16"/>
        </w:rPr>
        <w:footnoteRef/>
      </w:r>
      <w:r w:rsidRPr="005C6C8B">
        <w:rPr>
          <w:rFonts w:ascii="Verdana" w:hAnsi="Verdana"/>
          <w:sz w:val="16"/>
          <w:szCs w:val="16"/>
        </w:rPr>
        <w:t xml:space="preserve"> </w:t>
      </w:r>
      <w:r>
        <w:rPr>
          <w:rFonts w:ascii="Verdana" w:hAnsi="Verdana"/>
          <w:sz w:val="16"/>
          <w:szCs w:val="16"/>
        </w:rPr>
        <w:t>DÍEZ, Manuel María. Derecho administrativo. Tomo II. Buenos Aires: Editorial Bibliográfica Argentina, 1965. p. 296.</w:t>
      </w:r>
    </w:p>
  </w:footnote>
  <w:footnote w:id="6">
    <w:p w14:paraId="0F6C932A" w14:textId="77777777" w:rsidR="009A1D0D" w:rsidRPr="00C95C23" w:rsidRDefault="009A1D0D" w:rsidP="009A1D0D">
      <w:pPr>
        <w:pStyle w:val="Textonotapie"/>
        <w:ind w:firstLine="708"/>
        <w:jc w:val="both"/>
        <w:rPr>
          <w:rFonts w:ascii="Verdana" w:hAnsi="Verdana"/>
          <w:sz w:val="16"/>
          <w:szCs w:val="16"/>
          <w:lang w:val="es-CO"/>
        </w:rPr>
      </w:pPr>
      <w:r w:rsidRPr="00C95C23">
        <w:rPr>
          <w:rStyle w:val="Refdenotaalpie"/>
          <w:rFonts w:ascii="Verdana" w:hAnsi="Verdana"/>
          <w:sz w:val="16"/>
          <w:szCs w:val="16"/>
        </w:rPr>
        <w:footnoteRef/>
      </w:r>
      <w:r w:rsidRPr="00C95C23">
        <w:rPr>
          <w:rFonts w:ascii="Verdana" w:hAnsi="Verdana"/>
          <w:sz w:val="16"/>
          <w:szCs w:val="16"/>
        </w:rPr>
        <w:t xml:space="preserve"> </w:t>
      </w:r>
      <w:r>
        <w:rPr>
          <w:rFonts w:ascii="Verdana" w:hAnsi="Verdana"/>
          <w:sz w:val="16"/>
          <w:szCs w:val="16"/>
        </w:rPr>
        <w:t xml:space="preserve">Cfr. ARBOLEDA PERDOMO, Enrique José. Comentarios al </w:t>
      </w:r>
      <w:r w:rsidRPr="00C95C23">
        <w:rPr>
          <w:rFonts w:ascii="Verdana" w:hAnsi="Verdana"/>
          <w:sz w:val="16"/>
          <w:szCs w:val="16"/>
        </w:rPr>
        <w:t>Código de Procedimiento Administrativo y de lo Contencioso Administrativo</w:t>
      </w:r>
      <w:r>
        <w:rPr>
          <w:rFonts w:ascii="Verdana" w:hAnsi="Verdana"/>
          <w:sz w:val="16"/>
          <w:szCs w:val="16"/>
        </w:rPr>
        <w:t>. Tercera edición. Bogotá: Legis, 2021. p. 170.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pt;height:11.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A657D"/>
    <w:rsid w:val="002C7A84"/>
    <w:rsid w:val="002E2BF8"/>
    <w:rsid w:val="002E4FD9"/>
    <w:rsid w:val="003027A3"/>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4929"/>
    <w:rsid w:val="00406575"/>
    <w:rsid w:val="00414C74"/>
    <w:rsid w:val="0042722E"/>
    <w:rsid w:val="0044528D"/>
    <w:rsid w:val="00457110"/>
    <w:rsid w:val="00465F69"/>
    <w:rsid w:val="00466E39"/>
    <w:rsid w:val="004A1847"/>
    <w:rsid w:val="004A305D"/>
    <w:rsid w:val="004F21C4"/>
    <w:rsid w:val="004F685F"/>
    <w:rsid w:val="00516B60"/>
    <w:rsid w:val="005566E8"/>
    <w:rsid w:val="00574867"/>
    <w:rsid w:val="00591460"/>
    <w:rsid w:val="005A076E"/>
    <w:rsid w:val="005A65E0"/>
    <w:rsid w:val="005C3777"/>
    <w:rsid w:val="005C5CDC"/>
    <w:rsid w:val="005D476C"/>
    <w:rsid w:val="005E67DD"/>
    <w:rsid w:val="005F1BE3"/>
    <w:rsid w:val="006200BF"/>
    <w:rsid w:val="006219F8"/>
    <w:rsid w:val="006302F7"/>
    <w:rsid w:val="00646B9F"/>
    <w:rsid w:val="00665D70"/>
    <w:rsid w:val="006900D9"/>
    <w:rsid w:val="00706C16"/>
    <w:rsid w:val="0071283C"/>
    <w:rsid w:val="007340C3"/>
    <w:rsid w:val="0075235A"/>
    <w:rsid w:val="00756841"/>
    <w:rsid w:val="007649AB"/>
    <w:rsid w:val="00771D0C"/>
    <w:rsid w:val="007833AC"/>
    <w:rsid w:val="00791552"/>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8F7107"/>
    <w:rsid w:val="00923EEF"/>
    <w:rsid w:val="009419F9"/>
    <w:rsid w:val="0095685E"/>
    <w:rsid w:val="00961B09"/>
    <w:rsid w:val="00965334"/>
    <w:rsid w:val="0097093E"/>
    <w:rsid w:val="009A0DFA"/>
    <w:rsid w:val="009A1C6F"/>
    <w:rsid w:val="009A1D0D"/>
    <w:rsid w:val="009B2D26"/>
    <w:rsid w:val="009C449E"/>
    <w:rsid w:val="009C71FA"/>
    <w:rsid w:val="009C72E7"/>
    <w:rsid w:val="009C7F7E"/>
    <w:rsid w:val="009D3058"/>
    <w:rsid w:val="009D3214"/>
    <w:rsid w:val="009F3A13"/>
    <w:rsid w:val="00A122D3"/>
    <w:rsid w:val="00A14468"/>
    <w:rsid w:val="00A17F13"/>
    <w:rsid w:val="00A20739"/>
    <w:rsid w:val="00A23AF9"/>
    <w:rsid w:val="00A33C78"/>
    <w:rsid w:val="00A85481"/>
    <w:rsid w:val="00A864F4"/>
    <w:rsid w:val="00AB0ADB"/>
    <w:rsid w:val="00B00C0E"/>
    <w:rsid w:val="00B01B1A"/>
    <w:rsid w:val="00B0381D"/>
    <w:rsid w:val="00B06570"/>
    <w:rsid w:val="00B44A47"/>
    <w:rsid w:val="00B64368"/>
    <w:rsid w:val="00B72CD3"/>
    <w:rsid w:val="00B72FFF"/>
    <w:rsid w:val="00B82E26"/>
    <w:rsid w:val="00BB125E"/>
    <w:rsid w:val="00BC3D36"/>
    <w:rsid w:val="00BD54A6"/>
    <w:rsid w:val="00BD7F72"/>
    <w:rsid w:val="00BF7425"/>
    <w:rsid w:val="00C04FB3"/>
    <w:rsid w:val="00C11D8B"/>
    <w:rsid w:val="00C15139"/>
    <w:rsid w:val="00C330EB"/>
    <w:rsid w:val="00C50D69"/>
    <w:rsid w:val="00C5365C"/>
    <w:rsid w:val="00C754BE"/>
    <w:rsid w:val="00C76B1C"/>
    <w:rsid w:val="00C925AC"/>
    <w:rsid w:val="00C94137"/>
    <w:rsid w:val="00CB6357"/>
    <w:rsid w:val="00CC1B26"/>
    <w:rsid w:val="00CD2B3B"/>
    <w:rsid w:val="00D102AD"/>
    <w:rsid w:val="00D107B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5455"/>
    <w:rsid w:val="00EE1AA8"/>
    <w:rsid w:val="00F23FEA"/>
    <w:rsid w:val="00F31EDC"/>
    <w:rsid w:val="00F43B76"/>
    <w:rsid w:val="00F462B3"/>
    <w:rsid w:val="00F5664F"/>
    <w:rsid w:val="00F666C4"/>
    <w:rsid w:val="00F76AFC"/>
    <w:rsid w:val="00F8154D"/>
    <w:rsid w:val="00FA47C0"/>
    <w:rsid w:val="00FB5DD1"/>
    <w:rsid w:val="00FC2B5D"/>
    <w:rsid w:val="00FD218D"/>
    <w:rsid w:val="00FE097F"/>
    <w:rsid w:val="00FF1449"/>
    <w:rsid w:val="00FF7963"/>
    <w:rsid w:val="05A64E60"/>
    <w:rsid w:val="071B8F93"/>
    <w:rsid w:val="07C73DD1"/>
    <w:rsid w:val="09908A09"/>
    <w:rsid w:val="0C3BCD90"/>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6FED17D6"/>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A1D0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A1D0D"/>
    <w:rPr>
      <w:rFonts w:ascii="Geomanist Light" w:hAnsi="Geomanist Light"/>
      <w:lang w:val="es-ES"/>
    </w:rPr>
  </w:style>
  <w:style w:type="character" w:customStyle="1" w:styleId="s15">
    <w:name w:val="s15"/>
    <w:basedOn w:val="Fuentedeprrafopredeter"/>
    <w:rsid w:val="009A1D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wardalexanderdiazleon2022@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E98640B-F815-4AB0-8F6C-D61FE08D70F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18</Pages>
  <Words>5971</Words>
  <Characters>32842</Characters>
  <Application>Microsoft Office Word</Application>
  <DocSecurity>0</DocSecurity>
  <Lines>273</Lines>
  <Paragraphs>77</Paragraphs>
  <ScaleCrop>false</ScaleCrop>
  <Company/>
  <LinksUpToDate>false</LinksUpToDate>
  <CharactersWithSpaces>38736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2026-06-21T03:32:00Z</dcterms:created>
  <dcterms:modified xsi:type="dcterms:W3CDTF">2026-06-28T22:38:00Z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