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C7400" w14:textId="77777777" w:rsidR="00507305" w:rsidRDefault="00507305" w:rsidP="00507305">
      <w:pPr>
        <w:tabs>
          <w:tab w:val="left" w:pos="142"/>
          <w:tab w:val="left" w:pos="284"/>
          <w:tab w:val="left" w:pos="6975"/>
        </w:tabs>
        <w:spacing w:after="0" w:line="240" w:lineRule="auto"/>
        <w:jc w:val="both"/>
        <w:rPr>
          <w:rFonts w:ascii="Verdana" w:hAnsi="Verdana"/>
          <w:b/>
          <w:bCs/>
          <w:lang w:val="es-ES"/>
        </w:rPr>
      </w:pPr>
      <w:bookmarkStart w:id="0" w:name="_Hlk143780582"/>
      <w:r w:rsidRPr="00507305">
        <w:rPr>
          <w:rFonts w:ascii="Verdana" w:hAnsi="Verdana"/>
          <w:b/>
          <w:bCs/>
          <w:lang w:val="es-ES"/>
        </w:rPr>
        <w:t>ENTIDADES CON RÉGIMEN ESPECIAL – Régimen jurídico – Principios de la función administrativa y gestión fiscal</w:t>
      </w:r>
    </w:p>
    <w:p w14:paraId="409EDFCE" w14:textId="77777777" w:rsidR="009E582F" w:rsidRDefault="009E582F" w:rsidP="00507305">
      <w:pPr>
        <w:tabs>
          <w:tab w:val="left" w:pos="142"/>
          <w:tab w:val="left" w:pos="284"/>
          <w:tab w:val="left" w:pos="6975"/>
        </w:tabs>
        <w:spacing w:after="0" w:line="240" w:lineRule="auto"/>
        <w:jc w:val="both"/>
        <w:rPr>
          <w:rFonts w:ascii="Verdana" w:hAnsi="Verdana"/>
          <w:b/>
          <w:bCs/>
          <w:lang w:val="es-ES"/>
        </w:rPr>
      </w:pPr>
    </w:p>
    <w:p w14:paraId="62B13A53" w14:textId="77777777" w:rsidR="009E582F" w:rsidRPr="009E582F" w:rsidRDefault="009E582F" w:rsidP="009E582F">
      <w:pPr>
        <w:tabs>
          <w:tab w:val="left" w:pos="426"/>
        </w:tabs>
        <w:spacing w:after="120" w:line="240" w:lineRule="auto"/>
        <w:jc w:val="both"/>
        <w:rPr>
          <w:rFonts w:ascii="Verdana" w:hAnsi="Verdana" w:cs="Arial"/>
          <w:sz w:val="20"/>
          <w:szCs w:val="20"/>
          <w:lang w:val="es-ES"/>
        </w:rPr>
      </w:pPr>
      <w:r w:rsidRPr="009E582F">
        <w:rPr>
          <w:rFonts w:ascii="Verdana" w:hAnsi="Verdana" w:cs="Arial"/>
          <w:sz w:val="20"/>
          <w:szCs w:val="20"/>
          <w:lang w:val="es-ES"/>
        </w:rPr>
        <w:t>Las entidades de régimen especial son aquellas que, por expresa disposición legal y debido a su naturaleza o situación de competencia, tienen condiciones diferenciales respecto a la normativa aplicable en materia de contratación pública. Esto quiere decir que, no están sometidas al Estatuto General de Contratación de la Administración Pública –en adelante EGCAP– y, por ende, sus procedimientos contractuales se rigen por una normativa propia para su desarrollo, esto es, el derecho privado. Esta particularidad está establecida en las normas de creación de las entidades de régimen especial y en sus manuales de contratación.</w:t>
      </w:r>
    </w:p>
    <w:p w14:paraId="5EBBB8E6" w14:textId="2FDBD034" w:rsidR="009E582F" w:rsidRPr="009E582F" w:rsidRDefault="009E582F" w:rsidP="009E582F">
      <w:pPr>
        <w:tabs>
          <w:tab w:val="left" w:pos="142"/>
          <w:tab w:val="left" w:pos="284"/>
          <w:tab w:val="left" w:pos="6975"/>
        </w:tabs>
        <w:spacing w:after="0" w:line="240" w:lineRule="auto"/>
        <w:jc w:val="both"/>
        <w:rPr>
          <w:rFonts w:ascii="Verdana" w:hAnsi="Verdana"/>
          <w:sz w:val="20"/>
          <w:szCs w:val="20"/>
          <w:lang w:val="es-ES"/>
        </w:rPr>
      </w:pPr>
      <w:r w:rsidRPr="009E582F">
        <w:rPr>
          <w:rFonts w:ascii="Verdana" w:hAnsi="Verdana"/>
          <w:sz w:val="20"/>
          <w:szCs w:val="20"/>
          <w:lang w:val="es-ES"/>
        </w:rPr>
        <w:t>[…]</w:t>
      </w:r>
    </w:p>
    <w:p w14:paraId="0DF5DDCF" w14:textId="77777777" w:rsidR="009E582F" w:rsidRPr="009E582F" w:rsidRDefault="009E582F" w:rsidP="009E582F">
      <w:pPr>
        <w:tabs>
          <w:tab w:val="left" w:pos="142"/>
          <w:tab w:val="left" w:pos="284"/>
          <w:tab w:val="left" w:pos="6975"/>
        </w:tabs>
        <w:spacing w:after="0" w:line="240" w:lineRule="auto"/>
        <w:jc w:val="both"/>
        <w:rPr>
          <w:rFonts w:ascii="Verdana" w:hAnsi="Verdana"/>
          <w:sz w:val="20"/>
          <w:szCs w:val="20"/>
          <w:lang w:val="es-ES"/>
        </w:rPr>
      </w:pPr>
    </w:p>
    <w:p w14:paraId="537B07CE" w14:textId="1138A8B8" w:rsidR="009E582F" w:rsidRPr="009E582F" w:rsidRDefault="009E582F" w:rsidP="009E582F">
      <w:pPr>
        <w:tabs>
          <w:tab w:val="left" w:pos="142"/>
          <w:tab w:val="left" w:pos="284"/>
          <w:tab w:val="left" w:pos="6975"/>
        </w:tabs>
        <w:spacing w:after="0" w:line="240" w:lineRule="auto"/>
        <w:jc w:val="both"/>
        <w:rPr>
          <w:rFonts w:ascii="Verdana" w:hAnsi="Verdana"/>
          <w:sz w:val="20"/>
          <w:szCs w:val="20"/>
          <w:lang w:val="es-ES"/>
        </w:rPr>
      </w:pPr>
      <w:r w:rsidRPr="009E582F">
        <w:rPr>
          <w:rFonts w:ascii="Verdana" w:hAnsi="Verdana" w:cs="Arial"/>
          <w:sz w:val="20"/>
          <w:szCs w:val="20"/>
          <w:lang w:val="es-ES"/>
        </w:rPr>
        <w:t>En ese orden, pese a que</w:t>
      </w:r>
      <w:r w:rsidRPr="009E582F">
        <w:rPr>
          <w:rFonts w:ascii="Verdana" w:eastAsia="Calibri" w:hAnsi="Verdana" w:cs="Arial"/>
          <w:sz w:val="20"/>
          <w:szCs w:val="20"/>
          <w:lang w:val="es-ES"/>
        </w:rPr>
        <w:t xml:space="preserve"> las entidades de régimen especial están habilitadas para aplicar normas diferentes a las establecidas en el EGCAP, cumplen una finalidad pública y utilizan recursos públicos para lograrlo. Por ello, no son ajenas a los principios de la función administrativa y de la gestión fiscal, contenidos en los artículos 209 y 267 de la Constitución Política, respectivamente, entre otras reglas dispuestas en la normativa de contratación estatal, que son transversales a todas las entidades, sin importar su régimen contractual.</w:t>
      </w:r>
    </w:p>
    <w:p w14:paraId="4F6913A9" w14:textId="77777777" w:rsidR="00507305" w:rsidRPr="00507305" w:rsidRDefault="00507305" w:rsidP="00507305">
      <w:pPr>
        <w:tabs>
          <w:tab w:val="left" w:pos="142"/>
          <w:tab w:val="left" w:pos="284"/>
          <w:tab w:val="left" w:pos="6975"/>
        </w:tabs>
        <w:spacing w:after="0" w:line="240" w:lineRule="auto"/>
        <w:jc w:val="both"/>
        <w:rPr>
          <w:rFonts w:ascii="Verdana" w:hAnsi="Verdana"/>
          <w:b/>
          <w:bCs/>
          <w:lang w:val="es-ES"/>
        </w:rPr>
      </w:pPr>
    </w:p>
    <w:p w14:paraId="623E33D9" w14:textId="04190889" w:rsidR="00507305" w:rsidRDefault="00507305" w:rsidP="00507305">
      <w:pPr>
        <w:tabs>
          <w:tab w:val="left" w:pos="142"/>
          <w:tab w:val="left" w:pos="284"/>
          <w:tab w:val="left" w:pos="6975"/>
        </w:tabs>
        <w:spacing w:after="0" w:line="240" w:lineRule="auto"/>
        <w:jc w:val="both"/>
        <w:rPr>
          <w:rFonts w:ascii="Verdana" w:hAnsi="Verdana"/>
          <w:b/>
          <w:bCs/>
          <w:lang w:val="es-ES"/>
        </w:rPr>
      </w:pPr>
      <w:r w:rsidRPr="00507305">
        <w:rPr>
          <w:rFonts w:ascii="Verdana" w:hAnsi="Verdana"/>
          <w:b/>
          <w:bCs/>
          <w:lang w:val="es-ES"/>
        </w:rPr>
        <w:t>EMPRESAS SOCIALES DEL ESTADO – Manual de contratación – Autonomía y límites</w:t>
      </w:r>
    </w:p>
    <w:p w14:paraId="6D7FE9CC" w14:textId="77777777" w:rsidR="009E582F" w:rsidRDefault="009E582F" w:rsidP="00507305">
      <w:pPr>
        <w:tabs>
          <w:tab w:val="left" w:pos="142"/>
          <w:tab w:val="left" w:pos="284"/>
          <w:tab w:val="left" w:pos="6975"/>
        </w:tabs>
        <w:spacing w:after="0" w:line="240" w:lineRule="auto"/>
        <w:jc w:val="both"/>
        <w:rPr>
          <w:rFonts w:ascii="Verdana" w:hAnsi="Verdana"/>
          <w:b/>
          <w:bCs/>
          <w:lang w:val="es-ES"/>
        </w:rPr>
      </w:pPr>
    </w:p>
    <w:p w14:paraId="777A7F8C" w14:textId="77777777" w:rsidR="009E582F" w:rsidRPr="009E582F" w:rsidRDefault="009E582F" w:rsidP="009E582F">
      <w:pPr>
        <w:spacing w:after="120" w:line="240" w:lineRule="auto"/>
        <w:jc w:val="both"/>
        <w:rPr>
          <w:rFonts w:ascii="Verdana" w:eastAsia="Arial" w:hAnsi="Verdana" w:cs="Arial"/>
          <w:sz w:val="20"/>
          <w:szCs w:val="20"/>
          <w:lang w:val="es-ES"/>
        </w:rPr>
      </w:pPr>
      <w:r w:rsidRPr="009E582F">
        <w:rPr>
          <w:rFonts w:ascii="Verdana" w:eastAsia="Arial" w:hAnsi="Verdana" w:cs="Arial"/>
          <w:sz w:val="20"/>
          <w:szCs w:val="20"/>
          <w:lang w:val="es-ES"/>
        </w:rPr>
        <w:t xml:space="preserve">Ahora bien, una de las reglas para las </w:t>
      </w:r>
      <w:r w:rsidRPr="009E582F">
        <w:rPr>
          <w:rFonts w:ascii="Verdana" w:hAnsi="Verdana"/>
          <w:sz w:val="20"/>
          <w:szCs w:val="20"/>
          <w:lang w:val="es-ES"/>
        </w:rPr>
        <w:t>E.S.E.</w:t>
      </w:r>
      <w:r w:rsidRPr="009E582F">
        <w:rPr>
          <w:rFonts w:ascii="Verdana" w:eastAsia="Arial" w:hAnsi="Verdana" w:cs="Arial"/>
          <w:sz w:val="20"/>
          <w:szCs w:val="20"/>
          <w:lang w:val="es-ES"/>
        </w:rPr>
        <w:t>, derivada de las normas de derecho público estudiadas, consiste en el deber de expedir un manual de contratación. En este documento deben concretarse los principios de la función administrativa y de la gestión fiscal, así como determinarse la manera concreta como dichos principios orientarán el derecho privado en el ejercicio de la actividad contractual. De esta manera, los potenciales oferentes podrán identificar las reglas que aplica la entidad en sus procesos contractuales.</w:t>
      </w:r>
    </w:p>
    <w:p w14:paraId="2EE3E2A4" w14:textId="1ED2FC93" w:rsidR="009E582F" w:rsidRPr="009E582F" w:rsidRDefault="009E582F" w:rsidP="009E582F">
      <w:pPr>
        <w:spacing w:after="120" w:line="240" w:lineRule="auto"/>
        <w:jc w:val="both"/>
        <w:rPr>
          <w:rFonts w:ascii="Verdana" w:eastAsia="Arial" w:hAnsi="Verdana" w:cs="Arial"/>
          <w:sz w:val="20"/>
          <w:szCs w:val="20"/>
          <w:lang w:val="es-ES"/>
        </w:rPr>
      </w:pPr>
      <w:r w:rsidRPr="009E582F">
        <w:rPr>
          <w:rFonts w:ascii="Verdana" w:eastAsia="Arial" w:hAnsi="Verdana" w:cs="Arial"/>
          <w:sz w:val="20"/>
          <w:szCs w:val="20"/>
          <w:lang w:val="es-ES"/>
        </w:rPr>
        <w:t>En consecuencia, el Ministerio de Salud y</w:t>
      </w:r>
      <w:r w:rsidRPr="009E582F">
        <w:rPr>
          <w:rFonts w:ascii="Verdana" w:eastAsia="Arial" w:hAnsi="Verdana" w:cs="Arial"/>
          <w:spacing w:val="1"/>
          <w:sz w:val="20"/>
          <w:szCs w:val="20"/>
          <w:lang w:val="es-ES"/>
        </w:rPr>
        <w:t xml:space="preserve"> </w:t>
      </w:r>
      <w:r w:rsidRPr="009E582F">
        <w:rPr>
          <w:rFonts w:ascii="Verdana" w:eastAsia="Arial" w:hAnsi="Verdana" w:cs="Arial"/>
          <w:sz w:val="20"/>
          <w:szCs w:val="20"/>
          <w:lang w:val="es-ES"/>
        </w:rPr>
        <w:t>Protección Social, expidió la Resolución No. 5185 de 2013, modificada por la Resolución 1440 del 14 de agosto de 2024, mediante la cual se fijan los lineamientos</w:t>
      </w:r>
      <w:r w:rsidRPr="009E582F">
        <w:rPr>
          <w:rFonts w:ascii="Verdana" w:eastAsia="Arial" w:hAnsi="Verdana" w:cs="Arial"/>
          <w:spacing w:val="1"/>
          <w:sz w:val="20"/>
          <w:szCs w:val="20"/>
          <w:lang w:val="es-ES"/>
        </w:rPr>
        <w:t xml:space="preserve"> </w:t>
      </w:r>
      <w:r w:rsidRPr="009E582F">
        <w:rPr>
          <w:rFonts w:ascii="Verdana" w:eastAsia="Arial" w:hAnsi="Verdana" w:cs="Arial"/>
          <w:sz w:val="20"/>
          <w:szCs w:val="20"/>
          <w:lang w:val="es-ES"/>
        </w:rPr>
        <w:t>para</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que</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tales</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entidades</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adopten</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los</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manuales</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de</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contratación</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que</w:t>
      </w:r>
      <w:r w:rsidRPr="009E582F">
        <w:rPr>
          <w:rFonts w:ascii="Verdana" w:eastAsia="Arial" w:hAnsi="Verdana" w:cs="Arial"/>
          <w:spacing w:val="-9"/>
          <w:sz w:val="20"/>
          <w:szCs w:val="20"/>
          <w:lang w:val="es-ES"/>
        </w:rPr>
        <w:t xml:space="preserve"> </w:t>
      </w:r>
      <w:r w:rsidRPr="009E582F">
        <w:rPr>
          <w:rFonts w:ascii="Verdana" w:eastAsia="Arial" w:hAnsi="Verdana" w:cs="Arial"/>
          <w:sz w:val="20"/>
          <w:szCs w:val="20"/>
          <w:lang w:val="es-ES"/>
        </w:rPr>
        <w:t>regirán</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su</w:t>
      </w:r>
      <w:r w:rsidRPr="009E582F">
        <w:rPr>
          <w:rFonts w:ascii="Verdana" w:eastAsia="Arial" w:hAnsi="Verdana" w:cs="Arial"/>
          <w:spacing w:val="-10"/>
          <w:sz w:val="20"/>
          <w:szCs w:val="20"/>
          <w:lang w:val="es-ES"/>
        </w:rPr>
        <w:t xml:space="preserve"> </w:t>
      </w:r>
      <w:r w:rsidRPr="009E582F">
        <w:rPr>
          <w:rFonts w:ascii="Verdana" w:eastAsia="Arial" w:hAnsi="Verdana" w:cs="Arial"/>
          <w:sz w:val="20"/>
          <w:szCs w:val="20"/>
          <w:lang w:val="es-ES"/>
        </w:rPr>
        <w:t>actividad</w:t>
      </w:r>
      <w:r w:rsidRPr="009E582F">
        <w:rPr>
          <w:rFonts w:ascii="Verdana" w:eastAsia="Arial" w:hAnsi="Verdana" w:cs="Arial"/>
          <w:spacing w:val="-59"/>
          <w:sz w:val="20"/>
          <w:szCs w:val="20"/>
          <w:lang w:val="es-ES"/>
        </w:rPr>
        <w:t xml:space="preserve"> </w:t>
      </w:r>
      <w:r w:rsidRPr="009E582F">
        <w:rPr>
          <w:rFonts w:ascii="Verdana" w:eastAsia="Arial" w:hAnsi="Verdana" w:cs="Arial"/>
          <w:sz w:val="20"/>
          <w:szCs w:val="20"/>
          <w:lang w:val="es-ES"/>
        </w:rPr>
        <w:t xml:space="preserve">contractual. </w:t>
      </w:r>
    </w:p>
    <w:p w14:paraId="3C31B315" w14:textId="77777777" w:rsidR="00507305" w:rsidRDefault="00507305" w:rsidP="00507305">
      <w:pPr>
        <w:tabs>
          <w:tab w:val="left" w:pos="142"/>
          <w:tab w:val="left" w:pos="284"/>
          <w:tab w:val="left" w:pos="6975"/>
        </w:tabs>
        <w:spacing w:after="0" w:line="240" w:lineRule="auto"/>
        <w:jc w:val="both"/>
        <w:rPr>
          <w:rFonts w:ascii="Verdana" w:eastAsia="Calibri" w:hAnsi="Verdana" w:cs="Arial"/>
          <w:b/>
          <w:bCs/>
          <w:lang w:val="es-ES" w:eastAsia="es-ES"/>
        </w:rPr>
      </w:pPr>
    </w:p>
    <w:p w14:paraId="741DB655" w14:textId="3E6E83EF" w:rsidR="00507305" w:rsidRDefault="00507305" w:rsidP="00507305">
      <w:pPr>
        <w:tabs>
          <w:tab w:val="left" w:pos="142"/>
          <w:tab w:val="left" w:pos="284"/>
          <w:tab w:val="left" w:pos="6975"/>
        </w:tabs>
        <w:spacing w:after="0" w:line="240" w:lineRule="auto"/>
        <w:jc w:val="both"/>
        <w:rPr>
          <w:rFonts w:ascii="Verdana" w:eastAsia="Calibri" w:hAnsi="Verdana" w:cs="Arial"/>
          <w:b/>
          <w:bCs/>
          <w:lang w:val="es-ES" w:eastAsia="es-ES"/>
        </w:rPr>
      </w:pPr>
      <w:r w:rsidRPr="000D7519">
        <w:rPr>
          <w:rFonts w:ascii="Verdana" w:eastAsia="Calibri" w:hAnsi="Verdana" w:cs="Arial"/>
          <w:b/>
          <w:bCs/>
          <w:lang w:val="es-ES" w:eastAsia="es-ES"/>
        </w:rPr>
        <w:t xml:space="preserve">PRINCIPIO DE PUBLICIDAD – SECOP – Entidades con régimen especial de contratación </w:t>
      </w:r>
      <w:r w:rsidR="009F3C05" w:rsidRPr="009F3C05">
        <w:rPr>
          <w:rFonts w:ascii="Verdana" w:eastAsia="Calibri" w:hAnsi="Verdana" w:cs="Arial"/>
          <w:b/>
          <w:bCs/>
          <w:lang w:val="es-ES" w:eastAsia="es-ES"/>
        </w:rPr>
        <w:t>–</w:t>
      </w:r>
      <w:r w:rsidRPr="000D7519">
        <w:rPr>
          <w:rFonts w:ascii="Verdana" w:eastAsia="Calibri" w:hAnsi="Verdana" w:cs="Arial"/>
          <w:b/>
          <w:bCs/>
          <w:lang w:val="es-ES" w:eastAsia="es-ES"/>
        </w:rPr>
        <w:t xml:space="preserve"> Documentos del proceso – Deber de publicación </w:t>
      </w:r>
    </w:p>
    <w:p w14:paraId="32E8DC35" w14:textId="77777777" w:rsidR="00507305" w:rsidRDefault="00507305" w:rsidP="00507305">
      <w:pPr>
        <w:tabs>
          <w:tab w:val="left" w:pos="142"/>
          <w:tab w:val="left" w:pos="284"/>
          <w:tab w:val="left" w:pos="6975"/>
        </w:tabs>
        <w:spacing w:after="0" w:line="240" w:lineRule="auto"/>
        <w:jc w:val="both"/>
        <w:rPr>
          <w:rFonts w:ascii="Verdana" w:eastAsia="Calibri" w:hAnsi="Verdana" w:cs="Arial"/>
          <w:b/>
          <w:bCs/>
          <w:lang w:val="es-ES" w:eastAsia="es-ES"/>
        </w:rPr>
      </w:pPr>
    </w:p>
    <w:p w14:paraId="2A54A483" w14:textId="77777777" w:rsidR="00507305" w:rsidRPr="00507305" w:rsidRDefault="00507305" w:rsidP="00507305">
      <w:pPr>
        <w:tabs>
          <w:tab w:val="left" w:pos="142"/>
          <w:tab w:val="left" w:pos="284"/>
          <w:tab w:val="left" w:pos="6975"/>
        </w:tabs>
        <w:spacing w:after="0" w:line="240" w:lineRule="auto"/>
        <w:jc w:val="both"/>
        <w:rPr>
          <w:rFonts w:ascii="Verdana" w:hAnsi="Verdana"/>
          <w:sz w:val="20"/>
          <w:szCs w:val="20"/>
        </w:rPr>
      </w:pPr>
      <w:r w:rsidRPr="00507305">
        <w:rPr>
          <w:rFonts w:ascii="Verdana" w:eastAsia="Calibri" w:hAnsi="Verdana" w:cs="Arial"/>
          <w:color w:val="000000" w:themeColor="text1"/>
          <w:sz w:val="20"/>
          <w:szCs w:val="20"/>
        </w:rPr>
        <w:t xml:space="preserve">[…] las Empresas Sociales del Estado les asiste la </w:t>
      </w:r>
      <w:r w:rsidRPr="00507305">
        <w:rPr>
          <w:rFonts w:ascii="Verdana" w:hAnsi="Verdana"/>
          <w:sz w:val="20"/>
          <w:szCs w:val="20"/>
        </w:rPr>
        <w:t xml:space="preserve">obligación de publicar los Procesos de Contratación en el SECOP II. </w:t>
      </w:r>
      <w:r w:rsidRPr="00507305">
        <w:rPr>
          <w:rFonts w:ascii="Verdana" w:hAnsi="Verdana"/>
          <w:spacing w:val="40"/>
          <w:sz w:val="20"/>
          <w:szCs w:val="20"/>
        </w:rPr>
        <w:t>E</w:t>
      </w:r>
      <w:r w:rsidRPr="00507305">
        <w:rPr>
          <w:rFonts w:ascii="Verdana" w:hAnsi="Verdana"/>
          <w:sz w:val="20"/>
          <w:szCs w:val="20"/>
        </w:rPr>
        <w:t>l 18 de enero de 2022 fue expedida la Ley 2195 de 2022 “</w:t>
      </w:r>
      <w:r w:rsidRPr="00507305">
        <w:rPr>
          <w:rFonts w:ascii="Verdana" w:hAnsi="Verdana"/>
          <w:i/>
          <w:sz w:val="20"/>
          <w:szCs w:val="20"/>
        </w:rPr>
        <w:t>Por medio</w:t>
      </w:r>
      <w:r w:rsidRPr="00507305">
        <w:rPr>
          <w:rFonts w:ascii="Verdana" w:hAnsi="Verdana"/>
          <w:i/>
          <w:spacing w:val="-20"/>
          <w:sz w:val="20"/>
          <w:szCs w:val="20"/>
        </w:rPr>
        <w:t xml:space="preserve"> </w:t>
      </w:r>
      <w:r w:rsidRPr="00507305">
        <w:rPr>
          <w:rFonts w:ascii="Verdana" w:hAnsi="Verdana"/>
          <w:i/>
          <w:sz w:val="20"/>
          <w:szCs w:val="20"/>
        </w:rPr>
        <w:t>de</w:t>
      </w:r>
      <w:r w:rsidRPr="00507305">
        <w:rPr>
          <w:rFonts w:ascii="Verdana" w:hAnsi="Verdana"/>
          <w:i/>
          <w:spacing w:val="-19"/>
          <w:sz w:val="20"/>
          <w:szCs w:val="20"/>
        </w:rPr>
        <w:t xml:space="preserve"> </w:t>
      </w:r>
      <w:r w:rsidRPr="00507305">
        <w:rPr>
          <w:rFonts w:ascii="Verdana" w:hAnsi="Verdana"/>
          <w:i/>
          <w:sz w:val="20"/>
          <w:szCs w:val="20"/>
        </w:rPr>
        <w:t>la</w:t>
      </w:r>
      <w:r w:rsidRPr="00507305">
        <w:rPr>
          <w:rFonts w:ascii="Verdana" w:hAnsi="Verdana"/>
          <w:i/>
          <w:spacing w:val="-19"/>
          <w:sz w:val="20"/>
          <w:szCs w:val="20"/>
        </w:rPr>
        <w:t xml:space="preserve"> </w:t>
      </w:r>
      <w:r w:rsidRPr="00507305">
        <w:rPr>
          <w:rFonts w:ascii="Verdana" w:hAnsi="Verdana"/>
          <w:i/>
          <w:sz w:val="20"/>
          <w:szCs w:val="20"/>
        </w:rPr>
        <w:t>cual</w:t>
      </w:r>
      <w:r w:rsidRPr="00507305">
        <w:rPr>
          <w:rFonts w:ascii="Verdana" w:hAnsi="Verdana"/>
          <w:i/>
          <w:spacing w:val="-20"/>
          <w:sz w:val="20"/>
          <w:szCs w:val="20"/>
        </w:rPr>
        <w:t xml:space="preserve"> </w:t>
      </w:r>
      <w:r w:rsidRPr="00507305">
        <w:rPr>
          <w:rFonts w:ascii="Verdana" w:hAnsi="Verdana"/>
          <w:i/>
          <w:sz w:val="20"/>
          <w:szCs w:val="20"/>
        </w:rPr>
        <w:t>se</w:t>
      </w:r>
      <w:r w:rsidRPr="00507305">
        <w:rPr>
          <w:rFonts w:ascii="Verdana" w:hAnsi="Verdana"/>
          <w:i/>
          <w:spacing w:val="-19"/>
          <w:sz w:val="20"/>
          <w:szCs w:val="20"/>
        </w:rPr>
        <w:t xml:space="preserve"> </w:t>
      </w:r>
      <w:r w:rsidRPr="00507305">
        <w:rPr>
          <w:rFonts w:ascii="Verdana" w:hAnsi="Verdana"/>
          <w:i/>
          <w:sz w:val="20"/>
          <w:szCs w:val="20"/>
        </w:rPr>
        <w:t>adoptan</w:t>
      </w:r>
      <w:r w:rsidRPr="00507305">
        <w:rPr>
          <w:rFonts w:ascii="Verdana" w:hAnsi="Verdana"/>
          <w:i/>
          <w:spacing w:val="-20"/>
          <w:sz w:val="20"/>
          <w:szCs w:val="20"/>
        </w:rPr>
        <w:t xml:space="preserve"> </w:t>
      </w:r>
      <w:r w:rsidRPr="00507305">
        <w:rPr>
          <w:rFonts w:ascii="Verdana" w:hAnsi="Verdana"/>
          <w:i/>
          <w:sz w:val="20"/>
          <w:szCs w:val="20"/>
        </w:rPr>
        <w:t>medidas</w:t>
      </w:r>
      <w:r w:rsidRPr="00507305">
        <w:rPr>
          <w:rFonts w:ascii="Verdana" w:hAnsi="Verdana"/>
          <w:i/>
          <w:spacing w:val="-19"/>
          <w:sz w:val="20"/>
          <w:szCs w:val="20"/>
        </w:rPr>
        <w:t xml:space="preserve"> </w:t>
      </w:r>
      <w:r w:rsidRPr="00507305">
        <w:rPr>
          <w:rFonts w:ascii="Verdana" w:hAnsi="Verdana"/>
          <w:i/>
          <w:sz w:val="20"/>
          <w:szCs w:val="20"/>
        </w:rPr>
        <w:t>en</w:t>
      </w:r>
      <w:r w:rsidRPr="00507305">
        <w:rPr>
          <w:rFonts w:ascii="Verdana" w:hAnsi="Verdana"/>
          <w:i/>
          <w:spacing w:val="-19"/>
          <w:sz w:val="20"/>
          <w:szCs w:val="20"/>
        </w:rPr>
        <w:t xml:space="preserve"> </w:t>
      </w:r>
      <w:r w:rsidRPr="00507305">
        <w:rPr>
          <w:rFonts w:ascii="Verdana" w:hAnsi="Verdana"/>
          <w:i/>
          <w:sz w:val="20"/>
          <w:szCs w:val="20"/>
        </w:rPr>
        <w:t>materia</w:t>
      </w:r>
      <w:r w:rsidRPr="00507305">
        <w:rPr>
          <w:rFonts w:ascii="Verdana" w:hAnsi="Verdana"/>
          <w:i/>
          <w:spacing w:val="-20"/>
          <w:sz w:val="20"/>
          <w:szCs w:val="20"/>
        </w:rPr>
        <w:t xml:space="preserve"> </w:t>
      </w:r>
      <w:r w:rsidRPr="00507305">
        <w:rPr>
          <w:rFonts w:ascii="Verdana" w:hAnsi="Verdana"/>
          <w:i/>
          <w:sz w:val="20"/>
          <w:szCs w:val="20"/>
        </w:rPr>
        <w:t>de</w:t>
      </w:r>
      <w:r w:rsidRPr="00507305">
        <w:rPr>
          <w:rFonts w:ascii="Verdana" w:hAnsi="Verdana"/>
          <w:i/>
          <w:spacing w:val="-19"/>
          <w:sz w:val="20"/>
          <w:szCs w:val="20"/>
        </w:rPr>
        <w:t xml:space="preserve"> </w:t>
      </w:r>
      <w:r w:rsidRPr="00507305">
        <w:rPr>
          <w:rFonts w:ascii="Verdana" w:hAnsi="Verdana"/>
          <w:i/>
          <w:sz w:val="20"/>
          <w:szCs w:val="20"/>
        </w:rPr>
        <w:t>transparencia,</w:t>
      </w:r>
      <w:r w:rsidRPr="00507305">
        <w:rPr>
          <w:rFonts w:ascii="Verdana" w:hAnsi="Verdana"/>
          <w:i/>
          <w:spacing w:val="-19"/>
          <w:sz w:val="20"/>
          <w:szCs w:val="20"/>
        </w:rPr>
        <w:t xml:space="preserve"> </w:t>
      </w:r>
      <w:r w:rsidRPr="00507305">
        <w:rPr>
          <w:rFonts w:ascii="Verdana" w:hAnsi="Verdana"/>
          <w:i/>
          <w:sz w:val="20"/>
          <w:szCs w:val="20"/>
        </w:rPr>
        <w:t>prevención y</w:t>
      </w:r>
      <w:r w:rsidRPr="00507305">
        <w:rPr>
          <w:rFonts w:ascii="Verdana" w:hAnsi="Verdana"/>
          <w:i/>
          <w:spacing w:val="-13"/>
          <w:sz w:val="20"/>
          <w:szCs w:val="20"/>
        </w:rPr>
        <w:t xml:space="preserve"> </w:t>
      </w:r>
      <w:r w:rsidRPr="00507305">
        <w:rPr>
          <w:rFonts w:ascii="Verdana" w:hAnsi="Verdana"/>
          <w:i/>
          <w:sz w:val="20"/>
          <w:szCs w:val="20"/>
        </w:rPr>
        <w:t>lucha</w:t>
      </w:r>
      <w:r w:rsidRPr="00507305">
        <w:rPr>
          <w:rFonts w:ascii="Verdana" w:hAnsi="Verdana"/>
          <w:i/>
          <w:spacing w:val="-11"/>
          <w:sz w:val="20"/>
          <w:szCs w:val="20"/>
        </w:rPr>
        <w:t xml:space="preserve"> </w:t>
      </w:r>
      <w:r w:rsidRPr="00507305">
        <w:rPr>
          <w:rFonts w:ascii="Verdana" w:hAnsi="Verdana"/>
          <w:i/>
          <w:sz w:val="20"/>
          <w:szCs w:val="20"/>
        </w:rPr>
        <w:t>contra</w:t>
      </w:r>
      <w:r w:rsidRPr="00507305">
        <w:rPr>
          <w:rFonts w:ascii="Verdana" w:hAnsi="Verdana"/>
          <w:i/>
          <w:spacing w:val="-12"/>
          <w:sz w:val="20"/>
          <w:szCs w:val="20"/>
        </w:rPr>
        <w:t xml:space="preserve"> </w:t>
      </w:r>
      <w:r w:rsidRPr="00507305">
        <w:rPr>
          <w:rFonts w:ascii="Verdana" w:hAnsi="Verdana"/>
          <w:i/>
          <w:sz w:val="20"/>
          <w:szCs w:val="20"/>
        </w:rPr>
        <w:t>la</w:t>
      </w:r>
      <w:r w:rsidRPr="00507305">
        <w:rPr>
          <w:rFonts w:ascii="Verdana" w:hAnsi="Verdana"/>
          <w:i/>
          <w:spacing w:val="-11"/>
          <w:sz w:val="20"/>
          <w:szCs w:val="20"/>
        </w:rPr>
        <w:t xml:space="preserve"> </w:t>
      </w:r>
      <w:r w:rsidRPr="00507305">
        <w:rPr>
          <w:rFonts w:ascii="Verdana" w:hAnsi="Verdana"/>
          <w:i/>
          <w:sz w:val="20"/>
          <w:szCs w:val="20"/>
        </w:rPr>
        <w:t>corrupción</w:t>
      </w:r>
      <w:r w:rsidRPr="00507305">
        <w:rPr>
          <w:rFonts w:ascii="Verdana" w:hAnsi="Verdana"/>
          <w:i/>
          <w:spacing w:val="-12"/>
          <w:sz w:val="20"/>
          <w:szCs w:val="20"/>
        </w:rPr>
        <w:t xml:space="preserve"> </w:t>
      </w:r>
      <w:r w:rsidRPr="00507305">
        <w:rPr>
          <w:rFonts w:ascii="Verdana" w:hAnsi="Verdana"/>
          <w:i/>
          <w:sz w:val="20"/>
          <w:szCs w:val="20"/>
        </w:rPr>
        <w:t>y</w:t>
      </w:r>
      <w:r w:rsidRPr="00507305">
        <w:rPr>
          <w:rFonts w:ascii="Verdana" w:hAnsi="Verdana"/>
          <w:i/>
          <w:spacing w:val="-13"/>
          <w:sz w:val="20"/>
          <w:szCs w:val="20"/>
        </w:rPr>
        <w:t xml:space="preserve"> </w:t>
      </w:r>
      <w:r w:rsidRPr="00507305">
        <w:rPr>
          <w:rFonts w:ascii="Verdana" w:hAnsi="Verdana"/>
          <w:i/>
          <w:sz w:val="20"/>
          <w:szCs w:val="20"/>
        </w:rPr>
        <w:t>se</w:t>
      </w:r>
      <w:r w:rsidRPr="00507305">
        <w:rPr>
          <w:rFonts w:ascii="Verdana" w:hAnsi="Verdana"/>
          <w:i/>
          <w:spacing w:val="-11"/>
          <w:sz w:val="20"/>
          <w:szCs w:val="20"/>
        </w:rPr>
        <w:t xml:space="preserve"> </w:t>
      </w:r>
      <w:r w:rsidRPr="00507305">
        <w:rPr>
          <w:rFonts w:ascii="Verdana" w:hAnsi="Verdana"/>
          <w:i/>
          <w:sz w:val="20"/>
          <w:szCs w:val="20"/>
        </w:rPr>
        <w:t>dictan</w:t>
      </w:r>
      <w:r w:rsidRPr="00507305">
        <w:rPr>
          <w:rFonts w:ascii="Verdana" w:hAnsi="Verdana"/>
          <w:i/>
          <w:spacing w:val="-12"/>
          <w:sz w:val="20"/>
          <w:szCs w:val="20"/>
        </w:rPr>
        <w:t xml:space="preserve"> </w:t>
      </w:r>
      <w:r w:rsidRPr="00507305">
        <w:rPr>
          <w:rFonts w:ascii="Verdana" w:hAnsi="Verdana"/>
          <w:i/>
          <w:sz w:val="20"/>
          <w:szCs w:val="20"/>
        </w:rPr>
        <w:t>otras</w:t>
      </w:r>
      <w:r w:rsidRPr="00507305">
        <w:rPr>
          <w:rFonts w:ascii="Verdana" w:hAnsi="Verdana"/>
          <w:i/>
          <w:spacing w:val="-11"/>
          <w:sz w:val="20"/>
          <w:szCs w:val="20"/>
        </w:rPr>
        <w:t xml:space="preserve"> </w:t>
      </w:r>
      <w:r w:rsidRPr="00507305">
        <w:rPr>
          <w:rFonts w:ascii="Verdana" w:hAnsi="Verdana"/>
          <w:i/>
          <w:sz w:val="20"/>
          <w:szCs w:val="20"/>
        </w:rPr>
        <w:t>disposiciones</w:t>
      </w:r>
      <w:r w:rsidRPr="00507305">
        <w:rPr>
          <w:rFonts w:ascii="Verdana" w:hAnsi="Verdana"/>
          <w:sz w:val="20"/>
          <w:szCs w:val="20"/>
        </w:rPr>
        <w:t>”,</w:t>
      </w:r>
      <w:r w:rsidRPr="00507305">
        <w:rPr>
          <w:rFonts w:ascii="Verdana" w:hAnsi="Verdana"/>
          <w:spacing w:val="-14"/>
          <w:sz w:val="20"/>
          <w:szCs w:val="20"/>
        </w:rPr>
        <w:t xml:space="preserve"> </w:t>
      </w:r>
      <w:r w:rsidRPr="00507305">
        <w:rPr>
          <w:rFonts w:ascii="Verdana" w:hAnsi="Verdana"/>
          <w:sz w:val="20"/>
          <w:szCs w:val="20"/>
        </w:rPr>
        <w:t>mediante</w:t>
      </w:r>
      <w:r w:rsidRPr="00507305">
        <w:rPr>
          <w:rFonts w:ascii="Verdana" w:hAnsi="Verdana"/>
          <w:spacing w:val="-11"/>
          <w:sz w:val="20"/>
          <w:szCs w:val="20"/>
        </w:rPr>
        <w:t xml:space="preserve"> </w:t>
      </w:r>
      <w:r w:rsidRPr="00507305">
        <w:rPr>
          <w:rFonts w:ascii="Verdana" w:hAnsi="Verdana"/>
          <w:sz w:val="20"/>
          <w:szCs w:val="20"/>
        </w:rPr>
        <w:t>la</w:t>
      </w:r>
      <w:r w:rsidRPr="00507305">
        <w:rPr>
          <w:rFonts w:ascii="Verdana" w:hAnsi="Verdana"/>
          <w:spacing w:val="-10"/>
          <w:sz w:val="20"/>
          <w:szCs w:val="20"/>
        </w:rPr>
        <w:t xml:space="preserve"> </w:t>
      </w:r>
      <w:r w:rsidRPr="00507305">
        <w:rPr>
          <w:rFonts w:ascii="Verdana" w:hAnsi="Verdana"/>
          <w:sz w:val="20"/>
          <w:szCs w:val="20"/>
        </w:rPr>
        <w:t xml:space="preserve">cual se introdujeron, a </w:t>
      </w:r>
      <w:r w:rsidRPr="00507305">
        <w:rPr>
          <w:rFonts w:ascii="Verdana" w:hAnsi="Verdana"/>
          <w:sz w:val="20"/>
          <w:szCs w:val="20"/>
        </w:rPr>
        <w:lastRenderedPageBreak/>
        <w:t>través del artículo 53, los incisos 2° y 3° al artículo 13 de la Ley 1150 de 2007, los cuales establecen la obligación, para las entidades públicas que por disposición legal cuenten con un régimen especial de contratación, de publicar su actividad contractual a través del Sistema Electrónico</w:t>
      </w:r>
      <w:r w:rsidRPr="00507305">
        <w:rPr>
          <w:rFonts w:ascii="Verdana" w:hAnsi="Verdana"/>
          <w:spacing w:val="-2"/>
          <w:sz w:val="20"/>
          <w:szCs w:val="20"/>
        </w:rPr>
        <w:t xml:space="preserve"> </w:t>
      </w:r>
      <w:r w:rsidRPr="00507305">
        <w:rPr>
          <w:rFonts w:ascii="Verdana" w:hAnsi="Verdana"/>
          <w:sz w:val="20"/>
          <w:szCs w:val="20"/>
        </w:rPr>
        <w:t>para</w:t>
      </w:r>
      <w:r w:rsidRPr="00507305">
        <w:rPr>
          <w:rFonts w:ascii="Verdana" w:hAnsi="Verdana"/>
          <w:spacing w:val="-4"/>
          <w:sz w:val="20"/>
          <w:szCs w:val="20"/>
        </w:rPr>
        <w:t xml:space="preserve"> </w:t>
      </w:r>
      <w:r w:rsidRPr="00507305">
        <w:rPr>
          <w:rFonts w:ascii="Verdana" w:hAnsi="Verdana"/>
          <w:sz w:val="20"/>
          <w:szCs w:val="20"/>
        </w:rPr>
        <w:t>la</w:t>
      </w:r>
      <w:r w:rsidRPr="00507305">
        <w:rPr>
          <w:rFonts w:ascii="Verdana" w:hAnsi="Verdana"/>
          <w:spacing w:val="-2"/>
          <w:sz w:val="20"/>
          <w:szCs w:val="20"/>
        </w:rPr>
        <w:t xml:space="preserve"> </w:t>
      </w:r>
      <w:r w:rsidRPr="00507305">
        <w:rPr>
          <w:rFonts w:ascii="Verdana" w:hAnsi="Verdana"/>
          <w:sz w:val="20"/>
          <w:szCs w:val="20"/>
        </w:rPr>
        <w:t>Contratación</w:t>
      </w:r>
      <w:r w:rsidRPr="00507305">
        <w:rPr>
          <w:rFonts w:ascii="Verdana" w:hAnsi="Verdana"/>
          <w:spacing w:val="-3"/>
          <w:sz w:val="20"/>
          <w:szCs w:val="20"/>
        </w:rPr>
        <w:t xml:space="preserve"> </w:t>
      </w:r>
      <w:r w:rsidRPr="00507305">
        <w:rPr>
          <w:rFonts w:ascii="Verdana" w:hAnsi="Verdana"/>
          <w:sz w:val="20"/>
          <w:szCs w:val="20"/>
        </w:rPr>
        <w:t>Pública</w:t>
      </w:r>
      <w:r w:rsidRPr="00507305">
        <w:rPr>
          <w:rFonts w:ascii="Verdana" w:hAnsi="Verdana"/>
          <w:spacing w:val="-4"/>
          <w:sz w:val="20"/>
          <w:szCs w:val="20"/>
        </w:rPr>
        <w:t xml:space="preserve"> </w:t>
      </w:r>
      <w:r w:rsidRPr="00507305">
        <w:rPr>
          <w:rFonts w:ascii="Verdana" w:hAnsi="Verdana"/>
          <w:sz w:val="20"/>
          <w:szCs w:val="20"/>
        </w:rPr>
        <w:t>en</w:t>
      </w:r>
      <w:r w:rsidRPr="00507305">
        <w:rPr>
          <w:rFonts w:ascii="Verdana" w:hAnsi="Verdana"/>
          <w:spacing w:val="-1"/>
          <w:sz w:val="20"/>
          <w:szCs w:val="20"/>
        </w:rPr>
        <w:t xml:space="preserve"> </w:t>
      </w:r>
      <w:r w:rsidRPr="00507305">
        <w:rPr>
          <w:rFonts w:ascii="Verdana" w:hAnsi="Verdana"/>
          <w:sz w:val="20"/>
          <w:szCs w:val="20"/>
        </w:rPr>
        <w:t>su</w:t>
      </w:r>
      <w:r w:rsidRPr="00507305">
        <w:rPr>
          <w:rFonts w:ascii="Verdana" w:hAnsi="Verdana"/>
          <w:spacing w:val="-3"/>
          <w:sz w:val="20"/>
          <w:szCs w:val="20"/>
        </w:rPr>
        <w:t xml:space="preserve"> </w:t>
      </w:r>
      <w:r w:rsidRPr="00507305">
        <w:rPr>
          <w:rFonts w:ascii="Verdana" w:hAnsi="Verdana"/>
          <w:sz w:val="20"/>
          <w:szCs w:val="20"/>
        </w:rPr>
        <w:t>versión</w:t>
      </w:r>
      <w:r w:rsidRPr="00507305">
        <w:rPr>
          <w:rFonts w:ascii="Verdana" w:hAnsi="Verdana"/>
          <w:spacing w:val="-3"/>
          <w:sz w:val="20"/>
          <w:szCs w:val="20"/>
        </w:rPr>
        <w:t xml:space="preserve"> </w:t>
      </w:r>
      <w:r w:rsidRPr="00507305">
        <w:rPr>
          <w:rFonts w:ascii="Verdana" w:hAnsi="Verdana"/>
          <w:sz w:val="20"/>
          <w:szCs w:val="20"/>
        </w:rPr>
        <w:t>transaccional,</w:t>
      </w:r>
      <w:r w:rsidRPr="00507305">
        <w:rPr>
          <w:rFonts w:ascii="Verdana" w:hAnsi="Verdana"/>
          <w:spacing w:val="-2"/>
          <w:sz w:val="20"/>
          <w:szCs w:val="20"/>
        </w:rPr>
        <w:t xml:space="preserve"> </w:t>
      </w:r>
      <w:r w:rsidRPr="00507305">
        <w:rPr>
          <w:rFonts w:ascii="Verdana" w:hAnsi="Verdana"/>
          <w:sz w:val="20"/>
          <w:szCs w:val="20"/>
        </w:rPr>
        <w:t>es</w:t>
      </w:r>
      <w:r w:rsidRPr="00507305">
        <w:rPr>
          <w:rFonts w:ascii="Verdana" w:hAnsi="Verdana"/>
          <w:spacing w:val="-2"/>
          <w:sz w:val="20"/>
          <w:szCs w:val="20"/>
        </w:rPr>
        <w:t xml:space="preserve"> </w:t>
      </w:r>
      <w:r w:rsidRPr="00507305">
        <w:rPr>
          <w:rFonts w:ascii="Verdana" w:hAnsi="Verdana"/>
          <w:sz w:val="20"/>
          <w:szCs w:val="20"/>
        </w:rPr>
        <w:t>decir en la plataforma SECOP II.</w:t>
      </w:r>
    </w:p>
    <w:p w14:paraId="0C380578" w14:textId="77777777" w:rsidR="00507305" w:rsidRPr="00507305" w:rsidRDefault="00507305" w:rsidP="00507305">
      <w:pPr>
        <w:tabs>
          <w:tab w:val="left" w:pos="142"/>
          <w:tab w:val="left" w:pos="284"/>
          <w:tab w:val="left" w:pos="6975"/>
        </w:tabs>
        <w:spacing w:after="0" w:line="240" w:lineRule="auto"/>
        <w:jc w:val="both"/>
        <w:rPr>
          <w:rFonts w:ascii="Verdana" w:hAnsi="Verdana"/>
          <w:sz w:val="20"/>
          <w:szCs w:val="20"/>
        </w:rPr>
      </w:pPr>
    </w:p>
    <w:p w14:paraId="5C3671D5" w14:textId="77777777" w:rsidR="00507305" w:rsidRPr="00507305" w:rsidRDefault="00507305" w:rsidP="00507305">
      <w:pPr>
        <w:tabs>
          <w:tab w:val="left" w:pos="142"/>
          <w:tab w:val="left" w:pos="284"/>
          <w:tab w:val="left" w:pos="6975"/>
        </w:tabs>
        <w:spacing w:after="0" w:line="240" w:lineRule="auto"/>
        <w:jc w:val="both"/>
        <w:rPr>
          <w:rFonts w:ascii="Verdana" w:hAnsi="Verdana"/>
          <w:sz w:val="20"/>
          <w:szCs w:val="20"/>
        </w:rPr>
      </w:pPr>
      <w:r w:rsidRPr="00507305">
        <w:rPr>
          <w:rFonts w:ascii="Verdana" w:hAnsi="Verdana"/>
          <w:sz w:val="20"/>
          <w:szCs w:val="20"/>
        </w:rPr>
        <w:t>De</w:t>
      </w:r>
      <w:r w:rsidRPr="00507305">
        <w:rPr>
          <w:rFonts w:ascii="Verdana" w:hAnsi="Verdana"/>
          <w:spacing w:val="-18"/>
          <w:sz w:val="20"/>
          <w:szCs w:val="20"/>
        </w:rPr>
        <w:t xml:space="preserve"> </w:t>
      </w:r>
      <w:r w:rsidRPr="00507305">
        <w:rPr>
          <w:rFonts w:ascii="Verdana" w:hAnsi="Verdana"/>
          <w:sz w:val="20"/>
          <w:szCs w:val="20"/>
        </w:rPr>
        <w:t>la</w:t>
      </w:r>
      <w:r w:rsidRPr="00507305">
        <w:rPr>
          <w:rFonts w:ascii="Verdana" w:hAnsi="Verdana"/>
          <w:spacing w:val="-19"/>
          <w:sz w:val="20"/>
          <w:szCs w:val="20"/>
        </w:rPr>
        <w:t xml:space="preserve"> </w:t>
      </w:r>
      <w:r w:rsidRPr="00507305">
        <w:rPr>
          <w:rFonts w:ascii="Verdana" w:hAnsi="Verdana"/>
          <w:sz w:val="20"/>
          <w:szCs w:val="20"/>
        </w:rPr>
        <w:t>misma</w:t>
      </w:r>
      <w:r w:rsidRPr="00507305">
        <w:rPr>
          <w:rFonts w:ascii="Verdana" w:hAnsi="Verdana"/>
          <w:spacing w:val="-19"/>
          <w:sz w:val="20"/>
          <w:szCs w:val="20"/>
        </w:rPr>
        <w:t xml:space="preserve"> </w:t>
      </w:r>
      <w:r w:rsidRPr="00507305">
        <w:rPr>
          <w:rFonts w:ascii="Verdana" w:hAnsi="Verdana"/>
          <w:sz w:val="20"/>
          <w:szCs w:val="20"/>
        </w:rPr>
        <w:t>manera,</w:t>
      </w:r>
      <w:r w:rsidRPr="00507305">
        <w:rPr>
          <w:rFonts w:ascii="Verdana" w:hAnsi="Verdana"/>
          <w:spacing w:val="-18"/>
          <w:sz w:val="20"/>
          <w:szCs w:val="20"/>
        </w:rPr>
        <w:t xml:space="preserve"> </w:t>
      </w:r>
      <w:r w:rsidRPr="00507305">
        <w:rPr>
          <w:rFonts w:ascii="Verdana" w:hAnsi="Verdana"/>
          <w:sz w:val="20"/>
          <w:szCs w:val="20"/>
        </w:rPr>
        <w:t>la</w:t>
      </w:r>
      <w:r w:rsidRPr="00507305">
        <w:rPr>
          <w:rFonts w:ascii="Verdana" w:hAnsi="Verdana"/>
          <w:spacing w:val="-19"/>
          <w:sz w:val="20"/>
          <w:szCs w:val="20"/>
        </w:rPr>
        <w:t xml:space="preserve"> </w:t>
      </w:r>
      <w:r w:rsidRPr="00507305">
        <w:rPr>
          <w:rFonts w:ascii="Verdana" w:hAnsi="Verdana"/>
          <w:sz w:val="20"/>
          <w:szCs w:val="20"/>
        </w:rPr>
        <w:t>norma</w:t>
      </w:r>
      <w:r w:rsidRPr="00507305">
        <w:rPr>
          <w:rFonts w:ascii="Verdana" w:hAnsi="Verdana"/>
          <w:spacing w:val="-19"/>
          <w:sz w:val="20"/>
          <w:szCs w:val="20"/>
        </w:rPr>
        <w:t xml:space="preserve"> </w:t>
      </w:r>
      <w:r w:rsidRPr="00507305">
        <w:rPr>
          <w:rFonts w:ascii="Verdana" w:hAnsi="Verdana"/>
          <w:sz w:val="20"/>
          <w:szCs w:val="20"/>
        </w:rPr>
        <w:t>en</w:t>
      </w:r>
      <w:r w:rsidRPr="00507305">
        <w:rPr>
          <w:rFonts w:ascii="Verdana" w:hAnsi="Verdana"/>
          <w:spacing w:val="-19"/>
          <w:sz w:val="20"/>
          <w:szCs w:val="20"/>
        </w:rPr>
        <w:t xml:space="preserve"> </w:t>
      </w:r>
      <w:r w:rsidRPr="00507305">
        <w:rPr>
          <w:rFonts w:ascii="Verdana" w:hAnsi="Verdana"/>
          <w:sz w:val="20"/>
          <w:szCs w:val="20"/>
        </w:rPr>
        <w:t>mención</w:t>
      </w:r>
      <w:r w:rsidRPr="00507305">
        <w:rPr>
          <w:rFonts w:ascii="Verdana" w:hAnsi="Verdana"/>
          <w:spacing w:val="-19"/>
          <w:sz w:val="20"/>
          <w:szCs w:val="20"/>
        </w:rPr>
        <w:t xml:space="preserve"> </w:t>
      </w:r>
      <w:r w:rsidRPr="00507305">
        <w:rPr>
          <w:rFonts w:ascii="Verdana" w:hAnsi="Verdana"/>
          <w:sz w:val="20"/>
          <w:szCs w:val="20"/>
        </w:rPr>
        <w:t>precisa</w:t>
      </w:r>
      <w:r w:rsidRPr="00507305">
        <w:rPr>
          <w:rFonts w:ascii="Verdana" w:hAnsi="Verdana"/>
          <w:spacing w:val="-19"/>
          <w:sz w:val="20"/>
          <w:szCs w:val="20"/>
        </w:rPr>
        <w:t xml:space="preserve"> </w:t>
      </w:r>
      <w:r w:rsidRPr="00507305">
        <w:rPr>
          <w:rFonts w:ascii="Verdana" w:hAnsi="Verdana"/>
          <w:sz w:val="20"/>
          <w:szCs w:val="20"/>
        </w:rPr>
        <w:t>el</w:t>
      </w:r>
      <w:r w:rsidRPr="00507305">
        <w:rPr>
          <w:rFonts w:ascii="Verdana" w:hAnsi="Verdana"/>
          <w:spacing w:val="-19"/>
          <w:sz w:val="20"/>
          <w:szCs w:val="20"/>
        </w:rPr>
        <w:t xml:space="preserve"> </w:t>
      </w:r>
      <w:r w:rsidRPr="00507305">
        <w:rPr>
          <w:rFonts w:ascii="Verdana" w:hAnsi="Verdana"/>
          <w:sz w:val="20"/>
          <w:szCs w:val="20"/>
        </w:rPr>
        <w:t>entendimiento</w:t>
      </w:r>
      <w:r w:rsidRPr="00507305">
        <w:rPr>
          <w:rFonts w:ascii="Verdana" w:hAnsi="Verdana"/>
          <w:spacing w:val="-19"/>
          <w:sz w:val="20"/>
          <w:szCs w:val="20"/>
        </w:rPr>
        <w:t xml:space="preserve"> </w:t>
      </w:r>
      <w:r w:rsidRPr="00507305">
        <w:rPr>
          <w:rFonts w:ascii="Verdana" w:hAnsi="Verdana"/>
          <w:sz w:val="20"/>
          <w:szCs w:val="20"/>
        </w:rPr>
        <w:t>que</w:t>
      </w:r>
      <w:r w:rsidRPr="00507305">
        <w:rPr>
          <w:rFonts w:ascii="Verdana" w:hAnsi="Verdana"/>
          <w:spacing w:val="-19"/>
          <w:sz w:val="20"/>
          <w:szCs w:val="20"/>
        </w:rPr>
        <w:t xml:space="preserve"> </w:t>
      </w:r>
      <w:r w:rsidRPr="00507305">
        <w:rPr>
          <w:rFonts w:ascii="Verdana" w:hAnsi="Verdana"/>
          <w:sz w:val="20"/>
          <w:szCs w:val="20"/>
        </w:rPr>
        <w:t>debe dársele</w:t>
      </w:r>
      <w:r w:rsidRPr="00507305">
        <w:rPr>
          <w:rFonts w:ascii="Verdana" w:hAnsi="Verdana"/>
          <w:spacing w:val="-7"/>
          <w:sz w:val="20"/>
          <w:szCs w:val="20"/>
        </w:rPr>
        <w:t xml:space="preserve"> </w:t>
      </w:r>
      <w:r w:rsidRPr="00507305">
        <w:rPr>
          <w:rFonts w:ascii="Verdana" w:hAnsi="Verdana"/>
          <w:sz w:val="20"/>
          <w:szCs w:val="20"/>
        </w:rPr>
        <w:t>a</w:t>
      </w:r>
      <w:r w:rsidRPr="00507305">
        <w:rPr>
          <w:rFonts w:ascii="Verdana" w:hAnsi="Verdana"/>
          <w:spacing w:val="-8"/>
          <w:sz w:val="20"/>
          <w:szCs w:val="20"/>
        </w:rPr>
        <w:t xml:space="preserve"> </w:t>
      </w:r>
      <w:r w:rsidRPr="00507305">
        <w:rPr>
          <w:rFonts w:ascii="Verdana" w:hAnsi="Verdana"/>
          <w:sz w:val="20"/>
          <w:szCs w:val="20"/>
        </w:rPr>
        <w:t>la</w:t>
      </w:r>
      <w:r w:rsidRPr="00507305">
        <w:rPr>
          <w:rFonts w:ascii="Verdana" w:hAnsi="Verdana"/>
          <w:spacing w:val="-8"/>
          <w:sz w:val="20"/>
          <w:szCs w:val="20"/>
        </w:rPr>
        <w:t xml:space="preserve"> </w:t>
      </w:r>
      <w:r w:rsidRPr="00507305">
        <w:rPr>
          <w:rFonts w:ascii="Verdana" w:hAnsi="Verdana"/>
          <w:sz w:val="20"/>
          <w:szCs w:val="20"/>
        </w:rPr>
        <w:t>expresión</w:t>
      </w:r>
      <w:r w:rsidRPr="00507305">
        <w:rPr>
          <w:rFonts w:ascii="Verdana" w:hAnsi="Verdana"/>
          <w:spacing w:val="-8"/>
          <w:sz w:val="20"/>
          <w:szCs w:val="20"/>
        </w:rPr>
        <w:t xml:space="preserve"> “actividad</w:t>
      </w:r>
      <w:r w:rsidRPr="00507305">
        <w:rPr>
          <w:rFonts w:ascii="Verdana" w:hAnsi="Verdana"/>
          <w:spacing w:val="-9"/>
          <w:sz w:val="20"/>
          <w:szCs w:val="20"/>
        </w:rPr>
        <w:t xml:space="preserve"> </w:t>
      </w:r>
      <w:r w:rsidRPr="00507305">
        <w:rPr>
          <w:rFonts w:ascii="Verdana" w:hAnsi="Verdana"/>
          <w:sz w:val="20"/>
          <w:szCs w:val="20"/>
        </w:rPr>
        <w:t>contractual”</w:t>
      </w:r>
      <w:r w:rsidRPr="00507305">
        <w:rPr>
          <w:rFonts w:ascii="Verdana" w:hAnsi="Verdana"/>
          <w:spacing w:val="-9"/>
          <w:sz w:val="20"/>
          <w:szCs w:val="20"/>
        </w:rPr>
        <w:t xml:space="preserve"> </w:t>
      </w:r>
      <w:r w:rsidRPr="00507305">
        <w:rPr>
          <w:rFonts w:ascii="Verdana" w:hAnsi="Verdana"/>
          <w:sz w:val="20"/>
          <w:szCs w:val="20"/>
        </w:rPr>
        <w:t>y</w:t>
      </w:r>
      <w:r w:rsidRPr="00507305">
        <w:rPr>
          <w:rFonts w:ascii="Verdana" w:hAnsi="Verdana"/>
          <w:spacing w:val="-9"/>
          <w:sz w:val="20"/>
          <w:szCs w:val="20"/>
        </w:rPr>
        <w:t xml:space="preserve"> </w:t>
      </w:r>
      <w:r w:rsidRPr="00507305">
        <w:rPr>
          <w:rFonts w:ascii="Verdana" w:hAnsi="Verdana"/>
          <w:sz w:val="20"/>
          <w:szCs w:val="20"/>
        </w:rPr>
        <w:t>que</w:t>
      </w:r>
      <w:r w:rsidRPr="00507305">
        <w:rPr>
          <w:rFonts w:ascii="Verdana" w:hAnsi="Verdana"/>
          <w:spacing w:val="-8"/>
          <w:sz w:val="20"/>
          <w:szCs w:val="20"/>
        </w:rPr>
        <w:t xml:space="preserve"> </w:t>
      </w:r>
      <w:r w:rsidRPr="00507305">
        <w:rPr>
          <w:rFonts w:ascii="Verdana" w:hAnsi="Verdana"/>
          <w:sz w:val="20"/>
          <w:szCs w:val="20"/>
        </w:rPr>
        <w:t>permitirá</w:t>
      </w:r>
      <w:r w:rsidRPr="00507305">
        <w:rPr>
          <w:rFonts w:ascii="Verdana" w:hAnsi="Verdana"/>
          <w:spacing w:val="-8"/>
          <w:sz w:val="20"/>
          <w:szCs w:val="20"/>
        </w:rPr>
        <w:t xml:space="preserve"> </w:t>
      </w:r>
      <w:r w:rsidRPr="00507305">
        <w:rPr>
          <w:rFonts w:ascii="Verdana" w:hAnsi="Verdana"/>
          <w:sz w:val="20"/>
          <w:szCs w:val="20"/>
        </w:rPr>
        <w:t>determinar</w:t>
      </w:r>
      <w:r w:rsidRPr="00507305">
        <w:rPr>
          <w:rFonts w:ascii="Verdana" w:hAnsi="Verdana"/>
          <w:spacing w:val="-8"/>
          <w:sz w:val="20"/>
          <w:szCs w:val="20"/>
        </w:rPr>
        <w:t xml:space="preserve"> </w:t>
      </w:r>
      <w:r w:rsidRPr="00507305">
        <w:rPr>
          <w:rFonts w:ascii="Verdana" w:hAnsi="Verdana"/>
          <w:sz w:val="20"/>
          <w:szCs w:val="20"/>
        </w:rPr>
        <w:t>los documentos que deben publicar en la plataforma SECOP II estas entidades. En ese sentido, las entidades que tienen un régimen de contratación exceptuado</w:t>
      </w:r>
      <w:r w:rsidRPr="00507305">
        <w:rPr>
          <w:rFonts w:ascii="Verdana" w:hAnsi="Verdana"/>
          <w:spacing w:val="-16"/>
          <w:sz w:val="20"/>
          <w:szCs w:val="20"/>
        </w:rPr>
        <w:t xml:space="preserve"> </w:t>
      </w:r>
      <w:r w:rsidRPr="00507305">
        <w:rPr>
          <w:rFonts w:ascii="Verdana" w:hAnsi="Verdana"/>
          <w:sz w:val="20"/>
          <w:szCs w:val="20"/>
        </w:rPr>
        <w:t>del</w:t>
      </w:r>
      <w:r w:rsidRPr="00507305">
        <w:rPr>
          <w:rFonts w:ascii="Verdana" w:hAnsi="Verdana"/>
          <w:spacing w:val="-16"/>
          <w:sz w:val="20"/>
          <w:szCs w:val="20"/>
        </w:rPr>
        <w:t xml:space="preserve"> </w:t>
      </w:r>
      <w:r w:rsidRPr="00507305">
        <w:rPr>
          <w:rFonts w:ascii="Verdana" w:hAnsi="Verdana"/>
          <w:sz w:val="20"/>
          <w:szCs w:val="20"/>
        </w:rPr>
        <w:t>Estatuto</w:t>
      </w:r>
      <w:r w:rsidRPr="00507305">
        <w:rPr>
          <w:rFonts w:ascii="Verdana" w:hAnsi="Verdana"/>
          <w:spacing w:val="-16"/>
          <w:sz w:val="20"/>
          <w:szCs w:val="20"/>
        </w:rPr>
        <w:t xml:space="preserve"> </w:t>
      </w:r>
      <w:r w:rsidRPr="00507305">
        <w:rPr>
          <w:rFonts w:ascii="Verdana" w:hAnsi="Verdana"/>
          <w:sz w:val="20"/>
          <w:szCs w:val="20"/>
        </w:rPr>
        <w:t>General</w:t>
      </w:r>
      <w:r w:rsidRPr="00507305">
        <w:rPr>
          <w:rFonts w:ascii="Verdana" w:hAnsi="Verdana"/>
          <w:spacing w:val="-17"/>
          <w:sz w:val="20"/>
          <w:szCs w:val="20"/>
        </w:rPr>
        <w:t xml:space="preserve"> </w:t>
      </w:r>
      <w:r w:rsidRPr="00507305">
        <w:rPr>
          <w:rFonts w:ascii="Verdana" w:hAnsi="Verdana"/>
          <w:sz w:val="20"/>
          <w:szCs w:val="20"/>
        </w:rPr>
        <w:t>de</w:t>
      </w:r>
      <w:r w:rsidRPr="00507305">
        <w:rPr>
          <w:rFonts w:ascii="Verdana" w:hAnsi="Verdana"/>
          <w:spacing w:val="-16"/>
          <w:sz w:val="20"/>
          <w:szCs w:val="20"/>
        </w:rPr>
        <w:t xml:space="preserve"> </w:t>
      </w:r>
      <w:r w:rsidRPr="00507305">
        <w:rPr>
          <w:rFonts w:ascii="Verdana" w:hAnsi="Verdana"/>
          <w:sz w:val="20"/>
          <w:szCs w:val="20"/>
        </w:rPr>
        <w:t>Contratación</w:t>
      </w:r>
      <w:r w:rsidRPr="00507305">
        <w:rPr>
          <w:rFonts w:ascii="Verdana" w:hAnsi="Verdana"/>
          <w:spacing w:val="-16"/>
          <w:sz w:val="20"/>
          <w:szCs w:val="20"/>
        </w:rPr>
        <w:t xml:space="preserve"> </w:t>
      </w:r>
      <w:r w:rsidRPr="00507305">
        <w:rPr>
          <w:rFonts w:ascii="Verdana" w:hAnsi="Verdana"/>
          <w:sz w:val="20"/>
          <w:szCs w:val="20"/>
        </w:rPr>
        <w:t>de</w:t>
      </w:r>
      <w:r w:rsidRPr="00507305">
        <w:rPr>
          <w:rFonts w:ascii="Verdana" w:hAnsi="Verdana"/>
          <w:spacing w:val="-16"/>
          <w:sz w:val="20"/>
          <w:szCs w:val="20"/>
        </w:rPr>
        <w:t xml:space="preserve"> </w:t>
      </w:r>
      <w:r w:rsidRPr="00507305">
        <w:rPr>
          <w:rFonts w:ascii="Verdana" w:hAnsi="Verdana"/>
          <w:sz w:val="20"/>
          <w:szCs w:val="20"/>
        </w:rPr>
        <w:t>la</w:t>
      </w:r>
      <w:r w:rsidRPr="00507305">
        <w:rPr>
          <w:rFonts w:ascii="Verdana" w:hAnsi="Verdana"/>
          <w:spacing w:val="-17"/>
          <w:sz w:val="20"/>
          <w:szCs w:val="20"/>
        </w:rPr>
        <w:t xml:space="preserve"> </w:t>
      </w:r>
      <w:r w:rsidRPr="00507305">
        <w:rPr>
          <w:rFonts w:ascii="Verdana" w:hAnsi="Verdana"/>
          <w:sz w:val="20"/>
          <w:szCs w:val="20"/>
        </w:rPr>
        <w:t>Administración</w:t>
      </w:r>
      <w:r w:rsidRPr="00507305">
        <w:rPr>
          <w:rFonts w:ascii="Verdana" w:hAnsi="Verdana"/>
          <w:spacing w:val="-16"/>
          <w:sz w:val="20"/>
          <w:szCs w:val="20"/>
        </w:rPr>
        <w:t xml:space="preserve"> </w:t>
      </w:r>
      <w:r w:rsidRPr="00507305">
        <w:rPr>
          <w:rFonts w:ascii="Verdana" w:hAnsi="Verdana"/>
          <w:sz w:val="20"/>
          <w:szCs w:val="20"/>
        </w:rPr>
        <w:t xml:space="preserve">Pública tendrán la obligación de publicar </w:t>
      </w:r>
      <w:r w:rsidRPr="00507305">
        <w:rPr>
          <w:rFonts w:ascii="Verdana" w:hAnsi="Verdana"/>
          <w:i/>
          <w:sz w:val="20"/>
          <w:szCs w:val="20"/>
        </w:rPr>
        <w:t>“los documentos, contratos, actos e información</w:t>
      </w:r>
      <w:r w:rsidRPr="00507305">
        <w:rPr>
          <w:rFonts w:ascii="Verdana" w:hAnsi="Verdana"/>
          <w:i/>
          <w:spacing w:val="26"/>
          <w:sz w:val="20"/>
          <w:szCs w:val="20"/>
        </w:rPr>
        <w:t xml:space="preserve"> </w:t>
      </w:r>
      <w:r w:rsidRPr="00507305">
        <w:rPr>
          <w:rFonts w:ascii="Verdana" w:hAnsi="Verdana"/>
          <w:i/>
          <w:sz w:val="20"/>
          <w:szCs w:val="20"/>
        </w:rPr>
        <w:t>generada</w:t>
      </w:r>
      <w:r w:rsidRPr="00507305">
        <w:rPr>
          <w:rFonts w:ascii="Verdana" w:hAnsi="Verdana"/>
          <w:i/>
          <w:spacing w:val="28"/>
          <w:sz w:val="20"/>
          <w:szCs w:val="20"/>
        </w:rPr>
        <w:t xml:space="preserve"> </w:t>
      </w:r>
      <w:r w:rsidRPr="00507305">
        <w:rPr>
          <w:rFonts w:ascii="Verdana" w:hAnsi="Verdana"/>
          <w:i/>
          <w:sz w:val="20"/>
          <w:szCs w:val="20"/>
        </w:rPr>
        <w:t>por</w:t>
      </w:r>
      <w:r w:rsidRPr="00507305">
        <w:rPr>
          <w:rFonts w:ascii="Verdana" w:hAnsi="Verdana"/>
          <w:i/>
          <w:spacing w:val="28"/>
          <w:sz w:val="20"/>
          <w:szCs w:val="20"/>
        </w:rPr>
        <w:t xml:space="preserve"> </w:t>
      </w:r>
      <w:r w:rsidRPr="00507305">
        <w:rPr>
          <w:rFonts w:ascii="Verdana" w:hAnsi="Verdana"/>
          <w:i/>
          <w:sz w:val="20"/>
          <w:szCs w:val="20"/>
        </w:rPr>
        <w:t>oferentes,</w:t>
      </w:r>
      <w:r w:rsidRPr="00507305">
        <w:rPr>
          <w:rFonts w:ascii="Verdana" w:hAnsi="Verdana"/>
          <w:i/>
          <w:spacing w:val="30"/>
          <w:sz w:val="20"/>
          <w:szCs w:val="20"/>
        </w:rPr>
        <w:t xml:space="preserve"> </w:t>
      </w:r>
      <w:r w:rsidRPr="00507305">
        <w:rPr>
          <w:rFonts w:ascii="Verdana" w:hAnsi="Verdana"/>
          <w:i/>
          <w:sz w:val="20"/>
          <w:szCs w:val="20"/>
        </w:rPr>
        <w:t>contratista,</w:t>
      </w:r>
      <w:r w:rsidRPr="00507305">
        <w:rPr>
          <w:rFonts w:ascii="Verdana" w:hAnsi="Verdana"/>
          <w:i/>
          <w:spacing w:val="29"/>
          <w:sz w:val="20"/>
          <w:szCs w:val="20"/>
        </w:rPr>
        <w:t xml:space="preserve"> </w:t>
      </w:r>
      <w:r w:rsidRPr="00507305">
        <w:rPr>
          <w:rFonts w:ascii="Verdana" w:hAnsi="Verdana"/>
          <w:i/>
          <w:sz w:val="20"/>
          <w:szCs w:val="20"/>
        </w:rPr>
        <w:t>contratante,</w:t>
      </w:r>
      <w:r w:rsidRPr="00507305">
        <w:rPr>
          <w:rFonts w:ascii="Verdana" w:hAnsi="Verdana"/>
          <w:i/>
          <w:spacing w:val="30"/>
          <w:sz w:val="20"/>
          <w:szCs w:val="20"/>
        </w:rPr>
        <w:t xml:space="preserve"> </w:t>
      </w:r>
      <w:r w:rsidRPr="00507305">
        <w:rPr>
          <w:rFonts w:ascii="Verdana" w:hAnsi="Verdana"/>
          <w:i/>
          <w:sz w:val="20"/>
          <w:szCs w:val="20"/>
        </w:rPr>
        <w:t>supervisor</w:t>
      </w:r>
      <w:r w:rsidRPr="00507305">
        <w:rPr>
          <w:rFonts w:ascii="Verdana" w:hAnsi="Verdana"/>
          <w:i/>
          <w:spacing w:val="27"/>
          <w:sz w:val="20"/>
          <w:szCs w:val="20"/>
        </w:rPr>
        <w:t xml:space="preserve"> </w:t>
      </w:r>
      <w:r w:rsidRPr="00507305">
        <w:rPr>
          <w:rFonts w:ascii="Verdana" w:hAnsi="Verdana"/>
          <w:i/>
          <w:spacing w:val="-10"/>
          <w:sz w:val="20"/>
          <w:szCs w:val="20"/>
        </w:rPr>
        <w:t>o</w:t>
      </w:r>
      <w:r w:rsidRPr="00507305">
        <w:rPr>
          <w:rFonts w:ascii="Verdana" w:hAnsi="Verdana"/>
          <w:i/>
          <w:sz w:val="20"/>
          <w:szCs w:val="20"/>
        </w:rPr>
        <w:t xml:space="preserve"> interventor, tanto en la etapa precontractual, como en la contractual y la </w:t>
      </w:r>
      <w:r w:rsidRPr="00507305">
        <w:rPr>
          <w:rFonts w:ascii="Verdana" w:hAnsi="Verdana"/>
          <w:i/>
          <w:spacing w:val="-2"/>
          <w:sz w:val="20"/>
          <w:szCs w:val="20"/>
        </w:rPr>
        <w:t>postcontractual”</w:t>
      </w:r>
      <w:r w:rsidRPr="00507305">
        <w:rPr>
          <w:rFonts w:ascii="Verdana" w:hAnsi="Verdana"/>
          <w:spacing w:val="-2"/>
          <w:sz w:val="20"/>
          <w:szCs w:val="20"/>
        </w:rPr>
        <w:t>.</w:t>
      </w:r>
    </w:p>
    <w:p w14:paraId="4C6C5C4C" w14:textId="77777777" w:rsidR="00507305" w:rsidRDefault="00507305" w:rsidP="007D41E8">
      <w:pPr>
        <w:spacing w:after="0"/>
        <w:rPr>
          <w:rFonts w:ascii="Verdana" w:hAnsi="Verdana"/>
          <w:lang w:val="es-ES"/>
        </w:rPr>
      </w:pPr>
    </w:p>
    <w:p w14:paraId="090BA788" w14:textId="77777777" w:rsidR="009E582F" w:rsidRDefault="009E582F" w:rsidP="007D41E8">
      <w:pPr>
        <w:spacing w:after="0"/>
        <w:rPr>
          <w:rFonts w:ascii="Verdana" w:hAnsi="Verdana"/>
          <w:lang w:val="es-ES"/>
        </w:rPr>
      </w:pPr>
    </w:p>
    <w:p w14:paraId="2C4016EA" w14:textId="77777777" w:rsidR="009E582F" w:rsidRDefault="009E582F" w:rsidP="007D41E8">
      <w:pPr>
        <w:spacing w:after="0"/>
        <w:rPr>
          <w:rFonts w:ascii="Verdana" w:hAnsi="Verdana"/>
          <w:lang w:val="es-ES"/>
        </w:rPr>
      </w:pPr>
    </w:p>
    <w:p w14:paraId="0D938487" w14:textId="77777777" w:rsidR="009E582F" w:rsidRDefault="009E582F" w:rsidP="007D41E8">
      <w:pPr>
        <w:spacing w:after="0"/>
        <w:rPr>
          <w:rFonts w:ascii="Verdana" w:hAnsi="Verdana"/>
          <w:lang w:val="es-ES"/>
        </w:rPr>
      </w:pPr>
    </w:p>
    <w:p w14:paraId="69F93439" w14:textId="77777777" w:rsidR="009E582F" w:rsidRDefault="009E582F" w:rsidP="007D41E8">
      <w:pPr>
        <w:spacing w:after="0"/>
        <w:rPr>
          <w:rFonts w:ascii="Verdana" w:hAnsi="Verdana"/>
          <w:lang w:val="es-ES"/>
        </w:rPr>
      </w:pPr>
    </w:p>
    <w:p w14:paraId="1E64CB26" w14:textId="77777777" w:rsidR="009E582F" w:rsidRDefault="009E582F" w:rsidP="007D41E8">
      <w:pPr>
        <w:spacing w:after="0"/>
        <w:rPr>
          <w:rFonts w:ascii="Verdana" w:hAnsi="Verdana"/>
          <w:lang w:val="es-ES"/>
        </w:rPr>
      </w:pPr>
    </w:p>
    <w:p w14:paraId="6B4D4738" w14:textId="77777777" w:rsidR="009E582F" w:rsidRDefault="009E582F" w:rsidP="007D41E8">
      <w:pPr>
        <w:spacing w:after="0"/>
        <w:rPr>
          <w:rFonts w:ascii="Verdana" w:hAnsi="Verdana"/>
          <w:lang w:val="es-ES"/>
        </w:rPr>
      </w:pPr>
    </w:p>
    <w:p w14:paraId="609290C0" w14:textId="77777777" w:rsidR="009E582F" w:rsidRDefault="009E582F" w:rsidP="007D41E8">
      <w:pPr>
        <w:spacing w:after="0"/>
        <w:rPr>
          <w:rFonts w:ascii="Verdana" w:hAnsi="Verdana"/>
          <w:lang w:val="es-ES"/>
        </w:rPr>
      </w:pPr>
    </w:p>
    <w:p w14:paraId="1E30E62D" w14:textId="77777777" w:rsidR="009E582F" w:rsidRDefault="009E582F" w:rsidP="007D41E8">
      <w:pPr>
        <w:spacing w:after="0"/>
        <w:rPr>
          <w:rFonts w:ascii="Verdana" w:hAnsi="Verdana"/>
          <w:lang w:val="es-ES"/>
        </w:rPr>
      </w:pPr>
    </w:p>
    <w:p w14:paraId="3F3D3068" w14:textId="77777777" w:rsidR="009E582F" w:rsidRDefault="009E582F" w:rsidP="007D41E8">
      <w:pPr>
        <w:spacing w:after="0"/>
        <w:rPr>
          <w:rFonts w:ascii="Verdana" w:hAnsi="Verdana"/>
          <w:lang w:val="es-ES"/>
        </w:rPr>
      </w:pPr>
    </w:p>
    <w:p w14:paraId="5056A978" w14:textId="77777777" w:rsidR="009E582F" w:rsidRDefault="009E582F" w:rsidP="007D41E8">
      <w:pPr>
        <w:spacing w:after="0"/>
        <w:rPr>
          <w:rFonts w:ascii="Verdana" w:hAnsi="Verdana"/>
          <w:lang w:val="es-ES"/>
        </w:rPr>
      </w:pPr>
    </w:p>
    <w:p w14:paraId="2DDE5016" w14:textId="77777777" w:rsidR="009E582F" w:rsidRDefault="009E582F" w:rsidP="007D41E8">
      <w:pPr>
        <w:spacing w:after="0"/>
        <w:rPr>
          <w:rFonts w:ascii="Verdana" w:hAnsi="Verdana"/>
          <w:lang w:val="es-ES"/>
        </w:rPr>
      </w:pPr>
    </w:p>
    <w:p w14:paraId="2681A7F4" w14:textId="77777777" w:rsidR="009E582F" w:rsidRDefault="009E582F" w:rsidP="007D41E8">
      <w:pPr>
        <w:spacing w:after="0"/>
        <w:rPr>
          <w:rFonts w:ascii="Verdana" w:hAnsi="Verdana"/>
          <w:lang w:val="es-ES"/>
        </w:rPr>
      </w:pPr>
    </w:p>
    <w:p w14:paraId="5DB52F10" w14:textId="77777777" w:rsidR="009E582F" w:rsidRDefault="009E582F" w:rsidP="007D41E8">
      <w:pPr>
        <w:spacing w:after="0"/>
        <w:rPr>
          <w:rFonts w:ascii="Verdana" w:hAnsi="Verdana"/>
          <w:lang w:val="es-ES"/>
        </w:rPr>
      </w:pPr>
    </w:p>
    <w:p w14:paraId="1D268983" w14:textId="77777777" w:rsidR="009E582F" w:rsidRDefault="009E582F" w:rsidP="007D41E8">
      <w:pPr>
        <w:spacing w:after="0"/>
        <w:rPr>
          <w:rFonts w:ascii="Verdana" w:hAnsi="Verdana"/>
          <w:lang w:val="es-ES"/>
        </w:rPr>
      </w:pPr>
    </w:p>
    <w:p w14:paraId="51E977CB" w14:textId="77777777" w:rsidR="009E582F" w:rsidRDefault="009E582F" w:rsidP="007D41E8">
      <w:pPr>
        <w:spacing w:after="0"/>
        <w:rPr>
          <w:rFonts w:ascii="Verdana" w:hAnsi="Verdana"/>
          <w:lang w:val="es-ES"/>
        </w:rPr>
      </w:pPr>
    </w:p>
    <w:p w14:paraId="5C4E4BA5" w14:textId="77777777" w:rsidR="009E582F" w:rsidRDefault="009E582F" w:rsidP="007D41E8">
      <w:pPr>
        <w:spacing w:after="0"/>
        <w:rPr>
          <w:rFonts w:ascii="Verdana" w:hAnsi="Verdana"/>
          <w:lang w:val="es-ES"/>
        </w:rPr>
      </w:pPr>
    </w:p>
    <w:p w14:paraId="4AB12F57" w14:textId="77777777" w:rsidR="009E582F" w:rsidRDefault="009E582F" w:rsidP="007D41E8">
      <w:pPr>
        <w:spacing w:after="0"/>
        <w:rPr>
          <w:rFonts w:ascii="Verdana" w:hAnsi="Verdana"/>
          <w:lang w:val="es-ES"/>
        </w:rPr>
      </w:pPr>
    </w:p>
    <w:p w14:paraId="528F337F" w14:textId="77777777" w:rsidR="009E582F" w:rsidRDefault="009E582F" w:rsidP="007D41E8">
      <w:pPr>
        <w:spacing w:after="0"/>
        <w:rPr>
          <w:rFonts w:ascii="Verdana" w:hAnsi="Verdana"/>
          <w:lang w:val="es-ES"/>
        </w:rPr>
      </w:pPr>
    </w:p>
    <w:p w14:paraId="4B70B767" w14:textId="77777777" w:rsidR="009E582F" w:rsidRDefault="009E582F" w:rsidP="007D41E8">
      <w:pPr>
        <w:spacing w:after="0"/>
        <w:rPr>
          <w:rFonts w:ascii="Verdana" w:hAnsi="Verdana"/>
          <w:lang w:val="es-ES"/>
        </w:rPr>
      </w:pPr>
    </w:p>
    <w:p w14:paraId="23A85FD2" w14:textId="77777777" w:rsidR="009E582F" w:rsidRDefault="009E582F" w:rsidP="007D41E8">
      <w:pPr>
        <w:spacing w:after="0"/>
        <w:rPr>
          <w:rFonts w:ascii="Verdana" w:hAnsi="Verdana"/>
          <w:lang w:val="es-ES"/>
        </w:rPr>
      </w:pPr>
    </w:p>
    <w:p w14:paraId="3BAA704D" w14:textId="77777777" w:rsidR="009E582F" w:rsidRDefault="009E582F" w:rsidP="007D41E8">
      <w:pPr>
        <w:spacing w:after="0"/>
        <w:rPr>
          <w:rFonts w:ascii="Verdana" w:hAnsi="Verdana"/>
          <w:lang w:val="es-ES"/>
        </w:rPr>
      </w:pPr>
    </w:p>
    <w:p w14:paraId="4D41FAFF" w14:textId="77777777" w:rsidR="009E582F" w:rsidRDefault="009E582F" w:rsidP="007D41E8">
      <w:pPr>
        <w:spacing w:after="0"/>
        <w:rPr>
          <w:rFonts w:ascii="Verdana" w:hAnsi="Verdana"/>
          <w:lang w:val="es-ES"/>
        </w:rPr>
      </w:pPr>
    </w:p>
    <w:p w14:paraId="74CFFAF9" w14:textId="77777777" w:rsidR="009E582F" w:rsidRDefault="009E582F" w:rsidP="007D41E8">
      <w:pPr>
        <w:spacing w:after="0"/>
        <w:rPr>
          <w:rFonts w:ascii="Verdana" w:hAnsi="Verdana"/>
          <w:lang w:val="es-ES"/>
        </w:rPr>
      </w:pPr>
    </w:p>
    <w:p w14:paraId="3BF40D1C" w14:textId="77777777" w:rsidR="009E582F" w:rsidRDefault="009E582F" w:rsidP="007D41E8">
      <w:pPr>
        <w:spacing w:after="0"/>
        <w:rPr>
          <w:rFonts w:ascii="Verdana" w:hAnsi="Verdana"/>
          <w:lang w:val="es-ES"/>
        </w:rPr>
      </w:pPr>
    </w:p>
    <w:p w14:paraId="69ED84E4" w14:textId="77777777" w:rsidR="009E582F" w:rsidRDefault="009E582F" w:rsidP="007D41E8">
      <w:pPr>
        <w:spacing w:after="0"/>
        <w:rPr>
          <w:rFonts w:ascii="Verdana" w:hAnsi="Verdana"/>
          <w:lang w:val="es-ES"/>
        </w:rPr>
      </w:pPr>
    </w:p>
    <w:p w14:paraId="7AF6C4EF" w14:textId="77777777" w:rsidR="009E582F" w:rsidRDefault="009E582F" w:rsidP="007D41E8">
      <w:pPr>
        <w:spacing w:after="0"/>
        <w:rPr>
          <w:rFonts w:ascii="Verdana" w:hAnsi="Verdana"/>
          <w:lang w:val="es-ES"/>
        </w:rPr>
      </w:pPr>
    </w:p>
    <w:p w14:paraId="47004CE1" w14:textId="58100E05" w:rsidR="007D41E8" w:rsidRPr="00A220B2" w:rsidRDefault="007D41E8" w:rsidP="007D41E8">
      <w:pPr>
        <w:spacing w:after="0"/>
        <w:rPr>
          <w:rFonts w:ascii="Verdana" w:hAnsi="Verdana"/>
          <w:lang w:val="es-ES"/>
        </w:rPr>
      </w:pPr>
      <w:r w:rsidRPr="00A220B2">
        <w:rPr>
          <w:rFonts w:ascii="Verdana" w:hAnsi="Verdana"/>
          <w:lang w:val="es-ES"/>
        </w:rPr>
        <w:lastRenderedPageBreak/>
        <w:t xml:space="preserve">Bogotá D.C., </w:t>
      </w:r>
      <w:r w:rsidR="002D1FB7">
        <w:rPr>
          <w:rFonts w:ascii="Verdana" w:hAnsi="Verdana"/>
          <w:lang w:val="es-ES"/>
        </w:rPr>
        <w:t>29 de julio de 2026</w:t>
      </w:r>
    </w:p>
    <w:p w14:paraId="71923285" w14:textId="0D1C5AC1" w:rsidR="007D41E8" w:rsidRPr="00A220B2" w:rsidRDefault="002D1FB7" w:rsidP="007D41E8">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7BC74A56" wp14:editId="6CB10570">
            <wp:simplePos x="0" y="0"/>
            <wp:positionH relativeFrom="column">
              <wp:posOffset>3208655</wp:posOffset>
            </wp:positionH>
            <wp:positionV relativeFrom="paragraph">
              <wp:posOffset>119784</wp:posOffset>
            </wp:positionV>
            <wp:extent cx="2792730" cy="781050"/>
            <wp:effectExtent l="0" t="0" r="1270" b="6350"/>
            <wp:wrapSquare wrapText="bothSides"/>
            <wp:docPr id="141213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136843" name="Picture 1412136843"/>
                    <pic:cNvPicPr/>
                  </pic:nvPicPr>
                  <pic:blipFill>
                    <a:blip r:embed="rId10">
                      <a:extLst>
                        <a:ext uri="{28A0092B-C50C-407E-A947-70E740481C1C}">
                          <a14:useLocalDpi xmlns:a14="http://schemas.microsoft.com/office/drawing/2010/main" val="0"/>
                        </a:ext>
                      </a:extLst>
                    </a:blip>
                    <a:stretch>
                      <a:fillRect/>
                    </a:stretch>
                  </pic:blipFill>
                  <pic:spPr>
                    <a:xfrm>
                      <a:off x="0" y="0"/>
                      <a:ext cx="2792730" cy="781050"/>
                    </a:xfrm>
                    <a:prstGeom prst="rect">
                      <a:avLst/>
                    </a:prstGeom>
                  </pic:spPr>
                </pic:pic>
              </a:graphicData>
            </a:graphic>
            <wp14:sizeRelH relativeFrom="page">
              <wp14:pctWidth>0</wp14:pctWidth>
            </wp14:sizeRelH>
            <wp14:sizeRelV relativeFrom="page">
              <wp14:pctHeight>0</wp14:pctHeight>
            </wp14:sizeRelV>
          </wp:anchor>
        </w:drawing>
      </w:r>
    </w:p>
    <w:p w14:paraId="10A90FE8" w14:textId="0983A1E0" w:rsidR="007D41E8" w:rsidRPr="00A220B2" w:rsidRDefault="007D41E8" w:rsidP="007D41E8">
      <w:pPr>
        <w:spacing w:after="0" w:line="240" w:lineRule="auto"/>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Doctora</w:t>
      </w:r>
    </w:p>
    <w:p w14:paraId="40D3E6DC" w14:textId="25E5420A" w:rsidR="007D41E8" w:rsidRPr="009F5103" w:rsidRDefault="007D41E8" w:rsidP="007D41E8">
      <w:pPr>
        <w:spacing w:after="0" w:line="240" w:lineRule="auto"/>
        <w:jc w:val="both"/>
        <w:rPr>
          <w:rFonts w:ascii="Verdana" w:eastAsia="Calibri" w:hAnsi="Verdana" w:cs="Arial"/>
          <w:color w:val="000000" w:themeColor="text1"/>
          <w:lang w:val="es-ES" w:eastAsia="es-ES"/>
        </w:rPr>
      </w:pPr>
      <w:r w:rsidRPr="00A220B2">
        <w:rPr>
          <w:rFonts w:ascii="Verdana" w:eastAsia="Calibri" w:hAnsi="Verdana" w:cs="Arial"/>
          <w:b/>
          <w:bCs/>
          <w:color w:val="000000" w:themeColor="text1"/>
          <w:lang w:val="es-ES" w:eastAsia="es-ES"/>
        </w:rPr>
        <w:t xml:space="preserve">Diana Lyda </w:t>
      </w:r>
      <w:proofErr w:type="spellStart"/>
      <w:r w:rsidRPr="00A220B2">
        <w:rPr>
          <w:rFonts w:ascii="Verdana" w:eastAsia="Calibri" w:hAnsi="Verdana" w:cs="Arial"/>
          <w:b/>
          <w:bCs/>
          <w:color w:val="000000" w:themeColor="text1"/>
          <w:lang w:val="es-ES" w:eastAsia="es-ES"/>
        </w:rPr>
        <w:t>Peñalosa</w:t>
      </w:r>
      <w:proofErr w:type="spellEnd"/>
      <w:r w:rsidRPr="00A220B2">
        <w:rPr>
          <w:rFonts w:ascii="Verdana" w:eastAsia="Calibri" w:hAnsi="Verdana" w:cs="Arial"/>
          <w:b/>
          <w:bCs/>
          <w:color w:val="000000" w:themeColor="text1"/>
          <w:lang w:val="es-ES" w:eastAsia="es-ES"/>
        </w:rPr>
        <w:t xml:space="preserve"> Bonilla </w:t>
      </w:r>
    </w:p>
    <w:p w14:paraId="1C4C6CE0" w14:textId="642C288B" w:rsidR="007D41E8" w:rsidRPr="009F5103" w:rsidRDefault="007D41E8" w:rsidP="007D41E8">
      <w:pPr>
        <w:spacing w:after="0" w:line="240" w:lineRule="auto"/>
        <w:jc w:val="both"/>
        <w:rPr>
          <w:rFonts w:ascii="Verdana" w:eastAsia="Calibri" w:hAnsi="Verdana" w:cs="Arial"/>
          <w:color w:val="000000" w:themeColor="text1"/>
          <w:lang w:val="es-ES" w:eastAsia="es-ES"/>
        </w:rPr>
      </w:pPr>
      <w:r w:rsidRPr="009F5103">
        <w:rPr>
          <w:rFonts w:ascii="Verdana" w:eastAsia="Calibri" w:hAnsi="Verdana" w:cs="Arial"/>
          <w:color w:val="000000" w:themeColor="text1"/>
          <w:lang w:val="es-ES" w:eastAsia="es-ES"/>
        </w:rPr>
        <w:t>Gerente</w:t>
      </w:r>
      <w:r w:rsidRPr="009F5103">
        <w:rPr>
          <w:rFonts w:ascii="Verdana" w:eastAsia="Calibri" w:hAnsi="Verdana" w:cs="Arial"/>
          <w:color w:val="000000" w:themeColor="text1"/>
          <w:lang w:val="es-ES" w:eastAsia="es-ES"/>
        </w:rPr>
        <w:br/>
        <w:t xml:space="preserve">E.S.E. Centro de Salud Tausa </w:t>
      </w:r>
    </w:p>
    <w:p w14:paraId="3AF996E1" w14:textId="77777777" w:rsidR="007D41E8" w:rsidRPr="00A220B2" w:rsidRDefault="007D41E8" w:rsidP="007D41E8">
      <w:pPr>
        <w:spacing w:after="0" w:line="240" w:lineRule="auto"/>
        <w:rPr>
          <w:rFonts w:ascii="Verdana" w:eastAsia="Calibri" w:hAnsi="Verdana" w:cs="Arial"/>
          <w:color w:val="000000" w:themeColor="text1"/>
          <w:lang w:val="es-ES" w:eastAsia="es-ES_tradnl"/>
        </w:rPr>
      </w:pPr>
    </w:p>
    <w:tbl>
      <w:tblPr>
        <w:tblStyle w:val="Tablaconcuadrcula"/>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7D41E8" w:rsidRPr="00A220B2" w14:paraId="3DD58D29" w14:textId="77777777" w:rsidTr="00361F48">
        <w:trPr>
          <w:gridAfter w:val="1"/>
          <w:wAfter w:w="4179" w:type="dxa"/>
          <w:trHeight w:val="304"/>
        </w:trPr>
        <w:tc>
          <w:tcPr>
            <w:tcW w:w="2689" w:type="dxa"/>
          </w:tcPr>
          <w:p w14:paraId="141E16D9" w14:textId="77777777" w:rsidR="007D41E8" w:rsidRPr="00A220B2" w:rsidRDefault="007D41E8" w:rsidP="00361F48">
            <w:pPr>
              <w:jc w:val="both"/>
              <w:rPr>
                <w:rFonts w:ascii="Verdana" w:eastAsia="Calibri" w:hAnsi="Verdana" w:cs="Arial"/>
                <w:b/>
                <w:bCs/>
                <w:color w:val="000000" w:themeColor="text1"/>
                <w:lang w:val="es-ES" w:eastAsia="es-ES_tradnl"/>
              </w:rPr>
            </w:pPr>
          </w:p>
        </w:tc>
        <w:tc>
          <w:tcPr>
            <w:tcW w:w="6100" w:type="dxa"/>
          </w:tcPr>
          <w:p w14:paraId="615F45E4" w14:textId="77777777" w:rsidR="007D41E8" w:rsidRPr="00A220B2" w:rsidRDefault="007D41E8" w:rsidP="00361F48">
            <w:pPr>
              <w:jc w:val="both"/>
              <w:rPr>
                <w:rFonts w:ascii="Verdana" w:eastAsia="Calibri" w:hAnsi="Verdana" w:cs="Arial"/>
                <w:b/>
                <w:bCs/>
                <w:color w:val="000000" w:themeColor="text1"/>
                <w:lang w:val="es-ES" w:eastAsia="es-ES"/>
              </w:rPr>
            </w:pPr>
            <w:r w:rsidRPr="00A220B2">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1006</w:t>
            </w:r>
            <w:r w:rsidRPr="00A220B2">
              <w:rPr>
                <w:rFonts w:ascii="Verdana" w:eastAsia="Calibri" w:hAnsi="Verdana" w:cs="Arial"/>
                <w:b/>
                <w:bCs/>
                <w:color w:val="000000" w:themeColor="text1"/>
                <w:lang w:val="es-ES" w:eastAsia="es-ES"/>
              </w:rPr>
              <w:t xml:space="preserve"> de 2026</w:t>
            </w:r>
          </w:p>
          <w:p w14:paraId="1F092B79" w14:textId="77777777" w:rsidR="007D41E8" w:rsidRPr="00A220B2" w:rsidRDefault="007D41E8" w:rsidP="00361F48">
            <w:pPr>
              <w:jc w:val="both"/>
              <w:rPr>
                <w:rFonts w:ascii="Verdana" w:eastAsia="Calibri" w:hAnsi="Verdana" w:cs="Arial"/>
                <w:b/>
                <w:bCs/>
                <w:color w:val="000000" w:themeColor="text1"/>
                <w:lang w:val="es-ES" w:eastAsia="es-ES"/>
              </w:rPr>
            </w:pPr>
          </w:p>
        </w:tc>
      </w:tr>
      <w:tr w:rsidR="007D41E8" w:rsidRPr="00A220B2" w14:paraId="3EB04A0F" w14:textId="77777777" w:rsidTr="00361F48">
        <w:trPr>
          <w:trHeight w:val="1422"/>
        </w:trPr>
        <w:tc>
          <w:tcPr>
            <w:tcW w:w="2689" w:type="dxa"/>
          </w:tcPr>
          <w:p w14:paraId="44952D52" w14:textId="77777777" w:rsidR="007D41E8" w:rsidRPr="00A220B2" w:rsidRDefault="007D41E8" w:rsidP="00361F48">
            <w:pPr>
              <w:jc w:val="both"/>
              <w:rPr>
                <w:rFonts w:ascii="Verdana" w:eastAsia="Calibri" w:hAnsi="Verdana" w:cs="Arial"/>
                <w:color w:val="000000" w:themeColor="text1"/>
                <w:lang w:val="es-ES" w:eastAsia="es-ES_tradnl"/>
              </w:rPr>
            </w:pPr>
            <w:r w:rsidRPr="00A220B2">
              <w:rPr>
                <w:rFonts w:ascii="Verdana" w:eastAsia="Calibri" w:hAnsi="Verdana" w:cs="Arial"/>
                <w:b/>
                <w:color w:val="000000" w:themeColor="text1"/>
                <w:lang w:val="es-ES" w:eastAsia="es-ES_tradnl"/>
              </w:rPr>
              <w:t>Temas:</w:t>
            </w:r>
            <w:r w:rsidRPr="00A220B2">
              <w:rPr>
                <w:rFonts w:ascii="Verdana" w:eastAsia="Calibri" w:hAnsi="Verdana" w:cs="Arial"/>
                <w:color w:val="000000" w:themeColor="text1"/>
                <w:lang w:val="es-ES" w:eastAsia="es-ES_tradnl"/>
              </w:rPr>
              <w:t xml:space="preserve">                   </w:t>
            </w:r>
          </w:p>
        </w:tc>
        <w:tc>
          <w:tcPr>
            <w:tcW w:w="6100" w:type="dxa"/>
          </w:tcPr>
          <w:p w14:paraId="29F86AF2" w14:textId="2BEE2100" w:rsidR="007D41E8" w:rsidRPr="00A220B2" w:rsidRDefault="007D41E8" w:rsidP="00361F48">
            <w:pPr>
              <w:spacing w:line="276" w:lineRule="auto"/>
              <w:jc w:val="both"/>
              <w:rPr>
                <w:rFonts w:ascii="Verdana" w:hAnsi="Verdana"/>
                <w:lang w:val="es-ES"/>
              </w:rPr>
            </w:pPr>
            <w:r w:rsidRPr="00A220B2">
              <w:rPr>
                <w:rFonts w:ascii="Verdana" w:hAnsi="Verdana"/>
                <w:lang w:val="es-ES"/>
              </w:rPr>
              <w:t xml:space="preserve">ENTIDADES CON RÉGIMEN ESPECIAL – Régimen jurídico – Principios de la función administrativa y gestión fiscal / EMPRESAS SOCIALES DEL ESTADO – Manual de contratación – Autonomía y límites / </w:t>
            </w:r>
            <w:r w:rsidRPr="00A220B2">
              <w:rPr>
                <w:rFonts w:ascii="Verdana" w:eastAsia="Calibri" w:hAnsi="Verdana" w:cs="Arial"/>
                <w:lang w:val="es-ES" w:eastAsia="es-ES"/>
              </w:rPr>
              <w:t xml:space="preserve">PRINCIPIO DE PUBLICIDAD – SECOP – Entidades con régimen especial de contratación </w:t>
            </w:r>
            <w:r w:rsidR="004D131C" w:rsidRPr="004D131C">
              <w:rPr>
                <w:rFonts w:ascii="Verdana" w:eastAsia="Calibri" w:hAnsi="Verdana" w:cs="Arial"/>
                <w:b/>
                <w:bCs/>
                <w:lang w:val="es-ES" w:eastAsia="es-ES"/>
              </w:rPr>
              <w:t>–</w:t>
            </w:r>
            <w:r w:rsidRPr="00A220B2">
              <w:rPr>
                <w:rFonts w:ascii="Verdana" w:eastAsia="Calibri" w:hAnsi="Verdana" w:cs="Arial"/>
                <w:lang w:val="es-ES" w:eastAsia="es-ES"/>
              </w:rPr>
              <w:t xml:space="preserve"> Deber de publicación</w:t>
            </w:r>
          </w:p>
          <w:p w14:paraId="3A2B9CAF" w14:textId="77777777" w:rsidR="007D41E8" w:rsidRPr="00A220B2" w:rsidRDefault="007D41E8" w:rsidP="00361F48">
            <w:pPr>
              <w:spacing w:line="276" w:lineRule="auto"/>
              <w:ind w:hanging="4"/>
              <w:jc w:val="both"/>
              <w:rPr>
                <w:rFonts w:ascii="Verdana" w:eastAsia="Calibri" w:hAnsi="Verdana" w:cs="Arial"/>
                <w:color w:val="000000" w:themeColor="text1"/>
                <w:lang w:val="es-ES" w:eastAsia="es-ES"/>
              </w:rPr>
            </w:pPr>
          </w:p>
        </w:tc>
        <w:tc>
          <w:tcPr>
            <w:tcW w:w="4179" w:type="dxa"/>
          </w:tcPr>
          <w:p w14:paraId="3626A617" w14:textId="77777777" w:rsidR="007D41E8" w:rsidRPr="00A220B2" w:rsidRDefault="007D41E8" w:rsidP="00361F48">
            <w:pPr>
              <w:spacing w:line="276" w:lineRule="auto"/>
              <w:jc w:val="both"/>
              <w:rPr>
                <w:rFonts w:ascii="Verdana" w:eastAsia="Calibri" w:hAnsi="Verdana" w:cs="Arial"/>
                <w:b/>
                <w:bCs/>
                <w:color w:val="000000" w:themeColor="text1"/>
                <w:lang w:val="es-ES" w:eastAsia="es-ES"/>
              </w:rPr>
            </w:pPr>
          </w:p>
          <w:p w14:paraId="03BE82E5" w14:textId="77777777" w:rsidR="007D41E8" w:rsidRPr="00A220B2" w:rsidRDefault="007D41E8" w:rsidP="00361F48">
            <w:pPr>
              <w:rPr>
                <w:rFonts w:ascii="Verdana" w:hAnsi="Verdana"/>
                <w:lang w:val="es-ES"/>
              </w:rPr>
            </w:pPr>
          </w:p>
        </w:tc>
      </w:tr>
      <w:tr w:rsidR="007D41E8" w:rsidRPr="00A220B2" w14:paraId="60D4ABC2" w14:textId="77777777" w:rsidTr="00361F48">
        <w:trPr>
          <w:gridAfter w:val="1"/>
          <w:wAfter w:w="4179" w:type="dxa"/>
        </w:trPr>
        <w:tc>
          <w:tcPr>
            <w:tcW w:w="2689" w:type="dxa"/>
          </w:tcPr>
          <w:p w14:paraId="0C15E424" w14:textId="77777777" w:rsidR="007D41E8" w:rsidRPr="00A220B2" w:rsidRDefault="007D41E8" w:rsidP="00361F48">
            <w:pPr>
              <w:jc w:val="both"/>
              <w:rPr>
                <w:rFonts w:ascii="Verdana" w:eastAsia="Calibri" w:hAnsi="Verdana" w:cs="Arial"/>
                <w:b/>
                <w:color w:val="000000" w:themeColor="text1"/>
                <w:lang w:val="es-ES" w:eastAsia="es-ES_tradnl"/>
              </w:rPr>
            </w:pPr>
            <w:r w:rsidRPr="00A220B2">
              <w:rPr>
                <w:rFonts w:ascii="Verdana" w:eastAsia="Calibri" w:hAnsi="Verdana" w:cs="Arial"/>
                <w:b/>
                <w:color w:val="000000" w:themeColor="text1"/>
                <w:lang w:val="es-ES" w:eastAsia="es-ES_tradnl"/>
              </w:rPr>
              <w:t>Radicación:</w:t>
            </w:r>
            <w:r w:rsidRPr="00A220B2">
              <w:rPr>
                <w:rFonts w:ascii="Verdana" w:eastAsia="Calibri" w:hAnsi="Verdana" w:cs="Arial"/>
                <w:color w:val="000000" w:themeColor="text1"/>
                <w:lang w:val="es-ES" w:eastAsia="es-ES_tradnl"/>
              </w:rPr>
              <w:t xml:space="preserve">               </w:t>
            </w:r>
          </w:p>
        </w:tc>
        <w:tc>
          <w:tcPr>
            <w:tcW w:w="6100" w:type="dxa"/>
          </w:tcPr>
          <w:p w14:paraId="3EDDDF84" w14:textId="77777777" w:rsidR="007D41E8" w:rsidRPr="00A220B2" w:rsidRDefault="007D41E8" w:rsidP="00361F48">
            <w:pPr>
              <w:jc w:val="both"/>
              <w:rPr>
                <w:rFonts w:ascii="Verdana" w:eastAsia="Calibri" w:hAnsi="Verdana" w:cs="Arial"/>
                <w:color w:val="000000" w:themeColor="text1"/>
                <w:lang w:val="es-ES" w:eastAsia="es-ES_tradnl"/>
              </w:rPr>
            </w:pPr>
            <w:r w:rsidRPr="00A220B2">
              <w:rPr>
                <w:rFonts w:ascii="Verdana" w:eastAsia="Calibri" w:hAnsi="Verdana" w:cs="Arial"/>
                <w:color w:val="000000" w:themeColor="text1"/>
                <w:lang w:val="es-ES" w:eastAsia="es-ES_tradnl"/>
              </w:rPr>
              <w:t>Respuesta a la consulta con radicado No. 1_2026_06_23_008401</w:t>
            </w:r>
          </w:p>
        </w:tc>
      </w:tr>
    </w:tbl>
    <w:p w14:paraId="59CE2564" w14:textId="77777777" w:rsidR="007D41E8" w:rsidRPr="00A220B2" w:rsidRDefault="007D41E8" w:rsidP="007D41E8">
      <w:pPr>
        <w:spacing w:after="0" w:line="276" w:lineRule="auto"/>
        <w:jc w:val="both"/>
        <w:rPr>
          <w:rFonts w:ascii="Verdana" w:eastAsia="Calibri" w:hAnsi="Verdana" w:cs="Arial"/>
          <w:color w:val="000000" w:themeColor="text1"/>
          <w:lang w:val="es-ES" w:eastAsia="es-ES_tradnl"/>
        </w:rPr>
      </w:pPr>
    </w:p>
    <w:p w14:paraId="547D4717" w14:textId="77777777" w:rsidR="007D41E8" w:rsidRPr="00A220B2" w:rsidRDefault="007D41E8" w:rsidP="007D41E8">
      <w:pPr>
        <w:spacing w:after="0" w:line="240" w:lineRule="auto"/>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Estimada Doctora Peñalosa:</w:t>
      </w:r>
    </w:p>
    <w:p w14:paraId="651D2E6C" w14:textId="77777777" w:rsidR="007D41E8" w:rsidRPr="00A220B2" w:rsidRDefault="007D41E8" w:rsidP="007D41E8">
      <w:pPr>
        <w:tabs>
          <w:tab w:val="left" w:pos="3768"/>
        </w:tabs>
        <w:spacing w:after="0" w:line="276" w:lineRule="auto"/>
        <w:jc w:val="both"/>
        <w:rPr>
          <w:rFonts w:ascii="Verdana" w:eastAsia="Calibri" w:hAnsi="Verdana" w:cs="Arial"/>
          <w:color w:val="000000" w:themeColor="text1"/>
          <w:lang w:val="es-ES" w:eastAsia="es-ES"/>
        </w:rPr>
      </w:pPr>
    </w:p>
    <w:p w14:paraId="2B8AC2BF" w14:textId="5FDD5014" w:rsidR="007D41E8" w:rsidRPr="00A220B2" w:rsidRDefault="007D41E8" w:rsidP="007D41E8">
      <w:pPr>
        <w:spacing w:after="0" w:line="276" w:lineRule="auto"/>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En ejercicio de la competencia otorgada por los artículos 3, numeral 5º, y 11, numeral 8º, del Decreto Ley 4170 de 2011,</w:t>
      </w:r>
      <w:r w:rsidRPr="00A220B2">
        <w:rPr>
          <w:rFonts w:ascii="Verdana" w:eastAsia="Arial MT" w:hAnsi="Verdana" w:cs="Arial MT"/>
          <w:color w:val="000000" w:themeColor="text1"/>
          <w:lang w:val="es-ES" w:eastAsia="es-ES"/>
        </w:rPr>
        <w:t xml:space="preserve"> </w:t>
      </w:r>
      <w:r w:rsidRPr="00A220B2">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 solicitud de concepto del</w:t>
      </w:r>
      <w:r w:rsidR="00EB611B">
        <w:rPr>
          <w:rFonts w:ascii="Verdana" w:hAnsi="Verdana" w:cs="Arial"/>
          <w:color w:val="000000" w:themeColor="text1"/>
          <w:lang w:val="es-ES"/>
        </w:rPr>
        <w:t xml:space="preserve"> 23</w:t>
      </w:r>
      <w:r w:rsidRPr="00A220B2">
        <w:rPr>
          <w:rFonts w:ascii="Verdana" w:hAnsi="Verdana" w:cs="Arial"/>
          <w:color w:val="000000" w:themeColor="text1"/>
          <w:lang w:val="es-ES"/>
        </w:rPr>
        <w:t xml:space="preserve"> de </w:t>
      </w:r>
      <w:r w:rsidR="00EB611B">
        <w:rPr>
          <w:rFonts w:ascii="Verdana" w:hAnsi="Verdana" w:cs="Arial"/>
          <w:color w:val="000000" w:themeColor="text1"/>
          <w:lang w:val="es-ES"/>
        </w:rPr>
        <w:t xml:space="preserve">junio de </w:t>
      </w:r>
      <w:r w:rsidRPr="00A220B2">
        <w:rPr>
          <w:rFonts w:ascii="Verdana" w:hAnsi="Verdana" w:cs="Arial"/>
          <w:color w:val="000000" w:themeColor="text1"/>
          <w:lang w:val="es-ES"/>
        </w:rPr>
        <w:t>2026, en la cual manifiesta lo siguiente:</w:t>
      </w:r>
      <w:r w:rsidRPr="00A220B2">
        <w:rPr>
          <w:rFonts w:ascii="Verdana" w:eastAsia="Calibri" w:hAnsi="Verdana" w:cs="Arial"/>
          <w:color w:val="000000" w:themeColor="text1"/>
          <w:lang w:val="es-ES" w:eastAsia="es-ES"/>
        </w:rPr>
        <w:t xml:space="preserve"> </w:t>
      </w:r>
    </w:p>
    <w:p w14:paraId="055DE73E" w14:textId="77777777" w:rsidR="007D41E8" w:rsidRPr="00A220B2" w:rsidRDefault="007D41E8" w:rsidP="007D41E8">
      <w:pPr>
        <w:spacing w:after="0" w:line="276" w:lineRule="auto"/>
        <w:jc w:val="both"/>
        <w:rPr>
          <w:rFonts w:ascii="Verdana" w:eastAsia="Calibri" w:hAnsi="Verdana" w:cs="Arial"/>
          <w:color w:val="000000" w:themeColor="text1"/>
          <w:lang w:val="es-ES" w:eastAsia="es-ES"/>
        </w:rPr>
      </w:pPr>
    </w:p>
    <w:p w14:paraId="7E7CDE6E" w14:textId="77777777" w:rsidR="007D41E8" w:rsidRPr="00A220B2" w:rsidRDefault="007D41E8" w:rsidP="007D41E8">
      <w:pPr>
        <w:spacing w:after="0"/>
        <w:ind w:left="709" w:right="709"/>
        <w:contextualSpacing/>
        <w:jc w:val="both"/>
        <w:rPr>
          <w:rFonts w:ascii="Verdana" w:eastAsia="Century Gothic" w:hAnsi="Verdana" w:cs="Century Gothic"/>
          <w:i/>
          <w:iCs/>
          <w:color w:val="000000" w:themeColor="text1"/>
          <w:sz w:val="20"/>
          <w:szCs w:val="20"/>
          <w:lang w:val="es-ES"/>
        </w:rPr>
      </w:pPr>
      <w:r w:rsidRPr="00A220B2">
        <w:rPr>
          <w:rFonts w:ascii="Verdana" w:eastAsia="Century Gothic" w:hAnsi="Verdana" w:cs="Century Gothic"/>
          <w:i/>
          <w:iCs/>
          <w:color w:val="000000" w:themeColor="text1"/>
          <w:sz w:val="20"/>
          <w:szCs w:val="20"/>
          <w:lang w:val="es-ES"/>
        </w:rPr>
        <w:t xml:space="preserve">“[…] En relación con la expresión “sistemas de compras </w:t>
      </w:r>
      <w:proofErr w:type="spellStart"/>
      <w:r w:rsidRPr="00A220B2">
        <w:rPr>
          <w:rFonts w:ascii="Verdana" w:eastAsia="Century Gothic" w:hAnsi="Verdana" w:cs="Century Gothic"/>
          <w:i/>
          <w:iCs/>
          <w:color w:val="000000" w:themeColor="text1"/>
          <w:sz w:val="20"/>
          <w:szCs w:val="20"/>
          <w:lang w:val="es-ES"/>
        </w:rPr>
        <w:t>electrónicas</w:t>
      </w:r>
      <w:proofErr w:type="spellEnd"/>
      <w:r w:rsidRPr="00A220B2">
        <w:rPr>
          <w:rFonts w:ascii="Verdana" w:eastAsia="Century Gothic" w:hAnsi="Verdana" w:cs="Century Gothic"/>
          <w:i/>
          <w:iCs/>
          <w:color w:val="000000" w:themeColor="text1"/>
          <w:sz w:val="20"/>
          <w:szCs w:val="20"/>
          <w:lang w:val="es-ES"/>
        </w:rPr>
        <w:t xml:space="preserve">”, y teniendo en cuenta que uno de los criterios para evaluar la </w:t>
      </w:r>
      <w:proofErr w:type="spellStart"/>
      <w:r w:rsidRPr="00A220B2">
        <w:rPr>
          <w:rFonts w:ascii="Verdana" w:eastAsia="Century Gothic" w:hAnsi="Verdana" w:cs="Century Gothic"/>
          <w:i/>
          <w:iCs/>
          <w:color w:val="000000" w:themeColor="text1"/>
          <w:sz w:val="20"/>
          <w:szCs w:val="20"/>
          <w:lang w:val="es-ES"/>
        </w:rPr>
        <w:t>gestión</w:t>
      </w:r>
      <w:proofErr w:type="spellEnd"/>
      <w:r w:rsidRPr="00A220B2">
        <w:rPr>
          <w:rFonts w:ascii="Verdana" w:eastAsia="Century Gothic" w:hAnsi="Verdana" w:cs="Century Gothic"/>
          <w:i/>
          <w:iCs/>
          <w:color w:val="000000" w:themeColor="text1"/>
          <w:sz w:val="20"/>
          <w:szCs w:val="20"/>
          <w:lang w:val="es-ES"/>
        </w:rPr>
        <w:t xml:space="preserve"> de la Gerencia se encuentra previsto en la Resolución 408 de 2018, Anexo 2, Meta 6, la cual hace referencia a la “</w:t>
      </w:r>
      <w:proofErr w:type="spellStart"/>
      <w:r w:rsidRPr="00A220B2">
        <w:rPr>
          <w:rFonts w:ascii="Verdana" w:eastAsia="Century Gothic" w:hAnsi="Verdana" w:cs="Century Gothic"/>
          <w:i/>
          <w:iCs/>
          <w:color w:val="000000" w:themeColor="text1"/>
          <w:sz w:val="20"/>
          <w:szCs w:val="20"/>
          <w:lang w:val="es-ES"/>
        </w:rPr>
        <w:t>proporción</w:t>
      </w:r>
      <w:proofErr w:type="spellEnd"/>
      <w:r w:rsidRPr="00A220B2">
        <w:rPr>
          <w:rFonts w:ascii="Verdana" w:eastAsia="Century Gothic" w:hAnsi="Verdana" w:cs="Century Gothic"/>
          <w:i/>
          <w:iCs/>
          <w:color w:val="000000" w:themeColor="text1"/>
          <w:sz w:val="20"/>
          <w:szCs w:val="20"/>
          <w:lang w:val="es-ES"/>
        </w:rPr>
        <w:t xml:space="preserve"> de medicamentos y material </w:t>
      </w:r>
      <w:proofErr w:type="spellStart"/>
      <w:r w:rsidRPr="00A220B2">
        <w:rPr>
          <w:rFonts w:ascii="Verdana" w:eastAsia="Century Gothic" w:hAnsi="Verdana" w:cs="Century Gothic"/>
          <w:i/>
          <w:iCs/>
          <w:color w:val="000000" w:themeColor="text1"/>
          <w:sz w:val="20"/>
          <w:szCs w:val="20"/>
          <w:lang w:val="es-ES"/>
        </w:rPr>
        <w:t>médico</w:t>
      </w:r>
      <w:proofErr w:type="spellEnd"/>
      <w:r w:rsidRPr="00A220B2">
        <w:rPr>
          <w:rFonts w:ascii="Verdana" w:eastAsia="Century Gothic" w:hAnsi="Verdana" w:cs="Century Gothic"/>
          <w:i/>
          <w:iCs/>
          <w:color w:val="000000" w:themeColor="text1"/>
          <w:sz w:val="20"/>
          <w:szCs w:val="20"/>
          <w:lang w:val="es-ES"/>
        </w:rPr>
        <w:t xml:space="preserve"> </w:t>
      </w:r>
      <w:proofErr w:type="spellStart"/>
      <w:r w:rsidRPr="00A220B2">
        <w:rPr>
          <w:rFonts w:ascii="Verdana" w:eastAsia="Century Gothic" w:hAnsi="Verdana" w:cs="Century Gothic"/>
          <w:i/>
          <w:iCs/>
          <w:color w:val="000000" w:themeColor="text1"/>
          <w:sz w:val="20"/>
          <w:szCs w:val="20"/>
          <w:lang w:val="es-ES"/>
        </w:rPr>
        <w:t>quirúrgico</w:t>
      </w:r>
      <w:proofErr w:type="spellEnd"/>
      <w:r w:rsidRPr="00A220B2">
        <w:rPr>
          <w:rFonts w:ascii="Verdana" w:eastAsia="Century Gothic" w:hAnsi="Verdana" w:cs="Century Gothic"/>
          <w:i/>
          <w:iCs/>
          <w:color w:val="000000" w:themeColor="text1"/>
          <w:sz w:val="20"/>
          <w:szCs w:val="20"/>
          <w:lang w:val="es-ES"/>
        </w:rPr>
        <w:t xml:space="preserve"> adquirido mediante los siguientes mecanismos: A) compras conjuntas; B) compras a través de cooperativas de Empresas Sociales del Estado; y C) compras a </w:t>
      </w:r>
      <w:proofErr w:type="spellStart"/>
      <w:r w:rsidRPr="00A220B2">
        <w:rPr>
          <w:rFonts w:ascii="Verdana" w:eastAsia="Century Gothic" w:hAnsi="Verdana" w:cs="Century Gothic"/>
          <w:i/>
          <w:iCs/>
          <w:color w:val="000000" w:themeColor="text1"/>
          <w:sz w:val="20"/>
          <w:szCs w:val="20"/>
          <w:lang w:val="es-ES"/>
        </w:rPr>
        <w:t>través</w:t>
      </w:r>
      <w:proofErr w:type="spellEnd"/>
      <w:r w:rsidRPr="00A220B2">
        <w:rPr>
          <w:rFonts w:ascii="Verdana" w:eastAsia="Century Gothic" w:hAnsi="Verdana" w:cs="Century Gothic"/>
          <w:i/>
          <w:iCs/>
          <w:color w:val="000000" w:themeColor="text1"/>
          <w:sz w:val="20"/>
          <w:szCs w:val="20"/>
          <w:lang w:val="es-ES"/>
        </w:rPr>
        <w:t xml:space="preserve"> de mecanismos </w:t>
      </w:r>
      <w:proofErr w:type="spellStart"/>
      <w:r w:rsidRPr="00A220B2">
        <w:rPr>
          <w:rFonts w:ascii="Verdana" w:eastAsia="Century Gothic" w:hAnsi="Verdana" w:cs="Century Gothic"/>
          <w:i/>
          <w:iCs/>
          <w:color w:val="000000" w:themeColor="text1"/>
          <w:sz w:val="20"/>
          <w:szCs w:val="20"/>
          <w:lang w:val="es-ES"/>
        </w:rPr>
        <w:t>electrónicos</w:t>
      </w:r>
      <w:proofErr w:type="spellEnd"/>
      <w:r w:rsidRPr="00A220B2">
        <w:rPr>
          <w:rFonts w:ascii="Verdana" w:eastAsia="Century Gothic" w:hAnsi="Verdana" w:cs="Century Gothic"/>
          <w:i/>
          <w:iCs/>
          <w:color w:val="000000" w:themeColor="text1"/>
          <w:sz w:val="20"/>
          <w:szCs w:val="20"/>
          <w:lang w:val="es-ES"/>
        </w:rPr>
        <w:t xml:space="preserve">”, respetuosamente solicitamos se emita concepto frente a los siguientes interrogantes: </w:t>
      </w:r>
    </w:p>
    <w:p w14:paraId="176E28E9" w14:textId="77777777" w:rsidR="007D41E8" w:rsidRPr="00A220B2" w:rsidRDefault="007D41E8" w:rsidP="007D41E8">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A220B2">
        <w:rPr>
          <w:rFonts w:ascii="Verdana" w:eastAsia="Century Gothic" w:hAnsi="Verdana" w:cs="Century Gothic"/>
          <w:i/>
          <w:iCs/>
          <w:color w:val="000000" w:themeColor="text1"/>
          <w:sz w:val="20"/>
          <w:szCs w:val="20"/>
          <w:lang w:val="es-ES"/>
        </w:rPr>
        <w:lastRenderedPageBreak/>
        <w:t xml:space="preserve">¿Puede entenderse que la expresión “sistemas de compras </w:t>
      </w:r>
      <w:proofErr w:type="spellStart"/>
      <w:r w:rsidRPr="00A220B2">
        <w:rPr>
          <w:rFonts w:ascii="Verdana" w:eastAsia="Century Gothic" w:hAnsi="Verdana" w:cs="Century Gothic"/>
          <w:i/>
          <w:iCs/>
          <w:color w:val="000000" w:themeColor="text1"/>
          <w:sz w:val="20"/>
          <w:szCs w:val="20"/>
          <w:lang w:val="es-ES"/>
        </w:rPr>
        <w:t>electrónicas</w:t>
      </w:r>
      <w:proofErr w:type="spellEnd"/>
      <w:r w:rsidRPr="00A220B2">
        <w:rPr>
          <w:rFonts w:ascii="Verdana" w:eastAsia="Century Gothic" w:hAnsi="Verdana" w:cs="Century Gothic"/>
          <w:i/>
          <w:iCs/>
          <w:color w:val="000000" w:themeColor="text1"/>
          <w:sz w:val="20"/>
          <w:szCs w:val="20"/>
          <w:lang w:val="es-ES"/>
        </w:rPr>
        <w:t xml:space="preserve">”, prevista en el artículo 76 de la Ley 1438 de 2011 y en la Resolución 408 de 2018, comprende las plataformas SECOP I y SECOP II? </w:t>
      </w:r>
    </w:p>
    <w:p w14:paraId="78242B5D" w14:textId="77777777" w:rsidR="007D41E8" w:rsidRPr="00A220B2" w:rsidRDefault="007D41E8" w:rsidP="007D41E8">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A220B2">
        <w:rPr>
          <w:rFonts w:ascii="Verdana" w:eastAsia="Century Gothic" w:hAnsi="Verdana" w:cs="Century Gothic"/>
          <w:i/>
          <w:iCs/>
          <w:color w:val="000000" w:themeColor="text1"/>
          <w:sz w:val="20"/>
          <w:szCs w:val="20"/>
          <w:lang w:val="es-ES"/>
        </w:rPr>
        <w:t xml:space="preserve">En caso de que la respuesta sea afirmativa, ¿la </w:t>
      </w:r>
      <w:proofErr w:type="spellStart"/>
      <w:r w:rsidRPr="00A220B2">
        <w:rPr>
          <w:rFonts w:ascii="Verdana" w:eastAsia="Century Gothic" w:hAnsi="Verdana" w:cs="Century Gothic"/>
          <w:i/>
          <w:iCs/>
          <w:color w:val="000000" w:themeColor="text1"/>
          <w:sz w:val="20"/>
          <w:szCs w:val="20"/>
          <w:lang w:val="es-ES"/>
        </w:rPr>
        <w:t>suscripción</w:t>
      </w:r>
      <w:proofErr w:type="spellEnd"/>
      <w:r w:rsidRPr="00A220B2">
        <w:rPr>
          <w:rFonts w:ascii="Verdana" w:eastAsia="Century Gothic" w:hAnsi="Verdana" w:cs="Century Gothic"/>
          <w:i/>
          <w:iCs/>
          <w:color w:val="000000" w:themeColor="text1"/>
          <w:sz w:val="20"/>
          <w:szCs w:val="20"/>
          <w:lang w:val="es-ES"/>
        </w:rPr>
        <w:t xml:space="preserve"> y </w:t>
      </w:r>
      <w:proofErr w:type="spellStart"/>
      <w:r w:rsidRPr="00A220B2">
        <w:rPr>
          <w:rFonts w:ascii="Verdana" w:eastAsia="Century Gothic" w:hAnsi="Verdana" w:cs="Century Gothic"/>
          <w:i/>
          <w:iCs/>
          <w:color w:val="000000" w:themeColor="text1"/>
          <w:sz w:val="20"/>
          <w:szCs w:val="20"/>
          <w:lang w:val="es-ES"/>
        </w:rPr>
        <w:t>gestión</w:t>
      </w:r>
      <w:proofErr w:type="spellEnd"/>
      <w:r w:rsidRPr="00A220B2">
        <w:rPr>
          <w:rFonts w:ascii="Verdana" w:eastAsia="Century Gothic" w:hAnsi="Verdana" w:cs="Century Gothic"/>
          <w:i/>
          <w:iCs/>
          <w:color w:val="000000" w:themeColor="text1"/>
          <w:sz w:val="20"/>
          <w:szCs w:val="20"/>
          <w:lang w:val="es-ES"/>
        </w:rPr>
        <w:t xml:space="preserve"> de la contratación mediante la plataforma transaccional SECOP II permite cumplir el criterio de </w:t>
      </w:r>
      <w:proofErr w:type="spellStart"/>
      <w:r w:rsidRPr="00A220B2">
        <w:rPr>
          <w:rFonts w:ascii="Verdana" w:eastAsia="Century Gothic" w:hAnsi="Verdana" w:cs="Century Gothic"/>
          <w:i/>
          <w:iCs/>
          <w:color w:val="000000" w:themeColor="text1"/>
          <w:sz w:val="20"/>
          <w:szCs w:val="20"/>
          <w:lang w:val="es-ES"/>
        </w:rPr>
        <w:t>evaluación</w:t>
      </w:r>
      <w:proofErr w:type="spellEnd"/>
      <w:r w:rsidRPr="00A220B2">
        <w:rPr>
          <w:rFonts w:ascii="Verdana" w:eastAsia="Century Gothic" w:hAnsi="Verdana" w:cs="Century Gothic"/>
          <w:i/>
          <w:iCs/>
          <w:color w:val="000000" w:themeColor="text1"/>
          <w:sz w:val="20"/>
          <w:szCs w:val="20"/>
          <w:lang w:val="es-ES"/>
        </w:rPr>
        <w:t xml:space="preserve"> establecido en la Resolución 408 de 2018, Anexo 2, Meta 6, ¿para obtener una </w:t>
      </w:r>
      <w:proofErr w:type="spellStart"/>
      <w:r w:rsidRPr="00A220B2">
        <w:rPr>
          <w:rFonts w:ascii="Verdana" w:eastAsia="Century Gothic" w:hAnsi="Verdana" w:cs="Century Gothic"/>
          <w:i/>
          <w:iCs/>
          <w:color w:val="000000" w:themeColor="text1"/>
          <w:sz w:val="20"/>
          <w:szCs w:val="20"/>
          <w:lang w:val="es-ES"/>
        </w:rPr>
        <w:t>calificación</w:t>
      </w:r>
      <w:proofErr w:type="spellEnd"/>
      <w:r w:rsidRPr="00A220B2">
        <w:rPr>
          <w:rFonts w:ascii="Verdana" w:eastAsia="Century Gothic" w:hAnsi="Verdana" w:cs="Century Gothic"/>
          <w:i/>
          <w:iCs/>
          <w:color w:val="000000" w:themeColor="text1"/>
          <w:sz w:val="20"/>
          <w:szCs w:val="20"/>
          <w:lang w:val="es-ES"/>
        </w:rPr>
        <w:t xml:space="preserve"> satisfactoria en este </w:t>
      </w:r>
      <w:proofErr w:type="spellStart"/>
      <w:r w:rsidRPr="00A220B2">
        <w:rPr>
          <w:rFonts w:ascii="Verdana" w:eastAsia="Century Gothic" w:hAnsi="Verdana" w:cs="Century Gothic"/>
          <w:i/>
          <w:iCs/>
          <w:color w:val="000000" w:themeColor="text1"/>
          <w:sz w:val="20"/>
          <w:szCs w:val="20"/>
          <w:lang w:val="es-ES"/>
        </w:rPr>
        <w:t>ítem</w:t>
      </w:r>
      <w:proofErr w:type="spellEnd"/>
      <w:r w:rsidRPr="00A220B2">
        <w:rPr>
          <w:rFonts w:ascii="Verdana" w:eastAsia="Century Gothic" w:hAnsi="Verdana" w:cs="Century Gothic"/>
          <w:i/>
          <w:iCs/>
          <w:color w:val="000000" w:themeColor="text1"/>
          <w:sz w:val="20"/>
          <w:szCs w:val="20"/>
          <w:lang w:val="es-ES"/>
        </w:rPr>
        <w:t xml:space="preserve">? </w:t>
      </w:r>
    </w:p>
    <w:p w14:paraId="1EA07BE2" w14:textId="77777777" w:rsidR="007D41E8" w:rsidRPr="00A220B2" w:rsidRDefault="007D41E8" w:rsidP="007D41E8">
      <w:pPr>
        <w:numPr>
          <w:ilvl w:val="0"/>
          <w:numId w:val="18"/>
        </w:numPr>
        <w:spacing w:after="0"/>
        <w:ind w:right="709"/>
        <w:contextualSpacing/>
        <w:jc w:val="both"/>
        <w:rPr>
          <w:rFonts w:ascii="Verdana" w:eastAsia="Century Gothic" w:hAnsi="Verdana" w:cs="Century Gothic"/>
          <w:i/>
          <w:iCs/>
          <w:color w:val="000000" w:themeColor="text1"/>
          <w:sz w:val="20"/>
          <w:szCs w:val="20"/>
          <w:lang w:val="es-ES"/>
        </w:rPr>
      </w:pPr>
      <w:r w:rsidRPr="00A220B2">
        <w:rPr>
          <w:rFonts w:ascii="Verdana" w:eastAsia="Century Gothic" w:hAnsi="Verdana" w:cs="Century Gothic"/>
          <w:i/>
          <w:iCs/>
          <w:color w:val="000000" w:themeColor="text1"/>
          <w:sz w:val="20"/>
          <w:szCs w:val="20"/>
          <w:lang w:val="es-ES"/>
        </w:rPr>
        <w:t>En caso de que la respuesta sea negativa, ¿</w:t>
      </w:r>
      <w:proofErr w:type="spellStart"/>
      <w:r w:rsidRPr="00A220B2">
        <w:rPr>
          <w:rFonts w:ascii="Verdana" w:eastAsia="Century Gothic" w:hAnsi="Verdana" w:cs="Century Gothic"/>
          <w:i/>
          <w:iCs/>
          <w:color w:val="000000" w:themeColor="text1"/>
          <w:sz w:val="20"/>
          <w:szCs w:val="20"/>
          <w:lang w:val="es-ES"/>
        </w:rPr>
        <w:t>cuál</w:t>
      </w:r>
      <w:proofErr w:type="spellEnd"/>
      <w:r w:rsidRPr="00A220B2">
        <w:rPr>
          <w:rFonts w:ascii="Verdana" w:eastAsia="Century Gothic" w:hAnsi="Verdana" w:cs="Century Gothic"/>
          <w:i/>
          <w:iCs/>
          <w:color w:val="000000" w:themeColor="text1"/>
          <w:sz w:val="20"/>
          <w:szCs w:val="20"/>
          <w:lang w:val="es-ES"/>
        </w:rPr>
        <w:t xml:space="preserve"> </w:t>
      </w:r>
      <w:proofErr w:type="spellStart"/>
      <w:r w:rsidRPr="00A220B2">
        <w:rPr>
          <w:rFonts w:ascii="Verdana" w:eastAsia="Century Gothic" w:hAnsi="Verdana" w:cs="Century Gothic"/>
          <w:i/>
          <w:iCs/>
          <w:color w:val="000000" w:themeColor="text1"/>
          <w:sz w:val="20"/>
          <w:szCs w:val="20"/>
          <w:lang w:val="es-ES"/>
        </w:rPr>
        <w:t>sería</w:t>
      </w:r>
      <w:proofErr w:type="spellEnd"/>
      <w:r w:rsidRPr="00A220B2">
        <w:rPr>
          <w:rFonts w:ascii="Verdana" w:eastAsia="Century Gothic" w:hAnsi="Verdana" w:cs="Century Gothic"/>
          <w:i/>
          <w:iCs/>
          <w:color w:val="000000" w:themeColor="text1"/>
          <w:sz w:val="20"/>
          <w:szCs w:val="20"/>
          <w:lang w:val="es-ES"/>
        </w:rPr>
        <w:t xml:space="preserve"> la plataforma, mecanismo o sistema de compras </w:t>
      </w:r>
      <w:proofErr w:type="spellStart"/>
      <w:r w:rsidRPr="00A220B2">
        <w:rPr>
          <w:rFonts w:ascii="Verdana" w:eastAsia="Century Gothic" w:hAnsi="Verdana" w:cs="Century Gothic"/>
          <w:i/>
          <w:iCs/>
          <w:color w:val="000000" w:themeColor="text1"/>
          <w:sz w:val="20"/>
          <w:szCs w:val="20"/>
          <w:lang w:val="es-ES"/>
        </w:rPr>
        <w:t>electrónicas</w:t>
      </w:r>
      <w:proofErr w:type="spellEnd"/>
      <w:r w:rsidRPr="00A220B2">
        <w:rPr>
          <w:rFonts w:ascii="Verdana" w:eastAsia="Century Gothic" w:hAnsi="Verdana" w:cs="Century Gothic"/>
          <w:i/>
          <w:iCs/>
          <w:color w:val="000000" w:themeColor="text1"/>
          <w:sz w:val="20"/>
          <w:szCs w:val="20"/>
          <w:lang w:val="es-ES"/>
        </w:rPr>
        <w:t xml:space="preserve"> aplicable para que la Gerente de la E.S.E. Centro de Salud de Tausa pueda dar cumplimiento integral a este criterio de </w:t>
      </w:r>
      <w:proofErr w:type="spellStart"/>
      <w:r w:rsidRPr="00A220B2">
        <w:rPr>
          <w:rFonts w:ascii="Verdana" w:eastAsia="Century Gothic" w:hAnsi="Verdana" w:cs="Century Gothic"/>
          <w:i/>
          <w:iCs/>
          <w:color w:val="000000" w:themeColor="text1"/>
          <w:sz w:val="20"/>
          <w:szCs w:val="20"/>
          <w:lang w:val="es-ES"/>
        </w:rPr>
        <w:t>evaluación</w:t>
      </w:r>
      <w:proofErr w:type="spellEnd"/>
      <w:r w:rsidRPr="00A220B2">
        <w:rPr>
          <w:rFonts w:ascii="Verdana" w:eastAsia="Century Gothic" w:hAnsi="Verdana" w:cs="Century Gothic"/>
          <w:i/>
          <w:iCs/>
          <w:color w:val="000000" w:themeColor="text1"/>
          <w:sz w:val="20"/>
          <w:szCs w:val="20"/>
          <w:lang w:val="es-ES"/>
        </w:rPr>
        <w:t>?”</w:t>
      </w:r>
    </w:p>
    <w:p w14:paraId="0DBD5290" w14:textId="77777777" w:rsidR="007D41E8" w:rsidRPr="00A220B2" w:rsidRDefault="007D41E8" w:rsidP="007D41E8">
      <w:pPr>
        <w:spacing w:after="0"/>
        <w:ind w:left="709" w:right="709"/>
        <w:contextualSpacing/>
        <w:jc w:val="both"/>
        <w:rPr>
          <w:rFonts w:ascii="Verdana" w:eastAsia="Century Gothic" w:hAnsi="Verdana" w:cs="Century Gothic"/>
          <w:i/>
          <w:iCs/>
          <w:color w:val="000000" w:themeColor="text1"/>
          <w:sz w:val="20"/>
          <w:szCs w:val="20"/>
          <w:lang w:val="es-ES"/>
        </w:rPr>
      </w:pPr>
    </w:p>
    <w:p w14:paraId="33152066" w14:textId="77777777" w:rsidR="007D41E8" w:rsidRPr="00A220B2" w:rsidRDefault="007D41E8" w:rsidP="007D41E8">
      <w:pPr>
        <w:spacing w:after="0"/>
        <w:ind w:right="709"/>
        <w:contextualSpacing/>
        <w:jc w:val="both"/>
        <w:rPr>
          <w:rFonts w:ascii="Verdana" w:eastAsia="Century Gothic" w:hAnsi="Verdana" w:cs="Century Gothic"/>
          <w:i/>
          <w:color w:val="000000" w:themeColor="text1"/>
          <w:sz w:val="20"/>
          <w:szCs w:val="20"/>
          <w:lang w:val="es-ES"/>
        </w:rPr>
      </w:pPr>
    </w:p>
    <w:p w14:paraId="4C88CAD6" w14:textId="77777777" w:rsidR="007D41E8" w:rsidRPr="00A220B2" w:rsidRDefault="007D41E8" w:rsidP="007D41E8">
      <w:pPr>
        <w:spacing w:after="0" w:line="276" w:lineRule="auto"/>
        <w:contextualSpacing/>
        <w:jc w:val="both"/>
        <w:rPr>
          <w:rFonts w:ascii="Verdana" w:eastAsia="Calibri" w:hAnsi="Verdana" w:cs="Arial"/>
          <w:color w:val="000000" w:themeColor="text1"/>
          <w:szCs w:val="24"/>
          <w:lang w:val="es-ES" w:eastAsia="es-ES_tradnl"/>
        </w:rPr>
      </w:pPr>
      <w:r w:rsidRPr="00A220B2">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A220B2">
        <w:rPr>
          <w:rFonts w:ascii="Verdana" w:eastAsia="Calibri" w:hAnsi="Verdana" w:cs="Arial"/>
          <w:color w:val="000000" w:themeColor="text1"/>
          <w:szCs w:val="24"/>
          <w:lang w:val="es-ES" w:eastAsia="es-ES_tradnl"/>
        </w:rPr>
        <w:tab/>
      </w:r>
    </w:p>
    <w:p w14:paraId="36DA4F28" w14:textId="77777777" w:rsidR="007D41E8" w:rsidRPr="00A220B2" w:rsidRDefault="007D41E8" w:rsidP="007D41E8">
      <w:pPr>
        <w:spacing w:before="120" w:after="120" w:line="276" w:lineRule="auto"/>
        <w:ind w:firstLine="709"/>
        <w:jc w:val="both"/>
        <w:rPr>
          <w:rFonts w:ascii="Verdana" w:eastAsia="Calibri" w:hAnsi="Verdana" w:cs="Arial"/>
          <w:color w:val="000000" w:themeColor="text1"/>
          <w:lang w:val="es-ES" w:eastAsia="es-ES"/>
        </w:rPr>
      </w:pPr>
      <w:r w:rsidRPr="00A220B2">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01B7C15" w14:textId="77777777" w:rsidR="007D41E8" w:rsidRPr="00A220B2" w:rsidRDefault="007D41E8" w:rsidP="007D41E8">
      <w:pPr>
        <w:spacing w:after="0" w:line="276" w:lineRule="auto"/>
        <w:jc w:val="both"/>
        <w:rPr>
          <w:rFonts w:ascii="Verdana" w:eastAsia="Calibri" w:hAnsi="Verdana" w:cs="Arial"/>
          <w:color w:val="000000" w:themeColor="text1"/>
          <w:lang w:val="es-ES" w:eastAsia="es-ES"/>
        </w:rPr>
      </w:pPr>
    </w:p>
    <w:p w14:paraId="69742790" w14:textId="77777777" w:rsidR="007D41E8" w:rsidRPr="00A220B2" w:rsidRDefault="007D41E8" w:rsidP="007D41E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Problema planteado:</w:t>
      </w:r>
    </w:p>
    <w:p w14:paraId="281EBBEC" w14:textId="77777777" w:rsidR="007D41E8" w:rsidRPr="00A220B2" w:rsidRDefault="007D41E8" w:rsidP="007D41E8">
      <w:pPr>
        <w:tabs>
          <w:tab w:val="left" w:pos="426"/>
        </w:tabs>
        <w:spacing w:after="0" w:line="276" w:lineRule="auto"/>
        <w:jc w:val="both"/>
        <w:rPr>
          <w:rFonts w:ascii="Verdana" w:eastAsia="Century Gothic" w:hAnsi="Verdana" w:cs="Century Gothic"/>
          <w:color w:val="000000" w:themeColor="text1"/>
          <w:lang w:val="es-ES"/>
        </w:rPr>
      </w:pPr>
    </w:p>
    <w:p w14:paraId="3E1C02D5" w14:textId="7F80A919" w:rsidR="007D41E8" w:rsidRPr="00A220B2" w:rsidRDefault="007D41E8" w:rsidP="007D41E8">
      <w:pPr>
        <w:spacing w:after="0" w:line="276" w:lineRule="auto"/>
        <w:jc w:val="both"/>
        <w:rPr>
          <w:rFonts w:ascii="Verdana" w:eastAsia="Century Gothic" w:hAnsi="Verdana" w:cs="Century Gothic"/>
          <w:color w:val="000000" w:themeColor="text1"/>
          <w:lang w:val="es-ES"/>
        </w:rPr>
      </w:pPr>
      <w:r w:rsidRPr="00A220B2">
        <w:rPr>
          <w:rFonts w:ascii="Verdana" w:eastAsia="Century Gothic" w:hAnsi="Verdana" w:cs="Century Gothic"/>
          <w:color w:val="000000" w:themeColor="text1"/>
          <w:lang w:val="es-ES"/>
        </w:rPr>
        <w:t>De acuerdo con el contenido de su solicitud, esta Agencia resolverá el siguiente problema jurídico:</w:t>
      </w:r>
      <w:r w:rsidRPr="00A220B2">
        <w:rPr>
          <w:lang w:val="es-ES"/>
        </w:rPr>
        <w:t xml:space="preserve"> </w:t>
      </w:r>
      <w:r w:rsidRPr="00A220B2">
        <w:rPr>
          <w:rFonts w:ascii="Verdana" w:eastAsia="Century Gothic" w:hAnsi="Verdana" w:cs="Century Gothic"/>
          <w:color w:val="000000" w:themeColor="text1"/>
          <w:lang w:val="es-ES"/>
        </w:rPr>
        <w:t xml:space="preserve">¿En qué consiste el Sistema Electrónico para la Contratación Pública –SECOP– y cuál es la definición de </w:t>
      </w:r>
      <w:r w:rsidR="0093606F">
        <w:rPr>
          <w:rFonts w:ascii="Verdana" w:eastAsia="Century Gothic" w:hAnsi="Verdana" w:cs="Century Gothic"/>
          <w:color w:val="000000" w:themeColor="text1"/>
          <w:lang w:val="es-ES"/>
        </w:rPr>
        <w:t>“s</w:t>
      </w:r>
      <w:proofErr w:type="spellStart"/>
      <w:r w:rsidR="0093606F" w:rsidRPr="0093606F">
        <w:rPr>
          <w:rFonts w:ascii="Verdana" w:eastAsia="Century Gothic" w:hAnsi="Verdana" w:cs="Century Gothic"/>
          <w:color w:val="000000" w:themeColor="text1"/>
        </w:rPr>
        <w:t>istemas</w:t>
      </w:r>
      <w:proofErr w:type="spellEnd"/>
      <w:r w:rsidR="0093606F" w:rsidRPr="0093606F">
        <w:rPr>
          <w:rFonts w:ascii="Verdana" w:eastAsia="Century Gothic" w:hAnsi="Verdana" w:cs="Century Gothic"/>
          <w:color w:val="000000" w:themeColor="text1"/>
        </w:rPr>
        <w:t xml:space="preserve"> de compras electrónicas</w:t>
      </w:r>
      <w:r w:rsidR="0093606F">
        <w:rPr>
          <w:rFonts w:ascii="Verdana" w:eastAsia="Century Gothic" w:hAnsi="Verdana" w:cs="Century Gothic"/>
          <w:color w:val="000000" w:themeColor="text1"/>
        </w:rPr>
        <w:t xml:space="preserve">” </w:t>
      </w:r>
      <w:r w:rsidRPr="00A220B2">
        <w:rPr>
          <w:rFonts w:ascii="Verdana" w:eastAsia="Century Gothic" w:hAnsi="Verdana" w:cs="Century Gothic"/>
          <w:color w:val="000000" w:themeColor="text1"/>
          <w:lang w:val="es-ES"/>
        </w:rPr>
        <w:t>del artículo 76 de la Ley 1438 de 2011?</w:t>
      </w:r>
    </w:p>
    <w:p w14:paraId="53A584C3" w14:textId="77777777" w:rsidR="007D41E8" w:rsidRPr="00A220B2" w:rsidRDefault="007D41E8" w:rsidP="007D41E8">
      <w:pPr>
        <w:spacing w:after="0" w:line="276" w:lineRule="auto"/>
        <w:jc w:val="both"/>
        <w:rPr>
          <w:rFonts w:ascii="Verdana" w:eastAsia="Calibri" w:hAnsi="Verdana" w:cs="Arial"/>
          <w:color w:val="000000" w:themeColor="text1"/>
          <w:lang w:val="es-ES"/>
        </w:rPr>
      </w:pPr>
    </w:p>
    <w:p w14:paraId="0FE30F73" w14:textId="77777777" w:rsidR="007D41E8" w:rsidRPr="00A220B2" w:rsidRDefault="007D41E8" w:rsidP="007D41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Respuesta:</w:t>
      </w:r>
    </w:p>
    <w:p w14:paraId="14D463C1" w14:textId="77777777" w:rsidR="007D41E8" w:rsidRPr="00A220B2" w:rsidRDefault="007D41E8" w:rsidP="007D41E8">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D41E8" w:rsidRPr="00A220B2" w14:paraId="6EAE3817" w14:textId="77777777" w:rsidTr="00361F48">
        <w:tc>
          <w:tcPr>
            <w:tcW w:w="8828" w:type="dxa"/>
          </w:tcPr>
          <w:p w14:paraId="3303A6B3" w14:textId="77777777" w:rsidR="007D41E8" w:rsidRPr="00A220B2" w:rsidRDefault="007D41E8" w:rsidP="00361F48">
            <w:pPr>
              <w:spacing w:before="120" w:after="120" w:line="276" w:lineRule="auto"/>
              <w:jc w:val="both"/>
              <w:rPr>
                <w:rFonts w:ascii="Verdana" w:eastAsia="Arial" w:hAnsi="Verdana" w:cs="Arial"/>
                <w:lang w:val="es-ES"/>
              </w:rPr>
            </w:pPr>
            <w:r w:rsidRPr="00B52EDB">
              <w:rPr>
                <w:rFonts w:ascii="Verdana" w:eastAsia="Arial" w:hAnsi="Verdana" w:cs="Arial"/>
                <w:lang w:val="es-ES"/>
              </w:rPr>
              <w:t xml:space="preserve">El literal c) del artículo 3 de la Ley 1150 de 2007 establece el Sistema Electrónico para la Contratación Pública, en adelante SECOP, como un mecanismo que "contará con la información oficial de la contratación realizada con dineros públicos, para lo cual establecerá los patrones a que haya lugar y se encargará de su difusión a través de canales electrónicos". </w:t>
            </w:r>
          </w:p>
          <w:p w14:paraId="2E1EF4B9" w14:textId="77777777" w:rsidR="007D41E8" w:rsidRPr="00B52EDB" w:rsidRDefault="007D41E8" w:rsidP="00361F48">
            <w:pPr>
              <w:spacing w:before="120" w:after="120" w:line="276" w:lineRule="auto"/>
              <w:ind w:firstLine="738"/>
              <w:jc w:val="both"/>
              <w:rPr>
                <w:rFonts w:ascii="Verdana" w:eastAsia="Arial" w:hAnsi="Verdana" w:cs="Arial"/>
                <w:lang w:val="es-ES"/>
              </w:rPr>
            </w:pPr>
            <w:r w:rsidRPr="00B52EDB">
              <w:rPr>
                <w:rFonts w:ascii="Verdana" w:eastAsia="Arial" w:hAnsi="Verdana" w:cs="Arial"/>
                <w:lang w:val="es-ES"/>
              </w:rPr>
              <w:t>Dicha plataforma está integrada por componentes de distinta naturaleza</w:t>
            </w:r>
            <w:r w:rsidRPr="00A220B2">
              <w:rPr>
                <w:rFonts w:ascii="Verdana" w:eastAsia="Arial" w:hAnsi="Verdana" w:cs="Arial"/>
                <w:lang w:val="es-ES"/>
              </w:rPr>
              <w:t xml:space="preserve">: i) el </w:t>
            </w:r>
            <w:r w:rsidRPr="00B52EDB">
              <w:rPr>
                <w:rFonts w:ascii="Verdana" w:eastAsia="Arial" w:hAnsi="Verdana" w:cs="Arial"/>
                <w:lang w:val="es-ES"/>
              </w:rPr>
              <w:t>SECOP I</w:t>
            </w:r>
            <w:r w:rsidRPr="00A220B2">
              <w:rPr>
                <w:rFonts w:ascii="Verdana" w:eastAsia="Arial" w:hAnsi="Verdana" w:cs="Arial"/>
                <w:lang w:val="es-ES"/>
              </w:rPr>
              <w:t xml:space="preserve"> que </w:t>
            </w:r>
            <w:r w:rsidRPr="00B52EDB">
              <w:rPr>
                <w:rFonts w:ascii="Verdana" w:eastAsia="Arial" w:hAnsi="Verdana" w:cs="Arial"/>
                <w:lang w:val="es-ES"/>
              </w:rPr>
              <w:t xml:space="preserve">funciona </w:t>
            </w:r>
            <w:r w:rsidRPr="00A220B2">
              <w:rPr>
                <w:rFonts w:ascii="Verdana" w:eastAsia="Arial" w:hAnsi="Verdana" w:cs="Arial"/>
                <w:lang w:val="es-ES"/>
              </w:rPr>
              <w:t xml:space="preserve">únicamente </w:t>
            </w:r>
            <w:r w:rsidRPr="00B52EDB">
              <w:rPr>
                <w:rFonts w:ascii="Verdana" w:eastAsia="Arial" w:hAnsi="Verdana" w:cs="Arial"/>
                <w:lang w:val="es-ES"/>
              </w:rPr>
              <w:t xml:space="preserve">como medio de publicidad, </w:t>
            </w:r>
            <w:r w:rsidRPr="00A220B2">
              <w:rPr>
                <w:rFonts w:ascii="Verdana" w:eastAsia="Arial" w:hAnsi="Verdana" w:cs="Arial"/>
                <w:lang w:val="es-ES"/>
              </w:rPr>
              <w:t xml:space="preserve">en el cual </w:t>
            </w:r>
            <w:r w:rsidRPr="00B52EDB">
              <w:rPr>
                <w:rFonts w:ascii="Verdana" w:eastAsia="Arial" w:hAnsi="Verdana" w:cs="Arial"/>
                <w:lang w:val="es-ES"/>
              </w:rPr>
              <w:t>el procedimiento contractual ocurre fuera de la plataforma y a través de un expediente físico en la entidad, pero las actuaciones y los documentos se convierten en electrónicos para ser cargados a la plataforma</w:t>
            </w:r>
            <w:r w:rsidRPr="00A220B2">
              <w:rPr>
                <w:rFonts w:ascii="Verdana" w:eastAsia="Arial" w:hAnsi="Verdana" w:cs="Arial"/>
                <w:lang w:val="es-ES"/>
              </w:rPr>
              <w:t>;</w:t>
            </w:r>
            <w:r w:rsidRPr="00B52EDB">
              <w:rPr>
                <w:rFonts w:ascii="Verdana" w:eastAsia="Arial" w:hAnsi="Verdana" w:cs="Arial"/>
                <w:lang w:val="es-ES"/>
              </w:rPr>
              <w:t xml:space="preserve"> </w:t>
            </w:r>
            <w:proofErr w:type="spellStart"/>
            <w:r w:rsidRPr="00A220B2">
              <w:rPr>
                <w:rFonts w:ascii="Verdana" w:eastAsia="Arial" w:hAnsi="Verdana" w:cs="Arial"/>
                <w:lang w:val="es-ES"/>
              </w:rPr>
              <w:t>ii</w:t>
            </w:r>
            <w:proofErr w:type="spellEnd"/>
            <w:r w:rsidRPr="00A220B2">
              <w:rPr>
                <w:rFonts w:ascii="Verdana" w:eastAsia="Arial" w:hAnsi="Verdana" w:cs="Arial"/>
                <w:lang w:val="es-ES"/>
              </w:rPr>
              <w:t xml:space="preserve">) </w:t>
            </w:r>
            <w:r w:rsidRPr="00B52EDB">
              <w:rPr>
                <w:rFonts w:ascii="Verdana" w:eastAsia="Arial" w:hAnsi="Verdana" w:cs="Arial"/>
                <w:lang w:val="es-ES"/>
              </w:rPr>
              <w:t>el SECOP II</w:t>
            </w:r>
            <w:r w:rsidRPr="00A220B2">
              <w:rPr>
                <w:rFonts w:ascii="Verdana" w:eastAsia="Arial" w:hAnsi="Verdana" w:cs="Arial"/>
                <w:lang w:val="es-ES"/>
              </w:rPr>
              <w:t xml:space="preserve"> que, por el contrario,</w:t>
            </w:r>
            <w:r w:rsidRPr="00B52EDB">
              <w:rPr>
                <w:rFonts w:ascii="Verdana" w:eastAsia="Arial" w:hAnsi="Verdana" w:cs="Arial"/>
                <w:lang w:val="es-ES"/>
              </w:rPr>
              <w:t xml:space="preserve"> es una plataforma transaccional que permite gestionar en línea los procedimientos de contratación, con cuentas y usuarios asociados a estas</w:t>
            </w:r>
            <w:r w:rsidRPr="00A220B2">
              <w:rPr>
                <w:rFonts w:ascii="Verdana" w:eastAsia="Arial" w:hAnsi="Verdana" w:cs="Arial"/>
                <w:lang w:val="es-ES"/>
              </w:rPr>
              <w:t xml:space="preserve">; y </w:t>
            </w:r>
            <w:proofErr w:type="spellStart"/>
            <w:r w:rsidRPr="00A220B2">
              <w:rPr>
                <w:rFonts w:ascii="Verdana" w:eastAsia="Arial" w:hAnsi="Verdana" w:cs="Arial"/>
                <w:lang w:val="es-ES"/>
              </w:rPr>
              <w:t>iii</w:t>
            </w:r>
            <w:proofErr w:type="spellEnd"/>
            <w:r w:rsidRPr="00A220B2">
              <w:rPr>
                <w:rFonts w:ascii="Verdana" w:eastAsia="Arial" w:hAnsi="Verdana" w:cs="Arial"/>
                <w:lang w:val="es-ES"/>
              </w:rPr>
              <w:t xml:space="preserve">) </w:t>
            </w:r>
            <w:r w:rsidRPr="00B52EDB">
              <w:rPr>
                <w:rFonts w:ascii="Verdana" w:eastAsia="Arial" w:hAnsi="Verdana" w:cs="Arial"/>
                <w:lang w:val="es-ES"/>
              </w:rPr>
              <w:t>Tienda Virtual del Estado Colombiano (TVEC)</w:t>
            </w:r>
            <w:r w:rsidRPr="00A220B2">
              <w:rPr>
                <w:rFonts w:ascii="Verdana" w:eastAsia="Arial" w:hAnsi="Verdana" w:cs="Arial"/>
                <w:lang w:val="es-ES"/>
              </w:rPr>
              <w:t>, que es</w:t>
            </w:r>
            <w:r w:rsidRPr="00B52EDB">
              <w:rPr>
                <w:rFonts w:ascii="Verdana" w:eastAsia="Arial" w:hAnsi="Verdana" w:cs="Arial"/>
                <w:lang w:val="es-ES"/>
              </w:rPr>
              <w:t xml:space="preserve"> la plataforma transaccional de comercio electrónico a través de la cual las Entidades Compradoras hacen las transacciones para adquirir: (</w:t>
            </w:r>
            <w:r w:rsidRPr="00A220B2">
              <w:rPr>
                <w:rFonts w:ascii="Verdana" w:eastAsia="Arial" w:hAnsi="Verdana" w:cs="Arial"/>
                <w:lang w:val="es-ES"/>
              </w:rPr>
              <w:t>a</w:t>
            </w:r>
            <w:r w:rsidRPr="00B52EDB">
              <w:rPr>
                <w:rFonts w:ascii="Verdana" w:eastAsia="Arial" w:hAnsi="Verdana" w:cs="Arial"/>
                <w:lang w:val="es-ES"/>
              </w:rPr>
              <w:t>) bienes y servicios a través de los Acuerdos Marco de Precios; (</w:t>
            </w:r>
            <w:r w:rsidRPr="00A220B2">
              <w:rPr>
                <w:rFonts w:ascii="Verdana" w:eastAsia="Arial" w:hAnsi="Verdana" w:cs="Arial"/>
                <w:lang w:val="es-ES"/>
              </w:rPr>
              <w:t>b</w:t>
            </w:r>
            <w:r w:rsidRPr="00B52EDB">
              <w:rPr>
                <w:rFonts w:ascii="Verdana" w:eastAsia="Arial" w:hAnsi="Verdana" w:cs="Arial"/>
                <w:lang w:val="es-ES"/>
              </w:rPr>
              <w:t>) bienes y servicios al amparo de Contratos de Agregación de Demanda; y (</w:t>
            </w:r>
            <w:r w:rsidRPr="00A220B2">
              <w:rPr>
                <w:rFonts w:ascii="Verdana" w:eastAsia="Arial" w:hAnsi="Verdana" w:cs="Arial"/>
                <w:lang w:val="es-ES"/>
              </w:rPr>
              <w:t>c</w:t>
            </w:r>
            <w:r w:rsidRPr="00B52EDB">
              <w:rPr>
                <w:rFonts w:ascii="Verdana" w:eastAsia="Arial" w:hAnsi="Verdana" w:cs="Arial"/>
                <w:lang w:val="es-ES"/>
              </w:rPr>
              <w:t>) bienes en la modalidad de Mínima Cuantía en Grandes Superficies.</w:t>
            </w:r>
            <w:r w:rsidRPr="00A220B2">
              <w:rPr>
                <w:rFonts w:ascii="Verdana" w:eastAsia="Arial" w:hAnsi="Verdana" w:cs="Arial"/>
                <w:lang w:val="es-ES"/>
              </w:rPr>
              <w:t xml:space="preserve"> </w:t>
            </w:r>
          </w:p>
          <w:p w14:paraId="749F32EC" w14:textId="77777777" w:rsidR="007D41E8" w:rsidRPr="00B52EDB" w:rsidRDefault="007D41E8" w:rsidP="00361F48">
            <w:pPr>
              <w:spacing w:after="120" w:line="276" w:lineRule="auto"/>
              <w:ind w:firstLine="738"/>
              <w:jc w:val="both"/>
              <w:rPr>
                <w:rFonts w:ascii="Verdana" w:eastAsia="Arial" w:hAnsi="Verdana" w:cs="Arial"/>
                <w:lang w:val="es-ES"/>
              </w:rPr>
            </w:pPr>
            <w:r w:rsidRPr="00B52EDB">
              <w:rPr>
                <w:rFonts w:ascii="Verdana" w:eastAsia="Arial" w:hAnsi="Verdana" w:cs="Arial"/>
                <w:lang w:val="es-ES"/>
              </w:rPr>
              <w:t>Las Empresas Sociales del Estado</w:t>
            </w:r>
            <w:r w:rsidRPr="00A220B2">
              <w:rPr>
                <w:rFonts w:ascii="Verdana" w:eastAsia="Arial" w:hAnsi="Verdana" w:cs="Arial"/>
                <w:lang w:val="es-ES"/>
              </w:rPr>
              <w:t xml:space="preserve"> –en adelante E.S.E–</w:t>
            </w:r>
            <w:r w:rsidRPr="00B52EDB">
              <w:rPr>
                <w:rFonts w:ascii="Verdana" w:eastAsia="Arial" w:hAnsi="Verdana" w:cs="Arial"/>
                <w:lang w:val="es-ES"/>
              </w:rPr>
              <w:t xml:space="preserve"> son una de las Entidades Estatales con régimen especial, en tanto que, de conformidad con el numeral 6 del artículo 195 de la Ley 100 de 1993, su régimen de contratación es el de derecho privado y no están sometidas al EGCAP ni a las normas que lo reglamentan o complementan. </w:t>
            </w:r>
            <w:r w:rsidRPr="00A220B2">
              <w:rPr>
                <w:rFonts w:ascii="Verdana" w:eastAsia="Arial" w:hAnsi="Verdana" w:cs="Arial"/>
                <w:lang w:val="es-ES"/>
              </w:rPr>
              <w:t>Sin embargo, se encuentran obligadas a publicar su actividad contractual en el SECOP y</w:t>
            </w:r>
            <w:r w:rsidRPr="00B52EDB">
              <w:rPr>
                <w:rFonts w:ascii="Verdana" w:eastAsia="Arial" w:hAnsi="Verdana" w:cs="Arial"/>
                <w:lang w:val="es-ES"/>
              </w:rPr>
              <w:t xml:space="preserve"> podrán realizar compras en los catálogos de la Tienda Virtual del Estado Colombiano, de acuerdo con lo que establezca su Manual de Contratación.</w:t>
            </w:r>
          </w:p>
          <w:p w14:paraId="1A718026" w14:textId="3BD33848" w:rsidR="007D41E8" w:rsidRPr="00A220B2" w:rsidRDefault="007D41E8" w:rsidP="00361F48">
            <w:pPr>
              <w:spacing w:after="120" w:line="276" w:lineRule="auto"/>
              <w:ind w:firstLine="738"/>
              <w:jc w:val="both"/>
              <w:rPr>
                <w:rFonts w:ascii="Verdana" w:eastAsia="Arial" w:hAnsi="Verdana" w:cs="Arial"/>
                <w:lang w:val="es-ES"/>
              </w:rPr>
            </w:pPr>
            <w:r w:rsidRPr="00B52EDB">
              <w:rPr>
                <w:rFonts w:ascii="Verdana" w:eastAsia="Arial" w:hAnsi="Verdana" w:cs="Arial"/>
                <w:lang w:val="es-ES"/>
              </w:rPr>
              <w:t xml:space="preserve">Ahora bien, el artículo 76 de la Ley 1438 de 2011 autoriza expresamente a las </w:t>
            </w:r>
            <w:r w:rsidRPr="00A220B2">
              <w:rPr>
                <w:rFonts w:ascii="Verdana" w:eastAsia="Arial" w:hAnsi="Verdana" w:cs="Arial"/>
                <w:lang w:val="es-ES"/>
              </w:rPr>
              <w:t xml:space="preserve">E.S.E </w:t>
            </w:r>
            <w:r w:rsidRPr="00B52EDB">
              <w:rPr>
                <w:rFonts w:ascii="Verdana" w:eastAsia="Arial" w:hAnsi="Verdana" w:cs="Arial"/>
                <w:lang w:val="es-ES"/>
              </w:rPr>
              <w:t xml:space="preserve">para: i) asociarse entre sí; </w:t>
            </w:r>
            <w:proofErr w:type="spellStart"/>
            <w:r w:rsidRPr="00B52EDB">
              <w:rPr>
                <w:rFonts w:ascii="Verdana" w:eastAsia="Arial" w:hAnsi="Verdana" w:cs="Arial"/>
                <w:lang w:val="es-ES"/>
              </w:rPr>
              <w:t>ii</w:t>
            </w:r>
            <w:proofErr w:type="spellEnd"/>
            <w:r w:rsidRPr="00B52EDB">
              <w:rPr>
                <w:rFonts w:ascii="Verdana" w:eastAsia="Arial" w:hAnsi="Verdana" w:cs="Arial"/>
                <w:lang w:val="es-ES"/>
              </w:rPr>
              <w:t xml:space="preserve">) constituir cooperativas; </w:t>
            </w:r>
            <w:proofErr w:type="spellStart"/>
            <w:r w:rsidRPr="00B52EDB">
              <w:rPr>
                <w:rFonts w:ascii="Verdana" w:eastAsia="Arial" w:hAnsi="Verdana" w:cs="Arial"/>
                <w:lang w:val="es-ES"/>
              </w:rPr>
              <w:t>iii</w:t>
            </w:r>
            <w:proofErr w:type="spellEnd"/>
            <w:r w:rsidRPr="00B52EDB">
              <w:rPr>
                <w:rFonts w:ascii="Verdana" w:eastAsia="Arial" w:hAnsi="Verdana" w:cs="Arial"/>
                <w:lang w:val="es-ES"/>
              </w:rPr>
              <w:t xml:space="preserve">) utilizar </w:t>
            </w:r>
            <w:r w:rsidRPr="00B52EDB">
              <w:rPr>
                <w:rFonts w:ascii="Verdana" w:eastAsia="Arial" w:hAnsi="Verdana" w:cs="Arial"/>
                <w:i/>
                <w:iCs/>
                <w:lang w:val="es-ES"/>
              </w:rPr>
              <w:t>sistemas de compras electrónicas</w:t>
            </w:r>
            <w:r w:rsidRPr="00B52EDB">
              <w:rPr>
                <w:rFonts w:ascii="Verdana" w:eastAsia="Arial" w:hAnsi="Verdana" w:cs="Arial"/>
                <w:lang w:val="es-ES"/>
              </w:rPr>
              <w:t xml:space="preserve">; o </w:t>
            </w:r>
            <w:proofErr w:type="spellStart"/>
            <w:r w:rsidRPr="00B52EDB">
              <w:rPr>
                <w:rFonts w:ascii="Verdana" w:eastAsia="Arial" w:hAnsi="Verdana" w:cs="Arial"/>
                <w:lang w:val="es-ES"/>
              </w:rPr>
              <w:t>iv</w:t>
            </w:r>
            <w:proofErr w:type="spellEnd"/>
            <w:r w:rsidRPr="00B52EDB">
              <w:rPr>
                <w:rFonts w:ascii="Verdana" w:eastAsia="Arial" w:hAnsi="Verdana" w:cs="Arial"/>
                <w:lang w:val="es-ES"/>
              </w:rPr>
              <w:t xml:space="preserve">) cualquier otro mecanismo, </w:t>
            </w:r>
            <w:r w:rsidRPr="00B52EDB">
              <w:rPr>
                <w:rFonts w:ascii="Verdana" w:eastAsia="Arial" w:hAnsi="Verdana" w:cs="Arial"/>
                <w:i/>
                <w:iCs/>
                <w:lang w:val="es-ES"/>
              </w:rPr>
              <w:t>siempre que</w:t>
            </w:r>
            <w:r w:rsidRPr="00B52EDB">
              <w:rPr>
                <w:rFonts w:ascii="Verdana" w:eastAsia="Arial" w:hAnsi="Verdana" w:cs="Arial"/>
                <w:lang w:val="es-ES"/>
              </w:rPr>
              <w:t xml:space="preserve"> </w:t>
            </w:r>
            <w:r w:rsidRPr="00A220B2">
              <w:rPr>
                <w:rFonts w:ascii="Verdana" w:eastAsia="Arial" w:hAnsi="Verdana" w:cs="Arial"/>
                <w:lang w:val="es-ES"/>
              </w:rPr>
              <w:t xml:space="preserve">las </w:t>
            </w:r>
            <w:r w:rsidRPr="00B52EDB">
              <w:rPr>
                <w:rFonts w:ascii="Verdana" w:eastAsia="Arial" w:hAnsi="Verdana" w:cs="Arial"/>
                <w:lang w:val="es-ES"/>
              </w:rPr>
              <w:t xml:space="preserve">beneficie con economías de escala, calidad, oportunidad y eficiencia, en el marco de los principios que rigen la actividad contractual del Estado. En ejercicio de las facultades establecidas en dicho </w:t>
            </w:r>
            <w:r w:rsidRPr="00B52EDB">
              <w:rPr>
                <w:rFonts w:ascii="Verdana" w:eastAsia="Arial" w:hAnsi="Verdana" w:cs="Arial"/>
                <w:lang w:val="es-ES"/>
              </w:rPr>
              <w:lastRenderedPageBreak/>
              <w:t>artículo, el Ministerio de Salud y Protección Social emitió la Resolución No. 5185 de 2013, cuyo numeral 5.3 definió la expresión "</w:t>
            </w:r>
            <w:r w:rsidRPr="00B52EDB">
              <w:rPr>
                <w:rFonts w:ascii="Verdana" w:eastAsia="Arial" w:hAnsi="Verdana" w:cs="Arial"/>
                <w:i/>
                <w:iCs/>
                <w:lang w:val="es-ES"/>
              </w:rPr>
              <w:t>sistemas de compras electrónicas</w:t>
            </w:r>
            <w:r w:rsidRPr="00B52EDB">
              <w:rPr>
                <w:rFonts w:ascii="Verdana" w:eastAsia="Arial" w:hAnsi="Verdana" w:cs="Arial"/>
                <w:lang w:val="es-ES"/>
              </w:rPr>
              <w:t>" como parte de los mecanismos de selección que pueden adoptar estas entidades,</w:t>
            </w:r>
            <w:r w:rsidRPr="00A220B2">
              <w:rPr>
                <w:rFonts w:ascii="Verdana" w:eastAsia="Arial" w:hAnsi="Verdana" w:cs="Arial"/>
                <w:lang w:val="es-ES"/>
              </w:rPr>
              <w:t xml:space="preserve"> aclarando que son</w:t>
            </w:r>
            <w:r w:rsidRPr="00B52EDB">
              <w:rPr>
                <w:rFonts w:ascii="Verdana" w:eastAsia="Arial" w:hAnsi="Verdana" w:cs="Arial"/>
                <w:lang w:val="es-ES"/>
              </w:rPr>
              <w:t xml:space="preserve"> " los mecanismos de soporte a las transacciones propias de los procesos de adquisición, que permitan a la entidad realizar compras de manera eficiente".</w:t>
            </w:r>
          </w:p>
          <w:p w14:paraId="0F4DE163" w14:textId="77777777" w:rsidR="007D41E8" w:rsidRPr="00A220B2" w:rsidRDefault="007D41E8" w:rsidP="00361F48">
            <w:pPr>
              <w:spacing w:after="120" w:line="276" w:lineRule="auto"/>
              <w:ind w:firstLine="738"/>
              <w:jc w:val="both"/>
              <w:rPr>
                <w:rFonts w:ascii="Verdana" w:eastAsia="Arial" w:hAnsi="Verdana" w:cs="Arial"/>
                <w:lang w:val="es-ES"/>
              </w:rPr>
            </w:pPr>
            <w:r w:rsidRPr="00B52EDB">
              <w:rPr>
                <w:rFonts w:ascii="Verdana" w:eastAsia="Arial" w:hAnsi="Verdana" w:cs="Arial"/>
                <w:lang w:val="es-ES"/>
              </w:rPr>
              <w:t xml:space="preserve">En virtud de esta definición, las Empresas Sociales del Estado tienen la facultad de </w:t>
            </w:r>
            <w:proofErr w:type="gramStart"/>
            <w:r w:rsidRPr="00B52EDB">
              <w:rPr>
                <w:rFonts w:ascii="Verdana" w:eastAsia="Arial" w:hAnsi="Verdana" w:cs="Arial"/>
                <w:lang w:val="es-ES"/>
              </w:rPr>
              <w:t xml:space="preserve">utilizar </w:t>
            </w:r>
            <w:r w:rsidRPr="00A220B2">
              <w:rPr>
                <w:rFonts w:ascii="Verdana" w:eastAsia="Arial" w:hAnsi="Verdana" w:cs="Arial"/>
                <w:lang w:val="es-ES"/>
              </w:rPr>
              <w:t>”</w:t>
            </w:r>
            <w:r>
              <w:rPr>
                <w:rFonts w:ascii="Verdana" w:eastAsia="Arial" w:hAnsi="Verdana" w:cs="Arial"/>
                <w:lang w:val="es-ES"/>
              </w:rPr>
              <w:t>s</w:t>
            </w:r>
            <w:r w:rsidRPr="00B52EDB">
              <w:rPr>
                <w:rFonts w:ascii="Verdana" w:eastAsia="Arial" w:hAnsi="Verdana" w:cs="Arial"/>
                <w:lang w:val="es-ES"/>
              </w:rPr>
              <w:t>istemas</w:t>
            </w:r>
            <w:proofErr w:type="gramEnd"/>
            <w:r w:rsidRPr="00B52EDB">
              <w:rPr>
                <w:rFonts w:ascii="Verdana" w:eastAsia="Arial" w:hAnsi="Verdana" w:cs="Arial"/>
                <w:lang w:val="es-ES"/>
              </w:rPr>
              <w:t xml:space="preserve"> de compras electrónicas</w:t>
            </w:r>
            <w:r w:rsidRPr="00A220B2">
              <w:rPr>
                <w:rFonts w:ascii="Verdana" w:eastAsia="Arial" w:hAnsi="Verdana" w:cs="Arial"/>
                <w:lang w:val="es-ES"/>
              </w:rPr>
              <w:t>”</w:t>
            </w:r>
            <w:r w:rsidRPr="00B52EDB">
              <w:rPr>
                <w:rFonts w:ascii="Verdana" w:eastAsia="Arial" w:hAnsi="Verdana" w:cs="Arial"/>
                <w:lang w:val="es-ES"/>
              </w:rPr>
              <w:t xml:space="preserve"> como mecanismos que: i) sirven de soporte para las transacciones del proceso de contratación; </w:t>
            </w:r>
            <w:proofErr w:type="spellStart"/>
            <w:r w:rsidRPr="00B52EDB">
              <w:rPr>
                <w:rFonts w:ascii="Verdana" w:eastAsia="Arial" w:hAnsi="Verdana" w:cs="Arial"/>
                <w:lang w:val="es-ES"/>
              </w:rPr>
              <w:t>ii</w:t>
            </w:r>
            <w:proofErr w:type="spellEnd"/>
            <w:r w:rsidRPr="00B52EDB">
              <w:rPr>
                <w:rFonts w:ascii="Verdana" w:eastAsia="Arial" w:hAnsi="Verdana" w:cs="Arial"/>
                <w:lang w:val="es-ES"/>
              </w:rPr>
              <w:t xml:space="preserve">) permiten realizar compras eficientes; y </w:t>
            </w:r>
            <w:proofErr w:type="spellStart"/>
            <w:r w:rsidRPr="00B52EDB">
              <w:rPr>
                <w:rFonts w:ascii="Verdana" w:eastAsia="Arial" w:hAnsi="Verdana" w:cs="Arial"/>
                <w:lang w:val="es-ES"/>
              </w:rPr>
              <w:t>iii</w:t>
            </w:r>
            <w:proofErr w:type="spellEnd"/>
            <w:r w:rsidRPr="00B52EDB">
              <w:rPr>
                <w:rFonts w:ascii="Verdana" w:eastAsia="Arial" w:hAnsi="Verdana" w:cs="Arial"/>
                <w:lang w:val="es-ES"/>
              </w:rPr>
              <w:t>) les permitan obtener beneficios derivados del acceso a economías de escala, o en términos de calidad, oportunidad y eficiencia.</w:t>
            </w:r>
            <w:r w:rsidRPr="00A220B2">
              <w:rPr>
                <w:rFonts w:ascii="Verdana" w:eastAsia="Arial" w:hAnsi="Verdana" w:cs="Arial"/>
                <w:lang w:val="es-ES"/>
              </w:rPr>
              <w:t xml:space="preserve"> Con fundamento en las definiciones señaladas en este concepto en materia contractual, esto podría incluir</w:t>
            </w:r>
            <w:r>
              <w:rPr>
                <w:rFonts w:ascii="Verdana" w:eastAsia="Arial" w:hAnsi="Verdana" w:cs="Arial"/>
                <w:lang w:val="es-ES"/>
              </w:rPr>
              <w:t xml:space="preserve"> el uso t</w:t>
            </w:r>
            <w:r w:rsidRPr="00A220B2">
              <w:rPr>
                <w:rFonts w:ascii="Verdana" w:eastAsia="Arial" w:hAnsi="Verdana" w:cs="Arial"/>
                <w:lang w:val="es-ES"/>
              </w:rPr>
              <w:t>anto al SECOP II como a la TVEC</w:t>
            </w:r>
            <w:r>
              <w:rPr>
                <w:rFonts w:ascii="Verdana" w:eastAsia="Arial" w:hAnsi="Verdana" w:cs="Arial"/>
                <w:lang w:val="es-ES"/>
              </w:rPr>
              <w:t>, como mecanismos para la eficiencia en las adquisiciones y no en su faceta de publicidad de la información</w:t>
            </w:r>
            <w:r w:rsidRPr="00A220B2">
              <w:rPr>
                <w:rFonts w:ascii="Verdana" w:eastAsia="Arial" w:hAnsi="Verdana" w:cs="Arial"/>
                <w:lang w:val="es-ES"/>
              </w:rPr>
              <w:t>. Sin embargo, excede el ámbito de competencia de esta entidad pronunciarse sobre el alcance de esta expresión con respecto al cumplimiento de los requisitos, metodologías o indicadores que rigen los planes de gestión de las E.S.E.</w:t>
            </w:r>
          </w:p>
          <w:p w14:paraId="39CC538E" w14:textId="3C40870D" w:rsidR="007D41E8" w:rsidRPr="00A220B2" w:rsidRDefault="007D41E8" w:rsidP="00361F48">
            <w:pPr>
              <w:spacing w:after="120" w:line="276" w:lineRule="auto"/>
              <w:ind w:firstLine="738"/>
              <w:jc w:val="both"/>
              <w:rPr>
                <w:rFonts w:ascii="Verdana" w:eastAsia="Arial" w:hAnsi="Verdana" w:cs="Arial"/>
                <w:lang w:val="es-ES"/>
              </w:rPr>
            </w:pPr>
            <w:r w:rsidRPr="00A220B2">
              <w:rPr>
                <w:rFonts w:ascii="Verdana" w:eastAsia="Arial" w:hAnsi="Verdana" w:cs="Arial"/>
                <w:lang w:val="es-ES"/>
              </w:rPr>
              <w:t>En e</w:t>
            </w:r>
            <w:r w:rsidR="0003375D">
              <w:rPr>
                <w:rFonts w:ascii="Verdana" w:eastAsia="Arial" w:hAnsi="Verdana" w:cs="Arial"/>
                <w:lang w:val="es-ES"/>
              </w:rPr>
              <w:t>ste sentido</w:t>
            </w:r>
            <w:r w:rsidRPr="00A220B2">
              <w:rPr>
                <w:rFonts w:ascii="Verdana" w:eastAsia="Arial" w:hAnsi="Verdana" w:cs="Arial"/>
                <w:lang w:val="es-ES"/>
              </w:rPr>
              <w:t>, e</w:t>
            </w:r>
            <w:r w:rsidRPr="00B52EDB">
              <w:rPr>
                <w:rFonts w:ascii="Verdana" w:eastAsia="Arial" w:hAnsi="Verdana" w:cs="Arial"/>
                <w:lang w:val="es-ES"/>
              </w:rPr>
              <w:t>l texto objeto de consulta hace parte de un indicador dentro del plan de gestión, cuya aprobación y evaluación se encuentra a cargo de la Junta Directiva de la E.S.E.</w:t>
            </w:r>
            <w:r w:rsidRPr="00A220B2">
              <w:rPr>
                <w:rFonts w:ascii="Verdana" w:eastAsia="Arial" w:hAnsi="Verdana" w:cs="Arial"/>
                <w:lang w:val="es-ES"/>
              </w:rPr>
              <w:t xml:space="preserve"> </w:t>
            </w:r>
            <w:r w:rsidRPr="00B52EDB">
              <w:rPr>
                <w:rFonts w:ascii="Verdana" w:eastAsia="Arial" w:hAnsi="Verdana" w:cs="Arial"/>
                <w:lang w:val="es-ES"/>
              </w:rPr>
              <w:t xml:space="preserve">En consecuencia, corresponde al Ministerio de Salud y Protección Social pronunciarse sobre la metodología y el alcance de los requisitos e indicadores establecidos en el Anexo 2 de la Resolución No. 000408 de 2018, y a la Junta Directiva determinar si la E.S.E. ha cumplido con el plan de gestión presentado, incluyendo el indicador sobre la proporción de medicamentos y material médico-quirúrgico adquiridos mediante compras conjuntas, compras a través de cooperativas de Empresas Sociales del Estado, o compras a través de </w:t>
            </w:r>
            <w:r w:rsidRPr="00A220B2">
              <w:rPr>
                <w:rFonts w:ascii="Verdana" w:eastAsia="Arial" w:hAnsi="Verdana" w:cs="Arial"/>
                <w:lang w:val="es-ES"/>
              </w:rPr>
              <w:t>“</w:t>
            </w:r>
            <w:r w:rsidRPr="00B52EDB">
              <w:rPr>
                <w:rFonts w:ascii="Verdana" w:eastAsia="Arial" w:hAnsi="Verdana" w:cs="Arial"/>
                <w:lang w:val="es-ES"/>
              </w:rPr>
              <w:t>mecanismos electrónicos</w:t>
            </w:r>
            <w:r w:rsidRPr="00A220B2">
              <w:rPr>
                <w:rFonts w:ascii="Verdana" w:eastAsia="Arial" w:hAnsi="Verdana" w:cs="Arial"/>
                <w:lang w:val="es-ES"/>
              </w:rPr>
              <w:t>”</w:t>
            </w:r>
            <w:r w:rsidRPr="00B52EDB">
              <w:rPr>
                <w:rFonts w:ascii="Verdana" w:eastAsia="Arial" w:hAnsi="Verdana" w:cs="Arial"/>
                <w:lang w:val="es-ES"/>
              </w:rPr>
              <w:t>. De esta forma, excede la competencia de la Agencia Nacional de Contratación Pública referirse al alcance de este último mecanismo en el marco de dicha evaluación o en la aplicación del indicador de la Meta 6 del Anexo 2, con respecto a los cuales deberá consultarse a las entidades competentes para ello.</w:t>
            </w:r>
          </w:p>
        </w:tc>
      </w:tr>
    </w:tbl>
    <w:p w14:paraId="2CAAAB77" w14:textId="77777777" w:rsidR="007D41E8" w:rsidRPr="00A220B2" w:rsidRDefault="007D41E8" w:rsidP="007D41E8">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2A80B74B" w14:textId="77777777" w:rsidR="007D41E8" w:rsidRPr="00A220B2" w:rsidRDefault="007D41E8" w:rsidP="007D41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Razones de la respuesta:</w:t>
      </w:r>
    </w:p>
    <w:p w14:paraId="27048187" w14:textId="77777777" w:rsidR="007D41E8" w:rsidRPr="00A220B2" w:rsidRDefault="007D41E8" w:rsidP="007D41E8">
      <w:pPr>
        <w:spacing w:after="0" w:line="276" w:lineRule="auto"/>
        <w:jc w:val="both"/>
        <w:rPr>
          <w:rFonts w:ascii="Verdana" w:eastAsia="Calibri" w:hAnsi="Verdana" w:cs="Arial"/>
          <w:color w:val="000000" w:themeColor="text1"/>
          <w:lang w:val="es-ES"/>
        </w:rPr>
      </w:pPr>
    </w:p>
    <w:p w14:paraId="72E9E43E" w14:textId="77777777" w:rsidR="007D41E8" w:rsidRPr="00A220B2" w:rsidRDefault="007D41E8" w:rsidP="007D41E8">
      <w:pPr>
        <w:spacing w:after="0" w:line="276" w:lineRule="auto"/>
        <w:jc w:val="both"/>
        <w:rPr>
          <w:rFonts w:ascii="Verdana" w:eastAsia="Calibri" w:hAnsi="Verdana" w:cs="Arial"/>
          <w:color w:val="000000" w:themeColor="text1"/>
          <w:lang w:val="es-ES"/>
        </w:rPr>
      </w:pPr>
      <w:r w:rsidRPr="00A220B2">
        <w:rPr>
          <w:rFonts w:ascii="Verdana" w:eastAsia="Calibri" w:hAnsi="Verdana" w:cs="Arial"/>
          <w:color w:val="000000" w:themeColor="text1"/>
          <w:lang w:val="es-ES"/>
        </w:rPr>
        <w:lastRenderedPageBreak/>
        <w:t xml:space="preserve">Lo anterior se sustenta en las siguientes consideraciones: </w:t>
      </w:r>
    </w:p>
    <w:p w14:paraId="11E61450" w14:textId="77777777" w:rsidR="007D41E8" w:rsidRPr="00A220B2" w:rsidRDefault="007D41E8" w:rsidP="007D41E8">
      <w:pPr>
        <w:spacing w:after="0" w:line="276" w:lineRule="auto"/>
        <w:jc w:val="both"/>
        <w:rPr>
          <w:rFonts w:ascii="Verdana" w:eastAsia="Calibri" w:hAnsi="Verdana" w:cs="Arial"/>
          <w:lang w:val="es-ES"/>
        </w:rPr>
      </w:pPr>
    </w:p>
    <w:p w14:paraId="42A60938" w14:textId="77777777" w:rsidR="007D41E8" w:rsidRPr="00A220B2" w:rsidRDefault="007D41E8" w:rsidP="007D41E8">
      <w:pPr>
        <w:tabs>
          <w:tab w:val="left" w:pos="426"/>
        </w:tabs>
        <w:spacing w:after="120" w:line="276" w:lineRule="auto"/>
        <w:jc w:val="both"/>
        <w:rPr>
          <w:rFonts w:ascii="Verdana" w:hAnsi="Verdana" w:cs="Arial"/>
          <w:b/>
          <w:bCs/>
          <w:lang w:val="es-ES"/>
        </w:rPr>
      </w:pPr>
      <w:r>
        <w:rPr>
          <w:rFonts w:ascii="Verdana" w:hAnsi="Verdana" w:cs="Arial"/>
          <w:lang w:val="es-ES"/>
        </w:rPr>
        <w:t xml:space="preserve">i. </w:t>
      </w:r>
      <w:r w:rsidRPr="00A220B2">
        <w:rPr>
          <w:rFonts w:ascii="Verdana" w:hAnsi="Verdana" w:cs="Arial"/>
          <w:lang w:val="es-ES"/>
        </w:rPr>
        <w:t xml:space="preserve">Las entidades de régimen especial son aquellas que, por expresa disposición legal y debido a su naturaleza o situación de competencia, tienen condiciones diferenciales respecto a la normativa aplicable en materia de contratación pública. Esto quiere decir que, no están sometidas al Estatuto General de Contratación de la Administración Pública –en adelante </w:t>
      </w:r>
      <w:bookmarkStart w:id="1" w:name="_Hlk97724318"/>
      <w:r w:rsidRPr="00A220B2">
        <w:rPr>
          <w:rFonts w:ascii="Verdana" w:hAnsi="Verdana" w:cs="Arial"/>
          <w:lang w:val="es-ES"/>
        </w:rPr>
        <w:t>EGCAP</w:t>
      </w:r>
      <w:bookmarkEnd w:id="1"/>
      <w:r w:rsidRPr="00A220B2">
        <w:rPr>
          <w:rFonts w:ascii="Verdana" w:hAnsi="Verdana" w:cs="Arial"/>
          <w:lang w:val="es-ES"/>
        </w:rPr>
        <w:t>– y, por ende, sus procedimientos contractuales se rigen por una normativa propia para su desarrollo, esto es, el derecho privado. Esta particularidad está establecida en las normas de creación de las entidades de régimen especial y en sus manuales de contratación.</w:t>
      </w:r>
    </w:p>
    <w:p w14:paraId="76BC801C" w14:textId="77777777" w:rsidR="007D41E8" w:rsidRPr="00A220B2" w:rsidRDefault="007D41E8" w:rsidP="007D41E8">
      <w:pPr>
        <w:spacing w:after="120" w:line="276" w:lineRule="auto"/>
        <w:ind w:firstLine="709"/>
        <w:jc w:val="both"/>
        <w:rPr>
          <w:rFonts w:ascii="Verdana" w:hAnsi="Verdana" w:cs="Arial"/>
          <w:lang w:val="es-ES"/>
        </w:rPr>
      </w:pPr>
      <w:r w:rsidRPr="00A220B2">
        <w:rPr>
          <w:rFonts w:ascii="Verdana" w:hAnsi="Verdana" w:cs="Arial"/>
          <w:lang w:val="es-ES"/>
        </w:rPr>
        <w:t xml:space="preserve">Teniendo en cuenta que las entidades de régimen especial están facultadas legalmente para aplicar reglas distintas a las establecidas en la Ley 80 de 1993 y sus normas complementarias, su régimen contractual estará definido en la norma que crea el régimen especial y será desarrollado en el manual de contratación de la respectiva entidad. Esto, con el fin de que se puedan identificar las reglas que aplican en la contratación. </w:t>
      </w:r>
    </w:p>
    <w:p w14:paraId="388B990D" w14:textId="77777777" w:rsidR="007D41E8" w:rsidRPr="00A220B2" w:rsidRDefault="007D41E8" w:rsidP="007D41E8">
      <w:pPr>
        <w:spacing w:after="120" w:line="276" w:lineRule="auto"/>
        <w:ind w:firstLine="709"/>
        <w:jc w:val="both"/>
        <w:rPr>
          <w:rFonts w:ascii="Verdana" w:hAnsi="Verdana" w:cs="Arial"/>
          <w:bCs/>
          <w:lang w:val="es-ES"/>
        </w:rPr>
      </w:pPr>
      <w:r w:rsidRPr="00A220B2">
        <w:rPr>
          <w:rFonts w:ascii="Verdana" w:hAnsi="Verdana" w:cs="Arial"/>
          <w:lang w:val="es-ES"/>
        </w:rPr>
        <w:t>Por su parte, la Agencia Nacional de Contratación Pública – Colombia Compra Eficiente expidió la “Guía para las Entidades Estatales con régimen especial de contratación”, que define a estas entidades como aquellas que contratan con un régimen distinto a las Leyes 80 de 1993 y 1150 de 2007</w:t>
      </w:r>
      <w:r w:rsidRPr="00A220B2">
        <w:rPr>
          <w:rFonts w:ascii="Verdana" w:hAnsi="Verdana" w:cs="Arial"/>
          <w:vertAlign w:val="superscript"/>
          <w:lang w:val="es-ES"/>
        </w:rPr>
        <w:footnoteReference w:id="2"/>
      </w:r>
      <w:r w:rsidRPr="00A220B2">
        <w:rPr>
          <w:rFonts w:ascii="Verdana" w:hAnsi="Verdana" w:cs="Arial"/>
          <w:lang w:val="es-ES"/>
        </w:rPr>
        <w:t xml:space="preserve">. </w:t>
      </w:r>
      <w:r w:rsidRPr="00A220B2">
        <w:rPr>
          <w:rFonts w:ascii="Verdana" w:hAnsi="Verdana" w:cs="Arial"/>
          <w:bCs/>
          <w:lang w:val="es-ES"/>
        </w:rPr>
        <w:t xml:space="preserve">Por lo mismo, tanto uno como otro régimen están sometidos, en principio, al derecho privado, pero con algunas particularidades propias del derecho público. </w:t>
      </w:r>
    </w:p>
    <w:p w14:paraId="5E7B4A55" w14:textId="77777777" w:rsidR="007D41E8" w:rsidRPr="00A220B2" w:rsidRDefault="007D41E8" w:rsidP="007D41E8">
      <w:pPr>
        <w:spacing w:after="0" w:line="276" w:lineRule="auto"/>
        <w:ind w:firstLine="709"/>
        <w:jc w:val="both"/>
        <w:rPr>
          <w:rFonts w:ascii="Verdana" w:hAnsi="Verdana" w:cs="Arial"/>
          <w:bCs/>
          <w:lang w:val="es-ES"/>
        </w:rPr>
      </w:pPr>
      <w:r w:rsidRPr="00A220B2">
        <w:rPr>
          <w:rFonts w:ascii="Verdana" w:hAnsi="Verdana" w:cs="Arial"/>
          <w:lang w:val="es-ES"/>
        </w:rPr>
        <w:t>En ese orden, pese a que</w:t>
      </w:r>
      <w:r w:rsidRPr="00A220B2">
        <w:rPr>
          <w:rFonts w:ascii="Verdana" w:eastAsia="Calibri" w:hAnsi="Verdana" w:cs="Arial"/>
          <w:lang w:val="es-ES"/>
        </w:rPr>
        <w:t xml:space="preserve"> las entidades de régimen especial están habilitadas para aplicar normas diferentes a las establecidas en el EGCAP, cumplen una finalidad pública y utilizan recursos públicos para lograrlo. Por ello, no son ajenas a los principios de la función administrativa y de la gestión fiscal, contenidos en los artículos 209 y 267 de la Constitución Política, respectivamente, entre otras reglas dispuestas en la normativa de contratación estatal, que son transversales a todas las entidades, sin importar su régimen </w:t>
      </w:r>
      <w:r w:rsidRPr="00A220B2">
        <w:rPr>
          <w:rFonts w:ascii="Verdana" w:eastAsia="Calibri" w:hAnsi="Verdana" w:cs="Arial"/>
          <w:lang w:val="es-ES"/>
        </w:rPr>
        <w:lastRenderedPageBreak/>
        <w:t xml:space="preserve">contractual. Al respecto, el artículo 13 </w:t>
      </w:r>
      <w:r w:rsidRPr="00A220B2">
        <w:rPr>
          <w:rFonts w:ascii="Verdana" w:hAnsi="Verdana" w:cs="Arial"/>
          <w:bCs/>
          <w:lang w:val="es-ES"/>
        </w:rPr>
        <w:t>de la Ley 1150 de 2007 preceptúa lo siguiente:</w:t>
      </w:r>
    </w:p>
    <w:p w14:paraId="3ADF8B13" w14:textId="77777777" w:rsidR="007D41E8" w:rsidRPr="00A220B2" w:rsidRDefault="007D41E8" w:rsidP="007D41E8">
      <w:pPr>
        <w:spacing w:after="0" w:line="276" w:lineRule="auto"/>
        <w:ind w:firstLine="708"/>
        <w:jc w:val="both"/>
        <w:rPr>
          <w:rFonts w:ascii="Verdana" w:hAnsi="Verdana" w:cs="Arial"/>
          <w:bCs/>
          <w:lang w:val="es-ES"/>
        </w:rPr>
      </w:pPr>
      <w:r w:rsidRPr="00A220B2">
        <w:rPr>
          <w:rFonts w:ascii="Verdana" w:hAnsi="Verdana" w:cs="Arial"/>
          <w:bCs/>
          <w:lang w:val="es-ES"/>
        </w:rPr>
        <w:t xml:space="preserve"> </w:t>
      </w:r>
    </w:p>
    <w:p w14:paraId="2CE73CD5" w14:textId="77777777" w:rsidR="007D41E8" w:rsidRPr="00A220B2" w:rsidRDefault="007D41E8" w:rsidP="007D41E8">
      <w:pPr>
        <w:spacing w:after="0" w:line="240" w:lineRule="auto"/>
        <w:ind w:left="708" w:right="709"/>
        <w:jc w:val="both"/>
        <w:rPr>
          <w:rFonts w:ascii="Verdana" w:hAnsi="Verdana" w:cs="Arial"/>
          <w:bCs/>
          <w:sz w:val="20"/>
          <w:szCs w:val="20"/>
          <w:lang w:val="es-ES"/>
        </w:rPr>
      </w:pPr>
      <w:r w:rsidRPr="00A220B2">
        <w:rPr>
          <w:rFonts w:ascii="Verdana" w:hAnsi="Verdana" w:cs="Arial"/>
          <w:bCs/>
          <w:sz w:val="20"/>
          <w:szCs w:val="20"/>
          <w:lang w:val="es-ES"/>
        </w:rPr>
        <w:t>“Artículo 13. Principios generales de la actividad contractual para entidades no sometidas al estatuto general de contratación de la administración pública.</w:t>
      </w:r>
      <w:r w:rsidRPr="00A220B2">
        <w:rPr>
          <w:rFonts w:ascii="Verdana" w:hAnsi="Verdana" w:cs="Arial"/>
          <w:b/>
          <w:sz w:val="20"/>
          <w:szCs w:val="20"/>
          <w:lang w:val="es-ES"/>
        </w:rPr>
        <w:t xml:space="preserve"> </w:t>
      </w:r>
      <w:r w:rsidRPr="00A220B2">
        <w:rPr>
          <w:rFonts w:ascii="Verdana" w:hAnsi="Verdana" w:cs="Arial"/>
          <w:bCs/>
          <w:sz w:val="20"/>
          <w:szCs w:val="20"/>
          <w:lang w:val="es-ES"/>
        </w:rPr>
        <w:t>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w:t>
      </w:r>
      <w:hyperlink r:id="rId11" w:anchor="209" w:history="1">
        <w:r w:rsidRPr="00A220B2">
          <w:rPr>
            <w:rFonts w:ascii="Verdana" w:hAnsi="Verdana" w:cs="Arial"/>
            <w:bCs/>
            <w:sz w:val="20"/>
            <w:szCs w:val="20"/>
            <w:lang w:val="es-ES"/>
          </w:rPr>
          <w:t>209</w:t>
        </w:r>
      </w:hyperlink>
      <w:r w:rsidRPr="00A220B2">
        <w:rPr>
          <w:rFonts w:ascii="Verdana" w:hAnsi="Verdana" w:cs="Arial"/>
          <w:bCs/>
          <w:sz w:val="20"/>
          <w:szCs w:val="20"/>
          <w:lang w:val="es-ES"/>
        </w:rPr>
        <w:t> y </w:t>
      </w:r>
      <w:hyperlink r:id="rId12" w:anchor="267" w:history="1">
        <w:r w:rsidRPr="00A220B2">
          <w:rPr>
            <w:rFonts w:ascii="Verdana" w:hAnsi="Verdana" w:cs="Arial"/>
            <w:bCs/>
            <w:sz w:val="20"/>
            <w:szCs w:val="20"/>
            <w:lang w:val="es-ES"/>
          </w:rPr>
          <w:t>267</w:t>
        </w:r>
      </w:hyperlink>
      <w:r w:rsidRPr="00A220B2">
        <w:rPr>
          <w:rFonts w:ascii="Verdana" w:hAnsi="Verdana" w:cs="Arial"/>
          <w:bCs/>
          <w:sz w:val="20"/>
          <w:szCs w:val="20"/>
          <w:lang w:val="es-ES"/>
        </w:rPr>
        <w:t> de la Constitución Política, respectivamente según sea el caso y estarán sometidas al régimen de inhabilidades e incompatibilidades previsto legalmente para la contratación estatal”.</w:t>
      </w:r>
    </w:p>
    <w:p w14:paraId="3E15848E" w14:textId="77777777" w:rsidR="007D41E8" w:rsidRPr="00A220B2" w:rsidRDefault="007D41E8" w:rsidP="007D41E8">
      <w:pPr>
        <w:spacing w:after="0" w:line="276" w:lineRule="auto"/>
        <w:ind w:firstLine="709"/>
        <w:jc w:val="both"/>
        <w:rPr>
          <w:rFonts w:ascii="Verdana" w:eastAsia="Calibri" w:hAnsi="Verdana" w:cs="Arial"/>
          <w:lang w:val="es-ES"/>
        </w:rPr>
      </w:pPr>
    </w:p>
    <w:p w14:paraId="5A8B18DF" w14:textId="77777777" w:rsidR="007D41E8" w:rsidRPr="00A220B2" w:rsidRDefault="007D41E8" w:rsidP="007D41E8">
      <w:pPr>
        <w:spacing w:after="0" w:line="276" w:lineRule="auto"/>
        <w:ind w:firstLine="709"/>
        <w:jc w:val="both"/>
        <w:rPr>
          <w:rFonts w:ascii="Verdana" w:eastAsia="Calibri" w:hAnsi="Verdana" w:cs="Arial"/>
          <w:lang w:val="es-ES"/>
        </w:rPr>
      </w:pPr>
      <w:r w:rsidRPr="00A220B2">
        <w:rPr>
          <w:rFonts w:ascii="Verdana" w:eastAsia="Calibri" w:hAnsi="Verdana" w:cs="Arial"/>
          <w:lang w:val="es-ES"/>
        </w:rPr>
        <w:t>Lo anterior es reafirmado por el Consejo de Estado, que destaca las reglas que sigue la contratación de las entidades de régimen especial:</w:t>
      </w:r>
    </w:p>
    <w:p w14:paraId="25460253" w14:textId="77777777" w:rsidR="007D41E8" w:rsidRPr="00A220B2" w:rsidRDefault="007D41E8" w:rsidP="007D41E8">
      <w:pPr>
        <w:spacing w:after="0" w:line="276" w:lineRule="auto"/>
        <w:ind w:firstLine="709"/>
        <w:jc w:val="both"/>
        <w:rPr>
          <w:rFonts w:ascii="Verdana" w:eastAsia="Calibri" w:hAnsi="Verdana" w:cs="Arial"/>
          <w:lang w:val="es-ES"/>
        </w:rPr>
      </w:pPr>
    </w:p>
    <w:p w14:paraId="09D3DF6E" w14:textId="77777777" w:rsidR="007D41E8" w:rsidRPr="00A220B2" w:rsidRDefault="007D41E8" w:rsidP="007D41E8">
      <w:pPr>
        <w:spacing w:after="0" w:line="240" w:lineRule="auto"/>
        <w:ind w:left="709" w:right="709"/>
        <w:jc w:val="both"/>
        <w:rPr>
          <w:rFonts w:ascii="Verdana" w:eastAsia="Calibri" w:hAnsi="Verdana" w:cs="Arial"/>
          <w:sz w:val="20"/>
          <w:szCs w:val="20"/>
          <w:lang w:val="es-ES"/>
        </w:rPr>
      </w:pPr>
      <w:r w:rsidRPr="00A220B2">
        <w:rPr>
          <w:rFonts w:ascii="Verdana" w:eastAsia="Calibri" w:hAnsi="Verdana" w:cs="Arial"/>
          <w:sz w:val="20"/>
          <w:szCs w:val="20"/>
          <w:lang w:val="es-ES"/>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 que inspiran al régimen anterior con valores propios del derecho público.</w:t>
      </w:r>
    </w:p>
    <w:p w14:paraId="202F380F" w14:textId="77777777" w:rsidR="007D41E8" w:rsidRPr="00A220B2" w:rsidRDefault="007D41E8" w:rsidP="007D41E8">
      <w:pPr>
        <w:spacing w:after="0" w:line="240" w:lineRule="auto"/>
        <w:ind w:left="709" w:right="709"/>
        <w:jc w:val="both"/>
        <w:rPr>
          <w:rFonts w:ascii="Verdana" w:eastAsia="Calibri" w:hAnsi="Verdana" w:cs="Arial"/>
          <w:sz w:val="20"/>
          <w:szCs w:val="20"/>
          <w:lang w:val="es-ES"/>
        </w:rPr>
      </w:pPr>
    </w:p>
    <w:p w14:paraId="4E865AA9" w14:textId="77777777" w:rsidR="007D41E8" w:rsidRPr="00A220B2" w:rsidRDefault="007D41E8" w:rsidP="007D41E8">
      <w:pPr>
        <w:spacing w:after="0" w:line="240" w:lineRule="auto"/>
        <w:ind w:left="709" w:right="709"/>
        <w:jc w:val="both"/>
        <w:rPr>
          <w:rFonts w:ascii="Verdana" w:eastAsia="Calibri" w:hAnsi="Verdana" w:cs="Arial"/>
          <w:sz w:val="20"/>
          <w:szCs w:val="20"/>
          <w:lang w:val="es-ES"/>
        </w:rPr>
      </w:pPr>
      <w:r w:rsidRPr="00A220B2">
        <w:rPr>
          <w:rFonts w:ascii="Verdana" w:eastAsia="Calibri" w:hAnsi="Verdana" w:cs="Arial"/>
          <w:sz w:val="20"/>
          <w:szCs w:val="20"/>
          <w:lang w:val="es-ES"/>
        </w:rPr>
        <w:t xml:space="preserve">La Sala entiende que el régimen preponderante domina y aporta el gran volumen de normas contractuales y que el régimen inspirador influye y ayuda a interpretar, pero también transforma parte de esas instituciones, porque se suma a ellas, lo que no siempre se logra conservando intacta la institución privada sino introduciéndole modificaciones. </w:t>
      </w:r>
    </w:p>
    <w:p w14:paraId="1350DC9D" w14:textId="77777777" w:rsidR="007D41E8" w:rsidRPr="00A220B2" w:rsidRDefault="007D41E8" w:rsidP="007D41E8">
      <w:pPr>
        <w:spacing w:after="0" w:line="240" w:lineRule="auto"/>
        <w:ind w:left="709" w:right="709"/>
        <w:jc w:val="both"/>
        <w:rPr>
          <w:rFonts w:ascii="Verdana" w:eastAsia="Calibri" w:hAnsi="Verdana" w:cs="Arial"/>
          <w:sz w:val="20"/>
          <w:szCs w:val="20"/>
          <w:lang w:val="es-ES"/>
        </w:rPr>
      </w:pPr>
    </w:p>
    <w:p w14:paraId="202C36FF" w14:textId="77777777" w:rsidR="007D41E8" w:rsidRPr="00A220B2" w:rsidRDefault="007D41E8" w:rsidP="007D41E8">
      <w:pPr>
        <w:spacing w:after="0" w:line="240" w:lineRule="auto"/>
        <w:ind w:left="709" w:right="709"/>
        <w:jc w:val="both"/>
        <w:rPr>
          <w:rFonts w:ascii="Verdana" w:eastAsia="Calibri" w:hAnsi="Verdana" w:cs="Arial"/>
          <w:sz w:val="18"/>
          <w:szCs w:val="18"/>
          <w:lang w:val="es-ES"/>
        </w:rPr>
      </w:pPr>
      <w:r w:rsidRPr="00A220B2">
        <w:rPr>
          <w:rFonts w:ascii="Verdana" w:eastAsia="Calibri" w:hAnsi="Verdana" w:cs="Arial"/>
          <w:sz w:val="20"/>
          <w:szCs w:val="20"/>
          <w:lang w:val="es-ES"/>
        </w:rPr>
        <w:t>La función que cumplen los principios públicos también se representa en la necesidad práctica —normalmente no por orden de una norma— de expedir un reglamento interno de contratación que concrete la mayor parte de aportes de esos principios a la transformación de las reglas del derecho privado. Es por esta influencia que surge la necesidad de contar con procesos de selección de contratistas que garanticen la libre concurrencia, la igualdad de oportunidades de acceso a los negocios del Estado, la trasparencia y en general los demás valores propios de la gestión de lo público”</w:t>
      </w:r>
      <w:r w:rsidRPr="00A220B2">
        <w:rPr>
          <w:rFonts w:ascii="Verdana" w:eastAsia="Calibri" w:hAnsi="Verdana" w:cs="Arial"/>
          <w:sz w:val="18"/>
          <w:szCs w:val="18"/>
          <w:vertAlign w:val="superscript"/>
          <w:lang w:val="es-ES"/>
        </w:rPr>
        <w:footnoteReference w:id="3"/>
      </w:r>
      <w:r w:rsidRPr="00A220B2">
        <w:rPr>
          <w:rFonts w:ascii="Verdana" w:eastAsia="Calibri" w:hAnsi="Verdana" w:cs="Arial"/>
          <w:sz w:val="18"/>
          <w:szCs w:val="18"/>
          <w:lang w:val="es-ES"/>
        </w:rPr>
        <w:t>.</w:t>
      </w:r>
    </w:p>
    <w:p w14:paraId="5B46A4CF" w14:textId="77777777" w:rsidR="007D41E8" w:rsidRPr="00A220B2" w:rsidRDefault="007D41E8" w:rsidP="007D41E8">
      <w:pPr>
        <w:spacing w:after="0" w:line="276" w:lineRule="auto"/>
        <w:ind w:left="709" w:right="709"/>
        <w:jc w:val="both"/>
        <w:rPr>
          <w:rFonts w:ascii="Verdana" w:eastAsia="Calibri" w:hAnsi="Verdana" w:cs="Arial"/>
          <w:lang w:val="es-ES"/>
        </w:rPr>
      </w:pPr>
    </w:p>
    <w:p w14:paraId="402D80AD" w14:textId="77777777" w:rsidR="007D41E8" w:rsidRPr="00A220B2" w:rsidRDefault="007D41E8" w:rsidP="007D41E8">
      <w:pPr>
        <w:spacing w:after="0" w:line="276" w:lineRule="auto"/>
        <w:ind w:firstLine="708"/>
        <w:jc w:val="both"/>
        <w:rPr>
          <w:rFonts w:ascii="Verdana" w:eastAsia="Calibri" w:hAnsi="Verdana" w:cs="Arial"/>
          <w:lang w:val="es-ES"/>
        </w:rPr>
      </w:pPr>
      <w:r w:rsidRPr="00A220B2">
        <w:rPr>
          <w:rFonts w:ascii="Verdana" w:eastAsia="Calibri" w:hAnsi="Verdana" w:cs="Arial"/>
          <w:lang w:val="es-ES"/>
        </w:rPr>
        <w:t>Así las cosas, teniendo en cuenta que algunas de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los criterios de evaluación y desempate,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14:paraId="2CAE40C5" w14:textId="77777777" w:rsidR="007D41E8" w:rsidRPr="00A220B2" w:rsidRDefault="007D41E8" w:rsidP="007D41E8">
      <w:pPr>
        <w:spacing w:after="0" w:line="276" w:lineRule="auto"/>
        <w:jc w:val="both"/>
        <w:rPr>
          <w:rFonts w:ascii="Verdana" w:hAnsi="Verdana" w:cs="Arial"/>
          <w:lang w:val="es-ES"/>
        </w:rPr>
      </w:pPr>
    </w:p>
    <w:p w14:paraId="33F789D4" w14:textId="77777777" w:rsidR="007D41E8" w:rsidRPr="00A220B2" w:rsidRDefault="007D41E8" w:rsidP="007D41E8">
      <w:pPr>
        <w:spacing w:after="0" w:line="276" w:lineRule="auto"/>
        <w:jc w:val="both"/>
        <w:rPr>
          <w:rFonts w:ascii="Verdana" w:hAnsi="Verdana" w:cs="Arial"/>
          <w:lang w:val="es-ES"/>
        </w:rPr>
      </w:pPr>
      <w:proofErr w:type="spellStart"/>
      <w:r w:rsidRPr="00A220B2">
        <w:rPr>
          <w:rFonts w:ascii="Verdana" w:hAnsi="Verdana" w:cs="Arial"/>
          <w:lang w:val="es-ES"/>
        </w:rPr>
        <w:t>ii</w:t>
      </w:r>
      <w:proofErr w:type="spellEnd"/>
      <w:r>
        <w:rPr>
          <w:rFonts w:ascii="Verdana" w:hAnsi="Verdana" w:cs="Arial"/>
          <w:lang w:val="es-ES"/>
        </w:rPr>
        <w:t>.</w:t>
      </w:r>
      <w:r w:rsidRPr="00A220B2">
        <w:rPr>
          <w:rFonts w:ascii="Verdana" w:hAnsi="Verdana" w:cs="Arial"/>
          <w:lang w:val="es-ES"/>
        </w:rPr>
        <w:t xml:space="preserve"> Una de las Entidades Estatales con régimen especial son las Empresas Sociales del Estado ESE. Estas empresas han sido entendidas como Entidades Públicas que, conforme al artículo 194 de la Ley 100 de 1993, constituyen una categoría especial, descentralizada por servicios, con personería jurídica, patrimonio propio y autonomía administrativa</w:t>
      </w:r>
      <w:r w:rsidRPr="00A220B2">
        <w:rPr>
          <w:rFonts w:ascii="Verdana" w:hAnsi="Verdana" w:cs="Arial"/>
          <w:vertAlign w:val="superscript"/>
          <w:lang w:val="es-ES"/>
        </w:rPr>
        <w:footnoteReference w:id="4"/>
      </w:r>
      <w:r w:rsidRPr="00A220B2">
        <w:rPr>
          <w:rFonts w:ascii="Verdana" w:hAnsi="Verdana" w:cs="Arial"/>
          <w:lang w:val="es-ES"/>
        </w:rPr>
        <w:t xml:space="preserve">. A través de ellas la Nación o las entidades territoriales prestan el servicio de salud de manera directa, es decir, las Empresas Sociales del Estado son, esencialmente, los hospitales públicos. El Consejo de Estado, en relación con la naturaleza jurídica de estas entidades, precisó: </w:t>
      </w:r>
    </w:p>
    <w:p w14:paraId="3A6F4FB3" w14:textId="77777777" w:rsidR="007D41E8" w:rsidRPr="00A220B2" w:rsidRDefault="007D41E8" w:rsidP="007D41E8">
      <w:pPr>
        <w:spacing w:after="0" w:line="276" w:lineRule="auto"/>
        <w:ind w:firstLine="709"/>
        <w:jc w:val="both"/>
        <w:rPr>
          <w:rFonts w:ascii="Verdana" w:hAnsi="Verdana" w:cs="Arial"/>
          <w:lang w:val="es-ES"/>
        </w:rPr>
      </w:pPr>
    </w:p>
    <w:p w14:paraId="5B515D05" w14:textId="77777777" w:rsidR="007D41E8" w:rsidRPr="00A220B2" w:rsidRDefault="007D41E8" w:rsidP="007D41E8">
      <w:pPr>
        <w:spacing w:after="0" w:line="240" w:lineRule="auto"/>
        <w:ind w:left="709" w:right="709"/>
        <w:jc w:val="both"/>
        <w:rPr>
          <w:rFonts w:ascii="Verdana" w:eastAsia="Calibri" w:hAnsi="Verdana" w:cs="Arial"/>
          <w:sz w:val="20"/>
          <w:szCs w:val="20"/>
          <w:lang w:val="es-ES"/>
        </w:rPr>
      </w:pPr>
      <w:r w:rsidRPr="00A220B2">
        <w:rPr>
          <w:rFonts w:ascii="Verdana" w:eastAsia="Calibri" w:hAnsi="Verdana" w:cs="Arial"/>
          <w:sz w:val="20"/>
          <w:szCs w:val="20"/>
          <w:lang w:val="es-ES"/>
        </w:rPr>
        <w:t>“[…] Se tiene que las empresas sociales del Estado, es decir, los hospitales públicos a que se refiere la ley 100 de 1993, son entidades descentralizadas por servicios, de naturaleza jurídica especial, es decir, son entidades estatales que pertenecen a la estructura de la rama ejecutiva del poder público, porque así lo disponen los arts. 38 y 68 de la ley 489 de 1998 […]”</w:t>
      </w:r>
      <w:r w:rsidRPr="00A220B2">
        <w:rPr>
          <w:rStyle w:val="Refdenotaalpie"/>
          <w:rFonts w:ascii="Verdana" w:eastAsia="Calibri" w:hAnsi="Verdana" w:cs="Arial"/>
          <w:sz w:val="20"/>
          <w:szCs w:val="20"/>
          <w:lang w:val="es-ES"/>
        </w:rPr>
        <w:footnoteReference w:id="5"/>
      </w:r>
      <w:r w:rsidRPr="00A220B2">
        <w:rPr>
          <w:rFonts w:ascii="Verdana" w:eastAsia="Calibri" w:hAnsi="Verdana" w:cs="Arial"/>
          <w:sz w:val="20"/>
          <w:szCs w:val="20"/>
          <w:lang w:val="es-ES"/>
        </w:rPr>
        <w:t xml:space="preserve">. </w:t>
      </w:r>
    </w:p>
    <w:p w14:paraId="5B6A5E3C" w14:textId="77777777" w:rsidR="007D41E8" w:rsidRPr="00A220B2" w:rsidRDefault="007D41E8" w:rsidP="007D41E8">
      <w:pPr>
        <w:spacing w:after="0" w:line="276" w:lineRule="auto"/>
        <w:ind w:left="709" w:right="709"/>
        <w:jc w:val="both"/>
        <w:rPr>
          <w:rFonts w:ascii="Verdana" w:eastAsia="Calibri" w:hAnsi="Verdana" w:cs="Arial"/>
          <w:lang w:val="es-ES"/>
        </w:rPr>
      </w:pPr>
    </w:p>
    <w:p w14:paraId="1AAE0056" w14:textId="77777777" w:rsidR="007D41E8" w:rsidRPr="00A220B2" w:rsidRDefault="007D41E8" w:rsidP="007D41E8">
      <w:pPr>
        <w:pStyle w:val="Textoindependiente"/>
        <w:spacing w:line="276" w:lineRule="auto"/>
        <w:ind w:right="102" w:firstLine="709"/>
        <w:jc w:val="both"/>
        <w:rPr>
          <w:rFonts w:ascii="Verdana" w:hAnsi="Verdana"/>
          <w:lang w:val="es-ES"/>
        </w:rPr>
      </w:pPr>
      <w:r w:rsidRPr="00A220B2">
        <w:rPr>
          <w:rFonts w:ascii="Verdana" w:hAnsi="Verdana"/>
          <w:lang w:val="es-ES"/>
        </w:rPr>
        <w:t>De la cita precedente se puede concluir entonces que, las Empresas Sociales del Estado –E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w:t>
      </w:r>
      <w:r w:rsidRPr="00A220B2">
        <w:rPr>
          <w:rFonts w:ascii="Verdana" w:hAnsi="Verdana"/>
          <w:lang w:val="es-ES"/>
        </w:rPr>
        <w:t xml:space="preserve">– son una categoría especial de Entidades Públicas </w:t>
      </w:r>
      <w:r w:rsidRPr="00A220B2">
        <w:rPr>
          <w:rFonts w:ascii="Verdana" w:hAnsi="Verdana"/>
          <w:lang w:val="es-ES"/>
        </w:rPr>
        <w:lastRenderedPageBreak/>
        <w:t xml:space="preserve">que hacen parte de la estructura de la Rama Ejecutiva del poder público. En este mismo sentido, el artículo 38 de la Ley 489 de 1998, en el que se consagran los organismos y entidades que integran la rama ejecutiva del poder público, dispuso en el literal d) del numeral 2 que las Empresas Sociales del Estado hacen parte del sector descentralizado por servicios de esta rama del poder público. </w:t>
      </w:r>
    </w:p>
    <w:p w14:paraId="204FA33C" w14:textId="77777777" w:rsidR="007D41E8" w:rsidRPr="00A220B2" w:rsidRDefault="007D41E8" w:rsidP="007D41E8">
      <w:pPr>
        <w:spacing w:after="120" w:line="276" w:lineRule="auto"/>
        <w:ind w:firstLine="709"/>
        <w:jc w:val="both"/>
        <w:rPr>
          <w:rFonts w:ascii="Verdana" w:hAnsi="Verdana" w:cs="Arial"/>
          <w:lang w:val="es-ES"/>
        </w:rPr>
      </w:pPr>
      <w:r w:rsidRPr="00A220B2">
        <w:rPr>
          <w:rFonts w:ascii="Verdana" w:hAnsi="Verdana" w:cs="Arial"/>
          <w:lang w:val="es-ES"/>
        </w:rPr>
        <w:t xml:space="preserve">Por su parte, en lo que a materia contractual se refiere, de conformidad con el numeral 6 del artículo 195 de la Ley 100 de 1993, el régimen de contratación de las </w:t>
      </w:r>
      <w:r w:rsidRPr="00A220B2">
        <w:rPr>
          <w:rFonts w:ascii="Verdana" w:hAnsi="Verdana"/>
          <w:lang w:val="es-ES"/>
        </w:rPr>
        <w:t>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 xml:space="preserve">. </w:t>
      </w:r>
      <w:r w:rsidRPr="00A220B2">
        <w:rPr>
          <w:rFonts w:ascii="Verdana" w:hAnsi="Verdana" w:cs="Arial"/>
          <w:lang w:val="es-ES"/>
        </w:rPr>
        <w:t xml:space="preserve">es el de derecho privado, es decir, se rige por las disposiciones contenidas en el Código de Comercio y en el Código Civil, aplicables en lo que resulten pertinentes, salvo en las materias particularmente reguladas </w:t>
      </w:r>
      <w:r w:rsidRPr="00A220B2">
        <w:rPr>
          <w:rFonts w:ascii="Verdana" w:eastAsia="Calibri" w:hAnsi="Verdana" w:cs="Arial"/>
          <w:lang w:val="es-ES"/>
        </w:rPr>
        <w:t xml:space="preserve">por el derecho público. </w:t>
      </w:r>
      <w:r w:rsidRPr="00A220B2">
        <w:rPr>
          <w:rFonts w:ascii="Verdana" w:hAnsi="Verdana" w:cs="Arial"/>
          <w:lang w:val="es-ES"/>
        </w:rPr>
        <w:t>La norma referida prescribe que: “En materia contractual se regirá por el derecho privado, pero podrá discrecionalmente utilizar las cláusulas exorbitantes previstas en el estatuto general de contratación de la administración pública”.</w:t>
      </w:r>
    </w:p>
    <w:p w14:paraId="2A35ECEB" w14:textId="77777777" w:rsidR="007D41E8" w:rsidRPr="00A220B2" w:rsidRDefault="007D41E8" w:rsidP="007D41E8">
      <w:pPr>
        <w:pStyle w:val="Textoindependiente"/>
        <w:spacing w:after="0" w:line="276" w:lineRule="auto"/>
        <w:ind w:right="102" w:firstLine="709"/>
        <w:jc w:val="both"/>
        <w:rPr>
          <w:rFonts w:ascii="Verdana" w:hAnsi="Verdana"/>
          <w:lang w:val="es-ES"/>
        </w:rPr>
      </w:pPr>
      <w:r w:rsidRPr="00A220B2">
        <w:rPr>
          <w:rFonts w:ascii="Verdana" w:hAnsi="Verdana"/>
          <w:lang w:val="es-ES"/>
        </w:rPr>
        <w:t xml:space="preserve">En consecuencia, </w:t>
      </w:r>
      <w:r w:rsidRPr="00A220B2">
        <w:rPr>
          <w:rFonts w:ascii="Verdana" w:eastAsia="Calibri" w:hAnsi="Verdana"/>
          <w:color w:val="000000" w:themeColor="text1"/>
          <w:lang w:val="es-ES"/>
        </w:rPr>
        <w:t>las</w:t>
      </w:r>
      <w:r>
        <w:rPr>
          <w:rFonts w:ascii="Verdana" w:eastAsia="Calibri" w:hAnsi="Verdana"/>
          <w:color w:val="000000" w:themeColor="text1"/>
          <w:lang w:val="es-ES"/>
        </w:rPr>
        <w:t xml:space="preserve"> </w:t>
      </w:r>
      <w:r w:rsidRPr="00A220B2">
        <w:rPr>
          <w:rFonts w:ascii="Verdana" w:hAnsi="Verdana"/>
          <w:lang w:val="es-ES"/>
        </w:rPr>
        <w:t>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 xml:space="preserve">. </w:t>
      </w:r>
      <w:r w:rsidRPr="00A220B2">
        <w:rPr>
          <w:rFonts w:ascii="Verdana" w:eastAsia="Calibri" w:hAnsi="Verdana"/>
          <w:color w:val="000000" w:themeColor="text1"/>
          <w:lang w:val="es-ES"/>
        </w:rPr>
        <w:t xml:space="preserve">no están sometidas al EGCAP ni a las normas que lo reglamentan o complementan, ya que, por disposición expresa de la norma transcrita, sus </w:t>
      </w:r>
      <w:r w:rsidRPr="00A220B2">
        <w:rPr>
          <w:rFonts w:ascii="Verdana" w:hAnsi="Verdana"/>
          <w:lang w:val="es-ES"/>
        </w:rPr>
        <w:t>contratos se rigen por el derecho privado. Sin embargo, esta circunstancia no implica la inobservancia de los principios de la función administrativa y la gestión fiscal, teniendo en cuenta que su objeto, conforme a la Sentencia C-555 de 2000 de la Corte Constitucional, corresponde a la prestación del servicio de salud a cargo del Estado o como parte del servicio de seguridad social</w:t>
      </w:r>
      <w:r w:rsidRPr="00A220B2">
        <w:rPr>
          <w:rStyle w:val="Refdenotaalpie"/>
          <w:rFonts w:ascii="Verdana" w:hAnsi="Verdana"/>
          <w:lang w:val="es-ES"/>
        </w:rPr>
        <w:footnoteReference w:id="6"/>
      </w:r>
      <w:r w:rsidRPr="00A220B2">
        <w:rPr>
          <w:rFonts w:ascii="Verdana" w:hAnsi="Verdana"/>
          <w:lang w:val="es-ES"/>
        </w:rPr>
        <w:t>. En esta misma línea, el artículo 83 de la Ley 489 de 1998, dispuso lo</w:t>
      </w:r>
      <w:r w:rsidRPr="00A220B2">
        <w:rPr>
          <w:rFonts w:ascii="Verdana" w:hAnsi="Verdana"/>
          <w:spacing w:val="-12"/>
          <w:lang w:val="es-ES"/>
        </w:rPr>
        <w:t xml:space="preserve"> </w:t>
      </w:r>
      <w:r w:rsidRPr="00A220B2">
        <w:rPr>
          <w:rFonts w:ascii="Verdana" w:hAnsi="Verdana"/>
          <w:lang w:val="es-ES"/>
        </w:rPr>
        <w:t>siguiente:</w:t>
      </w:r>
    </w:p>
    <w:p w14:paraId="71CECF15" w14:textId="77777777" w:rsidR="007D41E8" w:rsidRPr="00A220B2" w:rsidRDefault="007D41E8" w:rsidP="007D41E8">
      <w:pPr>
        <w:pStyle w:val="Textoindependiente"/>
        <w:spacing w:after="0" w:line="276" w:lineRule="auto"/>
        <w:ind w:right="102" w:firstLine="709"/>
        <w:jc w:val="both"/>
        <w:rPr>
          <w:rFonts w:ascii="Verdana" w:hAnsi="Verdana"/>
          <w:lang w:val="es-ES"/>
        </w:rPr>
      </w:pPr>
    </w:p>
    <w:p w14:paraId="25EB3F0F" w14:textId="77777777" w:rsidR="007D41E8" w:rsidRPr="00A220B2" w:rsidRDefault="007D41E8" w:rsidP="007D41E8">
      <w:pPr>
        <w:pStyle w:val="Textoindependiente"/>
        <w:spacing w:after="0" w:line="240" w:lineRule="auto"/>
        <w:ind w:left="709" w:right="709"/>
        <w:jc w:val="both"/>
        <w:rPr>
          <w:rFonts w:ascii="Verdana" w:hAnsi="Verdana"/>
          <w:sz w:val="20"/>
          <w:szCs w:val="20"/>
          <w:lang w:val="es-ES"/>
        </w:rPr>
      </w:pPr>
      <w:r w:rsidRPr="00A220B2">
        <w:rPr>
          <w:rFonts w:ascii="Verdana" w:hAnsi="Verdana"/>
          <w:sz w:val="20"/>
          <w:szCs w:val="20"/>
          <w:lang w:val="es-ES"/>
        </w:rPr>
        <w:t>“Artículo 83. Empresas sociales del Estado. Las empresas sociales del Estado, creadas por la Nación o por las entidades territoriales para la prestación en forma directa de servicios de salud, se sujetan al régimen previsto en la Ley 100 de 1993, la Ley 344 de 1996 y en la presente Ley en los aspectos no regulados por dichas leyes y a las normas que las complementen, sustituyan o</w:t>
      </w:r>
      <w:r w:rsidRPr="00A220B2">
        <w:rPr>
          <w:rFonts w:ascii="Verdana" w:hAnsi="Verdana"/>
          <w:spacing w:val="-1"/>
          <w:sz w:val="20"/>
          <w:szCs w:val="20"/>
          <w:lang w:val="es-ES"/>
        </w:rPr>
        <w:t xml:space="preserve"> </w:t>
      </w:r>
      <w:r w:rsidRPr="00A220B2">
        <w:rPr>
          <w:rFonts w:ascii="Verdana" w:hAnsi="Verdana"/>
          <w:sz w:val="20"/>
          <w:szCs w:val="20"/>
          <w:lang w:val="es-ES"/>
        </w:rPr>
        <w:t>adicionen.”</w:t>
      </w:r>
    </w:p>
    <w:p w14:paraId="4CDEE19D" w14:textId="77777777" w:rsidR="007D41E8" w:rsidRPr="00A220B2" w:rsidRDefault="007D41E8" w:rsidP="007D41E8">
      <w:pPr>
        <w:pStyle w:val="Textoindependiente"/>
        <w:spacing w:after="0" w:line="276" w:lineRule="auto"/>
        <w:jc w:val="both"/>
        <w:rPr>
          <w:rFonts w:ascii="Verdana" w:hAnsi="Verdana"/>
          <w:lang w:val="es-ES"/>
        </w:rPr>
      </w:pPr>
    </w:p>
    <w:p w14:paraId="1D822299" w14:textId="77777777" w:rsidR="007D41E8" w:rsidRPr="00A220B2" w:rsidRDefault="007D41E8" w:rsidP="007D41E8">
      <w:pPr>
        <w:tabs>
          <w:tab w:val="left" w:pos="709"/>
        </w:tabs>
        <w:spacing w:after="120" w:line="276" w:lineRule="auto"/>
        <w:jc w:val="both"/>
        <w:rPr>
          <w:rFonts w:ascii="Verdana" w:eastAsia="Calibri" w:hAnsi="Verdana" w:cs="Arial"/>
          <w:color w:val="000000" w:themeColor="text1"/>
          <w:lang w:val="es-ES"/>
        </w:rPr>
      </w:pPr>
      <w:r w:rsidRPr="00A220B2">
        <w:rPr>
          <w:rFonts w:ascii="Verdana" w:eastAsia="Calibri" w:hAnsi="Verdana" w:cs="Arial"/>
          <w:color w:val="000000" w:themeColor="text1"/>
          <w:lang w:val="es-ES"/>
        </w:rPr>
        <w:tab/>
        <w:t>Esta también ha sido la interpretación del Ministerio de Salud y Protección Social, que en el Concepto No. 201942301304712 de 2019, reiterando lo expuesto por la Sala de Consulta y Servicio Civil del Consejo de Estado</w:t>
      </w:r>
      <w:r w:rsidRPr="00A220B2">
        <w:rPr>
          <w:rFonts w:ascii="Verdana" w:eastAsia="Calibri" w:hAnsi="Verdana" w:cs="Arial"/>
          <w:color w:val="000000" w:themeColor="text1"/>
          <w:vertAlign w:val="superscript"/>
          <w:lang w:val="es-ES"/>
        </w:rPr>
        <w:footnoteReference w:id="7"/>
      </w:r>
      <w:r w:rsidRPr="00A220B2">
        <w:rPr>
          <w:rFonts w:ascii="Verdana" w:eastAsia="Calibri" w:hAnsi="Verdana" w:cs="Arial"/>
          <w:color w:val="000000" w:themeColor="text1"/>
          <w:lang w:val="es-ES"/>
        </w:rPr>
        <w:t>, expresó que “[…] el régimen de contratación de las Empresas Sociales del Estado, está sometido al derecho privado por disposición legal y la facultad discrecional de pactar las cláusulas excepcionales dota a las mentadas entidades de herramientas especiales para garantizar ciertos fines”</w:t>
      </w:r>
      <w:r w:rsidRPr="00A220B2">
        <w:rPr>
          <w:rFonts w:ascii="Verdana" w:eastAsia="Calibri" w:hAnsi="Verdana" w:cs="Arial"/>
          <w:color w:val="000000" w:themeColor="text1"/>
          <w:vertAlign w:val="superscript"/>
          <w:lang w:val="es-ES"/>
        </w:rPr>
        <w:footnoteReference w:id="8"/>
      </w:r>
      <w:r w:rsidRPr="00A220B2">
        <w:rPr>
          <w:rFonts w:ascii="Verdana" w:eastAsia="Calibri" w:hAnsi="Verdana" w:cs="Arial"/>
          <w:color w:val="000000" w:themeColor="text1"/>
          <w:lang w:val="es-ES"/>
        </w:rPr>
        <w:t xml:space="preserve">. </w:t>
      </w:r>
    </w:p>
    <w:p w14:paraId="247603E7" w14:textId="77777777" w:rsidR="007D41E8" w:rsidRPr="00A220B2" w:rsidRDefault="007D41E8" w:rsidP="007D41E8">
      <w:pPr>
        <w:spacing w:after="120" w:line="276" w:lineRule="auto"/>
        <w:ind w:firstLine="709"/>
        <w:jc w:val="both"/>
        <w:rPr>
          <w:rFonts w:ascii="Verdana" w:hAnsi="Verdana" w:cs="Arial"/>
          <w:lang w:val="es-ES"/>
        </w:rPr>
      </w:pPr>
      <w:r w:rsidRPr="00A220B2">
        <w:rPr>
          <w:rFonts w:ascii="Verdana" w:hAnsi="Verdana"/>
          <w:lang w:val="es-ES"/>
        </w:rPr>
        <w:t>En consecuencia, por mandato del legislador, el régimen jurídico de los contratos de las 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 xml:space="preserve">. </w:t>
      </w:r>
      <w:r w:rsidRPr="00A220B2">
        <w:rPr>
          <w:rFonts w:ascii="Verdana" w:hAnsi="Verdana"/>
          <w:lang w:val="es-ES"/>
        </w:rPr>
        <w:t>constituye una de las excepciones legales existentes para la aplicación del EGCAP. Esta excepción permite que dichas empresas se sustraigan de las normas que regulan la actividad contractual de las Entidades Estatales a que hace referencia el artículo 2° de la Ley 80 de 1993. Sin perjuicio de lo anterior, la exclusión de las 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w:t>
      </w:r>
      <w:r w:rsidRPr="00A220B2">
        <w:rPr>
          <w:rFonts w:ascii="Verdana" w:hAnsi="Verdana"/>
          <w:lang w:val="es-ES"/>
        </w:rPr>
        <w:t xml:space="preserve"> frente al régimen jurídico contractual general de las Entidades Estatales, no ha sido absoluta, toda vez que intervienen en la prestación de servicios de salud, como actores dentro de un servicio público bajo responsabilidad del Estado, en los términos del artículo 49 de la Constitución Política. Además, de tiempo atrás en el ordenamiento jurídico colombiano se reconoció que las entidades exceptuadas del EGCAP debían respetar los principios de la función administrativa, tesis que luego fue acogida por el legislador con la expedición de la Ley 1150 de 2007.</w:t>
      </w:r>
    </w:p>
    <w:p w14:paraId="5E8070DC" w14:textId="77777777" w:rsidR="007D41E8" w:rsidRPr="00A220B2" w:rsidRDefault="007D41E8" w:rsidP="007D41E8">
      <w:pPr>
        <w:spacing w:after="120" w:line="276" w:lineRule="auto"/>
        <w:ind w:firstLine="709"/>
        <w:jc w:val="both"/>
        <w:rPr>
          <w:rFonts w:ascii="Verdana" w:hAnsi="Verdana" w:cs="Arial"/>
          <w:sz w:val="20"/>
          <w:szCs w:val="20"/>
          <w:lang w:val="es-ES"/>
        </w:rPr>
      </w:pPr>
      <w:r w:rsidRPr="00A220B2">
        <w:rPr>
          <w:rFonts w:ascii="Verdana" w:hAnsi="Verdana" w:cs="Arial"/>
          <w:lang w:val="es-ES"/>
        </w:rPr>
        <w:t>Como se señaló anteriormente, el régimen de derecho privado que, por regla general, caracteriza a los regímenes especiales no implica la ausencia de elementos de derecho público que tienen como fin último garantizar que los regímenes especiales de contratación también se ordenen hacia la consecución de los fines del Estado. Estos elementos de derecho público encuentran su manifestación tanto en forma de reglas como de principios. En relación con este segundo tipo, esto es, principios de derecho público aplicables a regímenes especiales de contratación, la norma por excelencia es el artículo 13 de la Ley 1150 de 2007</w:t>
      </w:r>
      <w:r w:rsidRPr="00A220B2">
        <w:rPr>
          <w:rFonts w:ascii="Verdana" w:hAnsi="Verdana" w:cs="Arial"/>
          <w:sz w:val="20"/>
          <w:szCs w:val="20"/>
          <w:lang w:val="es-ES"/>
        </w:rPr>
        <w:t xml:space="preserve">. </w:t>
      </w:r>
    </w:p>
    <w:p w14:paraId="00768DC1" w14:textId="77777777" w:rsidR="007D41E8" w:rsidRPr="00A220B2" w:rsidRDefault="007D41E8" w:rsidP="007D41E8">
      <w:pPr>
        <w:spacing w:after="120" w:line="276" w:lineRule="auto"/>
        <w:ind w:firstLine="709"/>
        <w:jc w:val="both"/>
        <w:rPr>
          <w:rFonts w:ascii="Verdana" w:hAnsi="Verdana" w:cs="Arial"/>
          <w:lang w:val="es-ES"/>
        </w:rPr>
      </w:pPr>
      <w:r w:rsidRPr="00A220B2">
        <w:rPr>
          <w:rFonts w:ascii="Verdana" w:hAnsi="Verdana" w:cs="Arial"/>
          <w:lang w:val="es-ES"/>
        </w:rPr>
        <w:lastRenderedPageBreak/>
        <w:t xml:space="preserve">Al referirse al régimen contractual de las </w:t>
      </w:r>
      <w:r w:rsidRPr="00A220B2">
        <w:rPr>
          <w:rFonts w:ascii="Verdana" w:hAnsi="Verdana"/>
          <w:lang w:val="es-ES"/>
        </w:rPr>
        <w:t>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w:t>
      </w:r>
      <w:r w:rsidRPr="00A220B2">
        <w:rPr>
          <w:rFonts w:ascii="Verdana" w:hAnsi="Verdana" w:cs="Arial"/>
          <w:lang w:val="es-ES"/>
        </w:rPr>
        <w:t xml:space="preserve">, la Sección Tercera del Consejo de Estado manifestó que “la entidad estatal debe observar en su actuación, precontractual y contractual, los principios que la Constitución Política le impone, en desarrollo de lo cual le asiste la obligación de obrar con igualdad, moralidad, eficacia, economía, celeridad, imparcialidad y publicidad, en todas las etapas de la realización del contrato estatal”. De esta forma, aunque los contratos suscritos por </w:t>
      </w:r>
      <w:r>
        <w:rPr>
          <w:rFonts w:ascii="Verdana" w:hAnsi="Verdana" w:cs="Arial"/>
          <w:lang w:val="es-ES"/>
        </w:rPr>
        <w:t xml:space="preserve">dichas entidades </w:t>
      </w:r>
      <w:r w:rsidRPr="00A220B2">
        <w:rPr>
          <w:rFonts w:ascii="Verdana" w:hAnsi="Verdana" w:cs="Arial"/>
          <w:lang w:val="es-ES"/>
        </w:rPr>
        <w:t>están excluidos del EGCAP, lo cierto es que no se rigen exclusivamente por el derecho civil y comercial, pues, conforme al artículo 13 de la Ley 1150 de 2007, a estos les aplican tanto los principios de la función administrativa y de la gestión fiscal, así como el régimen de inhabilidades e incompatibilidades, temáticas tratadas y reguladas en el referido estatuto.</w:t>
      </w:r>
    </w:p>
    <w:p w14:paraId="5F28D2D1" w14:textId="77777777" w:rsidR="007D41E8" w:rsidRPr="00A220B2" w:rsidRDefault="007D41E8" w:rsidP="007D41E8">
      <w:pPr>
        <w:spacing w:before="120" w:after="0" w:line="276" w:lineRule="auto"/>
        <w:ind w:firstLine="709"/>
        <w:jc w:val="both"/>
        <w:rPr>
          <w:rFonts w:ascii="Verdana" w:eastAsia="Calibri" w:hAnsi="Verdana" w:cs="Arial"/>
          <w:color w:val="000000" w:themeColor="text1"/>
          <w:lang w:val="es-ES"/>
        </w:rPr>
      </w:pPr>
      <w:r w:rsidRPr="00A220B2">
        <w:rPr>
          <w:rFonts w:ascii="Verdana" w:eastAsia="Calibri" w:hAnsi="Verdana" w:cs="Arial"/>
          <w:color w:val="000000" w:themeColor="text1"/>
          <w:lang w:val="es-ES"/>
        </w:rPr>
        <w:t>Lo anterior es reafirmado por el Consejo de Estado en el caso particular de los manuales de contratación, que contiene algunas reglas que deben seguir las entidades con régimen especial en su actividad contractual:</w:t>
      </w:r>
    </w:p>
    <w:p w14:paraId="3C2C947D" w14:textId="77777777" w:rsidR="007D41E8" w:rsidRPr="00A220B2" w:rsidRDefault="007D41E8" w:rsidP="007D41E8">
      <w:pPr>
        <w:spacing w:after="0" w:line="240" w:lineRule="auto"/>
        <w:jc w:val="both"/>
        <w:rPr>
          <w:rFonts w:ascii="Verdana" w:eastAsia="Calibri" w:hAnsi="Verdana" w:cs="Arial"/>
          <w:color w:val="000000" w:themeColor="text1"/>
          <w:lang w:val="es-ES"/>
        </w:rPr>
      </w:pPr>
    </w:p>
    <w:p w14:paraId="15494851" w14:textId="77777777" w:rsidR="007D41E8" w:rsidRPr="00A220B2" w:rsidRDefault="007D41E8" w:rsidP="007D41E8">
      <w:pPr>
        <w:spacing w:after="0" w:line="240" w:lineRule="auto"/>
        <w:ind w:left="709" w:right="709"/>
        <w:jc w:val="both"/>
        <w:rPr>
          <w:rFonts w:ascii="Verdana" w:eastAsia="Calibri" w:hAnsi="Verdana" w:cs="Arial"/>
          <w:color w:val="000000" w:themeColor="text1"/>
          <w:sz w:val="20"/>
          <w:szCs w:val="20"/>
          <w:lang w:val="es-ES"/>
        </w:rPr>
      </w:pPr>
      <w:r w:rsidRPr="00A220B2">
        <w:rPr>
          <w:rFonts w:ascii="Verdana" w:eastAsia="Calibri" w:hAnsi="Verdana" w:cs="Arial"/>
          <w:color w:val="000000" w:themeColor="text1"/>
          <w:sz w:val="20"/>
          <w:szCs w:val="20"/>
          <w:lang w:val="es-ES"/>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 que inspiran al régimen anterior con valores propios del derecho público.</w:t>
      </w:r>
    </w:p>
    <w:p w14:paraId="37681B26" w14:textId="77777777" w:rsidR="007D41E8" w:rsidRPr="00A220B2" w:rsidRDefault="007D41E8" w:rsidP="007D41E8">
      <w:pPr>
        <w:spacing w:after="0" w:line="240" w:lineRule="auto"/>
        <w:ind w:left="709" w:right="709"/>
        <w:jc w:val="both"/>
        <w:rPr>
          <w:rFonts w:ascii="Verdana" w:eastAsia="Calibri" w:hAnsi="Verdana" w:cs="Arial"/>
          <w:color w:val="000000" w:themeColor="text1"/>
          <w:sz w:val="20"/>
          <w:szCs w:val="20"/>
          <w:lang w:val="es-ES"/>
        </w:rPr>
      </w:pPr>
    </w:p>
    <w:p w14:paraId="2FE664D6" w14:textId="77777777" w:rsidR="007D41E8" w:rsidRPr="00A220B2" w:rsidRDefault="007D41E8" w:rsidP="007D41E8">
      <w:pPr>
        <w:spacing w:after="0" w:line="240" w:lineRule="auto"/>
        <w:ind w:left="709" w:right="709"/>
        <w:jc w:val="both"/>
        <w:rPr>
          <w:rFonts w:ascii="Verdana" w:eastAsia="Calibri" w:hAnsi="Verdana" w:cs="Arial"/>
          <w:color w:val="000000" w:themeColor="text1"/>
          <w:sz w:val="20"/>
          <w:szCs w:val="20"/>
          <w:lang w:val="es-ES"/>
        </w:rPr>
      </w:pPr>
      <w:r w:rsidRPr="00A220B2">
        <w:rPr>
          <w:rFonts w:ascii="Verdana" w:eastAsia="Calibri" w:hAnsi="Verdana" w:cs="Arial"/>
          <w:color w:val="000000" w:themeColor="text1"/>
          <w:sz w:val="20"/>
          <w:szCs w:val="20"/>
          <w:lang w:val="es-ES"/>
        </w:rPr>
        <w:t>La Sala entiende que el régimen preponderante domina y aporta el gran volumen de normas contractuales y que el régimen inspirador influye y ayuda a interpretar, pero también transforma parte de esas instituciones, porque se suma a ellas, lo que no siempre se logra conservando intacta la institución privada sino introduciéndole modificaciones”</w:t>
      </w:r>
      <w:r w:rsidRPr="00A220B2">
        <w:rPr>
          <w:rFonts w:ascii="Verdana" w:eastAsia="Calibri" w:hAnsi="Verdana" w:cs="Arial"/>
          <w:color w:val="000000" w:themeColor="text1"/>
          <w:sz w:val="20"/>
          <w:szCs w:val="20"/>
          <w:vertAlign w:val="superscript"/>
          <w:lang w:val="es-ES"/>
        </w:rPr>
        <w:footnoteReference w:id="9"/>
      </w:r>
      <w:r w:rsidRPr="00A220B2">
        <w:rPr>
          <w:rFonts w:ascii="Verdana" w:eastAsia="Calibri" w:hAnsi="Verdana" w:cs="Arial"/>
          <w:color w:val="000000" w:themeColor="text1"/>
          <w:sz w:val="20"/>
          <w:szCs w:val="20"/>
          <w:lang w:val="es-ES"/>
        </w:rPr>
        <w:t>.</w:t>
      </w:r>
    </w:p>
    <w:p w14:paraId="34B72C07" w14:textId="77777777" w:rsidR="007D41E8" w:rsidRPr="00A220B2" w:rsidRDefault="007D41E8" w:rsidP="007D41E8">
      <w:pPr>
        <w:spacing w:after="0" w:line="276" w:lineRule="auto"/>
        <w:ind w:firstLine="709"/>
        <w:jc w:val="both"/>
        <w:rPr>
          <w:rFonts w:ascii="Verdana" w:hAnsi="Verdana" w:cs="Arial"/>
          <w:lang w:val="es-ES"/>
        </w:rPr>
      </w:pPr>
    </w:p>
    <w:p w14:paraId="7220CA8D" w14:textId="77777777" w:rsidR="007D41E8" w:rsidRDefault="007D41E8" w:rsidP="007D41E8">
      <w:pPr>
        <w:spacing w:after="120" w:line="276" w:lineRule="auto"/>
        <w:ind w:firstLine="709"/>
        <w:jc w:val="both"/>
        <w:rPr>
          <w:rFonts w:ascii="Verdana" w:eastAsia="Arial" w:hAnsi="Verdana" w:cs="Arial"/>
          <w:lang w:val="es-ES"/>
        </w:rPr>
      </w:pPr>
      <w:r w:rsidRPr="00A220B2">
        <w:rPr>
          <w:rFonts w:ascii="Verdana" w:eastAsia="Arial" w:hAnsi="Verdana" w:cs="Arial"/>
          <w:lang w:val="es-ES"/>
        </w:rPr>
        <w:t xml:space="preserve">Ahora bien, una de las reglas para las </w:t>
      </w:r>
      <w:r w:rsidRPr="00A220B2">
        <w:rPr>
          <w:rFonts w:ascii="Verdana" w:hAnsi="Verdana"/>
          <w:lang w:val="es-ES"/>
        </w:rPr>
        <w:t>E</w:t>
      </w:r>
      <w:r>
        <w:rPr>
          <w:rFonts w:ascii="Verdana" w:hAnsi="Verdana"/>
          <w:lang w:val="es-ES"/>
        </w:rPr>
        <w:t>.</w:t>
      </w:r>
      <w:r w:rsidRPr="00A220B2">
        <w:rPr>
          <w:rFonts w:ascii="Verdana" w:hAnsi="Verdana"/>
          <w:lang w:val="es-ES"/>
        </w:rPr>
        <w:t>S</w:t>
      </w:r>
      <w:r>
        <w:rPr>
          <w:rFonts w:ascii="Verdana" w:hAnsi="Verdana"/>
          <w:lang w:val="es-ES"/>
        </w:rPr>
        <w:t>.</w:t>
      </w:r>
      <w:r w:rsidRPr="00A220B2">
        <w:rPr>
          <w:rFonts w:ascii="Verdana" w:hAnsi="Verdana"/>
          <w:lang w:val="es-ES"/>
        </w:rPr>
        <w:t>E</w:t>
      </w:r>
      <w:r>
        <w:rPr>
          <w:rFonts w:ascii="Verdana" w:hAnsi="Verdana"/>
          <w:lang w:val="es-ES"/>
        </w:rPr>
        <w:t>.</w:t>
      </w:r>
      <w:r w:rsidRPr="00A220B2">
        <w:rPr>
          <w:rFonts w:ascii="Verdana" w:eastAsia="Arial" w:hAnsi="Verdana" w:cs="Arial"/>
          <w:lang w:val="es-ES"/>
        </w:rPr>
        <w:t xml:space="preserve">, derivada de las normas de derecho público estudiadas, consiste en el deber de expedir un manual de contratación. En este documento deben concretarse los principios de la función administrativa y de la gestión fiscal, así como determinarse la manera concreta como dichos principios orientarán el derecho privado en el ejercicio de la </w:t>
      </w:r>
      <w:r w:rsidRPr="00A220B2">
        <w:rPr>
          <w:rFonts w:ascii="Verdana" w:eastAsia="Arial" w:hAnsi="Verdana" w:cs="Arial"/>
          <w:lang w:val="es-ES"/>
        </w:rPr>
        <w:lastRenderedPageBreak/>
        <w:t>actividad contractual. De esta manera, los potenciales oferentes podrán identificar las reglas que aplica la entidad en sus procesos contractuales.</w:t>
      </w:r>
    </w:p>
    <w:p w14:paraId="0E6F1C97" w14:textId="6FA08699" w:rsidR="007D41E8" w:rsidRDefault="007D41E8" w:rsidP="009E582F">
      <w:pPr>
        <w:spacing w:after="120" w:line="276" w:lineRule="auto"/>
        <w:ind w:firstLine="709"/>
        <w:jc w:val="both"/>
        <w:rPr>
          <w:rFonts w:ascii="Verdana" w:eastAsia="Arial" w:hAnsi="Verdana" w:cs="Arial"/>
          <w:lang w:val="es-ES"/>
        </w:rPr>
      </w:pPr>
      <w:r>
        <w:rPr>
          <w:rFonts w:ascii="Verdana" w:eastAsia="Arial" w:hAnsi="Verdana" w:cs="Arial"/>
          <w:lang w:val="es-ES"/>
        </w:rPr>
        <w:t>En consecuencia, e</w:t>
      </w:r>
      <w:r w:rsidRPr="00A220B2">
        <w:rPr>
          <w:rFonts w:ascii="Verdana" w:eastAsia="Arial" w:hAnsi="Verdana" w:cs="Arial"/>
          <w:lang w:val="es-ES"/>
        </w:rPr>
        <w:t>l Ministerio de Salud y</w:t>
      </w:r>
      <w:r w:rsidRPr="00A220B2">
        <w:rPr>
          <w:rFonts w:ascii="Verdana" w:eastAsia="Arial" w:hAnsi="Verdana" w:cs="Arial"/>
          <w:spacing w:val="1"/>
          <w:lang w:val="es-ES"/>
        </w:rPr>
        <w:t xml:space="preserve"> </w:t>
      </w:r>
      <w:r w:rsidRPr="00A220B2">
        <w:rPr>
          <w:rFonts w:ascii="Verdana" w:eastAsia="Arial" w:hAnsi="Verdana" w:cs="Arial"/>
          <w:lang w:val="es-ES"/>
        </w:rPr>
        <w:t>Protección Social, expidió la Resolución No. 5185 de 2013, modificada por la Resolución 1440 del 14 de agosto de 2024</w:t>
      </w:r>
      <w:r w:rsidRPr="00A220B2">
        <w:rPr>
          <w:rStyle w:val="Refdenotaalpie"/>
          <w:rFonts w:ascii="Verdana" w:eastAsia="Arial" w:hAnsi="Verdana" w:cs="Arial"/>
          <w:lang w:val="es-ES"/>
        </w:rPr>
        <w:footnoteReference w:id="10"/>
      </w:r>
      <w:r w:rsidRPr="00A220B2">
        <w:rPr>
          <w:rFonts w:ascii="Verdana" w:eastAsia="Arial" w:hAnsi="Verdana" w:cs="Arial"/>
          <w:lang w:val="es-ES"/>
        </w:rPr>
        <w:t>, mediante la cual se fijan los lineamientos</w:t>
      </w:r>
      <w:r w:rsidRPr="00A220B2">
        <w:rPr>
          <w:rFonts w:ascii="Verdana" w:eastAsia="Arial" w:hAnsi="Verdana" w:cs="Arial"/>
          <w:spacing w:val="1"/>
          <w:lang w:val="es-ES"/>
        </w:rPr>
        <w:t xml:space="preserve"> </w:t>
      </w:r>
      <w:r w:rsidRPr="00A220B2">
        <w:rPr>
          <w:rFonts w:ascii="Verdana" w:eastAsia="Arial" w:hAnsi="Verdana" w:cs="Arial"/>
          <w:lang w:val="es-ES"/>
        </w:rPr>
        <w:t>para</w:t>
      </w:r>
      <w:r w:rsidRPr="00A220B2">
        <w:rPr>
          <w:rFonts w:ascii="Verdana" w:eastAsia="Arial" w:hAnsi="Verdana" w:cs="Arial"/>
          <w:spacing w:val="-10"/>
          <w:lang w:val="es-ES"/>
        </w:rPr>
        <w:t xml:space="preserve"> </w:t>
      </w:r>
      <w:r w:rsidRPr="00A220B2">
        <w:rPr>
          <w:rFonts w:ascii="Verdana" w:eastAsia="Arial" w:hAnsi="Verdana" w:cs="Arial"/>
          <w:lang w:val="es-ES"/>
        </w:rPr>
        <w:t>que</w:t>
      </w:r>
      <w:r w:rsidRPr="00A220B2">
        <w:rPr>
          <w:rFonts w:ascii="Verdana" w:eastAsia="Arial" w:hAnsi="Verdana" w:cs="Arial"/>
          <w:spacing w:val="-10"/>
          <w:lang w:val="es-ES"/>
        </w:rPr>
        <w:t xml:space="preserve"> </w:t>
      </w:r>
      <w:r w:rsidRPr="00A220B2">
        <w:rPr>
          <w:rFonts w:ascii="Verdana" w:eastAsia="Arial" w:hAnsi="Verdana" w:cs="Arial"/>
          <w:lang w:val="es-ES"/>
        </w:rPr>
        <w:t>tales</w:t>
      </w:r>
      <w:r w:rsidRPr="00A220B2">
        <w:rPr>
          <w:rFonts w:ascii="Verdana" w:eastAsia="Arial" w:hAnsi="Verdana" w:cs="Arial"/>
          <w:spacing w:val="-10"/>
          <w:lang w:val="es-ES"/>
        </w:rPr>
        <w:t xml:space="preserve"> </w:t>
      </w:r>
      <w:r w:rsidRPr="00A220B2">
        <w:rPr>
          <w:rFonts w:ascii="Verdana" w:eastAsia="Arial" w:hAnsi="Verdana" w:cs="Arial"/>
          <w:lang w:val="es-ES"/>
        </w:rPr>
        <w:t>entidades</w:t>
      </w:r>
      <w:r w:rsidRPr="00A220B2">
        <w:rPr>
          <w:rFonts w:ascii="Verdana" w:eastAsia="Arial" w:hAnsi="Verdana" w:cs="Arial"/>
          <w:spacing w:val="-10"/>
          <w:lang w:val="es-ES"/>
        </w:rPr>
        <w:t xml:space="preserve"> </w:t>
      </w:r>
      <w:r w:rsidRPr="00A220B2">
        <w:rPr>
          <w:rFonts w:ascii="Verdana" w:eastAsia="Arial" w:hAnsi="Verdana" w:cs="Arial"/>
          <w:lang w:val="es-ES"/>
        </w:rPr>
        <w:t>adopten</w:t>
      </w:r>
      <w:r w:rsidRPr="00A220B2">
        <w:rPr>
          <w:rFonts w:ascii="Verdana" w:eastAsia="Arial" w:hAnsi="Verdana" w:cs="Arial"/>
          <w:spacing w:val="-10"/>
          <w:lang w:val="es-ES"/>
        </w:rPr>
        <w:t xml:space="preserve"> </w:t>
      </w:r>
      <w:r w:rsidRPr="00A220B2">
        <w:rPr>
          <w:rFonts w:ascii="Verdana" w:eastAsia="Arial" w:hAnsi="Verdana" w:cs="Arial"/>
          <w:lang w:val="es-ES"/>
        </w:rPr>
        <w:t>los</w:t>
      </w:r>
      <w:r w:rsidRPr="00A220B2">
        <w:rPr>
          <w:rFonts w:ascii="Verdana" w:eastAsia="Arial" w:hAnsi="Verdana" w:cs="Arial"/>
          <w:spacing w:val="-10"/>
          <w:lang w:val="es-ES"/>
        </w:rPr>
        <w:t xml:space="preserve"> </w:t>
      </w:r>
      <w:r w:rsidRPr="00A220B2">
        <w:rPr>
          <w:rFonts w:ascii="Verdana" w:eastAsia="Arial" w:hAnsi="Verdana" w:cs="Arial"/>
          <w:lang w:val="es-ES"/>
        </w:rPr>
        <w:t>manuales</w:t>
      </w:r>
      <w:r w:rsidRPr="00A220B2">
        <w:rPr>
          <w:rFonts w:ascii="Verdana" w:eastAsia="Arial" w:hAnsi="Verdana" w:cs="Arial"/>
          <w:spacing w:val="-10"/>
          <w:lang w:val="es-ES"/>
        </w:rPr>
        <w:t xml:space="preserve"> </w:t>
      </w:r>
      <w:r w:rsidRPr="00A220B2">
        <w:rPr>
          <w:rFonts w:ascii="Verdana" w:eastAsia="Arial" w:hAnsi="Verdana" w:cs="Arial"/>
          <w:lang w:val="es-ES"/>
        </w:rPr>
        <w:t>de</w:t>
      </w:r>
      <w:r w:rsidRPr="00A220B2">
        <w:rPr>
          <w:rFonts w:ascii="Verdana" w:eastAsia="Arial" w:hAnsi="Verdana" w:cs="Arial"/>
          <w:spacing w:val="-10"/>
          <w:lang w:val="es-ES"/>
        </w:rPr>
        <w:t xml:space="preserve"> </w:t>
      </w:r>
      <w:r w:rsidRPr="00A220B2">
        <w:rPr>
          <w:rFonts w:ascii="Verdana" w:eastAsia="Arial" w:hAnsi="Verdana" w:cs="Arial"/>
          <w:lang w:val="es-ES"/>
        </w:rPr>
        <w:t>contratación</w:t>
      </w:r>
      <w:r w:rsidRPr="00A220B2">
        <w:rPr>
          <w:rFonts w:ascii="Verdana" w:eastAsia="Arial" w:hAnsi="Verdana" w:cs="Arial"/>
          <w:spacing w:val="-10"/>
          <w:lang w:val="es-ES"/>
        </w:rPr>
        <w:t xml:space="preserve"> </w:t>
      </w:r>
      <w:r w:rsidRPr="00A220B2">
        <w:rPr>
          <w:rFonts w:ascii="Verdana" w:eastAsia="Arial" w:hAnsi="Verdana" w:cs="Arial"/>
          <w:lang w:val="es-ES"/>
        </w:rPr>
        <w:t>que</w:t>
      </w:r>
      <w:r w:rsidRPr="00A220B2">
        <w:rPr>
          <w:rFonts w:ascii="Verdana" w:eastAsia="Arial" w:hAnsi="Verdana" w:cs="Arial"/>
          <w:spacing w:val="-9"/>
          <w:lang w:val="es-ES"/>
        </w:rPr>
        <w:t xml:space="preserve"> </w:t>
      </w:r>
      <w:r w:rsidRPr="00A220B2">
        <w:rPr>
          <w:rFonts w:ascii="Verdana" w:eastAsia="Arial" w:hAnsi="Verdana" w:cs="Arial"/>
          <w:lang w:val="es-ES"/>
        </w:rPr>
        <w:t>regirán</w:t>
      </w:r>
      <w:r w:rsidRPr="00A220B2">
        <w:rPr>
          <w:rFonts w:ascii="Verdana" w:eastAsia="Arial" w:hAnsi="Verdana" w:cs="Arial"/>
          <w:spacing w:val="-10"/>
          <w:lang w:val="es-ES"/>
        </w:rPr>
        <w:t xml:space="preserve"> </w:t>
      </w:r>
      <w:r w:rsidRPr="00A220B2">
        <w:rPr>
          <w:rFonts w:ascii="Verdana" w:eastAsia="Arial" w:hAnsi="Verdana" w:cs="Arial"/>
          <w:lang w:val="es-ES"/>
        </w:rPr>
        <w:t>su</w:t>
      </w:r>
      <w:r w:rsidRPr="00A220B2">
        <w:rPr>
          <w:rFonts w:ascii="Verdana" w:eastAsia="Arial" w:hAnsi="Verdana" w:cs="Arial"/>
          <w:spacing w:val="-10"/>
          <w:lang w:val="es-ES"/>
        </w:rPr>
        <w:t xml:space="preserve"> </w:t>
      </w:r>
      <w:r w:rsidRPr="00A220B2">
        <w:rPr>
          <w:rFonts w:ascii="Verdana" w:eastAsia="Arial" w:hAnsi="Verdana" w:cs="Arial"/>
          <w:lang w:val="es-ES"/>
        </w:rPr>
        <w:t>actividad</w:t>
      </w:r>
      <w:r w:rsidRPr="00A220B2">
        <w:rPr>
          <w:rFonts w:ascii="Verdana" w:eastAsia="Arial" w:hAnsi="Verdana" w:cs="Arial"/>
          <w:spacing w:val="-59"/>
          <w:lang w:val="es-ES"/>
        </w:rPr>
        <w:t xml:space="preserve"> </w:t>
      </w:r>
      <w:r w:rsidRPr="00A220B2">
        <w:rPr>
          <w:rFonts w:ascii="Verdana" w:eastAsia="Arial" w:hAnsi="Verdana" w:cs="Arial"/>
          <w:lang w:val="es-ES"/>
        </w:rPr>
        <w:t xml:space="preserve">contractual. </w:t>
      </w:r>
    </w:p>
    <w:p w14:paraId="57A8971C" w14:textId="77777777" w:rsidR="007D41E8" w:rsidRPr="00A220B2" w:rsidRDefault="007D41E8" w:rsidP="007D41E8">
      <w:pPr>
        <w:spacing w:after="120" w:line="276" w:lineRule="auto"/>
        <w:ind w:firstLine="709"/>
        <w:jc w:val="both"/>
        <w:rPr>
          <w:rFonts w:ascii="Verdana" w:eastAsia="Arial" w:hAnsi="Verdana" w:cs="Arial"/>
          <w:lang w:val="es-ES"/>
        </w:rPr>
      </w:pPr>
      <w:r w:rsidRPr="00A220B2">
        <w:rPr>
          <w:rFonts w:ascii="Verdana" w:eastAsia="Arial" w:hAnsi="Verdana" w:cs="Arial"/>
          <w:lang w:val="es-ES"/>
        </w:rPr>
        <w:t>Este acto administrativo fue dictado en ejercicio de las facultades conferidas</w:t>
      </w:r>
      <w:r w:rsidRPr="00A220B2">
        <w:rPr>
          <w:rFonts w:ascii="Verdana" w:eastAsia="Arial" w:hAnsi="Verdana" w:cs="Arial"/>
          <w:spacing w:val="1"/>
          <w:lang w:val="es-ES"/>
        </w:rPr>
        <w:t xml:space="preserve"> </w:t>
      </w:r>
      <w:r w:rsidRPr="00A220B2">
        <w:rPr>
          <w:rFonts w:ascii="Verdana" w:eastAsia="Arial" w:hAnsi="Verdana" w:cs="Arial"/>
          <w:lang w:val="es-ES"/>
        </w:rPr>
        <w:t>por el artículo 76 de la Ley 1438 de 2011, el cual dispone:</w:t>
      </w:r>
    </w:p>
    <w:p w14:paraId="79B9E73C" w14:textId="77777777" w:rsidR="007D41E8" w:rsidRDefault="007D41E8" w:rsidP="007D41E8">
      <w:pPr>
        <w:spacing w:after="0" w:line="240" w:lineRule="auto"/>
        <w:ind w:left="709" w:right="709"/>
        <w:jc w:val="both"/>
        <w:rPr>
          <w:rFonts w:ascii="Verdana" w:hAnsi="Verdana" w:cs="Arial"/>
          <w:sz w:val="20"/>
          <w:szCs w:val="20"/>
          <w:lang w:val="es-ES" w:eastAsia="es-ES"/>
        </w:rPr>
      </w:pPr>
      <w:r w:rsidRPr="00A220B2">
        <w:rPr>
          <w:rFonts w:ascii="Verdana" w:hAnsi="Verdana" w:cs="Arial"/>
          <w:sz w:val="20"/>
          <w:szCs w:val="20"/>
          <w:lang w:val="es-ES" w:eastAsia="es-ES"/>
        </w:rPr>
        <w:t>“ARTÍCULO 76. </w:t>
      </w:r>
      <w:r w:rsidRPr="00A220B2">
        <w:rPr>
          <w:rFonts w:ascii="Verdana" w:hAnsi="Verdana" w:cs="Arial"/>
          <w:i/>
          <w:iCs/>
          <w:sz w:val="20"/>
          <w:szCs w:val="20"/>
          <w:lang w:val="es-ES" w:eastAsia="es-ES"/>
        </w:rPr>
        <w:t>Eficiencia y transparencia en contratación, adquisiciones y compras de las Empresas Sociales del Estado</w:t>
      </w:r>
      <w:r w:rsidRPr="00A220B2">
        <w:rPr>
          <w:rFonts w:ascii="Verdana" w:hAnsi="Verdana" w:cs="Arial"/>
          <w:sz w:val="20"/>
          <w:szCs w:val="20"/>
          <w:lang w:val="es-ES" w:eastAsia="es-ES"/>
        </w:rPr>
        <w:t>. Con el propósito de promover la eficiencia y transparencia en la contratación las Empresas Sociales del Estado podrán asociarse entre sí, constituir cooperativas o utilizar sistemas de compras electrónicas o cualquier otro mecanismo que beneficie a las entidades con economías de escala, calidad, oportunidad y eficiencia, respetando los principios de la actuación administrativa y la contratación pública. Para lo anterior la Junta Directiva deberá adoptar un estatuto de contratación de acuerdo con los lineamientos que defina el Ministerio de la Protección Social […]”</w:t>
      </w:r>
    </w:p>
    <w:p w14:paraId="6BE8CF5F" w14:textId="77777777" w:rsidR="007D41E8" w:rsidRPr="00A220B2" w:rsidRDefault="007D41E8" w:rsidP="007D41E8">
      <w:pPr>
        <w:spacing w:after="0" w:line="240" w:lineRule="auto"/>
        <w:ind w:left="709" w:right="709"/>
        <w:jc w:val="both"/>
        <w:rPr>
          <w:rFonts w:ascii="Verdana" w:hAnsi="Verdana" w:cs="Arial"/>
          <w:sz w:val="20"/>
          <w:szCs w:val="20"/>
          <w:lang w:val="es-ES" w:eastAsia="es-ES"/>
        </w:rPr>
      </w:pPr>
    </w:p>
    <w:p w14:paraId="5D6862FA" w14:textId="77777777" w:rsidR="007D41E8" w:rsidRPr="00A220B2" w:rsidRDefault="007D41E8" w:rsidP="007D41E8">
      <w:pPr>
        <w:widowControl w:val="0"/>
        <w:autoSpaceDE w:val="0"/>
        <w:autoSpaceDN w:val="0"/>
        <w:spacing w:after="120" w:line="276" w:lineRule="auto"/>
        <w:ind w:firstLine="708"/>
        <w:jc w:val="both"/>
        <w:rPr>
          <w:rFonts w:ascii="Verdana" w:eastAsia="Arial" w:hAnsi="Verdana" w:cs="Arial"/>
          <w:lang w:val="es-ES"/>
        </w:rPr>
      </w:pPr>
      <w:r>
        <w:rPr>
          <w:rFonts w:ascii="Verdana" w:eastAsia="Arial" w:hAnsi="Verdana" w:cs="Arial"/>
          <w:lang w:val="es-ES"/>
        </w:rPr>
        <w:t xml:space="preserve">Como se observa, </w:t>
      </w:r>
      <w:r w:rsidRPr="00A220B2">
        <w:rPr>
          <w:rFonts w:ascii="Verdana" w:eastAsia="Arial" w:hAnsi="Verdana" w:cs="Arial"/>
          <w:lang w:val="es-ES"/>
        </w:rPr>
        <w:t xml:space="preserve">aunque no se encuentran sometidas al EGCAP, la ley autoriza expresamente a las Empresas Sociales del Estado para: i) asociarse entre sí; </w:t>
      </w:r>
      <w:proofErr w:type="spellStart"/>
      <w:r w:rsidRPr="00A220B2">
        <w:rPr>
          <w:rFonts w:ascii="Verdana" w:eastAsia="Arial" w:hAnsi="Verdana" w:cs="Arial"/>
          <w:lang w:val="es-ES"/>
        </w:rPr>
        <w:t>ii</w:t>
      </w:r>
      <w:proofErr w:type="spellEnd"/>
      <w:r w:rsidRPr="00A220B2">
        <w:rPr>
          <w:rFonts w:ascii="Verdana" w:eastAsia="Arial" w:hAnsi="Verdana" w:cs="Arial"/>
          <w:lang w:val="es-ES"/>
        </w:rPr>
        <w:t xml:space="preserve">) constituir cooperativas; </w:t>
      </w:r>
      <w:proofErr w:type="spellStart"/>
      <w:r w:rsidRPr="00A220B2">
        <w:rPr>
          <w:rFonts w:ascii="Verdana" w:eastAsia="Arial" w:hAnsi="Verdana" w:cs="Arial"/>
          <w:lang w:val="es-ES"/>
        </w:rPr>
        <w:t>iii</w:t>
      </w:r>
      <w:proofErr w:type="spellEnd"/>
      <w:r w:rsidRPr="00A220B2">
        <w:rPr>
          <w:rFonts w:ascii="Verdana" w:eastAsia="Arial" w:hAnsi="Verdana" w:cs="Arial"/>
          <w:lang w:val="es-ES"/>
        </w:rPr>
        <w:t xml:space="preserve">) utilizar sistemas de compras electrónicas; o </w:t>
      </w:r>
      <w:proofErr w:type="spellStart"/>
      <w:r w:rsidRPr="00A220B2">
        <w:rPr>
          <w:rFonts w:ascii="Verdana" w:eastAsia="Arial" w:hAnsi="Verdana" w:cs="Arial"/>
          <w:lang w:val="es-ES"/>
        </w:rPr>
        <w:t>iv</w:t>
      </w:r>
      <w:proofErr w:type="spellEnd"/>
      <w:r w:rsidRPr="00A220B2">
        <w:rPr>
          <w:rFonts w:ascii="Verdana" w:eastAsia="Arial" w:hAnsi="Verdana" w:cs="Arial"/>
          <w:lang w:val="es-ES"/>
        </w:rPr>
        <w:t>) cualquier otro mecanismo, siempre que beneficie a las entidades con economías de escala, calidad, oportunidad y eficiencia, en el marco de los principios que rigen la actividad contractual del Estado.</w:t>
      </w:r>
    </w:p>
    <w:p w14:paraId="08A9E737" w14:textId="77777777" w:rsidR="007D41E8" w:rsidRDefault="007D41E8" w:rsidP="007D41E8">
      <w:pPr>
        <w:widowControl w:val="0"/>
        <w:autoSpaceDE w:val="0"/>
        <w:autoSpaceDN w:val="0"/>
        <w:spacing w:after="0" w:line="276" w:lineRule="auto"/>
        <w:ind w:firstLine="708"/>
        <w:jc w:val="both"/>
        <w:rPr>
          <w:rFonts w:ascii="Verdana" w:eastAsia="Arial" w:hAnsi="Verdana" w:cs="Arial"/>
          <w:lang w:val="es-ES"/>
        </w:rPr>
      </w:pPr>
      <w:r>
        <w:rPr>
          <w:rFonts w:ascii="Verdana" w:eastAsia="Arial" w:hAnsi="Verdana" w:cs="Arial"/>
          <w:lang w:val="es-ES"/>
        </w:rPr>
        <w:t xml:space="preserve">Sobre el alcance de esta facultad, </w:t>
      </w:r>
      <w:r w:rsidRPr="00A220B2">
        <w:rPr>
          <w:rFonts w:ascii="Verdana" w:eastAsia="Arial" w:hAnsi="Verdana" w:cs="Arial"/>
          <w:lang w:val="es-ES"/>
        </w:rPr>
        <w:t xml:space="preserve">el artículo 5.3 de la </w:t>
      </w:r>
      <w:r>
        <w:rPr>
          <w:rFonts w:ascii="Verdana" w:eastAsia="Arial" w:hAnsi="Verdana" w:cs="Arial"/>
          <w:lang w:val="es-ES"/>
        </w:rPr>
        <w:t xml:space="preserve">Resolución </w:t>
      </w:r>
      <w:r w:rsidRPr="00A220B2">
        <w:rPr>
          <w:rFonts w:ascii="Verdana" w:eastAsia="Arial" w:hAnsi="Verdana" w:cs="Arial"/>
          <w:lang w:val="es-ES"/>
        </w:rPr>
        <w:t>No. 5185 de 2013</w:t>
      </w:r>
      <w:r>
        <w:rPr>
          <w:rFonts w:ascii="Verdana" w:eastAsia="Arial" w:hAnsi="Verdana" w:cs="Arial"/>
          <w:lang w:val="es-ES"/>
        </w:rPr>
        <w:t xml:space="preserve"> </w:t>
      </w:r>
      <w:r w:rsidRPr="00A220B2">
        <w:rPr>
          <w:rFonts w:ascii="Verdana" w:eastAsia="Arial" w:hAnsi="Verdana" w:cs="Arial"/>
          <w:lang w:val="es-ES"/>
        </w:rPr>
        <w:t xml:space="preserve">definió la expresión “sistemas de compras electrónicas” como parte de los mecanismos de selección que pueden adoptar las Empresas Sociales del Estado, en los siguientes términos: </w:t>
      </w:r>
    </w:p>
    <w:p w14:paraId="7917ED03" w14:textId="77777777" w:rsidR="007D41E8" w:rsidRPr="00A220B2" w:rsidRDefault="007D41E8" w:rsidP="007D41E8">
      <w:pPr>
        <w:widowControl w:val="0"/>
        <w:autoSpaceDE w:val="0"/>
        <w:autoSpaceDN w:val="0"/>
        <w:spacing w:after="0" w:line="276" w:lineRule="auto"/>
        <w:ind w:firstLine="708"/>
        <w:jc w:val="both"/>
        <w:rPr>
          <w:rFonts w:ascii="Verdana" w:eastAsia="Arial" w:hAnsi="Verdana" w:cs="Arial"/>
          <w:lang w:val="es-ES"/>
        </w:rPr>
      </w:pPr>
    </w:p>
    <w:p w14:paraId="25EC8999" w14:textId="77777777" w:rsidR="007D41E8" w:rsidRDefault="007D41E8" w:rsidP="007D41E8">
      <w:pPr>
        <w:widowControl w:val="0"/>
        <w:autoSpaceDE w:val="0"/>
        <w:autoSpaceDN w:val="0"/>
        <w:spacing w:after="0" w:line="240" w:lineRule="auto"/>
        <w:ind w:left="709" w:right="709"/>
        <w:jc w:val="both"/>
        <w:rPr>
          <w:rFonts w:ascii="Verdana" w:eastAsia="Arial" w:hAnsi="Verdana" w:cs="Arial"/>
          <w:sz w:val="20"/>
          <w:szCs w:val="20"/>
          <w:lang w:val="es-ES"/>
        </w:rPr>
      </w:pPr>
      <w:r w:rsidRPr="00A220B2">
        <w:rPr>
          <w:rFonts w:ascii="Verdana" w:eastAsia="Arial" w:hAnsi="Verdana" w:cs="Arial"/>
          <w:sz w:val="20"/>
          <w:szCs w:val="20"/>
          <w:lang w:val="es-ES"/>
        </w:rPr>
        <w:t xml:space="preserve">5.3. Otros mecanismos de selección. Mecanismos como la subasta inversa para la conformación dinámica de las ofertas y sistemas de compras electrónicas </w:t>
      </w:r>
      <w:r w:rsidRPr="00A220B2">
        <w:rPr>
          <w:rFonts w:ascii="Verdana" w:eastAsia="Arial" w:hAnsi="Verdana" w:cs="Arial"/>
          <w:i/>
          <w:iCs/>
          <w:sz w:val="20"/>
          <w:szCs w:val="20"/>
          <w:lang w:val="es-ES"/>
        </w:rPr>
        <w:t>entendidos como los mecanismos de soporte a las transacciones propias de los procesos de adquisición, que permitan a la entidad realizar compras de manera eficiente</w:t>
      </w:r>
      <w:r w:rsidRPr="00A220B2">
        <w:rPr>
          <w:rFonts w:ascii="Verdana" w:eastAsia="Arial" w:hAnsi="Verdana" w:cs="Arial"/>
          <w:sz w:val="20"/>
          <w:szCs w:val="20"/>
          <w:lang w:val="es-ES"/>
        </w:rPr>
        <w:t>.</w:t>
      </w:r>
    </w:p>
    <w:p w14:paraId="7E676FA5" w14:textId="77777777" w:rsidR="007D41E8" w:rsidRPr="00A220B2" w:rsidRDefault="007D41E8" w:rsidP="007D41E8">
      <w:pPr>
        <w:widowControl w:val="0"/>
        <w:autoSpaceDE w:val="0"/>
        <w:autoSpaceDN w:val="0"/>
        <w:spacing w:after="0" w:line="240" w:lineRule="auto"/>
        <w:ind w:left="709" w:right="709"/>
        <w:jc w:val="both"/>
        <w:rPr>
          <w:rFonts w:ascii="Verdana" w:eastAsia="Arial" w:hAnsi="Verdana" w:cs="Arial"/>
          <w:sz w:val="20"/>
          <w:szCs w:val="20"/>
          <w:lang w:val="es-ES"/>
        </w:rPr>
      </w:pPr>
    </w:p>
    <w:p w14:paraId="61330E91" w14:textId="77777777" w:rsidR="007D41E8" w:rsidRPr="00A220B2" w:rsidRDefault="007D41E8" w:rsidP="007D41E8">
      <w:pPr>
        <w:widowControl w:val="0"/>
        <w:autoSpaceDE w:val="0"/>
        <w:autoSpaceDN w:val="0"/>
        <w:spacing w:after="120" w:line="276" w:lineRule="auto"/>
        <w:ind w:firstLine="708"/>
        <w:jc w:val="both"/>
        <w:rPr>
          <w:rFonts w:ascii="Verdana" w:eastAsia="Arial" w:hAnsi="Verdana" w:cs="Arial"/>
          <w:lang w:val="es-ES"/>
        </w:rPr>
      </w:pPr>
      <w:r w:rsidRPr="00A220B2">
        <w:rPr>
          <w:rFonts w:ascii="Verdana" w:eastAsia="Arial" w:hAnsi="Verdana" w:cs="Arial"/>
          <w:lang w:val="es-ES"/>
        </w:rPr>
        <w:t>En virtud de l</w:t>
      </w:r>
      <w:r>
        <w:rPr>
          <w:rFonts w:ascii="Verdana" w:eastAsia="Arial" w:hAnsi="Verdana" w:cs="Arial"/>
          <w:lang w:val="es-ES"/>
        </w:rPr>
        <w:t>o anterior</w:t>
      </w:r>
      <w:r w:rsidRPr="00A220B2">
        <w:rPr>
          <w:rFonts w:ascii="Verdana" w:eastAsia="Arial" w:hAnsi="Verdana" w:cs="Arial"/>
          <w:lang w:val="es-ES"/>
        </w:rPr>
        <w:t xml:space="preserve">, las Empresas Sociales del Estado tienen la facultad de utilizar </w:t>
      </w:r>
      <w:r>
        <w:rPr>
          <w:rFonts w:ascii="Verdana" w:eastAsia="Arial" w:hAnsi="Verdana" w:cs="Arial"/>
          <w:lang w:val="es-ES"/>
        </w:rPr>
        <w:t>“</w:t>
      </w:r>
      <w:r w:rsidRPr="00A220B2">
        <w:rPr>
          <w:rFonts w:ascii="Verdana" w:eastAsia="Arial" w:hAnsi="Verdana" w:cs="Arial"/>
          <w:lang w:val="es-ES"/>
        </w:rPr>
        <w:t>sistemas de compras electrónicas</w:t>
      </w:r>
      <w:r>
        <w:rPr>
          <w:rFonts w:ascii="Verdana" w:eastAsia="Arial" w:hAnsi="Verdana" w:cs="Arial"/>
          <w:lang w:val="es-ES"/>
        </w:rPr>
        <w:t>”</w:t>
      </w:r>
      <w:r w:rsidRPr="00A220B2">
        <w:rPr>
          <w:rFonts w:ascii="Verdana" w:eastAsia="Arial" w:hAnsi="Verdana" w:cs="Arial"/>
          <w:lang w:val="es-ES"/>
        </w:rPr>
        <w:t xml:space="preserve"> como mecanismos que: i) sirven de soporte para las transacciones del proceso de contratación; </w:t>
      </w:r>
      <w:proofErr w:type="spellStart"/>
      <w:r w:rsidRPr="00A220B2">
        <w:rPr>
          <w:rFonts w:ascii="Verdana" w:eastAsia="Arial" w:hAnsi="Verdana" w:cs="Arial"/>
          <w:lang w:val="es-ES"/>
        </w:rPr>
        <w:t>ii</w:t>
      </w:r>
      <w:proofErr w:type="spellEnd"/>
      <w:r w:rsidRPr="00A220B2">
        <w:rPr>
          <w:rFonts w:ascii="Verdana" w:eastAsia="Arial" w:hAnsi="Verdana" w:cs="Arial"/>
          <w:lang w:val="es-ES"/>
        </w:rPr>
        <w:t xml:space="preserve">) permiten realizar compras eficientes; y </w:t>
      </w:r>
      <w:proofErr w:type="spellStart"/>
      <w:r w:rsidRPr="00A220B2">
        <w:rPr>
          <w:rFonts w:ascii="Verdana" w:eastAsia="Arial" w:hAnsi="Verdana" w:cs="Arial"/>
          <w:lang w:val="es-ES"/>
        </w:rPr>
        <w:t>iii</w:t>
      </w:r>
      <w:proofErr w:type="spellEnd"/>
      <w:r w:rsidRPr="00A220B2">
        <w:rPr>
          <w:rFonts w:ascii="Verdana" w:eastAsia="Arial" w:hAnsi="Verdana" w:cs="Arial"/>
          <w:lang w:val="es-ES"/>
        </w:rPr>
        <w:t xml:space="preserve">) </w:t>
      </w:r>
      <w:r>
        <w:rPr>
          <w:rFonts w:ascii="Verdana" w:eastAsia="Arial" w:hAnsi="Verdana" w:cs="Arial"/>
          <w:lang w:val="es-ES"/>
        </w:rPr>
        <w:t xml:space="preserve">permiten </w:t>
      </w:r>
      <w:r w:rsidRPr="00A220B2">
        <w:rPr>
          <w:rFonts w:ascii="Verdana" w:eastAsia="Arial" w:hAnsi="Verdana" w:cs="Arial"/>
          <w:lang w:val="es-ES"/>
        </w:rPr>
        <w:t>obtener beneficios derivados del acceso a economías de escala, o en términos de calidad, oportunidad y eficiencia.</w:t>
      </w:r>
    </w:p>
    <w:p w14:paraId="7EC2B3CD" w14:textId="1B88D75D" w:rsidR="007D41E8" w:rsidRPr="00A220B2" w:rsidRDefault="007D41E8" w:rsidP="007D41E8">
      <w:pPr>
        <w:widowControl w:val="0"/>
        <w:autoSpaceDE w:val="0"/>
        <w:autoSpaceDN w:val="0"/>
        <w:spacing w:after="0" w:line="276" w:lineRule="auto"/>
        <w:ind w:firstLine="708"/>
        <w:jc w:val="both"/>
        <w:rPr>
          <w:rFonts w:ascii="Verdana" w:eastAsia="Arial" w:hAnsi="Verdana" w:cs="Arial"/>
          <w:lang w:val="es-ES"/>
        </w:rPr>
      </w:pPr>
      <w:r w:rsidRPr="00A220B2">
        <w:rPr>
          <w:rFonts w:ascii="Verdana" w:eastAsia="Arial" w:hAnsi="Verdana" w:cs="Arial"/>
          <w:lang w:val="es-ES"/>
        </w:rPr>
        <w:t xml:space="preserve">Por otra parte, tal como lo resalta en su consulta, en virtud de lo dispuesto en los artículos 72 y 74 de la Ley 1438 de 2011, el Ministerio de Salud y Protección Social emitió también la Resolución No. 000408 de 2018, modificada </w:t>
      </w:r>
      <w:r>
        <w:rPr>
          <w:rFonts w:ascii="Verdana" w:eastAsia="Arial" w:hAnsi="Verdana" w:cs="Arial"/>
          <w:lang w:val="es-ES"/>
        </w:rPr>
        <w:t xml:space="preserve">parcialmente </w:t>
      </w:r>
      <w:r w:rsidRPr="00A220B2">
        <w:rPr>
          <w:rFonts w:ascii="Verdana" w:eastAsia="Arial" w:hAnsi="Verdana" w:cs="Arial"/>
          <w:lang w:val="es-ES"/>
        </w:rPr>
        <w:t xml:space="preserve">mediante la Resolución 1097 de 2018, mediante la cual </w:t>
      </w:r>
      <w:r>
        <w:rPr>
          <w:rFonts w:ascii="Verdana" w:eastAsia="Arial" w:hAnsi="Verdana" w:cs="Arial"/>
          <w:lang w:val="es-ES"/>
        </w:rPr>
        <w:t xml:space="preserve">estableció los </w:t>
      </w:r>
      <w:r w:rsidRPr="00A220B2">
        <w:rPr>
          <w:rFonts w:ascii="Verdana" w:eastAsia="Arial" w:hAnsi="Verdana" w:cs="Arial"/>
          <w:lang w:val="es-ES"/>
        </w:rPr>
        <w:t xml:space="preserve">contenidos y metodología para la elaboración y presentación del plan de gestión que deben </w:t>
      </w:r>
      <w:r>
        <w:rPr>
          <w:rFonts w:ascii="Verdana" w:eastAsia="Arial" w:hAnsi="Verdana" w:cs="Arial"/>
          <w:lang w:val="es-ES"/>
        </w:rPr>
        <w:t xml:space="preserve">elaborar los </w:t>
      </w:r>
      <w:r w:rsidRPr="00A220B2">
        <w:rPr>
          <w:rFonts w:ascii="Verdana" w:eastAsia="Arial" w:hAnsi="Verdana" w:cs="Arial"/>
          <w:lang w:val="es-ES"/>
        </w:rPr>
        <w:t xml:space="preserve">gerentes o directores de las Empresas Sociales del Estado del orden territorial. El documento también incluye aspectos como los indicadores y estándares por áreas de gestión, el instructivo para la calificación, la matriz de calificación y la escala de resultados. Dentro de los indicadores, la </w:t>
      </w:r>
      <w:r>
        <w:rPr>
          <w:rFonts w:ascii="Verdana" w:eastAsia="Arial" w:hAnsi="Verdana" w:cs="Arial"/>
          <w:lang w:val="es-ES"/>
        </w:rPr>
        <w:t>M</w:t>
      </w:r>
      <w:r w:rsidRPr="00A220B2">
        <w:rPr>
          <w:rFonts w:ascii="Verdana" w:eastAsia="Arial" w:hAnsi="Verdana" w:cs="Arial"/>
          <w:lang w:val="es-ES"/>
        </w:rPr>
        <w:t>eta No. 6, del Anexo 2, reitera los aspectos dispuestos en el artículo 76 de la Ley 1438 de 2011,</w:t>
      </w:r>
      <w:r>
        <w:rPr>
          <w:rFonts w:ascii="Verdana" w:eastAsia="Arial" w:hAnsi="Verdana" w:cs="Arial"/>
          <w:lang w:val="es-ES"/>
        </w:rPr>
        <w:t xml:space="preserve"> así</w:t>
      </w:r>
      <w:r w:rsidRPr="00A220B2">
        <w:rPr>
          <w:rFonts w:ascii="Verdana" w:eastAsia="Arial" w:hAnsi="Verdana" w:cs="Arial"/>
          <w:lang w:val="es-ES"/>
        </w:rPr>
        <w:t>:</w:t>
      </w:r>
    </w:p>
    <w:p w14:paraId="0E78CB98" w14:textId="77777777" w:rsidR="007D41E8" w:rsidRPr="00A220B2" w:rsidRDefault="007D41E8" w:rsidP="007D41E8">
      <w:pPr>
        <w:widowControl w:val="0"/>
        <w:autoSpaceDE w:val="0"/>
        <w:autoSpaceDN w:val="0"/>
        <w:spacing w:after="0" w:line="240" w:lineRule="auto"/>
        <w:ind w:left="709" w:right="709"/>
        <w:jc w:val="both"/>
        <w:rPr>
          <w:rFonts w:ascii="Verdana" w:eastAsia="Arial" w:hAnsi="Verdana" w:cs="Arial"/>
          <w:sz w:val="20"/>
          <w:szCs w:val="20"/>
          <w:lang w:val="es-ES"/>
        </w:rPr>
      </w:pPr>
    </w:p>
    <w:p w14:paraId="4B272D1B" w14:textId="77777777" w:rsidR="007D41E8" w:rsidRPr="00A220B2" w:rsidRDefault="007D41E8" w:rsidP="007D41E8">
      <w:pPr>
        <w:widowControl w:val="0"/>
        <w:autoSpaceDE w:val="0"/>
        <w:autoSpaceDN w:val="0"/>
        <w:spacing w:after="120" w:line="240" w:lineRule="auto"/>
        <w:ind w:left="709" w:right="709"/>
        <w:jc w:val="both"/>
        <w:rPr>
          <w:rFonts w:ascii="Verdana" w:eastAsia="Arial" w:hAnsi="Verdana" w:cs="Arial"/>
          <w:sz w:val="20"/>
          <w:szCs w:val="20"/>
          <w:lang w:val="es-ES"/>
        </w:rPr>
      </w:pPr>
      <w:r w:rsidRPr="00A220B2">
        <w:rPr>
          <w:rFonts w:ascii="Verdana" w:eastAsia="Arial" w:hAnsi="Verdana" w:cs="Arial"/>
          <w:sz w:val="20"/>
          <w:szCs w:val="20"/>
          <w:lang w:val="es-ES"/>
        </w:rPr>
        <w:t xml:space="preserve">“Valor total adquisiciones de medicamentos material médico quirúrgico realizadas en la vigencia evaluada mediante uno o más de los siguientes mecanismos: (a) compras conjuntas (b) compras a través de cooperativas de ESE. (c) compras a través de mecanismos electrónicos / Valor total de adquisiciones de </w:t>
      </w:r>
      <w:proofErr w:type="gramStart"/>
      <w:r w:rsidRPr="00A220B2">
        <w:rPr>
          <w:rFonts w:ascii="Verdana" w:eastAsia="Arial" w:hAnsi="Verdana" w:cs="Arial"/>
          <w:sz w:val="20"/>
          <w:szCs w:val="20"/>
          <w:lang w:val="es-ES"/>
        </w:rPr>
        <w:t>la ESE medicamentos</w:t>
      </w:r>
      <w:proofErr w:type="gramEnd"/>
      <w:r w:rsidRPr="00A220B2">
        <w:rPr>
          <w:rFonts w:ascii="Verdana" w:eastAsia="Arial" w:hAnsi="Verdana" w:cs="Arial"/>
          <w:sz w:val="20"/>
          <w:szCs w:val="20"/>
          <w:lang w:val="es-ES"/>
        </w:rPr>
        <w:t xml:space="preserve"> material quirúrgico por médico en la vigencia evaluada” </w:t>
      </w:r>
    </w:p>
    <w:p w14:paraId="38FA4910" w14:textId="77777777" w:rsidR="007D41E8" w:rsidRPr="00A220B2" w:rsidRDefault="007D41E8" w:rsidP="007D41E8">
      <w:pPr>
        <w:widowControl w:val="0"/>
        <w:autoSpaceDE w:val="0"/>
        <w:autoSpaceDN w:val="0"/>
        <w:spacing w:after="120" w:line="276" w:lineRule="auto"/>
        <w:ind w:firstLine="708"/>
        <w:jc w:val="both"/>
        <w:rPr>
          <w:rFonts w:ascii="Verdana" w:eastAsia="Arial" w:hAnsi="Verdana" w:cs="Arial"/>
          <w:lang w:val="es-ES"/>
        </w:rPr>
      </w:pPr>
      <w:r w:rsidRPr="00A220B2">
        <w:rPr>
          <w:rFonts w:ascii="Verdana" w:eastAsia="Arial" w:hAnsi="Verdana" w:cs="Arial"/>
          <w:lang w:val="es-ES"/>
        </w:rPr>
        <w:t xml:space="preserve">Como se evidencia del texto de las Resoluciones 710 de 2012, 743 de 2013 y 408 de 2018, </w:t>
      </w:r>
      <w:r>
        <w:rPr>
          <w:rFonts w:ascii="Verdana" w:eastAsia="Arial" w:hAnsi="Verdana" w:cs="Arial"/>
          <w:lang w:val="es-ES"/>
        </w:rPr>
        <w:t>así como</w:t>
      </w:r>
      <w:r w:rsidRPr="00A220B2">
        <w:rPr>
          <w:rFonts w:ascii="Verdana" w:eastAsia="Arial" w:hAnsi="Verdana" w:cs="Arial"/>
          <w:lang w:val="es-ES"/>
        </w:rPr>
        <w:t xml:space="preserve"> los artículos 72 a 74 de la Ley 1438 de 2011</w:t>
      </w:r>
      <w:r>
        <w:rPr>
          <w:rFonts w:ascii="Verdana" w:eastAsia="Arial" w:hAnsi="Verdana" w:cs="Arial"/>
          <w:lang w:val="es-ES"/>
        </w:rPr>
        <w:t>,</w:t>
      </w:r>
      <w:r w:rsidRPr="00A220B2">
        <w:rPr>
          <w:rFonts w:ascii="Verdana" w:eastAsia="Arial" w:hAnsi="Verdana" w:cs="Arial"/>
          <w:lang w:val="es-ES"/>
        </w:rPr>
        <w:t xml:space="preserve"> </w:t>
      </w:r>
      <w:r>
        <w:rPr>
          <w:rFonts w:ascii="Verdana" w:eastAsia="Arial" w:hAnsi="Verdana" w:cs="Arial"/>
          <w:lang w:val="es-ES"/>
        </w:rPr>
        <w:t>e</w:t>
      </w:r>
      <w:r w:rsidRPr="00A220B2">
        <w:rPr>
          <w:rFonts w:ascii="Verdana" w:eastAsia="Arial" w:hAnsi="Verdana" w:cs="Arial"/>
          <w:lang w:val="es-ES"/>
        </w:rPr>
        <w:t xml:space="preserve">l texto objeto de consulta hace parte de un indicador dentro del plan de gestión, cuya aprobación y evaluación se encuentra a cargo de la </w:t>
      </w:r>
      <w:r w:rsidRPr="00EB29F9">
        <w:rPr>
          <w:rFonts w:ascii="Verdana" w:eastAsia="Arial" w:hAnsi="Verdana" w:cs="Arial"/>
          <w:lang w:val="es-ES"/>
        </w:rPr>
        <w:t>Junta Directiva de la E.S.E.</w:t>
      </w:r>
      <w:r w:rsidRPr="00A220B2">
        <w:rPr>
          <w:rFonts w:ascii="Verdana" w:eastAsia="Arial" w:hAnsi="Verdana" w:cs="Arial"/>
          <w:lang w:val="es-ES"/>
        </w:rPr>
        <w:t xml:space="preserve"> En este sentido, el </w:t>
      </w:r>
      <w:proofErr w:type="gramStart"/>
      <w:r w:rsidRPr="00A220B2">
        <w:rPr>
          <w:rFonts w:ascii="Verdana" w:eastAsia="Arial" w:hAnsi="Verdana" w:cs="Arial"/>
          <w:lang w:val="es-ES"/>
        </w:rPr>
        <w:t>Director</w:t>
      </w:r>
      <w:proofErr w:type="gramEnd"/>
      <w:r w:rsidRPr="00A220B2">
        <w:rPr>
          <w:rFonts w:ascii="Verdana" w:eastAsia="Arial" w:hAnsi="Verdana" w:cs="Arial"/>
          <w:lang w:val="es-ES"/>
        </w:rPr>
        <w:t xml:space="preserve"> o Gerente de la Empresa Social del Estado del orden territorial deberá presentar a la Junta Directiva un informe anual sobre el cumplimiento del plan de gestión, a más tardar el 1</w:t>
      </w:r>
      <w:r w:rsidRPr="00EB29F9">
        <w:rPr>
          <w:rFonts w:ascii="Verdana" w:eastAsia="Arial" w:hAnsi="Verdana" w:cs="Arial"/>
          <w:lang w:val="es-ES"/>
        </w:rPr>
        <w:t>° </w:t>
      </w:r>
      <w:r w:rsidRPr="00A220B2">
        <w:rPr>
          <w:rFonts w:ascii="Verdana" w:eastAsia="Arial" w:hAnsi="Verdana" w:cs="Arial"/>
          <w:lang w:val="es-ES"/>
        </w:rPr>
        <w:t xml:space="preserve">de abril de cada año con corte al 31 de diciembre del año inmediatamente anterior. Los contenidos del informe y de la metodología corresponden a los definidos por el Ministerio </w:t>
      </w:r>
      <w:proofErr w:type="gramStart"/>
      <w:r w:rsidRPr="00A220B2">
        <w:rPr>
          <w:rFonts w:ascii="Verdana" w:eastAsia="Arial" w:hAnsi="Verdana" w:cs="Arial"/>
          <w:lang w:val="es-ES"/>
        </w:rPr>
        <w:t xml:space="preserve">de </w:t>
      </w:r>
      <w:r>
        <w:rPr>
          <w:rFonts w:ascii="Verdana" w:eastAsia="Arial" w:hAnsi="Verdana" w:cs="Arial"/>
          <w:lang w:val="es-ES"/>
        </w:rPr>
        <w:t xml:space="preserve"> Salud</w:t>
      </w:r>
      <w:proofErr w:type="gramEnd"/>
      <w:r>
        <w:rPr>
          <w:rFonts w:ascii="Verdana" w:eastAsia="Arial" w:hAnsi="Verdana" w:cs="Arial"/>
          <w:lang w:val="es-ES"/>
        </w:rPr>
        <w:t xml:space="preserve"> y </w:t>
      </w:r>
      <w:r w:rsidRPr="00A220B2">
        <w:rPr>
          <w:rFonts w:ascii="Verdana" w:eastAsia="Arial" w:hAnsi="Verdana" w:cs="Arial"/>
          <w:lang w:val="es-ES"/>
        </w:rPr>
        <w:t>Protección Social.</w:t>
      </w:r>
      <w:r w:rsidRPr="00EB29F9">
        <w:rPr>
          <w:rFonts w:ascii="Verdana" w:eastAsia="Arial" w:hAnsi="Verdana" w:cs="Arial"/>
          <w:lang w:val="es-ES"/>
        </w:rPr>
        <w:t xml:space="preserve"> Por su parte, l</w:t>
      </w:r>
      <w:r w:rsidRPr="00A220B2">
        <w:rPr>
          <w:rFonts w:ascii="Verdana" w:eastAsia="Arial" w:hAnsi="Verdana" w:cs="Arial"/>
          <w:lang w:val="es-ES"/>
        </w:rPr>
        <w:t xml:space="preserve">a Junta Directiva deberá evaluar el cumplimiento del plan de gestión del </w:t>
      </w:r>
      <w:proofErr w:type="gramStart"/>
      <w:r w:rsidRPr="00A220B2">
        <w:rPr>
          <w:rFonts w:ascii="Verdana" w:eastAsia="Arial" w:hAnsi="Verdana" w:cs="Arial"/>
          <w:lang w:val="es-ES"/>
        </w:rPr>
        <w:t>Director</w:t>
      </w:r>
      <w:proofErr w:type="gramEnd"/>
      <w:r w:rsidRPr="00A220B2">
        <w:rPr>
          <w:rFonts w:ascii="Verdana" w:eastAsia="Arial" w:hAnsi="Verdana" w:cs="Arial"/>
          <w:lang w:val="es-ES"/>
        </w:rPr>
        <w:t xml:space="preserve"> o Gerente, dentro de los quince (15) días hábiles siguientes a la presentación del informe de gestión.</w:t>
      </w:r>
    </w:p>
    <w:p w14:paraId="74D1C5FF" w14:textId="77777777" w:rsidR="007D41E8" w:rsidRPr="00A220B2" w:rsidRDefault="007D41E8" w:rsidP="007D41E8">
      <w:pPr>
        <w:widowControl w:val="0"/>
        <w:autoSpaceDE w:val="0"/>
        <w:autoSpaceDN w:val="0"/>
        <w:spacing w:after="120" w:line="276" w:lineRule="auto"/>
        <w:ind w:firstLine="708"/>
        <w:jc w:val="both"/>
        <w:rPr>
          <w:rFonts w:ascii="Verdana" w:eastAsia="Arial" w:hAnsi="Verdana" w:cs="Arial"/>
          <w:lang w:val="es-ES"/>
        </w:rPr>
      </w:pPr>
      <w:r w:rsidRPr="00A220B2">
        <w:rPr>
          <w:rFonts w:ascii="Verdana" w:eastAsia="Arial" w:hAnsi="Verdana" w:cs="Arial"/>
          <w:lang w:val="es-ES"/>
        </w:rPr>
        <w:lastRenderedPageBreak/>
        <w:t>En consecuencia, corresponde al Ministerio de Salud pronunciarse sobre la metodología y el alcance de los requisitos e indicadores establecidos en el Anexo 2 de la Resolución No. 000408 de 2018</w:t>
      </w:r>
      <w:r>
        <w:rPr>
          <w:rFonts w:ascii="Verdana" w:eastAsia="Arial" w:hAnsi="Verdana" w:cs="Arial"/>
          <w:lang w:val="es-ES"/>
        </w:rPr>
        <w:t>,</w:t>
      </w:r>
      <w:r w:rsidRPr="00A220B2">
        <w:rPr>
          <w:rFonts w:ascii="Verdana" w:eastAsia="Arial" w:hAnsi="Verdana" w:cs="Arial"/>
          <w:lang w:val="es-ES"/>
        </w:rPr>
        <w:t xml:space="preserve"> y a la Junta Directiva determinar si la E</w:t>
      </w:r>
      <w:r>
        <w:rPr>
          <w:rFonts w:ascii="Verdana" w:eastAsia="Arial" w:hAnsi="Verdana" w:cs="Arial"/>
          <w:lang w:val="es-ES"/>
        </w:rPr>
        <w:t>.</w:t>
      </w:r>
      <w:r w:rsidRPr="00A220B2">
        <w:rPr>
          <w:rFonts w:ascii="Verdana" w:eastAsia="Arial" w:hAnsi="Verdana" w:cs="Arial"/>
          <w:lang w:val="es-ES"/>
        </w:rPr>
        <w:t>S</w:t>
      </w:r>
      <w:r>
        <w:rPr>
          <w:rFonts w:ascii="Verdana" w:eastAsia="Arial" w:hAnsi="Verdana" w:cs="Arial"/>
          <w:lang w:val="es-ES"/>
        </w:rPr>
        <w:t>.</w:t>
      </w:r>
      <w:r w:rsidRPr="00A220B2">
        <w:rPr>
          <w:rFonts w:ascii="Verdana" w:eastAsia="Arial" w:hAnsi="Verdana" w:cs="Arial"/>
          <w:lang w:val="es-ES"/>
        </w:rPr>
        <w:t>E</w:t>
      </w:r>
      <w:r>
        <w:rPr>
          <w:rFonts w:ascii="Verdana" w:eastAsia="Arial" w:hAnsi="Verdana" w:cs="Arial"/>
          <w:lang w:val="es-ES"/>
        </w:rPr>
        <w:t>.</w:t>
      </w:r>
      <w:r w:rsidRPr="00A220B2">
        <w:rPr>
          <w:rFonts w:ascii="Verdana" w:eastAsia="Arial" w:hAnsi="Verdana" w:cs="Arial"/>
          <w:lang w:val="es-ES"/>
        </w:rPr>
        <w:t xml:space="preserve"> ha cumplido con el plan de </w:t>
      </w:r>
      <w:r>
        <w:rPr>
          <w:rFonts w:ascii="Verdana" w:eastAsia="Arial" w:hAnsi="Verdana" w:cs="Arial"/>
          <w:lang w:val="es-ES"/>
        </w:rPr>
        <w:t>g</w:t>
      </w:r>
      <w:r w:rsidRPr="00A220B2">
        <w:rPr>
          <w:rFonts w:ascii="Verdana" w:eastAsia="Arial" w:hAnsi="Verdana" w:cs="Arial"/>
          <w:lang w:val="es-ES"/>
        </w:rPr>
        <w:t xml:space="preserve">estión presentado, incluyendo el indicador sobre la proporción de medicamentos y material médico-quirúrgico adquiridos mediante compras conjuntas, compras a través de cooperativas de Empresas Sociales del Estado, o </w:t>
      </w:r>
      <w:r>
        <w:rPr>
          <w:rFonts w:ascii="Verdana" w:eastAsia="Arial" w:hAnsi="Verdana" w:cs="Arial"/>
          <w:lang w:val="es-ES"/>
        </w:rPr>
        <w:t>“</w:t>
      </w:r>
      <w:r w:rsidRPr="00A220B2">
        <w:rPr>
          <w:rFonts w:ascii="Verdana" w:eastAsia="Arial" w:hAnsi="Verdana" w:cs="Arial"/>
          <w:lang w:val="es-ES"/>
        </w:rPr>
        <w:t>compras a través de mecanismos electrónicos</w:t>
      </w:r>
      <w:r>
        <w:rPr>
          <w:rFonts w:ascii="Verdana" w:eastAsia="Arial" w:hAnsi="Verdana" w:cs="Arial"/>
          <w:lang w:val="es-ES"/>
        </w:rPr>
        <w:t>”</w:t>
      </w:r>
      <w:r w:rsidRPr="00A220B2">
        <w:rPr>
          <w:rFonts w:ascii="Verdana" w:eastAsia="Arial" w:hAnsi="Verdana" w:cs="Arial"/>
          <w:lang w:val="es-ES"/>
        </w:rPr>
        <w:t xml:space="preserve">. De esta forma, excede la competencia de la Agencia Nacional de Contracción Pública referirse al alcance de este último mecanismo en el marco de dicha evaluación o en la aplicación del indicador de la Meta 6 del Anexo 2, con respecto a los cuales deberá consultarse a las entidades competentes para ello. </w:t>
      </w:r>
    </w:p>
    <w:p w14:paraId="2EA5CA03" w14:textId="77777777" w:rsidR="007D41E8" w:rsidRPr="00A220B2" w:rsidRDefault="007D41E8" w:rsidP="007D41E8">
      <w:pPr>
        <w:spacing w:before="120" w:after="120" w:line="276" w:lineRule="auto"/>
        <w:jc w:val="both"/>
        <w:rPr>
          <w:rFonts w:ascii="Verdana" w:eastAsia="Times New Roman" w:hAnsi="Verdana" w:cs="Arial"/>
          <w:lang w:val="es-ES" w:eastAsia="es-ES_tradnl"/>
          <w14:ligatures w14:val="standardContextual"/>
        </w:rPr>
      </w:pPr>
      <w:proofErr w:type="spellStart"/>
      <w:r>
        <w:rPr>
          <w:rFonts w:ascii="Verdana" w:eastAsia="Arial" w:hAnsi="Verdana" w:cs="Arial"/>
          <w:lang w:val="es-ES"/>
        </w:rPr>
        <w:t>iii</w:t>
      </w:r>
      <w:proofErr w:type="spellEnd"/>
      <w:r>
        <w:rPr>
          <w:rFonts w:ascii="Verdana" w:eastAsia="Arial" w:hAnsi="Verdana" w:cs="Arial"/>
          <w:lang w:val="es-ES"/>
        </w:rPr>
        <w:t xml:space="preserve">. </w:t>
      </w:r>
      <w:r w:rsidRPr="00A220B2">
        <w:rPr>
          <w:rFonts w:ascii="Verdana" w:eastAsia="Arial" w:hAnsi="Verdana" w:cs="Arial"/>
          <w:lang w:val="es-ES"/>
        </w:rPr>
        <w:t>Sin perjuicio de lo anterior, en cuanto a la aplicación de las normas del sistema de compras y contratación pública, es preciso resaltar que</w:t>
      </w:r>
      <w:r>
        <w:rPr>
          <w:rFonts w:ascii="Verdana" w:eastAsia="Arial" w:hAnsi="Verdana" w:cs="Arial"/>
          <w:lang w:val="es-ES"/>
        </w:rPr>
        <w:t xml:space="preserve"> </w:t>
      </w:r>
      <w:r w:rsidRPr="00A220B2">
        <w:rPr>
          <w:rFonts w:ascii="Verdana" w:eastAsia="Times New Roman" w:hAnsi="Verdana" w:cs="Arial"/>
          <w:lang w:val="es-ES" w:eastAsia="es-ES_tradnl"/>
          <w14:ligatures w14:val="standardContextual"/>
        </w:rPr>
        <w:t>el literal c) del artículo 3 de la Ley 1150 de 2007 establece el Sistema Electrónico para la Contratación Pública, en adelante SECOP, como un mecanismo que “contará con la información oficial de la contratación realizada con dineros públicos, para lo cual establecerá los patrones a que haya lugar y se encargará de su difusión a través de canales electrónicos”</w:t>
      </w:r>
      <w:r w:rsidRPr="00A220B2">
        <w:rPr>
          <w:rFonts w:ascii="Verdana" w:eastAsia="Times New Roman" w:hAnsi="Verdana" w:cs="Arial"/>
          <w:vertAlign w:val="superscript"/>
          <w:lang w:val="es-ES" w:eastAsia="es-ES_tradnl"/>
          <w14:ligatures w14:val="standardContextual"/>
        </w:rPr>
        <w:footnoteReference w:id="11"/>
      </w:r>
      <w:r w:rsidRPr="00A220B2">
        <w:rPr>
          <w:rFonts w:ascii="Verdana" w:eastAsia="Times New Roman" w:hAnsi="Verdana" w:cs="Arial"/>
          <w:lang w:val="es-ES" w:eastAsia="es-ES_tradnl"/>
          <w14:ligatures w14:val="standardContextual"/>
        </w:rPr>
        <w:t>.</w:t>
      </w:r>
    </w:p>
    <w:p w14:paraId="2943B107" w14:textId="77777777" w:rsidR="007D41E8" w:rsidRPr="00A220B2" w:rsidRDefault="007D41E8" w:rsidP="007D41E8">
      <w:pPr>
        <w:spacing w:before="120" w:after="120" w:line="276" w:lineRule="auto"/>
        <w:ind w:firstLine="709"/>
        <w:jc w:val="both"/>
        <w:rPr>
          <w:rFonts w:ascii="Verdana" w:eastAsia="Times New Roman" w:hAnsi="Verdana" w:cs="Arial"/>
          <w:lang w:val="es-ES" w:eastAsia="es-ES"/>
          <w14:ligatures w14:val="standardContextual"/>
        </w:rPr>
      </w:pPr>
      <w:r w:rsidRPr="00A220B2">
        <w:rPr>
          <w:rFonts w:ascii="Verdana" w:eastAsia="Times New Roman" w:hAnsi="Verdana" w:cs="Arial"/>
          <w:lang w:val="es-ES" w:eastAsia="es-ES"/>
          <w14:ligatures w14:val="standardContextual"/>
        </w:rPr>
        <w:t xml:space="preserve">De otra parte, la Ley 1712 de 2014 –Ley estatutaria que regula la transparencia y el derecho de acceso a la información y a los documentos públicos–, identifica como principios que orientan el derecho de acceso a la información pública, el de máxima publicidad, transparencia en la información y buena fe. El principio de máxima publicidad establece que “toda información en posesión, bajo control o custodia de un sujeto obligado es pública y no podrá ser </w:t>
      </w:r>
      <w:r w:rsidRPr="00A220B2">
        <w:rPr>
          <w:rFonts w:ascii="Verdana" w:eastAsia="Times New Roman" w:hAnsi="Verdana" w:cs="Arial"/>
          <w:lang w:val="es-ES" w:eastAsia="es-ES"/>
          <w14:ligatures w14:val="standardContextual"/>
        </w:rPr>
        <w:lastRenderedPageBreak/>
        <w:t>reservada o limitada sino por disposición constitucional o legal”</w:t>
      </w:r>
      <w:r w:rsidRPr="00A220B2">
        <w:rPr>
          <w:rFonts w:ascii="Verdana" w:eastAsia="Times New Roman" w:hAnsi="Verdana" w:cs="Arial"/>
          <w:vertAlign w:val="superscript"/>
          <w:lang w:val="es-ES" w:eastAsia="es-ES"/>
          <w14:ligatures w14:val="standardContextual"/>
        </w:rPr>
        <w:footnoteReference w:id="12"/>
      </w:r>
      <w:r w:rsidRPr="00A220B2">
        <w:rPr>
          <w:rFonts w:ascii="Verdana" w:eastAsia="Times New Roman" w:hAnsi="Verdana" w:cs="Arial"/>
          <w:lang w:val="es-ES" w:eastAsia="es-ES"/>
          <w14:ligatures w14:val="standardContextual"/>
        </w:rPr>
        <w:t>. El principio de transparencia en la información alude al deber de los sujetos de proporcionar y facilitar el acceso a la misma en los términos más amplios posibles, y a través de los medios y procedimientos legales.</w:t>
      </w:r>
    </w:p>
    <w:p w14:paraId="24EB2E83" w14:textId="77777777" w:rsidR="007D41E8" w:rsidRPr="00A220B2" w:rsidRDefault="007D41E8" w:rsidP="007D41E8">
      <w:pPr>
        <w:spacing w:before="120" w:after="120" w:line="276" w:lineRule="auto"/>
        <w:ind w:firstLine="709"/>
        <w:jc w:val="both"/>
        <w:rPr>
          <w:rFonts w:ascii="Verdana" w:eastAsia="Times New Roman" w:hAnsi="Verdana" w:cs="Arial"/>
          <w:lang w:val="es-ES" w:eastAsia="es-ES_tradnl"/>
          <w14:ligatures w14:val="standardContextual"/>
        </w:rPr>
      </w:pPr>
      <w:r w:rsidRPr="00A220B2">
        <w:rPr>
          <w:rFonts w:ascii="Verdana" w:eastAsia="Times New Roman" w:hAnsi="Verdana" w:cs="Arial"/>
          <w:lang w:val="es-ES" w:eastAsia="es-ES_tradnl"/>
          <w14:ligatures w14:val="standardContextual"/>
        </w:rPr>
        <w:t xml:space="preserve"> La Ley Estatutaria citada establece, en el literal e) del artículo 9, que los sujetos obligados, que son todas las entidades públicas</w:t>
      </w:r>
      <w:r w:rsidRPr="00A220B2">
        <w:rPr>
          <w:rFonts w:ascii="Verdana" w:eastAsia="Times New Roman" w:hAnsi="Verdana" w:cs="Arial"/>
          <w:vertAlign w:val="superscript"/>
          <w:lang w:val="es-ES" w:eastAsia="es-ES_tradnl"/>
          <w14:ligatures w14:val="standardContextual"/>
        </w:rPr>
        <w:footnoteReference w:id="13"/>
      </w:r>
      <w:r w:rsidRPr="00A220B2">
        <w:rPr>
          <w:rFonts w:ascii="Verdana" w:eastAsia="Times New Roman" w:hAnsi="Verdana" w:cs="Arial"/>
          <w:lang w:val="es-ES" w:eastAsia="es-ES_tradnl"/>
          <w14:ligatures w14:val="standardContextual"/>
        </w:rPr>
        <w:t>, deben publicar la información relativa a su contratación. Esta obligación fue desarrollada por el Decreto Único Reglamentario 1081 de 2015</w:t>
      </w:r>
      <w:r w:rsidRPr="00A220B2">
        <w:rPr>
          <w:rFonts w:ascii="Verdana" w:eastAsia="Times New Roman" w:hAnsi="Verdana" w:cs="Arial"/>
          <w:vertAlign w:val="superscript"/>
          <w:lang w:val="es-ES" w:eastAsia="es-ES_tradnl"/>
          <w14:ligatures w14:val="standardContextual"/>
        </w:rPr>
        <w:footnoteReference w:id="14"/>
      </w:r>
      <w:r w:rsidRPr="00A220B2">
        <w:rPr>
          <w:rFonts w:ascii="Verdana" w:eastAsia="Times New Roman" w:hAnsi="Verdana" w:cs="Arial"/>
          <w:lang w:val="es-ES" w:eastAsia="es-ES_tradnl"/>
          <w14:ligatures w14:val="standardContextual"/>
        </w:rPr>
        <w:t>, el cual dispuso que la publicación de la información contractual de los sujetos obligados, que contratan con cargo a recursos públicos, debe hacerse en el SECOP.</w:t>
      </w:r>
    </w:p>
    <w:p w14:paraId="6D6430AD" w14:textId="77777777" w:rsidR="007D41E8" w:rsidRPr="00A220B2" w:rsidRDefault="007D41E8" w:rsidP="007D41E8">
      <w:pPr>
        <w:spacing w:before="120" w:after="120" w:line="276" w:lineRule="auto"/>
        <w:ind w:firstLine="709"/>
        <w:jc w:val="both"/>
        <w:rPr>
          <w:rFonts w:ascii="Verdana" w:eastAsia="Times New Roman" w:hAnsi="Verdana" w:cs="Arial"/>
          <w:lang w:val="es-ES" w:eastAsia="es-ES_tradnl"/>
          <w14:ligatures w14:val="standardContextual"/>
        </w:rPr>
      </w:pPr>
      <w:r w:rsidRPr="00A220B2">
        <w:rPr>
          <w:rFonts w:ascii="Verdana" w:eastAsia="Times New Roman" w:hAnsi="Verdana" w:cs="Arial"/>
          <w:lang w:val="es-ES" w:eastAsia="es-ES_tradnl"/>
          <w14:ligatures w14:val="standardContextual"/>
        </w:rPr>
        <w:t xml:space="preserve">Asimismo, de acuerdo con el literal g) del artículo 11 de la Ley 1712 de 2014, todos los destinatarios de la Ley Estatutaria de Transparencia y Acceso a la Información Pública deben garantizar la publicidad de “sus procedimientos, lineamientos, políticas en materia de adquisiciones y compras, así como todos los datos de adjudicación y ejecución de contratos, incluidos concursos y licitaciones”, y esta información también debe estar en el SECOP. </w:t>
      </w:r>
    </w:p>
    <w:p w14:paraId="37AC5BED" w14:textId="2BD1E3B1" w:rsidR="007D41E8" w:rsidRPr="00A220B2" w:rsidRDefault="007D41E8" w:rsidP="007D41E8">
      <w:pPr>
        <w:tabs>
          <w:tab w:val="left" w:pos="709"/>
        </w:tabs>
        <w:spacing w:before="120" w:after="120" w:line="276" w:lineRule="auto"/>
        <w:ind w:firstLine="709"/>
        <w:jc w:val="both"/>
        <w:rPr>
          <w:rFonts w:ascii="Verdana" w:hAnsi="Verdana" w:cs="Arial"/>
          <w:shd w:val="clear" w:color="auto" w:fill="FFFFFF"/>
          <w:lang w:val="es-ES"/>
        </w:rPr>
      </w:pPr>
      <w:r w:rsidRPr="00A220B2">
        <w:rPr>
          <w:rFonts w:ascii="Verdana" w:hAnsi="Verdana" w:cs="Arial"/>
          <w:shd w:val="clear" w:color="auto" w:fill="FFFFFF"/>
          <w:lang w:val="es-ES"/>
        </w:rPr>
        <w:t>Con el propósito de garantizar el cumplimiento del mencionado deber de publicidad, se le asignó a la Agencia Nacional de Contratación Pública - Colombia Compra Eficiente, la función de administrar el SECOP</w:t>
      </w:r>
      <w:r w:rsidRPr="00A220B2">
        <w:rPr>
          <w:rFonts w:ascii="Verdana" w:hAnsi="Verdana" w:cs="Arial"/>
          <w:shd w:val="clear" w:color="auto" w:fill="FFFFFF"/>
          <w:vertAlign w:val="superscript"/>
          <w:lang w:val="es-ES"/>
        </w:rPr>
        <w:footnoteReference w:id="15"/>
      </w:r>
      <w:r w:rsidRPr="00A220B2">
        <w:rPr>
          <w:rFonts w:ascii="Verdana" w:hAnsi="Verdana" w:cs="Arial"/>
          <w:shd w:val="clear" w:color="auto" w:fill="FFFFFF"/>
          <w:lang w:val="es-ES"/>
        </w:rPr>
        <w:t xml:space="preserve">. Dicha plataforma </w:t>
      </w:r>
      <w:r w:rsidR="00D262E6">
        <w:rPr>
          <w:rFonts w:ascii="Verdana" w:hAnsi="Verdana" w:cs="Arial"/>
          <w:shd w:val="clear" w:color="auto" w:fill="FFFFFF"/>
          <w:lang w:val="es-ES"/>
        </w:rPr>
        <w:t xml:space="preserve">tiene </w:t>
      </w:r>
      <w:r w:rsidR="00D262E6">
        <w:rPr>
          <w:rFonts w:ascii="Verdana" w:hAnsi="Verdana" w:cs="Arial"/>
          <w:shd w:val="clear" w:color="auto" w:fill="FFFFFF"/>
          <w:lang w:val="es-ES"/>
        </w:rPr>
        <w:lastRenderedPageBreak/>
        <w:t xml:space="preserve">tres componentes </w:t>
      </w:r>
      <w:r w:rsidRPr="00A220B2">
        <w:rPr>
          <w:rFonts w:ascii="Verdana" w:hAnsi="Verdana" w:cs="Arial"/>
          <w:shd w:val="clear" w:color="auto" w:fill="FFFFFF"/>
          <w:lang w:val="es-ES"/>
        </w:rPr>
        <w:t>el SECOP I</w:t>
      </w:r>
      <w:r w:rsidR="00D262E6">
        <w:rPr>
          <w:rFonts w:ascii="Verdana" w:hAnsi="Verdana" w:cs="Arial"/>
          <w:shd w:val="clear" w:color="auto" w:fill="FFFFFF"/>
          <w:lang w:val="es-ES"/>
        </w:rPr>
        <w:t xml:space="preserve">, </w:t>
      </w:r>
      <w:r w:rsidRPr="00A220B2">
        <w:rPr>
          <w:rFonts w:ascii="Verdana" w:hAnsi="Verdana" w:cs="Arial"/>
          <w:shd w:val="clear" w:color="auto" w:fill="FFFFFF"/>
          <w:lang w:val="es-ES"/>
        </w:rPr>
        <w:t>el SECOP II</w:t>
      </w:r>
      <w:r w:rsidR="00D262E6">
        <w:rPr>
          <w:rFonts w:ascii="Verdana" w:hAnsi="Verdana" w:cs="Arial"/>
          <w:shd w:val="clear" w:color="auto" w:fill="FFFFFF"/>
          <w:lang w:val="es-ES"/>
        </w:rPr>
        <w:t xml:space="preserve"> y la</w:t>
      </w:r>
      <w:r w:rsidR="00464BE4" w:rsidRPr="00464BE4">
        <w:rPr>
          <w:rFonts w:ascii="Verdana" w:hAnsi="Verdana" w:cs="Arial"/>
          <w:shd w:val="clear" w:color="auto" w:fill="FFFFFF"/>
          <w:lang w:val="es-ES"/>
        </w:rPr>
        <w:t xml:space="preserve"> </w:t>
      </w:r>
      <w:r w:rsidR="00464BE4" w:rsidRPr="00A220B2">
        <w:rPr>
          <w:rFonts w:ascii="Verdana" w:hAnsi="Verdana" w:cs="Arial"/>
          <w:shd w:val="clear" w:color="auto" w:fill="FFFFFF"/>
          <w:lang w:val="es-ES"/>
        </w:rPr>
        <w:t>Tienda Virtual del Estado Colombiano (TVEC)</w:t>
      </w:r>
      <w:r w:rsidRPr="00A220B2">
        <w:rPr>
          <w:rFonts w:ascii="Verdana" w:hAnsi="Verdana" w:cs="Arial"/>
          <w:shd w:val="clear" w:color="auto" w:fill="FFFFFF"/>
          <w:lang w:val="es-ES"/>
        </w:rPr>
        <w:t xml:space="preserve">. </w:t>
      </w:r>
      <w:r w:rsidR="00464BE4">
        <w:rPr>
          <w:rFonts w:ascii="Verdana" w:hAnsi="Verdana" w:cs="Arial"/>
          <w:shd w:val="clear" w:color="auto" w:fill="FFFFFF"/>
          <w:lang w:val="es-ES"/>
        </w:rPr>
        <w:t xml:space="preserve">El primero </w:t>
      </w:r>
      <w:r w:rsidRPr="00A220B2">
        <w:rPr>
          <w:rFonts w:ascii="Verdana" w:hAnsi="Verdana" w:cs="Arial"/>
          <w:shd w:val="clear" w:color="auto" w:fill="FFFFFF"/>
          <w:lang w:val="es-ES"/>
        </w:rPr>
        <w:t>–SECOP I–, sólo funciona como medio de publicidad, es decir, no es transaccional, lo que significa que el procedimiento contractual ocurre fuera de la plataforma y a través de un expediente físico en la entidad, pero las actuaciones y los documentos se convierten en electrónicos para ser cargados a la plataforma, por quien tenga la función dentro de la entidad, de acuerdo con su organización interna.</w:t>
      </w:r>
    </w:p>
    <w:p w14:paraId="6A4F6F55" w14:textId="77777777" w:rsidR="007D41E8" w:rsidRPr="00A220B2" w:rsidRDefault="007D41E8" w:rsidP="007D41E8">
      <w:pPr>
        <w:tabs>
          <w:tab w:val="left" w:pos="709"/>
        </w:tabs>
        <w:spacing w:before="120" w:after="120" w:line="276" w:lineRule="auto"/>
        <w:ind w:firstLine="709"/>
        <w:jc w:val="both"/>
        <w:rPr>
          <w:rFonts w:ascii="Verdana" w:hAnsi="Verdana" w:cs="Arial"/>
          <w:shd w:val="clear" w:color="auto" w:fill="FFFFFF"/>
          <w:lang w:val="es-ES"/>
        </w:rPr>
      </w:pPr>
      <w:r w:rsidRPr="00A220B2">
        <w:rPr>
          <w:rFonts w:ascii="Verdana" w:hAnsi="Verdana" w:cs="Arial"/>
          <w:shd w:val="clear" w:color="auto" w:fill="FFFFFF"/>
          <w:lang w:val="es-ES"/>
        </w:rPr>
        <w:t>En cambio, el SECOP II, es una plataforma transaccional que permite gestionar en línea los procedimientos de contratación, con cuentas y usuarios asociados a estas, para las entidades y los proveedores, y vista pública para cualquier interesado en hacer seguimiento a la contratación pública. Desde sus cuentas, las entidades crean, evalúan y adjudican procedimientos de contratación, y gestionan la fase de ejecución del contrato. Los proveedores pueden hacer comentarios a los documentos del procedimiento, presentar ofertas y seguir el procedimiento de selección en línea.</w:t>
      </w:r>
    </w:p>
    <w:p w14:paraId="046F00BA" w14:textId="7B111522" w:rsidR="007D41E8" w:rsidRPr="00A220B2" w:rsidRDefault="007D41E8" w:rsidP="007D41E8">
      <w:pPr>
        <w:tabs>
          <w:tab w:val="left" w:pos="709"/>
        </w:tabs>
        <w:spacing w:before="120" w:after="120" w:line="276" w:lineRule="auto"/>
        <w:ind w:firstLine="709"/>
        <w:jc w:val="both"/>
        <w:rPr>
          <w:rFonts w:ascii="Verdana" w:hAnsi="Verdana" w:cs="Arial"/>
          <w:shd w:val="clear" w:color="auto" w:fill="FFFFFF"/>
          <w:lang w:val="es-ES"/>
        </w:rPr>
      </w:pPr>
      <w:r w:rsidRPr="00A220B2">
        <w:rPr>
          <w:rFonts w:ascii="Verdana" w:hAnsi="Verdana" w:cs="Arial"/>
          <w:shd w:val="clear" w:color="auto" w:fill="FFFFFF"/>
          <w:lang w:val="es-ES"/>
        </w:rPr>
        <w:t>Por su parte, la TVEC es la Plataforma transaccional de comercio electrónico que hace parte del SECOP, a través de la cual las Entidades Compradoras hacen las transacciones de los Procesos de Contratación, para adquirir: (i) bienes y servicios a través de los Acuerdos Marco de Precios; (</w:t>
      </w:r>
      <w:proofErr w:type="spellStart"/>
      <w:r w:rsidRPr="00A220B2">
        <w:rPr>
          <w:rFonts w:ascii="Verdana" w:hAnsi="Verdana" w:cs="Arial"/>
          <w:shd w:val="clear" w:color="auto" w:fill="FFFFFF"/>
          <w:lang w:val="es-ES"/>
        </w:rPr>
        <w:t>ii</w:t>
      </w:r>
      <w:proofErr w:type="spellEnd"/>
      <w:r w:rsidRPr="00A220B2">
        <w:rPr>
          <w:rFonts w:ascii="Verdana" w:hAnsi="Verdana" w:cs="Arial"/>
          <w:shd w:val="clear" w:color="auto" w:fill="FFFFFF"/>
          <w:lang w:val="es-ES"/>
        </w:rPr>
        <w:t>) bienes y servicios al amparo de Contratos de Agregación de Demanda; y (</w:t>
      </w:r>
      <w:proofErr w:type="spellStart"/>
      <w:r w:rsidRPr="00A220B2">
        <w:rPr>
          <w:rFonts w:ascii="Verdana" w:hAnsi="Verdana" w:cs="Arial"/>
          <w:shd w:val="clear" w:color="auto" w:fill="FFFFFF"/>
          <w:lang w:val="es-ES"/>
        </w:rPr>
        <w:t>iii</w:t>
      </w:r>
      <w:proofErr w:type="spellEnd"/>
      <w:r w:rsidRPr="00A220B2">
        <w:rPr>
          <w:rFonts w:ascii="Verdana" w:hAnsi="Verdana" w:cs="Arial"/>
          <w:shd w:val="clear" w:color="auto" w:fill="FFFFFF"/>
          <w:lang w:val="es-ES"/>
        </w:rPr>
        <w:t>) bienes en la modalidad de Mínima Cuantía en Grandes Superficies. Las Entidades Compradoras con régimen especial de contratación podrán realizar compras en los catálogos de la Tienda Virtual del Estado Colombiano, de acuerdo con lo que establezca su Manual de Contratación.</w:t>
      </w:r>
    </w:p>
    <w:p w14:paraId="317B81D0" w14:textId="2645CE4C" w:rsidR="007D41E8" w:rsidRPr="00A220B2" w:rsidRDefault="007D41E8" w:rsidP="007D41E8">
      <w:pPr>
        <w:spacing w:after="120" w:line="276" w:lineRule="auto"/>
        <w:ind w:firstLine="709"/>
        <w:jc w:val="both"/>
        <w:rPr>
          <w:rFonts w:ascii="Verdana" w:hAnsi="Verdana" w:cs="Arial"/>
          <w:bCs/>
          <w:iCs/>
          <w:lang w:val="es-ES"/>
        </w:rPr>
      </w:pPr>
      <w:r w:rsidRPr="00A220B2">
        <w:rPr>
          <w:rFonts w:ascii="Verdana" w:hAnsi="Verdana" w:cs="Arial"/>
          <w:shd w:val="clear" w:color="auto" w:fill="FFFFFF"/>
          <w:lang w:val="es-ES"/>
        </w:rPr>
        <w:t xml:space="preserve">Con respecto al uso de estas plataformas, y de conformidad con el artículo 13 de la Ley 1150 de 2007, </w:t>
      </w:r>
      <w:r w:rsidRPr="00A220B2">
        <w:rPr>
          <w:rFonts w:ascii="Verdana" w:hAnsi="Verdana" w:cs="Arial"/>
          <w:bCs/>
          <w:lang w:val="es-ES"/>
        </w:rPr>
        <w:t xml:space="preserve">se deriva la interpretación de que a pesar que el régimen que aplican sea el derecho privado, tiene limitaciones dentro del derecho público como son los principios de la función administrativa y de la gestión fiscal y reglas del régimen de inhabilidades e incompatibilidades, así como el deber </w:t>
      </w:r>
      <w:r w:rsidRPr="00EF6053">
        <w:rPr>
          <w:rFonts w:ascii="Verdana" w:hAnsi="Verdana" w:cs="Arial"/>
          <w:bCs/>
          <w:lang w:val="es-ES"/>
        </w:rPr>
        <w:t>de</w:t>
      </w:r>
      <w:r w:rsidRPr="00A220B2">
        <w:rPr>
          <w:rFonts w:ascii="Verdana" w:hAnsi="Verdana" w:cs="Arial"/>
          <w:bCs/>
          <w:i/>
          <w:iCs/>
          <w:lang w:val="es-ES"/>
        </w:rPr>
        <w:t xml:space="preserve"> </w:t>
      </w:r>
      <w:r w:rsidRPr="00A220B2">
        <w:rPr>
          <w:rFonts w:ascii="Verdana" w:hAnsi="Verdana" w:cs="Arial"/>
          <w:bCs/>
          <w:iCs/>
          <w:lang w:val="es-ES"/>
        </w:rPr>
        <w:t>publicar los documentos relacionados con su actividad contractual en el Sistema Electrónico para la Contratación Pública –SECOP II– o la plataforma transaccional que haga sus veces, sin perjuicio de las demás reglas que les aplique a la</w:t>
      </w:r>
      <w:r w:rsidR="001E1A40">
        <w:rPr>
          <w:rFonts w:ascii="Verdana" w:hAnsi="Verdana" w:cs="Arial"/>
          <w:bCs/>
          <w:iCs/>
          <w:lang w:val="es-ES"/>
        </w:rPr>
        <w:t xml:space="preserve">s entidades </w:t>
      </w:r>
      <w:r w:rsidRPr="00A220B2">
        <w:rPr>
          <w:rFonts w:ascii="Verdana" w:hAnsi="Verdana" w:cs="Arial"/>
          <w:bCs/>
          <w:iCs/>
          <w:lang w:val="es-ES"/>
        </w:rPr>
        <w:t>exceptuada</w:t>
      </w:r>
      <w:r w:rsidR="001E1A40">
        <w:rPr>
          <w:rFonts w:ascii="Verdana" w:hAnsi="Verdana" w:cs="Arial"/>
          <w:bCs/>
          <w:iCs/>
          <w:lang w:val="es-ES"/>
        </w:rPr>
        <w:t>s</w:t>
      </w:r>
      <w:r w:rsidRPr="00A220B2">
        <w:rPr>
          <w:rFonts w:ascii="Verdana" w:hAnsi="Verdana" w:cs="Arial"/>
          <w:bCs/>
          <w:iCs/>
          <w:lang w:val="es-ES"/>
        </w:rPr>
        <w:t xml:space="preserve"> del EGCAP. </w:t>
      </w:r>
    </w:p>
    <w:p w14:paraId="6A2FE2C6" w14:textId="77777777" w:rsidR="007D41E8" w:rsidRPr="00A220B2" w:rsidRDefault="007D41E8" w:rsidP="007D41E8">
      <w:pPr>
        <w:spacing w:after="120" w:line="276" w:lineRule="auto"/>
        <w:ind w:firstLine="709"/>
        <w:jc w:val="both"/>
        <w:rPr>
          <w:rFonts w:ascii="Verdana" w:hAnsi="Verdana" w:cs="Arial"/>
          <w:bCs/>
          <w:iCs/>
          <w:lang w:val="es-ES"/>
        </w:rPr>
      </w:pPr>
      <w:r w:rsidRPr="00A220B2">
        <w:rPr>
          <w:rFonts w:ascii="Verdana" w:hAnsi="Verdana" w:cs="Arial"/>
          <w:bCs/>
          <w:iCs/>
          <w:lang w:val="es-ES"/>
        </w:rPr>
        <w:t>En el caso de las E.S.E.,</w:t>
      </w:r>
      <w:r w:rsidRPr="00A220B2">
        <w:rPr>
          <w:rFonts w:ascii="Verdana" w:eastAsia="Calibri" w:hAnsi="Verdana" w:cs="Arial"/>
          <w:color w:val="000000" w:themeColor="text1"/>
          <w:lang w:val="es-ES"/>
        </w:rPr>
        <w:t xml:space="preserve"> e</w:t>
      </w:r>
      <w:r w:rsidRPr="00A220B2">
        <w:rPr>
          <w:rFonts w:ascii="Verdana" w:hAnsi="Verdana"/>
          <w:lang w:val="es-ES"/>
        </w:rPr>
        <w:t>l 18 de enero de 2022 fue expedida la Ley 2195 de 2022 “</w:t>
      </w:r>
      <w:r w:rsidRPr="00A220B2">
        <w:rPr>
          <w:rFonts w:ascii="Verdana" w:hAnsi="Verdana"/>
          <w:i/>
          <w:lang w:val="es-ES"/>
        </w:rPr>
        <w:t>Por medio</w:t>
      </w:r>
      <w:r w:rsidRPr="00A220B2">
        <w:rPr>
          <w:rFonts w:ascii="Verdana" w:hAnsi="Verdana"/>
          <w:i/>
          <w:spacing w:val="-20"/>
          <w:lang w:val="es-ES"/>
        </w:rPr>
        <w:t xml:space="preserve"> </w:t>
      </w:r>
      <w:r w:rsidRPr="00A220B2">
        <w:rPr>
          <w:rFonts w:ascii="Verdana" w:hAnsi="Verdana"/>
          <w:i/>
          <w:lang w:val="es-ES"/>
        </w:rPr>
        <w:t>de</w:t>
      </w:r>
      <w:r w:rsidRPr="00A220B2">
        <w:rPr>
          <w:rFonts w:ascii="Verdana" w:hAnsi="Verdana"/>
          <w:i/>
          <w:spacing w:val="-19"/>
          <w:lang w:val="es-ES"/>
        </w:rPr>
        <w:t xml:space="preserve"> </w:t>
      </w:r>
      <w:r w:rsidRPr="00A220B2">
        <w:rPr>
          <w:rFonts w:ascii="Verdana" w:hAnsi="Verdana"/>
          <w:i/>
          <w:lang w:val="es-ES"/>
        </w:rPr>
        <w:t>la</w:t>
      </w:r>
      <w:r w:rsidRPr="00A220B2">
        <w:rPr>
          <w:rFonts w:ascii="Verdana" w:hAnsi="Verdana"/>
          <w:i/>
          <w:spacing w:val="-19"/>
          <w:lang w:val="es-ES"/>
        </w:rPr>
        <w:t xml:space="preserve"> </w:t>
      </w:r>
      <w:r w:rsidRPr="00A220B2">
        <w:rPr>
          <w:rFonts w:ascii="Verdana" w:hAnsi="Verdana"/>
          <w:i/>
          <w:lang w:val="es-ES"/>
        </w:rPr>
        <w:t>cual</w:t>
      </w:r>
      <w:r w:rsidRPr="00A220B2">
        <w:rPr>
          <w:rFonts w:ascii="Verdana" w:hAnsi="Verdana"/>
          <w:i/>
          <w:spacing w:val="-20"/>
          <w:lang w:val="es-ES"/>
        </w:rPr>
        <w:t xml:space="preserve"> </w:t>
      </w:r>
      <w:r w:rsidRPr="00A220B2">
        <w:rPr>
          <w:rFonts w:ascii="Verdana" w:hAnsi="Verdana"/>
          <w:i/>
          <w:lang w:val="es-ES"/>
        </w:rPr>
        <w:t>se</w:t>
      </w:r>
      <w:r w:rsidRPr="00A220B2">
        <w:rPr>
          <w:rFonts w:ascii="Verdana" w:hAnsi="Verdana"/>
          <w:i/>
          <w:spacing w:val="-19"/>
          <w:lang w:val="es-ES"/>
        </w:rPr>
        <w:t xml:space="preserve"> </w:t>
      </w:r>
      <w:r w:rsidRPr="00A220B2">
        <w:rPr>
          <w:rFonts w:ascii="Verdana" w:hAnsi="Verdana"/>
          <w:i/>
          <w:lang w:val="es-ES"/>
        </w:rPr>
        <w:t>adoptan</w:t>
      </w:r>
      <w:r w:rsidRPr="00A220B2">
        <w:rPr>
          <w:rFonts w:ascii="Verdana" w:hAnsi="Verdana"/>
          <w:i/>
          <w:spacing w:val="-20"/>
          <w:lang w:val="es-ES"/>
        </w:rPr>
        <w:t xml:space="preserve"> </w:t>
      </w:r>
      <w:r w:rsidRPr="00A220B2">
        <w:rPr>
          <w:rFonts w:ascii="Verdana" w:hAnsi="Verdana"/>
          <w:i/>
          <w:lang w:val="es-ES"/>
        </w:rPr>
        <w:t>medidas</w:t>
      </w:r>
      <w:r w:rsidRPr="00A220B2">
        <w:rPr>
          <w:rFonts w:ascii="Verdana" w:hAnsi="Verdana"/>
          <w:i/>
          <w:spacing w:val="-19"/>
          <w:lang w:val="es-ES"/>
        </w:rPr>
        <w:t xml:space="preserve"> </w:t>
      </w:r>
      <w:r w:rsidRPr="00A220B2">
        <w:rPr>
          <w:rFonts w:ascii="Verdana" w:hAnsi="Verdana"/>
          <w:i/>
          <w:lang w:val="es-ES"/>
        </w:rPr>
        <w:t>en</w:t>
      </w:r>
      <w:r w:rsidRPr="00A220B2">
        <w:rPr>
          <w:rFonts w:ascii="Verdana" w:hAnsi="Verdana"/>
          <w:i/>
          <w:spacing w:val="-19"/>
          <w:lang w:val="es-ES"/>
        </w:rPr>
        <w:t xml:space="preserve"> </w:t>
      </w:r>
      <w:r w:rsidRPr="00A220B2">
        <w:rPr>
          <w:rFonts w:ascii="Verdana" w:hAnsi="Verdana"/>
          <w:i/>
          <w:lang w:val="es-ES"/>
        </w:rPr>
        <w:t>materia</w:t>
      </w:r>
      <w:r w:rsidRPr="00A220B2">
        <w:rPr>
          <w:rFonts w:ascii="Verdana" w:hAnsi="Verdana"/>
          <w:i/>
          <w:spacing w:val="-20"/>
          <w:lang w:val="es-ES"/>
        </w:rPr>
        <w:t xml:space="preserve"> </w:t>
      </w:r>
      <w:r w:rsidRPr="00A220B2">
        <w:rPr>
          <w:rFonts w:ascii="Verdana" w:hAnsi="Verdana"/>
          <w:i/>
          <w:lang w:val="es-ES"/>
        </w:rPr>
        <w:t>de</w:t>
      </w:r>
      <w:r w:rsidRPr="00A220B2">
        <w:rPr>
          <w:rFonts w:ascii="Verdana" w:hAnsi="Verdana"/>
          <w:i/>
          <w:spacing w:val="-19"/>
          <w:lang w:val="es-ES"/>
        </w:rPr>
        <w:t xml:space="preserve"> </w:t>
      </w:r>
      <w:r w:rsidRPr="00A220B2">
        <w:rPr>
          <w:rFonts w:ascii="Verdana" w:hAnsi="Verdana"/>
          <w:i/>
          <w:lang w:val="es-ES"/>
        </w:rPr>
        <w:t>transparencia,</w:t>
      </w:r>
      <w:r w:rsidRPr="00A220B2">
        <w:rPr>
          <w:rFonts w:ascii="Verdana" w:hAnsi="Verdana"/>
          <w:i/>
          <w:spacing w:val="-19"/>
          <w:lang w:val="es-ES"/>
        </w:rPr>
        <w:t xml:space="preserve"> </w:t>
      </w:r>
      <w:r w:rsidRPr="00A220B2">
        <w:rPr>
          <w:rFonts w:ascii="Verdana" w:hAnsi="Verdana"/>
          <w:i/>
          <w:lang w:val="es-ES"/>
        </w:rPr>
        <w:lastRenderedPageBreak/>
        <w:t>prevención y</w:t>
      </w:r>
      <w:r w:rsidRPr="00A220B2">
        <w:rPr>
          <w:rFonts w:ascii="Verdana" w:hAnsi="Verdana"/>
          <w:i/>
          <w:spacing w:val="-13"/>
          <w:lang w:val="es-ES"/>
        </w:rPr>
        <w:t xml:space="preserve"> </w:t>
      </w:r>
      <w:r w:rsidRPr="00A220B2">
        <w:rPr>
          <w:rFonts w:ascii="Verdana" w:hAnsi="Verdana"/>
          <w:i/>
          <w:lang w:val="es-ES"/>
        </w:rPr>
        <w:t>lucha</w:t>
      </w:r>
      <w:r w:rsidRPr="00A220B2">
        <w:rPr>
          <w:rFonts w:ascii="Verdana" w:hAnsi="Verdana"/>
          <w:i/>
          <w:spacing w:val="-11"/>
          <w:lang w:val="es-ES"/>
        </w:rPr>
        <w:t xml:space="preserve"> </w:t>
      </w:r>
      <w:r w:rsidRPr="00A220B2">
        <w:rPr>
          <w:rFonts w:ascii="Verdana" w:hAnsi="Verdana"/>
          <w:i/>
          <w:lang w:val="es-ES"/>
        </w:rPr>
        <w:t>contra</w:t>
      </w:r>
      <w:r w:rsidRPr="00A220B2">
        <w:rPr>
          <w:rFonts w:ascii="Verdana" w:hAnsi="Verdana"/>
          <w:i/>
          <w:spacing w:val="-12"/>
          <w:lang w:val="es-ES"/>
        </w:rPr>
        <w:t xml:space="preserve"> </w:t>
      </w:r>
      <w:r w:rsidRPr="00A220B2">
        <w:rPr>
          <w:rFonts w:ascii="Verdana" w:hAnsi="Verdana"/>
          <w:i/>
          <w:lang w:val="es-ES"/>
        </w:rPr>
        <w:t>la</w:t>
      </w:r>
      <w:r w:rsidRPr="00A220B2">
        <w:rPr>
          <w:rFonts w:ascii="Verdana" w:hAnsi="Verdana"/>
          <w:i/>
          <w:spacing w:val="-11"/>
          <w:lang w:val="es-ES"/>
        </w:rPr>
        <w:t xml:space="preserve"> </w:t>
      </w:r>
      <w:r w:rsidRPr="00A220B2">
        <w:rPr>
          <w:rFonts w:ascii="Verdana" w:hAnsi="Verdana"/>
          <w:i/>
          <w:lang w:val="es-ES"/>
        </w:rPr>
        <w:t>corrupción</w:t>
      </w:r>
      <w:r w:rsidRPr="00A220B2">
        <w:rPr>
          <w:rFonts w:ascii="Verdana" w:hAnsi="Verdana"/>
          <w:i/>
          <w:spacing w:val="-12"/>
          <w:lang w:val="es-ES"/>
        </w:rPr>
        <w:t xml:space="preserve"> </w:t>
      </w:r>
      <w:r w:rsidRPr="00A220B2">
        <w:rPr>
          <w:rFonts w:ascii="Verdana" w:hAnsi="Verdana"/>
          <w:i/>
          <w:lang w:val="es-ES"/>
        </w:rPr>
        <w:t>y</w:t>
      </w:r>
      <w:r w:rsidRPr="00A220B2">
        <w:rPr>
          <w:rFonts w:ascii="Verdana" w:hAnsi="Verdana"/>
          <w:i/>
          <w:spacing w:val="-13"/>
          <w:lang w:val="es-ES"/>
        </w:rPr>
        <w:t xml:space="preserve"> </w:t>
      </w:r>
      <w:r w:rsidRPr="00A220B2">
        <w:rPr>
          <w:rFonts w:ascii="Verdana" w:hAnsi="Verdana"/>
          <w:i/>
          <w:lang w:val="es-ES"/>
        </w:rPr>
        <w:t>se</w:t>
      </w:r>
      <w:r w:rsidRPr="00A220B2">
        <w:rPr>
          <w:rFonts w:ascii="Verdana" w:hAnsi="Verdana"/>
          <w:i/>
          <w:spacing w:val="-11"/>
          <w:lang w:val="es-ES"/>
        </w:rPr>
        <w:t xml:space="preserve"> </w:t>
      </w:r>
      <w:r w:rsidRPr="00A220B2">
        <w:rPr>
          <w:rFonts w:ascii="Verdana" w:hAnsi="Verdana"/>
          <w:i/>
          <w:lang w:val="es-ES"/>
        </w:rPr>
        <w:t>dictan</w:t>
      </w:r>
      <w:r w:rsidRPr="00A220B2">
        <w:rPr>
          <w:rFonts w:ascii="Verdana" w:hAnsi="Verdana"/>
          <w:i/>
          <w:spacing w:val="-12"/>
          <w:lang w:val="es-ES"/>
        </w:rPr>
        <w:t xml:space="preserve"> </w:t>
      </w:r>
      <w:r w:rsidRPr="00A220B2">
        <w:rPr>
          <w:rFonts w:ascii="Verdana" w:hAnsi="Verdana"/>
          <w:i/>
          <w:lang w:val="es-ES"/>
        </w:rPr>
        <w:t>otras</w:t>
      </w:r>
      <w:r w:rsidRPr="00A220B2">
        <w:rPr>
          <w:rFonts w:ascii="Verdana" w:hAnsi="Verdana"/>
          <w:i/>
          <w:spacing w:val="-11"/>
          <w:lang w:val="es-ES"/>
        </w:rPr>
        <w:t xml:space="preserve"> </w:t>
      </w:r>
      <w:r w:rsidRPr="00A220B2">
        <w:rPr>
          <w:rFonts w:ascii="Verdana" w:hAnsi="Verdana"/>
          <w:i/>
          <w:lang w:val="es-ES"/>
        </w:rPr>
        <w:t>disposiciones</w:t>
      </w:r>
      <w:r w:rsidRPr="00A220B2">
        <w:rPr>
          <w:rFonts w:ascii="Verdana" w:hAnsi="Verdana"/>
          <w:lang w:val="es-ES"/>
        </w:rPr>
        <w:t>”,</w:t>
      </w:r>
      <w:r w:rsidRPr="00A220B2">
        <w:rPr>
          <w:rFonts w:ascii="Verdana" w:hAnsi="Verdana"/>
          <w:spacing w:val="-14"/>
          <w:lang w:val="es-ES"/>
        </w:rPr>
        <w:t xml:space="preserve"> </w:t>
      </w:r>
      <w:r w:rsidRPr="00A220B2">
        <w:rPr>
          <w:rFonts w:ascii="Verdana" w:hAnsi="Verdana"/>
          <w:lang w:val="es-ES"/>
        </w:rPr>
        <w:t>mediante</w:t>
      </w:r>
      <w:r w:rsidRPr="00A220B2">
        <w:rPr>
          <w:rFonts w:ascii="Verdana" w:hAnsi="Verdana"/>
          <w:spacing w:val="-11"/>
          <w:lang w:val="es-ES"/>
        </w:rPr>
        <w:t xml:space="preserve"> </w:t>
      </w:r>
      <w:r w:rsidRPr="00A220B2">
        <w:rPr>
          <w:rFonts w:ascii="Verdana" w:hAnsi="Verdana"/>
          <w:lang w:val="es-ES"/>
        </w:rPr>
        <w:t>la</w:t>
      </w:r>
      <w:r w:rsidRPr="00A220B2">
        <w:rPr>
          <w:rFonts w:ascii="Verdana" w:hAnsi="Verdana"/>
          <w:spacing w:val="-10"/>
          <w:lang w:val="es-ES"/>
        </w:rPr>
        <w:t xml:space="preserve"> </w:t>
      </w:r>
      <w:r w:rsidRPr="00A220B2">
        <w:rPr>
          <w:rFonts w:ascii="Verdana" w:hAnsi="Verdana"/>
          <w:lang w:val="es-ES"/>
        </w:rPr>
        <w:t>cual se introdujeron, a través del artículo 53, los incisos 2° y 3° al artículo 13 de la Ley 1150 de 2007, los cuales establecen la obligación, para las entidades públicas que por disposición legal cuenten con un régimen especial de contratación, de publicar su actividad contractual a través del Sistema Electrónico</w:t>
      </w:r>
      <w:r w:rsidRPr="00A220B2">
        <w:rPr>
          <w:rFonts w:ascii="Verdana" w:hAnsi="Verdana"/>
          <w:spacing w:val="-2"/>
          <w:lang w:val="es-ES"/>
        </w:rPr>
        <w:t xml:space="preserve"> </w:t>
      </w:r>
      <w:r w:rsidRPr="00A220B2">
        <w:rPr>
          <w:rFonts w:ascii="Verdana" w:hAnsi="Verdana"/>
          <w:lang w:val="es-ES"/>
        </w:rPr>
        <w:t>para</w:t>
      </w:r>
      <w:r w:rsidRPr="00A220B2">
        <w:rPr>
          <w:rFonts w:ascii="Verdana" w:hAnsi="Verdana"/>
          <w:spacing w:val="-4"/>
          <w:lang w:val="es-ES"/>
        </w:rPr>
        <w:t xml:space="preserve"> </w:t>
      </w:r>
      <w:r w:rsidRPr="00A220B2">
        <w:rPr>
          <w:rFonts w:ascii="Verdana" w:hAnsi="Verdana"/>
          <w:lang w:val="es-ES"/>
        </w:rPr>
        <w:t>la</w:t>
      </w:r>
      <w:r w:rsidRPr="00A220B2">
        <w:rPr>
          <w:rFonts w:ascii="Verdana" w:hAnsi="Verdana"/>
          <w:spacing w:val="-2"/>
          <w:lang w:val="es-ES"/>
        </w:rPr>
        <w:t xml:space="preserve"> </w:t>
      </w:r>
      <w:r w:rsidRPr="00A220B2">
        <w:rPr>
          <w:rFonts w:ascii="Verdana" w:hAnsi="Verdana"/>
          <w:lang w:val="es-ES"/>
        </w:rPr>
        <w:t>Contratación</w:t>
      </w:r>
      <w:r w:rsidRPr="00A220B2">
        <w:rPr>
          <w:rFonts w:ascii="Verdana" w:hAnsi="Verdana"/>
          <w:spacing w:val="-3"/>
          <w:lang w:val="es-ES"/>
        </w:rPr>
        <w:t xml:space="preserve"> </w:t>
      </w:r>
      <w:r w:rsidRPr="00A220B2">
        <w:rPr>
          <w:rFonts w:ascii="Verdana" w:hAnsi="Verdana"/>
          <w:lang w:val="es-ES"/>
        </w:rPr>
        <w:t>Pública</w:t>
      </w:r>
      <w:r w:rsidRPr="00A220B2">
        <w:rPr>
          <w:rFonts w:ascii="Verdana" w:hAnsi="Verdana"/>
          <w:spacing w:val="-4"/>
          <w:lang w:val="es-ES"/>
        </w:rPr>
        <w:t xml:space="preserve"> </w:t>
      </w:r>
      <w:r w:rsidRPr="00A220B2">
        <w:rPr>
          <w:rFonts w:ascii="Verdana" w:hAnsi="Verdana"/>
          <w:lang w:val="es-ES"/>
        </w:rPr>
        <w:t>en</w:t>
      </w:r>
      <w:r w:rsidRPr="00A220B2">
        <w:rPr>
          <w:rFonts w:ascii="Verdana" w:hAnsi="Verdana"/>
          <w:spacing w:val="-1"/>
          <w:lang w:val="es-ES"/>
        </w:rPr>
        <w:t xml:space="preserve"> </w:t>
      </w:r>
      <w:r w:rsidRPr="00A220B2">
        <w:rPr>
          <w:rFonts w:ascii="Verdana" w:hAnsi="Verdana"/>
          <w:lang w:val="es-ES"/>
        </w:rPr>
        <w:t>su</w:t>
      </w:r>
      <w:r w:rsidRPr="00A220B2">
        <w:rPr>
          <w:rFonts w:ascii="Verdana" w:hAnsi="Verdana"/>
          <w:spacing w:val="-3"/>
          <w:lang w:val="es-ES"/>
        </w:rPr>
        <w:t xml:space="preserve"> </w:t>
      </w:r>
      <w:r w:rsidRPr="00A220B2">
        <w:rPr>
          <w:rFonts w:ascii="Verdana" w:hAnsi="Verdana"/>
          <w:lang w:val="es-ES"/>
        </w:rPr>
        <w:t>versión</w:t>
      </w:r>
      <w:r w:rsidRPr="00A220B2">
        <w:rPr>
          <w:rFonts w:ascii="Verdana" w:hAnsi="Verdana"/>
          <w:spacing w:val="-3"/>
          <w:lang w:val="es-ES"/>
        </w:rPr>
        <w:t xml:space="preserve"> </w:t>
      </w:r>
      <w:r w:rsidRPr="00A220B2">
        <w:rPr>
          <w:rFonts w:ascii="Verdana" w:hAnsi="Verdana"/>
          <w:lang w:val="es-ES"/>
        </w:rPr>
        <w:t>transaccional,</w:t>
      </w:r>
      <w:r w:rsidRPr="00A220B2">
        <w:rPr>
          <w:rFonts w:ascii="Verdana" w:hAnsi="Verdana"/>
          <w:spacing w:val="-2"/>
          <w:lang w:val="es-ES"/>
        </w:rPr>
        <w:t xml:space="preserve"> </w:t>
      </w:r>
      <w:r w:rsidRPr="00A220B2">
        <w:rPr>
          <w:rFonts w:ascii="Verdana" w:hAnsi="Verdana"/>
          <w:lang w:val="es-ES"/>
        </w:rPr>
        <w:t>es</w:t>
      </w:r>
      <w:r w:rsidRPr="00A220B2">
        <w:rPr>
          <w:rFonts w:ascii="Verdana" w:hAnsi="Verdana"/>
          <w:spacing w:val="-2"/>
          <w:lang w:val="es-ES"/>
        </w:rPr>
        <w:t xml:space="preserve"> </w:t>
      </w:r>
      <w:r w:rsidRPr="00A220B2">
        <w:rPr>
          <w:rFonts w:ascii="Verdana" w:hAnsi="Verdana"/>
          <w:lang w:val="es-ES"/>
        </w:rPr>
        <w:t>decir en la plataforma SECOP II. Al respecto el artículo en mención precisa:</w:t>
      </w:r>
    </w:p>
    <w:p w14:paraId="4A1BBA71" w14:textId="77777777" w:rsidR="007D41E8" w:rsidRPr="00A220B2" w:rsidRDefault="007D41E8" w:rsidP="007D41E8">
      <w:pPr>
        <w:spacing w:after="0" w:line="240" w:lineRule="auto"/>
        <w:ind w:left="851" w:right="902"/>
        <w:jc w:val="both"/>
        <w:rPr>
          <w:rFonts w:ascii="Verdana" w:hAnsi="Verdana"/>
          <w:iCs/>
          <w:sz w:val="20"/>
          <w:szCs w:val="20"/>
          <w:lang w:val="es-ES"/>
        </w:rPr>
      </w:pPr>
      <w:r w:rsidRPr="00A220B2">
        <w:rPr>
          <w:rFonts w:ascii="Verdana" w:hAnsi="Verdana"/>
          <w:iCs/>
          <w:sz w:val="20"/>
          <w:szCs w:val="20"/>
          <w:lang w:val="es-ES"/>
        </w:rPr>
        <w:t>Adiciónese</w:t>
      </w:r>
      <w:r w:rsidRPr="00A220B2">
        <w:rPr>
          <w:rFonts w:ascii="Verdana" w:hAnsi="Verdana"/>
          <w:iCs/>
          <w:spacing w:val="-13"/>
          <w:sz w:val="20"/>
          <w:szCs w:val="20"/>
          <w:lang w:val="es-ES"/>
        </w:rPr>
        <w:t xml:space="preserve"> </w:t>
      </w:r>
      <w:r w:rsidRPr="00A220B2">
        <w:rPr>
          <w:rFonts w:ascii="Verdana" w:hAnsi="Verdana"/>
          <w:iCs/>
          <w:sz w:val="20"/>
          <w:szCs w:val="20"/>
          <w:lang w:val="es-ES"/>
        </w:rPr>
        <w:t>los</w:t>
      </w:r>
      <w:r w:rsidRPr="00A220B2">
        <w:rPr>
          <w:rFonts w:ascii="Verdana" w:hAnsi="Verdana"/>
          <w:iCs/>
          <w:spacing w:val="-16"/>
          <w:sz w:val="20"/>
          <w:szCs w:val="20"/>
          <w:lang w:val="es-ES"/>
        </w:rPr>
        <w:t xml:space="preserve"> </w:t>
      </w:r>
      <w:r w:rsidRPr="00A220B2">
        <w:rPr>
          <w:rFonts w:ascii="Verdana" w:hAnsi="Verdana"/>
          <w:iCs/>
          <w:sz w:val="20"/>
          <w:szCs w:val="20"/>
          <w:lang w:val="es-ES"/>
        </w:rPr>
        <w:t>siguientes</w:t>
      </w:r>
      <w:r w:rsidRPr="00A220B2">
        <w:rPr>
          <w:rFonts w:ascii="Verdana" w:hAnsi="Verdana"/>
          <w:iCs/>
          <w:spacing w:val="-14"/>
          <w:sz w:val="20"/>
          <w:szCs w:val="20"/>
          <w:lang w:val="es-ES"/>
        </w:rPr>
        <w:t xml:space="preserve"> </w:t>
      </w:r>
      <w:r w:rsidRPr="00A220B2">
        <w:rPr>
          <w:rFonts w:ascii="Verdana" w:hAnsi="Verdana"/>
          <w:iCs/>
          <w:sz w:val="20"/>
          <w:szCs w:val="20"/>
          <w:lang w:val="es-ES"/>
        </w:rPr>
        <w:t>incisos</w:t>
      </w:r>
      <w:r w:rsidRPr="00A220B2">
        <w:rPr>
          <w:rFonts w:ascii="Verdana" w:hAnsi="Verdana"/>
          <w:iCs/>
          <w:spacing w:val="-16"/>
          <w:sz w:val="20"/>
          <w:szCs w:val="20"/>
          <w:lang w:val="es-ES"/>
        </w:rPr>
        <w:t xml:space="preserve"> </w:t>
      </w:r>
      <w:r w:rsidRPr="00A220B2">
        <w:rPr>
          <w:rFonts w:ascii="Verdana" w:hAnsi="Verdana"/>
          <w:iCs/>
          <w:sz w:val="20"/>
          <w:szCs w:val="20"/>
          <w:lang w:val="es-ES"/>
        </w:rPr>
        <w:t>al</w:t>
      </w:r>
      <w:r w:rsidRPr="00A220B2">
        <w:rPr>
          <w:rFonts w:ascii="Verdana" w:hAnsi="Verdana"/>
          <w:iCs/>
          <w:spacing w:val="-14"/>
          <w:sz w:val="20"/>
          <w:szCs w:val="20"/>
          <w:lang w:val="es-ES"/>
        </w:rPr>
        <w:t xml:space="preserve"> </w:t>
      </w:r>
      <w:r w:rsidRPr="00A220B2">
        <w:rPr>
          <w:rFonts w:ascii="Verdana" w:hAnsi="Verdana"/>
          <w:iCs/>
          <w:sz w:val="20"/>
          <w:szCs w:val="20"/>
          <w:lang w:val="es-ES"/>
        </w:rPr>
        <w:t>artículo</w:t>
      </w:r>
      <w:r w:rsidRPr="00A220B2">
        <w:rPr>
          <w:rFonts w:ascii="Verdana" w:hAnsi="Verdana"/>
          <w:iCs/>
          <w:spacing w:val="-16"/>
          <w:sz w:val="20"/>
          <w:szCs w:val="20"/>
          <w:lang w:val="es-ES"/>
        </w:rPr>
        <w:t xml:space="preserve"> </w:t>
      </w:r>
      <w:r w:rsidRPr="00A220B2">
        <w:rPr>
          <w:rFonts w:ascii="Verdana" w:hAnsi="Verdana"/>
          <w:iCs/>
          <w:sz w:val="20"/>
          <w:szCs w:val="20"/>
          <w:lang w:val="es-ES"/>
        </w:rPr>
        <w:t>13</w:t>
      </w:r>
      <w:r w:rsidRPr="00A220B2">
        <w:rPr>
          <w:rFonts w:ascii="Verdana" w:hAnsi="Verdana"/>
          <w:iCs/>
          <w:spacing w:val="-15"/>
          <w:sz w:val="20"/>
          <w:szCs w:val="20"/>
          <w:lang w:val="es-ES"/>
        </w:rPr>
        <w:t xml:space="preserve"> </w:t>
      </w:r>
      <w:r w:rsidRPr="00A220B2">
        <w:rPr>
          <w:rFonts w:ascii="Verdana" w:hAnsi="Verdana"/>
          <w:iCs/>
          <w:sz w:val="20"/>
          <w:szCs w:val="20"/>
          <w:lang w:val="es-ES"/>
        </w:rPr>
        <w:t>de</w:t>
      </w:r>
      <w:r w:rsidRPr="00A220B2">
        <w:rPr>
          <w:rFonts w:ascii="Verdana" w:hAnsi="Verdana"/>
          <w:iCs/>
          <w:spacing w:val="-13"/>
          <w:sz w:val="20"/>
          <w:szCs w:val="20"/>
          <w:lang w:val="es-ES"/>
        </w:rPr>
        <w:t xml:space="preserve"> </w:t>
      </w:r>
      <w:r w:rsidRPr="00A220B2">
        <w:rPr>
          <w:rFonts w:ascii="Verdana" w:hAnsi="Verdana"/>
          <w:iCs/>
          <w:sz w:val="20"/>
          <w:szCs w:val="20"/>
          <w:lang w:val="es-ES"/>
        </w:rPr>
        <w:t>la</w:t>
      </w:r>
      <w:r w:rsidRPr="00A220B2">
        <w:rPr>
          <w:rFonts w:ascii="Verdana" w:hAnsi="Verdana"/>
          <w:iCs/>
          <w:spacing w:val="-15"/>
          <w:sz w:val="20"/>
          <w:szCs w:val="20"/>
          <w:lang w:val="es-ES"/>
        </w:rPr>
        <w:t xml:space="preserve"> </w:t>
      </w:r>
      <w:r w:rsidRPr="00A220B2">
        <w:rPr>
          <w:rFonts w:ascii="Verdana" w:hAnsi="Verdana"/>
          <w:iCs/>
          <w:sz w:val="20"/>
          <w:szCs w:val="20"/>
          <w:lang w:val="es-ES"/>
        </w:rPr>
        <w:t>Ley</w:t>
      </w:r>
      <w:r w:rsidRPr="00A220B2">
        <w:rPr>
          <w:rFonts w:ascii="Verdana" w:hAnsi="Verdana"/>
          <w:iCs/>
          <w:spacing w:val="-14"/>
          <w:sz w:val="20"/>
          <w:szCs w:val="20"/>
          <w:lang w:val="es-ES"/>
        </w:rPr>
        <w:t xml:space="preserve"> </w:t>
      </w:r>
      <w:r w:rsidRPr="00A220B2">
        <w:rPr>
          <w:rFonts w:ascii="Verdana" w:hAnsi="Verdana"/>
          <w:iCs/>
          <w:sz w:val="20"/>
          <w:szCs w:val="20"/>
          <w:lang w:val="es-ES"/>
        </w:rPr>
        <w:t>1150</w:t>
      </w:r>
      <w:r w:rsidRPr="00A220B2">
        <w:rPr>
          <w:rFonts w:ascii="Verdana" w:hAnsi="Verdana"/>
          <w:iCs/>
          <w:spacing w:val="-15"/>
          <w:sz w:val="20"/>
          <w:szCs w:val="20"/>
          <w:lang w:val="es-ES"/>
        </w:rPr>
        <w:t xml:space="preserve"> </w:t>
      </w:r>
      <w:r w:rsidRPr="00A220B2">
        <w:rPr>
          <w:rFonts w:ascii="Verdana" w:hAnsi="Verdana"/>
          <w:iCs/>
          <w:sz w:val="20"/>
          <w:szCs w:val="20"/>
          <w:lang w:val="es-ES"/>
        </w:rPr>
        <w:t>de 2007, el cual quedará así:</w:t>
      </w:r>
    </w:p>
    <w:p w14:paraId="24CC6C33" w14:textId="77777777" w:rsidR="007D41E8" w:rsidRPr="00A220B2" w:rsidRDefault="007D41E8" w:rsidP="007D41E8">
      <w:pPr>
        <w:spacing w:after="0" w:line="240" w:lineRule="auto"/>
        <w:ind w:left="851" w:right="902"/>
        <w:jc w:val="both"/>
        <w:rPr>
          <w:rFonts w:ascii="Verdana" w:eastAsia="Calibri" w:hAnsi="Verdana" w:cs="Arial"/>
          <w:iCs/>
          <w:sz w:val="20"/>
          <w:szCs w:val="20"/>
          <w:lang w:val="es-ES"/>
        </w:rPr>
      </w:pPr>
    </w:p>
    <w:p w14:paraId="515FB0A0" w14:textId="77777777" w:rsidR="007D41E8" w:rsidRPr="00A220B2" w:rsidRDefault="007D41E8" w:rsidP="007D41E8">
      <w:pPr>
        <w:spacing w:after="0" w:line="240" w:lineRule="auto"/>
        <w:ind w:left="851" w:right="902"/>
        <w:jc w:val="both"/>
        <w:rPr>
          <w:rFonts w:ascii="Verdana" w:hAnsi="Verdana"/>
          <w:iCs/>
          <w:sz w:val="20"/>
          <w:szCs w:val="20"/>
          <w:lang w:val="es-ES"/>
        </w:rPr>
      </w:pPr>
      <w:r w:rsidRPr="00A220B2">
        <w:rPr>
          <w:rFonts w:ascii="Verdana" w:hAnsi="Verdana"/>
          <w:iCs/>
          <w:sz w:val="20"/>
          <w:szCs w:val="20"/>
          <w:lang w:val="es-ES"/>
        </w:rPr>
        <w:t>ARTICULO 13. PRINCIPIOS GENERALES DE LA ACTIVIDAD CONTRACTUAL PARA ENTIDADES NO SOMETIDAS AL ESTATUTO GENERAL DE CONTRATACIÓN DE LA ADMINISTRACIÓN PÚBLICA.</w:t>
      </w:r>
    </w:p>
    <w:p w14:paraId="5F07CAA2" w14:textId="77777777" w:rsidR="007D41E8" w:rsidRPr="00A220B2" w:rsidRDefault="007D41E8" w:rsidP="007D41E8">
      <w:pPr>
        <w:spacing w:after="0" w:line="240" w:lineRule="auto"/>
        <w:ind w:left="851" w:right="902"/>
        <w:jc w:val="both"/>
        <w:rPr>
          <w:rFonts w:ascii="Verdana" w:hAnsi="Verdana"/>
          <w:iCs/>
          <w:sz w:val="20"/>
          <w:szCs w:val="20"/>
          <w:lang w:val="es-ES"/>
        </w:rPr>
      </w:pPr>
    </w:p>
    <w:p w14:paraId="48F580E4" w14:textId="77777777" w:rsidR="007D41E8" w:rsidRPr="00A220B2" w:rsidRDefault="007D41E8" w:rsidP="007D41E8">
      <w:pPr>
        <w:spacing w:after="0" w:line="240" w:lineRule="auto"/>
        <w:ind w:left="851" w:right="902"/>
        <w:jc w:val="both"/>
        <w:rPr>
          <w:rFonts w:ascii="Verdana" w:hAnsi="Verdana"/>
          <w:iCs/>
          <w:sz w:val="20"/>
          <w:szCs w:val="20"/>
          <w:lang w:val="es-ES"/>
        </w:rPr>
      </w:pPr>
      <w:r w:rsidRPr="00A220B2">
        <w:rPr>
          <w:rFonts w:ascii="Verdana" w:hAnsi="Verdana"/>
          <w:iCs/>
          <w:sz w:val="20"/>
          <w:szCs w:val="20"/>
          <w:lang w:val="es-ES"/>
        </w:rPr>
        <w:t>“Las entidades estatales que por disposición legal cuenten con un régimen contractual excepcional al del Estatuto General de Contratación de la Administración Pública, aplicarán en desarrollo de su actividad contractual, acorde con su régimen legal</w:t>
      </w:r>
      <w:r w:rsidRPr="00A220B2">
        <w:rPr>
          <w:rFonts w:ascii="Verdana" w:hAnsi="Verdana"/>
          <w:iCs/>
          <w:spacing w:val="-6"/>
          <w:sz w:val="20"/>
          <w:szCs w:val="20"/>
          <w:lang w:val="es-ES"/>
        </w:rPr>
        <w:t xml:space="preserve"> </w:t>
      </w:r>
      <w:r w:rsidRPr="00A220B2">
        <w:rPr>
          <w:rFonts w:ascii="Verdana" w:hAnsi="Verdana"/>
          <w:iCs/>
          <w:sz w:val="20"/>
          <w:szCs w:val="20"/>
          <w:lang w:val="es-ES"/>
        </w:rPr>
        <w:t>especial,</w:t>
      </w:r>
      <w:r w:rsidRPr="00A220B2">
        <w:rPr>
          <w:rFonts w:ascii="Verdana" w:hAnsi="Verdana"/>
          <w:iCs/>
          <w:spacing w:val="-5"/>
          <w:sz w:val="20"/>
          <w:szCs w:val="20"/>
          <w:lang w:val="es-ES"/>
        </w:rPr>
        <w:t xml:space="preserve"> </w:t>
      </w:r>
      <w:r w:rsidRPr="00A220B2">
        <w:rPr>
          <w:rFonts w:ascii="Verdana" w:hAnsi="Verdana"/>
          <w:iCs/>
          <w:sz w:val="20"/>
          <w:szCs w:val="20"/>
          <w:lang w:val="es-ES"/>
        </w:rPr>
        <w:t>los</w:t>
      </w:r>
      <w:r w:rsidRPr="00A220B2">
        <w:rPr>
          <w:rFonts w:ascii="Verdana" w:hAnsi="Verdana"/>
          <w:iCs/>
          <w:spacing w:val="-5"/>
          <w:sz w:val="20"/>
          <w:szCs w:val="20"/>
          <w:lang w:val="es-ES"/>
        </w:rPr>
        <w:t xml:space="preserve"> </w:t>
      </w:r>
      <w:r w:rsidRPr="00A220B2">
        <w:rPr>
          <w:rFonts w:ascii="Verdana" w:hAnsi="Verdana"/>
          <w:iCs/>
          <w:sz w:val="20"/>
          <w:szCs w:val="20"/>
          <w:lang w:val="es-ES"/>
        </w:rPr>
        <w:t>principios</w:t>
      </w:r>
      <w:r w:rsidRPr="00A220B2">
        <w:rPr>
          <w:rFonts w:ascii="Verdana" w:hAnsi="Verdana"/>
          <w:iCs/>
          <w:spacing w:val="-5"/>
          <w:sz w:val="20"/>
          <w:szCs w:val="20"/>
          <w:lang w:val="es-ES"/>
        </w:rPr>
        <w:t xml:space="preserve"> </w:t>
      </w:r>
      <w:r w:rsidRPr="00A220B2">
        <w:rPr>
          <w:rFonts w:ascii="Verdana" w:hAnsi="Verdana"/>
          <w:iCs/>
          <w:sz w:val="20"/>
          <w:szCs w:val="20"/>
          <w:lang w:val="es-ES"/>
        </w:rPr>
        <w:t>de</w:t>
      </w:r>
      <w:r w:rsidRPr="00A220B2">
        <w:rPr>
          <w:rFonts w:ascii="Verdana" w:hAnsi="Verdana"/>
          <w:iCs/>
          <w:spacing w:val="-5"/>
          <w:sz w:val="20"/>
          <w:szCs w:val="20"/>
          <w:lang w:val="es-ES"/>
        </w:rPr>
        <w:t xml:space="preserve"> </w:t>
      </w:r>
      <w:r w:rsidRPr="00A220B2">
        <w:rPr>
          <w:rFonts w:ascii="Verdana" w:hAnsi="Verdana"/>
          <w:iCs/>
          <w:sz w:val="20"/>
          <w:szCs w:val="20"/>
          <w:lang w:val="es-ES"/>
        </w:rPr>
        <w:t>la</w:t>
      </w:r>
      <w:r w:rsidRPr="00A220B2">
        <w:rPr>
          <w:rFonts w:ascii="Verdana" w:hAnsi="Verdana"/>
          <w:iCs/>
          <w:spacing w:val="-6"/>
          <w:sz w:val="20"/>
          <w:szCs w:val="20"/>
          <w:lang w:val="es-ES"/>
        </w:rPr>
        <w:t xml:space="preserve"> </w:t>
      </w:r>
      <w:r w:rsidRPr="00A220B2">
        <w:rPr>
          <w:rFonts w:ascii="Verdana" w:hAnsi="Verdana"/>
          <w:iCs/>
          <w:sz w:val="20"/>
          <w:szCs w:val="20"/>
          <w:lang w:val="es-ES"/>
        </w:rPr>
        <w:t>función</w:t>
      </w:r>
      <w:r w:rsidRPr="00A220B2">
        <w:rPr>
          <w:rFonts w:ascii="Verdana" w:hAnsi="Verdana"/>
          <w:iCs/>
          <w:spacing w:val="-6"/>
          <w:sz w:val="20"/>
          <w:szCs w:val="20"/>
          <w:lang w:val="es-ES"/>
        </w:rPr>
        <w:t xml:space="preserve"> </w:t>
      </w:r>
      <w:r w:rsidRPr="00A220B2">
        <w:rPr>
          <w:rFonts w:ascii="Verdana" w:hAnsi="Verdana"/>
          <w:iCs/>
          <w:sz w:val="20"/>
          <w:szCs w:val="20"/>
          <w:lang w:val="es-ES"/>
        </w:rPr>
        <w:t>administrativa</w:t>
      </w:r>
      <w:r w:rsidRPr="00A220B2">
        <w:rPr>
          <w:rFonts w:ascii="Verdana" w:hAnsi="Verdana"/>
          <w:iCs/>
          <w:spacing w:val="-6"/>
          <w:sz w:val="20"/>
          <w:szCs w:val="20"/>
          <w:lang w:val="es-ES"/>
        </w:rPr>
        <w:t xml:space="preserve"> </w:t>
      </w:r>
      <w:r w:rsidRPr="00A220B2">
        <w:rPr>
          <w:rFonts w:ascii="Verdana" w:hAnsi="Verdana"/>
          <w:iCs/>
          <w:sz w:val="20"/>
          <w:szCs w:val="20"/>
          <w:lang w:val="es-ES"/>
        </w:rPr>
        <w:t>y</w:t>
      </w:r>
      <w:r w:rsidRPr="00A220B2">
        <w:rPr>
          <w:rFonts w:ascii="Verdana" w:hAnsi="Verdana"/>
          <w:iCs/>
          <w:spacing w:val="-6"/>
          <w:sz w:val="20"/>
          <w:szCs w:val="20"/>
          <w:lang w:val="es-ES"/>
        </w:rPr>
        <w:t xml:space="preserve"> </w:t>
      </w:r>
      <w:r w:rsidRPr="00A220B2">
        <w:rPr>
          <w:rFonts w:ascii="Verdana" w:hAnsi="Verdana"/>
          <w:iCs/>
          <w:sz w:val="20"/>
          <w:szCs w:val="20"/>
          <w:lang w:val="es-ES"/>
        </w:rPr>
        <w:t>de</w:t>
      </w:r>
      <w:r w:rsidRPr="00A220B2">
        <w:rPr>
          <w:rFonts w:ascii="Verdana" w:hAnsi="Verdana"/>
          <w:iCs/>
          <w:spacing w:val="-5"/>
          <w:sz w:val="20"/>
          <w:szCs w:val="20"/>
          <w:lang w:val="es-ES"/>
        </w:rPr>
        <w:t xml:space="preserve"> </w:t>
      </w:r>
      <w:r w:rsidRPr="00A220B2">
        <w:rPr>
          <w:rFonts w:ascii="Verdana" w:hAnsi="Verdana"/>
          <w:iCs/>
          <w:sz w:val="20"/>
          <w:szCs w:val="20"/>
          <w:lang w:val="es-ES"/>
        </w:rPr>
        <w:t>la gestión fiscal de que tratan los artículos 209 y 267 de la Constitución Política, respectivamente</w:t>
      </w:r>
      <w:r w:rsidRPr="00A220B2">
        <w:rPr>
          <w:rFonts w:ascii="Verdana" w:hAnsi="Verdana"/>
          <w:iCs/>
          <w:spacing w:val="40"/>
          <w:sz w:val="20"/>
          <w:szCs w:val="20"/>
          <w:lang w:val="es-ES"/>
        </w:rPr>
        <w:t xml:space="preserve"> </w:t>
      </w:r>
      <w:r w:rsidRPr="00A220B2">
        <w:rPr>
          <w:rFonts w:ascii="Verdana" w:hAnsi="Verdana"/>
          <w:iCs/>
          <w:sz w:val="20"/>
          <w:szCs w:val="20"/>
          <w:lang w:val="es-ES"/>
        </w:rPr>
        <w:t>sea el caso y estarán sometidas al régimen de inhabilidades e incompatibilidades previsto legalmente para la contratación estatal.</w:t>
      </w:r>
    </w:p>
    <w:p w14:paraId="0D5E9514" w14:textId="77777777" w:rsidR="007D41E8" w:rsidRPr="00A220B2" w:rsidRDefault="007D41E8" w:rsidP="007D41E8">
      <w:pPr>
        <w:spacing w:after="0" w:line="240" w:lineRule="auto"/>
        <w:ind w:left="851" w:right="902"/>
        <w:jc w:val="both"/>
        <w:rPr>
          <w:rFonts w:ascii="Verdana" w:hAnsi="Verdana"/>
          <w:iCs/>
          <w:sz w:val="20"/>
          <w:szCs w:val="20"/>
          <w:lang w:val="es-ES"/>
        </w:rPr>
      </w:pPr>
    </w:p>
    <w:p w14:paraId="0089E97A" w14:textId="77777777" w:rsidR="007D41E8" w:rsidRPr="00A220B2" w:rsidRDefault="007D41E8" w:rsidP="007D41E8">
      <w:pPr>
        <w:spacing w:after="0" w:line="240" w:lineRule="auto"/>
        <w:ind w:left="851" w:right="902"/>
        <w:jc w:val="both"/>
        <w:rPr>
          <w:rFonts w:ascii="Verdana" w:hAnsi="Verdana"/>
          <w:iCs/>
          <w:sz w:val="20"/>
          <w:szCs w:val="20"/>
          <w:lang w:val="es-ES"/>
        </w:rPr>
      </w:pPr>
      <w:r w:rsidRPr="00A220B2">
        <w:rPr>
          <w:rFonts w:ascii="Verdana" w:hAnsi="Verdana"/>
          <w:iCs/>
          <w:sz w:val="20"/>
          <w:szCs w:val="20"/>
          <w:lang w:val="es-ES"/>
        </w:rPr>
        <w:t>En</w:t>
      </w:r>
      <w:r w:rsidRPr="00A220B2">
        <w:rPr>
          <w:rFonts w:ascii="Verdana" w:hAnsi="Verdana"/>
          <w:iCs/>
          <w:spacing w:val="-20"/>
          <w:sz w:val="20"/>
          <w:szCs w:val="20"/>
          <w:lang w:val="es-ES"/>
        </w:rPr>
        <w:t xml:space="preserve"> </w:t>
      </w:r>
      <w:r w:rsidRPr="00A220B2">
        <w:rPr>
          <w:rFonts w:ascii="Verdana" w:hAnsi="Verdana"/>
          <w:iCs/>
          <w:sz w:val="20"/>
          <w:szCs w:val="20"/>
          <w:lang w:val="es-ES"/>
        </w:rPr>
        <w:t>desarrollo</w:t>
      </w:r>
      <w:r w:rsidRPr="00A220B2">
        <w:rPr>
          <w:rFonts w:ascii="Verdana" w:hAnsi="Verdana"/>
          <w:iCs/>
          <w:spacing w:val="-19"/>
          <w:sz w:val="20"/>
          <w:szCs w:val="20"/>
          <w:lang w:val="es-ES"/>
        </w:rPr>
        <w:t xml:space="preserve"> </w:t>
      </w:r>
      <w:r w:rsidRPr="00A220B2">
        <w:rPr>
          <w:rFonts w:ascii="Verdana" w:hAnsi="Verdana"/>
          <w:iCs/>
          <w:sz w:val="20"/>
          <w:szCs w:val="20"/>
          <w:lang w:val="es-ES"/>
        </w:rPr>
        <w:t>de</w:t>
      </w:r>
      <w:r w:rsidRPr="00A220B2">
        <w:rPr>
          <w:rFonts w:ascii="Verdana" w:hAnsi="Verdana"/>
          <w:iCs/>
          <w:spacing w:val="-19"/>
          <w:sz w:val="20"/>
          <w:szCs w:val="20"/>
          <w:lang w:val="es-ES"/>
        </w:rPr>
        <w:t xml:space="preserve"> </w:t>
      </w:r>
      <w:r w:rsidRPr="00A220B2">
        <w:rPr>
          <w:rFonts w:ascii="Verdana" w:hAnsi="Verdana"/>
          <w:iCs/>
          <w:sz w:val="20"/>
          <w:szCs w:val="20"/>
          <w:lang w:val="es-ES"/>
        </w:rPr>
        <w:t>los</w:t>
      </w:r>
      <w:r w:rsidRPr="00A220B2">
        <w:rPr>
          <w:rFonts w:ascii="Verdana" w:hAnsi="Verdana"/>
          <w:iCs/>
          <w:spacing w:val="-20"/>
          <w:sz w:val="20"/>
          <w:szCs w:val="20"/>
          <w:lang w:val="es-ES"/>
        </w:rPr>
        <w:t xml:space="preserve"> </w:t>
      </w:r>
      <w:r w:rsidRPr="00A220B2">
        <w:rPr>
          <w:rFonts w:ascii="Verdana" w:hAnsi="Verdana"/>
          <w:iCs/>
          <w:sz w:val="20"/>
          <w:szCs w:val="20"/>
          <w:lang w:val="es-ES"/>
        </w:rPr>
        <w:t>anteriores</w:t>
      </w:r>
      <w:r w:rsidRPr="00A220B2">
        <w:rPr>
          <w:rFonts w:ascii="Verdana" w:hAnsi="Verdana"/>
          <w:iCs/>
          <w:spacing w:val="-19"/>
          <w:sz w:val="20"/>
          <w:szCs w:val="20"/>
          <w:lang w:val="es-ES"/>
        </w:rPr>
        <w:t xml:space="preserve"> </w:t>
      </w:r>
      <w:r w:rsidRPr="00A220B2">
        <w:rPr>
          <w:rFonts w:ascii="Verdana" w:hAnsi="Verdana"/>
          <w:iCs/>
          <w:sz w:val="20"/>
          <w:szCs w:val="20"/>
          <w:lang w:val="es-ES"/>
        </w:rPr>
        <w:t>principios,</w:t>
      </w:r>
      <w:r w:rsidRPr="00A220B2">
        <w:rPr>
          <w:rFonts w:ascii="Verdana" w:hAnsi="Verdana"/>
          <w:iCs/>
          <w:spacing w:val="-20"/>
          <w:sz w:val="20"/>
          <w:szCs w:val="20"/>
          <w:lang w:val="es-ES"/>
        </w:rPr>
        <w:t xml:space="preserve"> </w:t>
      </w:r>
      <w:r w:rsidRPr="00A220B2">
        <w:rPr>
          <w:rFonts w:ascii="Verdana" w:hAnsi="Verdana"/>
          <w:iCs/>
          <w:sz w:val="20"/>
          <w:szCs w:val="20"/>
          <w:lang w:val="es-ES"/>
        </w:rPr>
        <w:t>deberán</w:t>
      </w:r>
      <w:r w:rsidRPr="00A220B2">
        <w:rPr>
          <w:rFonts w:ascii="Verdana" w:hAnsi="Verdana"/>
          <w:iCs/>
          <w:spacing w:val="-18"/>
          <w:sz w:val="20"/>
          <w:szCs w:val="20"/>
          <w:lang w:val="es-ES"/>
        </w:rPr>
        <w:t xml:space="preserve"> </w:t>
      </w:r>
      <w:r w:rsidRPr="00A220B2">
        <w:rPr>
          <w:rFonts w:ascii="Verdana" w:hAnsi="Verdana"/>
          <w:iCs/>
          <w:sz w:val="20"/>
          <w:szCs w:val="20"/>
          <w:lang w:val="es-ES"/>
        </w:rPr>
        <w:t>publicar</w:t>
      </w:r>
      <w:r w:rsidRPr="00A220B2">
        <w:rPr>
          <w:rFonts w:ascii="Verdana" w:hAnsi="Verdana"/>
          <w:iCs/>
          <w:spacing w:val="-19"/>
          <w:sz w:val="20"/>
          <w:szCs w:val="20"/>
          <w:lang w:val="es-ES"/>
        </w:rPr>
        <w:t xml:space="preserve"> </w:t>
      </w:r>
      <w:r w:rsidRPr="00A220B2">
        <w:rPr>
          <w:rFonts w:ascii="Verdana" w:hAnsi="Verdana"/>
          <w:iCs/>
          <w:sz w:val="20"/>
          <w:szCs w:val="20"/>
          <w:lang w:val="es-ES"/>
        </w:rPr>
        <w:t>los documentos</w:t>
      </w:r>
      <w:r w:rsidRPr="00A220B2">
        <w:rPr>
          <w:rFonts w:ascii="Verdana" w:hAnsi="Verdana"/>
          <w:iCs/>
          <w:spacing w:val="-14"/>
          <w:sz w:val="20"/>
          <w:szCs w:val="20"/>
          <w:lang w:val="es-ES"/>
        </w:rPr>
        <w:t xml:space="preserve"> </w:t>
      </w:r>
      <w:r w:rsidRPr="00A220B2">
        <w:rPr>
          <w:rFonts w:ascii="Verdana" w:hAnsi="Verdana"/>
          <w:iCs/>
          <w:sz w:val="20"/>
          <w:szCs w:val="20"/>
          <w:lang w:val="es-ES"/>
        </w:rPr>
        <w:t>relacionados</w:t>
      </w:r>
      <w:r w:rsidRPr="00A220B2">
        <w:rPr>
          <w:rFonts w:ascii="Verdana" w:hAnsi="Verdana"/>
          <w:iCs/>
          <w:spacing w:val="-14"/>
          <w:sz w:val="20"/>
          <w:szCs w:val="20"/>
          <w:lang w:val="es-ES"/>
        </w:rPr>
        <w:t xml:space="preserve"> </w:t>
      </w:r>
      <w:r w:rsidRPr="00A220B2">
        <w:rPr>
          <w:rFonts w:ascii="Verdana" w:hAnsi="Verdana"/>
          <w:iCs/>
          <w:sz w:val="20"/>
          <w:szCs w:val="20"/>
          <w:lang w:val="es-ES"/>
        </w:rPr>
        <w:t>con</w:t>
      </w:r>
      <w:r w:rsidRPr="00A220B2">
        <w:rPr>
          <w:rFonts w:ascii="Verdana" w:hAnsi="Verdana"/>
          <w:iCs/>
          <w:spacing w:val="-17"/>
          <w:sz w:val="20"/>
          <w:szCs w:val="20"/>
          <w:lang w:val="es-ES"/>
        </w:rPr>
        <w:t xml:space="preserve"> </w:t>
      </w:r>
      <w:r w:rsidRPr="00A220B2">
        <w:rPr>
          <w:rFonts w:ascii="Verdana" w:hAnsi="Verdana"/>
          <w:iCs/>
          <w:sz w:val="20"/>
          <w:szCs w:val="20"/>
          <w:lang w:val="es-ES"/>
        </w:rPr>
        <w:t>su</w:t>
      </w:r>
      <w:r w:rsidRPr="00A220B2">
        <w:rPr>
          <w:rFonts w:ascii="Verdana" w:hAnsi="Verdana"/>
          <w:iCs/>
          <w:spacing w:val="-14"/>
          <w:sz w:val="20"/>
          <w:szCs w:val="20"/>
          <w:lang w:val="es-ES"/>
        </w:rPr>
        <w:t xml:space="preserve"> </w:t>
      </w:r>
      <w:r w:rsidRPr="00A220B2">
        <w:rPr>
          <w:rFonts w:ascii="Verdana" w:hAnsi="Verdana"/>
          <w:iCs/>
          <w:sz w:val="20"/>
          <w:szCs w:val="20"/>
          <w:lang w:val="es-ES"/>
        </w:rPr>
        <w:t>actividad</w:t>
      </w:r>
      <w:r w:rsidRPr="00A220B2">
        <w:rPr>
          <w:rFonts w:ascii="Verdana" w:hAnsi="Verdana"/>
          <w:iCs/>
          <w:spacing w:val="-16"/>
          <w:sz w:val="20"/>
          <w:szCs w:val="20"/>
          <w:lang w:val="es-ES"/>
        </w:rPr>
        <w:t xml:space="preserve"> </w:t>
      </w:r>
      <w:r w:rsidRPr="00A220B2">
        <w:rPr>
          <w:rFonts w:ascii="Verdana" w:hAnsi="Verdana"/>
          <w:iCs/>
          <w:sz w:val="20"/>
          <w:szCs w:val="20"/>
          <w:lang w:val="es-ES"/>
        </w:rPr>
        <w:t>contractual</w:t>
      </w:r>
      <w:r w:rsidRPr="00A220B2">
        <w:rPr>
          <w:rFonts w:ascii="Verdana" w:hAnsi="Verdana"/>
          <w:iCs/>
          <w:spacing w:val="-16"/>
          <w:sz w:val="20"/>
          <w:szCs w:val="20"/>
          <w:lang w:val="es-ES"/>
        </w:rPr>
        <w:t xml:space="preserve"> </w:t>
      </w:r>
      <w:r w:rsidRPr="00A220B2">
        <w:rPr>
          <w:rFonts w:ascii="Verdana" w:hAnsi="Verdana"/>
          <w:iCs/>
          <w:sz w:val="20"/>
          <w:szCs w:val="20"/>
          <w:lang w:val="es-ES"/>
        </w:rPr>
        <w:t>en el Sistema Electrónico para la Contratación Pública - SECOP –I - o la plataforma transaccional que haga sus veces. Para los efectos de este artículo, se entiende por actividad contractual los documentos, contratos, actos e información generada por oferentes, contratista, contratante, supervisor</w:t>
      </w:r>
      <w:r w:rsidRPr="00A220B2">
        <w:rPr>
          <w:rFonts w:ascii="Verdana" w:hAnsi="Verdana"/>
          <w:iCs/>
          <w:spacing w:val="-19"/>
          <w:sz w:val="20"/>
          <w:szCs w:val="20"/>
          <w:lang w:val="es-ES"/>
        </w:rPr>
        <w:t xml:space="preserve"> </w:t>
      </w:r>
      <w:r w:rsidRPr="00A220B2">
        <w:rPr>
          <w:rFonts w:ascii="Verdana" w:hAnsi="Verdana"/>
          <w:iCs/>
          <w:sz w:val="20"/>
          <w:szCs w:val="20"/>
          <w:lang w:val="es-ES"/>
        </w:rPr>
        <w:t>o</w:t>
      </w:r>
      <w:r w:rsidRPr="00A220B2">
        <w:rPr>
          <w:rFonts w:ascii="Verdana" w:hAnsi="Verdana"/>
          <w:iCs/>
          <w:spacing w:val="-18"/>
          <w:sz w:val="20"/>
          <w:szCs w:val="20"/>
          <w:lang w:val="es-ES"/>
        </w:rPr>
        <w:t xml:space="preserve"> </w:t>
      </w:r>
      <w:r w:rsidRPr="00A220B2">
        <w:rPr>
          <w:rFonts w:ascii="Verdana" w:hAnsi="Verdana"/>
          <w:iCs/>
          <w:sz w:val="20"/>
          <w:szCs w:val="20"/>
          <w:lang w:val="es-ES"/>
        </w:rPr>
        <w:t>interventor,</w:t>
      </w:r>
      <w:r w:rsidRPr="00A220B2">
        <w:rPr>
          <w:rFonts w:ascii="Verdana" w:hAnsi="Verdana"/>
          <w:iCs/>
          <w:spacing w:val="-18"/>
          <w:sz w:val="20"/>
          <w:szCs w:val="20"/>
          <w:lang w:val="es-ES"/>
        </w:rPr>
        <w:t xml:space="preserve"> </w:t>
      </w:r>
      <w:r w:rsidRPr="00A220B2">
        <w:rPr>
          <w:rFonts w:ascii="Verdana" w:hAnsi="Verdana"/>
          <w:iCs/>
          <w:sz w:val="20"/>
          <w:szCs w:val="20"/>
          <w:lang w:val="es-ES"/>
        </w:rPr>
        <w:t>tanto</w:t>
      </w:r>
      <w:r w:rsidRPr="00A220B2">
        <w:rPr>
          <w:rFonts w:ascii="Verdana" w:hAnsi="Verdana"/>
          <w:iCs/>
          <w:spacing w:val="-18"/>
          <w:sz w:val="20"/>
          <w:szCs w:val="20"/>
          <w:lang w:val="es-ES"/>
        </w:rPr>
        <w:t xml:space="preserve"> </w:t>
      </w:r>
      <w:r w:rsidRPr="00A220B2">
        <w:rPr>
          <w:rFonts w:ascii="Verdana" w:hAnsi="Verdana"/>
          <w:iCs/>
          <w:sz w:val="20"/>
          <w:szCs w:val="20"/>
          <w:lang w:val="es-ES"/>
        </w:rPr>
        <w:t>en</w:t>
      </w:r>
      <w:r w:rsidRPr="00A220B2">
        <w:rPr>
          <w:rFonts w:ascii="Verdana" w:hAnsi="Verdana"/>
          <w:iCs/>
          <w:spacing w:val="-19"/>
          <w:sz w:val="20"/>
          <w:szCs w:val="20"/>
          <w:lang w:val="es-ES"/>
        </w:rPr>
        <w:t xml:space="preserve"> </w:t>
      </w:r>
      <w:r w:rsidRPr="00A220B2">
        <w:rPr>
          <w:rFonts w:ascii="Verdana" w:hAnsi="Verdana"/>
          <w:iCs/>
          <w:sz w:val="20"/>
          <w:szCs w:val="20"/>
          <w:lang w:val="es-ES"/>
        </w:rPr>
        <w:t>la</w:t>
      </w:r>
      <w:r w:rsidRPr="00A220B2">
        <w:rPr>
          <w:rFonts w:ascii="Verdana" w:hAnsi="Verdana"/>
          <w:iCs/>
          <w:spacing w:val="-17"/>
          <w:sz w:val="20"/>
          <w:szCs w:val="20"/>
          <w:lang w:val="es-ES"/>
        </w:rPr>
        <w:t xml:space="preserve"> </w:t>
      </w:r>
      <w:r w:rsidRPr="00A220B2">
        <w:rPr>
          <w:rFonts w:ascii="Verdana" w:hAnsi="Verdana"/>
          <w:iCs/>
          <w:sz w:val="20"/>
          <w:szCs w:val="20"/>
          <w:lang w:val="es-ES"/>
        </w:rPr>
        <w:t>etapa</w:t>
      </w:r>
      <w:r w:rsidRPr="00A220B2">
        <w:rPr>
          <w:rFonts w:ascii="Verdana" w:hAnsi="Verdana"/>
          <w:iCs/>
          <w:spacing w:val="-19"/>
          <w:sz w:val="20"/>
          <w:szCs w:val="20"/>
          <w:lang w:val="es-ES"/>
        </w:rPr>
        <w:t xml:space="preserve"> </w:t>
      </w:r>
      <w:r w:rsidRPr="00A220B2">
        <w:rPr>
          <w:rFonts w:ascii="Verdana" w:hAnsi="Verdana"/>
          <w:iCs/>
          <w:sz w:val="20"/>
          <w:szCs w:val="20"/>
          <w:lang w:val="es-ES"/>
        </w:rPr>
        <w:t>precontractual,</w:t>
      </w:r>
      <w:r w:rsidRPr="00A220B2">
        <w:rPr>
          <w:rFonts w:ascii="Verdana" w:hAnsi="Verdana"/>
          <w:iCs/>
          <w:spacing w:val="-18"/>
          <w:sz w:val="20"/>
          <w:szCs w:val="20"/>
          <w:lang w:val="es-ES"/>
        </w:rPr>
        <w:t xml:space="preserve"> </w:t>
      </w:r>
      <w:r w:rsidRPr="00A220B2">
        <w:rPr>
          <w:rFonts w:ascii="Verdana" w:hAnsi="Verdana"/>
          <w:iCs/>
          <w:sz w:val="20"/>
          <w:szCs w:val="20"/>
          <w:lang w:val="es-ES"/>
        </w:rPr>
        <w:t>como en la contractual y la postcontractual.</w:t>
      </w:r>
    </w:p>
    <w:p w14:paraId="45CE8C31" w14:textId="77777777" w:rsidR="007D41E8" w:rsidRPr="00A220B2" w:rsidRDefault="007D41E8" w:rsidP="007D41E8">
      <w:pPr>
        <w:pStyle w:val="Ttulo3"/>
        <w:spacing w:before="0"/>
        <w:rPr>
          <w:b w:val="0"/>
          <w:bCs w:val="0"/>
          <w:i w:val="0"/>
          <w:sz w:val="20"/>
          <w:szCs w:val="20"/>
          <w:u w:val="none"/>
        </w:rPr>
      </w:pPr>
    </w:p>
    <w:p w14:paraId="1FE50759" w14:textId="77777777" w:rsidR="007D41E8" w:rsidRPr="00A220B2" w:rsidRDefault="007D41E8" w:rsidP="007D41E8">
      <w:pPr>
        <w:pStyle w:val="Ttulo3"/>
        <w:spacing w:before="0"/>
        <w:rPr>
          <w:b w:val="0"/>
          <w:bCs w:val="0"/>
          <w:i w:val="0"/>
          <w:sz w:val="20"/>
          <w:szCs w:val="20"/>
          <w:u w:val="none"/>
        </w:rPr>
      </w:pPr>
      <w:r w:rsidRPr="00A220B2">
        <w:rPr>
          <w:b w:val="0"/>
          <w:bCs w:val="0"/>
          <w:i w:val="0"/>
          <w:sz w:val="20"/>
          <w:szCs w:val="20"/>
          <w:u w:val="none"/>
        </w:rPr>
        <w:t xml:space="preserve">A partir de la </w:t>
      </w:r>
      <w:proofErr w:type="gramStart"/>
      <w:r w:rsidRPr="00A220B2">
        <w:rPr>
          <w:b w:val="0"/>
          <w:bCs w:val="0"/>
          <w:i w:val="0"/>
          <w:sz w:val="20"/>
          <w:szCs w:val="20"/>
          <w:u w:val="none"/>
        </w:rPr>
        <w:t>entrada en vigencia</w:t>
      </w:r>
      <w:proofErr w:type="gramEnd"/>
      <w:r w:rsidRPr="00A220B2">
        <w:rPr>
          <w:b w:val="0"/>
          <w:bCs w:val="0"/>
          <w:i w:val="0"/>
          <w:sz w:val="20"/>
          <w:szCs w:val="20"/>
          <w:u w:val="none"/>
        </w:rPr>
        <w:t xml:space="preserve"> de la presente Ley, se establecerá un periodo de transición de seis (6) meses, para que las entidades den cumplimiento efectivo a lo aquí establecido”. </w:t>
      </w:r>
    </w:p>
    <w:p w14:paraId="3057B494" w14:textId="77777777" w:rsidR="007D41E8" w:rsidRPr="00A220B2" w:rsidRDefault="007D41E8" w:rsidP="007D41E8">
      <w:pPr>
        <w:pStyle w:val="Textoindependiente"/>
        <w:spacing w:after="0"/>
        <w:ind w:right="136" w:firstLine="709"/>
        <w:jc w:val="both"/>
        <w:rPr>
          <w:rFonts w:ascii="Verdana" w:hAnsi="Verdana"/>
          <w:lang w:val="es-ES"/>
        </w:rPr>
      </w:pPr>
    </w:p>
    <w:p w14:paraId="2FB7640A" w14:textId="77777777" w:rsidR="007D41E8" w:rsidRPr="00A220B2" w:rsidRDefault="007D41E8" w:rsidP="007D41E8">
      <w:pPr>
        <w:pStyle w:val="Textoindependiente"/>
        <w:spacing w:line="276" w:lineRule="auto"/>
        <w:ind w:right="136" w:firstLine="709"/>
        <w:jc w:val="both"/>
        <w:rPr>
          <w:rFonts w:ascii="Verdana" w:hAnsi="Verdana"/>
          <w:lang w:val="es-ES"/>
        </w:rPr>
      </w:pPr>
      <w:r w:rsidRPr="00A220B2">
        <w:rPr>
          <w:rFonts w:ascii="Verdana" w:hAnsi="Verdana"/>
          <w:lang w:val="es-ES"/>
        </w:rPr>
        <w:t>Así las cosas, en virtud de esta disposición normativa, todas las entidades que tienen un régimen de contratación exceptuado del Estatuto General de Contratación de la Administración Pública, a partir del 18 de julio de 2022, están</w:t>
      </w:r>
      <w:r w:rsidRPr="00A220B2">
        <w:rPr>
          <w:rFonts w:ascii="Verdana" w:hAnsi="Verdana"/>
          <w:spacing w:val="-11"/>
          <w:lang w:val="es-ES"/>
        </w:rPr>
        <w:t xml:space="preserve"> </w:t>
      </w:r>
      <w:r w:rsidRPr="00A220B2">
        <w:rPr>
          <w:rFonts w:ascii="Verdana" w:hAnsi="Verdana"/>
          <w:lang w:val="es-ES"/>
        </w:rPr>
        <w:t>obligados</w:t>
      </w:r>
      <w:r w:rsidRPr="00A220B2">
        <w:rPr>
          <w:rFonts w:ascii="Verdana" w:hAnsi="Verdana"/>
          <w:spacing w:val="-10"/>
          <w:lang w:val="es-ES"/>
        </w:rPr>
        <w:t xml:space="preserve"> </w:t>
      </w:r>
      <w:r w:rsidRPr="00A220B2">
        <w:rPr>
          <w:rFonts w:ascii="Verdana" w:hAnsi="Verdana"/>
          <w:lang w:val="es-ES"/>
        </w:rPr>
        <w:t>a</w:t>
      </w:r>
      <w:r w:rsidRPr="00A220B2">
        <w:rPr>
          <w:rFonts w:ascii="Verdana" w:hAnsi="Verdana"/>
          <w:spacing w:val="-11"/>
          <w:lang w:val="es-ES"/>
        </w:rPr>
        <w:t xml:space="preserve"> </w:t>
      </w:r>
      <w:r w:rsidRPr="00A220B2">
        <w:rPr>
          <w:rFonts w:ascii="Verdana" w:hAnsi="Verdana"/>
          <w:lang w:val="es-ES"/>
        </w:rPr>
        <w:t>publicar</w:t>
      </w:r>
      <w:r w:rsidRPr="00A220B2">
        <w:rPr>
          <w:rFonts w:ascii="Verdana" w:hAnsi="Verdana"/>
          <w:spacing w:val="-12"/>
          <w:lang w:val="es-ES"/>
        </w:rPr>
        <w:t xml:space="preserve"> </w:t>
      </w:r>
      <w:r w:rsidRPr="00A220B2">
        <w:rPr>
          <w:rFonts w:ascii="Verdana" w:hAnsi="Verdana"/>
          <w:lang w:val="es-ES"/>
        </w:rPr>
        <w:t>su</w:t>
      </w:r>
      <w:r w:rsidRPr="00A220B2">
        <w:rPr>
          <w:rFonts w:ascii="Verdana" w:hAnsi="Verdana"/>
          <w:spacing w:val="-13"/>
          <w:lang w:val="es-ES"/>
        </w:rPr>
        <w:t xml:space="preserve"> </w:t>
      </w:r>
      <w:r w:rsidRPr="00A220B2">
        <w:rPr>
          <w:rFonts w:ascii="Verdana" w:hAnsi="Verdana"/>
          <w:lang w:val="es-ES"/>
        </w:rPr>
        <w:t>actividad</w:t>
      </w:r>
      <w:r w:rsidRPr="00A220B2">
        <w:rPr>
          <w:rFonts w:ascii="Verdana" w:hAnsi="Verdana"/>
          <w:spacing w:val="-9"/>
          <w:lang w:val="es-ES"/>
        </w:rPr>
        <w:t xml:space="preserve"> </w:t>
      </w:r>
      <w:r w:rsidRPr="00A220B2">
        <w:rPr>
          <w:rFonts w:ascii="Verdana" w:hAnsi="Verdana"/>
          <w:lang w:val="es-ES"/>
        </w:rPr>
        <w:t>contractual</w:t>
      </w:r>
      <w:r w:rsidRPr="00A220B2">
        <w:rPr>
          <w:rFonts w:ascii="Verdana" w:hAnsi="Verdana"/>
          <w:spacing w:val="-11"/>
          <w:lang w:val="es-ES"/>
        </w:rPr>
        <w:t xml:space="preserve"> </w:t>
      </w:r>
      <w:r w:rsidRPr="00A220B2">
        <w:rPr>
          <w:rFonts w:ascii="Verdana" w:hAnsi="Verdana"/>
          <w:lang w:val="es-ES"/>
        </w:rPr>
        <w:t>en</w:t>
      </w:r>
      <w:r w:rsidRPr="00A220B2">
        <w:rPr>
          <w:rFonts w:ascii="Verdana" w:hAnsi="Verdana"/>
          <w:spacing w:val="-10"/>
          <w:lang w:val="es-ES"/>
        </w:rPr>
        <w:t xml:space="preserve"> </w:t>
      </w:r>
      <w:r w:rsidRPr="00A220B2">
        <w:rPr>
          <w:rFonts w:ascii="Verdana" w:hAnsi="Verdana"/>
          <w:lang w:val="es-ES"/>
        </w:rPr>
        <w:t>la</w:t>
      </w:r>
      <w:r w:rsidRPr="00A220B2">
        <w:rPr>
          <w:rFonts w:ascii="Verdana" w:hAnsi="Verdana"/>
          <w:spacing w:val="-11"/>
          <w:lang w:val="es-ES"/>
        </w:rPr>
        <w:t xml:space="preserve"> </w:t>
      </w:r>
      <w:r w:rsidRPr="00A220B2">
        <w:rPr>
          <w:rFonts w:ascii="Verdana" w:hAnsi="Verdana"/>
          <w:lang w:val="es-ES"/>
        </w:rPr>
        <w:t>plataforma</w:t>
      </w:r>
      <w:r w:rsidRPr="00A220B2">
        <w:rPr>
          <w:rFonts w:ascii="Verdana" w:hAnsi="Verdana"/>
          <w:spacing w:val="-11"/>
          <w:lang w:val="es-ES"/>
        </w:rPr>
        <w:t xml:space="preserve"> </w:t>
      </w:r>
      <w:r w:rsidRPr="00A220B2">
        <w:rPr>
          <w:rFonts w:ascii="Verdana" w:hAnsi="Verdana"/>
          <w:lang w:val="es-ES"/>
        </w:rPr>
        <w:t>SECOP</w:t>
      </w:r>
      <w:r w:rsidRPr="00A220B2">
        <w:rPr>
          <w:rFonts w:ascii="Verdana" w:hAnsi="Verdana"/>
          <w:spacing w:val="-9"/>
          <w:lang w:val="es-ES"/>
        </w:rPr>
        <w:t xml:space="preserve"> </w:t>
      </w:r>
      <w:r w:rsidRPr="00A220B2">
        <w:rPr>
          <w:rFonts w:ascii="Verdana" w:hAnsi="Verdana"/>
          <w:lang w:val="es-ES"/>
        </w:rPr>
        <w:t>II o en la plataforma transaccional que haga sus veces.</w:t>
      </w:r>
    </w:p>
    <w:p w14:paraId="2985980B" w14:textId="77777777" w:rsidR="007D41E8" w:rsidRPr="00EF6053" w:rsidRDefault="007D41E8" w:rsidP="007D41E8">
      <w:pPr>
        <w:spacing w:before="160" w:line="276" w:lineRule="auto"/>
        <w:ind w:right="130" w:firstLine="709"/>
        <w:jc w:val="both"/>
        <w:rPr>
          <w:rFonts w:ascii="Verdana" w:hAnsi="Verdana"/>
          <w:spacing w:val="-2"/>
          <w:lang w:val="es-ES"/>
        </w:rPr>
      </w:pPr>
      <w:r w:rsidRPr="00A220B2">
        <w:rPr>
          <w:rFonts w:ascii="Verdana" w:hAnsi="Verdana"/>
          <w:lang w:val="es-ES"/>
        </w:rPr>
        <w:lastRenderedPageBreak/>
        <w:t>De</w:t>
      </w:r>
      <w:r w:rsidRPr="00A220B2">
        <w:rPr>
          <w:rFonts w:ascii="Verdana" w:hAnsi="Verdana"/>
          <w:spacing w:val="-18"/>
          <w:lang w:val="es-ES"/>
        </w:rPr>
        <w:t xml:space="preserve"> </w:t>
      </w:r>
      <w:r w:rsidRPr="00A220B2">
        <w:rPr>
          <w:rFonts w:ascii="Verdana" w:hAnsi="Verdana"/>
          <w:lang w:val="es-ES"/>
        </w:rPr>
        <w:t>la</w:t>
      </w:r>
      <w:r w:rsidRPr="00A220B2">
        <w:rPr>
          <w:rFonts w:ascii="Verdana" w:hAnsi="Verdana"/>
          <w:spacing w:val="-19"/>
          <w:lang w:val="es-ES"/>
        </w:rPr>
        <w:t xml:space="preserve"> </w:t>
      </w:r>
      <w:r w:rsidRPr="00A220B2">
        <w:rPr>
          <w:rFonts w:ascii="Verdana" w:hAnsi="Verdana"/>
          <w:lang w:val="es-ES"/>
        </w:rPr>
        <w:t>misma</w:t>
      </w:r>
      <w:r w:rsidRPr="00A220B2">
        <w:rPr>
          <w:rFonts w:ascii="Verdana" w:hAnsi="Verdana"/>
          <w:spacing w:val="-19"/>
          <w:lang w:val="es-ES"/>
        </w:rPr>
        <w:t xml:space="preserve"> </w:t>
      </w:r>
      <w:r w:rsidRPr="00A220B2">
        <w:rPr>
          <w:rFonts w:ascii="Verdana" w:hAnsi="Verdana"/>
          <w:lang w:val="es-ES"/>
        </w:rPr>
        <w:t>manera,</w:t>
      </w:r>
      <w:r w:rsidRPr="00A220B2">
        <w:rPr>
          <w:rFonts w:ascii="Verdana" w:hAnsi="Verdana"/>
          <w:spacing w:val="-18"/>
          <w:lang w:val="es-ES"/>
        </w:rPr>
        <w:t xml:space="preserve"> </w:t>
      </w:r>
      <w:r w:rsidRPr="00A220B2">
        <w:rPr>
          <w:rFonts w:ascii="Verdana" w:hAnsi="Verdana"/>
          <w:lang w:val="es-ES"/>
        </w:rPr>
        <w:t>la</w:t>
      </w:r>
      <w:r w:rsidRPr="00A220B2">
        <w:rPr>
          <w:rFonts w:ascii="Verdana" w:hAnsi="Verdana"/>
          <w:spacing w:val="-19"/>
          <w:lang w:val="es-ES"/>
        </w:rPr>
        <w:t xml:space="preserve"> </w:t>
      </w:r>
      <w:r w:rsidRPr="00A220B2">
        <w:rPr>
          <w:rFonts w:ascii="Verdana" w:hAnsi="Verdana"/>
          <w:lang w:val="es-ES"/>
        </w:rPr>
        <w:t>norma</w:t>
      </w:r>
      <w:r w:rsidRPr="00A220B2">
        <w:rPr>
          <w:rFonts w:ascii="Verdana" w:hAnsi="Verdana"/>
          <w:spacing w:val="-19"/>
          <w:lang w:val="es-ES"/>
        </w:rPr>
        <w:t xml:space="preserve"> </w:t>
      </w:r>
      <w:r w:rsidRPr="00A220B2">
        <w:rPr>
          <w:rFonts w:ascii="Verdana" w:hAnsi="Verdana"/>
          <w:lang w:val="es-ES"/>
        </w:rPr>
        <w:t>en</w:t>
      </w:r>
      <w:r w:rsidRPr="00A220B2">
        <w:rPr>
          <w:rFonts w:ascii="Verdana" w:hAnsi="Verdana"/>
          <w:spacing w:val="-19"/>
          <w:lang w:val="es-ES"/>
        </w:rPr>
        <w:t xml:space="preserve"> </w:t>
      </w:r>
      <w:r w:rsidRPr="00A220B2">
        <w:rPr>
          <w:rFonts w:ascii="Verdana" w:hAnsi="Verdana"/>
          <w:lang w:val="es-ES"/>
        </w:rPr>
        <w:t>mención</w:t>
      </w:r>
      <w:r w:rsidRPr="00A220B2">
        <w:rPr>
          <w:rFonts w:ascii="Verdana" w:hAnsi="Verdana"/>
          <w:spacing w:val="-19"/>
          <w:lang w:val="es-ES"/>
        </w:rPr>
        <w:t xml:space="preserve"> </w:t>
      </w:r>
      <w:r w:rsidRPr="00A220B2">
        <w:rPr>
          <w:rFonts w:ascii="Verdana" w:hAnsi="Verdana"/>
          <w:lang w:val="es-ES"/>
        </w:rPr>
        <w:t>precisa</w:t>
      </w:r>
      <w:r w:rsidRPr="00A220B2">
        <w:rPr>
          <w:rFonts w:ascii="Verdana" w:hAnsi="Verdana"/>
          <w:spacing w:val="-19"/>
          <w:lang w:val="es-ES"/>
        </w:rPr>
        <w:t xml:space="preserve"> </w:t>
      </w:r>
      <w:r w:rsidRPr="00A220B2">
        <w:rPr>
          <w:rFonts w:ascii="Verdana" w:hAnsi="Verdana"/>
          <w:lang w:val="es-ES"/>
        </w:rPr>
        <w:t>el</w:t>
      </w:r>
      <w:r w:rsidRPr="00A220B2">
        <w:rPr>
          <w:rFonts w:ascii="Verdana" w:hAnsi="Verdana"/>
          <w:spacing w:val="-19"/>
          <w:lang w:val="es-ES"/>
        </w:rPr>
        <w:t xml:space="preserve"> </w:t>
      </w:r>
      <w:r w:rsidRPr="00A220B2">
        <w:rPr>
          <w:rFonts w:ascii="Verdana" w:hAnsi="Verdana"/>
          <w:lang w:val="es-ES"/>
        </w:rPr>
        <w:t>entendimiento</w:t>
      </w:r>
      <w:r w:rsidRPr="00A220B2">
        <w:rPr>
          <w:rFonts w:ascii="Verdana" w:hAnsi="Verdana"/>
          <w:spacing w:val="-19"/>
          <w:lang w:val="es-ES"/>
        </w:rPr>
        <w:t xml:space="preserve"> </w:t>
      </w:r>
      <w:r w:rsidRPr="00A220B2">
        <w:rPr>
          <w:rFonts w:ascii="Verdana" w:hAnsi="Verdana"/>
          <w:lang w:val="es-ES"/>
        </w:rPr>
        <w:t>que</w:t>
      </w:r>
      <w:r w:rsidRPr="00A220B2">
        <w:rPr>
          <w:rFonts w:ascii="Verdana" w:hAnsi="Verdana"/>
          <w:spacing w:val="-19"/>
          <w:lang w:val="es-ES"/>
        </w:rPr>
        <w:t xml:space="preserve"> </w:t>
      </w:r>
      <w:r w:rsidRPr="00A220B2">
        <w:rPr>
          <w:rFonts w:ascii="Verdana" w:hAnsi="Verdana"/>
          <w:lang w:val="es-ES"/>
        </w:rPr>
        <w:t>debe dársele</w:t>
      </w:r>
      <w:r w:rsidRPr="00A220B2">
        <w:rPr>
          <w:rFonts w:ascii="Verdana" w:hAnsi="Verdana"/>
          <w:spacing w:val="-7"/>
          <w:lang w:val="es-ES"/>
        </w:rPr>
        <w:t xml:space="preserve"> </w:t>
      </w:r>
      <w:r w:rsidRPr="00A220B2">
        <w:rPr>
          <w:rFonts w:ascii="Verdana" w:hAnsi="Verdana"/>
          <w:lang w:val="es-ES"/>
        </w:rPr>
        <w:t>a</w:t>
      </w:r>
      <w:r w:rsidRPr="00A220B2">
        <w:rPr>
          <w:rFonts w:ascii="Verdana" w:hAnsi="Verdana"/>
          <w:spacing w:val="-8"/>
          <w:lang w:val="es-ES"/>
        </w:rPr>
        <w:t xml:space="preserve"> </w:t>
      </w:r>
      <w:r w:rsidRPr="00A220B2">
        <w:rPr>
          <w:rFonts w:ascii="Verdana" w:hAnsi="Verdana"/>
          <w:lang w:val="es-ES"/>
        </w:rPr>
        <w:t>la</w:t>
      </w:r>
      <w:r w:rsidRPr="00A220B2">
        <w:rPr>
          <w:rFonts w:ascii="Verdana" w:hAnsi="Verdana"/>
          <w:spacing w:val="-8"/>
          <w:lang w:val="es-ES"/>
        </w:rPr>
        <w:t xml:space="preserve"> </w:t>
      </w:r>
      <w:r w:rsidRPr="00A220B2">
        <w:rPr>
          <w:rFonts w:ascii="Verdana" w:hAnsi="Verdana"/>
          <w:lang w:val="es-ES"/>
        </w:rPr>
        <w:t>expresión</w:t>
      </w:r>
      <w:r w:rsidRPr="00A220B2">
        <w:rPr>
          <w:rFonts w:ascii="Verdana" w:hAnsi="Verdana"/>
          <w:spacing w:val="-8"/>
          <w:lang w:val="es-ES"/>
        </w:rPr>
        <w:t xml:space="preserve"> “actividad</w:t>
      </w:r>
      <w:r w:rsidRPr="00A220B2">
        <w:rPr>
          <w:rFonts w:ascii="Verdana" w:hAnsi="Verdana"/>
          <w:spacing w:val="-9"/>
          <w:lang w:val="es-ES"/>
        </w:rPr>
        <w:t xml:space="preserve"> </w:t>
      </w:r>
      <w:r w:rsidRPr="00A220B2">
        <w:rPr>
          <w:rFonts w:ascii="Verdana" w:hAnsi="Verdana"/>
          <w:lang w:val="es-ES"/>
        </w:rPr>
        <w:t>contractual”</w:t>
      </w:r>
      <w:r w:rsidRPr="00A220B2">
        <w:rPr>
          <w:rFonts w:ascii="Verdana" w:hAnsi="Verdana"/>
          <w:spacing w:val="-9"/>
          <w:lang w:val="es-ES"/>
        </w:rPr>
        <w:t xml:space="preserve"> </w:t>
      </w:r>
      <w:r w:rsidRPr="00A220B2">
        <w:rPr>
          <w:rFonts w:ascii="Verdana" w:hAnsi="Verdana"/>
          <w:lang w:val="es-ES"/>
        </w:rPr>
        <w:t>y</w:t>
      </w:r>
      <w:r w:rsidRPr="00A220B2">
        <w:rPr>
          <w:rFonts w:ascii="Verdana" w:hAnsi="Verdana"/>
          <w:spacing w:val="-9"/>
          <w:lang w:val="es-ES"/>
        </w:rPr>
        <w:t xml:space="preserve"> </w:t>
      </w:r>
      <w:r w:rsidRPr="00A220B2">
        <w:rPr>
          <w:rFonts w:ascii="Verdana" w:hAnsi="Verdana"/>
          <w:lang w:val="es-ES"/>
        </w:rPr>
        <w:t>que</w:t>
      </w:r>
      <w:r w:rsidRPr="00A220B2">
        <w:rPr>
          <w:rFonts w:ascii="Verdana" w:hAnsi="Verdana"/>
          <w:spacing w:val="-8"/>
          <w:lang w:val="es-ES"/>
        </w:rPr>
        <w:t xml:space="preserve"> </w:t>
      </w:r>
      <w:r w:rsidRPr="00A220B2">
        <w:rPr>
          <w:rFonts w:ascii="Verdana" w:hAnsi="Verdana"/>
          <w:lang w:val="es-ES"/>
        </w:rPr>
        <w:t>permitirá</w:t>
      </w:r>
      <w:r w:rsidRPr="00A220B2">
        <w:rPr>
          <w:rFonts w:ascii="Verdana" w:hAnsi="Verdana"/>
          <w:spacing w:val="-8"/>
          <w:lang w:val="es-ES"/>
        </w:rPr>
        <w:t xml:space="preserve"> </w:t>
      </w:r>
      <w:r w:rsidRPr="00A220B2">
        <w:rPr>
          <w:rFonts w:ascii="Verdana" w:hAnsi="Verdana"/>
          <w:lang w:val="es-ES"/>
        </w:rPr>
        <w:t>determinar</w:t>
      </w:r>
      <w:r w:rsidRPr="00A220B2">
        <w:rPr>
          <w:rFonts w:ascii="Verdana" w:hAnsi="Verdana"/>
          <w:spacing w:val="-8"/>
          <w:lang w:val="es-ES"/>
        </w:rPr>
        <w:t xml:space="preserve"> </w:t>
      </w:r>
      <w:r w:rsidRPr="00A220B2">
        <w:rPr>
          <w:rFonts w:ascii="Verdana" w:hAnsi="Verdana"/>
          <w:lang w:val="es-ES"/>
        </w:rPr>
        <w:t>los documentos que deben publicar en la plataforma SECOP II estas entidades. En ese sentido, las entidades que tienen un régimen de contratación exceptuado</w:t>
      </w:r>
      <w:r w:rsidRPr="00A220B2">
        <w:rPr>
          <w:rFonts w:ascii="Verdana" w:hAnsi="Verdana"/>
          <w:spacing w:val="-16"/>
          <w:lang w:val="es-ES"/>
        </w:rPr>
        <w:t xml:space="preserve"> </w:t>
      </w:r>
      <w:r w:rsidRPr="00A220B2">
        <w:rPr>
          <w:rFonts w:ascii="Verdana" w:hAnsi="Verdana"/>
          <w:lang w:val="es-ES"/>
        </w:rPr>
        <w:t>del</w:t>
      </w:r>
      <w:r w:rsidRPr="00A220B2">
        <w:rPr>
          <w:rFonts w:ascii="Verdana" w:hAnsi="Verdana"/>
          <w:spacing w:val="-16"/>
          <w:lang w:val="es-ES"/>
        </w:rPr>
        <w:t xml:space="preserve"> </w:t>
      </w:r>
      <w:r w:rsidRPr="00A220B2">
        <w:rPr>
          <w:rFonts w:ascii="Verdana" w:hAnsi="Verdana"/>
          <w:lang w:val="es-ES"/>
        </w:rPr>
        <w:t>Estatuto</w:t>
      </w:r>
      <w:r w:rsidRPr="00A220B2">
        <w:rPr>
          <w:rFonts w:ascii="Verdana" w:hAnsi="Verdana"/>
          <w:spacing w:val="-16"/>
          <w:lang w:val="es-ES"/>
        </w:rPr>
        <w:t xml:space="preserve"> </w:t>
      </w:r>
      <w:r w:rsidRPr="00A220B2">
        <w:rPr>
          <w:rFonts w:ascii="Verdana" w:hAnsi="Verdana"/>
          <w:lang w:val="es-ES"/>
        </w:rPr>
        <w:t>General</w:t>
      </w:r>
      <w:r w:rsidRPr="00A220B2">
        <w:rPr>
          <w:rFonts w:ascii="Verdana" w:hAnsi="Verdana"/>
          <w:spacing w:val="-17"/>
          <w:lang w:val="es-ES"/>
        </w:rPr>
        <w:t xml:space="preserve"> </w:t>
      </w:r>
      <w:r w:rsidRPr="00A220B2">
        <w:rPr>
          <w:rFonts w:ascii="Verdana" w:hAnsi="Verdana"/>
          <w:lang w:val="es-ES"/>
        </w:rPr>
        <w:t>de</w:t>
      </w:r>
      <w:r w:rsidRPr="00A220B2">
        <w:rPr>
          <w:rFonts w:ascii="Verdana" w:hAnsi="Verdana"/>
          <w:spacing w:val="-16"/>
          <w:lang w:val="es-ES"/>
        </w:rPr>
        <w:t xml:space="preserve"> </w:t>
      </w:r>
      <w:r w:rsidRPr="00A220B2">
        <w:rPr>
          <w:rFonts w:ascii="Verdana" w:hAnsi="Verdana"/>
          <w:lang w:val="es-ES"/>
        </w:rPr>
        <w:t>Contratación</w:t>
      </w:r>
      <w:r w:rsidRPr="00A220B2">
        <w:rPr>
          <w:rFonts w:ascii="Verdana" w:hAnsi="Verdana"/>
          <w:spacing w:val="-16"/>
          <w:lang w:val="es-ES"/>
        </w:rPr>
        <w:t xml:space="preserve"> </w:t>
      </w:r>
      <w:r w:rsidRPr="00A220B2">
        <w:rPr>
          <w:rFonts w:ascii="Verdana" w:hAnsi="Verdana"/>
          <w:lang w:val="es-ES"/>
        </w:rPr>
        <w:t>de</w:t>
      </w:r>
      <w:r w:rsidRPr="00A220B2">
        <w:rPr>
          <w:rFonts w:ascii="Verdana" w:hAnsi="Verdana"/>
          <w:spacing w:val="-16"/>
          <w:lang w:val="es-ES"/>
        </w:rPr>
        <w:t xml:space="preserve"> </w:t>
      </w:r>
      <w:r w:rsidRPr="00A220B2">
        <w:rPr>
          <w:rFonts w:ascii="Verdana" w:hAnsi="Verdana"/>
          <w:lang w:val="es-ES"/>
        </w:rPr>
        <w:t>la</w:t>
      </w:r>
      <w:r w:rsidRPr="00A220B2">
        <w:rPr>
          <w:rFonts w:ascii="Verdana" w:hAnsi="Verdana"/>
          <w:spacing w:val="-17"/>
          <w:lang w:val="es-ES"/>
        </w:rPr>
        <w:t xml:space="preserve"> </w:t>
      </w:r>
      <w:r w:rsidRPr="00A220B2">
        <w:rPr>
          <w:rFonts w:ascii="Verdana" w:hAnsi="Verdana"/>
          <w:lang w:val="es-ES"/>
        </w:rPr>
        <w:t>Administración</w:t>
      </w:r>
      <w:r w:rsidRPr="00A220B2">
        <w:rPr>
          <w:rFonts w:ascii="Verdana" w:hAnsi="Verdana"/>
          <w:spacing w:val="-16"/>
          <w:lang w:val="es-ES"/>
        </w:rPr>
        <w:t xml:space="preserve"> </w:t>
      </w:r>
      <w:r w:rsidRPr="00A220B2">
        <w:rPr>
          <w:rFonts w:ascii="Verdana" w:hAnsi="Verdana"/>
          <w:lang w:val="es-ES"/>
        </w:rPr>
        <w:t xml:space="preserve">Pública tendrán la obligación de publicar </w:t>
      </w:r>
      <w:r w:rsidRPr="00A220B2">
        <w:rPr>
          <w:rFonts w:ascii="Verdana" w:hAnsi="Verdana"/>
          <w:i/>
          <w:lang w:val="es-ES"/>
        </w:rPr>
        <w:t>“los documentos, contratos, actos e información</w:t>
      </w:r>
      <w:r w:rsidRPr="00A220B2">
        <w:rPr>
          <w:rFonts w:ascii="Verdana" w:hAnsi="Verdana"/>
          <w:i/>
          <w:spacing w:val="26"/>
          <w:lang w:val="es-ES"/>
        </w:rPr>
        <w:t xml:space="preserve"> </w:t>
      </w:r>
      <w:r w:rsidRPr="00A220B2">
        <w:rPr>
          <w:rFonts w:ascii="Verdana" w:hAnsi="Verdana"/>
          <w:i/>
          <w:lang w:val="es-ES"/>
        </w:rPr>
        <w:t>generada</w:t>
      </w:r>
      <w:r w:rsidRPr="00A220B2">
        <w:rPr>
          <w:rFonts w:ascii="Verdana" w:hAnsi="Verdana"/>
          <w:i/>
          <w:spacing w:val="28"/>
          <w:lang w:val="es-ES"/>
        </w:rPr>
        <w:t xml:space="preserve"> </w:t>
      </w:r>
      <w:r w:rsidRPr="00A220B2">
        <w:rPr>
          <w:rFonts w:ascii="Verdana" w:hAnsi="Verdana"/>
          <w:i/>
          <w:lang w:val="es-ES"/>
        </w:rPr>
        <w:t>por</w:t>
      </w:r>
      <w:r w:rsidRPr="00A220B2">
        <w:rPr>
          <w:rFonts w:ascii="Verdana" w:hAnsi="Verdana"/>
          <w:i/>
          <w:spacing w:val="28"/>
          <w:lang w:val="es-ES"/>
        </w:rPr>
        <w:t xml:space="preserve"> </w:t>
      </w:r>
      <w:r w:rsidRPr="00A220B2">
        <w:rPr>
          <w:rFonts w:ascii="Verdana" w:hAnsi="Verdana"/>
          <w:i/>
          <w:lang w:val="es-ES"/>
        </w:rPr>
        <w:t>oferentes,</w:t>
      </w:r>
      <w:r w:rsidRPr="00A220B2">
        <w:rPr>
          <w:rFonts w:ascii="Verdana" w:hAnsi="Verdana"/>
          <w:i/>
          <w:spacing w:val="30"/>
          <w:lang w:val="es-ES"/>
        </w:rPr>
        <w:t xml:space="preserve"> </w:t>
      </w:r>
      <w:r w:rsidRPr="00A220B2">
        <w:rPr>
          <w:rFonts w:ascii="Verdana" w:hAnsi="Verdana"/>
          <w:i/>
          <w:lang w:val="es-ES"/>
        </w:rPr>
        <w:t>contratista,</w:t>
      </w:r>
      <w:r w:rsidRPr="00A220B2">
        <w:rPr>
          <w:rFonts w:ascii="Verdana" w:hAnsi="Verdana"/>
          <w:i/>
          <w:spacing w:val="29"/>
          <w:lang w:val="es-ES"/>
        </w:rPr>
        <w:t xml:space="preserve"> </w:t>
      </w:r>
      <w:r w:rsidRPr="00A220B2">
        <w:rPr>
          <w:rFonts w:ascii="Verdana" w:hAnsi="Verdana"/>
          <w:i/>
          <w:lang w:val="es-ES"/>
        </w:rPr>
        <w:t>contratante,</w:t>
      </w:r>
      <w:r w:rsidRPr="00A220B2">
        <w:rPr>
          <w:rFonts w:ascii="Verdana" w:hAnsi="Verdana"/>
          <w:i/>
          <w:spacing w:val="30"/>
          <w:lang w:val="es-ES"/>
        </w:rPr>
        <w:t xml:space="preserve"> </w:t>
      </w:r>
      <w:r w:rsidRPr="00A220B2">
        <w:rPr>
          <w:rFonts w:ascii="Verdana" w:hAnsi="Verdana"/>
          <w:i/>
          <w:lang w:val="es-ES"/>
        </w:rPr>
        <w:t>supervisor</w:t>
      </w:r>
      <w:r w:rsidRPr="00A220B2">
        <w:rPr>
          <w:rFonts w:ascii="Verdana" w:hAnsi="Verdana"/>
          <w:i/>
          <w:spacing w:val="27"/>
          <w:lang w:val="es-ES"/>
        </w:rPr>
        <w:t xml:space="preserve"> </w:t>
      </w:r>
      <w:r w:rsidRPr="00A220B2">
        <w:rPr>
          <w:rFonts w:ascii="Verdana" w:hAnsi="Verdana"/>
          <w:i/>
          <w:spacing w:val="-10"/>
          <w:lang w:val="es-ES"/>
        </w:rPr>
        <w:t>o</w:t>
      </w:r>
      <w:r w:rsidRPr="00A220B2">
        <w:rPr>
          <w:rFonts w:ascii="Verdana" w:hAnsi="Verdana"/>
          <w:i/>
          <w:lang w:val="es-ES"/>
        </w:rPr>
        <w:t xml:space="preserve"> interventor, tanto en la etapa precontractual, como en la contractual y la </w:t>
      </w:r>
      <w:r w:rsidRPr="00A220B2">
        <w:rPr>
          <w:rFonts w:ascii="Verdana" w:hAnsi="Verdana"/>
          <w:i/>
          <w:spacing w:val="-2"/>
          <w:lang w:val="es-ES"/>
        </w:rPr>
        <w:t>postcontractual”</w:t>
      </w:r>
      <w:r w:rsidRPr="00A220B2">
        <w:rPr>
          <w:rFonts w:ascii="Verdana" w:hAnsi="Verdana"/>
          <w:spacing w:val="-2"/>
          <w:lang w:val="es-ES"/>
        </w:rPr>
        <w:t>.</w:t>
      </w:r>
      <w:r>
        <w:rPr>
          <w:rFonts w:ascii="Verdana" w:hAnsi="Verdana"/>
          <w:spacing w:val="-2"/>
          <w:lang w:val="es-ES"/>
        </w:rPr>
        <w:t xml:space="preserve"> </w:t>
      </w:r>
      <w:r w:rsidRPr="00A220B2">
        <w:rPr>
          <w:rFonts w:ascii="Verdana" w:hAnsi="Verdana"/>
          <w:lang w:val="es-ES"/>
        </w:rPr>
        <w:t>Respecto a los documentos que deben publicarse es evidente que no se modifica</w:t>
      </w:r>
      <w:r w:rsidRPr="00A220B2">
        <w:rPr>
          <w:rFonts w:ascii="Verdana" w:hAnsi="Verdana"/>
          <w:spacing w:val="-7"/>
          <w:lang w:val="es-ES"/>
        </w:rPr>
        <w:t xml:space="preserve"> </w:t>
      </w:r>
      <w:r w:rsidRPr="00A220B2">
        <w:rPr>
          <w:rFonts w:ascii="Verdana" w:hAnsi="Verdana"/>
          <w:lang w:val="es-ES"/>
        </w:rPr>
        <w:t>lo</w:t>
      </w:r>
      <w:r w:rsidRPr="00A220B2">
        <w:rPr>
          <w:rFonts w:ascii="Verdana" w:hAnsi="Verdana"/>
          <w:spacing w:val="-6"/>
          <w:lang w:val="es-ES"/>
        </w:rPr>
        <w:t xml:space="preserve"> </w:t>
      </w:r>
      <w:r w:rsidRPr="00A220B2">
        <w:rPr>
          <w:rFonts w:ascii="Verdana" w:hAnsi="Verdana"/>
          <w:lang w:val="es-ES"/>
        </w:rPr>
        <w:t>previsto</w:t>
      </w:r>
      <w:r w:rsidRPr="00A220B2">
        <w:rPr>
          <w:rFonts w:ascii="Verdana" w:hAnsi="Verdana"/>
          <w:spacing w:val="-7"/>
          <w:lang w:val="es-ES"/>
        </w:rPr>
        <w:t xml:space="preserve"> </w:t>
      </w:r>
      <w:r w:rsidRPr="00A220B2">
        <w:rPr>
          <w:rFonts w:ascii="Verdana" w:hAnsi="Verdana"/>
          <w:lang w:val="es-ES"/>
        </w:rPr>
        <w:t>en</w:t>
      </w:r>
      <w:r w:rsidRPr="00A220B2">
        <w:rPr>
          <w:rFonts w:ascii="Verdana" w:hAnsi="Verdana"/>
          <w:spacing w:val="-7"/>
          <w:lang w:val="es-ES"/>
        </w:rPr>
        <w:t xml:space="preserve"> </w:t>
      </w:r>
      <w:r w:rsidRPr="00A220B2">
        <w:rPr>
          <w:rFonts w:ascii="Verdana" w:hAnsi="Verdana"/>
          <w:lang w:val="es-ES"/>
        </w:rPr>
        <w:t>la</w:t>
      </w:r>
      <w:r w:rsidRPr="00A220B2">
        <w:rPr>
          <w:rFonts w:ascii="Verdana" w:hAnsi="Verdana"/>
          <w:spacing w:val="-7"/>
          <w:lang w:val="es-ES"/>
        </w:rPr>
        <w:t xml:space="preserve"> </w:t>
      </w:r>
      <w:r w:rsidRPr="00A220B2">
        <w:rPr>
          <w:rFonts w:ascii="Verdana" w:hAnsi="Verdana"/>
          <w:lang w:val="es-ES"/>
        </w:rPr>
        <w:t>Ley</w:t>
      </w:r>
      <w:r w:rsidRPr="00A220B2">
        <w:rPr>
          <w:rFonts w:ascii="Verdana" w:hAnsi="Verdana"/>
          <w:spacing w:val="-8"/>
          <w:lang w:val="es-ES"/>
        </w:rPr>
        <w:t xml:space="preserve"> </w:t>
      </w:r>
      <w:r w:rsidRPr="00A220B2">
        <w:rPr>
          <w:rFonts w:ascii="Verdana" w:hAnsi="Verdana"/>
          <w:lang w:val="es-ES"/>
        </w:rPr>
        <w:t>1712</w:t>
      </w:r>
      <w:r w:rsidRPr="00A220B2">
        <w:rPr>
          <w:rFonts w:ascii="Verdana" w:hAnsi="Verdana"/>
          <w:spacing w:val="-6"/>
          <w:lang w:val="es-ES"/>
        </w:rPr>
        <w:t xml:space="preserve"> </w:t>
      </w:r>
      <w:r w:rsidRPr="00A220B2">
        <w:rPr>
          <w:rFonts w:ascii="Verdana" w:hAnsi="Verdana"/>
          <w:lang w:val="es-ES"/>
        </w:rPr>
        <w:t>de</w:t>
      </w:r>
      <w:r w:rsidRPr="00A220B2">
        <w:rPr>
          <w:rFonts w:ascii="Verdana" w:hAnsi="Verdana"/>
          <w:spacing w:val="-9"/>
          <w:lang w:val="es-ES"/>
        </w:rPr>
        <w:t xml:space="preserve"> </w:t>
      </w:r>
      <w:r w:rsidRPr="00A220B2">
        <w:rPr>
          <w:rFonts w:ascii="Verdana" w:hAnsi="Verdana"/>
          <w:lang w:val="es-ES"/>
        </w:rPr>
        <w:t>2014,</w:t>
      </w:r>
      <w:r w:rsidRPr="00A220B2">
        <w:rPr>
          <w:rFonts w:ascii="Verdana" w:hAnsi="Verdana"/>
          <w:spacing w:val="-8"/>
          <w:lang w:val="es-ES"/>
        </w:rPr>
        <w:t xml:space="preserve"> </w:t>
      </w:r>
      <w:r w:rsidRPr="00A220B2">
        <w:rPr>
          <w:rFonts w:ascii="Verdana" w:hAnsi="Verdana"/>
          <w:lang w:val="es-ES"/>
        </w:rPr>
        <w:t>en</w:t>
      </w:r>
      <w:r w:rsidRPr="00A220B2">
        <w:rPr>
          <w:rFonts w:ascii="Verdana" w:hAnsi="Verdana"/>
          <w:spacing w:val="-7"/>
          <w:lang w:val="es-ES"/>
        </w:rPr>
        <w:t xml:space="preserve"> </w:t>
      </w:r>
      <w:r w:rsidRPr="00A220B2">
        <w:rPr>
          <w:rFonts w:ascii="Verdana" w:hAnsi="Verdana"/>
          <w:lang w:val="es-ES"/>
        </w:rPr>
        <w:t>cuanto</w:t>
      </w:r>
      <w:r w:rsidRPr="00A220B2">
        <w:rPr>
          <w:rFonts w:ascii="Verdana" w:hAnsi="Verdana"/>
          <w:spacing w:val="-6"/>
          <w:lang w:val="es-ES"/>
        </w:rPr>
        <w:t xml:space="preserve"> </w:t>
      </w:r>
      <w:r w:rsidRPr="00A220B2">
        <w:rPr>
          <w:rFonts w:ascii="Verdana" w:hAnsi="Verdana"/>
          <w:lang w:val="es-ES"/>
        </w:rPr>
        <w:t>que</w:t>
      </w:r>
      <w:r w:rsidRPr="00A220B2">
        <w:rPr>
          <w:rFonts w:ascii="Verdana" w:hAnsi="Verdana"/>
          <w:spacing w:val="-7"/>
          <w:lang w:val="es-ES"/>
        </w:rPr>
        <w:t xml:space="preserve"> </w:t>
      </w:r>
      <w:r w:rsidRPr="00A220B2">
        <w:rPr>
          <w:rFonts w:ascii="Verdana" w:hAnsi="Verdana"/>
          <w:lang w:val="es-ES"/>
        </w:rPr>
        <w:t>se</w:t>
      </w:r>
      <w:r w:rsidRPr="00A220B2">
        <w:rPr>
          <w:rFonts w:ascii="Verdana" w:hAnsi="Verdana"/>
          <w:spacing w:val="-6"/>
          <w:lang w:val="es-ES"/>
        </w:rPr>
        <w:t xml:space="preserve"> </w:t>
      </w:r>
      <w:r w:rsidRPr="00A220B2">
        <w:rPr>
          <w:rFonts w:ascii="Verdana" w:hAnsi="Verdana"/>
          <w:lang w:val="es-ES"/>
        </w:rPr>
        <w:t>publicará</w:t>
      </w:r>
      <w:r w:rsidRPr="00A220B2">
        <w:rPr>
          <w:rFonts w:ascii="Verdana" w:hAnsi="Verdana"/>
          <w:spacing w:val="-7"/>
          <w:lang w:val="es-ES"/>
        </w:rPr>
        <w:t xml:space="preserve"> </w:t>
      </w:r>
      <w:r w:rsidRPr="00A220B2">
        <w:rPr>
          <w:rFonts w:ascii="Verdana" w:hAnsi="Verdana"/>
          <w:lang w:val="es-ES"/>
        </w:rPr>
        <w:t>toda la</w:t>
      </w:r>
      <w:r w:rsidRPr="00A220B2">
        <w:rPr>
          <w:rFonts w:ascii="Verdana" w:hAnsi="Verdana"/>
          <w:spacing w:val="-3"/>
          <w:lang w:val="es-ES"/>
        </w:rPr>
        <w:t xml:space="preserve"> </w:t>
      </w:r>
      <w:r w:rsidRPr="00A220B2">
        <w:rPr>
          <w:rFonts w:ascii="Verdana" w:hAnsi="Verdana"/>
          <w:lang w:val="es-ES"/>
        </w:rPr>
        <w:t>información</w:t>
      </w:r>
      <w:r w:rsidRPr="00A220B2">
        <w:rPr>
          <w:rFonts w:ascii="Verdana" w:hAnsi="Verdana"/>
          <w:spacing w:val="-2"/>
          <w:lang w:val="es-ES"/>
        </w:rPr>
        <w:t xml:space="preserve"> </w:t>
      </w:r>
      <w:r w:rsidRPr="00A220B2">
        <w:rPr>
          <w:rFonts w:ascii="Verdana" w:hAnsi="Verdana"/>
          <w:lang w:val="es-ES"/>
        </w:rPr>
        <w:t>que</w:t>
      </w:r>
      <w:r w:rsidRPr="00A220B2">
        <w:rPr>
          <w:rFonts w:ascii="Verdana" w:hAnsi="Verdana"/>
          <w:spacing w:val="-2"/>
          <w:lang w:val="es-ES"/>
        </w:rPr>
        <w:t xml:space="preserve"> </w:t>
      </w:r>
      <w:r w:rsidRPr="00A220B2">
        <w:rPr>
          <w:rFonts w:ascii="Verdana" w:hAnsi="Verdana"/>
          <w:lang w:val="es-ES"/>
        </w:rPr>
        <w:t>se</w:t>
      </w:r>
      <w:r w:rsidRPr="00A220B2">
        <w:rPr>
          <w:rFonts w:ascii="Verdana" w:hAnsi="Verdana"/>
          <w:spacing w:val="-4"/>
          <w:lang w:val="es-ES"/>
        </w:rPr>
        <w:t xml:space="preserve"> </w:t>
      </w:r>
      <w:r w:rsidRPr="00A220B2">
        <w:rPr>
          <w:rFonts w:ascii="Verdana" w:hAnsi="Verdana"/>
          <w:lang w:val="es-ES"/>
        </w:rPr>
        <w:t>genere</w:t>
      </w:r>
      <w:r w:rsidRPr="00A220B2">
        <w:rPr>
          <w:rFonts w:ascii="Verdana" w:hAnsi="Verdana"/>
          <w:spacing w:val="-2"/>
          <w:lang w:val="es-ES"/>
        </w:rPr>
        <w:t xml:space="preserve"> </w:t>
      </w:r>
      <w:r w:rsidRPr="00A220B2">
        <w:rPr>
          <w:rFonts w:ascii="Verdana" w:hAnsi="Verdana"/>
          <w:lang w:val="es-ES"/>
        </w:rPr>
        <w:t>en</w:t>
      </w:r>
      <w:r w:rsidRPr="00A220B2">
        <w:rPr>
          <w:rFonts w:ascii="Verdana" w:hAnsi="Verdana"/>
          <w:spacing w:val="-2"/>
          <w:lang w:val="es-ES"/>
        </w:rPr>
        <w:t xml:space="preserve"> </w:t>
      </w:r>
      <w:r w:rsidRPr="00A220B2">
        <w:rPr>
          <w:rFonts w:ascii="Verdana" w:hAnsi="Verdana"/>
          <w:lang w:val="es-ES"/>
        </w:rPr>
        <w:t>la</w:t>
      </w:r>
      <w:r w:rsidRPr="00A220B2">
        <w:rPr>
          <w:rFonts w:ascii="Verdana" w:hAnsi="Verdana"/>
          <w:spacing w:val="-5"/>
          <w:lang w:val="es-ES"/>
        </w:rPr>
        <w:t xml:space="preserve"> </w:t>
      </w:r>
      <w:r w:rsidRPr="00A220B2">
        <w:rPr>
          <w:rFonts w:ascii="Verdana" w:hAnsi="Verdana"/>
          <w:lang w:val="es-ES"/>
        </w:rPr>
        <w:t>actividad</w:t>
      </w:r>
      <w:r w:rsidRPr="00A220B2">
        <w:rPr>
          <w:rFonts w:ascii="Verdana" w:hAnsi="Verdana"/>
          <w:spacing w:val="-3"/>
          <w:lang w:val="es-ES"/>
        </w:rPr>
        <w:t xml:space="preserve"> </w:t>
      </w:r>
      <w:r w:rsidRPr="00A220B2">
        <w:rPr>
          <w:rFonts w:ascii="Verdana" w:hAnsi="Verdana"/>
          <w:lang w:val="es-ES"/>
        </w:rPr>
        <w:t>contractual,</w:t>
      </w:r>
      <w:r w:rsidRPr="00A220B2">
        <w:rPr>
          <w:rFonts w:ascii="Verdana" w:hAnsi="Verdana"/>
          <w:spacing w:val="-2"/>
          <w:lang w:val="es-ES"/>
        </w:rPr>
        <w:t xml:space="preserve"> </w:t>
      </w:r>
      <w:r w:rsidRPr="00A220B2">
        <w:rPr>
          <w:rFonts w:ascii="Verdana" w:hAnsi="Verdana"/>
          <w:lang w:val="es-ES"/>
        </w:rPr>
        <w:t>salvo</w:t>
      </w:r>
      <w:r w:rsidRPr="00A220B2">
        <w:rPr>
          <w:rFonts w:ascii="Verdana" w:hAnsi="Verdana"/>
          <w:spacing w:val="-2"/>
          <w:lang w:val="es-ES"/>
        </w:rPr>
        <w:t xml:space="preserve"> </w:t>
      </w:r>
      <w:r w:rsidRPr="00A220B2">
        <w:rPr>
          <w:rFonts w:ascii="Verdana" w:hAnsi="Verdana"/>
          <w:lang w:val="es-ES"/>
        </w:rPr>
        <w:t>a</w:t>
      </w:r>
      <w:r w:rsidRPr="00A220B2">
        <w:rPr>
          <w:rFonts w:ascii="Verdana" w:hAnsi="Verdana"/>
          <w:spacing w:val="-3"/>
          <w:lang w:val="es-ES"/>
        </w:rPr>
        <w:t xml:space="preserve"> </w:t>
      </w:r>
      <w:r w:rsidRPr="00A220B2">
        <w:rPr>
          <w:rFonts w:ascii="Verdana" w:hAnsi="Verdana"/>
          <w:lang w:val="es-ES"/>
        </w:rPr>
        <w:t>aquello</w:t>
      </w:r>
      <w:r w:rsidRPr="00A220B2">
        <w:rPr>
          <w:rFonts w:ascii="Verdana" w:hAnsi="Verdana"/>
          <w:spacing w:val="-2"/>
          <w:lang w:val="es-ES"/>
        </w:rPr>
        <w:t xml:space="preserve"> </w:t>
      </w:r>
      <w:r w:rsidRPr="00A220B2">
        <w:rPr>
          <w:rFonts w:ascii="Verdana" w:hAnsi="Verdana"/>
          <w:lang w:val="es-ES"/>
        </w:rPr>
        <w:t>que sea sujeto a reserva legal.</w:t>
      </w:r>
    </w:p>
    <w:p w14:paraId="0526B19F" w14:textId="77777777" w:rsidR="007D41E8" w:rsidRPr="00A220B2" w:rsidRDefault="007D41E8" w:rsidP="007D41E8">
      <w:pPr>
        <w:spacing w:after="120" w:line="276" w:lineRule="auto"/>
        <w:ind w:right="136" w:firstLine="709"/>
        <w:jc w:val="both"/>
        <w:rPr>
          <w:rFonts w:ascii="Verdana" w:hAnsi="Verdana"/>
          <w:lang w:val="es-ES"/>
        </w:rPr>
      </w:pPr>
      <w:r w:rsidRPr="00A220B2">
        <w:rPr>
          <w:rFonts w:ascii="Verdana" w:hAnsi="Verdana"/>
          <w:lang w:val="es-ES"/>
        </w:rPr>
        <w:t>Ahora</w:t>
      </w:r>
      <w:r w:rsidRPr="00A220B2">
        <w:rPr>
          <w:rFonts w:ascii="Verdana" w:hAnsi="Verdana"/>
          <w:spacing w:val="-5"/>
          <w:lang w:val="es-ES"/>
        </w:rPr>
        <w:t xml:space="preserve"> </w:t>
      </w:r>
      <w:r w:rsidRPr="00A220B2">
        <w:rPr>
          <w:rFonts w:ascii="Verdana" w:hAnsi="Verdana"/>
          <w:lang w:val="es-ES"/>
        </w:rPr>
        <w:t>bien,</w:t>
      </w:r>
      <w:r w:rsidRPr="00A220B2">
        <w:rPr>
          <w:rFonts w:ascii="Verdana" w:hAnsi="Verdana"/>
          <w:spacing w:val="-3"/>
          <w:lang w:val="es-ES"/>
        </w:rPr>
        <w:t xml:space="preserve"> </w:t>
      </w:r>
      <w:r w:rsidRPr="00A220B2">
        <w:rPr>
          <w:rFonts w:ascii="Verdana" w:hAnsi="Verdana"/>
          <w:lang w:val="es-ES"/>
        </w:rPr>
        <w:t>dado</w:t>
      </w:r>
      <w:r w:rsidRPr="00A220B2">
        <w:rPr>
          <w:rFonts w:ascii="Verdana" w:hAnsi="Verdana"/>
          <w:spacing w:val="-4"/>
          <w:lang w:val="es-ES"/>
        </w:rPr>
        <w:t xml:space="preserve"> </w:t>
      </w:r>
      <w:r w:rsidRPr="00A220B2">
        <w:rPr>
          <w:rFonts w:ascii="Verdana" w:hAnsi="Verdana"/>
          <w:lang w:val="es-ES"/>
        </w:rPr>
        <w:t>que</w:t>
      </w:r>
      <w:r w:rsidRPr="00A220B2">
        <w:rPr>
          <w:rFonts w:ascii="Verdana" w:hAnsi="Verdana"/>
          <w:spacing w:val="-5"/>
          <w:lang w:val="es-ES"/>
        </w:rPr>
        <w:t xml:space="preserve"> </w:t>
      </w:r>
      <w:r w:rsidRPr="00A220B2">
        <w:rPr>
          <w:rFonts w:ascii="Verdana" w:hAnsi="Verdana"/>
          <w:lang w:val="es-ES"/>
        </w:rPr>
        <w:t>el</w:t>
      </w:r>
      <w:r w:rsidRPr="00A220B2">
        <w:rPr>
          <w:rFonts w:ascii="Verdana" w:hAnsi="Verdana"/>
          <w:spacing w:val="-5"/>
          <w:lang w:val="es-ES"/>
        </w:rPr>
        <w:t xml:space="preserve"> </w:t>
      </w:r>
      <w:r w:rsidRPr="00A220B2">
        <w:rPr>
          <w:rFonts w:ascii="Verdana" w:hAnsi="Verdana"/>
          <w:lang w:val="es-ES"/>
        </w:rPr>
        <w:t>artículo</w:t>
      </w:r>
      <w:r w:rsidRPr="00A220B2">
        <w:rPr>
          <w:rFonts w:ascii="Verdana" w:hAnsi="Verdana"/>
          <w:spacing w:val="-4"/>
          <w:lang w:val="es-ES"/>
        </w:rPr>
        <w:t xml:space="preserve"> </w:t>
      </w:r>
      <w:r w:rsidRPr="00A220B2">
        <w:rPr>
          <w:rFonts w:ascii="Verdana" w:hAnsi="Verdana"/>
          <w:lang w:val="es-ES"/>
        </w:rPr>
        <w:t>53</w:t>
      </w:r>
      <w:r w:rsidRPr="00A220B2">
        <w:rPr>
          <w:rFonts w:ascii="Verdana" w:hAnsi="Verdana"/>
          <w:spacing w:val="-3"/>
          <w:lang w:val="es-ES"/>
        </w:rPr>
        <w:t xml:space="preserve"> </w:t>
      </w:r>
      <w:r w:rsidRPr="00A220B2">
        <w:rPr>
          <w:rFonts w:ascii="Verdana" w:hAnsi="Verdana"/>
          <w:lang w:val="es-ES"/>
        </w:rPr>
        <w:t>de</w:t>
      </w:r>
      <w:r w:rsidRPr="00A220B2">
        <w:rPr>
          <w:rFonts w:ascii="Verdana" w:hAnsi="Verdana"/>
          <w:spacing w:val="-4"/>
          <w:lang w:val="es-ES"/>
        </w:rPr>
        <w:t xml:space="preserve"> </w:t>
      </w:r>
      <w:r w:rsidRPr="00A220B2">
        <w:rPr>
          <w:rFonts w:ascii="Verdana" w:hAnsi="Verdana"/>
          <w:lang w:val="es-ES"/>
        </w:rPr>
        <w:t>la</w:t>
      </w:r>
      <w:r w:rsidRPr="00A220B2">
        <w:rPr>
          <w:rFonts w:ascii="Verdana" w:hAnsi="Verdana"/>
          <w:spacing w:val="-5"/>
          <w:lang w:val="es-ES"/>
        </w:rPr>
        <w:t xml:space="preserve"> </w:t>
      </w:r>
      <w:r w:rsidRPr="00A220B2">
        <w:rPr>
          <w:rFonts w:ascii="Verdana" w:hAnsi="Verdana"/>
          <w:lang w:val="es-ES"/>
        </w:rPr>
        <w:t>Ley</w:t>
      </w:r>
      <w:r w:rsidRPr="00A220B2">
        <w:rPr>
          <w:rFonts w:ascii="Verdana" w:hAnsi="Verdana"/>
          <w:spacing w:val="-6"/>
          <w:lang w:val="es-ES"/>
        </w:rPr>
        <w:t xml:space="preserve"> </w:t>
      </w:r>
      <w:r w:rsidRPr="00A220B2">
        <w:rPr>
          <w:rFonts w:ascii="Verdana" w:hAnsi="Verdana"/>
          <w:lang w:val="es-ES"/>
        </w:rPr>
        <w:t>2195</w:t>
      </w:r>
      <w:r w:rsidRPr="00A220B2">
        <w:rPr>
          <w:rFonts w:ascii="Verdana" w:hAnsi="Verdana"/>
          <w:spacing w:val="-3"/>
          <w:lang w:val="es-ES"/>
        </w:rPr>
        <w:t xml:space="preserve"> </w:t>
      </w:r>
      <w:r w:rsidRPr="00A220B2">
        <w:rPr>
          <w:rFonts w:ascii="Verdana" w:hAnsi="Verdana"/>
          <w:lang w:val="es-ES"/>
        </w:rPr>
        <w:t>de</w:t>
      </w:r>
      <w:r w:rsidRPr="00A220B2">
        <w:rPr>
          <w:rFonts w:ascii="Verdana" w:hAnsi="Verdana"/>
          <w:spacing w:val="-6"/>
          <w:lang w:val="es-ES"/>
        </w:rPr>
        <w:t xml:space="preserve"> </w:t>
      </w:r>
      <w:r w:rsidRPr="00A220B2">
        <w:rPr>
          <w:rFonts w:ascii="Verdana" w:hAnsi="Verdana"/>
          <w:lang w:val="es-ES"/>
        </w:rPr>
        <w:t>2022</w:t>
      </w:r>
      <w:r w:rsidRPr="00A220B2">
        <w:rPr>
          <w:rFonts w:ascii="Verdana" w:hAnsi="Verdana"/>
          <w:spacing w:val="-3"/>
          <w:lang w:val="es-ES"/>
        </w:rPr>
        <w:t xml:space="preserve"> </w:t>
      </w:r>
      <w:r w:rsidRPr="00A220B2">
        <w:rPr>
          <w:rFonts w:ascii="Verdana" w:hAnsi="Verdana"/>
          <w:lang w:val="es-ES"/>
        </w:rPr>
        <w:t>señala,</w:t>
      </w:r>
      <w:r w:rsidRPr="00A220B2">
        <w:rPr>
          <w:rFonts w:ascii="Verdana" w:hAnsi="Verdana"/>
          <w:spacing w:val="-3"/>
          <w:lang w:val="es-ES"/>
        </w:rPr>
        <w:t xml:space="preserve"> </w:t>
      </w:r>
      <w:r w:rsidRPr="00A220B2">
        <w:rPr>
          <w:rFonts w:ascii="Verdana" w:hAnsi="Verdana"/>
          <w:lang w:val="es-ES"/>
        </w:rPr>
        <w:t>de</w:t>
      </w:r>
      <w:r w:rsidRPr="00A220B2">
        <w:rPr>
          <w:rFonts w:ascii="Verdana" w:hAnsi="Verdana"/>
          <w:spacing w:val="-4"/>
          <w:lang w:val="es-ES"/>
        </w:rPr>
        <w:t xml:space="preserve"> </w:t>
      </w:r>
      <w:r w:rsidRPr="00A220B2">
        <w:rPr>
          <w:rFonts w:ascii="Verdana" w:hAnsi="Verdana"/>
          <w:lang w:val="es-ES"/>
        </w:rPr>
        <w:t xml:space="preserve">forma expresa, que esa norma está dirigida a las Entidades Estatales </w:t>
      </w:r>
      <w:r w:rsidRPr="00A220B2">
        <w:rPr>
          <w:rFonts w:ascii="Verdana" w:hAnsi="Verdana"/>
          <w:i/>
          <w:lang w:val="es-ES"/>
        </w:rPr>
        <w:t>“que por disposición legal cuenten con un régimen contractual excepcional al del Estatuto General de Contratación de la Administración Pública”</w:t>
      </w:r>
      <w:r w:rsidRPr="00A220B2">
        <w:rPr>
          <w:rFonts w:ascii="Verdana" w:hAnsi="Verdana"/>
          <w:lang w:val="es-ES"/>
        </w:rPr>
        <w:t>, por consiguiente, se puede concluir que las Empresas Sociales del Estado del orden nacional o territorial se encuentran obligadas a publicar su actividad contractual</w:t>
      </w:r>
      <w:r w:rsidRPr="00A220B2">
        <w:rPr>
          <w:rFonts w:ascii="Verdana" w:hAnsi="Verdana"/>
          <w:spacing w:val="-4"/>
          <w:lang w:val="es-ES"/>
        </w:rPr>
        <w:t xml:space="preserve"> </w:t>
      </w:r>
      <w:r w:rsidRPr="00A220B2">
        <w:rPr>
          <w:rFonts w:ascii="Verdana" w:hAnsi="Verdana"/>
          <w:lang w:val="es-ES"/>
        </w:rPr>
        <w:t>en</w:t>
      </w:r>
      <w:r w:rsidRPr="00A220B2">
        <w:rPr>
          <w:rFonts w:ascii="Verdana" w:hAnsi="Verdana"/>
          <w:spacing w:val="-3"/>
          <w:lang w:val="es-ES"/>
        </w:rPr>
        <w:t xml:space="preserve"> </w:t>
      </w:r>
      <w:r w:rsidRPr="00A220B2">
        <w:rPr>
          <w:rFonts w:ascii="Verdana" w:hAnsi="Verdana"/>
          <w:lang w:val="es-ES"/>
        </w:rPr>
        <w:t>la</w:t>
      </w:r>
      <w:r w:rsidRPr="00A220B2">
        <w:rPr>
          <w:rFonts w:ascii="Verdana" w:hAnsi="Verdana"/>
          <w:spacing w:val="-1"/>
          <w:lang w:val="es-ES"/>
        </w:rPr>
        <w:t xml:space="preserve"> </w:t>
      </w:r>
      <w:r w:rsidRPr="00A220B2">
        <w:rPr>
          <w:rFonts w:ascii="Verdana" w:hAnsi="Verdana"/>
          <w:lang w:val="es-ES"/>
        </w:rPr>
        <w:t>plataforma</w:t>
      </w:r>
      <w:r w:rsidRPr="00A220B2">
        <w:rPr>
          <w:rFonts w:ascii="Verdana" w:hAnsi="Verdana"/>
          <w:spacing w:val="-4"/>
          <w:lang w:val="es-ES"/>
        </w:rPr>
        <w:t xml:space="preserve"> </w:t>
      </w:r>
      <w:r w:rsidRPr="00A220B2">
        <w:rPr>
          <w:rFonts w:ascii="Verdana" w:hAnsi="Verdana"/>
          <w:lang w:val="es-ES"/>
        </w:rPr>
        <w:t>SECOP</w:t>
      </w:r>
      <w:r w:rsidRPr="00A220B2">
        <w:rPr>
          <w:rFonts w:ascii="Verdana" w:hAnsi="Verdana"/>
          <w:spacing w:val="-2"/>
          <w:lang w:val="es-ES"/>
        </w:rPr>
        <w:t xml:space="preserve"> </w:t>
      </w:r>
      <w:r w:rsidRPr="00A220B2">
        <w:rPr>
          <w:rFonts w:ascii="Verdana" w:hAnsi="Verdana"/>
          <w:lang w:val="es-ES"/>
        </w:rPr>
        <w:t>II,</w:t>
      </w:r>
      <w:r w:rsidRPr="00A220B2">
        <w:rPr>
          <w:rFonts w:ascii="Verdana" w:hAnsi="Verdana"/>
          <w:spacing w:val="-2"/>
          <w:lang w:val="es-ES"/>
        </w:rPr>
        <w:t xml:space="preserve"> </w:t>
      </w:r>
      <w:r w:rsidRPr="00A220B2">
        <w:rPr>
          <w:rFonts w:ascii="Verdana" w:hAnsi="Verdana"/>
          <w:lang w:val="es-ES"/>
        </w:rPr>
        <w:t>siempre</w:t>
      </w:r>
      <w:r w:rsidRPr="00A220B2">
        <w:rPr>
          <w:rFonts w:ascii="Verdana" w:hAnsi="Verdana"/>
          <w:spacing w:val="-2"/>
          <w:lang w:val="es-ES"/>
        </w:rPr>
        <w:t xml:space="preserve"> </w:t>
      </w:r>
      <w:r w:rsidRPr="00A220B2">
        <w:rPr>
          <w:rFonts w:ascii="Verdana" w:hAnsi="Verdana"/>
          <w:lang w:val="es-ES"/>
        </w:rPr>
        <w:t>y</w:t>
      </w:r>
      <w:r w:rsidRPr="00A220B2">
        <w:rPr>
          <w:rFonts w:ascii="Verdana" w:hAnsi="Verdana"/>
          <w:spacing w:val="-4"/>
          <w:lang w:val="es-ES"/>
        </w:rPr>
        <w:t xml:space="preserve"> </w:t>
      </w:r>
      <w:r w:rsidRPr="00A220B2">
        <w:rPr>
          <w:rFonts w:ascii="Verdana" w:hAnsi="Verdana"/>
          <w:lang w:val="es-ES"/>
        </w:rPr>
        <w:t>cuando</w:t>
      </w:r>
      <w:r w:rsidRPr="00A220B2">
        <w:rPr>
          <w:rFonts w:ascii="Verdana" w:hAnsi="Verdana"/>
          <w:spacing w:val="-2"/>
          <w:lang w:val="es-ES"/>
        </w:rPr>
        <w:t xml:space="preserve"> </w:t>
      </w:r>
      <w:r w:rsidRPr="00A220B2">
        <w:rPr>
          <w:rFonts w:ascii="Verdana" w:hAnsi="Verdana"/>
          <w:lang w:val="es-ES"/>
        </w:rPr>
        <w:t>tenga</w:t>
      </w:r>
      <w:r w:rsidRPr="00A220B2">
        <w:rPr>
          <w:rFonts w:ascii="Verdana" w:hAnsi="Verdana"/>
          <w:spacing w:val="-1"/>
          <w:lang w:val="es-ES"/>
        </w:rPr>
        <w:t xml:space="preserve"> </w:t>
      </w:r>
      <w:r w:rsidRPr="00A220B2">
        <w:rPr>
          <w:rFonts w:ascii="Verdana" w:hAnsi="Verdana"/>
          <w:lang w:val="es-ES"/>
        </w:rPr>
        <w:t>como</w:t>
      </w:r>
      <w:r w:rsidRPr="00A220B2">
        <w:rPr>
          <w:rFonts w:ascii="Verdana" w:hAnsi="Verdana"/>
          <w:spacing w:val="-2"/>
          <w:lang w:val="es-ES"/>
        </w:rPr>
        <w:t xml:space="preserve"> </w:t>
      </w:r>
      <w:r w:rsidRPr="00A220B2">
        <w:rPr>
          <w:rFonts w:ascii="Verdana" w:hAnsi="Verdana"/>
          <w:lang w:val="es-ES"/>
        </w:rPr>
        <w:t xml:space="preserve">fuente de financiación recursos públicos. En esa misma línea se ha expuesto en la Circula </w:t>
      </w:r>
      <w:r>
        <w:rPr>
          <w:rFonts w:ascii="Verdana" w:hAnsi="Verdana"/>
          <w:lang w:val="es-ES"/>
        </w:rPr>
        <w:t>Ú</w:t>
      </w:r>
      <w:r w:rsidRPr="00A220B2">
        <w:rPr>
          <w:rFonts w:ascii="Verdana" w:hAnsi="Verdana"/>
          <w:lang w:val="es-ES"/>
        </w:rPr>
        <w:t>nica Externa proferida por la Agencia Nacional de Contratación Pública – Colombia Compra Eficiente</w:t>
      </w:r>
      <w:r w:rsidRPr="00A220B2">
        <w:rPr>
          <w:rStyle w:val="Refdenotaalpie"/>
          <w:rFonts w:ascii="Verdana" w:hAnsi="Verdana"/>
          <w:lang w:val="es-ES"/>
        </w:rPr>
        <w:footnoteReference w:id="16"/>
      </w:r>
      <w:r w:rsidRPr="00A220B2">
        <w:rPr>
          <w:rFonts w:ascii="Verdana" w:hAnsi="Verdana"/>
          <w:lang w:val="es-ES"/>
        </w:rPr>
        <w:t xml:space="preserve">. También es concordante con dicha obligación </w:t>
      </w:r>
      <w:r w:rsidRPr="00A220B2">
        <w:rPr>
          <w:rFonts w:ascii="Verdana" w:eastAsia="Calibri" w:hAnsi="Verdana" w:cs="Arial"/>
          <w:color w:val="000000" w:themeColor="text1"/>
          <w:lang w:val="es-ES"/>
        </w:rPr>
        <w:t>el artículo 14</w:t>
      </w:r>
      <w:r w:rsidRPr="00A220B2">
        <w:rPr>
          <w:rFonts w:ascii="Verdana" w:eastAsia="Calibri" w:hAnsi="Verdana" w:cs="Arial"/>
          <w:color w:val="000000" w:themeColor="text1"/>
          <w:vertAlign w:val="superscript"/>
          <w:lang w:val="es-ES"/>
        </w:rPr>
        <w:footnoteReference w:id="17"/>
      </w:r>
      <w:r w:rsidRPr="00A220B2">
        <w:rPr>
          <w:rFonts w:ascii="Verdana" w:eastAsia="Calibri" w:hAnsi="Verdana" w:cs="Arial"/>
          <w:color w:val="000000" w:themeColor="text1"/>
          <w:lang w:val="es-ES"/>
        </w:rPr>
        <w:t xml:space="preserve"> de </w:t>
      </w:r>
      <w:r w:rsidRPr="00A220B2">
        <w:rPr>
          <w:rFonts w:ascii="Verdana" w:hAnsi="Verdana" w:cs="Arial"/>
          <w:bCs/>
          <w:iCs/>
          <w:lang w:val="es-ES"/>
        </w:rPr>
        <w:t xml:space="preserve">la </w:t>
      </w:r>
      <w:r w:rsidRPr="00A220B2">
        <w:rPr>
          <w:rFonts w:ascii="Verdana" w:eastAsia="Calibri" w:hAnsi="Verdana" w:cs="Arial"/>
          <w:color w:val="000000" w:themeColor="text1"/>
          <w:lang w:val="es-ES"/>
        </w:rPr>
        <w:t xml:space="preserve">Resolución No. 5185 de 2013, previamente citada, la cual enfatiza que las Empresas Sociales del Estado están obligadas a publicar oportunamente su actividad contractual en el SECOP.  </w:t>
      </w:r>
    </w:p>
    <w:p w14:paraId="3878C926" w14:textId="77777777" w:rsidR="007D41E8" w:rsidRPr="00A220B2" w:rsidRDefault="007D41E8" w:rsidP="007D41E8">
      <w:pPr>
        <w:pStyle w:val="Sinespaciado"/>
        <w:spacing w:after="120" w:line="276" w:lineRule="auto"/>
        <w:ind w:firstLine="709"/>
        <w:jc w:val="both"/>
        <w:rPr>
          <w:rFonts w:ascii="Verdana" w:eastAsia="Calibri" w:hAnsi="Verdana" w:cs="Arial"/>
          <w:bCs/>
          <w:color w:val="000000" w:themeColor="text1"/>
          <w:sz w:val="22"/>
          <w:lang w:val="es-ES"/>
        </w:rPr>
      </w:pPr>
      <w:r w:rsidRPr="00A220B2">
        <w:rPr>
          <w:rFonts w:ascii="Verdana" w:eastAsia="Calibri" w:hAnsi="Verdana" w:cs="Arial"/>
          <w:bCs/>
          <w:color w:val="000000" w:themeColor="text1"/>
          <w:sz w:val="22"/>
          <w:lang w:val="es-ES"/>
        </w:rPr>
        <w:t xml:space="preserve">Al margen de la explicación precedente debe advertirse que </w:t>
      </w:r>
      <w:r w:rsidRPr="00A220B2">
        <w:rPr>
          <w:rStyle w:val="s15"/>
          <w:rFonts w:ascii="Verdana" w:hAnsi="Verdana"/>
          <w:color w:val="000000" w:themeColor="text1"/>
          <w:sz w:val="22"/>
          <w:lang w:val="es-ES"/>
        </w:rPr>
        <w:t>el análisis requerido para resolver problemas específicos en torno a la gestión contractual debe ser realizado por quienes tengan interés en ello, de acuerdo con lo explicado la aclaración preliminar del presente oficio</w:t>
      </w:r>
      <w:r w:rsidRPr="00A220B2">
        <w:rPr>
          <w:rFonts w:ascii="Verdana" w:eastAsia="Calibri" w:hAnsi="Verdana" w:cs="Arial"/>
          <w:bCs/>
          <w:color w:val="000000" w:themeColor="text1"/>
          <w:sz w:val="22"/>
          <w:lang w:val="es-ES"/>
        </w:rPr>
        <w:t xml:space="preserve">. De esta manera, las afirmaciones aquí realizadas no pueden ser interpretadas como juicios de valor sobre circunstancias concretas relacionadas con los hechos que motivan la </w:t>
      </w:r>
      <w:r w:rsidRPr="00A220B2">
        <w:rPr>
          <w:rFonts w:ascii="Verdana" w:eastAsia="Calibri" w:hAnsi="Verdana" w:cs="Arial"/>
          <w:bCs/>
          <w:color w:val="000000" w:themeColor="text1"/>
          <w:sz w:val="22"/>
          <w:lang w:val="es-ES"/>
        </w:rPr>
        <w:lastRenderedPageBreak/>
        <w:t>consulta. Por lo anterior, previo concepto de sus asesores, la solución de situaciones particulares corresponde a los interesados en adoptar la decisión correspondiente y, en caso de conflicto, a las autoridades judiciales, fiscales y disciplinarias.</w:t>
      </w:r>
    </w:p>
    <w:p w14:paraId="0CC98CFA" w14:textId="77777777" w:rsidR="007D41E8" w:rsidRPr="00A220B2" w:rsidRDefault="007D41E8" w:rsidP="007D41E8">
      <w:pPr>
        <w:spacing w:after="120" w:line="276" w:lineRule="auto"/>
        <w:ind w:firstLine="709"/>
        <w:jc w:val="both"/>
        <w:rPr>
          <w:rFonts w:ascii="Verdana" w:hAnsi="Verdana"/>
          <w:lang w:val="es-ES"/>
        </w:rPr>
      </w:pPr>
      <w:r w:rsidRPr="00A220B2">
        <w:rPr>
          <w:rFonts w:ascii="Verdana" w:hAnsi="Verdana" w:cs="Arial"/>
          <w:color w:val="000000" w:themeColor="text1"/>
          <w:lang w:val="es-ES"/>
        </w:rPr>
        <w:t>Dado que sólo tiene a cargo la interpretación abstracta de las normas del sistema de compras y contratación pública, la Agencia no puede definir un criterio universal y absoluto,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frente a las autoridades que cumplen funciones de control y vigilancia.</w:t>
      </w:r>
    </w:p>
    <w:p w14:paraId="2B3201F4" w14:textId="77777777" w:rsidR="007D41E8" w:rsidRPr="00A220B2" w:rsidRDefault="007D41E8" w:rsidP="007D41E8">
      <w:pPr>
        <w:spacing w:after="0" w:line="276" w:lineRule="auto"/>
        <w:ind w:firstLine="708"/>
        <w:jc w:val="both"/>
        <w:rPr>
          <w:rFonts w:ascii="Verdana" w:hAnsi="Verdana" w:cs="Arial"/>
          <w:lang w:val="es-ES"/>
        </w:rPr>
      </w:pPr>
    </w:p>
    <w:p w14:paraId="3881AAC8" w14:textId="77777777" w:rsidR="007D41E8" w:rsidRPr="00A220B2" w:rsidRDefault="007D41E8" w:rsidP="007D41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Referencias normativas, jurisprudenciales y otras fuentes:</w:t>
      </w:r>
    </w:p>
    <w:p w14:paraId="61819CE3" w14:textId="77777777" w:rsidR="007D41E8" w:rsidRPr="00A220B2" w:rsidRDefault="007D41E8" w:rsidP="007D41E8">
      <w:pPr>
        <w:pStyle w:val="Prrafodelista"/>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D41E8" w:rsidRPr="00A220B2" w14:paraId="6C2544F9" w14:textId="77777777" w:rsidTr="00361F48">
        <w:trPr>
          <w:trHeight w:val="870"/>
        </w:trPr>
        <w:tc>
          <w:tcPr>
            <w:tcW w:w="8647" w:type="dxa"/>
          </w:tcPr>
          <w:p w14:paraId="446C8F53"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Constitución Política. Artículos 49, 209 y 267.</w:t>
            </w:r>
          </w:p>
          <w:p w14:paraId="13C33B59"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80 de 1993. Artículo 2.</w:t>
            </w:r>
          </w:p>
          <w:p w14:paraId="43C870CA"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100 de 1993. Artículos 194 y 195, numeral 6.</w:t>
            </w:r>
          </w:p>
          <w:p w14:paraId="7B9BDCB5"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489 de 1998. Artículos 38 y 83.</w:t>
            </w:r>
          </w:p>
          <w:p w14:paraId="256EF81A"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1150 de 2007. Artículos 3 y 13.</w:t>
            </w:r>
          </w:p>
          <w:p w14:paraId="2D30CA19"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1438 de 2011. Artículos 72, 74 y 76.</w:t>
            </w:r>
          </w:p>
          <w:p w14:paraId="43C5F3F4"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1712 de 2014. Artículos 2, 5, 9 y 11.</w:t>
            </w:r>
          </w:p>
          <w:p w14:paraId="1C2CAD70"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Ley 2195 de 2022. Artículo 53.</w:t>
            </w:r>
          </w:p>
          <w:p w14:paraId="79065456"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Decreto 1081 de 2015. Artículo 2.1.1.2.1.7.</w:t>
            </w:r>
          </w:p>
          <w:p w14:paraId="02DE5F5B"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Decreto 1082 de 2015. Artículo 2.2.1.1.1.3.1.</w:t>
            </w:r>
          </w:p>
          <w:p w14:paraId="27FCE021"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Resolución 710 de 2012 del Ministerio de Salud y Protección Social.</w:t>
            </w:r>
          </w:p>
          <w:p w14:paraId="2B2F2311"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Resolución 5185 de 2013 del Ministerio de Salud y Protección Social. Numeral 5.3 y artículo 14.</w:t>
            </w:r>
          </w:p>
          <w:p w14:paraId="4A60FBD2"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Resolución 743 de 2013 del Ministerio de Salud y Protección Social.</w:t>
            </w:r>
          </w:p>
          <w:p w14:paraId="05A98D6C"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 xml:space="preserve">Resolución 408 de 2018 del Ministerio de Salud y Protección Social. </w:t>
            </w:r>
            <w:r w:rsidRPr="00801466">
              <w:rPr>
                <w:rFonts w:ascii="Verdana" w:hAnsi="Verdana" w:cs="Arial"/>
              </w:rPr>
              <w:lastRenderedPageBreak/>
              <w:t>Anexo 2.</w:t>
            </w:r>
          </w:p>
          <w:p w14:paraId="54A30B73"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Resolución 1097 de 2018 del Ministerio de Salud y Protección Social.</w:t>
            </w:r>
          </w:p>
          <w:p w14:paraId="0DFB22DB"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Resolución 1440 de 2024 del Ministerio de Salud y Protección Social.</w:t>
            </w:r>
          </w:p>
          <w:p w14:paraId="7674EA7F"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Corte Constitucional. Sentencia C-655 de 2000.</w:t>
            </w:r>
          </w:p>
          <w:p w14:paraId="7E54FA27"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Consejo de Estado. Sala de Consulta y Servicio Civil. Concepto del 27 de agosto de 1998, radicación No. 1.127. M.P. Javier Henao Hidrón.</w:t>
            </w:r>
          </w:p>
          <w:p w14:paraId="1D0D994A"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Consejo de Estado. Sala de Consulta y Servicio Civil. Concepto del 6 de abril de 2000, radicación No. 1.263. M.P. Flavio Augusto Rodríguez Arce.</w:t>
            </w:r>
          </w:p>
          <w:p w14:paraId="2DBE6DBF"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Consejo de Estado. Sección Tercera. Sentencia del 18 de febrero de 2010. Rad. 11001-03-26-000-2009-00058-00 (37004). C.P. Enrique Gil Botero.</w:t>
            </w:r>
          </w:p>
          <w:p w14:paraId="7D850542"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Consejo de Estado. Sección Tercera. Subsección A. Sentencia del 24 de octubre de 2016. Exp. 45.607. C.P. Marta Nubia Velásquez Rico.</w:t>
            </w:r>
          </w:p>
          <w:p w14:paraId="7327C31D"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Ministerio de Salud y Protección Social. Concepto del 16 de agosto de 2019. Expediente No. 201942301304712.</w:t>
            </w:r>
          </w:p>
          <w:p w14:paraId="57751F67" w14:textId="77777777" w:rsidR="007D41E8" w:rsidRPr="00801466"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Agencia Nacional de Contratación Pública – Colombia Compra Eficiente. Guía para las Entidades Estatales con régimen especial de contratación.</w:t>
            </w:r>
          </w:p>
          <w:p w14:paraId="4342939A" w14:textId="77777777" w:rsidR="007D41E8" w:rsidRPr="00A220B2" w:rsidRDefault="007D41E8" w:rsidP="007D41E8">
            <w:pPr>
              <w:pStyle w:val="Prrafodelista"/>
              <w:widowControl w:val="0"/>
              <w:numPr>
                <w:ilvl w:val="0"/>
                <w:numId w:val="17"/>
              </w:numPr>
              <w:autoSpaceDE w:val="0"/>
              <w:autoSpaceDN w:val="0"/>
              <w:snapToGrid w:val="0"/>
              <w:spacing w:before="120" w:after="120" w:line="276" w:lineRule="auto"/>
              <w:ind w:left="714" w:hanging="357"/>
              <w:contextualSpacing w:val="0"/>
              <w:jc w:val="both"/>
              <w:rPr>
                <w:rFonts w:ascii="Verdana" w:hAnsi="Verdana" w:cs="Arial"/>
              </w:rPr>
            </w:pPr>
            <w:r w:rsidRPr="00801466">
              <w:rPr>
                <w:rFonts w:ascii="Verdana" w:hAnsi="Verdana" w:cs="Arial"/>
              </w:rPr>
              <w:t>Agencia Nacional de Contratación Pública – Colombia Compra Eficiente. Circular Única Externa.</w:t>
            </w:r>
          </w:p>
        </w:tc>
      </w:tr>
    </w:tbl>
    <w:p w14:paraId="6CD3EFFA" w14:textId="77777777" w:rsidR="007D41E8" w:rsidRPr="00A220B2" w:rsidRDefault="007D41E8" w:rsidP="007D41E8">
      <w:pPr>
        <w:widowControl w:val="0"/>
        <w:autoSpaceDE w:val="0"/>
        <w:autoSpaceDN w:val="0"/>
        <w:spacing w:after="0" w:line="276" w:lineRule="auto"/>
        <w:jc w:val="both"/>
        <w:rPr>
          <w:rFonts w:ascii="Verdana" w:hAnsi="Verdana" w:cs="Arial"/>
          <w:color w:val="000000" w:themeColor="text1"/>
          <w:lang w:val="es-ES"/>
        </w:rPr>
      </w:pPr>
    </w:p>
    <w:p w14:paraId="19AA3CD7" w14:textId="77777777" w:rsidR="007D41E8" w:rsidRPr="00A220B2" w:rsidRDefault="007D41E8" w:rsidP="007D41E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A220B2">
        <w:rPr>
          <w:rFonts w:ascii="Verdana" w:eastAsia="Century Gothic" w:hAnsi="Verdana" w:cs="Century Gothic"/>
          <w:b/>
          <w:bCs/>
          <w:color w:val="000000" w:themeColor="text1"/>
        </w:rPr>
        <w:t>Doctrina de la Agencia Nacional de Contratación Pública:</w:t>
      </w:r>
    </w:p>
    <w:p w14:paraId="32ECB0B0" w14:textId="77777777" w:rsidR="007D41E8" w:rsidRPr="00A220B2" w:rsidRDefault="007D41E8" w:rsidP="007D41E8">
      <w:pPr>
        <w:widowControl w:val="0"/>
        <w:autoSpaceDE w:val="0"/>
        <w:autoSpaceDN w:val="0"/>
        <w:spacing w:after="0" w:line="276" w:lineRule="auto"/>
        <w:jc w:val="both"/>
        <w:rPr>
          <w:rFonts w:ascii="Verdana" w:hAnsi="Verdana" w:cs="Arial"/>
          <w:color w:val="000000" w:themeColor="text1"/>
          <w:lang w:val="es-ES"/>
        </w:rPr>
      </w:pPr>
    </w:p>
    <w:p w14:paraId="3D432CB3" w14:textId="77777777" w:rsidR="007D41E8" w:rsidRPr="00A220B2" w:rsidRDefault="007D41E8" w:rsidP="007D41E8">
      <w:pPr>
        <w:ind w:left="3"/>
        <w:jc w:val="both"/>
        <w:rPr>
          <w:rStyle w:val="normaltextrun"/>
          <w:rFonts w:ascii="Verdana" w:eastAsia="Calibri" w:hAnsi="Verdana" w:cs="Arial"/>
          <w:b/>
          <w:bCs/>
          <w:color w:val="000000" w:themeColor="text1"/>
          <w:lang w:val="es-ES" w:eastAsia="es-ES"/>
        </w:rPr>
      </w:pPr>
      <w:r w:rsidRPr="00A220B2">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A220B2">
        <w:rPr>
          <w:rStyle w:val="normaltextrun"/>
          <w:rFonts w:ascii="Verdana" w:hAnsi="Verdana"/>
          <w:color w:val="000000" w:themeColor="text1"/>
          <w:shd w:val="clear" w:color="auto" w:fill="FFFFFF"/>
          <w:lang w:val="es-ES"/>
        </w:rPr>
        <w:t>sobre</w:t>
      </w:r>
      <w:r w:rsidRPr="00A220B2">
        <w:rPr>
          <w:rFonts w:ascii="Verdana" w:eastAsia="Calibri" w:hAnsi="Verdana" w:cs="Arial"/>
          <w:color w:val="000000" w:themeColor="text1"/>
          <w:lang w:val="es-ES" w:eastAsia="es-ES_tradnl"/>
        </w:rPr>
        <w:t xml:space="preserve"> el régimen de contratación de las E.S.E en los conceptos con radicado C-038 del 23 de abril de 2024, C-673 del 8 de julio de 2025, C-912 del 21 de agosto de 2025, C-1392 del 4 de noviembre de 2025, C-357 del 13 de abril 2026, entre otros. Estos</w:t>
      </w:r>
      <w:r w:rsidRPr="00A220B2">
        <w:rPr>
          <w:rFonts w:ascii="Verdana" w:hAnsi="Verdana"/>
          <w:lang w:val="es-ES"/>
        </w:rPr>
        <w:t xml:space="preserve"> y otros conceptos se encuentran disponibles para consulta en</w:t>
      </w:r>
      <w:r w:rsidRPr="00A220B2">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3" w:history="1">
        <w:r w:rsidRPr="00A220B2">
          <w:rPr>
            <w:rStyle w:val="Hipervnculo"/>
            <w:rFonts w:ascii="Verdana" w:hAnsi="Verdana" w:cs="Arial"/>
            <w:shd w:val="clear" w:color="auto" w:fill="FFFFFF"/>
            <w:lang w:val="es-ES"/>
          </w:rPr>
          <w:t>https://relatoria.colombiacompra.gov.co/busqueda/conceptos</w:t>
        </w:r>
      </w:hyperlink>
      <w:r w:rsidRPr="00A220B2">
        <w:rPr>
          <w:rStyle w:val="normaltextrun"/>
          <w:rFonts w:ascii="Verdana" w:hAnsi="Verdana" w:cs="Arial"/>
          <w:shd w:val="clear" w:color="auto" w:fill="FFFFFF"/>
          <w:lang w:val="es-ES"/>
        </w:rPr>
        <w:t>.</w:t>
      </w:r>
      <w:r w:rsidRPr="00A220B2">
        <w:rPr>
          <w:rStyle w:val="normaltextrun"/>
          <w:rFonts w:ascii="Verdana" w:hAnsi="Verdana" w:cs="Arial"/>
          <w:color w:val="FF0000"/>
          <w:shd w:val="clear" w:color="auto" w:fill="FFFFFF"/>
          <w:lang w:val="es-ES"/>
        </w:rPr>
        <w:t xml:space="preserve"> </w:t>
      </w:r>
    </w:p>
    <w:p w14:paraId="5516A3EC" w14:textId="77777777" w:rsidR="007D41E8" w:rsidRPr="00A220B2" w:rsidRDefault="007D41E8" w:rsidP="007D41E8">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4E8747B5" w14:textId="77777777" w:rsidR="00F42470" w:rsidRDefault="00F42470" w:rsidP="00F42470">
      <w:pPr>
        <w:spacing w:after="0" w:line="276" w:lineRule="auto"/>
        <w:jc w:val="both"/>
        <w:rPr>
          <w:rFonts w:ascii="Verdana" w:hAnsi="Verdana"/>
          <w:lang/>
        </w:rPr>
      </w:pPr>
      <w:r w:rsidRPr="00F42470">
        <w:rPr>
          <w:rFonts w:ascii="Verdana" w:hAnsi="Verdana"/>
          <w:lang/>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470">
        <w:rPr>
          <w:rFonts w:ascii="Verdana" w:hAnsi="Verdana"/>
          <w:b/>
          <w:bCs/>
          <w:lang/>
        </w:rPr>
        <w:t>Guía para la Exigencia y Constitución de Garantías en los Procesos de Contratación</w:t>
      </w:r>
      <w:r w:rsidRPr="00F42470">
        <w:rPr>
          <w:rFonts w:ascii="Verdana" w:hAnsi="Verdana"/>
          <w:lang/>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Original URL: https://www.colombiacompra.gov.co/archivos/manual/guia-de-garantias-en-procesos-de-contratacion. Click or tap if you trust this link." w:history="1">
        <w:r w:rsidRPr="00F42470">
          <w:rPr>
            <w:rStyle w:val="Hipervnculo"/>
            <w:rFonts w:ascii="Verdana" w:hAnsi="Verdana"/>
            <w:lang/>
          </w:rPr>
          <w:t>https://www.colombiacompra.gov.co/archivos/manual/guia-de-garantias-en-procesos-de-contratacion</w:t>
        </w:r>
      </w:hyperlink>
    </w:p>
    <w:p w14:paraId="6A041896" w14:textId="77777777" w:rsidR="00F42470" w:rsidRDefault="00F42470" w:rsidP="00F42470">
      <w:pPr>
        <w:spacing w:after="0" w:line="276" w:lineRule="auto"/>
        <w:jc w:val="both"/>
        <w:rPr>
          <w:rFonts w:ascii="Verdana" w:hAnsi="Verdana"/>
          <w:lang/>
        </w:rPr>
      </w:pPr>
    </w:p>
    <w:p w14:paraId="43A1A4A3" w14:textId="36D6D05C" w:rsidR="00F42470" w:rsidRPr="00F42470" w:rsidRDefault="00F42470" w:rsidP="00F42470">
      <w:pPr>
        <w:spacing w:after="0" w:line="276" w:lineRule="auto"/>
        <w:jc w:val="both"/>
        <w:rPr>
          <w:rFonts w:ascii="Verdana" w:hAnsi="Verdana"/>
          <w:lang/>
        </w:rPr>
      </w:pPr>
      <w:r w:rsidRPr="00F42470">
        <w:rPr>
          <w:rFonts w:ascii="Verdana" w:hAnsi="Verdana"/>
          <w:lang/>
        </w:rPr>
        <w:t>De otro lado, te contamos que el Decreto 287 del 19 de marzo de 2026 sustituyó los artículos 2.2.1.2.4.2.6., 2.2.1.2.4.2.7. y 2.2.1.2.4.2.8. del Decreto 1082 de 2015 y estructuró el </w:t>
      </w:r>
      <w:r w:rsidRPr="00F42470">
        <w:rPr>
          <w:rFonts w:ascii="Verdana" w:hAnsi="Verdana"/>
          <w:b/>
          <w:bCs/>
          <w:lang/>
        </w:rPr>
        <w:t>Sistema Integral de Preferencias en favor de las personas con discapacidad</w:t>
      </w:r>
      <w:r w:rsidRPr="00F42470">
        <w:rPr>
          <w:rFonts w:ascii="Verdana" w:hAnsi="Verdana"/>
          <w:lang/>
        </w:rPr>
        <w:t>, en cumplimiento del artículo 13 de la Ley Estatutaria 1618 de 2013. Para orientar su aplicación, esta Agencia expidió la </w:t>
      </w:r>
      <w:r w:rsidRPr="00F42470">
        <w:rPr>
          <w:rFonts w:ascii="Verdana" w:hAnsi="Verdana"/>
          <w:b/>
          <w:bCs/>
          <w:lang/>
        </w:rPr>
        <w:t>Circular Externa 003 del 12 de mayo de 2026, </w:t>
      </w:r>
      <w:r w:rsidRPr="00F42470">
        <w:rPr>
          <w:rFonts w:ascii="Verdana" w:hAnsi="Verdana"/>
          <w:lang/>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Original URL: https://www.colombiacompra.gov.co/archivos/circular/circular-externa-003-de-2026. Click or tap if you trust this link." w:history="1">
        <w:r w:rsidRPr="00F42470">
          <w:rPr>
            <w:rStyle w:val="Hipervnculo"/>
            <w:rFonts w:ascii="Verdana" w:hAnsi="Verdana"/>
            <w:lang/>
          </w:rPr>
          <w:t>https://www.colombiacompra.gov.co/archivos/circular/circular-externa-003-de-2026</w:t>
        </w:r>
      </w:hyperlink>
    </w:p>
    <w:p w14:paraId="5393632F" w14:textId="77777777" w:rsidR="00055207" w:rsidRDefault="00055207" w:rsidP="007D41E8">
      <w:pPr>
        <w:spacing w:after="0" w:line="276" w:lineRule="auto"/>
        <w:jc w:val="both"/>
        <w:rPr>
          <w:rFonts w:ascii="Verdana" w:hAnsi="Verdana"/>
          <w:lang w:val="es-ES"/>
        </w:rPr>
      </w:pPr>
    </w:p>
    <w:p w14:paraId="77AC2FA6" w14:textId="77777777" w:rsidR="00F42470" w:rsidRPr="00F42470" w:rsidRDefault="00F42470" w:rsidP="00F42470">
      <w:pPr>
        <w:spacing w:after="0" w:line="276" w:lineRule="auto"/>
        <w:jc w:val="both"/>
        <w:rPr>
          <w:rFonts w:ascii="Verdana" w:hAnsi="Verdana"/>
          <w:lang/>
        </w:rPr>
      </w:pPr>
      <w:r w:rsidRPr="00F42470">
        <w:rPr>
          <w:rFonts w:ascii="Verdana" w:hAnsi="Verdana"/>
          <w:lang/>
        </w:rPr>
        <w:t>Recuerda también que la</w:t>
      </w:r>
      <w:r w:rsidRPr="00F42470">
        <w:rPr>
          <w:rFonts w:ascii="Verdana" w:hAnsi="Verdana"/>
          <w:b/>
          <w:bCs/>
          <w:lang/>
        </w:rPr>
        <w:t> información sobre sanciones e inhabilidades </w:t>
      </w:r>
      <w:r w:rsidRPr="00F42470">
        <w:rPr>
          <w:rFonts w:ascii="Verdana" w:hAnsi="Verdana"/>
          <w:lang/>
        </w:rPr>
        <w:t>solo cumple su función preventiva si llega oportunamente a los registros públicos. Sobre este deber, esta Agencia expidió la </w:t>
      </w:r>
      <w:r w:rsidRPr="00F42470">
        <w:rPr>
          <w:rFonts w:ascii="Verdana" w:hAnsi="Verdana"/>
          <w:b/>
          <w:bCs/>
          <w:lang/>
        </w:rPr>
        <w:t>Circular Externa 002 del 5 de mayo de 2026,</w:t>
      </w:r>
      <w:r w:rsidRPr="00F42470">
        <w:rPr>
          <w:rFonts w:ascii="Verdana" w:hAnsi="Verdana"/>
          <w:lang/>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Original URL: https://www.colombiacompra.gov.co/archivos/circular/circular-externa-002-de-2026. Click or tap if you trust this link." w:history="1">
        <w:r w:rsidRPr="00F42470">
          <w:rPr>
            <w:rStyle w:val="Hipervnculo"/>
            <w:rFonts w:ascii="Verdana" w:hAnsi="Verdana"/>
            <w:lang/>
          </w:rPr>
          <w:t>https://www.colombiacompra.gov.co/archivos/circular/circular-externa-002-de-2026</w:t>
        </w:r>
      </w:hyperlink>
    </w:p>
    <w:p w14:paraId="17FB6EDA" w14:textId="77777777" w:rsidR="00F42470" w:rsidRDefault="00F42470" w:rsidP="00F42470">
      <w:pPr>
        <w:spacing w:after="0" w:line="276" w:lineRule="auto"/>
        <w:jc w:val="both"/>
        <w:rPr>
          <w:rFonts w:ascii="Verdana" w:hAnsi="Verdana"/>
          <w:lang/>
        </w:rPr>
      </w:pPr>
    </w:p>
    <w:p w14:paraId="23ACF695" w14:textId="27844297" w:rsidR="00F42470" w:rsidRPr="00F42470" w:rsidRDefault="00F42470" w:rsidP="00F42470">
      <w:pPr>
        <w:spacing w:after="0" w:line="276" w:lineRule="auto"/>
        <w:jc w:val="both"/>
        <w:rPr>
          <w:rFonts w:ascii="Verdana" w:hAnsi="Verdana"/>
          <w:lang/>
        </w:rPr>
      </w:pPr>
      <w:r w:rsidRPr="00F42470">
        <w:rPr>
          <w:rFonts w:ascii="Verdana" w:hAnsi="Verdana"/>
          <w:lang/>
        </w:rPr>
        <w:t>Finalmente, si quieres seguir de cerca la actividad de la Agencia, la tercera edición de 2026 del</w:t>
      </w:r>
      <w:r w:rsidRPr="00F42470">
        <w:rPr>
          <w:rFonts w:ascii="Verdana" w:hAnsi="Verdana"/>
          <w:b/>
          <w:bCs/>
          <w:lang/>
        </w:rPr>
        <w:t> Radar de la Compra Pública</w:t>
      </w:r>
      <w:r w:rsidRPr="00F42470">
        <w:rPr>
          <w:rFonts w:ascii="Verdana" w:hAnsi="Verdana"/>
          <w:lang/>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Original URL: https://www.colombiacompra.gov.co/archivos/boletin/boletin-edicion-n-3-de-2026-radar-de-la-compra-publica. Click or tap if you trust this link." w:history="1">
        <w:r w:rsidRPr="00F42470">
          <w:rPr>
            <w:rStyle w:val="Hipervnculo"/>
            <w:rFonts w:ascii="Verdana" w:hAnsi="Verdana"/>
            <w:lang/>
          </w:rPr>
          <w:t>https://www.colombiacompra.gov.co/archivos/boletin/boletin-edicion-n-3-de-2026-radar-de-la-compra-publica</w:t>
        </w:r>
      </w:hyperlink>
      <w:r w:rsidRPr="00F42470">
        <w:rPr>
          <w:rFonts w:ascii="Verdana" w:hAnsi="Verdana"/>
          <w:lang/>
        </w:rPr>
        <w:t>"</w:t>
      </w:r>
    </w:p>
    <w:p w14:paraId="610B0267" w14:textId="77777777" w:rsidR="00F42470" w:rsidRDefault="00F42470" w:rsidP="007D41E8">
      <w:pPr>
        <w:spacing w:after="0" w:line="276" w:lineRule="auto"/>
        <w:jc w:val="both"/>
        <w:rPr>
          <w:rFonts w:ascii="Verdana" w:hAnsi="Verdana"/>
          <w:lang w:val="es-ES"/>
        </w:rPr>
      </w:pPr>
    </w:p>
    <w:p w14:paraId="609B66DB" w14:textId="3A30110D" w:rsidR="007D41E8" w:rsidRPr="00A220B2" w:rsidRDefault="007D41E8" w:rsidP="007D41E8">
      <w:pPr>
        <w:spacing w:after="0" w:line="276" w:lineRule="auto"/>
        <w:jc w:val="both"/>
        <w:rPr>
          <w:rFonts w:ascii="Verdana" w:hAnsi="Verdana"/>
          <w:lang w:val="es-ES"/>
        </w:rPr>
      </w:pPr>
      <w:r w:rsidRPr="00A220B2">
        <w:rPr>
          <w:rFonts w:ascii="Verdana" w:hAnsi="Verdana"/>
          <w:lang w:val="es-ES"/>
        </w:rPr>
        <w:t xml:space="preserve">Por último, lo invitamos a seguirnos en las redes sociales en las cuales se difunde información institucional: </w:t>
      </w:r>
    </w:p>
    <w:p w14:paraId="44C5BC65" w14:textId="77777777" w:rsidR="007D41E8" w:rsidRPr="00A220B2" w:rsidRDefault="007D41E8" w:rsidP="007D41E8">
      <w:pPr>
        <w:spacing w:after="0" w:line="276" w:lineRule="auto"/>
        <w:jc w:val="both"/>
        <w:rPr>
          <w:rFonts w:ascii="Verdana" w:hAnsi="Verdana"/>
          <w:lang w:val="es-ES"/>
        </w:rPr>
      </w:pPr>
    </w:p>
    <w:p w14:paraId="70D94A8D" w14:textId="77777777" w:rsidR="007D41E8" w:rsidRPr="00A220B2" w:rsidRDefault="007D41E8" w:rsidP="007D41E8">
      <w:pPr>
        <w:spacing w:after="0" w:line="276" w:lineRule="auto"/>
        <w:jc w:val="both"/>
        <w:rPr>
          <w:rFonts w:ascii="Verdana" w:hAnsi="Verdana"/>
          <w:lang w:val="es-ES"/>
        </w:rPr>
      </w:pPr>
      <w:r w:rsidRPr="00A220B2">
        <w:rPr>
          <w:rFonts w:ascii="Verdana" w:hAnsi="Verdana"/>
          <w:lang w:val="es-ES"/>
        </w:rPr>
        <w:t xml:space="preserve">Twitter: </w:t>
      </w:r>
      <w:r w:rsidRPr="00A220B2">
        <w:rPr>
          <w:rStyle w:val="Hipervnculo"/>
          <w:rFonts w:ascii="Verdana" w:hAnsi="Verdana" w:cs="Arial"/>
          <w:shd w:val="clear" w:color="auto" w:fill="FFFFFF"/>
          <w:lang w:val="es-ES"/>
        </w:rPr>
        <w:t>@colombiacompra</w:t>
      </w:r>
      <w:r w:rsidRPr="00A220B2">
        <w:rPr>
          <w:rFonts w:ascii="Verdana" w:hAnsi="Verdana"/>
          <w:color w:val="4472C4" w:themeColor="accent1"/>
          <w:lang w:val="es-ES"/>
        </w:rPr>
        <w:t xml:space="preserve"> </w:t>
      </w:r>
    </w:p>
    <w:p w14:paraId="5B0DF796" w14:textId="77777777" w:rsidR="007D41E8" w:rsidRPr="00A220B2" w:rsidRDefault="007D41E8" w:rsidP="007D41E8">
      <w:pPr>
        <w:spacing w:after="0" w:line="276" w:lineRule="auto"/>
        <w:jc w:val="both"/>
        <w:rPr>
          <w:rFonts w:ascii="Verdana" w:hAnsi="Verdana"/>
          <w:lang w:val="es-ES"/>
        </w:rPr>
      </w:pPr>
      <w:r w:rsidRPr="00A220B2">
        <w:rPr>
          <w:rFonts w:ascii="Verdana" w:hAnsi="Verdana"/>
          <w:lang w:val="es-ES"/>
        </w:rPr>
        <w:t xml:space="preserve">Facebook: </w:t>
      </w:r>
      <w:proofErr w:type="spellStart"/>
      <w:r w:rsidRPr="00A220B2">
        <w:rPr>
          <w:rStyle w:val="Hipervnculo"/>
          <w:rFonts w:ascii="Verdana" w:hAnsi="Verdana" w:cs="Arial"/>
          <w:shd w:val="clear" w:color="auto" w:fill="FFFFFF"/>
          <w:lang w:val="es-ES"/>
        </w:rPr>
        <w:t>ColombiaCompraEficiente</w:t>
      </w:r>
      <w:proofErr w:type="spellEnd"/>
    </w:p>
    <w:p w14:paraId="41E012C7" w14:textId="77777777" w:rsidR="007D41E8" w:rsidRPr="00A220B2" w:rsidRDefault="007D41E8" w:rsidP="007D41E8">
      <w:pPr>
        <w:spacing w:after="0" w:line="276" w:lineRule="auto"/>
        <w:jc w:val="both"/>
        <w:rPr>
          <w:rFonts w:ascii="Verdana" w:hAnsi="Verdana"/>
          <w:lang w:val="es-ES"/>
        </w:rPr>
      </w:pPr>
      <w:r w:rsidRPr="00A220B2">
        <w:rPr>
          <w:rFonts w:ascii="Verdana" w:hAnsi="Verdana"/>
          <w:lang w:val="es-ES"/>
        </w:rPr>
        <w:t xml:space="preserve">LinkedIn: </w:t>
      </w:r>
      <w:r w:rsidRPr="00A220B2">
        <w:rPr>
          <w:rStyle w:val="Hipervnculo"/>
          <w:rFonts w:ascii="Verdana" w:hAnsi="Verdana" w:cs="Arial"/>
          <w:shd w:val="clear" w:color="auto" w:fill="FFFFFF"/>
          <w:lang w:val="es-ES"/>
        </w:rPr>
        <w:t xml:space="preserve">Agencia Nacional de Contratación Pública - Colombia Compra Eficiente </w:t>
      </w:r>
      <w:r w:rsidRPr="00A220B2">
        <w:rPr>
          <w:rFonts w:ascii="Verdana" w:hAnsi="Verdana"/>
          <w:lang w:val="es-ES"/>
        </w:rPr>
        <w:t xml:space="preserve">Instagram: </w:t>
      </w:r>
      <w:r w:rsidRPr="00A220B2">
        <w:rPr>
          <w:rStyle w:val="Hipervnculo"/>
          <w:rFonts w:ascii="Verdana" w:hAnsi="Verdana" w:cs="Arial"/>
          <w:shd w:val="clear" w:color="auto" w:fill="FFFFFF"/>
          <w:lang w:val="es-ES"/>
        </w:rPr>
        <w:t>@colombiacompraeficiente_cce</w:t>
      </w:r>
    </w:p>
    <w:p w14:paraId="4C3D3B9A" w14:textId="77777777" w:rsidR="007D41E8" w:rsidRPr="00A220B2" w:rsidRDefault="007D41E8" w:rsidP="007D41E8">
      <w:pPr>
        <w:widowControl w:val="0"/>
        <w:autoSpaceDE w:val="0"/>
        <w:autoSpaceDN w:val="0"/>
        <w:spacing w:after="0" w:line="276" w:lineRule="auto"/>
        <w:jc w:val="both"/>
        <w:rPr>
          <w:rFonts w:ascii="Verdana" w:hAnsi="Verdana" w:cs="Arial"/>
          <w:color w:val="000000" w:themeColor="text1"/>
          <w:lang w:val="es-ES"/>
        </w:rPr>
      </w:pPr>
    </w:p>
    <w:p w14:paraId="64245E95" w14:textId="28C2535F" w:rsidR="007D41E8" w:rsidRPr="00A220B2" w:rsidRDefault="007D41E8" w:rsidP="007D41E8">
      <w:pPr>
        <w:widowControl w:val="0"/>
        <w:autoSpaceDE w:val="0"/>
        <w:autoSpaceDN w:val="0"/>
        <w:spacing w:after="0" w:line="276" w:lineRule="auto"/>
        <w:jc w:val="both"/>
        <w:rPr>
          <w:rFonts w:ascii="Verdana" w:hAnsi="Verdana" w:cs="Arial"/>
          <w:color w:val="000000" w:themeColor="text1"/>
          <w:lang w:val="es-ES"/>
        </w:rPr>
      </w:pPr>
      <w:r w:rsidRPr="00A220B2">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624D5996" w14:textId="6D76B35D" w:rsidR="007D41E8" w:rsidRPr="00A220B2" w:rsidRDefault="007D41E8" w:rsidP="007D41E8">
      <w:pPr>
        <w:widowControl w:val="0"/>
        <w:autoSpaceDE w:val="0"/>
        <w:autoSpaceDN w:val="0"/>
        <w:spacing w:after="0" w:line="276" w:lineRule="auto"/>
        <w:jc w:val="both"/>
        <w:rPr>
          <w:rFonts w:ascii="Verdana" w:hAnsi="Verdana" w:cs="Arial"/>
          <w:color w:val="000000" w:themeColor="text1"/>
          <w:lang w:val="es-ES"/>
        </w:rPr>
      </w:pPr>
    </w:p>
    <w:p w14:paraId="4C72B911" w14:textId="3E983CC2" w:rsidR="007D41E8" w:rsidRPr="00A220B2" w:rsidRDefault="007D41E8" w:rsidP="007D41E8">
      <w:pPr>
        <w:spacing w:after="0" w:line="276" w:lineRule="auto"/>
        <w:rPr>
          <w:rFonts w:ascii="Verdana" w:hAnsi="Verdana" w:cs="Arial"/>
          <w:color w:val="000000" w:themeColor="text1"/>
          <w:lang w:val="es-ES" w:eastAsia="es-CO"/>
        </w:rPr>
      </w:pPr>
      <w:r w:rsidRPr="00A220B2">
        <w:rPr>
          <w:rFonts w:ascii="Verdana" w:eastAsia="Times New Roman" w:hAnsi="Verdana" w:cs="Arial"/>
          <w:color w:val="000000" w:themeColor="text1"/>
          <w:lang w:val="es-ES" w:eastAsia="es-CO"/>
        </w:rPr>
        <w:t>Atentamente,</w:t>
      </w:r>
      <w:r w:rsidRPr="00A220B2">
        <w:rPr>
          <w:rFonts w:ascii="Verdana" w:hAnsi="Verdana" w:cs="Arial"/>
          <w:color w:val="000000" w:themeColor="text1"/>
          <w:lang w:val="es-ES" w:eastAsia="es-CO"/>
        </w:rPr>
        <w:t xml:space="preserve"> </w:t>
      </w:r>
    </w:p>
    <w:p w14:paraId="68329864" w14:textId="7DCBF629" w:rsidR="007D41E8" w:rsidRDefault="004D131C" w:rsidP="007D41E8">
      <w:pPr>
        <w:spacing w:line="276" w:lineRule="auto"/>
        <w:rPr>
          <w:lang w:val="es-ES"/>
        </w:rPr>
      </w:pPr>
      <w:r w:rsidRPr="002C3AD6">
        <w:rPr>
          <w:rFonts w:ascii="Century Gothic" w:hAnsi="Century Gothic"/>
          <w:noProof/>
        </w:rPr>
        <w:drawing>
          <wp:anchor distT="0" distB="0" distL="114300" distR="114300" simplePos="0" relativeHeight="251659264" behindDoc="0" locked="0" layoutInCell="1" allowOverlap="1" wp14:anchorId="4392346A" wp14:editId="6A86AABE">
            <wp:simplePos x="0" y="0"/>
            <wp:positionH relativeFrom="margin">
              <wp:posOffset>1201420</wp:posOffset>
            </wp:positionH>
            <wp:positionV relativeFrom="page">
              <wp:posOffset>6201410</wp:posOffset>
            </wp:positionV>
            <wp:extent cx="3656965" cy="1311910"/>
            <wp:effectExtent l="0" t="0" r="635" b="254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3656965" cy="1311910"/>
                    </a:xfrm>
                    <a:prstGeom prst="rect">
                      <a:avLst/>
                    </a:prstGeom>
                  </pic:spPr>
                </pic:pic>
              </a:graphicData>
            </a:graphic>
            <wp14:sizeRelH relativeFrom="page">
              <wp14:pctWidth>0</wp14:pctWidth>
            </wp14:sizeRelH>
            <wp14:sizeRelV relativeFrom="page">
              <wp14:pctHeight>0</wp14:pctHeight>
            </wp14:sizeRelV>
          </wp:anchor>
        </w:drawing>
      </w:r>
    </w:p>
    <w:p w14:paraId="5AE25FE1" w14:textId="12BF9792" w:rsidR="006A6F50" w:rsidRDefault="006A6F50" w:rsidP="007D41E8">
      <w:pPr>
        <w:spacing w:line="276" w:lineRule="auto"/>
        <w:rPr>
          <w:lang w:val="es-ES"/>
        </w:rPr>
      </w:pPr>
    </w:p>
    <w:p w14:paraId="7E3B0A5D" w14:textId="77777777" w:rsidR="004D131C" w:rsidRDefault="004D131C" w:rsidP="007D41E8">
      <w:pPr>
        <w:spacing w:line="276" w:lineRule="auto"/>
        <w:rPr>
          <w:lang w:val="es-ES"/>
        </w:rPr>
      </w:pPr>
    </w:p>
    <w:p w14:paraId="44DEF495" w14:textId="77777777" w:rsidR="004D131C" w:rsidRDefault="004D131C" w:rsidP="007D41E8">
      <w:pPr>
        <w:spacing w:line="276" w:lineRule="auto"/>
        <w:rPr>
          <w:lang w:val="es-ES"/>
        </w:rPr>
      </w:pPr>
    </w:p>
    <w:p w14:paraId="1D96D89F" w14:textId="77777777" w:rsidR="004D131C" w:rsidRPr="00A220B2" w:rsidRDefault="004D131C" w:rsidP="007D41E8">
      <w:pPr>
        <w:spacing w:line="276" w:lineRule="auto"/>
        <w:rPr>
          <w:lang w:val="es-ES"/>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7D41E8" w:rsidRPr="00A220B2" w14:paraId="688BC6CA" w14:textId="77777777" w:rsidTr="00361F48">
        <w:trPr>
          <w:trHeight w:val="315"/>
        </w:trPr>
        <w:tc>
          <w:tcPr>
            <w:tcW w:w="893" w:type="dxa"/>
            <w:vAlign w:val="center"/>
            <w:hideMark/>
          </w:tcPr>
          <w:p w14:paraId="780D1EA6" w14:textId="77777777" w:rsidR="007D41E8" w:rsidRPr="006A6F50" w:rsidRDefault="007D41E8" w:rsidP="00361F48">
            <w:pPr>
              <w:contextualSpacing/>
              <w:rPr>
                <w:rFonts w:ascii="Verdana" w:hAnsi="Verdana" w:cs="Arial"/>
                <w:sz w:val="15"/>
                <w:szCs w:val="15"/>
                <w:lang w:val="es-ES" w:eastAsia="es-ES"/>
              </w:rPr>
            </w:pPr>
            <w:r w:rsidRPr="006A6F50">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2A5DBCD8" w14:textId="77777777" w:rsidR="007D41E8" w:rsidRPr="006A6F50" w:rsidRDefault="007D41E8" w:rsidP="00361F48">
            <w:pPr>
              <w:contextualSpacing/>
              <w:rPr>
                <w:rFonts w:ascii="Verdana" w:eastAsia="Arial" w:hAnsi="Verdana" w:cs="Arial"/>
                <w:color w:val="000000" w:themeColor="text1"/>
                <w:sz w:val="15"/>
                <w:szCs w:val="15"/>
                <w:lang w:val="es-ES"/>
              </w:rPr>
            </w:pPr>
            <w:r w:rsidRPr="006A6F50">
              <w:rPr>
                <w:rFonts w:ascii="Verdana" w:eastAsia="Arial" w:hAnsi="Verdana" w:cs="Arial"/>
                <w:color w:val="000000" w:themeColor="text1"/>
                <w:sz w:val="15"/>
                <w:szCs w:val="15"/>
                <w:lang w:val="es-ES"/>
              </w:rPr>
              <w:t>Anamaría Bonilla Prieto</w:t>
            </w:r>
          </w:p>
          <w:p w14:paraId="69226BBB" w14:textId="77777777" w:rsidR="007D41E8" w:rsidRPr="006A6F50" w:rsidRDefault="007D41E8" w:rsidP="00361F48">
            <w:pPr>
              <w:contextualSpacing/>
              <w:rPr>
                <w:rFonts w:ascii="Verdana" w:eastAsia="Arial" w:hAnsi="Verdana" w:cs="Arial"/>
                <w:sz w:val="15"/>
                <w:szCs w:val="15"/>
                <w:lang w:val="es-ES"/>
              </w:rPr>
            </w:pPr>
            <w:r w:rsidRPr="006A6F50">
              <w:rPr>
                <w:rStyle w:val="normaltextrun"/>
                <w:rFonts w:ascii="Verdana" w:eastAsia="Arial" w:hAnsi="Verdana" w:cs="Arial"/>
                <w:color w:val="000000" w:themeColor="text1"/>
                <w:sz w:val="15"/>
                <w:szCs w:val="15"/>
                <w:lang w:val="es-ES"/>
              </w:rPr>
              <w:t xml:space="preserve">Contratista de la Subdirección </w:t>
            </w:r>
            <w:r w:rsidRPr="006A6F50">
              <w:rPr>
                <w:rStyle w:val="normaltextrun"/>
                <w:rFonts w:ascii="Verdana" w:eastAsia="Arial" w:hAnsi="Verdana" w:cs="Arial"/>
                <w:sz w:val="15"/>
                <w:szCs w:val="15"/>
                <w:lang w:val="es-ES"/>
              </w:rPr>
              <w:t>de Gestión Contractual</w:t>
            </w:r>
          </w:p>
        </w:tc>
      </w:tr>
      <w:tr w:rsidR="007D41E8" w:rsidRPr="00A220B2" w14:paraId="7A26F172" w14:textId="77777777" w:rsidTr="00361F48">
        <w:trPr>
          <w:trHeight w:val="330"/>
        </w:trPr>
        <w:tc>
          <w:tcPr>
            <w:tcW w:w="893" w:type="dxa"/>
            <w:vAlign w:val="center"/>
            <w:hideMark/>
          </w:tcPr>
          <w:p w14:paraId="555615C3" w14:textId="77777777" w:rsidR="007D41E8" w:rsidRPr="006A6F50" w:rsidRDefault="007D41E8" w:rsidP="00361F48">
            <w:pPr>
              <w:contextualSpacing/>
              <w:rPr>
                <w:rFonts w:ascii="Verdana" w:hAnsi="Verdana" w:cs="Arial"/>
                <w:sz w:val="15"/>
                <w:szCs w:val="15"/>
                <w:lang w:val="es-ES" w:eastAsia="es-ES"/>
              </w:rPr>
            </w:pPr>
            <w:r w:rsidRPr="006A6F50">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28DC6A2" w14:textId="77777777" w:rsidR="007D41E8" w:rsidRPr="006A6F50" w:rsidRDefault="007D41E8" w:rsidP="00361F48">
            <w:pPr>
              <w:contextualSpacing/>
              <w:rPr>
                <w:rFonts w:ascii="Verdana" w:eastAsia="Arial" w:hAnsi="Verdana" w:cs="Arial"/>
                <w:color w:val="000000" w:themeColor="text1"/>
                <w:sz w:val="15"/>
                <w:szCs w:val="15"/>
                <w:lang w:val="es-ES"/>
              </w:rPr>
            </w:pPr>
            <w:r w:rsidRPr="006A6F50">
              <w:rPr>
                <w:rFonts w:ascii="Verdana" w:eastAsia="Arial" w:hAnsi="Verdana" w:cs="Arial"/>
                <w:color w:val="000000" w:themeColor="text1"/>
                <w:sz w:val="15"/>
                <w:szCs w:val="15"/>
                <w:lang w:val="es-ES"/>
              </w:rPr>
              <w:t>Alejandro Sarmiento Cantillo</w:t>
            </w:r>
          </w:p>
          <w:p w14:paraId="740A2B29" w14:textId="77777777" w:rsidR="007D41E8" w:rsidRPr="006A6F50" w:rsidRDefault="007D41E8" w:rsidP="00361F48">
            <w:pPr>
              <w:pStyle w:val="paragraph"/>
              <w:spacing w:before="0" w:beforeAutospacing="0" w:after="0" w:afterAutospacing="0"/>
              <w:contextualSpacing/>
              <w:textAlignment w:val="baseline"/>
              <w:rPr>
                <w:rFonts w:ascii="Verdana" w:hAnsi="Verdana" w:cs="Segoe UI"/>
                <w:sz w:val="15"/>
                <w:szCs w:val="15"/>
                <w:lang w:val="es-ES"/>
              </w:rPr>
            </w:pPr>
            <w:r w:rsidRPr="006A6F50">
              <w:rPr>
                <w:rFonts w:ascii="Verdana" w:eastAsia="Arial" w:hAnsi="Verdana" w:cs="Arial"/>
                <w:color w:val="000000" w:themeColor="text1"/>
                <w:sz w:val="15"/>
                <w:szCs w:val="15"/>
                <w:lang w:val="es-ES"/>
              </w:rPr>
              <w:t>Gestor T1 – 15 de la Subdirección de Gestión Contractual</w:t>
            </w:r>
            <w:r w:rsidRPr="006A6F50">
              <w:rPr>
                <w:rFonts w:ascii="Verdana" w:hAnsi="Verdana" w:cs="Segoe UI"/>
                <w:sz w:val="15"/>
                <w:szCs w:val="15"/>
                <w:lang w:val="es-ES"/>
              </w:rPr>
              <w:t> </w:t>
            </w:r>
          </w:p>
          <w:p w14:paraId="4526BCD4" w14:textId="77777777" w:rsidR="007D41E8" w:rsidRPr="006A6F50" w:rsidRDefault="007D41E8" w:rsidP="00361F48">
            <w:pPr>
              <w:pStyle w:val="paragraph"/>
              <w:spacing w:before="0" w:beforeAutospacing="0" w:after="0" w:afterAutospacing="0"/>
              <w:contextualSpacing/>
              <w:textAlignment w:val="baseline"/>
              <w:rPr>
                <w:rFonts w:ascii="Verdana" w:hAnsi="Verdana" w:cs="Segoe UI"/>
                <w:sz w:val="15"/>
                <w:szCs w:val="15"/>
                <w:lang w:val="es-ES"/>
              </w:rPr>
            </w:pPr>
          </w:p>
        </w:tc>
      </w:tr>
      <w:tr w:rsidR="007D41E8" w:rsidRPr="00A220B2" w14:paraId="774F04BE" w14:textId="77777777" w:rsidTr="00361F48">
        <w:trPr>
          <w:trHeight w:val="300"/>
        </w:trPr>
        <w:tc>
          <w:tcPr>
            <w:tcW w:w="893" w:type="dxa"/>
            <w:vAlign w:val="center"/>
          </w:tcPr>
          <w:p w14:paraId="430999DA" w14:textId="77777777" w:rsidR="007D41E8" w:rsidRPr="006A6F50" w:rsidRDefault="007D41E8" w:rsidP="00361F48">
            <w:pPr>
              <w:contextualSpacing/>
              <w:rPr>
                <w:rFonts w:ascii="Verdana" w:hAnsi="Verdana" w:cs="Arial"/>
                <w:sz w:val="15"/>
                <w:szCs w:val="15"/>
                <w:lang w:val="es-ES" w:eastAsia="es-ES"/>
              </w:rPr>
            </w:pPr>
            <w:r w:rsidRPr="006A6F50">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2600859" w14:textId="77777777" w:rsidR="007D41E8" w:rsidRPr="006A6F50" w:rsidRDefault="007D41E8" w:rsidP="00361F48">
            <w:pPr>
              <w:contextualSpacing/>
              <w:rPr>
                <w:rFonts w:ascii="Verdana" w:eastAsia="Calibri" w:hAnsi="Verdana" w:cs="Arial"/>
                <w:sz w:val="15"/>
                <w:szCs w:val="15"/>
                <w:lang w:val="es-ES" w:eastAsia="es-ES"/>
              </w:rPr>
            </w:pPr>
            <w:r w:rsidRPr="006A6F50">
              <w:rPr>
                <w:rFonts w:ascii="Verdana" w:eastAsia="Calibri" w:hAnsi="Verdana" w:cs="Arial"/>
                <w:sz w:val="15"/>
                <w:szCs w:val="15"/>
                <w:lang w:val="es-ES" w:eastAsia="es-ES"/>
              </w:rPr>
              <w:t>Carolina Quintero Gacharná</w:t>
            </w:r>
          </w:p>
          <w:p w14:paraId="192D3B77" w14:textId="77777777" w:rsidR="007D41E8" w:rsidRPr="006A6F50" w:rsidRDefault="007D41E8" w:rsidP="00361F48">
            <w:pPr>
              <w:contextualSpacing/>
              <w:rPr>
                <w:rFonts w:ascii="Verdana" w:eastAsia="Calibri" w:hAnsi="Verdana" w:cs="Arial"/>
                <w:sz w:val="15"/>
                <w:szCs w:val="15"/>
                <w:lang w:val="es-ES" w:eastAsia="es-ES"/>
              </w:rPr>
            </w:pPr>
            <w:r w:rsidRPr="006A6F50">
              <w:rPr>
                <w:rFonts w:ascii="Verdana" w:eastAsia="Calibri" w:hAnsi="Verdana" w:cs="Arial"/>
                <w:sz w:val="15"/>
                <w:szCs w:val="15"/>
                <w:lang w:val="es-ES" w:eastAsia="es-ES"/>
              </w:rPr>
              <w:t>Subdirectora de Gestión Contractual ANCP – CCE</w:t>
            </w:r>
          </w:p>
        </w:tc>
      </w:tr>
      <w:bookmarkEnd w:id="0"/>
    </w:tbl>
    <w:p w14:paraId="2D75D5ED" w14:textId="01E085B5" w:rsidR="007D41E8" w:rsidRPr="00A220B2" w:rsidRDefault="007D41E8" w:rsidP="007D41E8">
      <w:pPr>
        <w:rPr>
          <w:lang w:val="es-ES"/>
        </w:rPr>
      </w:pPr>
    </w:p>
    <w:sectPr w:rsidR="007D41E8" w:rsidRPr="00A220B2"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8A8D" w14:textId="77777777" w:rsidR="0061377A" w:rsidRDefault="0061377A" w:rsidP="004A1847">
      <w:pPr>
        <w:spacing w:after="0" w:line="240" w:lineRule="auto"/>
      </w:pPr>
      <w:r>
        <w:separator/>
      </w:r>
    </w:p>
  </w:endnote>
  <w:endnote w:type="continuationSeparator" w:id="0">
    <w:p w14:paraId="78B66DA8" w14:textId="77777777" w:rsidR="0061377A" w:rsidRDefault="0061377A" w:rsidP="004A1847">
      <w:pPr>
        <w:spacing w:after="0" w:line="240" w:lineRule="auto"/>
      </w:pPr>
      <w:r>
        <w:continuationSeparator/>
      </w:r>
    </w:p>
  </w:endnote>
  <w:endnote w:type="continuationNotice" w:id="1">
    <w:p w14:paraId="6A094C8B" w14:textId="77777777" w:rsidR="0061377A" w:rsidRDefault="00613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B124A" w14:textId="77777777" w:rsidR="0061377A" w:rsidRDefault="0061377A" w:rsidP="004A1847">
      <w:pPr>
        <w:spacing w:after="0" w:line="240" w:lineRule="auto"/>
      </w:pPr>
      <w:r>
        <w:separator/>
      </w:r>
    </w:p>
  </w:footnote>
  <w:footnote w:type="continuationSeparator" w:id="0">
    <w:p w14:paraId="1A0566A8" w14:textId="77777777" w:rsidR="0061377A" w:rsidRDefault="0061377A" w:rsidP="004A1847">
      <w:pPr>
        <w:spacing w:after="0" w:line="240" w:lineRule="auto"/>
      </w:pPr>
      <w:r>
        <w:continuationSeparator/>
      </w:r>
    </w:p>
  </w:footnote>
  <w:footnote w:type="continuationNotice" w:id="1">
    <w:p w14:paraId="1B9833DF" w14:textId="77777777" w:rsidR="0061377A" w:rsidRDefault="0061377A">
      <w:pPr>
        <w:spacing w:after="0" w:line="240" w:lineRule="auto"/>
      </w:pPr>
    </w:p>
  </w:footnote>
  <w:footnote w:id="2">
    <w:p w14:paraId="2FC67614" w14:textId="77777777" w:rsidR="007D41E8" w:rsidRPr="00F45FED" w:rsidRDefault="007D41E8" w:rsidP="007D41E8">
      <w:pPr>
        <w:pStyle w:val="Textonotapie"/>
        <w:snapToGrid w:val="0"/>
        <w:ind w:firstLine="709"/>
        <w:jc w:val="both"/>
        <w:rPr>
          <w:rFonts w:ascii="Verdana" w:hAnsi="Verdana" w:cs="Arial"/>
          <w:color w:val="000000"/>
          <w:sz w:val="16"/>
          <w:szCs w:val="16"/>
        </w:rPr>
      </w:pPr>
      <w:r w:rsidRPr="00F45FED">
        <w:rPr>
          <w:rStyle w:val="Refdenotaalpie"/>
          <w:rFonts w:ascii="Verdana" w:hAnsi="Verdana" w:cs="Arial"/>
          <w:color w:val="000000"/>
          <w:sz w:val="16"/>
          <w:szCs w:val="16"/>
        </w:rPr>
        <w:footnoteRef/>
      </w:r>
      <w:r w:rsidRPr="00F45FED">
        <w:rPr>
          <w:rFonts w:ascii="Verdana" w:hAnsi="Verdana" w:cs="Arial"/>
          <w:color w:val="000000"/>
          <w:sz w:val="16"/>
          <w:szCs w:val="16"/>
        </w:rPr>
        <w:t xml:space="preserve"> Agencia Nacional de Contratación Pública - Colombia Compra Eficiente. Guía para las Entidades Estatales con régimen especial de contratación: “Entidad Estatal de régimen especial: Entidad Estatal que realiza sus Procesos de Contratación con un régimen distinto al previsto en las Leyes 80 de 1993 y 1150 de 2007”.</w:t>
      </w:r>
    </w:p>
    <w:p w14:paraId="6BACBAC6" w14:textId="77777777" w:rsidR="007D41E8" w:rsidRPr="00F45FED" w:rsidRDefault="007D41E8" w:rsidP="007D41E8">
      <w:pPr>
        <w:pStyle w:val="Textonotapie"/>
        <w:snapToGrid w:val="0"/>
        <w:ind w:firstLine="709"/>
        <w:jc w:val="both"/>
        <w:rPr>
          <w:rFonts w:ascii="Verdana" w:hAnsi="Verdana" w:cs="Arial"/>
          <w:color w:val="000000"/>
          <w:sz w:val="16"/>
          <w:szCs w:val="16"/>
        </w:rPr>
      </w:pPr>
    </w:p>
  </w:footnote>
  <w:footnote w:id="3">
    <w:p w14:paraId="5C863224" w14:textId="6B06028F" w:rsidR="007D41E8" w:rsidRPr="00F45FED" w:rsidRDefault="007D41E8" w:rsidP="007D41E8">
      <w:pPr>
        <w:pStyle w:val="Textonotapie"/>
        <w:snapToGrid w:val="0"/>
        <w:ind w:firstLine="709"/>
        <w:jc w:val="both"/>
        <w:rPr>
          <w:rFonts w:ascii="Verdana" w:hAnsi="Verdana" w:cs="Arial"/>
          <w:color w:val="000000"/>
          <w:sz w:val="16"/>
          <w:szCs w:val="16"/>
        </w:rPr>
      </w:pPr>
      <w:r w:rsidRPr="00F45FED">
        <w:rPr>
          <w:rStyle w:val="Refdenotaalpie"/>
          <w:rFonts w:ascii="Verdana" w:hAnsi="Verdana" w:cs="Arial"/>
          <w:color w:val="000000"/>
          <w:sz w:val="16"/>
          <w:szCs w:val="16"/>
        </w:rPr>
        <w:footnoteRef/>
      </w:r>
      <w:r w:rsidRPr="00F45FED">
        <w:rPr>
          <w:rFonts w:ascii="Verdana" w:hAnsi="Verdana" w:cs="Arial"/>
          <w:color w:val="000000"/>
          <w:sz w:val="16"/>
          <w:szCs w:val="16"/>
        </w:rPr>
        <w:t xml:space="preserve"> Consejo de Estado. Sección Tercera. Radicado No. 45.607 del 24 de octubre de 2016. Consejera Ponente: Mar</w:t>
      </w:r>
      <w:r w:rsidR="004820A1">
        <w:rPr>
          <w:rFonts w:ascii="Verdana" w:hAnsi="Verdana" w:cs="Arial"/>
          <w:color w:val="000000"/>
          <w:sz w:val="16"/>
          <w:szCs w:val="16"/>
        </w:rPr>
        <w:t>t</w:t>
      </w:r>
      <w:r w:rsidRPr="00F45FED">
        <w:rPr>
          <w:rFonts w:ascii="Verdana" w:hAnsi="Verdana" w:cs="Arial"/>
          <w:color w:val="000000"/>
          <w:sz w:val="16"/>
          <w:szCs w:val="16"/>
        </w:rPr>
        <w:t>a Nubia Velásquez Rico.</w:t>
      </w:r>
    </w:p>
    <w:p w14:paraId="233E84CB" w14:textId="77777777" w:rsidR="007D41E8" w:rsidRPr="00F45FED" w:rsidRDefault="007D41E8" w:rsidP="007D41E8">
      <w:pPr>
        <w:pStyle w:val="Textonotapie"/>
        <w:snapToGrid w:val="0"/>
        <w:ind w:firstLine="709"/>
        <w:jc w:val="both"/>
        <w:rPr>
          <w:rFonts w:ascii="Verdana" w:hAnsi="Verdana" w:cs="Arial"/>
          <w:color w:val="000000"/>
          <w:sz w:val="16"/>
          <w:szCs w:val="16"/>
          <w:lang w:val="es-ES"/>
        </w:rPr>
      </w:pPr>
    </w:p>
  </w:footnote>
  <w:footnote w:id="4">
    <w:p w14:paraId="307920EF" w14:textId="77777777" w:rsidR="007D41E8" w:rsidRPr="00A220B2" w:rsidRDefault="007D41E8" w:rsidP="007D41E8">
      <w:pPr>
        <w:pStyle w:val="Textonotapie"/>
        <w:snapToGrid w:val="0"/>
        <w:ind w:firstLine="709"/>
        <w:jc w:val="both"/>
        <w:rPr>
          <w:rFonts w:ascii="Verdana" w:hAnsi="Verdana" w:cs="Arial"/>
          <w:sz w:val="16"/>
          <w:szCs w:val="16"/>
          <w:lang w:val="es-ES"/>
        </w:rPr>
      </w:pPr>
      <w:r w:rsidRPr="00F45FED">
        <w:rPr>
          <w:rStyle w:val="Refdenotaalpie"/>
          <w:rFonts w:ascii="Verdana" w:hAnsi="Verdana" w:cs="Arial"/>
          <w:sz w:val="16"/>
          <w:szCs w:val="16"/>
        </w:rPr>
        <w:footnoteRef/>
      </w:r>
      <w:r w:rsidRPr="00F45FED">
        <w:rPr>
          <w:rFonts w:ascii="Verdana" w:hAnsi="Verdana" w:cs="Arial"/>
          <w:sz w:val="16"/>
          <w:szCs w:val="16"/>
        </w:rPr>
        <w:t xml:space="preserve"> </w:t>
      </w:r>
      <w:r w:rsidRPr="00F45FED">
        <w:rPr>
          <w:rFonts w:ascii="Verdana" w:hAnsi="Verdana" w:cs="Arial"/>
          <w:sz w:val="16"/>
          <w:szCs w:val="16"/>
          <w:lang w:val="es-ES"/>
        </w:rPr>
        <w:t>“</w:t>
      </w:r>
      <w:r w:rsidRPr="00F45FED">
        <w:rPr>
          <w:rFonts w:ascii="Verdana" w:hAnsi="Verdana" w:cs="Arial"/>
          <w:sz w:val="16"/>
          <w:szCs w:val="16"/>
        </w:rPr>
        <w:t>Artículo 194. Naturaleza. La prestación de servicios de salud en forma directa por la Nación o por las entidades territoriales, se hará a través de las Empresas Sociales del Estado, que constituyen una categoría especial de entidad pública descentralizada, con personería jurídica, patrimonio propio y autonomía administrativa, creadas por la Ley o por las asambleas o concejos, según el caso, sometidas al régimen jurídico previsto en este capítulo</w:t>
      </w:r>
      <w:r w:rsidRPr="00F45FED">
        <w:rPr>
          <w:rFonts w:ascii="Verdana" w:hAnsi="Verdana" w:cs="Arial"/>
          <w:sz w:val="16"/>
          <w:szCs w:val="16"/>
          <w:lang w:val="es-ES"/>
        </w:rPr>
        <w:t>”.</w:t>
      </w:r>
    </w:p>
  </w:footnote>
  <w:footnote w:id="5">
    <w:p w14:paraId="31F14BB7" w14:textId="77777777" w:rsidR="007D41E8" w:rsidRPr="00F45FED" w:rsidRDefault="007D41E8" w:rsidP="007D41E8">
      <w:pPr>
        <w:pStyle w:val="Textonotapie"/>
        <w:snapToGrid w:val="0"/>
        <w:ind w:firstLine="709"/>
        <w:jc w:val="both"/>
        <w:rPr>
          <w:rFonts w:ascii="Verdana" w:hAnsi="Verdana" w:cs="Arial"/>
          <w:sz w:val="16"/>
          <w:szCs w:val="16"/>
        </w:rPr>
      </w:pPr>
      <w:r w:rsidRPr="00F45FED">
        <w:rPr>
          <w:rStyle w:val="Refdenotaalpie"/>
          <w:rFonts w:ascii="Verdana" w:hAnsi="Verdana" w:cs="Arial"/>
          <w:sz w:val="16"/>
          <w:szCs w:val="16"/>
        </w:rPr>
        <w:footnoteRef/>
      </w:r>
      <w:r w:rsidRPr="00F45FED">
        <w:rPr>
          <w:rFonts w:ascii="Verdana" w:hAnsi="Verdana" w:cs="Arial"/>
          <w:sz w:val="16"/>
          <w:szCs w:val="16"/>
        </w:rPr>
        <w:t xml:space="preserve"> Consejo de Estado. Sección Tercera. Sentencia 18 de febrero de 2010. Rad: 11001-03-26-000-2009-00058-00(37004). CP: Enrique Gil Botero. </w:t>
      </w:r>
    </w:p>
  </w:footnote>
  <w:footnote w:id="6">
    <w:p w14:paraId="10F26B9F" w14:textId="77777777" w:rsidR="007D41E8" w:rsidRPr="00A220B2" w:rsidRDefault="007D41E8" w:rsidP="007D41E8">
      <w:pPr>
        <w:pStyle w:val="Textonotapie"/>
        <w:snapToGrid w:val="0"/>
        <w:ind w:firstLine="709"/>
        <w:jc w:val="both"/>
        <w:rPr>
          <w:rFonts w:ascii="Verdana" w:hAnsi="Verdana" w:cs="Arial"/>
          <w:color w:val="000000"/>
          <w:sz w:val="16"/>
          <w:szCs w:val="16"/>
        </w:rPr>
      </w:pPr>
      <w:r w:rsidRPr="00F45FED">
        <w:rPr>
          <w:rStyle w:val="Refdenotaalpie"/>
          <w:rFonts w:ascii="Verdana" w:hAnsi="Verdana" w:cs="Arial"/>
          <w:sz w:val="16"/>
          <w:szCs w:val="16"/>
        </w:rPr>
        <w:footnoteRef/>
      </w:r>
      <w:r w:rsidRPr="00F45FED">
        <w:rPr>
          <w:rFonts w:ascii="Verdana" w:hAnsi="Verdana" w:cs="Arial"/>
          <w:sz w:val="16"/>
          <w:szCs w:val="16"/>
        </w:rPr>
        <w:t xml:space="preserve"> En sentencia C-655 de 2000, la Corte Constitucional se pronunció, así: </w:t>
      </w:r>
      <w:r w:rsidRPr="00F45FED">
        <w:rPr>
          <w:rFonts w:ascii="Verdana" w:hAnsi="Verdana" w:cs="Arial"/>
          <w:sz w:val="16"/>
          <w:szCs w:val="16"/>
          <w:lang w:val="es-ES_tradnl"/>
        </w:rPr>
        <w:t>“</w:t>
      </w:r>
      <w:r w:rsidRPr="00F45FED">
        <w:rPr>
          <w:rFonts w:ascii="Verdana" w:hAnsi="Verdana" w:cs="Arial"/>
          <w:color w:val="000000"/>
          <w:sz w:val="16"/>
          <w:szCs w:val="16"/>
        </w:rPr>
        <w:t>En los términos del artículo 49 de la Constitución Política, la atención de la salud y el saneamiento ambiental son servicios públicos a cargo del Estado; al cual corresponde organizarlos, dirigirlos y reglamentarlos conforme a los principios de eficiencia, universalidad y solidaridad. Igualmente es deber del Estado establecer las políticas para la prestación de servicios de salud por entidades privadas y ejercer su vigilancia y control. Debe también el Estado señalar las competencias de la Nación, las entidades territoriales y los particulares y determinar los aportes a su cargo en los términos y condiciones señalados en la ley</w:t>
      </w:r>
      <w:r w:rsidRPr="00F45FED">
        <w:rPr>
          <w:rFonts w:ascii="Verdana" w:hAnsi="Verdana" w:cs="Arial"/>
          <w:sz w:val="16"/>
          <w:szCs w:val="16"/>
          <w:lang w:val="es-ES_tradnl"/>
        </w:rPr>
        <w:t>”</w:t>
      </w:r>
      <w:r w:rsidRPr="00F45FED">
        <w:rPr>
          <w:rFonts w:ascii="Verdana" w:hAnsi="Verdana" w:cs="Arial"/>
          <w:color w:val="000000"/>
          <w:sz w:val="16"/>
          <w:szCs w:val="16"/>
        </w:rPr>
        <w:t>.</w:t>
      </w:r>
    </w:p>
  </w:footnote>
  <w:footnote w:id="7">
    <w:p w14:paraId="3F1778D2" w14:textId="77777777" w:rsidR="007D41E8" w:rsidRPr="001760DB" w:rsidRDefault="007D41E8" w:rsidP="007D41E8">
      <w:pPr>
        <w:pStyle w:val="Textonotapie"/>
        <w:snapToGrid w:val="0"/>
        <w:ind w:firstLine="708"/>
        <w:jc w:val="both"/>
        <w:rPr>
          <w:rFonts w:ascii="Verdana" w:hAnsi="Verdana" w:cs="Arial"/>
          <w:color w:val="000000" w:themeColor="text1"/>
          <w:sz w:val="16"/>
          <w:szCs w:val="16"/>
          <w:lang w:val="es-CO"/>
        </w:rPr>
      </w:pPr>
      <w:r w:rsidRPr="00F45FED">
        <w:rPr>
          <w:rStyle w:val="Refdenotaalpie"/>
          <w:rFonts w:ascii="Verdana" w:hAnsi="Verdana" w:cs="Arial"/>
          <w:color w:val="000000" w:themeColor="text1"/>
          <w:sz w:val="16"/>
          <w:szCs w:val="16"/>
        </w:rPr>
        <w:footnoteRef/>
      </w:r>
      <w:r w:rsidRPr="00F45FED">
        <w:rPr>
          <w:rFonts w:ascii="Verdana" w:hAnsi="Verdana" w:cs="Arial"/>
          <w:color w:val="000000" w:themeColor="text1"/>
          <w:sz w:val="16"/>
          <w:szCs w:val="16"/>
        </w:rPr>
        <w:t xml:space="preserve"> Consejo de Estado. Sala de Consulta y Servicio Civil. Concepto del 27 de agosto de 1998, radicación No. 1.127, M.P. Javier Henao Hidrón; y </w:t>
      </w:r>
      <w:r w:rsidRPr="00F45FED">
        <w:rPr>
          <w:rFonts w:ascii="Verdana" w:hAnsi="Verdana" w:cs="Arial"/>
          <w:color w:val="000000" w:themeColor="text1"/>
          <w:sz w:val="16"/>
          <w:szCs w:val="16"/>
          <w:lang w:val="es-CO"/>
        </w:rPr>
        <w:t xml:space="preserve">concepto del 6 de abril de 2000. Radicación No. 1.263, M.P. Flavio Augusto </w:t>
      </w:r>
      <w:r w:rsidRPr="00F45FED">
        <w:rPr>
          <w:rFonts w:ascii="Verdana" w:hAnsi="Verdana" w:cs="Arial"/>
          <w:color w:val="000000" w:themeColor="text1"/>
          <w:sz w:val="16"/>
          <w:szCs w:val="16"/>
          <w:lang w:val="es-CO"/>
        </w:rPr>
        <w:t>Rodriguez Arce</w:t>
      </w:r>
    </w:p>
  </w:footnote>
  <w:footnote w:id="8">
    <w:p w14:paraId="0282E3C3" w14:textId="77777777" w:rsidR="007D41E8" w:rsidRPr="00F45FED" w:rsidRDefault="007D41E8" w:rsidP="007D41E8">
      <w:pPr>
        <w:pStyle w:val="Textonotapie"/>
        <w:snapToGrid w:val="0"/>
        <w:ind w:firstLine="709"/>
        <w:jc w:val="both"/>
        <w:rPr>
          <w:rFonts w:ascii="Verdana" w:hAnsi="Verdana" w:cs="Arial"/>
          <w:color w:val="000000" w:themeColor="text1"/>
          <w:sz w:val="16"/>
          <w:szCs w:val="16"/>
        </w:rPr>
      </w:pPr>
      <w:r w:rsidRPr="00F45FED">
        <w:rPr>
          <w:rStyle w:val="Refdenotaalpie"/>
          <w:rFonts w:ascii="Verdana" w:hAnsi="Verdana" w:cs="Arial"/>
          <w:color w:val="000000" w:themeColor="text1"/>
          <w:sz w:val="16"/>
          <w:szCs w:val="16"/>
        </w:rPr>
        <w:footnoteRef/>
      </w:r>
      <w:r w:rsidRPr="00F45FED">
        <w:rPr>
          <w:rFonts w:ascii="Verdana" w:hAnsi="Verdana" w:cs="Arial"/>
          <w:color w:val="000000" w:themeColor="text1"/>
          <w:sz w:val="16"/>
          <w:szCs w:val="16"/>
        </w:rPr>
        <w:t xml:space="preserve"> Ministerio de Salud y la Protección Social. Concepto del 16 de agosto de 2019. Expediente No. 201942301304712. </w:t>
      </w:r>
    </w:p>
  </w:footnote>
  <w:footnote w:id="9">
    <w:p w14:paraId="726870A6" w14:textId="77777777" w:rsidR="007D41E8" w:rsidRPr="001760DB" w:rsidRDefault="007D41E8" w:rsidP="007D41E8">
      <w:pPr>
        <w:pStyle w:val="Textonotapie"/>
        <w:snapToGrid w:val="0"/>
        <w:ind w:firstLine="709"/>
        <w:jc w:val="both"/>
        <w:rPr>
          <w:rFonts w:ascii="Verdana" w:hAnsi="Verdana" w:cs="Arial"/>
          <w:color w:val="000000" w:themeColor="text1"/>
          <w:sz w:val="16"/>
          <w:szCs w:val="16"/>
        </w:rPr>
      </w:pPr>
      <w:r w:rsidRPr="00F45FED">
        <w:rPr>
          <w:rStyle w:val="Refdenotaalpie"/>
          <w:rFonts w:ascii="Verdana" w:hAnsi="Verdana" w:cs="Arial"/>
          <w:color w:val="000000" w:themeColor="text1"/>
          <w:sz w:val="16"/>
          <w:szCs w:val="16"/>
        </w:rPr>
        <w:footnoteRef/>
      </w:r>
      <w:r w:rsidRPr="00F45FED">
        <w:rPr>
          <w:rFonts w:ascii="Verdana" w:hAnsi="Verdana" w:cs="Arial"/>
          <w:color w:val="000000" w:themeColor="text1"/>
          <w:sz w:val="16"/>
          <w:szCs w:val="16"/>
        </w:rPr>
        <w:t xml:space="preserve"> CONSEJO DE ESTADO. Sección Tercera. Subsección A. Sentencia del 24 de octubre de 2016. Exp. 45.607. C.P. Marta Nubia Velásquez Rico.</w:t>
      </w:r>
    </w:p>
  </w:footnote>
  <w:footnote w:id="10">
    <w:p w14:paraId="2BB69515" w14:textId="77777777" w:rsidR="007D41E8" w:rsidRPr="00F45FED" w:rsidRDefault="007D41E8" w:rsidP="007D41E8">
      <w:pPr>
        <w:pStyle w:val="Textonotapie"/>
        <w:snapToGrid w:val="0"/>
        <w:ind w:firstLine="708"/>
        <w:jc w:val="both"/>
        <w:rPr>
          <w:rFonts w:ascii="Verdana" w:eastAsia="Arial" w:hAnsi="Verdana" w:cs="Arial"/>
          <w:sz w:val="16"/>
          <w:szCs w:val="16"/>
          <w:lang w:val="es-ES"/>
        </w:rPr>
      </w:pPr>
      <w:r w:rsidRPr="00F45FED">
        <w:rPr>
          <w:rStyle w:val="Refdenotaalpie"/>
          <w:rFonts w:ascii="Verdana" w:hAnsi="Verdana"/>
          <w:sz w:val="16"/>
          <w:szCs w:val="16"/>
        </w:rPr>
        <w:footnoteRef/>
      </w:r>
      <w:r w:rsidRPr="00F45FED">
        <w:rPr>
          <w:rFonts w:ascii="Verdana" w:hAnsi="Verdana"/>
          <w:sz w:val="16"/>
          <w:szCs w:val="16"/>
        </w:rPr>
        <w:t xml:space="preserve"> </w:t>
      </w:r>
      <w:r w:rsidRPr="00F45FED">
        <w:rPr>
          <w:rFonts w:ascii="Verdana" w:eastAsia="Arial" w:hAnsi="Verdana" w:cs="Arial"/>
          <w:sz w:val="16"/>
          <w:szCs w:val="16"/>
          <w:lang w:val="es-ES"/>
        </w:rPr>
        <w:t xml:space="preserve">La Resolución 1440 del 14 de agosto de 2024 se encuentra disponible en: </w:t>
      </w:r>
      <w:hyperlink r:id="rId1" w:history="1">
        <w:r w:rsidRPr="00F45FED">
          <w:rPr>
            <w:rStyle w:val="Hipervnculo"/>
            <w:rFonts w:ascii="Verdana" w:eastAsia="Arial" w:hAnsi="Verdana" w:cs="Arial"/>
            <w:sz w:val="16"/>
            <w:szCs w:val="16"/>
            <w:lang w:val="es-ES"/>
          </w:rPr>
          <w:t>https://www.minsalud.gov.co/Normatividad_Nuevo/Resoluci%C3%B3n%20No%201440%20de%202024.pdf</w:t>
        </w:r>
      </w:hyperlink>
      <w:r w:rsidRPr="00F45FED">
        <w:rPr>
          <w:rFonts w:ascii="Verdana" w:eastAsia="Arial" w:hAnsi="Verdana" w:cs="Arial"/>
          <w:sz w:val="16"/>
          <w:szCs w:val="16"/>
          <w:lang w:val="es-ES"/>
        </w:rPr>
        <w:t xml:space="preserve"> </w:t>
      </w:r>
    </w:p>
  </w:footnote>
  <w:footnote w:id="11">
    <w:p w14:paraId="16820C17"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Style w:val="Refdenotaalpie"/>
          <w:rFonts w:ascii="Verdana" w:hAnsi="Verdana" w:cs="Arial"/>
          <w:color w:val="000000" w:themeColor="text1"/>
          <w:sz w:val="16"/>
          <w:szCs w:val="16"/>
        </w:rPr>
        <w:footnoteRef/>
      </w:r>
      <w:r w:rsidRPr="00A617AC">
        <w:rPr>
          <w:rFonts w:ascii="Verdana" w:hAnsi="Verdana" w:cs="Arial"/>
          <w:color w:val="000000" w:themeColor="text1"/>
          <w:sz w:val="16"/>
          <w:szCs w:val="16"/>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16169072"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hAnsi="Verdana" w:cs="Arial"/>
          <w:color w:val="000000" w:themeColor="text1"/>
          <w:sz w:val="16"/>
          <w:szCs w:val="16"/>
        </w:rPr>
        <w:t>Lo anterior, sin perjuicio de las publicaciones previstas en el numeral 3 del artículo 30 de la Ley 80 de 1993.</w:t>
      </w:r>
    </w:p>
    <w:p w14:paraId="7AB020D4"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hAnsi="Verdana" w:cs="Arial"/>
          <w:color w:val="000000" w:themeColor="text1"/>
          <w:sz w:val="16"/>
          <w:szCs w:val="16"/>
        </w:rPr>
        <w:t xml:space="preserve">Con el fin de materializar los objetivos a que se refiere el inciso anterior, el Gobierno Nacional desarrollará el Sistema Electrónico para la Contratación Pública, Secop, el cual: </w:t>
      </w:r>
    </w:p>
    <w:p w14:paraId="51E866CA"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hAnsi="Verdana" w:cs="Arial"/>
          <w:color w:val="000000" w:themeColor="text1"/>
          <w:sz w:val="16"/>
          <w:szCs w:val="16"/>
        </w:rPr>
        <w:t>[…]</w:t>
      </w:r>
    </w:p>
    <w:p w14:paraId="5BBC444C"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hAnsi="Verdana" w:cs="Arial"/>
          <w:color w:val="000000" w:themeColor="text1"/>
          <w:sz w:val="16"/>
          <w:szCs w:val="16"/>
        </w:rPr>
        <w:t xml:space="preserve">c) Contará con la información oficial de la contratación realizada con dineros públicos, para lo cual establecerá los patrones a que haya lugar y se encargará de su difusión a través de canales electrónico”. </w:t>
      </w:r>
    </w:p>
    <w:p w14:paraId="60950D8B" w14:textId="77777777" w:rsidR="007D41E8" w:rsidRPr="00A617AC" w:rsidRDefault="007D41E8" w:rsidP="007D41E8">
      <w:pPr>
        <w:pStyle w:val="Textonotapie"/>
        <w:jc w:val="both"/>
        <w:rPr>
          <w:rFonts w:ascii="Verdana" w:hAnsi="Verdana" w:cs="Arial"/>
          <w:color w:val="000000" w:themeColor="text1"/>
          <w:sz w:val="16"/>
          <w:szCs w:val="16"/>
          <w:lang w:val="es-CO"/>
        </w:rPr>
      </w:pPr>
    </w:p>
  </w:footnote>
  <w:footnote w:id="12">
    <w:p w14:paraId="513589F4"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Style w:val="Refdenotaalpie"/>
          <w:rFonts w:ascii="Verdana" w:hAnsi="Verdana" w:cs="Arial"/>
          <w:color w:val="000000" w:themeColor="text1"/>
          <w:sz w:val="16"/>
          <w:szCs w:val="16"/>
        </w:rPr>
        <w:footnoteRef/>
      </w:r>
      <w:r w:rsidRPr="00A617AC">
        <w:rPr>
          <w:rFonts w:ascii="Verdana" w:hAnsi="Verdana" w:cs="Arial"/>
          <w:color w:val="000000" w:themeColor="text1"/>
          <w:sz w:val="16"/>
          <w:szCs w:val="16"/>
        </w:rPr>
        <w:t xml:space="preserve"> Ley 1712 de 2014: «Artículo 2. Toda información en posesión, bajo control o custodia de un sujeto obligado es pública y no podrá ser reservada o limitada sino por disposición constitucional o legal, de conformidad con la presente ley».</w:t>
      </w:r>
    </w:p>
    <w:p w14:paraId="0DFA242B" w14:textId="77777777" w:rsidR="007D41E8" w:rsidRPr="00A617AC" w:rsidRDefault="007D41E8" w:rsidP="007D41E8">
      <w:pPr>
        <w:pStyle w:val="Textonotapie"/>
        <w:ind w:firstLine="709"/>
        <w:jc w:val="both"/>
        <w:rPr>
          <w:rFonts w:ascii="Verdana" w:hAnsi="Verdana" w:cs="Arial"/>
          <w:color w:val="000000" w:themeColor="text1"/>
          <w:sz w:val="16"/>
          <w:szCs w:val="16"/>
          <w:lang w:val="es-CO"/>
        </w:rPr>
      </w:pPr>
    </w:p>
  </w:footnote>
  <w:footnote w:id="13">
    <w:p w14:paraId="504A46E2"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Style w:val="Refdenotaalpie"/>
          <w:rFonts w:ascii="Verdana" w:hAnsi="Verdana" w:cs="Arial"/>
          <w:color w:val="000000" w:themeColor="text1"/>
          <w:sz w:val="16"/>
          <w:szCs w:val="16"/>
        </w:rPr>
        <w:footnoteRef/>
      </w:r>
      <w:r w:rsidRPr="00A617AC">
        <w:rPr>
          <w:rFonts w:ascii="Verdana" w:hAnsi="Verdana" w:cs="Arial"/>
          <w:color w:val="000000" w:themeColor="text1"/>
          <w:sz w:val="16"/>
          <w:szCs w:val="16"/>
        </w:rPr>
        <w:t xml:space="preserve"> Ley 1712 de 2014: «Artículo 5. Ámbito de aplicación. Las disposiciones de esta ley serán aplicables a las siguientes personas en calidad de sujetos obligados: </w:t>
      </w:r>
    </w:p>
    <w:p w14:paraId="4C8E2DF5"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hAnsi="Verdana" w:cs="Arial"/>
          <w:color w:val="000000" w:themeColor="text1"/>
          <w:sz w:val="16"/>
          <w:szCs w:val="16"/>
        </w:rPr>
        <w:t>»a) Toda entidad pública, incluyendo las pertenecientes a todas las Ramas del Poder Público, en todos los niveles de la estructura estatal, central o descentralizada por servicios o territorialmente, en los órdenes nacional, departamental, municipal y distrital».</w:t>
      </w:r>
    </w:p>
    <w:p w14:paraId="0585F263" w14:textId="77777777" w:rsidR="007D41E8" w:rsidRPr="00A617AC" w:rsidRDefault="007D41E8" w:rsidP="007D41E8">
      <w:pPr>
        <w:pStyle w:val="Textonotapie"/>
        <w:ind w:firstLine="709"/>
        <w:jc w:val="both"/>
        <w:rPr>
          <w:rFonts w:ascii="Verdana" w:hAnsi="Verdana" w:cs="Arial"/>
          <w:color w:val="000000" w:themeColor="text1"/>
          <w:sz w:val="16"/>
          <w:szCs w:val="16"/>
          <w:lang w:val="es-CO"/>
        </w:rPr>
      </w:pPr>
    </w:p>
  </w:footnote>
  <w:footnote w:id="14">
    <w:p w14:paraId="7EB08665" w14:textId="77777777" w:rsidR="007D41E8" w:rsidRPr="00A617AC" w:rsidRDefault="007D41E8" w:rsidP="007D41E8">
      <w:pPr>
        <w:pStyle w:val="Textonotapie"/>
        <w:ind w:firstLine="709"/>
        <w:jc w:val="both"/>
        <w:rPr>
          <w:rFonts w:ascii="Verdana" w:hAnsi="Verdana" w:cs="Arial"/>
          <w:color w:val="000000" w:themeColor="text1"/>
          <w:sz w:val="16"/>
          <w:szCs w:val="16"/>
        </w:rPr>
      </w:pPr>
      <w:r w:rsidRPr="00A617AC">
        <w:rPr>
          <w:rFonts w:ascii="Verdana" w:eastAsia="Times New Roman" w:hAnsi="Verdana" w:cs="Arial"/>
          <w:color w:val="000000" w:themeColor="text1"/>
          <w:sz w:val="16"/>
          <w:szCs w:val="16"/>
          <w:vertAlign w:val="superscript"/>
          <w:lang w:val="es-ES" w:eastAsia="es-ES"/>
        </w:rPr>
        <w:footnoteRef/>
      </w:r>
      <w:r w:rsidRPr="00A617AC">
        <w:rPr>
          <w:rFonts w:ascii="Verdana" w:eastAsia="Times New Roman" w:hAnsi="Verdana" w:cs="Arial"/>
          <w:color w:val="000000" w:themeColor="text1"/>
          <w:sz w:val="16"/>
          <w:szCs w:val="16"/>
          <w:vertAlign w:val="superscript"/>
          <w:lang w:val="es-ES" w:eastAsia="es-ES"/>
        </w:rPr>
        <w:t xml:space="preserve"> </w:t>
      </w:r>
      <w:r w:rsidRPr="00A617AC">
        <w:rPr>
          <w:rFonts w:ascii="Verdana" w:eastAsia="Times New Roman" w:hAnsi="Verdana" w:cs="Arial"/>
          <w:color w:val="000000" w:themeColor="text1"/>
          <w:sz w:val="16"/>
          <w:szCs w:val="16"/>
          <w:lang w:val="es-ES" w:eastAsia="es-ES"/>
        </w:rPr>
        <w:t>«</w:t>
      </w:r>
      <w:r w:rsidRPr="00A617AC">
        <w:rPr>
          <w:rFonts w:ascii="Verdana" w:hAnsi="Verdana" w:cs="Arial"/>
          <w:color w:val="000000" w:themeColor="text1"/>
          <w:sz w:val="16"/>
          <w:szCs w:val="16"/>
        </w:rPr>
        <w:t xml:space="preserve">Artículo 2.1.1.2.1.7. Publicación de la información contractual. De conformidad con el literal (c) del artículo 3° de la Ley 1150 de 2007, el sistema de información del Estado en el cual los sujetos obligados que contratan con cargo a recursos públicos deben cumplir la obligación de publicar la información de su gestión contractual es el Sistema Electrónico para la Contratación Pública [SECOP] </w:t>
      </w:r>
    </w:p>
    <w:p w14:paraId="5520C701" w14:textId="77777777" w:rsidR="007D41E8" w:rsidRPr="00A617AC" w:rsidRDefault="007D41E8" w:rsidP="007D41E8">
      <w:pPr>
        <w:pStyle w:val="Textonotapie"/>
        <w:ind w:firstLine="709"/>
        <w:jc w:val="both"/>
        <w:rPr>
          <w:rFonts w:ascii="Verdana" w:eastAsia="Times New Roman" w:hAnsi="Verdana" w:cs="Arial"/>
          <w:color w:val="000000" w:themeColor="text1"/>
          <w:sz w:val="16"/>
          <w:szCs w:val="16"/>
          <w:lang w:val="es-ES" w:eastAsia="es-ES"/>
        </w:rPr>
      </w:pPr>
      <w:r w:rsidRPr="00A617AC">
        <w:rPr>
          <w:rFonts w:ascii="Verdana" w:hAnsi="Verdana" w:cs="Arial"/>
          <w:color w:val="000000" w:themeColor="text1"/>
          <w:sz w:val="16"/>
          <w:szCs w:val="16"/>
        </w:rPr>
        <w:t>[…].</w:t>
      </w:r>
    </w:p>
    <w:p w14:paraId="657F4402" w14:textId="77777777" w:rsidR="007D41E8" w:rsidRPr="00A617AC" w:rsidRDefault="007D41E8" w:rsidP="007D41E8">
      <w:pPr>
        <w:pStyle w:val="Textonotapie"/>
        <w:ind w:firstLine="709"/>
        <w:jc w:val="both"/>
        <w:rPr>
          <w:rFonts w:ascii="Verdana" w:eastAsia="Times New Roman" w:hAnsi="Verdana" w:cs="Arial"/>
          <w:color w:val="000000" w:themeColor="text1"/>
          <w:sz w:val="16"/>
          <w:szCs w:val="16"/>
          <w:lang w:val="es-ES" w:eastAsia="es-ES"/>
        </w:rPr>
      </w:pPr>
      <w:r w:rsidRPr="00A617AC">
        <w:rPr>
          <w:rFonts w:ascii="Verdana" w:eastAsia="Times New Roman" w:hAnsi="Verdana" w:cs="Arial"/>
          <w:color w:val="000000" w:themeColor="text1"/>
          <w:sz w:val="16"/>
          <w:szCs w:val="16"/>
          <w:lang w:val="es-ES" w:eastAsia="es-ES"/>
        </w:rPr>
        <w:t>«Los sujetos obligados que contratan con recursos públicos y recursos privados, deben publicar la información de su gestión contractual con cargo a recursos públicos en el Sistema Electrónico para la Contratación Pública [SECOP]».</w:t>
      </w:r>
    </w:p>
    <w:p w14:paraId="5E60E7FA" w14:textId="77777777" w:rsidR="007D41E8" w:rsidRPr="00A617AC" w:rsidRDefault="007D41E8" w:rsidP="007D41E8">
      <w:pPr>
        <w:pStyle w:val="Textonotapie"/>
        <w:ind w:firstLine="709"/>
        <w:jc w:val="both"/>
        <w:rPr>
          <w:rFonts w:ascii="Verdana" w:eastAsia="Times New Roman" w:hAnsi="Verdana" w:cs="Arial"/>
          <w:color w:val="000000" w:themeColor="text1"/>
          <w:sz w:val="16"/>
          <w:szCs w:val="16"/>
          <w:lang w:val="es-ES" w:eastAsia="es-ES"/>
        </w:rPr>
      </w:pPr>
    </w:p>
  </w:footnote>
  <w:footnote w:id="15">
    <w:p w14:paraId="46B04733" w14:textId="77777777" w:rsidR="007D41E8" w:rsidRPr="00A617AC" w:rsidRDefault="007D41E8" w:rsidP="007D41E8">
      <w:pPr>
        <w:pStyle w:val="Textonotapie"/>
        <w:ind w:firstLine="708"/>
        <w:jc w:val="both"/>
        <w:rPr>
          <w:rFonts w:ascii="Verdana" w:hAnsi="Verdana" w:cs="Arial"/>
          <w:color w:val="000000"/>
          <w:sz w:val="16"/>
          <w:szCs w:val="16"/>
        </w:rPr>
      </w:pPr>
      <w:r w:rsidRPr="00A617AC">
        <w:rPr>
          <w:rStyle w:val="Refdenotaalpie"/>
          <w:rFonts w:ascii="Verdana" w:hAnsi="Verdana" w:cs="Arial"/>
          <w:color w:val="000000"/>
          <w:sz w:val="16"/>
          <w:szCs w:val="16"/>
        </w:rPr>
        <w:footnoteRef/>
      </w:r>
      <w:r w:rsidRPr="00A617AC">
        <w:rPr>
          <w:rFonts w:ascii="Verdana" w:hAnsi="Verdana" w:cs="Arial"/>
          <w:color w:val="000000"/>
          <w:sz w:val="16"/>
          <w:szCs w:val="16"/>
        </w:rPr>
        <w:t xml:space="preserve"> Decreto 4170 de 2011: “Artículo 3. Funciones: La Agencia Nacional de Contratación Pública –Colombia Compra Eficiente– ejercerá las siguientes funciones: [...]</w:t>
      </w:r>
    </w:p>
    <w:p w14:paraId="73A84026" w14:textId="77777777" w:rsidR="007D41E8" w:rsidRPr="00A617AC" w:rsidRDefault="007D41E8" w:rsidP="007D41E8">
      <w:pPr>
        <w:pStyle w:val="Textonotapie"/>
        <w:ind w:firstLine="708"/>
        <w:jc w:val="both"/>
        <w:rPr>
          <w:rFonts w:ascii="Verdana" w:hAnsi="Verdana" w:cs="Arial"/>
          <w:color w:val="000000"/>
          <w:sz w:val="16"/>
          <w:szCs w:val="16"/>
        </w:rPr>
      </w:pPr>
      <w:r w:rsidRPr="00A617AC">
        <w:rPr>
          <w:rFonts w:ascii="Verdana" w:hAnsi="Verdana" w:cs="Arial"/>
          <w:color w:val="000000"/>
          <w:sz w:val="16"/>
          <w:szCs w:val="16"/>
        </w:rPr>
        <w:t>8. Desarrollar y administrar el Sistema Electrónico para la Contratación Pública (SECOP) o el que haga sus veces, y gestionar nuevos desarrollos tecnológicos en los asuntos de su competencia, teniendo en cuenta los parámetros fijados por el Consejo Directivo [...]”.</w:t>
      </w:r>
    </w:p>
  </w:footnote>
  <w:footnote w:id="16">
    <w:p w14:paraId="18B1DCBB" w14:textId="77777777" w:rsidR="007D41E8" w:rsidRPr="009F5103" w:rsidRDefault="007D41E8" w:rsidP="007D41E8">
      <w:pPr>
        <w:pStyle w:val="Textonotapie"/>
        <w:ind w:firstLine="709"/>
        <w:jc w:val="both"/>
        <w:rPr>
          <w:rFonts w:ascii="Verdana" w:hAnsi="Verdana"/>
          <w:sz w:val="16"/>
          <w:szCs w:val="16"/>
        </w:rPr>
      </w:pPr>
      <w:r w:rsidRPr="00944650">
        <w:rPr>
          <w:rStyle w:val="Refdenotaalpie"/>
          <w:rFonts w:ascii="Verdana" w:hAnsi="Verdana"/>
          <w:sz w:val="16"/>
          <w:szCs w:val="16"/>
        </w:rPr>
        <w:footnoteRef/>
      </w:r>
      <w:r w:rsidRPr="00944650">
        <w:rPr>
          <w:rFonts w:ascii="Verdana" w:hAnsi="Verdana"/>
          <w:sz w:val="16"/>
          <w:szCs w:val="16"/>
        </w:rPr>
        <w:t xml:space="preserve"> Agencia Nacional de Contratación Pública – Colombia Compra Eficiente. Circular única Externa. Disponible en </w:t>
      </w:r>
      <w:hyperlink r:id="rId2" w:history="1">
        <w:r w:rsidRPr="00944650">
          <w:rPr>
            <w:rStyle w:val="Hipervnculo"/>
            <w:rFonts w:ascii="Verdana" w:hAnsi="Verdana"/>
            <w:sz w:val="16"/>
            <w:szCs w:val="16"/>
            <w:lang w:val="es-CO"/>
          </w:rPr>
          <w:t>circular_externa_unica_version_3_vf49.pdf</w:t>
        </w:r>
      </w:hyperlink>
    </w:p>
  </w:footnote>
  <w:footnote w:id="17">
    <w:p w14:paraId="7A6DAD33" w14:textId="77777777" w:rsidR="007D41E8" w:rsidRPr="005B5A98" w:rsidRDefault="007D41E8" w:rsidP="007D41E8">
      <w:pPr>
        <w:pStyle w:val="Textonotapie"/>
        <w:ind w:firstLine="709"/>
        <w:jc w:val="both"/>
        <w:rPr>
          <w:rFonts w:ascii="Verdana" w:hAnsi="Verdana" w:cs="Arial"/>
          <w:color w:val="000000" w:themeColor="text1"/>
          <w:sz w:val="16"/>
          <w:szCs w:val="16"/>
          <w:lang w:val="es-CO" w:eastAsia="es-CO"/>
        </w:rPr>
      </w:pPr>
      <w:r w:rsidRPr="005B5A98">
        <w:rPr>
          <w:rStyle w:val="Refdenotaalpie"/>
          <w:rFonts w:ascii="Verdana" w:hAnsi="Verdana" w:cs="Arial"/>
          <w:color w:val="000000" w:themeColor="text1"/>
          <w:sz w:val="16"/>
          <w:szCs w:val="16"/>
        </w:rPr>
        <w:footnoteRef/>
      </w:r>
      <w:r w:rsidRPr="005B5A98">
        <w:rPr>
          <w:rFonts w:ascii="Verdana" w:hAnsi="Verdana" w:cs="Arial"/>
          <w:color w:val="000000" w:themeColor="text1"/>
          <w:sz w:val="16"/>
          <w:szCs w:val="16"/>
        </w:rPr>
        <w:t xml:space="preserve"> </w:t>
      </w:r>
      <w:r w:rsidRPr="005B5A98">
        <w:rPr>
          <w:rFonts w:ascii="Verdana" w:hAnsi="Verdana" w:cs="Arial"/>
          <w:color w:val="000000" w:themeColor="text1"/>
          <w:sz w:val="16"/>
          <w:szCs w:val="16"/>
          <w:lang w:val="es-CO" w:eastAsia="es-CO"/>
        </w:rPr>
        <w:t xml:space="preserve">Artículo 14. Publicación. Las Empresas Sociales del Estado están obligadas a publicar oportunamente su actividad contractual en el </w:t>
      </w:r>
      <w:r w:rsidRPr="005B5A98">
        <w:rPr>
          <w:rFonts w:ascii="Verdana" w:hAnsi="Verdana" w:cs="Arial"/>
          <w:color w:val="000000" w:themeColor="text1"/>
          <w:sz w:val="16"/>
          <w:szCs w:val="16"/>
          <w:lang w:val="es-CO" w:eastAsia="es-CO"/>
        </w:rPr>
        <w:t>Secop.</w:t>
      </w:r>
    </w:p>
    <w:p w14:paraId="5C9A715D" w14:textId="77777777" w:rsidR="007D41E8" w:rsidRPr="005B5A98" w:rsidRDefault="007D41E8" w:rsidP="007D41E8">
      <w:pPr>
        <w:pStyle w:val="Textonotapie"/>
        <w:ind w:firstLine="709"/>
        <w:jc w:val="both"/>
        <w:rPr>
          <w:rFonts w:ascii="Verdana" w:hAnsi="Verdana" w:cs="Arial"/>
          <w:sz w:val="16"/>
          <w:szCs w:val="16"/>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8FF44D0"/>
    <w:multiLevelType w:val="multilevel"/>
    <w:tmpl w:val="5280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7"/>
  </w:num>
  <w:num w:numId="8" w16cid:durableId="152644682">
    <w:abstractNumId w:val="13"/>
  </w:num>
  <w:num w:numId="9" w16cid:durableId="1317221377">
    <w:abstractNumId w:val="9"/>
  </w:num>
  <w:num w:numId="10" w16cid:durableId="1471245386">
    <w:abstractNumId w:val="12"/>
  </w:num>
  <w:num w:numId="11" w16cid:durableId="289172385">
    <w:abstractNumId w:val="10"/>
  </w:num>
  <w:num w:numId="12" w16cid:durableId="1470781324">
    <w:abstractNumId w:val="1"/>
  </w:num>
  <w:num w:numId="13" w16cid:durableId="1512908409">
    <w:abstractNumId w:val="5"/>
  </w:num>
  <w:num w:numId="14" w16cid:durableId="895897244">
    <w:abstractNumId w:val="15"/>
  </w:num>
  <w:num w:numId="15" w16cid:durableId="390349800">
    <w:abstractNumId w:val="11"/>
  </w:num>
  <w:num w:numId="16" w16cid:durableId="341274352">
    <w:abstractNumId w:val="0"/>
  </w:num>
  <w:num w:numId="17" w16cid:durableId="1291131537">
    <w:abstractNumId w:val="4"/>
  </w:num>
  <w:num w:numId="18" w16cid:durableId="970132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3375D"/>
    <w:rsid w:val="00046945"/>
    <w:rsid w:val="00055207"/>
    <w:rsid w:val="00061B2A"/>
    <w:rsid w:val="00082362"/>
    <w:rsid w:val="00093412"/>
    <w:rsid w:val="000A683E"/>
    <w:rsid w:val="000B19B9"/>
    <w:rsid w:val="000D0334"/>
    <w:rsid w:val="000D5DA7"/>
    <w:rsid w:val="000F6486"/>
    <w:rsid w:val="00103B11"/>
    <w:rsid w:val="00116940"/>
    <w:rsid w:val="00125105"/>
    <w:rsid w:val="00127233"/>
    <w:rsid w:val="0015699B"/>
    <w:rsid w:val="001A33BF"/>
    <w:rsid w:val="001E1A40"/>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D1FB7"/>
    <w:rsid w:val="002E2BF8"/>
    <w:rsid w:val="002E4FD9"/>
    <w:rsid w:val="0030657A"/>
    <w:rsid w:val="0031029C"/>
    <w:rsid w:val="00322A85"/>
    <w:rsid w:val="00324168"/>
    <w:rsid w:val="00325E41"/>
    <w:rsid w:val="00330834"/>
    <w:rsid w:val="003448F4"/>
    <w:rsid w:val="00374F5E"/>
    <w:rsid w:val="00377E3E"/>
    <w:rsid w:val="00394D50"/>
    <w:rsid w:val="003A4A19"/>
    <w:rsid w:val="003A779E"/>
    <w:rsid w:val="003D0F4D"/>
    <w:rsid w:val="003D5B0D"/>
    <w:rsid w:val="003E0499"/>
    <w:rsid w:val="003E4F80"/>
    <w:rsid w:val="003E6439"/>
    <w:rsid w:val="003F3941"/>
    <w:rsid w:val="00403AEF"/>
    <w:rsid w:val="00406575"/>
    <w:rsid w:val="00414C74"/>
    <w:rsid w:val="0042722E"/>
    <w:rsid w:val="0044528D"/>
    <w:rsid w:val="00464BE4"/>
    <w:rsid w:val="00466E39"/>
    <w:rsid w:val="004820A1"/>
    <w:rsid w:val="00485755"/>
    <w:rsid w:val="004A1847"/>
    <w:rsid w:val="004A305D"/>
    <w:rsid w:val="004D131C"/>
    <w:rsid w:val="004F21C4"/>
    <w:rsid w:val="004F685F"/>
    <w:rsid w:val="00507305"/>
    <w:rsid w:val="005566E8"/>
    <w:rsid w:val="00574867"/>
    <w:rsid w:val="00591460"/>
    <w:rsid w:val="005A65E0"/>
    <w:rsid w:val="005C3777"/>
    <w:rsid w:val="005C5CDC"/>
    <w:rsid w:val="005D476C"/>
    <w:rsid w:val="0061377A"/>
    <w:rsid w:val="006200BF"/>
    <w:rsid w:val="006219F8"/>
    <w:rsid w:val="006302F7"/>
    <w:rsid w:val="00646B9F"/>
    <w:rsid w:val="00665D70"/>
    <w:rsid w:val="006900D9"/>
    <w:rsid w:val="006A6F50"/>
    <w:rsid w:val="006F539D"/>
    <w:rsid w:val="00706C16"/>
    <w:rsid w:val="007340C3"/>
    <w:rsid w:val="0075235A"/>
    <w:rsid w:val="00756841"/>
    <w:rsid w:val="007649AB"/>
    <w:rsid w:val="00771D0C"/>
    <w:rsid w:val="007833AC"/>
    <w:rsid w:val="007B268C"/>
    <w:rsid w:val="007B7171"/>
    <w:rsid w:val="007C0C0F"/>
    <w:rsid w:val="007C3DC2"/>
    <w:rsid w:val="007D41E8"/>
    <w:rsid w:val="007E5497"/>
    <w:rsid w:val="00806F5F"/>
    <w:rsid w:val="00820278"/>
    <w:rsid w:val="008258C9"/>
    <w:rsid w:val="00844AE9"/>
    <w:rsid w:val="00867F95"/>
    <w:rsid w:val="008843B6"/>
    <w:rsid w:val="00891928"/>
    <w:rsid w:val="008A446D"/>
    <w:rsid w:val="008B25F1"/>
    <w:rsid w:val="008D180B"/>
    <w:rsid w:val="008D429A"/>
    <w:rsid w:val="008F0EA7"/>
    <w:rsid w:val="00923EEF"/>
    <w:rsid w:val="0093606F"/>
    <w:rsid w:val="009419F9"/>
    <w:rsid w:val="0095685E"/>
    <w:rsid w:val="00961B09"/>
    <w:rsid w:val="00965334"/>
    <w:rsid w:val="0097093E"/>
    <w:rsid w:val="009A0DFA"/>
    <w:rsid w:val="009A1C6F"/>
    <w:rsid w:val="009B2D26"/>
    <w:rsid w:val="009C71FA"/>
    <w:rsid w:val="009C72E7"/>
    <w:rsid w:val="009C7F7E"/>
    <w:rsid w:val="009D3058"/>
    <w:rsid w:val="009E582F"/>
    <w:rsid w:val="009F3A13"/>
    <w:rsid w:val="009F3C05"/>
    <w:rsid w:val="00A122D3"/>
    <w:rsid w:val="00A14468"/>
    <w:rsid w:val="00A17F13"/>
    <w:rsid w:val="00A20739"/>
    <w:rsid w:val="00A23AF9"/>
    <w:rsid w:val="00A33C78"/>
    <w:rsid w:val="00AB0ADB"/>
    <w:rsid w:val="00AB21A8"/>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36F6D"/>
    <w:rsid w:val="00C50D69"/>
    <w:rsid w:val="00C5365C"/>
    <w:rsid w:val="00C754BE"/>
    <w:rsid w:val="00C76B1C"/>
    <w:rsid w:val="00C925AC"/>
    <w:rsid w:val="00CB6357"/>
    <w:rsid w:val="00CC1B26"/>
    <w:rsid w:val="00CF2EAC"/>
    <w:rsid w:val="00D16EAD"/>
    <w:rsid w:val="00D201CB"/>
    <w:rsid w:val="00D262E6"/>
    <w:rsid w:val="00D27B2E"/>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B611B"/>
    <w:rsid w:val="00EC38A7"/>
    <w:rsid w:val="00EE1AA8"/>
    <w:rsid w:val="00F23FEA"/>
    <w:rsid w:val="00F31EDC"/>
    <w:rsid w:val="00F42470"/>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3">
    <w:name w:val="heading 3"/>
    <w:basedOn w:val="Normal"/>
    <w:link w:val="Ttulo3Car"/>
    <w:uiPriority w:val="9"/>
    <w:unhideWhenUsed/>
    <w:qFormat/>
    <w:rsid w:val="007D41E8"/>
    <w:pPr>
      <w:widowControl w:val="0"/>
      <w:autoSpaceDE w:val="0"/>
      <w:autoSpaceDN w:val="0"/>
      <w:spacing w:before="160" w:after="0" w:line="240" w:lineRule="auto"/>
      <w:ind w:left="851" w:right="902"/>
      <w:jc w:val="both"/>
      <w:outlineLvl w:val="2"/>
    </w:pPr>
    <w:rPr>
      <w:rFonts w:ascii="Verdana" w:eastAsia="Verdana" w:hAnsi="Verdana" w:cs="Verdana"/>
      <w:b/>
      <w:bCs/>
      <w:i/>
      <w:iCs/>
      <w:u w:val="single" w:color="000000"/>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Ttulo3Car">
    <w:name w:val="Título 3 Car"/>
    <w:basedOn w:val="Fuentedeprrafopredeter"/>
    <w:link w:val="Ttulo3"/>
    <w:uiPriority w:val="9"/>
    <w:rsid w:val="007D41E8"/>
    <w:rPr>
      <w:rFonts w:ascii="Verdana" w:eastAsia="Verdana" w:hAnsi="Verdana" w:cs="Verdana"/>
      <w:b/>
      <w:bCs/>
      <w:i/>
      <w:iCs/>
      <w:u w:val="single" w:color="000000"/>
      <w:lang w:val="es-ES"/>
    </w:rPr>
  </w:style>
  <w:style w:type="paragraph" w:customStyle="1" w:styleId="Appelnotedebasde">
    <w:name w:val="Appel note de bas de..."/>
    <w:basedOn w:val="Normal"/>
    <w:link w:val="Refdenotaalpie"/>
    <w:uiPriority w:val="99"/>
    <w:rsid w:val="007D41E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7D41E8"/>
    <w:rPr>
      <w:rFonts w:ascii="Geomanist Light" w:hAnsi="Geomanist Light"/>
      <w:lang w:val="es-ES"/>
    </w:rPr>
  </w:style>
  <w:style w:type="character" w:customStyle="1" w:styleId="s15">
    <w:name w:val="s15"/>
    <w:basedOn w:val="Fuentedeprrafopredeter"/>
    <w:rsid w:val="007D41E8"/>
  </w:style>
  <w:style w:type="paragraph" w:styleId="Textoindependiente">
    <w:name w:val="Body Text"/>
    <w:basedOn w:val="Normal"/>
    <w:link w:val="TextoindependienteCar"/>
    <w:uiPriority w:val="1"/>
    <w:unhideWhenUsed/>
    <w:qFormat/>
    <w:rsid w:val="007D41E8"/>
    <w:pPr>
      <w:spacing w:after="120"/>
    </w:pPr>
  </w:style>
  <w:style w:type="character" w:customStyle="1" w:styleId="TextoindependienteCar">
    <w:name w:val="Texto independiente Car"/>
    <w:basedOn w:val="Fuentedeprrafopredeter"/>
    <w:link w:val="Textoindependiente"/>
    <w:uiPriority w:val="1"/>
    <w:rsid w:val="007D41E8"/>
  </w:style>
  <w:style w:type="paragraph" w:styleId="Sinespaciado">
    <w:name w:val="No Spacing"/>
    <w:aliases w:val="No Indent"/>
    <w:uiPriority w:val="3"/>
    <w:qFormat/>
    <w:rsid w:val="007D41E8"/>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65859">
      <w:bodyDiv w:val="1"/>
      <w:marLeft w:val="0"/>
      <w:marRight w:val="0"/>
      <w:marTop w:val="0"/>
      <w:marBottom w:val="0"/>
      <w:divBdr>
        <w:top w:val="none" w:sz="0" w:space="0" w:color="auto"/>
        <w:left w:val="none" w:sz="0" w:space="0" w:color="auto"/>
        <w:bottom w:val="none" w:sz="0" w:space="0" w:color="auto"/>
        <w:right w:val="none" w:sz="0" w:space="0" w:color="auto"/>
      </w:divBdr>
      <w:divsChild>
        <w:div w:id="1189174437">
          <w:marLeft w:val="0"/>
          <w:marRight w:val="0"/>
          <w:marTop w:val="0"/>
          <w:marBottom w:val="0"/>
          <w:divBdr>
            <w:top w:val="none" w:sz="0" w:space="0" w:color="auto"/>
            <w:left w:val="none" w:sz="0" w:space="0" w:color="auto"/>
            <w:bottom w:val="none" w:sz="0" w:space="0" w:color="auto"/>
            <w:right w:val="none" w:sz="0" w:space="0" w:color="auto"/>
          </w:divBdr>
          <w:divsChild>
            <w:div w:id="1341203700">
              <w:marLeft w:val="0"/>
              <w:marRight w:val="0"/>
              <w:marTop w:val="0"/>
              <w:marBottom w:val="0"/>
              <w:divBdr>
                <w:top w:val="none" w:sz="0" w:space="0" w:color="auto"/>
                <w:left w:val="none" w:sz="0" w:space="0" w:color="auto"/>
                <w:bottom w:val="none" w:sz="0" w:space="0" w:color="auto"/>
                <w:right w:val="none" w:sz="0" w:space="0" w:color="auto"/>
              </w:divBdr>
              <w:divsChild>
                <w:div w:id="558908116">
                  <w:marLeft w:val="0"/>
                  <w:marRight w:val="0"/>
                  <w:marTop w:val="0"/>
                  <w:marBottom w:val="0"/>
                  <w:divBdr>
                    <w:top w:val="none" w:sz="0" w:space="0" w:color="auto"/>
                    <w:left w:val="none" w:sz="0" w:space="0" w:color="auto"/>
                    <w:bottom w:val="none" w:sz="0" w:space="0" w:color="auto"/>
                    <w:right w:val="none" w:sz="0" w:space="0" w:color="auto"/>
                  </w:divBdr>
                  <w:divsChild>
                    <w:div w:id="1307541297">
                      <w:marLeft w:val="0"/>
                      <w:marRight w:val="0"/>
                      <w:marTop w:val="0"/>
                      <w:marBottom w:val="0"/>
                      <w:divBdr>
                        <w:top w:val="none" w:sz="0" w:space="0" w:color="auto"/>
                        <w:left w:val="none" w:sz="0" w:space="0" w:color="auto"/>
                        <w:bottom w:val="none" w:sz="0" w:space="0" w:color="auto"/>
                        <w:right w:val="none" w:sz="0" w:space="0" w:color="auto"/>
                      </w:divBdr>
                      <w:divsChild>
                        <w:div w:id="1829245525">
                          <w:marLeft w:val="0"/>
                          <w:marRight w:val="0"/>
                          <w:marTop w:val="0"/>
                          <w:marBottom w:val="0"/>
                          <w:divBdr>
                            <w:top w:val="none" w:sz="0" w:space="0" w:color="auto"/>
                            <w:left w:val="none" w:sz="0" w:space="0" w:color="auto"/>
                            <w:bottom w:val="none" w:sz="0" w:space="0" w:color="auto"/>
                            <w:right w:val="none" w:sz="0" w:space="0" w:color="auto"/>
                          </w:divBdr>
                          <w:divsChild>
                            <w:div w:id="1140656592">
                              <w:marLeft w:val="30"/>
                              <w:marRight w:val="30"/>
                              <w:marTop w:val="30"/>
                              <w:marBottom w:val="30"/>
                              <w:divBdr>
                                <w:top w:val="none" w:sz="0" w:space="0" w:color="auto"/>
                                <w:left w:val="none" w:sz="0" w:space="0" w:color="auto"/>
                                <w:bottom w:val="none" w:sz="0" w:space="0" w:color="auto"/>
                                <w:right w:val="none" w:sz="0" w:space="0" w:color="auto"/>
                              </w:divBdr>
                              <w:divsChild>
                                <w:div w:id="266691759">
                                  <w:marLeft w:val="0"/>
                                  <w:marRight w:val="0"/>
                                  <w:marTop w:val="0"/>
                                  <w:marBottom w:val="0"/>
                                  <w:divBdr>
                                    <w:top w:val="none" w:sz="0" w:space="0" w:color="auto"/>
                                    <w:left w:val="none" w:sz="0" w:space="0" w:color="auto"/>
                                    <w:bottom w:val="none" w:sz="0" w:space="0" w:color="auto"/>
                                    <w:right w:val="none" w:sz="0" w:space="0" w:color="auto"/>
                                  </w:divBdr>
                                  <w:divsChild>
                                    <w:div w:id="2087923188">
                                      <w:marLeft w:val="780"/>
                                      <w:marRight w:val="240"/>
                                      <w:marTop w:val="180"/>
                                      <w:marBottom w:val="0"/>
                                      <w:divBdr>
                                        <w:top w:val="none" w:sz="0" w:space="0" w:color="auto"/>
                                        <w:left w:val="none" w:sz="0" w:space="0" w:color="auto"/>
                                        <w:bottom w:val="none" w:sz="0" w:space="0" w:color="auto"/>
                                        <w:right w:val="none" w:sz="0" w:space="0" w:color="auto"/>
                                      </w:divBdr>
                                      <w:divsChild>
                                        <w:div w:id="2059010999">
                                          <w:marLeft w:val="0"/>
                                          <w:marRight w:val="0"/>
                                          <w:marTop w:val="0"/>
                                          <w:marBottom w:val="0"/>
                                          <w:divBdr>
                                            <w:top w:val="none" w:sz="0" w:space="0" w:color="auto"/>
                                            <w:left w:val="none" w:sz="0" w:space="0" w:color="auto"/>
                                            <w:bottom w:val="none" w:sz="0" w:space="0" w:color="auto"/>
                                            <w:right w:val="none" w:sz="0" w:space="0" w:color="auto"/>
                                          </w:divBdr>
                                          <w:divsChild>
                                            <w:div w:id="400718626">
                                              <w:marLeft w:val="0"/>
                                              <w:marRight w:val="0"/>
                                              <w:marTop w:val="0"/>
                                              <w:marBottom w:val="0"/>
                                              <w:divBdr>
                                                <w:top w:val="none" w:sz="0" w:space="0" w:color="auto"/>
                                                <w:left w:val="none" w:sz="0" w:space="0" w:color="auto"/>
                                                <w:bottom w:val="none" w:sz="0" w:space="0" w:color="auto"/>
                                                <w:right w:val="none" w:sz="0" w:space="0" w:color="auto"/>
                                              </w:divBdr>
                                              <w:divsChild>
                                                <w:div w:id="2008096207">
                                                  <w:marLeft w:val="0"/>
                                                  <w:marRight w:val="0"/>
                                                  <w:marTop w:val="0"/>
                                                  <w:marBottom w:val="0"/>
                                                  <w:divBdr>
                                                    <w:top w:val="none" w:sz="0" w:space="0" w:color="auto"/>
                                                    <w:left w:val="none" w:sz="0" w:space="0" w:color="auto"/>
                                                    <w:bottom w:val="none" w:sz="0" w:space="0" w:color="auto"/>
                                                    <w:right w:val="none" w:sz="0" w:space="0" w:color="auto"/>
                                                  </w:divBdr>
                                                  <w:divsChild>
                                                    <w:div w:id="1562206892">
                                                      <w:marLeft w:val="0"/>
                                                      <w:marRight w:val="0"/>
                                                      <w:marTop w:val="0"/>
                                                      <w:marBottom w:val="0"/>
                                                      <w:divBdr>
                                                        <w:top w:val="none" w:sz="0" w:space="0" w:color="auto"/>
                                                        <w:left w:val="none" w:sz="0" w:space="0" w:color="auto"/>
                                                        <w:bottom w:val="none" w:sz="0" w:space="0" w:color="auto"/>
                                                        <w:right w:val="none" w:sz="0" w:space="0" w:color="auto"/>
                                                      </w:divBdr>
                                                      <w:divsChild>
                                                        <w:div w:id="1995991378">
                                                          <w:marLeft w:val="0"/>
                                                          <w:marRight w:val="0"/>
                                                          <w:marTop w:val="0"/>
                                                          <w:marBottom w:val="0"/>
                                                          <w:divBdr>
                                                            <w:top w:val="none" w:sz="0" w:space="0" w:color="auto"/>
                                                            <w:left w:val="none" w:sz="0" w:space="0" w:color="auto"/>
                                                            <w:bottom w:val="none" w:sz="0" w:space="0" w:color="auto"/>
                                                            <w:right w:val="none" w:sz="0" w:space="0" w:color="auto"/>
                                                          </w:divBdr>
                                                        </w:div>
                                                        <w:div w:id="359935954">
                                                          <w:marLeft w:val="0"/>
                                                          <w:marRight w:val="0"/>
                                                          <w:marTop w:val="240"/>
                                                          <w:marBottom w:val="240"/>
                                                          <w:divBdr>
                                                            <w:top w:val="none" w:sz="0" w:space="0" w:color="auto"/>
                                                            <w:left w:val="none" w:sz="0" w:space="0" w:color="auto"/>
                                                            <w:bottom w:val="none" w:sz="0" w:space="0" w:color="auto"/>
                                                            <w:right w:val="none" w:sz="0" w:space="0" w:color="auto"/>
                                                          </w:divBdr>
                                                        </w:div>
                                                        <w:div w:id="280039385">
                                                          <w:marLeft w:val="0"/>
                                                          <w:marRight w:val="0"/>
                                                          <w:marTop w:val="240"/>
                                                          <w:marBottom w:val="240"/>
                                                          <w:divBdr>
                                                            <w:top w:val="none" w:sz="0" w:space="0" w:color="auto"/>
                                                            <w:left w:val="none" w:sz="0" w:space="0" w:color="auto"/>
                                                            <w:bottom w:val="none" w:sz="0" w:space="0" w:color="auto"/>
                                                            <w:right w:val="none" w:sz="0" w:space="0" w:color="auto"/>
                                                          </w:divBdr>
                                                        </w:div>
                                                        <w:div w:id="2114737877">
                                                          <w:marLeft w:val="0"/>
                                                          <w:marRight w:val="0"/>
                                                          <w:marTop w:val="240"/>
                                                          <w:marBottom w:val="240"/>
                                                          <w:divBdr>
                                                            <w:top w:val="none" w:sz="0" w:space="0" w:color="auto"/>
                                                            <w:left w:val="none" w:sz="0" w:space="0" w:color="auto"/>
                                                            <w:bottom w:val="none" w:sz="0" w:space="0" w:color="auto"/>
                                                            <w:right w:val="none" w:sz="0" w:space="0" w:color="auto"/>
                                                          </w:divBdr>
                                                        </w:div>
                                                        <w:div w:id="9603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339296">
          <w:marLeft w:val="0"/>
          <w:marRight w:val="0"/>
          <w:marTop w:val="0"/>
          <w:marBottom w:val="0"/>
          <w:divBdr>
            <w:top w:val="none" w:sz="0" w:space="0" w:color="auto"/>
            <w:left w:val="none" w:sz="0" w:space="0" w:color="auto"/>
            <w:bottom w:val="none" w:sz="0" w:space="0" w:color="auto"/>
            <w:right w:val="none" w:sz="0" w:space="0" w:color="auto"/>
          </w:divBdr>
          <w:divsChild>
            <w:div w:id="1014303713">
              <w:marLeft w:val="0"/>
              <w:marRight w:val="0"/>
              <w:marTop w:val="0"/>
              <w:marBottom w:val="0"/>
              <w:divBdr>
                <w:top w:val="none" w:sz="0" w:space="0" w:color="auto"/>
                <w:left w:val="none" w:sz="0" w:space="0" w:color="auto"/>
                <w:bottom w:val="none" w:sz="0" w:space="0" w:color="auto"/>
                <w:right w:val="none" w:sz="0" w:space="0" w:color="auto"/>
              </w:divBdr>
              <w:divsChild>
                <w:div w:id="1546403679">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sChild>
                        <w:div w:id="1639993031">
                          <w:marLeft w:val="0"/>
                          <w:marRight w:val="0"/>
                          <w:marTop w:val="0"/>
                          <w:marBottom w:val="0"/>
                          <w:divBdr>
                            <w:top w:val="none" w:sz="0" w:space="0" w:color="auto"/>
                            <w:left w:val="none" w:sz="0" w:space="0" w:color="auto"/>
                            <w:bottom w:val="none" w:sz="0" w:space="0" w:color="auto"/>
                            <w:right w:val="none" w:sz="0" w:space="0" w:color="auto"/>
                          </w:divBdr>
                          <w:divsChild>
                            <w:div w:id="1667245752">
                              <w:marLeft w:val="30"/>
                              <w:marRight w:val="30"/>
                              <w:marTop w:val="30"/>
                              <w:marBottom w:val="30"/>
                              <w:divBdr>
                                <w:top w:val="single" w:sz="6" w:space="5" w:color="EBEBEB"/>
                                <w:left w:val="single" w:sz="6" w:space="9" w:color="EBEBEB"/>
                                <w:bottom w:val="single" w:sz="6" w:space="9" w:color="EBEBEB"/>
                                <w:right w:val="single" w:sz="6" w:space="9" w:color="EBEBEB"/>
                              </w:divBdr>
                              <w:divsChild>
                                <w:div w:id="419720855">
                                  <w:marLeft w:val="0"/>
                                  <w:marRight w:val="0"/>
                                  <w:marTop w:val="0"/>
                                  <w:marBottom w:val="0"/>
                                  <w:divBdr>
                                    <w:top w:val="none" w:sz="0" w:space="0" w:color="auto"/>
                                    <w:left w:val="none" w:sz="0" w:space="0" w:color="auto"/>
                                    <w:bottom w:val="none" w:sz="0" w:space="0" w:color="auto"/>
                                    <w:right w:val="none" w:sz="0" w:space="0" w:color="auto"/>
                                  </w:divBdr>
                                  <w:divsChild>
                                    <w:div w:id="1827820201">
                                      <w:marLeft w:val="0"/>
                                      <w:marRight w:val="0"/>
                                      <w:marTop w:val="0"/>
                                      <w:marBottom w:val="0"/>
                                      <w:divBdr>
                                        <w:top w:val="none" w:sz="0" w:space="0" w:color="auto"/>
                                        <w:left w:val="none" w:sz="0" w:space="0" w:color="auto"/>
                                        <w:bottom w:val="none" w:sz="0" w:space="0" w:color="auto"/>
                                        <w:right w:val="none" w:sz="0" w:space="0" w:color="auto"/>
                                      </w:divBdr>
                                      <w:divsChild>
                                        <w:div w:id="1115636577">
                                          <w:marLeft w:val="0"/>
                                          <w:marRight w:val="0"/>
                                          <w:marTop w:val="0"/>
                                          <w:marBottom w:val="0"/>
                                          <w:divBdr>
                                            <w:top w:val="none" w:sz="0" w:space="0" w:color="auto"/>
                                            <w:left w:val="none" w:sz="0" w:space="0" w:color="auto"/>
                                            <w:bottom w:val="none" w:sz="0" w:space="0" w:color="auto"/>
                                            <w:right w:val="none" w:sz="0" w:space="0" w:color="auto"/>
                                          </w:divBdr>
                                          <w:divsChild>
                                            <w:div w:id="233249065">
                                              <w:marLeft w:val="0"/>
                                              <w:marRight w:val="0"/>
                                              <w:marTop w:val="0"/>
                                              <w:marBottom w:val="0"/>
                                              <w:divBdr>
                                                <w:top w:val="none" w:sz="0" w:space="0" w:color="auto"/>
                                                <w:left w:val="none" w:sz="0" w:space="0" w:color="auto"/>
                                                <w:bottom w:val="none" w:sz="0" w:space="0" w:color="auto"/>
                                                <w:right w:val="none" w:sz="0" w:space="0" w:color="auto"/>
                                              </w:divBdr>
                                              <w:divsChild>
                                                <w:div w:id="473377498">
                                                  <w:marLeft w:val="0"/>
                                                  <w:marRight w:val="120"/>
                                                  <w:marTop w:val="0"/>
                                                  <w:marBottom w:val="0"/>
                                                  <w:divBdr>
                                                    <w:top w:val="none" w:sz="0" w:space="0" w:color="auto"/>
                                                    <w:left w:val="none" w:sz="0" w:space="0" w:color="auto"/>
                                                    <w:bottom w:val="none" w:sz="0" w:space="0" w:color="auto"/>
                                                    <w:right w:val="none" w:sz="0" w:space="0" w:color="auto"/>
                                                  </w:divBdr>
                                                  <w:divsChild>
                                                    <w:div w:id="15106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371074">
                                              <w:marLeft w:val="60"/>
                                              <w:marRight w:val="0"/>
                                              <w:marTop w:val="0"/>
                                              <w:marBottom w:val="0"/>
                                              <w:divBdr>
                                                <w:top w:val="none" w:sz="0" w:space="0" w:color="auto"/>
                                                <w:left w:val="none" w:sz="0" w:space="0" w:color="auto"/>
                                                <w:bottom w:val="none" w:sz="0" w:space="0" w:color="auto"/>
                                                <w:right w:val="none" w:sz="0" w:space="0" w:color="auto"/>
                                              </w:divBdr>
                                              <w:divsChild>
                                                <w:div w:id="1732920750">
                                                  <w:marLeft w:val="0"/>
                                                  <w:marRight w:val="0"/>
                                                  <w:marTop w:val="0"/>
                                                  <w:marBottom w:val="0"/>
                                                  <w:divBdr>
                                                    <w:top w:val="none" w:sz="0" w:space="0" w:color="auto"/>
                                                    <w:left w:val="none" w:sz="0" w:space="0" w:color="auto"/>
                                                    <w:bottom w:val="none" w:sz="0" w:space="0" w:color="auto"/>
                                                    <w:right w:val="none" w:sz="0" w:space="0" w:color="auto"/>
                                                  </w:divBdr>
                                                  <w:divsChild>
                                                    <w:div w:id="467864556">
                                                      <w:marLeft w:val="0"/>
                                                      <w:marRight w:val="0"/>
                                                      <w:marTop w:val="0"/>
                                                      <w:marBottom w:val="0"/>
                                                      <w:divBdr>
                                                        <w:top w:val="none" w:sz="0" w:space="0" w:color="auto"/>
                                                        <w:left w:val="none" w:sz="0" w:space="0" w:color="auto"/>
                                                        <w:bottom w:val="none" w:sz="0" w:space="0" w:color="auto"/>
                                                        <w:right w:val="none" w:sz="0" w:space="0" w:color="auto"/>
                                                      </w:divBdr>
                                                      <w:divsChild>
                                                        <w:div w:id="141443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638853">
                                      <w:marLeft w:val="720"/>
                                      <w:marRight w:val="0"/>
                                      <w:marTop w:val="0"/>
                                      <w:marBottom w:val="0"/>
                                      <w:divBdr>
                                        <w:top w:val="none" w:sz="0" w:space="0" w:color="auto"/>
                                        <w:left w:val="none" w:sz="0" w:space="0" w:color="auto"/>
                                        <w:bottom w:val="none" w:sz="0" w:space="0" w:color="auto"/>
                                        <w:right w:val="none" w:sz="0" w:space="0" w:color="auto"/>
                                      </w:divBdr>
                                      <w:divsChild>
                                        <w:div w:id="1948348165">
                                          <w:marLeft w:val="0"/>
                                          <w:marRight w:val="0"/>
                                          <w:marTop w:val="0"/>
                                          <w:marBottom w:val="0"/>
                                          <w:divBdr>
                                            <w:top w:val="none" w:sz="0" w:space="0" w:color="auto"/>
                                            <w:left w:val="none" w:sz="0" w:space="0" w:color="auto"/>
                                            <w:bottom w:val="none" w:sz="0" w:space="0" w:color="auto"/>
                                            <w:right w:val="none" w:sz="0" w:space="0" w:color="auto"/>
                                          </w:divBdr>
                                          <w:divsChild>
                                            <w:div w:id="834690851">
                                              <w:marLeft w:val="0"/>
                                              <w:marRight w:val="0"/>
                                              <w:marTop w:val="0"/>
                                              <w:marBottom w:val="0"/>
                                              <w:divBdr>
                                                <w:top w:val="none" w:sz="0" w:space="0" w:color="auto"/>
                                                <w:left w:val="none" w:sz="0" w:space="0" w:color="auto"/>
                                                <w:bottom w:val="none" w:sz="0" w:space="0" w:color="auto"/>
                                                <w:right w:val="none" w:sz="0" w:space="0" w:color="auto"/>
                                              </w:divBdr>
                                              <w:divsChild>
                                                <w:div w:id="448933866">
                                                  <w:marLeft w:val="0"/>
                                                  <w:marRight w:val="0"/>
                                                  <w:marTop w:val="0"/>
                                                  <w:marBottom w:val="0"/>
                                                  <w:divBdr>
                                                    <w:top w:val="none" w:sz="0" w:space="0" w:color="auto"/>
                                                    <w:left w:val="none" w:sz="0" w:space="0" w:color="auto"/>
                                                    <w:bottom w:val="none" w:sz="0" w:space="0" w:color="auto"/>
                                                    <w:right w:val="none" w:sz="0" w:space="0" w:color="auto"/>
                                                  </w:divBdr>
                                                  <w:divsChild>
                                                    <w:div w:id="1455752196">
                                                      <w:marLeft w:val="0"/>
                                                      <w:marRight w:val="0"/>
                                                      <w:marTop w:val="0"/>
                                                      <w:marBottom w:val="0"/>
                                                      <w:divBdr>
                                                        <w:top w:val="none" w:sz="0" w:space="0" w:color="auto"/>
                                                        <w:left w:val="none" w:sz="0" w:space="0" w:color="auto"/>
                                                        <w:bottom w:val="none" w:sz="0" w:space="0" w:color="auto"/>
                                                        <w:right w:val="none" w:sz="0" w:space="0" w:color="auto"/>
                                                      </w:divBdr>
                                                      <w:divsChild>
                                                        <w:div w:id="8420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489721">
                                  <w:marLeft w:val="0"/>
                                  <w:marRight w:val="0"/>
                                  <w:marTop w:val="0"/>
                                  <w:marBottom w:val="0"/>
                                  <w:divBdr>
                                    <w:top w:val="none" w:sz="0" w:space="0" w:color="auto"/>
                                    <w:left w:val="none" w:sz="0" w:space="0" w:color="auto"/>
                                    <w:bottom w:val="none" w:sz="0" w:space="0" w:color="auto"/>
                                    <w:right w:val="none" w:sz="0" w:space="0" w:color="auto"/>
                                  </w:divBdr>
                                  <w:divsChild>
                                    <w:div w:id="1124690088">
                                      <w:marLeft w:val="780"/>
                                      <w:marRight w:val="240"/>
                                      <w:marTop w:val="180"/>
                                      <w:marBottom w:val="0"/>
                                      <w:divBdr>
                                        <w:top w:val="none" w:sz="0" w:space="0" w:color="auto"/>
                                        <w:left w:val="none" w:sz="0" w:space="0" w:color="auto"/>
                                        <w:bottom w:val="none" w:sz="0" w:space="0" w:color="auto"/>
                                        <w:right w:val="none" w:sz="0" w:space="0" w:color="auto"/>
                                      </w:divBdr>
                                      <w:divsChild>
                                        <w:div w:id="631398722">
                                          <w:marLeft w:val="0"/>
                                          <w:marRight w:val="0"/>
                                          <w:marTop w:val="0"/>
                                          <w:marBottom w:val="0"/>
                                          <w:divBdr>
                                            <w:top w:val="none" w:sz="0" w:space="0" w:color="auto"/>
                                            <w:left w:val="none" w:sz="0" w:space="0" w:color="auto"/>
                                            <w:bottom w:val="none" w:sz="0" w:space="0" w:color="auto"/>
                                            <w:right w:val="none" w:sz="0" w:space="0" w:color="auto"/>
                                          </w:divBdr>
                                          <w:divsChild>
                                            <w:div w:id="1179345284">
                                              <w:marLeft w:val="0"/>
                                              <w:marRight w:val="0"/>
                                              <w:marTop w:val="0"/>
                                              <w:marBottom w:val="0"/>
                                              <w:divBdr>
                                                <w:top w:val="none" w:sz="0" w:space="0" w:color="auto"/>
                                                <w:left w:val="none" w:sz="0" w:space="0" w:color="auto"/>
                                                <w:bottom w:val="none" w:sz="0" w:space="0" w:color="auto"/>
                                                <w:right w:val="none" w:sz="0" w:space="0" w:color="auto"/>
                                              </w:divBdr>
                                              <w:divsChild>
                                                <w:div w:id="137498780">
                                                  <w:marLeft w:val="0"/>
                                                  <w:marRight w:val="0"/>
                                                  <w:marTop w:val="0"/>
                                                  <w:marBottom w:val="0"/>
                                                  <w:divBdr>
                                                    <w:top w:val="none" w:sz="0" w:space="0" w:color="auto"/>
                                                    <w:left w:val="none" w:sz="0" w:space="0" w:color="auto"/>
                                                    <w:bottom w:val="none" w:sz="0" w:space="0" w:color="auto"/>
                                                    <w:right w:val="none" w:sz="0" w:space="0" w:color="auto"/>
                                                  </w:divBdr>
                                                  <w:divsChild>
                                                    <w:div w:id="392241535">
                                                      <w:marLeft w:val="0"/>
                                                      <w:marRight w:val="0"/>
                                                      <w:marTop w:val="0"/>
                                                      <w:marBottom w:val="0"/>
                                                      <w:divBdr>
                                                        <w:top w:val="none" w:sz="0" w:space="0" w:color="auto"/>
                                                        <w:left w:val="none" w:sz="0" w:space="0" w:color="auto"/>
                                                        <w:bottom w:val="none" w:sz="0" w:space="0" w:color="auto"/>
                                                        <w:right w:val="none" w:sz="0" w:space="0" w:color="auto"/>
                                                      </w:divBdr>
                                                      <w:divsChild>
                                                        <w:div w:id="1362627885">
                                                          <w:marLeft w:val="0"/>
                                                          <w:marRight w:val="0"/>
                                                          <w:marTop w:val="240"/>
                                                          <w:marBottom w:val="240"/>
                                                          <w:divBdr>
                                                            <w:top w:val="none" w:sz="0" w:space="0" w:color="auto"/>
                                                            <w:left w:val="none" w:sz="0" w:space="0" w:color="auto"/>
                                                            <w:bottom w:val="none" w:sz="0" w:space="0" w:color="auto"/>
                                                            <w:right w:val="none" w:sz="0" w:space="0" w:color="auto"/>
                                                          </w:divBdr>
                                                        </w:div>
                                                        <w:div w:id="2092265100">
                                                          <w:marLeft w:val="0"/>
                                                          <w:marRight w:val="0"/>
                                                          <w:marTop w:val="240"/>
                                                          <w:marBottom w:val="240"/>
                                                          <w:divBdr>
                                                            <w:top w:val="none" w:sz="0" w:space="0" w:color="auto"/>
                                                            <w:left w:val="none" w:sz="0" w:space="0" w:color="auto"/>
                                                            <w:bottom w:val="none" w:sz="0" w:space="0" w:color="auto"/>
                                                            <w:right w:val="none" w:sz="0" w:space="0" w:color="auto"/>
                                                          </w:divBdr>
                                                        </w:div>
                                                        <w:div w:id="136648787">
                                                          <w:marLeft w:val="0"/>
                                                          <w:marRight w:val="0"/>
                                                          <w:marTop w:val="240"/>
                                                          <w:marBottom w:val="240"/>
                                                          <w:divBdr>
                                                            <w:top w:val="none" w:sz="0" w:space="0" w:color="auto"/>
                                                            <w:left w:val="none" w:sz="0" w:space="0" w:color="auto"/>
                                                            <w:bottom w:val="none" w:sz="0" w:space="0" w:color="auto"/>
                                                            <w:right w:val="none" w:sz="0" w:space="0" w:color="auto"/>
                                                          </w:divBdr>
                                                        </w:div>
                                                        <w:div w:id="66428881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1940943">
      <w:bodyDiv w:val="1"/>
      <w:marLeft w:val="0"/>
      <w:marRight w:val="0"/>
      <w:marTop w:val="0"/>
      <w:marBottom w:val="0"/>
      <w:divBdr>
        <w:top w:val="none" w:sz="0" w:space="0" w:color="auto"/>
        <w:left w:val="none" w:sz="0" w:space="0" w:color="auto"/>
        <w:bottom w:val="none" w:sz="0" w:space="0" w:color="auto"/>
        <w:right w:val="none" w:sz="0" w:space="0" w:color="auto"/>
      </w:divBdr>
      <w:divsChild>
        <w:div w:id="1691292737">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240"/>
          <w:marBottom w:val="240"/>
          <w:divBdr>
            <w:top w:val="none" w:sz="0" w:space="0" w:color="auto"/>
            <w:left w:val="none" w:sz="0" w:space="0" w:color="auto"/>
            <w:bottom w:val="none" w:sz="0" w:space="0" w:color="auto"/>
            <w:right w:val="none" w:sz="0" w:space="0" w:color="auto"/>
          </w:divBdr>
        </w:div>
      </w:divsChild>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85323977">
      <w:bodyDiv w:val="1"/>
      <w:marLeft w:val="0"/>
      <w:marRight w:val="0"/>
      <w:marTop w:val="0"/>
      <w:marBottom w:val="0"/>
      <w:divBdr>
        <w:top w:val="none" w:sz="0" w:space="0" w:color="auto"/>
        <w:left w:val="none" w:sz="0" w:space="0" w:color="auto"/>
        <w:bottom w:val="none" w:sz="0" w:space="0" w:color="auto"/>
        <w:right w:val="none" w:sz="0" w:space="0" w:color="auto"/>
      </w:divBdr>
      <w:divsChild>
        <w:div w:id="1784223719">
          <w:marLeft w:val="0"/>
          <w:marRight w:val="0"/>
          <w:marTop w:val="0"/>
          <w:marBottom w:val="0"/>
          <w:divBdr>
            <w:top w:val="none" w:sz="0" w:space="0" w:color="auto"/>
            <w:left w:val="none" w:sz="0" w:space="0" w:color="auto"/>
            <w:bottom w:val="none" w:sz="0" w:space="0" w:color="auto"/>
            <w:right w:val="none" w:sz="0" w:space="0" w:color="auto"/>
          </w:divBdr>
          <w:divsChild>
            <w:div w:id="927272366">
              <w:marLeft w:val="0"/>
              <w:marRight w:val="0"/>
              <w:marTop w:val="0"/>
              <w:marBottom w:val="0"/>
              <w:divBdr>
                <w:top w:val="none" w:sz="0" w:space="0" w:color="auto"/>
                <w:left w:val="none" w:sz="0" w:space="0" w:color="auto"/>
                <w:bottom w:val="none" w:sz="0" w:space="0" w:color="auto"/>
                <w:right w:val="none" w:sz="0" w:space="0" w:color="auto"/>
              </w:divBdr>
              <w:divsChild>
                <w:div w:id="1065689222">
                  <w:marLeft w:val="0"/>
                  <w:marRight w:val="0"/>
                  <w:marTop w:val="0"/>
                  <w:marBottom w:val="0"/>
                  <w:divBdr>
                    <w:top w:val="none" w:sz="0" w:space="0" w:color="auto"/>
                    <w:left w:val="none" w:sz="0" w:space="0" w:color="auto"/>
                    <w:bottom w:val="none" w:sz="0" w:space="0" w:color="auto"/>
                    <w:right w:val="none" w:sz="0" w:space="0" w:color="auto"/>
                  </w:divBdr>
                  <w:divsChild>
                    <w:div w:id="1028414078">
                      <w:marLeft w:val="0"/>
                      <w:marRight w:val="0"/>
                      <w:marTop w:val="0"/>
                      <w:marBottom w:val="0"/>
                      <w:divBdr>
                        <w:top w:val="none" w:sz="0" w:space="0" w:color="auto"/>
                        <w:left w:val="none" w:sz="0" w:space="0" w:color="auto"/>
                        <w:bottom w:val="none" w:sz="0" w:space="0" w:color="auto"/>
                        <w:right w:val="none" w:sz="0" w:space="0" w:color="auto"/>
                      </w:divBdr>
                      <w:divsChild>
                        <w:div w:id="2051103755">
                          <w:marLeft w:val="0"/>
                          <w:marRight w:val="0"/>
                          <w:marTop w:val="0"/>
                          <w:marBottom w:val="0"/>
                          <w:divBdr>
                            <w:top w:val="none" w:sz="0" w:space="0" w:color="auto"/>
                            <w:left w:val="none" w:sz="0" w:space="0" w:color="auto"/>
                            <w:bottom w:val="none" w:sz="0" w:space="0" w:color="auto"/>
                            <w:right w:val="none" w:sz="0" w:space="0" w:color="auto"/>
                          </w:divBdr>
                          <w:divsChild>
                            <w:div w:id="1683698898">
                              <w:marLeft w:val="30"/>
                              <w:marRight w:val="30"/>
                              <w:marTop w:val="30"/>
                              <w:marBottom w:val="30"/>
                              <w:divBdr>
                                <w:top w:val="none" w:sz="0" w:space="0" w:color="auto"/>
                                <w:left w:val="none" w:sz="0" w:space="0" w:color="auto"/>
                                <w:bottom w:val="none" w:sz="0" w:space="0" w:color="auto"/>
                                <w:right w:val="none" w:sz="0" w:space="0" w:color="auto"/>
                              </w:divBdr>
                              <w:divsChild>
                                <w:div w:id="1477450209">
                                  <w:marLeft w:val="0"/>
                                  <w:marRight w:val="0"/>
                                  <w:marTop w:val="0"/>
                                  <w:marBottom w:val="0"/>
                                  <w:divBdr>
                                    <w:top w:val="none" w:sz="0" w:space="0" w:color="auto"/>
                                    <w:left w:val="none" w:sz="0" w:space="0" w:color="auto"/>
                                    <w:bottom w:val="none" w:sz="0" w:space="0" w:color="auto"/>
                                    <w:right w:val="none" w:sz="0" w:space="0" w:color="auto"/>
                                  </w:divBdr>
                                  <w:divsChild>
                                    <w:div w:id="599148731">
                                      <w:marLeft w:val="780"/>
                                      <w:marRight w:val="240"/>
                                      <w:marTop w:val="180"/>
                                      <w:marBottom w:val="0"/>
                                      <w:divBdr>
                                        <w:top w:val="none" w:sz="0" w:space="0" w:color="auto"/>
                                        <w:left w:val="none" w:sz="0" w:space="0" w:color="auto"/>
                                        <w:bottom w:val="none" w:sz="0" w:space="0" w:color="auto"/>
                                        <w:right w:val="none" w:sz="0" w:space="0" w:color="auto"/>
                                      </w:divBdr>
                                      <w:divsChild>
                                        <w:div w:id="714890190">
                                          <w:marLeft w:val="0"/>
                                          <w:marRight w:val="0"/>
                                          <w:marTop w:val="0"/>
                                          <w:marBottom w:val="0"/>
                                          <w:divBdr>
                                            <w:top w:val="none" w:sz="0" w:space="0" w:color="auto"/>
                                            <w:left w:val="none" w:sz="0" w:space="0" w:color="auto"/>
                                            <w:bottom w:val="none" w:sz="0" w:space="0" w:color="auto"/>
                                            <w:right w:val="none" w:sz="0" w:space="0" w:color="auto"/>
                                          </w:divBdr>
                                          <w:divsChild>
                                            <w:div w:id="673151593">
                                              <w:marLeft w:val="0"/>
                                              <w:marRight w:val="0"/>
                                              <w:marTop w:val="0"/>
                                              <w:marBottom w:val="0"/>
                                              <w:divBdr>
                                                <w:top w:val="none" w:sz="0" w:space="0" w:color="auto"/>
                                                <w:left w:val="none" w:sz="0" w:space="0" w:color="auto"/>
                                                <w:bottom w:val="none" w:sz="0" w:space="0" w:color="auto"/>
                                                <w:right w:val="none" w:sz="0" w:space="0" w:color="auto"/>
                                              </w:divBdr>
                                              <w:divsChild>
                                                <w:div w:id="634874081">
                                                  <w:marLeft w:val="0"/>
                                                  <w:marRight w:val="0"/>
                                                  <w:marTop w:val="0"/>
                                                  <w:marBottom w:val="0"/>
                                                  <w:divBdr>
                                                    <w:top w:val="none" w:sz="0" w:space="0" w:color="auto"/>
                                                    <w:left w:val="none" w:sz="0" w:space="0" w:color="auto"/>
                                                    <w:bottom w:val="none" w:sz="0" w:space="0" w:color="auto"/>
                                                    <w:right w:val="none" w:sz="0" w:space="0" w:color="auto"/>
                                                  </w:divBdr>
                                                  <w:divsChild>
                                                    <w:div w:id="355545109">
                                                      <w:marLeft w:val="0"/>
                                                      <w:marRight w:val="0"/>
                                                      <w:marTop w:val="0"/>
                                                      <w:marBottom w:val="0"/>
                                                      <w:divBdr>
                                                        <w:top w:val="none" w:sz="0" w:space="0" w:color="auto"/>
                                                        <w:left w:val="none" w:sz="0" w:space="0" w:color="auto"/>
                                                        <w:bottom w:val="none" w:sz="0" w:space="0" w:color="auto"/>
                                                        <w:right w:val="none" w:sz="0" w:space="0" w:color="auto"/>
                                                      </w:divBdr>
                                                      <w:divsChild>
                                                        <w:div w:id="2012562756">
                                                          <w:marLeft w:val="0"/>
                                                          <w:marRight w:val="0"/>
                                                          <w:marTop w:val="0"/>
                                                          <w:marBottom w:val="0"/>
                                                          <w:divBdr>
                                                            <w:top w:val="none" w:sz="0" w:space="0" w:color="auto"/>
                                                            <w:left w:val="none" w:sz="0" w:space="0" w:color="auto"/>
                                                            <w:bottom w:val="none" w:sz="0" w:space="0" w:color="auto"/>
                                                            <w:right w:val="none" w:sz="0" w:space="0" w:color="auto"/>
                                                          </w:divBdr>
                                                        </w:div>
                                                        <w:div w:id="1340474293">
                                                          <w:marLeft w:val="0"/>
                                                          <w:marRight w:val="0"/>
                                                          <w:marTop w:val="240"/>
                                                          <w:marBottom w:val="240"/>
                                                          <w:divBdr>
                                                            <w:top w:val="none" w:sz="0" w:space="0" w:color="auto"/>
                                                            <w:left w:val="none" w:sz="0" w:space="0" w:color="auto"/>
                                                            <w:bottom w:val="none" w:sz="0" w:space="0" w:color="auto"/>
                                                            <w:right w:val="none" w:sz="0" w:space="0" w:color="auto"/>
                                                          </w:divBdr>
                                                        </w:div>
                                                        <w:div w:id="773597297">
                                                          <w:marLeft w:val="0"/>
                                                          <w:marRight w:val="0"/>
                                                          <w:marTop w:val="240"/>
                                                          <w:marBottom w:val="240"/>
                                                          <w:divBdr>
                                                            <w:top w:val="none" w:sz="0" w:space="0" w:color="auto"/>
                                                            <w:left w:val="none" w:sz="0" w:space="0" w:color="auto"/>
                                                            <w:bottom w:val="none" w:sz="0" w:space="0" w:color="auto"/>
                                                            <w:right w:val="none" w:sz="0" w:space="0" w:color="auto"/>
                                                          </w:divBdr>
                                                        </w:div>
                                                        <w:div w:id="196553876">
                                                          <w:marLeft w:val="0"/>
                                                          <w:marRight w:val="0"/>
                                                          <w:marTop w:val="240"/>
                                                          <w:marBottom w:val="240"/>
                                                          <w:divBdr>
                                                            <w:top w:val="none" w:sz="0" w:space="0" w:color="auto"/>
                                                            <w:left w:val="none" w:sz="0" w:space="0" w:color="auto"/>
                                                            <w:bottom w:val="none" w:sz="0" w:space="0" w:color="auto"/>
                                                            <w:right w:val="none" w:sz="0" w:space="0" w:color="auto"/>
                                                          </w:divBdr>
                                                        </w:div>
                                                        <w:div w:id="7706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3956165">
          <w:marLeft w:val="0"/>
          <w:marRight w:val="0"/>
          <w:marTop w:val="0"/>
          <w:marBottom w:val="0"/>
          <w:divBdr>
            <w:top w:val="none" w:sz="0" w:space="0" w:color="auto"/>
            <w:left w:val="none" w:sz="0" w:space="0" w:color="auto"/>
            <w:bottom w:val="none" w:sz="0" w:space="0" w:color="auto"/>
            <w:right w:val="none" w:sz="0" w:space="0" w:color="auto"/>
          </w:divBdr>
          <w:divsChild>
            <w:div w:id="1049645341">
              <w:marLeft w:val="0"/>
              <w:marRight w:val="0"/>
              <w:marTop w:val="0"/>
              <w:marBottom w:val="0"/>
              <w:divBdr>
                <w:top w:val="none" w:sz="0" w:space="0" w:color="auto"/>
                <w:left w:val="none" w:sz="0" w:space="0" w:color="auto"/>
                <w:bottom w:val="none" w:sz="0" w:space="0" w:color="auto"/>
                <w:right w:val="none" w:sz="0" w:space="0" w:color="auto"/>
              </w:divBdr>
              <w:divsChild>
                <w:div w:id="1553929983">
                  <w:marLeft w:val="0"/>
                  <w:marRight w:val="0"/>
                  <w:marTop w:val="0"/>
                  <w:marBottom w:val="0"/>
                  <w:divBdr>
                    <w:top w:val="none" w:sz="0" w:space="0" w:color="auto"/>
                    <w:left w:val="none" w:sz="0" w:space="0" w:color="auto"/>
                    <w:bottom w:val="none" w:sz="0" w:space="0" w:color="auto"/>
                    <w:right w:val="none" w:sz="0" w:space="0" w:color="auto"/>
                  </w:divBdr>
                  <w:divsChild>
                    <w:div w:id="206181823">
                      <w:marLeft w:val="0"/>
                      <w:marRight w:val="0"/>
                      <w:marTop w:val="0"/>
                      <w:marBottom w:val="0"/>
                      <w:divBdr>
                        <w:top w:val="none" w:sz="0" w:space="0" w:color="auto"/>
                        <w:left w:val="none" w:sz="0" w:space="0" w:color="auto"/>
                        <w:bottom w:val="none" w:sz="0" w:space="0" w:color="auto"/>
                        <w:right w:val="none" w:sz="0" w:space="0" w:color="auto"/>
                      </w:divBdr>
                      <w:divsChild>
                        <w:div w:id="83767610">
                          <w:marLeft w:val="0"/>
                          <w:marRight w:val="0"/>
                          <w:marTop w:val="0"/>
                          <w:marBottom w:val="0"/>
                          <w:divBdr>
                            <w:top w:val="none" w:sz="0" w:space="0" w:color="auto"/>
                            <w:left w:val="none" w:sz="0" w:space="0" w:color="auto"/>
                            <w:bottom w:val="none" w:sz="0" w:space="0" w:color="auto"/>
                            <w:right w:val="none" w:sz="0" w:space="0" w:color="auto"/>
                          </w:divBdr>
                          <w:divsChild>
                            <w:div w:id="1421834078">
                              <w:marLeft w:val="30"/>
                              <w:marRight w:val="30"/>
                              <w:marTop w:val="30"/>
                              <w:marBottom w:val="30"/>
                              <w:divBdr>
                                <w:top w:val="single" w:sz="6" w:space="5" w:color="EBEBEB"/>
                                <w:left w:val="single" w:sz="6" w:space="9" w:color="EBEBEB"/>
                                <w:bottom w:val="single" w:sz="6" w:space="9" w:color="EBEBEB"/>
                                <w:right w:val="single" w:sz="6" w:space="9" w:color="EBEBEB"/>
                              </w:divBdr>
                              <w:divsChild>
                                <w:div w:id="682784777">
                                  <w:marLeft w:val="0"/>
                                  <w:marRight w:val="0"/>
                                  <w:marTop w:val="0"/>
                                  <w:marBottom w:val="0"/>
                                  <w:divBdr>
                                    <w:top w:val="none" w:sz="0" w:space="0" w:color="auto"/>
                                    <w:left w:val="none" w:sz="0" w:space="0" w:color="auto"/>
                                    <w:bottom w:val="none" w:sz="0" w:space="0" w:color="auto"/>
                                    <w:right w:val="none" w:sz="0" w:space="0" w:color="auto"/>
                                  </w:divBdr>
                                  <w:divsChild>
                                    <w:div w:id="1526017130">
                                      <w:marLeft w:val="0"/>
                                      <w:marRight w:val="0"/>
                                      <w:marTop w:val="0"/>
                                      <w:marBottom w:val="0"/>
                                      <w:divBdr>
                                        <w:top w:val="none" w:sz="0" w:space="0" w:color="auto"/>
                                        <w:left w:val="none" w:sz="0" w:space="0" w:color="auto"/>
                                        <w:bottom w:val="none" w:sz="0" w:space="0" w:color="auto"/>
                                        <w:right w:val="none" w:sz="0" w:space="0" w:color="auto"/>
                                      </w:divBdr>
                                      <w:divsChild>
                                        <w:div w:id="1692604193">
                                          <w:marLeft w:val="0"/>
                                          <w:marRight w:val="0"/>
                                          <w:marTop w:val="0"/>
                                          <w:marBottom w:val="0"/>
                                          <w:divBdr>
                                            <w:top w:val="none" w:sz="0" w:space="0" w:color="auto"/>
                                            <w:left w:val="none" w:sz="0" w:space="0" w:color="auto"/>
                                            <w:bottom w:val="none" w:sz="0" w:space="0" w:color="auto"/>
                                            <w:right w:val="none" w:sz="0" w:space="0" w:color="auto"/>
                                          </w:divBdr>
                                          <w:divsChild>
                                            <w:div w:id="1445921175">
                                              <w:marLeft w:val="0"/>
                                              <w:marRight w:val="0"/>
                                              <w:marTop w:val="0"/>
                                              <w:marBottom w:val="0"/>
                                              <w:divBdr>
                                                <w:top w:val="none" w:sz="0" w:space="0" w:color="auto"/>
                                                <w:left w:val="none" w:sz="0" w:space="0" w:color="auto"/>
                                                <w:bottom w:val="none" w:sz="0" w:space="0" w:color="auto"/>
                                                <w:right w:val="none" w:sz="0" w:space="0" w:color="auto"/>
                                              </w:divBdr>
                                              <w:divsChild>
                                                <w:div w:id="1305353193">
                                                  <w:marLeft w:val="0"/>
                                                  <w:marRight w:val="120"/>
                                                  <w:marTop w:val="0"/>
                                                  <w:marBottom w:val="0"/>
                                                  <w:divBdr>
                                                    <w:top w:val="none" w:sz="0" w:space="0" w:color="auto"/>
                                                    <w:left w:val="none" w:sz="0" w:space="0" w:color="auto"/>
                                                    <w:bottom w:val="none" w:sz="0" w:space="0" w:color="auto"/>
                                                    <w:right w:val="none" w:sz="0" w:space="0" w:color="auto"/>
                                                  </w:divBdr>
                                                  <w:divsChild>
                                                    <w:div w:id="29225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09824">
                                              <w:marLeft w:val="60"/>
                                              <w:marRight w:val="0"/>
                                              <w:marTop w:val="0"/>
                                              <w:marBottom w:val="0"/>
                                              <w:divBdr>
                                                <w:top w:val="none" w:sz="0" w:space="0" w:color="auto"/>
                                                <w:left w:val="none" w:sz="0" w:space="0" w:color="auto"/>
                                                <w:bottom w:val="none" w:sz="0" w:space="0" w:color="auto"/>
                                                <w:right w:val="none" w:sz="0" w:space="0" w:color="auto"/>
                                              </w:divBdr>
                                              <w:divsChild>
                                                <w:div w:id="882406841">
                                                  <w:marLeft w:val="0"/>
                                                  <w:marRight w:val="0"/>
                                                  <w:marTop w:val="0"/>
                                                  <w:marBottom w:val="0"/>
                                                  <w:divBdr>
                                                    <w:top w:val="none" w:sz="0" w:space="0" w:color="auto"/>
                                                    <w:left w:val="none" w:sz="0" w:space="0" w:color="auto"/>
                                                    <w:bottom w:val="none" w:sz="0" w:space="0" w:color="auto"/>
                                                    <w:right w:val="none" w:sz="0" w:space="0" w:color="auto"/>
                                                  </w:divBdr>
                                                  <w:divsChild>
                                                    <w:div w:id="787050328">
                                                      <w:marLeft w:val="0"/>
                                                      <w:marRight w:val="0"/>
                                                      <w:marTop w:val="0"/>
                                                      <w:marBottom w:val="0"/>
                                                      <w:divBdr>
                                                        <w:top w:val="none" w:sz="0" w:space="0" w:color="auto"/>
                                                        <w:left w:val="none" w:sz="0" w:space="0" w:color="auto"/>
                                                        <w:bottom w:val="none" w:sz="0" w:space="0" w:color="auto"/>
                                                        <w:right w:val="none" w:sz="0" w:space="0" w:color="auto"/>
                                                      </w:divBdr>
                                                      <w:divsChild>
                                                        <w:div w:id="529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652185">
                                      <w:marLeft w:val="720"/>
                                      <w:marRight w:val="0"/>
                                      <w:marTop w:val="0"/>
                                      <w:marBottom w:val="0"/>
                                      <w:divBdr>
                                        <w:top w:val="none" w:sz="0" w:space="0" w:color="auto"/>
                                        <w:left w:val="none" w:sz="0" w:space="0" w:color="auto"/>
                                        <w:bottom w:val="none" w:sz="0" w:space="0" w:color="auto"/>
                                        <w:right w:val="none" w:sz="0" w:space="0" w:color="auto"/>
                                      </w:divBdr>
                                      <w:divsChild>
                                        <w:div w:id="1674793810">
                                          <w:marLeft w:val="0"/>
                                          <w:marRight w:val="0"/>
                                          <w:marTop w:val="0"/>
                                          <w:marBottom w:val="0"/>
                                          <w:divBdr>
                                            <w:top w:val="none" w:sz="0" w:space="0" w:color="auto"/>
                                            <w:left w:val="none" w:sz="0" w:space="0" w:color="auto"/>
                                            <w:bottom w:val="none" w:sz="0" w:space="0" w:color="auto"/>
                                            <w:right w:val="none" w:sz="0" w:space="0" w:color="auto"/>
                                          </w:divBdr>
                                          <w:divsChild>
                                            <w:div w:id="1508058874">
                                              <w:marLeft w:val="0"/>
                                              <w:marRight w:val="0"/>
                                              <w:marTop w:val="0"/>
                                              <w:marBottom w:val="0"/>
                                              <w:divBdr>
                                                <w:top w:val="none" w:sz="0" w:space="0" w:color="auto"/>
                                                <w:left w:val="none" w:sz="0" w:space="0" w:color="auto"/>
                                                <w:bottom w:val="none" w:sz="0" w:space="0" w:color="auto"/>
                                                <w:right w:val="none" w:sz="0" w:space="0" w:color="auto"/>
                                              </w:divBdr>
                                              <w:divsChild>
                                                <w:div w:id="1805660496">
                                                  <w:marLeft w:val="0"/>
                                                  <w:marRight w:val="0"/>
                                                  <w:marTop w:val="0"/>
                                                  <w:marBottom w:val="0"/>
                                                  <w:divBdr>
                                                    <w:top w:val="none" w:sz="0" w:space="0" w:color="auto"/>
                                                    <w:left w:val="none" w:sz="0" w:space="0" w:color="auto"/>
                                                    <w:bottom w:val="none" w:sz="0" w:space="0" w:color="auto"/>
                                                    <w:right w:val="none" w:sz="0" w:space="0" w:color="auto"/>
                                                  </w:divBdr>
                                                  <w:divsChild>
                                                    <w:div w:id="937175022">
                                                      <w:marLeft w:val="0"/>
                                                      <w:marRight w:val="0"/>
                                                      <w:marTop w:val="0"/>
                                                      <w:marBottom w:val="0"/>
                                                      <w:divBdr>
                                                        <w:top w:val="none" w:sz="0" w:space="0" w:color="auto"/>
                                                        <w:left w:val="none" w:sz="0" w:space="0" w:color="auto"/>
                                                        <w:bottom w:val="none" w:sz="0" w:space="0" w:color="auto"/>
                                                        <w:right w:val="none" w:sz="0" w:space="0" w:color="auto"/>
                                                      </w:divBdr>
                                                      <w:divsChild>
                                                        <w:div w:id="1737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249160">
                                  <w:marLeft w:val="0"/>
                                  <w:marRight w:val="0"/>
                                  <w:marTop w:val="0"/>
                                  <w:marBottom w:val="0"/>
                                  <w:divBdr>
                                    <w:top w:val="none" w:sz="0" w:space="0" w:color="auto"/>
                                    <w:left w:val="none" w:sz="0" w:space="0" w:color="auto"/>
                                    <w:bottom w:val="none" w:sz="0" w:space="0" w:color="auto"/>
                                    <w:right w:val="none" w:sz="0" w:space="0" w:color="auto"/>
                                  </w:divBdr>
                                  <w:divsChild>
                                    <w:div w:id="2032756614">
                                      <w:marLeft w:val="780"/>
                                      <w:marRight w:val="240"/>
                                      <w:marTop w:val="180"/>
                                      <w:marBottom w:val="0"/>
                                      <w:divBdr>
                                        <w:top w:val="none" w:sz="0" w:space="0" w:color="auto"/>
                                        <w:left w:val="none" w:sz="0" w:space="0" w:color="auto"/>
                                        <w:bottom w:val="none" w:sz="0" w:space="0" w:color="auto"/>
                                        <w:right w:val="none" w:sz="0" w:space="0" w:color="auto"/>
                                      </w:divBdr>
                                      <w:divsChild>
                                        <w:div w:id="1690373331">
                                          <w:marLeft w:val="0"/>
                                          <w:marRight w:val="0"/>
                                          <w:marTop w:val="0"/>
                                          <w:marBottom w:val="0"/>
                                          <w:divBdr>
                                            <w:top w:val="none" w:sz="0" w:space="0" w:color="auto"/>
                                            <w:left w:val="none" w:sz="0" w:space="0" w:color="auto"/>
                                            <w:bottom w:val="none" w:sz="0" w:space="0" w:color="auto"/>
                                            <w:right w:val="none" w:sz="0" w:space="0" w:color="auto"/>
                                          </w:divBdr>
                                          <w:divsChild>
                                            <w:div w:id="1769882571">
                                              <w:marLeft w:val="0"/>
                                              <w:marRight w:val="0"/>
                                              <w:marTop w:val="0"/>
                                              <w:marBottom w:val="0"/>
                                              <w:divBdr>
                                                <w:top w:val="none" w:sz="0" w:space="0" w:color="auto"/>
                                                <w:left w:val="none" w:sz="0" w:space="0" w:color="auto"/>
                                                <w:bottom w:val="none" w:sz="0" w:space="0" w:color="auto"/>
                                                <w:right w:val="none" w:sz="0" w:space="0" w:color="auto"/>
                                              </w:divBdr>
                                              <w:divsChild>
                                                <w:div w:id="207304644">
                                                  <w:marLeft w:val="0"/>
                                                  <w:marRight w:val="0"/>
                                                  <w:marTop w:val="0"/>
                                                  <w:marBottom w:val="0"/>
                                                  <w:divBdr>
                                                    <w:top w:val="none" w:sz="0" w:space="0" w:color="auto"/>
                                                    <w:left w:val="none" w:sz="0" w:space="0" w:color="auto"/>
                                                    <w:bottom w:val="none" w:sz="0" w:space="0" w:color="auto"/>
                                                    <w:right w:val="none" w:sz="0" w:space="0" w:color="auto"/>
                                                  </w:divBdr>
                                                  <w:divsChild>
                                                    <w:div w:id="164713098">
                                                      <w:marLeft w:val="0"/>
                                                      <w:marRight w:val="0"/>
                                                      <w:marTop w:val="0"/>
                                                      <w:marBottom w:val="0"/>
                                                      <w:divBdr>
                                                        <w:top w:val="none" w:sz="0" w:space="0" w:color="auto"/>
                                                        <w:left w:val="none" w:sz="0" w:space="0" w:color="auto"/>
                                                        <w:bottom w:val="none" w:sz="0" w:space="0" w:color="auto"/>
                                                        <w:right w:val="none" w:sz="0" w:space="0" w:color="auto"/>
                                                      </w:divBdr>
                                                      <w:divsChild>
                                                        <w:div w:id="474370010">
                                                          <w:marLeft w:val="0"/>
                                                          <w:marRight w:val="0"/>
                                                          <w:marTop w:val="240"/>
                                                          <w:marBottom w:val="240"/>
                                                          <w:divBdr>
                                                            <w:top w:val="none" w:sz="0" w:space="0" w:color="auto"/>
                                                            <w:left w:val="none" w:sz="0" w:space="0" w:color="auto"/>
                                                            <w:bottom w:val="none" w:sz="0" w:space="0" w:color="auto"/>
                                                            <w:right w:val="none" w:sz="0" w:space="0" w:color="auto"/>
                                                          </w:divBdr>
                                                        </w:div>
                                                        <w:div w:id="135532215">
                                                          <w:marLeft w:val="0"/>
                                                          <w:marRight w:val="0"/>
                                                          <w:marTop w:val="240"/>
                                                          <w:marBottom w:val="240"/>
                                                          <w:divBdr>
                                                            <w:top w:val="none" w:sz="0" w:space="0" w:color="auto"/>
                                                            <w:left w:val="none" w:sz="0" w:space="0" w:color="auto"/>
                                                            <w:bottom w:val="none" w:sz="0" w:space="0" w:color="auto"/>
                                                            <w:right w:val="none" w:sz="0" w:space="0" w:color="auto"/>
                                                          </w:divBdr>
                                                        </w:div>
                                                        <w:div w:id="383338559">
                                                          <w:marLeft w:val="0"/>
                                                          <w:marRight w:val="0"/>
                                                          <w:marTop w:val="240"/>
                                                          <w:marBottom w:val="240"/>
                                                          <w:divBdr>
                                                            <w:top w:val="none" w:sz="0" w:space="0" w:color="auto"/>
                                                            <w:left w:val="none" w:sz="0" w:space="0" w:color="auto"/>
                                                            <w:bottom w:val="none" w:sz="0" w:space="0" w:color="auto"/>
                                                            <w:right w:val="none" w:sz="0" w:space="0" w:color="auto"/>
                                                          </w:divBdr>
                                                        </w:div>
                                                        <w:div w:id="8777366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71781996">
      <w:bodyDiv w:val="1"/>
      <w:marLeft w:val="0"/>
      <w:marRight w:val="0"/>
      <w:marTop w:val="0"/>
      <w:marBottom w:val="0"/>
      <w:divBdr>
        <w:top w:val="none" w:sz="0" w:space="0" w:color="auto"/>
        <w:left w:val="none" w:sz="0" w:space="0" w:color="auto"/>
        <w:bottom w:val="none" w:sz="0" w:space="0" w:color="auto"/>
        <w:right w:val="none" w:sz="0" w:space="0" w:color="auto"/>
      </w:divBdr>
      <w:divsChild>
        <w:div w:id="1161383129">
          <w:marLeft w:val="0"/>
          <w:marRight w:val="0"/>
          <w:marTop w:val="240"/>
          <w:marBottom w:val="240"/>
          <w:divBdr>
            <w:top w:val="none" w:sz="0" w:space="0" w:color="auto"/>
            <w:left w:val="none" w:sz="0" w:space="0" w:color="auto"/>
            <w:bottom w:val="none" w:sz="0" w:space="0" w:color="auto"/>
            <w:right w:val="none" w:sz="0" w:space="0" w:color="auto"/>
          </w:divBdr>
        </w:div>
        <w:div w:id="1091970462">
          <w:marLeft w:val="0"/>
          <w:marRight w:val="0"/>
          <w:marTop w:val="240"/>
          <w:marBottom w:val="240"/>
          <w:divBdr>
            <w:top w:val="none" w:sz="0" w:space="0" w:color="auto"/>
            <w:left w:val="none" w:sz="0" w:space="0" w:color="auto"/>
            <w:bottom w:val="none" w:sz="0" w:space="0" w:color="auto"/>
            <w:right w:val="none" w:sz="0" w:space="0" w:color="auto"/>
          </w:divBdr>
        </w:div>
      </w:divsChild>
    </w:div>
    <w:div w:id="838692727">
      <w:bodyDiv w:val="1"/>
      <w:marLeft w:val="0"/>
      <w:marRight w:val="0"/>
      <w:marTop w:val="0"/>
      <w:marBottom w:val="0"/>
      <w:divBdr>
        <w:top w:val="none" w:sz="0" w:space="0" w:color="auto"/>
        <w:left w:val="none" w:sz="0" w:space="0" w:color="auto"/>
        <w:bottom w:val="none" w:sz="0" w:space="0" w:color="auto"/>
        <w:right w:val="none" w:sz="0" w:space="0" w:color="auto"/>
      </w:divBdr>
      <w:divsChild>
        <w:div w:id="241794699">
          <w:marLeft w:val="0"/>
          <w:marRight w:val="0"/>
          <w:marTop w:val="0"/>
          <w:marBottom w:val="0"/>
          <w:divBdr>
            <w:top w:val="none" w:sz="0" w:space="0" w:color="auto"/>
            <w:left w:val="none" w:sz="0" w:space="0" w:color="auto"/>
            <w:bottom w:val="none" w:sz="0" w:space="0" w:color="auto"/>
            <w:right w:val="none" w:sz="0" w:space="0" w:color="auto"/>
          </w:divBdr>
        </w:div>
        <w:div w:id="1048183776">
          <w:marLeft w:val="0"/>
          <w:marRight w:val="0"/>
          <w:marTop w:val="240"/>
          <w:marBottom w:val="240"/>
          <w:divBdr>
            <w:top w:val="none" w:sz="0" w:space="0" w:color="auto"/>
            <w:left w:val="none" w:sz="0" w:space="0" w:color="auto"/>
            <w:bottom w:val="none" w:sz="0" w:space="0" w:color="auto"/>
            <w:right w:val="none" w:sz="0" w:space="0" w:color="auto"/>
          </w:divBdr>
        </w:div>
      </w:divsChild>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84272126">
      <w:bodyDiv w:val="1"/>
      <w:marLeft w:val="0"/>
      <w:marRight w:val="0"/>
      <w:marTop w:val="0"/>
      <w:marBottom w:val="0"/>
      <w:divBdr>
        <w:top w:val="none" w:sz="0" w:space="0" w:color="auto"/>
        <w:left w:val="none" w:sz="0" w:space="0" w:color="auto"/>
        <w:bottom w:val="none" w:sz="0" w:space="0" w:color="auto"/>
        <w:right w:val="none" w:sz="0" w:space="0" w:color="auto"/>
      </w:divBdr>
    </w:div>
    <w:div w:id="1627925163">
      <w:bodyDiv w:val="1"/>
      <w:marLeft w:val="0"/>
      <w:marRight w:val="0"/>
      <w:marTop w:val="0"/>
      <w:marBottom w:val="0"/>
      <w:divBdr>
        <w:top w:val="none" w:sz="0" w:space="0" w:color="auto"/>
        <w:left w:val="none" w:sz="0" w:space="0" w:color="auto"/>
        <w:bottom w:val="none" w:sz="0" w:space="0" w:color="auto"/>
        <w:right w:val="none" w:sz="0" w:space="0" w:color="auto"/>
      </w:divBdr>
    </w:div>
    <w:div w:id="1716276948">
      <w:bodyDiv w:val="1"/>
      <w:marLeft w:val="0"/>
      <w:marRight w:val="0"/>
      <w:marTop w:val="0"/>
      <w:marBottom w:val="0"/>
      <w:divBdr>
        <w:top w:val="none" w:sz="0" w:space="0" w:color="auto"/>
        <w:left w:val="none" w:sz="0" w:space="0" w:color="auto"/>
        <w:bottom w:val="none" w:sz="0" w:space="0" w:color="auto"/>
        <w:right w:val="none" w:sz="0" w:space="0" w:color="auto"/>
      </w:divBdr>
      <w:divsChild>
        <w:div w:id="1940866658">
          <w:marLeft w:val="0"/>
          <w:marRight w:val="0"/>
          <w:marTop w:val="240"/>
          <w:marBottom w:val="240"/>
          <w:divBdr>
            <w:top w:val="none" w:sz="0" w:space="0" w:color="auto"/>
            <w:left w:val="none" w:sz="0" w:space="0" w:color="auto"/>
            <w:bottom w:val="none" w:sz="0" w:space="0" w:color="auto"/>
            <w:right w:val="none" w:sz="0" w:space="0" w:color="auto"/>
          </w:divBdr>
        </w:div>
        <w:div w:id="1020356167">
          <w:marLeft w:val="0"/>
          <w:marRight w:val="0"/>
          <w:marTop w:val="240"/>
          <w:marBottom w:val="24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wp-content/uploads/2024/08/circular_externa_unica_version_3_vf49.pdf" TargetMode="External"/><Relationship Id="rId1" Type="http://schemas.openxmlformats.org/officeDocument/2006/relationships/hyperlink" Target="https://www.minsalud.gov.co/Normatividad_Nuevo/Resoluci%C3%B3n%20No%201440%20de%202024.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C9B2CB1C-A71B-4289-B7C9-68CF71B8A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17</TotalTime>
  <Pages>23</Pages>
  <Words>7761</Words>
  <Characters>42687</Characters>
  <Application>Microsoft Office Word</Application>
  <DocSecurity>0</DocSecurity>
  <Lines>355</Lines>
  <Paragraphs>100</Paragraphs>
  <ScaleCrop>false</ScaleCrop>
  <Company/>
  <LinksUpToDate>false</LinksUpToDate>
  <CharactersWithSpaces>50348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2026-07-30T15:00:00Z</dcterms:created>
  <dcterms:modified xsi:type="dcterms:W3CDTF">2026-07-30T17:31:00Z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