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5D462" w14:textId="77777777" w:rsidR="00316C96" w:rsidRPr="008211E7" w:rsidRDefault="00316C96" w:rsidP="00316C96">
      <w:pPr>
        <w:spacing w:after="0" w:line="240" w:lineRule="auto"/>
        <w:jc w:val="both"/>
        <w:rPr>
          <w:rFonts w:ascii="Verdana" w:eastAsia="Calibri" w:hAnsi="Verdana" w:cs="Arial"/>
          <w:b/>
          <w:color w:val="000000" w:themeColor="text1"/>
          <w:sz w:val="20"/>
          <w:szCs w:val="20"/>
          <w:lang w:val="es-ES_tradnl"/>
        </w:rPr>
      </w:pPr>
    </w:p>
    <w:p w14:paraId="70118978" w14:textId="77777777" w:rsidR="00316C96" w:rsidRPr="008211E7" w:rsidRDefault="00316C96" w:rsidP="00316C96">
      <w:pPr>
        <w:spacing w:after="0" w:line="240" w:lineRule="auto"/>
        <w:jc w:val="both"/>
        <w:rPr>
          <w:rFonts w:ascii="Verdana" w:hAnsi="Verdana" w:cs="Arial"/>
          <w:b/>
          <w:lang w:val="es-ES_tradnl" w:eastAsia="es-ES"/>
        </w:rPr>
      </w:pPr>
      <w:r w:rsidRPr="008211E7">
        <w:rPr>
          <w:rFonts w:ascii="Verdana" w:hAnsi="Verdana" w:cs="Arial"/>
          <w:b/>
          <w:lang w:val="es-ES_tradnl" w:eastAsia="es-ES"/>
        </w:rPr>
        <w:t xml:space="preserve">LIQUIDACIÓN DEL CONTRATO – Definición – Objetivo </w:t>
      </w:r>
    </w:p>
    <w:p w14:paraId="6BD3B794" w14:textId="77777777" w:rsidR="00316C96" w:rsidRPr="008211E7" w:rsidRDefault="00316C96" w:rsidP="00316C96">
      <w:pPr>
        <w:spacing w:after="0" w:line="240" w:lineRule="auto"/>
        <w:jc w:val="both"/>
        <w:rPr>
          <w:rFonts w:ascii="Verdana" w:hAnsi="Verdana" w:cs="Arial"/>
          <w:b/>
          <w:sz w:val="20"/>
          <w:szCs w:val="20"/>
          <w:lang w:val="es-ES_tradnl" w:eastAsia="es-ES"/>
        </w:rPr>
      </w:pPr>
    </w:p>
    <w:p w14:paraId="343693B0" w14:textId="77777777" w:rsidR="00316C96" w:rsidRPr="008211E7" w:rsidRDefault="00316C96" w:rsidP="00316C96">
      <w:pPr>
        <w:spacing w:after="0" w:line="240" w:lineRule="auto"/>
        <w:jc w:val="both"/>
        <w:rPr>
          <w:rFonts w:ascii="Verdana" w:hAnsi="Verdana" w:cs="Arial"/>
          <w:sz w:val="20"/>
          <w:szCs w:val="20"/>
          <w:lang w:val="es-ES_tradnl"/>
        </w:rPr>
      </w:pPr>
      <w:r w:rsidRPr="008211E7">
        <w:rPr>
          <w:rFonts w:ascii="Verdana" w:hAnsi="Verdana" w:cs="Arial"/>
          <w:sz w:val="20"/>
          <w:szCs w:val="20"/>
          <w:lang w:val="es-ES_tradnl"/>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8211E7">
        <w:rPr>
          <w:rFonts w:ascii="Verdana" w:hAnsi="Verdana" w:cs="Arial"/>
          <w:i/>
          <w:iCs/>
          <w:sz w:val="20"/>
          <w:szCs w:val="20"/>
          <w:lang w:val="es-ES_tradnl"/>
        </w:rPr>
        <w:t>liquidar</w:t>
      </w:r>
      <w:r w:rsidRPr="008211E7">
        <w:rPr>
          <w:rFonts w:ascii="Verdana" w:hAnsi="Verdana" w:cs="Arial"/>
          <w:sz w:val="20"/>
          <w:szCs w:val="20"/>
          <w:lang w:val="es-ES_tradnl"/>
        </w:rPr>
        <w:t xml:space="preserve"> supone un ajuste en relación con las cuentas y el estado de cumplimiento del contrato estatal y, por otro, que la </w:t>
      </w:r>
      <w:r w:rsidRPr="008211E7">
        <w:rPr>
          <w:rFonts w:ascii="Verdana" w:hAnsi="Verdana" w:cs="Arial"/>
          <w:i/>
          <w:iCs/>
          <w:sz w:val="20"/>
          <w:szCs w:val="20"/>
          <w:lang w:val="es-ES_tradnl"/>
        </w:rPr>
        <w:t>liquidación</w:t>
      </w:r>
      <w:r w:rsidRPr="008211E7">
        <w:rPr>
          <w:rFonts w:ascii="Verdana" w:hAnsi="Verdana" w:cs="Arial"/>
          <w:sz w:val="20"/>
          <w:szCs w:val="20"/>
          <w:lang w:val="es-ES_tradnl"/>
        </w:rPr>
        <w:t xml:space="preserve"> debe incluir el análisis de las condiciones de calidad y oportunidad en la entrega de los bienes, obras o servicios, así como el balance económico y el comportamiento financiero del negocio.</w:t>
      </w:r>
    </w:p>
    <w:p w14:paraId="2CCCA892" w14:textId="77777777" w:rsidR="00316C96" w:rsidRPr="008211E7" w:rsidRDefault="00316C96" w:rsidP="00316C96">
      <w:pPr>
        <w:spacing w:after="0" w:line="240" w:lineRule="auto"/>
        <w:jc w:val="both"/>
        <w:rPr>
          <w:rFonts w:ascii="Verdana" w:hAnsi="Verdana" w:cs="Arial"/>
          <w:sz w:val="20"/>
          <w:szCs w:val="20"/>
          <w:lang w:val="es-ES_tradnl" w:eastAsia="es-ES"/>
        </w:rPr>
      </w:pPr>
    </w:p>
    <w:p w14:paraId="426BB684" w14:textId="77777777" w:rsidR="00316C96" w:rsidRPr="008211E7" w:rsidRDefault="00316C96" w:rsidP="00316C96">
      <w:pPr>
        <w:spacing w:after="0" w:line="240" w:lineRule="auto"/>
        <w:jc w:val="both"/>
        <w:rPr>
          <w:rFonts w:ascii="Verdana" w:hAnsi="Verdana" w:cs="Arial"/>
          <w:b/>
          <w:lang w:val="es-ES_tradnl" w:eastAsia="es-ES"/>
        </w:rPr>
      </w:pPr>
      <w:r w:rsidRPr="008211E7">
        <w:rPr>
          <w:rFonts w:ascii="Verdana" w:hAnsi="Verdana" w:cs="Arial"/>
          <w:b/>
          <w:lang w:val="es-ES_tradnl" w:eastAsia="es-ES"/>
        </w:rPr>
        <w:t xml:space="preserve">LIQUIDACIÓN DEL CONTRATO – Normativa </w:t>
      </w:r>
    </w:p>
    <w:p w14:paraId="3945B8C0" w14:textId="77777777" w:rsidR="00316C96" w:rsidRPr="008211E7" w:rsidRDefault="00316C96" w:rsidP="00316C96">
      <w:pPr>
        <w:spacing w:after="0" w:line="240" w:lineRule="auto"/>
        <w:jc w:val="both"/>
        <w:rPr>
          <w:rFonts w:ascii="Verdana" w:hAnsi="Verdana" w:cs="Arial"/>
          <w:sz w:val="20"/>
          <w:szCs w:val="20"/>
          <w:lang w:val="es-ES_tradnl" w:eastAsia="es-ES"/>
        </w:rPr>
      </w:pPr>
    </w:p>
    <w:p w14:paraId="42CD6C93" w14:textId="77777777" w:rsidR="00316C96" w:rsidRPr="008211E7" w:rsidRDefault="00316C96" w:rsidP="00316C96">
      <w:pPr>
        <w:spacing w:after="0" w:line="240" w:lineRule="auto"/>
        <w:jc w:val="both"/>
        <w:rPr>
          <w:rFonts w:ascii="Verdana" w:hAnsi="Verdana" w:cs="Arial"/>
          <w:sz w:val="20"/>
          <w:szCs w:val="20"/>
          <w:lang w:val="es-ES_tradnl" w:eastAsia="es-ES"/>
        </w:rPr>
      </w:pPr>
      <w:r w:rsidRPr="008211E7">
        <w:rPr>
          <w:rFonts w:ascii="Verdana" w:hAnsi="Verdana" w:cs="Arial"/>
          <w:sz w:val="20"/>
          <w:szCs w:val="20"/>
          <w:lang w:val="es-ES_tradnl" w:eastAsia="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w:t>
      </w:r>
      <w:r>
        <w:rPr>
          <w:rFonts w:ascii="Verdana" w:hAnsi="Verdana" w:cs="Arial"/>
          <w:sz w:val="20"/>
          <w:szCs w:val="20"/>
          <w:lang w:val="es-ES_tradnl" w:eastAsia="es-ES"/>
        </w:rPr>
        <w:t>“</w:t>
      </w:r>
      <w:r w:rsidRPr="008211E7">
        <w:rPr>
          <w:rFonts w:ascii="Verdana" w:hAnsi="Verdana" w:cs="Arial"/>
          <w:sz w:val="20"/>
          <w:szCs w:val="20"/>
          <w:lang w:val="es-ES_tradnl" w:eastAsia="es-ES"/>
        </w:rPr>
        <w:t>serán objeto de liquidación</w:t>
      </w:r>
      <w:r>
        <w:rPr>
          <w:rFonts w:ascii="Verdana" w:hAnsi="Verdana" w:cs="Arial"/>
          <w:sz w:val="20"/>
          <w:szCs w:val="20"/>
          <w:lang w:val="es-ES_tradnl" w:eastAsia="es-ES"/>
        </w:rPr>
        <w:t>”</w:t>
      </w:r>
      <w:r w:rsidRPr="008211E7">
        <w:rPr>
          <w:rFonts w:ascii="Verdana" w:hAnsi="Verdana" w:cs="Arial"/>
          <w:sz w:val="20"/>
          <w:szCs w:val="20"/>
          <w:lang w:val="es-ES_tradnl" w:eastAsia="es-ES"/>
        </w:rPr>
        <w:t>. El mismo artículo prescribe que no será obligatoria la liquidación en los contratos de prestación de servicios profesionales y de apoyo a la gestión. El artículo 11 de la Ley 1150 de 2007 contiene las reglas de tipo procedimental para liquidar los contratos estatales, […].</w:t>
      </w:r>
    </w:p>
    <w:p w14:paraId="5DCB2089" w14:textId="77777777" w:rsidR="00316C96" w:rsidRPr="008211E7" w:rsidRDefault="00316C96" w:rsidP="00316C96">
      <w:pPr>
        <w:spacing w:after="0" w:line="240" w:lineRule="auto"/>
        <w:jc w:val="both"/>
        <w:rPr>
          <w:rFonts w:ascii="Verdana" w:hAnsi="Verdana" w:cs="Arial"/>
          <w:b/>
          <w:sz w:val="20"/>
          <w:szCs w:val="20"/>
          <w:lang w:val="es-ES_tradnl" w:eastAsia="es-ES"/>
        </w:rPr>
      </w:pPr>
    </w:p>
    <w:p w14:paraId="54AC1F81" w14:textId="77777777" w:rsidR="00316C96" w:rsidRPr="008211E7" w:rsidRDefault="00316C96" w:rsidP="00316C96">
      <w:pPr>
        <w:spacing w:after="0" w:line="240" w:lineRule="auto"/>
        <w:jc w:val="both"/>
        <w:rPr>
          <w:rFonts w:ascii="Verdana" w:hAnsi="Verdana" w:cs="Arial"/>
          <w:b/>
          <w:lang w:val="es-ES_tradnl" w:eastAsia="es-ES"/>
        </w:rPr>
      </w:pPr>
      <w:r w:rsidRPr="008211E7">
        <w:rPr>
          <w:rFonts w:ascii="Verdana" w:hAnsi="Verdana" w:cs="Arial"/>
          <w:b/>
          <w:lang w:val="es-ES_tradnl" w:eastAsia="es-ES"/>
        </w:rPr>
        <w:t>LIQUIDACIÓN DEL CONTRATO – Tipos – Bilateral – Unilateral – Judicial</w:t>
      </w:r>
    </w:p>
    <w:p w14:paraId="6A417BBE" w14:textId="77777777" w:rsidR="00316C96" w:rsidRPr="008211E7" w:rsidRDefault="00316C96" w:rsidP="00316C96">
      <w:pPr>
        <w:spacing w:after="0" w:line="240" w:lineRule="auto"/>
        <w:jc w:val="both"/>
        <w:rPr>
          <w:rFonts w:ascii="Verdana" w:hAnsi="Verdana" w:cs="Arial"/>
          <w:b/>
          <w:sz w:val="20"/>
          <w:szCs w:val="20"/>
          <w:lang w:val="es-ES_tradnl" w:eastAsia="es-ES"/>
        </w:rPr>
      </w:pPr>
    </w:p>
    <w:p w14:paraId="6D3506BB" w14:textId="77777777" w:rsidR="00316C96" w:rsidRPr="008211E7" w:rsidRDefault="00316C96" w:rsidP="00316C96">
      <w:pPr>
        <w:spacing w:after="0" w:line="240" w:lineRule="auto"/>
        <w:jc w:val="both"/>
        <w:rPr>
          <w:rFonts w:ascii="Verdana" w:hAnsi="Verdana" w:cs="Arial"/>
          <w:sz w:val="20"/>
          <w:szCs w:val="20"/>
          <w:lang w:val="es-ES_tradnl" w:eastAsia="es-ES"/>
        </w:rPr>
      </w:pPr>
      <w:r w:rsidRPr="008211E7">
        <w:rPr>
          <w:rFonts w:ascii="Verdana" w:hAnsi="Verdana" w:cs="Arial"/>
          <w:sz w:val="20"/>
          <w:szCs w:val="20"/>
          <w:lang w:val="es-ES_tradnl" w:eastAsia="es-ES"/>
        </w:rPr>
        <w:t xml:space="preserve">En suma, de acuerdo con el artículo 11 de la Ley 1150 de 2007, existen tres tipos de liquidación: i) bilateral, </w:t>
      </w:r>
      <w:proofErr w:type="spellStart"/>
      <w:r w:rsidRPr="008211E7">
        <w:rPr>
          <w:rFonts w:ascii="Verdana" w:hAnsi="Verdana" w:cs="Arial"/>
          <w:sz w:val="20"/>
          <w:szCs w:val="20"/>
          <w:lang w:val="es-ES_tradnl" w:eastAsia="es-ES"/>
        </w:rPr>
        <w:t>ii</w:t>
      </w:r>
      <w:proofErr w:type="spellEnd"/>
      <w:r w:rsidRPr="008211E7">
        <w:rPr>
          <w:rFonts w:ascii="Verdana" w:hAnsi="Verdana" w:cs="Arial"/>
          <w:sz w:val="20"/>
          <w:szCs w:val="20"/>
          <w:lang w:val="es-ES_tradnl" w:eastAsia="es-ES"/>
        </w:rPr>
        <w:t xml:space="preserve">) unilateral y </w:t>
      </w:r>
      <w:proofErr w:type="spellStart"/>
      <w:r w:rsidRPr="008211E7">
        <w:rPr>
          <w:rFonts w:ascii="Verdana" w:hAnsi="Verdana" w:cs="Arial"/>
          <w:sz w:val="20"/>
          <w:szCs w:val="20"/>
          <w:lang w:val="es-ES_tradnl" w:eastAsia="es-ES"/>
        </w:rPr>
        <w:t>iii</w:t>
      </w:r>
      <w:proofErr w:type="spellEnd"/>
      <w:r w:rsidRPr="008211E7">
        <w:rPr>
          <w:rFonts w:ascii="Verdana" w:hAnsi="Verdana" w:cs="Arial"/>
          <w:sz w:val="20"/>
          <w:szCs w:val="20"/>
          <w:lang w:val="es-ES_tradnl" w:eastAsia="es-ES"/>
        </w:rPr>
        <w:t>) judicial. En términos generales, la primera, que puede ser total o parcial, debe hacerse en el término que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2 años contados a partir de los dos meses establecidos en la Ley para realizar la liquidación unilateral.</w:t>
      </w:r>
    </w:p>
    <w:p w14:paraId="2650248D" w14:textId="77777777" w:rsidR="00316C96" w:rsidRPr="004A23CD" w:rsidRDefault="00316C96" w:rsidP="00316C96">
      <w:pPr>
        <w:spacing w:after="0" w:line="240" w:lineRule="auto"/>
        <w:jc w:val="both"/>
        <w:rPr>
          <w:rFonts w:ascii="Verdana" w:eastAsia="Calibri" w:hAnsi="Verdana" w:cs="Arial"/>
          <w:b/>
          <w:sz w:val="20"/>
          <w:szCs w:val="20"/>
        </w:rPr>
      </w:pPr>
    </w:p>
    <w:p w14:paraId="6B970F5C" w14:textId="77777777" w:rsidR="00316C96" w:rsidRPr="004A23CD" w:rsidRDefault="00316C96" w:rsidP="00316C96">
      <w:pPr>
        <w:tabs>
          <w:tab w:val="left" w:pos="3374"/>
        </w:tabs>
        <w:spacing w:after="0" w:line="240" w:lineRule="auto"/>
        <w:jc w:val="both"/>
        <w:rPr>
          <w:rFonts w:ascii="Verdana" w:eastAsia="Calibri" w:hAnsi="Verdana" w:cs="Arial"/>
          <w:b/>
          <w:bCs/>
        </w:rPr>
      </w:pPr>
      <w:r w:rsidRPr="004A23CD">
        <w:rPr>
          <w:rFonts w:ascii="Verdana" w:eastAsia="Calibri" w:hAnsi="Verdana" w:cs="Arial"/>
          <w:b/>
          <w:bCs/>
        </w:rPr>
        <w:t xml:space="preserve">EJECUCIÓN DEL CONTRATO ‒ Contrato estatal – Cierre del expediente contractual – Acto de trámite – Constancia </w:t>
      </w:r>
    </w:p>
    <w:p w14:paraId="1D3529F8" w14:textId="77777777" w:rsidR="00316C96" w:rsidRPr="004A23CD" w:rsidRDefault="00316C96" w:rsidP="00316C96">
      <w:pPr>
        <w:tabs>
          <w:tab w:val="left" w:pos="3374"/>
        </w:tabs>
        <w:spacing w:after="0" w:line="240" w:lineRule="auto"/>
        <w:jc w:val="both"/>
        <w:rPr>
          <w:rFonts w:ascii="Verdana" w:eastAsia="Calibri" w:hAnsi="Verdana" w:cs="Arial"/>
          <w:b/>
          <w:bCs/>
          <w:sz w:val="20"/>
          <w:szCs w:val="20"/>
        </w:rPr>
      </w:pPr>
    </w:p>
    <w:p w14:paraId="1B97D800" w14:textId="77777777" w:rsidR="00316C96" w:rsidRPr="004A23CD" w:rsidRDefault="00316C96" w:rsidP="00316C96">
      <w:pPr>
        <w:tabs>
          <w:tab w:val="left" w:pos="3374"/>
        </w:tabs>
        <w:spacing w:after="0" w:line="240" w:lineRule="auto"/>
        <w:jc w:val="both"/>
        <w:rPr>
          <w:rFonts w:ascii="Verdana" w:eastAsia="Calibri" w:hAnsi="Verdana" w:cs="Arial"/>
          <w:sz w:val="20"/>
          <w:szCs w:val="20"/>
        </w:rPr>
      </w:pPr>
      <w:r w:rsidRPr="004A23CD">
        <w:rPr>
          <w:rFonts w:ascii="Verdana" w:eastAsia="Calibri" w:hAnsi="Verdana" w:cs="Arial"/>
          <w:sz w:val="20"/>
          <w:szCs w:val="20"/>
        </w:rPr>
        <w:t xml:space="preserve">De acuerdo con el artículo 2.2.1.1.2.4.3 del Decreto 1082 de 2015, </w:t>
      </w:r>
      <w:r w:rsidRPr="004A23CD">
        <w:rPr>
          <w:rFonts w:ascii="Verdana" w:eastAsia="Calibri" w:hAnsi="Verdana" w:cs="Arial"/>
          <w:i/>
          <w:iCs/>
          <w:sz w:val="20"/>
          <w:szCs w:val="20"/>
        </w:rPr>
        <w:t>el cierre del expediente</w:t>
      </w:r>
      <w:r w:rsidRPr="004A23CD">
        <w:rPr>
          <w:rFonts w:ascii="Verdana" w:eastAsia="Calibri" w:hAnsi="Verdana" w:cs="Arial"/>
          <w:sz w:val="20"/>
          <w:szCs w:val="20"/>
        </w:rPr>
        <w:t xml:space="preserve"> es un acto de trámite que realiza la entidad estatal cuando han vencido, por un lado, las garantías de calidad, estabilidad y mantenimiento, o por el otro, cuando se establecieron condiciones de disposición final o recuperación ambiental de las obras o </w:t>
      </w:r>
      <w:r w:rsidRPr="004A23CD">
        <w:rPr>
          <w:rFonts w:ascii="Verdana" w:eastAsia="Calibri" w:hAnsi="Verdana" w:cs="Arial"/>
          <w:sz w:val="20"/>
          <w:szCs w:val="20"/>
        </w:rPr>
        <w:lastRenderedPageBreak/>
        <w:t>bienes. Se trata de una constancia administrativa que culmina las actuaciones contractuales.</w:t>
      </w:r>
    </w:p>
    <w:p w14:paraId="2B4647BA" w14:textId="77777777" w:rsidR="00316C96" w:rsidRPr="004A23CD" w:rsidRDefault="00316C96" w:rsidP="00316C96">
      <w:pPr>
        <w:tabs>
          <w:tab w:val="left" w:pos="3374"/>
        </w:tabs>
        <w:spacing w:after="0" w:line="240" w:lineRule="auto"/>
        <w:jc w:val="both"/>
        <w:rPr>
          <w:rFonts w:ascii="Verdana" w:eastAsia="Calibri" w:hAnsi="Verdana" w:cs="Arial"/>
          <w:sz w:val="20"/>
          <w:szCs w:val="20"/>
        </w:rPr>
      </w:pPr>
    </w:p>
    <w:p w14:paraId="423A683D" w14:textId="77777777" w:rsidR="00316C96" w:rsidRPr="004A23CD" w:rsidRDefault="00316C96" w:rsidP="00316C96">
      <w:pPr>
        <w:tabs>
          <w:tab w:val="left" w:pos="3374"/>
        </w:tabs>
        <w:spacing w:after="0" w:line="240" w:lineRule="auto"/>
        <w:rPr>
          <w:rFonts w:ascii="Verdana" w:eastAsia="Calibri" w:hAnsi="Verdana" w:cs="Arial"/>
          <w:b/>
          <w:bCs/>
        </w:rPr>
      </w:pPr>
      <w:r w:rsidRPr="004A23CD">
        <w:rPr>
          <w:rFonts w:ascii="Verdana" w:eastAsia="Calibri" w:hAnsi="Verdana" w:cs="Arial"/>
          <w:b/>
          <w:bCs/>
        </w:rPr>
        <w:t>CIERRE DEL EXPEDIENTE CONTRACTUAL –  Requisitos – Procedencia</w:t>
      </w:r>
    </w:p>
    <w:p w14:paraId="55BDB271" w14:textId="77777777" w:rsidR="00316C96" w:rsidRPr="004A23CD" w:rsidRDefault="00316C96" w:rsidP="00316C96">
      <w:pPr>
        <w:tabs>
          <w:tab w:val="left" w:pos="3374"/>
        </w:tabs>
        <w:spacing w:after="0" w:line="240" w:lineRule="auto"/>
        <w:rPr>
          <w:rFonts w:ascii="Verdana" w:eastAsia="Calibri" w:hAnsi="Verdana" w:cs="Arial"/>
          <w:b/>
          <w:bCs/>
          <w:sz w:val="20"/>
          <w:szCs w:val="20"/>
        </w:rPr>
      </w:pPr>
    </w:p>
    <w:p w14:paraId="6973816C" w14:textId="77777777" w:rsidR="00316C96" w:rsidRPr="004A23CD" w:rsidRDefault="00316C96" w:rsidP="00316C96">
      <w:pPr>
        <w:tabs>
          <w:tab w:val="left" w:pos="3374"/>
        </w:tabs>
        <w:spacing w:after="0" w:line="240" w:lineRule="auto"/>
        <w:jc w:val="both"/>
        <w:rPr>
          <w:rFonts w:ascii="Verdana" w:eastAsia="Calibri" w:hAnsi="Verdana" w:cs="Arial"/>
          <w:sz w:val="20"/>
          <w:szCs w:val="20"/>
        </w:rPr>
      </w:pPr>
      <w:r w:rsidRPr="004A23CD">
        <w:rPr>
          <w:rFonts w:ascii="Verdana" w:eastAsia="Calibri" w:hAnsi="Verdana" w:cs="Arial"/>
          <w:sz w:val="20"/>
          <w:szCs w:val="20"/>
        </w:rPr>
        <w:t>En consecuencia, lo que resulta relevante para determinar si a la entidad le asiste o no el deber de hacer el cierre del expediente contractual, de acuerdo con la norma citada, consiste en determinar si se exigieron o no garantías de calidad, estabilidad o mantenimiento, o si la entidad estableció condiciones de disposición final o recuperación de las obras o bienes objeto del contrato. De no ser así, no es obligatorio que la entidad haga un cierre del expediente contractual.</w:t>
      </w:r>
    </w:p>
    <w:p w14:paraId="0F390D6A" w14:textId="77777777" w:rsidR="00316C96" w:rsidRPr="004A23CD" w:rsidRDefault="00316C96" w:rsidP="00316C96">
      <w:pPr>
        <w:tabs>
          <w:tab w:val="left" w:pos="3374"/>
        </w:tabs>
        <w:spacing w:after="0" w:line="240" w:lineRule="auto"/>
        <w:jc w:val="both"/>
        <w:rPr>
          <w:rFonts w:ascii="Verdana" w:eastAsia="Calibri" w:hAnsi="Verdana" w:cs="Arial"/>
          <w:sz w:val="20"/>
          <w:szCs w:val="20"/>
        </w:rPr>
      </w:pPr>
    </w:p>
    <w:p w14:paraId="1AC454AE" w14:textId="77777777" w:rsidR="00316C96" w:rsidRPr="004A23CD" w:rsidRDefault="00316C96" w:rsidP="00316C96">
      <w:pPr>
        <w:tabs>
          <w:tab w:val="left" w:pos="3374"/>
        </w:tabs>
        <w:spacing w:after="0" w:line="240" w:lineRule="auto"/>
        <w:jc w:val="both"/>
        <w:rPr>
          <w:rFonts w:ascii="Verdana" w:eastAsia="Calibri" w:hAnsi="Verdana" w:cs="Arial"/>
          <w:sz w:val="20"/>
          <w:szCs w:val="20"/>
        </w:rPr>
      </w:pPr>
      <w:r w:rsidRPr="004A23CD">
        <w:rPr>
          <w:rFonts w:ascii="Verdana" w:eastAsia="Calibri" w:hAnsi="Verdana" w:cs="Arial"/>
          <w:sz w:val="20"/>
          <w:szCs w:val="20"/>
        </w:rPr>
        <w:t xml:space="preserve">La norma, como se dijo previamente, establece que el cierre del expediente debe llevarse a cabo únicamente en dos eventos: i) cuando la administración establece condiciones de disposición final o recuperación ambiental de las obras o bienes; o </w:t>
      </w:r>
      <w:proofErr w:type="spellStart"/>
      <w:r w:rsidRPr="004A23CD">
        <w:rPr>
          <w:rFonts w:ascii="Verdana" w:eastAsia="Calibri" w:hAnsi="Verdana" w:cs="Arial"/>
          <w:sz w:val="20"/>
          <w:szCs w:val="20"/>
        </w:rPr>
        <w:t>ii</w:t>
      </w:r>
      <w:proofErr w:type="spellEnd"/>
      <w:r w:rsidRPr="004A23CD">
        <w:rPr>
          <w:rFonts w:ascii="Verdana" w:eastAsia="Calibri" w:hAnsi="Verdana" w:cs="Arial"/>
          <w:sz w:val="20"/>
          <w:szCs w:val="20"/>
        </w:rPr>
        <w:t>) una vez vencidos los términos de las garantías de calidad, estabilidad y mantenimiento. En consecuencia, resulta irrelevante que el contrato tenga garantías diferentes a las previstas en el artículo 2.2.1.1.2.4.3 del Decreto 1082 de 2015, así las mismas se encuentren vigentes, pues, se insiste, la entidad únicamente deberá hacer el cierre del expediente cuando se vencen los términos de las garantías referidas en el mencionado artículo 2.2.1.1.2.4.3.</w:t>
      </w:r>
    </w:p>
    <w:p w14:paraId="78F16163" w14:textId="77777777" w:rsidR="00316C96" w:rsidRPr="004A23CD" w:rsidRDefault="00316C96" w:rsidP="00316C96">
      <w:pPr>
        <w:tabs>
          <w:tab w:val="left" w:pos="3374"/>
        </w:tabs>
        <w:spacing w:after="0" w:line="240" w:lineRule="auto"/>
        <w:rPr>
          <w:rFonts w:ascii="Verdana" w:eastAsia="Calibri" w:hAnsi="Verdana" w:cs="Arial"/>
          <w:sz w:val="20"/>
          <w:szCs w:val="20"/>
        </w:rPr>
      </w:pPr>
    </w:p>
    <w:p w14:paraId="5F320C6C" w14:textId="77777777" w:rsidR="00316C96" w:rsidRPr="004A23CD" w:rsidRDefault="00316C96" w:rsidP="00316C96">
      <w:pPr>
        <w:tabs>
          <w:tab w:val="left" w:pos="3374"/>
        </w:tabs>
        <w:spacing w:after="0" w:line="240" w:lineRule="auto"/>
        <w:jc w:val="both"/>
        <w:rPr>
          <w:rFonts w:ascii="Verdana" w:eastAsia="Calibri" w:hAnsi="Verdana" w:cs="Arial"/>
          <w:b/>
          <w:bCs/>
        </w:rPr>
      </w:pPr>
      <w:r w:rsidRPr="004A23CD">
        <w:rPr>
          <w:rFonts w:ascii="Verdana" w:eastAsia="Calibri" w:hAnsi="Verdana" w:cs="Arial"/>
          <w:b/>
          <w:bCs/>
        </w:rPr>
        <w:t>CIERRE DEL EXPEDIENTE CONTRACTUAL – Obligatoriedad – Liquidación – Garantías – Buena práctica contractual</w:t>
      </w:r>
    </w:p>
    <w:p w14:paraId="1E137602" w14:textId="77777777" w:rsidR="00316C96" w:rsidRPr="004A23CD" w:rsidRDefault="00316C96" w:rsidP="00316C96">
      <w:pPr>
        <w:tabs>
          <w:tab w:val="left" w:pos="3374"/>
        </w:tabs>
        <w:spacing w:after="0" w:line="240" w:lineRule="auto"/>
        <w:rPr>
          <w:rFonts w:ascii="Verdana" w:eastAsia="Calibri" w:hAnsi="Verdana" w:cs="Arial"/>
          <w:sz w:val="20"/>
          <w:szCs w:val="20"/>
        </w:rPr>
      </w:pPr>
    </w:p>
    <w:p w14:paraId="6BA2FE58" w14:textId="77777777" w:rsidR="00316C96" w:rsidRPr="004A23CD" w:rsidRDefault="00316C96" w:rsidP="00316C96">
      <w:pPr>
        <w:tabs>
          <w:tab w:val="left" w:pos="3374"/>
        </w:tabs>
        <w:spacing w:after="0" w:line="240" w:lineRule="auto"/>
        <w:jc w:val="both"/>
        <w:rPr>
          <w:rFonts w:ascii="Verdana" w:eastAsia="Calibri" w:hAnsi="Verdana" w:cs="Arial"/>
          <w:sz w:val="20"/>
          <w:szCs w:val="20"/>
        </w:rPr>
      </w:pPr>
      <w:r w:rsidRPr="004A23CD">
        <w:rPr>
          <w:rFonts w:ascii="Verdana" w:eastAsia="Calibri" w:hAnsi="Verdana" w:cs="Arial"/>
          <w:sz w:val="20"/>
          <w:szCs w:val="20"/>
        </w:rPr>
        <w:t>De acuerdo con el artículo 2.2.1.1.2.4.3 del Decreto 1082 de 2015, y reiterando la postura de unificación acogida por esta Agencia en el Concepto CU–028 de 2020</w:t>
      </w:r>
      <w:r w:rsidRPr="004A23CD">
        <w:rPr>
          <w:rFonts w:ascii="Verdana" w:hAnsi="Verdana" w:cs="Arial"/>
          <w:sz w:val="20"/>
          <w:szCs w:val="20"/>
        </w:rPr>
        <w:t xml:space="preserve">, </w:t>
      </w:r>
      <w:r w:rsidRPr="004A23CD">
        <w:rPr>
          <w:rFonts w:ascii="Verdana" w:eastAsia="Calibri" w:hAnsi="Verdana" w:cs="Arial"/>
          <w:sz w:val="20"/>
          <w:szCs w:val="20"/>
        </w:rPr>
        <w:t xml:space="preserve">el cierre del expediente del proceso de contratación es un acto de trámite obligatorio en los contratos estatales en los que se hayan pactado garantías de calidad, estabilidad o mantenimiento, o cuando la entidad establezca condiciones de disposición final o recuperación ambiental de las obras o bienes contratados. Una vez cumplidas tales condiciones se deberá realizar el acto de trámite correspondiente, dejando constancia del cierre del expediente contractual. </w:t>
      </w:r>
    </w:p>
    <w:p w14:paraId="67046B14" w14:textId="77777777" w:rsidR="00316C96" w:rsidRPr="004A23CD" w:rsidRDefault="00316C96" w:rsidP="00316C96">
      <w:pPr>
        <w:tabs>
          <w:tab w:val="left" w:pos="3374"/>
        </w:tabs>
        <w:spacing w:after="0" w:line="240" w:lineRule="auto"/>
        <w:jc w:val="both"/>
        <w:rPr>
          <w:rFonts w:ascii="Verdana" w:eastAsia="Calibri" w:hAnsi="Verdana" w:cs="Arial"/>
          <w:sz w:val="20"/>
          <w:szCs w:val="20"/>
        </w:rPr>
      </w:pPr>
    </w:p>
    <w:p w14:paraId="2F8CDADF" w14:textId="77777777" w:rsidR="00316C96" w:rsidRPr="004A23CD" w:rsidRDefault="00316C96" w:rsidP="00316C96">
      <w:pPr>
        <w:tabs>
          <w:tab w:val="left" w:pos="3374"/>
        </w:tabs>
        <w:spacing w:after="0" w:line="240" w:lineRule="auto"/>
        <w:jc w:val="both"/>
        <w:rPr>
          <w:rFonts w:ascii="Verdana" w:eastAsia="Calibri" w:hAnsi="Verdana" w:cs="Arial"/>
          <w:sz w:val="20"/>
          <w:szCs w:val="20"/>
        </w:rPr>
      </w:pPr>
      <w:r w:rsidRPr="004A23CD">
        <w:rPr>
          <w:rFonts w:ascii="Verdana" w:eastAsia="Calibri" w:hAnsi="Verdana" w:cs="Arial"/>
          <w:sz w:val="20"/>
          <w:szCs w:val="20"/>
        </w:rPr>
        <w:t>Cabe resaltar que, el deber cerrar el expediente cuando vencen las garantías, procede de manera obligatoria, únicamente cuando se vencen las garantías aludidas por el artículo 2.2.1.1.2.4.3 del Decreto 1082 de 2015, esto es, las de calidad, estabilidad y mantenimiento. Sin embargo, si una vez vencidas estas siguen vigentes otras garantías como, por ejemplo, la de pago de salarios y prestaciones sociales, nada obsta para que la entidad proceda a realizar el cierre dejando constancia de este hecho, como una buena práctica contractual. Lo anterior, sin perjuicio que, como se señaló en las consideraciones, la constancia del cierre del expediente también es posible realizarla en eventos distintos a los establecidos en el artículo 2.2.1.1.2.4.3 del Decreto 1082 de 2015, pese a que no sea obligatoria.</w:t>
      </w:r>
    </w:p>
    <w:p w14:paraId="49B57979" w14:textId="77777777" w:rsidR="00316C96" w:rsidRPr="002C0402" w:rsidRDefault="00316C96" w:rsidP="00316C96">
      <w:pPr>
        <w:spacing w:after="0" w:line="240" w:lineRule="auto"/>
        <w:jc w:val="both"/>
        <w:textAlignment w:val="baseline"/>
        <w:rPr>
          <w:rFonts w:ascii="Verdana" w:hAnsi="Verdana" w:cs="Arial"/>
          <w:bCs/>
          <w:sz w:val="20"/>
          <w:szCs w:val="20"/>
          <w:lang w:val="es-ES_tradnl" w:eastAsia="es-CO"/>
        </w:rPr>
      </w:pPr>
      <w:r w:rsidRPr="002C0402">
        <w:rPr>
          <w:rFonts w:ascii="Verdana" w:hAnsi="Verdana" w:cs="Arial"/>
          <w:bCs/>
          <w:sz w:val="20"/>
          <w:szCs w:val="20"/>
          <w:lang w:val="es-ES_tradnl" w:eastAsia="es-CO"/>
        </w:rPr>
        <w:t xml:space="preserve">  </w:t>
      </w:r>
    </w:p>
    <w:p w14:paraId="222A855C" w14:textId="77777777" w:rsidR="00316C96" w:rsidRDefault="00316C96" w:rsidP="00421F16">
      <w:pPr>
        <w:spacing w:after="0" w:line="240" w:lineRule="auto"/>
        <w:rPr>
          <w:rFonts w:ascii="Verdana" w:eastAsia="Calibri" w:hAnsi="Verdana" w:cs="Arial"/>
          <w:b/>
          <w:color w:val="000000" w:themeColor="text1"/>
          <w:lang w:val="es-ES"/>
        </w:rPr>
      </w:pPr>
    </w:p>
    <w:p w14:paraId="15BB03EA" w14:textId="3D9F4518" w:rsidR="00421F16" w:rsidRPr="00593A5F" w:rsidRDefault="00421F16" w:rsidP="00421F16">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C0210C" w:rsidRPr="00C0210C">
        <w:rPr>
          <w:rFonts w:ascii="Verdana" w:eastAsia="Geomanist Light" w:hAnsi="Verdana" w:cs="Arial"/>
          <w:color w:val="000000" w:themeColor="text1"/>
          <w:lang w:val="es-MX"/>
        </w:rPr>
        <w:t>01 de Julio de 2026</w:t>
      </w:r>
    </w:p>
    <w:p w14:paraId="4291F7E2" w14:textId="1124AA43" w:rsidR="00421F16" w:rsidRDefault="00421F16" w:rsidP="00421F16">
      <w:pPr>
        <w:spacing w:after="0" w:line="240" w:lineRule="auto"/>
        <w:jc w:val="both"/>
        <w:rPr>
          <w:rFonts w:ascii="Verdana" w:eastAsia="Calibri" w:hAnsi="Verdana" w:cs="Arial"/>
          <w:color w:val="000000"/>
          <w:lang w:val="es-ES"/>
        </w:rPr>
      </w:pPr>
    </w:p>
    <w:p w14:paraId="74DF64B4" w14:textId="75D2423C" w:rsidR="00421F16" w:rsidRDefault="00421F16" w:rsidP="00C0210C">
      <w:pPr>
        <w:spacing w:after="0" w:line="240" w:lineRule="auto"/>
        <w:jc w:val="right"/>
        <w:rPr>
          <w:rFonts w:ascii="Verdana" w:eastAsia="Calibri" w:hAnsi="Verdana" w:cs="Arial"/>
          <w:color w:val="000000"/>
          <w:lang w:val="es-ES"/>
        </w:rPr>
      </w:pPr>
    </w:p>
    <w:p w14:paraId="1DF4C053" w14:textId="46A49000" w:rsidR="00C0210C" w:rsidRPr="00593A5F" w:rsidRDefault="000B38DC" w:rsidP="00421F16">
      <w:pPr>
        <w:spacing w:after="0" w:line="240" w:lineRule="auto"/>
        <w:jc w:val="both"/>
        <w:rPr>
          <w:rFonts w:ascii="Verdana" w:eastAsia="Calibri" w:hAnsi="Verdana" w:cs="Arial"/>
          <w:color w:val="000000"/>
          <w:lang w:val="es-ES"/>
        </w:rPr>
      </w:pPr>
      <w:r w:rsidRPr="00C0210C">
        <w:rPr>
          <w:rFonts w:ascii="Verdana" w:eastAsia="Calibri" w:hAnsi="Verdana" w:cs="Arial"/>
          <w:noProof/>
          <w:color w:val="000000"/>
          <w:lang w:val="es-ES"/>
        </w:rPr>
        <w:drawing>
          <wp:anchor distT="0" distB="0" distL="114300" distR="114300" simplePos="0" relativeHeight="251658240" behindDoc="0" locked="0" layoutInCell="1" allowOverlap="1" wp14:anchorId="518B79DA" wp14:editId="32352AAA">
            <wp:simplePos x="0" y="0"/>
            <wp:positionH relativeFrom="margin">
              <wp:align>right</wp:align>
            </wp:positionH>
            <wp:positionV relativeFrom="paragraph">
              <wp:posOffset>8559</wp:posOffset>
            </wp:positionV>
            <wp:extent cx="2400300" cy="834390"/>
            <wp:effectExtent l="0" t="0" r="0" b="3810"/>
            <wp:wrapSquare wrapText="bothSides"/>
            <wp:docPr id="19331026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102655"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834390"/>
                    </a:xfrm>
                    <a:prstGeom prst="rect">
                      <a:avLst/>
                    </a:prstGeom>
                  </pic:spPr>
                </pic:pic>
              </a:graphicData>
            </a:graphic>
            <wp14:sizeRelV relativeFrom="margin">
              <wp14:pctHeight>0</wp14:pctHeight>
            </wp14:sizeRelV>
          </wp:anchor>
        </w:drawing>
      </w:r>
    </w:p>
    <w:p w14:paraId="392731CC" w14:textId="77777777" w:rsidR="00421F16" w:rsidRPr="00B96799" w:rsidRDefault="00421F16" w:rsidP="00421F16">
      <w:pPr>
        <w:spacing w:after="0" w:line="240" w:lineRule="auto"/>
        <w:jc w:val="both"/>
        <w:rPr>
          <w:rFonts w:ascii="Verdana" w:eastAsia="Calibri" w:hAnsi="Verdana" w:cs="Arial"/>
          <w:lang w:val="es-ES" w:eastAsia="es-ES"/>
        </w:rPr>
      </w:pPr>
      <w:r>
        <w:rPr>
          <w:rFonts w:ascii="Verdana" w:eastAsia="Calibri" w:hAnsi="Verdana" w:cs="Arial"/>
          <w:lang w:val="es-ES" w:eastAsia="es-ES"/>
        </w:rPr>
        <w:t>Señores</w:t>
      </w:r>
    </w:p>
    <w:p w14:paraId="2FAE21DF" w14:textId="77777777" w:rsidR="00421F16" w:rsidRDefault="00421F16" w:rsidP="00421F16">
      <w:pPr>
        <w:spacing w:after="0" w:line="240" w:lineRule="auto"/>
        <w:rPr>
          <w:rFonts w:ascii="Verdana" w:eastAsia="Calibri" w:hAnsi="Verdana" w:cs="Arial"/>
          <w:b/>
          <w:lang w:val="es-ES_tradnl" w:eastAsia="es-ES_tradnl"/>
        </w:rPr>
      </w:pPr>
      <w:r w:rsidRPr="001E175A">
        <w:rPr>
          <w:rFonts w:ascii="Verdana" w:eastAsia="Calibri" w:hAnsi="Verdana" w:cs="Arial"/>
          <w:b/>
          <w:lang w:val="es-ES_tradnl" w:eastAsia="es-ES_tradnl"/>
        </w:rPr>
        <w:t>El</w:t>
      </w:r>
      <w:r>
        <w:rPr>
          <w:rFonts w:ascii="Verdana" w:eastAsia="Calibri" w:hAnsi="Verdana" w:cs="Arial"/>
          <w:b/>
          <w:lang w:val="es-ES_tradnl" w:eastAsia="es-ES_tradnl"/>
        </w:rPr>
        <w:t xml:space="preserve"> Carmen C</w:t>
      </w:r>
      <w:r w:rsidRPr="001E175A">
        <w:rPr>
          <w:rFonts w:ascii="Verdana" w:eastAsia="Calibri" w:hAnsi="Verdana" w:cs="Arial"/>
          <w:b/>
          <w:lang w:val="es-ES_tradnl" w:eastAsia="es-ES_tradnl"/>
        </w:rPr>
        <w:t>ontratos</w:t>
      </w:r>
      <w:r w:rsidRPr="008777D5">
        <w:rPr>
          <w:rFonts w:ascii="Verdana" w:eastAsia="Calibri" w:hAnsi="Verdana" w:cs="Arial"/>
          <w:b/>
          <w:lang w:val="es-ES_tradnl" w:eastAsia="es-ES_tradnl"/>
        </w:rPr>
        <w:t xml:space="preserve"> </w:t>
      </w:r>
    </w:p>
    <w:p w14:paraId="46563BC8" w14:textId="77777777" w:rsidR="00421F16" w:rsidRPr="001E175A" w:rsidRDefault="00421F16" w:rsidP="00421F16">
      <w:pPr>
        <w:spacing w:after="0" w:line="240" w:lineRule="auto"/>
        <w:rPr>
          <w:rFonts w:ascii="Verdana" w:eastAsia="Calibri" w:hAnsi="Verdana" w:cs="Arial"/>
          <w:lang w:val="es-ES" w:eastAsia="es-ES"/>
        </w:rPr>
      </w:pPr>
      <w:hyperlink r:id="rId11" w:history="1">
        <w:r w:rsidRPr="004D7B2C">
          <w:rPr>
            <w:rStyle w:val="Hipervnculo"/>
            <w:rFonts w:ascii="Verdana" w:hAnsi="Verdana"/>
          </w:rPr>
          <w:t>elcarmencontratos@gmail.com</w:t>
        </w:r>
      </w:hyperlink>
      <w:r>
        <w:rPr>
          <w:rFonts w:ascii="Verdana" w:hAnsi="Verdana"/>
        </w:rPr>
        <w:t xml:space="preserve"> </w:t>
      </w:r>
      <w:r w:rsidRPr="001E175A">
        <w:rPr>
          <w:rFonts w:ascii="Verdana" w:hAnsi="Verdana"/>
        </w:rPr>
        <w:t xml:space="preserve">                    </w:t>
      </w:r>
      <w:r w:rsidRPr="001E175A">
        <w:rPr>
          <w:rFonts w:ascii="Verdana" w:eastAsia="Calibri" w:hAnsi="Verdana" w:cs="Arial"/>
          <w:lang w:val="es-ES" w:eastAsia="es-ES"/>
        </w:rPr>
        <w:t xml:space="preserve">    </w:t>
      </w:r>
    </w:p>
    <w:p w14:paraId="75404457" w14:textId="77777777" w:rsidR="00421F16" w:rsidRDefault="00421F16" w:rsidP="00421F16">
      <w:pPr>
        <w:spacing w:after="0" w:line="240" w:lineRule="auto"/>
        <w:rPr>
          <w:rFonts w:ascii="Verdana" w:eastAsia="Calibri" w:hAnsi="Verdana" w:cs="Arial"/>
          <w:lang w:val="es-ES" w:eastAsia="es-ES"/>
        </w:rPr>
      </w:pPr>
      <w:r w:rsidRPr="00593A5F">
        <w:rPr>
          <w:rFonts w:ascii="Verdana" w:eastAsia="Geomanist Light" w:hAnsi="Verdana" w:cs="Arial"/>
          <w:color w:val="000000" w:themeColor="text1"/>
          <w:lang w:val="es-MX"/>
        </w:rPr>
        <w:t>Bogotá D.C.</w:t>
      </w:r>
      <w:r>
        <w:rPr>
          <w:rFonts w:ascii="Verdana" w:eastAsia="Calibri" w:hAnsi="Verdana" w:cs="Arial"/>
          <w:lang w:val="es-ES" w:eastAsia="es-ES"/>
        </w:rPr>
        <w:t xml:space="preserve"> </w:t>
      </w:r>
    </w:p>
    <w:p w14:paraId="3D8AB1E5" w14:textId="77777777" w:rsidR="00421F16" w:rsidRPr="00593A5F" w:rsidRDefault="00421F16" w:rsidP="00421F16">
      <w:pPr>
        <w:spacing w:after="0" w:line="240" w:lineRule="auto"/>
        <w:rPr>
          <w:rFonts w:ascii="Verdana" w:eastAsia="Calibri" w:hAnsi="Verdana" w:cs="Arial"/>
          <w:b/>
          <w:bCs/>
          <w:color w:val="000000"/>
          <w:lang w:val="es-ES_tradnl" w:eastAsia="es-ES_tradnl"/>
        </w:rPr>
      </w:pPr>
    </w:p>
    <w:p w14:paraId="0CD77470" w14:textId="77777777" w:rsidR="00421F16" w:rsidRPr="00593A5F" w:rsidRDefault="00421F16" w:rsidP="00421F1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21F16" w:rsidRPr="00593A5F" w14:paraId="1C71CA07" w14:textId="77777777" w:rsidTr="007E2348">
        <w:trPr>
          <w:trHeight w:val="884"/>
        </w:trPr>
        <w:tc>
          <w:tcPr>
            <w:tcW w:w="2689" w:type="dxa"/>
          </w:tcPr>
          <w:p w14:paraId="409AA2C9" w14:textId="77777777" w:rsidR="00421F16" w:rsidRPr="00C00976" w:rsidRDefault="00421F16" w:rsidP="007E2348">
            <w:pPr>
              <w:jc w:val="both"/>
              <w:rPr>
                <w:rFonts w:ascii="Verdana" w:eastAsia="Calibri" w:hAnsi="Verdana" w:cs="Arial"/>
                <w:b/>
                <w:bCs/>
                <w:color w:val="7030A0"/>
                <w:lang w:val="es-ES_tradnl" w:eastAsia="es-ES_tradnl"/>
              </w:rPr>
            </w:pPr>
          </w:p>
        </w:tc>
        <w:tc>
          <w:tcPr>
            <w:tcW w:w="6100" w:type="dxa"/>
          </w:tcPr>
          <w:p w14:paraId="0763D868" w14:textId="77777777" w:rsidR="00421F16" w:rsidRPr="00C00976" w:rsidRDefault="00421F16" w:rsidP="007E2348">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1010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421F16" w:rsidRPr="00593A5F" w14:paraId="1EB711C1" w14:textId="77777777" w:rsidTr="007E2348">
        <w:trPr>
          <w:trHeight w:val="884"/>
        </w:trPr>
        <w:tc>
          <w:tcPr>
            <w:tcW w:w="2689" w:type="dxa"/>
          </w:tcPr>
          <w:p w14:paraId="54602384" w14:textId="77777777" w:rsidR="00421F16" w:rsidRPr="00593A5F" w:rsidRDefault="00421F16" w:rsidP="007E234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73F68E8" w14:textId="77777777" w:rsidR="00421F16" w:rsidRPr="00A11406" w:rsidRDefault="00421F16" w:rsidP="007E2348">
            <w:pPr>
              <w:spacing w:line="276" w:lineRule="auto"/>
              <w:jc w:val="both"/>
              <w:rPr>
                <w:rFonts w:ascii="Verdana" w:eastAsia="Calibri" w:hAnsi="Verdana" w:cs="Arial"/>
                <w:lang w:val="es-ES" w:eastAsia="es-ES"/>
              </w:rPr>
            </w:pPr>
            <w:r w:rsidRPr="00AB1FEA">
              <w:rPr>
                <w:rFonts w:ascii="Verdana" w:eastAsia="Calibri" w:hAnsi="Verdana" w:cs="Arial"/>
                <w:lang w:val="es-ES" w:eastAsia="es-ES"/>
              </w:rPr>
              <w:t>LIQUIDACIÓN DEL CONTRATO – Definición – Objetivo / LIQUIDACIÓN DEL CONTRATO – Normativa / LIQUIDACIÓN DEL CONTRATO – Tipos – Bilateral – Unilateral – Judicial</w:t>
            </w:r>
            <w:r>
              <w:rPr>
                <w:rFonts w:ascii="Verdana" w:eastAsia="Calibri" w:hAnsi="Verdana" w:cs="Arial"/>
                <w:lang w:val="es-ES" w:eastAsia="es-ES"/>
              </w:rPr>
              <w:t xml:space="preserve"> / </w:t>
            </w:r>
            <w:r w:rsidRPr="004A23CD">
              <w:rPr>
                <w:rFonts w:ascii="Verdana" w:eastAsia="Calibri" w:hAnsi="Verdana" w:cs="Arial"/>
                <w:lang w:val="es-ES" w:eastAsia="es-ES"/>
              </w:rPr>
              <w:t>EJECUCIÓN DEL CONTRATO ‒ Contrato estatal – Cierre del expediente contractual – Acto de trámite – Constancia / CIERRE DEL EXPEDIENTE CONTRACTUAL – Requisitos – Procedencia / CIERRE DEL EXPEDIENTE CONTRACTUAL – Obligatoriedad – Liquidación – Garantías – Buena práctica contractual</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6A8399D" w14:textId="77777777" w:rsidR="00421F16" w:rsidRPr="00593A5F" w:rsidRDefault="00421F16" w:rsidP="007E2348">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421F16" w:rsidRPr="008E6AD9" w14:paraId="4B126DD3" w14:textId="77777777" w:rsidTr="007E2348">
        <w:tc>
          <w:tcPr>
            <w:tcW w:w="2689" w:type="dxa"/>
          </w:tcPr>
          <w:p w14:paraId="7030EB28" w14:textId="77777777" w:rsidR="00421F16" w:rsidRPr="008E6AD9" w:rsidRDefault="00421F16" w:rsidP="007E2348">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FBA59C4" w14:textId="77777777" w:rsidR="00421F16" w:rsidRPr="00B92340" w:rsidRDefault="00421F16" w:rsidP="007E2348">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AD6227">
              <w:rPr>
                <w:rFonts w:ascii="Verdana" w:eastAsia="Calibri" w:hAnsi="Verdana" w:cs="Arial"/>
                <w:lang w:val="es-ES_tradnl" w:eastAsia="es-ES_tradnl"/>
              </w:rPr>
              <w:t>1_2026_06_23_008417</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D0C0548" w14:textId="77777777" w:rsidR="00421F16" w:rsidRPr="00593A5F" w:rsidRDefault="00421F16" w:rsidP="00421F16">
      <w:pPr>
        <w:spacing w:after="0" w:line="240" w:lineRule="auto"/>
        <w:jc w:val="both"/>
        <w:rPr>
          <w:rFonts w:ascii="Verdana" w:eastAsia="Calibri" w:hAnsi="Verdana" w:cs="Arial"/>
          <w:color w:val="000000"/>
          <w:lang w:val="es-ES_tradnl" w:eastAsia="es-ES_tradnl"/>
        </w:rPr>
      </w:pPr>
    </w:p>
    <w:p w14:paraId="71335586" w14:textId="77777777" w:rsidR="00421F16" w:rsidRPr="00593A5F" w:rsidRDefault="00421F16" w:rsidP="00421F16">
      <w:pPr>
        <w:spacing w:after="0" w:line="240" w:lineRule="auto"/>
        <w:jc w:val="both"/>
        <w:rPr>
          <w:rFonts w:ascii="Verdana" w:eastAsia="Calibri" w:hAnsi="Verdana" w:cs="Arial"/>
          <w:color w:val="000000"/>
          <w:lang w:val="es-ES_tradnl" w:eastAsia="es-ES_tradnl"/>
        </w:rPr>
      </w:pPr>
    </w:p>
    <w:p w14:paraId="5964E2A0" w14:textId="77777777" w:rsidR="00421F16" w:rsidRPr="008E6AD9" w:rsidRDefault="00421F16" w:rsidP="00421F16">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os</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señores de </w:t>
      </w:r>
      <w:r w:rsidRPr="00C63290">
        <w:rPr>
          <w:rFonts w:ascii="Verdana" w:eastAsia="Calibri" w:hAnsi="Verdana" w:cs="Arial"/>
          <w:lang w:val="es-ES" w:eastAsia="es-ES"/>
        </w:rPr>
        <w:t>El Carmen Contratos</w:t>
      </w:r>
      <w:r w:rsidRPr="008E6AD9">
        <w:rPr>
          <w:rFonts w:ascii="Verdana" w:eastAsia="Calibri" w:hAnsi="Verdana" w:cs="Arial"/>
          <w:lang w:val="es-ES" w:eastAsia="es-ES"/>
        </w:rPr>
        <w:t xml:space="preserve">: </w:t>
      </w:r>
    </w:p>
    <w:p w14:paraId="0E56F203" w14:textId="77777777" w:rsidR="00421F16" w:rsidRDefault="00421F16" w:rsidP="00421F1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88F276B" w14:textId="77777777" w:rsidR="00421F16" w:rsidRPr="00593A5F" w:rsidRDefault="00421F16" w:rsidP="00421F16">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23 de junio de 2026, donde solicita conceptuar sobre los siguientes aspectos</w:t>
      </w:r>
      <w:r w:rsidRPr="008E6AD9">
        <w:rPr>
          <w:rFonts w:ascii="Verdana" w:eastAsia="Calibri" w:hAnsi="Verdana" w:cs="Arial"/>
          <w:lang w:val="es-ES" w:eastAsia="es-ES"/>
        </w:rPr>
        <w:t xml:space="preserve">: </w:t>
      </w:r>
    </w:p>
    <w:p w14:paraId="66E814E7" w14:textId="77777777" w:rsidR="00421F16" w:rsidRPr="00272A7B" w:rsidRDefault="00421F16" w:rsidP="00421F16">
      <w:pPr>
        <w:pStyle w:val="Prrafodelista"/>
        <w:tabs>
          <w:tab w:val="left" w:pos="142"/>
          <w:tab w:val="left" w:pos="284"/>
        </w:tabs>
        <w:spacing w:after="0" w:line="276" w:lineRule="auto"/>
        <w:ind w:left="0"/>
        <w:jc w:val="both"/>
        <w:rPr>
          <w:rFonts w:ascii="Verdana" w:eastAsia="Century Gothic" w:hAnsi="Verdana" w:cs="Century Gothic"/>
          <w:b/>
          <w:bCs/>
        </w:rPr>
      </w:pPr>
    </w:p>
    <w:p w14:paraId="7076C45F" w14:textId="77777777" w:rsidR="00421F16" w:rsidRDefault="00421F16" w:rsidP="00421F16">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lastRenderedPageBreak/>
        <w:t>“</w:t>
      </w:r>
      <w:bookmarkEnd w:id="0"/>
      <w:r w:rsidRPr="00904703">
        <w:rPr>
          <w:rFonts w:ascii="Verdana" w:eastAsia="Century Gothic" w:hAnsi="Verdana" w:cs="Century Gothic"/>
          <w:sz w:val="20"/>
          <w:szCs w:val="20"/>
          <w:lang w:val="es-ES"/>
        </w:rPr>
        <w:t>1. ¿Una vez vencidos los términos previstos en el artículo 11 de la Ley 1150 de 2007, en concordancia con el artículo 164 de la Ley 1437 de 2011, las entidades estatales pierden la competencia para liquidar los contratos estatales o resulta jurídicamente procedente efectuar la liquidación de manera extemporánea?</w:t>
      </w:r>
    </w:p>
    <w:p w14:paraId="17586447" w14:textId="77777777" w:rsidR="00421F16" w:rsidRPr="00904703" w:rsidRDefault="00421F16" w:rsidP="00421F16">
      <w:pPr>
        <w:spacing w:after="120" w:line="240" w:lineRule="auto"/>
        <w:ind w:left="709" w:right="709"/>
        <w:jc w:val="both"/>
        <w:rPr>
          <w:rFonts w:ascii="Verdana" w:eastAsia="Century Gothic" w:hAnsi="Verdana" w:cs="Century Gothic"/>
          <w:sz w:val="20"/>
          <w:szCs w:val="20"/>
          <w:lang w:val="es-ES"/>
        </w:rPr>
      </w:pPr>
      <w:r w:rsidRPr="00904703">
        <w:rPr>
          <w:rFonts w:ascii="Verdana" w:eastAsia="Century Gothic" w:hAnsi="Verdana" w:cs="Century Gothic"/>
          <w:sz w:val="20"/>
          <w:szCs w:val="20"/>
          <w:lang w:val="es-ES"/>
        </w:rPr>
        <w:t>2. En el evento en que no resulte procedente efectuar la liquidación contractual por haberse agotado los términos legalmente previstos para ello, ¿es jurídicamente procedente realizar el cierre del contrato en la plataforma SECOP sin que exista un acta de liquidación previa?</w:t>
      </w:r>
    </w:p>
    <w:p w14:paraId="350BC3B2" w14:textId="77777777" w:rsidR="00421F16" w:rsidRPr="00904703" w:rsidRDefault="00421F16" w:rsidP="00421F16">
      <w:pPr>
        <w:spacing w:after="120" w:line="240" w:lineRule="auto"/>
        <w:ind w:left="709" w:right="709"/>
        <w:jc w:val="both"/>
        <w:rPr>
          <w:rFonts w:ascii="Verdana" w:eastAsia="Century Gothic" w:hAnsi="Verdana" w:cs="Century Gothic"/>
          <w:sz w:val="20"/>
          <w:szCs w:val="20"/>
          <w:lang w:val="es-ES"/>
        </w:rPr>
      </w:pPr>
      <w:r w:rsidRPr="00904703">
        <w:rPr>
          <w:rFonts w:ascii="Verdana" w:eastAsia="Century Gothic" w:hAnsi="Verdana" w:cs="Century Gothic"/>
          <w:sz w:val="20"/>
          <w:szCs w:val="20"/>
          <w:lang w:val="es-ES"/>
        </w:rPr>
        <w:t>3. De ser procedente el cierre del contrato en SECOP sin liquidación previa, ¿qué actuaciones o soportes documentales deben incorporarse al expediente contractual electrónico para efectos de garantizar la adecuada publicidad y trazabilidad de la información?</w:t>
      </w:r>
    </w:p>
    <w:p w14:paraId="1F5F5D95" w14:textId="77777777" w:rsidR="00421F16" w:rsidRPr="008E6AD9" w:rsidRDefault="00421F16" w:rsidP="00421F16">
      <w:pPr>
        <w:spacing w:after="0" w:line="240" w:lineRule="auto"/>
        <w:ind w:left="709" w:right="709"/>
        <w:jc w:val="both"/>
        <w:rPr>
          <w:rFonts w:ascii="Verdana" w:eastAsia="Century Gothic" w:hAnsi="Verdana" w:cs="Century Gothic"/>
          <w:b/>
          <w:bCs/>
        </w:rPr>
      </w:pPr>
      <w:r w:rsidRPr="00904703">
        <w:rPr>
          <w:rFonts w:ascii="Verdana" w:eastAsia="Century Gothic" w:hAnsi="Verdana" w:cs="Century Gothic"/>
          <w:sz w:val="20"/>
          <w:szCs w:val="20"/>
          <w:lang w:val="es-ES"/>
        </w:rPr>
        <w:t>4. En caso de no ser procedente el cierre del contrato sin liquidación, ¿deben mantenerse abiertos en SECOP aquellos procesos contractuales respecto de los cuales no fue posible efectuar la liquidación dentro de los términos legales o existe un tratamiento específico previsto por Colombia Compra Eficiente para estos casos?</w:t>
      </w:r>
      <w:r>
        <w:rPr>
          <w:rFonts w:ascii="Verdana" w:eastAsia="Century Gothic" w:hAnsi="Verdana" w:cs="Century Gothic"/>
          <w:sz w:val="20"/>
          <w:szCs w:val="20"/>
          <w:lang w:val="es-ES"/>
        </w:rPr>
        <w:t>”.</w:t>
      </w:r>
    </w:p>
    <w:p w14:paraId="2895CF68" w14:textId="77777777" w:rsidR="00421F16" w:rsidRDefault="00421F16" w:rsidP="00421F16">
      <w:pPr>
        <w:spacing w:after="0" w:line="276" w:lineRule="auto"/>
        <w:ind w:firstLine="709"/>
        <w:jc w:val="both"/>
        <w:rPr>
          <w:rFonts w:ascii="Verdana" w:eastAsia="Calibri" w:hAnsi="Verdana" w:cs="Arial"/>
          <w:color w:val="000000"/>
          <w:lang w:val="es-ES" w:eastAsia="es-ES"/>
        </w:rPr>
      </w:pPr>
    </w:p>
    <w:p w14:paraId="16429E0D" w14:textId="77777777" w:rsidR="00421F16" w:rsidRPr="00A652FF" w:rsidRDefault="00421F16" w:rsidP="00421F16">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4B62753" w14:textId="77777777" w:rsidR="00421F16" w:rsidRDefault="00421F16" w:rsidP="00421F1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B0F6363" w14:textId="77777777" w:rsidR="00421F16" w:rsidRPr="00593A5F" w:rsidRDefault="00421F16" w:rsidP="00421F16">
      <w:pPr>
        <w:spacing w:after="0" w:line="276" w:lineRule="auto"/>
        <w:ind w:firstLine="709"/>
        <w:jc w:val="both"/>
        <w:rPr>
          <w:rFonts w:ascii="Verdana" w:eastAsia="Calibri" w:hAnsi="Verdana" w:cs="Arial"/>
          <w:color w:val="000000"/>
          <w:lang w:val="es-ES" w:eastAsia="es-ES"/>
        </w:rPr>
      </w:pPr>
    </w:p>
    <w:p w14:paraId="08648457" w14:textId="77777777" w:rsidR="00421F16" w:rsidRPr="00593A5F" w:rsidRDefault="00421F16" w:rsidP="00421F1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335BA00" w14:textId="77777777" w:rsidR="00421F16" w:rsidRPr="00593A5F" w:rsidRDefault="00421F16" w:rsidP="00421F16">
      <w:pPr>
        <w:tabs>
          <w:tab w:val="left" w:pos="426"/>
        </w:tabs>
        <w:spacing w:after="0" w:line="276" w:lineRule="auto"/>
        <w:jc w:val="both"/>
        <w:rPr>
          <w:rFonts w:ascii="Verdana" w:eastAsia="Century Gothic" w:hAnsi="Verdana" w:cs="Century Gothic"/>
          <w:lang w:val="es-ES"/>
        </w:rPr>
      </w:pPr>
    </w:p>
    <w:p w14:paraId="0F2D54EA" w14:textId="77777777" w:rsidR="00421F16" w:rsidRPr="00593A5F" w:rsidRDefault="00421F16" w:rsidP="00421F16">
      <w:pPr>
        <w:spacing w:after="0" w:line="276" w:lineRule="auto"/>
        <w:jc w:val="both"/>
        <w:rPr>
          <w:rFonts w:ascii="Verdana" w:eastAsia="Century Gothic" w:hAnsi="Verdana" w:cs="Century Gothic"/>
        </w:rPr>
      </w:pPr>
      <w:r w:rsidRPr="00906BE9">
        <w:rPr>
          <w:rFonts w:ascii="Verdana" w:eastAsia="Century Gothic" w:hAnsi="Verdana" w:cs="Century Gothic"/>
        </w:rPr>
        <w:lastRenderedPageBreak/>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¿el cierre del expediente del proceso de contratación está condicionado por la liquidación oportuna de los contratos estatales? </w:t>
      </w:r>
    </w:p>
    <w:p w14:paraId="591F505A" w14:textId="77777777" w:rsidR="00421F16" w:rsidRPr="004B140F" w:rsidRDefault="00421F16" w:rsidP="00421F16">
      <w:pPr>
        <w:spacing w:after="0" w:line="276" w:lineRule="auto"/>
        <w:jc w:val="both"/>
        <w:rPr>
          <w:rFonts w:ascii="Verdana" w:eastAsia="Calibri" w:hAnsi="Verdana" w:cs="Arial"/>
          <w:color w:val="7030A0"/>
        </w:rPr>
      </w:pPr>
    </w:p>
    <w:p w14:paraId="215A6124" w14:textId="77777777" w:rsidR="00421F16" w:rsidRPr="00593A5F" w:rsidRDefault="00421F16" w:rsidP="00421F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34D70C1" w14:textId="77777777" w:rsidR="00421F16" w:rsidRPr="00593A5F" w:rsidRDefault="00421F16" w:rsidP="00421F1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21F16" w:rsidRPr="00593A5F" w14:paraId="15163B2F" w14:textId="77777777" w:rsidTr="007E2348">
        <w:trPr>
          <w:jc w:val="center"/>
        </w:trPr>
        <w:tc>
          <w:tcPr>
            <w:tcW w:w="8828" w:type="dxa"/>
          </w:tcPr>
          <w:p w14:paraId="6CEB6B4F" w14:textId="77777777" w:rsidR="00421F16" w:rsidRDefault="00421F16" w:rsidP="007E2348">
            <w:pPr>
              <w:spacing w:after="120" w:line="276" w:lineRule="auto"/>
              <w:jc w:val="both"/>
              <w:rPr>
                <w:rFonts w:ascii="Verdana" w:eastAsia="Calibri" w:hAnsi="Verdana" w:cs="Arial"/>
                <w:color w:val="000000"/>
                <w:lang w:val="es-ES" w:eastAsia="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sidRPr="00851576">
              <w:rPr>
                <w:rFonts w:ascii="Verdana" w:eastAsia="Calibri" w:hAnsi="Verdana" w:cs="Arial"/>
                <w:color w:val="000000"/>
                <w:lang w:val="es-ES" w:eastAsia="es-ES"/>
              </w:rPr>
              <w:t xml:space="preserve">dentro de los límites previstos en el </w:t>
            </w:r>
            <w:r>
              <w:rPr>
                <w:rFonts w:ascii="Verdana" w:eastAsia="Calibri" w:hAnsi="Verdana" w:cs="Arial"/>
                <w:color w:val="000000"/>
                <w:lang w:val="es-ES" w:eastAsia="es-ES"/>
              </w:rPr>
              <w:t xml:space="preserve">literal j) del </w:t>
            </w:r>
            <w:r w:rsidRPr="00851576">
              <w:rPr>
                <w:rFonts w:ascii="Verdana" w:eastAsia="Calibri" w:hAnsi="Verdana" w:cs="Arial"/>
                <w:color w:val="000000"/>
                <w:lang w:val="es-ES" w:eastAsia="es-ES"/>
              </w:rPr>
              <w:t>artículo 164</w:t>
            </w:r>
            <w:r>
              <w:rPr>
                <w:rFonts w:ascii="Verdana" w:eastAsia="Calibri" w:hAnsi="Verdana" w:cs="Arial"/>
                <w:color w:val="000000"/>
                <w:lang w:val="es-ES" w:eastAsia="es-ES"/>
              </w:rPr>
              <w:t>.2</w:t>
            </w:r>
            <w:r w:rsidRPr="00851576">
              <w:rPr>
                <w:rFonts w:ascii="Verdana" w:eastAsia="Calibri" w:hAnsi="Verdana" w:cs="Arial"/>
                <w:color w:val="000000"/>
                <w:lang w:val="es-ES" w:eastAsia="es-ES"/>
              </w:rPr>
              <w:t xml:space="preserve"> de la Ley 1437 de 2011</w:t>
            </w:r>
            <w:r>
              <w:rPr>
                <w:rFonts w:ascii="Verdana" w:eastAsia="Calibri" w:hAnsi="Verdana" w:cs="Arial"/>
                <w:color w:val="000000"/>
                <w:lang w:val="es-ES" w:eastAsia="es-ES"/>
              </w:rPr>
              <w:t xml:space="preserve">,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w:t>
            </w:r>
          </w:p>
          <w:p w14:paraId="1E80B5AE" w14:textId="77777777" w:rsidR="00421F16" w:rsidRDefault="00421F16" w:rsidP="007E2348">
            <w:pPr>
              <w:spacing w:after="120" w:line="276" w:lineRule="auto"/>
              <w:ind w:firstLine="733"/>
              <w:jc w:val="both"/>
              <w:rPr>
                <w:rFonts w:ascii="Verdana" w:eastAsia="Calibri" w:hAnsi="Verdana" w:cs="Arial"/>
                <w:color w:val="000000"/>
                <w:lang w:val="es-ES" w:eastAsia="es-ES"/>
              </w:rPr>
            </w:pPr>
            <w:r>
              <w:rPr>
                <w:rFonts w:ascii="Verdana" w:eastAsia="Calibri" w:hAnsi="Verdana" w:cs="Arial"/>
                <w:color w:val="000000"/>
                <w:lang w:val="es-ES" w:eastAsia="es-ES"/>
              </w:rPr>
              <w:t xml:space="preserve">Cualquier liquidación efectuada después de la caducidad del medio de control implica la pérdida de competencia temporal, por lo que está viciada de nulidad. En este caso, el plazo correspondiente se rige por el </w:t>
            </w:r>
            <w:r w:rsidRPr="00E8503C">
              <w:rPr>
                <w:rFonts w:ascii="Verdana" w:eastAsia="Calibri" w:hAnsi="Verdana" w:cs="Arial"/>
                <w:color w:val="000000"/>
                <w:lang w:val="es-ES" w:eastAsia="es-ES"/>
              </w:rPr>
              <w:t>ap</w:t>
            </w:r>
            <w:r>
              <w:rPr>
                <w:rFonts w:ascii="Verdana" w:eastAsia="Calibri" w:hAnsi="Verdana" w:cs="Arial"/>
                <w:color w:val="000000"/>
                <w:lang w:val="es-ES" w:eastAsia="es-ES"/>
              </w:rPr>
              <w:t>artado</w:t>
            </w:r>
            <w:r w:rsidRPr="00E8503C">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v </w:t>
            </w:r>
            <w:r w:rsidRPr="00E8503C">
              <w:rPr>
                <w:rFonts w:ascii="Verdana" w:eastAsia="Calibri" w:hAnsi="Verdana" w:cs="Arial"/>
                <w:color w:val="000000"/>
                <w:lang w:val="es-ES" w:eastAsia="es-ES"/>
              </w:rPr>
              <w:t xml:space="preserve">del literal </w:t>
            </w:r>
            <w:r>
              <w:rPr>
                <w:rFonts w:ascii="Verdana" w:eastAsia="Calibri" w:hAnsi="Verdana" w:cs="Arial"/>
                <w:color w:val="000000"/>
                <w:lang w:val="es-ES" w:eastAsia="es-ES"/>
              </w:rPr>
              <w:t>j)</w:t>
            </w:r>
            <w:r w:rsidRPr="00E8503C">
              <w:rPr>
                <w:rFonts w:ascii="Verdana" w:eastAsia="Calibri" w:hAnsi="Verdana" w:cs="Arial"/>
                <w:color w:val="000000"/>
                <w:lang w:val="es-ES" w:eastAsia="es-ES"/>
              </w:rPr>
              <w:t xml:space="preserve"> del numeral 2 del artículo 164 del CPACA</w:t>
            </w:r>
            <w:r>
              <w:rPr>
                <w:rFonts w:ascii="Verdana" w:eastAsia="Calibri" w:hAnsi="Verdana" w:cs="Arial"/>
                <w:color w:val="000000"/>
                <w:lang w:val="es-ES" w:eastAsia="es-ES"/>
              </w:rPr>
              <w:t>, de manera que e</w:t>
            </w:r>
            <w:r w:rsidRPr="00E8503C">
              <w:rPr>
                <w:rFonts w:ascii="Verdana" w:eastAsia="Calibri" w:hAnsi="Verdana" w:cs="Arial"/>
                <w:color w:val="000000"/>
                <w:lang w:val="es-ES" w:eastAsia="es-ES"/>
              </w:rPr>
              <w:t>n los</w:t>
            </w:r>
            <w:r>
              <w:rPr>
                <w:rFonts w:ascii="Verdana" w:eastAsia="Calibri" w:hAnsi="Verdana" w:cs="Arial"/>
                <w:color w:val="000000"/>
                <w:lang w:val="es-ES" w:eastAsia="es-ES"/>
              </w:rPr>
              <w:t xml:space="preserve"> contratos</w:t>
            </w:r>
            <w:r w:rsidRPr="00E8503C">
              <w:rPr>
                <w:rFonts w:ascii="Verdana" w:eastAsia="Calibri" w:hAnsi="Verdana" w:cs="Arial"/>
                <w:color w:val="000000"/>
                <w:lang w:val="es-ES" w:eastAsia="es-ES"/>
              </w:rPr>
              <w:t xml:space="preserve"> que requieran de liquidación y esta no se logre por mutuo acuerdo o no se practique por la administración unilateralmente</w:t>
            </w:r>
            <w:r>
              <w:rPr>
                <w:rFonts w:ascii="Verdana" w:eastAsia="Calibri" w:hAnsi="Verdana" w:cs="Arial"/>
                <w:color w:val="000000"/>
                <w:lang w:val="es-ES" w:eastAsia="es-ES"/>
              </w:rPr>
              <w:t>, la caducidad se presenta dentro de los dos (2) años siguientes al vencimiento de ambos.</w:t>
            </w:r>
          </w:p>
          <w:p w14:paraId="4AC690FA" w14:textId="77777777" w:rsidR="00421F16" w:rsidRPr="00E8503C" w:rsidRDefault="00421F16" w:rsidP="007E2348">
            <w:pPr>
              <w:spacing w:after="120" w:line="276" w:lineRule="auto"/>
              <w:ind w:firstLine="733"/>
              <w:jc w:val="both"/>
              <w:rPr>
                <w:rFonts w:ascii="Verdana" w:eastAsia="Calibri" w:hAnsi="Verdana" w:cs="Arial"/>
                <w:color w:val="000000"/>
                <w:lang w:val="es-ES" w:eastAsia="es-ES"/>
              </w:rPr>
            </w:pPr>
            <w:r>
              <w:rPr>
                <w:rFonts w:ascii="Verdana" w:eastAsia="Calibri" w:hAnsi="Verdana" w:cs="Arial"/>
                <w:color w:val="000000"/>
                <w:lang w:val="es-ES" w:eastAsia="es-ES"/>
              </w:rPr>
              <w:t xml:space="preserve">Es decir, no aplica el término de caducidad del apartado </w:t>
            </w:r>
            <w:proofErr w:type="spellStart"/>
            <w:r>
              <w:rPr>
                <w:rFonts w:ascii="Verdana" w:eastAsia="Calibri" w:hAnsi="Verdana" w:cs="Arial"/>
                <w:color w:val="000000"/>
                <w:lang w:val="es-ES" w:eastAsia="es-ES"/>
              </w:rPr>
              <w:t>iii</w:t>
            </w:r>
            <w:proofErr w:type="spellEnd"/>
            <w:r>
              <w:rPr>
                <w:rFonts w:ascii="Verdana" w:eastAsia="Calibri" w:hAnsi="Verdana" w:cs="Arial"/>
                <w:color w:val="000000"/>
                <w:lang w:val="es-ES" w:eastAsia="es-ES"/>
              </w:rPr>
              <w:t xml:space="preserve"> </w:t>
            </w:r>
            <w:r w:rsidRPr="00735716">
              <w:rPr>
                <w:rFonts w:ascii="Verdana" w:eastAsia="Calibri" w:hAnsi="Verdana" w:cs="Arial"/>
                <w:i/>
                <w:iCs/>
                <w:color w:val="000000"/>
                <w:lang w:val="es-ES" w:eastAsia="es-ES"/>
              </w:rPr>
              <w:t>ibidem</w:t>
            </w:r>
            <w:r>
              <w:rPr>
                <w:rFonts w:ascii="Verdana" w:eastAsia="Calibri" w:hAnsi="Verdana" w:cs="Arial"/>
                <w:color w:val="000000"/>
                <w:lang w:val="es-ES" w:eastAsia="es-ES"/>
              </w:rPr>
              <w:t xml:space="preserve">. Lo anterior en la medida que, conforme al Auto de Unificación del 1˚ de agosto de 2019, rad. 62009, con ponencia del </w:t>
            </w:r>
            <w:proofErr w:type="gramStart"/>
            <w:r>
              <w:rPr>
                <w:rFonts w:ascii="Verdana" w:eastAsia="Calibri" w:hAnsi="Verdana" w:cs="Arial"/>
                <w:color w:val="000000"/>
                <w:lang w:val="es-ES" w:eastAsia="es-ES"/>
              </w:rPr>
              <w:t>Consejero</w:t>
            </w:r>
            <w:proofErr w:type="gramEnd"/>
            <w:r>
              <w:rPr>
                <w:rFonts w:ascii="Verdana" w:eastAsia="Calibri" w:hAnsi="Verdana" w:cs="Arial"/>
                <w:color w:val="000000"/>
                <w:lang w:val="es-ES" w:eastAsia="es-ES"/>
              </w:rPr>
              <w:t xml:space="preserve"> J</w:t>
            </w:r>
            <w:r w:rsidRPr="00735716">
              <w:rPr>
                <w:rFonts w:ascii="Verdana" w:eastAsia="Calibri" w:hAnsi="Verdana" w:cs="Arial"/>
                <w:color w:val="000000"/>
                <w:lang w:val="es-ES" w:eastAsia="es-ES"/>
              </w:rPr>
              <w:t>aime Enrique Rodríguez Navas</w:t>
            </w:r>
            <w:r>
              <w:rPr>
                <w:rFonts w:ascii="Verdana" w:eastAsia="Calibri" w:hAnsi="Verdana" w:cs="Arial"/>
                <w:color w:val="000000"/>
                <w:lang w:val="es-ES" w:eastAsia="es-ES"/>
              </w:rPr>
              <w:t>, se decidió lo siguiente: “</w:t>
            </w:r>
            <w:r w:rsidRPr="00735716">
              <w:rPr>
                <w:rFonts w:ascii="Verdana" w:eastAsia="Calibri" w:hAnsi="Verdana" w:cs="Arial"/>
                <w:color w:val="000000"/>
                <w:lang w:val="es-ES" w:eastAsia="es-ES"/>
              </w:rPr>
              <w:t xml:space="preserve">UNIFÍCASE la jurisprudencia de la Sección Tercera del Consejo de Estado, en relación con el término de caducidad del medio de control de controversias contractuales de contratos que han sido liquidados después de haber vencido el término convencional y-o legalmente dispuesto para su liquidación, pero dentro de los dos años posteriores al vencimiento de este último. </w:t>
            </w:r>
            <w:r w:rsidRPr="00735716">
              <w:rPr>
                <w:rFonts w:ascii="Verdana" w:eastAsia="Calibri" w:hAnsi="Verdana" w:cs="Arial"/>
                <w:i/>
                <w:iCs/>
                <w:color w:val="000000"/>
                <w:lang w:val="es-ES" w:eastAsia="es-ES"/>
              </w:rPr>
              <w:t xml:space="preserve">La Sala unifica el criterio que ha de ser observado para  el conteo del término de caducidad del medio de control de controversias contractuales en tales casos, para indicar que éste debe iniciar a partir del día siguiente al de la firma del acta o de la ejecutoria del acto de liquidación del contrato, conforme al ap. </w:t>
            </w:r>
            <w:proofErr w:type="spellStart"/>
            <w:r w:rsidRPr="00735716">
              <w:rPr>
                <w:rFonts w:ascii="Verdana" w:eastAsia="Calibri" w:hAnsi="Verdana" w:cs="Arial"/>
                <w:i/>
                <w:iCs/>
                <w:color w:val="000000"/>
                <w:lang w:val="es-ES" w:eastAsia="es-ES"/>
              </w:rPr>
              <w:t>iii</w:t>
            </w:r>
            <w:proofErr w:type="spellEnd"/>
            <w:r w:rsidRPr="00735716">
              <w:rPr>
                <w:rFonts w:ascii="Verdana" w:eastAsia="Calibri" w:hAnsi="Verdana" w:cs="Arial"/>
                <w:i/>
                <w:iCs/>
                <w:color w:val="000000"/>
                <w:lang w:val="es-ES" w:eastAsia="es-ES"/>
              </w:rPr>
              <w:t xml:space="preserve"> del literal j. del numeral 2 del artículo 164 del CPACA; y de precisar que, en consecuencia, el apartado v) del literal j del </w:t>
            </w:r>
            <w:r w:rsidRPr="00735716">
              <w:rPr>
                <w:rFonts w:ascii="Verdana" w:eastAsia="Calibri" w:hAnsi="Verdana" w:cs="Arial"/>
                <w:i/>
                <w:iCs/>
                <w:color w:val="000000"/>
                <w:lang w:val="es-ES" w:eastAsia="es-ES"/>
              </w:rPr>
              <w:lastRenderedPageBreak/>
              <w:t>mismo numeral solo se deberá aplicar cuando al momento de interponerse la demanda, el operador judicial encuentre que no hubo liquidación contractual alguna</w:t>
            </w:r>
            <w:r>
              <w:rPr>
                <w:rFonts w:ascii="Verdana" w:eastAsia="Calibri" w:hAnsi="Verdana" w:cs="Arial"/>
                <w:color w:val="000000"/>
                <w:lang w:val="es-ES" w:eastAsia="es-ES"/>
              </w:rPr>
              <w:t xml:space="preserve">” (Énfasis fuera de texto). </w:t>
            </w:r>
          </w:p>
          <w:p w14:paraId="3EB4AC93" w14:textId="77777777" w:rsidR="00421F16" w:rsidRPr="00A05118" w:rsidRDefault="00421F16" w:rsidP="007E2348">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Por lo demás, de conformidad con el artículo </w:t>
            </w:r>
            <w:r w:rsidRPr="004A403F">
              <w:rPr>
                <w:rFonts w:ascii="Verdana" w:eastAsia="Calibri" w:hAnsi="Verdana" w:cs="Arial"/>
                <w:lang w:val="es-ES"/>
              </w:rPr>
              <w:t>2.2.1.1.2.4.3</w:t>
            </w:r>
            <w:r>
              <w:rPr>
                <w:rFonts w:ascii="Verdana" w:eastAsia="Calibri" w:hAnsi="Verdana" w:cs="Arial"/>
                <w:lang w:val="es-ES"/>
              </w:rPr>
              <w:t xml:space="preserve"> del Decreto 1082 de 2015, </w:t>
            </w:r>
            <w:r w:rsidRPr="009A60F7">
              <w:rPr>
                <w:rFonts w:ascii="Verdana" w:hAnsi="Verdana" w:cs="Arial"/>
              </w:rPr>
              <w:t>el cierre del expediente del proceso de contratación es obligatorio cuando el contrato estatal exige las garantías de calidad, estabilidad o mantenimiento, o cuando la entidad establezca condiciones de disposición final o recuperación ambiental de las obras o bienes contratados. Una vez cumplidas tales condiciones surge el deber de dejar constancia del correspondiente acto de cierre del expediente contractual, ya sea que el contrato se hubiere liquidado o no.</w:t>
            </w:r>
            <w:r>
              <w:rPr>
                <w:rFonts w:ascii="Verdana" w:eastAsia="Calibri" w:hAnsi="Verdana" w:cs="Arial"/>
                <w:bCs/>
                <w:color w:val="000000" w:themeColor="text1"/>
                <w:lang w:val="es-ES_tradnl"/>
              </w:rPr>
              <w:t xml:space="preserve"> Para la acreditación de las circunstancias mencionadas en el Decreto Único Reglamentario del Sector Administrativo de Planeación Nacional, las actuaciones y soportes documentales necesarios para el cierre serán las que se definan en los instructivos internos de las entidades estatales de acuerdo con su manual de contratación. </w:t>
            </w:r>
          </w:p>
          <w:p w14:paraId="344D5081" w14:textId="77777777" w:rsidR="00421F16" w:rsidRPr="001941FD" w:rsidRDefault="00421F16" w:rsidP="007E2348">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0E93725" w14:textId="77777777" w:rsidR="00421F16" w:rsidRPr="00593A5F" w:rsidRDefault="00421F16" w:rsidP="00421F16">
      <w:pPr>
        <w:tabs>
          <w:tab w:val="left" w:pos="142"/>
          <w:tab w:val="left" w:pos="284"/>
        </w:tabs>
        <w:spacing w:after="0" w:line="276" w:lineRule="auto"/>
        <w:jc w:val="both"/>
        <w:rPr>
          <w:rFonts w:ascii="Verdana" w:eastAsia="Century Gothic" w:hAnsi="Verdana" w:cs="Century Gothic"/>
          <w:b/>
          <w:bCs/>
          <w:lang w:val="es-ES"/>
        </w:rPr>
      </w:pPr>
    </w:p>
    <w:bookmarkEnd w:id="1"/>
    <w:p w14:paraId="5DF53B57" w14:textId="77777777" w:rsidR="00421F16" w:rsidRPr="00593A5F" w:rsidRDefault="00421F16" w:rsidP="00421F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3F25B96" w14:textId="77777777" w:rsidR="00421F16" w:rsidRPr="00593A5F" w:rsidRDefault="00421F16" w:rsidP="00421F16">
      <w:pPr>
        <w:spacing w:after="0" w:line="276" w:lineRule="auto"/>
        <w:jc w:val="both"/>
        <w:rPr>
          <w:rFonts w:ascii="Verdana" w:eastAsia="Calibri" w:hAnsi="Verdana" w:cs="Arial"/>
          <w:color w:val="7030A0"/>
          <w:lang w:val="es-ES"/>
        </w:rPr>
      </w:pPr>
    </w:p>
    <w:p w14:paraId="23B0614F" w14:textId="77777777" w:rsidR="00421F16" w:rsidRDefault="00421F16" w:rsidP="00421F16">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091E90B" w14:textId="77777777" w:rsidR="00421F16" w:rsidRPr="00415608" w:rsidRDefault="00421F16" w:rsidP="00421F16">
      <w:pPr>
        <w:spacing w:after="0" w:line="276" w:lineRule="auto"/>
        <w:jc w:val="both"/>
        <w:rPr>
          <w:rFonts w:ascii="Verdana" w:eastAsia="Calibri" w:hAnsi="Verdana" w:cs="Arial"/>
          <w:lang w:val="es-ES"/>
        </w:rPr>
      </w:pPr>
    </w:p>
    <w:p w14:paraId="38A62091" w14:textId="77777777" w:rsidR="00421F16" w:rsidRPr="00FB5FC4" w:rsidRDefault="00421F16" w:rsidP="00421F16">
      <w:pPr>
        <w:spacing w:after="0" w:line="276" w:lineRule="auto"/>
        <w:jc w:val="both"/>
        <w:rPr>
          <w:rFonts w:ascii="Verdana" w:eastAsia="Calibri" w:hAnsi="Verdana" w:cs="Arial"/>
          <w:color w:val="000000"/>
          <w:lang w:val="es-ES_tradnl"/>
        </w:rPr>
      </w:pPr>
      <w:r>
        <w:rPr>
          <w:rFonts w:ascii="Verdana" w:eastAsia="Calibri" w:hAnsi="Verdana" w:cs="Arial"/>
          <w:color w:val="000000"/>
          <w:lang w:val="es-ES_tradnl"/>
        </w:rPr>
        <w:t xml:space="preserve">i. </w:t>
      </w:r>
      <w:r w:rsidRPr="00FB5FC4">
        <w:rPr>
          <w:rFonts w:ascii="Verdana" w:eastAsia="Calibri" w:hAnsi="Verdana" w:cs="Arial"/>
          <w:color w:val="000000"/>
          <w:lang w:val="es-ES_tradnl"/>
        </w:rPr>
        <w:t>La liquidación es el momento en el cual, una vez concluido el contrato estatal, las partes cruzan cuentas respecto de sus obligaciones</w:t>
      </w:r>
      <w:r>
        <w:rPr>
          <w:rFonts w:ascii="Verdana" w:eastAsia="Calibri" w:hAnsi="Verdana" w:cs="Arial"/>
          <w:color w:val="000000"/>
          <w:lang w:val="es-ES_tradnl"/>
        </w:rPr>
        <w:t>.</w:t>
      </w:r>
      <w:r w:rsidRPr="00FB5FC4">
        <w:rPr>
          <w:rFonts w:ascii="Verdana" w:eastAsia="Calibri" w:hAnsi="Verdana" w:cs="Arial"/>
          <w:color w:val="000000"/>
          <w:lang w:val="es-ES_tradnl"/>
        </w:rPr>
        <w:t xml:space="preserve"> </w:t>
      </w:r>
      <w:r>
        <w:rPr>
          <w:rFonts w:ascii="Verdana" w:eastAsia="Calibri" w:hAnsi="Verdana" w:cs="Arial"/>
          <w:color w:val="000000"/>
          <w:lang w:val="es-ES_tradnl"/>
        </w:rPr>
        <w:t>P</w:t>
      </w:r>
      <w:r w:rsidRPr="00FB5FC4">
        <w:rPr>
          <w:rFonts w:ascii="Verdana" w:eastAsia="Calibri" w:hAnsi="Verdana" w:cs="Arial"/>
          <w:color w:val="000000"/>
          <w:lang w:val="es-ES_tradnl"/>
        </w:rPr>
        <w:t xml:space="preserve">or tanto, su objetivo es determinar si pueden declararse a paz y salvo mutuo o si, por el contrario, existen aún obligaciones por cumplir, para acordar la forma en que deben ser </w:t>
      </w:r>
      <w:r>
        <w:rPr>
          <w:rFonts w:ascii="Verdana" w:eastAsia="Calibri" w:hAnsi="Verdana" w:cs="Arial"/>
          <w:color w:val="000000"/>
          <w:lang w:val="es-ES_tradnl"/>
        </w:rPr>
        <w:lastRenderedPageBreak/>
        <w:t>finalizadas</w:t>
      </w:r>
      <w:r w:rsidRPr="00FB5FC4">
        <w:rPr>
          <w:rFonts w:ascii="Verdana" w:eastAsia="Calibri" w:hAnsi="Verdana" w:cs="Arial"/>
          <w:color w:val="000000"/>
          <w:vertAlign w:val="superscript"/>
          <w:lang w:val="es-ES_tradnl"/>
        </w:rPr>
        <w:footnoteReference w:id="1"/>
      </w:r>
      <w:r w:rsidRPr="00FB5FC4">
        <w:rPr>
          <w:rFonts w:ascii="Verdana" w:eastAsia="Calibri" w:hAnsi="Verdana" w:cs="Arial"/>
          <w:color w:val="000000"/>
          <w:lang w:val="es-ES_tradnl"/>
        </w:rPr>
        <w:t>. En armonía con lo anterior, la doctrina ha definido la liquidación de la siguiente manera:</w:t>
      </w:r>
    </w:p>
    <w:p w14:paraId="583C1EC9" w14:textId="77777777" w:rsidR="00421F16" w:rsidRPr="00FB5FC4" w:rsidRDefault="00421F16" w:rsidP="00421F16">
      <w:pPr>
        <w:spacing w:after="0" w:line="276" w:lineRule="auto"/>
        <w:jc w:val="both"/>
        <w:rPr>
          <w:rFonts w:ascii="Verdana" w:eastAsia="Calibri" w:hAnsi="Verdana" w:cs="Arial"/>
          <w:color w:val="000000"/>
          <w:lang w:val="es-ES_tradnl"/>
        </w:rPr>
      </w:pPr>
    </w:p>
    <w:p w14:paraId="1575E322" w14:textId="77777777" w:rsidR="00421F16" w:rsidRPr="00A71E32" w:rsidRDefault="00421F16" w:rsidP="00421F16">
      <w:pPr>
        <w:spacing w:after="0" w:line="240" w:lineRule="auto"/>
        <w:ind w:left="709" w:right="758"/>
        <w:jc w:val="both"/>
        <w:rPr>
          <w:rFonts w:ascii="Verdana" w:eastAsia="Calibri" w:hAnsi="Verdana" w:cs="Arial"/>
          <w:sz w:val="20"/>
          <w:szCs w:val="20"/>
          <w:lang w:val="es-MX"/>
        </w:rPr>
      </w:pPr>
      <w:r w:rsidRPr="00A71E32">
        <w:rPr>
          <w:rFonts w:ascii="Verdana" w:eastAsia="Calibri" w:hAnsi="Verdana" w:cs="Arial"/>
          <w:i/>
          <w:iCs/>
          <w:color w:val="000000"/>
          <w:sz w:val="20"/>
          <w:szCs w:val="20"/>
          <w:lang w:val="es-ES_tradnl"/>
        </w:rPr>
        <w:t>“</w:t>
      </w:r>
      <w:r w:rsidRPr="00A71E32">
        <w:rPr>
          <w:rFonts w:ascii="Verdana" w:eastAsia="Calibri" w:hAnsi="Verdana" w:cs="Arial"/>
          <w:sz w:val="20"/>
          <w:szCs w:val="20"/>
          <w:lang w:val="es-MX"/>
        </w:rPr>
        <w:t>[…]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A71E32">
        <w:rPr>
          <w:rFonts w:ascii="Verdana" w:eastAsia="Calibri" w:hAnsi="Verdana" w:cs="Arial"/>
          <w:sz w:val="20"/>
          <w:szCs w:val="20"/>
          <w:vertAlign w:val="superscript"/>
          <w:lang w:val="es-MX"/>
        </w:rPr>
        <w:footnoteReference w:id="2"/>
      </w:r>
      <w:r w:rsidRPr="00A71E32">
        <w:rPr>
          <w:rFonts w:ascii="Verdana" w:eastAsia="Calibri" w:hAnsi="Verdana" w:cs="Arial"/>
          <w:sz w:val="20"/>
          <w:szCs w:val="20"/>
          <w:lang w:val="es-MX"/>
        </w:rPr>
        <w:t>.</w:t>
      </w:r>
    </w:p>
    <w:p w14:paraId="66974838" w14:textId="77777777" w:rsidR="00421F16" w:rsidRPr="00FB5FC4" w:rsidRDefault="00421F16" w:rsidP="00421F16">
      <w:pPr>
        <w:spacing w:after="0" w:line="276" w:lineRule="auto"/>
        <w:jc w:val="both"/>
        <w:rPr>
          <w:rFonts w:ascii="Verdana" w:eastAsia="Calibri" w:hAnsi="Verdana" w:cs="Arial"/>
          <w:color w:val="000000"/>
          <w:lang w:val="es-ES_tradnl"/>
        </w:rPr>
      </w:pPr>
    </w:p>
    <w:p w14:paraId="54BA8760" w14:textId="77777777" w:rsidR="00421F16" w:rsidRPr="00FB5FC4" w:rsidRDefault="00421F16" w:rsidP="00421F16">
      <w:pPr>
        <w:spacing w:after="120" w:line="276" w:lineRule="auto"/>
        <w:ind w:firstLine="709"/>
        <w:jc w:val="both"/>
        <w:rPr>
          <w:rFonts w:ascii="Verdana" w:eastAsia="Times New Roman" w:hAnsi="Verdana" w:cs="Arial"/>
          <w:color w:val="000000"/>
          <w:sz w:val="21"/>
          <w:szCs w:val="21"/>
          <w:lang w:val="es-ES_tradnl" w:eastAsia="es-ES_tradnl"/>
        </w:rPr>
      </w:pP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egún la jurisprudencia, la liquidación es el ajuste de cuentas donde las partes hacen un balance económico, técnico y jurídico del cumplimiento de las obligaciones que tienen a su cargo. Así lo manifestó el Consejo de Estado en la </w:t>
      </w: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entencia del 20 de octubre de 2014, en la que consideró, por un lado, que </w:t>
      </w:r>
      <w:r w:rsidRPr="00FB5FC4">
        <w:rPr>
          <w:rFonts w:ascii="Verdana" w:eastAsia="Times New Roman" w:hAnsi="Verdana" w:cs="Arial"/>
          <w:i/>
          <w:iCs/>
          <w:color w:val="000000"/>
          <w:szCs w:val="24"/>
          <w:lang w:val="es-ES_tradnl" w:eastAsia="es-ES_tradnl"/>
        </w:rPr>
        <w:t>liquidar</w:t>
      </w:r>
      <w:r w:rsidRPr="00FB5FC4">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FB5FC4">
        <w:rPr>
          <w:rFonts w:ascii="Verdana" w:eastAsia="Times New Roman" w:hAnsi="Verdana" w:cs="Arial"/>
          <w:i/>
          <w:iCs/>
          <w:color w:val="000000"/>
          <w:szCs w:val="24"/>
          <w:lang w:val="es-ES_tradnl" w:eastAsia="es-ES_tradnl"/>
        </w:rPr>
        <w:t>liquidación</w:t>
      </w:r>
      <w:r w:rsidRPr="00FB5FC4">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w:t>
      </w:r>
      <w:r w:rsidRPr="00FB5FC4">
        <w:rPr>
          <w:rFonts w:ascii="Verdana" w:eastAsia="Times New Roman" w:hAnsi="Verdana" w:cs="Arial"/>
          <w:color w:val="000000"/>
          <w:szCs w:val="24"/>
          <w:lang w:val="es-ES_tradnl" w:eastAsia="es-ES_tradnl"/>
        </w:rPr>
        <w:lastRenderedPageBreak/>
        <w:t>servicios, así como el balance económico y el comportamiento financiero del negocio</w:t>
      </w:r>
      <w:r w:rsidRPr="00FB5FC4">
        <w:rPr>
          <w:rFonts w:ascii="Verdana" w:eastAsia="Times New Roman" w:hAnsi="Verdana" w:cs="Arial"/>
          <w:color w:val="000000"/>
          <w:szCs w:val="24"/>
          <w:vertAlign w:val="superscript"/>
          <w:lang w:val="es-ES_tradnl" w:eastAsia="es-ES_tradnl"/>
        </w:rPr>
        <w:footnoteReference w:id="3"/>
      </w:r>
      <w:r w:rsidRPr="00FB5FC4">
        <w:rPr>
          <w:rFonts w:ascii="Verdana" w:eastAsia="Times New Roman" w:hAnsi="Verdana" w:cs="Arial"/>
          <w:color w:val="000000"/>
          <w:szCs w:val="24"/>
          <w:lang w:val="es-ES_tradnl" w:eastAsia="es-ES_tradnl"/>
        </w:rPr>
        <w:t xml:space="preserve">. </w:t>
      </w:r>
    </w:p>
    <w:p w14:paraId="12E85175" w14:textId="77777777" w:rsidR="00421F16" w:rsidRPr="00FB5FC4" w:rsidRDefault="00421F16" w:rsidP="00421F16">
      <w:pPr>
        <w:spacing w:after="0" w:line="276" w:lineRule="auto"/>
        <w:ind w:firstLine="709"/>
        <w:jc w:val="both"/>
        <w:rPr>
          <w:rFonts w:ascii="Verdana" w:eastAsia="Calibri" w:hAnsi="Verdana" w:cs="Arial"/>
          <w:color w:val="000000"/>
          <w:lang w:val="es-ES_tradnl"/>
        </w:rPr>
      </w:pPr>
      <w:r w:rsidRPr="00570C1A">
        <w:rPr>
          <w:rFonts w:ascii="Verdana" w:eastAsia="Calibri" w:hAnsi="Verdana" w:cs="Arial"/>
          <w:i/>
          <w:iCs/>
          <w:color w:val="000000"/>
          <w:lang w:val="es-ES_tradnl"/>
        </w:rPr>
        <w:t>Para las entidades sometidas al EGCAP</w:t>
      </w:r>
      <w:r>
        <w:rPr>
          <w:rFonts w:ascii="Verdana" w:eastAsia="Calibri" w:hAnsi="Verdana" w:cs="Arial"/>
          <w:color w:val="000000"/>
          <w:lang w:val="es-ES_tradnl"/>
        </w:rPr>
        <w:t>, l</w:t>
      </w:r>
      <w:r w:rsidRPr="00FB5FC4">
        <w:rPr>
          <w:rFonts w:ascii="Verdana" w:eastAsia="Calibri" w:hAnsi="Verdana" w:cs="Arial"/>
          <w:color w:val="000000"/>
          <w:lang w:val="es-ES_tradnl"/>
        </w:rPr>
        <w:t xml:space="preserve">as disposiciones legales que regulan la etapa de liquidación de los contratos estatales son el artículo 60 de la Ley 80 de 1993, modificado por el artículo 217 del Decreto </w:t>
      </w:r>
      <w:r>
        <w:rPr>
          <w:rFonts w:ascii="Verdana" w:eastAsia="Calibri" w:hAnsi="Verdana" w:cs="Arial"/>
          <w:color w:val="000000"/>
          <w:lang w:val="es-ES_tradnl"/>
        </w:rPr>
        <w:t xml:space="preserve">Ley </w:t>
      </w:r>
      <w:r w:rsidRPr="00FB5FC4">
        <w:rPr>
          <w:rFonts w:ascii="Verdana" w:eastAsia="Calibri" w:hAnsi="Verdana" w:cs="Arial"/>
          <w:color w:val="000000"/>
          <w:lang w:val="es-ES_tradnl"/>
        </w:rPr>
        <w:t>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7589B856" w14:textId="77777777" w:rsidR="00421F16" w:rsidRPr="00D71733" w:rsidRDefault="00421F16" w:rsidP="00421F16">
      <w:pPr>
        <w:spacing w:after="0" w:line="276" w:lineRule="auto"/>
        <w:ind w:firstLine="708"/>
        <w:jc w:val="both"/>
        <w:rPr>
          <w:rFonts w:ascii="Verdana" w:eastAsia="Calibri" w:hAnsi="Verdana" w:cs="Arial"/>
          <w:lang w:val="es-ES"/>
        </w:rPr>
      </w:pPr>
    </w:p>
    <w:p w14:paraId="3F71BC58" w14:textId="77777777" w:rsidR="00421F16" w:rsidRPr="00A71E32" w:rsidRDefault="00421F16" w:rsidP="00421F16">
      <w:pPr>
        <w:spacing w:after="0" w:line="240" w:lineRule="auto"/>
        <w:ind w:left="709" w:right="758"/>
        <w:jc w:val="both"/>
        <w:rPr>
          <w:rFonts w:ascii="Verdana" w:eastAsia="Calibri" w:hAnsi="Verdana" w:cs="Arial"/>
          <w:sz w:val="20"/>
          <w:szCs w:val="20"/>
          <w:lang w:val="es-MX"/>
        </w:rPr>
      </w:pPr>
      <w:r w:rsidRPr="00A71E32">
        <w:rPr>
          <w:rFonts w:ascii="Verdana" w:eastAsia="Calibri" w:hAnsi="Verdana" w:cs="Arial"/>
          <w:sz w:val="20"/>
          <w:szCs w:val="20"/>
          <w:lang w:val="es-ES"/>
        </w:rPr>
        <w:t>“</w:t>
      </w:r>
      <w:r w:rsidRPr="00A71E32">
        <w:rPr>
          <w:rFonts w:ascii="Verdana" w:eastAsia="Calibri" w:hAnsi="Verdana" w:cs="Arial"/>
          <w:sz w:val="20"/>
          <w:szCs w:val="20"/>
          <w:lang w:val="es-MX"/>
        </w:rPr>
        <w:t xml:space="preserve">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w:t>
      </w:r>
      <w:r>
        <w:rPr>
          <w:rFonts w:ascii="Verdana" w:eastAsia="Calibri" w:hAnsi="Verdana" w:cs="Arial"/>
          <w:sz w:val="20"/>
          <w:szCs w:val="20"/>
          <w:lang w:val="es-MX"/>
        </w:rPr>
        <w:t>‘</w:t>
      </w:r>
      <w:r w:rsidRPr="00A71E32">
        <w:rPr>
          <w:rFonts w:ascii="Verdana" w:eastAsia="Calibri" w:hAnsi="Verdana" w:cs="Arial"/>
          <w:sz w:val="20"/>
          <w:szCs w:val="20"/>
          <w:lang w:val="es-MX"/>
        </w:rPr>
        <w:t>los acuerdos, conciliaciones y transacciones a que llegaren las partes para poner fin a las divergencias presentadas y poder declararse a paz y salvo</w:t>
      </w:r>
      <w:r>
        <w:rPr>
          <w:rFonts w:ascii="Verdana" w:eastAsia="Calibri" w:hAnsi="Verdana" w:cs="Arial"/>
          <w:sz w:val="20"/>
          <w:szCs w:val="20"/>
          <w:lang w:val="es-MX"/>
        </w:rPr>
        <w:t>’</w:t>
      </w:r>
      <w:r w:rsidRPr="00A71E32">
        <w:rPr>
          <w:rFonts w:ascii="Verdana" w:eastAsia="Calibri" w:hAnsi="Verdana" w:cs="Arial"/>
          <w:sz w:val="20"/>
          <w:szCs w:val="20"/>
          <w:lang w:val="es-MX"/>
        </w:rPr>
        <w:t>”</w:t>
      </w:r>
      <w:r w:rsidRPr="00A71E32">
        <w:rPr>
          <w:rFonts w:ascii="Verdana" w:eastAsia="Calibri" w:hAnsi="Verdana" w:cs="Arial"/>
          <w:sz w:val="20"/>
          <w:szCs w:val="20"/>
          <w:vertAlign w:val="superscript"/>
          <w:lang w:val="es-MX"/>
        </w:rPr>
        <w:footnoteReference w:id="4"/>
      </w:r>
      <w:r w:rsidRPr="00A71E32">
        <w:rPr>
          <w:rFonts w:ascii="Verdana" w:eastAsia="Calibri" w:hAnsi="Verdana" w:cs="Arial"/>
          <w:sz w:val="20"/>
          <w:szCs w:val="20"/>
          <w:lang w:val="es-MX"/>
        </w:rPr>
        <w:t>.</w:t>
      </w:r>
    </w:p>
    <w:p w14:paraId="0953549D" w14:textId="77777777" w:rsidR="00421F16" w:rsidRPr="00D71733" w:rsidRDefault="00421F16" w:rsidP="00421F16">
      <w:pPr>
        <w:spacing w:after="0" w:line="276" w:lineRule="auto"/>
        <w:ind w:left="709" w:right="758"/>
        <w:jc w:val="both"/>
        <w:rPr>
          <w:rFonts w:ascii="Verdana" w:eastAsia="Calibri" w:hAnsi="Verdana" w:cs="Arial"/>
          <w:lang w:val="es-ES"/>
        </w:rPr>
      </w:pPr>
    </w:p>
    <w:p w14:paraId="5CE1B9F0" w14:textId="77777777" w:rsidR="00421F16" w:rsidRPr="00FB5FC4" w:rsidRDefault="00421F16" w:rsidP="00421F16">
      <w:pPr>
        <w:spacing w:after="120" w:line="276" w:lineRule="auto"/>
        <w:ind w:firstLine="708"/>
        <w:jc w:val="both"/>
        <w:rPr>
          <w:rFonts w:ascii="Verdana" w:eastAsia="Calibri" w:hAnsi="Verdana" w:cs="Arial"/>
          <w:color w:val="000000"/>
          <w:lang w:val="es-ES_tradnl"/>
        </w:rPr>
      </w:pPr>
      <w:r w:rsidRPr="00FB5FC4">
        <w:rPr>
          <w:rFonts w:ascii="Verdana" w:eastAsia="Calibri" w:hAnsi="Verdana" w:cs="Arial"/>
          <w:color w:val="000000"/>
          <w:lang w:val="es-ES_tradnl"/>
        </w:rPr>
        <w:t>Así las cosas, de acuerdo con el artículo 60 de la Ley 80 de 1993, los contratos de tracto sucesivo, aquellos cuyo cumplimiento o ejecución se prolongue en el tiempo y los demás que lo requieran “</w:t>
      </w:r>
      <w:r w:rsidRPr="00D71733">
        <w:rPr>
          <w:rFonts w:ascii="Verdana" w:eastAsia="Calibri" w:hAnsi="Verdana" w:cs="Arial"/>
          <w:color w:val="000000"/>
          <w:lang w:val="es-ES_tradnl"/>
        </w:rPr>
        <w:t>serán objeto de liquidación</w:t>
      </w:r>
      <w:r w:rsidRPr="00FB5FC4">
        <w:rPr>
          <w:rFonts w:ascii="Verdana" w:eastAsia="Calibri" w:hAnsi="Verdana" w:cs="Arial"/>
          <w:color w:val="000000"/>
          <w:lang w:val="es-ES_tradnl"/>
        </w:rPr>
        <w:t>”.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FB5FC4">
        <w:rPr>
          <w:rFonts w:ascii="Verdana" w:eastAsia="Calibri" w:hAnsi="Verdana" w:cs="Arial"/>
          <w:color w:val="000000"/>
          <w:vertAlign w:val="superscript"/>
          <w:lang w:val="es-ES_tradnl"/>
        </w:rPr>
        <w:footnoteReference w:id="5"/>
      </w:r>
      <w:r w:rsidRPr="00FB5FC4">
        <w:rPr>
          <w:rFonts w:ascii="Verdana" w:eastAsia="Calibri" w:hAnsi="Verdana" w:cs="Arial"/>
          <w:color w:val="000000"/>
          <w:lang w:val="es-ES_tradnl"/>
        </w:rPr>
        <w:t xml:space="preserve">, así como la probabilidad de que puedan </w:t>
      </w:r>
      <w:r w:rsidRPr="00FB5FC4">
        <w:rPr>
          <w:rFonts w:ascii="Verdana" w:eastAsia="Calibri" w:hAnsi="Verdana" w:cs="Arial"/>
          <w:color w:val="000000"/>
          <w:lang w:val="es-ES_tradnl"/>
        </w:rPr>
        <w:lastRenderedPageBreak/>
        <w:t xml:space="preserve">surgir diferencias durante la ejecución del contrato; sin perjuicio de que, como se indicó, todos los contratos estatales de </w:t>
      </w:r>
      <w:r w:rsidRPr="00FB5FC4">
        <w:rPr>
          <w:rFonts w:ascii="Verdana" w:eastAsia="Calibri" w:hAnsi="Verdana" w:cs="Arial"/>
          <w:i/>
          <w:iCs/>
          <w:color w:val="000000"/>
          <w:lang w:val="es-ES_tradnl"/>
        </w:rPr>
        <w:t>tracto sucesivo</w:t>
      </w:r>
      <w:r w:rsidRPr="00FB5FC4">
        <w:rPr>
          <w:rFonts w:ascii="Verdana" w:eastAsia="Calibri" w:hAnsi="Verdana" w:cs="Arial"/>
          <w:color w:val="000000"/>
          <w:lang w:val="es-ES_tradnl"/>
        </w:rPr>
        <w:t xml:space="preserve"> o aquellos cuya ejecución se prolongue en el tiempo siempre deban liquidarse, convirtiéndose en estos contratos en una cláusula de la naturaleza, conforme a la clasificación prevista en el Código Civil.</w:t>
      </w:r>
    </w:p>
    <w:p w14:paraId="5AA72126" w14:textId="77777777" w:rsidR="00421F16" w:rsidRPr="00FB5FC4" w:rsidRDefault="00421F16" w:rsidP="00421F16">
      <w:pPr>
        <w:spacing w:after="120" w:line="276" w:lineRule="auto"/>
        <w:ind w:firstLine="708"/>
        <w:jc w:val="both"/>
        <w:rPr>
          <w:rFonts w:ascii="Verdana" w:eastAsia="Calibri" w:hAnsi="Verdana" w:cs="Arial"/>
          <w:color w:val="000000"/>
          <w:lang w:val="es-ES"/>
        </w:rPr>
      </w:pPr>
      <w:r w:rsidRPr="64F094BD">
        <w:rPr>
          <w:rFonts w:ascii="Verdana" w:eastAsia="Calibri" w:hAnsi="Verdana" w:cs="Arial"/>
          <w:color w:val="000000"/>
          <w:lang w:val="es-ES"/>
        </w:rPr>
        <w:t>Por su parte, el artículo 11 de la Ley 1150 de 2007 contiene las reglas de tipo procedimental para liquidar los contratos estatales, las cuales se pasan a explicar</w:t>
      </w:r>
      <w:r w:rsidRPr="64F094BD">
        <w:rPr>
          <w:rFonts w:ascii="Verdana" w:eastAsia="Calibri" w:hAnsi="Verdana" w:cs="Arial"/>
          <w:color w:val="000000" w:themeColor="text1"/>
          <w:vertAlign w:val="superscript"/>
          <w:lang w:val="es-ES"/>
        </w:rPr>
        <w:footnoteReference w:id="6"/>
      </w:r>
      <w:r w:rsidRPr="64F094BD">
        <w:rPr>
          <w:rFonts w:ascii="Verdana" w:eastAsia="Calibri" w:hAnsi="Verdana" w:cs="Arial"/>
          <w:color w:val="000000"/>
          <w:lang w:val="es-ES"/>
        </w:rPr>
        <w:t xml:space="preserve">. En primer lugar, en ejercicio de la autonomía de la voluntad y de 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w:t>
      </w:r>
      <w:proofErr w:type="spellStart"/>
      <w:r w:rsidRPr="64F094BD">
        <w:rPr>
          <w:rFonts w:ascii="Verdana" w:eastAsia="Calibri" w:hAnsi="Verdana" w:cs="Arial"/>
          <w:color w:val="000000"/>
          <w:lang w:val="es-ES"/>
        </w:rPr>
        <w:t>ii</w:t>
      </w:r>
      <w:proofErr w:type="spellEnd"/>
      <w:r w:rsidRPr="64F094BD">
        <w:rPr>
          <w:rFonts w:ascii="Verdana" w:eastAsia="Calibri" w:hAnsi="Verdana" w:cs="Arial"/>
          <w:color w:val="000000"/>
          <w:lang w:val="es-ES"/>
        </w:rPr>
        <w:t xml:space="preserve">) la expedición del acto administrativo que ordene la terminación del contrato; o, </w:t>
      </w:r>
      <w:proofErr w:type="spellStart"/>
      <w:r w:rsidRPr="64F094BD">
        <w:rPr>
          <w:rFonts w:ascii="Verdana" w:eastAsia="Calibri" w:hAnsi="Verdana" w:cs="Arial"/>
          <w:color w:val="000000"/>
          <w:lang w:val="es-ES"/>
        </w:rPr>
        <w:t>iii</w:t>
      </w:r>
      <w:proofErr w:type="spellEnd"/>
      <w:r w:rsidRPr="64F094BD">
        <w:rPr>
          <w:rFonts w:ascii="Verdana" w:eastAsia="Calibri" w:hAnsi="Verdana" w:cs="Arial"/>
          <w:color w:val="000000"/>
          <w:lang w:val="es-ES"/>
        </w:rPr>
        <w:t>) la fecha del acuerdo que disponga la terminación del contrato.</w:t>
      </w:r>
    </w:p>
    <w:p w14:paraId="58AF9D66" w14:textId="77777777" w:rsidR="00421F16" w:rsidRPr="004B5D6E" w:rsidRDefault="00421F16" w:rsidP="00421F16">
      <w:pPr>
        <w:spacing w:after="120" w:line="276" w:lineRule="auto"/>
        <w:ind w:firstLine="709"/>
        <w:jc w:val="both"/>
        <w:rPr>
          <w:rFonts w:ascii="Verdana" w:eastAsia="Times New Roman" w:hAnsi="Verdana" w:cs="Arial"/>
          <w:lang w:val="es-ES_tradnl" w:eastAsia="es-ES_tradnl"/>
        </w:rPr>
      </w:pPr>
      <w:r w:rsidRPr="00FB5FC4">
        <w:rPr>
          <w:rFonts w:ascii="Verdana" w:eastAsia="Times New Roman" w:hAnsi="Verdana" w:cs="Arial"/>
          <w:szCs w:val="24"/>
          <w:lang w:val="es-ES_tradnl" w:eastAsia="es-ES_tradnl"/>
        </w:rPr>
        <w:t xml:space="preserve">El </w:t>
      </w:r>
      <w:r w:rsidRPr="004B5D6E">
        <w:rPr>
          <w:rFonts w:ascii="Verdana" w:eastAsia="Times New Roman" w:hAnsi="Verdana" w:cs="Arial"/>
          <w:szCs w:val="24"/>
          <w:lang w:val="es-ES_tradnl" w:eastAsia="es-ES_tradnl"/>
        </w:rPr>
        <w:t>artículo 11 de la Ley 1150 de 2007 señala que la liquidación de mutuo acuerdo deberá realizar dentro del plazo previsto en “</w:t>
      </w:r>
      <w:r w:rsidRPr="004B5D6E">
        <w:rPr>
          <w:rFonts w:ascii="Verdana" w:eastAsia="Times New Roman" w:hAnsi="Verdana" w:cs="Arial"/>
          <w:lang w:val="es-ES_tradnl" w:eastAsia="es-ES_tradnl"/>
        </w:rPr>
        <w:t>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w:t>
      </w:r>
      <w:r w:rsidRPr="004B5D6E">
        <w:rPr>
          <w:rFonts w:ascii="Verdana" w:eastAsia="Times New Roman" w:hAnsi="Verdana" w:cs="Arial"/>
          <w:szCs w:val="24"/>
          <w:lang w:val="es-ES_tradnl" w:eastAsia="es-ES_tradnl"/>
        </w:rPr>
        <w:t xml:space="preserve">materializa los principios de planeación contractual y de trasparencia, comoquiera que su adecuada formulación permite o garantiza la selección objetiva del contratista de acuerdo con los parámetros de calificación correspondientes para cada tipo de </w:t>
      </w:r>
      <w:r w:rsidRPr="004B5D6E">
        <w:rPr>
          <w:rFonts w:ascii="Verdana" w:eastAsia="Times New Roman" w:hAnsi="Verdana" w:cs="Arial"/>
          <w:szCs w:val="24"/>
          <w:lang w:val="es-ES_tradnl" w:eastAsia="es-ES_tradnl"/>
        </w:rPr>
        <w:lastRenderedPageBreak/>
        <w:t>procedimiento [y que</w:t>
      </w:r>
      <w:r w:rsidRPr="004B5D6E">
        <w:rPr>
          <w:rFonts w:ascii="Verdana" w:eastAsia="Times New Roman" w:hAnsi="Verdana" w:cs="Arial"/>
          <w:lang w:val="es-ES_tradnl" w:eastAsia="es-ES_tradnl"/>
        </w:rPr>
        <w:t>] constituye la ley tanto del procedimiento administrativo de selección del contratista, como del contrato a</w:t>
      </w:r>
      <w:r w:rsidRPr="004B5D6E">
        <w:rPr>
          <w:rFonts w:ascii="Verdana" w:eastAsia="Times New Roman" w:hAnsi="Verdana" w:cs="Arial"/>
          <w:spacing w:val="-7"/>
          <w:lang w:val="es-ES_tradnl" w:eastAsia="es-ES_tradnl"/>
        </w:rPr>
        <w:t xml:space="preserve"> </w:t>
      </w:r>
      <w:r w:rsidRPr="004B5D6E">
        <w:rPr>
          <w:rFonts w:ascii="Verdana" w:eastAsia="Times New Roman" w:hAnsi="Verdana" w:cs="Arial"/>
          <w:lang w:val="es-ES_tradnl" w:eastAsia="es-ES_tradnl"/>
        </w:rPr>
        <w:t>celebrar”</w:t>
      </w:r>
      <w:r w:rsidRPr="004B5D6E">
        <w:rPr>
          <w:rFonts w:ascii="Verdana" w:eastAsia="Times New Roman" w:hAnsi="Verdana" w:cs="Arial"/>
          <w:vertAlign w:val="superscript"/>
          <w:lang w:val="es-ES_tradnl" w:eastAsia="es-ES_tradnl"/>
        </w:rPr>
        <w:footnoteReference w:id="7"/>
      </w:r>
      <w:r w:rsidRPr="004B5D6E">
        <w:rPr>
          <w:rFonts w:ascii="Verdana" w:eastAsia="Times New Roman" w:hAnsi="Verdana" w:cs="Arial"/>
          <w:lang w:val="es-ES_tradnl" w:eastAsia="es-ES_tradnl"/>
        </w:rPr>
        <w:t>. A partir de tales características debe determinarse la equivalencia de un documento con un pliego de condiciones, la cual se puede ejemplificar claramente con la invitación a participar en los procesos de mínima cuantía</w:t>
      </w:r>
      <w:r w:rsidRPr="004B5D6E">
        <w:rPr>
          <w:rFonts w:ascii="Verdana" w:eastAsia="Times New Roman" w:hAnsi="Verdana" w:cs="Arial"/>
          <w:vertAlign w:val="superscript"/>
          <w:lang w:val="es-ES_tradnl" w:eastAsia="es-ES_tradnl"/>
        </w:rPr>
        <w:footnoteReference w:id="8"/>
      </w:r>
      <w:r w:rsidRPr="004B5D6E">
        <w:rPr>
          <w:rFonts w:ascii="Verdana" w:eastAsia="Times New Roman" w:hAnsi="Verdana" w:cs="Arial"/>
          <w:lang w:val="es-ES_tradnl" w:eastAsia="es-ES_tradnl"/>
        </w:rPr>
        <w:t xml:space="preserve">, documento dentro del cual la entidad contratante debe fijar las reglas aplicables al procedimiento de selección, cumpliendo con la función del pliego de condiciones. En tal sentido, es un documento “equivalente” del mismo en los términos del artículo 11 </w:t>
      </w:r>
      <w:r w:rsidRPr="00A71E32">
        <w:rPr>
          <w:rFonts w:ascii="Verdana" w:eastAsia="Times New Roman" w:hAnsi="Verdana" w:cs="Arial"/>
          <w:i/>
          <w:iCs/>
          <w:lang w:val="es-ES_tradnl" w:eastAsia="es-ES_tradnl"/>
        </w:rPr>
        <w:t>ibidem</w:t>
      </w:r>
      <w:r w:rsidRPr="004B5D6E">
        <w:rPr>
          <w:rFonts w:ascii="Verdana" w:eastAsia="Times New Roman" w:hAnsi="Verdana" w:cs="Arial"/>
          <w:lang w:val="es-ES_tradnl" w:eastAsia="es-ES_tradnl"/>
        </w:rPr>
        <w:t xml:space="preserve">, dentro del cual es viable establecer el plazo para la liquidación de mutuo acuerdo. </w:t>
      </w:r>
    </w:p>
    <w:p w14:paraId="64362FCA" w14:textId="77777777" w:rsidR="00421F16" w:rsidRPr="00FB5FC4" w:rsidRDefault="00421F16" w:rsidP="00421F16">
      <w:pPr>
        <w:spacing w:after="120" w:line="276" w:lineRule="auto"/>
        <w:ind w:firstLine="709"/>
        <w:jc w:val="both"/>
        <w:rPr>
          <w:rFonts w:ascii="Verdana" w:eastAsia="Times New Roman" w:hAnsi="Verdana" w:cs="Arial"/>
          <w:lang w:val="es-ES_tradnl" w:eastAsia="es-ES_tradnl"/>
        </w:rPr>
      </w:pPr>
      <w:r w:rsidRPr="00FB5FC4">
        <w:rPr>
          <w:rFonts w:ascii="Verdana" w:eastAsia="Times New Roman" w:hAnsi="Verdana" w:cs="Arial"/>
          <w:lang w:val="es-ES_tradnl" w:eastAsia="es-ES_tradnl"/>
        </w:rPr>
        <w:t>De otra parte, cuando el artículo 11 de la Ley 1150 de 2007 hace referencia al término que “</w:t>
      </w:r>
      <w:r w:rsidRPr="004B5D6E">
        <w:rPr>
          <w:rFonts w:ascii="Verdana" w:eastAsia="Times New Roman" w:hAnsi="Verdana" w:cs="Arial"/>
          <w:lang w:val="es-ES_tradnl" w:eastAsia="es-ES_tradnl"/>
        </w:rPr>
        <w:t>acuerden las partes</w:t>
      </w:r>
      <w:r w:rsidRPr="00FB5FC4">
        <w:rPr>
          <w:rFonts w:ascii="Verdana" w:eastAsia="Times New Roman" w:hAnsi="Verdana" w:cs="Arial"/>
          <w:lang w:val="es-ES_tradnl" w:eastAsia="es-ES_tradnl"/>
        </w:rPr>
        <w:t xml:space="preserve">”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w:t>
      </w:r>
      <w:r>
        <w:rPr>
          <w:rFonts w:ascii="Verdana" w:eastAsia="Times New Roman" w:hAnsi="Verdana" w:cs="Arial"/>
          <w:lang w:val="es-ES_tradnl" w:eastAsia="es-ES_tradnl"/>
        </w:rPr>
        <w:t>implica</w:t>
      </w:r>
      <w:r w:rsidRPr="00FB5FC4">
        <w:rPr>
          <w:rFonts w:ascii="Verdana" w:eastAsia="Times New Roman" w:hAnsi="Verdana" w:cs="Arial"/>
          <w:lang w:val="es-ES_tradnl" w:eastAsia="es-ES_tradnl"/>
        </w:rPr>
        <w:t xml:space="preserve"> una modificación del contrato. Por tal razón, su celebración debe cumplir con los requisitos del negocio jurídico, ameritando la concurrencia de capacidad jurídica de los agentes, un consentimiento libre de vicios, un objeto y causa lícita, así como la </w:t>
      </w:r>
      <w:r>
        <w:rPr>
          <w:rFonts w:ascii="Verdana" w:eastAsia="Times New Roman" w:hAnsi="Verdana" w:cs="Arial"/>
          <w:lang w:val="es-ES_tradnl" w:eastAsia="es-ES_tradnl"/>
        </w:rPr>
        <w:t>formalidad escrita</w:t>
      </w:r>
      <w:r w:rsidRPr="00FB5FC4">
        <w:rPr>
          <w:rFonts w:ascii="Verdana" w:eastAsia="Times New Roman" w:hAnsi="Verdana" w:cs="Arial"/>
          <w:lang w:val="es-ES_tradnl" w:eastAsia="es-ES_tradnl"/>
        </w:rPr>
        <w:t xml:space="preserve"> requerida en materia de contratación estatal</w:t>
      </w:r>
      <w:r w:rsidRPr="00FB5FC4">
        <w:rPr>
          <w:rFonts w:ascii="Verdana" w:eastAsia="Times New Roman" w:hAnsi="Verdana" w:cs="Arial"/>
          <w:vertAlign w:val="superscript"/>
          <w:lang w:val="es-ES_tradnl" w:eastAsia="es-ES_tradnl"/>
        </w:rPr>
        <w:footnoteReference w:id="9"/>
      </w:r>
      <w:r w:rsidRPr="00FB5FC4">
        <w:rPr>
          <w:rFonts w:ascii="Verdana" w:eastAsia="Times New Roman" w:hAnsi="Verdana" w:cs="Arial"/>
          <w:lang w:val="es-ES_tradnl" w:eastAsia="es-ES_tradnl"/>
        </w:rPr>
        <w:t xml:space="preserve">. </w:t>
      </w:r>
    </w:p>
    <w:p w14:paraId="0DD43B24" w14:textId="77777777" w:rsidR="00421F16" w:rsidRPr="00FB5FC4" w:rsidRDefault="00421F16" w:rsidP="00421F16">
      <w:pPr>
        <w:spacing w:after="120" w:line="276" w:lineRule="auto"/>
        <w:ind w:firstLine="709"/>
        <w:jc w:val="both"/>
        <w:rPr>
          <w:rFonts w:ascii="Verdana" w:eastAsia="Calibri" w:hAnsi="Verdana" w:cs="Arial"/>
          <w:lang w:val="es-ES_tradnl"/>
        </w:rPr>
      </w:pPr>
      <w:r w:rsidRPr="00FB5FC4">
        <w:rPr>
          <w:rFonts w:ascii="Verdana" w:eastAsia="Calibri" w:hAnsi="Verdana" w:cs="Arial"/>
          <w:lang w:val="es-ES_tradnl"/>
        </w:rPr>
        <w:lastRenderedPageBreak/>
        <w:t>Ahora bien, el término de 4 meses previsto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FB5FC4">
        <w:rPr>
          <w:rFonts w:ascii="Verdana" w:eastAsia="Calibri" w:hAnsi="Verdana" w:cs="Arial"/>
          <w:vertAlign w:val="superscript"/>
          <w:lang w:val="es-ES_tradnl"/>
        </w:rPr>
        <w:footnoteReference w:id="10"/>
      </w:r>
      <w:r w:rsidRPr="00FB5FC4">
        <w:rPr>
          <w:rFonts w:ascii="Verdana" w:eastAsia="Calibri" w:hAnsi="Verdana" w:cs="Arial"/>
          <w:lang w:val="es-ES_tradnl"/>
        </w:rPr>
        <w:t>, lo cual implica que las mismas se desarrollen en procura de la economía y la celeridad</w:t>
      </w:r>
      <w:r w:rsidRPr="00FB5FC4">
        <w:rPr>
          <w:rFonts w:ascii="Verdana" w:eastAsia="Calibri" w:hAnsi="Verdana" w:cs="Arial"/>
          <w:vertAlign w:val="superscript"/>
          <w:lang w:val="es-ES_tradnl"/>
        </w:rPr>
        <w:footnoteReference w:id="11"/>
      </w:r>
      <w:r w:rsidRPr="00FB5FC4">
        <w:rPr>
          <w:rFonts w:ascii="Verdana" w:eastAsia="Calibri" w:hAnsi="Verdana" w:cs="Arial"/>
          <w:lang w:val="es-ES_tradnl"/>
        </w:rPr>
        <w:t>. Esto significa que, en ejercicio de la facultad que les asiste para fijar el plazo para la liquidación bilateral, las partes deben actuar en garantía de estos principios, por lo que el término que se acuerde debe fija</w:t>
      </w:r>
      <w:r>
        <w:rPr>
          <w:rFonts w:ascii="Verdana" w:eastAsia="Calibri" w:hAnsi="Verdana" w:cs="Arial"/>
          <w:lang w:val="es-ES_tradnl"/>
        </w:rPr>
        <w:t>rse</w:t>
      </w:r>
      <w:r w:rsidRPr="00FB5FC4">
        <w:rPr>
          <w:rFonts w:ascii="Verdana" w:eastAsia="Calibri" w:hAnsi="Verdana" w:cs="Arial"/>
          <w:lang w:val="es-ES_tradnl"/>
        </w:rPr>
        <w:t xml:space="preserve"> de manera razonable.</w:t>
      </w:r>
    </w:p>
    <w:p w14:paraId="21ED96FE" w14:textId="77777777" w:rsidR="00421F16" w:rsidRPr="00FB5FC4" w:rsidRDefault="00421F16" w:rsidP="00421F16">
      <w:pPr>
        <w:spacing w:after="120" w:line="276" w:lineRule="auto"/>
        <w:ind w:firstLine="709"/>
        <w:jc w:val="both"/>
        <w:rPr>
          <w:rFonts w:ascii="Verdana" w:eastAsia="Calibri" w:hAnsi="Verdana" w:cs="Arial"/>
          <w:color w:val="000000"/>
          <w:lang w:val="es-ES_tradnl"/>
        </w:rPr>
      </w:pPr>
      <w:r w:rsidRPr="00FB5FC4">
        <w:rPr>
          <w:rFonts w:ascii="Verdana" w:eastAsia="Calibri" w:hAnsi="Verdana" w:cs="Arial"/>
          <w:color w:val="000000"/>
          <w:lang w:val="es-ES_tradn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FB5FC4">
        <w:rPr>
          <w:rFonts w:ascii="Verdana" w:eastAsia="Calibri" w:hAnsi="Verdana" w:cs="Arial"/>
          <w:color w:val="000000"/>
          <w:vertAlign w:val="superscript"/>
          <w:lang w:val="es-ES_tradnl"/>
        </w:rPr>
        <w:footnoteReference w:id="12"/>
      </w:r>
      <w:r w:rsidRPr="00FB5FC4">
        <w:rPr>
          <w:rFonts w:ascii="Verdana" w:eastAsia="Calibri" w:hAnsi="Verdana" w:cs="Arial"/>
          <w:color w:val="000000"/>
          <w:lang w:val="es-ES_tradnl"/>
        </w:rPr>
        <w:t xml:space="preserve">, de manera que el contrato pueda ser liquidado bilateralmente, bien sea en el plazo previsto en el pliego de condiciones, el acordado por las partes, o el supletivo de cuatro meses señalado en la ley, según </w:t>
      </w:r>
      <w:r w:rsidRPr="00FB5FC4">
        <w:rPr>
          <w:rFonts w:ascii="Verdana" w:eastAsia="Calibri" w:hAnsi="Verdana" w:cs="Arial"/>
          <w:color w:val="000000"/>
          <w:lang w:val="es-ES_tradnl"/>
        </w:rPr>
        <w:lastRenderedPageBreak/>
        <w:t>corresponda. Esta liquidación bilateral puede ser total o parcial</w:t>
      </w:r>
      <w:r w:rsidRPr="00FB5FC4">
        <w:rPr>
          <w:rFonts w:ascii="Verdana" w:eastAsia="Calibri" w:hAnsi="Verdana" w:cs="Arial"/>
          <w:iCs/>
          <w:color w:val="000000"/>
          <w:vertAlign w:val="superscript"/>
          <w:lang w:val="es-ES_tradnl"/>
        </w:rPr>
        <w:footnoteReference w:id="13"/>
      </w:r>
      <w:r w:rsidRPr="00FB5FC4">
        <w:rPr>
          <w:rFonts w:ascii="Verdana" w:eastAsia="Calibri" w:hAnsi="Verdana" w:cs="Arial"/>
          <w:color w:val="000000"/>
          <w:lang w:val="es-ES_tradnl"/>
        </w:rPr>
        <w:t xml:space="preserve">, y </w:t>
      </w:r>
      <w:r w:rsidRPr="00FB5FC4">
        <w:rPr>
          <w:rFonts w:ascii="Verdana" w:eastAsia="Calibri" w:hAnsi="Verdana" w:cs="Arial"/>
          <w:iCs/>
          <w:color w:val="000000"/>
          <w:lang w:val="es-ES_tradnl"/>
        </w:rPr>
        <w:t>el documento que la contiene presta mérito ejecutivo, siempre que se satisfagan los elementos para considerarlo como tal</w:t>
      </w:r>
      <w:r w:rsidRPr="00FB5FC4">
        <w:rPr>
          <w:rFonts w:ascii="Verdana" w:eastAsia="Calibri" w:hAnsi="Verdana" w:cs="Arial"/>
          <w:color w:val="000000"/>
          <w:lang w:val="es-ES_tradnl"/>
        </w:rPr>
        <w:t>.</w:t>
      </w:r>
    </w:p>
    <w:p w14:paraId="32C6499E" w14:textId="77777777" w:rsidR="00421F16" w:rsidRPr="00FB5FC4" w:rsidRDefault="00421F16" w:rsidP="00421F16">
      <w:pPr>
        <w:spacing w:after="0" w:line="276" w:lineRule="auto"/>
        <w:ind w:firstLine="705"/>
        <w:jc w:val="both"/>
        <w:rPr>
          <w:rFonts w:ascii="Verdana" w:eastAsia="Times New Roman" w:hAnsi="Verdana" w:cs="Arial"/>
          <w:color w:val="000000"/>
          <w:lang w:eastAsia="es-ES_tradnl"/>
        </w:rPr>
      </w:pPr>
      <w:r w:rsidRPr="00FB5FC4">
        <w:rPr>
          <w:rFonts w:ascii="Verdana" w:eastAsia="Times New Roman" w:hAnsi="Verdana" w:cs="Arial"/>
          <w:color w:val="000000"/>
          <w:bdr w:val="none" w:sz="0" w:space="0" w:color="auto" w:frame="1"/>
          <w:shd w:val="clear" w:color="auto" w:fill="FFFFFF"/>
          <w:lang w:val="es-ES" w:eastAsia="es-ES_tradnl"/>
        </w:rPr>
        <w:t xml:space="preserve">Si no es posible efectuar la liquidación de manera bilateral, el ordenamiento jurídico prevé una facultad, de carácter subsidiario, para que la Entidad Estatal realice la liquidación unilateralmente. En relación con este aspecto, la </w:t>
      </w:r>
      <w:r w:rsidRPr="00FB5FC4">
        <w:rPr>
          <w:rFonts w:ascii="Verdana" w:eastAsia="Times New Roman" w:hAnsi="Verdana" w:cs="Arial"/>
          <w:color w:val="000000"/>
          <w:bdr w:val="none" w:sz="0" w:space="0" w:color="auto" w:frame="1"/>
          <w:shd w:val="clear" w:color="auto" w:fill="FFFFFF"/>
          <w:lang w:val="es-MX" w:eastAsia="es-ES_tradnl"/>
        </w:rPr>
        <w:t xml:space="preserve">Sala de Consulta y Servicio Civil del </w:t>
      </w:r>
      <w:r w:rsidRPr="00FB5FC4">
        <w:rPr>
          <w:rFonts w:ascii="Verdana" w:eastAsia="Times New Roman" w:hAnsi="Verdana" w:cs="Arial"/>
          <w:color w:val="000000"/>
          <w:bdr w:val="none" w:sz="0" w:space="0" w:color="auto" w:frame="1"/>
          <w:shd w:val="clear" w:color="auto" w:fill="FFFFFF"/>
          <w:lang w:val="es-ES" w:eastAsia="es-ES_tradnl"/>
        </w:rPr>
        <w:t>Consejo de Estado</w:t>
      </w:r>
      <w:r w:rsidRPr="00FB5FC4">
        <w:rPr>
          <w:rFonts w:ascii="Verdana" w:eastAsia="Times New Roman" w:hAnsi="Verdana" w:cs="Arial"/>
          <w:color w:val="000000"/>
          <w:bdr w:val="none" w:sz="0" w:space="0" w:color="auto" w:frame="1"/>
          <w:shd w:val="clear" w:color="auto" w:fill="FFFFFF"/>
          <w:lang w:val="es-MX" w:eastAsia="es-ES_tradnl"/>
        </w:rPr>
        <w:t>, en concepto del 28 de junio de 2016, manifestó que:  </w:t>
      </w:r>
    </w:p>
    <w:p w14:paraId="7C0306D7" w14:textId="77777777" w:rsidR="00421F16" w:rsidRPr="00FB5FC4" w:rsidRDefault="00421F16" w:rsidP="00421F16">
      <w:pPr>
        <w:spacing w:after="0" w:line="276" w:lineRule="auto"/>
        <w:ind w:left="705" w:right="750"/>
        <w:jc w:val="both"/>
        <w:rPr>
          <w:rFonts w:ascii="Verdana" w:eastAsia="Times New Roman" w:hAnsi="Verdana" w:cs="Arial"/>
          <w:color w:val="000000"/>
          <w:lang w:eastAsia="es-ES_tradnl"/>
        </w:rPr>
      </w:pPr>
    </w:p>
    <w:p w14:paraId="1B2A5B25" w14:textId="77777777" w:rsidR="00421F16" w:rsidRPr="00A71E32" w:rsidRDefault="00421F16" w:rsidP="00421F16">
      <w:pPr>
        <w:spacing w:after="0" w:line="240" w:lineRule="auto"/>
        <w:ind w:left="705" w:right="750"/>
        <w:jc w:val="both"/>
        <w:rPr>
          <w:rFonts w:ascii="Verdana" w:eastAsia="Times New Roman" w:hAnsi="Verdana" w:cs="Arial"/>
          <w:color w:val="000000"/>
          <w:sz w:val="20"/>
          <w:szCs w:val="20"/>
          <w:lang w:eastAsia="es-ES_tradnl"/>
        </w:rPr>
      </w:pPr>
      <w:r w:rsidRPr="00A71E32">
        <w:rPr>
          <w:rFonts w:ascii="Verdana" w:eastAsia="Times New Roman" w:hAnsi="Verdana" w:cs="Arial"/>
          <w:i/>
          <w:iCs/>
          <w:sz w:val="20"/>
          <w:szCs w:val="20"/>
          <w:lang w:val="es-ES_tradnl" w:eastAsia="es-ES_tradnl"/>
        </w:rPr>
        <w:t>“</w:t>
      </w:r>
      <w:r w:rsidRPr="00A71E32">
        <w:rPr>
          <w:rFonts w:ascii="Verdana" w:eastAsia="Calibri" w:hAnsi="Verdana" w:cs="Arial"/>
          <w:color w:val="000000"/>
          <w:sz w:val="20"/>
          <w:szCs w:val="20"/>
          <w:lang w:val="es-ES" w:eastAsia="es-ES_tradnl"/>
        </w:rPr>
        <w:t>[</w:t>
      </w:r>
      <w:r w:rsidRPr="00A71E32">
        <w:rPr>
          <w:rFonts w:ascii="Verdana" w:eastAsia="Times New Roman" w:hAnsi="Verdana" w:cs="Arial"/>
          <w:color w:val="000000"/>
          <w:sz w:val="20"/>
          <w:szCs w:val="20"/>
          <w:bdr w:val="none" w:sz="0" w:space="0" w:color="auto" w:frame="1"/>
          <w:shd w:val="clear" w:color="auto" w:fill="FFFFFF"/>
          <w:lang w:eastAsia="es-ES_tradnl"/>
        </w:rPr>
        <w:t xml:space="preserve">…] </w:t>
      </w:r>
      <w:r w:rsidRPr="00A71E32">
        <w:rPr>
          <w:rFonts w:ascii="Verdana" w:eastAsia="Times New Roman" w:hAnsi="Verdana" w:cs="Arial"/>
          <w:color w:val="000000"/>
          <w:sz w:val="20"/>
          <w:szCs w:val="20"/>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A71E32">
        <w:rPr>
          <w:rFonts w:ascii="Verdana" w:eastAsia="Times New Roman" w:hAnsi="Verdana" w:cs="Arial"/>
          <w:color w:val="000000"/>
          <w:sz w:val="20"/>
          <w:szCs w:val="20"/>
          <w:bdr w:val="none" w:sz="0" w:space="0" w:color="auto" w:frame="1"/>
          <w:shd w:val="clear" w:color="auto" w:fill="FFFFFF"/>
          <w:vertAlign w:val="superscript"/>
          <w:lang w:val="es-MX" w:eastAsia="es-ES_tradnl"/>
        </w:rPr>
        <w:footnoteReference w:id="14"/>
      </w:r>
      <w:r w:rsidRPr="00A71E32">
        <w:rPr>
          <w:rFonts w:ascii="Verdana" w:eastAsia="Times New Roman" w:hAnsi="Verdana" w:cs="Arial"/>
          <w:color w:val="000000"/>
          <w:sz w:val="20"/>
          <w:szCs w:val="20"/>
          <w:bdr w:val="none" w:sz="0" w:space="0" w:color="auto" w:frame="1"/>
          <w:shd w:val="clear" w:color="auto" w:fill="FFFFFF"/>
          <w:lang w:val="es-ES" w:eastAsia="es-ES_tradnl"/>
        </w:rPr>
        <w:t>. </w:t>
      </w:r>
      <w:r w:rsidRPr="00A71E32">
        <w:rPr>
          <w:rFonts w:ascii="Verdana" w:eastAsia="Times New Roman" w:hAnsi="Verdana" w:cs="Arial"/>
          <w:color w:val="000000"/>
          <w:sz w:val="20"/>
          <w:szCs w:val="20"/>
          <w:bdr w:val="none" w:sz="0" w:space="0" w:color="auto" w:frame="1"/>
          <w:shd w:val="clear" w:color="auto" w:fill="FFFFFF"/>
          <w:lang w:eastAsia="es-ES_tradnl"/>
        </w:rPr>
        <w:t>  </w:t>
      </w:r>
    </w:p>
    <w:p w14:paraId="42F769A4" w14:textId="77777777" w:rsidR="00421F16" w:rsidRPr="00FB5FC4" w:rsidRDefault="00421F16" w:rsidP="00421F16">
      <w:pPr>
        <w:spacing w:after="0" w:line="276" w:lineRule="auto"/>
        <w:ind w:left="705" w:right="750"/>
        <w:jc w:val="both"/>
        <w:rPr>
          <w:rFonts w:ascii="Verdana" w:eastAsia="Times New Roman" w:hAnsi="Verdana" w:cs="Arial"/>
          <w:color w:val="000000"/>
          <w:lang w:eastAsia="es-ES_tradnl"/>
        </w:rPr>
      </w:pPr>
    </w:p>
    <w:p w14:paraId="289C9232" w14:textId="77777777" w:rsidR="00421F16" w:rsidRPr="00FB5FC4" w:rsidRDefault="00421F16" w:rsidP="00421F16">
      <w:pPr>
        <w:spacing w:after="120" w:line="276" w:lineRule="auto"/>
        <w:ind w:firstLine="705"/>
        <w:jc w:val="both"/>
        <w:rPr>
          <w:rFonts w:ascii="Verdana" w:eastAsia="Times New Roman" w:hAnsi="Verdana" w:cs="Arial"/>
          <w:color w:val="000000"/>
          <w:lang w:eastAsia="es-ES_tradnl"/>
        </w:rPr>
      </w:pPr>
      <w:bookmarkStart w:id="9" w:name="_Hlk141851266"/>
      <w:r w:rsidRPr="00FB5FC4">
        <w:rPr>
          <w:rFonts w:ascii="Verdana" w:eastAsia="Times New Roman" w:hAnsi="Verdana" w:cs="Arial"/>
          <w:color w:val="000000"/>
          <w:bdr w:val="none" w:sz="0" w:space="0" w:color="auto"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p>
    <w:p w14:paraId="19A144EF" w14:textId="77777777" w:rsidR="00421F16" w:rsidRPr="00FB5FC4" w:rsidRDefault="00421F16" w:rsidP="00421F16">
      <w:pPr>
        <w:spacing w:after="0" w:line="276" w:lineRule="auto"/>
        <w:ind w:firstLine="705"/>
        <w:jc w:val="both"/>
        <w:rPr>
          <w:rFonts w:ascii="Verdana" w:eastAsia="Times New Roman" w:hAnsi="Verdana" w:cs="Arial"/>
          <w:color w:val="000000"/>
          <w:bdr w:val="none" w:sz="0" w:space="0" w:color="auto" w:frame="1"/>
          <w:shd w:val="clear" w:color="auto" w:fill="FFFFFF"/>
          <w:lang w:eastAsia="es-ES_tradnl"/>
        </w:rPr>
      </w:pPr>
      <w:r w:rsidRPr="00FB5FC4">
        <w:rPr>
          <w:rFonts w:ascii="Verdana" w:eastAsia="Times New Roman" w:hAnsi="Verdana" w:cs="Arial"/>
          <w:color w:val="000000"/>
          <w:bdr w:val="none" w:sz="0" w:space="0" w:color="auto" w:frame="1"/>
          <w:shd w:val="clear" w:color="auto" w:fill="FFFFFF"/>
          <w:lang w:val="es-ES" w:eastAsia="es-ES_tradn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w:t>
      </w:r>
      <w:r w:rsidRPr="00FB5FC4">
        <w:rPr>
          <w:rFonts w:ascii="Verdana" w:eastAsia="Times New Roman" w:hAnsi="Verdana" w:cs="Arial"/>
          <w:color w:val="000000"/>
          <w:bdr w:val="none" w:sz="0" w:space="0" w:color="auto" w:frame="1"/>
          <w:shd w:val="clear" w:color="auto" w:fill="FFFFFF"/>
          <w:lang w:val="es-ES" w:eastAsia="es-ES_tradnl"/>
        </w:rPr>
        <w:lastRenderedPageBreak/>
        <w:t xml:space="preserve">el interesado. </w:t>
      </w:r>
      <w:bookmarkEnd w:id="9"/>
      <w:r w:rsidRPr="00FB5FC4">
        <w:rPr>
          <w:rFonts w:ascii="Verdana" w:eastAsia="Times New Roman" w:hAnsi="Verdana" w:cs="Arial"/>
          <w:color w:val="000000"/>
          <w:bdr w:val="none" w:sz="0" w:space="0" w:color="auto" w:frame="1"/>
          <w:shd w:val="clear" w:color="auto" w:fill="FFFFFF"/>
          <w:lang w:val="es-ES" w:eastAsia="es-ES_tradnl"/>
        </w:rPr>
        <w:t xml:space="preserve">En este sentido, en decisión de unificación de la </w:t>
      </w:r>
      <w:r w:rsidRPr="00FB5FC4">
        <w:rPr>
          <w:rFonts w:ascii="Verdana" w:eastAsia="Times New Roman" w:hAnsi="Verdana" w:cs="Arial"/>
          <w:color w:val="000000"/>
          <w:bdr w:val="none" w:sz="0" w:space="0" w:color="auto" w:frame="1"/>
          <w:shd w:val="clear" w:color="auto" w:fill="FFFFFF"/>
          <w:lang w:val="es-MX" w:eastAsia="es-ES_tradnl"/>
        </w:rPr>
        <w:t>Sección Tercera</w:t>
      </w:r>
      <w:r w:rsidRPr="00FB5FC4">
        <w:rPr>
          <w:rFonts w:ascii="Verdana" w:eastAsia="Times New Roman" w:hAnsi="Verdana" w:cs="Arial"/>
          <w:color w:val="000000"/>
          <w:bdr w:val="none" w:sz="0" w:space="0" w:color="auto" w:frame="1"/>
          <w:shd w:val="clear" w:color="auto" w:fill="FFFFFF"/>
          <w:lang w:val="es-ES" w:eastAsia="es-ES_tradnl"/>
        </w:rPr>
        <w:t xml:space="preserve"> del Consejo de Estado del</w:t>
      </w:r>
      <w:r w:rsidRPr="00FB5FC4">
        <w:rPr>
          <w:rFonts w:ascii="Verdana" w:eastAsia="Times New Roman" w:hAnsi="Verdana" w:cs="Arial"/>
          <w:color w:val="000000"/>
          <w:bdr w:val="none" w:sz="0" w:space="0" w:color="auto" w:frame="1"/>
          <w:shd w:val="clear" w:color="auto" w:fill="FFFFFF"/>
          <w:lang w:val="es-MX" w:eastAsia="es-ES_tradnl"/>
        </w:rPr>
        <w:t> </w:t>
      </w:r>
      <w:r w:rsidRPr="00FB5FC4">
        <w:rPr>
          <w:rFonts w:ascii="Verdana" w:eastAsia="Times New Roman" w:hAnsi="Verdana" w:cs="Arial"/>
          <w:color w:val="000000"/>
          <w:bdr w:val="none" w:sz="0" w:space="0" w:color="auto" w:frame="1"/>
          <w:shd w:val="clear" w:color="auto" w:fill="FFFFFF"/>
          <w:lang w:eastAsia="es-ES_tradnl"/>
        </w:rPr>
        <w:t>1 de agosto de 2019, se expresó: </w:t>
      </w:r>
    </w:p>
    <w:p w14:paraId="5ADE4436" w14:textId="77777777" w:rsidR="00421F16" w:rsidRPr="00FB5FC4" w:rsidRDefault="00421F16" w:rsidP="00421F16">
      <w:pPr>
        <w:spacing w:after="0" w:line="276" w:lineRule="auto"/>
        <w:ind w:firstLine="705"/>
        <w:jc w:val="both"/>
        <w:rPr>
          <w:rFonts w:ascii="Verdana" w:eastAsia="Times New Roman" w:hAnsi="Verdana" w:cs="Arial"/>
          <w:color w:val="000000"/>
          <w:lang w:eastAsia="es-ES_tradnl"/>
        </w:rPr>
      </w:pPr>
    </w:p>
    <w:p w14:paraId="1BEBBF16" w14:textId="77777777" w:rsidR="00421F16" w:rsidRPr="00A71E32" w:rsidRDefault="00421F16" w:rsidP="00421F16">
      <w:pPr>
        <w:spacing w:after="0" w:line="240" w:lineRule="auto"/>
        <w:ind w:left="705" w:right="750"/>
        <w:jc w:val="both"/>
        <w:rPr>
          <w:rFonts w:ascii="Verdana" w:eastAsia="Times New Roman" w:hAnsi="Verdana" w:cs="Arial"/>
          <w:color w:val="000000"/>
          <w:sz w:val="20"/>
          <w:szCs w:val="20"/>
          <w:lang w:eastAsia="es-ES_tradnl"/>
        </w:rPr>
      </w:pP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lang w:val="es-ES" w:eastAsia="es-ES_tradn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A71E32">
        <w:rPr>
          <w:rFonts w:ascii="Verdana" w:eastAsia="Times New Roman" w:hAnsi="Verdana" w:cs="Arial"/>
          <w:color w:val="000000"/>
          <w:sz w:val="20"/>
          <w:szCs w:val="20"/>
          <w:bdr w:val="none" w:sz="0" w:space="0" w:color="auto" w:frame="1"/>
          <w:shd w:val="clear" w:color="auto" w:fill="FFFFFF"/>
          <w:lang w:val="es-ES" w:eastAsia="es-ES_tradnl"/>
        </w:rPr>
        <w:t>liquidatorio</w:t>
      </w:r>
      <w:proofErr w:type="spellEnd"/>
      <w:r w:rsidRPr="00A71E32">
        <w:rPr>
          <w:rFonts w:ascii="Verdana" w:eastAsia="Times New Roman" w:hAnsi="Verdana" w:cs="Arial"/>
          <w:color w:val="000000"/>
          <w:sz w:val="20"/>
          <w:szCs w:val="20"/>
          <w:bdr w:val="none" w:sz="0" w:space="0" w:color="auto" w:frame="1"/>
          <w:shd w:val="clear" w:color="auto" w:fill="FFFFFF"/>
          <w:lang w:val="es-ES" w:eastAsia="es-ES_tradnl"/>
        </w:rPr>
        <w:t> se logre dentro del lapso de dos años contados a partir del vencimiento del término legalmente conocido para la liquidación unilateral, pues ese es el lapso que el ordenamiento ha fijado para el ejercicio oportuno de la acción</w:t>
      </w: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vertAlign w:val="superscript"/>
          <w:lang w:eastAsia="es-ES_tradnl"/>
        </w:rPr>
        <w:t xml:space="preserve"> </w:t>
      </w:r>
      <w:r w:rsidRPr="00A71E32">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5"/>
      </w: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lang w:val="es-ES" w:eastAsia="es-ES_tradnl"/>
        </w:rPr>
        <w:t> </w:t>
      </w:r>
    </w:p>
    <w:p w14:paraId="3E0E5EF2" w14:textId="77777777" w:rsidR="00421F16" w:rsidRPr="00FB5FC4" w:rsidRDefault="00421F16" w:rsidP="00421F16">
      <w:pPr>
        <w:spacing w:after="0" w:line="276" w:lineRule="auto"/>
        <w:ind w:firstLine="708"/>
        <w:jc w:val="both"/>
        <w:rPr>
          <w:rFonts w:ascii="Verdana" w:eastAsia="Times New Roman" w:hAnsi="Verdana" w:cs="Arial"/>
          <w:color w:val="000000"/>
          <w:lang w:eastAsia="es-ES_tradnl"/>
        </w:rPr>
      </w:pPr>
    </w:p>
    <w:p w14:paraId="485D4D58" w14:textId="77777777" w:rsidR="00421F16" w:rsidRDefault="00421F16" w:rsidP="00421F16">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r>
      <w:r w:rsidRPr="00FB5FC4">
        <w:rPr>
          <w:rFonts w:ascii="Verdana" w:eastAsia="Times New Roman" w:hAnsi="Verdana" w:cs="Arial"/>
          <w:color w:val="000000"/>
          <w:bdr w:val="none" w:sz="0" w:space="0" w:color="auto" w:frame="1"/>
          <w:shd w:val="clear" w:color="auto" w:fill="FFFFFF"/>
          <w:lang w:eastAsia="es-ES_tradnl"/>
        </w:rPr>
        <w:t>A su turno</w:t>
      </w:r>
      <w:r>
        <w:rPr>
          <w:rFonts w:ascii="Verdana" w:eastAsia="Times New Roman" w:hAnsi="Verdana" w:cs="Arial"/>
          <w:color w:val="000000"/>
          <w:bdr w:val="none" w:sz="0" w:space="0" w:color="auto" w:frame="1"/>
          <w:shd w:val="clear" w:color="auto" w:fill="FFFFFF"/>
          <w:lang w:eastAsia="es-ES_tradnl"/>
        </w:rPr>
        <w:t xml:space="preserve">, la liquidación judicial hace parte de una de las pretensiones que admite el medio de control de controversias contractuales. Al respecto, el artículo 141 de la Ley 1437 de 2011 dispone que “[…] </w:t>
      </w:r>
      <w:r w:rsidRPr="00F915F3">
        <w:rPr>
          <w:rFonts w:ascii="Verdana" w:eastAsia="Times New Roman" w:hAnsi="Verdana" w:cs="Arial"/>
          <w:color w:val="000000"/>
          <w:bdr w:val="none" w:sz="0" w:space="0" w:color="auto" w:frame="1"/>
          <w:shd w:val="clear" w:color="auto" w:fill="FFFFFF"/>
          <w:lang w:eastAsia="es-ES_tradnl"/>
        </w:rPr>
        <w:t xml:space="preserve">el interesado podrá </w:t>
      </w:r>
      <w:bookmarkStart w:id="10" w:name="_Hlk172560769"/>
      <w:r w:rsidRPr="00F915F3">
        <w:rPr>
          <w:rFonts w:ascii="Verdana" w:eastAsia="Times New Roman" w:hAnsi="Verdana" w:cs="Arial"/>
          <w:color w:val="000000"/>
          <w:bdr w:val="none" w:sz="0" w:space="0" w:color="auto" w:frame="1"/>
          <w:shd w:val="clear" w:color="auto" w:fill="FFFFFF"/>
          <w:lang w:eastAsia="es-ES_tradnl"/>
        </w:rPr>
        <w:t>solicitar la liquidación judicial</w:t>
      </w:r>
      <w:bookmarkEnd w:id="10"/>
      <w:r w:rsidRPr="00F915F3">
        <w:rPr>
          <w:rFonts w:ascii="Verdana" w:eastAsia="Times New Roman" w:hAnsi="Verdana" w:cs="Arial"/>
          <w:color w:val="000000"/>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w:t>
      </w:r>
      <w:r>
        <w:rPr>
          <w:rFonts w:ascii="Verdana" w:eastAsia="Times New Roman" w:hAnsi="Verdana" w:cs="Arial"/>
          <w:color w:val="000000"/>
          <w:bdr w:val="none" w:sz="0" w:space="0" w:color="auto" w:frame="1"/>
          <w:shd w:val="clear" w:color="auto" w:fill="FFFFFF"/>
          <w:lang w:eastAsia="es-ES_tradnl"/>
        </w:rPr>
        <w:t>”</w:t>
      </w:r>
      <w:r w:rsidRPr="00F915F3">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Bajo esta perspectiva, para la entidad cesa la facultad de liquidar bilateral o unilateralmente, ya que el tema pasa de la administración a la jurisdicción.</w:t>
      </w:r>
    </w:p>
    <w:p w14:paraId="3E6D043B" w14:textId="77777777" w:rsidR="00421F16" w:rsidRDefault="00421F16" w:rsidP="00421F16">
      <w:pPr>
        <w:tabs>
          <w:tab w:val="left" w:pos="709"/>
        </w:tabs>
        <w:spacing w:after="120" w:line="276" w:lineRule="auto"/>
        <w:jc w:val="both"/>
        <w:rPr>
          <w:rFonts w:ascii="Verdana" w:eastAsia="Times New Roman" w:hAnsi="Verdana" w:cs="Arial"/>
          <w:color w:val="000000"/>
          <w:bdr w:val="none" w:sz="0" w:space="0" w:color="auto" w:frame="1"/>
          <w:shd w:val="clear" w:color="auto" w:fill="FFFFFF"/>
          <w:lang w:val="es-ES" w:eastAsia="es-ES"/>
        </w:rPr>
      </w:pPr>
      <w:r>
        <w:rPr>
          <w:rFonts w:ascii="Verdana" w:eastAsia="Times New Roman" w:hAnsi="Verdana" w:cs="Arial"/>
          <w:color w:val="000000"/>
          <w:bdr w:val="none" w:sz="0" w:space="0" w:color="auto" w:frame="1"/>
          <w:shd w:val="clear" w:color="auto" w:fill="FFFFFF"/>
          <w:lang w:eastAsia="es-ES_tradnl"/>
        </w:rPr>
        <w:tab/>
      </w:r>
      <w:r w:rsidRPr="64F094BD">
        <w:rPr>
          <w:rFonts w:ascii="Verdana" w:eastAsia="Times New Roman" w:hAnsi="Verdana" w:cs="Arial"/>
          <w:color w:val="000000"/>
          <w:bdr w:val="none" w:sz="0" w:space="0" w:color="auto" w:frame="1"/>
          <w:shd w:val="clear" w:color="auto" w:fill="FFFFFF"/>
          <w:lang w:val="es-ES" w:eastAsia="es-ES"/>
        </w:rPr>
        <w:t xml:space="preserve">En suma, de acuerdo con el artículo 11 de la Ley 1150 de 2007, existen tres (3) tipos de liquidación: i) bilateral, </w:t>
      </w:r>
      <w:proofErr w:type="spellStart"/>
      <w:r w:rsidRPr="64F094BD">
        <w:rPr>
          <w:rFonts w:ascii="Verdana" w:eastAsia="Times New Roman" w:hAnsi="Verdana" w:cs="Arial"/>
          <w:color w:val="000000"/>
          <w:bdr w:val="none" w:sz="0" w:space="0" w:color="auto" w:frame="1"/>
          <w:shd w:val="clear" w:color="auto" w:fill="FFFFFF"/>
          <w:lang w:val="es-ES" w:eastAsia="es-ES"/>
        </w:rPr>
        <w:t>ii</w:t>
      </w:r>
      <w:proofErr w:type="spellEnd"/>
      <w:r w:rsidRPr="64F094BD">
        <w:rPr>
          <w:rFonts w:ascii="Verdana" w:eastAsia="Times New Roman" w:hAnsi="Verdana" w:cs="Arial"/>
          <w:color w:val="000000"/>
          <w:bdr w:val="none" w:sz="0" w:space="0" w:color="auto" w:frame="1"/>
          <w:shd w:val="clear" w:color="auto" w:fill="FFFFFF"/>
          <w:lang w:val="es-ES" w:eastAsia="es-ES"/>
        </w:rPr>
        <w:t xml:space="preserve">) unilateral y </w:t>
      </w:r>
      <w:proofErr w:type="spellStart"/>
      <w:r w:rsidRPr="64F094BD">
        <w:rPr>
          <w:rFonts w:ascii="Verdana" w:eastAsia="Times New Roman" w:hAnsi="Verdana" w:cs="Arial"/>
          <w:color w:val="000000"/>
          <w:bdr w:val="none" w:sz="0" w:space="0" w:color="auto" w:frame="1"/>
          <w:shd w:val="clear" w:color="auto" w:fill="FFFFFF"/>
          <w:lang w:val="es-ES" w:eastAsia="es-ES"/>
        </w:rPr>
        <w:t>iii</w:t>
      </w:r>
      <w:proofErr w:type="spellEnd"/>
      <w:r w:rsidRPr="64F094BD">
        <w:rPr>
          <w:rFonts w:ascii="Verdana" w:eastAsia="Times New Roman" w:hAnsi="Verdana" w:cs="Arial"/>
          <w:color w:val="000000"/>
          <w:bdr w:val="none" w:sz="0" w:space="0" w:color="auto" w:frame="1"/>
          <w:shd w:val="clear" w:color="auto" w:fill="FFFFFF"/>
          <w:lang w:val="es-ES" w:eastAsia="es-ES"/>
        </w:rPr>
        <w:t xml:space="preserve">)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w:t>
      </w:r>
      <w:r w:rsidRPr="64F094BD">
        <w:rPr>
          <w:rFonts w:ascii="Verdana" w:eastAsia="Times New Roman" w:hAnsi="Verdana" w:cs="Arial"/>
          <w:color w:val="000000"/>
          <w:bdr w:val="none" w:sz="0" w:space="0" w:color="auto" w:frame="1"/>
          <w:shd w:val="clear" w:color="auto" w:fill="FFFFFF"/>
          <w:lang w:val="es-ES" w:eastAsia="es-ES"/>
        </w:rPr>
        <w:lastRenderedPageBreak/>
        <w:t>dos (2) años contados a partir de los dos meses establecidos en la Ley para realizar la liquidación unilateral.</w:t>
      </w:r>
    </w:p>
    <w:p w14:paraId="77482E69" w14:textId="77777777" w:rsidR="00421F16" w:rsidRPr="00882C9A" w:rsidRDefault="00421F16" w:rsidP="00421F16">
      <w:pPr>
        <w:spacing w:after="0" w:line="276" w:lineRule="auto"/>
        <w:ind w:firstLine="708"/>
        <w:jc w:val="both"/>
        <w:rPr>
          <w:rFonts w:ascii="Verdana" w:eastAsia="Times New Roman" w:hAnsi="Verdana" w:cs="Arial"/>
          <w:color w:val="000000" w:themeColor="text1"/>
          <w:lang w:eastAsia="es-CO"/>
        </w:rPr>
      </w:pPr>
      <w:r w:rsidRPr="00882C9A">
        <w:rPr>
          <w:rFonts w:ascii="Verdana" w:eastAsia="Times New Roman" w:hAnsi="Verdana" w:cs="Arial"/>
          <w:color w:val="000000" w:themeColor="text1"/>
          <w:lang w:eastAsia="es-CO"/>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14:paraId="27297053" w14:textId="77777777" w:rsidR="00421F16" w:rsidRPr="00882C9A" w:rsidRDefault="00421F16" w:rsidP="00421F16">
      <w:pPr>
        <w:spacing w:after="0" w:line="276" w:lineRule="auto"/>
        <w:jc w:val="both"/>
        <w:rPr>
          <w:rFonts w:ascii="Verdana" w:eastAsia="Times New Roman" w:hAnsi="Verdana" w:cs="Arial"/>
          <w:color w:val="000000" w:themeColor="text1"/>
          <w:lang w:eastAsia="es-CO"/>
        </w:rPr>
      </w:pPr>
    </w:p>
    <w:p w14:paraId="7BC6F57E" w14:textId="77777777" w:rsidR="00421F16" w:rsidRPr="00882C9A" w:rsidRDefault="00421F16" w:rsidP="00421F16">
      <w:pPr>
        <w:spacing w:after="0" w:line="240" w:lineRule="auto"/>
        <w:ind w:left="709" w:right="709"/>
        <w:jc w:val="both"/>
        <w:rPr>
          <w:rFonts w:ascii="Verdana" w:eastAsia="Times New Roman" w:hAnsi="Verdana" w:cs="Arial"/>
          <w:color w:val="000000" w:themeColor="text1"/>
          <w:sz w:val="20"/>
          <w:szCs w:val="20"/>
          <w:lang w:eastAsia="es-CO"/>
        </w:rPr>
      </w:pPr>
      <w:r w:rsidRPr="00882C9A">
        <w:rPr>
          <w:rFonts w:ascii="Verdana" w:eastAsia="Times New Roman" w:hAnsi="Verdana" w:cs="Arial"/>
          <w:color w:val="000000" w:themeColor="text1"/>
          <w:sz w:val="20"/>
          <w:szCs w:val="20"/>
          <w:lang w:eastAsia="es-CO"/>
        </w:rPr>
        <w:t>“Suele argüirse, en la práctica, que es factible efectuar la liquidación del contrato, así haya operado la caducidad de la acción, con base en la 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liquidar el contrato estatal, luego de expirado el término de caducidad del medio de control de controversias contractuales”</w:t>
      </w:r>
      <w:r w:rsidRPr="00882C9A">
        <w:rPr>
          <w:rStyle w:val="Refdenotaalpie"/>
          <w:rFonts w:ascii="Verdana" w:eastAsia="Times New Roman" w:hAnsi="Verdana" w:cs="Arial"/>
          <w:color w:val="000000" w:themeColor="text1"/>
          <w:sz w:val="20"/>
          <w:szCs w:val="20"/>
          <w:lang w:eastAsia="es-CO"/>
        </w:rPr>
        <w:footnoteReference w:id="16"/>
      </w:r>
      <w:r w:rsidRPr="00882C9A">
        <w:rPr>
          <w:rFonts w:ascii="Verdana" w:eastAsia="Times New Roman" w:hAnsi="Verdana" w:cs="Arial"/>
          <w:color w:val="000000" w:themeColor="text1"/>
          <w:sz w:val="20"/>
          <w:szCs w:val="20"/>
          <w:lang w:eastAsia="es-CO"/>
        </w:rPr>
        <w:t xml:space="preserve">.   </w:t>
      </w:r>
    </w:p>
    <w:p w14:paraId="1AC4DEB5" w14:textId="77777777" w:rsidR="00421F16" w:rsidRPr="00882C9A" w:rsidRDefault="00421F16" w:rsidP="00421F16">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DA089DE" w14:textId="77777777" w:rsidR="00421F16" w:rsidRDefault="00421F16" w:rsidP="00421F16">
      <w:pPr>
        <w:tabs>
          <w:tab w:val="left" w:pos="709"/>
        </w:tabs>
        <w:spacing w:after="120" w:line="276" w:lineRule="auto"/>
        <w:jc w:val="both"/>
        <w:rPr>
          <w:rFonts w:ascii="Verdana" w:eastAsia="Calibri" w:hAnsi="Verdana" w:cs="Arial"/>
          <w:color w:val="000000"/>
          <w:lang w:val="es-ES" w:eastAsia="es-ES"/>
        </w:rPr>
      </w:pPr>
      <w:r>
        <w:rPr>
          <w:rFonts w:ascii="Verdana" w:eastAsia="Times New Roman" w:hAnsi="Verdana" w:cs="Arial"/>
          <w:color w:val="000000"/>
          <w:bdr w:val="none" w:sz="0" w:space="0" w:color="auto" w:frame="1"/>
          <w:shd w:val="clear" w:color="auto" w:fill="FFFFFF"/>
          <w:lang w:eastAsia="es-ES_tradnl"/>
        </w:rPr>
        <w:tab/>
      </w:r>
      <w:r>
        <w:rPr>
          <w:rFonts w:ascii="Verdana" w:eastAsia="Calibri" w:hAnsi="Verdana" w:cs="Arial"/>
          <w:color w:val="000000"/>
          <w:lang w:val="es-ES" w:eastAsia="es-ES"/>
        </w:rPr>
        <w:t xml:space="preserve">En consecuencia, </w:t>
      </w:r>
      <w:r w:rsidRPr="00851576">
        <w:rPr>
          <w:rFonts w:ascii="Verdana" w:eastAsia="Calibri" w:hAnsi="Verdana" w:cs="Arial"/>
          <w:color w:val="000000"/>
          <w:lang w:val="es-ES" w:eastAsia="es-ES"/>
        </w:rPr>
        <w:t xml:space="preserve">dentro de los límites previstos en el </w:t>
      </w:r>
      <w:r>
        <w:rPr>
          <w:rFonts w:ascii="Verdana" w:eastAsia="Calibri" w:hAnsi="Verdana" w:cs="Arial"/>
          <w:color w:val="000000"/>
          <w:lang w:val="es-ES" w:eastAsia="es-ES"/>
        </w:rPr>
        <w:t xml:space="preserve">literal j) del </w:t>
      </w:r>
      <w:r w:rsidRPr="00851576">
        <w:rPr>
          <w:rFonts w:ascii="Verdana" w:eastAsia="Calibri" w:hAnsi="Verdana" w:cs="Arial"/>
          <w:color w:val="000000"/>
          <w:lang w:val="es-ES" w:eastAsia="es-ES"/>
        </w:rPr>
        <w:t>artículo 164</w:t>
      </w:r>
      <w:r>
        <w:rPr>
          <w:rFonts w:ascii="Verdana" w:eastAsia="Calibri" w:hAnsi="Verdana" w:cs="Arial"/>
          <w:color w:val="000000"/>
          <w:lang w:val="es-ES" w:eastAsia="es-ES"/>
        </w:rPr>
        <w:t>.2</w:t>
      </w:r>
      <w:r w:rsidRPr="00851576">
        <w:rPr>
          <w:rFonts w:ascii="Verdana" w:eastAsia="Calibri" w:hAnsi="Verdana" w:cs="Arial"/>
          <w:color w:val="000000"/>
          <w:lang w:val="es-ES" w:eastAsia="es-ES"/>
        </w:rPr>
        <w:t xml:space="preserve"> de la Ley 1437 de 2011</w:t>
      </w:r>
      <w:r>
        <w:rPr>
          <w:rFonts w:ascii="Verdana" w:eastAsia="Calibri" w:hAnsi="Verdana" w:cs="Arial"/>
          <w:color w:val="000000"/>
          <w:lang w:val="es-ES" w:eastAsia="es-ES"/>
        </w:rPr>
        <w:t xml:space="preserve">,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w:t>
      </w:r>
    </w:p>
    <w:p w14:paraId="62D5C165" w14:textId="77777777" w:rsidR="00421F16" w:rsidRDefault="00421F16" w:rsidP="00421F16">
      <w:pPr>
        <w:spacing w:after="120" w:line="276" w:lineRule="auto"/>
        <w:ind w:firstLine="733"/>
        <w:jc w:val="both"/>
        <w:rPr>
          <w:rFonts w:ascii="Verdana" w:eastAsia="Calibri" w:hAnsi="Verdana" w:cs="Arial"/>
          <w:color w:val="000000"/>
          <w:lang w:val="es-ES" w:eastAsia="es-ES"/>
        </w:rPr>
      </w:pPr>
      <w:r>
        <w:rPr>
          <w:rFonts w:ascii="Verdana" w:eastAsia="Calibri" w:hAnsi="Verdana" w:cs="Arial"/>
          <w:color w:val="000000"/>
          <w:lang w:val="es-ES" w:eastAsia="es-ES"/>
        </w:rPr>
        <w:t xml:space="preserve">Cualquier liquidación efectuada después de la caducidad del medio de control implica la pérdida de competencia temporal, por lo que está viciada de </w:t>
      </w:r>
      <w:r>
        <w:rPr>
          <w:rFonts w:ascii="Verdana" w:eastAsia="Calibri" w:hAnsi="Verdana" w:cs="Arial"/>
          <w:color w:val="000000"/>
          <w:lang w:val="es-ES" w:eastAsia="es-ES"/>
        </w:rPr>
        <w:lastRenderedPageBreak/>
        <w:t xml:space="preserve">nulidad. En este caso, el plazo correspondiente se rige por el </w:t>
      </w:r>
      <w:r w:rsidRPr="00E8503C">
        <w:rPr>
          <w:rFonts w:ascii="Verdana" w:eastAsia="Calibri" w:hAnsi="Verdana" w:cs="Arial"/>
          <w:color w:val="000000"/>
          <w:lang w:val="es-ES" w:eastAsia="es-ES"/>
        </w:rPr>
        <w:t>ap</w:t>
      </w:r>
      <w:r>
        <w:rPr>
          <w:rFonts w:ascii="Verdana" w:eastAsia="Calibri" w:hAnsi="Verdana" w:cs="Arial"/>
          <w:color w:val="000000"/>
          <w:lang w:val="es-ES" w:eastAsia="es-ES"/>
        </w:rPr>
        <w:t>artado</w:t>
      </w:r>
      <w:r w:rsidRPr="00E8503C">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v </w:t>
      </w:r>
      <w:r w:rsidRPr="00E8503C">
        <w:rPr>
          <w:rFonts w:ascii="Verdana" w:eastAsia="Calibri" w:hAnsi="Verdana" w:cs="Arial"/>
          <w:color w:val="000000"/>
          <w:lang w:val="es-ES" w:eastAsia="es-ES"/>
        </w:rPr>
        <w:t xml:space="preserve">del literal </w:t>
      </w:r>
      <w:r>
        <w:rPr>
          <w:rFonts w:ascii="Verdana" w:eastAsia="Calibri" w:hAnsi="Verdana" w:cs="Arial"/>
          <w:color w:val="000000"/>
          <w:lang w:val="es-ES" w:eastAsia="es-ES"/>
        </w:rPr>
        <w:t>j)</w:t>
      </w:r>
      <w:r w:rsidRPr="00E8503C">
        <w:rPr>
          <w:rFonts w:ascii="Verdana" w:eastAsia="Calibri" w:hAnsi="Verdana" w:cs="Arial"/>
          <w:color w:val="000000"/>
          <w:lang w:val="es-ES" w:eastAsia="es-ES"/>
        </w:rPr>
        <w:t xml:space="preserve"> del numeral 2 del artículo 164 del CPACA</w:t>
      </w:r>
      <w:r>
        <w:rPr>
          <w:rFonts w:ascii="Verdana" w:eastAsia="Calibri" w:hAnsi="Verdana" w:cs="Arial"/>
          <w:color w:val="000000"/>
          <w:lang w:val="es-ES" w:eastAsia="es-ES"/>
        </w:rPr>
        <w:t>, de manera que e</w:t>
      </w:r>
      <w:r w:rsidRPr="00E8503C">
        <w:rPr>
          <w:rFonts w:ascii="Verdana" w:eastAsia="Calibri" w:hAnsi="Verdana" w:cs="Arial"/>
          <w:color w:val="000000"/>
          <w:lang w:val="es-ES" w:eastAsia="es-ES"/>
        </w:rPr>
        <w:t>n los</w:t>
      </w:r>
      <w:r>
        <w:rPr>
          <w:rFonts w:ascii="Verdana" w:eastAsia="Calibri" w:hAnsi="Verdana" w:cs="Arial"/>
          <w:color w:val="000000"/>
          <w:lang w:val="es-ES" w:eastAsia="es-ES"/>
        </w:rPr>
        <w:t xml:space="preserve"> contratos</w:t>
      </w:r>
      <w:r w:rsidRPr="00E8503C">
        <w:rPr>
          <w:rFonts w:ascii="Verdana" w:eastAsia="Calibri" w:hAnsi="Verdana" w:cs="Arial"/>
          <w:color w:val="000000"/>
          <w:lang w:val="es-ES" w:eastAsia="es-ES"/>
        </w:rPr>
        <w:t xml:space="preserve"> que requieran de liquidación y esta no se logre por mutuo acuerdo o no se practique por la administración unilateralmente</w:t>
      </w:r>
      <w:r>
        <w:rPr>
          <w:rFonts w:ascii="Verdana" w:eastAsia="Calibri" w:hAnsi="Verdana" w:cs="Arial"/>
          <w:color w:val="000000"/>
          <w:lang w:val="es-ES" w:eastAsia="es-ES"/>
        </w:rPr>
        <w:t>, la caducidad se presenta dentro de los dos (2) años siguientes al vencimiento de ambos.</w:t>
      </w:r>
    </w:p>
    <w:p w14:paraId="3D691EED" w14:textId="77777777" w:rsidR="00421F16" w:rsidRPr="00E8503C" w:rsidRDefault="00421F16" w:rsidP="00421F16">
      <w:pPr>
        <w:spacing w:after="0" w:line="276" w:lineRule="auto"/>
        <w:ind w:firstLine="733"/>
        <w:jc w:val="both"/>
        <w:rPr>
          <w:rFonts w:ascii="Verdana" w:eastAsia="Calibri" w:hAnsi="Verdana" w:cs="Arial"/>
          <w:color w:val="000000"/>
          <w:lang w:val="es-ES" w:eastAsia="es-ES"/>
        </w:rPr>
      </w:pPr>
      <w:r>
        <w:rPr>
          <w:rFonts w:ascii="Verdana" w:eastAsia="Calibri" w:hAnsi="Verdana" w:cs="Arial"/>
          <w:color w:val="000000"/>
          <w:lang w:val="es-ES" w:eastAsia="es-ES"/>
        </w:rPr>
        <w:t xml:space="preserve">Es decir, no aplica el término de caducidad del apartado </w:t>
      </w:r>
      <w:proofErr w:type="spellStart"/>
      <w:r>
        <w:rPr>
          <w:rFonts w:ascii="Verdana" w:eastAsia="Calibri" w:hAnsi="Verdana" w:cs="Arial"/>
          <w:color w:val="000000"/>
          <w:lang w:val="es-ES" w:eastAsia="es-ES"/>
        </w:rPr>
        <w:t>iii</w:t>
      </w:r>
      <w:proofErr w:type="spellEnd"/>
      <w:r>
        <w:rPr>
          <w:rFonts w:ascii="Verdana" w:eastAsia="Calibri" w:hAnsi="Verdana" w:cs="Arial"/>
          <w:color w:val="000000"/>
          <w:lang w:val="es-ES" w:eastAsia="es-ES"/>
        </w:rPr>
        <w:t xml:space="preserve"> </w:t>
      </w:r>
      <w:r w:rsidRPr="00735716">
        <w:rPr>
          <w:rFonts w:ascii="Verdana" w:eastAsia="Calibri" w:hAnsi="Verdana" w:cs="Arial"/>
          <w:i/>
          <w:iCs/>
          <w:color w:val="000000"/>
          <w:lang w:val="es-ES" w:eastAsia="es-ES"/>
        </w:rPr>
        <w:t>ibidem</w:t>
      </w:r>
      <w:r>
        <w:rPr>
          <w:rFonts w:ascii="Verdana" w:eastAsia="Calibri" w:hAnsi="Verdana" w:cs="Arial"/>
          <w:color w:val="000000"/>
          <w:lang w:val="es-ES" w:eastAsia="es-ES"/>
        </w:rPr>
        <w:t xml:space="preserve">. Lo anterior en la medida que, conforme al Auto de Unificación del 1˚ de agosto de 2019, rad. 62009, con ponencia del </w:t>
      </w:r>
      <w:proofErr w:type="gramStart"/>
      <w:r>
        <w:rPr>
          <w:rFonts w:ascii="Verdana" w:eastAsia="Calibri" w:hAnsi="Verdana" w:cs="Arial"/>
          <w:color w:val="000000"/>
          <w:lang w:val="es-ES" w:eastAsia="es-ES"/>
        </w:rPr>
        <w:t>Consejero</w:t>
      </w:r>
      <w:proofErr w:type="gramEnd"/>
      <w:r>
        <w:rPr>
          <w:rFonts w:ascii="Verdana" w:eastAsia="Calibri" w:hAnsi="Verdana" w:cs="Arial"/>
          <w:color w:val="000000"/>
          <w:lang w:val="es-ES" w:eastAsia="es-ES"/>
        </w:rPr>
        <w:t xml:space="preserve"> J</w:t>
      </w:r>
      <w:r w:rsidRPr="00735716">
        <w:rPr>
          <w:rFonts w:ascii="Verdana" w:eastAsia="Calibri" w:hAnsi="Verdana" w:cs="Arial"/>
          <w:color w:val="000000"/>
          <w:lang w:val="es-ES" w:eastAsia="es-ES"/>
        </w:rPr>
        <w:t>aime Enrique Rodríguez Navas</w:t>
      </w:r>
      <w:r>
        <w:rPr>
          <w:rFonts w:ascii="Verdana" w:eastAsia="Calibri" w:hAnsi="Verdana" w:cs="Arial"/>
          <w:color w:val="000000"/>
          <w:lang w:val="es-ES" w:eastAsia="es-ES"/>
        </w:rPr>
        <w:t>, se decidió lo siguiente: “</w:t>
      </w:r>
      <w:r w:rsidRPr="00735716">
        <w:rPr>
          <w:rFonts w:ascii="Verdana" w:eastAsia="Calibri" w:hAnsi="Verdana" w:cs="Arial"/>
          <w:color w:val="000000"/>
          <w:lang w:val="es-ES" w:eastAsia="es-ES"/>
        </w:rPr>
        <w:t xml:space="preserve">UNIFÍCASE la jurisprudencia de la Sección Tercera del Consejo de Estado, en relación con el término de caducidad del medio de control de controversias contractuales de contratos que han sido liquidados después de haber vencido el término convencional y-o legalmente dispuesto para su liquidación, pero dentro de los dos años posteriores al vencimiento de este último. </w:t>
      </w:r>
      <w:r w:rsidRPr="00735716">
        <w:rPr>
          <w:rFonts w:ascii="Verdana" w:eastAsia="Calibri" w:hAnsi="Verdana" w:cs="Arial"/>
          <w:i/>
          <w:iCs/>
          <w:color w:val="000000"/>
          <w:lang w:val="es-ES" w:eastAsia="es-ES"/>
        </w:rPr>
        <w:t xml:space="preserve">La Sala unifica el criterio que ha de ser observado para  el conteo del término de caducidad del medio de control de controversias contractuales en tales casos, para indicar que éste debe iniciar a partir del día siguiente al de la firma del acta o de la ejecutoria del acto de liquidación del contrato, conforme al ap. </w:t>
      </w:r>
      <w:proofErr w:type="spellStart"/>
      <w:r w:rsidRPr="00735716">
        <w:rPr>
          <w:rFonts w:ascii="Verdana" w:eastAsia="Calibri" w:hAnsi="Verdana" w:cs="Arial"/>
          <w:i/>
          <w:iCs/>
          <w:color w:val="000000"/>
          <w:lang w:val="es-ES" w:eastAsia="es-ES"/>
        </w:rPr>
        <w:t>iii</w:t>
      </w:r>
      <w:proofErr w:type="spellEnd"/>
      <w:r w:rsidRPr="00735716">
        <w:rPr>
          <w:rFonts w:ascii="Verdana" w:eastAsia="Calibri" w:hAnsi="Verdana" w:cs="Arial"/>
          <w:i/>
          <w:iCs/>
          <w:color w:val="000000"/>
          <w:lang w:val="es-ES" w:eastAsia="es-ES"/>
        </w:rPr>
        <w:t xml:space="preserve"> del literal j. del numeral 2 del artículo 164 del CPACA; y de precisar que, en consecuencia, el apartado v) del literal j del mismo numeral solo se deberá aplicar cuando al momento de interponerse la demanda, el operador judicial encuentre que no hubo liquidación contractual alguna</w:t>
      </w:r>
      <w:r>
        <w:rPr>
          <w:rFonts w:ascii="Verdana" w:eastAsia="Calibri" w:hAnsi="Verdana" w:cs="Arial"/>
          <w:color w:val="000000"/>
          <w:lang w:val="es-ES" w:eastAsia="es-ES"/>
        </w:rPr>
        <w:t xml:space="preserve">” (Énfasis fuera de texto). </w:t>
      </w:r>
    </w:p>
    <w:p w14:paraId="04D43EC5" w14:textId="77777777" w:rsidR="00421F16" w:rsidRDefault="00421F16" w:rsidP="00421F16">
      <w:pPr>
        <w:tabs>
          <w:tab w:val="left" w:pos="709"/>
        </w:tabs>
        <w:spacing w:after="0" w:line="276" w:lineRule="auto"/>
        <w:jc w:val="both"/>
        <w:rPr>
          <w:rFonts w:ascii="Verdana" w:eastAsia="Calibri" w:hAnsi="Verdana" w:cs="Arial"/>
          <w:color w:val="000000"/>
          <w:lang w:val="es-ES" w:eastAsia="es-ES"/>
        </w:rPr>
      </w:pPr>
    </w:p>
    <w:p w14:paraId="5D78C8C8" w14:textId="77777777" w:rsidR="00421F16" w:rsidRPr="001D6F6E" w:rsidRDefault="00421F16" w:rsidP="00421F16">
      <w:pPr>
        <w:spacing w:after="0" w:line="276" w:lineRule="auto"/>
        <w:jc w:val="both"/>
        <w:rPr>
          <w:rFonts w:ascii="Verdana" w:hAnsi="Verdana" w:cs="Arial"/>
        </w:rPr>
      </w:pPr>
      <w:proofErr w:type="spellStart"/>
      <w:r>
        <w:rPr>
          <w:rFonts w:ascii="Verdana" w:eastAsia="Calibri" w:hAnsi="Verdana" w:cs="Arial"/>
          <w:color w:val="000000"/>
          <w:lang w:val="es-ES" w:eastAsia="es-ES"/>
        </w:rPr>
        <w:t>ii</w:t>
      </w:r>
      <w:proofErr w:type="spellEnd"/>
      <w:r>
        <w:rPr>
          <w:rFonts w:ascii="Verdana" w:eastAsia="Calibri" w:hAnsi="Verdana" w:cs="Arial"/>
          <w:color w:val="000000"/>
          <w:lang w:val="es-ES" w:eastAsia="es-ES"/>
        </w:rPr>
        <w:t xml:space="preserve">. </w:t>
      </w:r>
      <w:r w:rsidRPr="001D6F6E">
        <w:rPr>
          <w:rFonts w:ascii="Verdana" w:eastAsia="Calibri" w:hAnsi="Verdana" w:cs="Arial"/>
          <w:color w:val="000000"/>
          <w:lang w:val="es-ES" w:eastAsia="es-ES"/>
        </w:rPr>
        <w:t xml:space="preserve">En todo caso, el artículo 2.2.1.1.2.4.3 del Decreto 1082 de 2015 establece la obligación constancia del cierre del proceso de contratación. Éste corresponde a un </w:t>
      </w:r>
      <w:r w:rsidRPr="004F612A">
        <w:rPr>
          <w:rFonts w:ascii="Verdana" w:hAnsi="Verdana" w:cs="Arial"/>
          <w:i/>
          <w:iCs/>
        </w:rPr>
        <w:t>acto de trámite</w:t>
      </w:r>
      <w:r w:rsidRPr="001D6F6E">
        <w:rPr>
          <w:rFonts w:ascii="Verdana" w:hAnsi="Verdana" w:cs="Arial"/>
        </w:rPr>
        <w:t xml:space="preserv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actuaciones contractuales</w:t>
      </w:r>
      <w:r w:rsidRPr="001D6F6E">
        <w:rPr>
          <w:rStyle w:val="Refdenotaalpie"/>
          <w:rFonts w:ascii="Verdana" w:hAnsi="Verdana" w:cs="Arial"/>
        </w:rPr>
        <w:footnoteReference w:id="17"/>
      </w:r>
      <w:r w:rsidRPr="001D6F6E">
        <w:rPr>
          <w:rFonts w:ascii="Verdana" w:hAnsi="Verdana" w:cs="Arial"/>
        </w:rPr>
        <w:t>. Al negar una demanda de nulidad interpuesta contra dicha norma</w:t>
      </w:r>
      <w:r w:rsidRPr="001D6F6E">
        <w:rPr>
          <w:rStyle w:val="Refdenotaalpie"/>
          <w:rFonts w:ascii="Verdana" w:hAnsi="Verdana" w:cs="Arial"/>
        </w:rPr>
        <w:footnoteReference w:id="18"/>
      </w:r>
      <w:r w:rsidRPr="001D6F6E">
        <w:rPr>
          <w:rFonts w:ascii="Verdana" w:hAnsi="Verdana" w:cs="Arial"/>
        </w:rPr>
        <w:t xml:space="preserve">, la Sección Tercera del Consejo de Estado resaltó que </w:t>
      </w:r>
      <w:r>
        <w:rPr>
          <w:rFonts w:ascii="Verdana" w:hAnsi="Verdana" w:cs="Arial"/>
        </w:rPr>
        <w:t>“</w:t>
      </w:r>
      <w:r w:rsidRPr="001D6F6E">
        <w:rPr>
          <w:rFonts w:ascii="Verdana" w:hAnsi="Verdana" w:cs="Arial"/>
        </w:rPr>
        <w:t xml:space="preserve">una </w:t>
      </w:r>
      <w:r w:rsidRPr="001D6F6E">
        <w:rPr>
          <w:rFonts w:ascii="Verdana" w:hAnsi="Verdana" w:cs="Arial"/>
        </w:rPr>
        <w:lastRenderedPageBreak/>
        <w:t xml:space="preserve">norma como la demandada, que impone el deber de dejar constancia del cierre de un expediente contractual, constituye una disposición de correcta y debida organización y administración de una carpeta de la Entidad pública en la esfera </w:t>
      </w:r>
      <w:proofErr w:type="spellStart"/>
      <w:r w:rsidRPr="001D6F6E">
        <w:rPr>
          <w:rFonts w:ascii="Verdana" w:hAnsi="Verdana" w:cs="Arial"/>
        </w:rPr>
        <w:t>intraorgánica</w:t>
      </w:r>
      <w:proofErr w:type="spellEnd"/>
      <w:r w:rsidRPr="001D6F6E">
        <w:rPr>
          <w:rFonts w:ascii="Verdana" w:hAnsi="Verdana" w:cs="Arial"/>
        </w:rPr>
        <w:t xml:space="preserve"> –pues opera al interior de la Administración, sin imponer obligaciones o cargas a particulares o contratistas–</w:t>
      </w:r>
      <w:r>
        <w:rPr>
          <w:rFonts w:ascii="Verdana" w:hAnsi="Verdana" w:cs="Arial"/>
        </w:rPr>
        <w:t>”</w:t>
      </w:r>
      <w:r w:rsidRPr="001D6F6E">
        <w:rPr>
          <w:rStyle w:val="Refdenotaalpie"/>
          <w:rFonts w:ascii="Verdana" w:hAnsi="Verdana" w:cs="Arial"/>
        </w:rPr>
        <w:footnoteReference w:id="19"/>
      </w:r>
      <w:r w:rsidRPr="001D6F6E">
        <w:rPr>
          <w:rFonts w:ascii="Verdana" w:hAnsi="Verdana" w:cs="Arial"/>
        </w:rPr>
        <w:t>. La norma objeto de análisis dispone lo siguiente:</w:t>
      </w:r>
    </w:p>
    <w:p w14:paraId="7DBB89DA" w14:textId="77777777" w:rsidR="00421F16" w:rsidRPr="001D6F6E" w:rsidRDefault="00421F16" w:rsidP="00421F16">
      <w:pPr>
        <w:spacing w:after="0" w:line="276" w:lineRule="auto"/>
        <w:jc w:val="both"/>
        <w:rPr>
          <w:rFonts w:ascii="Verdana" w:hAnsi="Verdana" w:cs="Arial"/>
        </w:rPr>
      </w:pPr>
    </w:p>
    <w:p w14:paraId="1EA4714D" w14:textId="77777777" w:rsidR="00421F16" w:rsidRPr="001D6F6E" w:rsidRDefault="00421F16" w:rsidP="00421F16">
      <w:pPr>
        <w:spacing w:after="0" w:line="240" w:lineRule="auto"/>
        <w:ind w:left="709" w:right="709"/>
        <w:jc w:val="both"/>
        <w:rPr>
          <w:rFonts w:ascii="Verdana" w:hAnsi="Verdana" w:cs="Arial"/>
          <w:sz w:val="20"/>
          <w:szCs w:val="20"/>
        </w:rPr>
      </w:pPr>
      <w:r w:rsidRPr="001D6F6E">
        <w:rPr>
          <w:rFonts w:ascii="Verdana" w:hAnsi="Verdana" w:cs="Arial"/>
          <w:sz w:val="20"/>
          <w:szCs w:val="20"/>
        </w:rPr>
        <w:t>“Artículo 2.2.1.1.2.4.3. Obligaciones posteriores a la liquidación. Vencidos los términos de las garantías de calidad, estabilidad y mantenimiento, o las condiciones de disposición final o recuperación ambiental de las obras o bienes, la Entidad Estatal debe dejar constancia del cierre del expediente del Proceso de Contratación”.</w:t>
      </w:r>
    </w:p>
    <w:p w14:paraId="259B4940" w14:textId="77777777" w:rsidR="00421F16" w:rsidRPr="001D6F6E" w:rsidRDefault="00421F16" w:rsidP="00421F16">
      <w:pPr>
        <w:spacing w:after="0" w:line="276" w:lineRule="auto"/>
        <w:ind w:firstLine="567"/>
        <w:jc w:val="both"/>
        <w:rPr>
          <w:rFonts w:ascii="Verdana" w:hAnsi="Verdana" w:cs="Arial"/>
        </w:rPr>
      </w:pPr>
    </w:p>
    <w:p w14:paraId="5155F185" w14:textId="77777777" w:rsidR="00421F16" w:rsidRPr="001D6F6E" w:rsidRDefault="00421F16" w:rsidP="00421F16">
      <w:pPr>
        <w:spacing w:after="120" w:line="276" w:lineRule="auto"/>
        <w:ind w:firstLine="708"/>
        <w:jc w:val="both"/>
        <w:rPr>
          <w:rFonts w:ascii="Verdana" w:hAnsi="Verdana" w:cs="Arial"/>
        </w:rPr>
      </w:pPr>
      <w:r w:rsidRPr="001D6F6E">
        <w:rPr>
          <w:rFonts w:ascii="Verdana" w:hAnsi="Verdana" w:cs="Arial"/>
        </w:rPr>
        <w:t xml:space="preserve">La norma transcrita no hace referencia a las modalidades de selección de contratistas. De forma general y abstracta establece las </w:t>
      </w:r>
      <w:r>
        <w:rPr>
          <w:rFonts w:ascii="Verdana" w:hAnsi="Verdana" w:cs="Arial"/>
        </w:rPr>
        <w:t>“</w:t>
      </w:r>
      <w:r w:rsidRPr="001D6F6E">
        <w:rPr>
          <w:rFonts w:ascii="Verdana" w:hAnsi="Verdana" w:cs="Arial"/>
        </w:rPr>
        <w:t>obligaciones posteriores a la liquidación</w:t>
      </w:r>
      <w:r>
        <w:rPr>
          <w:rFonts w:ascii="Verdana" w:hAnsi="Verdana" w:cs="Arial"/>
        </w:rPr>
        <w:t>”</w:t>
      </w:r>
      <w:r w:rsidRPr="001D6F6E">
        <w:rPr>
          <w:rFonts w:ascii="Verdana" w:hAnsi="Verdana" w:cs="Arial"/>
        </w:rPr>
        <w:t>, dentro del Título 1, sobre contratación estatal, Capítulo 1, relacionado con el Sistema de Compras y Contratación Pública, Sección 2, relativa a la Estructura y Documentos del Proceso de Contratación, Subsección 4, que regula únicamente lo atinente a la ejecución del contrato.</w:t>
      </w:r>
    </w:p>
    <w:p w14:paraId="691F49EA" w14:textId="77777777" w:rsidR="00421F16" w:rsidRPr="001D6F6E" w:rsidRDefault="00421F16" w:rsidP="00421F16">
      <w:pPr>
        <w:spacing w:after="120" w:line="276" w:lineRule="auto"/>
        <w:ind w:firstLine="708"/>
        <w:jc w:val="both"/>
        <w:rPr>
          <w:rFonts w:ascii="Verdana" w:hAnsi="Verdana" w:cs="Arial"/>
        </w:rPr>
      </w:pPr>
      <w:r w:rsidRPr="001D6F6E">
        <w:rPr>
          <w:rFonts w:ascii="Verdana" w:hAnsi="Verdana" w:cs="Arial"/>
        </w:rPr>
        <w:t xml:space="preserve">Es cierto que la disposición se refiere genéricamente al </w:t>
      </w:r>
      <w:r>
        <w:rPr>
          <w:rFonts w:ascii="Verdana" w:hAnsi="Verdana" w:cs="Arial"/>
        </w:rPr>
        <w:t>“</w:t>
      </w:r>
      <w:r w:rsidRPr="001D6F6E">
        <w:rPr>
          <w:rFonts w:ascii="Verdana" w:hAnsi="Verdana" w:cs="Arial"/>
        </w:rPr>
        <w:t>debe dejar constancia del cierre del expediente del Proceso de Contratación Proceso de Contratación</w:t>
      </w:r>
      <w:r>
        <w:rPr>
          <w:rFonts w:ascii="Verdana" w:hAnsi="Verdana" w:cs="Arial"/>
        </w:rPr>
        <w:t>”</w:t>
      </w:r>
      <w:r w:rsidRPr="001D6F6E">
        <w:rPr>
          <w:rFonts w:ascii="Verdana" w:hAnsi="Verdana" w:cs="Arial"/>
        </w:rPr>
        <w:t xml:space="preserve">. Sin embargo, también lo es que, según las definiciones contenidas en el artículo 2.2.1.1.1.3.1 del Decreto 1082 de 2015, el Proceso de Contratación es el </w:t>
      </w:r>
      <w:r>
        <w:rPr>
          <w:rFonts w:ascii="Verdana" w:hAnsi="Verdana" w:cs="Arial"/>
        </w:rPr>
        <w:t>“</w:t>
      </w:r>
      <w:r w:rsidRPr="001D6F6E">
        <w:rPr>
          <w:rFonts w:ascii="Verdana" w:hAnsi="Verdana" w:cs="Arial"/>
        </w:rPr>
        <w:t>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r>
        <w:rPr>
          <w:rFonts w:ascii="Verdana" w:hAnsi="Verdana" w:cs="Arial"/>
        </w:rPr>
        <w:t>”</w:t>
      </w:r>
      <w:r w:rsidRPr="001D6F6E">
        <w:rPr>
          <w:rFonts w:ascii="Verdana" w:hAnsi="Verdana" w:cs="Arial"/>
        </w:rPr>
        <w:t xml:space="preserve">. Nótese que el enunciado tampoco hace referencia a las modalidades de selección de contratistas en que resulta aplicable. Incluso, se menciona la fase de planeación contractual, etapa relevante en todas las </w:t>
      </w:r>
      <w:r w:rsidRPr="001D6F6E">
        <w:rPr>
          <w:rFonts w:ascii="Verdana" w:hAnsi="Verdana" w:cs="Arial"/>
        </w:rPr>
        <w:lastRenderedPageBreak/>
        <w:t>modalidades de selección. Del ámbito de aplicación del artículo referido tampoco es posible concluir que el deber de cerrar el expediente se circunscriba a alguna modalidad o tipología contractual concreta.</w:t>
      </w:r>
    </w:p>
    <w:p w14:paraId="70638499" w14:textId="77777777" w:rsidR="00421F16" w:rsidRPr="001D6F6E" w:rsidRDefault="00421F16" w:rsidP="00421F16">
      <w:pPr>
        <w:spacing w:after="120" w:line="276" w:lineRule="auto"/>
        <w:ind w:firstLine="708"/>
        <w:jc w:val="both"/>
        <w:rPr>
          <w:rFonts w:ascii="Verdana" w:hAnsi="Verdana" w:cs="Arial"/>
        </w:rPr>
      </w:pPr>
      <w:r w:rsidRPr="001D6F6E">
        <w:rPr>
          <w:rFonts w:ascii="Verdana" w:hAnsi="Verdana" w:cs="Arial"/>
        </w:rPr>
        <w:t>En consecuencia, lo que resulta relevante para determinar si a la entidad le asiste o no el deber de hacer el cierre del expediente contractual, de acuerdo con la norma citada, consiste en determinar si se exigieron o no garantías de calidad, estabilidad o mantenimiento, o si la entidad estableció condiciones de disposición final o recuperación de las obras o bienes objeto del contrato. De no ser así, no es obligatorio que la entidad haga un cierre del expediente contractual.</w:t>
      </w:r>
    </w:p>
    <w:p w14:paraId="34E2E5AE" w14:textId="77777777" w:rsidR="00421F16" w:rsidRPr="001D6F6E" w:rsidRDefault="00421F16" w:rsidP="00421F16">
      <w:pPr>
        <w:spacing w:after="120" w:line="276" w:lineRule="auto"/>
        <w:ind w:firstLine="708"/>
        <w:jc w:val="both"/>
        <w:rPr>
          <w:rFonts w:ascii="Verdana" w:hAnsi="Verdana" w:cs="Arial"/>
        </w:rPr>
      </w:pPr>
      <w:r w:rsidRPr="001D6F6E">
        <w:rPr>
          <w:rFonts w:ascii="Verdana" w:hAnsi="Verdana" w:cs="Arial"/>
        </w:rPr>
        <w:t xml:space="preserve">La norma, como se dijo previamente, establece que el cierre del expediente debe llevarse a cabo únicamente en dos eventos: i) cuando la administración establece condiciones de disposición final o recuperación ambiental de las obras o bienes; o </w:t>
      </w:r>
      <w:proofErr w:type="spellStart"/>
      <w:r w:rsidRPr="001D6F6E">
        <w:rPr>
          <w:rFonts w:ascii="Verdana" w:hAnsi="Verdana" w:cs="Arial"/>
        </w:rPr>
        <w:t>ii</w:t>
      </w:r>
      <w:proofErr w:type="spellEnd"/>
      <w:r w:rsidRPr="001D6F6E">
        <w:rPr>
          <w:rFonts w:ascii="Verdana" w:hAnsi="Verdana" w:cs="Arial"/>
        </w:rPr>
        <w:t>) una vez vencidos los términos de las garantías de calidad, estabilidad y mantenimiento. En consecuencia, resulta irrelevante que el contrato tenga garantías diferentes a las previstas en el artículo 2.2.1.1.2.4.3 del Decreto 1082 de 2015, así las mismas se encuentren vigentes, pues, se insiste, la entidad únicamente deberá hacer el cierre del expediente cuando se vencen los términos de las garantías referidas en el mencionado artículo 2.2.1.1.2.4.3.</w:t>
      </w:r>
    </w:p>
    <w:p w14:paraId="7F92270A" w14:textId="77777777" w:rsidR="00421F16" w:rsidRDefault="00421F16" w:rsidP="00421F16">
      <w:pPr>
        <w:spacing w:after="120" w:line="276" w:lineRule="auto"/>
        <w:ind w:firstLine="709"/>
        <w:jc w:val="both"/>
        <w:rPr>
          <w:rFonts w:ascii="Verdana" w:hAnsi="Verdana" w:cs="Times New Roman"/>
          <w:szCs w:val="24"/>
          <w:lang w:eastAsia="es-CO"/>
        </w:rPr>
      </w:pPr>
      <w:r w:rsidRPr="001D6F6E">
        <w:rPr>
          <w:rFonts w:ascii="Verdana" w:hAnsi="Verdana" w:cs="Arial"/>
        </w:rPr>
        <w:t xml:space="preserve">Esta Subdirección había considerado que el deber de dejar constancia del cierre del expediente debía hacerse extensivo a los contratos en los que se pactaron las garantías que regula el artículo 2.2.1.2.3.1.7 y que no están referidas en el artículo </w:t>
      </w:r>
      <w:r w:rsidRPr="004F612A">
        <w:rPr>
          <w:rFonts w:ascii="Verdana" w:hAnsi="Verdana" w:cs="Arial"/>
          <w:i/>
          <w:iCs/>
        </w:rPr>
        <w:t>sub examine</w:t>
      </w:r>
      <w:r w:rsidRPr="001D6F6E">
        <w:rPr>
          <w:rFonts w:ascii="Verdana" w:hAnsi="Verdana" w:cs="Arial"/>
        </w:rPr>
        <w:t xml:space="preserve"> –2.2.1.1.2.4.3–, como es el caso de la que cubre el buen manejo y la correcta inversión del anticipo o la que ampara la devolución del pago anticipado. En su momento se entendió configurado un vacío normativo, y con fundamento en esto se dijo que el cierre del expediente contractual no podía realizarse sino estaban vencidas todas las garantías del contrato, en ese caso específico la garantía que amparaba el pago de salarios, prestaciones sociales legales e indemnizaciones laborales.</w:t>
      </w:r>
      <w:r w:rsidRPr="001D6F6E">
        <w:rPr>
          <w:rFonts w:ascii="Verdana" w:hAnsi="Verdana" w:cs="Times New Roman"/>
          <w:szCs w:val="24"/>
          <w:lang w:eastAsia="es-CO"/>
        </w:rPr>
        <w:t xml:space="preserve"> </w:t>
      </w:r>
    </w:p>
    <w:p w14:paraId="24F09AE1" w14:textId="77777777" w:rsidR="00421F16" w:rsidRPr="001D6F6E" w:rsidRDefault="00421F16" w:rsidP="00421F16">
      <w:pPr>
        <w:spacing w:after="0" w:line="276" w:lineRule="auto"/>
        <w:ind w:firstLine="709"/>
        <w:jc w:val="both"/>
        <w:rPr>
          <w:rFonts w:ascii="Verdana" w:hAnsi="Verdana" w:cs="Arial"/>
        </w:rPr>
      </w:pPr>
      <w:r w:rsidRPr="001D6F6E">
        <w:rPr>
          <w:rFonts w:ascii="Verdana" w:hAnsi="Verdana" w:cs="Arial"/>
        </w:rPr>
        <w:t xml:space="preserve">Sin embargo, dicha tesis fue revaluada por esta Subdirección en el Concepto CU-028 del 25 de febrero de 2020, en la medida que la interpretación literal y sistemática de la norma descarta el vacío normativo aludido en dicha ocasión, </w:t>
      </w:r>
      <w:r>
        <w:rPr>
          <w:rFonts w:ascii="Verdana" w:hAnsi="Verdana" w:cs="Arial"/>
        </w:rPr>
        <w:t>ya que la disposición</w:t>
      </w:r>
      <w:r w:rsidRPr="001D6F6E">
        <w:rPr>
          <w:rFonts w:ascii="Verdana" w:hAnsi="Verdana" w:cs="Arial"/>
        </w:rPr>
        <w:t xml:space="preserve"> señala expresamente unas condiciones a las que está sometido el cierre del expediente. En efecto:</w:t>
      </w:r>
    </w:p>
    <w:p w14:paraId="3D7260F6" w14:textId="77777777" w:rsidR="00421F16" w:rsidRPr="004A403F" w:rsidRDefault="00421F16" w:rsidP="00421F16">
      <w:pPr>
        <w:spacing w:after="0" w:line="276" w:lineRule="auto"/>
        <w:ind w:firstLine="709"/>
        <w:jc w:val="both"/>
        <w:rPr>
          <w:rFonts w:ascii="Verdana" w:hAnsi="Verdana" w:cs="Times New Roman"/>
          <w:lang w:eastAsia="es-CO"/>
        </w:rPr>
      </w:pPr>
    </w:p>
    <w:p w14:paraId="67FE922F" w14:textId="77777777" w:rsidR="00421F16" w:rsidRPr="001D6F6E" w:rsidRDefault="00421F16" w:rsidP="00421F16">
      <w:pPr>
        <w:spacing w:after="120" w:line="240" w:lineRule="auto"/>
        <w:ind w:left="709" w:right="709"/>
        <w:jc w:val="both"/>
        <w:rPr>
          <w:rFonts w:ascii="Verdana" w:hAnsi="Verdana" w:cs="Arial"/>
          <w:sz w:val="20"/>
          <w:szCs w:val="20"/>
        </w:rPr>
      </w:pPr>
      <w:r w:rsidRPr="001D6F6E">
        <w:rPr>
          <w:rFonts w:ascii="Verdana" w:hAnsi="Verdana" w:cs="Arial"/>
          <w:sz w:val="20"/>
          <w:szCs w:val="20"/>
        </w:rPr>
        <w:t xml:space="preserve">“[…] una interpretación literal y sistemática de la disposición da cuenta de una tesis contraria a la que se expuso antes, esto es, que el cierre del expediente únicamente debe realizarse en dos eventos: i) cuando la administración establece condiciones de disposición final o recuperación ambiental de las obras o bienes; o </w:t>
      </w:r>
      <w:proofErr w:type="spellStart"/>
      <w:r w:rsidRPr="001D6F6E">
        <w:rPr>
          <w:rFonts w:ascii="Verdana" w:hAnsi="Verdana" w:cs="Arial"/>
          <w:sz w:val="20"/>
          <w:szCs w:val="20"/>
        </w:rPr>
        <w:t>ii</w:t>
      </w:r>
      <w:proofErr w:type="spellEnd"/>
      <w:r w:rsidRPr="001D6F6E">
        <w:rPr>
          <w:rFonts w:ascii="Verdana" w:hAnsi="Verdana" w:cs="Arial"/>
          <w:sz w:val="20"/>
          <w:szCs w:val="20"/>
        </w:rPr>
        <w:t xml:space="preserve">) una vez vencidos los términos de las garantías de calidad, estabilidad y mantenimiento  </w:t>
      </w:r>
      <w:r w:rsidRPr="001D6F6E">
        <w:rPr>
          <w:rFonts w:ascii="Arial" w:hAnsi="Arial" w:cs="Arial"/>
          <w:sz w:val="20"/>
          <w:szCs w:val="20"/>
        </w:rPr>
        <w:t>̶</w:t>
      </w:r>
      <w:r w:rsidRPr="001D6F6E">
        <w:rPr>
          <w:rFonts w:ascii="Verdana" w:hAnsi="Verdana" w:cs="Arial"/>
          <w:sz w:val="20"/>
          <w:szCs w:val="20"/>
        </w:rPr>
        <w:t xml:space="preserve"> solo estas </w:t>
      </w:r>
      <w:r w:rsidRPr="001D6F6E">
        <w:rPr>
          <w:rFonts w:ascii="Arial" w:hAnsi="Arial" w:cs="Arial"/>
          <w:sz w:val="20"/>
          <w:szCs w:val="20"/>
        </w:rPr>
        <w:t>̶</w:t>
      </w:r>
      <w:r w:rsidRPr="001D6F6E">
        <w:rPr>
          <w:rFonts w:ascii="Verdana" w:hAnsi="Verdana" w:cs="Arial"/>
          <w:sz w:val="20"/>
          <w:szCs w:val="20"/>
        </w:rPr>
        <w:t xml:space="preserve"> .</w:t>
      </w:r>
    </w:p>
    <w:p w14:paraId="2C3B0698" w14:textId="77777777" w:rsidR="00421F16" w:rsidRPr="001D6F6E" w:rsidRDefault="00421F16" w:rsidP="00421F16">
      <w:pPr>
        <w:spacing w:after="120" w:line="240" w:lineRule="auto"/>
        <w:ind w:left="709" w:right="709"/>
        <w:jc w:val="both"/>
        <w:rPr>
          <w:rFonts w:ascii="Verdana" w:hAnsi="Verdana" w:cs="Arial"/>
          <w:sz w:val="20"/>
          <w:szCs w:val="20"/>
        </w:rPr>
      </w:pPr>
      <w:r w:rsidRPr="001D6F6E">
        <w:rPr>
          <w:rFonts w:ascii="Verdana" w:hAnsi="Verdana" w:cs="Arial"/>
          <w:sz w:val="20"/>
          <w:szCs w:val="20"/>
        </w:rPr>
        <w:t>La norma bajo estudio no tiene un vacío normativo. La decisión de limitar el deber de dejar constancia del cierre del expediente a unas garantías en concreto no puede ser asumida como una omisión, ya que se trata, precisamente, de eso: de una decisión de la autoridad competente para expedir la norma, en ejercicio de las competencias que le otorga el numeral 11 del artículo 189 de la Constitución.</w:t>
      </w:r>
    </w:p>
    <w:p w14:paraId="6F78AFCF" w14:textId="77777777" w:rsidR="00421F16" w:rsidRPr="001D6F6E" w:rsidRDefault="00421F16" w:rsidP="00421F16">
      <w:pPr>
        <w:spacing w:after="120" w:line="240" w:lineRule="auto"/>
        <w:ind w:left="709" w:right="709"/>
        <w:jc w:val="both"/>
        <w:rPr>
          <w:rFonts w:ascii="Verdana" w:hAnsi="Verdana" w:cs="Arial"/>
          <w:sz w:val="20"/>
          <w:szCs w:val="20"/>
        </w:rPr>
      </w:pPr>
      <w:r w:rsidRPr="001D6F6E">
        <w:rPr>
          <w:rFonts w:ascii="Verdana" w:hAnsi="Verdana" w:cs="Arial"/>
          <w:sz w:val="20"/>
          <w:szCs w:val="20"/>
        </w:rPr>
        <w:t xml:space="preserve">Si la intención era que se aplicara a otros supuestos fácticos, la norma hubiera hecho la remisión expresa a las disposiciones que regulan las garantías contractuales, esto es, a la Sección 3 del Capítulo 2 del Decreto 1082 de 2015; hubiera remitido a uno o varios artículos de esa Sección 3; se hubiera redactado la norma de forma genérica y sin circunscribirla a unas garantías en específico; o simplemente se hubieran incorporado al texto expresiones como ‘entre otras’ o </w:t>
      </w:r>
      <w:r>
        <w:rPr>
          <w:rFonts w:ascii="Verdana" w:hAnsi="Verdana" w:cs="Arial"/>
          <w:sz w:val="20"/>
          <w:szCs w:val="20"/>
        </w:rPr>
        <w:t>“</w:t>
      </w:r>
      <w:r w:rsidRPr="001D6F6E">
        <w:rPr>
          <w:rFonts w:ascii="Verdana" w:hAnsi="Verdana" w:cs="Arial"/>
          <w:sz w:val="20"/>
          <w:szCs w:val="20"/>
        </w:rPr>
        <w:t>cualquier otra</w:t>
      </w:r>
      <w:r>
        <w:rPr>
          <w:rFonts w:ascii="Verdana" w:hAnsi="Verdana" w:cs="Arial"/>
          <w:sz w:val="20"/>
          <w:szCs w:val="20"/>
        </w:rPr>
        <w:t>”</w:t>
      </w:r>
      <w:r w:rsidRPr="001D6F6E">
        <w:rPr>
          <w:rFonts w:ascii="Verdana" w:hAnsi="Verdana" w:cs="Arial"/>
          <w:sz w:val="20"/>
          <w:szCs w:val="20"/>
        </w:rPr>
        <w:t>, haciendo referencia a las garantías contractuales frente a las que aplica el deber de dejar constancia del cierre del expediente contractual.</w:t>
      </w:r>
    </w:p>
    <w:p w14:paraId="03FD9A0E" w14:textId="77777777" w:rsidR="00421F16" w:rsidRPr="001D6F6E" w:rsidRDefault="00421F16" w:rsidP="00421F16">
      <w:pPr>
        <w:spacing w:after="0" w:line="240" w:lineRule="auto"/>
        <w:ind w:left="709" w:right="709"/>
        <w:jc w:val="both"/>
        <w:rPr>
          <w:rFonts w:ascii="Verdana" w:hAnsi="Verdana" w:cs="Arial"/>
          <w:sz w:val="20"/>
          <w:szCs w:val="20"/>
        </w:rPr>
      </w:pPr>
      <w:r w:rsidRPr="001D6F6E">
        <w:rPr>
          <w:rFonts w:ascii="Verdana" w:hAnsi="Verdana" w:cs="Arial"/>
          <w:sz w:val="20"/>
          <w:szCs w:val="20"/>
        </w:rPr>
        <w:t>No puede perderse de vista que el artículo 2.2.1.1.2.4.3. regula una etapa del proceso contractual, es decir, se trata de una norma que, por su naturaleza procedimental, debe ser interpretada a la luz de los principios generales del derecho, particularmente del principio de legalidad, en virtud del cual son inalterables las formalidades establecidas en los procedimientos, en este caso, las formas establecidas para cada etapa del procedimiento contractual. No es posible extender el deber de dejar constancia en el expediente contractual a supuestos no contemplados en dicho artículo, sin modificar una etapa del proceso contractual y, con esto, fustigar el principio de legalidad”</w:t>
      </w:r>
      <w:r w:rsidRPr="001D6F6E">
        <w:rPr>
          <w:rStyle w:val="Refdenotaalpie"/>
          <w:rFonts w:ascii="Verdana" w:hAnsi="Verdana" w:cs="Arial"/>
          <w:sz w:val="20"/>
          <w:szCs w:val="20"/>
        </w:rPr>
        <w:footnoteReference w:id="20"/>
      </w:r>
      <w:r w:rsidRPr="001D6F6E">
        <w:rPr>
          <w:rFonts w:ascii="Verdana" w:hAnsi="Verdana" w:cs="Arial"/>
          <w:sz w:val="20"/>
          <w:szCs w:val="20"/>
        </w:rPr>
        <w:t>.</w:t>
      </w:r>
      <w:r w:rsidRPr="001D6F6E">
        <w:rPr>
          <w:rFonts w:ascii="Verdana" w:hAnsi="Verdana" w:cs="Times New Roman"/>
          <w:sz w:val="20"/>
          <w:szCs w:val="20"/>
          <w:lang w:eastAsia="es-CO"/>
        </w:rPr>
        <w:t xml:space="preserve"> </w:t>
      </w:r>
    </w:p>
    <w:p w14:paraId="330BB652" w14:textId="77777777" w:rsidR="00421F16" w:rsidRPr="004A403F" w:rsidRDefault="00421F16" w:rsidP="00421F16">
      <w:pPr>
        <w:spacing w:after="0" w:line="276" w:lineRule="auto"/>
        <w:ind w:firstLine="567"/>
        <w:jc w:val="both"/>
        <w:rPr>
          <w:rFonts w:ascii="Verdana" w:hAnsi="Verdana" w:cs="Arial"/>
        </w:rPr>
      </w:pPr>
      <w:r>
        <w:rPr>
          <w:rFonts w:ascii="Verdana" w:hAnsi="Verdana" w:cs="Arial"/>
          <w:sz w:val="20"/>
          <w:szCs w:val="20"/>
        </w:rPr>
        <w:tab/>
      </w:r>
    </w:p>
    <w:p w14:paraId="635E3A35" w14:textId="77777777" w:rsidR="00421F16" w:rsidRPr="001D6F6E" w:rsidRDefault="00421F16" w:rsidP="00421F16">
      <w:pPr>
        <w:spacing w:after="120" w:line="276" w:lineRule="auto"/>
        <w:ind w:firstLine="708"/>
        <w:jc w:val="both"/>
        <w:rPr>
          <w:rFonts w:ascii="Verdana" w:hAnsi="Verdana" w:cs="Arial"/>
        </w:rPr>
      </w:pPr>
      <w:r w:rsidRPr="001D6F6E">
        <w:rPr>
          <w:rFonts w:ascii="Verdana" w:hAnsi="Verdana" w:cs="Arial"/>
        </w:rPr>
        <w:t xml:space="preserve">De acuerdo con </w:t>
      </w:r>
      <w:r>
        <w:rPr>
          <w:rFonts w:ascii="Verdana" w:hAnsi="Verdana" w:cs="Arial"/>
        </w:rPr>
        <w:t>esta explicación</w:t>
      </w:r>
      <w:r w:rsidRPr="001D6F6E">
        <w:rPr>
          <w:rFonts w:ascii="Verdana" w:hAnsi="Verdana" w:cs="Arial"/>
        </w:rPr>
        <w:t xml:space="preserve">, si el contrato no incluye ninguna de las garantías referidas en el artículo 2.2.1.1.2.4.3 del Decreto 1082 de 2015, o no se establecieron condiciones de disposición final o recuperación ambiental de las obras o bienes, la entidad no tiene la obligación de dejar constancia del cierre del expediente contractual. En armonía con lo anterior, si el contrato incluye varias garantías, el deber solo surgirá ante el vencimiento de las que se refiere </w:t>
      </w:r>
      <w:r w:rsidRPr="001D6F6E">
        <w:rPr>
          <w:rFonts w:ascii="Verdana" w:hAnsi="Verdana" w:cs="Arial"/>
        </w:rPr>
        <w:lastRenderedPageBreak/>
        <w:t>el artículo 2.2.1.1.2.4.3, con independencia del término de vigencia de las demás. En ese sentido, vencidas las garantías de calidad, estabilidad y mantenimiento, deberá realizarse el cierre del expediente, aunque sigan vigentes otras garantías como, por ejemplo, la de pago de salarios, prestaciones sociales legales e indemnizaciones laborales.</w:t>
      </w:r>
    </w:p>
    <w:p w14:paraId="30EBFBF7" w14:textId="77777777" w:rsidR="00421F16" w:rsidRPr="001D6F6E" w:rsidRDefault="00421F16" w:rsidP="00421F16">
      <w:pPr>
        <w:spacing w:after="120" w:line="276" w:lineRule="auto"/>
        <w:ind w:firstLine="708"/>
        <w:jc w:val="both"/>
        <w:rPr>
          <w:rFonts w:ascii="Verdana" w:hAnsi="Verdana" w:cs="Arial"/>
        </w:rPr>
      </w:pPr>
      <w:r w:rsidRPr="001D6F6E">
        <w:rPr>
          <w:rFonts w:ascii="Verdana" w:hAnsi="Verdana" w:cs="Arial"/>
        </w:rPr>
        <w:t xml:space="preserve">De otra parte, en el referido concepto de unificación también se aclaró que </w:t>
      </w:r>
      <w:r>
        <w:rPr>
          <w:rFonts w:ascii="Verdana" w:hAnsi="Verdana" w:cs="Arial"/>
        </w:rPr>
        <w:t>“</w:t>
      </w:r>
      <w:r w:rsidRPr="001D6F6E">
        <w:rPr>
          <w:rFonts w:ascii="Verdana" w:hAnsi="Verdana" w:cs="Arial"/>
        </w:rPr>
        <w:t>no existe norma que prohíba que la entidad haga el cierre del expediente contractual en aquellos eventos en los que no esté obligada</w:t>
      </w:r>
      <w:r>
        <w:rPr>
          <w:rFonts w:ascii="Verdana" w:hAnsi="Verdana" w:cs="Arial"/>
        </w:rPr>
        <w:t>”</w:t>
      </w:r>
      <w:r w:rsidRPr="001D6F6E">
        <w:rPr>
          <w:rStyle w:val="Refdenotaalpie"/>
          <w:rFonts w:ascii="Verdana" w:hAnsi="Verdana" w:cs="Arial"/>
        </w:rPr>
        <w:footnoteReference w:id="21"/>
      </w:r>
      <w:r w:rsidRPr="001D6F6E">
        <w:rPr>
          <w:rFonts w:ascii="Verdana" w:hAnsi="Verdana" w:cs="Arial"/>
        </w:rPr>
        <w:t>. En ese sentido, además de dar cuenta de una correcta y debida organización y administración, puede considerarse útil para dejar constancia del vencimiento de las garantías del contrato y la condición de los bienes y obras desde la perspectiva ambiental, o del punto final de la actuación contractual, dependiendo esto último de si el contrato fue liquidado o no en el momento de dejar la constancia de cierre del expediente. En este sentido, la constancia del cierre del expediente, también es posible realizarla en eventos distintos a los establecidos en el artículo 2.2.1.1.2.4.3 del Decreto 1082 de 2015, pese a que no sea obligatoria.</w:t>
      </w:r>
    </w:p>
    <w:p w14:paraId="682DFE1B" w14:textId="77777777" w:rsidR="00421F16" w:rsidRPr="009A60F7" w:rsidRDefault="00421F16" w:rsidP="00421F16">
      <w:pPr>
        <w:spacing w:after="0" w:line="276" w:lineRule="auto"/>
        <w:ind w:firstLine="708"/>
        <w:jc w:val="both"/>
        <w:rPr>
          <w:rFonts w:ascii="Verdana" w:hAnsi="Verdana" w:cs="Arial"/>
        </w:rPr>
      </w:pPr>
      <w:r w:rsidRPr="001D6F6E">
        <w:rPr>
          <w:rFonts w:ascii="Verdana" w:hAnsi="Verdana" w:cs="Arial"/>
        </w:rPr>
        <w:t>En el Concepto CU-028 de 2020, esta Agencia también se manifestó respecto de la obligación de realizar el cierre del expediente contractual, en relación con el estado del contrato en cuanto a su liquidación. Sobre el particular se determinó, de acuerdo con los Conceptos de 28 de junio de 2016</w:t>
      </w:r>
      <w:r w:rsidRPr="001D6F6E">
        <w:rPr>
          <w:rStyle w:val="Refdenotaalpie"/>
          <w:rFonts w:ascii="Verdana" w:hAnsi="Verdana" w:cs="Arial"/>
        </w:rPr>
        <w:footnoteReference w:id="22"/>
      </w:r>
      <w:r w:rsidRPr="001D6F6E">
        <w:rPr>
          <w:rFonts w:ascii="Verdana" w:hAnsi="Verdana" w:cs="Arial"/>
        </w:rPr>
        <w:t xml:space="preserve"> y de 8 de marzo de 2017</w:t>
      </w:r>
      <w:r w:rsidRPr="001D6F6E">
        <w:rPr>
          <w:rStyle w:val="Refdenotaalpie"/>
          <w:rFonts w:ascii="Verdana" w:hAnsi="Verdana" w:cs="Arial"/>
        </w:rPr>
        <w:footnoteReference w:id="23"/>
      </w:r>
      <w:r w:rsidRPr="001D6F6E">
        <w:rPr>
          <w:rFonts w:ascii="Verdana" w:hAnsi="Verdana" w:cs="Times New Roman"/>
          <w:szCs w:val="24"/>
          <w:lang w:eastAsia="es-CO"/>
        </w:rPr>
        <w:t xml:space="preserve"> </w:t>
      </w:r>
      <w:r w:rsidRPr="001D6F6E">
        <w:rPr>
          <w:rFonts w:ascii="Verdana" w:hAnsi="Verdana" w:cs="Arial"/>
        </w:rPr>
        <w:t xml:space="preserve">expedidos por la Sala de Consulta y Servicio Civil del Consejo </w:t>
      </w:r>
      <w:r w:rsidRPr="001D6F6E">
        <w:rPr>
          <w:rFonts w:ascii="Verdana" w:hAnsi="Verdana" w:cs="Arial"/>
        </w:rPr>
        <w:lastRenderedPageBreak/>
        <w:t xml:space="preserve">de Estado, que la obligación del cierre del expediente contractual no está condicionada al hecho de que el contrato se hubiere liquidado o no, ya que si bien ello es una información que debería constar en dicho documento, ocurrido el vencimiento de las garantías aludidas por el artículo 2.2.1.1.2.4.3 del Decreto 1082 de 2015, o las condiciones de disposición final o recuperación ambiental de las obras o bienes, surge el deber de cerrar el expediente, </w:t>
      </w:r>
      <w:r w:rsidRPr="009A60F7">
        <w:rPr>
          <w:rFonts w:ascii="Verdana" w:hAnsi="Verdana" w:cs="Arial"/>
        </w:rPr>
        <w:t>independientemente de si para ese entonces el contrato se encuentra o no liquidado. Al respecto, en el Concepto de Unificación de esta Agencia se señaló:</w:t>
      </w:r>
    </w:p>
    <w:p w14:paraId="477A47AC" w14:textId="77777777" w:rsidR="00421F16" w:rsidRPr="009A60F7" w:rsidRDefault="00421F16" w:rsidP="00421F16">
      <w:pPr>
        <w:spacing w:after="0" w:line="276" w:lineRule="auto"/>
        <w:ind w:firstLine="567"/>
        <w:jc w:val="both"/>
        <w:rPr>
          <w:rFonts w:ascii="Verdana" w:hAnsi="Verdana" w:cs="Arial"/>
        </w:rPr>
      </w:pPr>
    </w:p>
    <w:p w14:paraId="391C609C" w14:textId="77777777" w:rsidR="00421F16" w:rsidRPr="009A60F7" w:rsidRDefault="00421F16" w:rsidP="00421F16">
      <w:pPr>
        <w:tabs>
          <w:tab w:val="left" w:pos="8647"/>
        </w:tabs>
        <w:spacing w:after="120" w:line="240" w:lineRule="auto"/>
        <w:ind w:left="709" w:right="709"/>
        <w:jc w:val="both"/>
        <w:rPr>
          <w:rFonts w:ascii="Verdana" w:hAnsi="Verdana" w:cs="Arial"/>
          <w:sz w:val="20"/>
          <w:szCs w:val="20"/>
        </w:rPr>
      </w:pPr>
      <w:r w:rsidRPr="009A60F7">
        <w:rPr>
          <w:rFonts w:ascii="Verdana" w:hAnsi="Verdana" w:cs="Arial"/>
          <w:sz w:val="20"/>
          <w:szCs w:val="20"/>
        </w:rPr>
        <w:t xml:space="preserve">“Colombia Compra Eficiente comparte que el cierre del expediente contractual puede darse, incluso, si el contrato no ha sido liquidado, claro está, siempre que se hubiera configurado alguno de los supuestos del artículo 2.2.1.1.2.4.3. del Decreto 1082 de 2015, esto es: i) cuando la administración establece condiciones de disposición final o recuperación ambiental de las obras o bienes; o </w:t>
      </w:r>
      <w:proofErr w:type="spellStart"/>
      <w:r w:rsidRPr="009A60F7">
        <w:rPr>
          <w:rFonts w:ascii="Verdana" w:hAnsi="Verdana" w:cs="Arial"/>
          <w:sz w:val="20"/>
          <w:szCs w:val="20"/>
        </w:rPr>
        <w:t>ii</w:t>
      </w:r>
      <w:proofErr w:type="spellEnd"/>
      <w:r w:rsidRPr="009A60F7">
        <w:rPr>
          <w:rFonts w:ascii="Verdana" w:hAnsi="Verdana" w:cs="Arial"/>
          <w:sz w:val="20"/>
          <w:szCs w:val="20"/>
        </w:rPr>
        <w:t>) una vez vencidos los términos de las garantías de calidad, estabilidad y mantenimiento ─solo estas─. Sin embargo, considera que los argumentos transcritos le imponen el deber de hacer algunas precisiones sobre la liquidación del contrato y su relación con el artículo 2.2.1.1.2.4.3. del Decreto 1082 de 2015.</w:t>
      </w:r>
    </w:p>
    <w:p w14:paraId="10B31352" w14:textId="77777777" w:rsidR="00421F16" w:rsidRPr="009A60F7" w:rsidRDefault="00421F16" w:rsidP="00421F16">
      <w:pPr>
        <w:tabs>
          <w:tab w:val="left" w:pos="8647"/>
        </w:tabs>
        <w:spacing w:after="0" w:line="240" w:lineRule="auto"/>
        <w:ind w:left="709" w:right="709"/>
        <w:jc w:val="both"/>
        <w:rPr>
          <w:rFonts w:ascii="Verdana" w:hAnsi="Verdana" w:cs="Times New Roman"/>
          <w:sz w:val="20"/>
          <w:szCs w:val="20"/>
          <w:lang w:eastAsia="es-CO"/>
        </w:rPr>
      </w:pPr>
      <w:r w:rsidRPr="009A60F7">
        <w:rPr>
          <w:rFonts w:ascii="Verdana" w:hAnsi="Verdana" w:cs="Arial"/>
          <w:sz w:val="20"/>
          <w:szCs w:val="20"/>
        </w:rPr>
        <w:t xml:space="preserve">En los conceptos citados no se distingue entre los contratos en los que las entidades están obligadas a dejar constancia del cierre del expediente contractual, y aquellos en los que no lo está. Por no distinguirse, se supone que la liquidación del contrato es el factor determinante para establecer el deber legal de hacer el cierre del contrato, cuando no es así, pues, se reitera, eso ocurre en los eventos referidos en la norma en estudio. El estado de la liquidación del contrato sólo es relevante para establecer el contenido de la constancia de cierre del expediente, de tal forma que si el contrato ya se liquidó se deberá dejar constancia del vencimiento de las garantías del contrato y la condición de los bienes y obras desde la perspectiva ambiental, pero si no se ha liquidado de lo que se debe dejar constancia es del punto final de la actuación contractual. Sin embargo, la liquidación no determina el deber de dejar constancia del cierre del expediente, como lo sugiere la Sala de Consulta y Servicio Civil del </w:t>
      </w:r>
      <w:r w:rsidRPr="009A60F7">
        <w:rPr>
          <w:rFonts w:ascii="Verdana" w:hAnsi="Verdana" w:cs="Arial"/>
          <w:sz w:val="20"/>
          <w:szCs w:val="20"/>
        </w:rPr>
        <w:lastRenderedPageBreak/>
        <w:t>Consejo de Estado. Este deber, como se explicó, sólo depende de la configuración de los dos supuestos del artículo 2.2.1.1.2.4.3”</w:t>
      </w:r>
      <w:r w:rsidRPr="009A60F7">
        <w:rPr>
          <w:rStyle w:val="Refdenotaalpie"/>
          <w:rFonts w:ascii="Verdana" w:hAnsi="Verdana" w:cs="Arial"/>
          <w:sz w:val="20"/>
          <w:szCs w:val="20"/>
        </w:rPr>
        <w:footnoteReference w:id="24"/>
      </w:r>
      <w:r w:rsidRPr="009A60F7">
        <w:rPr>
          <w:rFonts w:ascii="Verdana" w:hAnsi="Verdana" w:cs="Arial"/>
          <w:sz w:val="20"/>
          <w:szCs w:val="20"/>
        </w:rPr>
        <w:t>.</w:t>
      </w:r>
      <w:r w:rsidRPr="009A60F7">
        <w:rPr>
          <w:rFonts w:ascii="Verdana" w:hAnsi="Verdana" w:cs="Times New Roman"/>
          <w:sz w:val="20"/>
          <w:szCs w:val="20"/>
          <w:lang w:eastAsia="es-CO"/>
        </w:rPr>
        <w:t xml:space="preserve"> </w:t>
      </w:r>
    </w:p>
    <w:p w14:paraId="40F8F1AD" w14:textId="77777777" w:rsidR="00421F16" w:rsidRPr="009A60F7" w:rsidRDefault="00421F16" w:rsidP="00421F16">
      <w:pPr>
        <w:tabs>
          <w:tab w:val="left" w:pos="8647"/>
        </w:tabs>
        <w:spacing w:after="0" w:line="240" w:lineRule="auto"/>
        <w:ind w:left="709" w:right="851"/>
        <w:jc w:val="both"/>
        <w:rPr>
          <w:rFonts w:ascii="Verdana" w:hAnsi="Verdana" w:cs="Arial"/>
        </w:rPr>
      </w:pPr>
    </w:p>
    <w:p w14:paraId="295C5F3A" w14:textId="77777777" w:rsidR="00421F16" w:rsidRPr="009A60F7" w:rsidRDefault="00421F16" w:rsidP="00421F16">
      <w:pPr>
        <w:tabs>
          <w:tab w:val="left" w:pos="709"/>
        </w:tabs>
        <w:spacing w:after="0" w:line="276" w:lineRule="auto"/>
        <w:jc w:val="both"/>
        <w:rPr>
          <w:rFonts w:ascii="Verdana" w:eastAsia="Calibri" w:hAnsi="Verdana" w:cs="Arial"/>
          <w:color w:val="000000"/>
          <w:lang w:val="es-ES" w:eastAsia="es-ES"/>
        </w:rPr>
      </w:pPr>
      <w:r w:rsidRPr="009A60F7">
        <w:rPr>
          <w:rFonts w:ascii="Verdana" w:hAnsi="Verdana" w:cs="Arial"/>
        </w:rPr>
        <w:tab/>
        <w:t>En conclusión, el cierre del expediente del proceso de contratación es obligatorio cuando el contrato estatal exige las garantías de calidad, estabilidad o mantenimiento, o cuando la entidad establezca condiciones de disposición final o recuperación ambiental de las obras o bienes contratados. Una vez cumplidas tales condiciones surge el deber de dejar constancia del correspondiente acto de cierre del expediente contractual, ya sea que el contrato se hubiere liquidado o no.</w:t>
      </w:r>
      <w:r>
        <w:rPr>
          <w:rFonts w:ascii="Verdana" w:hAnsi="Verdana" w:cs="Arial"/>
        </w:rPr>
        <w:t xml:space="preserve"> </w:t>
      </w:r>
      <w:r>
        <w:rPr>
          <w:rFonts w:ascii="Verdana" w:eastAsia="Calibri" w:hAnsi="Verdana" w:cs="Arial"/>
          <w:bCs/>
          <w:color w:val="000000" w:themeColor="text1"/>
          <w:lang w:val="es-ES_tradnl"/>
        </w:rPr>
        <w:t>Para la acreditación de las circunstancias mencionadas en el Decreto Único Reglamentario del Sector Administrativo de Planeación Nacional, las actuaciones y soportes documentales necesarios para el cierre serán las que se definan en los instructivos internos de las entidades estatales de acuerdo con su manual de contratación</w:t>
      </w:r>
      <w:r>
        <w:rPr>
          <w:rStyle w:val="Refdenotaalpie"/>
          <w:rFonts w:ascii="Verdana" w:eastAsia="Calibri" w:hAnsi="Verdana" w:cs="Arial"/>
          <w:bCs/>
          <w:color w:val="000000" w:themeColor="text1"/>
          <w:lang w:val="es-ES_tradnl"/>
        </w:rPr>
        <w:footnoteReference w:id="25"/>
      </w:r>
      <w:r>
        <w:rPr>
          <w:rFonts w:ascii="Verdana" w:eastAsia="Calibri" w:hAnsi="Verdana" w:cs="Arial"/>
          <w:bCs/>
          <w:color w:val="000000" w:themeColor="text1"/>
          <w:lang w:val="es-ES_tradnl"/>
        </w:rPr>
        <w:t>.</w:t>
      </w:r>
    </w:p>
    <w:p w14:paraId="57BE04B1" w14:textId="77777777" w:rsidR="00421F16" w:rsidRPr="00933B3D" w:rsidRDefault="00421F16" w:rsidP="00421F16">
      <w:pPr>
        <w:spacing w:after="0" w:line="276" w:lineRule="auto"/>
        <w:jc w:val="both"/>
        <w:rPr>
          <w:rFonts w:ascii="Verdana" w:hAnsi="Verdana" w:cs="Arial"/>
        </w:rPr>
      </w:pPr>
    </w:p>
    <w:p w14:paraId="2FC6E53A" w14:textId="77777777" w:rsidR="00421F16" w:rsidRPr="00A05118" w:rsidRDefault="00421F16" w:rsidP="00421F16">
      <w:pPr>
        <w:tabs>
          <w:tab w:val="left" w:pos="709"/>
        </w:tabs>
        <w:spacing w:after="180" w:line="276" w:lineRule="auto"/>
        <w:jc w:val="both"/>
        <w:rPr>
          <w:rFonts w:ascii="Verdana" w:hAnsi="Verdana" w:cs="Arial"/>
          <w:color w:val="000000" w:themeColor="text1"/>
          <w:lang w:val="es-ES"/>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w:t>
      </w:r>
      <w:r>
        <w:rPr>
          <w:rFonts w:ascii="Verdana" w:hAnsi="Verdana" w:cs="Arial"/>
          <w:color w:val="000000" w:themeColor="text1"/>
          <w:lang w:val="es-ES"/>
        </w:rPr>
        <w:t xml:space="preserve"> </w:t>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C549D43" w14:textId="77777777" w:rsidR="00421F16" w:rsidRPr="00185EE9" w:rsidRDefault="00421F16" w:rsidP="00421F16">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lastRenderedPageBreak/>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55220036" w14:textId="77777777" w:rsidR="00421F16" w:rsidRPr="00182C89" w:rsidRDefault="00421F16" w:rsidP="00421F16">
      <w:pPr>
        <w:tabs>
          <w:tab w:val="left" w:pos="709"/>
        </w:tabs>
        <w:spacing w:after="0" w:line="276" w:lineRule="auto"/>
        <w:jc w:val="both"/>
        <w:rPr>
          <w:rFonts w:ascii="Verdana" w:eastAsia="Calibri" w:hAnsi="Verdana" w:cs="Arial"/>
          <w:color w:val="000000" w:themeColor="text1"/>
        </w:rPr>
      </w:pPr>
    </w:p>
    <w:p w14:paraId="146EEE9D" w14:textId="77777777" w:rsidR="00421F16" w:rsidRPr="00593A5F" w:rsidRDefault="00421F16" w:rsidP="00421F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EC4AC16" w14:textId="77777777" w:rsidR="00421F16" w:rsidRPr="00593A5F" w:rsidRDefault="00421F16" w:rsidP="00421F1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21F16" w:rsidRPr="002407CE" w14:paraId="3AD87701" w14:textId="77777777" w:rsidTr="007E2348">
        <w:trPr>
          <w:trHeight w:val="56"/>
          <w:jc w:val="center"/>
        </w:trPr>
        <w:tc>
          <w:tcPr>
            <w:tcW w:w="8647" w:type="dxa"/>
          </w:tcPr>
          <w:p w14:paraId="5A0ACAE4" w14:textId="77777777" w:rsidR="00421F16" w:rsidRPr="00B954AE" w:rsidRDefault="00421F16" w:rsidP="00421F1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95374">
              <w:rPr>
                <w:rFonts w:ascii="Verdana" w:hAnsi="Verdana" w:cs="Arial"/>
              </w:rPr>
              <w:t>Ley 80 de 1993, artículo 60.</w:t>
            </w:r>
          </w:p>
          <w:p w14:paraId="6B167341" w14:textId="77777777" w:rsidR="00421F16" w:rsidRPr="00B954AE" w:rsidRDefault="00421F16" w:rsidP="00421F1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95374">
              <w:rPr>
                <w:rFonts w:ascii="Verdana" w:hAnsi="Verdana" w:cs="Arial"/>
              </w:rPr>
              <w:t>Ley 1150 de 2007, artículo 11.</w:t>
            </w:r>
          </w:p>
          <w:p w14:paraId="57506A11" w14:textId="77777777" w:rsidR="00421F16" w:rsidRDefault="00421F16" w:rsidP="00421F1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95374">
              <w:rPr>
                <w:rFonts w:ascii="Verdana" w:hAnsi="Verdana" w:cs="Arial"/>
              </w:rPr>
              <w:t xml:space="preserve">Ley 1437 de 2011, artículos 141 y 164. </w:t>
            </w:r>
          </w:p>
          <w:p w14:paraId="4301E5C4" w14:textId="77777777" w:rsidR="00421F16" w:rsidRPr="00B87E7A" w:rsidRDefault="00421F16" w:rsidP="00421F16">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artículos </w:t>
            </w:r>
            <w:r w:rsidRPr="001D6F6E">
              <w:rPr>
                <w:rFonts w:ascii="Verdana" w:hAnsi="Verdana" w:cs="Arial"/>
              </w:rPr>
              <w:t>2.2.1.1.1.3.1</w:t>
            </w:r>
            <w:r>
              <w:rPr>
                <w:rFonts w:ascii="Verdana" w:hAnsi="Verdana" w:cs="Arial"/>
              </w:rPr>
              <w:t xml:space="preserve">, </w:t>
            </w:r>
            <w:r w:rsidRPr="001D6F6E">
              <w:rPr>
                <w:rFonts w:ascii="Verdana" w:eastAsia="Calibri" w:hAnsi="Verdana" w:cs="Arial"/>
                <w:color w:val="000000"/>
                <w:lang w:eastAsia="es-ES"/>
              </w:rPr>
              <w:t>2.2.1.1.2.4.3</w:t>
            </w:r>
            <w:r>
              <w:rPr>
                <w:rFonts w:ascii="Verdana" w:eastAsia="Calibri" w:hAnsi="Verdana" w:cs="Arial"/>
                <w:color w:val="000000"/>
                <w:lang w:eastAsia="es-ES"/>
              </w:rPr>
              <w:t xml:space="preserve"> y </w:t>
            </w:r>
            <w:r w:rsidRPr="001D6F6E">
              <w:rPr>
                <w:rFonts w:ascii="Verdana" w:hAnsi="Verdana" w:cs="Arial"/>
              </w:rPr>
              <w:t>2.2.1.2.3.1.7</w:t>
            </w:r>
            <w:r>
              <w:rPr>
                <w:rFonts w:ascii="Verdana" w:hAnsi="Verdana" w:cs="Arial"/>
              </w:rPr>
              <w:t xml:space="preserve">. </w:t>
            </w:r>
          </w:p>
        </w:tc>
      </w:tr>
    </w:tbl>
    <w:p w14:paraId="1D5A434C" w14:textId="77777777" w:rsidR="00421F16" w:rsidRPr="002407CE" w:rsidRDefault="00421F16" w:rsidP="00421F16">
      <w:pPr>
        <w:widowControl w:val="0"/>
        <w:autoSpaceDE w:val="0"/>
        <w:autoSpaceDN w:val="0"/>
        <w:spacing w:after="0" w:line="276" w:lineRule="auto"/>
        <w:jc w:val="both"/>
        <w:rPr>
          <w:rFonts w:ascii="Verdana" w:hAnsi="Verdana" w:cs="Arial"/>
        </w:rPr>
      </w:pPr>
    </w:p>
    <w:p w14:paraId="2AD47D99" w14:textId="77777777" w:rsidR="00421F16" w:rsidRPr="00593A5F" w:rsidRDefault="00421F16" w:rsidP="00421F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4E318E5" w14:textId="77777777" w:rsidR="00421F16" w:rsidRPr="00593A5F" w:rsidRDefault="00421F16" w:rsidP="00421F16">
      <w:pPr>
        <w:widowControl w:val="0"/>
        <w:autoSpaceDE w:val="0"/>
        <w:autoSpaceDN w:val="0"/>
        <w:spacing w:after="0" w:line="276" w:lineRule="auto"/>
        <w:jc w:val="both"/>
        <w:rPr>
          <w:rFonts w:ascii="Verdana" w:hAnsi="Verdana" w:cs="Arial"/>
        </w:rPr>
      </w:pPr>
    </w:p>
    <w:p w14:paraId="073ED985" w14:textId="77777777" w:rsidR="00421F16" w:rsidRPr="00ED0098" w:rsidRDefault="00421F16" w:rsidP="00421F16">
      <w:pPr>
        <w:widowControl w:val="0"/>
        <w:autoSpaceDE w:val="0"/>
        <w:autoSpaceDN w:val="0"/>
        <w:spacing w:after="0" w:line="276" w:lineRule="auto"/>
        <w:jc w:val="both"/>
        <w:rPr>
          <w:rStyle w:val="normaltextrun"/>
          <w:rFonts w:ascii="Verdana" w:hAnsi="Verdana" w:cs="Arial"/>
          <w:shd w:val="clear" w:color="auto" w:fill="FFFFFF"/>
        </w:rPr>
      </w:pPr>
      <w:r w:rsidRPr="000E4CD6">
        <w:rPr>
          <w:rStyle w:val="normaltextrun"/>
          <w:rFonts w:ascii="Verdana" w:hAnsi="Verdana" w:cs="Arial"/>
          <w:shd w:val="clear" w:color="auto" w:fill="FFFFFF"/>
          <w:lang w:val="es-ES_tradnl"/>
        </w:rPr>
        <w:t>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w:t>
      </w:r>
      <w:r>
        <w:rPr>
          <w:rStyle w:val="normaltextrun"/>
          <w:rFonts w:ascii="Verdana" w:hAnsi="Verdana" w:cs="Arial"/>
          <w:shd w:val="clear" w:color="auto" w:fill="FFFFFF"/>
          <w:lang w:val="es-ES_tradnl"/>
        </w:rPr>
        <w:t>,</w:t>
      </w:r>
      <w:r w:rsidRPr="000E4CD6">
        <w:rPr>
          <w:rStyle w:val="normaltextrun"/>
          <w:rFonts w:ascii="Verdana" w:hAnsi="Verdana" w:cs="Arial"/>
          <w:shd w:val="clear" w:color="auto" w:fill="FFFFFF"/>
          <w:lang w:val="es-ES_tradnl"/>
        </w:rPr>
        <w:t xml:space="preserve"> C-568 del 18 de octubre de 2024</w:t>
      </w:r>
      <w:r>
        <w:rPr>
          <w:rStyle w:val="normaltextrun"/>
          <w:rFonts w:ascii="Verdana" w:hAnsi="Verdana" w:cs="Arial"/>
          <w:shd w:val="clear" w:color="auto" w:fill="FFFFFF"/>
          <w:lang w:val="es-ES_tradnl"/>
        </w:rPr>
        <w:t>, C-968 del 16 de diciembre de 2024 y C-1685 del 1˚ de diciembre de 2025</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12B6C01" w14:textId="77777777" w:rsidR="00421F16" w:rsidRPr="00096788" w:rsidRDefault="00421F16" w:rsidP="00421F16">
      <w:pPr>
        <w:widowControl w:val="0"/>
        <w:autoSpaceDE w:val="0"/>
        <w:autoSpaceDN w:val="0"/>
        <w:spacing w:after="0" w:line="276" w:lineRule="auto"/>
        <w:jc w:val="both"/>
        <w:rPr>
          <w:rFonts w:ascii="Verdana" w:hAnsi="Verdana" w:cs="Arial"/>
          <w:color w:val="000000" w:themeColor="text1"/>
          <w:shd w:val="clear" w:color="auto" w:fill="FFFFFF"/>
        </w:rPr>
      </w:pPr>
    </w:p>
    <w:p w14:paraId="49DB2E0A" w14:textId="77777777" w:rsidR="00421F16" w:rsidRDefault="00421F16" w:rsidP="00421F16">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 xml:space="preserve">Curso de Contratación Pública Sostenible y Socialmente </w:t>
      </w:r>
      <w:r w:rsidRPr="009A385A">
        <w:rPr>
          <w:rFonts w:ascii="Verdana" w:hAnsi="Verdana"/>
          <w:b/>
          <w:bCs/>
        </w:rPr>
        <w:lastRenderedPageBreak/>
        <w:t>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8822100" w14:textId="77777777" w:rsidR="00421F16" w:rsidRPr="009A385A" w:rsidRDefault="00421F16" w:rsidP="00421F16">
      <w:pPr>
        <w:spacing w:after="0"/>
        <w:jc w:val="both"/>
        <w:rPr>
          <w:rFonts w:ascii="Verdana" w:hAnsi="Verdana"/>
        </w:rPr>
      </w:pPr>
    </w:p>
    <w:p w14:paraId="3339085E" w14:textId="77777777" w:rsidR="00421F16" w:rsidRDefault="00421F16" w:rsidP="00421F16">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2E02D24B" w14:textId="77777777" w:rsidR="00421F16" w:rsidRDefault="00421F16" w:rsidP="00421F16">
      <w:pPr>
        <w:spacing w:after="0"/>
        <w:jc w:val="both"/>
        <w:rPr>
          <w:rFonts w:ascii="Verdana" w:hAnsi="Verdana"/>
        </w:rPr>
      </w:pPr>
    </w:p>
    <w:p w14:paraId="3D4A6069" w14:textId="77777777" w:rsidR="00421F16" w:rsidRPr="008E1CD7" w:rsidRDefault="00421F16" w:rsidP="00421F16">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9617BD3" w14:textId="77777777" w:rsidR="00421F16" w:rsidRDefault="00421F16" w:rsidP="00421F16">
      <w:pPr>
        <w:shd w:val="clear" w:color="auto" w:fill="FFFFFF"/>
        <w:spacing w:after="0" w:line="276" w:lineRule="auto"/>
        <w:jc w:val="both"/>
        <w:rPr>
          <w:rFonts w:ascii="Verdana" w:hAnsi="Verdana"/>
          <w:color w:val="000000"/>
          <w:u w:val="single"/>
        </w:rPr>
      </w:pPr>
    </w:p>
    <w:p w14:paraId="5BD84C21" w14:textId="77777777" w:rsidR="00421F16" w:rsidRPr="00116940" w:rsidRDefault="00421F16" w:rsidP="00421F16">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3ED7F35" w14:textId="77777777" w:rsidR="00421F16" w:rsidRPr="00116940" w:rsidRDefault="00421F16" w:rsidP="00421F16">
      <w:pPr>
        <w:spacing w:after="0"/>
        <w:jc w:val="both"/>
        <w:rPr>
          <w:rFonts w:ascii="Verdana" w:hAnsi="Verdana"/>
        </w:rPr>
      </w:pPr>
    </w:p>
    <w:p w14:paraId="1935D957" w14:textId="77777777" w:rsidR="00421F16" w:rsidRPr="00116940" w:rsidRDefault="00421F16" w:rsidP="00421F16">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1DFA437" w14:textId="77777777" w:rsidR="00421F16" w:rsidRPr="00116940" w:rsidRDefault="00421F16" w:rsidP="00421F16">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lastRenderedPageBreak/>
        <w:t>Línea en Bogotá (Mesa de servicio):</w:t>
      </w:r>
      <w:r w:rsidRPr="00116940">
        <w:rPr>
          <w:rStyle w:val="Hipervnculo"/>
          <w:rFonts w:ascii="Verdana" w:hAnsi="Verdana"/>
        </w:rPr>
        <w:t>+57 601 7456788</w:t>
      </w:r>
    </w:p>
    <w:p w14:paraId="3BABA201" w14:textId="77777777" w:rsidR="00421F16" w:rsidRPr="00116940" w:rsidRDefault="00421F16" w:rsidP="00421F1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4272D9E7" w14:textId="77777777" w:rsidR="00421F16" w:rsidRPr="00116940" w:rsidRDefault="00421F16" w:rsidP="00421F1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4B1E4F14" w14:textId="77777777" w:rsidR="00421F16" w:rsidRPr="00116940" w:rsidRDefault="00421F16" w:rsidP="00421F16">
      <w:pPr>
        <w:spacing w:after="0" w:line="240" w:lineRule="auto"/>
        <w:ind w:left="720"/>
        <w:jc w:val="both"/>
        <w:rPr>
          <w:rFonts w:ascii="Verdana" w:hAnsi="Verdana"/>
        </w:rPr>
      </w:pPr>
    </w:p>
    <w:p w14:paraId="64CC9C23" w14:textId="77777777" w:rsidR="00421F16" w:rsidRPr="00116940" w:rsidRDefault="00421F16" w:rsidP="00421F16">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88EDDCF" w14:textId="77777777" w:rsidR="00421F16" w:rsidRPr="00116940" w:rsidRDefault="00421F16" w:rsidP="00421F16">
      <w:pPr>
        <w:spacing w:after="0" w:line="240" w:lineRule="auto"/>
        <w:rPr>
          <w:rFonts w:ascii="Verdana" w:hAnsi="Verdana"/>
        </w:rPr>
      </w:pPr>
    </w:p>
    <w:p w14:paraId="3BE001AD" w14:textId="77777777" w:rsidR="00421F16" w:rsidRPr="00116940" w:rsidRDefault="00421F16" w:rsidP="00421F16">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BAD1B86" w14:textId="77777777" w:rsidR="00421F16" w:rsidRPr="00116940" w:rsidRDefault="00421F16" w:rsidP="00421F16">
      <w:pPr>
        <w:spacing w:after="0" w:line="240" w:lineRule="auto"/>
        <w:jc w:val="both"/>
        <w:rPr>
          <w:rFonts w:ascii="Verdana" w:hAnsi="Verdana"/>
        </w:rPr>
      </w:pPr>
    </w:p>
    <w:p w14:paraId="5B0596B4" w14:textId="77777777" w:rsidR="00421F16" w:rsidRPr="00116940" w:rsidRDefault="00421F16" w:rsidP="00421F1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0736BFC" w14:textId="77777777" w:rsidR="00421F16" w:rsidRPr="00116940" w:rsidRDefault="00421F16" w:rsidP="00421F16">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70247EF" w14:textId="77777777" w:rsidR="00421F16" w:rsidRPr="00116940" w:rsidRDefault="00421F16" w:rsidP="00421F1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D8E8E2A" w14:textId="77777777" w:rsidR="00421F16" w:rsidRPr="009C4035" w:rsidRDefault="00421F16" w:rsidP="00421F16">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40F0CD9B" w14:textId="77777777" w:rsidR="00421F16" w:rsidRPr="00593A5F" w:rsidRDefault="00421F16" w:rsidP="00421F1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10C7FCF" w14:textId="77777777" w:rsidR="00421F16" w:rsidRPr="00593A5F" w:rsidRDefault="00421F16" w:rsidP="00421F16">
      <w:pPr>
        <w:widowControl w:val="0"/>
        <w:autoSpaceDE w:val="0"/>
        <w:autoSpaceDN w:val="0"/>
        <w:spacing w:after="0" w:line="276" w:lineRule="auto"/>
        <w:jc w:val="both"/>
        <w:rPr>
          <w:rFonts w:ascii="Verdana" w:hAnsi="Verdana" w:cs="Arial"/>
        </w:rPr>
      </w:pPr>
    </w:p>
    <w:p w14:paraId="07901380" w14:textId="77777777" w:rsidR="00421F16" w:rsidRPr="00593A5F" w:rsidRDefault="00421F16" w:rsidP="00421F16">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D48CD2C" w14:textId="463045A4" w:rsidR="00421F16" w:rsidRPr="00593A5F" w:rsidRDefault="00882783" w:rsidP="00421F16">
      <w:pPr>
        <w:spacing w:line="276" w:lineRule="auto"/>
        <w:jc w:val="center"/>
        <w:rPr>
          <w:rFonts w:ascii="Verdana" w:hAnsi="Verdana" w:cs="Arial"/>
          <w:color w:val="000000"/>
          <w:lang w:val="es-ES_tradnl" w:eastAsia="es-CO"/>
        </w:rPr>
      </w:pPr>
      <w:r>
        <w:rPr>
          <w:noProof/>
        </w:rPr>
        <w:drawing>
          <wp:inline distT="0" distB="0" distL="0" distR="0" wp14:anchorId="44EC8A1B" wp14:editId="417B0C5E">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21F16" w:rsidRPr="00593A5F" w14:paraId="710C1576" w14:textId="77777777" w:rsidTr="007E2348">
        <w:trPr>
          <w:trHeight w:val="315"/>
        </w:trPr>
        <w:tc>
          <w:tcPr>
            <w:tcW w:w="893" w:type="dxa"/>
            <w:vAlign w:val="center"/>
            <w:hideMark/>
          </w:tcPr>
          <w:p w14:paraId="2CF3E940" w14:textId="77777777" w:rsidR="00421F16" w:rsidRPr="003751C7" w:rsidRDefault="00421F16" w:rsidP="007E2348">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448150B" w14:textId="77777777" w:rsidR="00421F16" w:rsidRPr="00254A7A" w:rsidRDefault="00421F16" w:rsidP="007E2348">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C5C03D6" w14:textId="77777777" w:rsidR="00421F16" w:rsidRPr="00254A7A" w:rsidRDefault="00421F16" w:rsidP="007E2348">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421F16" w:rsidRPr="00593A5F" w14:paraId="4D35F84B" w14:textId="77777777" w:rsidTr="007E2348">
        <w:trPr>
          <w:trHeight w:val="330"/>
        </w:trPr>
        <w:tc>
          <w:tcPr>
            <w:tcW w:w="893" w:type="dxa"/>
            <w:vAlign w:val="center"/>
            <w:hideMark/>
          </w:tcPr>
          <w:p w14:paraId="77A03F48" w14:textId="77777777" w:rsidR="00421F16" w:rsidRPr="003751C7" w:rsidRDefault="00421F16" w:rsidP="007E234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A8B141" w14:textId="77777777" w:rsidR="00421F16" w:rsidRPr="0033383A" w:rsidRDefault="00421F16" w:rsidP="007E2348">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14:paraId="37A4ED72" w14:textId="77777777" w:rsidR="00421F16" w:rsidRPr="00A40FD0" w:rsidRDefault="00421F16" w:rsidP="007E2348">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00421F16" w:rsidRPr="00593A5F" w14:paraId="2390012C" w14:textId="77777777" w:rsidTr="007E2348">
        <w:trPr>
          <w:trHeight w:val="300"/>
        </w:trPr>
        <w:tc>
          <w:tcPr>
            <w:tcW w:w="893" w:type="dxa"/>
            <w:vAlign w:val="center"/>
          </w:tcPr>
          <w:p w14:paraId="2A8332D5" w14:textId="77777777" w:rsidR="00421F16" w:rsidRPr="003751C7" w:rsidRDefault="00421F16" w:rsidP="007E234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641EA34" w14:textId="77777777" w:rsidR="00421F16" w:rsidRPr="00FE00BE" w:rsidRDefault="00421F16" w:rsidP="007E2348">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29C271AF" w14:textId="77777777" w:rsidR="00421F16" w:rsidRPr="00FE00BE" w:rsidRDefault="00421F16" w:rsidP="007E2348">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6689AA1B" w14:textId="77777777" w:rsidR="00421F16" w:rsidRDefault="00421F16" w:rsidP="00421F16"/>
    <w:sectPr w:rsidR="00421F16"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578D01" w14:textId="77777777" w:rsidR="00D9109E" w:rsidRDefault="00D9109E" w:rsidP="004A1847">
      <w:pPr>
        <w:spacing w:after="0" w:line="240" w:lineRule="auto"/>
      </w:pPr>
      <w:r>
        <w:separator/>
      </w:r>
    </w:p>
  </w:endnote>
  <w:endnote w:type="continuationSeparator" w:id="0">
    <w:p w14:paraId="4C45A157" w14:textId="77777777" w:rsidR="00D9109E" w:rsidRDefault="00D9109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8687F" w14:textId="77777777" w:rsidR="00D9109E" w:rsidRDefault="00D9109E" w:rsidP="004A1847">
      <w:pPr>
        <w:spacing w:after="0" w:line="240" w:lineRule="auto"/>
      </w:pPr>
      <w:r>
        <w:separator/>
      </w:r>
    </w:p>
  </w:footnote>
  <w:footnote w:type="continuationSeparator" w:id="0">
    <w:p w14:paraId="2138B7D7" w14:textId="77777777" w:rsidR="00D9109E" w:rsidRDefault="00D9109E" w:rsidP="004A1847">
      <w:pPr>
        <w:spacing w:after="0" w:line="240" w:lineRule="auto"/>
      </w:pPr>
      <w:r>
        <w:continuationSeparator/>
      </w:r>
    </w:p>
  </w:footnote>
  <w:footnote w:id="1">
    <w:p w14:paraId="293ADF2B" w14:textId="77777777" w:rsidR="00421F16" w:rsidRPr="00224A89" w:rsidRDefault="00421F16" w:rsidP="00421F16">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224A89">
        <w:rPr>
          <w:rFonts w:ascii="Verdana" w:hAnsi="Verdana" w:cs="Arial"/>
          <w:color w:val="000000"/>
          <w:sz w:val="16"/>
          <w:szCs w:val="16"/>
          <w:shd w:val="clear" w:color="auto" w:fill="FFFFFF"/>
        </w:rPr>
        <w:t>” (</w:t>
      </w:r>
      <w:r w:rsidRPr="00224A89">
        <w:rPr>
          <w:rFonts w:ascii="Verdana" w:hAnsi="Verdana" w:cs="Arial"/>
          <w:color w:val="000000"/>
          <w:sz w:val="16"/>
          <w:szCs w:val="16"/>
        </w:rPr>
        <w:t>EXPOSITO, Juan Carlos. Forma y contenido del contrato estatal. Bogotá: Universidad Externado de Colombia, p. 89 y 90).</w:t>
      </w:r>
    </w:p>
  </w:footnote>
  <w:footnote w:id="2">
    <w:p w14:paraId="52904565" w14:textId="77777777" w:rsidR="00421F16" w:rsidRPr="00224A89" w:rsidRDefault="00421F16" w:rsidP="00421F16">
      <w:pPr>
        <w:pStyle w:val="Textonotapie"/>
        <w:ind w:firstLine="708"/>
        <w:jc w:val="both"/>
        <w:rPr>
          <w:rFonts w:ascii="Verdana" w:hAnsi="Verdana" w:cs="Arial"/>
          <w:color w:val="000000"/>
          <w:sz w:val="16"/>
          <w:szCs w:val="16"/>
          <w:lang w:val="es-CO"/>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3">
    <w:p w14:paraId="03C30631" w14:textId="77777777" w:rsidR="00421F16" w:rsidRPr="00224A89" w:rsidRDefault="00421F16" w:rsidP="00421F16">
      <w:pPr>
        <w:spacing w:after="0"/>
        <w:ind w:firstLine="708"/>
        <w:jc w:val="both"/>
        <w:rPr>
          <w:rFonts w:ascii="Verdana" w:hAnsi="Verdana" w:cs="Arial"/>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4">
    <w:p w14:paraId="6BD138C0" w14:textId="77777777" w:rsidR="00421F16" w:rsidRPr="00224A89" w:rsidRDefault="00421F16" w:rsidP="00421F16">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EXPÓSITO VÉLEZ, Juan Carlos. Forma y contenido del contrato estatal, p. 90.</w:t>
      </w:r>
    </w:p>
  </w:footnote>
  <w:footnote w:id="5">
    <w:p w14:paraId="547B0B5F" w14:textId="77777777" w:rsidR="00421F16" w:rsidRPr="00224A89" w:rsidRDefault="00421F16" w:rsidP="00421F16">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Sala de Consulta y Servicio Civil. Radicado No. 1453. Concepto de 6 de agosto de 2003. MP. Augusto Trejos.</w:t>
      </w:r>
    </w:p>
  </w:footnote>
  <w:footnote w:id="6">
    <w:p w14:paraId="0F700B77" w14:textId="77777777" w:rsidR="00421F16" w:rsidRPr="00224A89" w:rsidRDefault="00421F16" w:rsidP="00421F16">
      <w:pPr>
        <w:pStyle w:val="Textonotapie"/>
        <w:ind w:firstLine="708"/>
        <w:jc w:val="both"/>
        <w:rPr>
          <w:rFonts w:ascii="Verdana" w:hAnsi="Verdana" w:cs="Arial"/>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w:t>
      </w:r>
      <w:r w:rsidRPr="00224A89">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58748070" w14:textId="77777777" w:rsidR="00421F16" w:rsidRPr="00224A89" w:rsidRDefault="00421F16" w:rsidP="00421F16">
      <w:pPr>
        <w:pStyle w:val="Textonotapie"/>
        <w:ind w:firstLine="708"/>
        <w:jc w:val="both"/>
        <w:rPr>
          <w:rFonts w:ascii="Verdana" w:hAnsi="Verdana" w:cs="Arial"/>
          <w:color w:val="000000"/>
          <w:sz w:val="16"/>
          <w:szCs w:val="16"/>
          <w:lang w:val="es-ES"/>
        </w:rPr>
      </w:pPr>
      <w:r w:rsidRPr="00224A89">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087028F9" w14:textId="77777777" w:rsidR="00421F16" w:rsidRPr="00224A89" w:rsidRDefault="00421F16" w:rsidP="00421F16">
      <w:pPr>
        <w:pStyle w:val="Textonotapie"/>
        <w:ind w:firstLine="708"/>
        <w:jc w:val="both"/>
        <w:rPr>
          <w:rFonts w:ascii="Verdana" w:hAnsi="Verdana" w:cs="Arial"/>
          <w:color w:val="000000"/>
          <w:sz w:val="16"/>
          <w:szCs w:val="16"/>
          <w:lang w:val="es-ES"/>
        </w:rPr>
      </w:pPr>
      <w:r w:rsidRPr="00224A89">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51E09B98" w14:textId="77777777" w:rsidR="00421F16" w:rsidRPr="00224A89" w:rsidRDefault="00421F16" w:rsidP="00421F16">
      <w:pPr>
        <w:pStyle w:val="Textonotapie"/>
        <w:ind w:firstLine="708"/>
        <w:jc w:val="both"/>
        <w:rPr>
          <w:rFonts w:ascii="Verdana" w:hAnsi="Verdana" w:cs="Arial"/>
          <w:color w:val="000000"/>
          <w:sz w:val="16"/>
          <w:szCs w:val="16"/>
          <w:lang w:val="es-ES"/>
        </w:rPr>
      </w:pPr>
      <w:r w:rsidRPr="00224A89">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7">
    <w:p w14:paraId="30BDE678" w14:textId="77777777" w:rsidR="00421F16" w:rsidRPr="00224A89" w:rsidRDefault="00421F16" w:rsidP="00421F16">
      <w:pPr>
        <w:pStyle w:val="Textonotapie"/>
        <w:ind w:firstLine="709"/>
        <w:jc w:val="both"/>
        <w:rPr>
          <w:rFonts w:ascii="Verdana" w:hAnsi="Verdana" w:cs="Arial"/>
          <w:color w:val="000000"/>
          <w:sz w:val="16"/>
          <w:szCs w:val="16"/>
          <w:lang w:val="es-CO"/>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Subsección C, Sentencia del 24 de julio de 2013, radicado No. 25.642, Consejero Ponente Enrique Gil Botero.</w:t>
      </w:r>
    </w:p>
  </w:footnote>
  <w:footnote w:id="8">
    <w:p w14:paraId="003F51AE" w14:textId="77777777" w:rsidR="00421F16" w:rsidRPr="00224A89" w:rsidRDefault="00421F16" w:rsidP="00421F16">
      <w:pPr>
        <w:pStyle w:val="NormalWeb"/>
        <w:spacing w:before="0" w:beforeAutospacing="0" w:after="0" w:afterAutospacing="0"/>
        <w:ind w:firstLine="709"/>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Decreto 1082 de 2015 “</w:t>
      </w:r>
      <w:r w:rsidRPr="00224A89">
        <w:rPr>
          <w:rStyle w:val="Fuerte"/>
          <w:rFonts w:ascii="Verdana" w:hAnsi="Verdana" w:cs="Arial"/>
          <w:b w:val="0"/>
          <w:bCs w:val="0"/>
          <w:color w:val="000000"/>
          <w:sz w:val="16"/>
          <w:szCs w:val="16"/>
        </w:rPr>
        <w:t>Artículo 2.2.1.2.1.5.2. </w:t>
      </w:r>
      <w:r w:rsidRPr="00224A89">
        <w:rPr>
          <w:rStyle w:val="nfasis"/>
          <w:rFonts w:ascii="Verdana" w:eastAsia="MS Mincho" w:hAnsi="Verdana" w:cs="Arial"/>
          <w:color w:val="000000"/>
          <w:sz w:val="16"/>
          <w:szCs w:val="16"/>
        </w:rPr>
        <w:t>Procedimiento para la contratación de mínima cuantía. </w:t>
      </w:r>
      <w:r w:rsidRPr="00224A89">
        <w:rPr>
          <w:rFonts w:ascii="Verdana" w:hAnsi="Verdana" w:cs="Arial"/>
          <w:color w:val="000000"/>
          <w:sz w:val="16"/>
          <w:szCs w:val="16"/>
        </w:rPr>
        <w:t>Las siguientes reglas son aplicables a la contratación cuyo valor no excede del 10% de la menor cuantía de la Entidad Estatal, independientemente de su objeto: </w:t>
      </w:r>
    </w:p>
    <w:p w14:paraId="182D29A6" w14:textId="77777777" w:rsidR="00421F16" w:rsidRPr="00224A89" w:rsidRDefault="00421F16" w:rsidP="00421F16">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y el cumplimiento de las condiciones técnicas exigidas […]”. </w:t>
      </w:r>
    </w:p>
  </w:footnote>
  <w:footnote w:id="9">
    <w:p w14:paraId="17A389F1" w14:textId="77777777" w:rsidR="00421F16" w:rsidRPr="00224A89" w:rsidRDefault="00421F16" w:rsidP="00421F16">
      <w:pPr>
        <w:pStyle w:val="NormalWeb"/>
        <w:spacing w:before="0" w:beforeAutospacing="0" w:after="0" w:afterAutospacing="0"/>
        <w:ind w:firstLine="720"/>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Ley 80 de 1993 “</w:t>
      </w:r>
      <w:r w:rsidRPr="00224A89">
        <w:rPr>
          <w:rStyle w:val="Fuerte"/>
          <w:rFonts w:ascii="Verdana" w:hAnsi="Verdana" w:cs="Arial"/>
          <w:b w:val="0"/>
          <w:bCs w:val="0"/>
          <w:color w:val="000000"/>
          <w:sz w:val="16"/>
          <w:szCs w:val="16"/>
        </w:rPr>
        <w:t>Articulo 39. De la forma del contrato estatal. </w:t>
      </w:r>
      <w:r w:rsidRPr="00224A89">
        <w:rPr>
          <w:rFonts w:ascii="Verdana" w:hAnsi="Verdana" w:cs="Arial"/>
          <w:color w:val="000000"/>
          <w:sz w:val="16"/>
          <w:szCs w:val="16"/>
        </w:rPr>
        <w:t>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w:t>
      </w:r>
    </w:p>
    <w:p w14:paraId="77EFB314" w14:textId="77777777" w:rsidR="00421F16" w:rsidRPr="00224A89" w:rsidRDefault="00421F16" w:rsidP="00421F16">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w:t>
      </w:r>
      <w:bookmarkStart w:id="2" w:name="ver_1790147"/>
      <w:bookmarkStart w:id="3" w:name="ver_30220791"/>
      <w:bookmarkStart w:id="4" w:name="ver_1790148"/>
      <w:bookmarkEnd w:id="2"/>
      <w:bookmarkEnd w:id="3"/>
    </w:p>
    <w:p w14:paraId="41B5F212" w14:textId="77777777" w:rsidR="00421F16" w:rsidRPr="00224A89" w:rsidRDefault="00421F16" w:rsidP="00421F16">
      <w:pPr>
        <w:pStyle w:val="NormalWeb"/>
        <w:spacing w:before="0" w:beforeAutospacing="0" w:after="0" w:afterAutospacing="0"/>
        <w:ind w:firstLine="720"/>
        <w:jc w:val="both"/>
        <w:rPr>
          <w:rFonts w:ascii="Verdana" w:hAnsi="Verdana" w:cs="Arial"/>
          <w:color w:val="000000"/>
          <w:sz w:val="16"/>
          <w:szCs w:val="16"/>
        </w:rPr>
      </w:pPr>
      <w:r w:rsidRPr="00224A89">
        <w:rPr>
          <w:rStyle w:val="Fuerte"/>
          <w:rFonts w:ascii="Verdana" w:hAnsi="Verdana" w:cs="Arial"/>
          <w:b w:val="0"/>
          <w:bCs w:val="0"/>
          <w:color w:val="000000"/>
          <w:sz w:val="16"/>
          <w:szCs w:val="16"/>
        </w:rPr>
        <w:t>Artículo 40. Del contenido del contrato estatal.</w:t>
      </w:r>
      <w:r w:rsidRPr="00224A89">
        <w:rPr>
          <w:rFonts w:ascii="Verdana" w:hAnsi="Verdana" w:cs="Arial"/>
          <w:color w:val="000000"/>
          <w:sz w:val="16"/>
          <w:szCs w:val="16"/>
        </w:rPr>
        <w:t> Las estipulaciones de los contratos serán las que de acuerdo con las normas civiles, comerciales y las previstas en esta ley, correspondan a su esencia y naturaleza. </w:t>
      </w:r>
    </w:p>
    <w:p w14:paraId="7C14667D" w14:textId="77777777" w:rsidR="00421F16" w:rsidRPr="00224A89" w:rsidRDefault="00421F16" w:rsidP="00421F16">
      <w:pPr>
        <w:pStyle w:val="NormalWeb"/>
        <w:spacing w:before="0" w:beforeAutospacing="0" w:after="0" w:afterAutospacing="0"/>
        <w:ind w:firstLine="720"/>
        <w:jc w:val="both"/>
        <w:rPr>
          <w:rFonts w:ascii="Verdana" w:hAnsi="Verdana" w:cs="Arial"/>
          <w:color w:val="000000"/>
          <w:sz w:val="16"/>
          <w:szCs w:val="16"/>
        </w:rPr>
      </w:pPr>
      <w:r w:rsidRPr="00224A89">
        <w:rPr>
          <w:rFonts w:ascii="Verdana" w:hAnsi="Verdana" w:cs="Arial"/>
          <w:color w:val="000000"/>
          <w:sz w:val="16"/>
          <w:szCs w:val="16"/>
        </w:rPr>
        <w:t>Las entidades podrán celebrar los contratos y acuerdos que permitan la autonomía de la voluntad y requieran el cumplimiento de los fines estatales. </w:t>
      </w:r>
    </w:p>
    <w:p w14:paraId="35ACD454" w14:textId="77777777" w:rsidR="00421F16" w:rsidRPr="00224A89" w:rsidRDefault="00421F16" w:rsidP="00421F16">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  </w:t>
      </w:r>
    </w:p>
    <w:p w14:paraId="425A6B37" w14:textId="77777777" w:rsidR="00421F16" w:rsidRPr="00224A89" w:rsidRDefault="00421F16" w:rsidP="00421F16">
      <w:pPr>
        <w:pStyle w:val="NormalWeb"/>
        <w:spacing w:before="0" w:beforeAutospacing="0" w:after="0" w:afterAutospacing="0"/>
        <w:ind w:firstLine="720"/>
        <w:jc w:val="both"/>
        <w:rPr>
          <w:rFonts w:ascii="Verdana" w:hAnsi="Verdana" w:cs="Arial"/>
          <w:color w:val="000000"/>
          <w:sz w:val="16"/>
          <w:szCs w:val="16"/>
        </w:rPr>
      </w:pPr>
      <w:bookmarkStart w:id="5" w:name="ver_30161420"/>
      <w:bookmarkStart w:id="6" w:name="ver_1790149"/>
      <w:bookmarkStart w:id="7" w:name="ver_30161408"/>
      <w:bookmarkStart w:id="8" w:name="ver_30161443"/>
      <w:bookmarkEnd w:id="4"/>
      <w:bookmarkEnd w:id="5"/>
      <w:bookmarkEnd w:id="6"/>
      <w:bookmarkEnd w:id="7"/>
      <w:bookmarkEnd w:id="8"/>
      <w:r w:rsidRPr="00224A89">
        <w:rPr>
          <w:rStyle w:val="Fuerte"/>
          <w:rFonts w:ascii="Verdana" w:hAnsi="Verdana" w:cs="Arial"/>
          <w:b w:val="0"/>
          <w:bCs w:val="0"/>
          <w:color w:val="000000"/>
          <w:sz w:val="16"/>
          <w:szCs w:val="16"/>
        </w:rPr>
        <w:t>Artículo 41. Del perfeccionamiento del contrato.</w:t>
      </w:r>
      <w:r w:rsidRPr="00224A89">
        <w:rPr>
          <w:rFonts w:ascii="Verdana" w:hAnsi="Verdana" w:cs="Arial"/>
          <w:color w:val="000000"/>
          <w:sz w:val="16"/>
          <w:szCs w:val="16"/>
        </w:rPr>
        <w:t> Los contratos del Estado se perfeccionan cuando se logre acuerdo sobre el objeto y la contraprestación y éste se eleve a escrito […]”.</w:t>
      </w:r>
    </w:p>
  </w:footnote>
  <w:footnote w:id="10">
    <w:p w14:paraId="21CFE883" w14:textId="77777777" w:rsidR="00421F16" w:rsidRPr="00224A89" w:rsidRDefault="00421F16" w:rsidP="00421F16">
      <w:pPr>
        <w:pStyle w:val="Textonotapie"/>
        <w:ind w:firstLine="709"/>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Ley 80 de 1993 “</w:t>
      </w:r>
      <w:r w:rsidRPr="00224A89">
        <w:rPr>
          <w:rStyle w:val="Fuerte"/>
          <w:rFonts w:ascii="Verdana" w:hAnsi="Verdana" w:cs="Arial"/>
          <w:b w:val="0"/>
          <w:bCs w:val="0"/>
          <w:color w:val="000000"/>
          <w:sz w:val="16"/>
          <w:szCs w:val="16"/>
        </w:rPr>
        <w:t>Artículo 77. De la normatividad aplicable en las actuaciones administrativas.</w:t>
      </w:r>
      <w:r w:rsidRPr="00224A89">
        <w:rPr>
          <w:rFonts w:ascii="Verdana" w:hAnsi="Verdana" w:cs="Arial"/>
          <w:color w:val="000000"/>
          <w:sz w:val="16"/>
          <w:szCs w:val="16"/>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1">
    <w:p w14:paraId="4017A0AA" w14:textId="77777777" w:rsidR="00421F16" w:rsidRPr="00224A89" w:rsidRDefault="00421F16" w:rsidP="00421F16">
      <w:pPr>
        <w:pStyle w:val="NormalWeb"/>
        <w:spacing w:before="0" w:beforeAutospacing="0" w:after="0" w:afterAutospacing="0"/>
        <w:ind w:firstLine="709"/>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Ley 80 de 1993 “</w:t>
      </w:r>
      <w:r w:rsidRPr="00224A89">
        <w:rPr>
          <w:rStyle w:val="Fuerte"/>
          <w:rFonts w:ascii="Verdana" w:hAnsi="Verdana" w:cs="Arial"/>
          <w:b w:val="0"/>
          <w:bCs w:val="0"/>
          <w:color w:val="000000"/>
          <w:sz w:val="16"/>
          <w:szCs w:val="16"/>
        </w:rPr>
        <w:t>Artículo 25. Del principio de economía.</w:t>
      </w:r>
      <w:r w:rsidRPr="00224A89">
        <w:rPr>
          <w:rFonts w:ascii="Verdana" w:hAnsi="Verdana" w:cs="Arial"/>
          <w:color w:val="000000"/>
          <w:sz w:val="16"/>
          <w:szCs w:val="16"/>
        </w:rPr>
        <w:t> En virtud de este principio: </w:t>
      </w:r>
    </w:p>
    <w:p w14:paraId="657B60A3" w14:textId="77777777" w:rsidR="00421F16" w:rsidRPr="00224A89" w:rsidRDefault="00421F16" w:rsidP="00421F16">
      <w:pPr>
        <w:pStyle w:val="NormalWeb"/>
        <w:spacing w:before="0" w:beforeAutospacing="0" w:after="0" w:afterAutospacing="0"/>
        <w:ind w:firstLine="709"/>
        <w:jc w:val="both"/>
        <w:rPr>
          <w:rFonts w:ascii="Verdana" w:hAnsi="Verdana" w:cs="Arial"/>
          <w:color w:val="000000"/>
          <w:sz w:val="16"/>
          <w:szCs w:val="16"/>
        </w:rPr>
      </w:pPr>
      <w:r w:rsidRPr="00224A89">
        <w:rPr>
          <w:rFonts w:ascii="Verdana" w:hAnsi="Verdana" w:cs="Arial"/>
          <w:color w:val="000000"/>
          <w:sz w:val="16"/>
          <w:szCs w:val="16"/>
        </w:rPr>
        <w:t>[…]</w:t>
      </w:r>
    </w:p>
    <w:p w14:paraId="493746F9" w14:textId="77777777" w:rsidR="00421F16" w:rsidRPr="00224A89" w:rsidRDefault="00421F16" w:rsidP="00421F16">
      <w:pPr>
        <w:pStyle w:val="NormalWeb"/>
        <w:spacing w:before="0" w:beforeAutospacing="0" w:after="0" w:afterAutospacing="0"/>
        <w:ind w:firstLine="709"/>
        <w:jc w:val="both"/>
        <w:rPr>
          <w:rFonts w:ascii="Verdana" w:hAnsi="Verdana" w:cs="Arial"/>
          <w:color w:val="000000"/>
          <w:sz w:val="16"/>
          <w:szCs w:val="16"/>
        </w:rPr>
      </w:pPr>
      <w:r w:rsidRPr="00224A89">
        <w:rPr>
          <w:rFonts w:ascii="Verdana" w:hAnsi="Verdana" w:cs="Arial"/>
          <w:color w:val="000000"/>
          <w:sz w:val="16"/>
          <w:szCs w:val="16"/>
        </w:rPr>
        <w:t>4o. Los trámites se adelantarán con austeridad de tiempo, medios y gastos y se impedirán las dilaciones y los retardos en la ejecución del contrato. </w:t>
      </w:r>
    </w:p>
    <w:p w14:paraId="68AA9EAA" w14:textId="77777777" w:rsidR="00421F16" w:rsidRPr="00224A89" w:rsidRDefault="00421F16" w:rsidP="00421F16">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5o. Se adoptarán procedimientos que garanticen la pronta solución de las diferencias y controversias que con motivo de la celebración y ejecución del contrato se presenten […]”.</w:t>
      </w:r>
    </w:p>
  </w:footnote>
  <w:footnote w:id="12">
    <w:p w14:paraId="7495C249" w14:textId="77777777" w:rsidR="00421F16" w:rsidRPr="00224A89" w:rsidRDefault="00421F16" w:rsidP="00421F16">
      <w:pPr>
        <w:pStyle w:val="Textonotapie"/>
        <w:ind w:firstLine="708"/>
        <w:jc w:val="both"/>
        <w:rPr>
          <w:rFonts w:ascii="Verdana" w:hAnsi="Verdana" w:cs="Arial"/>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COLOMBIA COMPRA EFICIENTE. Guía para la Liquidación de los Procesos de Contratación. página 5, disponible en: </w:t>
      </w:r>
      <w:hyperlink r:id="rId1" w:history="1">
        <w:r w:rsidRPr="00224A89">
          <w:rPr>
            <w:rStyle w:val="Hipervnculo"/>
            <w:rFonts w:ascii="Verdana" w:hAnsi="Verdana" w:cs="Arial"/>
            <w:sz w:val="16"/>
            <w:szCs w:val="16"/>
          </w:rPr>
          <w:t xml:space="preserve">https://www.colombiacompra.gov.co/sites/cce_public/files/cce_documents/cce_guia_liquidacion_procesos.pdf  </w:t>
        </w:r>
      </w:hyperlink>
    </w:p>
  </w:footnote>
  <w:footnote w:id="13">
    <w:p w14:paraId="304B6541" w14:textId="77777777" w:rsidR="00421F16" w:rsidRPr="00224A89" w:rsidRDefault="00421F16" w:rsidP="00421F16">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4">
    <w:p w14:paraId="57783652" w14:textId="77777777" w:rsidR="00421F16" w:rsidRPr="00224A89" w:rsidRDefault="00421F16" w:rsidP="00421F16">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Sala de Consulta y Servicio Civil. Concepto de 28 de Junio de 2016. Radicación: 2253. C.P. Álvaro Namén Vargas. </w:t>
      </w:r>
    </w:p>
  </w:footnote>
  <w:footnote w:id="15">
    <w:p w14:paraId="39C8BB1C" w14:textId="77777777" w:rsidR="00421F16" w:rsidRPr="00224A89" w:rsidRDefault="00421F16" w:rsidP="00421F16">
      <w:pPr>
        <w:pStyle w:val="Textonotapie"/>
        <w:ind w:firstLine="708"/>
        <w:jc w:val="both"/>
        <w:rPr>
          <w:rFonts w:ascii="Verdana" w:hAnsi="Verdana"/>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w:t>
      </w:r>
      <w:r w:rsidRPr="00224A89">
        <w:rPr>
          <w:rFonts w:ascii="Verdana" w:hAnsi="Verdana" w:cs="Arial"/>
          <w:color w:val="000000"/>
          <w:sz w:val="16"/>
          <w:szCs w:val="16"/>
          <w:lang w:val="es-CO"/>
        </w:rPr>
        <w:t xml:space="preserve">Sala Plena. Auto del 1 de agosto de 2019. </w:t>
      </w:r>
      <w:r w:rsidRPr="00224A89">
        <w:rPr>
          <w:rFonts w:ascii="Verdana" w:hAnsi="Verdana" w:cs="Arial"/>
          <w:color w:val="000000"/>
          <w:sz w:val="16"/>
          <w:szCs w:val="16"/>
        </w:rPr>
        <w:t xml:space="preserve">Exp. 62009. C.P. Jaime Enrique Rodríguez Navas. </w:t>
      </w:r>
      <w:r w:rsidRPr="00224A89">
        <w:rPr>
          <w:rFonts w:ascii="Verdana" w:hAnsi="Verdana"/>
          <w:color w:val="000000"/>
          <w:sz w:val="16"/>
          <w:szCs w:val="16"/>
          <w:lang w:val="es-ES"/>
        </w:rPr>
        <w:t xml:space="preserve"> </w:t>
      </w:r>
    </w:p>
  </w:footnote>
  <w:footnote w:id="16">
    <w:p w14:paraId="64BEFA69" w14:textId="77777777" w:rsidR="00421F16" w:rsidRPr="00224A89" w:rsidRDefault="00421F16" w:rsidP="00421F16">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DÍAZ DÍEZ, La liquidación… Op. cit., pp. 255-256.</w:t>
      </w:r>
    </w:p>
  </w:footnote>
  <w:footnote w:id="17">
    <w:p w14:paraId="0D9974CD" w14:textId="77777777" w:rsidR="00421F16" w:rsidRPr="00224A89" w:rsidRDefault="00421F16" w:rsidP="00421F16">
      <w:pPr>
        <w:spacing w:after="0"/>
        <w:ind w:firstLine="708"/>
        <w:jc w:val="both"/>
        <w:rPr>
          <w:rFonts w:ascii="Verdana" w:hAnsi="Verdana" w:cs="Arial"/>
          <w:color w:val="000000" w:themeColor="text1"/>
          <w:sz w:val="16"/>
          <w:szCs w:val="16"/>
          <w:lang w:val="es-MX"/>
        </w:rPr>
      </w:pPr>
      <w:r w:rsidRPr="00224A89">
        <w:rPr>
          <w:rFonts w:ascii="Verdana" w:hAnsi="Verdana" w:cs="Arial"/>
          <w:color w:val="000000" w:themeColor="text1"/>
          <w:sz w:val="16"/>
          <w:szCs w:val="16"/>
          <w:vertAlign w:val="superscript"/>
        </w:rPr>
        <w:footnoteRef/>
      </w:r>
      <w:r w:rsidRPr="00224A89">
        <w:rPr>
          <w:rFonts w:ascii="Verdana" w:hAnsi="Verdana" w:cs="Arial"/>
          <w:color w:val="000000" w:themeColor="text1"/>
          <w:sz w:val="16"/>
          <w:szCs w:val="16"/>
        </w:rPr>
        <w:t xml:space="preserve"> La Sala de Consulta y Servicio Civil del Consejo de Estado, en concepto del 8 de marzo de 2017, radicado No. 2.298, y con ponencia del Consejero Édgar González, manifestó respecto del trámite del cierre del expediente del Proceso de Contratación que: </w:t>
      </w:r>
      <w:r>
        <w:rPr>
          <w:rFonts w:ascii="Verdana" w:hAnsi="Verdana" w:cs="Arial"/>
          <w:color w:val="000000" w:themeColor="text1"/>
          <w:sz w:val="16"/>
          <w:szCs w:val="16"/>
        </w:rPr>
        <w:t>“</w:t>
      </w:r>
      <w:r w:rsidRPr="00224A89">
        <w:rPr>
          <w:rFonts w:ascii="Verdana" w:hAnsi="Verdana" w:cs="Arial"/>
          <w:color w:val="000000" w:themeColor="text1"/>
          <w:sz w:val="16"/>
          <w:szCs w:val="16"/>
        </w:rPr>
        <w:t>[…] procede cuando se ha efectuado la liquidación del contrato, a efectos de dejar las constancias sobre el vencimiento de las garantías y la condición de los bienes y obras desde la perspectiva ambiental, y también en los casos en los cuales no se haya efectuado dicha liquidación, a efectos de dejar constancia sobre el punto final de la actuación contractual</w:t>
      </w:r>
      <w:r>
        <w:rPr>
          <w:rFonts w:ascii="Verdana" w:hAnsi="Verdana" w:cs="Arial"/>
          <w:color w:val="000000" w:themeColor="text1"/>
          <w:sz w:val="16"/>
          <w:szCs w:val="16"/>
        </w:rPr>
        <w:t>”</w:t>
      </w:r>
      <w:r w:rsidRPr="00224A89">
        <w:rPr>
          <w:rFonts w:ascii="Verdana" w:hAnsi="Verdana" w:cs="Arial"/>
          <w:color w:val="000000" w:themeColor="text1"/>
          <w:sz w:val="16"/>
          <w:szCs w:val="16"/>
        </w:rPr>
        <w:t>.</w:t>
      </w:r>
    </w:p>
  </w:footnote>
  <w:footnote w:id="18">
    <w:p w14:paraId="53228A1A" w14:textId="77777777" w:rsidR="00421F16" w:rsidRPr="00224A89" w:rsidRDefault="00421F16" w:rsidP="00421F16">
      <w:pPr>
        <w:pStyle w:val="Textonotapie"/>
        <w:ind w:firstLine="708"/>
        <w:jc w:val="both"/>
        <w:rPr>
          <w:rFonts w:ascii="Verdana" w:hAnsi="Verdana" w:cs="Arial"/>
          <w:color w:val="000000" w:themeColor="text1"/>
          <w:sz w:val="16"/>
          <w:szCs w:val="16"/>
        </w:rPr>
      </w:pPr>
      <w:r w:rsidRPr="00224A89">
        <w:rPr>
          <w:rStyle w:val="Refdenotaalpie"/>
          <w:rFonts w:ascii="Verdana" w:hAnsi="Verdana" w:cs="Arial"/>
          <w:color w:val="000000" w:themeColor="text1"/>
          <w:sz w:val="16"/>
          <w:szCs w:val="16"/>
        </w:rPr>
        <w:footnoteRef/>
      </w:r>
      <w:r w:rsidRPr="00224A89">
        <w:rPr>
          <w:rFonts w:ascii="Verdana" w:hAnsi="Verdana" w:cs="Arial"/>
          <w:color w:val="000000" w:themeColor="text1"/>
          <w:sz w:val="16"/>
          <w:szCs w:val="16"/>
        </w:rPr>
        <w:t xml:space="preserve"> En términos generales, se concluyó: </w:t>
      </w:r>
      <w:r>
        <w:rPr>
          <w:rFonts w:ascii="Verdana" w:hAnsi="Verdana" w:cs="Arial"/>
          <w:color w:val="000000" w:themeColor="text1"/>
          <w:sz w:val="16"/>
          <w:szCs w:val="16"/>
        </w:rPr>
        <w:t>“</w:t>
      </w:r>
      <w:r w:rsidRPr="00224A89">
        <w:rPr>
          <w:rFonts w:ascii="Verdana" w:hAnsi="Verdana" w:cs="Arial"/>
          <w:color w:val="000000" w:themeColor="text1"/>
          <w:sz w:val="16"/>
          <w:szCs w:val="16"/>
        </w:rPr>
        <w:t>[…]</w:t>
      </w:r>
      <w:r>
        <w:rPr>
          <w:rFonts w:ascii="Verdana" w:hAnsi="Verdana" w:cs="Arial"/>
          <w:color w:val="000000" w:themeColor="text1"/>
          <w:sz w:val="16"/>
          <w:szCs w:val="16"/>
        </w:rPr>
        <w:t xml:space="preserve"> </w:t>
      </w:r>
      <w:r w:rsidRPr="00224A89">
        <w:rPr>
          <w:rFonts w:ascii="Verdana" w:hAnsi="Verdana" w:cs="Arial"/>
          <w:color w:val="000000" w:themeColor="text1"/>
          <w:sz w:val="16"/>
          <w:szCs w:val="16"/>
        </w:rPr>
        <w:t>8.4.- En el caso concreto se concluyó que el precepto reglamentario no desconocía, trasgredía o modificaba el inciso cuarto del artículo 60 de la Ley 80 de 1993. Se determinó que la exigencia establecida en el artículo demandado se dirige únicamente a la Administración, no compromete o afecta situaciones jurídicas de terceros ajenos a la Administración e implica el deber de dejar constancia o atestiguar una situación o estado de cosas ocurrido en el iter posterior a la liquidación.</w:t>
      </w:r>
    </w:p>
    <w:p w14:paraId="6F18F909" w14:textId="77777777" w:rsidR="00421F16" w:rsidRPr="00224A89" w:rsidRDefault="00421F16" w:rsidP="00421F16">
      <w:pPr>
        <w:pStyle w:val="Textonotapie"/>
        <w:ind w:firstLine="708"/>
        <w:jc w:val="both"/>
        <w:rPr>
          <w:rFonts w:ascii="Verdana" w:hAnsi="Verdana" w:cs="Arial"/>
          <w:color w:val="000000" w:themeColor="text1"/>
          <w:sz w:val="16"/>
          <w:szCs w:val="16"/>
        </w:rPr>
      </w:pPr>
      <w:r w:rsidRPr="00224A89">
        <w:rPr>
          <w:rFonts w:ascii="Verdana" w:hAnsi="Verdana" w:cs="Arial"/>
          <w:color w:val="000000" w:themeColor="text1"/>
          <w:sz w:val="16"/>
          <w:szCs w:val="16"/>
        </w:rPr>
        <w:t>[…]</w:t>
      </w:r>
    </w:p>
    <w:p w14:paraId="2C16B632" w14:textId="77777777" w:rsidR="00421F16" w:rsidRPr="00224A89" w:rsidRDefault="00421F16" w:rsidP="00421F16">
      <w:pPr>
        <w:pStyle w:val="Textonotapie"/>
        <w:ind w:firstLine="708"/>
        <w:jc w:val="both"/>
        <w:rPr>
          <w:rFonts w:ascii="Verdana" w:hAnsi="Verdana" w:cs="Arial"/>
          <w:color w:val="000000" w:themeColor="text1"/>
          <w:sz w:val="16"/>
          <w:szCs w:val="16"/>
        </w:rPr>
      </w:pPr>
      <w:r w:rsidRPr="00224A89">
        <w:rPr>
          <w:rFonts w:ascii="Verdana" w:hAnsi="Verdana" w:cs="Arial"/>
          <w:color w:val="000000" w:themeColor="text1"/>
          <w:sz w:val="16"/>
          <w:szCs w:val="16"/>
        </w:rPr>
        <w:t>8.5.- Concluyó la Sala que la norma enjuiciada comprendía una regulación propia de la esfera intraorgánica que, inclusive, no demandaba regulación expresa, y no afectaba, alteraba o modificaba ninguna cuestión propia de la etapa liquidatoria. En consecuencia, no se encontró probado un exceso de competencia del Gobierno Nacional en el sub judice</w:t>
      </w:r>
      <w:r>
        <w:rPr>
          <w:rFonts w:ascii="Verdana" w:hAnsi="Verdana" w:cs="Arial"/>
          <w:color w:val="000000" w:themeColor="text1"/>
          <w:sz w:val="16"/>
          <w:szCs w:val="16"/>
        </w:rPr>
        <w:t>”.</w:t>
      </w:r>
    </w:p>
  </w:footnote>
  <w:footnote w:id="19">
    <w:p w14:paraId="7E58739A" w14:textId="77777777" w:rsidR="00421F16" w:rsidRPr="00224A89" w:rsidRDefault="00421F16" w:rsidP="00421F16">
      <w:pPr>
        <w:pStyle w:val="Textonotapie"/>
        <w:ind w:firstLine="708"/>
        <w:jc w:val="both"/>
        <w:rPr>
          <w:rFonts w:ascii="Verdana" w:hAnsi="Verdana" w:cs="Arial"/>
          <w:color w:val="000000" w:themeColor="text1"/>
          <w:sz w:val="16"/>
          <w:szCs w:val="16"/>
          <w:lang w:val="es-ES"/>
        </w:rPr>
      </w:pPr>
      <w:r w:rsidRPr="00224A89">
        <w:rPr>
          <w:rStyle w:val="Refdenotaalpie"/>
          <w:rFonts w:ascii="Verdana" w:hAnsi="Verdana" w:cs="Arial"/>
          <w:color w:val="000000" w:themeColor="text1"/>
          <w:sz w:val="16"/>
          <w:szCs w:val="16"/>
        </w:rPr>
        <w:footnoteRef/>
      </w:r>
      <w:r w:rsidRPr="00224A89">
        <w:rPr>
          <w:rFonts w:ascii="Verdana" w:hAnsi="Verdana" w:cs="Arial"/>
          <w:color w:val="000000" w:themeColor="text1"/>
          <w:sz w:val="16"/>
          <w:szCs w:val="16"/>
        </w:rPr>
        <w:t xml:space="preserve"> Consejo de Estado. Sección Tercera. Subsección C. Radicado No. 11001-03-26-000-2015-00165-00. Número interno 55.813. M.P. Jaime Orlando Santofimio Gamboa. Sentencia del 10 de octubre de 2016.</w:t>
      </w:r>
    </w:p>
  </w:footnote>
  <w:footnote w:id="20">
    <w:p w14:paraId="2257DA2D" w14:textId="77777777" w:rsidR="00421F16" w:rsidRPr="004F612A" w:rsidRDefault="00421F16" w:rsidP="00421F16">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Agencia Nacional de Contratación Pública – Colombia Compra Eficiente. Concepto CU-028 del 25 de febrero de 2020. Radicado de entrada No. 4202013000000460. Radicado de salida No. 2202013000001282.</w:t>
      </w:r>
    </w:p>
  </w:footnote>
  <w:footnote w:id="21">
    <w:p w14:paraId="1F59B429" w14:textId="77777777" w:rsidR="00421F16" w:rsidRPr="001D6F6E" w:rsidRDefault="00421F16" w:rsidP="00421F16">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w:t>
      </w:r>
      <w:r w:rsidRPr="00224A89">
        <w:rPr>
          <w:rFonts w:ascii="Verdana" w:hAnsi="Verdana" w:cs="Arial"/>
          <w:i/>
          <w:iCs/>
          <w:sz w:val="16"/>
          <w:szCs w:val="16"/>
        </w:rPr>
        <w:t>Ibídem</w:t>
      </w:r>
      <w:r w:rsidRPr="00224A89">
        <w:rPr>
          <w:rFonts w:ascii="Verdana" w:hAnsi="Verdana" w:cs="Arial"/>
          <w:sz w:val="16"/>
          <w:szCs w:val="16"/>
        </w:rPr>
        <w:t>.</w:t>
      </w:r>
    </w:p>
  </w:footnote>
  <w:footnote w:id="22">
    <w:p w14:paraId="4F614B21" w14:textId="77777777" w:rsidR="00421F16" w:rsidRPr="001D6F6E" w:rsidRDefault="00421F16" w:rsidP="00421F16">
      <w:pPr>
        <w:pStyle w:val="Textonotapie"/>
        <w:ind w:firstLine="708"/>
        <w:jc w:val="both"/>
        <w:rPr>
          <w:rFonts w:ascii="Verdana" w:hAnsi="Verdana" w:cs="Arial"/>
          <w:bCs/>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En este concepto se manifestó </w:t>
      </w:r>
      <w:r>
        <w:rPr>
          <w:rFonts w:ascii="Verdana" w:hAnsi="Verdana" w:cs="Arial"/>
          <w:sz w:val="16"/>
          <w:szCs w:val="16"/>
        </w:rPr>
        <w:t>“</w:t>
      </w:r>
      <w:r w:rsidRPr="00224A89">
        <w:rPr>
          <w:rFonts w:ascii="Verdana" w:hAnsi="Verdana" w:cs="Arial"/>
          <w:sz w:val="16"/>
          <w:szCs w:val="16"/>
        </w:rPr>
        <w:t>De acuerdo con los principios y disposiciones constitucionales, legales y reglamentarias citadas, la Sala considera que las entidades deben proceder a hacer el cierre del expediente del proceso de contratación incluso en aquellos casos en los cuales no se haya efectuado la liquidación del contrato, para efectos de establecer dentro de la entidad estatal el estado final de los contratos celebrados. Se trata de un trámite interno en el que, al menos, se haga un recuento del contenido del proceso de contratación surtido y que consta en el expediente, se relacione y compare lo ejecutado con lo pagado y se verifique el cumplimiento de las obligaciones posteriores a la finalización de la ejecución del contrato (garantías de estabilidad de la obra, calidad del bien o servicio suministrado, provisión de repuestos y accesorios, pago de salarios, prestaciones e indemnizaciones, a la responsabilidad civil o las condiciones de disposición final o recuperación ambiental de las obras o bienes), con el fin de proceder con el cierre y archivo del expediente y otros trámites a que haya lugar</w:t>
      </w:r>
      <w:r>
        <w:rPr>
          <w:rFonts w:ascii="Verdana" w:hAnsi="Verdana" w:cs="Arial"/>
          <w:sz w:val="16"/>
          <w:szCs w:val="16"/>
        </w:rPr>
        <w:t>”</w:t>
      </w:r>
      <w:r w:rsidRPr="00224A89">
        <w:rPr>
          <w:rFonts w:ascii="Verdana" w:hAnsi="Verdana" w:cs="Arial"/>
          <w:sz w:val="16"/>
          <w:szCs w:val="16"/>
        </w:rPr>
        <w:t xml:space="preserve"> (Consejo de Estado. Sala de Consulta y Servicio Civil. Concepto </w:t>
      </w:r>
      <w:r w:rsidRPr="00224A89">
        <w:rPr>
          <w:rFonts w:ascii="Verdana" w:hAnsi="Verdana" w:cs="Arial"/>
          <w:bCs/>
          <w:sz w:val="16"/>
          <w:szCs w:val="16"/>
        </w:rPr>
        <w:t xml:space="preserve">del 28 de junio de 2016. Radicado No. 2253. C.P. Álvaro Namén Vargas). </w:t>
      </w:r>
    </w:p>
  </w:footnote>
  <w:footnote w:id="23">
    <w:p w14:paraId="628C20B4" w14:textId="77777777" w:rsidR="00421F16" w:rsidRPr="00224A89" w:rsidRDefault="00421F16" w:rsidP="00421F16">
      <w:pPr>
        <w:pStyle w:val="Textonotapie"/>
        <w:ind w:firstLine="708"/>
        <w:jc w:val="both"/>
        <w:rPr>
          <w:rFonts w:ascii="Verdana" w:hAnsi="Verdana" w:cs="Arial"/>
          <w:color w:val="000000" w:themeColor="text1"/>
          <w:sz w:val="16"/>
          <w:szCs w:val="16"/>
        </w:rPr>
      </w:pPr>
      <w:r w:rsidRPr="00224A89">
        <w:rPr>
          <w:rStyle w:val="Refdenotaalpie"/>
          <w:rFonts w:ascii="Verdana" w:hAnsi="Verdana" w:cs="Arial"/>
          <w:color w:val="000000" w:themeColor="text1"/>
          <w:sz w:val="16"/>
          <w:szCs w:val="16"/>
        </w:rPr>
        <w:footnoteRef/>
      </w:r>
      <w:r w:rsidRPr="00224A89">
        <w:rPr>
          <w:rFonts w:ascii="Verdana" w:hAnsi="Verdana" w:cs="Arial"/>
          <w:color w:val="000000" w:themeColor="text1"/>
          <w:sz w:val="16"/>
          <w:szCs w:val="16"/>
        </w:rPr>
        <w:t xml:space="preserve"> En esta ocasión, en relación el cierre del expediente contractual, la sala consultiva del Consejo de Estado expresó: </w:t>
      </w:r>
      <w:r>
        <w:rPr>
          <w:rFonts w:ascii="Verdana" w:hAnsi="Verdana" w:cs="Arial"/>
          <w:color w:val="000000" w:themeColor="text1"/>
          <w:sz w:val="16"/>
          <w:szCs w:val="16"/>
        </w:rPr>
        <w:t>“</w:t>
      </w:r>
      <w:r w:rsidRPr="00224A89">
        <w:rPr>
          <w:rFonts w:ascii="Verdana" w:hAnsi="Verdana" w:cs="Arial"/>
          <w:color w:val="000000" w:themeColor="text1"/>
          <w:sz w:val="16"/>
          <w:szCs w:val="16"/>
        </w:rPr>
        <w:t>Una interpretación sistemática y finalista de la norma, permite concluir que el trámite del cierre del expediente del proceso de contratación procede cuando se ha efectuado la liquidación del contrato, a efectos de dejar las constancias sobre el vencimiento de las garantías y la condición de los bienes y obras desde la perspectiva ambiental, y también en los casos en los cuales no se haya efectuado dicha liquidación, a efectos de dejar constancia sobre el punto final de la actuación contractual.</w:t>
      </w:r>
    </w:p>
    <w:p w14:paraId="34CF92ED" w14:textId="77777777" w:rsidR="00421F16" w:rsidRPr="00224A89" w:rsidRDefault="00421F16" w:rsidP="00421F16">
      <w:pPr>
        <w:pStyle w:val="Textonotapie"/>
        <w:ind w:firstLine="708"/>
        <w:jc w:val="both"/>
        <w:rPr>
          <w:rFonts w:ascii="Verdana" w:hAnsi="Verdana" w:cs="Arial"/>
          <w:color w:val="000000" w:themeColor="text1"/>
          <w:sz w:val="16"/>
          <w:szCs w:val="16"/>
        </w:rPr>
      </w:pPr>
      <w:r>
        <w:rPr>
          <w:rFonts w:ascii="Verdana" w:hAnsi="Verdana" w:cs="Arial"/>
          <w:color w:val="000000" w:themeColor="text1"/>
          <w:sz w:val="16"/>
          <w:szCs w:val="16"/>
        </w:rPr>
        <w:t>L</w:t>
      </w:r>
      <w:r w:rsidRPr="00224A89">
        <w:rPr>
          <w:rFonts w:ascii="Verdana" w:hAnsi="Verdana" w:cs="Arial"/>
          <w:color w:val="000000" w:themeColor="text1"/>
          <w:sz w:val="16"/>
          <w:szCs w:val="16"/>
        </w:rPr>
        <w:t>as entidades pueden y deben proceder al cierre y archivo del expediente del proceso de contratación, en los términos citados, incluso en aquellos casos en los cuales no se haya efectuado la liquidación del contrato, como un tipo de constancia, que en forma alguna puede constituirse en una liquidación extemporánea del contrato o revivir términos que ya precluyeron, pues cualquier acto en este sentido estaría afectado de nulidad.</w:t>
      </w:r>
    </w:p>
    <w:p w14:paraId="1A445967" w14:textId="77777777" w:rsidR="00421F16" w:rsidRPr="00224A89" w:rsidRDefault="00421F16" w:rsidP="00421F16">
      <w:pPr>
        <w:pStyle w:val="Textonotapie"/>
        <w:ind w:firstLine="708"/>
        <w:jc w:val="both"/>
        <w:rPr>
          <w:rFonts w:ascii="Verdana" w:hAnsi="Verdana" w:cs="Arial"/>
          <w:color w:val="000000" w:themeColor="text1"/>
          <w:sz w:val="16"/>
          <w:szCs w:val="16"/>
          <w:lang w:val="es-ES"/>
        </w:rPr>
      </w:pPr>
      <w:r w:rsidRPr="00224A89">
        <w:rPr>
          <w:rFonts w:ascii="Verdana" w:hAnsi="Verdana" w:cs="Arial"/>
          <w:color w:val="000000" w:themeColor="text1"/>
          <w:sz w:val="16"/>
          <w:szCs w:val="16"/>
        </w:rPr>
        <w:t>En efecto, el archivo del expediente debe entenderse como una actuación interna y de trámite, que no comporta la expedición de un acto administrativo de carácter contractual, en el que se puedan determinar las obligaciones a cargo de cada una de las partes; acto para cuya expedición no existiría competencia de la entidad dada su extemporaneidad</w:t>
      </w:r>
      <w:r>
        <w:rPr>
          <w:rFonts w:ascii="Verdana" w:hAnsi="Verdana" w:cs="Arial"/>
          <w:color w:val="000000" w:themeColor="text1"/>
          <w:sz w:val="16"/>
          <w:szCs w:val="16"/>
        </w:rPr>
        <w:t>”</w:t>
      </w:r>
      <w:r w:rsidRPr="00224A89">
        <w:rPr>
          <w:rFonts w:ascii="Verdana" w:hAnsi="Verdana" w:cs="Arial"/>
          <w:color w:val="000000" w:themeColor="text1"/>
          <w:sz w:val="16"/>
          <w:szCs w:val="16"/>
        </w:rPr>
        <w:t xml:space="preserve">. (Consejo de Estado. Sala de Consulta y Servicio Civil. Concepto del 8 de marzo de 2017. Radicado No. 2298. </w:t>
      </w:r>
      <w:r w:rsidRPr="00224A89">
        <w:rPr>
          <w:rFonts w:ascii="Verdana" w:hAnsi="Verdana" w:cs="Arial"/>
          <w:color w:val="000000" w:themeColor="text1"/>
          <w:sz w:val="16"/>
          <w:szCs w:val="16"/>
          <w:lang w:val="es-ES"/>
        </w:rPr>
        <w:t>C.P. Consejo de Estado. Sala de Consulta y Servicio Civil. M.P. Edgar González López).</w:t>
      </w:r>
    </w:p>
  </w:footnote>
  <w:footnote w:id="24">
    <w:p w14:paraId="4B268CF3" w14:textId="77777777" w:rsidR="00421F16" w:rsidRPr="00224A89" w:rsidRDefault="00421F16" w:rsidP="00421F16">
      <w:pPr>
        <w:pStyle w:val="Textonotapie"/>
        <w:ind w:firstLine="708"/>
        <w:jc w:val="both"/>
        <w:rPr>
          <w:rFonts w:ascii="Verdana" w:hAnsi="Verdana" w:cs="Arial"/>
          <w:sz w:val="16"/>
          <w:szCs w:val="16"/>
          <w:lang w:val="es-CO"/>
        </w:rPr>
      </w:pPr>
      <w:r w:rsidRPr="00224A89">
        <w:rPr>
          <w:rStyle w:val="Refdenotaalpie"/>
          <w:rFonts w:ascii="Verdana" w:hAnsi="Verdana" w:cs="Arial"/>
          <w:sz w:val="16"/>
          <w:szCs w:val="16"/>
        </w:rPr>
        <w:footnoteRef/>
      </w:r>
      <w:r w:rsidRPr="00224A89">
        <w:rPr>
          <w:rFonts w:ascii="Verdana" w:hAnsi="Verdana" w:cs="Arial"/>
          <w:sz w:val="16"/>
          <w:szCs w:val="16"/>
        </w:rPr>
        <w:t xml:space="preserve"> Agencia Nacional de Contratación Pública – Colombia Compra Eficiente. Concepto CU-028 del 25 de febrero de 2020. Radicado de entrada No. 4202013000000460. Radicado de salida No. 2202013000001282.</w:t>
      </w:r>
    </w:p>
  </w:footnote>
  <w:footnote w:id="25">
    <w:p w14:paraId="20FA1986" w14:textId="77777777" w:rsidR="00421F16" w:rsidRPr="00773856" w:rsidRDefault="00421F16" w:rsidP="00421F16">
      <w:pPr>
        <w:pStyle w:val="Textonotapie"/>
        <w:ind w:firstLine="708"/>
        <w:jc w:val="both"/>
        <w:rPr>
          <w:rFonts w:ascii="Verdana" w:hAnsi="Verdana"/>
          <w:bCs/>
          <w:sz w:val="16"/>
          <w:szCs w:val="16"/>
          <w:lang w:val="es-ES_tradnl"/>
        </w:rPr>
      </w:pPr>
      <w:r w:rsidRPr="00CE714B">
        <w:rPr>
          <w:rStyle w:val="Refdenotaalpie"/>
          <w:rFonts w:ascii="Verdana" w:hAnsi="Verdana"/>
          <w:sz w:val="16"/>
          <w:szCs w:val="16"/>
        </w:rPr>
        <w:footnoteRef/>
      </w:r>
      <w:r w:rsidRPr="00CE714B">
        <w:rPr>
          <w:rFonts w:ascii="Verdana" w:hAnsi="Verdana"/>
          <w:sz w:val="16"/>
          <w:szCs w:val="16"/>
        </w:rPr>
        <w:t xml:space="preserve"> </w:t>
      </w:r>
      <w:r>
        <w:rPr>
          <w:rFonts w:ascii="Verdana" w:hAnsi="Verdana"/>
          <w:sz w:val="16"/>
          <w:szCs w:val="16"/>
        </w:rPr>
        <w:t>Como se explicó en el Concepto C-1224 del 25 de septiembre de 2025, “</w:t>
      </w:r>
      <w:r w:rsidRPr="00773856">
        <w:rPr>
          <w:rFonts w:ascii="Verdana" w:hAnsi="Verdana"/>
          <w:bCs/>
          <w:sz w:val="16"/>
          <w:szCs w:val="16"/>
          <w:lang w:val="es-ES_tradnl"/>
        </w:rPr>
        <w:t xml:space="preserve">Si bien los manuales de contratación tienen una connotación especial en las </w:t>
      </w:r>
      <w:r w:rsidRPr="00773856">
        <w:rPr>
          <w:rFonts w:ascii="Verdana" w:hAnsi="Verdana"/>
          <w:bCs/>
          <w:i/>
          <w:iCs/>
          <w:sz w:val="16"/>
          <w:szCs w:val="16"/>
          <w:lang w:val="es-ES_tradnl"/>
        </w:rPr>
        <w:t>entidades de régimen exceptuado</w:t>
      </w:r>
      <w:r>
        <w:rPr>
          <w:rFonts w:ascii="Verdana" w:hAnsi="Verdana"/>
          <w:bCs/>
          <w:sz w:val="16"/>
          <w:szCs w:val="16"/>
          <w:lang w:val="es-ES_tradnl"/>
        </w:rPr>
        <w:t xml:space="preserve"> […]</w:t>
      </w:r>
      <w:r w:rsidRPr="00773856">
        <w:rPr>
          <w:rFonts w:ascii="Verdana" w:hAnsi="Verdana"/>
          <w:bCs/>
          <w:sz w:val="16"/>
          <w:szCs w:val="16"/>
          <w:lang w:val="es-ES_tradnl"/>
        </w:rPr>
        <w:t xml:space="preserve">, también juegan un rol relevante para las </w:t>
      </w:r>
      <w:r w:rsidRPr="00773856">
        <w:rPr>
          <w:rFonts w:ascii="Verdana" w:hAnsi="Verdana"/>
          <w:bCs/>
          <w:i/>
          <w:iCs/>
          <w:sz w:val="16"/>
          <w:szCs w:val="16"/>
          <w:lang w:val="es-ES_tradnl"/>
        </w:rPr>
        <w:t>entidades sometidas a la Ley 80 de 1993</w:t>
      </w:r>
      <w:r w:rsidRPr="00773856">
        <w:rPr>
          <w:rFonts w:ascii="Verdana" w:hAnsi="Verdana"/>
          <w:bCs/>
          <w:sz w:val="16"/>
          <w:szCs w:val="16"/>
          <w:lang w:val="es-ES_tradnl"/>
        </w:rPr>
        <w:t>. En este último caso, aunque gran parte de los aspectos relacionados con la gestión contractual se encuentran en el EGCAP y en decretos que lo desarrollan, dichos manuales establecen flujogramas en la estructuración de los procesos; asignan responsabilidades específicas en la proyección, revisión y aprobación de los documentos; unifican y estandarizan trámites internos; fijan directrices respecto a la gestión de los procesos y la ejecución de los contratos; entre otros.</w:t>
      </w:r>
    </w:p>
    <w:p w14:paraId="35B1FBF4" w14:textId="77777777" w:rsidR="00421F16" w:rsidRPr="00773856" w:rsidRDefault="00421F16" w:rsidP="00421F16">
      <w:pPr>
        <w:pStyle w:val="Textonotapie"/>
        <w:ind w:firstLine="708"/>
        <w:jc w:val="both"/>
        <w:rPr>
          <w:rFonts w:ascii="Verdana" w:hAnsi="Verdana"/>
          <w:bCs/>
          <w:sz w:val="16"/>
          <w:szCs w:val="16"/>
          <w:lang w:val="es-ES_tradnl"/>
        </w:rPr>
      </w:pPr>
      <w:r w:rsidRPr="00773856">
        <w:rPr>
          <w:rFonts w:ascii="Verdana" w:hAnsi="Verdana"/>
          <w:bCs/>
          <w:sz w:val="16"/>
          <w:szCs w:val="16"/>
          <w:lang w:val="es-ES_tradnl"/>
        </w:rPr>
        <w:t xml:space="preserve">Al estar subordinados a la ley y al reglamento, los manuales de contratación de las </w:t>
      </w:r>
      <w:r w:rsidRPr="00773856">
        <w:rPr>
          <w:rFonts w:ascii="Verdana" w:hAnsi="Verdana"/>
          <w:bCs/>
          <w:i/>
          <w:iCs/>
          <w:sz w:val="16"/>
          <w:szCs w:val="16"/>
          <w:lang w:val="es-ES_tradnl"/>
        </w:rPr>
        <w:t>entidades sometidas a la Ley 80 de 1993</w:t>
      </w:r>
      <w:r w:rsidRPr="00773856">
        <w:rPr>
          <w:rFonts w:ascii="Verdana" w:hAnsi="Verdana"/>
          <w:bCs/>
          <w:sz w:val="16"/>
          <w:szCs w:val="16"/>
          <w:lang w:val="es-ES_tradnl"/>
        </w:rPr>
        <w:t xml:space="preserve"> no pueden modificar aspectos como </w:t>
      </w:r>
      <w:r w:rsidRPr="00773856">
        <w:rPr>
          <w:rFonts w:ascii="Verdana" w:hAnsi="Verdana"/>
          <w:sz w:val="16"/>
          <w:szCs w:val="16"/>
          <w:lang w:val="es-CO"/>
        </w:rPr>
        <w:t>la capacidad jurídica –inhabilidades, incompatibilidades, consorcios y uniones temporales y registro único de proponentes–, la competencia para contratar, las reglas de selección objetiva –procedimientos de selección–, el régimen de perfeccionamiento del contrato, así como algunos aspectos de ejecución contractual –manejo del riesgo, cláusulas exorbitantes, tipologías contractuales y garantías–. Sin embargo, siempre que estén en consonancia con las normas de carácter superior, pueden regular aspectos operativos de la gestión de procesos y contratos al interior de la entidad</w:t>
      </w:r>
      <w:r>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C39"/>
    <w:rsid w:val="00016F78"/>
    <w:rsid w:val="00046945"/>
    <w:rsid w:val="00061B2A"/>
    <w:rsid w:val="000767F1"/>
    <w:rsid w:val="00082362"/>
    <w:rsid w:val="000A683E"/>
    <w:rsid w:val="000B19B9"/>
    <w:rsid w:val="000B38DC"/>
    <w:rsid w:val="000D0334"/>
    <w:rsid w:val="000D5DA7"/>
    <w:rsid w:val="000F6486"/>
    <w:rsid w:val="00116940"/>
    <w:rsid w:val="0012034E"/>
    <w:rsid w:val="00124722"/>
    <w:rsid w:val="00125105"/>
    <w:rsid w:val="00127233"/>
    <w:rsid w:val="0015699B"/>
    <w:rsid w:val="00174A7B"/>
    <w:rsid w:val="001764F0"/>
    <w:rsid w:val="001A33BF"/>
    <w:rsid w:val="001C7169"/>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6569"/>
    <w:rsid w:val="002E2BF8"/>
    <w:rsid w:val="002E4FD9"/>
    <w:rsid w:val="002F5EDA"/>
    <w:rsid w:val="0030657A"/>
    <w:rsid w:val="00316C96"/>
    <w:rsid w:val="00322A85"/>
    <w:rsid w:val="00324168"/>
    <w:rsid w:val="00330834"/>
    <w:rsid w:val="003448F4"/>
    <w:rsid w:val="00374F5E"/>
    <w:rsid w:val="00377E3E"/>
    <w:rsid w:val="003A779E"/>
    <w:rsid w:val="003B638B"/>
    <w:rsid w:val="003D0F4D"/>
    <w:rsid w:val="003D5B0D"/>
    <w:rsid w:val="003E0499"/>
    <w:rsid w:val="003E4F80"/>
    <w:rsid w:val="003E6439"/>
    <w:rsid w:val="003F3941"/>
    <w:rsid w:val="00406575"/>
    <w:rsid w:val="00414C74"/>
    <w:rsid w:val="00421F16"/>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15D01"/>
    <w:rsid w:val="006200BF"/>
    <w:rsid w:val="006219F8"/>
    <w:rsid w:val="006302F7"/>
    <w:rsid w:val="00646B9F"/>
    <w:rsid w:val="00665D70"/>
    <w:rsid w:val="006900D9"/>
    <w:rsid w:val="006B7305"/>
    <w:rsid w:val="00706C16"/>
    <w:rsid w:val="007340C3"/>
    <w:rsid w:val="0075235A"/>
    <w:rsid w:val="00756841"/>
    <w:rsid w:val="007649AB"/>
    <w:rsid w:val="00771D0C"/>
    <w:rsid w:val="007833AC"/>
    <w:rsid w:val="007B268C"/>
    <w:rsid w:val="007B7171"/>
    <w:rsid w:val="007C0C0F"/>
    <w:rsid w:val="007C3DC2"/>
    <w:rsid w:val="007D350D"/>
    <w:rsid w:val="007E2348"/>
    <w:rsid w:val="007E5497"/>
    <w:rsid w:val="00806F5F"/>
    <w:rsid w:val="00820278"/>
    <w:rsid w:val="008258C9"/>
    <w:rsid w:val="00844AE9"/>
    <w:rsid w:val="00867F95"/>
    <w:rsid w:val="00882783"/>
    <w:rsid w:val="008843B6"/>
    <w:rsid w:val="00891928"/>
    <w:rsid w:val="008A446D"/>
    <w:rsid w:val="008B25F1"/>
    <w:rsid w:val="008B3868"/>
    <w:rsid w:val="008D180B"/>
    <w:rsid w:val="008F0EA7"/>
    <w:rsid w:val="00923EEF"/>
    <w:rsid w:val="00940C61"/>
    <w:rsid w:val="009419F9"/>
    <w:rsid w:val="00943A96"/>
    <w:rsid w:val="0095685E"/>
    <w:rsid w:val="00961B09"/>
    <w:rsid w:val="00965334"/>
    <w:rsid w:val="0097093E"/>
    <w:rsid w:val="009941B5"/>
    <w:rsid w:val="009A0DFA"/>
    <w:rsid w:val="009A1C6F"/>
    <w:rsid w:val="009B2D26"/>
    <w:rsid w:val="009C71FA"/>
    <w:rsid w:val="009C72E7"/>
    <w:rsid w:val="009C7F7E"/>
    <w:rsid w:val="009D3058"/>
    <w:rsid w:val="009F3A13"/>
    <w:rsid w:val="00A122D3"/>
    <w:rsid w:val="00A14468"/>
    <w:rsid w:val="00A17F13"/>
    <w:rsid w:val="00A20739"/>
    <w:rsid w:val="00A21B10"/>
    <w:rsid w:val="00A23AF9"/>
    <w:rsid w:val="00A33C78"/>
    <w:rsid w:val="00A94FFF"/>
    <w:rsid w:val="00AB0ADB"/>
    <w:rsid w:val="00B00C0E"/>
    <w:rsid w:val="00B01B1A"/>
    <w:rsid w:val="00B0381D"/>
    <w:rsid w:val="00B44A47"/>
    <w:rsid w:val="00B72CD3"/>
    <w:rsid w:val="00B72FFF"/>
    <w:rsid w:val="00BC3D36"/>
    <w:rsid w:val="00BD54A6"/>
    <w:rsid w:val="00BD7F72"/>
    <w:rsid w:val="00BF7425"/>
    <w:rsid w:val="00C0210C"/>
    <w:rsid w:val="00C04FB3"/>
    <w:rsid w:val="00C11D8B"/>
    <w:rsid w:val="00C15139"/>
    <w:rsid w:val="00C31C9F"/>
    <w:rsid w:val="00C330EB"/>
    <w:rsid w:val="00C50D69"/>
    <w:rsid w:val="00C5365C"/>
    <w:rsid w:val="00C754BE"/>
    <w:rsid w:val="00C76B1C"/>
    <w:rsid w:val="00C925AC"/>
    <w:rsid w:val="00CB6357"/>
    <w:rsid w:val="00CC1B26"/>
    <w:rsid w:val="00CC29A1"/>
    <w:rsid w:val="00D27DB7"/>
    <w:rsid w:val="00D361FD"/>
    <w:rsid w:val="00D423A2"/>
    <w:rsid w:val="00D44E26"/>
    <w:rsid w:val="00D520D8"/>
    <w:rsid w:val="00D63AC2"/>
    <w:rsid w:val="00D7383B"/>
    <w:rsid w:val="00D7788A"/>
    <w:rsid w:val="00D9109E"/>
    <w:rsid w:val="00DA231B"/>
    <w:rsid w:val="00DC39FC"/>
    <w:rsid w:val="00DF5254"/>
    <w:rsid w:val="00E02524"/>
    <w:rsid w:val="00E03F02"/>
    <w:rsid w:val="00E16408"/>
    <w:rsid w:val="00E20894"/>
    <w:rsid w:val="00E245AB"/>
    <w:rsid w:val="00E2764C"/>
    <w:rsid w:val="00E27F2E"/>
    <w:rsid w:val="00E50AFE"/>
    <w:rsid w:val="00E75C92"/>
    <w:rsid w:val="00E771DC"/>
    <w:rsid w:val="00E825BB"/>
    <w:rsid w:val="00E8772A"/>
    <w:rsid w:val="00E90F6B"/>
    <w:rsid w:val="00E92C27"/>
    <w:rsid w:val="00E95579"/>
    <w:rsid w:val="00EA0E3D"/>
    <w:rsid w:val="00EC38A7"/>
    <w:rsid w:val="00ED61A7"/>
    <w:rsid w:val="00EE1AA8"/>
    <w:rsid w:val="00F23FEA"/>
    <w:rsid w:val="00F31EDC"/>
    <w:rsid w:val="00F33790"/>
    <w:rsid w:val="00F43932"/>
    <w:rsid w:val="00F462B3"/>
    <w:rsid w:val="00F5664F"/>
    <w:rsid w:val="00F666C4"/>
    <w:rsid w:val="00F76AFC"/>
    <w:rsid w:val="00FA47C0"/>
    <w:rsid w:val="00FB25D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4790C76"/>
    <w:rsid w:val="64F094BD"/>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C57EFD0-E99F-1146-BCE7-8BE335BE2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F5ED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F5EDA"/>
    <w:rPr>
      <w:rFonts w:ascii="Geomanist Light" w:hAnsi="Geomanist Light"/>
      <w:lang w:val="es-ES"/>
    </w:rPr>
  </w:style>
  <w:style w:type="character" w:customStyle="1" w:styleId="s15">
    <w:name w:val="s15"/>
    <w:basedOn w:val="Fuentedeprrafopredeter"/>
    <w:rsid w:val="002F5EDA"/>
  </w:style>
  <w:style w:type="character" w:customStyle="1" w:styleId="NormalWebCar">
    <w:name w:val="Normal (Web) Car"/>
    <w:link w:val="NormalWeb"/>
    <w:uiPriority w:val="99"/>
    <w:rsid w:val="002F5EDA"/>
    <w:rPr>
      <w:rFonts w:ascii="Times New Roman" w:eastAsia="Times New Roman" w:hAnsi="Times New Roman" w:cs="Times New Roman"/>
      <w:sz w:val="24"/>
      <w:szCs w:val="24"/>
      <w:lang w:eastAsia="es-CO"/>
    </w:rPr>
  </w:style>
  <w:style w:type="character" w:styleId="Fuerte">
    <w:name w:val="Strong"/>
    <w:basedOn w:val="Fuentedeprrafopredeter"/>
    <w:uiPriority w:val="22"/>
    <w:qFormat/>
    <w:rsid w:val="002F5EDA"/>
    <w:rPr>
      <w:b/>
      <w:bCs/>
    </w:rPr>
  </w:style>
  <w:style w:type="character" w:styleId="nfasis">
    <w:name w:val="Emphasis"/>
    <w:basedOn w:val="Fuentedeprrafopredeter"/>
    <w:uiPriority w:val="20"/>
    <w:qFormat/>
    <w:rsid w:val="002F5ED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carmencontratos@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028395EA-B186-4B64-806F-FC9D8CB688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24</Pages>
  <Words>8031</Words>
  <Characters>44172</Characters>
  <Application>Microsoft Office Word</Application>
  <DocSecurity>0</DocSecurity>
  <Lines>368</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52099</CharactersWithSpaces>
  <SharedDoc>false</SharedDoc>
  <HLinks>
    <vt:vector size="54"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7274580</vt:i4>
      </vt:variant>
      <vt:variant>
        <vt:i4>0</vt:i4>
      </vt:variant>
      <vt:variant>
        <vt:i4>0</vt:i4>
      </vt:variant>
      <vt:variant>
        <vt:i4>5</vt:i4>
      </vt:variant>
      <vt:variant>
        <vt:lpwstr>mailto:elcarmencontratos@gmail.com</vt:lpwstr>
      </vt:variant>
      <vt:variant>
        <vt:lpwstr/>
      </vt:variant>
      <vt:variant>
        <vt:i4>458817</vt:i4>
      </vt:variant>
      <vt:variant>
        <vt:i4>0</vt:i4>
      </vt:variant>
      <vt:variant>
        <vt:i4>0</vt:i4>
      </vt:variant>
      <vt:variant>
        <vt:i4>5</vt:i4>
      </vt:variant>
      <vt:variant>
        <vt:lpwstr>https://cceficiente.sharepoint.com/sites/SGDEA/TRD_254/EXPEDIENTE_1668/DOCUMENTO_407171/DOCUMENTO_407171.docx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2023-01-10T18:18:00Z</cp:lastPrinted>
  <dcterms:created xsi:type="dcterms:W3CDTF">2026-07-01T22:32:00Z</dcterms:created>
  <dcterms:modified xsi:type="dcterms:W3CDTF">2026-07-07T16:21:00Z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