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C70B3" w14:textId="77777777" w:rsidR="00F97C59" w:rsidRPr="006D0E8A" w:rsidRDefault="00F97C59" w:rsidP="00F97C59">
      <w:pPr>
        <w:spacing w:after="0"/>
        <w:jc w:val="both"/>
        <w:rPr>
          <w:rFonts w:ascii="Verdana" w:hAnsi="Verdana" w:cs="Arial"/>
          <w:b/>
          <w:bCs/>
          <w:lang w:val="es-ES_tradnl" w:eastAsia="es-ES" w:bidi="es-ES"/>
        </w:rPr>
      </w:pPr>
      <w:r w:rsidRPr="006D0E8A">
        <w:rPr>
          <w:rFonts w:ascii="Verdana" w:eastAsia="Arial" w:hAnsi="Verdana" w:cs="Arial"/>
          <w:b/>
          <w:lang w:val="es-ES"/>
        </w:rPr>
        <w:t>PRINCIPIO DE PUBLICIDAD – Concepto – Fundamento axiológico – Fundamento constitucional</w:t>
      </w:r>
      <w:r w:rsidRPr="006D0E8A">
        <w:rPr>
          <w:rFonts w:ascii="Verdana" w:hAnsi="Verdana" w:cs="Arial"/>
          <w:b/>
          <w:bCs/>
          <w:lang w:val="es-ES_tradnl" w:eastAsia="es-ES" w:bidi="es-ES"/>
        </w:rPr>
        <w:t xml:space="preserve"> </w:t>
      </w:r>
    </w:p>
    <w:p w14:paraId="078C67F6" w14:textId="77777777" w:rsidR="00F97C59" w:rsidRPr="006D0E8A" w:rsidRDefault="00F97C59" w:rsidP="00F97C59">
      <w:pPr>
        <w:spacing w:after="0" w:line="240" w:lineRule="auto"/>
        <w:jc w:val="both"/>
        <w:rPr>
          <w:rFonts w:ascii="Verdana" w:hAnsi="Verdana" w:cs="Arial"/>
          <w:b/>
          <w:bCs/>
          <w:sz w:val="20"/>
          <w:szCs w:val="20"/>
          <w:lang w:val="es-ES_tradnl" w:eastAsia="es-ES" w:bidi="es-ES"/>
        </w:rPr>
      </w:pPr>
    </w:p>
    <w:p w14:paraId="307CEF2E" w14:textId="77777777" w:rsidR="00F97C59" w:rsidRPr="006D0E8A" w:rsidRDefault="00F97C59" w:rsidP="00F97C59">
      <w:pPr>
        <w:spacing w:after="0" w:line="240" w:lineRule="auto"/>
        <w:jc w:val="both"/>
        <w:rPr>
          <w:rFonts w:ascii="Verdana" w:eastAsia="Times New Roman" w:hAnsi="Verdana" w:cs="Arial"/>
          <w:sz w:val="20"/>
          <w:szCs w:val="20"/>
          <w:lang w:val="es-ES" w:eastAsia="es-ES"/>
          <w14:ligatures w14:val="standardContextual"/>
        </w:rPr>
      </w:pPr>
      <w:r w:rsidRPr="006D0E8A">
        <w:rPr>
          <w:rFonts w:ascii="Verdana" w:eastAsia="Times New Roman" w:hAnsi="Verdana" w:cs="Arial"/>
          <w:sz w:val="20"/>
          <w:szCs w:val="20"/>
          <w:lang w:val="es-ES" w:eastAsia="es-ES"/>
          <w14:ligatures w14:val="standardContextual"/>
        </w:rPr>
        <w:t xml:space="preserve">Uno de los postulados más importantes de un Estado social y democrático de derecho es el principio de </w:t>
      </w:r>
      <w:r w:rsidRPr="006D0E8A">
        <w:rPr>
          <w:rFonts w:ascii="Verdana" w:eastAsia="Times New Roman" w:hAnsi="Verdana" w:cs="Arial"/>
          <w:i/>
          <w:iCs/>
          <w:sz w:val="20"/>
          <w:szCs w:val="20"/>
          <w:lang w:val="es-ES" w:eastAsia="es-ES"/>
          <w14:ligatures w14:val="standardContextual"/>
        </w:rPr>
        <w:t>publicidad</w:t>
      </w:r>
      <w:r w:rsidRPr="006D0E8A">
        <w:rPr>
          <w:rFonts w:ascii="Verdana" w:eastAsia="Times New Roman" w:hAnsi="Verdana" w:cs="Arial"/>
          <w:sz w:val="20"/>
          <w:szCs w:val="20"/>
          <w:lang w:val="es-ES" w:eastAsia="es-ES"/>
          <w14:ligatures w14:val="standardContextual"/>
        </w:rPr>
        <w:t xml:space="preserve">, pues este permite que las actuaciones de las autoridades gocen de visibilidad. En tal sentido, la filosofía política ha indicado que la democracia “[…] es idealmente el gobierno de un poder visible, es decir, el gobierno cuyos actos se realizan ante el público y bajo la supervisión de la opinión pública”. El secreto generalizado en el ejercicio del poder político constituye, por el contrario, una negación de la democracia, porque dificulta la supervisión de las autoridades por parte de la sociedad civil y establece una barrera para la participación ciudadana. Inspirada en esta concepción axiológica, en los Estados de derecho se pregona la publicidad de las actuaciones de los poderes públicos. </w:t>
      </w:r>
    </w:p>
    <w:p w14:paraId="43F094FF" w14:textId="77777777" w:rsidR="00F97C59" w:rsidRPr="006D0E8A" w:rsidRDefault="00F97C59" w:rsidP="00F97C59">
      <w:pPr>
        <w:spacing w:after="0" w:line="240" w:lineRule="auto"/>
        <w:jc w:val="both"/>
        <w:rPr>
          <w:rFonts w:ascii="Verdana" w:eastAsia="Times New Roman" w:hAnsi="Verdana" w:cs="Arial"/>
          <w:sz w:val="20"/>
          <w:szCs w:val="20"/>
          <w:lang w:val="es-ES" w:eastAsia="es-ES"/>
          <w14:ligatures w14:val="standardContextual"/>
        </w:rPr>
      </w:pPr>
    </w:p>
    <w:p w14:paraId="7F90D9F1" w14:textId="77777777" w:rsidR="00F97C59" w:rsidRPr="006D0E8A" w:rsidRDefault="00F97C59" w:rsidP="00F97C59">
      <w:pPr>
        <w:spacing w:after="0" w:line="240" w:lineRule="auto"/>
        <w:jc w:val="both"/>
        <w:rPr>
          <w:rFonts w:ascii="Verdana" w:eastAsia="Times New Roman" w:hAnsi="Verdana" w:cs="Arial"/>
          <w:sz w:val="20"/>
          <w:szCs w:val="20"/>
          <w:lang w:val="es-ES" w:eastAsia="es-ES"/>
          <w14:ligatures w14:val="standardContextual"/>
        </w:rPr>
      </w:pPr>
      <w:r w:rsidRPr="006D0E8A">
        <w:rPr>
          <w:rFonts w:ascii="Verdana" w:eastAsia="Times New Roman" w:hAnsi="Verdana" w:cs="Arial"/>
          <w:sz w:val="20"/>
          <w:szCs w:val="20"/>
          <w:lang w:val="es-ES" w:eastAsia="es-ES"/>
          <w14:ligatures w14:val="standardContextual"/>
        </w:rPr>
        <w:t xml:space="preserve">Como evidencia de ello, la Constitución Política de 1991 consagra en varios artículos la publicidad como un principio rector del Estado colombiano. Entre los más destacados, puede mencionarse el 209, que afirma que la publicidad es uno de los principios que fundamentan el ejercicio de la función administrativa, y el 74, que consagra la garantía de acceso a los documentos públicos que no gocen de reserva –y esta, además, es excepcional, pues solo procede si existe causal constitucional o legal expresa–. </w:t>
      </w:r>
    </w:p>
    <w:p w14:paraId="7305F48C" w14:textId="77777777" w:rsidR="00F97C59" w:rsidRPr="006D0E8A" w:rsidRDefault="00F97C59" w:rsidP="00F97C59">
      <w:pPr>
        <w:spacing w:after="0"/>
        <w:jc w:val="both"/>
        <w:rPr>
          <w:rFonts w:ascii="Verdana" w:hAnsi="Verdana" w:cs="Arial"/>
          <w:b/>
          <w:bCs/>
          <w:lang w:val="es-ES" w:eastAsia="es-ES" w:bidi="es-ES"/>
        </w:rPr>
      </w:pPr>
    </w:p>
    <w:p w14:paraId="4683A4C2" w14:textId="77777777" w:rsidR="00F97C59" w:rsidRPr="006D0E8A" w:rsidRDefault="00F97C59" w:rsidP="00F97C59">
      <w:pPr>
        <w:spacing w:after="0"/>
        <w:jc w:val="both"/>
        <w:rPr>
          <w:rFonts w:ascii="Verdana" w:hAnsi="Verdana" w:cs="Arial"/>
          <w:b/>
          <w:bCs/>
          <w:lang w:val="es-ES_tradnl" w:eastAsia="es-ES" w:bidi="es-ES"/>
        </w:rPr>
      </w:pPr>
      <w:r w:rsidRPr="006D0E8A">
        <w:rPr>
          <w:rFonts w:ascii="Verdana" w:hAnsi="Verdana" w:cs="Arial"/>
          <w:b/>
          <w:bCs/>
          <w:lang w:val="es-ES_tradnl" w:eastAsia="es-ES" w:bidi="es-ES"/>
        </w:rPr>
        <w:t xml:space="preserve">PRINCIPIO DE PUBLICIDAD – SECOP – Documentos del proceso – Deber de publicación </w:t>
      </w:r>
    </w:p>
    <w:p w14:paraId="435470BB" w14:textId="77777777" w:rsidR="00F97C59" w:rsidRPr="006D0E8A" w:rsidRDefault="00F97C59" w:rsidP="00F97C59">
      <w:pPr>
        <w:spacing w:after="0"/>
        <w:jc w:val="both"/>
        <w:rPr>
          <w:rFonts w:ascii="Verdana" w:hAnsi="Verdana"/>
          <w:b/>
        </w:rPr>
      </w:pPr>
    </w:p>
    <w:p w14:paraId="19759000" w14:textId="77777777" w:rsidR="00F97C59" w:rsidRPr="006D0E8A" w:rsidRDefault="00F97C59" w:rsidP="00F97C59">
      <w:pPr>
        <w:spacing w:after="0" w:line="240" w:lineRule="auto"/>
        <w:jc w:val="both"/>
        <w:rPr>
          <w:rFonts w:ascii="Verdana" w:eastAsia="Times New Roman" w:hAnsi="Verdana" w:cs="Arial"/>
          <w:sz w:val="20"/>
          <w:szCs w:val="20"/>
          <w:lang w:val="es-ES_tradnl" w:eastAsia="es-ES_tradnl"/>
          <w14:ligatures w14:val="standardContextual"/>
        </w:rPr>
      </w:pPr>
      <w:r w:rsidRPr="006D0E8A">
        <w:rPr>
          <w:rFonts w:ascii="Verdana" w:eastAsia="Times New Roman" w:hAnsi="Verdana" w:cs="Arial"/>
          <w:sz w:val="20"/>
          <w:szCs w:val="20"/>
          <w:lang w:val="es-ES_tradnl" w:eastAsia="es-ES_tradnl"/>
          <w14:ligatures w14:val="standardContextual"/>
        </w:rPr>
        <w:t>El derecho de acceso a la información pública o de interés público permite a toda persona, sin necesidad de acreditar calidad, interés o condición particular, conocer la existencia de información pública, acceder a la misma y difundirla o publicarla, según su interés. En ese contexto, las Entidades Estatales, conforme al artículo 2.2.1.1.1.7.1 del Decreto 1082 de 2015, tienen la obligación de publicar en el SECOP “[…] los Documentos del Proceso y los actos administrativos del Proceso de Contratación, dentro de los tres (3) días siguientes a su expedición […]”.</w:t>
      </w:r>
    </w:p>
    <w:p w14:paraId="4E221037" w14:textId="77777777" w:rsidR="00F97C59" w:rsidRPr="006D0E8A" w:rsidRDefault="00F97C59" w:rsidP="00F97C59">
      <w:pPr>
        <w:tabs>
          <w:tab w:val="left" w:pos="709"/>
        </w:tabs>
        <w:spacing w:after="0" w:line="240" w:lineRule="auto"/>
        <w:jc w:val="both"/>
        <w:rPr>
          <w:rFonts w:ascii="Verdana" w:hAnsi="Verdana" w:cs="Arial"/>
          <w:sz w:val="20"/>
          <w:szCs w:val="20"/>
          <w:shd w:val="clear" w:color="auto" w:fill="FFFFFF"/>
        </w:rPr>
      </w:pPr>
    </w:p>
    <w:p w14:paraId="0BD4DB03" w14:textId="77777777" w:rsidR="00F97C59" w:rsidRPr="006D0E8A" w:rsidRDefault="00F97C59" w:rsidP="00F97C59">
      <w:pPr>
        <w:tabs>
          <w:tab w:val="left" w:pos="709"/>
        </w:tabs>
        <w:spacing w:after="0" w:line="240" w:lineRule="auto"/>
        <w:jc w:val="both"/>
        <w:rPr>
          <w:rFonts w:ascii="Verdana" w:hAnsi="Verdana" w:cs="Arial"/>
          <w:sz w:val="20"/>
          <w:szCs w:val="20"/>
          <w:shd w:val="clear" w:color="auto" w:fill="FFFFFF"/>
        </w:rPr>
      </w:pPr>
      <w:r w:rsidRPr="006D0E8A">
        <w:rPr>
          <w:rFonts w:ascii="Verdana" w:hAnsi="Verdana" w:cs="Arial"/>
          <w:sz w:val="20"/>
          <w:szCs w:val="20"/>
          <w:shd w:val="clear" w:color="auto" w:fill="FFFFFF"/>
        </w:rPr>
        <w:t xml:space="preserve">La expresión </w:t>
      </w:r>
      <w:r w:rsidRPr="006D0E8A">
        <w:rPr>
          <w:rFonts w:ascii="Verdana" w:hAnsi="Verdana" w:cs="Arial"/>
          <w:i/>
          <w:iCs/>
          <w:sz w:val="20"/>
          <w:szCs w:val="20"/>
          <w:shd w:val="clear" w:color="auto" w:fill="FFFFFF"/>
        </w:rPr>
        <w:t xml:space="preserve">Documentos del Proceso </w:t>
      </w:r>
      <w:r w:rsidRPr="006D0E8A">
        <w:rPr>
          <w:rFonts w:ascii="Verdana" w:hAnsi="Verdana" w:cs="Arial"/>
          <w:sz w:val="20"/>
          <w:szCs w:val="20"/>
          <w:shd w:val="clear" w:color="auto" w:fill="FFFFFF"/>
        </w:rPr>
        <w:t xml:space="preserve">está definida en el artículo 2.2.1.1.1.3.1. del Decreto 1082 de 2015, donde se establece que: “son: (a) los estudios y documentos previos; (b) el aviso de convocatoria; (c) los pliegos de condiciones o la invitación; (d) las adendas; (e) la oferta; (f) el informe de evaluación; (g) el contrato; </w:t>
      </w:r>
      <w:r w:rsidRPr="006D0E8A">
        <w:rPr>
          <w:rFonts w:ascii="Verdana" w:hAnsi="Verdana" w:cs="Arial"/>
          <w:i/>
          <w:iCs/>
          <w:sz w:val="20"/>
          <w:szCs w:val="20"/>
          <w:shd w:val="clear" w:color="auto" w:fill="FFFFFF"/>
        </w:rPr>
        <w:t>y cualquier otro documento expedido por la Entidad Estatal durante el Proceso de Contratación</w:t>
      </w:r>
      <w:r w:rsidRPr="006D0E8A">
        <w:rPr>
          <w:rFonts w:ascii="Verdana" w:hAnsi="Verdana" w:cs="Arial"/>
          <w:sz w:val="20"/>
          <w:szCs w:val="20"/>
          <w:shd w:val="clear" w:color="auto" w:fill="FFFFFF"/>
        </w:rPr>
        <w:t>”. [Énfasis fuera de texto]</w:t>
      </w:r>
    </w:p>
    <w:p w14:paraId="7FE2AB12" w14:textId="77777777" w:rsidR="00F97C59" w:rsidRPr="006D0E8A" w:rsidRDefault="00F97C59" w:rsidP="00F97C59">
      <w:pPr>
        <w:tabs>
          <w:tab w:val="left" w:pos="709"/>
        </w:tabs>
        <w:spacing w:after="0" w:line="240" w:lineRule="auto"/>
        <w:jc w:val="both"/>
        <w:rPr>
          <w:rFonts w:ascii="Verdana" w:hAnsi="Verdana" w:cs="Arial"/>
          <w:sz w:val="20"/>
          <w:szCs w:val="20"/>
          <w:shd w:val="clear" w:color="auto" w:fill="FFFFFF"/>
        </w:rPr>
      </w:pPr>
    </w:p>
    <w:p w14:paraId="35C9DF74" w14:textId="77777777" w:rsidR="00F97C59" w:rsidRPr="006D0E8A" w:rsidRDefault="00F97C59" w:rsidP="00F97C59">
      <w:pPr>
        <w:tabs>
          <w:tab w:val="left" w:pos="709"/>
        </w:tabs>
        <w:spacing w:after="0" w:line="240" w:lineRule="auto"/>
        <w:jc w:val="both"/>
        <w:rPr>
          <w:rFonts w:ascii="Verdana" w:hAnsi="Verdana" w:cs="Arial"/>
          <w:sz w:val="20"/>
          <w:szCs w:val="20"/>
          <w:shd w:val="clear" w:color="auto" w:fill="FFFFFF"/>
        </w:rPr>
      </w:pPr>
      <w:r w:rsidRPr="006D0E8A">
        <w:rPr>
          <w:rFonts w:ascii="Verdana" w:hAnsi="Verdana" w:cs="Arial"/>
          <w:sz w:val="20"/>
          <w:szCs w:val="20"/>
          <w:shd w:val="clear" w:color="auto" w:fill="FFFFFF"/>
        </w:rPr>
        <w:t xml:space="preserve">Sin embargo, para identificar los documentos que deben publicarse, es necesario realizar una interpretación sistemática de las disposiciones del Decreto 1082 del 2015, comoquiera que el anterior no es un listado taxativo, sino enunciativo, porque además de los documentos enlistados, el artículo 2.2.1.1.1.3.1 </w:t>
      </w:r>
      <w:r w:rsidRPr="006D0E8A">
        <w:rPr>
          <w:rFonts w:ascii="Verdana" w:hAnsi="Verdana" w:cs="Arial"/>
          <w:i/>
          <w:iCs/>
          <w:sz w:val="20"/>
          <w:szCs w:val="20"/>
          <w:shd w:val="clear" w:color="auto" w:fill="FFFFFF"/>
        </w:rPr>
        <w:t>Ibidem</w:t>
      </w:r>
      <w:r w:rsidRPr="006D0E8A">
        <w:rPr>
          <w:rFonts w:ascii="Verdana" w:hAnsi="Verdana" w:cs="Arial"/>
          <w:sz w:val="20"/>
          <w:szCs w:val="20"/>
          <w:shd w:val="clear" w:color="auto" w:fill="FFFFFF"/>
        </w:rPr>
        <w:t xml:space="preserve"> recoge en la noción de Documentos del Proceso “cualquier otro documento expedido por la Entidad Estatal durante el Proceso de Contratación”. </w:t>
      </w:r>
    </w:p>
    <w:p w14:paraId="1C8E402E" w14:textId="77777777" w:rsidR="00F97C59" w:rsidRPr="006D0E8A" w:rsidRDefault="00F97C59" w:rsidP="00F97C59">
      <w:pPr>
        <w:tabs>
          <w:tab w:val="left" w:pos="709"/>
        </w:tabs>
        <w:spacing w:after="0" w:line="240" w:lineRule="auto"/>
        <w:jc w:val="both"/>
        <w:rPr>
          <w:rFonts w:ascii="Verdana" w:hAnsi="Verdana" w:cs="Arial"/>
          <w:sz w:val="20"/>
          <w:szCs w:val="20"/>
          <w:shd w:val="clear" w:color="auto" w:fill="FFFFFF"/>
        </w:rPr>
      </w:pPr>
    </w:p>
    <w:p w14:paraId="1840F2CA" w14:textId="77777777" w:rsidR="00F97C59" w:rsidRPr="006D0E8A" w:rsidRDefault="00F97C59" w:rsidP="00F97C59">
      <w:pPr>
        <w:tabs>
          <w:tab w:val="left" w:pos="709"/>
        </w:tabs>
        <w:spacing w:after="0" w:line="240" w:lineRule="auto"/>
        <w:jc w:val="both"/>
        <w:rPr>
          <w:rFonts w:ascii="Verdana" w:hAnsi="Verdana" w:cs="Arial"/>
          <w:sz w:val="20"/>
          <w:szCs w:val="20"/>
          <w:shd w:val="clear" w:color="auto" w:fill="FFFFFF"/>
        </w:rPr>
      </w:pPr>
      <w:r w:rsidRPr="006D0E8A">
        <w:rPr>
          <w:rFonts w:ascii="Verdana" w:hAnsi="Verdana" w:cs="Arial"/>
          <w:sz w:val="20"/>
          <w:szCs w:val="20"/>
          <w:shd w:val="clear" w:color="auto" w:fill="FFFFFF"/>
        </w:rPr>
        <w:t>Este mismo artículo define la expresión Proceso de Contratación 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Nótese que la norma se refiere a los documentos “expedidos por la entidad estatal” durante el proceso de contratación, excluyendo de la noción de Documentos del Proceso los expedidos por un sujeto distinto a la entidad, salvo la oferta, la cual se incluye expresamente en el referido artículo 2.2.1.1.1.3.</w:t>
      </w:r>
    </w:p>
    <w:p w14:paraId="0EAEED34" w14:textId="77777777" w:rsidR="00F97C59" w:rsidRPr="006D0E8A" w:rsidRDefault="00F97C59" w:rsidP="00F97C59">
      <w:pPr>
        <w:spacing w:after="0"/>
        <w:jc w:val="both"/>
        <w:rPr>
          <w:rFonts w:ascii="Verdana" w:hAnsi="Verdana" w:cs="Arial"/>
          <w:b/>
          <w:bCs/>
          <w:sz w:val="20"/>
          <w:szCs w:val="20"/>
          <w:lang w:eastAsia="es-ES" w:bidi="es-ES"/>
        </w:rPr>
      </w:pPr>
    </w:p>
    <w:p w14:paraId="67CE91BF" w14:textId="77777777" w:rsidR="00F97C59" w:rsidRPr="006D0E8A" w:rsidRDefault="00F97C59" w:rsidP="00F97C59">
      <w:pPr>
        <w:spacing w:after="0"/>
        <w:jc w:val="both"/>
        <w:rPr>
          <w:rFonts w:ascii="Verdana" w:hAnsi="Verdana"/>
          <w:b/>
        </w:rPr>
      </w:pPr>
      <w:r w:rsidRPr="006D0E8A">
        <w:rPr>
          <w:rFonts w:ascii="Verdana" w:hAnsi="Verdana" w:cs="Arial"/>
          <w:b/>
          <w:bCs/>
          <w:lang w:eastAsia="es-ES" w:bidi="es-ES"/>
        </w:rPr>
        <w:t>ACCESO A DOCUMENTACIÓN PÚBLICA – Derecho fundamental – Transparencia – Información contractual</w:t>
      </w:r>
    </w:p>
    <w:p w14:paraId="7ABA2C84" w14:textId="77777777" w:rsidR="00F97C59" w:rsidRPr="006D0E8A" w:rsidRDefault="00F97C59" w:rsidP="00F97C59">
      <w:pPr>
        <w:spacing w:after="0"/>
        <w:jc w:val="both"/>
        <w:rPr>
          <w:rFonts w:ascii="Verdana" w:hAnsi="Verdana"/>
          <w:b/>
        </w:rPr>
      </w:pPr>
    </w:p>
    <w:p w14:paraId="534AC5E1" w14:textId="77777777" w:rsidR="00F97C59" w:rsidRPr="006D0E8A" w:rsidRDefault="00F97C59" w:rsidP="00F97C59">
      <w:pPr>
        <w:spacing w:after="0" w:line="240" w:lineRule="auto"/>
        <w:jc w:val="both"/>
        <w:rPr>
          <w:rFonts w:ascii="Verdana" w:eastAsia="Calibri" w:hAnsi="Verdana" w:cs="Arial"/>
          <w:color w:val="000000"/>
          <w:sz w:val="20"/>
          <w:szCs w:val="20"/>
        </w:rPr>
      </w:pPr>
      <w:r w:rsidRPr="006D0E8A">
        <w:rPr>
          <w:rFonts w:ascii="Verdana" w:eastAsia="Calibri" w:hAnsi="Verdana" w:cs="Arial"/>
          <w:color w:val="000000"/>
          <w:sz w:val="20"/>
          <w:szCs w:val="20"/>
        </w:rPr>
        <w:t>[…] el cumplimiento del deber de publicación de la documentación contractual debe armonizarse con las normas aplicables al tipo de información que estas contienen, teniendo en cuenta que el artículo 74 de la Constitución establece que la información pública debe ser dada a conocer a la ciudadanía y así los documentos que hagan parte de la actividad contractual puedan catalogarse, prima facie, como información pública, salvo que dicha documentación contenga información sometida a alguna reserva, que establezca la Constitución o la ley, aplicando algunas restricciones a su publicidad o suministro. Sin embargo, esto no necesariamente convierte el documento completo en reservado, es decir, en un documento que no puede publicarse. Al respecto, la Ley Estatutaria 1712 de 2014 define en el artículo 5° dos tipos de información que tendrá el carácter reservado, como es la información pública clasificada y la información pública reservada.</w:t>
      </w:r>
    </w:p>
    <w:p w14:paraId="76962160" w14:textId="77777777" w:rsidR="00F97C59" w:rsidRPr="006D0E8A" w:rsidRDefault="00F97C59" w:rsidP="00F97C59">
      <w:pPr>
        <w:spacing w:after="0" w:line="240" w:lineRule="auto"/>
        <w:jc w:val="both"/>
        <w:rPr>
          <w:rFonts w:ascii="Verdana" w:eastAsia="Calibri" w:hAnsi="Verdana" w:cs="Arial"/>
          <w:color w:val="000000"/>
          <w:sz w:val="20"/>
          <w:szCs w:val="20"/>
        </w:rPr>
      </w:pPr>
      <w:r w:rsidRPr="006D0E8A">
        <w:rPr>
          <w:rFonts w:ascii="Verdana" w:eastAsia="Calibri" w:hAnsi="Verdana" w:cs="Arial"/>
          <w:color w:val="000000"/>
          <w:sz w:val="20"/>
          <w:szCs w:val="20"/>
        </w:rPr>
        <w:t>[…]</w:t>
      </w:r>
    </w:p>
    <w:p w14:paraId="788B5B81" w14:textId="77777777" w:rsidR="00F97C59" w:rsidRPr="006D0E8A" w:rsidRDefault="00F97C59" w:rsidP="00F97C59">
      <w:pPr>
        <w:spacing w:after="0" w:line="240" w:lineRule="auto"/>
        <w:jc w:val="both"/>
        <w:rPr>
          <w:rFonts w:ascii="Verdana" w:eastAsia="Calibri" w:hAnsi="Verdana" w:cs="Arial"/>
          <w:color w:val="000000"/>
          <w:sz w:val="20"/>
          <w:szCs w:val="20"/>
        </w:rPr>
      </w:pPr>
      <w:r w:rsidRPr="006D0E8A">
        <w:rPr>
          <w:rFonts w:ascii="Verdana" w:eastAsia="Calibri" w:hAnsi="Verdana" w:cs="Arial"/>
          <w:color w:val="000000"/>
          <w:sz w:val="20"/>
          <w:szCs w:val="20"/>
        </w:rPr>
        <w:t>Debe precisarse que, en virtud del principio de transparencia, específicamente por cuenta de lo dispuesto en el numeral 4 del artículo 24 de la ley 80 de 1993, así como por el principio de máxima publicidad establecido en el artículo 2 de la Ley 1712 de 2014, el contenido del expediente en el que reposa la actuación es información pública, independientemente de si se trata de documentos que deban publicarse en SECOP. Por lo anterior, el contenido del expediente puede ser objeto de solicitud de copias, en ejercicio del derecho de petición, en cualquier momento del proceso de selección, en la medida en que las normas señaladas no imponen ningún condicionamiento, así que podrá solicitarlas cualquier persona, en desarrollo de la vigilancia de la contratación pública, cuestión que podría interesar a cualquier ciudadano. Esta posibilidad solo se encuentra limitada</w:t>
      </w:r>
      <w:r w:rsidRPr="006D0E8A">
        <w:rPr>
          <w:rFonts w:ascii="Calibri" w:eastAsia="Calibri" w:hAnsi="Calibri" w:cs="Times New Roman"/>
          <w:sz w:val="20"/>
          <w:szCs w:val="20"/>
        </w:rPr>
        <w:t xml:space="preserve"> </w:t>
      </w:r>
      <w:r w:rsidRPr="006D0E8A">
        <w:rPr>
          <w:rFonts w:ascii="Verdana" w:eastAsia="Calibri" w:hAnsi="Verdana" w:cs="Arial"/>
          <w:color w:val="000000"/>
          <w:sz w:val="20"/>
          <w:szCs w:val="20"/>
        </w:rPr>
        <w:t>respecto de la documentación que tenga la calidad de reservada, que deberá someterse al tratamiento establecido en el artículo 36 del CPACA, en lo relativo a la formación de cuadernos separados.</w:t>
      </w:r>
    </w:p>
    <w:p w14:paraId="154258FB" w14:textId="77777777" w:rsidR="00F97C59" w:rsidRPr="006D0E8A" w:rsidRDefault="00F97C59" w:rsidP="00F97C59">
      <w:pPr>
        <w:spacing w:after="0"/>
        <w:jc w:val="both"/>
        <w:rPr>
          <w:rFonts w:ascii="Verdana" w:hAnsi="Verdana"/>
          <w:b/>
        </w:rPr>
      </w:pPr>
    </w:p>
    <w:p w14:paraId="2D5C4510" w14:textId="4B372A41" w:rsidR="00F97C59" w:rsidRPr="006D0E8A" w:rsidRDefault="00F97C59" w:rsidP="00F97C59">
      <w:pPr>
        <w:spacing w:after="0"/>
        <w:jc w:val="both"/>
        <w:rPr>
          <w:rFonts w:ascii="Verdana" w:hAnsi="Verdana" w:cs="Arial"/>
          <w:b/>
          <w:bCs/>
          <w:lang w:val="es-MX" w:eastAsia="es-ES" w:bidi="es-ES"/>
        </w:rPr>
      </w:pPr>
      <w:r w:rsidRPr="006D0E8A">
        <w:rPr>
          <w:rFonts w:ascii="Verdana" w:hAnsi="Verdana" w:cs="Arial"/>
          <w:b/>
          <w:bCs/>
          <w:lang w:eastAsia="es-ES" w:bidi="es-ES"/>
        </w:rPr>
        <w:t xml:space="preserve">PRINCIPIO DE PUBLICIDAD </w:t>
      </w:r>
      <w:r w:rsidR="009D58BA" w:rsidRPr="009D58BA">
        <w:rPr>
          <w:rFonts w:ascii="Verdana" w:hAnsi="Verdana" w:cs="Arial"/>
          <w:b/>
          <w:bCs/>
          <w:lang w:val="es-ES" w:eastAsia="es-ES" w:bidi="es-ES"/>
        </w:rPr>
        <w:t>–</w:t>
      </w:r>
      <w:r w:rsidR="009D58BA">
        <w:rPr>
          <w:rFonts w:ascii="Verdana" w:hAnsi="Verdana" w:cs="Arial"/>
          <w:b/>
          <w:bCs/>
          <w:lang w:val="es-ES" w:eastAsia="es-ES" w:bidi="es-ES"/>
        </w:rPr>
        <w:t xml:space="preserve"> </w:t>
      </w:r>
      <w:r w:rsidRPr="006D0E8A">
        <w:rPr>
          <w:rFonts w:ascii="Verdana" w:hAnsi="Verdana" w:cs="Arial"/>
          <w:b/>
          <w:bCs/>
          <w:lang w:eastAsia="es-ES" w:bidi="es-ES"/>
        </w:rPr>
        <w:t>Reserva legal – Excepción – Divulgación parcial de la información</w:t>
      </w:r>
      <w:r w:rsidR="009D58BA">
        <w:rPr>
          <w:rFonts w:ascii="Verdana" w:hAnsi="Verdana" w:cs="Arial"/>
          <w:b/>
          <w:bCs/>
          <w:lang w:eastAsia="es-ES" w:bidi="es-ES"/>
        </w:rPr>
        <w:t xml:space="preserve"> </w:t>
      </w:r>
      <w:r w:rsidR="009D58BA" w:rsidRPr="009D58BA">
        <w:rPr>
          <w:rFonts w:ascii="Verdana" w:hAnsi="Verdana" w:cs="Arial"/>
          <w:b/>
          <w:bCs/>
          <w:lang w:val="es-ES" w:eastAsia="es-ES" w:bidi="es-ES"/>
        </w:rPr>
        <w:t>–</w:t>
      </w:r>
      <w:r w:rsidRPr="006D0E8A">
        <w:rPr>
          <w:rFonts w:ascii="Verdana" w:hAnsi="Verdana" w:cs="Arial"/>
          <w:b/>
          <w:bCs/>
          <w:lang w:eastAsia="es-ES" w:bidi="es-ES"/>
        </w:rPr>
        <w:t xml:space="preserve"> SECOP</w:t>
      </w:r>
    </w:p>
    <w:p w14:paraId="47D25346" w14:textId="77777777" w:rsidR="00F97C59" w:rsidRPr="006D0E8A" w:rsidRDefault="00F97C59" w:rsidP="00F97C59">
      <w:pPr>
        <w:spacing w:after="0" w:line="240" w:lineRule="auto"/>
        <w:jc w:val="both"/>
        <w:rPr>
          <w:rFonts w:ascii="Verdana" w:eastAsia="Calibri" w:hAnsi="Verdana" w:cs="Arial"/>
          <w:color w:val="000000"/>
          <w:sz w:val="20"/>
          <w:szCs w:val="20"/>
          <w:lang w:val="es-MX"/>
        </w:rPr>
      </w:pPr>
    </w:p>
    <w:p w14:paraId="6AD183D0" w14:textId="77777777" w:rsidR="00F97C59" w:rsidRPr="006D0E8A" w:rsidRDefault="00F97C59" w:rsidP="00F97C59">
      <w:pPr>
        <w:spacing w:after="0" w:line="240" w:lineRule="auto"/>
        <w:jc w:val="both"/>
        <w:rPr>
          <w:rFonts w:ascii="Verdana" w:eastAsia="Calibri" w:hAnsi="Verdana" w:cs="Arial"/>
          <w:color w:val="000000"/>
          <w:sz w:val="20"/>
          <w:szCs w:val="20"/>
        </w:rPr>
      </w:pPr>
      <w:r w:rsidRPr="006D0E8A">
        <w:rPr>
          <w:rFonts w:ascii="Verdana" w:eastAsia="Calibri" w:hAnsi="Verdana" w:cs="Arial"/>
          <w:color w:val="000000"/>
          <w:sz w:val="20"/>
          <w:szCs w:val="20"/>
        </w:rPr>
        <w:lastRenderedPageBreak/>
        <w:t>En efecto, el principio o regla general consiste en la máxima publicidad de la información pública y lo excepcional es la reserva, razón por la cual el artículo 21 de la Ley 1712 de 2014 incluso exige la divulgación parcial de la información contenida en un documento, cuando este contenga parte de información sometida a reserva, pero también incluya información que no esté afectada por la reserva. Además, dicha disposición establece que la reserva de acceso a la información aplica respecto al contenido de un documento público, pero no</w:t>
      </w:r>
      <w:r w:rsidRPr="006D0E8A">
        <w:rPr>
          <w:rFonts w:ascii="Calibri" w:eastAsia="Calibri" w:hAnsi="Calibri" w:cs="Times New Roman"/>
          <w:sz w:val="20"/>
          <w:szCs w:val="20"/>
        </w:rPr>
        <w:t xml:space="preserve"> </w:t>
      </w:r>
      <w:r w:rsidRPr="006D0E8A">
        <w:rPr>
          <w:rFonts w:ascii="Verdana" w:eastAsia="Calibri" w:hAnsi="Verdana" w:cs="Arial"/>
          <w:color w:val="000000"/>
          <w:sz w:val="20"/>
          <w:szCs w:val="20"/>
        </w:rPr>
        <w:t>respecto de su existencia. Sin perjuicio de lo anterior, es posible que el contenido de todo el documento o expediente no deba ser objeto de publicidad por estar amparado de forma íntegra por la reserva, dada su conexión con las causales establecidas en la Constitución o la ley.</w:t>
      </w:r>
    </w:p>
    <w:p w14:paraId="02BAA52C" w14:textId="77777777" w:rsidR="00F97C59" w:rsidRPr="006D0E8A" w:rsidRDefault="00F97C59" w:rsidP="00F97C59">
      <w:pPr>
        <w:spacing w:after="0" w:line="240" w:lineRule="auto"/>
        <w:jc w:val="both"/>
        <w:rPr>
          <w:rFonts w:ascii="Verdana" w:eastAsia="Calibri" w:hAnsi="Verdana" w:cs="Arial"/>
          <w:color w:val="000000"/>
          <w:sz w:val="20"/>
          <w:szCs w:val="20"/>
        </w:rPr>
      </w:pPr>
    </w:p>
    <w:p w14:paraId="4D5F3DF5" w14:textId="77777777" w:rsidR="00F97C59" w:rsidRPr="006D0E8A" w:rsidRDefault="00F97C59" w:rsidP="00F97C59">
      <w:pPr>
        <w:spacing w:after="0" w:line="240" w:lineRule="auto"/>
        <w:jc w:val="both"/>
        <w:rPr>
          <w:rFonts w:ascii="Verdana" w:eastAsia="Calibri" w:hAnsi="Verdana" w:cs="Arial"/>
          <w:color w:val="000000"/>
          <w:sz w:val="20"/>
          <w:szCs w:val="20"/>
        </w:rPr>
      </w:pPr>
      <w:r w:rsidRPr="006D0E8A">
        <w:rPr>
          <w:rFonts w:ascii="Verdana" w:eastAsia="Calibri" w:hAnsi="Verdana" w:cs="Arial"/>
          <w:color w:val="000000"/>
          <w:sz w:val="20"/>
          <w:szCs w:val="20"/>
        </w:rPr>
        <w:t xml:space="preserve">De esta forma, cuando el documento contractual contenga información sensible, clasificada o reservada, para proteger la reserva de información, las autoridades deben abstenerse de publicar en el SECOP la información que tiene protección especial o está sometida a reserva, o según el caso, suministrarla. Sin embargo, de acuerdo con el segundo inciso del artículo 25 de la Ley 1437 de 2011 “La restricción por reserva legal no se extenderá a otras piezas del respectivo expediente o actuación que no estén cubiertas por ella”. Por ello, la entidad estatal puede no publicar o suministrar algún documento del proceso o aparte del mismo que contenga información clasificada o reservada, para no divulgarlo, pero debe publicar los demás documentos o los apartados de estos, en caso de que estos no gocen de reserva. Lo anterior, sin perjuicio de que, dependiendo de la información en específico, todo el documento o expediente no pueda publicarse o suministrarse, por ampararse en su integridad en alguna causal de reserva, dada la conexión de su contenido con la información que el constituyente o el legislador decidió limitar en cuanto a su publicidad o suministro. De este modo, cuando el documento contractual tenga información clasificada o reservada, las autoridades deben abstenerse de publicar en el SECOP la información que tenga dicho carácter, por tanto, deberá publicar la información de forma parcial. </w:t>
      </w:r>
    </w:p>
    <w:p w14:paraId="59D8C9F4" w14:textId="77777777" w:rsidR="00F97C59" w:rsidRPr="006D0E8A" w:rsidRDefault="00F97C59" w:rsidP="00F97C59">
      <w:pPr>
        <w:spacing w:after="0" w:line="240" w:lineRule="auto"/>
        <w:jc w:val="both"/>
        <w:rPr>
          <w:rFonts w:ascii="Verdana" w:eastAsia="Calibri" w:hAnsi="Verdana" w:cs="Arial"/>
          <w:color w:val="000000"/>
          <w:sz w:val="20"/>
          <w:szCs w:val="20"/>
        </w:rPr>
      </w:pPr>
    </w:p>
    <w:p w14:paraId="6CC88056" w14:textId="77777777" w:rsidR="00F97C59" w:rsidRPr="006D0E8A" w:rsidRDefault="00F97C59" w:rsidP="00F97C59">
      <w:pPr>
        <w:spacing w:after="0" w:line="240" w:lineRule="auto"/>
        <w:jc w:val="both"/>
        <w:rPr>
          <w:rFonts w:ascii="Verdana" w:eastAsia="Calibri" w:hAnsi="Verdana" w:cs="Arial"/>
          <w:color w:val="000000"/>
          <w:sz w:val="20"/>
          <w:szCs w:val="20"/>
        </w:rPr>
      </w:pPr>
      <w:r w:rsidRPr="006D0E8A">
        <w:rPr>
          <w:rFonts w:ascii="Verdana" w:eastAsia="Calibri" w:hAnsi="Verdana" w:cs="Arial"/>
          <w:color w:val="000000"/>
          <w:sz w:val="20"/>
          <w:szCs w:val="20"/>
        </w:rPr>
        <w:t>En línea con todo lo expuesto Al respecto, el Decreto 1081 de 2015 en su artículo 2.1.1.4.3.2 establece que, si un mismo acto o documento contiene información que puede divulgarse y a su vez, información clasificada o reservada, la entidad debe revelar los datos no protegidos y presentar los fundamentos constitucionales y legales por los que retiene los datos que no puede divulgar. De igual modo, deben revisar si los documentos contienen datos que no deban divulgarse, conforme a los fundamentos constitucionales y legales, y por tanto, tachar los apartes clasificados o reservados del documento, anonimizar, transliterar o editar el documento para suprimir la información que no puede difundirse; así como abrir un nuevo expediente con la información pública que pueda divulgar; o en su defecto, acudir a las acciones que sean necesarias para cumplir con su deber de permitir el acceso a toda aquella información que no esté clasificada o reservada, teniendo en cuenta el formato y medio de conservación de la información.</w:t>
      </w:r>
    </w:p>
    <w:p w14:paraId="62F05641" w14:textId="77777777" w:rsidR="00F97C59" w:rsidRPr="006D0E8A" w:rsidRDefault="00F97C59" w:rsidP="00F97C59">
      <w:pPr>
        <w:spacing w:after="0" w:line="240" w:lineRule="auto"/>
        <w:jc w:val="both"/>
        <w:rPr>
          <w:rFonts w:ascii="Verdana" w:eastAsia="Calibri" w:hAnsi="Verdana" w:cs="Arial"/>
          <w:color w:val="000000"/>
          <w:sz w:val="20"/>
          <w:szCs w:val="20"/>
        </w:rPr>
      </w:pPr>
    </w:p>
    <w:p w14:paraId="3929F4EC" w14:textId="77777777" w:rsidR="00F97C59" w:rsidRPr="006D0E8A" w:rsidRDefault="00F97C59" w:rsidP="00F97C59">
      <w:pPr>
        <w:spacing w:after="0" w:line="240" w:lineRule="auto"/>
        <w:jc w:val="both"/>
        <w:rPr>
          <w:rFonts w:ascii="Verdana" w:hAnsi="Verdana"/>
          <w:sz w:val="20"/>
          <w:szCs w:val="20"/>
          <w:lang w:val="es-MX"/>
        </w:rPr>
      </w:pPr>
      <w:r w:rsidRPr="006D0E8A">
        <w:rPr>
          <w:rFonts w:ascii="Verdana" w:eastAsia="Calibri" w:hAnsi="Verdana" w:cs="Arial"/>
          <w:color w:val="000000"/>
          <w:sz w:val="20"/>
          <w:szCs w:val="20"/>
        </w:rPr>
        <w:t xml:space="preserve">Así mismo, el Archivo General de la Nación como entidad encargada de liderar la Política de archivo y gestión documental a nivel nacional, expidió el Acuerdo 001 de 2024 “Por el cual se establece el Acuerdo Único de la Función Archivística, se definen los criterios </w:t>
      </w:r>
      <w:r w:rsidRPr="006D0E8A">
        <w:rPr>
          <w:rFonts w:ascii="Verdana" w:eastAsia="Calibri" w:hAnsi="Verdana" w:cs="Arial"/>
          <w:color w:val="000000"/>
          <w:sz w:val="20"/>
          <w:szCs w:val="20"/>
        </w:rPr>
        <w:lastRenderedPageBreak/>
        <w:t xml:space="preserve">técnicos y jurídicos para su implementación en el Estado Colombiano y se fijan otras disposiciones”, que en su artículo 7.1.3. preciso que </w:t>
      </w:r>
      <w:r w:rsidRPr="006D0E8A">
        <w:rPr>
          <w:rFonts w:ascii="Verdana" w:hAnsi="Verdana"/>
          <w:sz w:val="20"/>
          <w:szCs w:val="20"/>
        </w:rPr>
        <w:t>la reserva aplica a la información, no a los documentos, para lo cual el responsable de la información verificará qué información está sometida a reserva, y elaborará una versión pública que mantenga la reserva de los titulares de los datos, con el fin de garantizar el principio de máxima publicidad y conforme a las disposiciones legales sobre el acceso a la información.</w:t>
      </w:r>
    </w:p>
    <w:p w14:paraId="19A5DE80" w14:textId="77777777" w:rsidR="00F97C59" w:rsidRPr="006D0E8A" w:rsidRDefault="00F97C59" w:rsidP="00F97C59">
      <w:pPr>
        <w:spacing w:after="0" w:line="240" w:lineRule="auto"/>
        <w:jc w:val="both"/>
        <w:rPr>
          <w:rFonts w:ascii="Verdana" w:eastAsia="Calibri" w:hAnsi="Verdana" w:cs="Arial"/>
          <w:sz w:val="20"/>
          <w:szCs w:val="20"/>
          <w:lang w:val="es-MX" w:eastAsia="es-ES"/>
        </w:rPr>
      </w:pPr>
    </w:p>
    <w:p w14:paraId="0B558309" w14:textId="77777777" w:rsidR="00F97C59" w:rsidRPr="006D0E8A" w:rsidRDefault="00F97C59" w:rsidP="00F97C59">
      <w:pPr>
        <w:spacing w:after="0" w:line="240" w:lineRule="auto"/>
        <w:jc w:val="both"/>
        <w:rPr>
          <w:rFonts w:ascii="Verdana" w:eastAsia="Calibri" w:hAnsi="Verdana" w:cs="Arial"/>
          <w:sz w:val="20"/>
          <w:szCs w:val="20"/>
          <w:lang w:val="es-ES_tradnl" w:eastAsia="es-ES"/>
        </w:rPr>
      </w:pPr>
    </w:p>
    <w:p w14:paraId="6A909C06" w14:textId="77777777" w:rsidR="00F97C59" w:rsidRPr="006D0E8A" w:rsidRDefault="00F97C59" w:rsidP="00F97C59">
      <w:pPr>
        <w:spacing w:after="0" w:line="240" w:lineRule="auto"/>
        <w:rPr>
          <w:rFonts w:ascii="Verdana" w:eastAsia="Geomanist Light" w:hAnsi="Verdana" w:cs="Arial"/>
          <w:color w:val="000000" w:themeColor="text1"/>
          <w:lang w:val="es-ES_tradnl"/>
        </w:rPr>
      </w:pPr>
    </w:p>
    <w:p w14:paraId="48BE9561" w14:textId="77777777" w:rsidR="00F97C59" w:rsidRPr="006D0E8A" w:rsidRDefault="00F97C59" w:rsidP="00F97C59">
      <w:pPr>
        <w:spacing w:after="0" w:line="240" w:lineRule="auto"/>
        <w:rPr>
          <w:rFonts w:ascii="Verdana" w:eastAsia="Geomanist Light" w:hAnsi="Verdana" w:cs="Arial"/>
          <w:color w:val="000000" w:themeColor="text1"/>
          <w:lang w:val="es-MX"/>
        </w:rPr>
      </w:pPr>
    </w:p>
    <w:p w14:paraId="52758619" w14:textId="77777777" w:rsidR="00F97C59" w:rsidRPr="006D0E8A" w:rsidRDefault="00F97C59" w:rsidP="00F97C59">
      <w:pPr>
        <w:spacing w:after="0" w:line="240" w:lineRule="auto"/>
        <w:rPr>
          <w:rFonts w:ascii="Verdana" w:eastAsia="Geomanist Light" w:hAnsi="Verdana" w:cs="Arial"/>
          <w:color w:val="000000" w:themeColor="text1"/>
          <w:lang w:val="es-MX"/>
        </w:rPr>
      </w:pPr>
    </w:p>
    <w:p w14:paraId="01A66173" w14:textId="77777777" w:rsidR="00F97C59" w:rsidRPr="006D0E8A" w:rsidRDefault="00F97C59" w:rsidP="00F97C59">
      <w:pPr>
        <w:spacing w:after="0" w:line="240" w:lineRule="auto"/>
        <w:rPr>
          <w:rFonts w:ascii="Verdana" w:eastAsia="Geomanist Light" w:hAnsi="Verdana" w:cs="Arial"/>
          <w:color w:val="000000" w:themeColor="text1"/>
          <w:lang w:val="es-MX"/>
        </w:rPr>
      </w:pPr>
    </w:p>
    <w:p w14:paraId="66F52F9F" w14:textId="77777777" w:rsidR="00F97C59" w:rsidRPr="006D0E8A" w:rsidRDefault="00F97C59" w:rsidP="00F97C59">
      <w:pPr>
        <w:spacing w:after="0" w:line="240" w:lineRule="auto"/>
        <w:rPr>
          <w:rFonts w:ascii="Verdana" w:eastAsia="Geomanist Light" w:hAnsi="Verdana" w:cs="Arial"/>
          <w:color w:val="000000" w:themeColor="text1"/>
          <w:lang w:val="es-MX"/>
        </w:rPr>
      </w:pPr>
    </w:p>
    <w:p w14:paraId="6730E577" w14:textId="77777777" w:rsidR="00F97C59" w:rsidRPr="006D0E8A" w:rsidRDefault="00F97C59" w:rsidP="00F97C59">
      <w:pPr>
        <w:spacing w:after="0" w:line="240" w:lineRule="auto"/>
        <w:rPr>
          <w:rFonts w:ascii="Verdana" w:eastAsia="Geomanist Light" w:hAnsi="Verdana" w:cs="Arial"/>
          <w:color w:val="000000" w:themeColor="text1"/>
          <w:lang w:val="es-MX"/>
        </w:rPr>
      </w:pPr>
    </w:p>
    <w:p w14:paraId="59DFF174" w14:textId="77777777" w:rsidR="00F97C59" w:rsidRPr="006D0E8A" w:rsidRDefault="00F97C59" w:rsidP="00F97C59">
      <w:pPr>
        <w:spacing w:after="0" w:line="240" w:lineRule="auto"/>
        <w:rPr>
          <w:rFonts w:ascii="Verdana" w:eastAsia="Geomanist Light" w:hAnsi="Verdana" w:cs="Arial"/>
          <w:color w:val="000000" w:themeColor="text1"/>
          <w:lang w:val="es-MX"/>
        </w:rPr>
      </w:pPr>
    </w:p>
    <w:p w14:paraId="7F3EC634" w14:textId="77777777" w:rsidR="00F97C59" w:rsidRPr="006D0E8A" w:rsidRDefault="00F97C59" w:rsidP="00F97C59">
      <w:pPr>
        <w:spacing w:after="0" w:line="240" w:lineRule="auto"/>
        <w:rPr>
          <w:rFonts w:ascii="Verdana" w:eastAsia="Geomanist Light" w:hAnsi="Verdana" w:cs="Arial"/>
          <w:color w:val="000000" w:themeColor="text1"/>
          <w:lang w:val="es-MX"/>
        </w:rPr>
      </w:pPr>
    </w:p>
    <w:p w14:paraId="2646BBA4" w14:textId="77777777" w:rsidR="00F97C59" w:rsidRPr="006D0E8A" w:rsidRDefault="00F97C59" w:rsidP="00F97C59">
      <w:pPr>
        <w:spacing w:after="0" w:line="240" w:lineRule="auto"/>
        <w:rPr>
          <w:rFonts w:ascii="Verdana" w:eastAsia="Geomanist Light" w:hAnsi="Verdana" w:cs="Arial"/>
          <w:color w:val="000000" w:themeColor="text1"/>
          <w:lang w:val="es-MX"/>
        </w:rPr>
      </w:pPr>
    </w:p>
    <w:p w14:paraId="02995B13" w14:textId="77777777" w:rsidR="00F97C59" w:rsidRPr="006D0E8A" w:rsidRDefault="00F97C59" w:rsidP="00F97C59">
      <w:pPr>
        <w:spacing w:after="0" w:line="240" w:lineRule="auto"/>
        <w:rPr>
          <w:rFonts w:ascii="Verdana" w:eastAsia="Geomanist Light" w:hAnsi="Verdana" w:cs="Arial"/>
          <w:color w:val="000000" w:themeColor="text1"/>
          <w:lang w:val="es-MX"/>
        </w:rPr>
      </w:pPr>
    </w:p>
    <w:p w14:paraId="504788DF" w14:textId="77777777" w:rsidR="00F97C59" w:rsidRDefault="00F97C59" w:rsidP="00F97C59">
      <w:pPr>
        <w:spacing w:after="0" w:line="240" w:lineRule="auto"/>
        <w:rPr>
          <w:rFonts w:ascii="Verdana" w:eastAsia="Geomanist Light" w:hAnsi="Verdana" w:cs="Arial"/>
          <w:color w:val="000000" w:themeColor="text1"/>
          <w:lang w:val="es-MX"/>
        </w:rPr>
      </w:pPr>
    </w:p>
    <w:p w14:paraId="635AA9DB" w14:textId="77777777" w:rsidR="00F97C59" w:rsidRDefault="00F97C59" w:rsidP="00F97C59">
      <w:pPr>
        <w:spacing w:after="0" w:line="240" w:lineRule="auto"/>
        <w:rPr>
          <w:rFonts w:ascii="Verdana" w:eastAsia="Geomanist Light" w:hAnsi="Verdana" w:cs="Arial"/>
          <w:color w:val="000000" w:themeColor="text1"/>
          <w:lang w:val="es-MX"/>
        </w:rPr>
      </w:pPr>
    </w:p>
    <w:p w14:paraId="2833150C" w14:textId="77777777" w:rsidR="00F97C59" w:rsidRDefault="00F97C59" w:rsidP="00F97C59">
      <w:pPr>
        <w:spacing w:after="0" w:line="240" w:lineRule="auto"/>
        <w:rPr>
          <w:rFonts w:ascii="Verdana" w:eastAsia="Geomanist Light" w:hAnsi="Verdana" w:cs="Arial"/>
          <w:color w:val="000000" w:themeColor="text1"/>
          <w:lang w:val="es-MX"/>
        </w:rPr>
      </w:pPr>
    </w:p>
    <w:p w14:paraId="4ABB22B5" w14:textId="77777777" w:rsidR="00F97C59" w:rsidRDefault="00F97C59" w:rsidP="00F97C59">
      <w:pPr>
        <w:spacing w:after="0" w:line="240" w:lineRule="auto"/>
        <w:rPr>
          <w:rFonts w:ascii="Verdana" w:eastAsia="Geomanist Light" w:hAnsi="Verdana" w:cs="Arial"/>
          <w:color w:val="000000" w:themeColor="text1"/>
          <w:lang w:val="es-MX"/>
        </w:rPr>
      </w:pPr>
    </w:p>
    <w:p w14:paraId="082F602F" w14:textId="77777777" w:rsidR="00F97C59" w:rsidRDefault="00F97C59" w:rsidP="00F97C59">
      <w:pPr>
        <w:spacing w:after="0" w:line="240" w:lineRule="auto"/>
        <w:rPr>
          <w:rFonts w:ascii="Verdana" w:eastAsia="Geomanist Light" w:hAnsi="Verdana" w:cs="Arial"/>
          <w:color w:val="000000" w:themeColor="text1"/>
          <w:lang w:val="es-MX"/>
        </w:rPr>
      </w:pPr>
    </w:p>
    <w:p w14:paraId="1C89AA2B" w14:textId="77777777" w:rsidR="00F97C59" w:rsidRDefault="00F97C59" w:rsidP="00F97C59">
      <w:pPr>
        <w:spacing w:after="0" w:line="240" w:lineRule="auto"/>
        <w:rPr>
          <w:rFonts w:ascii="Verdana" w:eastAsia="Geomanist Light" w:hAnsi="Verdana" w:cs="Arial"/>
          <w:color w:val="000000" w:themeColor="text1"/>
          <w:lang w:val="es-MX"/>
        </w:rPr>
      </w:pPr>
    </w:p>
    <w:p w14:paraId="6851E4D9" w14:textId="77777777" w:rsidR="00F97C59" w:rsidRDefault="00F97C59" w:rsidP="00F97C59">
      <w:pPr>
        <w:spacing w:after="0" w:line="240" w:lineRule="auto"/>
        <w:rPr>
          <w:rFonts w:ascii="Verdana" w:eastAsia="Geomanist Light" w:hAnsi="Verdana" w:cs="Arial"/>
          <w:color w:val="000000" w:themeColor="text1"/>
          <w:lang w:val="es-MX"/>
        </w:rPr>
      </w:pPr>
    </w:p>
    <w:p w14:paraId="28C53FA3" w14:textId="77777777" w:rsidR="00F97C59" w:rsidRDefault="00F97C59" w:rsidP="00F97C59">
      <w:pPr>
        <w:spacing w:after="0" w:line="240" w:lineRule="auto"/>
        <w:rPr>
          <w:rFonts w:ascii="Verdana" w:eastAsia="Geomanist Light" w:hAnsi="Verdana" w:cs="Arial"/>
          <w:color w:val="000000" w:themeColor="text1"/>
          <w:lang w:val="es-MX"/>
        </w:rPr>
      </w:pPr>
    </w:p>
    <w:p w14:paraId="32270BC9" w14:textId="77777777" w:rsidR="00F97C59" w:rsidRDefault="00F97C59" w:rsidP="00F97C59">
      <w:pPr>
        <w:spacing w:after="0" w:line="240" w:lineRule="auto"/>
        <w:rPr>
          <w:rFonts w:ascii="Verdana" w:eastAsia="Geomanist Light" w:hAnsi="Verdana" w:cs="Arial"/>
          <w:color w:val="000000" w:themeColor="text1"/>
          <w:lang w:val="es-MX"/>
        </w:rPr>
      </w:pPr>
    </w:p>
    <w:p w14:paraId="1EFBE102" w14:textId="77777777" w:rsidR="00F97C59" w:rsidRDefault="00F97C59" w:rsidP="00F97C59">
      <w:pPr>
        <w:spacing w:after="0" w:line="240" w:lineRule="auto"/>
        <w:rPr>
          <w:rFonts w:ascii="Verdana" w:eastAsia="Geomanist Light" w:hAnsi="Verdana" w:cs="Arial"/>
          <w:color w:val="000000" w:themeColor="text1"/>
          <w:lang w:val="es-MX"/>
        </w:rPr>
      </w:pPr>
    </w:p>
    <w:p w14:paraId="3FF3CC0A" w14:textId="77777777" w:rsidR="00F97C59" w:rsidRDefault="00F97C59" w:rsidP="00F97C59">
      <w:pPr>
        <w:spacing w:after="0" w:line="240" w:lineRule="auto"/>
        <w:rPr>
          <w:rFonts w:ascii="Verdana" w:eastAsia="Geomanist Light" w:hAnsi="Verdana" w:cs="Arial"/>
          <w:color w:val="000000" w:themeColor="text1"/>
          <w:lang w:val="es-MX"/>
        </w:rPr>
      </w:pPr>
    </w:p>
    <w:p w14:paraId="06E76BF6" w14:textId="77777777" w:rsidR="00F97C59" w:rsidRDefault="00F97C59" w:rsidP="00F97C59">
      <w:pPr>
        <w:spacing w:after="0" w:line="240" w:lineRule="auto"/>
        <w:rPr>
          <w:rFonts w:ascii="Verdana" w:eastAsia="Geomanist Light" w:hAnsi="Verdana" w:cs="Arial"/>
          <w:color w:val="000000" w:themeColor="text1"/>
          <w:lang w:val="es-MX"/>
        </w:rPr>
      </w:pPr>
    </w:p>
    <w:p w14:paraId="7725650D" w14:textId="77777777" w:rsidR="00F97C59" w:rsidRDefault="00F97C59" w:rsidP="00F97C59">
      <w:pPr>
        <w:spacing w:after="0" w:line="240" w:lineRule="auto"/>
        <w:rPr>
          <w:rFonts w:ascii="Verdana" w:eastAsia="Geomanist Light" w:hAnsi="Verdana" w:cs="Arial"/>
          <w:color w:val="000000" w:themeColor="text1"/>
          <w:lang w:val="es-MX"/>
        </w:rPr>
      </w:pPr>
    </w:p>
    <w:p w14:paraId="70A295C3" w14:textId="77777777" w:rsidR="00F97C59" w:rsidRDefault="00F97C59" w:rsidP="00F97C59">
      <w:pPr>
        <w:spacing w:after="0" w:line="240" w:lineRule="auto"/>
        <w:rPr>
          <w:rFonts w:ascii="Verdana" w:eastAsia="Geomanist Light" w:hAnsi="Verdana" w:cs="Arial"/>
          <w:color w:val="000000" w:themeColor="text1"/>
          <w:lang w:val="es-MX"/>
        </w:rPr>
      </w:pPr>
    </w:p>
    <w:p w14:paraId="2858455D" w14:textId="77777777" w:rsidR="00F97C59" w:rsidRDefault="00F97C59" w:rsidP="00F97C59">
      <w:pPr>
        <w:spacing w:after="0" w:line="240" w:lineRule="auto"/>
        <w:rPr>
          <w:rFonts w:ascii="Verdana" w:eastAsia="Geomanist Light" w:hAnsi="Verdana" w:cs="Arial"/>
          <w:color w:val="000000" w:themeColor="text1"/>
          <w:lang w:val="es-MX"/>
        </w:rPr>
      </w:pPr>
    </w:p>
    <w:p w14:paraId="5D69CD6F" w14:textId="77777777" w:rsidR="00F97C59" w:rsidRDefault="00F97C59" w:rsidP="00F97C59">
      <w:pPr>
        <w:spacing w:after="0" w:line="240" w:lineRule="auto"/>
        <w:rPr>
          <w:rFonts w:ascii="Verdana" w:eastAsia="Geomanist Light" w:hAnsi="Verdana" w:cs="Arial"/>
          <w:color w:val="000000" w:themeColor="text1"/>
          <w:lang w:val="es-MX"/>
        </w:rPr>
      </w:pPr>
    </w:p>
    <w:p w14:paraId="3EFB148F" w14:textId="77777777" w:rsidR="00F97C59" w:rsidRDefault="00F97C59" w:rsidP="00F97C59">
      <w:pPr>
        <w:spacing w:after="0" w:line="240" w:lineRule="auto"/>
        <w:rPr>
          <w:rFonts w:ascii="Verdana" w:eastAsia="Geomanist Light" w:hAnsi="Verdana" w:cs="Arial"/>
          <w:color w:val="000000" w:themeColor="text1"/>
          <w:lang w:val="es-MX"/>
        </w:rPr>
      </w:pPr>
    </w:p>
    <w:p w14:paraId="415087BE" w14:textId="77777777" w:rsidR="00F97C59" w:rsidRDefault="00F97C59" w:rsidP="00F97C59">
      <w:pPr>
        <w:spacing w:after="0" w:line="240" w:lineRule="auto"/>
        <w:rPr>
          <w:rFonts w:ascii="Verdana" w:eastAsia="Geomanist Light" w:hAnsi="Verdana" w:cs="Arial"/>
          <w:color w:val="000000" w:themeColor="text1"/>
          <w:lang w:val="es-MX"/>
        </w:rPr>
      </w:pPr>
    </w:p>
    <w:p w14:paraId="49745D0A" w14:textId="77777777" w:rsidR="00F97C59" w:rsidRDefault="00F97C59" w:rsidP="00F97C59">
      <w:pPr>
        <w:spacing w:after="0" w:line="240" w:lineRule="auto"/>
        <w:rPr>
          <w:rFonts w:ascii="Verdana" w:eastAsia="Geomanist Light" w:hAnsi="Verdana" w:cs="Arial"/>
          <w:color w:val="000000" w:themeColor="text1"/>
          <w:lang w:val="es-MX"/>
        </w:rPr>
      </w:pPr>
    </w:p>
    <w:p w14:paraId="10221A62" w14:textId="77777777" w:rsidR="00F97C59" w:rsidRDefault="00F97C59" w:rsidP="00F97C59">
      <w:pPr>
        <w:spacing w:after="0" w:line="240" w:lineRule="auto"/>
        <w:rPr>
          <w:rFonts w:ascii="Verdana" w:eastAsia="Geomanist Light" w:hAnsi="Verdana" w:cs="Arial"/>
          <w:color w:val="000000" w:themeColor="text1"/>
          <w:lang w:val="es-MX"/>
        </w:rPr>
      </w:pPr>
    </w:p>
    <w:p w14:paraId="075ADB9A" w14:textId="77777777" w:rsidR="00F97C59" w:rsidRDefault="00F97C59" w:rsidP="00F97C59">
      <w:pPr>
        <w:spacing w:after="0" w:line="240" w:lineRule="auto"/>
        <w:rPr>
          <w:rFonts w:ascii="Verdana" w:eastAsia="Geomanist Light" w:hAnsi="Verdana" w:cs="Arial"/>
          <w:color w:val="000000" w:themeColor="text1"/>
          <w:lang w:val="es-MX"/>
        </w:rPr>
      </w:pPr>
    </w:p>
    <w:p w14:paraId="43A746B0" w14:textId="77777777" w:rsidR="00F97C59" w:rsidRDefault="00F97C59" w:rsidP="00F97C59">
      <w:pPr>
        <w:spacing w:after="0" w:line="240" w:lineRule="auto"/>
        <w:rPr>
          <w:rFonts w:ascii="Verdana" w:eastAsia="Geomanist Light" w:hAnsi="Verdana" w:cs="Arial"/>
          <w:color w:val="000000" w:themeColor="text1"/>
          <w:lang w:val="es-MX"/>
        </w:rPr>
      </w:pPr>
    </w:p>
    <w:p w14:paraId="034F9A12" w14:textId="77777777" w:rsidR="00F97C59" w:rsidRDefault="00F97C59" w:rsidP="00F97C59">
      <w:pPr>
        <w:spacing w:after="0" w:line="240" w:lineRule="auto"/>
        <w:rPr>
          <w:rFonts w:ascii="Verdana" w:eastAsia="Geomanist Light" w:hAnsi="Verdana" w:cs="Arial"/>
          <w:color w:val="000000" w:themeColor="text1"/>
          <w:lang w:val="es-MX"/>
        </w:rPr>
      </w:pPr>
    </w:p>
    <w:p w14:paraId="596A2175" w14:textId="77777777" w:rsidR="00490C3F" w:rsidRDefault="00490C3F" w:rsidP="00F97C59">
      <w:pPr>
        <w:spacing w:after="0" w:line="240" w:lineRule="auto"/>
        <w:rPr>
          <w:rFonts w:ascii="Verdana" w:eastAsia="Geomanist Light" w:hAnsi="Verdana" w:cs="Arial"/>
          <w:color w:val="000000" w:themeColor="text1"/>
          <w:lang w:val="es-MX"/>
        </w:rPr>
      </w:pPr>
    </w:p>
    <w:p w14:paraId="1FD646A2" w14:textId="44D44ADE" w:rsidR="00F97C59" w:rsidRPr="00241376" w:rsidRDefault="00F97C59" w:rsidP="00F97C59">
      <w:pPr>
        <w:spacing w:after="0" w:line="240" w:lineRule="auto"/>
        <w:rPr>
          <w:rFonts w:ascii="Verdana" w:eastAsia="Geomanist Light" w:hAnsi="Verdana" w:cs="Arial"/>
          <w:color w:val="201F1E"/>
          <w:lang w:val="es-MX"/>
        </w:rPr>
      </w:pPr>
      <w:r w:rsidRPr="006D0E8A">
        <w:rPr>
          <w:rFonts w:ascii="Verdana" w:eastAsia="Geomanist Light" w:hAnsi="Verdana" w:cs="Arial"/>
          <w:color w:val="000000" w:themeColor="text1"/>
          <w:lang w:val="es-MX"/>
        </w:rPr>
        <w:lastRenderedPageBreak/>
        <w:t>Bogotá D.C., </w:t>
      </w:r>
      <w:r w:rsidR="00490C3F">
        <w:rPr>
          <w:rFonts w:ascii="Verdana" w:eastAsia="Geomanist Light" w:hAnsi="Verdana" w:cs="Arial"/>
          <w:color w:val="201F1E"/>
        </w:rPr>
        <w:t>14 de julio de 2026</w:t>
      </w:r>
    </w:p>
    <w:p w14:paraId="7A608121" w14:textId="77777777" w:rsidR="00F97C59" w:rsidRPr="006D0E8A" w:rsidRDefault="00F97C59" w:rsidP="00F97C59">
      <w:pPr>
        <w:spacing w:after="0" w:line="240" w:lineRule="auto"/>
        <w:rPr>
          <w:rFonts w:ascii="Verdana" w:eastAsia="Geomanist Light" w:hAnsi="Verdana" w:cs="Arial"/>
          <w:color w:val="201F1E"/>
          <w:lang w:val="es-MX"/>
        </w:rPr>
      </w:pPr>
    </w:p>
    <w:p w14:paraId="2BB5DCEF" w14:textId="798B3D7E" w:rsidR="00F97C59" w:rsidRPr="006D0E8A" w:rsidRDefault="00265E9B" w:rsidP="00265E9B">
      <w:pPr>
        <w:spacing w:after="0" w:line="240" w:lineRule="auto"/>
        <w:jc w:val="right"/>
        <w:rPr>
          <w:rFonts w:ascii="Verdana" w:eastAsia="Calibri" w:hAnsi="Verdana" w:cs="Arial"/>
          <w:color w:val="000000"/>
          <w:lang w:val="es-ES"/>
        </w:rPr>
      </w:pPr>
      <w:r w:rsidRPr="00265E9B">
        <w:rPr>
          <w:rFonts w:ascii="Verdana" w:eastAsia="Calibri" w:hAnsi="Verdana" w:cs="Arial"/>
          <w:noProof/>
          <w:color w:val="000000"/>
          <w:lang w:val="es-ES"/>
        </w:rPr>
        <w:drawing>
          <wp:anchor distT="0" distB="0" distL="114300" distR="114300" simplePos="0" relativeHeight="251658240" behindDoc="0" locked="0" layoutInCell="1" allowOverlap="1" wp14:anchorId="24FB181A" wp14:editId="6226513D">
            <wp:simplePos x="0" y="0"/>
            <wp:positionH relativeFrom="column">
              <wp:posOffset>3347085</wp:posOffset>
            </wp:positionH>
            <wp:positionV relativeFrom="paragraph">
              <wp:posOffset>3175</wp:posOffset>
            </wp:positionV>
            <wp:extent cx="2263140" cy="830580"/>
            <wp:effectExtent l="0" t="0" r="3810" b="7620"/>
            <wp:wrapSquare wrapText="bothSides"/>
            <wp:docPr id="16663725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3140" cy="830580"/>
                    </a:xfrm>
                    <a:prstGeom prst="rect">
                      <a:avLst/>
                    </a:prstGeom>
                    <a:noFill/>
                    <a:ln>
                      <a:noFill/>
                    </a:ln>
                  </pic:spPr>
                </pic:pic>
              </a:graphicData>
            </a:graphic>
          </wp:anchor>
        </w:drawing>
      </w:r>
    </w:p>
    <w:p w14:paraId="7AE994C9" w14:textId="77777777" w:rsidR="00F97C59" w:rsidRPr="006D0E8A" w:rsidRDefault="00F97C59" w:rsidP="00F97C59">
      <w:pPr>
        <w:spacing w:after="0" w:line="240" w:lineRule="auto"/>
        <w:jc w:val="both"/>
        <w:rPr>
          <w:rFonts w:ascii="Verdana" w:eastAsia="Calibri" w:hAnsi="Verdana" w:cs="Arial"/>
          <w:lang w:val="es-ES" w:eastAsia="es-ES"/>
        </w:rPr>
      </w:pPr>
      <w:r w:rsidRPr="006D0E8A">
        <w:rPr>
          <w:rFonts w:ascii="Verdana" w:eastAsia="Calibri" w:hAnsi="Verdana" w:cs="Arial"/>
          <w:lang w:val="es-ES" w:eastAsia="es-ES"/>
        </w:rPr>
        <w:t>Señor</w:t>
      </w:r>
    </w:p>
    <w:p w14:paraId="6DFDECA9" w14:textId="77777777" w:rsidR="00F97C59" w:rsidRPr="006D0E8A" w:rsidRDefault="00F97C59" w:rsidP="00F97C59">
      <w:pPr>
        <w:spacing w:after="0" w:line="240" w:lineRule="auto"/>
        <w:rPr>
          <w:rFonts w:ascii="Verdana" w:eastAsia="Calibri" w:hAnsi="Verdana" w:cs="Arial"/>
          <w:b/>
          <w:lang w:val="es-ES" w:eastAsia="es-ES"/>
        </w:rPr>
      </w:pPr>
      <w:r>
        <w:rPr>
          <w:rFonts w:ascii="Verdana" w:eastAsia="Calibri" w:hAnsi="Verdana" w:cs="Arial"/>
          <w:b/>
          <w:lang w:val="es-ES" w:eastAsia="es-ES"/>
        </w:rPr>
        <w:t>Francisco Rossi Buenaventura</w:t>
      </w:r>
    </w:p>
    <w:p w14:paraId="416D0329" w14:textId="77777777" w:rsidR="00F97C59" w:rsidRPr="006D0E8A" w:rsidRDefault="00F97C59" w:rsidP="00F97C59">
      <w:pPr>
        <w:spacing w:after="0" w:line="240" w:lineRule="auto"/>
        <w:rPr>
          <w:rFonts w:ascii="Verdana" w:hAnsi="Verdana"/>
        </w:rPr>
      </w:pPr>
      <w:hyperlink r:id="rId12" w:history="1">
        <w:r w:rsidRPr="00777EFC">
          <w:rPr>
            <w:rStyle w:val="Hipervnculo"/>
            <w:rFonts w:ascii="Verdana" w:hAnsi="Verdana"/>
          </w:rPr>
          <w:t>francisco.rossi@rossiabogados.com</w:t>
        </w:r>
      </w:hyperlink>
      <w:r w:rsidRPr="006D0E8A">
        <w:rPr>
          <w:rFonts w:ascii="Verdana" w:hAnsi="Verdana"/>
        </w:rPr>
        <w:t xml:space="preserve">               </w:t>
      </w:r>
      <w:r w:rsidRPr="006D0E8A">
        <w:rPr>
          <w:rFonts w:ascii="Verdana" w:eastAsia="Calibri" w:hAnsi="Verdana" w:cs="Arial"/>
          <w:lang w:val="es-ES" w:eastAsia="es-ES"/>
        </w:rPr>
        <w:t xml:space="preserve">    </w:t>
      </w:r>
    </w:p>
    <w:p w14:paraId="0E1F07CD" w14:textId="77777777" w:rsidR="00F97C59" w:rsidRPr="006D0E8A" w:rsidRDefault="00F97C59" w:rsidP="00F97C59">
      <w:pPr>
        <w:spacing w:after="0" w:line="240" w:lineRule="auto"/>
        <w:rPr>
          <w:rFonts w:ascii="Verdana" w:eastAsia="Calibri" w:hAnsi="Verdana" w:cs="Arial"/>
          <w:lang w:val="es-ES" w:eastAsia="es-ES"/>
        </w:rPr>
      </w:pPr>
      <w:r w:rsidRPr="006D0E8A">
        <w:rPr>
          <w:rFonts w:ascii="Verdana" w:eastAsia="Calibri" w:hAnsi="Verdana" w:cs="Arial"/>
          <w:lang w:val="es-ES" w:eastAsia="es-ES"/>
        </w:rPr>
        <w:t xml:space="preserve">Bogotá D.C. </w:t>
      </w:r>
    </w:p>
    <w:p w14:paraId="577AF706" w14:textId="77777777" w:rsidR="00F97C59" w:rsidRPr="006D0E8A" w:rsidRDefault="00F97C59" w:rsidP="00F97C59">
      <w:pPr>
        <w:spacing w:after="0" w:line="240" w:lineRule="auto"/>
        <w:rPr>
          <w:rFonts w:ascii="Verdana" w:eastAsia="Calibri" w:hAnsi="Verdana" w:cs="Arial"/>
          <w:b/>
          <w:bCs/>
          <w:color w:val="000000"/>
          <w:lang w:val="es-ES_tradnl" w:eastAsia="es-ES_tradnl"/>
        </w:rPr>
      </w:pPr>
    </w:p>
    <w:p w14:paraId="236379D2" w14:textId="77777777" w:rsidR="00F97C59" w:rsidRPr="006D0E8A" w:rsidRDefault="00F97C59" w:rsidP="00F97C59">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F97C59" w:rsidRPr="006D0E8A" w14:paraId="2B948775" w14:textId="77777777" w:rsidTr="00144015">
        <w:trPr>
          <w:trHeight w:val="884"/>
        </w:trPr>
        <w:tc>
          <w:tcPr>
            <w:tcW w:w="2689" w:type="dxa"/>
          </w:tcPr>
          <w:p w14:paraId="3A45428F" w14:textId="77777777" w:rsidR="00F97C59" w:rsidRPr="006D0E8A" w:rsidRDefault="00F97C59" w:rsidP="00144015">
            <w:pPr>
              <w:jc w:val="both"/>
              <w:rPr>
                <w:rFonts w:ascii="Verdana" w:eastAsia="Calibri" w:hAnsi="Verdana" w:cs="Arial"/>
                <w:b/>
                <w:bCs/>
                <w:color w:val="7030A0"/>
                <w:lang w:val="es-ES_tradnl" w:eastAsia="es-ES_tradnl"/>
              </w:rPr>
            </w:pPr>
          </w:p>
        </w:tc>
        <w:tc>
          <w:tcPr>
            <w:tcW w:w="6100" w:type="dxa"/>
          </w:tcPr>
          <w:p w14:paraId="0E17368D" w14:textId="0A182386" w:rsidR="00F97C59" w:rsidRPr="006D0E8A" w:rsidRDefault="00F97C59" w:rsidP="00144015">
            <w:pPr>
              <w:jc w:val="both"/>
              <w:rPr>
                <w:rFonts w:ascii="Verdana" w:eastAsia="Calibri" w:hAnsi="Verdana" w:cs="Arial"/>
                <w:b/>
                <w:bCs/>
                <w:color w:val="7030A0"/>
                <w:lang w:val="es-ES" w:eastAsia="es-ES"/>
              </w:rPr>
            </w:pPr>
            <w:r w:rsidRPr="006D0E8A">
              <w:rPr>
                <w:rFonts w:ascii="Verdana" w:eastAsia="Calibri" w:hAnsi="Verdana" w:cs="Arial"/>
                <w:b/>
                <w:bCs/>
                <w:lang w:val="es-ES" w:eastAsia="es-ES"/>
              </w:rPr>
              <w:t>Concepto C</w:t>
            </w:r>
            <w:r w:rsidR="009D58BA">
              <w:rPr>
                <w:rFonts w:ascii="Verdana" w:eastAsia="Calibri" w:hAnsi="Verdana" w:cs="Arial"/>
                <w:b/>
                <w:bCs/>
                <w:lang w:val="es-ES" w:eastAsia="es-ES"/>
              </w:rPr>
              <w:t>-</w:t>
            </w:r>
            <w:r w:rsidRPr="006D0E8A">
              <w:rPr>
                <w:rFonts w:ascii="Verdana" w:eastAsia="Calibri" w:hAnsi="Verdana" w:cs="Arial"/>
                <w:b/>
                <w:bCs/>
                <w:lang w:val="es-ES" w:eastAsia="es-ES"/>
              </w:rPr>
              <w:t>1</w:t>
            </w:r>
            <w:r>
              <w:rPr>
                <w:rFonts w:ascii="Verdana" w:eastAsia="Calibri" w:hAnsi="Verdana" w:cs="Arial"/>
                <w:b/>
                <w:bCs/>
                <w:lang w:val="es-ES" w:eastAsia="es-ES"/>
              </w:rPr>
              <w:t>016</w:t>
            </w:r>
            <w:r w:rsidRPr="006D0E8A">
              <w:rPr>
                <w:rFonts w:ascii="Verdana" w:eastAsia="Calibri" w:hAnsi="Verdana" w:cs="Arial"/>
                <w:b/>
                <w:bCs/>
                <w:lang w:val="es-ES" w:eastAsia="es-ES"/>
              </w:rPr>
              <w:t xml:space="preserve"> de 202</w:t>
            </w:r>
            <w:r>
              <w:rPr>
                <w:rFonts w:ascii="Verdana" w:eastAsia="Calibri" w:hAnsi="Verdana" w:cs="Arial"/>
                <w:b/>
                <w:bCs/>
                <w:lang w:val="es-ES" w:eastAsia="es-ES"/>
              </w:rPr>
              <w:t>6</w:t>
            </w:r>
          </w:p>
        </w:tc>
      </w:tr>
      <w:tr w:rsidR="00F97C59" w:rsidRPr="006D0E8A" w14:paraId="129AC0CA" w14:textId="77777777" w:rsidTr="00144015">
        <w:trPr>
          <w:trHeight w:val="884"/>
        </w:trPr>
        <w:tc>
          <w:tcPr>
            <w:tcW w:w="2689" w:type="dxa"/>
          </w:tcPr>
          <w:p w14:paraId="7C1D4ADF" w14:textId="77777777" w:rsidR="00F97C59" w:rsidRPr="006D0E8A" w:rsidRDefault="00F97C59" w:rsidP="00144015">
            <w:pPr>
              <w:jc w:val="both"/>
              <w:rPr>
                <w:rFonts w:ascii="Verdana" w:eastAsia="Calibri" w:hAnsi="Verdana" w:cs="Arial"/>
                <w:color w:val="000000"/>
                <w:lang w:val="es-ES_tradnl" w:eastAsia="es-ES_tradnl"/>
              </w:rPr>
            </w:pPr>
            <w:r w:rsidRPr="006D0E8A">
              <w:rPr>
                <w:rFonts w:ascii="Verdana" w:eastAsia="Calibri" w:hAnsi="Verdana" w:cs="Arial"/>
                <w:b/>
                <w:color w:val="000000"/>
                <w:lang w:val="es-ES_tradnl" w:eastAsia="es-ES_tradnl"/>
              </w:rPr>
              <w:t>Temas:</w:t>
            </w:r>
            <w:r w:rsidRPr="006D0E8A">
              <w:rPr>
                <w:rFonts w:ascii="Verdana" w:eastAsia="Calibri" w:hAnsi="Verdana" w:cs="Arial"/>
                <w:color w:val="000000"/>
                <w:lang w:val="es-ES_tradnl" w:eastAsia="es-ES_tradnl"/>
              </w:rPr>
              <w:t xml:space="preserve">                   </w:t>
            </w:r>
          </w:p>
        </w:tc>
        <w:tc>
          <w:tcPr>
            <w:tcW w:w="6100" w:type="dxa"/>
          </w:tcPr>
          <w:p w14:paraId="0ACE5622" w14:textId="77777777" w:rsidR="00F97C59" w:rsidRPr="006D0E8A" w:rsidRDefault="00F97C59" w:rsidP="00144015">
            <w:pPr>
              <w:spacing w:line="276" w:lineRule="auto"/>
              <w:jc w:val="both"/>
              <w:rPr>
                <w:rFonts w:ascii="Verdana" w:eastAsia="Calibri" w:hAnsi="Verdana" w:cs="Arial"/>
                <w:lang w:val="es-ES" w:eastAsia="es-ES"/>
              </w:rPr>
            </w:pPr>
            <w:r w:rsidRPr="006D0E8A">
              <w:rPr>
                <w:rFonts w:ascii="Verdana" w:eastAsia="Calibri" w:hAnsi="Verdana" w:cs="Arial"/>
                <w:lang w:val="es-ES" w:eastAsia="es-ES"/>
              </w:rPr>
              <w:t xml:space="preserve">PRINCIPIO DE PUBLICIDAD – Concepto – Fundamento axiológico – Fundamento constitucional / PRINCIPIO DE PUBLICIDAD – SECOP – Documentos del proceso – Deber de publicación / ACCESO A DOCUMENTACIÓN PÚBLICA – Derecho fundamental – Transparencia – Información contractual / PRINCIPIO DE PUBLICIDAD -Reserva legal – Excepción – Divulgación parcial de la información – SECOP                     </w:t>
            </w:r>
          </w:p>
          <w:p w14:paraId="28CB196A" w14:textId="77777777" w:rsidR="00F97C59" w:rsidRPr="006D0E8A" w:rsidRDefault="00F97C59" w:rsidP="00144015">
            <w:pPr>
              <w:spacing w:line="276" w:lineRule="auto"/>
              <w:jc w:val="both"/>
              <w:rPr>
                <w:rFonts w:ascii="Verdana" w:eastAsia="Calibri" w:hAnsi="Verdana" w:cs="Arial"/>
                <w:lang w:val="es-ES" w:eastAsia="es-ES"/>
              </w:rPr>
            </w:pPr>
            <w:r w:rsidRPr="006D0E8A">
              <w:rPr>
                <w:rFonts w:ascii="Verdana" w:eastAsia="Calibri" w:hAnsi="Verdana" w:cs="Arial"/>
                <w:lang w:val="es-ES" w:eastAsia="es-ES"/>
              </w:rPr>
              <w:t xml:space="preserve">  </w:t>
            </w:r>
          </w:p>
        </w:tc>
      </w:tr>
      <w:tr w:rsidR="00F97C59" w:rsidRPr="006D0E8A" w14:paraId="063A9D88" w14:textId="77777777" w:rsidTr="00144015">
        <w:tc>
          <w:tcPr>
            <w:tcW w:w="2689" w:type="dxa"/>
          </w:tcPr>
          <w:p w14:paraId="55E2D195" w14:textId="77777777" w:rsidR="00F97C59" w:rsidRPr="006D0E8A" w:rsidRDefault="00F97C59" w:rsidP="00144015">
            <w:pPr>
              <w:jc w:val="both"/>
              <w:rPr>
                <w:rFonts w:ascii="Verdana" w:eastAsia="Calibri" w:hAnsi="Verdana" w:cs="Arial"/>
                <w:b/>
                <w:lang w:val="es-ES_tradnl" w:eastAsia="es-ES_tradnl"/>
              </w:rPr>
            </w:pPr>
            <w:r w:rsidRPr="006D0E8A">
              <w:rPr>
                <w:rFonts w:ascii="Verdana" w:eastAsia="Calibri" w:hAnsi="Verdana" w:cs="Arial"/>
                <w:b/>
                <w:lang w:val="es-ES_tradnl" w:eastAsia="es-ES_tradnl"/>
              </w:rPr>
              <w:t>Radicación:</w:t>
            </w:r>
            <w:r w:rsidRPr="006D0E8A">
              <w:rPr>
                <w:rFonts w:ascii="Verdana" w:eastAsia="Calibri" w:hAnsi="Verdana" w:cs="Arial"/>
                <w:lang w:val="es-ES_tradnl" w:eastAsia="es-ES_tradnl"/>
              </w:rPr>
              <w:t xml:space="preserve">               </w:t>
            </w:r>
          </w:p>
        </w:tc>
        <w:tc>
          <w:tcPr>
            <w:tcW w:w="6100" w:type="dxa"/>
          </w:tcPr>
          <w:p w14:paraId="798F36EA" w14:textId="77777777" w:rsidR="00F97C59" w:rsidRPr="006D0E8A" w:rsidRDefault="00F97C59" w:rsidP="00144015">
            <w:pPr>
              <w:spacing w:line="276" w:lineRule="auto"/>
              <w:jc w:val="both"/>
              <w:rPr>
                <w:rFonts w:ascii="Verdana" w:eastAsia="Calibri" w:hAnsi="Verdana" w:cs="Arial"/>
                <w:lang w:val="es-ES_tradnl" w:eastAsia="es-ES_tradnl"/>
              </w:rPr>
            </w:pPr>
            <w:r w:rsidRPr="006D0E8A">
              <w:rPr>
                <w:rFonts w:ascii="Verdana" w:eastAsia="Calibri" w:hAnsi="Verdana" w:cs="Arial"/>
                <w:lang w:val="es-ES_tradnl" w:eastAsia="es-ES_tradnl"/>
              </w:rPr>
              <w:t xml:space="preserve">Respuesta a la consulta con radicado No. </w:t>
            </w:r>
            <w:r w:rsidRPr="000D0AE6">
              <w:rPr>
                <w:rFonts w:ascii="Verdana" w:eastAsia="Calibri" w:hAnsi="Verdana" w:cs="Arial"/>
                <w:lang w:val="es-ES_tradnl" w:eastAsia="es-ES_tradnl"/>
              </w:rPr>
              <w:t>1_2026_06_24_008465</w:t>
            </w:r>
          </w:p>
        </w:tc>
      </w:tr>
    </w:tbl>
    <w:p w14:paraId="11BA1AE3" w14:textId="77777777" w:rsidR="00F97C59" w:rsidRPr="006D0E8A" w:rsidRDefault="00F97C59" w:rsidP="00F97C59">
      <w:pPr>
        <w:spacing w:after="0" w:line="240" w:lineRule="auto"/>
        <w:jc w:val="both"/>
        <w:rPr>
          <w:rFonts w:ascii="Verdana" w:eastAsia="Calibri" w:hAnsi="Verdana" w:cs="Arial"/>
          <w:color w:val="000000"/>
          <w:lang w:val="es-ES_tradnl" w:eastAsia="es-ES_tradnl"/>
        </w:rPr>
      </w:pPr>
    </w:p>
    <w:p w14:paraId="2BA63DF3" w14:textId="77777777" w:rsidR="00F97C59" w:rsidRPr="006D0E8A" w:rsidRDefault="00F97C59" w:rsidP="00F97C59">
      <w:pPr>
        <w:spacing w:after="0" w:line="240" w:lineRule="auto"/>
        <w:jc w:val="both"/>
        <w:rPr>
          <w:rFonts w:ascii="Verdana" w:eastAsia="Calibri" w:hAnsi="Verdana" w:cs="Arial"/>
          <w:color w:val="000000"/>
          <w:lang w:val="es-ES_tradnl" w:eastAsia="es-ES_tradnl"/>
        </w:rPr>
      </w:pPr>
    </w:p>
    <w:p w14:paraId="23A351B2" w14:textId="77777777" w:rsidR="00F97C59" w:rsidRPr="006D0E8A" w:rsidRDefault="00F97C59" w:rsidP="00F97C59">
      <w:pPr>
        <w:spacing w:after="0" w:line="276" w:lineRule="auto"/>
        <w:jc w:val="both"/>
        <w:rPr>
          <w:rFonts w:ascii="Verdana" w:eastAsia="Calibri" w:hAnsi="Verdana" w:cs="Arial"/>
          <w:lang w:val="es-ES" w:eastAsia="es-ES"/>
        </w:rPr>
      </w:pPr>
      <w:r w:rsidRPr="006D0E8A">
        <w:rPr>
          <w:rFonts w:ascii="Verdana" w:eastAsia="Calibri" w:hAnsi="Verdana" w:cs="Arial"/>
          <w:lang w:val="es-ES" w:eastAsia="es-ES"/>
        </w:rPr>
        <w:t>Estimad</w:t>
      </w:r>
      <w:r>
        <w:rPr>
          <w:rFonts w:ascii="Verdana" w:eastAsia="Calibri" w:hAnsi="Verdana" w:cs="Arial"/>
          <w:lang w:val="es-ES" w:eastAsia="es-ES"/>
        </w:rPr>
        <w:t>o</w:t>
      </w:r>
      <w:r w:rsidRPr="006D0E8A">
        <w:rPr>
          <w:rFonts w:ascii="Verdana" w:eastAsia="Calibri" w:hAnsi="Verdana" w:cs="Arial"/>
          <w:lang w:val="es-ES" w:eastAsia="es-ES"/>
        </w:rPr>
        <w:t xml:space="preserve"> señor</w:t>
      </w:r>
      <w:r>
        <w:rPr>
          <w:rFonts w:ascii="Verdana" w:eastAsia="Calibri" w:hAnsi="Verdana" w:cs="Arial"/>
          <w:lang w:val="es-ES" w:eastAsia="es-ES"/>
        </w:rPr>
        <w:t xml:space="preserve"> Rossi</w:t>
      </w:r>
      <w:r w:rsidRPr="006D0E8A">
        <w:rPr>
          <w:rFonts w:ascii="Verdana" w:eastAsia="Calibri" w:hAnsi="Verdana" w:cs="Arial"/>
          <w:lang w:val="es-ES" w:eastAsia="es-ES"/>
        </w:rPr>
        <w:t xml:space="preserve">: </w:t>
      </w:r>
    </w:p>
    <w:p w14:paraId="4B81D8E7" w14:textId="77777777" w:rsidR="00F97C59" w:rsidRPr="006D0E8A" w:rsidRDefault="00F97C59" w:rsidP="00F97C59">
      <w:pPr>
        <w:tabs>
          <w:tab w:val="left" w:pos="3768"/>
        </w:tabs>
        <w:spacing w:after="0" w:line="276" w:lineRule="auto"/>
        <w:jc w:val="both"/>
        <w:rPr>
          <w:rFonts w:ascii="Verdana" w:eastAsia="Calibri" w:hAnsi="Verdana" w:cs="Arial"/>
          <w:color w:val="000000" w:themeColor="text1"/>
          <w:lang w:val="es-ES" w:eastAsia="es-ES"/>
        </w:rPr>
      </w:pPr>
      <w:r w:rsidRPr="006D0E8A">
        <w:rPr>
          <w:rFonts w:ascii="Verdana" w:eastAsia="Calibri" w:hAnsi="Verdana" w:cs="Arial"/>
          <w:color w:val="000000" w:themeColor="text1"/>
          <w:lang w:val="es-ES" w:eastAsia="es-ES"/>
        </w:rPr>
        <w:tab/>
      </w:r>
    </w:p>
    <w:p w14:paraId="4F6AFB72" w14:textId="77777777" w:rsidR="00F97C59" w:rsidRPr="006D0E8A" w:rsidRDefault="00F97C59" w:rsidP="00F97C59">
      <w:pPr>
        <w:spacing w:after="0" w:line="276" w:lineRule="auto"/>
        <w:jc w:val="both"/>
        <w:rPr>
          <w:rFonts w:ascii="Verdana" w:eastAsia="Calibri" w:hAnsi="Verdana" w:cs="Arial"/>
          <w:color w:val="7030A0"/>
          <w:lang w:val="es-ES" w:eastAsia="es-ES"/>
        </w:rPr>
      </w:pPr>
      <w:r w:rsidRPr="006D0E8A">
        <w:rPr>
          <w:rFonts w:ascii="Verdana" w:eastAsia="Calibri" w:hAnsi="Verdana" w:cs="Arial"/>
          <w:color w:val="000000" w:themeColor="text1"/>
          <w:lang w:val="es-ES" w:eastAsia="es-ES"/>
        </w:rPr>
        <w:t>En ejercicio de la competencia otorgada por los artículos 3, numeral 5º, y 11, numeral 8º, del Decreto Ley 4170 de 2011,</w:t>
      </w:r>
      <w:r w:rsidRPr="006D0E8A">
        <w:rPr>
          <w:rFonts w:ascii="Verdana" w:eastAsia="Arial MT" w:hAnsi="Verdana" w:cs="Arial MT"/>
          <w:lang w:val="es-ES" w:eastAsia="es-ES"/>
        </w:rPr>
        <w:t xml:space="preserve"> </w:t>
      </w:r>
      <w:r w:rsidRPr="001B3C5D">
        <w:rPr>
          <w:rFonts w:ascii="Verdana" w:eastAsia="Calibri" w:hAnsi="Verdana" w:cs="Arial"/>
        </w:rPr>
        <w:t>así como lo establecido en la Resolución No. 469 del 2025 expedida por esta Entidad</w:t>
      </w:r>
      <w:r w:rsidRPr="006D0E8A">
        <w:rPr>
          <w:rFonts w:ascii="Verdana" w:hAnsi="Verdana" w:cs="Arial"/>
        </w:rPr>
        <w:t xml:space="preserve">, </w:t>
      </w:r>
      <w:r w:rsidRPr="006D0E8A">
        <w:rPr>
          <w:rFonts w:ascii="Verdana" w:eastAsia="Calibri" w:hAnsi="Verdana" w:cs="Arial"/>
          <w:color w:val="000000" w:themeColor="text1"/>
          <w:lang w:val="es-ES" w:eastAsia="es-ES"/>
        </w:rPr>
        <w:t xml:space="preserve">la Agencia Nacional de Contratación Pública – Colombia Compra Eficiente responde su solicitud de consulta de </w:t>
      </w:r>
      <w:r w:rsidRPr="006D0E8A">
        <w:rPr>
          <w:rFonts w:ascii="Verdana" w:eastAsia="Calibri" w:hAnsi="Verdana" w:cs="Arial"/>
          <w:lang w:val="es-ES" w:eastAsia="es-ES"/>
        </w:rPr>
        <w:t>fecha 2</w:t>
      </w:r>
      <w:r>
        <w:rPr>
          <w:rFonts w:ascii="Verdana" w:eastAsia="Calibri" w:hAnsi="Verdana" w:cs="Arial"/>
          <w:lang w:val="es-ES" w:eastAsia="es-ES"/>
        </w:rPr>
        <w:t>4</w:t>
      </w:r>
      <w:r w:rsidRPr="006D0E8A">
        <w:rPr>
          <w:rFonts w:ascii="Verdana" w:eastAsia="Calibri" w:hAnsi="Verdana" w:cs="Arial"/>
          <w:lang w:val="es-ES" w:eastAsia="es-ES"/>
        </w:rPr>
        <w:t xml:space="preserve"> de </w:t>
      </w:r>
      <w:r>
        <w:rPr>
          <w:rFonts w:ascii="Verdana" w:eastAsia="Calibri" w:hAnsi="Verdana" w:cs="Arial"/>
          <w:lang w:val="es-ES" w:eastAsia="es-ES"/>
        </w:rPr>
        <w:t>junio</w:t>
      </w:r>
      <w:r w:rsidRPr="006D0E8A">
        <w:rPr>
          <w:rFonts w:ascii="Verdana" w:eastAsia="Calibri" w:hAnsi="Verdana" w:cs="Arial"/>
          <w:lang w:val="es-ES" w:eastAsia="es-ES"/>
        </w:rPr>
        <w:t xml:space="preserve"> de 202</w:t>
      </w:r>
      <w:r>
        <w:rPr>
          <w:rFonts w:ascii="Verdana" w:eastAsia="Calibri" w:hAnsi="Verdana" w:cs="Arial"/>
          <w:lang w:val="es-ES" w:eastAsia="es-ES"/>
        </w:rPr>
        <w:t>6</w:t>
      </w:r>
      <w:r w:rsidRPr="006D0E8A">
        <w:rPr>
          <w:rFonts w:ascii="Verdana" w:eastAsia="Calibri" w:hAnsi="Verdana" w:cs="Arial"/>
          <w:lang w:val="es-ES" w:eastAsia="es-ES"/>
        </w:rPr>
        <w:t>, en la cual pregunta</w:t>
      </w:r>
      <w:r>
        <w:rPr>
          <w:rFonts w:ascii="Verdana" w:eastAsia="Calibri" w:hAnsi="Verdana" w:cs="Arial"/>
          <w:lang w:val="es-ES" w:eastAsia="es-ES"/>
        </w:rPr>
        <w:t xml:space="preserve"> lo siguiente</w:t>
      </w:r>
      <w:r w:rsidRPr="006D0E8A">
        <w:rPr>
          <w:rFonts w:ascii="Verdana" w:eastAsia="Calibri" w:hAnsi="Verdana" w:cs="Arial"/>
          <w:lang w:val="es-ES" w:eastAsia="es-ES"/>
        </w:rPr>
        <w:t xml:space="preserve">: </w:t>
      </w:r>
    </w:p>
    <w:p w14:paraId="563D22F9" w14:textId="77777777" w:rsidR="00F97C59" w:rsidRPr="006D0E8A" w:rsidRDefault="00F97C59" w:rsidP="00F97C59">
      <w:pPr>
        <w:tabs>
          <w:tab w:val="left" w:pos="142"/>
          <w:tab w:val="left" w:pos="284"/>
        </w:tabs>
        <w:spacing w:after="0" w:line="276" w:lineRule="auto"/>
        <w:contextualSpacing/>
        <w:jc w:val="both"/>
        <w:rPr>
          <w:rFonts w:ascii="Verdana" w:eastAsia="Century Gothic" w:hAnsi="Verdana" w:cs="Century Gothic"/>
          <w:b/>
          <w:bCs/>
          <w:lang w:val="es-ES"/>
        </w:rPr>
      </w:pPr>
    </w:p>
    <w:p w14:paraId="02738D24" w14:textId="77777777" w:rsidR="00F97C59" w:rsidRDefault="00F97C59" w:rsidP="00F97C59">
      <w:pPr>
        <w:spacing w:after="0" w:line="240" w:lineRule="auto"/>
        <w:ind w:left="709" w:right="709"/>
        <w:jc w:val="both"/>
        <w:rPr>
          <w:rFonts w:ascii="Verdana" w:eastAsia="Century Gothic" w:hAnsi="Verdana" w:cs="Century Gothic"/>
          <w:sz w:val="20"/>
          <w:szCs w:val="20"/>
          <w:lang w:val="es-ES"/>
        </w:rPr>
      </w:pPr>
      <w:bookmarkStart w:id="0" w:name="_Hlk95313578"/>
      <w:r w:rsidRPr="006D0E8A">
        <w:rPr>
          <w:rFonts w:ascii="Verdana" w:eastAsia="Century Gothic" w:hAnsi="Verdana" w:cs="Century Gothic"/>
          <w:sz w:val="20"/>
          <w:szCs w:val="20"/>
          <w:lang w:val="es-ES"/>
        </w:rPr>
        <w:t>“</w:t>
      </w:r>
      <w:bookmarkEnd w:id="0"/>
      <w:r w:rsidRPr="006D0E8A">
        <w:rPr>
          <w:rFonts w:ascii="Verdana" w:eastAsia="Century Gothic" w:hAnsi="Verdana" w:cs="Century Gothic"/>
          <w:sz w:val="20"/>
          <w:szCs w:val="20"/>
          <w:lang w:val="es-ES"/>
        </w:rPr>
        <w:t xml:space="preserve">[…] </w:t>
      </w:r>
    </w:p>
    <w:p w14:paraId="25FA5A06" w14:textId="77777777" w:rsidR="00F97C59" w:rsidRDefault="00F97C59" w:rsidP="00F97C59">
      <w:pPr>
        <w:spacing w:after="0" w:line="240" w:lineRule="auto"/>
        <w:ind w:left="709" w:right="709"/>
        <w:jc w:val="both"/>
        <w:rPr>
          <w:rFonts w:ascii="Verdana" w:eastAsia="Century Gothic" w:hAnsi="Verdana" w:cs="Century Gothic"/>
          <w:sz w:val="20"/>
          <w:szCs w:val="20"/>
          <w:lang w:val="es-ES"/>
        </w:rPr>
      </w:pPr>
      <w:r w:rsidRPr="00837DBF">
        <w:rPr>
          <w:rFonts w:ascii="Verdana" w:eastAsia="Century Gothic" w:hAnsi="Verdana" w:cs="Century Gothic"/>
          <w:sz w:val="20"/>
          <w:szCs w:val="20"/>
          <w:lang w:val="es-ES"/>
        </w:rPr>
        <w:t>a. En virtud de la Ley 1712 de 2014, las actas de del Comité de Contratación deben publicarse.</w:t>
      </w:r>
    </w:p>
    <w:p w14:paraId="105C57A6" w14:textId="77777777" w:rsidR="00F97C59" w:rsidRPr="00837DBF" w:rsidRDefault="00F97C59" w:rsidP="00F97C59">
      <w:pPr>
        <w:spacing w:after="0" w:line="240" w:lineRule="auto"/>
        <w:ind w:left="709" w:right="709"/>
        <w:jc w:val="both"/>
        <w:rPr>
          <w:rFonts w:ascii="Verdana" w:eastAsia="Century Gothic" w:hAnsi="Verdana" w:cs="Century Gothic"/>
          <w:sz w:val="20"/>
          <w:szCs w:val="20"/>
          <w:lang w:val="es-ES"/>
        </w:rPr>
      </w:pPr>
    </w:p>
    <w:p w14:paraId="419B4004" w14:textId="77777777" w:rsidR="00F97C59" w:rsidRDefault="00F97C59" w:rsidP="00F97C59">
      <w:pPr>
        <w:spacing w:after="0" w:line="240" w:lineRule="auto"/>
        <w:ind w:left="709" w:right="709"/>
        <w:jc w:val="both"/>
        <w:rPr>
          <w:rFonts w:ascii="Verdana" w:eastAsia="Century Gothic" w:hAnsi="Verdana" w:cs="Century Gothic"/>
          <w:sz w:val="20"/>
          <w:szCs w:val="20"/>
          <w:lang w:val="es-ES"/>
        </w:rPr>
      </w:pPr>
      <w:r w:rsidRPr="00837DBF">
        <w:rPr>
          <w:rFonts w:ascii="Verdana" w:eastAsia="Century Gothic" w:hAnsi="Verdana" w:cs="Century Gothic"/>
          <w:sz w:val="20"/>
          <w:szCs w:val="20"/>
          <w:lang w:val="es-ES"/>
        </w:rPr>
        <w:lastRenderedPageBreak/>
        <w:t xml:space="preserve">b. Confirmar </w:t>
      </w:r>
      <w:r>
        <w:rPr>
          <w:rFonts w:ascii="Verdana" w:eastAsia="Century Gothic" w:hAnsi="Verdana" w:cs="Century Gothic"/>
          <w:sz w:val="20"/>
          <w:szCs w:val="20"/>
          <w:lang w:val="es-ES"/>
        </w:rPr>
        <w:t>o</w:t>
      </w:r>
      <w:r w:rsidRPr="00837DBF">
        <w:rPr>
          <w:rFonts w:ascii="Verdana" w:eastAsia="Century Gothic" w:hAnsi="Verdana" w:cs="Century Gothic"/>
          <w:sz w:val="20"/>
          <w:szCs w:val="20"/>
          <w:lang w:val="es-ES"/>
        </w:rPr>
        <w:t xml:space="preserve"> señalar si nuestro entendimiento es correcto, que las actas del comité de</w:t>
      </w:r>
      <w:r>
        <w:rPr>
          <w:rFonts w:ascii="Verdana" w:eastAsia="Century Gothic" w:hAnsi="Verdana" w:cs="Century Gothic"/>
          <w:sz w:val="20"/>
          <w:szCs w:val="20"/>
          <w:lang w:val="es-ES"/>
        </w:rPr>
        <w:t xml:space="preserve"> </w:t>
      </w:r>
      <w:r w:rsidRPr="00837DBF">
        <w:rPr>
          <w:rFonts w:ascii="Verdana" w:eastAsia="Century Gothic" w:hAnsi="Verdana" w:cs="Century Gothic"/>
          <w:sz w:val="20"/>
          <w:szCs w:val="20"/>
          <w:lang w:val="es-ES"/>
        </w:rPr>
        <w:t>contratación tienen reserva legal en virtud del parágrafo del art. 19 de la mencionada Ley</w:t>
      </w:r>
      <w:r>
        <w:rPr>
          <w:rFonts w:ascii="Verdana" w:eastAsia="Century Gothic" w:hAnsi="Verdana" w:cs="Century Gothic"/>
          <w:sz w:val="20"/>
          <w:szCs w:val="20"/>
          <w:lang w:val="es-ES"/>
        </w:rPr>
        <w:t>”</w:t>
      </w:r>
      <w:r w:rsidRPr="00837DBF">
        <w:rPr>
          <w:rFonts w:ascii="Verdana" w:eastAsia="Century Gothic" w:hAnsi="Verdana" w:cs="Century Gothic"/>
          <w:sz w:val="20"/>
          <w:szCs w:val="20"/>
          <w:lang w:val="es-ES"/>
        </w:rPr>
        <w:t>.</w:t>
      </w:r>
    </w:p>
    <w:p w14:paraId="7BF3A294" w14:textId="77777777" w:rsidR="00F97C59" w:rsidRPr="006D0E8A" w:rsidRDefault="00F97C59" w:rsidP="00F97C59">
      <w:pPr>
        <w:tabs>
          <w:tab w:val="left" w:pos="142"/>
          <w:tab w:val="left" w:pos="284"/>
        </w:tabs>
        <w:spacing w:after="0" w:line="276" w:lineRule="auto"/>
        <w:contextualSpacing/>
        <w:jc w:val="both"/>
        <w:rPr>
          <w:rFonts w:ascii="Verdana" w:eastAsia="Century Gothic" w:hAnsi="Verdana" w:cs="Century Gothic"/>
          <w:b/>
          <w:bCs/>
          <w:lang w:val="es-ES"/>
        </w:rPr>
      </w:pPr>
    </w:p>
    <w:p w14:paraId="4CB112C2" w14:textId="77777777" w:rsidR="00F97C59" w:rsidRPr="006D0E8A" w:rsidRDefault="00F97C59" w:rsidP="00F97C59">
      <w:pPr>
        <w:spacing w:after="120" w:line="276" w:lineRule="auto"/>
        <w:ind w:firstLine="709"/>
        <w:jc w:val="both"/>
        <w:rPr>
          <w:rFonts w:ascii="Verdana" w:eastAsia="Calibri" w:hAnsi="Verdana" w:cs="Arial"/>
          <w:color w:val="000000"/>
          <w:lang w:val="es-ES" w:eastAsia="es-ES"/>
        </w:rPr>
      </w:pPr>
      <w:r w:rsidRPr="006D0E8A">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concretos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6D0E8A">
        <w:rPr>
          <w:rFonts w:ascii="Verdana" w:eastAsia="Calibri" w:hAnsi="Verdana" w:cs="Arial"/>
          <w:color w:val="000000"/>
          <w:szCs w:val="24"/>
          <w:lang w:val="es-ES_tradnl" w:eastAsia="es-ES_tradnl"/>
        </w:rPr>
        <w:tab/>
      </w:r>
    </w:p>
    <w:p w14:paraId="40297438" w14:textId="77777777" w:rsidR="00F97C59" w:rsidRPr="006D0E8A" w:rsidRDefault="00F97C59" w:rsidP="00F97C59">
      <w:pPr>
        <w:spacing w:after="0" w:line="276" w:lineRule="auto"/>
        <w:ind w:firstLine="709"/>
        <w:jc w:val="both"/>
        <w:rPr>
          <w:rFonts w:ascii="Verdana" w:eastAsia="Calibri" w:hAnsi="Verdana" w:cs="Arial"/>
          <w:color w:val="000000"/>
          <w:lang w:val="es-ES" w:eastAsia="es-ES"/>
        </w:rPr>
      </w:pPr>
      <w:r w:rsidRPr="006D0E8A">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específicas que la hayan motivado, pero haciendo unas consideraciones sobre las normas generales relacionadas con el</w:t>
      </w:r>
      <w:r w:rsidRPr="006D0E8A">
        <w:rPr>
          <w:rFonts w:ascii="Verdana" w:eastAsia="Calibri" w:hAnsi="Verdana" w:cs="Arial"/>
          <w:color w:val="7030A0"/>
          <w:lang w:val="es-ES" w:eastAsia="es-ES"/>
        </w:rPr>
        <w:t xml:space="preserve"> </w:t>
      </w:r>
      <w:r w:rsidRPr="006D0E8A">
        <w:rPr>
          <w:rFonts w:ascii="Verdana" w:eastAsia="Calibri" w:hAnsi="Verdana" w:cs="Arial"/>
          <w:color w:val="000000"/>
          <w:lang w:val="es-ES" w:eastAsia="es-ES"/>
        </w:rPr>
        <w:t>problema</w:t>
      </w:r>
      <w:r w:rsidRPr="006D0E8A">
        <w:rPr>
          <w:rFonts w:ascii="Verdana" w:eastAsia="Calibri" w:hAnsi="Verdana" w:cs="Arial"/>
          <w:color w:val="7030A0"/>
          <w:lang w:val="es-ES" w:eastAsia="es-ES"/>
        </w:rPr>
        <w:t xml:space="preserve"> </w:t>
      </w:r>
      <w:r w:rsidRPr="006D0E8A">
        <w:rPr>
          <w:rFonts w:ascii="Verdana" w:eastAsia="Calibri" w:hAnsi="Verdana" w:cs="Arial"/>
          <w:color w:val="000000"/>
          <w:lang w:val="es-ES" w:eastAsia="es-ES"/>
        </w:rPr>
        <w:t>jurídico</w:t>
      </w:r>
      <w:r w:rsidRPr="006D0E8A">
        <w:rPr>
          <w:rFonts w:ascii="Verdana" w:eastAsia="Calibri" w:hAnsi="Verdana" w:cs="Arial"/>
          <w:color w:val="7030A0"/>
          <w:lang w:val="es-ES" w:eastAsia="es-ES"/>
        </w:rPr>
        <w:t xml:space="preserve"> </w:t>
      </w:r>
      <w:r w:rsidRPr="006D0E8A">
        <w:rPr>
          <w:rFonts w:ascii="Verdana" w:eastAsia="Calibri" w:hAnsi="Verdana" w:cs="Arial"/>
          <w:color w:val="000000"/>
          <w:lang w:val="es-ES" w:eastAsia="es-ES"/>
        </w:rPr>
        <w:t xml:space="preserve">de su consulta.  </w:t>
      </w:r>
    </w:p>
    <w:p w14:paraId="115C56B9" w14:textId="77777777" w:rsidR="00F97C59" w:rsidRPr="006D0E8A" w:rsidRDefault="00F97C59" w:rsidP="00F97C59">
      <w:pPr>
        <w:spacing w:after="0" w:line="276" w:lineRule="auto"/>
        <w:ind w:firstLine="709"/>
        <w:jc w:val="both"/>
        <w:rPr>
          <w:rFonts w:ascii="Verdana" w:eastAsia="Calibri" w:hAnsi="Verdana" w:cs="Arial"/>
          <w:color w:val="000000"/>
          <w:lang w:val="es-ES" w:eastAsia="es-ES"/>
        </w:rPr>
      </w:pPr>
    </w:p>
    <w:p w14:paraId="1E77AA89" w14:textId="77777777" w:rsidR="00F97C59" w:rsidRPr="006D0E8A" w:rsidRDefault="00F97C59" w:rsidP="00F97C59">
      <w:pPr>
        <w:numPr>
          <w:ilvl w:val="0"/>
          <w:numId w:val="18"/>
        </w:numPr>
        <w:tabs>
          <w:tab w:val="left" w:pos="142"/>
          <w:tab w:val="left" w:pos="284"/>
        </w:tabs>
        <w:spacing w:after="0" w:line="276" w:lineRule="auto"/>
        <w:ind w:left="0" w:firstLine="0"/>
        <w:contextualSpacing/>
        <w:jc w:val="both"/>
        <w:rPr>
          <w:rFonts w:ascii="Verdana" w:eastAsia="Century Gothic" w:hAnsi="Verdana" w:cs="Century Gothic"/>
          <w:b/>
          <w:bCs/>
          <w:lang w:val="es-ES"/>
        </w:rPr>
      </w:pPr>
      <w:r w:rsidRPr="006D0E8A">
        <w:rPr>
          <w:rFonts w:ascii="Verdana" w:eastAsia="Century Gothic" w:hAnsi="Verdana" w:cs="Century Gothic"/>
          <w:b/>
          <w:bCs/>
          <w:lang w:val="es-ES"/>
        </w:rPr>
        <w:t>Problema planteado:</w:t>
      </w:r>
    </w:p>
    <w:p w14:paraId="6FD60D81" w14:textId="77777777" w:rsidR="00F97C59" w:rsidRPr="006D0E8A" w:rsidRDefault="00F97C59" w:rsidP="00F97C59">
      <w:pPr>
        <w:tabs>
          <w:tab w:val="left" w:pos="426"/>
        </w:tabs>
        <w:spacing w:after="0" w:line="276" w:lineRule="auto"/>
        <w:jc w:val="both"/>
        <w:rPr>
          <w:rFonts w:ascii="Verdana" w:eastAsia="Century Gothic" w:hAnsi="Verdana" w:cs="Century Gothic"/>
          <w:lang w:val="es-ES"/>
        </w:rPr>
      </w:pPr>
    </w:p>
    <w:p w14:paraId="01D0EF80" w14:textId="77777777" w:rsidR="00F97C59" w:rsidRPr="006D0E8A" w:rsidRDefault="00F97C59" w:rsidP="00F97C59">
      <w:pPr>
        <w:spacing w:after="0" w:line="276" w:lineRule="auto"/>
        <w:jc w:val="both"/>
        <w:rPr>
          <w:rFonts w:ascii="Verdana" w:eastAsia="Century Gothic" w:hAnsi="Verdana" w:cs="Century Gothic"/>
        </w:rPr>
      </w:pPr>
      <w:r w:rsidRPr="006D0E8A">
        <w:rPr>
          <w:rFonts w:ascii="Verdana" w:eastAsia="Century Gothic" w:hAnsi="Verdana" w:cs="Century Gothic"/>
        </w:rPr>
        <w:t>De acuerdo con el contenido de su solicitud, esta Agencia resolverá el siguiente problema jurídico: Respecto a las actas del comité de contratación, ¿cuál es el marco normativo para analizar la publicidad de la información en el SECOP?</w:t>
      </w:r>
      <w:r w:rsidRPr="006D0E8A">
        <w:rPr>
          <w:rFonts w:ascii="Verdana" w:eastAsia="Century Gothic" w:hAnsi="Verdana" w:cs="Century Gothic"/>
          <w:color w:val="7030A0"/>
        </w:rPr>
        <w:t xml:space="preserve"> </w:t>
      </w:r>
    </w:p>
    <w:p w14:paraId="4780A8B0" w14:textId="77777777" w:rsidR="00F97C59" w:rsidRPr="006D0E8A" w:rsidRDefault="00F97C59" w:rsidP="00F97C59">
      <w:pPr>
        <w:spacing w:after="0" w:line="276" w:lineRule="auto"/>
        <w:jc w:val="both"/>
        <w:rPr>
          <w:rFonts w:ascii="Verdana" w:eastAsia="Calibri" w:hAnsi="Verdana" w:cs="Arial"/>
          <w:color w:val="7030A0"/>
        </w:rPr>
      </w:pPr>
    </w:p>
    <w:p w14:paraId="2DD441B5" w14:textId="77777777" w:rsidR="00F97C59" w:rsidRPr="006D0E8A" w:rsidRDefault="00F97C59" w:rsidP="00F97C59">
      <w:pPr>
        <w:numPr>
          <w:ilvl w:val="0"/>
          <w:numId w:val="18"/>
        </w:numPr>
        <w:tabs>
          <w:tab w:val="left" w:pos="142"/>
          <w:tab w:val="left" w:pos="284"/>
        </w:tabs>
        <w:spacing w:after="0" w:line="276" w:lineRule="auto"/>
        <w:ind w:left="0" w:firstLine="0"/>
        <w:jc w:val="both"/>
        <w:rPr>
          <w:rFonts w:ascii="Verdana" w:eastAsia="Century Gothic" w:hAnsi="Verdana" w:cs="Century Gothic"/>
          <w:b/>
          <w:bCs/>
          <w:lang w:val="es-ES"/>
        </w:rPr>
      </w:pPr>
      <w:r w:rsidRPr="006D0E8A">
        <w:rPr>
          <w:rFonts w:ascii="Verdana" w:eastAsia="Century Gothic" w:hAnsi="Verdana" w:cs="Century Gothic"/>
          <w:b/>
          <w:bCs/>
          <w:lang w:val="es-ES"/>
        </w:rPr>
        <w:t>Respuesta:</w:t>
      </w:r>
    </w:p>
    <w:p w14:paraId="42E97819" w14:textId="77777777" w:rsidR="00F97C59" w:rsidRPr="006D0E8A" w:rsidRDefault="00F97C59" w:rsidP="00F97C59">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F97C59" w:rsidRPr="006D0E8A" w14:paraId="11E9019D" w14:textId="77777777" w:rsidTr="00144015">
        <w:trPr>
          <w:jc w:val="center"/>
        </w:trPr>
        <w:tc>
          <w:tcPr>
            <w:tcW w:w="8828" w:type="dxa"/>
          </w:tcPr>
          <w:p w14:paraId="11B12B88" w14:textId="77777777" w:rsidR="00F97C59" w:rsidRPr="006D0E8A" w:rsidRDefault="00F97C59" w:rsidP="00144015">
            <w:pPr>
              <w:spacing w:after="120" w:line="276" w:lineRule="auto"/>
              <w:jc w:val="both"/>
              <w:rPr>
                <w:rFonts w:ascii="Verdana" w:hAnsi="Verdana" w:cs="Arial"/>
                <w:lang w:val="es-ES"/>
              </w:rPr>
            </w:pPr>
            <w:bookmarkStart w:id="1" w:name="_Hlk171694685"/>
            <w:r w:rsidRPr="006D0E8A">
              <w:rPr>
                <w:rFonts w:ascii="Verdana" w:eastAsia="Arial" w:hAnsi="Verdana" w:cs="Arial"/>
                <w:color w:val="000000" w:themeColor="text1"/>
                <w:lang w:val="es-ES"/>
              </w:rPr>
              <w:t xml:space="preserve">Conforme a la interpretación general de las normas del sistema de compras públicas, </w:t>
            </w:r>
            <w:r w:rsidRPr="006D0E8A">
              <w:rPr>
                <w:rFonts w:ascii="Verdana" w:eastAsia="Calibri" w:hAnsi="Verdana" w:cs="Arial"/>
                <w:color w:val="000000"/>
              </w:rPr>
              <w:t xml:space="preserve">sin perjuicio de la publicidad de los informes de evaluación de acuerdo con los artículos 2.2.1.1.1.3.1 y </w:t>
            </w:r>
            <w:r w:rsidRPr="006D0E8A">
              <w:rPr>
                <w:rFonts w:ascii="Verdana" w:hAnsi="Verdana" w:cs="Arial"/>
                <w:lang w:val="es-ES"/>
              </w:rPr>
              <w:t xml:space="preserve">2.2.1.1.1.7.1 del Decreto 1082 de 2015, el parágrafo del artículo 19 de la Ley 1712 de 2014 dispone que “Se exceptúan […] los documentos que contengan las opiniones o puntos de vista que formen parte del proceso deliberativo de los servidores públicos”. </w:t>
            </w:r>
            <w:r w:rsidRPr="006D0E8A">
              <w:rPr>
                <w:rFonts w:ascii="Verdana" w:hAnsi="Verdana" w:cs="Arial"/>
                <w:lang w:val="es-ES"/>
              </w:rPr>
              <w:lastRenderedPageBreak/>
              <w:t xml:space="preserve">Conforme al sentido natural y obvio de las palabras de que trata el artículo 28 del Código Civil, el Diccionario de la RAE define la expresión “deliberar” como “Considerar atenta y detenidamente el pro y el contra de los motivos de una decisión, antes de adoptarla, y la razón o sinrazón de los votos antes de emitirlos”. Además, considera que la “opinión” es un “Juicio o valoración que se forma una persona respecto de algo o de alguien”. En tanto las actas de los comités de contratación contengan opiniones propias de la deliberación de sus integrantes, dichos puntos de vista están exceptuados del deber de publicidad. </w:t>
            </w:r>
          </w:p>
          <w:p w14:paraId="54DFA8B7" w14:textId="77777777" w:rsidR="00F97C59" w:rsidRPr="006D0E8A" w:rsidRDefault="00F97C59" w:rsidP="00144015">
            <w:pPr>
              <w:spacing w:after="120" w:line="276" w:lineRule="auto"/>
              <w:ind w:firstLine="708"/>
              <w:jc w:val="both"/>
              <w:rPr>
                <w:rFonts w:ascii="Verdana" w:hAnsi="Verdana" w:cs="Arial"/>
                <w:lang w:val="es-ES"/>
              </w:rPr>
            </w:pPr>
            <w:r w:rsidRPr="006D0E8A">
              <w:rPr>
                <w:rFonts w:ascii="Verdana" w:hAnsi="Verdana" w:cs="Arial"/>
                <w:lang w:val="es-ES"/>
              </w:rPr>
              <w:t xml:space="preserve">Lo anterior sin perjuicio de la publicación de los demás datos ajenos a las causales de reserva, la cual deberá realizarse en el SECOP en función de la etapa del procedimiento en que se expida el documento. Para estos efectos, </w:t>
            </w:r>
            <w:r w:rsidRPr="006D0E8A">
              <w:rPr>
                <w:rFonts w:ascii="Verdana" w:eastAsia="Calibri" w:hAnsi="Verdana" w:cs="Arial"/>
                <w:color w:val="000000"/>
              </w:rPr>
              <w:t>de acuerdo con el segundo inciso del artículo 25 de la Ley 1437 de 2011, “La restricción por reserva legal no se extenderá a otras piezas del respectivo expediente o actuación que no estén cubiertas por ella”. Por ello, la entidad estatal no puede publicar o suministrar algún documento del proceso o aparte del mismo que contenga información clasificada o reservada, para no divulgarlo, pero debe publicar los demás documentos o los apartados de estos, en caso de que estos no gocen de reserva. Asimismo, la información exceptuada del deber de publicidad deberá someterse al tratamiento establecido en el artículo 36 del CPACA, en lo relativo a la formación de cuadernos separados.</w:t>
            </w:r>
          </w:p>
          <w:p w14:paraId="23586A0C" w14:textId="77777777" w:rsidR="00F97C59" w:rsidRPr="006D0E8A" w:rsidRDefault="00F97C59" w:rsidP="00144015">
            <w:pPr>
              <w:spacing w:line="276" w:lineRule="auto"/>
              <w:ind w:right="51" w:firstLine="737"/>
              <w:jc w:val="both"/>
              <w:rPr>
                <w:rFonts w:ascii="Verdana" w:eastAsia="Calibri" w:hAnsi="Verdana" w:cs="Arial"/>
                <w:bCs/>
                <w:color w:val="000000" w:themeColor="text1"/>
              </w:rPr>
            </w:pPr>
            <w:r w:rsidRPr="006D0E8A">
              <w:rPr>
                <w:rFonts w:ascii="Verdana" w:hAnsi="Verdana"/>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32EFA0CE" w14:textId="77777777" w:rsidR="00F97C59" w:rsidRPr="006D0E8A" w:rsidRDefault="00F97C59" w:rsidP="00F97C59">
      <w:pPr>
        <w:tabs>
          <w:tab w:val="left" w:pos="142"/>
          <w:tab w:val="left" w:pos="284"/>
        </w:tabs>
        <w:spacing w:after="0" w:line="276" w:lineRule="auto"/>
        <w:jc w:val="both"/>
        <w:rPr>
          <w:rFonts w:ascii="Verdana" w:eastAsia="Century Gothic" w:hAnsi="Verdana" w:cs="Century Gothic"/>
          <w:b/>
          <w:bCs/>
          <w:lang w:val="es-ES"/>
        </w:rPr>
      </w:pPr>
    </w:p>
    <w:bookmarkEnd w:id="1"/>
    <w:p w14:paraId="2DF8BE3A" w14:textId="77777777" w:rsidR="00F97C59" w:rsidRPr="006D0E8A" w:rsidRDefault="00F97C59" w:rsidP="00F97C59">
      <w:pPr>
        <w:numPr>
          <w:ilvl w:val="0"/>
          <w:numId w:val="18"/>
        </w:numPr>
        <w:tabs>
          <w:tab w:val="left" w:pos="142"/>
          <w:tab w:val="left" w:pos="284"/>
        </w:tabs>
        <w:spacing w:after="0" w:line="276" w:lineRule="auto"/>
        <w:ind w:left="0" w:firstLine="0"/>
        <w:jc w:val="both"/>
        <w:rPr>
          <w:rFonts w:ascii="Verdana" w:eastAsia="Century Gothic" w:hAnsi="Verdana" w:cs="Century Gothic"/>
          <w:b/>
          <w:bCs/>
          <w:lang w:val="es-ES"/>
        </w:rPr>
      </w:pPr>
      <w:r w:rsidRPr="006D0E8A">
        <w:rPr>
          <w:rFonts w:ascii="Verdana" w:eastAsia="Century Gothic" w:hAnsi="Verdana" w:cs="Century Gothic"/>
          <w:b/>
          <w:bCs/>
          <w:lang w:val="es-ES"/>
        </w:rPr>
        <w:t>Razones de la respuesta:</w:t>
      </w:r>
    </w:p>
    <w:p w14:paraId="3AA6842C" w14:textId="77777777" w:rsidR="00F97C59" w:rsidRPr="006D0E8A" w:rsidRDefault="00F97C59" w:rsidP="00F97C59">
      <w:pPr>
        <w:spacing w:after="0" w:line="276" w:lineRule="auto"/>
        <w:jc w:val="both"/>
        <w:rPr>
          <w:rFonts w:ascii="Verdana" w:eastAsia="Calibri" w:hAnsi="Verdana" w:cs="Arial"/>
          <w:color w:val="7030A0"/>
          <w:lang w:val="es-ES"/>
        </w:rPr>
      </w:pPr>
    </w:p>
    <w:p w14:paraId="2129624E" w14:textId="77777777" w:rsidR="00F97C59" w:rsidRPr="006D0E8A" w:rsidRDefault="00F97C59" w:rsidP="00F97C59">
      <w:pPr>
        <w:spacing w:after="0" w:line="276" w:lineRule="auto"/>
        <w:jc w:val="both"/>
        <w:rPr>
          <w:rFonts w:ascii="Verdana" w:eastAsia="Calibri" w:hAnsi="Verdana" w:cs="Arial"/>
          <w:lang w:val="es-ES"/>
        </w:rPr>
      </w:pPr>
      <w:r w:rsidRPr="006D0E8A">
        <w:rPr>
          <w:rFonts w:ascii="Verdana" w:eastAsia="Calibri" w:hAnsi="Verdana" w:cs="Arial"/>
          <w:lang w:val="es-ES"/>
        </w:rPr>
        <w:t>Lo anterior se sustenta en las siguientes consideraciones:</w:t>
      </w:r>
    </w:p>
    <w:p w14:paraId="4BAD0767" w14:textId="77777777" w:rsidR="00F97C59" w:rsidRPr="006D0E8A" w:rsidRDefault="00F97C59" w:rsidP="00F97C59">
      <w:pPr>
        <w:spacing w:after="0" w:line="276" w:lineRule="auto"/>
        <w:jc w:val="both"/>
        <w:rPr>
          <w:rFonts w:ascii="Verdana" w:eastAsia="Calibri" w:hAnsi="Verdana" w:cs="Arial"/>
          <w:lang w:val="es-ES"/>
        </w:rPr>
      </w:pPr>
    </w:p>
    <w:p w14:paraId="4801D5AE" w14:textId="77777777" w:rsidR="00F97C59" w:rsidRPr="006D0E8A" w:rsidRDefault="00F97C59" w:rsidP="00F97C59">
      <w:pPr>
        <w:widowControl w:val="0"/>
        <w:tabs>
          <w:tab w:val="left" w:pos="728"/>
        </w:tabs>
        <w:autoSpaceDE w:val="0"/>
        <w:autoSpaceDN w:val="0"/>
        <w:spacing w:after="120" w:line="276" w:lineRule="auto"/>
        <w:jc w:val="both"/>
        <w:rPr>
          <w:rFonts w:ascii="Verdana" w:eastAsia="Arial" w:hAnsi="Verdana" w:cs="Arial"/>
          <w:lang w:val="es-ES"/>
        </w:rPr>
      </w:pPr>
      <w:r w:rsidRPr="006D0E8A">
        <w:rPr>
          <w:rFonts w:ascii="Verdana" w:eastAsia="Calibri" w:hAnsi="Verdana" w:cs="Arial"/>
        </w:rPr>
        <w:t xml:space="preserve">i. </w:t>
      </w:r>
      <w:r w:rsidRPr="006D0E8A">
        <w:rPr>
          <w:rFonts w:ascii="Verdana" w:eastAsia="Arial" w:hAnsi="Verdana" w:cs="Arial"/>
          <w:lang w:val="es-ES"/>
        </w:rPr>
        <w:t xml:space="preserve">El principio de publicidad impone a las autoridades administrativas el deber de dar a conocer sus actos, contratos y decisiones, para que se divulguen y eventualmente se controlen las actuaciones. El literal c) del artículo 3 de la Ley 1150 de 2007 dispone que el Sistema Electrónico para la Contratación Pública –SECOP– “contará con la información oficial de la contratación realizada con dineros públicos, para lo cual establecerá los patrones a que haya lugar y se encargará de su difusión a través de canales electrónicos”. </w:t>
      </w:r>
    </w:p>
    <w:p w14:paraId="096F5732" w14:textId="77777777" w:rsidR="00F97C59" w:rsidRPr="006D0E8A" w:rsidRDefault="00F97C59" w:rsidP="00F97C59">
      <w:pPr>
        <w:widowControl w:val="0"/>
        <w:tabs>
          <w:tab w:val="left" w:pos="728"/>
        </w:tabs>
        <w:autoSpaceDE w:val="0"/>
        <w:autoSpaceDN w:val="0"/>
        <w:spacing w:after="120" w:line="276" w:lineRule="auto"/>
        <w:jc w:val="both"/>
        <w:rPr>
          <w:rFonts w:ascii="Verdana" w:eastAsia="Arial" w:hAnsi="Verdana" w:cs="Arial"/>
          <w:lang w:val="es-ES"/>
        </w:rPr>
      </w:pPr>
      <w:r w:rsidRPr="006D0E8A">
        <w:rPr>
          <w:rFonts w:ascii="Verdana" w:eastAsia="Arial" w:hAnsi="Verdana" w:cs="Arial"/>
          <w:lang w:val="es-ES"/>
        </w:rPr>
        <w:tab/>
        <w:t xml:space="preserve">De otra parte, la Ley 1712 de 2014 identifica como principios que orientan el acceso a la información pública el de máxima publicidad y el de transparencia en la información. El primero establece que toda información en posesión, bajo control o custodia de un sujeto obligado es pública y no podrá ser reservada o limitada sino por disposición constitucional o legal. Por su parte, el segundo alude al deber de los sujetos de proporcionar y facilitar el acceso a la misma en los términos más amplios posibles, y a través de los medios y procedimientos que establezca la ley. </w:t>
      </w:r>
    </w:p>
    <w:p w14:paraId="0F70CA9F" w14:textId="77777777" w:rsidR="00F97C59" w:rsidRPr="006D0E8A" w:rsidRDefault="00F97C59" w:rsidP="00F97C59">
      <w:pPr>
        <w:widowControl w:val="0"/>
        <w:tabs>
          <w:tab w:val="left" w:pos="728"/>
        </w:tabs>
        <w:autoSpaceDE w:val="0"/>
        <w:autoSpaceDN w:val="0"/>
        <w:spacing w:after="120" w:line="276" w:lineRule="auto"/>
        <w:jc w:val="both"/>
        <w:rPr>
          <w:rFonts w:ascii="Verdana" w:eastAsia="Arial" w:hAnsi="Verdana" w:cs="Arial"/>
          <w:lang w:val="es-ES"/>
        </w:rPr>
      </w:pPr>
      <w:r w:rsidRPr="006D0E8A">
        <w:rPr>
          <w:rFonts w:ascii="Verdana" w:eastAsia="Arial" w:hAnsi="Verdana" w:cs="Arial"/>
          <w:lang w:val="es-ES"/>
        </w:rPr>
        <w:tab/>
        <w:t>La ley citada dispone, en el literal a) del artículo 5, que los sujetos obligados, que son todas las entidades públicas, deben publicar la información relativa a su contratación</w:t>
      </w:r>
      <w:r w:rsidRPr="006D0E8A">
        <w:rPr>
          <w:rFonts w:ascii="Verdana" w:eastAsia="Arial" w:hAnsi="Verdana" w:cs="Arial"/>
          <w:vertAlign w:val="superscript"/>
          <w:lang w:val="es-ES"/>
        </w:rPr>
        <w:footnoteReference w:id="2"/>
      </w:r>
      <w:r w:rsidRPr="006D0E8A">
        <w:rPr>
          <w:rFonts w:ascii="Verdana" w:eastAsia="Arial" w:hAnsi="Verdana" w:cs="Arial"/>
          <w:lang w:val="es-ES"/>
        </w:rPr>
        <w:t>. Esta obligación fue en principio desarrollada por el Decreto 103 de 2015, compilado en el Decreto 1081 de 2015, el cual dispuso que la publicación de la información contractual de los sujetos obligados, que contratan con cargo a recursos públicos, debe hacerse en el Sistema Electrónico de Contratación Pública –SECOP–</w:t>
      </w:r>
      <w:r w:rsidRPr="006D0E8A">
        <w:rPr>
          <w:rFonts w:ascii="Verdana" w:eastAsia="Arial" w:hAnsi="Verdana" w:cs="Arial"/>
          <w:vertAlign w:val="superscript"/>
          <w:lang w:val="es-ES"/>
        </w:rPr>
        <w:footnoteReference w:id="3"/>
      </w:r>
      <w:r w:rsidRPr="006D0E8A">
        <w:rPr>
          <w:rFonts w:ascii="Verdana" w:eastAsia="Arial" w:hAnsi="Verdana" w:cs="Arial"/>
          <w:lang w:val="es-ES"/>
        </w:rPr>
        <w:t>.</w:t>
      </w:r>
    </w:p>
    <w:p w14:paraId="7519E4BD" w14:textId="77777777" w:rsidR="00F97C59" w:rsidRPr="006D0E8A" w:rsidRDefault="00F97C59" w:rsidP="00F97C59">
      <w:pPr>
        <w:widowControl w:val="0"/>
        <w:tabs>
          <w:tab w:val="left" w:pos="728"/>
        </w:tabs>
        <w:autoSpaceDE w:val="0"/>
        <w:autoSpaceDN w:val="0"/>
        <w:spacing w:after="120" w:line="276" w:lineRule="auto"/>
        <w:jc w:val="both"/>
        <w:rPr>
          <w:rFonts w:ascii="Verdana" w:eastAsia="Arial" w:hAnsi="Verdana" w:cs="Arial"/>
          <w:lang w:val="es-ES"/>
        </w:rPr>
      </w:pPr>
      <w:r w:rsidRPr="006D0E8A">
        <w:rPr>
          <w:rFonts w:ascii="Verdana" w:eastAsia="Arial" w:hAnsi="Verdana" w:cs="Arial"/>
          <w:lang w:val="es-ES"/>
        </w:rPr>
        <w:tab/>
        <w:t xml:space="preserve">Asimismo, de acuerdo con el literal g) del artículo 11 de la misma Ley, todos los destinatarios de la ley de transparencia deben garantizar la publicidad </w:t>
      </w:r>
      <w:r w:rsidRPr="006D0E8A">
        <w:rPr>
          <w:rFonts w:ascii="Verdana" w:eastAsia="Arial" w:hAnsi="Verdana" w:cs="Arial"/>
          <w:lang w:val="es-ES"/>
        </w:rPr>
        <w:lastRenderedPageBreak/>
        <w:t xml:space="preserve">de “sus procedimientos, lineamientos, políticas en materia de adquisiciones y compras, así como todos los datos de adjudicación y ejecución de contratos, incluidos concursos y licitaciones”, y esta información también debe estar en el SECOP. </w:t>
      </w:r>
    </w:p>
    <w:p w14:paraId="7D692297" w14:textId="77777777" w:rsidR="00F97C59" w:rsidRPr="006D0E8A" w:rsidRDefault="00F97C59" w:rsidP="00F97C59">
      <w:pPr>
        <w:widowControl w:val="0"/>
        <w:tabs>
          <w:tab w:val="left" w:pos="728"/>
        </w:tabs>
        <w:autoSpaceDE w:val="0"/>
        <w:autoSpaceDN w:val="0"/>
        <w:spacing w:after="120" w:line="276" w:lineRule="auto"/>
        <w:jc w:val="both"/>
        <w:rPr>
          <w:rFonts w:ascii="Verdana" w:hAnsi="Verdana" w:cs="Arial"/>
          <w:lang w:val="es-ES"/>
        </w:rPr>
      </w:pPr>
      <w:r w:rsidRPr="006D0E8A">
        <w:rPr>
          <w:rFonts w:ascii="Verdana" w:eastAsia="Arial" w:hAnsi="Verdana" w:cs="Arial"/>
          <w:lang w:val="es-ES"/>
        </w:rPr>
        <w:tab/>
      </w:r>
      <w:r w:rsidRPr="006D0E8A">
        <w:rPr>
          <w:rFonts w:ascii="Verdana" w:hAnsi="Verdana" w:cs="Arial"/>
          <w:lang w:val="es-ES"/>
        </w:rPr>
        <w:t>El deber de publicidad que se desprende del artículo 3 de la Ley 1150 de 2007 está reglamentado por el artículo 2.2.1.1.1.7.1 del Decreto 1082 de 2015, el cual dispone los documentos que deben publicarse y al SECOP como medio de publicación</w:t>
      </w:r>
      <w:r w:rsidRPr="006D0E8A">
        <w:rPr>
          <w:rFonts w:ascii="Verdana" w:hAnsi="Verdana" w:cs="Arial"/>
          <w:vertAlign w:val="superscript"/>
          <w:lang w:val="es-ES"/>
        </w:rPr>
        <w:footnoteReference w:id="4"/>
      </w:r>
      <w:r w:rsidRPr="006D0E8A">
        <w:rPr>
          <w:rFonts w:ascii="Verdana" w:hAnsi="Verdana" w:cs="Arial"/>
          <w:lang w:val="es-ES"/>
        </w:rPr>
        <w:t>. De acuerdo con esto, las entidades deben cumplir con el principio de publicidad respecto de su actividad contractual como garantía para los administrados, para conocer las actuaciones y participar en el control de estas, siendo el SECOP la herramienta que dispuso el Estado para que las entidades cumplan el principio de publicidad.</w:t>
      </w:r>
    </w:p>
    <w:p w14:paraId="4560E57A" w14:textId="77777777" w:rsidR="00F97C59" w:rsidRPr="006D0E8A" w:rsidRDefault="00F97C59" w:rsidP="00F97C59">
      <w:pPr>
        <w:widowControl w:val="0"/>
        <w:tabs>
          <w:tab w:val="left" w:pos="728"/>
        </w:tabs>
        <w:autoSpaceDE w:val="0"/>
        <w:autoSpaceDN w:val="0"/>
        <w:spacing w:after="120" w:line="276" w:lineRule="auto"/>
        <w:jc w:val="both"/>
        <w:rPr>
          <w:rFonts w:ascii="Verdana" w:hAnsi="Verdana" w:cs="Arial"/>
          <w:lang w:val="es-ES"/>
        </w:rPr>
      </w:pPr>
      <w:r w:rsidRPr="006D0E8A">
        <w:rPr>
          <w:rFonts w:ascii="Verdana" w:hAnsi="Verdana" w:cs="Arial"/>
          <w:lang w:val="es-ES"/>
        </w:rPr>
        <w:tab/>
        <w:t>Ahora bien, las entidades estatales, conforme al artículo 2.2.1.1.1.7.1 del Decreto 1082 de 2015, tienen la obligación de publicar en el SECOP “[…] los Documentos del Proceso y los actos administrativos del Proceso de Contratación […]”. La expresión Documentos del Proceso está definida en el artículo 2.2.1.1.1.3.1 del Decreto 1082 de 2015, donde se establece que son “(a) los estudios y documentos previos; (b) el aviso de convocatoria; (c) los pliegos de condiciones o la invitación; (d) las adendas; (e) la oferta; (f) el informe de evaluación; (g) el contrato; y cualquier otro documento expedido por la Entidad Estatal durante el Proceso de Contratación”.</w:t>
      </w:r>
    </w:p>
    <w:p w14:paraId="31506571" w14:textId="77777777" w:rsidR="00F97C59" w:rsidRPr="006D0E8A" w:rsidRDefault="00F97C59" w:rsidP="00F97C59">
      <w:pPr>
        <w:widowControl w:val="0"/>
        <w:autoSpaceDE w:val="0"/>
        <w:autoSpaceDN w:val="0"/>
        <w:spacing w:after="120" w:line="276" w:lineRule="auto"/>
        <w:ind w:firstLine="709"/>
        <w:jc w:val="both"/>
        <w:rPr>
          <w:rFonts w:ascii="Verdana" w:eastAsia="Arial" w:hAnsi="Verdana" w:cs="Arial"/>
          <w:lang w:val="es-ES"/>
        </w:rPr>
      </w:pPr>
      <w:r w:rsidRPr="006D0E8A">
        <w:rPr>
          <w:rFonts w:ascii="Verdana" w:eastAsia="Arial" w:hAnsi="Verdana" w:cs="Arial"/>
          <w:lang w:val="es-ES"/>
        </w:rPr>
        <w:t xml:space="preserve">No obstante, para identificar los documentos que deben publicarse, es necesario realizar una interpretación sistemática de las disposiciones del Decreto 1082 del 2015, comoquiera que el anterior no es un listado taxativo, sino enunciativo. En efecto, además de los documentos enlistados, el artículo 2.2.1.1.1.3.1 </w:t>
      </w:r>
      <w:r w:rsidRPr="006D0E8A">
        <w:rPr>
          <w:rFonts w:ascii="Verdana" w:eastAsia="Arial" w:hAnsi="Verdana" w:cs="Arial"/>
          <w:i/>
          <w:iCs/>
          <w:lang w:val="es-ES"/>
        </w:rPr>
        <w:t>ibidem</w:t>
      </w:r>
      <w:r w:rsidRPr="006D0E8A">
        <w:rPr>
          <w:rFonts w:ascii="Verdana" w:eastAsia="Arial" w:hAnsi="Verdana" w:cs="Arial"/>
          <w:lang w:val="es-ES"/>
        </w:rPr>
        <w:t xml:space="preserve"> recoge en la noción de </w:t>
      </w:r>
      <w:r w:rsidRPr="006D0E8A">
        <w:rPr>
          <w:rFonts w:ascii="Verdana" w:eastAsia="Arial" w:hAnsi="Verdana" w:cs="Arial"/>
          <w:i/>
          <w:iCs/>
          <w:lang w:val="es-ES"/>
        </w:rPr>
        <w:t>Documentos del Proceso</w:t>
      </w:r>
      <w:r w:rsidRPr="006D0E8A">
        <w:rPr>
          <w:rFonts w:ascii="Verdana" w:eastAsia="Arial" w:hAnsi="Verdana" w:cs="Arial"/>
          <w:lang w:val="es-ES"/>
        </w:rPr>
        <w:t xml:space="preserve"> “cualquier otro documento expedido por la Entidad Estatal durante el </w:t>
      </w:r>
      <w:r w:rsidRPr="006D0E8A">
        <w:rPr>
          <w:rFonts w:ascii="Verdana" w:eastAsia="Arial" w:hAnsi="Verdana" w:cs="Arial"/>
          <w:i/>
          <w:iCs/>
          <w:lang w:val="es-ES"/>
        </w:rPr>
        <w:t>Proceso de Contratación”</w:t>
      </w:r>
      <w:r w:rsidRPr="006D0E8A">
        <w:rPr>
          <w:rFonts w:ascii="Verdana" w:eastAsia="Arial" w:hAnsi="Verdana" w:cs="Arial"/>
          <w:lang w:val="es-ES"/>
        </w:rPr>
        <w:t xml:space="preserve">. Este mismo artículo define la expresión </w:t>
      </w:r>
      <w:r w:rsidRPr="006D0E8A">
        <w:rPr>
          <w:rFonts w:ascii="Verdana" w:eastAsia="Arial" w:hAnsi="Verdana" w:cs="Arial"/>
          <w:i/>
          <w:iCs/>
          <w:lang w:val="es-ES"/>
        </w:rPr>
        <w:t>Proceso de Contratación</w:t>
      </w:r>
      <w:r w:rsidRPr="006D0E8A">
        <w:rPr>
          <w:rFonts w:ascii="Verdana" w:eastAsia="Arial" w:hAnsi="Verdana" w:cs="Arial"/>
          <w:lang w:val="es-ES"/>
        </w:rPr>
        <w:t xml:space="preserve"> </w:t>
      </w:r>
      <w:r w:rsidRPr="006D0E8A">
        <w:rPr>
          <w:rFonts w:ascii="Verdana" w:eastAsia="Arial" w:hAnsi="Verdana" w:cs="Arial"/>
          <w:lang w:val="es-ES"/>
        </w:rPr>
        <w:lastRenderedPageBreak/>
        <w:t>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w:t>
      </w:r>
    </w:p>
    <w:p w14:paraId="74507E02" w14:textId="77777777" w:rsidR="00F97C59" w:rsidRPr="006D0E8A" w:rsidRDefault="00F97C59" w:rsidP="00F97C59">
      <w:pPr>
        <w:widowControl w:val="0"/>
        <w:autoSpaceDE w:val="0"/>
        <w:autoSpaceDN w:val="0"/>
        <w:spacing w:after="120" w:line="276" w:lineRule="auto"/>
        <w:ind w:firstLine="708"/>
        <w:jc w:val="both"/>
        <w:rPr>
          <w:rFonts w:ascii="Verdana" w:eastAsia="Arial" w:hAnsi="Verdana" w:cs="Arial"/>
          <w:lang w:val="es-ES"/>
        </w:rPr>
      </w:pPr>
      <w:r w:rsidRPr="006D0E8A">
        <w:rPr>
          <w:rFonts w:ascii="Verdana" w:eastAsia="Arial" w:hAnsi="Verdana" w:cs="Arial"/>
          <w:lang w:val="es-ES"/>
        </w:rPr>
        <w:t xml:space="preserve">En todo caso, de conformidad con la segunda parte del inciso primero del artículo 2.2.1.1.1.7.1 </w:t>
      </w:r>
      <w:r w:rsidRPr="006D0E8A">
        <w:rPr>
          <w:rFonts w:ascii="Verdana" w:eastAsia="Arial" w:hAnsi="Verdana" w:cs="Arial"/>
          <w:i/>
          <w:iCs/>
          <w:lang w:val="es-ES"/>
        </w:rPr>
        <w:t>ibidem</w:t>
      </w:r>
      <w:r w:rsidRPr="006D0E8A">
        <w:rPr>
          <w:rFonts w:ascii="Verdana" w:eastAsia="Arial" w:hAnsi="Verdana" w:cs="Arial"/>
          <w:lang w:val="es-ES"/>
        </w:rPr>
        <w:t xml:space="preserve">, el deber de publicar las actuaciones realizadas en el marco del proceso de contratación, en lo referente a las ofertas presentadas, solo se predica de la propuesta del adjudicatario, así que no es necesario publicar las demás. </w:t>
      </w:r>
      <w:r w:rsidRPr="006D0E8A">
        <w:rPr>
          <w:rFonts w:ascii="Verdana" w:eastAsia="Arial" w:hAnsi="Verdana" w:cs="Arial"/>
          <w:i/>
          <w:iCs/>
          <w:lang w:val="es-ES"/>
        </w:rPr>
        <w:t xml:space="preserve"> </w:t>
      </w:r>
      <w:r w:rsidRPr="006D0E8A">
        <w:rPr>
          <w:rFonts w:ascii="Verdana" w:eastAsia="Arial" w:hAnsi="Verdana" w:cs="Arial"/>
          <w:lang w:val="es-ES"/>
        </w:rPr>
        <w:t>Del deber de publicidad, de conformidad con la tercera parte del inciso primero de la referida norma, también se encuentran exentos los documentos de las operaciones que se realicen en bolsa de productos.</w:t>
      </w:r>
    </w:p>
    <w:p w14:paraId="4EFF0A63" w14:textId="77777777" w:rsidR="00F97C59" w:rsidRPr="006D0E8A" w:rsidRDefault="00F97C59" w:rsidP="00F97C59">
      <w:pPr>
        <w:widowControl w:val="0"/>
        <w:autoSpaceDE w:val="0"/>
        <w:autoSpaceDN w:val="0"/>
        <w:spacing w:after="120" w:line="276" w:lineRule="auto"/>
        <w:ind w:firstLine="709"/>
        <w:jc w:val="both"/>
        <w:rPr>
          <w:rFonts w:ascii="Verdana" w:eastAsia="Arial" w:hAnsi="Verdana" w:cs="Arial"/>
          <w:lang w:val="es-ES"/>
        </w:rPr>
      </w:pPr>
      <w:r w:rsidRPr="006D0E8A">
        <w:rPr>
          <w:rFonts w:ascii="Verdana" w:eastAsia="Arial" w:hAnsi="Verdana" w:cs="Arial"/>
          <w:lang w:val="es-ES"/>
        </w:rPr>
        <w:t xml:space="preserve">De lo anterior puede concluirse que, en virtud de lo dispuesto en el artículo 3 de la Ley 1150 de 2007, desarrollado por el artículo 2.2.1.1.1.7.1. del Decreto 1082 de 2015, las entidades están obligadas a publicar en el SECOP todos los documentos relacionados con el </w:t>
      </w:r>
      <w:r w:rsidRPr="006D0E8A">
        <w:rPr>
          <w:rFonts w:ascii="Verdana" w:eastAsia="Arial" w:hAnsi="Verdana" w:cs="Arial"/>
          <w:i/>
          <w:iCs/>
          <w:lang w:val="es-ES"/>
        </w:rPr>
        <w:t>Proceso de Contratación</w:t>
      </w:r>
      <w:r w:rsidRPr="006D0E8A">
        <w:rPr>
          <w:rFonts w:ascii="Verdana" w:eastAsia="Arial" w:hAnsi="Verdana" w:cs="Arial"/>
          <w:lang w:val="es-ES"/>
        </w:rPr>
        <w:t xml:space="preserve"> expedidos durante las etapas precontractual, de ejecución y postcontractual. Este deber aplica a todas las modalidades de selección y entidades regidas por el Estatuto General de Contratación de la Administración Pública, y solo se encuentran excluidas las ofertas</w:t>
      </w:r>
      <w:r>
        <w:rPr>
          <w:rFonts w:ascii="Verdana" w:eastAsia="Arial" w:hAnsi="Verdana" w:cs="Arial"/>
          <w:lang w:val="es-ES"/>
        </w:rPr>
        <w:t xml:space="preserve"> no adjudicadas</w:t>
      </w:r>
      <w:r w:rsidRPr="006D0E8A">
        <w:rPr>
          <w:rFonts w:ascii="Verdana" w:eastAsia="Arial" w:hAnsi="Verdana" w:cs="Arial"/>
          <w:lang w:val="es-ES"/>
        </w:rPr>
        <w:t xml:space="preserve"> y los documentos expedidos en el marco de operaciones de bolsa de productos. </w:t>
      </w:r>
    </w:p>
    <w:p w14:paraId="293E54F4" w14:textId="77777777" w:rsidR="00F97C59" w:rsidRPr="006D0E8A" w:rsidRDefault="00F97C59" w:rsidP="00F97C59">
      <w:pPr>
        <w:spacing w:before="120" w:after="120" w:line="276" w:lineRule="auto"/>
        <w:ind w:firstLine="709"/>
        <w:jc w:val="both"/>
        <w:rPr>
          <w:rFonts w:ascii="Verdana" w:eastAsia="Arial" w:hAnsi="Verdana" w:cs="Arial"/>
          <w:lang w:val="es-ES"/>
        </w:rPr>
      </w:pPr>
      <w:r w:rsidRPr="006D0E8A">
        <w:rPr>
          <w:rFonts w:ascii="Verdana" w:eastAsia="Calibri" w:hAnsi="Verdana" w:cs="Arial"/>
          <w:lang w:val="es-ES"/>
        </w:rPr>
        <w:t xml:space="preserve">Adicionalmente, el deber de publicar la actividad contractual de las entidades estatales no solo está regulado en el artículo 3 de la Ley 1150 de 2007 y en el </w:t>
      </w:r>
      <w:r w:rsidRPr="006D0E8A">
        <w:rPr>
          <w:rFonts w:ascii="Verdana" w:eastAsia="Arial" w:hAnsi="Verdana" w:cs="Arial"/>
          <w:lang w:val="es-ES"/>
        </w:rPr>
        <w:t xml:space="preserve">artículo 2.2.1.1.1.7.1 del Decreto 1082 de 2015, sino también en la Ley 1712 de 2014 y en el Decreto 1081 de 2015. Estas normas no solo refuerzan y complementan al régimen de contratación estatal en cuanto a la publicidad, sino que lo amplía, para incluir la publicación de los “procedimientos” y la información relativa a la “gestión contractual”, sin el condicionamiento de tratarse exclusivamente de los </w:t>
      </w:r>
      <w:r w:rsidRPr="006D0E8A">
        <w:rPr>
          <w:rFonts w:ascii="Verdana" w:eastAsia="Arial" w:hAnsi="Verdana" w:cs="Arial"/>
          <w:i/>
          <w:iCs/>
          <w:lang w:val="es-ES"/>
        </w:rPr>
        <w:t xml:space="preserve">Documentos del Proceso </w:t>
      </w:r>
      <w:r w:rsidRPr="006D0E8A">
        <w:rPr>
          <w:rFonts w:ascii="Verdana" w:eastAsia="Arial" w:hAnsi="Verdana" w:cs="Arial"/>
          <w:lang w:val="es-ES"/>
        </w:rPr>
        <w:t xml:space="preserve">expedidos por la “entidad estatal”. </w:t>
      </w:r>
    </w:p>
    <w:p w14:paraId="574DD813" w14:textId="77777777" w:rsidR="00F97C59" w:rsidRPr="006D0E8A" w:rsidRDefault="00F97C59" w:rsidP="00F97C59">
      <w:pPr>
        <w:spacing w:before="120" w:after="120" w:line="276" w:lineRule="auto"/>
        <w:ind w:firstLine="709"/>
        <w:jc w:val="both"/>
        <w:rPr>
          <w:rFonts w:ascii="Verdana" w:eastAsia="Arial" w:hAnsi="Verdana" w:cs="Arial"/>
          <w:lang w:val="es-ES"/>
        </w:rPr>
      </w:pPr>
      <w:r w:rsidRPr="006D0E8A">
        <w:rPr>
          <w:rFonts w:ascii="Verdana" w:eastAsia="Arial" w:hAnsi="Verdana" w:cs="Arial"/>
          <w:lang w:val="es-ES"/>
        </w:rPr>
        <w:t xml:space="preserve">Es necesario tener en cuenta que la Ley de Transparencia define el concepto de información pública. Por un lado, el literal a) del artículo 6 de la Ley 1712 de 2014 dispone que la </w:t>
      </w:r>
      <w:r w:rsidRPr="006D0E8A">
        <w:rPr>
          <w:rFonts w:ascii="Verdana" w:eastAsia="Arial" w:hAnsi="Verdana" w:cs="Arial"/>
          <w:i/>
          <w:iCs/>
          <w:lang w:val="es-ES"/>
        </w:rPr>
        <w:t>información</w:t>
      </w:r>
      <w:r w:rsidRPr="006D0E8A">
        <w:rPr>
          <w:rFonts w:ascii="Verdana" w:eastAsia="Arial" w:hAnsi="Verdana" w:cs="Arial"/>
          <w:lang w:val="es-ES"/>
        </w:rPr>
        <w:t xml:space="preserve"> “Se refiere a un conjunto organizado de datos contenido en cualquier documento que los sujetos obligados generen, obtengan, adquieran, transformen o controlen”. Además, el literal b) </w:t>
      </w:r>
      <w:r w:rsidRPr="006D0E8A">
        <w:rPr>
          <w:rFonts w:ascii="Verdana" w:eastAsia="Arial" w:hAnsi="Verdana" w:cs="Arial"/>
          <w:i/>
          <w:iCs/>
          <w:lang w:val="es-ES"/>
        </w:rPr>
        <w:t>ibidem</w:t>
      </w:r>
      <w:r w:rsidRPr="006D0E8A">
        <w:rPr>
          <w:rFonts w:ascii="Verdana" w:eastAsia="Arial" w:hAnsi="Verdana" w:cs="Arial"/>
          <w:lang w:val="es-ES"/>
        </w:rPr>
        <w:t xml:space="preserve"> </w:t>
      </w:r>
      <w:r w:rsidRPr="006D0E8A">
        <w:rPr>
          <w:rFonts w:ascii="Verdana" w:eastAsia="Arial" w:hAnsi="Verdana" w:cs="Arial"/>
          <w:lang w:val="es-ES"/>
        </w:rPr>
        <w:lastRenderedPageBreak/>
        <w:t xml:space="preserve">define la </w:t>
      </w:r>
      <w:r w:rsidRPr="006D0E8A">
        <w:rPr>
          <w:rFonts w:ascii="Verdana" w:eastAsia="Arial" w:hAnsi="Verdana" w:cs="Arial"/>
          <w:i/>
          <w:iCs/>
          <w:lang w:val="es-ES"/>
        </w:rPr>
        <w:t>información pública</w:t>
      </w:r>
      <w:r w:rsidRPr="006D0E8A">
        <w:rPr>
          <w:rFonts w:ascii="Verdana" w:eastAsia="Arial" w:hAnsi="Verdana" w:cs="Arial"/>
          <w:lang w:val="es-ES"/>
        </w:rPr>
        <w:t xml:space="preserve"> como “[…] toda información que un sujeto obligado genere, obtenga, adquiera, o controle en su calidad de tal”.</w:t>
      </w:r>
    </w:p>
    <w:p w14:paraId="60673D06" w14:textId="77777777" w:rsidR="00F97C59" w:rsidRPr="006D0E8A" w:rsidRDefault="00F97C59" w:rsidP="00F97C59">
      <w:pPr>
        <w:spacing w:before="120" w:after="120" w:line="276" w:lineRule="auto"/>
        <w:ind w:firstLine="709"/>
        <w:jc w:val="both"/>
        <w:rPr>
          <w:rFonts w:ascii="Verdana" w:eastAsia="Calibri" w:hAnsi="Verdana" w:cs="Arial"/>
          <w:lang w:val="es-ES"/>
        </w:rPr>
      </w:pPr>
      <w:r w:rsidRPr="006D0E8A">
        <w:rPr>
          <w:rFonts w:ascii="Verdana" w:eastAsia="Calibri" w:hAnsi="Verdana" w:cs="Arial"/>
          <w:lang w:val="es-ES"/>
        </w:rPr>
        <w:t xml:space="preserve">Las publicaciones que corresponde efectuar a las entidades estatales, como sujetos obligados por la normativa de la transparencia y acceso a la información pública, antes que una derogación o subrogación del contenido del deber de publicidad regulado por el EGCAP, suponen una ampliación de su alcance, que lo extiende de la simple publicación de la información “producida por la entidad estatal” asociada a la noción de </w:t>
      </w:r>
      <w:r w:rsidRPr="006D0E8A">
        <w:rPr>
          <w:rFonts w:ascii="Verdana" w:eastAsia="Calibri" w:hAnsi="Verdana" w:cs="Arial"/>
          <w:i/>
          <w:iCs/>
          <w:lang w:val="es-ES"/>
        </w:rPr>
        <w:t>Documentos del Proceso</w:t>
      </w:r>
      <w:r w:rsidRPr="006D0E8A">
        <w:rPr>
          <w:rFonts w:ascii="Verdana" w:eastAsia="Calibri" w:hAnsi="Verdana" w:cs="Arial"/>
          <w:lang w:val="es-ES"/>
        </w:rPr>
        <w:t xml:space="preserve">. Esto implica que la publicación que corresponde a las entidades estatales, como sujetos obligados en el marco de la Ley 1712 de 2014, se extiende a todo el desarrollo del procedimiento, desde la etapa de planeación hasta el vencimiento de las garantías, incluyendo cada actuación que se produzca en ese lapso.  </w:t>
      </w:r>
    </w:p>
    <w:p w14:paraId="739CED23" w14:textId="77777777" w:rsidR="00F97C59" w:rsidRPr="006D0E8A" w:rsidRDefault="00F97C59" w:rsidP="00F97C59">
      <w:pPr>
        <w:spacing w:line="276" w:lineRule="auto"/>
        <w:ind w:firstLine="709"/>
        <w:contextualSpacing/>
        <w:jc w:val="both"/>
        <w:rPr>
          <w:rFonts w:ascii="Verdana" w:eastAsia="Calibri" w:hAnsi="Verdana" w:cs="Arial"/>
          <w:lang w:val="es-ES_tradnl" w:eastAsia="es-ES_tradnl"/>
        </w:rPr>
      </w:pPr>
      <w:r w:rsidRPr="006D0E8A">
        <w:rPr>
          <w:rFonts w:ascii="Verdana" w:hAnsi="Verdana" w:cs="Arial"/>
          <w:lang w:val="es-ES"/>
        </w:rPr>
        <w:t xml:space="preserve">Para los contratos de régimen exceptuado, el deber de publicidad y transparencia </w:t>
      </w:r>
      <w:bookmarkStart w:id="2" w:name="_Hlk114572097"/>
      <w:bookmarkStart w:id="3" w:name="_Hlk112856043"/>
      <w:bookmarkStart w:id="4" w:name="_Hlk112245356"/>
      <w:r w:rsidRPr="006D0E8A">
        <w:rPr>
          <w:rFonts w:ascii="Verdana" w:hAnsi="Verdana" w:cs="Arial"/>
          <w:lang w:val="es-ES"/>
        </w:rPr>
        <w:t>fue complementado</w:t>
      </w:r>
      <w:r w:rsidRPr="006D0E8A">
        <w:rPr>
          <w:rFonts w:ascii="Verdana" w:hAnsi="Verdana" w:cs="Arial"/>
        </w:rPr>
        <w:t xml:space="preserve"> con la Ley 2195 de 2022. </w:t>
      </w:r>
      <w:r w:rsidRPr="006D0E8A">
        <w:rPr>
          <w:rFonts w:ascii="Verdana" w:eastAsia="Calibri" w:hAnsi="Verdana" w:cs="Arial"/>
          <w:lang w:val="es-ES_tradnl" w:eastAsia="es-ES_tradnl"/>
        </w:rPr>
        <w:t>Según el artículo 1, esta Ley “</w:t>
      </w:r>
      <w:r w:rsidRPr="006D0E8A">
        <w:rPr>
          <w:rFonts w:ascii="Verdana" w:eastAsia="Times New Roman" w:hAnsi="Verdana" w:cs="Arial"/>
          <w:lang w:val="es-ES_tradnl" w:eastAsia="es-ES_tradnl"/>
        </w:rPr>
        <w:t xml:space="preserve">[…] </w:t>
      </w:r>
      <w:r w:rsidRPr="006D0E8A">
        <w:rPr>
          <w:rFonts w:ascii="Verdana" w:eastAsia="Calibri" w:hAnsi="Verdana" w:cs="Arial"/>
          <w:lang w:val="es-ES_tradnl" w:eastAsia="es-ES_tradnl"/>
        </w:rPr>
        <w:t xml:space="preserve">tiene por objeto adoptar disposiciones tendientes a prevenir los actos de corrupción, a reforzar la articulación y coordinación de las entidades del Estado y a recuperar los daños ocasionados por dichos actos con el fin de asegurar promover la cultura de la legalidad e integridad y recuperar la confianza ciudadana y el respeto por lo público”. </w:t>
      </w:r>
    </w:p>
    <w:p w14:paraId="66424F60" w14:textId="77777777" w:rsidR="00F97C59" w:rsidRPr="006D0E8A" w:rsidRDefault="00F97C59" w:rsidP="00F97C59">
      <w:pPr>
        <w:spacing w:line="276" w:lineRule="auto"/>
        <w:ind w:firstLine="709"/>
        <w:contextualSpacing/>
        <w:jc w:val="both"/>
        <w:rPr>
          <w:rFonts w:ascii="Verdana" w:eastAsia="Calibri" w:hAnsi="Verdana" w:cs="Arial"/>
          <w:sz w:val="12"/>
          <w:szCs w:val="12"/>
          <w:lang w:val="es-ES_tradnl" w:eastAsia="es-ES_tradnl"/>
        </w:rPr>
      </w:pPr>
    </w:p>
    <w:p w14:paraId="18EBF2DD" w14:textId="77777777" w:rsidR="00F97C59" w:rsidRPr="006D0E8A" w:rsidRDefault="00F97C59" w:rsidP="00F97C59">
      <w:pPr>
        <w:spacing w:line="276" w:lineRule="auto"/>
        <w:ind w:firstLine="709"/>
        <w:contextualSpacing/>
        <w:jc w:val="both"/>
        <w:rPr>
          <w:rFonts w:ascii="Verdana" w:hAnsi="Verdana" w:cs="Arial"/>
        </w:rPr>
      </w:pPr>
      <w:r w:rsidRPr="006D0E8A">
        <w:rPr>
          <w:rFonts w:ascii="Verdana" w:eastAsia="Calibri" w:hAnsi="Verdana" w:cs="Arial"/>
          <w:lang w:val="es-ES_tradnl" w:eastAsia="es-ES_tradnl"/>
        </w:rPr>
        <w:t xml:space="preserve">Dentro del capítulo VIII, por el cual se expiden “Disposiciones en materia contractual para la moralización y la transparencia”, se ubica </w:t>
      </w:r>
      <w:r w:rsidRPr="006D0E8A">
        <w:rPr>
          <w:rFonts w:ascii="Verdana" w:hAnsi="Verdana" w:cs="Arial"/>
        </w:rPr>
        <w:t>el artículo 53. Este adiciona el artículo 13 de la Ley 1150 de 2007, y obliga a las entidades estatales que por disposición legal cuenten con un régimen contractual excepcional al del Estatuto General de Contratación de la Administración Pública a publicar los documentos relacionados con su actividad contractual en el Sistema Electrónico para la Contratación Pública –SECOP II– o la plataforma transaccional que haga sus veces.</w:t>
      </w:r>
      <w:bookmarkEnd w:id="2"/>
      <w:r w:rsidRPr="006D0E8A">
        <w:rPr>
          <w:rFonts w:ascii="Verdana" w:hAnsi="Verdana" w:cs="Arial"/>
        </w:rPr>
        <w:t xml:space="preserve"> </w:t>
      </w:r>
      <w:bookmarkEnd w:id="3"/>
      <w:bookmarkEnd w:id="4"/>
      <w:r w:rsidRPr="006D0E8A">
        <w:rPr>
          <w:rFonts w:ascii="Verdana" w:hAnsi="Verdana" w:cs="Arial"/>
        </w:rPr>
        <w:t>Al respecto, la norma citada dispone lo siguiente:</w:t>
      </w:r>
    </w:p>
    <w:p w14:paraId="2ED0CBB9" w14:textId="77777777" w:rsidR="00F97C59" w:rsidRPr="006D0E8A" w:rsidRDefault="00F97C59" w:rsidP="00F97C59">
      <w:pPr>
        <w:spacing w:line="276" w:lineRule="auto"/>
        <w:ind w:firstLine="301"/>
        <w:contextualSpacing/>
        <w:rPr>
          <w:rFonts w:ascii="Verdana" w:hAnsi="Verdana" w:cs="Arial"/>
        </w:rPr>
      </w:pPr>
    </w:p>
    <w:p w14:paraId="1B243DF8" w14:textId="77777777" w:rsidR="00F97C59" w:rsidRPr="006D0E8A" w:rsidRDefault="00F97C59" w:rsidP="00F97C59">
      <w:pPr>
        <w:spacing w:after="0" w:line="240" w:lineRule="auto"/>
        <w:ind w:left="709" w:right="709"/>
        <w:contextualSpacing/>
        <w:jc w:val="both"/>
        <w:rPr>
          <w:rFonts w:ascii="Verdana" w:eastAsia="Calibri" w:hAnsi="Verdana" w:cs="Arial"/>
          <w:sz w:val="20"/>
          <w:szCs w:val="20"/>
        </w:rPr>
      </w:pPr>
      <w:r w:rsidRPr="006D0E8A">
        <w:rPr>
          <w:rFonts w:ascii="Verdana" w:eastAsia="Calibri" w:hAnsi="Verdana" w:cs="Arial"/>
          <w:sz w:val="20"/>
          <w:szCs w:val="20"/>
        </w:rPr>
        <w:t>“Adiciónese los siguientes incisos al artículo 13 de la Ley 1150 de 2007, el cual quedará así:</w:t>
      </w:r>
    </w:p>
    <w:p w14:paraId="586A0AB0" w14:textId="77777777" w:rsidR="00F97C59" w:rsidRPr="006D0E8A" w:rsidRDefault="00F97C59" w:rsidP="00F97C59">
      <w:pPr>
        <w:spacing w:after="0" w:line="240" w:lineRule="auto"/>
        <w:ind w:left="709" w:right="709"/>
        <w:contextualSpacing/>
        <w:jc w:val="both"/>
        <w:rPr>
          <w:rFonts w:ascii="Verdana" w:eastAsia="Calibri" w:hAnsi="Verdana" w:cs="Arial"/>
          <w:sz w:val="12"/>
          <w:szCs w:val="12"/>
        </w:rPr>
      </w:pPr>
    </w:p>
    <w:p w14:paraId="7728F998" w14:textId="77777777" w:rsidR="00F97C59" w:rsidRPr="006D0E8A" w:rsidRDefault="00F97C59" w:rsidP="00F97C59">
      <w:pPr>
        <w:spacing w:after="0" w:line="240" w:lineRule="auto"/>
        <w:ind w:left="709" w:right="709"/>
        <w:contextualSpacing/>
        <w:jc w:val="both"/>
        <w:rPr>
          <w:rFonts w:ascii="Verdana" w:eastAsia="Calibri" w:hAnsi="Verdana" w:cs="Arial"/>
          <w:sz w:val="20"/>
          <w:szCs w:val="20"/>
        </w:rPr>
      </w:pPr>
      <w:r w:rsidRPr="006D0E8A">
        <w:rPr>
          <w:rFonts w:ascii="Verdana" w:eastAsia="Calibri" w:hAnsi="Verdana" w:cs="Arial"/>
          <w:sz w:val="20"/>
          <w:szCs w:val="20"/>
        </w:rPr>
        <w:t xml:space="preserve">Artículo 13. PRINCIPIOS GENERALES DE LA ACTIVIDAD CONTRACTUAL PARA ENTIDADES NO SOMETIDAS AL ESTATUTO GENERAL DE CONTRATACIÓN DE LA ADMINISTRACIÓN PÚBLICA. Las entidades estatales que por disposición legal cuenten con un régimen contractual excepcional al del Estatuto General de Contratación de la Administración Pública, aplicarán en desarrollo de su actividad contractual, acorde con su </w:t>
      </w:r>
      <w:r w:rsidRPr="006D0E8A">
        <w:rPr>
          <w:rFonts w:ascii="Verdana" w:eastAsia="Calibri" w:hAnsi="Verdana" w:cs="Arial"/>
          <w:sz w:val="20"/>
          <w:szCs w:val="20"/>
        </w:rPr>
        <w:lastRenderedPageBreak/>
        <w:t>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p>
    <w:p w14:paraId="79FC3F7D" w14:textId="77777777" w:rsidR="00F97C59" w:rsidRPr="006D0E8A" w:rsidRDefault="00F97C59" w:rsidP="00F97C59">
      <w:pPr>
        <w:spacing w:after="0" w:line="240" w:lineRule="auto"/>
        <w:ind w:left="709" w:right="709"/>
        <w:contextualSpacing/>
        <w:jc w:val="both"/>
        <w:rPr>
          <w:rFonts w:ascii="Verdana" w:eastAsia="Calibri" w:hAnsi="Verdana" w:cs="Arial"/>
          <w:sz w:val="12"/>
          <w:szCs w:val="12"/>
        </w:rPr>
      </w:pPr>
    </w:p>
    <w:p w14:paraId="5D1CA79A" w14:textId="77777777" w:rsidR="00F97C59" w:rsidRPr="006D0E8A" w:rsidRDefault="00F97C59" w:rsidP="00F97C59">
      <w:pPr>
        <w:spacing w:after="0" w:line="240" w:lineRule="auto"/>
        <w:ind w:left="709" w:right="709"/>
        <w:contextualSpacing/>
        <w:jc w:val="both"/>
        <w:rPr>
          <w:rFonts w:ascii="Verdana" w:eastAsia="Calibri" w:hAnsi="Verdana" w:cs="Arial"/>
          <w:i/>
          <w:iCs/>
          <w:sz w:val="20"/>
          <w:szCs w:val="20"/>
        </w:rPr>
      </w:pPr>
      <w:r w:rsidRPr="006D0E8A">
        <w:rPr>
          <w:rFonts w:ascii="Verdana" w:eastAsia="Calibri" w:hAnsi="Verdana" w:cs="Arial"/>
          <w:i/>
          <w:iCs/>
          <w:sz w:val="20"/>
          <w:szCs w:val="20"/>
        </w:rPr>
        <w:t>En desarrollo de los anteriores principios, deberán publicar los documentos relacionados con su actividad contractual en el Sistema Electrónico para la Contratación Pública –SECOP II– o la plataforma transaccional que haga sus veces. Para los efectos de este artículo, se entiende por actividad contractual los documentos, contratos, actos e información generada por oferentes, contratista, contratante, supervisor o interventor, tanto en la etapa precontractual, como en la contractual y la postcontractual.</w:t>
      </w:r>
    </w:p>
    <w:p w14:paraId="2F56AF44" w14:textId="77777777" w:rsidR="00F97C59" w:rsidRPr="006D0E8A" w:rsidRDefault="00F97C59" w:rsidP="00F97C59">
      <w:pPr>
        <w:spacing w:after="0" w:line="240" w:lineRule="auto"/>
        <w:ind w:left="709" w:right="709"/>
        <w:contextualSpacing/>
        <w:jc w:val="both"/>
        <w:rPr>
          <w:rFonts w:ascii="Verdana" w:eastAsia="Calibri" w:hAnsi="Verdana" w:cs="Arial"/>
          <w:i/>
          <w:iCs/>
          <w:sz w:val="12"/>
          <w:szCs w:val="12"/>
        </w:rPr>
      </w:pPr>
    </w:p>
    <w:p w14:paraId="2B8E81E5" w14:textId="77777777" w:rsidR="00F97C59" w:rsidRPr="006D0E8A" w:rsidRDefault="00F97C59" w:rsidP="00F97C59">
      <w:pPr>
        <w:spacing w:line="240" w:lineRule="auto"/>
        <w:ind w:left="709" w:right="709"/>
        <w:contextualSpacing/>
        <w:jc w:val="both"/>
        <w:rPr>
          <w:rFonts w:ascii="Verdana" w:eastAsia="Calibri" w:hAnsi="Verdana" w:cs="Arial"/>
          <w:sz w:val="20"/>
          <w:szCs w:val="20"/>
        </w:rPr>
      </w:pPr>
      <w:r w:rsidRPr="006D0E8A">
        <w:rPr>
          <w:rFonts w:ascii="Verdana" w:eastAsia="Calibri" w:hAnsi="Verdana" w:cs="Arial"/>
          <w:sz w:val="20"/>
          <w:szCs w:val="20"/>
        </w:rPr>
        <w:t>A partir de la entrada en vigencia de la presente Ley, se establecerá un periodo de transición de seis (6) meses, para que las entidades den cumplimiento efectivo a lo aquí establecido” (Énfasis fuera de texto).</w:t>
      </w:r>
    </w:p>
    <w:p w14:paraId="1519FEE4" w14:textId="77777777" w:rsidR="00F97C59" w:rsidRPr="006D0E8A" w:rsidRDefault="00F97C59" w:rsidP="00F97C59">
      <w:pPr>
        <w:spacing w:line="276" w:lineRule="auto"/>
        <w:ind w:firstLine="709"/>
        <w:contextualSpacing/>
        <w:jc w:val="both"/>
        <w:rPr>
          <w:rFonts w:ascii="Verdana" w:eastAsia="Calibri" w:hAnsi="Verdana" w:cs="Arial"/>
          <w:lang w:val="es-ES_tradnl"/>
        </w:rPr>
      </w:pPr>
    </w:p>
    <w:p w14:paraId="21543C5C" w14:textId="77777777" w:rsidR="00F97C59" w:rsidRPr="006D0E8A" w:rsidRDefault="00F97C59" w:rsidP="00F97C59">
      <w:pPr>
        <w:spacing w:after="120" w:line="276" w:lineRule="auto"/>
        <w:ind w:firstLine="709"/>
        <w:jc w:val="both"/>
        <w:rPr>
          <w:rFonts w:ascii="Verdana" w:eastAsia="Calibri" w:hAnsi="Verdana" w:cs="Arial"/>
          <w:lang w:val="es-ES_tradnl" w:eastAsia="es-ES_tradnl"/>
        </w:rPr>
      </w:pPr>
      <w:r w:rsidRPr="006D0E8A">
        <w:rPr>
          <w:rFonts w:ascii="Verdana" w:eastAsia="Calibri" w:hAnsi="Verdana" w:cs="Arial"/>
          <w:lang w:val="es-ES_tradnl"/>
        </w:rPr>
        <w:t xml:space="preserve">Cabe destacar que cuando la norma trascrita hace referencia a que el mencionado deber de publicidad debe cumplirse en el SECOP II o </w:t>
      </w:r>
      <w:r w:rsidRPr="006D0E8A">
        <w:rPr>
          <w:rFonts w:ascii="Verdana" w:hAnsi="Verdana" w:cs="Arial"/>
        </w:rPr>
        <w:t>“</w:t>
      </w:r>
      <w:r w:rsidRPr="006D0E8A">
        <w:rPr>
          <w:rFonts w:ascii="Verdana" w:eastAsia="Calibri" w:hAnsi="Verdana" w:cs="Arial"/>
          <w:lang w:val="es-ES_tradnl"/>
        </w:rPr>
        <w:t xml:space="preserve">la plataforma transaccional que haga sus veces”, esta expresión debe interpretarse bajo el entendido de que si bien el SECOP II es la plataforma oficial que actualmente se utiliza como mecanismo transaccional, en caso de que dicha plataforma sea remplazada por otra que tenga una denominación distinta, las entidades que tienen un régimen exceptuado deben continuar publicando la documentación de su actividad contractual en la nueva plataforma. En ese sentido, la locución </w:t>
      </w:r>
      <w:r w:rsidRPr="006D0E8A">
        <w:rPr>
          <w:rFonts w:ascii="Verdana" w:hAnsi="Verdana" w:cs="Arial"/>
        </w:rPr>
        <w:t>“</w:t>
      </w:r>
      <w:r w:rsidRPr="006D0E8A">
        <w:rPr>
          <w:rFonts w:ascii="Verdana" w:eastAsia="Calibri" w:hAnsi="Verdana" w:cs="Arial"/>
          <w:lang w:val="es-ES_tradnl"/>
        </w:rPr>
        <w:t>la plataforma que haga sus veces</w:t>
      </w:r>
      <w:r w:rsidRPr="006D0E8A">
        <w:rPr>
          <w:rFonts w:ascii="Verdana" w:hAnsi="Verdana" w:cs="Arial"/>
        </w:rPr>
        <w:t>”</w:t>
      </w:r>
      <w:r w:rsidRPr="006D0E8A">
        <w:rPr>
          <w:rFonts w:ascii="Verdana" w:eastAsia="Calibri" w:hAnsi="Verdana" w:cs="Arial"/>
          <w:lang w:val="es-ES_tradnl"/>
        </w:rPr>
        <w:t xml:space="preserve"> no puede interpretarse como una autorización para que las entidades obligadas en virtud del artículo 53 de la Ley 2195 de 2022 puedan emplear sus páginas web o sus propios portales electrónicos para cumplir con el deber de publicidad que les asiste. </w:t>
      </w:r>
      <w:r w:rsidRPr="006D0E8A">
        <w:rPr>
          <w:rFonts w:ascii="Verdana" w:eastAsia="Calibri" w:hAnsi="Verdana" w:cs="Arial"/>
          <w:lang w:val="es-ES_tradnl" w:eastAsia="es-ES_tradnl"/>
        </w:rPr>
        <w:t>Con esto se logra que la ciudadanía pueda encontrar en un mismo sistema la gestión de la actividad contractual del Estado, garantizándose en mayor grado la transparencia y el acceso a la información y documentación pública.</w:t>
      </w:r>
    </w:p>
    <w:p w14:paraId="379C4C7F" w14:textId="77777777" w:rsidR="00F97C59" w:rsidRPr="006D0E8A" w:rsidRDefault="00F97C59" w:rsidP="00F97C59">
      <w:pPr>
        <w:spacing w:before="120" w:after="0" w:line="276" w:lineRule="auto"/>
        <w:ind w:firstLine="709"/>
        <w:jc w:val="both"/>
        <w:rPr>
          <w:rFonts w:ascii="Verdana" w:eastAsia="Calibri" w:hAnsi="Verdana" w:cs="Arial"/>
          <w:lang w:val="es-ES"/>
        </w:rPr>
      </w:pPr>
      <w:bookmarkStart w:id="5" w:name="_Hlk109111956"/>
      <w:bookmarkStart w:id="6" w:name="_Hlk112245392"/>
      <w:r w:rsidRPr="006D0E8A">
        <w:rPr>
          <w:rFonts w:ascii="Verdana" w:eastAsia="Calibri" w:hAnsi="Verdana" w:cs="Arial"/>
          <w:lang w:val="es-ES"/>
        </w:rPr>
        <w:t xml:space="preserve">En cuanto a los documentos que deben publicarse en el SECOP II, la norma citada hace referencia a los documentos relacionados con su </w:t>
      </w:r>
      <w:r w:rsidRPr="006D0E8A">
        <w:rPr>
          <w:rFonts w:ascii="Verdana" w:eastAsia="Calibri" w:hAnsi="Verdana" w:cs="Arial"/>
          <w:i/>
          <w:iCs/>
          <w:lang w:val="es-ES"/>
        </w:rPr>
        <w:t>actividad contractual,</w:t>
      </w:r>
      <w:r w:rsidRPr="006D0E8A">
        <w:rPr>
          <w:rFonts w:ascii="Verdana" w:eastAsia="Calibri" w:hAnsi="Verdana" w:cs="Arial"/>
          <w:lang w:val="es-ES"/>
        </w:rPr>
        <w:t xml:space="preserve"> es decir, “[…] los documentos, contratos, actos e información generada por oferentes, contratista, contratante, supervisor o interventor, tanto en la etapa precontractual, como en la contractual y la postcontractual”. En ese sentido, el artículo 53 de la Ley 2195 de 2022 establece el deber de publicar toda aquella información relacionada con el respectivo contrato, sin incluir </w:t>
      </w:r>
      <w:r w:rsidRPr="006D0E8A">
        <w:rPr>
          <w:rFonts w:ascii="Verdana" w:eastAsia="Calibri" w:hAnsi="Verdana" w:cs="Arial"/>
          <w:lang w:val="es-ES"/>
        </w:rPr>
        <w:lastRenderedPageBreak/>
        <w:t xml:space="preserve">ninguna excepción relacionada con la naturaleza u objeto. Por </w:t>
      </w:r>
      <w:bookmarkEnd w:id="5"/>
      <w:r w:rsidRPr="006D0E8A">
        <w:rPr>
          <w:rFonts w:ascii="Verdana" w:eastAsia="Calibri" w:hAnsi="Verdana" w:cs="Arial"/>
          <w:lang w:val="es-ES"/>
        </w:rPr>
        <w:t>lo tanto, la publicidad de los contratos exceptuados del Estatuto General de que trata el artículo 53 de la Ley 2195 de 2022, requiere que se publique en el SECOP II todo documento expedido durante las diferentes etapas del proceso contractual, abarcando desde la fase previa a su celebración, pasando por la ejecución y hasta la fase posterior a su ejecución.</w:t>
      </w:r>
      <w:bookmarkEnd w:id="6"/>
    </w:p>
    <w:p w14:paraId="022F6B06" w14:textId="77777777" w:rsidR="00F97C59" w:rsidRPr="006D0E8A" w:rsidRDefault="00F97C59" w:rsidP="00F97C59">
      <w:pPr>
        <w:spacing w:after="0" w:line="276" w:lineRule="auto"/>
        <w:ind w:firstLine="709"/>
        <w:jc w:val="both"/>
        <w:rPr>
          <w:rFonts w:ascii="Verdana" w:eastAsia="Calibri" w:hAnsi="Verdana" w:cs="Arial"/>
          <w:lang w:val="es-ES_tradnl"/>
        </w:rPr>
      </w:pPr>
    </w:p>
    <w:p w14:paraId="70297235" w14:textId="77777777" w:rsidR="00F97C59" w:rsidRPr="006D0E8A" w:rsidRDefault="00F97C59" w:rsidP="00F97C59">
      <w:pPr>
        <w:spacing w:after="0" w:line="276" w:lineRule="auto"/>
        <w:jc w:val="both"/>
        <w:rPr>
          <w:rFonts w:ascii="Verdana" w:eastAsia="Calibri" w:hAnsi="Verdana" w:cs="Arial"/>
          <w:color w:val="000000"/>
        </w:rPr>
      </w:pPr>
      <w:r w:rsidRPr="006D0E8A">
        <w:rPr>
          <w:rFonts w:ascii="Verdana" w:eastAsia="Calibri" w:hAnsi="Verdana" w:cs="Arial"/>
          <w:color w:val="000000"/>
        </w:rPr>
        <w:t xml:space="preserve">ii. Ahora bien, el cumplimiento del deber de publicación de la documentación contractual debe armonizarse con las normas aplicables al tipo de información que estas contienen, teniendo en cuenta que el artículo 74 de la Constitución establece que la información pública debe ser dada a conocer a la ciudadanía y así los documentos que hagan parte de la actividad contractual puedan catalogarse, prima facie, como información pública, salvo que dicha documentación contenga información sometida a alguna reserva, que establezca la Constitución o la ley, aplicando algunas restricciones a su publicidad o suministro. Sin embargo, esto no necesariamente convierte el documento completo en reservado, es decir, en un documento que no puede publicarse. Al respecto, la Ley Estatutaria 1712 de 2014 define en el artículo 5° dos tipos de información que tendrá el carácter reservado, como es la información pública clasificada y la información pública reservada: </w:t>
      </w:r>
    </w:p>
    <w:p w14:paraId="010F61D5" w14:textId="77777777" w:rsidR="00F97C59" w:rsidRPr="006D0E8A" w:rsidRDefault="00F97C59" w:rsidP="00F97C59">
      <w:pPr>
        <w:spacing w:after="0" w:line="276" w:lineRule="auto"/>
        <w:ind w:right="709"/>
        <w:jc w:val="both"/>
        <w:rPr>
          <w:rFonts w:ascii="Verdana" w:eastAsia="Calibri" w:hAnsi="Verdana" w:cs="Arial"/>
          <w:color w:val="000000"/>
        </w:rPr>
      </w:pPr>
    </w:p>
    <w:p w14:paraId="4628D543" w14:textId="77777777" w:rsidR="00F97C59" w:rsidRPr="006D0E8A" w:rsidRDefault="00F97C59" w:rsidP="00F97C59">
      <w:pPr>
        <w:spacing w:after="0" w:line="240" w:lineRule="auto"/>
        <w:ind w:left="709" w:right="709"/>
        <w:jc w:val="both"/>
        <w:rPr>
          <w:rFonts w:ascii="Verdana" w:eastAsia="Calibri" w:hAnsi="Verdana" w:cs="Arial"/>
          <w:color w:val="000000"/>
          <w:sz w:val="20"/>
          <w:szCs w:val="20"/>
        </w:rPr>
      </w:pPr>
      <w:r w:rsidRPr="006D0E8A">
        <w:rPr>
          <w:rFonts w:ascii="Verdana" w:eastAsia="Calibri" w:hAnsi="Verdana" w:cs="Arial"/>
          <w:bCs/>
          <w:color w:val="000000"/>
          <w:sz w:val="20"/>
          <w:szCs w:val="20"/>
        </w:rPr>
        <w:t xml:space="preserve">“Artículo 6°. </w:t>
      </w:r>
      <w:r w:rsidRPr="006D0E8A">
        <w:rPr>
          <w:rFonts w:ascii="Verdana" w:eastAsia="Calibri" w:hAnsi="Verdana" w:cs="Arial"/>
          <w:i/>
          <w:iCs/>
          <w:color w:val="000000"/>
          <w:sz w:val="20"/>
          <w:szCs w:val="20"/>
        </w:rPr>
        <w:t>Definiciones</w:t>
      </w:r>
      <w:r w:rsidRPr="006D0E8A">
        <w:rPr>
          <w:rFonts w:ascii="Verdana" w:eastAsia="Calibri" w:hAnsi="Verdana" w:cs="Arial"/>
          <w:color w:val="000000"/>
          <w:sz w:val="20"/>
          <w:szCs w:val="20"/>
        </w:rPr>
        <w:t xml:space="preserve">. </w:t>
      </w:r>
    </w:p>
    <w:p w14:paraId="278A3D9D" w14:textId="77777777" w:rsidR="00F97C59" w:rsidRPr="006D0E8A" w:rsidRDefault="00F97C59" w:rsidP="00F97C59">
      <w:pPr>
        <w:spacing w:after="120" w:line="240" w:lineRule="auto"/>
        <w:ind w:left="709" w:right="709"/>
        <w:jc w:val="both"/>
        <w:rPr>
          <w:rFonts w:ascii="Verdana" w:eastAsia="Calibri" w:hAnsi="Verdana" w:cs="Arial"/>
          <w:color w:val="000000"/>
          <w:sz w:val="20"/>
          <w:szCs w:val="20"/>
        </w:rPr>
      </w:pPr>
      <w:r w:rsidRPr="006D0E8A">
        <w:rPr>
          <w:rFonts w:ascii="Verdana" w:eastAsia="Calibri" w:hAnsi="Verdana" w:cs="Arial"/>
          <w:bCs/>
          <w:color w:val="000000"/>
          <w:sz w:val="20"/>
          <w:szCs w:val="20"/>
        </w:rPr>
        <w:t>[</w:t>
      </w:r>
      <w:r w:rsidRPr="006D0E8A">
        <w:rPr>
          <w:rFonts w:ascii="Verdana" w:eastAsia="Calibri" w:hAnsi="Verdana" w:cs="Arial"/>
          <w:color w:val="000000"/>
          <w:sz w:val="20"/>
          <w:szCs w:val="20"/>
        </w:rPr>
        <w:t>…]</w:t>
      </w:r>
    </w:p>
    <w:p w14:paraId="7D6A7FE8" w14:textId="77777777" w:rsidR="00F97C59" w:rsidRPr="006D0E8A" w:rsidRDefault="00F97C59" w:rsidP="00F97C59">
      <w:pPr>
        <w:spacing w:after="120" w:line="240" w:lineRule="auto"/>
        <w:ind w:left="709" w:right="709"/>
        <w:jc w:val="both"/>
        <w:rPr>
          <w:rFonts w:ascii="Verdana" w:eastAsia="Calibri" w:hAnsi="Verdana" w:cs="Arial"/>
          <w:color w:val="000000"/>
          <w:sz w:val="20"/>
          <w:szCs w:val="20"/>
        </w:rPr>
      </w:pPr>
      <w:r w:rsidRPr="006D0E8A">
        <w:rPr>
          <w:rFonts w:ascii="Verdana" w:eastAsia="Calibri" w:hAnsi="Verdana" w:cs="Arial"/>
          <w:color w:val="000000"/>
          <w:sz w:val="20"/>
          <w:szCs w:val="20"/>
        </w:rPr>
        <w:t>c) </w:t>
      </w:r>
      <w:r w:rsidRPr="006D0E8A">
        <w:rPr>
          <w:rFonts w:ascii="Verdana" w:eastAsia="Calibri" w:hAnsi="Verdana" w:cs="Arial"/>
          <w:bCs/>
          <w:color w:val="000000"/>
          <w:sz w:val="20"/>
          <w:szCs w:val="20"/>
        </w:rPr>
        <w:t>Información pública clasificada. </w:t>
      </w:r>
      <w:r w:rsidRPr="006D0E8A">
        <w:rPr>
          <w:rFonts w:ascii="Verdana" w:eastAsia="Calibri" w:hAnsi="Verdana" w:cs="Arial"/>
          <w:color w:val="000000"/>
          <w:sz w:val="20"/>
          <w:szCs w:val="20"/>
        </w:rPr>
        <w:t>Es aquella información que estando en poder o custodia de un sujeto obligado en su calidad de tal, pertenece al ámbito propio, particular y privado o semiprivado de una persona natural o jurídica por lo que su acceso podrá ser negado o exceptuado, siempre que se trate de las circunstancias legítimas y necesarias y los derechos particulares o privados consagrados en el artículo 18 de esta ley; </w:t>
      </w:r>
    </w:p>
    <w:p w14:paraId="79B9D93E" w14:textId="77777777" w:rsidR="00F97C59" w:rsidRPr="006D0E8A" w:rsidRDefault="00F97C59" w:rsidP="00F97C59">
      <w:pPr>
        <w:spacing w:after="0" w:line="240" w:lineRule="auto"/>
        <w:ind w:left="709" w:right="709"/>
        <w:jc w:val="both"/>
        <w:rPr>
          <w:rFonts w:ascii="Verdana" w:eastAsia="Calibri" w:hAnsi="Verdana" w:cs="Arial"/>
          <w:color w:val="000000"/>
          <w:sz w:val="20"/>
          <w:szCs w:val="20"/>
        </w:rPr>
      </w:pPr>
      <w:r w:rsidRPr="006D0E8A">
        <w:rPr>
          <w:rFonts w:ascii="Verdana" w:eastAsia="Calibri" w:hAnsi="Verdana" w:cs="Arial"/>
          <w:color w:val="000000"/>
          <w:sz w:val="20"/>
          <w:szCs w:val="20"/>
        </w:rPr>
        <w:t>d) </w:t>
      </w:r>
      <w:r w:rsidRPr="006D0E8A">
        <w:rPr>
          <w:rFonts w:ascii="Verdana" w:eastAsia="Calibri" w:hAnsi="Verdana" w:cs="Arial"/>
          <w:bCs/>
          <w:color w:val="000000"/>
          <w:sz w:val="20"/>
          <w:szCs w:val="20"/>
        </w:rPr>
        <w:t>Información pública reservada. </w:t>
      </w:r>
      <w:r w:rsidRPr="006D0E8A">
        <w:rPr>
          <w:rFonts w:ascii="Verdana" w:eastAsia="Calibri" w:hAnsi="Verdana" w:cs="Arial"/>
          <w:color w:val="000000"/>
          <w:sz w:val="20"/>
          <w:szCs w:val="20"/>
        </w:rPr>
        <w:t>Es aquella información que estando en poder o custodia de un sujeto obligado en su calidad de tal, es exceptuada de acceso a la ciudadanía por daño a intereses públicos y bajo cumplimiento de la totalidad de los requisitos consagrados en el artículo 19 de esta ley”. </w:t>
      </w:r>
    </w:p>
    <w:p w14:paraId="69D02A5D" w14:textId="77777777" w:rsidR="00F97C59" w:rsidRPr="006D0E8A" w:rsidRDefault="00F97C59" w:rsidP="00F97C59">
      <w:pPr>
        <w:spacing w:after="0" w:line="276" w:lineRule="auto"/>
        <w:jc w:val="both"/>
        <w:rPr>
          <w:rFonts w:ascii="Verdana" w:eastAsia="Calibri" w:hAnsi="Verdana" w:cs="Arial"/>
          <w:color w:val="000000"/>
        </w:rPr>
      </w:pPr>
    </w:p>
    <w:p w14:paraId="71F621F3" w14:textId="77777777" w:rsidR="00F97C59" w:rsidRPr="006D0E8A" w:rsidRDefault="00F97C59" w:rsidP="00F97C59">
      <w:pPr>
        <w:spacing w:after="120" w:line="276" w:lineRule="auto"/>
        <w:ind w:firstLine="708"/>
        <w:jc w:val="both"/>
        <w:rPr>
          <w:rFonts w:ascii="Verdana" w:eastAsia="Calibri" w:hAnsi="Verdana" w:cs="Arial"/>
          <w:color w:val="000000"/>
        </w:rPr>
      </w:pPr>
      <w:r w:rsidRPr="006D0E8A">
        <w:rPr>
          <w:rFonts w:ascii="Verdana" w:eastAsia="Calibri" w:hAnsi="Verdana" w:cs="Arial"/>
          <w:color w:val="000000"/>
        </w:rPr>
        <w:lastRenderedPageBreak/>
        <w:t>Estos dos tipos de información están contenidos en los artículos 18</w:t>
      </w:r>
      <w:r w:rsidRPr="006D0E8A">
        <w:rPr>
          <w:rFonts w:ascii="Verdana" w:eastAsia="Calibri" w:hAnsi="Verdana" w:cs="Arial"/>
          <w:color w:val="000000"/>
          <w:vertAlign w:val="superscript"/>
        </w:rPr>
        <w:footnoteReference w:id="5"/>
      </w:r>
      <w:r w:rsidRPr="006D0E8A">
        <w:rPr>
          <w:rFonts w:ascii="Verdana" w:eastAsia="Calibri" w:hAnsi="Verdana" w:cs="Arial"/>
          <w:color w:val="000000"/>
        </w:rPr>
        <w:t xml:space="preserve"> y 19 de la Ley 1712 de 2014</w:t>
      </w:r>
      <w:r w:rsidRPr="006D0E8A">
        <w:rPr>
          <w:rFonts w:ascii="Verdana" w:eastAsia="Calibri" w:hAnsi="Verdana" w:cs="Arial"/>
          <w:color w:val="000000"/>
          <w:vertAlign w:val="superscript"/>
        </w:rPr>
        <w:footnoteReference w:id="6"/>
      </w:r>
      <w:r w:rsidRPr="006D0E8A">
        <w:rPr>
          <w:rFonts w:ascii="Verdana" w:eastAsia="Calibri" w:hAnsi="Verdana" w:cs="Arial"/>
          <w:color w:val="000000"/>
        </w:rPr>
        <w:t xml:space="preserve">. Lo anterior significa que, respecto de datos que contengan información clasificada por protección de derechos particulares o reservada por defensa de intereses públicos, las entidades deberán proceder de conformidad con lo dispuesto en la Ley 1712 de 2014 y sus decretos reglamentarios sobre el manejo de la información que está sometida a reserva. </w:t>
      </w:r>
    </w:p>
    <w:p w14:paraId="0A816443" w14:textId="77777777" w:rsidR="00F97C59" w:rsidRPr="006D0E8A" w:rsidRDefault="00F97C59" w:rsidP="00F97C59">
      <w:pPr>
        <w:spacing w:after="120" w:line="276" w:lineRule="auto"/>
        <w:ind w:firstLine="708"/>
        <w:jc w:val="both"/>
        <w:rPr>
          <w:rFonts w:ascii="Verdana" w:eastAsia="Calibri" w:hAnsi="Verdana" w:cs="Arial"/>
          <w:color w:val="000000"/>
        </w:rPr>
      </w:pPr>
      <w:r w:rsidRPr="006D0E8A">
        <w:rPr>
          <w:rFonts w:ascii="Verdana" w:eastAsia="Calibri" w:hAnsi="Verdana" w:cs="Arial"/>
          <w:color w:val="000000"/>
        </w:rPr>
        <w:t>En esta misma línea, el artículo 24 de la Ley 1437 de 2011 sustituido por el artículo 2 de la Ley 1755 de 2015 establece algunas materias que son sujetas de reserva de información</w:t>
      </w:r>
      <w:r w:rsidRPr="006D0E8A">
        <w:rPr>
          <w:rFonts w:ascii="Verdana" w:eastAsia="Calibri" w:hAnsi="Verdana" w:cs="Arial"/>
          <w:color w:val="000000"/>
          <w:vertAlign w:val="superscript"/>
        </w:rPr>
        <w:footnoteReference w:id="7"/>
      </w:r>
      <w:r w:rsidRPr="006D0E8A">
        <w:rPr>
          <w:rFonts w:ascii="Verdana" w:eastAsia="Calibri" w:hAnsi="Verdana" w:cs="Arial"/>
          <w:color w:val="000000"/>
        </w:rPr>
        <w:t xml:space="preserve">. De tal forma, que las reservas de información no </w:t>
      </w:r>
      <w:r w:rsidRPr="006D0E8A">
        <w:rPr>
          <w:rFonts w:ascii="Verdana" w:eastAsia="Calibri" w:hAnsi="Verdana" w:cs="Arial"/>
          <w:color w:val="000000"/>
        </w:rPr>
        <w:lastRenderedPageBreak/>
        <w:t xml:space="preserve">están solo reguladas en la Ley 1712 de 2014 y en el artículo 24 de la Ley 1437 de 2011 sustituido por el artículo 2 de la Ley 1755 de 2015, pues existen otras normatividades, como la Ley 1581 de 2012, Ley 1621 de 2013, entre otras, que establecen reservas a la información pública.  </w:t>
      </w:r>
    </w:p>
    <w:p w14:paraId="20F010EB" w14:textId="77777777" w:rsidR="00F97C59" w:rsidRPr="006D0E8A" w:rsidRDefault="00F97C59" w:rsidP="00F97C59">
      <w:pPr>
        <w:spacing w:after="120" w:line="276" w:lineRule="auto"/>
        <w:ind w:firstLine="708"/>
        <w:jc w:val="both"/>
        <w:rPr>
          <w:rFonts w:ascii="Verdana" w:hAnsi="Verdana" w:cs="Arial"/>
          <w:lang w:val="es-ES"/>
        </w:rPr>
      </w:pPr>
      <w:r w:rsidRPr="006D0E8A">
        <w:rPr>
          <w:rFonts w:ascii="Verdana" w:eastAsia="Calibri" w:hAnsi="Verdana" w:cs="Arial"/>
          <w:color w:val="000000"/>
        </w:rPr>
        <w:t xml:space="preserve">Para efectos de la consulta, sin perjuicio de la publicidad de los informes de evaluación de acuerdo con los artículos 2.2.1.1.1.3.1 y </w:t>
      </w:r>
      <w:r w:rsidRPr="006D0E8A">
        <w:rPr>
          <w:rFonts w:ascii="Verdana" w:hAnsi="Verdana" w:cs="Arial"/>
          <w:lang w:val="es-ES"/>
        </w:rPr>
        <w:t>2.2.1.1.1.7.1 del Decreto 1082 de 2015, el parágrafo del artículo 19 de la Ley 1712 de 2014 dispone que “Se exceptúan […] los documentos que contengan las opiniones o puntos de vista que formen parte del proceso deliberativo de los servidores públicos”. Conforme al sentido natural y obvio de las palabras de que trata el artículo 28 del Código Civil, el Diccionario de la RAE define la expresión “deliberar” como “Considerar atenta y detenidamente el pro y el contra de los motivos de una decisión, antes de adoptarla, y la razón o sinrazón de los votos antes de emitirlos”. Además, considera que la “opinión” es un “Juicio o valoración que se forma una persona respecto de algo o de alguien”. En tanto las actas de los comités de contratación contengan opiniones propias de la deliberación de sus integrantes, dichos puntos de vista están exceptuados del deber de publicidad. Lo anterior sin perjuicio de la publicación de los demás datos ajenos a las causales de reserva, la cual deberá realizarse en el SECOP en función de la etapa del procedimiento en que se expida el documento.</w:t>
      </w:r>
    </w:p>
    <w:p w14:paraId="34C5D227" w14:textId="77777777" w:rsidR="00F97C59" w:rsidRPr="006D0E8A" w:rsidRDefault="00F97C59" w:rsidP="00F97C59">
      <w:pPr>
        <w:spacing w:after="120" w:line="276" w:lineRule="auto"/>
        <w:jc w:val="both"/>
        <w:rPr>
          <w:rFonts w:ascii="Verdana" w:eastAsia="Calibri" w:hAnsi="Verdana" w:cs="Arial"/>
          <w:color w:val="000000"/>
        </w:rPr>
      </w:pPr>
      <w:r w:rsidRPr="006D0E8A">
        <w:rPr>
          <w:rFonts w:ascii="Verdana" w:eastAsia="Calibri" w:hAnsi="Verdana" w:cs="Arial"/>
          <w:color w:val="000000"/>
        </w:rPr>
        <w:tab/>
        <w:t>Debe precisarse que, en virtud del principio de transparencia, específicamente por cuenta de lo dispuesto en el numeral 4 del artículo 24 de la ley 80 de 1993</w:t>
      </w:r>
      <w:r w:rsidRPr="006D0E8A">
        <w:rPr>
          <w:rFonts w:ascii="Verdana" w:eastAsia="Calibri" w:hAnsi="Verdana" w:cs="Arial"/>
          <w:color w:val="000000"/>
          <w:vertAlign w:val="superscript"/>
        </w:rPr>
        <w:footnoteReference w:id="8"/>
      </w:r>
      <w:r w:rsidRPr="006D0E8A">
        <w:rPr>
          <w:rFonts w:ascii="Verdana" w:eastAsia="Calibri" w:hAnsi="Verdana" w:cs="Arial"/>
          <w:color w:val="000000"/>
        </w:rPr>
        <w:t>, así como por el principio de máxima publicidad establecido en el artículo 2 de la Ley 1712 de 2014</w:t>
      </w:r>
      <w:r w:rsidRPr="006D0E8A">
        <w:rPr>
          <w:rFonts w:ascii="Verdana" w:eastAsia="Calibri" w:hAnsi="Verdana" w:cs="Arial"/>
          <w:color w:val="000000"/>
          <w:vertAlign w:val="superscript"/>
        </w:rPr>
        <w:footnoteReference w:id="9"/>
      </w:r>
      <w:r w:rsidRPr="006D0E8A">
        <w:rPr>
          <w:rFonts w:ascii="Verdana" w:eastAsia="Calibri" w:hAnsi="Verdana" w:cs="Arial"/>
          <w:color w:val="000000"/>
        </w:rPr>
        <w:t xml:space="preserve">, el contenido del expediente en el que reposa la actuación es información pública, independientemente de si se trata de documentos que deban publicarse en SECOP. Por lo anterior, el contenido del expediente puede ser objeto de solicitud de copias, en ejercicio del derecho de petición, en cualquier momento del proceso de selección, en la medida en que las normas señaladas no imponen ningún condicionamiento, así que podrá </w:t>
      </w:r>
      <w:r w:rsidRPr="006D0E8A">
        <w:rPr>
          <w:rFonts w:ascii="Verdana" w:eastAsia="Calibri" w:hAnsi="Verdana" w:cs="Arial"/>
          <w:color w:val="000000"/>
        </w:rPr>
        <w:lastRenderedPageBreak/>
        <w:t>solicitarlas cualquier persona, en desarrollo de la vigilancia de la contratación pública, cuestión que podría interesar a cualquier ciudadano</w:t>
      </w:r>
      <w:r w:rsidRPr="006D0E8A">
        <w:rPr>
          <w:rFonts w:ascii="Verdana" w:eastAsia="Calibri" w:hAnsi="Verdana" w:cs="Arial"/>
          <w:color w:val="000000"/>
          <w:vertAlign w:val="superscript"/>
        </w:rPr>
        <w:footnoteReference w:id="10"/>
      </w:r>
      <w:r w:rsidRPr="006D0E8A">
        <w:rPr>
          <w:rFonts w:ascii="Verdana" w:eastAsia="Calibri" w:hAnsi="Verdana" w:cs="Arial"/>
          <w:color w:val="000000"/>
        </w:rPr>
        <w:t>. Esta posibilidad solo se encuentra limitada</w:t>
      </w:r>
      <w:r w:rsidRPr="006D0E8A">
        <w:rPr>
          <w:rFonts w:ascii="Calibri" w:eastAsia="Calibri" w:hAnsi="Calibri" w:cs="Times New Roman"/>
        </w:rPr>
        <w:t xml:space="preserve"> </w:t>
      </w:r>
      <w:r w:rsidRPr="006D0E8A">
        <w:rPr>
          <w:rFonts w:ascii="Verdana" w:eastAsia="Calibri" w:hAnsi="Verdana" w:cs="Arial"/>
          <w:color w:val="000000"/>
        </w:rPr>
        <w:t>respecto de la documentación que tenga la calidad de reservada, que deberá someterse al tratamiento establecido en el artículo 36 del CPACA, en lo relativo a la formación de cuadernos separados</w:t>
      </w:r>
      <w:r w:rsidRPr="006D0E8A">
        <w:rPr>
          <w:rFonts w:ascii="Verdana" w:eastAsia="Calibri" w:hAnsi="Verdana" w:cs="Arial"/>
          <w:color w:val="000000"/>
          <w:vertAlign w:val="superscript"/>
        </w:rPr>
        <w:footnoteReference w:id="11"/>
      </w:r>
      <w:r w:rsidRPr="006D0E8A">
        <w:rPr>
          <w:rFonts w:ascii="Verdana" w:eastAsia="Calibri" w:hAnsi="Verdana" w:cs="Arial"/>
          <w:color w:val="000000"/>
        </w:rPr>
        <w:t>.</w:t>
      </w:r>
    </w:p>
    <w:p w14:paraId="241BE049" w14:textId="77777777" w:rsidR="00F97C59" w:rsidRPr="006D0E8A" w:rsidRDefault="00F97C59" w:rsidP="00F97C59">
      <w:pPr>
        <w:spacing w:after="120" w:line="276" w:lineRule="auto"/>
        <w:jc w:val="both"/>
        <w:rPr>
          <w:rFonts w:ascii="Verdana" w:eastAsia="Calibri" w:hAnsi="Verdana" w:cs="Arial"/>
          <w:color w:val="000000"/>
        </w:rPr>
      </w:pPr>
      <w:r w:rsidRPr="006D0E8A">
        <w:rPr>
          <w:rFonts w:ascii="Verdana" w:eastAsia="Calibri" w:hAnsi="Verdana" w:cs="Arial"/>
          <w:color w:val="000000"/>
        </w:rPr>
        <w:tab/>
        <w:t>En efecto, el principio o regla general consiste en la máxima publicidad de la información pública y lo excepcional es la reserva, razón por la cual el artículo 21 de la Ley 1712 de 2014 incluso exige la divulgación parcial de la información contenida en un documento, cuando este contenga parte de información sometida a reserva, pero también incluya información que no esté afectada por la reserva. Además, dicha disposición establece que la reserva de acceso a la información aplica respecto al contenido de un documento público, pero no</w:t>
      </w:r>
      <w:r w:rsidRPr="006D0E8A">
        <w:rPr>
          <w:rFonts w:ascii="Calibri" w:eastAsia="Calibri" w:hAnsi="Calibri" w:cs="Times New Roman"/>
        </w:rPr>
        <w:t xml:space="preserve"> </w:t>
      </w:r>
      <w:r w:rsidRPr="006D0E8A">
        <w:rPr>
          <w:rFonts w:ascii="Verdana" w:eastAsia="Calibri" w:hAnsi="Verdana" w:cs="Arial"/>
          <w:color w:val="000000"/>
        </w:rPr>
        <w:t>respecto de su existencia</w:t>
      </w:r>
      <w:r w:rsidRPr="006D0E8A">
        <w:rPr>
          <w:rFonts w:ascii="Verdana" w:eastAsia="Calibri" w:hAnsi="Verdana" w:cs="Arial"/>
          <w:color w:val="000000"/>
          <w:vertAlign w:val="superscript"/>
        </w:rPr>
        <w:footnoteReference w:id="12"/>
      </w:r>
      <w:r w:rsidRPr="006D0E8A">
        <w:rPr>
          <w:rFonts w:ascii="Verdana" w:eastAsia="Calibri" w:hAnsi="Verdana" w:cs="Arial"/>
          <w:color w:val="000000"/>
        </w:rPr>
        <w:t>. Sin perjuicio de lo anterior, es posible que el contenido de todo el documento o expediente no deba ser objeto de publicidad por estar amparado de forma íntegra por la reserva, dada su conexión con las causales establecidas en la Constitución o la ley.</w:t>
      </w:r>
    </w:p>
    <w:p w14:paraId="5C781A3F" w14:textId="77777777" w:rsidR="00F97C59" w:rsidRPr="006D0E8A" w:rsidRDefault="00F97C59" w:rsidP="00F97C59">
      <w:pPr>
        <w:spacing w:after="120" w:line="276" w:lineRule="auto"/>
        <w:ind w:firstLine="709"/>
        <w:jc w:val="both"/>
        <w:rPr>
          <w:rFonts w:ascii="Verdana" w:eastAsia="Calibri" w:hAnsi="Verdana" w:cs="Arial"/>
          <w:color w:val="000000"/>
        </w:rPr>
      </w:pPr>
      <w:r w:rsidRPr="006D0E8A">
        <w:rPr>
          <w:rFonts w:ascii="Verdana" w:eastAsia="Calibri" w:hAnsi="Verdana" w:cs="Arial"/>
          <w:color w:val="000000"/>
        </w:rPr>
        <w:t xml:space="preserve">De esta forma, cuando el documento contractual contenga información sensible, clasificada o reservada, para proteger la reserva de información, las autoridades deben abstenerse de publicar en el SECOP la información que tiene protección especial o está sometida a reserva, o según el caso, suministrarla. Sin embargo, de acuerdo con el segundo inciso del artículo 25 de la Ley 1437 de </w:t>
      </w:r>
      <w:r w:rsidRPr="006D0E8A">
        <w:rPr>
          <w:rFonts w:ascii="Verdana" w:eastAsia="Calibri" w:hAnsi="Verdana" w:cs="Arial"/>
          <w:color w:val="000000"/>
        </w:rPr>
        <w:lastRenderedPageBreak/>
        <w:t xml:space="preserve">2011, “La restricción por reserva legal no se extenderá a otras piezas del respectivo expediente o actuación que no estén cubiertas por ella”. Por ello, la entidad estatal no puede publicar o suministrar algún documento del proceso o aparte del mismo que contenga información clasificada o reservada, para no divulgarlo, pero debe publicar los demás documentos o los apartados de estos, en caso de que estos no gocen de reserva. Lo anterior, sin perjuicio de que, dependiendo de la información en específico, todo el documento o expediente no pueda publicarse o suministrarse, por ampararse en su integridad en alguna causal de reserva, dada la conexión de su contenido con la información que el constituyente o el legislador decidió limitar en cuanto a su publicidad o suministro. De este modo, cuando el documento contractual tenga información clasificada o reservada, las autoridades deben abstenerse de publicar en el SECOP la información que tenga dicho carácter, por tanto, deberá publicar la información de forma parcial. </w:t>
      </w:r>
    </w:p>
    <w:p w14:paraId="0693D8E7" w14:textId="77777777" w:rsidR="00F97C59" w:rsidRPr="006D0E8A" w:rsidRDefault="00F97C59" w:rsidP="00F97C59">
      <w:pPr>
        <w:spacing w:after="120" w:line="276" w:lineRule="auto"/>
        <w:ind w:firstLine="708"/>
        <w:jc w:val="both"/>
        <w:rPr>
          <w:rFonts w:ascii="Verdana" w:eastAsia="Calibri" w:hAnsi="Verdana" w:cs="Arial"/>
          <w:color w:val="000000"/>
        </w:rPr>
      </w:pPr>
      <w:r w:rsidRPr="006D0E8A">
        <w:rPr>
          <w:rFonts w:ascii="Verdana" w:eastAsia="Calibri" w:hAnsi="Verdana" w:cs="Arial"/>
          <w:color w:val="000000"/>
        </w:rPr>
        <w:t>En línea con todo lo expuesto, el Decreto 1081 de 2015 en su artículo 2.1.1.4.3.2 establece que, si un mismo acto o documento contiene información que puede divulgarse y a su vez, información clasificada o reservada, la entidad debe revelar los datos no protegidos y presentar los fundamentos constitucionales y legales por los que retiene los datos que no puede divulgar. De igual modo, deben revisar si los documentos contienen datos que no deban divulgarse, conforme a los fundamentos constitucionales y legales, y por tanto, tachar los apartes clasificados o reservados del documento, anonimizar, transliterar o editar el documento para suprimir la información que no puede difundirse; así como abrir un nuevo expediente con la información pública que pueda divulgar; o en su defecto, acudir a las acciones que sean necesarias para cumplir con su deber de permitir el acceso a toda aquella información que no esté clasificada o reservada, teniendo en cuenta el formato y medio de conservación de la información.</w:t>
      </w:r>
    </w:p>
    <w:p w14:paraId="70F4CC9D" w14:textId="77777777" w:rsidR="00F97C59" w:rsidRPr="006D0E8A" w:rsidRDefault="00F97C59" w:rsidP="00F97C59">
      <w:pPr>
        <w:spacing w:after="0" w:line="276" w:lineRule="auto"/>
        <w:ind w:firstLine="708"/>
        <w:jc w:val="both"/>
        <w:rPr>
          <w:rFonts w:ascii="Verdana" w:hAnsi="Verdana"/>
        </w:rPr>
      </w:pPr>
      <w:r w:rsidRPr="006D0E8A">
        <w:rPr>
          <w:rFonts w:ascii="Verdana" w:eastAsia="Calibri" w:hAnsi="Verdana" w:cs="Arial"/>
          <w:color w:val="000000"/>
        </w:rPr>
        <w:t xml:space="preserve">Asimismo, el Archivo General de la Nación como entidad encargada de liderar la Política de archivo y gestión documental a nivel nacional, expidió el Acuerdo 001 de 2024, “Por el cual se establece el Acuerdo Único de la Función Archivística, se definen los criterios técnicos y jurídicos para su implementación </w:t>
      </w:r>
      <w:r w:rsidRPr="006D0E8A">
        <w:rPr>
          <w:rFonts w:ascii="Verdana" w:eastAsia="Calibri" w:hAnsi="Verdana" w:cs="Arial"/>
          <w:color w:val="000000"/>
        </w:rPr>
        <w:lastRenderedPageBreak/>
        <w:t>en el Estado Colombiano y se fijan otras disposiciones”, que en su artículo 7.1.3</w:t>
      </w:r>
      <w:r w:rsidRPr="006D0E8A">
        <w:rPr>
          <w:rFonts w:ascii="Verdana" w:eastAsia="Calibri" w:hAnsi="Verdana" w:cs="Arial"/>
          <w:color w:val="000000"/>
          <w:vertAlign w:val="superscript"/>
        </w:rPr>
        <w:footnoteReference w:id="13"/>
      </w:r>
      <w:r w:rsidRPr="006D0E8A">
        <w:rPr>
          <w:rFonts w:ascii="Verdana" w:eastAsia="Calibri" w:hAnsi="Verdana" w:cs="Arial"/>
          <w:color w:val="000000"/>
        </w:rPr>
        <w:t xml:space="preserve"> preciso que </w:t>
      </w:r>
      <w:r w:rsidRPr="006D0E8A">
        <w:rPr>
          <w:rFonts w:ascii="Verdana" w:hAnsi="Verdana"/>
        </w:rPr>
        <w:t>la reserva aplica a la información, no a los documentos, para lo cual el responsable de la información verificará qué información está sometida a reserva, y elaborará una versión pública que mantenga la reserva de los titulares de los datos, con el fin de garantizar el principio de máxima publicidad y conforme a las disposiciones legales sobre el acceso a la información. Al respecto, el parágrafo primero del referenciado artículo dispone algunos criterios para la reserva información:</w:t>
      </w:r>
    </w:p>
    <w:p w14:paraId="7A5A93CD" w14:textId="77777777" w:rsidR="00F97C59" w:rsidRPr="006D0E8A" w:rsidRDefault="00F97C59" w:rsidP="00F97C59">
      <w:pPr>
        <w:spacing w:after="0" w:line="276" w:lineRule="auto"/>
        <w:ind w:firstLine="708"/>
        <w:jc w:val="both"/>
        <w:rPr>
          <w:rFonts w:ascii="Verdana" w:hAnsi="Verdana"/>
        </w:rPr>
      </w:pPr>
    </w:p>
    <w:p w14:paraId="7FE5078B" w14:textId="77777777" w:rsidR="00F97C59" w:rsidRPr="006D0E8A" w:rsidRDefault="00F97C59" w:rsidP="00F97C59">
      <w:pPr>
        <w:spacing w:after="120" w:line="240" w:lineRule="auto"/>
        <w:ind w:left="709" w:right="709"/>
        <w:jc w:val="both"/>
        <w:rPr>
          <w:rFonts w:ascii="Verdana" w:hAnsi="Verdana"/>
          <w:sz w:val="20"/>
          <w:szCs w:val="20"/>
        </w:rPr>
      </w:pPr>
      <w:r w:rsidRPr="006D0E8A">
        <w:rPr>
          <w:rFonts w:ascii="Verdana" w:hAnsi="Verdana"/>
          <w:sz w:val="20"/>
          <w:szCs w:val="20"/>
        </w:rPr>
        <w:t xml:space="preserve">“Parágrafo 1. De existir reserva legal, se aplicarán, como mínimo, los siguientes criterios: </w:t>
      </w:r>
    </w:p>
    <w:p w14:paraId="105F6B3E" w14:textId="77777777" w:rsidR="00F97C59" w:rsidRPr="006D0E8A" w:rsidRDefault="00F97C59" w:rsidP="00F97C59">
      <w:pPr>
        <w:spacing w:after="120" w:line="240" w:lineRule="auto"/>
        <w:ind w:left="709" w:right="709"/>
        <w:jc w:val="both"/>
        <w:rPr>
          <w:rFonts w:ascii="Verdana" w:hAnsi="Verdana"/>
          <w:sz w:val="20"/>
          <w:szCs w:val="20"/>
        </w:rPr>
      </w:pPr>
      <w:r w:rsidRPr="006D0E8A">
        <w:rPr>
          <w:rFonts w:ascii="Verdana" w:hAnsi="Verdana"/>
          <w:sz w:val="20"/>
          <w:szCs w:val="20"/>
        </w:rPr>
        <w:t>1. La reserva opera sobre el contenido del documento, no sobre la existencia de este. Estos documentos deben ser identificados de manera clara en los instrumentos de la gestión de información pública.</w:t>
      </w:r>
    </w:p>
    <w:p w14:paraId="37A1D3DC" w14:textId="77777777" w:rsidR="00F97C59" w:rsidRPr="006D0E8A" w:rsidRDefault="00F97C59" w:rsidP="00F97C59">
      <w:pPr>
        <w:spacing w:after="120" w:line="240" w:lineRule="auto"/>
        <w:ind w:left="709" w:right="709"/>
        <w:jc w:val="both"/>
        <w:rPr>
          <w:rFonts w:ascii="Verdana" w:hAnsi="Verdana"/>
          <w:sz w:val="20"/>
          <w:szCs w:val="20"/>
        </w:rPr>
      </w:pPr>
      <w:r w:rsidRPr="006D0E8A">
        <w:rPr>
          <w:rFonts w:ascii="Verdana" w:hAnsi="Verdana"/>
          <w:sz w:val="20"/>
          <w:szCs w:val="20"/>
        </w:rPr>
        <w:t>2. La reserva legal solo opera sobre la información que compromete derechos fundamentales o bienes constitucionales, no sobre los procesos o actuaciones de los que hace parte. Para tal efecto se realizarán versiones públicas de estos documentos, que impidan la identificación de los titulares de los datos personales, como lo ordena la normativa vigente.</w:t>
      </w:r>
    </w:p>
    <w:p w14:paraId="56496A73" w14:textId="77777777" w:rsidR="00F97C59" w:rsidRPr="006D0E8A" w:rsidRDefault="00F97C59" w:rsidP="00F97C59">
      <w:pPr>
        <w:spacing w:after="0" w:line="240" w:lineRule="auto"/>
        <w:ind w:left="709" w:right="709"/>
        <w:jc w:val="both"/>
        <w:rPr>
          <w:rFonts w:ascii="Verdana" w:hAnsi="Verdana"/>
          <w:sz w:val="21"/>
          <w:szCs w:val="21"/>
        </w:rPr>
      </w:pPr>
      <w:r w:rsidRPr="006D0E8A">
        <w:rPr>
          <w:rFonts w:ascii="Verdana" w:hAnsi="Verdana"/>
          <w:sz w:val="20"/>
          <w:szCs w:val="20"/>
        </w:rPr>
        <w:t>3. La reserva deberá ser temporal, como lo determine la Ley”.</w:t>
      </w:r>
      <w:r w:rsidRPr="006D0E8A">
        <w:rPr>
          <w:rFonts w:ascii="Verdana" w:hAnsi="Verdana"/>
          <w:sz w:val="21"/>
          <w:szCs w:val="21"/>
        </w:rPr>
        <w:t xml:space="preserve"> </w:t>
      </w:r>
    </w:p>
    <w:p w14:paraId="59859B36" w14:textId="77777777" w:rsidR="00F97C59" w:rsidRPr="006D0E8A" w:rsidRDefault="00F97C59" w:rsidP="00F97C59">
      <w:pPr>
        <w:spacing w:after="0" w:line="276" w:lineRule="auto"/>
        <w:ind w:firstLine="708"/>
        <w:jc w:val="both"/>
        <w:rPr>
          <w:rFonts w:ascii="Verdana" w:eastAsia="Calibri" w:hAnsi="Verdana" w:cs="Arial"/>
          <w:color w:val="000000"/>
        </w:rPr>
      </w:pPr>
    </w:p>
    <w:p w14:paraId="75A053DC" w14:textId="77777777" w:rsidR="00F97C59" w:rsidRPr="006D0E8A" w:rsidRDefault="00F97C59" w:rsidP="00F97C59">
      <w:pPr>
        <w:spacing w:after="0" w:line="276" w:lineRule="auto"/>
        <w:ind w:firstLine="708"/>
        <w:jc w:val="both"/>
        <w:rPr>
          <w:rFonts w:ascii="Verdana" w:eastAsia="Calibri" w:hAnsi="Verdana" w:cs="Arial"/>
          <w:color w:val="000000"/>
          <w:lang w:val="es-ES"/>
        </w:rPr>
      </w:pPr>
      <w:r w:rsidRPr="006D0E8A">
        <w:rPr>
          <w:rFonts w:ascii="Verdana" w:eastAsia="Calibri" w:hAnsi="Verdana" w:cs="Arial"/>
          <w:color w:val="000000"/>
        </w:rPr>
        <w:t>Para elaborar estas versiones públicas</w:t>
      </w:r>
      <w:r w:rsidRPr="006D0E8A">
        <w:rPr>
          <w:rFonts w:ascii="Verdana" w:hAnsi="Verdana"/>
          <w:sz w:val="16"/>
          <w:szCs w:val="16"/>
        </w:rPr>
        <w:t xml:space="preserve"> </w:t>
      </w:r>
      <w:r w:rsidRPr="006D0E8A">
        <w:rPr>
          <w:rFonts w:ascii="Verdana" w:eastAsia="Calibri" w:hAnsi="Verdana" w:cs="Arial"/>
          <w:color w:val="000000"/>
        </w:rPr>
        <w:t xml:space="preserve">que contengan información clasificada o reservada, la entidad debe aplicar estándares para la anonimización de datos, teniendo en cuenta la normativa vigente para la protección de datos personales y acceso a la información, como lo dispone el parágrafo segundo del artículo 7.1.3 del Acuerdo 001 de 2024 del Archivo General de la Nación.  </w:t>
      </w:r>
    </w:p>
    <w:p w14:paraId="22BE18AF" w14:textId="77777777" w:rsidR="00F97C59" w:rsidRPr="006D0E8A" w:rsidRDefault="00F97C59" w:rsidP="00F97C59">
      <w:pPr>
        <w:spacing w:after="0" w:line="276" w:lineRule="auto"/>
        <w:ind w:firstLine="708"/>
        <w:jc w:val="both"/>
        <w:rPr>
          <w:rFonts w:ascii="Verdana" w:eastAsia="Calibri" w:hAnsi="Verdana" w:cs="Arial"/>
          <w:color w:val="000000"/>
          <w:lang w:val="es-ES"/>
        </w:rPr>
      </w:pPr>
    </w:p>
    <w:p w14:paraId="71C5AB7E" w14:textId="77777777" w:rsidR="00F97C59" w:rsidRPr="006D0E8A" w:rsidRDefault="00F97C59" w:rsidP="00F97C59">
      <w:pPr>
        <w:widowControl w:val="0"/>
        <w:autoSpaceDE w:val="0"/>
        <w:autoSpaceDN w:val="0"/>
        <w:spacing w:line="276" w:lineRule="auto"/>
        <w:jc w:val="both"/>
        <w:rPr>
          <w:rFonts w:ascii="Verdana" w:eastAsia="Calibri" w:hAnsi="Verdana" w:cs="Arial"/>
          <w:bCs/>
          <w:color w:val="000000" w:themeColor="text1"/>
        </w:rPr>
      </w:pPr>
      <w:r w:rsidRPr="006D0E8A">
        <w:rPr>
          <w:rFonts w:ascii="Verdana" w:eastAsia="Calibri" w:hAnsi="Verdana" w:cs="Arial"/>
          <w:bCs/>
          <w:color w:val="000000" w:themeColor="text1"/>
        </w:rPr>
        <w:t>iii. 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750EA46" w14:textId="77777777" w:rsidR="00F97C59" w:rsidRPr="006D0E8A" w:rsidRDefault="00F97C59" w:rsidP="00F97C59">
      <w:pPr>
        <w:spacing w:after="0" w:line="276" w:lineRule="auto"/>
        <w:ind w:firstLine="708"/>
        <w:jc w:val="both"/>
        <w:rPr>
          <w:rFonts w:ascii="Verdana" w:eastAsia="Calibri" w:hAnsi="Verdana" w:cs="Arial"/>
          <w:bCs/>
          <w:color w:val="000000" w:themeColor="text1"/>
        </w:rPr>
      </w:pPr>
      <w:r w:rsidRPr="006D0E8A">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06384FAF" w14:textId="77777777" w:rsidR="00F97C59" w:rsidRPr="006D0E8A" w:rsidRDefault="00F97C59" w:rsidP="00F97C59">
      <w:pPr>
        <w:spacing w:after="0" w:line="276" w:lineRule="auto"/>
        <w:jc w:val="both"/>
        <w:rPr>
          <w:rFonts w:ascii="Verdana" w:hAnsi="Verdana"/>
        </w:rPr>
      </w:pPr>
      <w:r w:rsidRPr="006D0E8A">
        <w:rPr>
          <w:rFonts w:ascii="Verdana" w:hAnsi="Verdana"/>
        </w:rPr>
        <w:t xml:space="preserve"> </w:t>
      </w:r>
    </w:p>
    <w:p w14:paraId="39558E4B" w14:textId="77777777" w:rsidR="00F97C59" w:rsidRPr="006D0E8A" w:rsidRDefault="00F97C59" w:rsidP="00F97C59">
      <w:pPr>
        <w:numPr>
          <w:ilvl w:val="0"/>
          <w:numId w:val="18"/>
        </w:numPr>
        <w:tabs>
          <w:tab w:val="left" w:pos="142"/>
          <w:tab w:val="left" w:pos="284"/>
        </w:tabs>
        <w:spacing w:after="0" w:line="276" w:lineRule="auto"/>
        <w:ind w:left="0" w:firstLine="0"/>
        <w:jc w:val="both"/>
        <w:rPr>
          <w:rFonts w:ascii="Verdana" w:eastAsia="Century Gothic" w:hAnsi="Verdana" w:cs="Century Gothic"/>
          <w:b/>
          <w:bCs/>
          <w:lang w:val="es-ES"/>
        </w:rPr>
      </w:pPr>
      <w:r w:rsidRPr="006D0E8A">
        <w:rPr>
          <w:rFonts w:ascii="Verdana" w:eastAsia="Century Gothic" w:hAnsi="Verdana" w:cs="Century Gothic"/>
          <w:b/>
          <w:bCs/>
          <w:lang w:val="es-ES"/>
        </w:rPr>
        <w:t>Referencias normativas:</w:t>
      </w:r>
    </w:p>
    <w:p w14:paraId="2240A30C" w14:textId="77777777" w:rsidR="00F97C59" w:rsidRPr="006D0E8A" w:rsidRDefault="00F97C59" w:rsidP="00F97C59">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F97C59" w:rsidRPr="006D0E8A" w14:paraId="100BD6F2" w14:textId="77777777" w:rsidTr="00144015">
        <w:trPr>
          <w:trHeight w:val="870"/>
          <w:jc w:val="center"/>
        </w:trPr>
        <w:tc>
          <w:tcPr>
            <w:tcW w:w="8647" w:type="dxa"/>
          </w:tcPr>
          <w:p w14:paraId="24BBC7FF" w14:textId="77777777" w:rsidR="00F97C59" w:rsidRPr="006D0E8A" w:rsidRDefault="00F97C59" w:rsidP="00F97C59">
            <w:pPr>
              <w:widowControl w:val="0"/>
              <w:numPr>
                <w:ilvl w:val="0"/>
                <w:numId w:val="19"/>
              </w:numPr>
              <w:autoSpaceDE w:val="0"/>
              <w:autoSpaceDN w:val="0"/>
              <w:spacing w:after="120" w:line="276" w:lineRule="auto"/>
              <w:ind w:left="714" w:hanging="357"/>
              <w:jc w:val="both"/>
              <w:rPr>
                <w:rFonts w:ascii="Verdana" w:hAnsi="Verdana" w:cs="Arial"/>
                <w:lang w:val="es-ES"/>
              </w:rPr>
            </w:pPr>
            <w:r w:rsidRPr="006D0E8A">
              <w:rPr>
                <w:rFonts w:ascii="Verdana" w:hAnsi="Verdana" w:cs="Arial"/>
                <w:lang w:val="es-ES"/>
              </w:rPr>
              <w:t>Constitución Política de 1991, artículos 74 y 209.</w:t>
            </w:r>
          </w:p>
          <w:p w14:paraId="52F443CC" w14:textId="77777777" w:rsidR="00F97C59" w:rsidRPr="006D0E8A" w:rsidRDefault="00F97C59" w:rsidP="00F97C59">
            <w:pPr>
              <w:widowControl w:val="0"/>
              <w:numPr>
                <w:ilvl w:val="0"/>
                <w:numId w:val="19"/>
              </w:numPr>
              <w:autoSpaceDE w:val="0"/>
              <w:autoSpaceDN w:val="0"/>
              <w:spacing w:after="120" w:line="276" w:lineRule="auto"/>
              <w:ind w:left="714" w:hanging="357"/>
              <w:jc w:val="both"/>
              <w:rPr>
                <w:rFonts w:ascii="Verdana" w:hAnsi="Verdana" w:cs="Arial"/>
                <w:lang w:val="es-ES"/>
              </w:rPr>
            </w:pPr>
            <w:r w:rsidRPr="006D0E8A">
              <w:rPr>
                <w:rFonts w:ascii="Verdana" w:hAnsi="Verdana" w:cs="Arial"/>
                <w:lang w:val="es-ES"/>
              </w:rPr>
              <w:t>Ley 80 de 1993, artículo 24.</w:t>
            </w:r>
          </w:p>
          <w:p w14:paraId="7FD9D1DB" w14:textId="77777777" w:rsidR="00F97C59" w:rsidRPr="006D0E8A" w:rsidRDefault="00F97C59" w:rsidP="00F97C59">
            <w:pPr>
              <w:widowControl w:val="0"/>
              <w:numPr>
                <w:ilvl w:val="0"/>
                <w:numId w:val="19"/>
              </w:numPr>
              <w:autoSpaceDE w:val="0"/>
              <w:autoSpaceDN w:val="0"/>
              <w:spacing w:after="120" w:line="276" w:lineRule="auto"/>
              <w:ind w:left="714" w:hanging="357"/>
              <w:jc w:val="both"/>
              <w:rPr>
                <w:rFonts w:ascii="Verdana" w:hAnsi="Verdana" w:cs="Arial"/>
                <w:lang w:val="es-ES"/>
              </w:rPr>
            </w:pPr>
            <w:r w:rsidRPr="006D0E8A">
              <w:rPr>
                <w:rFonts w:ascii="Verdana" w:hAnsi="Verdana" w:cs="Arial"/>
                <w:lang w:val="es-ES"/>
              </w:rPr>
              <w:t>Ley 1150 de 2007, artículo 3 y 13.</w:t>
            </w:r>
          </w:p>
          <w:p w14:paraId="6254BC36" w14:textId="77777777" w:rsidR="00F97C59" w:rsidRPr="006D0E8A" w:rsidRDefault="00F97C59" w:rsidP="00F97C59">
            <w:pPr>
              <w:widowControl w:val="0"/>
              <w:numPr>
                <w:ilvl w:val="0"/>
                <w:numId w:val="19"/>
              </w:numPr>
              <w:autoSpaceDE w:val="0"/>
              <w:autoSpaceDN w:val="0"/>
              <w:spacing w:after="120" w:line="276" w:lineRule="auto"/>
              <w:ind w:left="714" w:hanging="357"/>
              <w:jc w:val="both"/>
              <w:rPr>
                <w:rFonts w:ascii="Verdana" w:hAnsi="Verdana" w:cs="Arial"/>
                <w:lang w:val="es-ES"/>
              </w:rPr>
            </w:pPr>
            <w:r w:rsidRPr="006D0E8A">
              <w:rPr>
                <w:rFonts w:ascii="Verdana" w:hAnsi="Verdana" w:cs="Arial"/>
                <w:lang w:val="es-ES"/>
              </w:rPr>
              <w:t>Ley 1437 de 2011, artículos 24, 25 y 36.</w:t>
            </w:r>
          </w:p>
          <w:p w14:paraId="67C554FB" w14:textId="77777777" w:rsidR="00F97C59" w:rsidRPr="006D0E8A" w:rsidRDefault="00F97C59" w:rsidP="00F97C59">
            <w:pPr>
              <w:widowControl w:val="0"/>
              <w:numPr>
                <w:ilvl w:val="0"/>
                <w:numId w:val="19"/>
              </w:numPr>
              <w:autoSpaceDE w:val="0"/>
              <w:autoSpaceDN w:val="0"/>
              <w:spacing w:after="120" w:line="276" w:lineRule="auto"/>
              <w:ind w:left="714" w:hanging="357"/>
              <w:jc w:val="both"/>
              <w:rPr>
                <w:rFonts w:ascii="Verdana" w:hAnsi="Verdana" w:cs="Arial"/>
                <w:lang w:val="es-ES"/>
              </w:rPr>
            </w:pPr>
            <w:r w:rsidRPr="006D0E8A">
              <w:rPr>
                <w:rFonts w:ascii="Verdana" w:hAnsi="Verdana" w:cs="Arial"/>
                <w:lang w:val="es-ES"/>
              </w:rPr>
              <w:t>Ley 1712 de 2014, artículos 2, 5, 6, 11, 21, 18 y 19.</w:t>
            </w:r>
          </w:p>
          <w:p w14:paraId="185A1A92" w14:textId="77777777" w:rsidR="00F97C59" w:rsidRPr="006D0E8A" w:rsidRDefault="00F97C59" w:rsidP="00F97C59">
            <w:pPr>
              <w:widowControl w:val="0"/>
              <w:numPr>
                <w:ilvl w:val="0"/>
                <w:numId w:val="19"/>
              </w:numPr>
              <w:autoSpaceDE w:val="0"/>
              <w:autoSpaceDN w:val="0"/>
              <w:spacing w:after="120" w:line="276" w:lineRule="auto"/>
              <w:ind w:left="714" w:hanging="357"/>
              <w:jc w:val="both"/>
              <w:rPr>
                <w:rFonts w:ascii="Verdana" w:hAnsi="Verdana" w:cs="Arial"/>
                <w:lang w:val="es-ES"/>
              </w:rPr>
            </w:pPr>
            <w:r w:rsidRPr="006D0E8A">
              <w:rPr>
                <w:rFonts w:ascii="Verdana" w:hAnsi="Verdana" w:cs="Arial"/>
                <w:lang w:val="es-ES"/>
              </w:rPr>
              <w:t>Ley 2195 de 2022, artículo 53.</w:t>
            </w:r>
          </w:p>
          <w:p w14:paraId="53BA1068" w14:textId="77777777" w:rsidR="00F97C59" w:rsidRPr="006D0E8A" w:rsidRDefault="00F97C59" w:rsidP="00F97C59">
            <w:pPr>
              <w:widowControl w:val="0"/>
              <w:numPr>
                <w:ilvl w:val="0"/>
                <w:numId w:val="19"/>
              </w:numPr>
              <w:autoSpaceDE w:val="0"/>
              <w:autoSpaceDN w:val="0"/>
              <w:spacing w:after="120" w:line="276" w:lineRule="auto"/>
              <w:ind w:left="714" w:hanging="357"/>
              <w:jc w:val="both"/>
              <w:rPr>
                <w:rFonts w:ascii="Verdana" w:hAnsi="Verdana" w:cs="Arial"/>
                <w:lang w:val="es-ES"/>
              </w:rPr>
            </w:pPr>
            <w:r w:rsidRPr="006D0E8A">
              <w:rPr>
                <w:rFonts w:ascii="Verdana" w:hAnsi="Verdana" w:cs="Arial"/>
                <w:lang w:val="es-ES"/>
              </w:rPr>
              <w:t xml:space="preserve">Decreto 1081 de 2015, artículo </w:t>
            </w:r>
            <w:r w:rsidRPr="006D0E8A">
              <w:rPr>
                <w:rFonts w:ascii="Verdana" w:eastAsia="Calibri" w:hAnsi="Verdana" w:cs="Arial"/>
                <w:color w:val="000000"/>
                <w:lang w:val="es-ES"/>
              </w:rPr>
              <w:t>2.1.1.4.3.2.</w:t>
            </w:r>
          </w:p>
          <w:p w14:paraId="2414368E" w14:textId="77777777" w:rsidR="00F97C59" w:rsidRPr="006D0E8A" w:rsidRDefault="00F97C59" w:rsidP="00F97C59">
            <w:pPr>
              <w:widowControl w:val="0"/>
              <w:numPr>
                <w:ilvl w:val="0"/>
                <w:numId w:val="19"/>
              </w:numPr>
              <w:autoSpaceDE w:val="0"/>
              <w:autoSpaceDN w:val="0"/>
              <w:spacing w:after="160" w:line="276" w:lineRule="auto"/>
              <w:ind w:left="714" w:hanging="357"/>
              <w:jc w:val="both"/>
              <w:rPr>
                <w:rFonts w:ascii="Verdana" w:hAnsi="Verdana" w:cs="Arial"/>
                <w:lang w:val="es-ES"/>
              </w:rPr>
            </w:pPr>
            <w:r w:rsidRPr="006D0E8A">
              <w:rPr>
                <w:rFonts w:ascii="Verdana" w:hAnsi="Verdana" w:cs="Arial"/>
                <w:lang w:val="es-ES"/>
              </w:rPr>
              <w:t>Decreto 1082 de 2015, artículos 2.2.1.1.1.3.1 y 2.2.1.1.1.7.1.</w:t>
            </w:r>
          </w:p>
          <w:p w14:paraId="367DB815" w14:textId="77777777" w:rsidR="00F97C59" w:rsidRPr="006D0E8A" w:rsidRDefault="00F97C59" w:rsidP="00F97C59">
            <w:pPr>
              <w:widowControl w:val="0"/>
              <w:numPr>
                <w:ilvl w:val="0"/>
                <w:numId w:val="19"/>
              </w:numPr>
              <w:autoSpaceDE w:val="0"/>
              <w:autoSpaceDN w:val="0"/>
              <w:spacing w:line="276" w:lineRule="auto"/>
              <w:ind w:left="714" w:hanging="357"/>
              <w:jc w:val="both"/>
              <w:rPr>
                <w:rFonts w:ascii="Verdana" w:hAnsi="Verdana" w:cs="Arial"/>
                <w:lang w:val="es-ES"/>
              </w:rPr>
            </w:pPr>
            <w:r w:rsidRPr="006D0E8A">
              <w:rPr>
                <w:rFonts w:ascii="Verdana" w:hAnsi="Verdana" w:cs="Arial"/>
                <w:lang w:val="es-ES"/>
              </w:rPr>
              <w:t>Código Civil, artículo 28.</w:t>
            </w:r>
          </w:p>
        </w:tc>
      </w:tr>
    </w:tbl>
    <w:p w14:paraId="3141C92C" w14:textId="77777777" w:rsidR="00F97C59" w:rsidRPr="006D0E8A" w:rsidRDefault="00F97C59" w:rsidP="00F97C59">
      <w:pPr>
        <w:widowControl w:val="0"/>
        <w:autoSpaceDE w:val="0"/>
        <w:autoSpaceDN w:val="0"/>
        <w:spacing w:after="0" w:line="276" w:lineRule="auto"/>
        <w:jc w:val="both"/>
        <w:rPr>
          <w:rFonts w:ascii="Verdana" w:hAnsi="Verdana" w:cs="Arial"/>
        </w:rPr>
      </w:pPr>
    </w:p>
    <w:p w14:paraId="43CF6CDC" w14:textId="77777777" w:rsidR="00F97C59" w:rsidRPr="006D0E8A" w:rsidRDefault="00F97C59" w:rsidP="00F97C59">
      <w:pPr>
        <w:numPr>
          <w:ilvl w:val="0"/>
          <w:numId w:val="18"/>
        </w:numPr>
        <w:tabs>
          <w:tab w:val="left" w:pos="142"/>
          <w:tab w:val="left" w:pos="284"/>
        </w:tabs>
        <w:spacing w:after="0" w:line="276" w:lineRule="auto"/>
        <w:ind w:left="0" w:firstLine="0"/>
        <w:jc w:val="both"/>
        <w:rPr>
          <w:rFonts w:ascii="Verdana" w:eastAsia="Century Gothic" w:hAnsi="Verdana" w:cs="Century Gothic"/>
          <w:b/>
          <w:bCs/>
          <w:lang w:val="es-ES"/>
        </w:rPr>
      </w:pPr>
      <w:r w:rsidRPr="006D0E8A">
        <w:rPr>
          <w:rFonts w:ascii="Verdana" w:eastAsia="Century Gothic" w:hAnsi="Verdana" w:cs="Century Gothic"/>
          <w:b/>
          <w:bCs/>
          <w:lang w:val="es-ES"/>
        </w:rPr>
        <w:t>Doctrina de la Agencia Nacional de Contratación Pública:</w:t>
      </w:r>
    </w:p>
    <w:p w14:paraId="078FFF87" w14:textId="77777777" w:rsidR="00F97C59" w:rsidRPr="006D0E8A" w:rsidRDefault="00F97C59" w:rsidP="00F97C59">
      <w:pPr>
        <w:widowControl w:val="0"/>
        <w:autoSpaceDE w:val="0"/>
        <w:autoSpaceDN w:val="0"/>
        <w:spacing w:after="0" w:line="276" w:lineRule="auto"/>
        <w:jc w:val="both"/>
        <w:rPr>
          <w:rFonts w:ascii="Verdana" w:hAnsi="Verdana" w:cs="Arial"/>
        </w:rPr>
      </w:pPr>
    </w:p>
    <w:p w14:paraId="3A4A9C16" w14:textId="77777777" w:rsidR="00F97C59" w:rsidRPr="006D0E8A" w:rsidRDefault="00F97C59" w:rsidP="00F97C59">
      <w:pPr>
        <w:widowControl w:val="0"/>
        <w:autoSpaceDE w:val="0"/>
        <w:autoSpaceDN w:val="0"/>
        <w:spacing w:after="0" w:line="276" w:lineRule="auto"/>
        <w:jc w:val="both"/>
        <w:rPr>
          <w:rFonts w:ascii="Verdana" w:hAnsi="Verdana" w:cs="Arial"/>
          <w:shd w:val="clear" w:color="auto" w:fill="FFFFFF"/>
        </w:rPr>
      </w:pPr>
      <w:r w:rsidRPr="006D0E8A">
        <w:rPr>
          <w:rFonts w:ascii="Verdana" w:hAnsi="Verdana" w:cs="Arial"/>
          <w:shd w:val="clear" w:color="auto" w:fill="FFFFFF"/>
        </w:rPr>
        <w:t xml:space="preserve">La Agencia Nacional de Contratación Pública – Colombia Compra Eficiente, en los conceptos CU-367 del 23 de julio de 2020, C-433 de 24 de julio de 2020, C-468 del 24 de julio de 2020, C-474 de 24 de julio de 2020, C-488 del 28 de julio de 2020, C-544 del 21 de agosto de 2020, C-575 del 27 de agosto de 2020, C-643 del 26 de octubre de 2020, C-661 del 17 de noviembre de 2020, C-094 del 13 de abril de 2021, C-068 del 22 de abril de 2021, C-185 del 29 de abril de 2021, C-472 del 6 de septiembre de 2021, C-872 del 20 de diciembre de 2024, C-185 del 24 de marzo de 2025, C-292 del 21 de abril de 2025, C-487 del 30 de mayo de 2025, </w:t>
      </w:r>
      <w:r>
        <w:rPr>
          <w:rFonts w:ascii="Verdana" w:hAnsi="Verdana" w:cs="Arial"/>
          <w:shd w:val="clear" w:color="auto" w:fill="FFFFFF"/>
        </w:rPr>
        <w:t xml:space="preserve">C-1381 de 2025, </w:t>
      </w:r>
      <w:r w:rsidRPr="006D0E8A">
        <w:rPr>
          <w:rFonts w:ascii="Verdana" w:hAnsi="Verdana" w:cs="Arial"/>
          <w:shd w:val="clear" w:color="auto" w:fill="FFFFFF"/>
        </w:rPr>
        <w:t xml:space="preserve">entre otros. Estos y otros se encuentran disponibles para consulta en el Sistema de relatoría de la Agencia, al cual puede accederse a través del siguiente enlace: </w:t>
      </w:r>
      <w:hyperlink r:id="rId13" w:history="1">
        <w:r w:rsidRPr="006D0E8A">
          <w:rPr>
            <w:rFonts w:ascii="Verdana" w:hAnsi="Verdana" w:cs="Arial"/>
            <w:color w:val="0000FF"/>
            <w:u w:val="single"/>
            <w:shd w:val="clear" w:color="auto" w:fill="FFFFFF"/>
          </w:rPr>
          <w:t>https://relatoria.colombiacompra.gov.co/busqueda/conceptos</w:t>
        </w:r>
      </w:hyperlink>
      <w:r w:rsidRPr="006D0E8A">
        <w:rPr>
          <w:rFonts w:ascii="Verdana" w:hAnsi="Verdana" w:cs="Arial"/>
          <w:shd w:val="clear" w:color="auto" w:fill="FFFFFF"/>
        </w:rPr>
        <w:t xml:space="preserve">. </w:t>
      </w:r>
      <w:r w:rsidRPr="006D0E8A">
        <w:rPr>
          <w:rFonts w:ascii="Verdana" w:hAnsi="Verdana" w:cs="Arial"/>
          <w:color w:val="FF0000"/>
          <w:shd w:val="clear" w:color="auto" w:fill="FFFFFF"/>
          <w:lang w:val="es-ES"/>
        </w:rPr>
        <w:t xml:space="preserve"> </w:t>
      </w:r>
    </w:p>
    <w:p w14:paraId="5B52BAC1" w14:textId="77777777" w:rsidR="00F97C59" w:rsidRPr="006D0E8A" w:rsidRDefault="00F97C59" w:rsidP="00F97C59">
      <w:pPr>
        <w:widowControl w:val="0"/>
        <w:autoSpaceDE w:val="0"/>
        <w:autoSpaceDN w:val="0"/>
        <w:spacing w:after="0" w:line="276" w:lineRule="auto"/>
        <w:jc w:val="both"/>
        <w:rPr>
          <w:rFonts w:ascii="Verdana" w:hAnsi="Verdana" w:cs="Arial"/>
          <w:color w:val="000000" w:themeColor="text1"/>
          <w:shd w:val="clear" w:color="auto" w:fill="FFFFFF"/>
        </w:rPr>
      </w:pPr>
    </w:p>
    <w:p w14:paraId="0FD351E3" w14:textId="77777777" w:rsidR="00F97C59" w:rsidRPr="001B3C5D" w:rsidRDefault="00F97C59" w:rsidP="00F97C59">
      <w:pPr>
        <w:spacing w:after="0" w:line="276" w:lineRule="auto"/>
        <w:jc w:val="both"/>
        <w:rPr>
          <w:rFonts w:ascii="Verdana" w:eastAsia="Times New Roman" w:hAnsi="Verdana" w:cs="Arial"/>
          <w:lang w:eastAsia="es-MX"/>
        </w:rPr>
      </w:pPr>
      <w:r w:rsidRPr="001B3C5D">
        <w:rPr>
          <w:rFonts w:ascii="Verdana" w:eastAsia="Times New Roman" w:hAnsi="Verdana" w:cs="Arial"/>
          <w:lang w:eastAsia="es-MX"/>
        </w:rPr>
        <w:t xml:space="preserve">La sostenibilidad no es una opción, es una obligación. Por ello, la Agencia Nacional de Contratación Pública –Colombia Compra Eficiente– te invita a realizar el </w:t>
      </w:r>
      <w:r w:rsidRPr="001B3C5D">
        <w:rPr>
          <w:rFonts w:ascii="Verdana" w:eastAsia="Times New Roman" w:hAnsi="Verdana" w:cs="Arial"/>
          <w:b/>
          <w:bCs/>
          <w:lang w:eastAsia="es-MX"/>
        </w:rPr>
        <w:t>Curso de Contratación Pública Sostenible y Socialmente Responsable</w:t>
      </w:r>
      <w:r w:rsidRPr="001B3C5D">
        <w:rPr>
          <w:rFonts w:ascii="Verdana" w:eastAsia="Times New Roman" w:hAnsi="Verdana" w:cs="Arial"/>
          <w:lang w:eastAsia="es-MX"/>
        </w:rPr>
        <w:t>, una herramienta clave para fortalecer las capacidades de todos los compradores públicos, proveedores, servidores públicos y para generar mayor valor público. Accede al curso y aprende como implementar criterios sociales y ambientales en las diferentes etapas del proceso de contratación:</w:t>
      </w:r>
      <w:r w:rsidRPr="001B3C5D">
        <w:rPr>
          <w:rFonts w:ascii="Verdana" w:eastAsia="Times New Roman" w:hAnsi="Verdana" w:cs="Arial"/>
          <w:lang w:eastAsia="es-MX"/>
        </w:rPr>
        <w:br/>
      </w:r>
      <w:hyperlink r:id="rId14" w:tgtFrame="_new" w:history="1">
        <w:r w:rsidRPr="001B3C5D">
          <w:rPr>
            <w:rFonts w:ascii="Verdana" w:eastAsia="Times New Roman" w:hAnsi="Verdana" w:cs="Arial"/>
            <w:color w:val="0000FF"/>
            <w:u w:val="single"/>
            <w:lang w:eastAsia="es-MX"/>
          </w:rPr>
          <w:t>https://formacionvirtual.colombiacompra.gov.co/mod/page/view.php?id=3718</w:t>
        </w:r>
      </w:hyperlink>
    </w:p>
    <w:p w14:paraId="38F927CA" w14:textId="77777777" w:rsidR="00F97C59" w:rsidRPr="001B3C5D" w:rsidRDefault="00F97C59" w:rsidP="00F97C59">
      <w:pPr>
        <w:spacing w:after="0" w:line="276" w:lineRule="auto"/>
        <w:jc w:val="both"/>
        <w:rPr>
          <w:rFonts w:ascii="Verdana" w:eastAsia="Times New Roman" w:hAnsi="Verdana" w:cs="Arial"/>
          <w:lang w:eastAsia="es-MX"/>
        </w:rPr>
      </w:pPr>
      <w:r w:rsidRPr="001B3C5D">
        <w:rPr>
          <w:rFonts w:ascii="Verdana" w:eastAsia="Times New Roman" w:hAnsi="Verdana" w:cs="Arial"/>
          <w:lang w:eastAsia="es-MX"/>
        </w:rPr>
        <w:t xml:space="preserve">De otro lado, te contamos que esta Agencia ha da un paso decisivo en la estandarización y modernización del </w:t>
      </w:r>
      <w:r w:rsidRPr="001B3C5D">
        <w:rPr>
          <w:rFonts w:ascii="Verdana" w:eastAsia="Times New Roman" w:hAnsi="Verdana" w:cs="Arial"/>
          <w:b/>
          <w:bCs/>
          <w:lang w:eastAsia="es-MX"/>
        </w:rPr>
        <w:t>sector  social</w:t>
      </w:r>
      <w:r w:rsidRPr="001B3C5D">
        <w:rPr>
          <w:rFonts w:ascii="Verdana" w:eastAsia="Times New Roman" w:hAnsi="Verdana" w:cs="Arial"/>
          <w:lang w:eastAsia="es-MX"/>
        </w:rPr>
        <w:t xml:space="preserve"> con la expedición de las </w:t>
      </w:r>
      <w:r w:rsidRPr="001B3C5D">
        <w:rPr>
          <w:rFonts w:ascii="Verdana" w:eastAsia="Times New Roman" w:hAnsi="Verdana" w:cs="Arial"/>
          <w:b/>
          <w:bCs/>
          <w:lang w:eastAsia="es-MX"/>
        </w:rPr>
        <w:t>Resoluciones 539, 540, 541, 952 y 953 de 2025</w:t>
      </w:r>
      <w:r w:rsidRPr="001B3C5D">
        <w:rPr>
          <w:rFonts w:ascii="Verdana" w:eastAsia="Times New Roman" w:hAnsi="Verdana" w:cs="Arial"/>
          <w:lang w:eastAsia="es-MX"/>
        </w:rPr>
        <w:t xml:space="preserve">, </w:t>
      </w:r>
      <w:r w:rsidRPr="001B3C5D">
        <w:rPr>
          <w:rFonts w:ascii="Verdana" w:eastAsia="Times New Roman" w:hAnsi="Verdana" w:cs="Arial"/>
          <w:b/>
          <w:bCs/>
          <w:lang w:eastAsia="es-MX"/>
        </w:rPr>
        <w:t>mediante las cuales adoptó Documentos Tipo</w:t>
      </w:r>
      <w:r w:rsidRPr="001B3C5D">
        <w:rPr>
          <w:rFonts w:ascii="Verdana" w:eastAsia="Times New Roman" w:hAnsi="Verdana" w:cs="Arial"/>
          <w:lang w:eastAsia="es-MX"/>
        </w:rPr>
        <w:t xml:space="preserve"> para las modalidades de selección de</w:t>
      </w:r>
      <w:r w:rsidRPr="001B3C5D">
        <w:rPr>
          <w:rFonts w:ascii="Verdana" w:eastAsia="Times New Roman" w:hAnsi="Verdana" w:cs="Arial"/>
          <w:b/>
          <w:bCs/>
          <w:lang w:eastAsia="es-MX"/>
        </w:rPr>
        <w:t xml:space="preserve"> licitación pública (versión 2), selección abreviada de menor cuantía, mínima cuantía, consultoría e interventoría</w:t>
      </w:r>
      <w:r w:rsidRPr="001B3C5D">
        <w:rPr>
          <w:rFonts w:ascii="Verdana" w:eastAsia="Times New Roman" w:hAnsi="Verdana" w:cs="Arial"/>
          <w:lang w:eastAsia="es-MX"/>
        </w:rPr>
        <w:t xml:space="preserve">, promoviendo procesos más transparentes, eficientes  competitivos y sostenibles en sectores estratégicos como educación, salud, cultura, recreación, deporte, institucional y vivienda. Consulta y descarga los documentos aquí: </w:t>
      </w:r>
      <w:hyperlink r:id="rId15" w:tgtFrame="_new" w:history="1">
        <w:r w:rsidRPr="001B3C5D">
          <w:rPr>
            <w:rFonts w:ascii="Verdana" w:eastAsia="Times New Roman" w:hAnsi="Verdana" w:cs="Arial"/>
            <w:color w:val="0000FF"/>
            <w:u w:val="single"/>
            <w:lang w:eastAsia="es-MX"/>
          </w:rPr>
          <w:t>https://www.colombiacompra.gov.co/normativa-y-relatoria/documentos-tipo</w:t>
        </w:r>
      </w:hyperlink>
    </w:p>
    <w:p w14:paraId="49783E4F" w14:textId="77777777" w:rsidR="00F97C59" w:rsidRPr="001B3C5D" w:rsidRDefault="00F97C59" w:rsidP="00F97C59">
      <w:pPr>
        <w:spacing w:after="0" w:line="276" w:lineRule="auto"/>
        <w:jc w:val="both"/>
        <w:rPr>
          <w:rFonts w:ascii="Verdana" w:eastAsia="Times New Roman" w:hAnsi="Verdana" w:cs="Arial"/>
          <w:lang w:eastAsia="es-MX"/>
        </w:rPr>
      </w:pPr>
    </w:p>
    <w:p w14:paraId="24FB32F2" w14:textId="77777777" w:rsidR="00F97C59" w:rsidRPr="001B3C5D" w:rsidRDefault="00F97C59" w:rsidP="00F97C59">
      <w:pPr>
        <w:spacing w:after="0" w:line="276" w:lineRule="auto"/>
        <w:jc w:val="both"/>
        <w:rPr>
          <w:rFonts w:ascii="Verdana" w:eastAsia="Times New Roman" w:hAnsi="Verdana" w:cs="Arial"/>
          <w:lang w:eastAsia="es-MX"/>
        </w:rPr>
      </w:pPr>
      <w:r w:rsidRPr="001B3C5D">
        <w:rPr>
          <w:rFonts w:ascii="Verdana" w:eastAsia="Times New Roman" w:hAnsi="Verdana" w:cs="Arial"/>
          <w:lang w:eastAsia="es-MX"/>
        </w:rPr>
        <w:lastRenderedPageBreak/>
        <w:t xml:space="preserve">Si quieres conocer más sobre la aplicación de Documentos Tipo puedes consultar la última versión de la </w:t>
      </w:r>
      <w:r w:rsidRPr="001B3C5D">
        <w:rPr>
          <w:rFonts w:ascii="Verdana" w:eastAsia="Times New Roman" w:hAnsi="Verdana" w:cs="Arial"/>
          <w:b/>
          <w:bCs/>
          <w:lang w:eastAsia="es-MX"/>
        </w:rPr>
        <w:t>Guía para la comprensión e implementación de los Documentos Tipo de obra pública de infraestructura de transporte</w:t>
      </w:r>
      <w:r w:rsidRPr="001B3C5D">
        <w:rPr>
          <w:rFonts w:ascii="Verdana" w:eastAsia="Times New Roman" w:hAnsi="Verdana" w:cs="Arial"/>
          <w:lang w:eastAsia="es-MX"/>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1B3C5D">
        <w:rPr>
          <w:rFonts w:ascii="Verdana" w:eastAsia="Times New Roman" w:hAnsi="Verdana" w:cs="Arial"/>
          <w:lang w:eastAsia="es-MX"/>
        </w:rPr>
        <w:br/>
      </w:r>
      <w:hyperlink r:id="rId16" w:tgtFrame="_new" w:history="1">
        <w:r w:rsidRPr="001B3C5D">
          <w:rPr>
            <w:rFonts w:ascii="Verdana" w:eastAsia="Times New Roman" w:hAnsi="Verdana" w:cs="Arial"/>
            <w:color w:val="0000FF"/>
            <w:u w:val="single"/>
            <w:lang w:eastAsia="es-MX"/>
          </w:rPr>
          <w:t>https://www.colombiacompra.gov.co/archivos/manual/guia-para-la-comprension-e-implementacion-de-los-documentos-tipo-de-obra-publica-de-infraestructura-de-transporte-bajo-las-diferentes-modalidades-de-contratacion-vigentes</w:t>
        </w:r>
      </w:hyperlink>
    </w:p>
    <w:p w14:paraId="53DE2403" w14:textId="77777777" w:rsidR="00F97C59" w:rsidRDefault="00F97C59" w:rsidP="00F97C59">
      <w:pPr>
        <w:spacing w:after="0" w:line="276" w:lineRule="auto"/>
        <w:jc w:val="both"/>
        <w:rPr>
          <w:rFonts w:ascii="Verdana" w:hAnsi="Verdana"/>
          <w:lang w:val="es-ES"/>
        </w:rPr>
      </w:pPr>
    </w:p>
    <w:p w14:paraId="0C18667A" w14:textId="77777777" w:rsidR="00F97C59" w:rsidRPr="00EA47D8" w:rsidRDefault="00F97C59" w:rsidP="00F97C59">
      <w:pPr>
        <w:spacing w:after="0" w:line="276" w:lineRule="auto"/>
        <w:jc w:val="both"/>
        <w:rPr>
          <w:rFonts w:ascii="Verdana" w:hAnsi="Verdana"/>
          <w:lang w:val="es-ES"/>
        </w:rPr>
      </w:pPr>
      <w:r w:rsidRPr="00EA47D8">
        <w:rPr>
          <w:rFonts w:ascii="Verdana" w:hAnsi="Verdana"/>
          <w:lang w:val="es-ES"/>
        </w:rPr>
        <w:t xml:space="preserve">Por último, lo invitamos a seguirnos en las redes sociales en las cuales se difunde información institucional: </w:t>
      </w:r>
    </w:p>
    <w:p w14:paraId="1F201291" w14:textId="77777777" w:rsidR="00F97C59" w:rsidRPr="00EA47D8" w:rsidRDefault="00F97C59" w:rsidP="00F97C59">
      <w:pPr>
        <w:spacing w:after="0" w:line="276" w:lineRule="auto"/>
        <w:jc w:val="both"/>
        <w:rPr>
          <w:rFonts w:ascii="Verdana" w:hAnsi="Verdana"/>
          <w:lang w:val="es-ES"/>
        </w:rPr>
      </w:pPr>
    </w:p>
    <w:p w14:paraId="2C74F9A7" w14:textId="77777777" w:rsidR="00F97C59" w:rsidRPr="00EA47D8" w:rsidRDefault="00F97C59" w:rsidP="00F97C59">
      <w:pPr>
        <w:spacing w:after="0" w:line="276" w:lineRule="auto"/>
        <w:jc w:val="both"/>
        <w:rPr>
          <w:rFonts w:ascii="Verdana" w:hAnsi="Verdana"/>
          <w:lang w:val="es-ES"/>
        </w:rPr>
      </w:pPr>
      <w:r w:rsidRPr="00EA47D8">
        <w:rPr>
          <w:rFonts w:ascii="Verdana" w:hAnsi="Verdana"/>
          <w:lang w:val="es-ES"/>
        </w:rPr>
        <w:t xml:space="preserve">Twitter: </w:t>
      </w:r>
      <w:r w:rsidRPr="00EA47D8">
        <w:rPr>
          <w:rStyle w:val="Hipervnculo"/>
          <w:rFonts w:ascii="Verdana" w:hAnsi="Verdana" w:cs="Arial"/>
          <w:shd w:val="clear" w:color="auto" w:fill="FFFFFF"/>
          <w:lang w:val="es-ES"/>
        </w:rPr>
        <w:t>@colombiacompra</w:t>
      </w:r>
      <w:r w:rsidRPr="00EA47D8">
        <w:rPr>
          <w:rFonts w:ascii="Verdana" w:hAnsi="Verdana"/>
          <w:color w:val="4472C4" w:themeColor="accent1"/>
          <w:lang w:val="es-ES"/>
        </w:rPr>
        <w:t xml:space="preserve"> </w:t>
      </w:r>
    </w:p>
    <w:p w14:paraId="1E9A3F41" w14:textId="77777777" w:rsidR="00F97C59" w:rsidRPr="00EA47D8" w:rsidRDefault="00F97C59" w:rsidP="00F97C59">
      <w:pPr>
        <w:spacing w:after="0" w:line="276" w:lineRule="auto"/>
        <w:jc w:val="both"/>
        <w:rPr>
          <w:rFonts w:ascii="Verdana" w:hAnsi="Verdana"/>
          <w:lang w:val="es-ES"/>
        </w:rPr>
      </w:pPr>
      <w:r w:rsidRPr="00EA47D8">
        <w:rPr>
          <w:rFonts w:ascii="Verdana" w:hAnsi="Verdana"/>
          <w:lang w:val="es-ES"/>
        </w:rPr>
        <w:t xml:space="preserve">Facebook: </w:t>
      </w:r>
      <w:r w:rsidRPr="00EA47D8">
        <w:rPr>
          <w:rStyle w:val="Hipervnculo"/>
          <w:rFonts w:ascii="Verdana" w:hAnsi="Verdana" w:cs="Arial"/>
          <w:shd w:val="clear" w:color="auto" w:fill="FFFFFF"/>
          <w:lang w:val="es-ES"/>
        </w:rPr>
        <w:t>ColombiaCompraEficiente</w:t>
      </w:r>
    </w:p>
    <w:p w14:paraId="1E797450" w14:textId="77777777" w:rsidR="00F97C59" w:rsidRPr="00EA47D8" w:rsidRDefault="00F97C59" w:rsidP="00F97C59">
      <w:pPr>
        <w:spacing w:after="0" w:line="276" w:lineRule="auto"/>
        <w:jc w:val="both"/>
        <w:rPr>
          <w:rFonts w:ascii="Verdana" w:hAnsi="Verdana"/>
          <w:lang w:val="es-ES"/>
        </w:rPr>
      </w:pPr>
      <w:r w:rsidRPr="00EA47D8">
        <w:rPr>
          <w:rFonts w:ascii="Verdana" w:hAnsi="Verdana"/>
          <w:lang w:val="es-ES"/>
        </w:rPr>
        <w:t xml:space="preserve">LinkedIn: </w:t>
      </w:r>
      <w:r w:rsidRPr="00EA47D8">
        <w:rPr>
          <w:rStyle w:val="Hipervnculo"/>
          <w:rFonts w:ascii="Verdana" w:hAnsi="Verdana" w:cs="Arial"/>
          <w:shd w:val="clear" w:color="auto" w:fill="FFFFFF"/>
          <w:lang w:val="es-ES"/>
        </w:rPr>
        <w:t xml:space="preserve">Agencia Nacional de Contratación Pública - Colombia Compra Eficiente </w:t>
      </w:r>
      <w:r w:rsidRPr="00EA47D8">
        <w:rPr>
          <w:rFonts w:ascii="Verdana" w:hAnsi="Verdana"/>
          <w:lang w:val="es-ES"/>
        </w:rPr>
        <w:t xml:space="preserve">Instagram: </w:t>
      </w:r>
      <w:r w:rsidRPr="00EA47D8">
        <w:rPr>
          <w:rStyle w:val="Hipervnculo"/>
          <w:rFonts w:ascii="Verdana" w:hAnsi="Verdana" w:cs="Arial"/>
          <w:shd w:val="clear" w:color="auto" w:fill="FFFFFF"/>
          <w:lang w:val="es-ES"/>
        </w:rPr>
        <w:t>@colombiacompraeficiente_cce</w:t>
      </w:r>
    </w:p>
    <w:p w14:paraId="346FD06B" w14:textId="77777777" w:rsidR="00F97C59" w:rsidRPr="00EA47D8" w:rsidRDefault="00F97C59" w:rsidP="00F97C59">
      <w:pPr>
        <w:widowControl w:val="0"/>
        <w:autoSpaceDE w:val="0"/>
        <w:autoSpaceDN w:val="0"/>
        <w:spacing w:after="0" w:line="276" w:lineRule="auto"/>
        <w:jc w:val="both"/>
        <w:rPr>
          <w:rFonts w:ascii="Verdana" w:hAnsi="Verdana" w:cs="Arial"/>
          <w:lang w:val="es-ES"/>
        </w:rPr>
      </w:pPr>
    </w:p>
    <w:p w14:paraId="409B6AEB" w14:textId="77777777" w:rsidR="00F97C59" w:rsidRPr="00EA47D8" w:rsidRDefault="00F97C59" w:rsidP="00F97C59">
      <w:pPr>
        <w:widowControl w:val="0"/>
        <w:autoSpaceDE w:val="0"/>
        <w:autoSpaceDN w:val="0"/>
        <w:spacing w:after="0" w:line="276" w:lineRule="auto"/>
        <w:jc w:val="both"/>
        <w:rPr>
          <w:rFonts w:ascii="Verdana" w:hAnsi="Verdana" w:cs="Arial"/>
          <w:lang w:val="es-ES"/>
        </w:rPr>
      </w:pPr>
      <w:r w:rsidRPr="00EA47D8">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5618F3E" w14:textId="77777777" w:rsidR="00F97C59" w:rsidRPr="00EA47D8" w:rsidRDefault="00F97C59" w:rsidP="00F97C59">
      <w:pPr>
        <w:widowControl w:val="0"/>
        <w:autoSpaceDE w:val="0"/>
        <w:autoSpaceDN w:val="0"/>
        <w:spacing w:after="0" w:line="276" w:lineRule="auto"/>
        <w:jc w:val="both"/>
        <w:rPr>
          <w:rFonts w:ascii="Verdana" w:hAnsi="Verdana" w:cs="Arial"/>
          <w:lang w:val="es-ES"/>
        </w:rPr>
      </w:pPr>
    </w:p>
    <w:p w14:paraId="2AC0F725" w14:textId="77777777" w:rsidR="00F97C59" w:rsidRPr="00EA47D8" w:rsidRDefault="00F97C59" w:rsidP="00F97C59">
      <w:pPr>
        <w:spacing w:after="0" w:line="276" w:lineRule="auto"/>
        <w:rPr>
          <w:rFonts w:ascii="Verdana" w:hAnsi="Verdana" w:cs="Arial"/>
          <w:color w:val="000000" w:themeColor="text1"/>
          <w:lang w:val="es-ES" w:eastAsia="es-CO"/>
        </w:rPr>
      </w:pPr>
      <w:r w:rsidRPr="00EA47D8">
        <w:rPr>
          <w:rFonts w:ascii="Verdana" w:eastAsia="Times New Roman" w:hAnsi="Verdana" w:cs="Arial"/>
          <w:color w:val="000000" w:themeColor="text1"/>
          <w:lang w:val="es-ES" w:eastAsia="es-CO"/>
        </w:rPr>
        <w:t>Atentamente,</w:t>
      </w:r>
      <w:r w:rsidRPr="00EA47D8">
        <w:rPr>
          <w:rFonts w:ascii="Verdana" w:hAnsi="Verdana" w:cs="Arial"/>
          <w:color w:val="000000" w:themeColor="text1"/>
          <w:lang w:val="es-ES" w:eastAsia="es-CO"/>
        </w:rPr>
        <w:t xml:space="preserve"> </w:t>
      </w:r>
    </w:p>
    <w:p w14:paraId="47D61411" w14:textId="77777777" w:rsidR="00F97C59" w:rsidRPr="00EA47D8" w:rsidRDefault="00F97C59" w:rsidP="00F97C59">
      <w:pPr>
        <w:spacing w:after="0" w:line="276" w:lineRule="auto"/>
        <w:rPr>
          <w:rFonts w:ascii="Verdana" w:hAnsi="Verdana" w:cs="Arial"/>
          <w:color w:val="000000" w:themeColor="text1"/>
          <w:lang w:val="es-ES" w:eastAsia="es-CO"/>
        </w:rPr>
      </w:pPr>
    </w:p>
    <w:p w14:paraId="7ACCB0E8" w14:textId="5C81D8CB" w:rsidR="00F97C59" w:rsidRPr="00A27102" w:rsidRDefault="00DA238A" w:rsidP="00F97C59">
      <w:pPr>
        <w:spacing w:line="276" w:lineRule="auto"/>
        <w:jc w:val="center"/>
        <w:rPr>
          <w:rFonts w:ascii="Verdana" w:hAnsi="Verdana" w:cs="Arial"/>
          <w:color w:val="000000"/>
          <w:lang w:val="es-ES_tradnl" w:eastAsia="es-CO"/>
        </w:rPr>
      </w:pPr>
      <w:r>
        <w:rPr>
          <w:noProof/>
        </w:rPr>
        <w:drawing>
          <wp:inline distT="0" distB="0" distL="0" distR="0" wp14:anchorId="7C66BA82" wp14:editId="0C0E1A78">
            <wp:extent cx="3771900" cy="1318260"/>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7"/>
                    <a:stretch>
                      <a:fillRect/>
                    </a:stretch>
                  </pic:blipFill>
                  <pic:spPr>
                    <a:xfrm>
                      <a:off x="0" y="0"/>
                      <a:ext cx="3771900" cy="1318260"/>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F97C59" w:rsidRPr="00A27102" w14:paraId="1AACF1B2" w14:textId="77777777" w:rsidTr="00144015">
        <w:trPr>
          <w:trHeight w:val="315"/>
        </w:trPr>
        <w:tc>
          <w:tcPr>
            <w:tcW w:w="893" w:type="dxa"/>
            <w:vAlign w:val="center"/>
            <w:hideMark/>
          </w:tcPr>
          <w:p w14:paraId="19ABA13B" w14:textId="77777777" w:rsidR="00F97C59" w:rsidRPr="00A27102" w:rsidRDefault="00F97C59" w:rsidP="00144015">
            <w:pPr>
              <w:contextualSpacing/>
              <w:rPr>
                <w:rFonts w:ascii="Verdana" w:hAnsi="Verdana" w:cs="Arial"/>
                <w:sz w:val="16"/>
                <w:szCs w:val="16"/>
                <w:lang w:val="es-ES" w:eastAsia="es-ES"/>
              </w:rPr>
            </w:pPr>
            <w:r w:rsidRPr="00A27102">
              <w:rPr>
                <w:rFonts w:ascii="Verdana" w:hAnsi="Verdana" w:cs="Arial"/>
                <w:sz w:val="16"/>
                <w:szCs w:val="16"/>
                <w:lang w:val="es-ES" w:eastAsia="es-ES"/>
              </w:rPr>
              <w:lastRenderedPageBreak/>
              <w:t>Elaboró:</w:t>
            </w:r>
          </w:p>
        </w:tc>
        <w:tc>
          <w:tcPr>
            <w:tcW w:w="5628" w:type="dxa"/>
            <w:tcBorders>
              <w:top w:val="nil"/>
              <w:left w:val="nil"/>
              <w:bottom w:val="dotted" w:sz="4" w:space="0" w:color="7F7F7F" w:themeColor="text1" w:themeTint="80"/>
              <w:right w:val="nil"/>
            </w:tcBorders>
            <w:vAlign w:val="center"/>
            <w:hideMark/>
          </w:tcPr>
          <w:p w14:paraId="68550C1A" w14:textId="77777777" w:rsidR="00F97C59" w:rsidRPr="00A27102" w:rsidRDefault="00F97C59" w:rsidP="00144015">
            <w:pPr>
              <w:contextualSpacing/>
              <w:rPr>
                <w:rFonts w:ascii="Verdana" w:hAnsi="Verdana"/>
                <w:sz w:val="16"/>
                <w:szCs w:val="16"/>
              </w:rPr>
            </w:pPr>
            <w:r w:rsidRPr="00A27102">
              <w:rPr>
                <w:rFonts w:ascii="Verdana" w:hAnsi="Verdana"/>
                <w:sz w:val="16"/>
                <w:szCs w:val="16"/>
              </w:rPr>
              <w:t>Tatiana Baquero Iguarán</w:t>
            </w:r>
          </w:p>
          <w:p w14:paraId="21BE4014" w14:textId="77777777" w:rsidR="00F97C59" w:rsidRPr="00A27102" w:rsidRDefault="00F97C59" w:rsidP="00144015">
            <w:pPr>
              <w:contextualSpacing/>
              <w:rPr>
                <w:rFonts w:ascii="Verdana" w:eastAsia="Arial" w:hAnsi="Verdana" w:cs="Arial"/>
                <w:sz w:val="16"/>
                <w:szCs w:val="16"/>
              </w:rPr>
            </w:pPr>
            <w:r w:rsidRPr="00A27102">
              <w:rPr>
                <w:rFonts w:ascii="Verdana" w:hAnsi="Verdana"/>
                <w:sz w:val="16"/>
                <w:szCs w:val="16"/>
              </w:rPr>
              <w:t>Contratista de la Subdirección de Gestión Contractual</w:t>
            </w:r>
          </w:p>
        </w:tc>
      </w:tr>
      <w:tr w:rsidR="00F97C59" w:rsidRPr="00A27102" w14:paraId="27280686" w14:textId="77777777" w:rsidTr="00144015">
        <w:trPr>
          <w:trHeight w:val="330"/>
        </w:trPr>
        <w:tc>
          <w:tcPr>
            <w:tcW w:w="893" w:type="dxa"/>
            <w:vAlign w:val="center"/>
            <w:hideMark/>
          </w:tcPr>
          <w:p w14:paraId="77C0F681" w14:textId="77777777" w:rsidR="00F97C59" w:rsidRPr="00A27102" w:rsidRDefault="00F97C59" w:rsidP="00144015">
            <w:pPr>
              <w:contextualSpacing/>
              <w:rPr>
                <w:rFonts w:ascii="Verdana" w:hAnsi="Verdana" w:cs="Arial"/>
                <w:sz w:val="16"/>
                <w:szCs w:val="16"/>
                <w:lang w:val="es-ES" w:eastAsia="es-ES"/>
              </w:rPr>
            </w:pPr>
            <w:r w:rsidRPr="00A27102">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40BD9F96" w14:textId="77777777" w:rsidR="00F97C59" w:rsidRPr="00A27102" w:rsidRDefault="00F97C59" w:rsidP="00144015">
            <w:pPr>
              <w:spacing w:before="100" w:beforeAutospacing="1" w:afterAutospacing="1"/>
              <w:contextualSpacing/>
              <w:textAlignment w:val="baseline"/>
              <w:rPr>
                <w:rFonts w:ascii="Verdana" w:eastAsia="Times New Roman" w:hAnsi="Verdana" w:cs="Arial"/>
                <w:sz w:val="16"/>
                <w:szCs w:val="16"/>
                <w:lang w:val="es-ES" w:eastAsia="es-ES_tradnl"/>
              </w:rPr>
            </w:pPr>
            <w:r w:rsidRPr="00A27102">
              <w:rPr>
                <w:rFonts w:ascii="Verdana" w:eastAsia="Times New Roman" w:hAnsi="Verdana" w:cs="Arial"/>
                <w:sz w:val="16"/>
                <w:szCs w:val="16"/>
                <w:lang w:val="es-ES" w:eastAsia="es-ES_tradnl"/>
              </w:rPr>
              <w:t>Alejandro Sarmiento Cantillo</w:t>
            </w:r>
          </w:p>
          <w:p w14:paraId="45A0068C" w14:textId="77777777" w:rsidR="00F97C59" w:rsidRPr="00A27102" w:rsidRDefault="00F97C59" w:rsidP="00144015">
            <w:pPr>
              <w:contextualSpacing/>
              <w:textAlignment w:val="baseline"/>
              <w:rPr>
                <w:rFonts w:ascii="Verdana" w:eastAsia="Times New Roman" w:hAnsi="Verdana" w:cs="Segoe UI"/>
                <w:sz w:val="16"/>
                <w:szCs w:val="16"/>
                <w:lang w:eastAsia="es-ES_tradnl"/>
              </w:rPr>
            </w:pPr>
            <w:r w:rsidRPr="00A27102">
              <w:rPr>
                <w:rFonts w:ascii="Verdana" w:eastAsia="Times New Roman" w:hAnsi="Verdana" w:cs="Arial"/>
                <w:sz w:val="16"/>
                <w:szCs w:val="16"/>
                <w:lang w:val="es-ES" w:eastAsia="es-ES_tradnl"/>
              </w:rPr>
              <w:t>Gestor T1 ‒ 15 de la Subdirección de Gestión Contractual</w:t>
            </w:r>
            <w:r w:rsidRPr="00A27102">
              <w:rPr>
                <w:rFonts w:ascii="Verdana" w:eastAsia="Times New Roman" w:hAnsi="Verdana" w:cs="Arial"/>
                <w:sz w:val="16"/>
                <w:szCs w:val="16"/>
                <w:lang w:eastAsia="es-ES_tradnl"/>
              </w:rPr>
              <w:t> </w:t>
            </w:r>
          </w:p>
        </w:tc>
      </w:tr>
      <w:tr w:rsidR="00F97C59" w:rsidRPr="00A27102" w14:paraId="7AFF6FA6" w14:textId="77777777" w:rsidTr="00144015">
        <w:trPr>
          <w:trHeight w:val="300"/>
        </w:trPr>
        <w:tc>
          <w:tcPr>
            <w:tcW w:w="893" w:type="dxa"/>
            <w:vAlign w:val="center"/>
          </w:tcPr>
          <w:p w14:paraId="458EF81B" w14:textId="77777777" w:rsidR="00F97C59" w:rsidRPr="00A27102" w:rsidRDefault="00F97C59" w:rsidP="00144015">
            <w:pPr>
              <w:contextualSpacing/>
              <w:rPr>
                <w:rFonts w:ascii="Verdana" w:hAnsi="Verdana" w:cs="Arial"/>
                <w:sz w:val="16"/>
                <w:szCs w:val="16"/>
                <w:lang w:val="es-ES" w:eastAsia="es-ES"/>
              </w:rPr>
            </w:pPr>
            <w:r w:rsidRPr="00A27102">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18D0EAD8" w14:textId="77777777" w:rsidR="00F97C59" w:rsidRPr="00A27102" w:rsidRDefault="00F97C59" w:rsidP="00144015">
            <w:pPr>
              <w:contextualSpacing/>
              <w:rPr>
                <w:rFonts w:ascii="Verdana" w:eastAsia="Calibri" w:hAnsi="Verdana" w:cs="Arial"/>
                <w:sz w:val="16"/>
                <w:szCs w:val="16"/>
                <w:lang w:val="pt-BR" w:eastAsia="es-ES"/>
              </w:rPr>
            </w:pPr>
            <w:r w:rsidRPr="00A27102">
              <w:rPr>
                <w:rFonts w:ascii="Verdana" w:eastAsia="Calibri" w:hAnsi="Verdana" w:cs="Arial"/>
                <w:sz w:val="16"/>
                <w:szCs w:val="16"/>
                <w:lang w:val="pt-BR" w:eastAsia="es-ES"/>
              </w:rPr>
              <w:t>Carolina Quintero Gacharná</w:t>
            </w:r>
          </w:p>
          <w:p w14:paraId="21CE1B71" w14:textId="77777777" w:rsidR="00F97C59" w:rsidRPr="00A27102" w:rsidRDefault="00F97C59" w:rsidP="00144015">
            <w:pPr>
              <w:contextualSpacing/>
              <w:rPr>
                <w:rFonts w:ascii="Verdana" w:eastAsia="Calibri" w:hAnsi="Verdana" w:cs="Arial"/>
                <w:sz w:val="16"/>
                <w:szCs w:val="16"/>
                <w:lang w:val="pt-BR" w:eastAsia="es-ES"/>
              </w:rPr>
            </w:pPr>
            <w:r w:rsidRPr="00A27102">
              <w:rPr>
                <w:rFonts w:ascii="Verdana" w:eastAsia="Calibri" w:hAnsi="Verdana" w:cs="Arial"/>
                <w:sz w:val="16"/>
                <w:szCs w:val="16"/>
                <w:lang w:eastAsia="es-ES"/>
              </w:rPr>
              <w:t>Subdirectora</w:t>
            </w:r>
            <w:r w:rsidRPr="00A27102">
              <w:rPr>
                <w:rFonts w:ascii="Verdana" w:eastAsia="Calibri" w:hAnsi="Verdana" w:cs="Arial"/>
                <w:sz w:val="16"/>
                <w:szCs w:val="16"/>
                <w:lang w:val="pt-BR" w:eastAsia="es-ES"/>
              </w:rPr>
              <w:t xml:space="preserve"> de Gestión Contratual ANCP – CCE</w:t>
            </w:r>
          </w:p>
        </w:tc>
      </w:tr>
    </w:tbl>
    <w:p w14:paraId="346B3CF3" w14:textId="77777777" w:rsidR="00F97C59" w:rsidRPr="00F16D67" w:rsidRDefault="00F97C59" w:rsidP="00F97C59">
      <w:pPr>
        <w:spacing w:after="0" w:line="240" w:lineRule="auto"/>
        <w:textAlignment w:val="baseline"/>
        <w:rPr>
          <w:rFonts w:ascii="Verdana" w:eastAsia="Verdana" w:hAnsi="Verdana" w:cs="Verdana"/>
          <w:lang w:eastAsia="es-CO"/>
        </w:rPr>
      </w:pPr>
    </w:p>
    <w:p w14:paraId="110E03AE" w14:textId="77777777" w:rsidR="00F97C59" w:rsidRPr="000E2B93" w:rsidRDefault="00F97C59" w:rsidP="00F97C59">
      <w:pPr>
        <w:spacing w:after="0" w:line="240" w:lineRule="auto"/>
        <w:jc w:val="both"/>
        <w:textAlignment w:val="baseline"/>
        <w:rPr>
          <w:rFonts w:ascii="Verdana" w:eastAsia="Verdana" w:hAnsi="Verdana" w:cs="Verdana"/>
          <w:lang w:eastAsia="es-CO"/>
        </w:rPr>
      </w:pPr>
    </w:p>
    <w:p w14:paraId="61AFF609" w14:textId="0037BF27" w:rsidR="00F97C59" w:rsidRPr="005E7AE9" w:rsidRDefault="00F97C59" w:rsidP="00F97C59">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p w14:paraId="367EB094" w14:textId="77777777" w:rsidR="00F97C59" w:rsidRPr="00AE6E0E" w:rsidRDefault="00F97C59" w:rsidP="00F97C59"/>
    <w:p w14:paraId="3548FA87" w14:textId="77777777" w:rsidR="00F97C59" w:rsidRPr="00B648D5" w:rsidRDefault="00F97C59" w:rsidP="00F97C59"/>
    <w:p w14:paraId="0F293BF4" w14:textId="0B475F3A" w:rsidR="00127233" w:rsidRPr="00F97C59" w:rsidRDefault="00127233" w:rsidP="00F97C59"/>
    <w:sectPr w:rsidR="00127233" w:rsidRPr="00F97C59"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5B488" w14:textId="77777777" w:rsidR="006C74A0" w:rsidRDefault="006C74A0" w:rsidP="004A1847">
      <w:pPr>
        <w:spacing w:after="0" w:line="240" w:lineRule="auto"/>
      </w:pPr>
      <w:r>
        <w:separator/>
      </w:r>
    </w:p>
  </w:endnote>
  <w:endnote w:type="continuationSeparator" w:id="0">
    <w:p w14:paraId="6D7526C7" w14:textId="77777777" w:rsidR="006C74A0" w:rsidRDefault="006C74A0" w:rsidP="004A1847">
      <w:pPr>
        <w:spacing w:after="0" w:line="240" w:lineRule="auto"/>
      </w:pPr>
      <w:r>
        <w:continuationSeparator/>
      </w:r>
    </w:p>
  </w:endnote>
  <w:endnote w:type="continuationNotice" w:id="1">
    <w:p w14:paraId="1990202B" w14:textId="77777777" w:rsidR="006C74A0" w:rsidRDefault="006C74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13FAF" w14:textId="77777777" w:rsidR="006C74A0" w:rsidRDefault="006C74A0" w:rsidP="004A1847">
      <w:pPr>
        <w:spacing w:after="0" w:line="240" w:lineRule="auto"/>
      </w:pPr>
      <w:r>
        <w:separator/>
      </w:r>
    </w:p>
  </w:footnote>
  <w:footnote w:type="continuationSeparator" w:id="0">
    <w:p w14:paraId="141E92E3" w14:textId="77777777" w:rsidR="006C74A0" w:rsidRDefault="006C74A0" w:rsidP="004A1847">
      <w:pPr>
        <w:spacing w:after="0" w:line="240" w:lineRule="auto"/>
      </w:pPr>
      <w:r>
        <w:continuationSeparator/>
      </w:r>
    </w:p>
  </w:footnote>
  <w:footnote w:type="continuationNotice" w:id="1">
    <w:p w14:paraId="392EC8EB" w14:textId="77777777" w:rsidR="006C74A0" w:rsidRDefault="006C74A0">
      <w:pPr>
        <w:spacing w:after="0" w:line="240" w:lineRule="auto"/>
      </w:pPr>
    </w:p>
  </w:footnote>
  <w:footnote w:id="2">
    <w:p w14:paraId="75AD34D9" w14:textId="77777777" w:rsidR="00F97C59" w:rsidRPr="00F16D2E" w:rsidRDefault="00F97C59" w:rsidP="00F97C59">
      <w:pPr>
        <w:pStyle w:val="Textonotapie"/>
        <w:ind w:right="49" w:firstLine="709"/>
        <w:jc w:val="both"/>
        <w:rPr>
          <w:rFonts w:ascii="Verdana" w:hAnsi="Verdana" w:cs="Arial"/>
          <w:color w:val="000000" w:themeColor="text1"/>
          <w:sz w:val="16"/>
          <w:szCs w:val="16"/>
        </w:rPr>
      </w:pPr>
      <w:r w:rsidRPr="00F16D2E">
        <w:rPr>
          <w:rStyle w:val="Refdenotaalpie"/>
          <w:rFonts w:ascii="Verdana" w:hAnsi="Verdana" w:cs="Arial"/>
          <w:color w:val="000000" w:themeColor="text1"/>
          <w:sz w:val="16"/>
          <w:szCs w:val="16"/>
        </w:rPr>
        <w:footnoteRef/>
      </w:r>
      <w:r w:rsidRPr="00F16D2E">
        <w:rPr>
          <w:rFonts w:ascii="Verdana" w:hAnsi="Verdana" w:cs="Arial"/>
          <w:color w:val="000000" w:themeColor="text1"/>
          <w:sz w:val="16"/>
          <w:szCs w:val="16"/>
        </w:rPr>
        <w:t xml:space="preserve"> Ley 1712 de 2014: “Artículo 5. Ámbito de aplicación. Las disposiciones de esta ley serán aplicables a las siguientes personas en calidad de sujetos obligados: </w:t>
      </w:r>
    </w:p>
    <w:p w14:paraId="10D16C69" w14:textId="77777777" w:rsidR="00F97C59" w:rsidRPr="00F16D2E" w:rsidRDefault="00F97C59" w:rsidP="00F97C59">
      <w:pPr>
        <w:pStyle w:val="Textonotapie"/>
        <w:ind w:right="49" w:firstLine="709"/>
        <w:jc w:val="both"/>
        <w:rPr>
          <w:rFonts w:ascii="Verdana" w:hAnsi="Verdana" w:cs="Arial"/>
          <w:color w:val="000000" w:themeColor="text1"/>
          <w:sz w:val="16"/>
          <w:szCs w:val="16"/>
        </w:rPr>
      </w:pPr>
      <w:r w:rsidRPr="00F16D2E">
        <w:rPr>
          <w:rFonts w:ascii="Verdana" w:hAnsi="Verdana" w:cs="Arial"/>
          <w:color w:val="000000" w:themeColor="text1"/>
          <w:sz w:val="16"/>
          <w:szCs w:val="16"/>
        </w:rPr>
        <w:t>a) Toda entidad pública, incluyendo las pertenecientes a todas las Ramas del Poder Público, en todos los niveles de la estructura estatal, central o descentralizada por servicios o territorialmente, en los órdenes nacional, departamental, municipal y distrital”. Obsérvese que este artículo no efectúa distinción alguna sobre el régimen jurídico aplicable a los sujetos obligados.</w:t>
      </w:r>
    </w:p>
  </w:footnote>
  <w:footnote w:id="3">
    <w:p w14:paraId="4D38AA1F" w14:textId="77777777" w:rsidR="00F97C59" w:rsidRPr="00F16D2E" w:rsidRDefault="00F97C59" w:rsidP="00F97C59">
      <w:pPr>
        <w:pStyle w:val="Textonotapie"/>
        <w:ind w:right="49" w:firstLine="709"/>
        <w:jc w:val="both"/>
        <w:rPr>
          <w:rFonts w:ascii="Verdana" w:hAnsi="Verdana" w:cs="Arial"/>
          <w:color w:val="000000" w:themeColor="text1"/>
          <w:sz w:val="16"/>
          <w:szCs w:val="16"/>
        </w:rPr>
      </w:pPr>
      <w:r w:rsidRPr="00F16D2E">
        <w:rPr>
          <w:rFonts w:ascii="Verdana" w:hAnsi="Verdana" w:cs="Arial"/>
          <w:color w:val="000000" w:themeColor="text1"/>
          <w:sz w:val="16"/>
          <w:szCs w:val="16"/>
          <w:vertAlign w:val="superscript"/>
          <w:lang w:val="es-ES" w:eastAsia="es-ES"/>
        </w:rPr>
        <w:footnoteRef/>
      </w:r>
      <w:r w:rsidRPr="00F16D2E">
        <w:rPr>
          <w:rFonts w:ascii="Verdana" w:hAnsi="Verdana" w:cs="Arial"/>
          <w:color w:val="000000" w:themeColor="text1"/>
          <w:sz w:val="16"/>
          <w:szCs w:val="16"/>
          <w:vertAlign w:val="superscript"/>
          <w:lang w:val="es-ES" w:eastAsia="es-ES"/>
        </w:rPr>
        <w:t xml:space="preserve"> </w:t>
      </w:r>
      <w:r w:rsidRPr="00F16D2E">
        <w:rPr>
          <w:rFonts w:ascii="Verdana" w:hAnsi="Verdana" w:cs="Arial"/>
          <w:color w:val="000000" w:themeColor="text1"/>
          <w:sz w:val="16"/>
          <w:szCs w:val="16"/>
          <w:lang w:val="es-ES" w:eastAsia="es-ES"/>
        </w:rPr>
        <w:t>“</w:t>
      </w:r>
      <w:r w:rsidRPr="00F16D2E">
        <w:rPr>
          <w:rFonts w:ascii="Verdana" w:hAnsi="Verdana" w:cs="Arial"/>
          <w:color w:val="000000" w:themeColor="text1"/>
          <w:sz w:val="16"/>
          <w:szCs w:val="16"/>
        </w:rPr>
        <w:t xml:space="preserve">Artículo 2.1.1.2.1.7. Publicación de la información contractual. De conformidad con el literal (c) del artículo 3° de la Ley 1150 de 2007, el sistema de información del Estado en el cual los sujetos obligados que contratan con cargo a recursos públicos deben cumplir la obligación de publicar la información de su gestión contractual es el Sistema Electrónico para la Contratación Pública [SECOP] </w:t>
      </w:r>
    </w:p>
    <w:p w14:paraId="11E34706" w14:textId="77777777" w:rsidR="00F97C59" w:rsidRPr="00F16D2E" w:rsidRDefault="00F97C59" w:rsidP="00F97C59">
      <w:pPr>
        <w:pStyle w:val="Textonotapie"/>
        <w:ind w:right="49" w:firstLine="709"/>
        <w:jc w:val="both"/>
        <w:rPr>
          <w:rFonts w:ascii="Verdana" w:hAnsi="Verdana" w:cs="Arial"/>
          <w:color w:val="000000" w:themeColor="text1"/>
          <w:sz w:val="16"/>
          <w:szCs w:val="16"/>
          <w:lang w:val="es-ES" w:eastAsia="es-ES"/>
        </w:rPr>
      </w:pPr>
      <w:r w:rsidRPr="00F16D2E">
        <w:rPr>
          <w:rFonts w:ascii="Verdana" w:hAnsi="Verdana" w:cs="Arial"/>
          <w:color w:val="000000" w:themeColor="text1"/>
          <w:sz w:val="16"/>
          <w:szCs w:val="16"/>
        </w:rPr>
        <w:t>[…].</w:t>
      </w:r>
    </w:p>
    <w:p w14:paraId="572869E6" w14:textId="77777777" w:rsidR="00F97C59" w:rsidRPr="00F16D2E" w:rsidRDefault="00F97C59" w:rsidP="00F97C59">
      <w:pPr>
        <w:pStyle w:val="Textonotapie"/>
        <w:ind w:right="49" w:firstLine="709"/>
        <w:jc w:val="both"/>
        <w:rPr>
          <w:rFonts w:ascii="Verdana" w:hAnsi="Verdana" w:cs="Arial"/>
          <w:color w:val="000000" w:themeColor="text1"/>
          <w:sz w:val="16"/>
          <w:szCs w:val="16"/>
          <w:lang w:val="es-ES" w:eastAsia="es-ES"/>
        </w:rPr>
      </w:pPr>
      <w:r w:rsidRPr="00F16D2E">
        <w:rPr>
          <w:rFonts w:ascii="Verdana" w:hAnsi="Verdana" w:cs="Arial"/>
          <w:color w:val="000000" w:themeColor="text1"/>
          <w:sz w:val="16"/>
          <w:szCs w:val="16"/>
          <w:lang w:val="es-ES" w:eastAsia="es-ES"/>
        </w:rPr>
        <w:t>Los sujetos obligados que contratan con recursos públicos y recursos privados, deben publicar la información de su gestión contractual con cargo a recursos públicos en el Sistema Electrónico para la Contratación Pública [SECOP]”.</w:t>
      </w:r>
    </w:p>
  </w:footnote>
  <w:footnote w:id="4">
    <w:p w14:paraId="447389A6" w14:textId="77777777" w:rsidR="00F97C59" w:rsidRPr="00F16D2E" w:rsidRDefault="00F97C59" w:rsidP="00F97C59">
      <w:pPr>
        <w:pStyle w:val="Textonotapie"/>
        <w:ind w:right="49" w:firstLine="708"/>
        <w:jc w:val="both"/>
        <w:rPr>
          <w:rFonts w:ascii="Verdana" w:hAnsi="Verdana" w:cs="Arial"/>
          <w:color w:val="000000" w:themeColor="text1"/>
          <w:sz w:val="16"/>
          <w:szCs w:val="16"/>
        </w:rPr>
      </w:pPr>
      <w:r w:rsidRPr="00F16D2E">
        <w:rPr>
          <w:rStyle w:val="Refdenotaalpie"/>
          <w:rFonts w:ascii="Verdana" w:hAnsi="Verdana" w:cs="Arial"/>
          <w:color w:val="000000" w:themeColor="text1"/>
          <w:sz w:val="16"/>
          <w:szCs w:val="16"/>
        </w:rPr>
        <w:footnoteRef/>
      </w:r>
      <w:r w:rsidRPr="00F16D2E">
        <w:rPr>
          <w:rFonts w:ascii="Verdana" w:hAnsi="Verdana" w:cs="Arial"/>
          <w:color w:val="000000" w:themeColor="text1"/>
          <w:sz w:val="16"/>
          <w:szCs w:val="16"/>
        </w:rPr>
        <w:t xml:space="preserve"> Decreto 1082 de 2015: “Artículo 2.2.1.1.1.7.1. Publicidad en el SECOP. La Entidad Estatal está obligada a publicar en el SECOP los Documentos del Proceso y los actos administrativos del Proceso de Contratación, dentro de los tres (3) días siguientes a su expedición. La oferta que debe ser publicada es la del adjudicatario del Proceso de Contratación. Los documentos de las operaciones que se realicen en bolsa de productos no tienen que ser publicados en el SECOP.</w:t>
      </w:r>
    </w:p>
    <w:p w14:paraId="1F749121" w14:textId="77777777" w:rsidR="00F97C59" w:rsidRPr="00F16D2E" w:rsidRDefault="00F97C59" w:rsidP="00F97C59">
      <w:pPr>
        <w:pStyle w:val="Textonotapie"/>
        <w:ind w:right="49" w:firstLine="708"/>
        <w:jc w:val="both"/>
        <w:rPr>
          <w:rFonts w:ascii="Verdana" w:hAnsi="Verdana" w:cs="Arial"/>
          <w:color w:val="000000" w:themeColor="text1"/>
          <w:sz w:val="16"/>
          <w:szCs w:val="16"/>
          <w:lang w:val="es-ES"/>
        </w:rPr>
      </w:pPr>
      <w:r w:rsidRPr="00F16D2E">
        <w:rPr>
          <w:rFonts w:ascii="Verdana" w:hAnsi="Verdana" w:cs="Arial"/>
          <w:color w:val="000000" w:themeColor="text1"/>
          <w:sz w:val="16"/>
          <w:szCs w:val="16"/>
        </w:rPr>
        <w:t>La Entidad Estatal está obligada a publicar oportunamente el aviso de convocatoria o la invitación en los Procesos de Contratación de mínima cuantía y el proyecto de pliegos de condiciones en el SECOP para que los interesados en el Proceso de Contratación puedan presentar observaciones o solicitar aclaraciones en el término previsto para el efecto en el artículo 2.2.1.1.2.1.4 del presente decreto”.</w:t>
      </w:r>
    </w:p>
  </w:footnote>
  <w:footnote w:id="5">
    <w:p w14:paraId="55F06113" w14:textId="77777777" w:rsidR="00F97C59" w:rsidRPr="002A1671" w:rsidRDefault="00F97C59" w:rsidP="00F97C59">
      <w:pPr>
        <w:pStyle w:val="Textonotapie"/>
        <w:ind w:firstLine="708"/>
        <w:jc w:val="both"/>
        <w:rPr>
          <w:rFonts w:ascii="Verdana" w:hAnsi="Verdana"/>
          <w:sz w:val="15"/>
          <w:szCs w:val="15"/>
          <w:lang w:val="es-CO"/>
        </w:rPr>
      </w:pPr>
      <w:r w:rsidRPr="002A1671">
        <w:rPr>
          <w:rStyle w:val="Refdenotaalpie"/>
          <w:rFonts w:ascii="Verdana" w:hAnsi="Verdana"/>
          <w:sz w:val="15"/>
          <w:szCs w:val="15"/>
        </w:rPr>
        <w:footnoteRef/>
      </w:r>
      <w:r w:rsidRPr="002A1671">
        <w:rPr>
          <w:rFonts w:ascii="Verdana" w:hAnsi="Verdana"/>
          <w:sz w:val="15"/>
          <w:szCs w:val="15"/>
        </w:rPr>
        <w:t xml:space="preserve"> </w:t>
      </w:r>
      <w:r w:rsidRPr="002A1671">
        <w:rPr>
          <w:rFonts w:ascii="Verdana" w:hAnsi="Verdana"/>
          <w:sz w:val="15"/>
          <w:szCs w:val="15"/>
          <w:lang w:val="es-CO"/>
        </w:rPr>
        <w:t>Artículo 18. </w:t>
      </w:r>
      <w:r w:rsidRPr="002A1671">
        <w:rPr>
          <w:rFonts w:ascii="Verdana" w:hAnsi="Verdana"/>
          <w:i/>
          <w:iCs/>
          <w:sz w:val="15"/>
          <w:szCs w:val="15"/>
          <w:lang w:val="es-CO"/>
        </w:rPr>
        <w:t>Información exceptuada por daño de derechos a personas naturales o jurídicas. </w:t>
      </w:r>
      <w:r w:rsidRPr="002A1671">
        <w:rPr>
          <w:rFonts w:ascii="Verdana" w:hAnsi="Verdana"/>
          <w:sz w:val="15"/>
          <w:szCs w:val="15"/>
          <w:lang w:val="es-CO"/>
        </w:rPr>
        <w:t>Es toda aquella información pública clasificada, cuyo acceso podrá ser rechazado o denegado de manera motivada y por escrito, siempre que el acceso pudiere causar un daño a los siguientes derechos: </w:t>
      </w:r>
    </w:p>
    <w:p w14:paraId="01C8F7B0" w14:textId="77777777" w:rsidR="00F97C59" w:rsidRPr="002A1671" w:rsidRDefault="00F97C59" w:rsidP="00F97C59">
      <w:pPr>
        <w:pStyle w:val="Textonotapie"/>
        <w:ind w:firstLine="708"/>
        <w:jc w:val="both"/>
        <w:rPr>
          <w:rFonts w:ascii="Verdana" w:hAnsi="Verdana"/>
          <w:sz w:val="15"/>
          <w:szCs w:val="15"/>
          <w:lang w:val="es-CO"/>
        </w:rPr>
      </w:pPr>
      <w:r w:rsidRPr="002A1671">
        <w:rPr>
          <w:rFonts w:ascii="Verdana" w:hAnsi="Verdana"/>
          <w:sz w:val="15"/>
          <w:szCs w:val="15"/>
          <w:lang w:val="es-CO"/>
        </w:rPr>
        <w:t>a) El derecho de toda persona a la intimidad, bajo las limitaciones propias que impone la condición de servidor público, en concordancia con lo estipulado por el artículo 24 de la Ley 1437 de 2011; </w:t>
      </w:r>
    </w:p>
    <w:p w14:paraId="15D2CFFD" w14:textId="77777777" w:rsidR="00F97C59" w:rsidRPr="002A1671" w:rsidRDefault="00F97C59" w:rsidP="00F97C59">
      <w:pPr>
        <w:pStyle w:val="Textonotapie"/>
        <w:ind w:firstLine="708"/>
        <w:jc w:val="both"/>
        <w:rPr>
          <w:rFonts w:ascii="Verdana" w:hAnsi="Verdana"/>
          <w:sz w:val="15"/>
          <w:szCs w:val="15"/>
          <w:lang w:val="es-CO"/>
        </w:rPr>
      </w:pPr>
      <w:r w:rsidRPr="002A1671">
        <w:rPr>
          <w:rFonts w:ascii="Verdana" w:hAnsi="Verdana"/>
          <w:sz w:val="15"/>
          <w:szCs w:val="15"/>
          <w:lang w:val="es-CO"/>
        </w:rPr>
        <w:t>b) El derecho de toda persona a la vida, la salud o la seguridad; </w:t>
      </w:r>
    </w:p>
    <w:p w14:paraId="5381E777" w14:textId="77777777" w:rsidR="00F97C59" w:rsidRPr="002A1671" w:rsidRDefault="00F97C59" w:rsidP="00F97C59">
      <w:pPr>
        <w:pStyle w:val="Textonotapie"/>
        <w:ind w:firstLine="708"/>
        <w:jc w:val="both"/>
        <w:rPr>
          <w:rFonts w:ascii="Verdana" w:hAnsi="Verdana"/>
          <w:sz w:val="15"/>
          <w:szCs w:val="15"/>
          <w:lang w:val="es-CO"/>
        </w:rPr>
      </w:pPr>
      <w:r w:rsidRPr="002A1671">
        <w:rPr>
          <w:rFonts w:ascii="Verdana" w:hAnsi="Verdana"/>
          <w:sz w:val="15"/>
          <w:szCs w:val="15"/>
          <w:lang w:val="es-CO"/>
        </w:rPr>
        <w:t>c) Los secretos comerciales, industriales y profesionales, así como los estipulados en el parágrafo del artículo 77 de la Ley 1474 de 2011. </w:t>
      </w:r>
    </w:p>
    <w:p w14:paraId="3999A6CF" w14:textId="77777777" w:rsidR="00F97C59" w:rsidRPr="002A1671" w:rsidRDefault="00F97C59" w:rsidP="00F97C59">
      <w:pPr>
        <w:pStyle w:val="Textonotapie"/>
        <w:ind w:firstLine="708"/>
        <w:jc w:val="both"/>
        <w:rPr>
          <w:rFonts w:ascii="Verdana" w:hAnsi="Verdana"/>
          <w:sz w:val="15"/>
          <w:szCs w:val="15"/>
          <w:lang w:val="es-CO"/>
        </w:rPr>
      </w:pPr>
      <w:r w:rsidRPr="002A1671">
        <w:rPr>
          <w:rFonts w:ascii="Verdana" w:hAnsi="Verdana"/>
          <w:sz w:val="15"/>
          <w:szCs w:val="15"/>
          <w:lang w:val="es-CO"/>
        </w:rPr>
        <w:t>Parágrafo. Estas excepciones tienen una duración ilimitada y no deberán aplicarse cuando la persona natural o jurídica ha consentido en la revelación de sus datos personales o privados o bien cuando es claro que la información fue entregada como parte de aquella información que debe estar bajo el régimen de publicidad aplicable.</w:t>
      </w:r>
    </w:p>
  </w:footnote>
  <w:footnote w:id="6">
    <w:p w14:paraId="56A12039" w14:textId="77777777" w:rsidR="00F97C59" w:rsidRPr="002A1671" w:rsidRDefault="00F97C59" w:rsidP="00F97C59">
      <w:pPr>
        <w:pStyle w:val="Textonotapie"/>
        <w:ind w:firstLine="708"/>
        <w:rPr>
          <w:rFonts w:ascii="Verdana" w:hAnsi="Verdana"/>
          <w:sz w:val="15"/>
          <w:szCs w:val="15"/>
          <w:lang w:val="es-CO"/>
        </w:rPr>
      </w:pPr>
      <w:r w:rsidRPr="002A1671">
        <w:rPr>
          <w:rStyle w:val="Refdenotaalpie"/>
          <w:rFonts w:ascii="Verdana" w:hAnsi="Verdana"/>
          <w:sz w:val="15"/>
          <w:szCs w:val="15"/>
        </w:rPr>
        <w:footnoteRef/>
      </w:r>
      <w:r w:rsidRPr="002A1671">
        <w:rPr>
          <w:rFonts w:ascii="Verdana" w:hAnsi="Verdana"/>
          <w:sz w:val="15"/>
          <w:szCs w:val="15"/>
        </w:rPr>
        <w:t xml:space="preserve"> </w:t>
      </w:r>
      <w:r w:rsidRPr="002A1671">
        <w:rPr>
          <w:rFonts w:ascii="Verdana" w:hAnsi="Verdana"/>
          <w:sz w:val="15"/>
          <w:szCs w:val="15"/>
          <w:lang w:val="es-CO"/>
        </w:rPr>
        <w:t>Artículo 19. </w:t>
      </w:r>
      <w:r w:rsidRPr="002A1671">
        <w:rPr>
          <w:rFonts w:ascii="Verdana" w:hAnsi="Verdana"/>
          <w:i/>
          <w:iCs/>
          <w:sz w:val="15"/>
          <w:szCs w:val="15"/>
          <w:lang w:val="es-CO"/>
        </w:rPr>
        <w:t>Información exceptuada por daño a los intereses públicos. </w:t>
      </w:r>
      <w:r w:rsidRPr="002A1671">
        <w:rPr>
          <w:rFonts w:ascii="Verdana" w:hAnsi="Verdana"/>
          <w:sz w:val="15"/>
          <w:szCs w:val="15"/>
          <w:lang w:val="es-CO"/>
        </w:rPr>
        <w:t>Es toda aquella información pública reservada, cuyo acceso podrá ser rechazado o denegado de manera motivada y por escrito en las siguientes circunstancias, siempre que dicho acceso estuviere expresamente prohibido por una norma legal o constitucional:  </w:t>
      </w:r>
    </w:p>
    <w:p w14:paraId="7E5E206A" w14:textId="77777777" w:rsidR="00F97C59" w:rsidRPr="002A1671" w:rsidRDefault="00F97C59" w:rsidP="00F97C59">
      <w:pPr>
        <w:pStyle w:val="Textonotapie"/>
        <w:ind w:firstLine="708"/>
        <w:rPr>
          <w:rFonts w:ascii="Verdana" w:hAnsi="Verdana"/>
          <w:sz w:val="15"/>
          <w:szCs w:val="15"/>
          <w:lang w:val="es-CO"/>
        </w:rPr>
      </w:pPr>
      <w:r w:rsidRPr="002A1671">
        <w:rPr>
          <w:rFonts w:ascii="Verdana" w:hAnsi="Verdana"/>
          <w:sz w:val="15"/>
          <w:szCs w:val="15"/>
          <w:lang w:val="es-CO"/>
        </w:rPr>
        <w:t>a) La defensa y seguridad nacional; </w:t>
      </w:r>
    </w:p>
    <w:p w14:paraId="7C0E906B" w14:textId="77777777" w:rsidR="00F97C59" w:rsidRPr="002A1671" w:rsidRDefault="00F97C59" w:rsidP="00F97C59">
      <w:pPr>
        <w:pStyle w:val="Textonotapie"/>
        <w:ind w:firstLine="708"/>
        <w:rPr>
          <w:rFonts w:ascii="Verdana" w:hAnsi="Verdana"/>
          <w:sz w:val="15"/>
          <w:szCs w:val="15"/>
          <w:lang w:val="es-CO"/>
        </w:rPr>
      </w:pPr>
      <w:r w:rsidRPr="002A1671">
        <w:rPr>
          <w:rFonts w:ascii="Verdana" w:hAnsi="Verdana"/>
          <w:sz w:val="15"/>
          <w:szCs w:val="15"/>
          <w:lang w:val="es-CO"/>
        </w:rPr>
        <w:t>b) La seguridad pública; </w:t>
      </w:r>
    </w:p>
    <w:p w14:paraId="55C75A45" w14:textId="77777777" w:rsidR="00F97C59" w:rsidRPr="002A1671" w:rsidRDefault="00F97C59" w:rsidP="00F97C59">
      <w:pPr>
        <w:pStyle w:val="Textonotapie"/>
        <w:ind w:firstLine="708"/>
        <w:rPr>
          <w:rFonts w:ascii="Verdana" w:hAnsi="Verdana"/>
          <w:sz w:val="15"/>
          <w:szCs w:val="15"/>
          <w:lang w:val="es-CO"/>
        </w:rPr>
      </w:pPr>
      <w:r w:rsidRPr="002A1671">
        <w:rPr>
          <w:rFonts w:ascii="Verdana" w:hAnsi="Verdana"/>
          <w:sz w:val="15"/>
          <w:szCs w:val="15"/>
          <w:lang w:val="es-CO"/>
        </w:rPr>
        <w:t>c) Las relaciones internacionales; </w:t>
      </w:r>
    </w:p>
    <w:p w14:paraId="5BDEFD94" w14:textId="77777777" w:rsidR="00F97C59" w:rsidRPr="002A1671" w:rsidRDefault="00F97C59" w:rsidP="00F97C59">
      <w:pPr>
        <w:pStyle w:val="Textonotapie"/>
        <w:ind w:firstLine="708"/>
        <w:rPr>
          <w:rFonts w:ascii="Verdana" w:hAnsi="Verdana"/>
          <w:sz w:val="15"/>
          <w:szCs w:val="15"/>
          <w:lang w:val="es-CO"/>
        </w:rPr>
      </w:pPr>
      <w:r w:rsidRPr="002A1671">
        <w:rPr>
          <w:rFonts w:ascii="Verdana" w:hAnsi="Verdana"/>
          <w:sz w:val="15"/>
          <w:szCs w:val="15"/>
          <w:lang w:val="es-CO"/>
        </w:rPr>
        <w:t>d) La prevención, investigación y persecución de los delitos y las faltas disciplinarias, mientras que no se haga efectiva la medida de aseguramiento o se formule pliego de cargos, según el caso; </w:t>
      </w:r>
    </w:p>
    <w:p w14:paraId="14B301EB" w14:textId="77777777" w:rsidR="00F97C59" w:rsidRPr="002A1671" w:rsidRDefault="00F97C59" w:rsidP="00F97C59">
      <w:pPr>
        <w:pStyle w:val="Textonotapie"/>
        <w:ind w:firstLine="708"/>
        <w:rPr>
          <w:rFonts w:ascii="Verdana" w:hAnsi="Verdana"/>
          <w:sz w:val="15"/>
          <w:szCs w:val="15"/>
          <w:lang w:val="es-CO"/>
        </w:rPr>
      </w:pPr>
      <w:r w:rsidRPr="002A1671">
        <w:rPr>
          <w:rFonts w:ascii="Verdana" w:hAnsi="Verdana"/>
          <w:sz w:val="15"/>
          <w:szCs w:val="15"/>
          <w:lang w:val="es-CO"/>
        </w:rPr>
        <w:t>e) El debido proceso y la igualdad de las partes en los procesos judiciales; </w:t>
      </w:r>
    </w:p>
    <w:p w14:paraId="325D3E1B" w14:textId="77777777" w:rsidR="00F97C59" w:rsidRPr="002A1671" w:rsidRDefault="00F97C59" w:rsidP="00F97C59">
      <w:pPr>
        <w:pStyle w:val="Textonotapie"/>
        <w:ind w:firstLine="708"/>
        <w:rPr>
          <w:rFonts w:ascii="Verdana" w:hAnsi="Verdana"/>
          <w:sz w:val="15"/>
          <w:szCs w:val="15"/>
          <w:lang w:val="es-CO"/>
        </w:rPr>
      </w:pPr>
      <w:r w:rsidRPr="002A1671">
        <w:rPr>
          <w:rFonts w:ascii="Verdana" w:hAnsi="Verdana"/>
          <w:sz w:val="15"/>
          <w:szCs w:val="15"/>
          <w:lang w:val="es-CO"/>
        </w:rPr>
        <w:t>f) La administración efectiva de la justicia; </w:t>
      </w:r>
    </w:p>
    <w:p w14:paraId="3E247251" w14:textId="77777777" w:rsidR="00F97C59" w:rsidRPr="002A1671" w:rsidRDefault="00F97C59" w:rsidP="00F97C59">
      <w:pPr>
        <w:pStyle w:val="Textonotapie"/>
        <w:ind w:firstLine="708"/>
        <w:rPr>
          <w:rFonts w:ascii="Verdana" w:hAnsi="Verdana"/>
          <w:sz w:val="15"/>
          <w:szCs w:val="15"/>
          <w:lang w:val="es-CO"/>
        </w:rPr>
      </w:pPr>
      <w:r w:rsidRPr="002A1671">
        <w:rPr>
          <w:rFonts w:ascii="Verdana" w:hAnsi="Verdana"/>
          <w:sz w:val="15"/>
          <w:szCs w:val="15"/>
          <w:lang w:val="es-CO"/>
        </w:rPr>
        <w:t>g) Los derechos de la infancia y la adolescencia; </w:t>
      </w:r>
    </w:p>
    <w:p w14:paraId="17426578" w14:textId="77777777" w:rsidR="00F97C59" w:rsidRPr="002A1671" w:rsidRDefault="00F97C59" w:rsidP="00F97C59">
      <w:pPr>
        <w:pStyle w:val="Textonotapie"/>
        <w:ind w:firstLine="708"/>
        <w:rPr>
          <w:rFonts w:ascii="Verdana" w:hAnsi="Verdana"/>
          <w:sz w:val="15"/>
          <w:szCs w:val="15"/>
          <w:lang w:val="es-CO"/>
        </w:rPr>
      </w:pPr>
      <w:r w:rsidRPr="002A1671">
        <w:rPr>
          <w:rFonts w:ascii="Verdana" w:hAnsi="Verdana"/>
          <w:sz w:val="15"/>
          <w:szCs w:val="15"/>
          <w:lang w:val="es-CO"/>
        </w:rPr>
        <w:t>h) La estabilidad macroeconómica y financiera del país; </w:t>
      </w:r>
    </w:p>
    <w:p w14:paraId="693B707A" w14:textId="77777777" w:rsidR="00F97C59" w:rsidRPr="002A1671" w:rsidRDefault="00F97C59" w:rsidP="00F97C59">
      <w:pPr>
        <w:pStyle w:val="Textonotapie"/>
        <w:ind w:firstLine="708"/>
        <w:rPr>
          <w:rFonts w:ascii="Verdana" w:hAnsi="Verdana"/>
          <w:sz w:val="15"/>
          <w:szCs w:val="15"/>
          <w:lang w:val="es-CO"/>
        </w:rPr>
      </w:pPr>
      <w:r w:rsidRPr="002A1671">
        <w:rPr>
          <w:rFonts w:ascii="Verdana" w:hAnsi="Verdana"/>
          <w:sz w:val="15"/>
          <w:szCs w:val="15"/>
          <w:lang w:val="es-CO"/>
        </w:rPr>
        <w:t>i) La salud pública. </w:t>
      </w:r>
    </w:p>
    <w:p w14:paraId="2856E7E4" w14:textId="77777777" w:rsidR="00F97C59" w:rsidRPr="002A1671" w:rsidRDefault="00F97C59" w:rsidP="00F97C59">
      <w:pPr>
        <w:pStyle w:val="Textonotapie"/>
        <w:ind w:firstLine="708"/>
        <w:rPr>
          <w:rFonts w:ascii="Verdana" w:hAnsi="Verdana"/>
          <w:sz w:val="15"/>
          <w:szCs w:val="15"/>
          <w:lang w:val="es-CO"/>
        </w:rPr>
      </w:pPr>
      <w:r w:rsidRPr="002A1671">
        <w:rPr>
          <w:rFonts w:ascii="Verdana" w:hAnsi="Verdana"/>
          <w:sz w:val="15"/>
          <w:szCs w:val="15"/>
          <w:lang w:val="es-CO"/>
        </w:rPr>
        <w:t>Parágrafo. Se exceptúan también los documentos que contengan las opiniones o puntos de vista que formen parte del proceso deliberativo de los servidores públicos. </w:t>
      </w:r>
    </w:p>
  </w:footnote>
  <w:footnote w:id="7">
    <w:p w14:paraId="290ADB10" w14:textId="77777777" w:rsidR="00F97C59" w:rsidRPr="002A1671" w:rsidRDefault="00F97C59" w:rsidP="00F97C59">
      <w:pPr>
        <w:pStyle w:val="Textonotapie"/>
        <w:ind w:firstLine="709"/>
        <w:jc w:val="both"/>
        <w:rPr>
          <w:rFonts w:ascii="Verdana" w:hAnsi="Verdana"/>
          <w:sz w:val="15"/>
          <w:szCs w:val="15"/>
          <w:lang w:val="es-CO"/>
        </w:rPr>
      </w:pPr>
      <w:r w:rsidRPr="002A1671">
        <w:rPr>
          <w:rStyle w:val="Refdenotaalpie"/>
          <w:sz w:val="15"/>
          <w:szCs w:val="15"/>
        </w:rPr>
        <w:footnoteRef/>
      </w:r>
      <w:r w:rsidRPr="002A1671">
        <w:rPr>
          <w:sz w:val="15"/>
          <w:szCs w:val="15"/>
        </w:rPr>
        <w:t xml:space="preserve"> </w:t>
      </w:r>
      <w:r w:rsidRPr="002A1671">
        <w:rPr>
          <w:rFonts w:ascii="Verdana" w:hAnsi="Verdana"/>
          <w:bCs/>
          <w:sz w:val="15"/>
          <w:szCs w:val="15"/>
          <w:lang w:val="es-CO"/>
        </w:rPr>
        <w:t>Artículo 24. </w:t>
      </w:r>
      <w:r w:rsidRPr="002A1671">
        <w:rPr>
          <w:rFonts w:ascii="Verdana" w:hAnsi="Verdana"/>
          <w:bCs/>
          <w:i/>
          <w:iCs/>
          <w:sz w:val="15"/>
          <w:szCs w:val="15"/>
          <w:lang w:val="es-CO"/>
        </w:rPr>
        <w:t xml:space="preserve">Informaciones y documentos reservados. </w:t>
      </w:r>
      <w:r w:rsidRPr="002A1671">
        <w:rPr>
          <w:rFonts w:ascii="Verdana" w:hAnsi="Verdana"/>
          <w:sz w:val="15"/>
          <w:szCs w:val="15"/>
          <w:lang w:val="es-CO"/>
        </w:rPr>
        <w:t>Solo tendrán carácter reservado las informaciones y documentos expresamente sometidos a reserva por la Constitución Política o la ley, y en especial:</w:t>
      </w:r>
    </w:p>
    <w:p w14:paraId="2082C85C" w14:textId="77777777" w:rsidR="00F97C59" w:rsidRPr="002A1671" w:rsidRDefault="00F97C59" w:rsidP="00F97C59">
      <w:pPr>
        <w:pStyle w:val="Textonotapie"/>
        <w:ind w:firstLine="709"/>
        <w:jc w:val="both"/>
        <w:rPr>
          <w:rFonts w:ascii="Verdana" w:hAnsi="Verdana"/>
          <w:sz w:val="15"/>
          <w:szCs w:val="15"/>
          <w:lang w:val="es-CO"/>
        </w:rPr>
      </w:pPr>
      <w:r w:rsidRPr="002A1671">
        <w:rPr>
          <w:rFonts w:ascii="Verdana" w:hAnsi="Verdana"/>
          <w:sz w:val="15"/>
          <w:szCs w:val="15"/>
          <w:lang w:val="es-CO"/>
        </w:rPr>
        <w:t>1. Los relacionados con la defensa o seguridad nacionales.</w:t>
      </w:r>
    </w:p>
    <w:p w14:paraId="544D3934" w14:textId="77777777" w:rsidR="00F97C59" w:rsidRPr="002A1671" w:rsidRDefault="00F97C59" w:rsidP="00F97C59">
      <w:pPr>
        <w:pStyle w:val="Textonotapie"/>
        <w:ind w:firstLine="709"/>
        <w:jc w:val="both"/>
        <w:rPr>
          <w:rFonts w:ascii="Verdana" w:hAnsi="Verdana"/>
          <w:sz w:val="15"/>
          <w:szCs w:val="15"/>
          <w:lang w:val="es-CO"/>
        </w:rPr>
      </w:pPr>
      <w:r w:rsidRPr="002A1671">
        <w:rPr>
          <w:rFonts w:ascii="Verdana" w:hAnsi="Verdana"/>
          <w:sz w:val="15"/>
          <w:szCs w:val="15"/>
          <w:lang w:val="es-CO"/>
        </w:rPr>
        <w:t>2. Las instrucciones en materia diplomática o sobre negociaciones reservadas.  </w:t>
      </w:r>
    </w:p>
    <w:p w14:paraId="31985A2E" w14:textId="77777777" w:rsidR="00F97C59" w:rsidRPr="002A1671" w:rsidRDefault="00F97C59" w:rsidP="00F97C59">
      <w:pPr>
        <w:pStyle w:val="Textonotapie"/>
        <w:ind w:firstLine="709"/>
        <w:jc w:val="both"/>
        <w:rPr>
          <w:rFonts w:ascii="Verdana" w:hAnsi="Verdana"/>
          <w:sz w:val="15"/>
          <w:szCs w:val="15"/>
          <w:lang w:val="es-CO"/>
        </w:rPr>
      </w:pPr>
      <w:r w:rsidRPr="002A1671">
        <w:rPr>
          <w:rFonts w:ascii="Verdana" w:hAnsi="Verdana"/>
          <w:sz w:val="15"/>
          <w:szCs w:val="15"/>
          <w:lang w:val="es-CO"/>
        </w:rPr>
        <w:t>3. Los que involucren derechos a la privacidad e intimidad de las personas, incluidas en las hojas de vida, la historia laboral y los expedientes pensionales y demás registros de personal que obren en los archivos de las instituciones públicas o privadas, así como la historia clínica.  </w:t>
      </w:r>
    </w:p>
    <w:p w14:paraId="3CC86BD4" w14:textId="77777777" w:rsidR="00F97C59" w:rsidRPr="002A1671" w:rsidRDefault="00F97C59" w:rsidP="00F97C59">
      <w:pPr>
        <w:pStyle w:val="Textonotapie"/>
        <w:ind w:firstLine="709"/>
        <w:jc w:val="both"/>
        <w:rPr>
          <w:rFonts w:ascii="Verdana" w:hAnsi="Verdana"/>
          <w:sz w:val="15"/>
          <w:szCs w:val="15"/>
          <w:lang w:val="es-CO"/>
        </w:rPr>
      </w:pPr>
      <w:r w:rsidRPr="002A1671">
        <w:rPr>
          <w:rFonts w:ascii="Verdana" w:hAnsi="Verdana"/>
          <w:sz w:val="15"/>
          <w:szCs w:val="15"/>
          <w:lang w:val="es-CO"/>
        </w:rPr>
        <w:t>4. Los relativos a las condiciones financieras de las operaciones de crédito público y tesorería que realice la nación, así como a los estudios técnicos de valoración de los activos de la nación. Estos documentos e informaciones estarán sometidos a reserva por un término de seis (6) meses contados a partir de la realización de la respectiva operación.  </w:t>
      </w:r>
    </w:p>
    <w:p w14:paraId="6FDD8B0A" w14:textId="77777777" w:rsidR="00F97C59" w:rsidRPr="002A1671" w:rsidRDefault="00F97C59" w:rsidP="00F97C59">
      <w:pPr>
        <w:pStyle w:val="Textonotapie"/>
        <w:ind w:firstLine="709"/>
        <w:jc w:val="both"/>
        <w:rPr>
          <w:rFonts w:ascii="Verdana" w:hAnsi="Verdana"/>
          <w:sz w:val="15"/>
          <w:szCs w:val="15"/>
          <w:lang w:val="es-CO"/>
        </w:rPr>
      </w:pPr>
      <w:r w:rsidRPr="002A1671">
        <w:rPr>
          <w:rFonts w:ascii="Verdana" w:hAnsi="Verdana"/>
          <w:sz w:val="15"/>
          <w:szCs w:val="15"/>
          <w:lang w:val="es-CO"/>
        </w:rPr>
        <w:t>S. Los datos referentes a la información financiera y comercial, en los términos de la Ley Estatutaria 1266 de 2008.  </w:t>
      </w:r>
    </w:p>
    <w:p w14:paraId="212BF579" w14:textId="77777777" w:rsidR="00F97C59" w:rsidRPr="002A1671" w:rsidRDefault="00F97C59" w:rsidP="00F97C59">
      <w:pPr>
        <w:pStyle w:val="Textonotapie"/>
        <w:ind w:firstLine="709"/>
        <w:jc w:val="both"/>
        <w:rPr>
          <w:rFonts w:ascii="Verdana" w:hAnsi="Verdana"/>
          <w:sz w:val="15"/>
          <w:szCs w:val="15"/>
          <w:lang w:val="es-CO"/>
        </w:rPr>
      </w:pPr>
      <w:r w:rsidRPr="002A1671">
        <w:rPr>
          <w:rFonts w:ascii="Verdana" w:hAnsi="Verdana"/>
          <w:sz w:val="15"/>
          <w:szCs w:val="15"/>
          <w:lang w:val="es-CO"/>
        </w:rPr>
        <w:t>6. Los protegidos por el secreto comercial o industrial, así como los planes estratégicos de las empresas públicas de servicios públicos.  </w:t>
      </w:r>
    </w:p>
    <w:p w14:paraId="2E74D9BB" w14:textId="77777777" w:rsidR="00F97C59" w:rsidRPr="002A1671" w:rsidRDefault="00F97C59" w:rsidP="00F97C59">
      <w:pPr>
        <w:pStyle w:val="Textonotapie"/>
        <w:ind w:firstLine="709"/>
        <w:jc w:val="both"/>
        <w:rPr>
          <w:rFonts w:ascii="Verdana" w:hAnsi="Verdana"/>
          <w:sz w:val="15"/>
          <w:szCs w:val="15"/>
          <w:lang w:val="es-CO"/>
        </w:rPr>
      </w:pPr>
      <w:r w:rsidRPr="002A1671">
        <w:rPr>
          <w:rFonts w:ascii="Verdana" w:hAnsi="Verdana"/>
          <w:sz w:val="15"/>
          <w:szCs w:val="15"/>
          <w:lang w:val="es-CO"/>
        </w:rPr>
        <w:t>7. Los amparados por el secreto profesional.  </w:t>
      </w:r>
    </w:p>
    <w:p w14:paraId="53D1AC4E" w14:textId="77777777" w:rsidR="00F97C59" w:rsidRPr="002A1671" w:rsidRDefault="00F97C59" w:rsidP="00F97C59">
      <w:pPr>
        <w:pStyle w:val="Textonotapie"/>
        <w:ind w:firstLine="709"/>
        <w:jc w:val="both"/>
        <w:rPr>
          <w:rFonts w:ascii="Verdana" w:hAnsi="Verdana"/>
          <w:sz w:val="15"/>
          <w:szCs w:val="15"/>
          <w:lang w:val="es-CO"/>
        </w:rPr>
      </w:pPr>
      <w:r w:rsidRPr="002A1671">
        <w:rPr>
          <w:rFonts w:ascii="Verdana" w:hAnsi="Verdana"/>
          <w:sz w:val="15"/>
          <w:szCs w:val="15"/>
          <w:lang w:val="es-CO"/>
        </w:rPr>
        <w:t>8. Los datos genéticos humanos.  </w:t>
      </w:r>
    </w:p>
    <w:p w14:paraId="2DCC1037" w14:textId="77777777" w:rsidR="00F97C59" w:rsidRPr="002A1671" w:rsidRDefault="00F97C59" w:rsidP="00F97C59">
      <w:pPr>
        <w:pStyle w:val="Textonotapie"/>
        <w:ind w:firstLine="709"/>
        <w:jc w:val="both"/>
        <w:rPr>
          <w:sz w:val="15"/>
          <w:szCs w:val="15"/>
          <w:lang w:val="es-CO"/>
        </w:rPr>
      </w:pPr>
      <w:r w:rsidRPr="002A1671">
        <w:rPr>
          <w:rFonts w:ascii="Verdana" w:hAnsi="Verdana"/>
          <w:bCs/>
          <w:sz w:val="15"/>
          <w:szCs w:val="15"/>
          <w:lang w:val="es-CO"/>
        </w:rPr>
        <w:t>Parágrafo.</w:t>
      </w:r>
      <w:r w:rsidRPr="002A1671">
        <w:rPr>
          <w:rFonts w:ascii="Verdana" w:hAnsi="Verdana"/>
          <w:sz w:val="15"/>
          <w:szCs w:val="15"/>
          <w:lang w:val="es-CO"/>
        </w:rPr>
        <w:t> Para efecto de la solicitud de información de carácter reservado, enunciada en los numerales 3, 5, 6 y 7 solo podrá ser solicitada por el titular de la información, por sus apoderados o por personas autorizadas con facultad expresa para acceder a esa información. </w:t>
      </w:r>
    </w:p>
  </w:footnote>
  <w:footnote w:id="8">
    <w:p w14:paraId="0896ECB2" w14:textId="77777777" w:rsidR="00F97C59" w:rsidRPr="002A1671" w:rsidRDefault="00F97C59" w:rsidP="00F97C59">
      <w:pPr>
        <w:pStyle w:val="Textonotapie"/>
        <w:ind w:firstLine="708"/>
        <w:jc w:val="both"/>
        <w:rPr>
          <w:rFonts w:ascii="Verdana" w:hAnsi="Verdana"/>
          <w:sz w:val="15"/>
          <w:szCs w:val="15"/>
          <w:lang w:val="es-CO"/>
        </w:rPr>
      </w:pPr>
      <w:r w:rsidRPr="002A1671">
        <w:rPr>
          <w:rStyle w:val="Refdenotaalpie"/>
          <w:rFonts w:ascii="Verdana" w:hAnsi="Verdana"/>
          <w:sz w:val="15"/>
          <w:szCs w:val="15"/>
        </w:rPr>
        <w:footnoteRef/>
      </w:r>
      <w:r w:rsidRPr="002A1671">
        <w:rPr>
          <w:rFonts w:ascii="Verdana" w:hAnsi="Verdana"/>
          <w:sz w:val="15"/>
          <w:szCs w:val="15"/>
        </w:rPr>
        <w:t xml:space="preserve"> </w:t>
      </w:r>
      <w:r w:rsidRPr="002A1671">
        <w:rPr>
          <w:rFonts w:ascii="Verdana" w:hAnsi="Verdana"/>
          <w:sz w:val="15"/>
          <w:szCs w:val="15"/>
          <w:lang w:val="es-CO"/>
        </w:rPr>
        <w:t>Ley 80 de 1993 “Artículo 24. Del principio de transparencia. En virtud de este principio: […] 4o. Las autoridades expedirán a costa de aquellas personas que demuestren interés legítimo, copias de las actuaciones y propuestas recibidas, respetando la reserva de que gocen legalmente las patentes, procedimientos y privilegios”.</w:t>
      </w:r>
    </w:p>
  </w:footnote>
  <w:footnote w:id="9">
    <w:p w14:paraId="21030C8F" w14:textId="77777777" w:rsidR="00F97C59" w:rsidRPr="002A1671" w:rsidRDefault="00F97C59" w:rsidP="00F97C59">
      <w:pPr>
        <w:pStyle w:val="Textonotapie"/>
        <w:ind w:firstLine="708"/>
        <w:jc w:val="both"/>
        <w:rPr>
          <w:rFonts w:ascii="Verdana" w:hAnsi="Verdana"/>
          <w:sz w:val="15"/>
          <w:szCs w:val="15"/>
          <w:lang w:val="es-CO"/>
        </w:rPr>
      </w:pPr>
      <w:r w:rsidRPr="002A1671">
        <w:rPr>
          <w:rStyle w:val="Refdenotaalpie"/>
          <w:rFonts w:ascii="Verdana" w:hAnsi="Verdana"/>
          <w:sz w:val="15"/>
          <w:szCs w:val="15"/>
        </w:rPr>
        <w:footnoteRef/>
      </w:r>
      <w:r w:rsidRPr="002A1671">
        <w:rPr>
          <w:rFonts w:ascii="Verdana" w:hAnsi="Verdana"/>
          <w:sz w:val="15"/>
          <w:szCs w:val="15"/>
        </w:rPr>
        <w:t xml:space="preserve"> </w:t>
      </w:r>
      <w:r w:rsidRPr="002A1671">
        <w:rPr>
          <w:rFonts w:ascii="Verdana" w:hAnsi="Verdana"/>
          <w:sz w:val="15"/>
          <w:szCs w:val="15"/>
          <w:lang w:val="es-CO"/>
        </w:rPr>
        <w:t>Ley 1712 de 2014 “Artículo 2°. Principio de máxima publicidad para titular universal. Toda información en posesión, bajo control o custodia de un sujeto obligado es pública y no podrá ser reservada o limitada sino por disposición constitucional o legal, de conformidad con la presente ley”.</w:t>
      </w:r>
    </w:p>
  </w:footnote>
  <w:footnote w:id="10">
    <w:p w14:paraId="0D057DA7" w14:textId="77777777" w:rsidR="00F97C59" w:rsidRPr="002A1671" w:rsidRDefault="00F97C59" w:rsidP="00F97C59">
      <w:pPr>
        <w:pStyle w:val="Textonotapie"/>
        <w:ind w:firstLine="708"/>
        <w:jc w:val="both"/>
        <w:rPr>
          <w:rFonts w:ascii="Verdana" w:hAnsi="Verdana"/>
          <w:sz w:val="15"/>
          <w:szCs w:val="15"/>
          <w:lang w:val="es-CO"/>
        </w:rPr>
      </w:pPr>
      <w:r w:rsidRPr="002A1671">
        <w:rPr>
          <w:rStyle w:val="Refdenotaalpie"/>
          <w:rFonts w:ascii="Verdana" w:hAnsi="Verdana"/>
          <w:sz w:val="15"/>
          <w:szCs w:val="15"/>
        </w:rPr>
        <w:footnoteRef/>
      </w:r>
      <w:r w:rsidRPr="002A1671">
        <w:rPr>
          <w:rFonts w:ascii="Verdana" w:hAnsi="Verdana"/>
          <w:sz w:val="15"/>
          <w:szCs w:val="15"/>
        </w:rPr>
        <w:t xml:space="preserve"> </w:t>
      </w:r>
      <w:r w:rsidRPr="002A1671">
        <w:rPr>
          <w:rFonts w:ascii="Verdana" w:hAnsi="Verdana"/>
          <w:sz w:val="15"/>
          <w:szCs w:val="15"/>
          <w:lang w:val="es-CO"/>
        </w:rPr>
        <w:t>MATALLANA CAMACHO Ernesto. Manual de Contratación de la Administración Pública. Reforma a la Ley 80 de 1993. Universidad Externado de Colombia, Cuarta edición, 2015, pp 139.</w:t>
      </w:r>
    </w:p>
  </w:footnote>
  <w:footnote w:id="11">
    <w:p w14:paraId="26B22FE2" w14:textId="77777777" w:rsidR="00F97C59" w:rsidRPr="002A1671" w:rsidRDefault="00F97C59" w:rsidP="00F97C59">
      <w:pPr>
        <w:pStyle w:val="Textonotapie"/>
        <w:ind w:firstLine="708"/>
        <w:jc w:val="both"/>
        <w:rPr>
          <w:rFonts w:ascii="Verdana" w:hAnsi="Verdana"/>
          <w:sz w:val="15"/>
          <w:szCs w:val="15"/>
          <w:lang w:val="es-CO"/>
        </w:rPr>
      </w:pPr>
      <w:r w:rsidRPr="002A1671">
        <w:rPr>
          <w:rStyle w:val="Refdenotaalpie"/>
          <w:rFonts w:ascii="Verdana" w:hAnsi="Verdana"/>
          <w:sz w:val="15"/>
          <w:szCs w:val="15"/>
        </w:rPr>
        <w:footnoteRef/>
      </w:r>
      <w:r w:rsidRPr="002A1671">
        <w:rPr>
          <w:rFonts w:ascii="Verdana" w:hAnsi="Verdana"/>
          <w:sz w:val="15"/>
          <w:szCs w:val="15"/>
        </w:rPr>
        <w:t xml:space="preserve"> </w:t>
      </w:r>
      <w:r w:rsidRPr="002A1671">
        <w:rPr>
          <w:rFonts w:ascii="Verdana" w:hAnsi="Verdana"/>
          <w:sz w:val="15"/>
          <w:szCs w:val="15"/>
          <w:lang w:val="es-CO"/>
        </w:rPr>
        <w:t>Resultan relevantes las consideraciones expuestas en el concepto C- 322 del 16 de junio de 2020 –radicado No. 2202013000005088–, sobre la aplicación del artículo 36 del CPACA en torno al manejo de información reservada en cuadernos separados: “tratándose de información sometida a reserva, considera esta Agencia que el tratamiento que corresponde a esta información es el procedente a partir de lo dispuesto en el artículo 36 del CPACA sobre la formación y examen de expedientes, en el que se establece que los documentos sometidos a reserva deberán insertarse en un cuaderno separado del expediente principal, el cual no podrá ser consultado por la ciudadanía o interesados en general. El manejo de estos documentos conforme lo indica esta norma, permite guardar la reserva a la que están sometidos dichos documentos en el marco de procesos de contratación, sin que se vean lesionados los intereses de los titulares de la información o contrariadas las normas del régimen de protección de datos personales”.</w:t>
      </w:r>
    </w:p>
  </w:footnote>
  <w:footnote w:id="12">
    <w:p w14:paraId="1CE3BE21" w14:textId="77777777" w:rsidR="00F97C59" w:rsidRPr="002A1671" w:rsidRDefault="00F97C59" w:rsidP="00F97C59">
      <w:pPr>
        <w:pStyle w:val="Textonotapie"/>
        <w:ind w:firstLine="708"/>
        <w:jc w:val="both"/>
        <w:rPr>
          <w:rFonts w:ascii="Verdana" w:hAnsi="Verdana"/>
          <w:sz w:val="15"/>
          <w:szCs w:val="15"/>
          <w:lang w:val="es-CO"/>
        </w:rPr>
      </w:pPr>
      <w:r w:rsidRPr="002A1671">
        <w:rPr>
          <w:rStyle w:val="Refdenotaalpie"/>
          <w:rFonts w:ascii="Verdana" w:hAnsi="Verdana"/>
          <w:sz w:val="15"/>
          <w:szCs w:val="15"/>
        </w:rPr>
        <w:footnoteRef/>
      </w:r>
      <w:r w:rsidRPr="002A1671">
        <w:rPr>
          <w:rFonts w:ascii="Verdana" w:hAnsi="Verdana"/>
          <w:sz w:val="15"/>
          <w:szCs w:val="15"/>
        </w:rPr>
        <w:t xml:space="preserve"> </w:t>
      </w:r>
      <w:r w:rsidRPr="002A1671">
        <w:rPr>
          <w:rFonts w:ascii="Verdana" w:hAnsi="Verdana"/>
          <w:sz w:val="15"/>
          <w:szCs w:val="15"/>
          <w:lang w:val="es-CO"/>
        </w:rPr>
        <w:t xml:space="preserve">“Artículo 21. DIVULGACIÓN PARCIAL Y OTRAS REGLAS. En aquellas circunstancias en que la totalidad de la información contenida en un documento no esté protegida por una excepción contenida en la presente ley, debe hacerse una versión pública que mantenga la reserva únicamente de la parte indispensable. La información pública que no cae en ningún supuesto de excepción deberá ser entregada a la parte solicitante, así como ser de conocimiento público. La reserva de acceso a la información opera respecto del contenido de un documento público, pero no de su existencia. </w:t>
      </w:r>
    </w:p>
    <w:p w14:paraId="6801C756" w14:textId="77777777" w:rsidR="00F97C59" w:rsidRPr="002A1671" w:rsidRDefault="00F97C59" w:rsidP="00F97C59">
      <w:pPr>
        <w:pStyle w:val="Textonotapie"/>
        <w:ind w:firstLine="708"/>
        <w:jc w:val="both"/>
        <w:rPr>
          <w:rFonts w:ascii="Verdana" w:hAnsi="Verdana"/>
          <w:sz w:val="15"/>
          <w:szCs w:val="15"/>
          <w:lang w:val="es-CO"/>
        </w:rPr>
      </w:pPr>
      <w:r w:rsidRPr="002A1671">
        <w:rPr>
          <w:rFonts w:ascii="Verdana" w:hAnsi="Verdana"/>
          <w:sz w:val="15"/>
          <w:szCs w:val="15"/>
          <w:lang w:val="es-CO"/>
        </w:rPr>
        <w:t xml:space="preserve">Ninguna autoridad pública puede negarse a indicar si un documento obra o no en su poder o negar la divulgación de un documento, salvo que el daño causado al interés protegido sea mayor al interés público de obtener acceso a la información. </w:t>
      </w:r>
    </w:p>
    <w:p w14:paraId="274915CB" w14:textId="77777777" w:rsidR="00F97C59" w:rsidRPr="002A1671" w:rsidRDefault="00F97C59" w:rsidP="00F97C59">
      <w:pPr>
        <w:pStyle w:val="Textonotapie"/>
        <w:ind w:firstLine="708"/>
        <w:jc w:val="both"/>
        <w:rPr>
          <w:rFonts w:ascii="Verdana" w:hAnsi="Verdana"/>
          <w:sz w:val="15"/>
          <w:szCs w:val="15"/>
          <w:lang w:val="es-CO"/>
        </w:rPr>
      </w:pPr>
      <w:r w:rsidRPr="002A1671">
        <w:rPr>
          <w:rFonts w:ascii="Verdana" w:hAnsi="Verdana"/>
          <w:sz w:val="15"/>
          <w:szCs w:val="15"/>
          <w:lang w:val="es-CO"/>
        </w:rPr>
        <w:t>Las excepciones de acceso a la información contenidas en la presente ley no aplican en casos de violación de derechos humanos o delitos de lesa humanidad, y en todo caso deberán protegerse los derechos de las víctimas de dichas violaciones”.</w:t>
      </w:r>
    </w:p>
  </w:footnote>
  <w:footnote w:id="13">
    <w:p w14:paraId="39D5E7A3" w14:textId="77777777" w:rsidR="00F97C59" w:rsidRPr="002A1671" w:rsidRDefault="00F97C59" w:rsidP="00F97C59">
      <w:pPr>
        <w:pStyle w:val="Textonotapie"/>
        <w:ind w:firstLine="708"/>
        <w:jc w:val="both"/>
        <w:rPr>
          <w:rFonts w:ascii="Verdana" w:hAnsi="Verdana"/>
          <w:sz w:val="15"/>
          <w:szCs w:val="15"/>
          <w:lang w:val="es-CO"/>
        </w:rPr>
      </w:pPr>
      <w:r w:rsidRPr="002A1671">
        <w:rPr>
          <w:rStyle w:val="Refdenotaalpie"/>
          <w:rFonts w:ascii="Verdana" w:hAnsi="Verdana"/>
          <w:sz w:val="15"/>
          <w:szCs w:val="15"/>
        </w:rPr>
        <w:footnoteRef/>
      </w:r>
      <w:r w:rsidRPr="002A1671">
        <w:rPr>
          <w:rFonts w:ascii="Verdana" w:hAnsi="Verdana"/>
          <w:sz w:val="15"/>
          <w:szCs w:val="15"/>
        </w:rPr>
        <w:t xml:space="preserve"> </w:t>
      </w:r>
      <w:r w:rsidRPr="002A1671">
        <w:rPr>
          <w:rFonts w:ascii="Verdana" w:hAnsi="Verdana"/>
          <w:sz w:val="15"/>
          <w:szCs w:val="15"/>
          <w:lang w:val="es-CO"/>
        </w:rPr>
        <w:t>Artículo 7.1.3. Reserva de la información. Criterios. En concordancia con lo establecido en la Ley 1712 de 2014, Ley de transparencia y de Acceso a la Información Pública, la reserva aplica a la información, no a los documentos, para lo cual el responsable de la información verificará qué información está sometida a reserva y cuál no, y elaborará una versión pública que mantenga la reserva de los titulares de los datos, para garantizar el principio de máxima publicidad y conforme a las disposiciones legales vigentes sobre el acceso a la información.</w:t>
      </w:r>
    </w:p>
    <w:p w14:paraId="5E24185A" w14:textId="77777777" w:rsidR="00F97C59" w:rsidRPr="002A1671" w:rsidRDefault="00F97C59" w:rsidP="00F97C59">
      <w:pPr>
        <w:pStyle w:val="Textonotapie"/>
        <w:ind w:firstLine="708"/>
        <w:jc w:val="both"/>
        <w:rPr>
          <w:rFonts w:ascii="Verdana" w:hAnsi="Verdana"/>
          <w:sz w:val="15"/>
          <w:szCs w:val="15"/>
          <w:lang w:val="es-CO"/>
        </w:rPr>
      </w:pPr>
      <w:r w:rsidRPr="002A1671">
        <w:rPr>
          <w:rFonts w:ascii="Verdana" w:hAnsi="Verdana"/>
          <w:sz w:val="15"/>
          <w:szCs w:val="15"/>
          <w:lang w:val="es-CO"/>
        </w:rPr>
        <w:t xml:space="preserve">Parágrafo 1. De existir reserva legal, se aplicarán, como mínimo, los siguientes criterios: </w:t>
      </w:r>
    </w:p>
    <w:p w14:paraId="29C7211E" w14:textId="77777777" w:rsidR="00F97C59" w:rsidRPr="002A1671" w:rsidRDefault="00F97C59" w:rsidP="00F97C59">
      <w:pPr>
        <w:pStyle w:val="Textonotapie"/>
        <w:ind w:firstLine="708"/>
        <w:jc w:val="both"/>
        <w:rPr>
          <w:rFonts w:ascii="Verdana" w:hAnsi="Verdana"/>
          <w:sz w:val="15"/>
          <w:szCs w:val="15"/>
          <w:lang w:val="es-CO"/>
        </w:rPr>
      </w:pPr>
      <w:r w:rsidRPr="002A1671">
        <w:rPr>
          <w:rFonts w:ascii="Verdana" w:hAnsi="Verdana"/>
          <w:sz w:val="15"/>
          <w:szCs w:val="15"/>
          <w:lang w:val="es-CO"/>
        </w:rPr>
        <w:t xml:space="preserve">1. La reserva opera sobre el contenido del documento, no sobre la existencia de este. Estos documentos deben ser identificados de manera clara en los instrumentos de la gestión de información pública. </w:t>
      </w:r>
    </w:p>
    <w:p w14:paraId="574E4F5E" w14:textId="77777777" w:rsidR="00F97C59" w:rsidRPr="002A1671" w:rsidRDefault="00F97C59" w:rsidP="00F97C59">
      <w:pPr>
        <w:pStyle w:val="Textonotapie"/>
        <w:ind w:firstLine="708"/>
        <w:jc w:val="both"/>
        <w:rPr>
          <w:rFonts w:ascii="Verdana" w:hAnsi="Verdana"/>
          <w:sz w:val="15"/>
          <w:szCs w:val="15"/>
          <w:lang w:val="es-CO"/>
        </w:rPr>
      </w:pPr>
      <w:r w:rsidRPr="002A1671">
        <w:rPr>
          <w:rFonts w:ascii="Verdana" w:hAnsi="Verdana"/>
          <w:sz w:val="15"/>
          <w:szCs w:val="15"/>
          <w:lang w:val="es-CO"/>
        </w:rPr>
        <w:t xml:space="preserve">2. La reserva legal solo opera sobre la información que compromete derechos fundamentales o bienes constitucionales, no sobre los procesos o actuaciones de los que hace parte. Para tal efecto se realizarán versiones públicas de estos documentos, que impidan la identificación de los titulares de los datos personales, como lo ordena la normativa vigente. </w:t>
      </w:r>
    </w:p>
    <w:p w14:paraId="7247B052" w14:textId="77777777" w:rsidR="00F97C59" w:rsidRPr="002A1671" w:rsidRDefault="00F97C59" w:rsidP="00F97C59">
      <w:pPr>
        <w:pStyle w:val="Textonotapie"/>
        <w:ind w:firstLine="708"/>
        <w:jc w:val="both"/>
        <w:rPr>
          <w:rFonts w:ascii="Verdana" w:hAnsi="Verdana"/>
          <w:sz w:val="15"/>
          <w:szCs w:val="15"/>
          <w:lang w:val="es-CO"/>
        </w:rPr>
      </w:pPr>
      <w:r w:rsidRPr="002A1671">
        <w:rPr>
          <w:rFonts w:ascii="Verdana" w:hAnsi="Verdana"/>
          <w:sz w:val="15"/>
          <w:szCs w:val="15"/>
          <w:lang w:val="es-CO"/>
        </w:rPr>
        <w:t>3. La reserva deberá ser temporal, como lo determine la Ley.</w:t>
      </w:r>
    </w:p>
    <w:p w14:paraId="43443E90" w14:textId="77777777" w:rsidR="00F97C59" w:rsidRPr="001605A4" w:rsidRDefault="00F97C59" w:rsidP="00F97C59">
      <w:pPr>
        <w:pStyle w:val="Textonotapie"/>
        <w:ind w:firstLine="708"/>
        <w:jc w:val="both"/>
        <w:rPr>
          <w:lang w:val="es-ES"/>
        </w:rPr>
      </w:pPr>
      <w:r w:rsidRPr="002A1671">
        <w:rPr>
          <w:rFonts w:ascii="Verdana" w:hAnsi="Verdana"/>
          <w:sz w:val="15"/>
          <w:szCs w:val="15"/>
          <w:lang w:val="es-CO"/>
        </w:rPr>
        <w:t xml:space="preserve"> Parágrafo 2. Para elaborar versiones públicas de documentos que contengan información clasificada o reservada, la entidad aplicará estándares para la anonimización de datos. El proceso de anonimización de datos requiere una adecuada comprensión del propósito final y uso de la información. Por tal motivo, es importante que el administrador de los documentos identifique los datos objeto de anonimización en articulación con la normativa vigente para la protección de datos personales y acceso a la información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5.05pt" o:bullet="t">
        <v:imagedata r:id="rId1" o:title="mso1B13"/>
      </v:shape>
    </w:pict>
  </w:numPicBullet>
  <w:abstractNum w:abstractNumId="0" w15:restartNumberingAfterBreak="0">
    <w:nsid w:val="01C06310"/>
    <w:multiLevelType w:val="multilevel"/>
    <w:tmpl w:val="04207A36"/>
    <w:lvl w:ilvl="0">
      <w:start w:val="1"/>
      <w:numFmt w:val="decimal"/>
      <w:lvlText w:val="%1."/>
      <w:lvlJc w:val="lef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18679D0"/>
    <w:multiLevelType w:val="hybridMultilevel"/>
    <w:tmpl w:val="00200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97E2709"/>
    <w:multiLevelType w:val="hybridMultilevel"/>
    <w:tmpl w:val="527A8C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5"/>
  </w:num>
  <w:num w:numId="7" w16cid:durableId="1946422806">
    <w:abstractNumId w:val="5"/>
  </w:num>
  <w:num w:numId="8" w16cid:durableId="152644682">
    <w:abstractNumId w:val="14"/>
  </w:num>
  <w:num w:numId="9" w16cid:durableId="1317221377">
    <w:abstractNumId w:val="7"/>
  </w:num>
  <w:num w:numId="10" w16cid:durableId="1471245386">
    <w:abstractNumId w:val="13"/>
  </w:num>
  <w:num w:numId="11" w16cid:durableId="289172385">
    <w:abstractNumId w:val="8"/>
  </w:num>
  <w:num w:numId="12" w16cid:durableId="1470781324">
    <w:abstractNumId w:val="1"/>
  </w:num>
  <w:num w:numId="13" w16cid:durableId="1512908409">
    <w:abstractNumId w:val="3"/>
  </w:num>
  <w:num w:numId="14" w16cid:durableId="895897244">
    <w:abstractNumId w:val="16"/>
  </w:num>
  <w:num w:numId="15" w16cid:durableId="390349800">
    <w:abstractNumId w:val="12"/>
  </w:num>
  <w:num w:numId="16" w16cid:durableId="153255849">
    <w:abstractNumId w:val="10"/>
  </w:num>
  <w:num w:numId="17" w16cid:durableId="1337683695">
    <w:abstractNumId w:val="11"/>
  </w:num>
  <w:num w:numId="18" w16cid:durableId="1330140246">
    <w:abstractNumId w:val="0"/>
  </w:num>
  <w:num w:numId="19"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087C"/>
    <w:rsid w:val="00016F78"/>
    <w:rsid w:val="00024C1C"/>
    <w:rsid w:val="000345C1"/>
    <w:rsid w:val="00036AA7"/>
    <w:rsid w:val="00046945"/>
    <w:rsid w:val="00061B2A"/>
    <w:rsid w:val="00074C5E"/>
    <w:rsid w:val="00082362"/>
    <w:rsid w:val="00086D8D"/>
    <w:rsid w:val="000A0CC2"/>
    <w:rsid w:val="000A683E"/>
    <w:rsid w:val="000B19B9"/>
    <w:rsid w:val="000D0334"/>
    <w:rsid w:val="000D0AE6"/>
    <w:rsid w:val="000D5483"/>
    <w:rsid w:val="000D5DA7"/>
    <w:rsid w:val="000D6EBE"/>
    <w:rsid w:val="000E568A"/>
    <w:rsid w:val="000F6486"/>
    <w:rsid w:val="000F698C"/>
    <w:rsid w:val="0010639C"/>
    <w:rsid w:val="00116940"/>
    <w:rsid w:val="00125105"/>
    <w:rsid w:val="00127233"/>
    <w:rsid w:val="00135C72"/>
    <w:rsid w:val="00136A45"/>
    <w:rsid w:val="00140F1A"/>
    <w:rsid w:val="0015699B"/>
    <w:rsid w:val="00162582"/>
    <w:rsid w:val="00163105"/>
    <w:rsid w:val="0016549D"/>
    <w:rsid w:val="00190628"/>
    <w:rsid w:val="00191F69"/>
    <w:rsid w:val="001936B6"/>
    <w:rsid w:val="00196129"/>
    <w:rsid w:val="001A292F"/>
    <w:rsid w:val="001A33BF"/>
    <w:rsid w:val="001C05C1"/>
    <w:rsid w:val="001C35C1"/>
    <w:rsid w:val="001C5C1A"/>
    <w:rsid w:val="001D4B82"/>
    <w:rsid w:val="001E4177"/>
    <w:rsid w:val="001F0B24"/>
    <w:rsid w:val="001F7DC6"/>
    <w:rsid w:val="00203934"/>
    <w:rsid w:val="00203FA0"/>
    <w:rsid w:val="0021327D"/>
    <w:rsid w:val="0022400B"/>
    <w:rsid w:val="00237851"/>
    <w:rsid w:val="002421BB"/>
    <w:rsid w:val="00244FF0"/>
    <w:rsid w:val="002462E4"/>
    <w:rsid w:val="00246DE1"/>
    <w:rsid w:val="0025796E"/>
    <w:rsid w:val="00265E9B"/>
    <w:rsid w:val="002707A2"/>
    <w:rsid w:val="002758C3"/>
    <w:rsid w:val="0028259E"/>
    <w:rsid w:val="002951A0"/>
    <w:rsid w:val="002962BC"/>
    <w:rsid w:val="002A093D"/>
    <w:rsid w:val="002A0DD0"/>
    <w:rsid w:val="002A49AC"/>
    <w:rsid w:val="002A64FD"/>
    <w:rsid w:val="002B4931"/>
    <w:rsid w:val="002C43AF"/>
    <w:rsid w:val="002C6AD0"/>
    <w:rsid w:val="002C7A84"/>
    <w:rsid w:val="002D4B52"/>
    <w:rsid w:val="002D7090"/>
    <w:rsid w:val="002E2BF8"/>
    <w:rsid w:val="002E4FD9"/>
    <w:rsid w:val="002E641B"/>
    <w:rsid w:val="002E7260"/>
    <w:rsid w:val="0030657A"/>
    <w:rsid w:val="00310BBF"/>
    <w:rsid w:val="00317BC5"/>
    <w:rsid w:val="00322A85"/>
    <w:rsid w:val="00324168"/>
    <w:rsid w:val="00330834"/>
    <w:rsid w:val="003423EC"/>
    <w:rsid w:val="003448F4"/>
    <w:rsid w:val="003513CE"/>
    <w:rsid w:val="00374F5E"/>
    <w:rsid w:val="00375128"/>
    <w:rsid w:val="00377292"/>
    <w:rsid w:val="00377E3E"/>
    <w:rsid w:val="00395916"/>
    <w:rsid w:val="0039693E"/>
    <w:rsid w:val="003A1640"/>
    <w:rsid w:val="003A39D6"/>
    <w:rsid w:val="003A779E"/>
    <w:rsid w:val="003C0C02"/>
    <w:rsid w:val="003D0F4D"/>
    <w:rsid w:val="003D5B0D"/>
    <w:rsid w:val="003E0499"/>
    <w:rsid w:val="003E4F80"/>
    <w:rsid w:val="003E6439"/>
    <w:rsid w:val="003E6708"/>
    <w:rsid w:val="003F3941"/>
    <w:rsid w:val="003F641D"/>
    <w:rsid w:val="00403098"/>
    <w:rsid w:val="00406305"/>
    <w:rsid w:val="00406575"/>
    <w:rsid w:val="00414C74"/>
    <w:rsid w:val="0041563E"/>
    <w:rsid w:val="0041570A"/>
    <w:rsid w:val="004169F9"/>
    <w:rsid w:val="00417CBA"/>
    <w:rsid w:val="0042722E"/>
    <w:rsid w:val="0043057E"/>
    <w:rsid w:val="0044528D"/>
    <w:rsid w:val="00455B84"/>
    <w:rsid w:val="00461B5C"/>
    <w:rsid w:val="004668C3"/>
    <w:rsid w:val="00466E39"/>
    <w:rsid w:val="00490C3F"/>
    <w:rsid w:val="004A1847"/>
    <w:rsid w:val="004A305D"/>
    <w:rsid w:val="004A7F0E"/>
    <w:rsid w:val="004B18C3"/>
    <w:rsid w:val="004D5C1D"/>
    <w:rsid w:val="004F21C4"/>
    <w:rsid w:val="004F685F"/>
    <w:rsid w:val="004F7642"/>
    <w:rsid w:val="00514CA0"/>
    <w:rsid w:val="00515F5A"/>
    <w:rsid w:val="005356A3"/>
    <w:rsid w:val="00540DE8"/>
    <w:rsid w:val="005530FC"/>
    <w:rsid w:val="005566E8"/>
    <w:rsid w:val="00560240"/>
    <w:rsid w:val="0056534E"/>
    <w:rsid w:val="0057010E"/>
    <w:rsid w:val="00574867"/>
    <w:rsid w:val="00583C10"/>
    <w:rsid w:val="00591460"/>
    <w:rsid w:val="00592FAE"/>
    <w:rsid w:val="005A65E0"/>
    <w:rsid w:val="005A6EAA"/>
    <w:rsid w:val="005C3777"/>
    <w:rsid w:val="005C450C"/>
    <w:rsid w:val="005C5CDC"/>
    <w:rsid w:val="005D476C"/>
    <w:rsid w:val="005F2A9F"/>
    <w:rsid w:val="006140E5"/>
    <w:rsid w:val="006200BF"/>
    <w:rsid w:val="006219F8"/>
    <w:rsid w:val="006302F7"/>
    <w:rsid w:val="006324A6"/>
    <w:rsid w:val="006341AC"/>
    <w:rsid w:val="00646B9F"/>
    <w:rsid w:val="0065207A"/>
    <w:rsid w:val="00656C5A"/>
    <w:rsid w:val="00660BA9"/>
    <w:rsid w:val="00665D70"/>
    <w:rsid w:val="00670958"/>
    <w:rsid w:val="00680FA2"/>
    <w:rsid w:val="00681EB8"/>
    <w:rsid w:val="006900D9"/>
    <w:rsid w:val="00694FFA"/>
    <w:rsid w:val="006A39FE"/>
    <w:rsid w:val="006A72EA"/>
    <w:rsid w:val="006C10F6"/>
    <w:rsid w:val="006C635A"/>
    <w:rsid w:val="006C696D"/>
    <w:rsid w:val="006C6D09"/>
    <w:rsid w:val="006C74A0"/>
    <w:rsid w:val="006D0E8A"/>
    <w:rsid w:val="006D3F0D"/>
    <w:rsid w:val="006E6CA1"/>
    <w:rsid w:val="00706C16"/>
    <w:rsid w:val="0071081F"/>
    <w:rsid w:val="00723B06"/>
    <w:rsid w:val="007340C3"/>
    <w:rsid w:val="0075235A"/>
    <w:rsid w:val="00754FEF"/>
    <w:rsid w:val="00756841"/>
    <w:rsid w:val="0076133E"/>
    <w:rsid w:val="00762955"/>
    <w:rsid w:val="007649AB"/>
    <w:rsid w:val="00770354"/>
    <w:rsid w:val="00771D0C"/>
    <w:rsid w:val="0077546D"/>
    <w:rsid w:val="00777EFC"/>
    <w:rsid w:val="00782D77"/>
    <w:rsid w:val="007833AC"/>
    <w:rsid w:val="007951C8"/>
    <w:rsid w:val="007A15D6"/>
    <w:rsid w:val="007A7747"/>
    <w:rsid w:val="007B268C"/>
    <w:rsid w:val="007B2A07"/>
    <w:rsid w:val="007B7171"/>
    <w:rsid w:val="007C0C0F"/>
    <w:rsid w:val="007C3DC2"/>
    <w:rsid w:val="007C725D"/>
    <w:rsid w:val="007D5FE8"/>
    <w:rsid w:val="007E5497"/>
    <w:rsid w:val="007E6D80"/>
    <w:rsid w:val="00801DCF"/>
    <w:rsid w:val="008053F4"/>
    <w:rsid w:val="00806F5F"/>
    <w:rsid w:val="00814FC2"/>
    <w:rsid w:val="00820278"/>
    <w:rsid w:val="008258C9"/>
    <w:rsid w:val="00835D30"/>
    <w:rsid w:val="00836CA4"/>
    <w:rsid w:val="00837DBF"/>
    <w:rsid w:val="00844AE9"/>
    <w:rsid w:val="00850DED"/>
    <w:rsid w:val="008663DC"/>
    <w:rsid w:val="00867F95"/>
    <w:rsid w:val="008711E4"/>
    <w:rsid w:val="00871875"/>
    <w:rsid w:val="008843B6"/>
    <w:rsid w:val="00886C81"/>
    <w:rsid w:val="00891928"/>
    <w:rsid w:val="008A0E0E"/>
    <w:rsid w:val="008A446D"/>
    <w:rsid w:val="008B0E2A"/>
    <w:rsid w:val="008B25F1"/>
    <w:rsid w:val="008D05BE"/>
    <w:rsid w:val="008D0668"/>
    <w:rsid w:val="008D180B"/>
    <w:rsid w:val="008F0EA7"/>
    <w:rsid w:val="00923EEF"/>
    <w:rsid w:val="00937E90"/>
    <w:rsid w:val="009419F9"/>
    <w:rsid w:val="0095685E"/>
    <w:rsid w:val="009619AC"/>
    <w:rsid w:val="00961B09"/>
    <w:rsid w:val="00965334"/>
    <w:rsid w:val="0097093E"/>
    <w:rsid w:val="009735E1"/>
    <w:rsid w:val="009749E9"/>
    <w:rsid w:val="00993A1C"/>
    <w:rsid w:val="009A078B"/>
    <w:rsid w:val="009A0DFA"/>
    <w:rsid w:val="009A1074"/>
    <w:rsid w:val="009A1C6F"/>
    <w:rsid w:val="009B2D26"/>
    <w:rsid w:val="009C0C7A"/>
    <w:rsid w:val="009C52EA"/>
    <w:rsid w:val="009C531E"/>
    <w:rsid w:val="009C71FA"/>
    <w:rsid w:val="009C72E7"/>
    <w:rsid w:val="009C7F7E"/>
    <w:rsid w:val="009D3058"/>
    <w:rsid w:val="009D58BA"/>
    <w:rsid w:val="009E27D4"/>
    <w:rsid w:val="009F3A13"/>
    <w:rsid w:val="00A00A3A"/>
    <w:rsid w:val="00A047AA"/>
    <w:rsid w:val="00A113F8"/>
    <w:rsid w:val="00A122D3"/>
    <w:rsid w:val="00A138A0"/>
    <w:rsid w:val="00A14468"/>
    <w:rsid w:val="00A17F13"/>
    <w:rsid w:val="00A20739"/>
    <w:rsid w:val="00A23A49"/>
    <w:rsid w:val="00A23AF9"/>
    <w:rsid w:val="00A30E20"/>
    <w:rsid w:val="00A33522"/>
    <w:rsid w:val="00A33C78"/>
    <w:rsid w:val="00A5471E"/>
    <w:rsid w:val="00A5679D"/>
    <w:rsid w:val="00A86538"/>
    <w:rsid w:val="00A93BC9"/>
    <w:rsid w:val="00AA48B9"/>
    <w:rsid w:val="00AA7BB8"/>
    <w:rsid w:val="00AB016F"/>
    <w:rsid w:val="00AB0923"/>
    <w:rsid w:val="00AB0ADB"/>
    <w:rsid w:val="00AC0871"/>
    <w:rsid w:val="00AC13BE"/>
    <w:rsid w:val="00AC3EFB"/>
    <w:rsid w:val="00AE50A5"/>
    <w:rsid w:val="00AE6E0E"/>
    <w:rsid w:val="00AF0008"/>
    <w:rsid w:val="00AF233C"/>
    <w:rsid w:val="00AF4881"/>
    <w:rsid w:val="00AF744C"/>
    <w:rsid w:val="00B00C0E"/>
    <w:rsid w:val="00B01B1A"/>
    <w:rsid w:val="00B034F7"/>
    <w:rsid w:val="00B0381D"/>
    <w:rsid w:val="00B258BA"/>
    <w:rsid w:val="00B44A47"/>
    <w:rsid w:val="00B452B2"/>
    <w:rsid w:val="00B50C95"/>
    <w:rsid w:val="00B554D3"/>
    <w:rsid w:val="00B72CD3"/>
    <w:rsid w:val="00B72FFF"/>
    <w:rsid w:val="00B7308D"/>
    <w:rsid w:val="00B9394F"/>
    <w:rsid w:val="00B975D0"/>
    <w:rsid w:val="00BA2AE4"/>
    <w:rsid w:val="00BC3D36"/>
    <w:rsid w:val="00BD54A6"/>
    <w:rsid w:val="00BD7F72"/>
    <w:rsid w:val="00BF0FA1"/>
    <w:rsid w:val="00BF7425"/>
    <w:rsid w:val="00C04FB3"/>
    <w:rsid w:val="00C10EED"/>
    <w:rsid w:val="00C11D8B"/>
    <w:rsid w:val="00C15139"/>
    <w:rsid w:val="00C16BEE"/>
    <w:rsid w:val="00C16CC7"/>
    <w:rsid w:val="00C22B4A"/>
    <w:rsid w:val="00C330EB"/>
    <w:rsid w:val="00C33B4F"/>
    <w:rsid w:val="00C41F9F"/>
    <w:rsid w:val="00C465BB"/>
    <w:rsid w:val="00C50D69"/>
    <w:rsid w:val="00C5365C"/>
    <w:rsid w:val="00C54759"/>
    <w:rsid w:val="00C578D9"/>
    <w:rsid w:val="00C602B1"/>
    <w:rsid w:val="00C60EED"/>
    <w:rsid w:val="00C6180C"/>
    <w:rsid w:val="00C632DE"/>
    <w:rsid w:val="00C73472"/>
    <w:rsid w:val="00C74891"/>
    <w:rsid w:val="00C754BE"/>
    <w:rsid w:val="00C76B1C"/>
    <w:rsid w:val="00C77C34"/>
    <w:rsid w:val="00C92378"/>
    <w:rsid w:val="00C925AC"/>
    <w:rsid w:val="00C9428F"/>
    <w:rsid w:val="00CA564E"/>
    <w:rsid w:val="00CB0D8A"/>
    <w:rsid w:val="00CB6357"/>
    <w:rsid w:val="00CC1B26"/>
    <w:rsid w:val="00CC7966"/>
    <w:rsid w:val="00CD5C26"/>
    <w:rsid w:val="00CE4322"/>
    <w:rsid w:val="00CF1842"/>
    <w:rsid w:val="00D22DC0"/>
    <w:rsid w:val="00D34958"/>
    <w:rsid w:val="00D361FD"/>
    <w:rsid w:val="00D36A4E"/>
    <w:rsid w:val="00D40A09"/>
    <w:rsid w:val="00D423A2"/>
    <w:rsid w:val="00D44E26"/>
    <w:rsid w:val="00D520D8"/>
    <w:rsid w:val="00D61165"/>
    <w:rsid w:val="00D634EE"/>
    <w:rsid w:val="00D63AC2"/>
    <w:rsid w:val="00D7383B"/>
    <w:rsid w:val="00D7473A"/>
    <w:rsid w:val="00D7788A"/>
    <w:rsid w:val="00D92BA6"/>
    <w:rsid w:val="00DA04F3"/>
    <w:rsid w:val="00DA231B"/>
    <w:rsid w:val="00DA238A"/>
    <w:rsid w:val="00DC39FC"/>
    <w:rsid w:val="00DE0ED7"/>
    <w:rsid w:val="00DE1EFF"/>
    <w:rsid w:val="00DF5254"/>
    <w:rsid w:val="00E02524"/>
    <w:rsid w:val="00E16408"/>
    <w:rsid w:val="00E16E6D"/>
    <w:rsid w:val="00E20894"/>
    <w:rsid w:val="00E245AB"/>
    <w:rsid w:val="00E2764C"/>
    <w:rsid w:val="00E27F2E"/>
    <w:rsid w:val="00E30CE7"/>
    <w:rsid w:val="00E40E2D"/>
    <w:rsid w:val="00E43D38"/>
    <w:rsid w:val="00E50AFE"/>
    <w:rsid w:val="00E75C92"/>
    <w:rsid w:val="00E771DC"/>
    <w:rsid w:val="00E8772A"/>
    <w:rsid w:val="00E90F6B"/>
    <w:rsid w:val="00E92C27"/>
    <w:rsid w:val="00EA0DCB"/>
    <w:rsid w:val="00EA0E3D"/>
    <w:rsid w:val="00EA2C69"/>
    <w:rsid w:val="00EA65DE"/>
    <w:rsid w:val="00EB26A2"/>
    <w:rsid w:val="00EC38A7"/>
    <w:rsid w:val="00EC79A2"/>
    <w:rsid w:val="00ED300E"/>
    <w:rsid w:val="00EE1AA8"/>
    <w:rsid w:val="00EF437B"/>
    <w:rsid w:val="00F03C66"/>
    <w:rsid w:val="00F15EA5"/>
    <w:rsid w:val="00F17C48"/>
    <w:rsid w:val="00F21A9D"/>
    <w:rsid w:val="00F23FEA"/>
    <w:rsid w:val="00F31EDC"/>
    <w:rsid w:val="00F34B7E"/>
    <w:rsid w:val="00F42A4A"/>
    <w:rsid w:val="00F462B3"/>
    <w:rsid w:val="00F52600"/>
    <w:rsid w:val="00F5664F"/>
    <w:rsid w:val="00F578BA"/>
    <w:rsid w:val="00F62223"/>
    <w:rsid w:val="00F666C4"/>
    <w:rsid w:val="00F76AFC"/>
    <w:rsid w:val="00F80A26"/>
    <w:rsid w:val="00F87489"/>
    <w:rsid w:val="00F97C59"/>
    <w:rsid w:val="00FA47C0"/>
    <w:rsid w:val="00FB560F"/>
    <w:rsid w:val="00FB59D7"/>
    <w:rsid w:val="00FB5DD1"/>
    <w:rsid w:val="00FB7E3A"/>
    <w:rsid w:val="00FC2B5D"/>
    <w:rsid w:val="00FC6DA1"/>
    <w:rsid w:val="00FE0A8B"/>
    <w:rsid w:val="00FE3E7C"/>
    <w:rsid w:val="00FF1449"/>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3E670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3E6708"/>
    <w:rPr>
      <w:rFonts w:ascii="Geomanist Light" w:hAnsi="Geomanist Light"/>
      <w:lang w:val="es-ES"/>
    </w:rPr>
  </w:style>
  <w:style w:type="character" w:customStyle="1" w:styleId="NormalWebCar">
    <w:name w:val="Normal (Web) Car"/>
    <w:link w:val="NormalWeb"/>
    <w:uiPriority w:val="99"/>
    <w:rsid w:val="003E6708"/>
    <w:rPr>
      <w:rFonts w:ascii="Times New Roman" w:eastAsia="Times New Roman" w:hAnsi="Times New Roman" w:cs="Times New Roman"/>
      <w:sz w:val="24"/>
      <w:szCs w:val="24"/>
      <w:lang w:eastAsia="es-CO"/>
    </w:rPr>
  </w:style>
  <w:style w:type="paragraph" w:styleId="Sinespaciado">
    <w:name w:val="No Spacing"/>
    <w:aliases w:val="No Indent"/>
    <w:uiPriority w:val="3"/>
    <w:qFormat/>
    <w:rsid w:val="003E6708"/>
    <w:pPr>
      <w:spacing w:after="0" w:line="240" w:lineRule="auto"/>
    </w:pPr>
    <w:rPr>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francisco.rossi@rossiabogados.com"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8EF2B-06EE-446E-AE55-D2A0E3D20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8A93531D-73E5-46E8-8A49-6F98E2DD0E9B}">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7</TotalTime>
  <Pages>22</Pages>
  <Words>6788</Words>
  <Characters>37335</Characters>
  <Application>Microsoft Office Word</Application>
  <DocSecurity>0</DocSecurity>
  <Lines>311</Lines>
  <Paragraphs>88</Paragraphs>
  <ScaleCrop>false</ScaleCrop>
  <Company/>
  <LinksUpToDate>false</LinksUpToDate>
  <CharactersWithSpaces>44035</CharactersWithSpaces>
  <SharedDoc>false</SharedDoc>
  <HLinks>
    <vt:vector size="6" baseType="variant">
      <vt:variant>
        <vt:i4>7209021</vt:i4>
      </vt:variant>
      <vt:variant>
        <vt:i4>0</vt:i4>
      </vt:variant>
      <vt:variant>
        <vt:i4>0</vt:i4>
      </vt:variant>
      <vt:variant>
        <vt:i4>5</vt:i4>
      </vt:variant>
      <vt:variant>
        <vt:lpwstr>https://relatoria.colombiacompra.gov.co/busqueda/concept 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2026-07-15T18:38:00Z</dcterms:created>
  <dcterms:modified xsi:type="dcterms:W3CDTF">2026-07-16T00:20:00Z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