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0E59A" w14:textId="77777777" w:rsidR="00612CD4" w:rsidRDefault="00612CD4" w:rsidP="00612CD4">
      <w:pPr>
        <w:jc w:val="both"/>
        <w:rPr>
          <w:rFonts w:ascii="Verdana" w:eastAsia="Calibri" w:hAnsi="Verdana" w:cs="Arial"/>
          <w:b/>
          <w:bCs/>
          <w:lang w:val="es-ES"/>
        </w:rPr>
      </w:pPr>
      <w:bookmarkStart w:id="0" w:name="_Hlk143780582"/>
      <w:r w:rsidRPr="00612CD4">
        <w:rPr>
          <w:rFonts w:ascii="Verdana" w:eastAsia="Calibri" w:hAnsi="Verdana" w:cs="Arial"/>
          <w:b/>
          <w:bCs/>
          <w:lang w:val="es-ES"/>
        </w:rPr>
        <w:t xml:space="preserve">LEY DE EMPRENDIMIENTO – Ley 2069 de 2020 – Contenido </w:t>
      </w:r>
    </w:p>
    <w:p w14:paraId="638B58FB" w14:textId="77777777" w:rsidR="00612CD4" w:rsidRDefault="00612CD4" w:rsidP="00A03AC4">
      <w:pPr>
        <w:spacing w:after="0" w:line="240" w:lineRule="auto"/>
        <w:jc w:val="both"/>
        <w:rPr>
          <w:sz w:val="20"/>
          <w:szCs w:val="20"/>
          <w:lang w:val="es-ES_tradnl"/>
        </w:rPr>
      </w:pPr>
      <w:r w:rsidRPr="00612CD4">
        <w:rPr>
          <w:rFonts w:ascii="Verdana" w:hAnsi="Verdana" w:cs="Arial"/>
          <w:bCs/>
          <w:color w:val="000000" w:themeColor="text1"/>
          <w:sz w:val="20"/>
          <w:szCs w:val="20"/>
          <w:lang w:val="es-MX"/>
        </w:rPr>
        <w:t>La Ley 2069 de 2020</w:t>
      </w:r>
      <w:r w:rsidRPr="00612CD4">
        <w:rPr>
          <w:rFonts w:ascii="Verdana" w:hAnsi="Verdana" w:cs="Arial"/>
          <w:bCs/>
          <w:color w:val="000000" w:themeColor="text1"/>
          <w:sz w:val="20"/>
          <w:szCs w:val="20"/>
          <w:lang w:val="es-MX"/>
        </w:rPr>
        <w:t xml:space="preserve"> […] </w:t>
      </w:r>
      <w:r w:rsidRPr="00612CD4">
        <w:rPr>
          <w:rFonts w:ascii="Verdana" w:eastAsia="Calibri" w:hAnsi="Verdana" w:cs="Arial"/>
          <w:sz w:val="20"/>
          <w:szCs w:val="20"/>
        </w:rPr>
        <w:t>contiene normas que modifican algunos aspectos de la contratación estatal para promover el emprendimiento.</w:t>
      </w:r>
      <w:r w:rsidRPr="00612CD4">
        <w:rPr>
          <w:rFonts w:ascii="Verdana" w:eastAsia="Calibri" w:hAnsi="Verdana" w:cs="Arial"/>
          <w:sz w:val="20"/>
          <w:szCs w:val="20"/>
        </w:rPr>
        <w:t xml:space="preserve"> […] </w:t>
      </w:r>
      <w:r w:rsidRPr="00612CD4">
        <w:rPr>
          <w:rFonts w:ascii="Verdana" w:eastAsia="Calibri" w:hAnsi="Verdana" w:cs="Arial"/>
          <w:sz w:val="20"/>
          <w:szCs w:val="20"/>
        </w:rPr>
        <w:t>El artículo 35 de la Ley 2069 de 2020 define un nuevo marco jurídico en relación con los criterios de desempate previstos en los procesos de contratación realizados con cargo a recursos públicos, los procesos de contratación efectuados por las entidades estatales indistintamente de su régimen de contratación, así como los procesos de contratación adelantados por patrimonios autónomos constituidos por entidades estatales.</w:t>
      </w:r>
    </w:p>
    <w:p w14:paraId="55B0F587" w14:textId="77777777" w:rsidR="00A03AC4" w:rsidRDefault="00A03AC4" w:rsidP="00A03AC4">
      <w:pPr>
        <w:spacing w:after="0" w:line="240" w:lineRule="auto"/>
        <w:jc w:val="both"/>
        <w:rPr>
          <w:rFonts w:ascii="Verdana" w:hAnsi="Verdana" w:cs="Arial"/>
          <w:b/>
          <w:bCs/>
          <w:lang w:val="es-ES"/>
        </w:rPr>
      </w:pPr>
    </w:p>
    <w:p w14:paraId="2A3FC529" w14:textId="53B80552" w:rsidR="00612CD4" w:rsidRPr="00612CD4" w:rsidRDefault="00612CD4" w:rsidP="00612CD4">
      <w:pPr>
        <w:spacing w:after="0" w:line="240" w:lineRule="auto"/>
        <w:jc w:val="both"/>
        <w:rPr>
          <w:sz w:val="20"/>
          <w:szCs w:val="20"/>
          <w:lang w:val="es-ES_tradnl"/>
        </w:rPr>
      </w:pPr>
      <w:r w:rsidRPr="00612CD4">
        <w:rPr>
          <w:rFonts w:ascii="Verdana" w:hAnsi="Verdana" w:cs="Arial"/>
          <w:b/>
          <w:bCs/>
          <w:lang w:val="es-ES"/>
        </w:rPr>
        <w:t xml:space="preserve">FACTORES DE DESEMPATE – Ley 2069 de 2020 – Artículo 35 </w:t>
      </w:r>
    </w:p>
    <w:p w14:paraId="2AF144E7" w14:textId="77777777" w:rsidR="00612CD4" w:rsidRPr="00A03AC4" w:rsidRDefault="00612CD4" w:rsidP="00A03AC4">
      <w:pPr>
        <w:spacing w:after="0" w:line="240" w:lineRule="auto"/>
        <w:jc w:val="both"/>
        <w:rPr>
          <w:rFonts w:ascii="Verdana" w:hAnsi="Verdana" w:cs="Arial"/>
          <w:b/>
          <w:bCs/>
          <w:sz w:val="20"/>
          <w:szCs w:val="20"/>
          <w:lang w:val="es-ES"/>
        </w:rPr>
      </w:pPr>
    </w:p>
    <w:p w14:paraId="04F13D48" w14:textId="77777777" w:rsidR="00A03AC4" w:rsidRDefault="00612CD4" w:rsidP="00A03AC4">
      <w:pPr>
        <w:spacing w:after="0" w:line="240" w:lineRule="auto"/>
        <w:jc w:val="both"/>
        <w:rPr>
          <w:rFonts w:ascii="Verdana" w:hAnsi="Verdana" w:cs="Arial"/>
          <w:sz w:val="20"/>
          <w:szCs w:val="20"/>
          <w:lang w:val="es-ES"/>
        </w:rPr>
      </w:pPr>
      <w:r w:rsidRPr="00A03AC4">
        <w:rPr>
          <w:rFonts w:ascii="Verdana" w:eastAsia="Calibri" w:hAnsi="Verdana" w:cs="Arial"/>
          <w:sz w:val="20"/>
          <w:szCs w:val="20"/>
          <w:lang w:val="es-ES"/>
        </w:rPr>
        <w:t xml:space="preserve">Al respecto, debe señalarse que, </w:t>
      </w:r>
      <w:r w:rsidRPr="00A03AC4">
        <w:rPr>
          <w:rFonts w:ascii="Verdana" w:hAnsi="Verdana" w:cs="Arial"/>
          <w:sz w:val="20"/>
          <w:szCs w:val="20"/>
          <w:lang w:val="es-ES"/>
        </w:rPr>
        <w:t>los factores de desempate regulados en el artículo 35 deben aplicarse “[…] de forma sucesiva y excluyente para seleccionar al oferente favorecido, respetando en todo caso los compromisos internacionales vigentes” –según lo dispone el inciso primero–.</w:t>
      </w:r>
      <w:r w:rsidR="00A03AC4" w:rsidRPr="00A03AC4">
        <w:rPr>
          <w:sz w:val="20"/>
          <w:szCs w:val="20"/>
        </w:rPr>
        <w:t xml:space="preserve"> </w:t>
      </w:r>
      <w:r w:rsidR="00A03AC4" w:rsidRPr="00A03AC4">
        <w:rPr>
          <w:rFonts w:ascii="Verdana" w:hAnsi="Verdana" w:cs="Arial"/>
          <w:sz w:val="20"/>
          <w:szCs w:val="20"/>
          <w:lang w:val="es-ES"/>
        </w:rPr>
        <w:t xml:space="preserve">Así mismo, el parágrafo tercero del mencionado artículo establece que “El Gobierno Nacional podrá reglamentar la aplicación de factores de desempate en casos en que concurran dos o más de los factores aquí previstos”. En otras palabras, dicho parágrafo le asigna potestad reglamentaria al gobierno nacional para definir factores que permitan desempatar las ofertas en aquellos casos en que varios oferentes reúnan al tiempo dos o más de los factores previstos en el artículo 35. </w:t>
      </w:r>
    </w:p>
    <w:p w14:paraId="24FCCF2B" w14:textId="77777777" w:rsidR="00A03AC4" w:rsidRDefault="00A03AC4" w:rsidP="00A03AC4">
      <w:pPr>
        <w:spacing w:after="0" w:line="240" w:lineRule="auto"/>
        <w:jc w:val="both"/>
        <w:rPr>
          <w:rFonts w:ascii="Verdana" w:hAnsi="Verdana" w:cs="Arial"/>
          <w:sz w:val="20"/>
          <w:szCs w:val="20"/>
          <w:lang w:val="es-ES"/>
        </w:rPr>
      </w:pPr>
    </w:p>
    <w:p w14:paraId="7C9FC67B" w14:textId="65591162" w:rsidR="00A03AC4" w:rsidRDefault="00A03AC4" w:rsidP="00A03AC4">
      <w:pPr>
        <w:spacing w:after="0" w:line="240" w:lineRule="auto"/>
        <w:jc w:val="both"/>
        <w:rPr>
          <w:rFonts w:ascii="Verdana" w:hAnsi="Verdana" w:cs="Arial"/>
          <w:sz w:val="20"/>
          <w:szCs w:val="20"/>
          <w:lang w:val="es-ES"/>
        </w:rPr>
      </w:pPr>
      <w:r w:rsidRPr="00A03AC4">
        <w:rPr>
          <w:rFonts w:ascii="Verdana" w:hAnsi="Verdana" w:cs="Arial"/>
          <w:sz w:val="20"/>
          <w:szCs w:val="20"/>
          <w:lang w:val="es-ES"/>
        </w:rPr>
        <w:t>A continuación, el artículo en mención establece los factores de desempate que se deben seguir de manera sucesiva, sin indicar tampoco en cada numeral que su eficacia dependa de lo que determine el reglamento. La única alusión que se hace al reglamento se encuentra en el parágrafo tercero del artículo que se viene comentando, no para condicionar la aplicación de todo lo dispuesto en aquel, sino para indicar que “El Gobierno Nacional podrá reglamentar la aplicación de factores de desempate en casos en que concurran dos o más de los factores aquí previstos” (Énfasis fuera de texto).</w:t>
      </w:r>
    </w:p>
    <w:p w14:paraId="72D15FE7" w14:textId="77777777" w:rsidR="00A03AC4" w:rsidRDefault="00A03AC4" w:rsidP="00A03AC4">
      <w:pPr>
        <w:spacing w:after="0" w:line="240" w:lineRule="auto"/>
        <w:jc w:val="both"/>
        <w:rPr>
          <w:rFonts w:ascii="Verdana" w:hAnsi="Verdana" w:cs="Arial"/>
          <w:b/>
          <w:bCs/>
          <w:lang w:val="es-ES"/>
        </w:rPr>
      </w:pPr>
    </w:p>
    <w:p w14:paraId="2875F259" w14:textId="7C0BFC0C" w:rsidR="00612CD4" w:rsidRDefault="00612CD4" w:rsidP="00A03AC4">
      <w:pPr>
        <w:jc w:val="both"/>
        <w:rPr>
          <w:rFonts w:ascii="Verdana" w:hAnsi="Verdana" w:cs="Arial"/>
          <w:b/>
          <w:bCs/>
          <w:lang w:val="es-ES"/>
        </w:rPr>
      </w:pPr>
      <w:r w:rsidRPr="00612CD4">
        <w:rPr>
          <w:rFonts w:ascii="Verdana" w:hAnsi="Verdana" w:cs="Arial"/>
          <w:b/>
          <w:bCs/>
          <w:lang w:val="es-ES"/>
        </w:rPr>
        <w:t xml:space="preserve">FACTORES DE DESEMPATE – Decreto 1860 de 2021 </w:t>
      </w:r>
    </w:p>
    <w:p w14:paraId="0D89F13A" w14:textId="77777777" w:rsidR="00A03AC4" w:rsidRDefault="00A03AC4" w:rsidP="00A03AC4">
      <w:pPr>
        <w:spacing w:after="0" w:line="240" w:lineRule="auto"/>
        <w:jc w:val="both"/>
        <w:rPr>
          <w:rFonts w:ascii="Verdana" w:hAnsi="Verdana" w:cs="Arial"/>
          <w:sz w:val="20"/>
          <w:szCs w:val="20"/>
          <w:lang w:val="es-ES"/>
        </w:rPr>
      </w:pPr>
      <w:r>
        <w:rPr>
          <w:rFonts w:ascii="Verdana" w:hAnsi="Verdana" w:cs="Arial"/>
          <w:sz w:val="20"/>
          <w:szCs w:val="20"/>
          <w:lang w:val="es-ES"/>
        </w:rPr>
        <w:t xml:space="preserve">[…] </w:t>
      </w:r>
      <w:r w:rsidRPr="00A03AC4">
        <w:rPr>
          <w:rFonts w:ascii="Verdana" w:hAnsi="Verdana" w:cs="Arial"/>
          <w:sz w:val="20"/>
          <w:szCs w:val="20"/>
          <w:lang w:val="es-ES"/>
        </w:rPr>
        <w:t>el artículo 3 del Decreto 1860 de 2021, mediante el cual se adicionó el artículo 2.2.1.2.4.2.17. al Decreto 1082 de 2015, reglamentó el artículo 35 de la Ley 2069 de 2020 y determinó la forma en la cual se deben acreditar las circunstancias a las que se refieren cada uno de los numerales del citado artículo.</w:t>
      </w:r>
    </w:p>
    <w:p w14:paraId="1C6C4848" w14:textId="77777777" w:rsidR="00A03AC4" w:rsidRDefault="00A03AC4" w:rsidP="00A03AC4">
      <w:pPr>
        <w:spacing w:after="0" w:line="240" w:lineRule="auto"/>
        <w:jc w:val="both"/>
        <w:rPr>
          <w:rFonts w:ascii="Verdana" w:hAnsi="Verdana" w:cs="Arial"/>
          <w:b/>
          <w:bCs/>
          <w:lang w:val="es-ES"/>
        </w:rPr>
      </w:pPr>
    </w:p>
    <w:p w14:paraId="0C7BAA93" w14:textId="1F65B8B9" w:rsidR="00612CD4" w:rsidRDefault="00612CD4" w:rsidP="00612CD4">
      <w:pPr>
        <w:jc w:val="both"/>
        <w:rPr>
          <w:rFonts w:ascii="Verdana" w:hAnsi="Verdana" w:cs="Arial"/>
          <w:b/>
          <w:bCs/>
          <w:lang w:val="es-ES"/>
        </w:rPr>
      </w:pPr>
      <w:r w:rsidRPr="00612CD4">
        <w:rPr>
          <w:rFonts w:ascii="Verdana" w:hAnsi="Verdana" w:cs="Arial"/>
          <w:b/>
          <w:bCs/>
          <w:lang w:val="es-ES"/>
        </w:rPr>
        <w:t xml:space="preserve">FACTORES DE DESEMPATE – Mínima cuantía – Ley 2069 de 2020 – Artículo 35 – Aplicación – Puntaje </w:t>
      </w:r>
    </w:p>
    <w:p w14:paraId="54D5ABCC" w14:textId="77777777" w:rsidR="00A03AC4" w:rsidRDefault="00A03AC4" w:rsidP="00A03AC4">
      <w:pPr>
        <w:spacing w:after="0" w:line="240" w:lineRule="auto"/>
        <w:jc w:val="both"/>
        <w:rPr>
          <w:rFonts w:ascii="Verdana" w:eastAsia="Calibri" w:hAnsi="Verdana" w:cs="Arial"/>
          <w:sz w:val="20"/>
          <w:szCs w:val="20"/>
          <w:lang w:val="es-ES"/>
        </w:rPr>
      </w:pPr>
      <w:r w:rsidRPr="00A03AC4">
        <w:rPr>
          <w:rFonts w:ascii="Verdana" w:eastAsia="Calibri" w:hAnsi="Verdana" w:cs="Arial"/>
          <w:sz w:val="20"/>
          <w:szCs w:val="20"/>
          <w:lang w:val="es-ES_tradnl"/>
        </w:rPr>
        <w:t xml:space="preserve">Lo explicado en los párrafos precedentes también aplica </w:t>
      </w:r>
      <w:r w:rsidRPr="00A03AC4">
        <w:rPr>
          <w:rFonts w:ascii="Verdana" w:eastAsia="Calibri" w:hAnsi="Verdana" w:cs="Arial"/>
          <w:i/>
          <w:iCs/>
          <w:sz w:val="20"/>
          <w:szCs w:val="20"/>
          <w:lang w:val="es-ES_tradnl"/>
        </w:rPr>
        <w:t>mutatis mutandis</w:t>
      </w:r>
      <w:r w:rsidRPr="00A03AC4">
        <w:rPr>
          <w:rFonts w:ascii="Verdana" w:eastAsia="Calibri" w:hAnsi="Verdana" w:cs="Arial"/>
          <w:sz w:val="20"/>
          <w:szCs w:val="20"/>
          <w:lang w:val="es-ES_tradnl"/>
        </w:rPr>
        <w:t xml:space="preserve"> a los factores de desempate previstos en el Decreto Único Reglamentario del Sector Administrativo de Planeación Nacional para los procedimientos de mínima cuantía. En efecto, si bien el parágrafo 2 del artículo 30 de la Ley de Emprendimiento dispone que “La contratación a que se refiere el presente artículo se realizará exclusivamente con las reglas en él contempladas y en su reglamentación […]”, las causales del artículo 35 de la Ley 2069 </w:t>
      </w:r>
      <w:r w:rsidRPr="00A03AC4">
        <w:rPr>
          <w:rFonts w:ascii="Verdana" w:eastAsia="Calibri" w:hAnsi="Verdana" w:cs="Arial"/>
          <w:sz w:val="20"/>
          <w:szCs w:val="20"/>
          <w:lang w:val="es-ES_tradnl"/>
        </w:rPr>
        <w:lastRenderedPageBreak/>
        <w:t xml:space="preserve">de 2020 aplican a los “[…]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 […]”, sin distinguir entre modalidades de selección. </w:t>
      </w:r>
    </w:p>
    <w:p w14:paraId="5CA494E5" w14:textId="77777777" w:rsidR="00A03AC4" w:rsidRDefault="00A03AC4" w:rsidP="00A03AC4">
      <w:pPr>
        <w:spacing w:after="0" w:line="240" w:lineRule="auto"/>
        <w:jc w:val="both"/>
        <w:rPr>
          <w:rFonts w:ascii="Verdana" w:eastAsia="Calibri" w:hAnsi="Verdana" w:cs="Arial"/>
          <w:sz w:val="20"/>
          <w:szCs w:val="20"/>
          <w:lang w:val="es-ES"/>
        </w:rPr>
      </w:pPr>
    </w:p>
    <w:p w14:paraId="047467EB" w14:textId="77777777" w:rsidR="00A03AC4" w:rsidRDefault="00A03AC4" w:rsidP="00A03AC4">
      <w:pPr>
        <w:spacing w:after="0" w:line="240" w:lineRule="auto"/>
        <w:jc w:val="both"/>
        <w:rPr>
          <w:rFonts w:ascii="Verdana" w:eastAsia="Calibri" w:hAnsi="Verdana" w:cs="Arial"/>
          <w:sz w:val="20"/>
          <w:szCs w:val="20"/>
          <w:lang w:val="es-ES"/>
        </w:rPr>
      </w:pPr>
      <w:r>
        <w:rPr>
          <w:rFonts w:ascii="Verdana" w:hAnsi="Verdana" w:cs="Arial"/>
          <w:sz w:val="20"/>
          <w:szCs w:val="20"/>
          <w:lang w:val="es-ES"/>
        </w:rPr>
        <w:t xml:space="preserve">[…] </w:t>
      </w:r>
    </w:p>
    <w:p w14:paraId="60FD94C9" w14:textId="77777777" w:rsidR="00A03AC4" w:rsidRDefault="00A03AC4" w:rsidP="00A03AC4">
      <w:pPr>
        <w:spacing w:after="0" w:line="240" w:lineRule="auto"/>
        <w:jc w:val="both"/>
        <w:rPr>
          <w:rFonts w:ascii="Verdana" w:eastAsia="Calibri" w:hAnsi="Verdana" w:cs="Arial"/>
          <w:sz w:val="20"/>
          <w:szCs w:val="20"/>
          <w:lang w:val="es-ES"/>
        </w:rPr>
      </w:pPr>
    </w:p>
    <w:p w14:paraId="63E12AF8" w14:textId="77777777" w:rsidR="00A03AC4" w:rsidRPr="00A03AC4" w:rsidRDefault="00A03AC4" w:rsidP="00A03AC4">
      <w:pPr>
        <w:spacing w:after="0" w:line="240" w:lineRule="auto"/>
        <w:jc w:val="both"/>
        <w:rPr>
          <w:rFonts w:ascii="Verdana" w:eastAsia="Calibri" w:hAnsi="Verdana" w:cs="Arial"/>
          <w:sz w:val="20"/>
          <w:szCs w:val="20"/>
          <w:lang w:val="es-ES"/>
        </w:rPr>
      </w:pPr>
      <w:r w:rsidRPr="00A03AC4">
        <w:rPr>
          <w:rFonts w:ascii="Verdana" w:eastAsia="Calibri" w:hAnsi="Verdana" w:cs="Arial"/>
          <w:sz w:val="20"/>
          <w:szCs w:val="20"/>
          <w:lang w:val="es-ES_tradnl"/>
        </w:rPr>
        <w:t>El hecho de que en este procedimiento la determinación de la oferta más favorable no esté mediada por el uso de “puntaje” y que el artículo 35 de la Ley 2069 de 2020 sea aplicable en “</w:t>
      </w:r>
      <w:r w:rsidRPr="00A03AC4">
        <w:rPr>
          <w:rFonts w:ascii="Verdana" w:eastAsia="Calibri" w:hAnsi="Verdana" w:cs="Arial"/>
          <w:sz w:val="20"/>
          <w:szCs w:val="20"/>
        </w:rPr>
        <w:t>[…] caso de empate en el puntaje total de dos o más ofertas […]”,</w:t>
      </w:r>
      <w:r w:rsidRPr="00A03AC4">
        <w:rPr>
          <w:rFonts w:ascii="Verdana" w:eastAsia="Calibri" w:hAnsi="Verdana" w:cs="Arial"/>
          <w:sz w:val="20"/>
          <w:szCs w:val="20"/>
          <w:lang w:val="es-ES_tradnl"/>
        </w:rPr>
        <w:t xml:space="preserve"> no significa la inaplicación de dicha noma</w:t>
      </w:r>
      <w:r w:rsidRPr="00A03AC4">
        <w:rPr>
          <w:rFonts w:ascii="Verdana" w:eastAsia="Calibri" w:hAnsi="Verdana" w:cs="Arial"/>
          <w:bCs/>
          <w:sz w:val="20"/>
          <w:szCs w:val="20"/>
        </w:rPr>
        <w:t xml:space="preserve">. </w:t>
      </w:r>
      <w:r w:rsidRPr="00A03AC4">
        <w:rPr>
          <w:rFonts w:ascii="Verdana" w:eastAsia="Calibri" w:hAnsi="Verdana" w:cs="Arial"/>
          <w:sz w:val="20"/>
          <w:szCs w:val="20"/>
          <w:lang w:val="es-ES_tradnl"/>
        </w:rPr>
        <w:t xml:space="preserve">Esto dado que una interpretación exegética del artículo 35, según la cual este solo es aplicable en los procedimientos en los que se use el “puntaje” como mecanismo de evaluación, no corresponde con la finalidad transversal de la norma, puesto que los factores de desempate de la Ley de Emprendimiento están concebidos para </w:t>
      </w:r>
      <w:r w:rsidRPr="00A03AC4">
        <w:rPr>
          <w:rFonts w:ascii="Verdana" w:eastAsia="Calibri" w:hAnsi="Verdana" w:cs="Arial"/>
          <w:bCs/>
          <w:sz w:val="20"/>
          <w:szCs w:val="20"/>
        </w:rPr>
        <w:t>“[…]</w:t>
      </w:r>
      <w:r w:rsidRPr="00A03AC4">
        <w:rPr>
          <w:rFonts w:ascii="Verdana" w:eastAsia="Calibri" w:hAnsi="Verdana" w:cs="Arial"/>
          <w:sz w:val="20"/>
          <w:szCs w:val="20"/>
        </w:rPr>
        <w:t xml:space="preserve">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 […]</w:t>
      </w:r>
      <w:r w:rsidRPr="00A03AC4">
        <w:rPr>
          <w:rFonts w:ascii="Verdana" w:eastAsia="Calibri" w:hAnsi="Verdana" w:cs="Arial"/>
          <w:bCs/>
          <w:sz w:val="20"/>
          <w:szCs w:val="20"/>
        </w:rPr>
        <w:t>”.</w:t>
      </w:r>
    </w:p>
    <w:p w14:paraId="6840407C" w14:textId="77777777" w:rsidR="00A03AC4" w:rsidRPr="00A03AC4" w:rsidRDefault="00A03AC4" w:rsidP="00A03AC4">
      <w:pPr>
        <w:spacing w:after="0" w:line="240" w:lineRule="auto"/>
        <w:jc w:val="both"/>
        <w:rPr>
          <w:rFonts w:ascii="Verdana" w:eastAsia="Calibri" w:hAnsi="Verdana" w:cs="Arial"/>
          <w:sz w:val="20"/>
          <w:szCs w:val="20"/>
          <w:lang w:val="es-ES"/>
        </w:rPr>
      </w:pPr>
    </w:p>
    <w:p w14:paraId="3A67C5E8" w14:textId="77777777" w:rsidR="00A03AC4" w:rsidRDefault="00A03AC4" w:rsidP="00612CD4">
      <w:pPr>
        <w:spacing w:after="0" w:line="240" w:lineRule="auto"/>
        <w:jc w:val="both"/>
        <w:rPr>
          <w:rFonts w:ascii="Verdana" w:eastAsia="Calibri" w:hAnsi="Verdana" w:cs="Arial"/>
          <w:sz w:val="20"/>
          <w:szCs w:val="20"/>
          <w:lang w:val="es-ES"/>
        </w:rPr>
      </w:pPr>
      <w:r w:rsidRPr="00A03AC4">
        <w:rPr>
          <w:rFonts w:ascii="Verdana" w:eastAsia="Calibri" w:hAnsi="Verdana" w:cs="Arial"/>
          <w:bCs/>
          <w:sz w:val="20"/>
          <w:szCs w:val="20"/>
        </w:rPr>
        <w:t xml:space="preserve">Por lo anterior, se considera que el alcance de la expresión </w:t>
      </w:r>
      <w:r w:rsidRPr="00A03AC4">
        <w:rPr>
          <w:rFonts w:ascii="Verdana" w:eastAsia="Calibri" w:hAnsi="Verdana" w:cs="Arial"/>
          <w:bCs/>
          <w:i/>
          <w:iCs/>
          <w:sz w:val="20"/>
          <w:szCs w:val="20"/>
        </w:rPr>
        <w:t xml:space="preserve">puntaje total, </w:t>
      </w:r>
      <w:r w:rsidRPr="00A03AC4">
        <w:rPr>
          <w:rFonts w:ascii="Verdana" w:eastAsia="Calibri" w:hAnsi="Verdana" w:cs="Arial"/>
          <w:bCs/>
          <w:sz w:val="20"/>
          <w:szCs w:val="20"/>
        </w:rPr>
        <w:t>contenida en el artículo 35 de la Ley 2069 de 2020, debe interpretarse sistemáticamente, propiciando una aplicación normativa coherente con otras disposiciones del sistema de compra pública y que satisfaga la finalidad transversal de la norma. Con este propósito, es necesario acudir al artículo 5 de la Ley 1150 de 2007, el cual regula el deber de selección objetiva, conforme al cual debe determinarse cuál es la oferta más favorable para la entidad y los fines de la contratación.</w:t>
      </w:r>
    </w:p>
    <w:p w14:paraId="7CF0CA22" w14:textId="77777777" w:rsidR="00A03AC4" w:rsidRDefault="00A03AC4" w:rsidP="00612CD4">
      <w:pPr>
        <w:spacing w:after="0" w:line="240" w:lineRule="auto"/>
        <w:jc w:val="both"/>
        <w:rPr>
          <w:rFonts w:ascii="Verdana" w:eastAsia="Calibri" w:hAnsi="Verdana" w:cs="Arial"/>
          <w:sz w:val="20"/>
          <w:szCs w:val="20"/>
          <w:lang w:val="es-ES"/>
        </w:rPr>
      </w:pPr>
    </w:p>
    <w:p w14:paraId="04BD8270" w14:textId="3A201C77" w:rsidR="00612CD4" w:rsidRDefault="00612CD4" w:rsidP="00612CD4">
      <w:pPr>
        <w:spacing w:after="0" w:line="240" w:lineRule="auto"/>
        <w:jc w:val="both"/>
        <w:rPr>
          <w:rFonts w:ascii="Verdana" w:hAnsi="Verdana" w:cs="Arial"/>
          <w:b/>
          <w:bCs/>
          <w:lang w:val="es-ES"/>
        </w:rPr>
      </w:pPr>
      <w:r w:rsidRPr="00612CD4">
        <w:rPr>
          <w:rFonts w:ascii="Verdana" w:hAnsi="Verdana" w:cs="Arial"/>
          <w:b/>
          <w:bCs/>
          <w:lang w:val="es-ES"/>
        </w:rPr>
        <w:t>CRITERIOS DE DESEMPATE – No opera el orden cronológico como criterio de desempate</w:t>
      </w:r>
    </w:p>
    <w:p w14:paraId="32F15CB8" w14:textId="77777777" w:rsidR="00A03AC4" w:rsidRDefault="00A03AC4" w:rsidP="00612CD4">
      <w:pPr>
        <w:spacing w:after="0" w:line="240" w:lineRule="auto"/>
        <w:jc w:val="both"/>
        <w:rPr>
          <w:rFonts w:ascii="Verdana" w:hAnsi="Verdana" w:cs="Arial"/>
          <w:b/>
          <w:bCs/>
          <w:lang w:val="es-ES"/>
        </w:rPr>
      </w:pPr>
    </w:p>
    <w:p w14:paraId="00440D9A" w14:textId="77777777" w:rsidR="00A03AC4" w:rsidRDefault="00A03AC4" w:rsidP="00A03AC4">
      <w:pPr>
        <w:spacing w:after="0" w:line="240" w:lineRule="auto"/>
        <w:jc w:val="both"/>
        <w:rPr>
          <w:rFonts w:ascii="Verdana" w:eastAsia="Calibri" w:hAnsi="Verdana" w:cs="Arial"/>
          <w:sz w:val="20"/>
          <w:szCs w:val="20"/>
        </w:rPr>
      </w:pPr>
      <w:r w:rsidRPr="00A03AC4">
        <w:rPr>
          <w:rFonts w:ascii="Verdana" w:eastAsia="Calibri" w:hAnsi="Verdana" w:cs="Arial"/>
          <w:sz w:val="20"/>
          <w:szCs w:val="20"/>
        </w:rPr>
        <w:t>Así las cosas, el artículo 35 de la Ley 2069 de 2020 y su reglamentación mediante el Decreto 1860 de 2021 establecen una herramienta normativa clara y obligatoria para resolver empates en los procesos de contratación pública, incluso en modalidades como la mínima cuantía. La aplicación sucesiva de los criterios definidos —que priorizan la inclusión, el desarrollo regional, el emprendimiento y la equidad de género— permite a las entidades garantizar una selección objetiva, transparente y alineada con los principios constitucionales que rigen la función administrativa.</w:t>
      </w:r>
    </w:p>
    <w:p w14:paraId="6C4325B1" w14:textId="77777777" w:rsidR="00A03AC4" w:rsidRDefault="00A03AC4" w:rsidP="00A03AC4">
      <w:pPr>
        <w:spacing w:after="0" w:line="240" w:lineRule="auto"/>
        <w:jc w:val="both"/>
        <w:rPr>
          <w:rFonts w:ascii="Verdana" w:eastAsia="Calibri" w:hAnsi="Verdana" w:cs="Arial"/>
          <w:sz w:val="20"/>
          <w:szCs w:val="20"/>
        </w:rPr>
      </w:pPr>
    </w:p>
    <w:p w14:paraId="116249F8" w14:textId="4DCA7DA6" w:rsidR="00A03AC4" w:rsidRPr="00A03AC4" w:rsidRDefault="00A03AC4" w:rsidP="00A03AC4">
      <w:pPr>
        <w:spacing w:after="0" w:line="240" w:lineRule="auto"/>
        <w:jc w:val="both"/>
        <w:rPr>
          <w:rFonts w:ascii="Verdana" w:eastAsia="Calibri" w:hAnsi="Verdana" w:cs="Arial"/>
          <w:sz w:val="20"/>
          <w:szCs w:val="20"/>
        </w:rPr>
      </w:pPr>
      <w:r w:rsidRPr="00A03AC4">
        <w:rPr>
          <w:rFonts w:ascii="Verdana" w:eastAsia="Calibri" w:hAnsi="Verdana" w:cs="Arial"/>
          <w:sz w:val="20"/>
          <w:szCs w:val="20"/>
        </w:rPr>
        <w:t>En ese contexto, el orden cronológico de presentación de las ofertas no constituye un criterio válido de desempate en procesos de selección, razón por la cual dichos criterios se aplican en los eventos en que se presenten varias ofertas con el mismo puntaje o precio y se procede a emplear los criterios establecidos en el artículo 2.2.1.2.4.2.17. del Decreto 1860 de 2021 de forma sucesiva y excluyente como lo dispone dicha norma.</w:t>
      </w:r>
    </w:p>
    <w:p w14:paraId="4A5D4500" w14:textId="77777777" w:rsidR="00A03AC4" w:rsidRPr="00A03AC4" w:rsidRDefault="00A03AC4" w:rsidP="00612CD4">
      <w:pPr>
        <w:spacing w:after="0" w:line="240" w:lineRule="auto"/>
        <w:jc w:val="both"/>
        <w:rPr>
          <w:rFonts w:ascii="Verdana" w:eastAsia="Calibri" w:hAnsi="Verdana" w:cs="Arial"/>
          <w:sz w:val="20"/>
          <w:szCs w:val="20"/>
          <w:lang w:val="es-ES"/>
        </w:rPr>
      </w:pPr>
    </w:p>
    <w:p w14:paraId="55340BD4" w14:textId="2F563151" w:rsidR="00893628" w:rsidRDefault="00244BAE" w:rsidP="00244BAE">
      <w:pPr>
        <w:spacing w:after="0"/>
        <w:rPr>
          <w:rFonts w:ascii="Verdana" w:eastAsia="Verdana" w:hAnsi="Verdana" w:cs="Verdana"/>
        </w:rPr>
      </w:pPr>
      <w:r w:rsidRPr="30821638">
        <w:rPr>
          <w:rFonts w:ascii="Verdana" w:eastAsia="Verdana" w:hAnsi="Verdana" w:cs="Verdana"/>
        </w:rPr>
        <w:t xml:space="preserve">Bogotá D.C., </w:t>
      </w:r>
      <w:r w:rsidR="00893628">
        <w:rPr>
          <w:rFonts w:ascii="Verdana" w:eastAsia="Verdana" w:hAnsi="Verdana" w:cs="Verdana"/>
        </w:rPr>
        <w:t>30 Julio 2026</w:t>
      </w:r>
    </w:p>
    <w:p w14:paraId="098B392B" w14:textId="6B4DEFAA" w:rsidR="00244BAE" w:rsidRPr="0024624F" w:rsidRDefault="00893628" w:rsidP="00893628">
      <w:pPr>
        <w:spacing w:after="0"/>
        <w:jc w:val="right"/>
        <w:rPr>
          <w:rFonts w:ascii="Verdana" w:eastAsia="Verdana" w:hAnsi="Verdana" w:cs="Verdana"/>
        </w:rPr>
      </w:pPr>
      <w:r w:rsidRPr="00893628">
        <w:drawing>
          <wp:inline distT="0" distB="0" distL="0" distR="0" wp14:anchorId="27F04D09" wp14:editId="768629E4">
            <wp:extent cx="2208530" cy="514246"/>
            <wp:effectExtent l="0" t="0" r="1270" b="635"/>
            <wp:docPr id="18192364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36409" name=""/>
                    <pic:cNvPicPr/>
                  </pic:nvPicPr>
                  <pic:blipFill>
                    <a:blip r:embed="rId10"/>
                    <a:stretch>
                      <a:fillRect/>
                    </a:stretch>
                  </pic:blipFill>
                  <pic:spPr>
                    <a:xfrm>
                      <a:off x="0" y="0"/>
                      <a:ext cx="2234656" cy="520329"/>
                    </a:xfrm>
                    <a:prstGeom prst="rect">
                      <a:avLst/>
                    </a:prstGeom>
                  </pic:spPr>
                </pic:pic>
              </a:graphicData>
            </a:graphic>
          </wp:inline>
        </w:drawing>
      </w:r>
      <w:r w:rsidR="00244BAE">
        <w:br/>
      </w:r>
      <w:r w:rsidR="00244BAE">
        <w:tab/>
      </w:r>
    </w:p>
    <w:p w14:paraId="3D1CD12E" w14:textId="77777777" w:rsidR="00244BAE" w:rsidRDefault="00244BAE" w:rsidP="00244BAE">
      <w:pPr>
        <w:spacing w:after="0" w:line="240" w:lineRule="auto"/>
        <w:jc w:val="both"/>
        <w:rPr>
          <w:rFonts w:ascii="Verdana" w:eastAsia="Calibri" w:hAnsi="Verdana" w:cs="Arial"/>
          <w:b/>
          <w:bCs/>
          <w:lang w:eastAsia="es-ES"/>
        </w:rPr>
      </w:pPr>
      <w:bookmarkStart w:id="1" w:name="_Hlk214366482"/>
      <w:r>
        <w:rPr>
          <w:rFonts w:ascii="Verdana" w:eastAsia="Calibri" w:hAnsi="Verdana" w:cs="Arial"/>
          <w:b/>
          <w:bCs/>
          <w:lang w:eastAsia="es-ES"/>
        </w:rPr>
        <w:t>Señor</w:t>
      </w:r>
    </w:p>
    <w:p w14:paraId="1591B226" w14:textId="77777777" w:rsidR="00244BAE" w:rsidRDefault="00244BAE" w:rsidP="00244BAE">
      <w:pPr>
        <w:spacing w:after="0" w:line="240" w:lineRule="auto"/>
        <w:jc w:val="both"/>
        <w:rPr>
          <w:rFonts w:ascii="Verdana" w:eastAsia="Calibri" w:hAnsi="Verdana" w:cs="Arial"/>
          <w:b/>
          <w:bCs/>
          <w:lang w:eastAsia="es-ES"/>
        </w:rPr>
      </w:pPr>
      <w:r>
        <w:rPr>
          <w:rFonts w:ascii="Verdana" w:eastAsia="Calibri" w:hAnsi="Verdana" w:cs="Arial"/>
          <w:b/>
          <w:bCs/>
          <w:lang w:eastAsia="es-ES"/>
        </w:rPr>
        <w:t>Nicolás Paternina Zapateiro</w:t>
      </w:r>
    </w:p>
    <w:p w14:paraId="116C0684" w14:textId="77777777" w:rsidR="00244BAE" w:rsidRPr="00BE118E" w:rsidRDefault="00244BAE" w:rsidP="00244BAE">
      <w:pPr>
        <w:spacing w:after="0" w:line="240" w:lineRule="auto"/>
        <w:jc w:val="both"/>
        <w:rPr>
          <w:rFonts w:ascii="Verdana" w:hAnsi="Verdana"/>
          <w:b/>
          <w:bCs/>
        </w:rPr>
      </w:pPr>
      <w:hyperlink r:id="rId11" w:history="1">
        <w:r w:rsidRPr="00BE118E">
          <w:rPr>
            <w:rStyle w:val="Hipervnculo"/>
            <w:rFonts w:ascii="Verdana" w:hAnsi="Verdana"/>
            <w:b/>
            <w:bCs/>
          </w:rPr>
          <w:t>niccopaternina@gmail.com</w:t>
        </w:r>
      </w:hyperlink>
    </w:p>
    <w:p w14:paraId="7842BDF5" w14:textId="77777777" w:rsidR="00244BAE" w:rsidRDefault="00244BAE" w:rsidP="00244BAE">
      <w:pPr>
        <w:spacing w:after="0" w:line="240" w:lineRule="auto"/>
        <w:jc w:val="both"/>
        <w:rPr>
          <w:rFonts w:ascii="Verdana" w:hAnsi="Verdana"/>
        </w:rPr>
      </w:pPr>
      <w:r>
        <w:rPr>
          <w:rFonts w:ascii="Verdana" w:hAnsi="Verdana"/>
        </w:rPr>
        <w:t>Ciudad</w:t>
      </w:r>
    </w:p>
    <w:p w14:paraId="337E4F33" w14:textId="77777777" w:rsidR="00244BAE" w:rsidRPr="007F2AEC" w:rsidRDefault="00244BAE" w:rsidP="00244BAE">
      <w:pPr>
        <w:spacing w:after="0" w:line="240" w:lineRule="auto"/>
        <w:jc w:val="both"/>
        <w:rPr>
          <w:rFonts w:ascii="Verdana" w:hAnsi="Verdana"/>
        </w:rPr>
      </w:pPr>
    </w:p>
    <w:p w14:paraId="0FB12049" w14:textId="77777777" w:rsidR="00244BAE" w:rsidRPr="007F2AEC" w:rsidRDefault="00244BAE" w:rsidP="00244BAE">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244BAE" w:rsidRPr="005644FE" w14:paraId="7E5A9E4E" w14:textId="77777777" w:rsidTr="00FD2119">
        <w:trPr>
          <w:trHeight w:val="162"/>
        </w:trPr>
        <w:tc>
          <w:tcPr>
            <w:tcW w:w="3119" w:type="dxa"/>
          </w:tcPr>
          <w:p w14:paraId="1930524F" w14:textId="77777777" w:rsidR="00244BAE" w:rsidRPr="007F2AEC" w:rsidRDefault="00244BAE" w:rsidP="00FD2119">
            <w:pPr>
              <w:jc w:val="both"/>
              <w:rPr>
                <w:rFonts w:ascii="Verdana" w:eastAsia="Calibri" w:hAnsi="Verdana" w:cs="Arial"/>
                <w:b/>
                <w:bCs/>
                <w:color w:val="7030A0"/>
                <w:lang w:eastAsia="es-ES_tradnl"/>
              </w:rPr>
            </w:pPr>
          </w:p>
        </w:tc>
        <w:tc>
          <w:tcPr>
            <w:tcW w:w="5670" w:type="dxa"/>
          </w:tcPr>
          <w:p w14:paraId="6DD2669B" w14:textId="77777777" w:rsidR="00244BAE" w:rsidRPr="005644FE" w:rsidRDefault="00244BAE" w:rsidP="00FD2119">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1026 de 2026</w:t>
            </w:r>
          </w:p>
          <w:p w14:paraId="3BB73435" w14:textId="77777777" w:rsidR="00244BAE" w:rsidRPr="005644FE" w:rsidRDefault="00244BAE" w:rsidP="00FD2119">
            <w:pPr>
              <w:jc w:val="both"/>
              <w:rPr>
                <w:rFonts w:ascii="Verdana" w:eastAsia="Calibri" w:hAnsi="Verdana" w:cs="Arial"/>
                <w:b/>
                <w:bCs/>
                <w:color w:val="7030A0"/>
                <w:lang w:eastAsia="es-ES"/>
              </w:rPr>
            </w:pPr>
          </w:p>
        </w:tc>
      </w:tr>
      <w:tr w:rsidR="00244BAE" w:rsidRPr="005644FE" w14:paraId="03A32A4B" w14:textId="77777777" w:rsidTr="00FD2119">
        <w:trPr>
          <w:trHeight w:val="884"/>
        </w:trPr>
        <w:tc>
          <w:tcPr>
            <w:tcW w:w="3119" w:type="dxa"/>
          </w:tcPr>
          <w:p w14:paraId="75781A5B" w14:textId="77777777" w:rsidR="00244BAE" w:rsidRPr="005644FE" w:rsidRDefault="00244BAE" w:rsidP="00FD2119">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1B98175D" w14:textId="64013EBB" w:rsidR="00244BAE" w:rsidRDefault="00244BAE" w:rsidP="00FD2119">
            <w:pPr>
              <w:spacing w:line="276" w:lineRule="auto"/>
              <w:jc w:val="both"/>
              <w:rPr>
                <w:rFonts w:ascii="Verdana" w:hAnsi="Verdana" w:cs="Arial"/>
                <w:lang w:val="es-ES"/>
              </w:rPr>
            </w:pPr>
            <w:r>
              <w:rPr>
                <w:rFonts w:ascii="Verdana" w:eastAsia="Calibri" w:hAnsi="Verdana" w:cs="Arial"/>
                <w:lang w:val="es-ES"/>
              </w:rPr>
              <w:t xml:space="preserve">LEY DE EMPRENDIMIENTO – Ley 2069 de 2020 – Contenido / </w:t>
            </w:r>
            <w:r>
              <w:rPr>
                <w:rFonts w:ascii="Verdana" w:hAnsi="Verdana" w:cs="Arial"/>
                <w:lang w:val="es-ES"/>
              </w:rPr>
              <w:t>FACTORES DE DESEMPATE – Ley 2069 de 2020 – Artículo 35 / FACTORES DE DESEMPATE – Decreto 1860 de 2021 / FACTORES DE DESEMPATE – Mínima cuantía – Ley 2069 de 2020 – Artículo 35 – Aplicación – Puntaje / CRITERIOS DE DESEMPATE – No opera el orden cronológico como criterio de desempate</w:t>
            </w:r>
          </w:p>
          <w:p w14:paraId="34C4F977" w14:textId="77777777" w:rsidR="00244BAE" w:rsidRPr="00187948" w:rsidRDefault="00244BAE" w:rsidP="00FD2119">
            <w:pPr>
              <w:spacing w:line="276" w:lineRule="auto"/>
              <w:jc w:val="both"/>
              <w:rPr>
                <w:rFonts w:ascii="Verdana" w:hAnsi="Verdana" w:cs="Arial"/>
                <w:lang w:val="es-ES"/>
              </w:rPr>
            </w:pPr>
          </w:p>
        </w:tc>
      </w:tr>
      <w:tr w:rsidR="00244BAE" w:rsidRPr="005644FE" w14:paraId="011F00C9" w14:textId="77777777" w:rsidTr="00FD2119">
        <w:tc>
          <w:tcPr>
            <w:tcW w:w="3119" w:type="dxa"/>
          </w:tcPr>
          <w:p w14:paraId="259A2D7B" w14:textId="77777777" w:rsidR="00244BAE" w:rsidRPr="005644FE" w:rsidRDefault="00244BAE" w:rsidP="00FD2119">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26CF7DEF" w14:textId="77777777" w:rsidR="00244BAE" w:rsidRPr="00F04657" w:rsidRDefault="00244BAE" w:rsidP="00FD2119">
            <w:pPr>
              <w:spacing w:line="276" w:lineRule="auto"/>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BE118E">
              <w:rPr>
                <w:rFonts w:ascii="Verdana" w:eastAsia="Calibri" w:hAnsi="Verdana" w:cs="Arial"/>
                <w:lang w:eastAsia="es-ES"/>
              </w:rPr>
              <w:t>1_2026_06_26_008581</w:t>
            </w:r>
            <w:r>
              <w:rPr>
                <w:rFonts w:ascii="Verdana" w:eastAsia="Calibri" w:hAnsi="Verdana" w:cs="Arial"/>
                <w:lang w:eastAsia="es-ES"/>
              </w:rPr>
              <w:t xml:space="preserve"> y </w:t>
            </w:r>
            <w:r w:rsidRPr="00BE118E">
              <w:rPr>
                <w:rFonts w:ascii="Verdana" w:eastAsia="Calibri" w:hAnsi="Verdana" w:cs="Arial"/>
                <w:lang w:eastAsia="es-ES"/>
              </w:rPr>
              <w:t>1_2026_06_25_008544</w:t>
            </w:r>
            <w:r>
              <w:rPr>
                <w:rFonts w:ascii="Verdana" w:eastAsia="Calibri" w:hAnsi="Verdana" w:cs="Arial"/>
                <w:lang w:eastAsia="es-ES"/>
              </w:rPr>
              <w:t xml:space="preserve"> (Acumulados) </w:t>
            </w:r>
          </w:p>
        </w:tc>
      </w:tr>
    </w:tbl>
    <w:p w14:paraId="1D6DD306" w14:textId="77777777" w:rsidR="00244BAE" w:rsidRPr="005644FE" w:rsidRDefault="00244BAE" w:rsidP="00244BAE">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194542E8" w14:textId="77777777" w:rsidR="00244BAE" w:rsidRPr="005644FE" w:rsidRDefault="00244BAE" w:rsidP="00244BAE">
      <w:pPr>
        <w:spacing w:after="0" w:line="276" w:lineRule="auto"/>
        <w:jc w:val="both"/>
        <w:rPr>
          <w:rFonts w:ascii="Verdana" w:eastAsia="Calibri" w:hAnsi="Verdana" w:cs="Arial"/>
          <w:lang w:eastAsia="es-ES"/>
        </w:rPr>
      </w:pPr>
      <w:r>
        <w:rPr>
          <w:rFonts w:ascii="Verdana" w:eastAsia="Calibri" w:hAnsi="Verdana" w:cs="Arial"/>
          <w:lang w:eastAsia="es-ES"/>
        </w:rPr>
        <w:t xml:space="preserve">Estimado señor Paternina: </w:t>
      </w:r>
    </w:p>
    <w:p w14:paraId="11248654" w14:textId="77777777" w:rsidR="00244BAE" w:rsidRPr="00E02524" w:rsidRDefault="00244BAE" w:rsidP="00244BAE">
      <w:pPr>
        <w:spacing w:after="0" w:line="240" w:lineRule="auto"/>
        <w:jc w:val="both"/>
        <w:rPr>
          <w:rFonts w:ascii="Verdana" w:hAnsi="Verdana"/>
          <w:lang w:val="es-MX"/>
        </w:rPr>
      </w:pPr>
    </w:p>
    <w:p w14:paraId="4141FDA6" w14:textId="77777777" w:rsidR="00244BAE" w:rsidRPr="0084712D" w:rsidRDefault="00244BAE" w:rsidP="00244BAE">
      <w:pPr>
        <w:spacing w:after="12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la</w:t>
      </w:r>
      <w:r>
        <w:rPr>
          <w:rFonts w:ascii="Verdana" w:hAnsi="Verdana"/>
        </w:rPr>
        <w:t xml:space="preserve">s </w:t>
      </w:r>
      <w:r w:rsidRPr="0084712D">
        <w:rPr>
          <w:rFonts w:ascii="Verdana" w:hAnsi="Verdana"/>
        </w:rPr>
        <w:t>solicitud</w:t>
      </w:r>
      <w:r>
        <w:rPr>
          <w:rFonts w:ascii="Verdana" w:hAnsi="Verdana"/>
        </w:rPr>
        <w:t>es</w:t>
      </w:r>
      <w:r w:rsidRPr="0084712D">
        <w:rPr>
          <w:rFonts w:ascii="Verdana" w:hAnsi="Verdana"/>
        </w:rPr>
        <w:t xml:space="preserve"> de consulta de fecha </w:t>
      </w:r>
      <w:r>
        <w:rPr>
          <w:rFonts w:ascii="Verdana" w:hAnsi="Verdana"/>
        </w:rPr>
        <w:t xml:space="preserve">25 y 26 de junio </w:t>
      </w:r>
      <w:r w:rsidRPr="0084712D">
        <w:rPr>
          <w:rFonts w:ascii="Verdana" w:hAnsi="Verdana"/>
        </w:rPr>
        <w:t>de 2026, en la</w:t>
      </w:r>
      <w:r>
        <w:rPr>
          <w:rFonts w:ascii="Verdana" w:hAnsi="Verdana"/>
        </w:rPr>
        <w:t>s</w:t>
      </w:r>
      <w:r w:rsidRPr="0084712D">
        <w:rPr>
          <w:rFonts w:ascii="Verdana" w:hAnsi="Verdana"/>
        </w:rPr>
        <w:t xml:space="preserve"> cual</w:t>
      </w:r>
      <w:r>
        <w:rPr>
          <w:rFonts w:ascii="Verdana" w:hAnsi="Verdana"/>
        </w:rPr>
        <w:t>es</w:t>
      </w:r>
      <w:r w:rsidRPr="0084712D">
        <w:rPr>
          <w:rFonts w:ascii="Verdana" w:hAnsi="Verdana"/>
        </w:rPr>
        <w:t xml:space="preserve"> manifiesta lo siguiente:</w:t>
      </w:r>
    </w:p>
    <w:p w14:paraId="1BACA32F" w14:textId="77777777" w:rsidR="00244BAE" w:rsidRPr="002D339E" w:rsidRDefault="00244BAE" w:rsidP="00244BAE">
      <w:pPr>
        <w:spacing w:after="120" w:line="276" w:lineRule="auto"/>
        <w:jc w:val="both"/>
        <w:rPr>
          <w:rFonts w:ascii="Verdana" w:eastAsia="Calibri" w:hAnsi="Verdana" w:cs="Arial"/>
          <w:lang w:eastAsia="es-ES"/>
        </w:rPr>
      </w:pPr>
      <w:r w:rsidRPr="00E02524">
        <w:rPr>
          <w:rFonts w:ascii="Verdana" w:hAnsi="Verdana"/>
        </w:rPr>
        <w:t xml:space="preserve">PETICIÓN REALIZADA </w:t>
      </w:r>
    </w:p>
    <w:p w14:paraId="2D8FBAF0" w14:textId="680AFEB5" w:rsidR="00244BAE" w:rsidRDefault="00244BAE" w:rsidP="00C94911">
      <w:pPr>
        <w:spacing w:after="0" w:line="240" w:lineRule="auto"/>
        <w:ind w:left="709" w:right="709"/>
        <w:jc w:val="both"/>
        <w:rPr>
          <w:rFonts w:ascii="Verdana" w:hAnsi="Verdana"/>
          <w:sz w:val="20"/>
          <w:szCs w:val="20"/>
        </w:rPr>
      </w:pPr>
      <w:r>
        <w:rPr>
          <w:rFonts w:ascii="Verdana" w:hAnsi="Verdana"/>
          <w:sz w:val="20"/>
          <w:szCs w:val="20"/>
        </w:rPr>
        <w:t xml:space="preserve">“(…) </w:t>
      </w:r>
      <w:r w:rsidRPr="00BE118E">
        <w:rPr>
          <w:rFonts w:ascii="Verdana" w:hAnsi="Verdana"/>
          <w:sz w:val="20"/>
          <w:szCs w:val="20"/>
        </w:rPr>
        <w:t xml:space="preserve">considerando que en los procesos de contratación pública sean licitaciones, selección abreviada o selección de mínima cuantía, puede darse la situación de que los oferentes o proponentes llegasen a presentar precios iguales en sus propuestas económicas y/o a presentar sus ofertas en un mismo momento temporal al subirlas electrónicamente a las plataformas virtuales específicas, respetuosamente solicito a su entidad: </w:t>
      </w:r>
    </w:p>
    <w:p w14:paraId="7E03467A" w14:textId="77777777" w:rsidR="00244BAE" w:rsidRPr="00C62572" w:rsidRDefault="00244BAE" w:rsidP="00244BAE">
      <w:pPr>
        <w:spacing w:after="0" w:line="240" w:lineRule="auto"/>
        <w:ind w:left="709" w:right="709"/>
        <w:jc w:val="both"/>
        <w:rPr>
          <w:rFonts w:ascii="Verdana" w:hAnsi="Verdana"/>
          <w:sz w:val="20"/>
          <w:szCs w:val="20"/>
        </w:rPr>
      </w:pPr>
      <w:r w:rsidRPr="00BE118E">
        <w:rPr>
          <w:rFonts w:ascii="Verdana" w:hAnsi="Verdana"/>
          <w:sz w:val="20"/>
          <w:szCs w:val="20"/>
        </w:rPr>
        <w:t>1. Responda a este suscrito solicitante si, ¿el estado de empate dentro de un proceso de contratación pública de licitaciones, selección abreviada o selección de mínima cuantía, se ocasiona únicamente a partir de que los oferentes presenten precios iguales por el servicio, es decir presenten propuestas económicas con los mismos valores de servicio o, también se ocasiona porque los oferentes o proponentes presenten sus propuestas u ofertas al mismo tiempo, es decir, en un mismo exacto momento de tiempo al subirlas a las plataformas virtuales del caso?</w:t>
      </w:r>
      <w:r w:rsidRPr="00CD5FF1">
        <w:rPr>
          <w:rFonts w:ascii="Verdana" w:hAnsi="Verdana"/>
          <w:sz w:val="20"/>
          <w:szCs w:val="20"/>
        </w:rPr>
        <w:t xml:space="preserve"> </w:t>
      </w:r>
      <w:r>
        <w:rPr>
          <w:rFonts w:ascii="Verdana" w:hAnsi="Verdana"/>
          <w:sz w:val="20"/>
          <w:szCs w:val="20"/>
        </w:rPr>
        <w:t>(…)”.</w:t>
      </w:r>
    </w:p>
    <w:p w14:paraId="5EB3A67D" w14:textId="77777777" w:rsidR="00244BAE" w:rsidRDefault="00244BAE" w:rsidP="00244BAE">
      <w:pPr>
        <w:spacing w:after="0" w:line="240" w:lineRule="auto"/>
        <w:ind w:firstLine="709"/>
        <w:jc w:val="both"/>
        <w:rPr>
          <w:rFonts w:ascii="Verdana" w:eastAsia="Calibri" w:hAnsi="Verdana" w:cs="Arial"/>
          <w:color w:val="000000"/>
          <w:lang w:eastAsia="es-ES"/>
        </w:rPr>
      </w:pPr>
    </w:p>
    <w:p w14:paraId="2D06E01B" w14:textId="77777777" w:rsidR="00244BAE" w:rsidRPr="00F64722" w:rsidRDefault="00244BAE" w:rsidP="00244BAE">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BD0255A" w14:textId="77777777" w:rsidR="00244BAE" w:rsidRPr="00557586" w:rsidRDefault="00244BAE" w:rsidP="00244BAE">
      <w:pPr>
        <w:spacing w:after="120" w:line="276" w:lineRule="auto"/>
        <w:ind w:firstLine="709"/>
        <w:jc w:val="both"/>
        <w:rPr>
          <w:rFonts w:ascii="Verdana" w:eastAsia="Calibri" w:hAnsi="Verdana" w:cs="Arial"/>
          <w:lang w:eastAsia="es-ES"/>
        </w:rPr>
      </w:pPr>
      <w:r w:rsidRPr="00B75E8F">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w:t>
      </w:r>
      <w:r w:rsidRPr="00557586">
        <w:rPr>
          <w:rFonts w:ascii="Verdana" w:eastAsia="Calibri" w:hAnsi="Verdana" w:cs="Arial"/>
          <w:color w:val="000000"/>
          <w:lang w:eastAsia="es-ES"/>
        </w:rPr>
        <w:t xml:space="preserve">consultiva, esto es, haciendo abstracción del caso particular y concreto señalado en su </w:t>
      </w:r>
      <w:proofErr w:type="gramStart"/>
      <w:r w:rsidRPr="00557586">
        <w:rPr>
          <w:rFonts w:ascii="Verdana" w:eastAsia="Calibri" w:hAnsi="Verdana" w:cs="Arial"/>
          <w:color w:val="000000"/>
          <w:lang w:eastAsia="es-ES"/>
        </w:rPr>
        <w:t>petición</w:t>
      </w:r>
      <w:proofErr w:type="gramEnd"/>
      <w:r w:rsidRPr="00557586">
        <w:rPr>
          <w:rFonts w:ascii="Verdana" w:eastAsia="Calibri" w:hAnsi="Verdana" w:cs="Arial"/>
          <w:color w:val="000000"/>
          <w:lang w:eastAsia="es-ES"/>
        </w:rPr>
        <w:t xml:space="preserve"> pero señalando algunas consideraciones sobre las normas generales relacionadas al problema jurídico de su consulta.</w:t>
      </w:r>
      <w:r w:rsidRPr="00557586">
        <w:rPr>
          <w:rFonts w:ascii="Verdana" w:eastAsia="Calibri" w:hAnsi="Verdana" w:cs="Arial"/>
          <w:lang w:eastAsia="es-ES"/>
        </w:rPr>
        <w:t xml:space="preserve">  </w:t>
      </w:r>
    </w:p>
    <w:p w14:paraId="7B35DAB6" w14:textId="77777777" w:rsidR="00244BAE" w:rsidRPr="00557586" w:rsidRDefault="00244BAE" w:rsidP="00244BA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57586">
        <w:rPr>
          <w:rFonts w:ascii="Verdana" w:eastAsia="Century Gothic" w:hAnsi="Verdana" w:cs="Century Gothic"/>
          <w:b/>
          <w:bCs/>
        </w:rPr>
        <w:t>Problema planteado:</w:t>
      </w:r>
    </w:p>
    <w:p w14:paraId="5C148368" w14:textId="77777777" w:rsidR="00244BAE" w:rsidRPr="00557586" w:rsidRDefault="00244BAE" w:rsidP="00244BAE">
      <w:pPr>
        <w:spacing w:after="0" w:line="240" w:lineRule="auto"/>
        <w:jc w:val="both"/>
        <w:rPr>
          <w:rFonts w:ascii="Verdana" w:eastAsia="Calibri" w:hAnsi="Verdana" w:cs="Arial"/>
          <w:color w:val="000000"/>
          <w:lang w:eastAsia="es-ES"/>
        </w:rPr>
      </w:pPr>
    </w:p>
    <w:p w14:paraId="1A022066" w14:textId="77777777" w:rsidR="00244BAE" w:rsidRPr="00B2386A" w:rsidRDefault="00244BAE" w:rsidP="00244BAE">
      <w:pPr>
        <w:spacing w:after="120" w:line="276" w:lineRule="auto"/>
        <w:jc w:val="both"/>
        <w:rPr>
          <w:rFonts w:ascii="Verdana" w:eastAsia="Calibri" w:hAnsi="Verdana" w:cs="Arial"/>
          <w:color w:val="000000"/>
          <w:lang w:eastAsia="es-ES"/>
        </w:rPr>
      </w:pPr>
      <w:r w:rsidRPr="00557586">
        <w:rPr>
          <w:rFonts w:ascii="Verdana" w:eastAsia="Calibri" w:hAnsi="Verdana" w:cs="Arial"/>
          <w:color w:val="000000"/>
          <w:lang w:eastAsia="es-ES"/>
        </w:rPr>
        <w:t>De acuerdo con el contenido de su solicitud, esta Agencia resolverá el siguiente problema jurídico: ¿Los criterios de desempate se aplican con ocasión de un criterio preferencial temporal o cuando se evidente la misma cantidad de puntaje o el mis</w:t>
      </w:r>
      <w:r>
        <w:rPr>
          <w:rFonts w:ascii="Verdana" w:eastAsia="Calibri" w:hAnsi="Verdana" w:cs="Arial"/>
          <w:color w:val="000000"/>
          <w:lang w:eastAsia="es-ES"/>
        </w:rPr>
        <w:t>m</w:t>
      </w:r>
      <w:r w:rsidRPr="00557586">
        <w:rPr>
          <w:rFonts w:ascii="Verdana" w:eastAsia="Calibri" w:hAnsi="Verdana" w:cs="Arial"/>
          <w:color w:val="000000"/>
          <w:lang w:eastAsia="es-ES"/>
        </w:rPr>
        <w:t xml:space="preserve">o precio en los procesos de selección? </w:t>
      </w:r>
    </w:p>
    <w:p w14:paraId="5EA1A6F2" w14:textId="77777777" w:rsidR="00244BAE" w:rsidRPr="00C97CA6" w:rsidRDefault="00244BAE" w:rsidP="00244BAE">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7A8E6D19" w14:textId="77777777" w:rsidR="00244BAE" w:rsidRPr="005644FE" w:rsidRDefault="00244BAE" w:rsidP="00244BAE">
      <w:pPr>
        <w:spacing w:after="0" w:line="276" w:lineRule="auto"/>
        <w:jc w:val="both"/>
        <w:rPr>
          <w:rFonts w:ascii="Verdana" w:eastAsia="Century Gothic" w:hAnsi="Verdana" w:cs="Century Gothic"/>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244BAE" w:rsidRPr="005644FE" w14:paraId="048CD1FB" w14:textId="77777777" w:rsidTr="00FD2119">
        <w:tc>
          <w:tcPr>
            <w:tcW w:w="8828" w:type="dxa"/>
          </w:tcPr>
          <w:p w14:paraId="44FC5A75" w14:textId="77777777" w:rsidR="00244BAE" w:rsidRDefault="00244BAE" w:rsidP="00FD2119">
            <w:pPr>
              <w:spacing w:after="120" w:line="276" w:lineRule="auto"/>
              <w:jc w:val="both"/>
              <w:rPr>
                <w:rFonts w:ascii="Verdana" w:eastAsia="Calibri" w:hAnsi="Verdana" w:cs="Arial"/>
              </w:rPr>
            </w:pPr>
            <w:r>
              <w:rPr>
                <w:rFonts w:ascii="Verdana" w:eastAsia="Calibri" w:hAnsi="Verdana" w:cs="Arial"/>
              </w:rPr>
              <w:t>L</w:t>
            </w:r>
            <w:r w:rsidRPr="00C51AFD">
              <w:rPr>
                <w:rFonts w:ascii="Verdana" w:eastAsia="Calibri" w:hAnsi="Verdana" w:cs="Arial"/>
              </w:rPr>
              <w:t>a Ley 2069 de 2020 contiene normas que modifican algunos aspectos de la contratación estatal para promover el emprendimiento</w:t>
            </w:r>
            <w:r>
              <w:rPr>
                <w:rFonts w:ascii="Verdana" w:eastAsia="Calibri" w:hAnsi="Verdana" w:cs="Arial"/>
              </w:rPr>
              <w:t>, entre ellos nuevos factores de desempate en los procesos de selección en el artículo 35.</w:t>
            </w:r>
          </w:p>
          <w:p w14:paraId="20271671" w14:textId="77777777" w:rsidR="00244BAE" w:rsidRDefault="00244BAE" w:rsidP="00FD2119">
            <w:pPr>
              <w:spacing w:after="120" w:line="276" w:lineRule="auto"/>
              <w:ind w:firstLine="709"/>
              <w:jc w:val="both"/>
              <w:rPr>
                <w:rFonts w:ascii="Verdana" w:eastAsia="Calibri" w:hAnsi="Verdana" w:cs="Arial"/>
                <w:lang w:val="es-ES"/>
              </w:rPr>
            </w:pPr>
            <w:r>
              <w:rPr>
                <w:rFonts w:ascii="Verdana" w:eastAsia="Calibri" w:hAnsi="Verdana" w:cs="Arial"/>
              </w:rPr>
              <w:t xml:space="preserve"> </w:t>
            </w:r>
            <w:r w:rsidRPr="00BA2A0E">
              <w:rPr>
                <w:rFonts w:ascii="Verdana" w:eastAsia="Calibri" w:hAnsi="Verdana" w:cs="Arial"/>
                <w:lang w:val="es-ES"/>
              </w:rPr>
              <w:t xml:space="preserve">Al respecto, debe señalarse que, </w:t>
            </w:r>
            <w:r w:rsidRPr="3AF63748">
              <w:rPr>
                <w:rFonts w:ascii="Verdana" w:hAnsi="Verdana" w:cs="Arial"/>
                <w:lang w:val="es-ES"/>
              </w:rPr>
              <w:t>los factores de desempate regulados en el artículo 35 deben aplicarse “[…] de forma sucesiva y excluyente para seleccionar al oferente favorecido, respetando en todo caso los compromisos internacionales vigentes” –según lo dispone el inciso primero–</w:t>
            </w:r>
            <w:r>
              <w:rPr>
                <w:rFonts w:ascii="Verdana" w:hAnsi="Verdana" w:cs="Arial"/>
                <w:lang w:val="es-ES"/>
              </w:rPr>
              <w:t>. Así mismo</w:t>
            </w:r>
            <w:r w:rsidRPr="3AF63748" w:rsidDel="0023064F">
              <w:rPr>
                <w:rFonts w:ascii="Verdana" w:hAnsi="Verdana" w:cs="Arial"/>
                <w:lang w:val="es-ES"/>
              </w:rPr>
              <w:t>,</w:t>
            </w:r>
            <w:r w:rsidRPr="3AF63748">
              <w:rPr>
                <w:rFonts w:ascii="Verdana" w:hAnsi="Verdana" w:cs="Arial"/>
                <w:lang w:val="es-ES"/>
              </w:rPr>
              <w:t xml:space="preserve"> el parágrafo tercero del mencionado artículo establece que “El Gobierno Nacional podrá reglamentar la aplicación de factores de desempate en casos en que concurran dos o más de los factores aquí previstos”. En otras palabras, dicho parágrafo le asigna potestad reglamentaria al gobierno nacional para definir factores que permitan desempatar las ofertas en aquellos casos en que varios oferentes reúnan al tiempo dos o más de los factores previstos en el artículo 35. </w:t>
            </w:r>
          </w:p>
          <w:p w14:paraId="1694C206" w14:textId="77777777" w:rsidR="00244BAE" w:rsidRDefault="00244BAE" w:rsidP="00FD2119">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 xml:space="preserve">En consecuencia, conforme la potestad reglamentaria asignada al gobierno nacional, el </w:t>
            </w:r>
            <w:r w:rsidRPr="00C51AFD">
              <w:rPr>
                <w:rFonts w:ascii="Verdana" w:eastAsia="Calibri" w:hAnsi="Verdana" w:cs="Arial"/>
                <w:b/>
                <w:bCs/>
                <w:lang w:val="es-ES"/>
              </w:rPr>
              <w:t>artículo 3 del Decreto 1860 de 2021</w:t>
            </w:r>
            <w:r w:rsidRPr="00C51AFD">
              <w:rPr>
                <w:rFonts w:ascii="Verdana" w:eastAsia="Calibri" w:hAnsi="Verdana" w:cs="Arial"/>
                <w:lang w:val="es-ES"/>
              </w:rPr>
              <w:t xml:space="preserve">, mediante el cual se adicionó el artículo 2.2.1.2.4.2.17. al Decreto 1082 de 2015, reglamentó el artículo 35 de la Ley 2069 de 2020 y determinó la forma en la cual se deben acreditar las circunstancias a las que se refieren cada uno de los numerales del citado artículo. </w:t>
            </w:r>
          </w:p>
          <w:p w14:paraId="63E412E7" w14:textId="77777777" w:rsidR="00244BAE" w:rsidRDefault="00244BAE" w:rsidP="00FD2119">
            <w:pPr>
              <w:spacing w:after="120" w:line="276" w:lineRule="auto"/>
              <w:ind w:firstLine="709"/>
              <w:jc w:val="both"/>
              <w:rPr>
                <w:rFonts w:ascii="Verdana" w:eastAsia="Calibri" w:hAnsi="Verdana" w:cs="Arial"/>
                <w:lang w:val="es-ES_tradnl"/>
              </w:rPr>
            </w:pPr>
            <w:r>
              <w:rPr>
                <w:rFonts w:ascii="Verdana" w:eastAsia="Calibri" w:hAnsi="Verdana" w:cs="Arial"/>
                <w:lang w:val="es-ES_tradnl"/>
              </w:rPr>
              <w:t>L</w:t>
            </w:r>
            <w:r w:rsidRPr="00C51AFD">
              <w:rPr>
                <w:rFonts w:ascii="Verdana" w:eastAsia="Calibri" w:hAnsi="Verdana" w:cs="Arial"/>
                <w:lang w:val="es-ES_tradnl"/>
              </w:rPr>
              <w:t>os factores de desempate del artículo 35 de la Ley de Emprendimiento</w:t>
            </w:r>
            <w:r w:rsidRPr="00C51AFD">
              <w:rPr>
                <w:rFonts w:ascii="Verdana" w:eastAsia="Calibri" w:hAnsi="Verdana" w:cs="Arial"/>
                <w:i/>
                <w:iCs/>
                <w:lang w:val="es-ES_tradnl"/>
              </w:rPr>
              <w:t xml:space="preserve"> </w:t>
            </w:r>
            <w:r w:rsidRPr="00C51AFD">
              <w:rPr>
                <w:rFonts w:ascii="Verdana" w:eastAsia="Calibri" w:hAnsi="Verdana" w:cs="Arial"/>
                <w:lang w:val="es-ES_tradnl"/>
              </w:rPr>
              <w:t>no solo son aplicables a la contratación de las entidades regidas por el EGCAP, sino también a los procesos de selección de las entidades exceptuadas, a los que realicen los patrimonios autónomos constituidos por entidades estatales, y en general, en los procesos de selección realizados con cargo a recursos públicos. Debido a que la norma no distingue entre modalidades o procedimientos, los factores de desempate son aplicables en todos los procesos de selección que celebren los sujetos mencionados.</w:t>
            </w:r>
          </w:p>
          <w:p w14:paraId="3FB626FF" w14:textId="77777777" w:rsidR="00244BAE" w:rsidRDefault="00244BAE" w:rsidP="00FD2119">
            <w:pPr>
              <w:spacing w:after="120" w:line="276" w:lineRule="auto"/>
              <w:ind w:firstLine="709"/>
              <w:jc w:val="both"/>
              <w:rPr>
                <w:rFonts w:ascii="Verdana" w:eastAsia="Calibri" w:hAnsi="Verdana" w:cs="Arial"/>
              </w:rPr>
            </w:pPr>
            <w:r w:rsidRPr="00C51AFD">
              <w:rPr>
                <w:rFonts w:ascii="Verdana" w:eastAsia="Calibri" w:hAnsi="Verdana" w:cs="Arial"/>
                <w:lang w:val="es-ES_tradnl"/>
              </w:rPr>
              <w:t>En ese sentido, la Agencia ha estimado que la aplicación del artículo 35 de la Ley 2069 de 2020</w:t>
            </w:r>
            <w:r w:rsidRPr="00C51AFD">
              <w:rPr>
                <w:rFonts w:ascii="Verdana" w:eastAsia="Calibri" w:hAnsi="Verdana" w:cs="Arial"/>
              </w:rPr>
              <w:t xml:space="preserve"> es transversal a los diferentes actores del sistema de compras públicas, quienes –indistintamente del régimen de contractual y el proceso de selección– deben aplicar los criterios de desempate de esta norma, lo cual aplica a los procedimientos de subasta inversa y de mínima cuantía. </w:t>
            </w:r>
          </w:p>
          <w:p w14:paraId="4A02E0E0" w14:textId="77777777" w:rsidR="00244BAE" w:rsidRDefault="00244BAE" w:rsidP="00FD2119">
            <w:pPr>
              <w:spacing w:after="120" w:line="276" w:lineRule="auto"/>
              <w:ind w:firstLine="709"/>
              <w:jc w:val="both"/>
              <w:rPr>
                <w:rFonts w:ascii="Verdana" w:eastAsia="Calibri" w:hAnsi="Verdana" w:cs="Arial"/>
                <w:lang w:val="es-ES"/>
              </w:rPr>
            </w:pPr>
            <w:r w:rsidRPr="00C51AFD">
              <w:rPr>
                <w:rFonts w:ascii="Verdana" w:eastAsia="Calibri" w:hAnsi="Verdana" w:cs="Arial"/>
                <w:lang w:val="es-ES_tradnl"/>
              </w:rPr>
              <w:t xml:space="preserve">El artículo 35 de la Ley 2069 de 2020 regula la institución de los factores de desempate en los procesos de contratación estatal de manera integral, sin hacer distinción entre las modalidades de selección. En consecuencia, por tratarse de una norma transversal al sistema de compras y contratación pública, el citado artículo es aplicable </w:t>
            </w:r>
            <w:r>
              <w:rPr>
                <w:rFonts w:ascii="Verdana" w:eastAsia="Calibri" w:hAnsi="Verdana" w:cs="Arial"/>
                <w:lang w:val="es-ES_tradnl"/>
              </w:rPr>
              <w:t xml:space="preserve">incluso </w:t>
            </w:r>
            <w:r w:rsidRPr="00C51AFD">
              <w:rPr>
                <w:rFonts w:ascii="Verdana" w:eastAsia="Calibri" w:hAnsi="Verdana" w:cs="Arial"/>
                <w:lang w:val="es-ES_tradnl"/>
              </w:rPr>
              <w:t>a los procedimientos de mínima cuantía, aun cuando en este procedimiento la determinación de la oferta más favorable no esté mediada por el uso de “puntaje”. Lo anterior, dado que una interpretación exegética del artículo 35, según la cual este solo es aplicable en los procedimientos en los que se use el “puntaje” como mecanismo de evaluación, no corresponde con la finalidad transversal de la norma</w:t>
            </w:r>
          </w:p>
          <w:p w14:paraId="6B79BBDA" w14:textId="77777777" w:rsidR="00244BAE" w:rsidRDefault="00244BAE" w:rsidP="00FD2119">
            <w:pPr>
              <w:spacing w:after="120" w:line="276" w:lineRule="auto"/>
              <w:ind w:firstLine="709"/>
              <w:jc w:val="both"/>
              <w:rPr>
                <w:rFonts w:ascii="Verdana" w:eastAsia="Calibri" w:hAnsi="Verdana" w:cs="Arial"/>
              </w:rPr>
            </w:pPr>
            <w:r w:rsidRPr="00C51AFD">
              <w:rPr>
                <w:rFonts w:ascii="Verdana" w:eastAsia="Calibri" w:hAnsi="Verdana" w:cs="Arial"/>
                <w:bCs/>
              </w:rPr>
              <w:t xml:space="preserve">Así las cosas, el alcance de la expresión </w:t>
            </w:r>
            <w:r w:rsidRPr="00C51AFD">
              <w:rPr>
                <w:rFonts w:ascii="Verdana" w:eastAsia="Calibri" w:hAnsi="Verdana" w:cs="Arial"/>
                <w:bCs/>
                <w:i/>
                <w:iCs/>
              </w:rPr>
              <w:t xml:space="preserve">puntaje total, </w:t>
            </w:r>
            <w:r w:rsidRPr="00C51AFD">
              <w:rPr>
                <w:rFonts w:ascii="Verdana" w:eastAsia="Calibri" w:hAnsi="Verdana" w:cs="Arial"/>
                <w:bCs/>
              </w:rPr>
              <w:t xml:space="preserve">contenida en el artículo 35 de la Ley 2069 de 2020, debe interpretarse sistemáticamente, propiciando una aplicación normativa coherente con otras disposiciones del sistema de compra pública y que satisfaga la finalidad transversal de la norma. </w:t>
            </w:r>
            <w:r w:rsidRPr="00C51AFD">
              <w:rPr>
                <w:rFonts w:ascii="Verdana" w:eastAsia="Calibri" w:hAnsi="Verdana" w:cs="Arial"/>
                <w:bCs/>
                <w:lang w:val="es-ES_tradnl"/>
              </w:rPr>
              <w:t xml:space="preserve">Conforme a esta interpretación, la expresión </w:t>
            </w:r>
            <w:r w:rsidRPr="00C51AFD">
              <w:rPr>
                <w:rFonts w:ascii="Verdana" w:eastAsia="Calibri" w:hAnsi="Verdana" w:cs="Arial"/>
                <w:i/>
                <w:iCs/>
              </w:rPr>
              <w:t>empate en el puntaje total</w:t>
            </w:r>
            <w:r w:rsidRPr="00C51AFD">
              <w:rPr>
                <w:rFonts w:ascii="Verdana" w:eastAsia="Calibri" w:hAnsi="Verdana" w:cs="Arial"/>
              </w:rPr>
              <w:t xml:space="preserve"> apunta a las situaciones en la evaluación final de las ofertas, en las que, realizándose la comparación de acuerdo con los factores de calificación, evaluación o ponderación aplicables al respectivo procedimiento, se presenta un empate entre dos o más propuestas. En ese entendido, con independencia de que la ponderación emplee puntajes, fórmulas, criterios de relación costo – beneficio o de que el único criterio de evaluación sea el menor precio, deben aplicarse los factores de desempate del artículo 35 de la Ley 2069 de 2020 en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w:t>
            </w:r>
          </w:p>
          <w:p w14:paraId="3828892A" w14:textId="77777777" w:rsidR="00244BAE" w:rsidRPr="004F09D3" w:rsidRDefault="00244BAE" w:rsidP="00FD2119">
            <w:pPr>
              <w:spacing w:after="120" w:line="276" w:lineRule="auto"/>
              <w:ind w:firstLine="709"/>
              <w:jc w:val="both"/>
              <w:rPr>
                <w:rFonts w:ascii="Verdana" w:eastAsia="Calibri" w:hAnsi="Verdana" w:cs="Arial"/>
              </w:rPr>
            </w:pPr>
            <w:r w:rsidRPr="00C51AFD">
              <w:rPr>
                <w:rFonts w:ascii="Verdana" w:eastAsia="Calibri" w:hAnsi="Verdana" w:cs="Arial"/>
              </w:rPr>
              <w:t>Así las cosas, el artículo 35 de la Ley 2069 de 2020 y su reglamentación mediante el Decreto 1860 de 2021 establecen una herramienta normativa clara y obligatoria para resolver empates en los procesos de contratación pública, incluso en modalidades como la mínima cuantía. La aplicación sucesiva de los criterios definidos —que priorizan la inclusión, el desarrollo regional, el emprendimiento y la equidad de género— permite a las entidades garantizar una selección objetiva, transparente y alineada con los principios constitucionales que rigen la función administrativa.</w:t>
            </w:r>
          </w:p>
          <w:p w14:paraId="0622EA8D" w14:textId="77777777" w:rsidR="00244BAE" w:rsidRPr="004F09D3" w:rsidRDefault="00244BAE" w:rsidP="00FD2119">
            <w:pPr>
              <w:spacing w:after="120" w:line="276" w:lineRule="auto"/>
              <w:ind w:firstLine="709"/>
              <w:jc w:val="both"/>
              <w:rPr>
                <w:rFonts w:ascii="Verdana" w:eastAsia="Calibri" w:hAnsi="Verdana" w:cs="Arial"/>
                <w:lang w:val="es-ES"/>
              </w:rPr>
            </w:pPr>
            <w:r>
              <w:rPr>
                <w:rFonts w:ascii="Verdana" w:eastAsia="Calibri" w:hAnsi="Verdana" w:cs="Arial"/>
              </w:rPr>
              <w:t xml:space="preserve">En ese contexto, </w:t>
            </w:r>
            <w:r w:rsidRPr="009251F4">
              <w:rPr>
                <w:rFonts w:ascii="Verdana" w:eastAsia="Calibri" w:hAnsi="Verdana" w:cs="Arial"/>
              </w:rPr>
              <w:t>el orden cronológico de presentación de las ofertas no constituye un criterio válido de desempate en procesos de selección</w:t>
            </w:r>
            <w:r>
              <w:rPr>
                <w:rFonts w:ascii="Verdana" w:eastAsia="Calibri" w:hAnsi="Verdana" w:cs="Arial"/>
              </w:rPr>
              <w:t xml:space="preserve">, razón por la cual dichos criterios se aplican en los eventos en que se presenten varias ofertas con el mismo puntaje o precio y se procede a emplear </w:t>
            </w:r>
            <w:r w:rsidRPr="009251F4">
              <w:rPr>
                <w:rFonts w:ascii="Verdana" w:eastAsia="Calibri" w:hAnsi="Verdana" w:cs="Arial"/>
              </w:rPr>
              <w:t xml:space="preserve">los criterios establecidos en el artículo </w:t>
            </w:r>
            <w:r w:rsidRPr="00B2386A">
              <w:rPr>
                <w:rFonts w:ascii="Verdana" w:eastAsia="Calibri" w:hAnsi="Verdana" w:cs="Arial"/>
              </w:rPr>
              <w:t>2.2.1.2.4.2.17.</w:t>
            </w:r>
            <w:r>
              <w:rPr>
                <w:rFonts w:ascii="Verdana" w:eastAsia="Calibri" w:hAnsi="Verdana" w:cs="Arial"/>
              </w:rPr>
              <w:t xml:space="preserve"> del Decreto 1860 de 2021 de forma sucesiva y excluyente como lo dispone dicha norma</w:t>
            </w:r>
          </w:p>
        </w:tc>
      </w:tr>
    </w:tbl>
    <w:p w14:paraId="29604AD9" w14:textId="77777777" w:rsidR="00244BAE" w:rsidRDefault="00244BAE" w:rsidP="00244BAE">
      <w:pPr>
        <w:tabs>
          <w:tab w:val="left" w:pos="142"/>
          <w:tab w:val="left" w:pos="284"/>
        </w:tabs>
        <w:spacing w:after="0" w:line="276" w:lineRule="auto"/>
        <w:jc w:val="both"/>
        <w:rPr>
          <w:rFonts w:ascii="Verdana" w:eastAsia="Century Gothic" w:hAnsi="Verdana" w:cs="Century Gothic"/>
          <w:b/>
          <w:bCs/>
        </w:rPr>
      </w:pPr>
    </w:p>
    <w:p w14:paraId="6E24374D" w14:textId="77777777" w:rsidR="00244BAE" w:rsidRPr="005644FE" w:rsidRDefault="00244BAE" w:rsidP="00244BAE">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7E6A8852" w14:textId="77777777" w:rsidR="00244BAE" w:rsidRDefault="00244BAE" w:rsidP="00244BAE">
      <w:pPr>
        <w:tabs>
          <w:tab w:val="left" w:pos="142"/>
          <w:tab w:val="left" w:pos="284"/>
          <w:tab w:val="left" w:pos="6975"/>
        </w:tabs>
        <w:spacing w:after="0" w:line="276" w:lineRule="auto"/>
        <w:jc w:val="both"/>
        <w:rPr>
          <w:rFonts w:ascii="Verdana" w:eastAsia="Calibri" w:hAnsi="Verdana" w:cs="Arial"/>
        </w:rPr>
      </w:pPr>
    </w:p>
    <w:p w14:paraId="57FC9BA9" w14:textId="77777777" w:rsidR="00244BAE" w:rsidRDefault="00244BAE" w:rsidP="00244BAE">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10EC9590" w14:textId="77777777" w:rsidR="00244BAE" w:rsidRDefault="00244BAE" w:rsidP="00244BAE">
      <w:pPr>
        <w:tabs>
          <w:tab w:val="left" w:pos="142"/>
          <w:tab w:val="left" w:pos="284"/>
          <w:tab w:val="left" w:pos="6975"/>
        </w:tabs>
        <w:spacing w:after="0" w:line="276" w:lineRule="auto"/>
        <w:jc w:val="both"/>
        <w:rPr>
          <w:rFonts w:ascii="Verdana" w:eastAsia="Calibri" w:hAnsi="Verdana" w:cs="Arial"/>
          <w:lang w:val="es-ES_tradnl"/>
        </w:rPr>
      </w:pPr>
      <w:bookmarkStart w:id="2" w:name="_Hlk102388074"/>
      <w:bookmarkStart w:id="3" w:name="_Hlk102983874"/>
    </w:p>
    <w:p w14:paraId="5F326FC1" w14:textId="77777777" w:rsidR="00244BAE" w:rsidRDefault="00244BAE" w:rsidP="00244BAE">
      <w:pPr>
        <w:tabs>
          <w:tab w:val="left" w:pos="142"/>
          <w:tab w:val="left" w:pos="284"/>
          <w:tab w:val="left" w:pos="6975"/>
        </w:tabs>
        <w:spacing w:after="120" w:line="276" w:lineRule="auto"/>
        <w:jc w:val="both"/>
        <w:rPr>
          <w:rFonts w:ascii="Verdana" w:eastAsia="Calibri" w:hAnsi="Verdana" w:cs="Arial"/>
          <w:lang w:val="es-ES"/>
        </w:rPr>
      </w:pPr>
      <w:r w:rsidRPr="00C51AFD">
        <w:rPr>
          <w:rFonts w:ascii="Verdana" w:eastAsia="Calibri" w:hAnsi="Verdana" w:cs="Arial"/>
          <w:lang w:val="es-ES_tradnl"/>
        </w:rPr>
        <w:t xml:space="preserve">El 31 de diciembre de 2020 se promulgó la Ley 2069, “Por medio de la cual se impulsa el emprendimiento en Colombia”. </w:t>
      </w:r>
      <w:bookmarkStart w:id="4" w:name="_Hlk102388095"/>
      <w:bookmarkEnd w:id="2"/>
      <w:r w:rsidRPr="00C51AFD">
        <w:rPr>
          <w:rFonts w:ascii="Verdana" w:eastAsia="Calibri" w:hAnsi="Verdana" w:cs="Arial"/>
          <w:lang w:val="es-ES"/>
        </w:rPr>
        <w:t xml:space="preserve">En cuando a su contenido, es importante señalar que, como dispone el artículo 1, aquella “tiene por objeto establecer un marco regulatorio que propicie el emprendimiento y el crecimiento, consolidación y sostenibilidad de las empresas, con el fin de aumentar el bienestar social y generar equidad”. Esto a partir de “[…] un enfoque regionalizado </w:t>
      </w:r>
      <w:proofErr w:type="gramStart"/>
      <w:r w:rsidRPr="00C51AFD">
        <w:rPr>
          <w:rFonts w:ascii="Verdana" w:eastAsia="Calibri" w:hAnsi="Verdana" w:cs="Arial"/>
          <w:lang w:val="es-ES"/>
        </w:rPr>
        <w:t>de acuerdo a</w:t>
      </w:r>
      <w:proofErr w:type="gramEnd"/>
      <w:r w:rsidRPr="00C51AFD">
        <w:rPr>
          <w:rFonts w:ascii="Verdana" w:eastAsia="Calibri" w:hAnsi="Verdana" w:cs="Arial"/>
          <w:lang w:val="es-ES"/>
        </w:rPr>
        <w:t xml:space="preserve"> las realidades socioeconómicas de cada región”. </w:t>
      </w:r>
    </w:p>
    <w:p w14:paraId="2CF63307" w14:textId="77777777" w:rsidR="00244BAE" w:rsidRDefault="00244BAE" w:rsidP="00244BAE">
      <w:pPr>
        <w:tabs>
          <w:tab w:val="left" w:pos="142"/>
          <w:tab w:val="left" w:pos="284"/>
          <w:tab w:val="left" w:pos="6975"/>
        </w:tabs>
        <w:spacing w:after="120" w:line="276" w:lineRule="auto"/>
        <w:ind w:firstLine="142"/>
        <w:jc w:val="both"/>
        <w:rPr>
          <w:rFonts w:ascii="Verdana" w:eastAsia="Calibri" w:hAnsi="Verdana" w:cs="Arial"/>
          <w:lang w:val="es-ES"/>
        </w:rPr>
      </w:pPr>
      <w:r>
        <w:rPr>
          <w:rFonts w:ascii="Verdana" w:eastAsia="Calibri" w:hAnsi="Verdana" w:cs="Arial"/>
          <w:lang w:val="es-ES"/>
        </w:rPr>
        <w:t xml:space="preserve">         </w:t>
      </w:r>
      <w:r w:rsidRPr="00C51AFD">
        <w:rPr>
          <w:rFonts w:ascii="Verdana" w:hAnsi="Verdana" w:cs="Arial"/>
          <w:bCs/>
          <w:color w:val="000000" w:themeColor="text1"/>
          <w:lang w:val="es-MX"/>
        </w:rPr>
        <w:t>En desarrollo de esta finalidad, se establecen medidas de apoyo para las micro, pequeñas y medianas empresas –</w:t>
      </w:r>
      <w:proofErr w:type="spellStart"/>
      <w:r w:rsidRPr="00C51AFD">
        <w:rPr>
          <w:rFonts w:ascii="Verdana" w:hAnsi="Verdana" w:cs="Arial"/>
          <w:bCs/>
          <w:color w:val="000000" w:themeColor="text1"/>
          <w:lang w:val="es-MX"/>
        </w:rPr>
        <w:t>Mipymes</w:t>
      </w:r>
      <w:proofErr w:type="spellEnd"/>
      <w:r w:rsidRPr="00C51AFD">
        <w:rPr>
          <w:rFonts w:ascii="Verdana" w:hAnsi="Verdana" w:cs="Arial"/>
          <w:bCs/>
          <w:color w:val="000000" w:themeColor="text1"/>
          <w:lang w:val="es-MX"/>
        </w:rPr>
        <w:t>–, mediante la racionalización y simplificación de los trámites y tarifas</w:t>
      </w:r>
      <w:r w:rsidRPr="00702C82">
        <w:rPr>
          <w:rFonts w:ascii="Verdana" w:hAnsi="Verdana" w:cs="Arial"/>
          <w:bCs/>
          <w:color w:val="000000" w:themeColor="text1"/>
          <w:vertAlign w:val="superscript"/>
          <w:lang w:val="es-MX"/>
        </w:rPr>
        <w:footnoteReference w:id="1"/>
      </w:r>
      <w:r w:rsidRPr="00C51AFD">
        <w:rPr>
          <w:rFonts w:ascii="Verdana" w:hAnsi="Verdana" w:cs="Arial"/>
          <w:bCs/>
          <w:color w:val="000000" w:themeColor="text1"/>
          <w:lang w:val="es-MX"/>
        </w:rPr>
        <w:t>, así como incentivos a favor de aquellas dentro del sistema de compras y contratación pública</w:t>
      </w:r>
      <w:r w:rsidRPr="00702C82">
        <w:rPr>
          <w:rFonts w:ascii="Verdana" w:hAnsi="Verdana" w:cs="Arial"/>
          <w:bCs/>
          <w:color w:val="000000" w:themeColor="text1"/>
          <w:vertAlign w:val="superscript"/>
          <w:lang w:val="es-MX"/>
        </w:rPr>
        <w:footnoteReference w:id="2"/>
      </w:r>
      <w:r w:rsidRPr="00C51AFD">
        <w:rPr>
          <w:rFonts w:ascii="Verdana" w:hAnsi="Verdana" w:cs="Arial"/>
          <w:bCs/>
          <w:color w:val="000000" w:themeColor="text1"/>
          <w:lang w:val="es-MX"/>
        </w:rPr>
        <w:t>. También se consagran mecanismos de acceso al financiamiento</w:t>
      </w:r>
      <w:r w:rsidRPr="00702C82">
        <w:rPr>
          <w:rFonts w:ascii="Verdana" w:hAnsi="Verdana" w:cs="Arial"/>
          <w:bCs/>
          <w:color w:val="000000" w:themeColor="text1"/>
          <w:vertAlign w:val="superscript"/>
          <w:lang w:val="es-MX"/>
        </w:rPr>
        <w:footnoteReference w:id="3"/>
      </w:r>
      <w:r w:rsidRPr="00702C82">
        <w:rPr>
          <w:rFonts w:ascii="Verdana" w:hAnsi="Verdana" w:cs="Arial"/>
          <w:bCs/>
          <w:color w:val="000000" w:themeColor="text1"/>
          <w:vertAlign w:val="superscript"/>
          <w:lang w:val="es-MX"/>
        </w:rPr>
        <w:t>,</w:t>
      </w:r>
      <w:r w:rsidRPr="00C51AFD">
        <w:rPr>
          <w:rFonts w:ascii="Verdana" w:hAnsi="Verdana" w:cs="Arial"/>
          <w:bCs/>
          <w:color w:val="000000" w:themeColor="text1"/>
          <w:lang w:val="es-MX"/>
        </w:rPr>
        <w:t xml:space="preserve"> se unifican las fuentes de emprendimiento y de desarrollo empresarial, para fortalecer y promover los distintos sectores de la economía</w:t>
      </w:r>
      <w:r w:rsidRPr="00C51AFD">
        <w:rPr>
          <w:rFonts w:ascii="Verdana" w:hAnsi="Verdana" w:cs="Arial"/>
          <w:bCs/>
          <w:color w:val="000000" w:themeColor="text1"/>
          <w:vertAlign w:val="superscript"/>
          <w:lang w:val="es-MX"/>
        </w:rPr>
        <w:footnoteReference w:id="4"/>
      </w:r>
      <w:r w:rsidRPr="00C51AFD">
        <w:rPr>
          <w:rFonts w:ascii="Verdana" w:hAnsi="Verdana" w:cs="Arial"/>
          <w:bCs/>
          <w:color w:val="000000" w:themeColor="text1"/>
          <w:vertAlign w:val="superscript"/>
          <w:lang w:val="es-MX"/>
        </w:rPr>
        <w:t xml:space="preserve"> </w:t>
      </w:r>
      <w:r w:rsidRPr="00C51AFD">
        <w:rPr>
          <w:rFonts w:ascii="Verdana" w:hAnsi="Verdana" w:cs="Arial"/>
          <w:bCs/>
          <w:color w:val="000000" w:themeColor="text1"/>
          <w:lang w:val="es-MX"/>
        </w:rPr>
        <w:t>y se prevén medidas de educación para el emprendimiento y la innovación</w:t>
      </w:r>
      <w:bookmarkEnd w:id="3"/>
      <w:r w:rsidRPr="00C51AFD">
        <w:rPr>
          <w:rFonts w:ascii="Verdana" w:eastAsia="Calibri" w:hAnsi="Verdana" w:cs="Arial"/>
          <w:vertAlign w:val="superscript"/>
          <w:lang w:val="es-ES"/>
        </w:rPr>
        <w:footnoteReference w:id="5"/>
      </w:r>
      <w:r w:rsidRPr="00C51AFD">
        <w:rPr>
          <w:rFonts w:ascii="Verdana" w:eastAsia="Calibri" w:hAnsi="Verdana" w:cs="Arial"/>
          <w:lang w:val="es-ES"/>
        </w:rPr>
        <w:t>.</w:t>
      </w:r>
      <w:bookmarkStart w:id="5" w:name="_Hlk63883948"/>
      <w:bookmarkEnd w:id="4"/>
    </w:p>
    <w:p w14:paraId="7C106D4E" w14:textId="77777777" w:rsidR="00244BAE" w:rsidRDefault="00244BAE" w:rsidP="00244BAE">
      <w:pPr>
        <w:tabs>
          <w:tab w:val="left" w:pos="142"/>
          <w:tab w:val="left" w:pos="284"/>
          <w:tab w:val="left" w:pos="6975"/>
        </w:tabs>
        <w:spacing w:after="120" w:line="276" w:lineRule="auto"/>
        <w:ind w:firstLine="142"/>
        <w:jc w:val="both"/>
        <w:rPr>
          <w:rFonts w:ascii="Verdana" w:eastAsia="Calibri" w:hAnsi="Verdana" w:cs="Arial"/>
        </w:rPr>
      </w:pPr>
      <w:r>
        <w:rPr>
          <w:rFonts w:ascii="Verdana" w:eastAsia="Calibri" w:hAnsi="Verdana" w:cs="Arial"/>
          <w:lang w:val="es-ES"/>
        </w:rPr>
        <w:t xml:space="preserve">         </w:t>
      </w:r>
      <w:r w:rsidRPr="00C51AFD">
        <w:rPr>
          <w:rFonts w:ascii="Verdana" w:hAnsi="Verdana" w:cs="Arial"/>
          <w:bCs/>
          <w:color w:val="000000" w:themeColor="text1"/>
          <w:lang w:val="es-MX"/>
        </w:rPr>
        <w:t xml:space="preserve">La Ley 2069 de 2020 guarda congruencia con el “Pacto por el emprendimiento, la formalización y la productividad” del Plan Nacional de Desarrollo 2018-2022, pues busca impulsar el nacimiento de nuevas empresas que incentiven la generación de empleo en el país. En tal sentido, su finalidad principal es generar la reactivación de la economía y fomentar la actividad emprendedora, por ello tiene como uno de sus propósitos propiciar un entorno para ayudar al crecimiento, consolidación y sostenibilidad de esas iniciativas, generando mayor desarrollo social, creación de las empresas y mejoras tanto en la productividad como en la competitividad. De esta manera, la Ley en comento también concreta la </w:t>
      </w:r>
      <w:bookmarkStart w:id="6" w:name="_Hlk63692496"/>
      <w:r w:rsidRPr="00C51AFD">
        <w:rPr>
          <w:rFonts w:ascii="Verdana" w:hAnsi="Verdana" w:cs="Arial"/>
          <w:bCs/>
          <w:color w:val="000000" w:themeColor="text1"/>
          <w:lang w:val="es-MX"/>
        </w:rPr>
        <w:t>“Política de formalización empresarial</w:t>
      </w:r>
      <w:bookmarkEnd w:id="6"/>
      <w:r w:rsidRPr="00C51AFD">
        <w:rPr>
          <w:rFonts w:ascii="Verdana" w:hAnsi="Verdana" w:cs="Arial"/>
          <w:bCs/>
          <w:color w:val="000000" w:themeColor="text1"/>
          <w:lang w:val="es-MX"/>
        </w:rPr>
        <w:t>” del Documento CONPES 3956 del 8 de enero de 2019</w:t>
      </w:r>
      <w:r w:rsidRPr="00C51AFD">
        <w:rPr>
          <w:rFonts w:ascii="Verdana" w:eastAsia="Calibri" w:hAnsi="Verdana" w:cs="Arial"/>
          <w:bCs/>
          <w:vertAlign w:val="superscript"/>
        </w:rPr>
        <w:footnoteReference w:id="6"/>
      </w:r>
      <w:r w:rsidRPr="00C51AFD">
        <w:rPr>
          <w:rFonts w:ascii="Verdana" w:eastAsia="Calibri" w:hAnsi="Verdana" w:cs="Arial"/>
          <w:bCs/>
        </w:rPr>
        <w:t>.</w:t>
      </w:r>
      <w:bookmarkEnd w:id="5"/>
    </w:p>
    <w:p w14:paraId="1D3E3A68" w14:textId="77777777" w:rsidR="00244BAE" w:rsidRDefault="00244BAE" w:rsidP="00244BAE">
      <w:pPr>
        <w:tabs>
          <w:tab w:val="left" w:pos="142"/>
          <w:tab w:val="left" w:pos="284"/>
          <w:tab w:val="left" w:pos="6975"/>
        </w:tabs>
        <w:spacing w:after="120" w:line="276" w:lineRule="auto"/>
        <w:ind w:firstLine="142"/>
        <w:jc w:val="both"/>
        <w:rPr>
          <w:rFonts w:ascii="Verdana" w:hAnsi="Verdana" w:cs="Arial"/>
          <w:bCs/>
          <w:color w:val="000000" w:themeColor="text1"/>
          <w:lang w:val="es-MX"/>
        </w:rPr>
      </w:pPr>
      <w:r>
        <w:rPr>
          <w:rFonts w:ascii="Verdana" w:eastAsia="Calibri" w:hAnsi="Verdana" w:cs="Arial"/>
        </w:rPr>
        <w:t xml:space="preserve">        </w:t>
      </w:r>
      <w:r w:rsidRPr="00C51AFD">
        <w:rPr>
          <w:rFonts w:ascii="Verdana" w:hAnsi="Verdana" w:cs="Arial"/>
          <w:bCs/>
          <w:color w:val="000000" w:themeColor="text1"/>
          <w:lang w:val="es-MX"/>
        </w:rPr>
        <w:t xml:space="preserve">De esta manera, la Ley impulsa medidas para: i) reducir cargas y trámites para los emprendedores del país, </w:t>
      </w:r>
      <w:proofErr w:type="spellStart"/>
      <w:r w:rsidRPr="00C51AFD">
        <w:rPr>
          <w:rFonts w:ascii="Verdana" w:hAnsi="Verdana" w:cs="Arial"/>
          <w:bCs/>
          <w:color w:val="000000" w:themeColor="text1"/>
          <w:lang w:val="es-MX"/>
        </w:rPr>
        <w:t>ii</w:t>
      </w:r>
      <w:proofErr w:type="spellEnd"/>
      <w:r w:rsidRPr="00C51AFD">
        <w:rPr>
          <w:rFonts w:ascii="Verdana" w:hAnsi="Verdana" w:cs="Arial"/>
          <w:bCs/>
          <w:color w:val="000000" w:themeColor="text1"/>
          <w:lang w:val="es-MX"/>
        </w:rPr>
        <w:t xml:space="preserve">) facilitar su acceso al sistema de compras y contratación pública, </w:t>
      </w:r>
      <w:proofErr w:type="spellStart"/>
      <w:r w:rsidRPr="00C51AFD">
        <w:rPr>
          <w:rFonts w:ascii="Verdana" w:hAnsi="Verdana" w:cs="Arial"/>
          <w:bCs/>
          <w:color w:val="000000" w:themeColor="text1"/>
          <w:lang w:val="es-MX"/>
        </w:rPr>
        <w:t>iii</w:t>
      </w:r>
      <w:proofErr w:type="spellEnd"/>
      <w:r w:rsidRPr="00C51AFD">
        <w:rPr>
          <w:rFonts w:ascii="Verdana" w:hAnsi="Verdana" w:cs="Arial"/>
          <w:bCs/>
          <w:color w:val="000000" w:themeColor="text1"/>
          <w:lang w:val="es-MX"/>
        </w:rPr>
        <w:t xml:space="preserve">) incentivar el crecimiento económico con la llegada de más actores al ecosistema de inversión y financiación, </w:t>
      </w:r>
      <w:proofErr w:type="spellStart"/>
      <w:r w:rsidRPr="00C51AFD">
        <w:rPr>
          <w:rFonts w:ascii="Verdana" w:hAnsi="Verdana" w:cs="Arial"/>
          <w:bCs/>
          <w:color w:val="000000" w:themeColor="text1"/>
          <w:lang w:val="es-MX"/>
        </w:rPr>
        <w:t>iv</w:t>
      </w:r>
      <w:proofErr w:type="spellEnd"/>
      <w:r w:rsidRPr="00C51AFD">
        <w:rPr>
          <w:rFonts w:ascii="Verdana" w:hAnsi="Verdana" w:cs="Arial"/>
          <w:bCs/>
          <w:color w:val="000000" w:themeColor="text1"/>
          <w:lang w:val="es-MX"/>
        </w:rPr>
        <w:t>) focalizar esfuerzos, optimizar la gestión de recursos e incentivar una visión integral del desarrollo productivo a través del fortalecimiento institucional, v) facilitar la apropiación del emprendimiento y la cultura emprendedora en la juventud colombiana, así como vi) otorgar beneficios para emprendedores, especialmente, estableciendo un enfoque diferencial respecto a los miembros de las poblaciones más vulnerables, que les permita avanzar en su actividad y desarrollar sus iniciativas</w:t>
      </w:r>
      <w:r w:rsidRPr="00C51AFD">
        <w:rPr>
          <w:rFonts w:ascii="Verdana" w:hAnsi="Verdana" w:cs="Arial"/>
          <w:bCs/>
          <w:color w:val="000000" w:themeColor="text1"/>
          <w:vertAlign w:val="superscript"/>
          <w:lang w:val="es-MX"/>
        </w:rPr>
        <w:footnoteReference w:id="7"/>
      </w:r>
      <w:r w:rsidRPr="00C51AFD">
        <w:rPr>
          <w:rFonts w:ascii="Verdana" w:hAnsi="Verdana" w:cs="Arial"/>
          <w:bCs/>
          <w:color w:val="000000" w:themeColor="text1"/>
          <w:lang w:val="es-MX"/>
        </w:rPr>
        <w:t>.</w:t>
      </w:r>
    </w:p>
    <w:p w14:paraId="77535F00" w14:textId="77777777" w:rsidR="00244BAE" w:rsidRPr="00C51AFD" w:rsidRDefault="00244BAE" w:rsidP="00244BAE">
      <w:pPr>
        <w:tabs>
          <w:tab w:val="left" w:pos="142"/>
          <w:tab w:val="left" w:pos="284"/>
          <w:tab w:val="left" w:pos="6975"/>
        </w:tabs>
        <w:spacing w:after="120" w:line="276" w:lineRule="auto"/>
        <w:ind w:firstLine="142"/>
        <w:jc w:val="both"/>
        <w:rPr>
          <w:rFonts w:ascii="Verdana" w:eastAsia="Calibri" w:hAnsi="Verdana" w:cs="Arial"/>
        </w:rPr>
      </w:pPr>
      <w:r>
        <w:rPr>
          <w:rFonts w:ascii="Verdana" w:eastAsia="Calibri" w:hAnsi="Verdana" w:cs="Arial"/>
        </w:rPr>
        <w:t xml:space="preserve">        </w:t>
      </w:r>
      <w:r w:rsidRPr="00C51AFD">
        <w:rPr>
          <w:rFonts w:ascii="Verdana" w:eastAsia="Calibri" w:hAnsi="Verdana" w:cs="Arial"/>
        </w:rPr>
        <w:t xml:space="preserve">Además, parte de la Ley 2069 de 2020 contiene normas que modifican algunos aspectos de la contratación estatal para promover el emprendimiento. Concretamente, aquellas se encuentran en el Capítulo III –artículos 30 al 36–. En su orden, tales artículos consagran: i) reglas sobre la participación de las </w:t>
      </w:r>
      <w:proofErr w:type="spellStart"/>
      <w:r w:rsidRPr="00C51AFD">
        <w:rPr>
          <w:rFonts w:ascii="Verdana" w:eastAsia="Calibri" w:hAnsi="Verdana" w:cs="Arial"/>
        </w:rPr>
        <w:t>Mipymes</w:t>
      </w:r>
      <w:proofErr w:type="spellEnd"/>
      <w:r w:rsidRPr="00C51AFD">
        <w:rPr>
          <w:rFonts w:ascii="Verdana" w:eastAsia="Calibri" w:hAnsi="Verdana" w:cs="Arial"/>
        </w:rPr>
        <w:t xml:space="preserve"> en el procedimiento de mínima cuantía, </w:t>
      </w:r>
      <w:proofErr w:type="spellStart"/>
      <w:r w:rsidRPr="00C51AFD">
        <w:rPr>
          <w:rFonts w:ascii="Verdana" w:eastAsia="Calibri" w:hAnsi="Verdana" w:cs="Arial"/>
        </w:rPr>
        <w:t>ii</w:t>
      </w:r>
      <w:proofErr w:type="spellEnd"/>
      <w:r w:rsidRPr="00C51AFD">
        <w:rPr>
          <w:rFonts w:ascii="Verdana" w:eastAsia="Calibri" w:hAnsi="Verdana" w:cs="Arial"/>
        </w:rPr>
        <w:t xml:space="preserve">) criterios diferenciales para </w:t>
      </w:r>
      <w:proofErr w:type="spellStart"/>
      <w:r w:rsidRPr="00C51AFD">
        <w:rPr>
          <w:rFonts w:ascii="Verdana" w:eastAsia="Calibri" w:hAnsi="Verdana" w:cs="Arial"/>
        </w:rPr>
        <w:t>Mipymes</w:t>
      </w:r>
      <w:proofErr w:type="spellEnd"/>
      <w:r w:rsidRPr="00C51AFD">
        <w:rPr>
          <w:rFonts w:ascii="Verdana" w:eastAsia="Calibri" w:hAnsi="Verdana" w:cs="Arial"/>
        </w:rPr>
        <w:t xml:space="preserve"> en el sistema de compras públicas, </w:t>
      </w:r>
      <w:proofErr w:type="spellStart"/>
      <w:r w:rsidRPr="00C51AFD">
        <w:rPr>
          <w:rFonts w:ascii="Verdana" w:eastAsia="Calibri" w:hAnsi="Verdana" w:cs="Arial"/>
        </w:rPr>
        <w:t>iii</w:t>
      </w:r>
      <w:proofErr w:type="spellEnd"/>
      <w:r w:rsidRPr="00C51AFD">
        <w:rPr>
          <w:rFonts w:ascii="Verdana" w:eastAsia="Calibri" w:hAnsi="Verdana" w:cs="Arial"/>
        </w:rPr>
        <w:t xml:space="preserve">) criterios diferenciales para emprendimientos y empresas de mujeres en el sistema de compras públicas, </w:t>
      </w:r>
      <w:proofErr w:type="spellStart"/>
      <w:r w:rsidRPr="00C51AFD">
        <w:rPr>
          <w:rFonts w:ascii="Verdana" w:eastAsia="Calibri" w:hAnsi="Verdana" w:cs="Arial"/>
        </w:rPr>
        <w:t>iv</w:t>
      </w:r>
      <w:proofErr w:type="spellEnd"/>
      <w:r w:rsidRPr="00C51AFD">
        <w:rPr>
          <w:rFonts w:ascii="Verdana" w:eastAsia="Calibri" w:hAnsi="Verdana" w:cs="Arial"/>
        </w:rPr>
        <w:t xml:space="preserve">) promoción del acceso de las </w:t>
      </w:r>
      <w:proofErr w:type="spellStart"/>
      <w:r w:rsidRPr="00C51AFD">
        <w:rPr>
          <w:rFonts w:ascii="Verdana" w:eastAsia="Calibri" w:hAnsi="Verdana" w:cs="Arial"/>
        </w:rPr>
        <w:t>Mipymes</w:t>
      </w:r>
      <w:proofErr w:type="spellEnd"/>
      <w:r w:rsidRPr="00C51AFD">
        <w:rPr>
          <w:rFonts w:ascii="Verdana" w:eastAsia="Calibri" w:hAnsi="Verdana" w:cs="Arial"/>
        </w:rPr>
        <w:t xml:space="preserve"> al mercado de compras públicas, v) promoción del desarrollo en la contratación pública, vi) un nuevo régimen de factores de desempate y vi) un llamado a las entidades estatales para que promuevan compras públicas en el marco de la tecnología y la innovación. </w:t>
      </w:r>
    </w:p>
    <w:p w14:paraId="54707E2E" w14:textId="77777777" w:rsidR="00244BAE" w:rsidRDefault="00244BAE" w:rsidP="00244BAE">
      <w:pPr>
        <w:tabs>
          <w:tab w:val="left" w:pos="142"/>
          <w:tab w:val="left" w:pos="284"/>
          <w:tab w:val="left" w:pos="6975"/>
        </w:tabs>
        <w:spacing w:after="0" w:line="276" w:lineRule="auto"/>
        <w:jc w:val="both"/>
        <w:rPr>
          <w:rFonts w:ascii="Verdana" w:eastAsia="Calibri" w:hAnsi="Verdana" w:cs="Arial"/>
          <w:lang w:val="es-ES_tradnl"/>
        </w:rPr>
      </w:pPr>
      <w:bookmarkStart w:id="8" w:name="_Hlk102388186"/>
      <w:r>
        <w:rPr>
          <w:rFonts w:ascii="Verdana" w:eastAsia="Calibri" w:hAnsi="Verdana" w:cs="Arial"/>
          <w:lang w:val="es-ES_tradnl"/>
        </w:rPr>
        <w:t xml:space="preserve">        </w:t>
      </w:r>
      <w:r w:rsidRPr="00C51AFD">
        <w:rPr>
          <w:rFonts w:ascii="Verdana" w:eastAsia="Calibri" w:hAnsi="Verdana" w:cs="Arial"/>
          <w:lang w:val="es-ES_tradnl"/>
        </w:rPr>
        <w:t xml:space="preserve">El artículo </w:t>
      </w:r>
      <w:r w:rsidRPr="00C51AFD">
        <w:rPr>
          <w:rFonts w:ascii="Verdana" w:eastAsia="Calibri" w:hAnsi="Verdana" w:cs="Arial"/>
          <w:b/>
          <w:bCs/>
          <w:lang w:val="es-ES_tradnl"/>
        </w:rPr>
        <w:t>35 de la Ley 2069 de 2020</w:t>
      </w:r>
      <w:r w:rsidRPr="00C51AFD">
        <w:rPr>
          <w:rFonts w:ascii="Verdana" w:eastAsia="Calibri" w:hAnsi="Verdana" w:cs="Arial"/>
          <w:lang w:val="es-ES_tradnl"/>
        </w:rPr>
        <w:t xml:space="preserve"> define un nuevo marco jurídico en relación con los criterios de desempate previstos en los procesos de contratación realizados con cargo a recursos públicos, los procesos de contratación efectuados por las entidades estatales indistintamente de su régimen de contratación, así como los procesos de contratación adelantados por patrimonios autónomos constituidos por entidades estatales. </w:t>
      </w:r>
      <w:bookmarkEnd w:id="8"/>
    </w:p>
    <w:p w14:paraId="7AA59C39" w14:textId="77777777" w:rsidR="00244BAE" w:rsidRDefault="00244BAE" w:rsidP="00244BAE">
      <w:pPr>
        <w:spacing w:after="0" w:line="240" w:lineRule="auto"/>
        <w:ind w:firstLine="709"/>
        <w:jc w:val="both"/>
        <w:rPr>
          <w:rFonts w:ascii="Verdana" w:eastAsia="Calibri" w:hAnsi="Verdana" w:cs="Arial"/>
          <w:lang w:val="es-ES"/>
        </w:rPr>
      </w:pPr>
    </w:p>
    <w:p w14:paraId="3E673E07" w14:textId="77777777" w:rsidR="00244BAE" w:rsidRDefault="00244BAE" w:rsidP="00244BAE">
      <w:pPr>
        <w:spacing w:after="120" w:line="276" w:lineRule="auto"/>
        <w:ind w:firstLine="709"/>
        <w:jc w:val="both"/>
        <w:rPr>
          <w:rFonts w:ascii="Verdana" w:eastAsia="Calibri" w:hAnsi="Verdana" w:cs="Arial"/>
          <w:lang w:val="es-ES"/>
        </w:rPr>
      </w:pPr>
      <w:r w:rsidRPr="00BA2A0E">
        <w:rPr>
          <w:rFonts w:ascii="Verdana" w:eastAsia="Calibri" w:hAnsi="Verdana" w:cs="Arial"/>
          <w:lang w:val="es-ES"/>
        </w:rPr>
        <w:t xml:space="preserve">Al respecto, debe señalarse que, </w:t>
      </w:r>
      <w:r w:rsidRPr="3AF63748">
        <w:rPr>
          <w:rFonts w:ascii="Verdana" w:hAnsi="Verdana" w:cs="Arial"/>
          <w:lang w:val="es-ES"/>
        </w:rPr>
        <w:t>los factores de desempate regulados en el artículo 35 deben aplicarse “[…] de forma sucesiva y excluyente para seleccionar al oferente favorecido, respetando en todo caso los compromisos internacionales vigentes” –según lo dispone el inciso primero–</w:t>
      </w:r>
      <w:r>
        <w:rPr>
          <w:rFonts w:ascii="Verdana" w:hAnsi="Verdana" w:cs="Arial"/>
          <w:lang w:val="es-ES"/>
        </w:rPr>
        <w:t>. Así mismo</w:t>
      </w:r>
      <w:r w:rsidRPr="3AF63748" w:rsidDel="0023064F">
        <w:rPr>
          <w:rFonts w:ascii="Verdana" w:hAnsi="Verdana" w:cs="Arial"/>
          <w:lang w:val="es-ES"/>
        </w:rPr>
        <w:t>,</w:t>
      </w:r>
      <w:r w:rsidRPr="3AF63748">
        <w:rPr>
          <w:rFonts w:ascii="Verdana" w:hAnsi="Verdana" w:cs="Arial"/>
          <w:lang w:val="es-ES"/>
        </w:rPr>
        <w:t xml:space="preserve"> el parágrafo tercero del mencionado artículo establece que “El Gobierno Nacional podrá reglamentar la aplicación de factores de desempate en casos en que concurran dos o más de los factores aquí previstos”. En otras palabras, dicho parágrafo le asigna potestad reglamentaria al gobierno nacional para definir factores que permitan desempatar las ofertas en aquellos casos en que varios oferentes reúnan al tiempo dos o más de los factores previstos en el artículo 35. </w:t>
      </w:r>
    </w:p>
    <w:p w14:paraId="19C36E2F" w14:textId="77777777" w:rsidR="00244BAE" w:rsidRDefault="00244BAE" w:rsidP="00244BAE">
      <w:pPr>
        <w:spacing w:after="120" w:line="276" w:lineRule="auto"/>
        <w:ind w:firstLine="709"/>
        <w:jc w:val="both"/>
        <w:rPr>
          <w:rFonts w:ascii="Verdana" w:eastAsia="Calibri" w:hAnsi="Verdana" w:cs="Arial"/>
          <w:lang w:val="es-ES_tradnl"/>
        </w:rPr>
      </w:pPr>
      <w:r w:rsidRPr="00C51AFD">
        <w:rPr>
          <w:rFonts w:ascii="Verdana" w:eastAsia="Calibri" w:hAnsi="Verdana" w:cs="Arial"/>
          <w:lang w:val="es-ES_tradnl"/>
        </w:rPr>
        <w:t xml:space="preserve">A continuación, el artículo en mención establece los factores de desempate que se deben seguir de manera sucesiva, sin indicar tampoco en cada numeral que su eficacia dependa de lo que determine el reglamento. La única alusión que se hace al reglamento se encuentra en el parágrafo tercero del artículo que se viene comentando, no para condicionar la aplicación de todo lo dispuesto en aquel, sino para indicar que “El Gobierno Nacional </w:t>
      </w:r>
      <w:r w:rsidRPr="00C51AFD">
        <w:rPr>
          <w:rFonts w:ascii="Verdana" w:eastAsia="Calibri" w:hAnsi="Verdana" w:cs="Arial"/>
          <w:i/>
          <w:iCs/>
          <w:lang w:val="es-ES_tradnl"/>
        </w:rPr>
        <w:t>podrá reglamentar</w:t>
      </w:r>
      <w:r w:rsidRPr="00C51AFD">
        <w:rPr>
          <w:rFonts w:ascii="Verdana" w:eastAsia="Calibri" w:hAnsi="Verdana" w:cs="Arial"/>
          <w:lang w:val="es-ES_tradnl"/>
        </w:rPr>
        <w:t xml:space="preserve"> la aplicación de factores de desempate en casos en que concurran dos o más de los factores aquí previstos” (Énfasis fuera de texto)</w:t>
      </w:r>
      <w:bookmarkStart w:id="9" w:name="_Hlk102388229"/>
      <w:r>
        <w:rPr>
          <w:rFonts w:ascii="Verdana" w:eastAsia="Calibri" w:hAnsi="Verdana" w:cs="Arial"/>
          <w:lang w:val="es-ES_tradnl"/>
        </w:rPr>
        <w:t>.</w:t>
      </w:r>
    </w:p>
    <w:p w14:paraId="7966BA2B"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 xml:space="preserve">Si bien esta norma es de aplicación directa, no establece la forma de acreditar las circunstancias a las que se refieren cada uno de sus numerales, por lo que se consideró necesario la intervención del reglamento para la debida aplicación de los factores de desempate, de manera que se estandarizara la forma en que se acreditan los mismos. En consecuencia, conforme la potestad reglamentaria asignada al gobierno nacional, el </w:t>
      </w:r>
      <w:r w:rsidRPr="00C51AFD">
        <w:rPr>
          <w:rFonts w:ascii="Verdana" w:eastAsia="Calibri" w:hAnsi="Verdana" w:cs="Arial"/>
          <w:b/>
          <w:bCs/>
          <w:lang w:val="es-ES"/>
        </w:rPr>
        <w:t>artículo 3 del Decreto 1860 de 2021</w:t>
      </w:r>
      <w:r w:rsidRPr="00C51AFD">
        <w:rPr>
          <w:rFonts w:ascii="Verdana" w:eastAsia="Calibri" w:hAnsi="Verdana" w:cs="Arial"/>
          <w:lang w:val="es-ES"/>
        </w:rPr>
        <w:t xml:space="preserve">, mediante el cual se adicionó el artículo 2.2.1.2.4.2.17. al Decreto 1082 de 2015, reglamentó el artículo 35 de la Ley 2069 de 2020 y determinó la forma en la cual se deben acreditar las circunstancias a las que se refieren cada uno de los numerales del citado artículo. </w:t>
      </w:r>
    </w:p>
    <w:p w14:paraId="7500ED31"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De esta forma, a través del artículo en mención se permite la debida aplicación de los factores de desempate previstos y se garantiza la selección objetiva de los contratistas. Esta regulación impide que la forma de acreditación de los factores de desempate dependa de la discrecionalidad administrativa, por lo que pretende una regulación uniforme de la materia conforme al alcance de cada una de las causales contenidas en el artículo 35 de la Ley 2069 de 2021.</w:t>
      </w:r>
      <w:bookmarkEnd w:id="9"/>
    </w:p>
    <w:p w14:paraId="3F986E75"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_tradnl"/>
        </w:rPr>
        <w:t xml:space="preserve">El parágrafo primero del artículo 2.2.1.2.4.2.17 reitera, en línea con lo dispuesto en el artículo 35 de la Ley 2069 de 2020, que la aplicación de los factores de desempate debe darse en armonía con los Acuerdos Comerciales vigentes suscritos por Colombia y señala que en el evento en que el empate se presente entre ofertas cubiertas por un Acuerdo Comercial se aplicarán los factores de desempate que sean compatibles con los mencionados Acuerdos. Además, indica que, si el empate se presenta con un proponente, bien o servicio extranjero cuyo país de origen no tiene Acuerdo Comercial con Colombia, ni trato nacional por reciprocidad o con ocasión de la normativa comunitaria, se dará aplicación a todos los criterios de desempate previstos en el Decreto. </w:t>
      </w:r>
    </w:p>
    <w:p w14:paraId="55D24982"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 xml:space="preserve">Finalmente, el parágrafo tercero del artículo objeto de estudio consagra la obligación de las entidades estatales de garantizar el derecho a la reserva legal de toda la información que acredite el cumplimiento de los factores de desempate de: i) mujeres víctimas de violencia intrafamiliar; </w:t>
      </w:r>
      <w:proofErr w:type="spellStart"/>
      <w:r w:rsidRPr="00C51AFD">
        <w:rPr>
          <w:rFonts w:ascii="Verdana" w:eastAsia="Calibri" w:hAnsi="Verdana" w:cs="Arial"/>
          <w:lang w:val="es-ES"/>
        </w:rPr>
        <w:t>ii</w:t>
      </w:r>
      <w:proofErr w:type="spellEnd"/>
      <w:r w:rsidRPr="00C51AFD">
        <w:rPr>
          <w:rFonts w:ascii="Verdana" w:eastAsia="Calibri" w:hAnsi="Verdana" w:cs="Arial"/>
          <w:lang w:val="es-ES"/>
        </w:rPr>
        <w:t xml:space="preserve">) las personas en proceso de reincorporación y/o reintegración y; </w:t>
      </w:r>
      <w:proofErr w:type="spellStart"/>
      <w:r w:rsidRPr="00C51AFD">
        <w:rPr>
          <w:rFonts w:ascii="Verdana" w:eastAsia="Calibri" w:hAnsi="Verdana" w:cs="Arial"/>
          <w:lang w:val="es-ES"/>
        </w:rPr>
        <w:t>iii</w:t>
      </w:r>
      <w:proofErr w:type="spellEnd"/>
      <w:r w:rsidRPr="00C51AFD">
        <w:rPr>
          <w:rFonts w:ascii="Verdana" w:eastAsia="Calibri" w:hAnsi="Verdana" w:cs="Arial"/>
          <w:lang w:val="es-ES"/>
        </w:rPr>
        <w:t xml:space="preserve">) la población indígena, negra, afrocolombiana, raizal, palenquera, </w:t>
      </w:r>
      <w:proofErr w:type="spellStart"/>
      <w:r w:rsidRPr="00C51AFD">
        <w:rPr>
          <w:rFonts w:ascii="Verdana" w:eastAsia="Calibri" w:hAnsi="Verdana" w:cs="Arial"/>
          <w:lang w:val="es-ES"/>
        </w:rPr>
        <w:t>Rrom</w:t>
      </w:r>
      <w:proofErr w:type="spellEnd"/>
      <w:r w:rsidRPr="00C51AFD">
        <w:rPr>
          <w:rFonts w:ascii="Verdana" w:eastAsia="Calibri" w:hAnsi="Verdana" w:cs="Arial"/>
          <w:lang w:val="es-ES"/>
        </w:rPr>
        <w:t xml:space="preserve"> o gitana. En consonancia con lo anterior, dispone que en la plataforma del SECOP no se publicará para el conocimiento de terceros la información relacionada con los factores de desempate de personas en procesos de reincorporación o reintegración o mujeres víctimas de violencia intrafamiliar o la población indígena, negra, afrocolombiana, raizal, palenquera, </w:t>
      </w:r>
      <w:proofErr w:type="spellStart"/>
      <w:r w:rsidRPr="00C51AFD">
        <w:rPr>
          <w:rFonts w:ascii="Verdana" w:eastAsia="Calibri" w:hAnsi="Verdana" w:cs="Arial"/>
          <w:lang w:val="es-ES"/>
        </w:rPr>
        <w:t>Rrom</w:t>
      </w:r>
      <w:proofErr w:type="spellEnd"/>
      <w:r w:rsidRPr="00C51AFD">
        <w:rPr>
          <w:rFonts w:ascii="Verdana" w:eastAsia="Calibri" w:hAnsi="Verdana" w:cs="Arial"/>
          <w:lang w:val="es-ES"/>
        </w:rPr>
        <w:t xml:space="preserve"> o gitana, puesto que su público conocimiento puede afectar el derecho a la intimidad de los oferentes o de sus trabajadores o socios o accionistas.</w:t>
      </w:r>
    </w:p>
    <w:p w14:paraId="7F5AD33E"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_tradnl"/>
        </w:rPr>
        <w:t xml:space="preserve">Lo explicado en los párrafos precedentes también aplica </w:t>
      </w:r>
      <w:r w:rsidRPr="00C51AFD">
        <w:rPr>
          <w:rFonts w:ascii="Verdana" w:eastAsia="Calibri" w:hAnsi="Verdana" w:cs="Arial"/>
          <w:i/>
          <w:iCs/>
          <w:lang w:val="es-ES_tradnl"/>
        </w:rPr>
        <w:t>mutatis mutandis</w:t>
      </w:r>
      <w:r w:rsidRPr="00C51AFD">
        <w:rPr>
          <w:rFonts w:ascii="Verdana" w:eastAsia="Calibri" w:hAnsi="Verdana" w:cs="Arial"/>
          <w:lang w:val="es-ES_tradnl"/>
        </w:rPr>
        <w:t xml:space="preserve"> a los factores de desempate previstos en el Decreto Único Reglamentario del Sector Administrativo de Planeación Nacional para los procedimientos de mínima cuantía. En efecto, si bien el parágrafo 2 del artículo 30 de la Ley de Emprendimiento dispone que “La contratación a que se refiere el presente artículo se realizará exclusivamente con las reglas en él contempladas y en su reglamentación […]”, las causales del artículo 35 de la Ley 2069 de 2020 aplican a los “[…]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 […]”, sin distinguir entre modalidades de selección. </w:t>
      </w:r>
    </w:p>
    <w:p w14:paraId="5A66FB9D" w14:textId="77777777" w:rsidR="00244BAE" w:rsidRDefault="00244BAE" w:rsidP="00244BAE">
      <w:pPr>
        <w:spacing w:after="120" w:line="276" w:lineRule="auto"/>
        <w:ind w:firstLine="709"/>
        <w:jc w:val="both"/>
        <w:rPr>
          <w:rFonts w:ascii="Verdana" w:eastAsia="Calibri" w:hAnsi="Verdana" w:cs="Arial"/>
          <w:lang w:val="es-ES_tradnl"/>
        </w:rPr>
      </w:pPr>
      <w:r w:rsidRPr="00C51AFD">
        <w:rPr>
          <w:rFonts w:ascii="Verdana" w:eastAsia="Calibri" w:hAnsi="Verdana" w:cs="Arial"/>
          <w:lang w:val="es-ES_tradnl"/>
        </w:rPr>
        <w:t>Como se precisó anteriormente, los factores de desempate del artículo 35 de la Ley de Emprendimiento</w:t>
      </w:r>
      <w:r w:rsidRPr="00C51AFD">
        <w:rPr>
          <w:rFonts w:ascii="Verdana" w:eastAsia="Calibri" w:hAnsi="Verdana" w:cs="Arial"/>
          <w:i/>
          <w:iCs/>
          <w:lang w:val="es-ES_tradnl"/>
        </w:rPr>
        <w:t xml:space="preserve"> </w:t>
      </w:r>
      <w:r w:rsidRPr="00C51AFD">
        <w:rPr>
          <w:rFonts w:ascii="Verdana" w:eastAsia="Calibri" w:hAnsi="Verdana" w:cs="Arial"/>
          <w:lang w:val="es-ES_tradnl"/>
        </w:rPr>
        <w:t>no solo son aplicables a la contratación de las entidades regidas por el EGCAP, sino también a los procesos de selección de las entidades exceptuadas, a los que realicen los patrimonios autónomos constituidos por entidades estatales, y en general, en los procesos de selección realizados con cargo a recursos públicos. Debido a que la norma no distingue entre modalidades o procedimientos, los factores de desempate son aplicables en todos los procesos de selección que celebren los sujetos mencionados.</w:t>
      </w:r>
      <w:bookmarkStart w:id="10" w:name="_Hlk102388390"/>
      <w:bookmarkStart w:id="11" w:name="_Hlk102984001"/>
    </w:p>
    <w:p w14:paraId="3BCFAD3F" w14:textId="77777777" w:rsidR="00244BAE" w:rsidRDefault="00244BAE" w:rsidP="00244BAE">
      <w:pPr>
        <w:spacing w:after="120" w:line="276" w:lineRule="auto"/>
        <w:ind w:firstLine="709"/>
        <w:jc w:val="both"/>
        <w:rPr>
          <w:rFonts w:ascii="Verdana" w:eastAsia="Calibri" w:hAnsi="Verdana" w:cs="Arial"/>
        </w:rPr>
      </w:pPr>
      <w:r w:rsidRPr="00C51AFD">
        <w:rPr>
          <w:rFonts w:ascii="Verdana" w:eastAsia="Calibri" w:hAnsi="Verdana" w:cs="Arial"/>
          <w:lang w:val="es-ES_tradnl"/>
        </w:rPr>
        <w:t>En ese sentido, la Agencia ha estimado que la aplicación del artículo 35 de la Ley 2069 de 2020</w:t>
      </w:r>
      <w:r w:rsidRPr="00C51AFD">
        <w:rPr>
          <w:rFonts w:ascii="Verdana" w:eastAsia="Calibri" w:hAnsi="Verdana" w:cs="Arial"/>
        </w:rPr>
        <w:t xml:space="preserve"> es transversal a los diferentes actores del sistema de compras públicas, quienes –indistintamente del régimen de contractual y el proceso de selección– deben aplicar los criterios de desempate de esta norma, lo cual aplica a los procedimientos de subasta inversa y de mínima cuantía. </w:t>
      </w:r>
    </w:p>
    <w:p w14:paraId="2936235A" w14:textId="77777777" w:rsidR="00244BAE" w:rsidRDefault="00244BAE" w:rsidP="00244BAE">
      <w:pPr>
        <w:spacing w:after="120" w:line="276" w:lineRule="auto"/>
        <w:ind w:firstLine="709"/>
        <w:jc w:val="both"/>
        <w:rPr>
          <w:rFonts w:ascii="Verdana" w:eastAsia="Calibri" w:hAnsi="Verdana" w:cs="Arial"/>
        </w:rPr>
      </w:pPr>
      <w:r w:rsidRPr="00C51AFD">
        <w:rPr>
          <w:rFonts w:ascii="Verdana" w:eastAsia="Calibri" w:hAnsi="Verdana" w:cs="Arial"/>
          <w:lang w:val="es-ES_tradnl"/>
        </w:rPr>
        <w:t>El hecho de que en este procedimiento la determinación de la oferta más favorable no esté mediada por el uso de “puntaje” y que el artículo 35 de la Ley 2069 de 2020 sea aplicable en “</w:t>
      </w:r>
      <w:r w:rsidRPr="00C51AFD">
        <w:rPr>
          <w:rFonts w:ascii="Verdana" w:eastAsia="Calibri" w:hAnsi="Verdana" w:cs="Arial"/>
        </w:rPr>
        <w:t>[…] caso de empate en el puntaje total de dos o más ofertas […]”,</w:t>
      </w:r>
      <w:r w:rsidRPr="00C51AFD">
        <w:rPr>
          <w:rFonts w:ascii="Verdana" w:eastAsia="Calibri" w:hAnsi="Verdana" w:cs="Arial"/>
          <w:lang w:val="es-ES_tradnl"/>
        </w:rPr>
        <w:t xml:space="preserve"> no significa la inaplicación de dicha noma</w:t>
      </w:r>
      <w:r w:rsidRPr="00C51AFD">
        <w:rPr>
          <w:rFonts w:ascii="Verdana" w:eastAsia="Calibri" w:hAnsi="Verdana" w:cs="Arial"/>
          <w:bCs/>
        </w:rPr>
        <w:t xml:space="preserve">. </w:t>
      </w:r>
      <w:r w:rsidRPr="00C51AFD">
        <w:rPr>
          <w:rFonts w:ascii="Verdana" w:eastAsia="Calibri" w:hAnsi="Verdana" w:cs="Arial"/>
          <w:lang w:val="es-ES_tradnl"/>
        </w:rPr>
        <w:t xml:space="preserve">Esto dado que una interpretación exegética del artículo 35, según la cual este solo es aplicable en los procedimientos en los que se use el “puntaje” como mecanismo de evaluación, no corresponde con la finalidad transversal de la norma, puesto que los factores de desempate de la Ley de Emprendimiento están concebidos para </w:t>
      </w:r>
      <w:r w:rsidRPr="00C51AFD">
        <w:rPr>
          <w:rFonts w:ascii="Verdana" w:eastAsia="Calibri" w:hAnsi="Verdana" w:cs="Arial"/>
          <w:bCs/>
        </w:rPr>
        <w:t>“[…]</w:t>
      </w:r>
      <w:r w:rsidRPr="00C51AFD">
        <w:rPr>
          <w:rFonts w:ascii="Verdana" w:eastAsia="Calibri" w:hAnsi="Verdana" w:cs="Arial"/>
        </w:rPr>
        <w:t xml:space="preserve">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 […]</w:t>
      </w:r>
      <w:r w:rsidRPr="00C51AFD">
        <w:rPr>
          <w:rFonts w:ascii="Verdana" w:eastAsia="Calibri" w:hAnsi="Verdana" w:cs="Arial"/>
          <w:bCs/>
        </w:rPr>
        <w:t>”.</w:t>
      </w:r>
      <w:bookmarkStart w:id="12" w:name="_Hlk102388416"/>
      <w:bookmarkEnd w:id="10"/>
    </w:p>
    <w:p w14:paraId="1CF708E4" w14:textId="77777777" w:rsidR="00244BAE" w:rsidRDefault="00244BAE" w:rsidP="00244BAE">
      <w:pPr>
        <w:spacing w:after="120" w:line="276" w:lineRule="auto"/>
        <w:ind w:firstLine="709"/>
        <w:jc w:val="both"/>
        <w:rPr>
          <w:rFonts w:ascii="Verdana" w:eastAsia="Calibri" w:hAnsi="Verdana" w:cs="Arial"/>
        </w:rPr>
      </w:pPr>
      <w:r w:rsidRPr="00C51AFD">
        <w:rPr>
          <w:rFonts w:ascii="Verdana" w:eastAsia="Calibri" w:hAnsi="Verdana" w:cs="Arial"/>
          <w:bCs/>
        </w:rPr>
        <w:t xml:space="preserve">Por lo anterior, se considera que el alcance de la expresión </w:t>
      </w:r>
      <w:r w:rsidRPr="00C51AFD">
        <w:rPr>
          <w:rFonts w:ascii="Verdana" w:eastAsia="Calibri" w:hAnsi="Verdana" w:cs="Arial"/>
          <w:bCs/>
          <w:i/>
          <w:iCs/>
        </w:rPr>
        <w:t xml:space="preserve">puntaje total, </w:t>
      </w:r>
      <w:r w:rsidRPr="00C51AFD">
        <w:rPr>
          <w:rFonts w:ascii="Verdana" w:eastAsia="Calibri" w:hAnsi="Verdana" w:cs="Arial"/>
          <w:bCs/>
        </w:rPr>
        <w:t>contenida en el artículo 35 de la Ley 2069 de 2020, debe interpretarse sistemáticamente, propiciando una aplicación normativa coherente con otras disposiciones del sistema de compra pública y que satisfaga la finalidad transversal de la norma. Con este propósito, es necesario acudir al artículo 5 de la Ley 1150 de 2007, el cual regula el deber de selección objetiva, conforme al cual debe determinarse cuál es la oferta más favorable para la entidad y los fines de la contratación.</w:t>
      </w:r>
      <w:bookmarkEnd w:id="11"/>
      <w:bookmarkEnd w:id="12"/>
    </w:p>
    <w:p w14:paraId="4C1CDA76"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_tradnl"/>
        </w:rPr>
        <w:t>Dado que la selección objetiva es uno de los principios medulares de la contratación estatal, la selección del futuro contratista no puede motivarse en razones subjetivas que afecten la imparcialidad de la entidad pública. Así lo determina el primer inciso del artículo 5 de la Ley 1150 de 2007, al indicar que “Es objetiva la selección en la cual la escogencia se haga al ofrecimiento más favorable a la entidad y a los fines que ella busca, sin tener en consideración factores de afecto o de interés y, en general, cualquier clase de motivación subjetiva”. Además, la norma citada agrega que los factores de escogencia y calificación que establezcan las entidades en los pliegos de condiciones o sus equivalentes tendrán en cuenta criterios como la experiencia y la capacidad jurídica, financiera y de organización, entre otros elementos que garanticen la escogencia de la mejor opción de negocio para la entidad estatal.</w:t>
      </w:r>
    </w:p>
    <w:p w14:paraId="09F5AD39"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 xml:space="preserve">En esta perspectiva, los requisitos habilitantes o de participación, así como los criterios de evaluación o de calificación con puntos, son instrumentos por medio de los cuales se pretende la materialización del principio de selección objetiva en la contratación pública. Sin embargo, en algunas ocasiones, así se establezcan requisitos habilitantes y factores de calificación óptimos, se presentan circunstancias de empate una vez aplicados estos criterios. Como lo ha indicado la Agencia Nacional de Contratación Pública – Colombia Compra Eficiente en el “Manual para el manejo de los incentivos en los procesos de contratación”, “Dos ofertas resultan empatadas cuando obtienen la misma cantidad de puntos luego de aplicar las reglas establecidas en los pliegos de condiciones; u, ofrecen el mismo precio en los casos de mínima cuantía”. Es decir, el empate es un evento en el cual dos o más oferentes alcanzan una puntuación similar, al ponderarse los criterios de calificación que, en principio, aplican al procedimiento de selección. </w:t>
      </w:r>
    </w:p>
    <w:p w14:paraId="31031AB5" w14:textId="77777777" w:rsidR="00244BAE" w:rsidRDefault="00244BAE" w:rsidP="00244BAE">
      <w:pPr>
        <w:spacing w:after="120" w:line="276" w:lineRule="auto"/>
        <w:ind w:firstLine="709"/>
        <w:jc w:val="both"/>
        <w:rPr>
          <w:rFonts w:ascii="Verdana" w:eastAsia="Calibri" w:hAnsi="Verdana" w:cs="Arial"/>
          <w:lang w:val="es-ES"/>
        </w:rPr>
      </w:pPr>
      <w:r w:rsidRPr="19566C56">
        <w:rPr>
          <w:rFonts w:ascii="Verdana" w:eastAsia="Calibri" w:hAnsi="Verdana" w:cs="Arial"/>
          <w:lang w:val="es-ES"/>
        </w:rPr>
        <w:t>Sin embargo, ni siquiera los casos de empate limitan el alcance de la selección objetiva en la contratación estatal. Por el contrario, en estos supuestos también debe mantenerse indemne tal postulado. En consecuencia, el desempate no puede propiciarse acudiendo arbitrariamente a consideraciones subjetivas que no estén amparadas en el ordenamiento jurídico, sino que deben aplicarse los factores permitidos por las disposiciones normativas que regulan esta materia, entre las que se encuentra el artículo 35 de la Ley 2069 de 2020.</w:t>
      </w:r>
    </w:p>
    <w:p w14:paraId="5F2451AB"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_tradnl"/>
        </w:rPr>
        <w:t>La jurisprudencia comparte la idea de que los criterios de desempate deben estar establecidos de antemano y constituyen un límite a la discrecionalidad administrativa en los procedimientos de selección</w:t>
      </w:r>
      <w:r w:rsidRPr="00C51AFD">
        <w:rPr>
          <w:rFonts w:ascii="Verdana" w:eastAsia="Calibri" w:hAnsi="Verdana" w:cs="Arial"/>
          <w:vertAlign w:val="superscript"/>
          <w:lang w:val="es-ES_tradnl"/>
        </w:rPr>
        <w:footnoteReference w:id="8"/>
      </w:r>
      <w:r w:rsidRPr="00C51AFD">
        <w:rPr>
          <w:rFonts w:ascii="Verdana" w:eastAsia="Calibri" w:hAnsi="Verdana" w:cs="Arial"/>
          <w:lang w:val="es-ES_tradnl"/>
        </w:rPr>
        <w:t xml:space="preserve">. </w:t>
      </w:r>
    </w:p>
    <w:p w14:paraId="0F5DE4A4"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 xml:space="preserve">En tal sentido, la Corte Constitucional explica que cuando la ley establece factores de desempate obligatorios, las entidades estatales no pueden </w:t>
      </w:r>
      <w:proofErr w:type="spellStart"/>
      <w:r w:rsidRPr="00C51AFD">
        <w:rPr>
          <w:rFonts w:ascii="Verdana" w:eastAsia="Calibri" w:hAnsi="Verdana" w:cs="Arial"/>
          <w:lang w:val="es-ES"/>
        </w:rPr>
        <w:t>inaplicarlos</w:t>
      </w:r>
      <w:proofErr w:type="spellEnd"/>
      <w:r w:rsidRPr="00C51AFD">
        <w:rPr>
          <w:rFonts w:ascii="Verdana" w:eastAsia="Calibri" w:hAnsi="Verdana" w:cs="Arial"/>
          <w:lang w:val="es-ES"/>
        </w:rPr>
        <w:t>, porque ello podría vulnerar el principio de igualdad, especialmente, cuando algunos de estos criterios surgen como acciones afirmativas para ciertos sectores de la población</w:t>
      </w:r>
      <w:r w:rsidRPr="00C51AFD">
        <w:rPr>
          <w:rFonts w:ascii="Verdana" w:eastAsia="Calibri" w:hAnsi="Verdana" w:cs="Arial"/>
          <w:vertAlign w:val="superscript"/>
          <w:lang w:val="es-ES"/>
        </w:rPr>
        <w:footnoteReference w:id="9"/>
      </w:r>
      <w:r w:rsidRPr="00C51AFD">
        <w:rPr>
          <w:rFonts w:ascii="Verdana" w:eastAsia="Calibri" w:hAnsi="Verdana" w:cs="Arial"/>
          <w:lang w:val="es-ES"/>
        </w:rPr>
        <w:t>. Más aún, el Consejo de Estado ha señalado que contrariar los factores de desempate genera la nulidad del contrato, conforme al artículo 44, inciso 1º de la Ley 80 de 1993</w:t>
      </w:r>
      <w:r w:rsidRPr="00C51AFD">
        <w:rPr>
          <w:rFonts w:ascii="Verdana" w:eastAsia="Calibri" w:hAnsi="Verdana" w:cs="Arial"/>
          <w:vertAlign w:val="superscript"/>
          <w:lang w:val="es-ES"/>
        </w:rPr>
        <w:footnoteReference w:id="10"/>
      </w:r>
      <w:r w:rsidRPr="00C51AFD">
        <w:rPr>
          <w:rFonts w:ascii="Verdana" w:eastAsia="Calibri" w:hAnsi="Verdana" w:cs="Arial"/>
          <w:lang w:val="es-ES"/>
        </w:rPr>
        <w:t>.</w:t>
      </w:r>
    </w:p>
    <w:p w14:paraId="2019210D"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 xml:space="preserve">Ahora bien, en cumplimiento de los principios de reciprocidad y de </w:t>
      </w:r>
      <w:r w:rsidRPr="00C51AFD">
        <w:rPr>
          <w:rFonts w:ascii="Verdana" w:eastAsia="Calibri" w:hAnsi="Verdana" w:cs="Arial"/>
          <w:i/>
          <w:iCs/>
          <w:lang w:val="es-ES"/>
        </w:rPr>
        <w:t xml:space="preserve">pacta sunt </w:t>
      </w:r>
      <w:proofErr w:type="spellStart"/>
      <w:r w:rsidRPr="00C51AFD">
        <w:rPr>
          <w:rFonts w:ascii="Verdana" w:eastAsia="Calibri" w:hAnsi="Verdana" w:cs="Arial"/>
          <w:i/>
          <w:iCs/>
          <w:lang w:val="es-ES"/>
        </w:rPr>
        <w:t>servanda</w:t>
      </w:r>
      <w:proofErr w:type="spellEnd"/>
      <w:r w:rsidRPr="00C51AFD">
        <w:rPr>
          <w:rFonts w:ascii="Verdana" w:eastAsia="Calibri" w:hAnsi="Verdana" w:cs="Arial"/>
          <w:lang w:val="es-ES"/>
        </w:rPr>
        <w:t xml:space="preserve">, los factores de desempate que rigen la contratación estatal deben guardar armonía con los tratados comerciales internacionales suscritos por el Estado colombiano. Por tanto, las normas internas deben acoplarse a lo establecido en los acuerdos, pues estos prevalecen. Así lo precisó la Agencia Nacional de Contratación Pública – Colombia Compra Eficiente en el numeral IV, literal C, del “Manual para el manejo de los incentivos en los procesos de contratación”. </w:t>
      </w:r>
    </w:p>
    <w:p w14:paraId="7F15AF68" w14:textId="77777777" w:rsidR="00244BAE" w:rsidRDefault="00244BAE" w:rsidP="00244BAE">
      <w:pPr>
        <w:spacing w:after="120" w:line="276" w:lineRule="auto"/>
        <w:ind w:firstLine="709"/>
        <w:jc w:val="both"/>
        <w:rPr>
          <w:rFonts w:ascii="Verdana" w:eastAsia="Calibri" w:hAnsi="Verdana" w:cs="Arial"/>
          <w:lang w:val="es-ES_tradnl"/>
        </w:rPr>
      </w:pPr>
      <w:r w:rsidRPr="00C51AFD">
        <w:rPr>
          <w:rFonts w:ascii="Verdana" w:eastAsia="Calibri" w:hAnsi="Verdana" w:cs="Arial"/>
          <w:bCs/>
          <w:lang w:val="es-ES_tradnl"/>
        </w:rPr>
        <w:t xml:space="preserve">En gracia de discusión, asumir que los factores de desempate del artículo 35 de la Ley 2069 de 2020 únicamente son aplicables a los procesos de selección en los que se empleen sistemas de asignación de puntaje para determinar la oferta más favorable, conduciría a entender que estos no rigen en otros procedimientos de selección. Esto dado que no habría lugar a aplicar los referidos factores de desempate en procedimientos en los que no se comparen las ofertas usando puntajes, como es el caso de los procesos en los que ponderan condiciones técnicas y económicas mínimas y adicionales para escoger la oferta que represente la mejor relación costo beneficio, procedimientos en los que también es posible que se presenten empates. </w:t>
      </w:r>
    </w:p>
    <w:p w14:paraId="7DF7381E"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Las entidades estatales tendrían a su alcance la posibilidad de determinar si aplica o no el artículo 35 de la Ley de Emprendimiento, pues al elaborar los pliegos de condiciones están facultadas para prescindir de la asignación de puntaje, optando, por ejemplo, por alternativas en las que se valore la relación costo beneficio, lo que relevaría a la entidad de aplicar los factores de desempate. Esta consecuencia también se aprecia en el caso de las entidades exceptuadas, quienes, al no estar sujetas al artículo 5 de la Ley 1150 de 2007, tendrían la posibilidad de configurar procesos de selección en los que no se utilicen puntajes para escoger la oferta ganadora, inaplicando los factores de desempate del artículo 35 de la Ley 2069 de 2020.</w:t>
      </w:r>
    </w:p>
    <w:p w14:paraId="1030C32C" w14:textId="77777777" w:rsidR="00244BAE" w:rsidRDefault="00244BAE" w:rsidP="00244BAE">
      <w:pPr>
        <w:spacing w:after="120" w:line="276" w:lineRule="auto"/>
        <w:ind w:firstLine="709"/>
        <w:jc w:val="both"/>
        <w:rPr>
          <w:rFonts w:ascii="Verdana" w:eastAsia="Calibri" w:hAnsi="Verdana" w:cs="Arial"/>
          <w:lang w:val="es-ES_tradnl"/>
        </w:rPr>
      </w:pPr>
      <w:r w:rsidRPr="00C51AFD">
        <w:rPr>
          <w:rFonts w:ascii="Verdana" w:eastAsia="Calibri" w:hAnsi="Verdana" w:cs="Arial"/>
          <w:bCs/>
          <w:lang w:val="es-ES_tradnl"/>
        </w:rPr>
        <w:t xml:space="preserve">Conforme a estas consideraciones, con el entendimiento literal de la expresión </w:t>
      </w:r>
      <w:r w:rsidRPr="00C51AFD">
        <w:rPr>
          <w:rFonts w:ascii="Verdana" w:eastAsia="Calibri" w:hAnsi="Verdana" w:cs="Arial"/>
          <w:bCs/>
          <w:i/>
          <w:iCs/>
          <w:lang w:val="es-ES_tradnl"/>
        </w:rPr>
        <w:t>puntaje total</w:t>
      </w:r>
      <w:r w:rsidRPr="00C51AFD">
        <w:rPr>
          <w:rFonts w:ascii="Verdana" w:eastAsia="Calibri" w:hAnsi="Verdana" w:cs="Arial"/>
          <w:bCs/>
          <w:lang w:val="es-ES_tradnl"/>
        </w:rPr>
        <w:t xml:space="preserve"> contenida en el artículo 35 de la 2069 de 2020 se restringiría el alcance y los efectos de la norma referida, al permitir que los destinatarios eludan su aplicación. Esto implicaría que la finalidad transversal del artículo 35 de la Ley 2069 de 2020 quedaría cercenada por su interpretación exegética, generando consecuencias absurdas como las descritas en el párrafo precedente.  </w:t>
      </w:r>
      <w:bookmarkStart w:id="13" w:name="_Hlk102388433"/>
    </w:p>
    <w:p w14:paraId="39BC3498"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
        </w:rPr>
        <w:t>Sumado a los argumentos antes expuestos, se debe tener en cuenta que el Decreto 1860 de 2021, mediante el cual se reglamentó la Ley 2069 de 2020, dispuso de forma expresa la aplicación de los factores de desempate dispuesto en el artículo 35 a los procedimientos</w:t>
      </w:r>
      <w:r>
        <w:rPr>
          <w:rFonts w:ascii="Verdana" w:eastAsia="Calibri" w:hAnsi="Verdana" w:cs="Arial"/>
          <w:lang w:val="es-ES"/>
        </w:rPr>
        <w:t xml:space="preserve"> </w:t>
      </w:r>
      <w:r w:rsidRPr="00C51AFD">
        <w:rPr>
          <w:rFonts w:ascii="Verdana" w:eastAsia="Calibri" w:hAnsi="Verdana" w:cs="Arial"/>
          <w:lang w:val="es-ES"/>
        </w:rPr>
        <w:t>de mínima cuantía. Así las cosas, el artículo 2.2.1.2.1.5.2 del Decreto 1082 de 2015, modificado por el artículo 2 del Decreto 1860 de 2021, regula el procedimiento aplicable para la modalidad de mínima cuantía y dispone, en su numeral 8</w:t>
      </w:r>
      <w:r w:rsidRPr="00C51AFD">
        <w:rPr>
          <w:rFonts w:ascii="Verdana" w:eastAsia="Calibri" w:hAnsi="Verdana" w:cs="Arial"/>
          <w:vertAlign w:val="superscript"/>
          <w:lang w:val="es-ES"/>
        </w:rPr>
        <w:footnoteReference w:id="11"/>
      </w:r>
      <w:r w:rsidRPr="00C51AFD">
        <w:rPr>
          <w:rFonts w:ascii="Verdana" w:eastAsia="Calibri" w:hAnsi="Verdana" w:cs="Arial"/>
          <w:lang w:val="es-ES"/>
        </w:rPr>
        <w:t xml:space="preserve">, un factor de desempate aplicable a este procedimiento, al indicar que en caso de empate se aplicaran los criterios de que trata el artículo 35 de la Ley 2069 de 2020, conforme lo medios de acreditación dispuestos en el artículo 2.2.1.2.4.2.17. del mismo Decreto. </w:t>
      </w:r>
      <w:bookmarkStart w:id="14" w:name="_Hlk69487468"/>
      <w:bookmarkStart w:id="15" w:name="_Hlk79145750"/>
      <w:bookmarkEnd w:id="13"/>
    </w:p>
    <w:p w14:paraId="043A7B3F" w14:textId="77777777" w:rsidR="00244BAE" w:rsidRDefault="00244BAE" w:rsidP="00244BAE">
      <w:pPr>
        <w:spacing w:after="120" w:line="276" w:lineRule="auto"/>
        <w:ind w:firstLine="709"/>
        <w:jc w:val="both"/>
        <w:rPr>
          <w:rFonts w:ascii="Verdana" w:eastAsia="Calibri" w:hAnsi="Verdana" w:cs="Arial"/>
          <w:lang w:val="es-ES_tradnl"/>
        </w:rPr>
      </w:pPr>
      <w:r w:rsidRPr="00C51AFD">
        <w:rPr>
          <w:rFonts w:ascii="Verdana" w:eastAsia="Calibri" w:hAnsi="Verdana" w:cs="Arial"/>
          <w:lang w:val="es-ES_tradnl"/>
        </w:rPr>
        <w:t>En conclusión, mediante el artículo 35 de la Ley 2069 de 2020, “Por medio de la cual se impulsa el emprendimiento en Colombia”, se modificó el régimen de los factores de desempate en la contratación estatal. Los criterios de desempate consagrados en el citado artículo son aplicables a los “[…]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 […]”, independientemente de su régimen de contratación y sin distinguir entre modalidades de selección.</w:t>
      </w:r>
    </w:p>
    <w:p w14:paraId="5296D310"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lang w:val="es-ES_tradnl"/>
        </w:rPr>
        <w:t xml:space="preserve">El artículo 35 de la Ley 2069 de 2020 regula la institución de los factores de desempate en los procesos de contratación estatal de manera integral, sin hacer distinción entre las modalidades de selección. En consecuencia, por tratarse de una norma transversal al sistema de compras y contratación pública, el citado artículo es aplicable </w:t>
      </w:r>
      <w:r>
        <w:rPr>
          <w:rFonts w:ascii="Verdana" w:eastAsia="Calibri" w:hAnsi="Verdana" w:cs="Arial"/>
          <w:lang w:val="es-ES_tradnl"/>
        </w:rPr>
        <w:t xml:space="preserve">incluso </w:t>
      </w:r>
      <w:r w:rsidRPr="00C51AFD">
        <w:rPr>
          <w:rFonts w:ascii="Verdana" w:eastAsia="Calibri" w:hAnsi="Verdana" w:cs="Arial"/>
          <w:lang w:val="es-ES_tradnl"/>
        </w:rPr>
        <w:t>a los procedimientos de mínima cuantía, aun cuando en este procedimiento la determinación de la oferta más favorable no esté mediada por el uso de “puntaje”. Lo anterior, dado que una interpretación exegética del artículo 35, según la cual este solo es aplicable en los procedimientos en los que se use el “puntaje” como mecanismo de evaluación, no corresponde con la finalidad transversal de la norma</w:t>
      </w:r>
    </w:p>
    <w:p w14:paraId="7F2BE8F9"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bCs/>
        </w:rPr>
        <w:t xml:space="preserve">Así las cosas, el alcance de la expresión </w:t>
      </w:r>
      <w:r w:rsidRPr="00C51AFD">
        <w:rPr>
          <w:rFonts w:ascii="Verdana" w:eastAsia="Calibri" w:hAnsi="Verdana" w:cs="Arial"/>
          <w:bCs/>
          <w:i/>
          <w:iCs/>
        </w:rPr>
        <w:t xml:space="preserve">puntaje total, </w:t>
      </w:r>
      <w:r w:rsidRPr="00C51AFD">
        <w:rPr>
          <w:rFonts w:ascii="Verdana" w:eastAsia="Calibri" w:hAnsi="Verdana" w:cs="Arial"/>
          <w:bCs/>
        </w:rPr>
        <w:t xml:space="preserve">contenida en el artículo 35 de la Ley 2069 de 2020, debe interpretarse sistemáticamente, propiciando una aplicación normativa coherente con otras disposiciones del sistema de compra pública y que satisfaga la finalidad transversal de la norma. </w:t>
      </w:r>
      <w:r w:rsidRPr="00C51AFD">
        <w:rPr>
          <w:rFonts w:ascii="Verdana" w:eastAsia="Calibri" w:hAnsi="Verdana" w:cs="Arial"/>
          <w:bCs/>
          <w:lang w:val="es-ES_tradnl"/>
        </w:rPr>
        <w:t xml:space="preserve">Conforme a esta interpretación, la expresión </w:t>
      </w:r>
      <w:r w:rsidRPr="00C51AFD">
        <w:rPr>
          <w:rFonts w:ascii="Verdana" w:eastAsia="Calibri" w:hAnsi="Verdana" w:cs="Arial"/>
          <w:i/>
          <w:iCs/>
        </w:rPr>
        <w:t>empate en el puntaje total</w:t>
      </w:r>
      <w:r w:rsidRPr="00C51AFD">
        <w:rPr>
          <w:rFonts w:ascii="Verdana" w:eastAsia="Calibri" w:hAnsi="Verdana" w:cs="Arial"/>
        </w:rPr>
        <w:t xml:space="preserve"> apunta a las situaciones en la evaluación final de las ofertas, en las que, realizándose la comparación de acuerdo con los factores de calificación, evaluación o ponderación aplicables al respectivo procedimiento, se presenta un empate entre dos o más propuestas. En ese entendido, con independencia de que la ponderación emplee puntajes, fórmulas, criterios de relación costo – beneficio o de que el único criterio de evaluación sea el menor precio, deben aplicarse los factores de desempate del artículo 35 de la Ley 2069 de 2020 en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w:t>
      </w:r>
    </w:p>
    <w:p w14:paraId="52958254" w14:textId="77777777" w:rsidR="00244BAE" w:rsidRDefault="00244BAE" w:rsidP="00244BAE">
      <w:pPr>
        <w:spacing w:after="120" w:line="276" w:lineRule="auto"/>
        <w:ind w:firstLine="709"/>
        <w:jc w:val="both"/>
        <w:rPr>
          <w:rFonts w:ascii="Verdana" w:eastAsia="Calibri" w:hAnsi="Verdana" w:cs="Arial"/>
          <w:lang w:val="es-ES_tradnl"/>
        </w:rPr>
      </w:pPr>
      <w:r w:rsidRPr="00C51AFD">
        <w:rPr>
          <w:rFonts w:ascii="Verdana" w:eastAsia="Calibri" w:hAnsi="Verdana" w:cs="Arial"/>
          <w:lang w:val="es-ES_tradnl"/>
        </w:rPr>
        <w:t xml:space="preserve">Sumado a lo anterior, el numeral 8 del artículo 2.2.1.2.1.5.2 del Decreto 1082 de 2015, modificado por el artículo 2 del Decreto 1860 de 2021, realiza una remisión expresa a los factores de desempate consagrados en el artículo 35 de la Ley 2069 de 2020 para los procedimientos de mínima cuantía, con lo cual se reafirma la conclusión según la cual que el régimen de los factores de desempate consagrado en el artículo 35 de la Ley de Emprendimiento es aplicable a la modalidad de mínima cuantía. </w:t>
      </w:r>
    </w:p>
    <w:p w14:paraId="4CB5C3AE" w14:textId="77777777" w:rsidR="00244BAE" w:rsidRDefault="00244BAE" w:rsidP="00244BAE">
      <w:pPr>
        <w:spacing w:after="120" w:line="276" w:lineRule="auto"/>
        <w:ind w:firstLine="709"/>
        <w:jc w:val="both"/>
        <w:rPr>
          <w:rFonts w:ascii="Verdana" w:eastAsia="Calibri" w:hAnsi="Verdana" w:cs="Arial"/>
          <w:lang w:val="es-ES"/>
        </w:rPr>
      </w:pPr>
      <w:r w:rsidRPr="00C51AFD">
        <w:rPr>
          <w:rFonts w:ascii="Verdana" w:eastAsia="Calibri" w:hAnsi="Verdana" w:cs="Arial"/>
        </w:rPr>
        <w:t xml:space="preserve">La anterior regla resulta aplicable en virtud de la remisión expresa contenida en el artículo 2.2.1.2.1.5.2 del Decreto 1082 de 2015, modificado por el artículo 2 del Decreto 1860 de 2021, que regula el procedimiento aplicable a la mínima cuantía y que establece que, en caso de empate, deberán aplicarse los criterios previstos en la citada Ley de Emprendimiento. </w:t>
      </w:r>
    </w:p>
    <w:p w14:paraId="7420CB04" w14:textId="77777777" w:rsidR="00244BAE" w:rsidRDefault="00244BAE" w:rsidP="00244BAE">
      <w:pPr>
        <w:spacing w:after="120" w:line="276" w:lineRule="auto"/>
        <w:ind w:firstLine="709"/>
        <w:jc w:val="both"/>
        <w:rPr>
          <w:rFonts w:ascii="Verdana" w:eastAsia="Calibri" w:hAnsi="Verdana" w:cs="Arial"/>
        </w:rPr>
      </w:pPr>
      <w:r w:rsidRPr="00C51AFD">
        <w:rPr>
          <w:rFonts w:ascii="Verdana" w:eastAsia="Calibri" w:hAnsi="Verdana" w:cs="Arial"/>
        </w:rPr>
        <w:t>Así las cosas, el artículo 35 de la Ley 2069 de 2020 y su reglamentación mediante el Decreto 1860 de 2021 establecen una herramienta normativa clara y obligatoria para resolver empates en los procesos de contratación pública, incluso en modalidades como la mínima cuantía. La aplicación sucesiva de los criterios definidos —que priorizan la inclusión, el desarrollo regional, el emprendimiento y la equidad de género— permite a las entidades garantizar una selección objetiva, transparente y alineada con los principios constitucionales que rigen la función administrativa.</w:t>
      </w:r>
    </w:p>
    <w:bookmarkEnd w:id="14"/>
    <w:bookmarkEnd w:id="15"/>
    <w:p w14:paraId="29194C5E" w14:textId="77777777" w:rsidR="00244BAE" w:rsidRPr="00973627" w:rsidRDefault="00244BAE" w:rsidP="00244BAE">
      <w:pPr>
        <w:spacing w:after="120" w:line="276" w:lineRule="auto"/>
        <w:ind w:firstLine="709"/>
        <w:jc w:val="both"/>
        <w:rPr>
          <w:rFonts w:ascii="Verdana" w:eastAsia="Calibri" w:hAnsi="Verdana" w:cs="Arial"/>
          <w:lang w:val="es-ES"/>
        </w:rPr>
      </w:pPr>
      <w:r>
        <w:rPr>
          <w:rFonts w:ascii="Verdana" w:eastAsia="Calibri" w:hAnsi="Verdana" w:cs="Arial"/>
        </w:rPr>
        <w:t xml:space="preserve">En ese contexto, </w:t>
      </w:r>
      <w:r w:rsidRPr="009251F4">
        <w:rPr>
          <w:rFonts w:ascii="Verdana" w:eastAsia="Calibri" w:hAnsi="Verdana" w:cs="Arial"/>
        </w:rPr>
        <w:t>el orden cronológico de presentación de las ofertas no constituye un criterio válido de desempate en procesos de selección</w:t>
      </w:r>
      <w:r>
        <w:rPr>
          <w:rFonts w:ascii="Verdana" w:eastAsia="Calibri" w:hAnsi="Verdana" w:cs="Arial"/>
        </w:rPr>
        <w:t xml:space="preserve">, razón por la cual dichos criterios se aplican en los eventos en que se presenten varias ofertas con el mismo puntaje o precio y se procede a emplear </w:t>
      </w:r>
      <w:r w:rsidRPr="009251F4">
        <w:rPr>
          <w:rFonts w:ascii="Verdana" w:eastAsia="Calibri" w:hAnsi="Verdana" w:cs="Arial"/>
        </w:rPr>
        <w:t xml:space="preserve">los criterios establecidos en el artículo </w:t>
      </w:r>
      <w:r w:rsidRPr="00B2386A">
        <w:rPr>
          <w:rFonts w:ascii="Verdana" w:eastAsia="Calibri" w:hAnsi="Verdana" w:cs="Arial"/>
        </w:rPr>
        <w:t>2.2.1.2.4.2.17.</w:t>
      </w:r>
      <w:r>
        <w:rPr>
          <w:rFonts w:ascii="Verdana" w:eastAsia="Calibri" w:hAnsi="Verdana" w:cs="Arial"/>
        </w:rPr>
        <w:t xml:space="preserve"> del Decreto 1860 de 2021 de forma sucesiva y excluyente como lo dispone dicha norma.</w:t>
      </w:r>
    </w:p>
    <w:p w14:paraId="4A938BFD" w14:textId="77777777" w:rsidR="00244BAE" w:rsidRPr="0050411E" w:rsidRDefault="00244BAE" w:rsidP="00244BAE">
      <w:pPr>
        <w:spacing w:after="120" w:line="276" w:lineRule="auto"/>
        <w:ind w:firstLine="709"/>
        <w:jc w:val="both"/>
        <w:rPr>
          <w:rFonts w:ascii="Verdana" w:eastAsia="Times New Roman" w:hAnsi="Verdana" w:cs="Arial"/>
          <w:lang w:eastAsia="es-ES_tradnl"/>
        </w:rPr>
      </w:pPr>
      <w:r>
        <w:rPr>
          <w:rFonts w:ascii="Verdana" w:eastAsia="Calibri" w:hAnsi="Verdana" w:cs="Arial"/>
        </w:rPr>
        <w:t>A</w:t>
      </w:r>
      <w:r w:rsidRPr="00E853DE">
        <w:rPr>
          <w:rFonts w:ascii="Verdana" w:eastAsia="Calibri" w:hAnsi="Verdana" w:cs="Arial"/>
          <w:bCs/>
          <w:color w:val="000000" w:themeColor="text1"/>
        </w:rPr>
        <w:t>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96E3A96" w14:textId="77777777" w:rsidR="00244BAE" w:rsidRPr="00224F57" w:rsidRDefault="00244BAE" w:rsidP="00244BAE">
      <w:pPr>
        <w:spacing w:after="120" w:line="276" w:lineRule="auto"/>
        <w:ind w:firstLine="709"/>
        <w:jc w:val="both"/>
        <w:rPr>
          <w:rFonts w:ascii="Verdana" w:eastAsia="Calibri" w:hAnsi="Verdana" w:cs="Arial"/>
        </w:rPr>
      </w:pPr>
      <w:r w:rsidRPr="00E853DE">
        <w:rPr>
          <w:rFonts w:ascii="Verdana" w:eastAsia="Calibri" w:hAnsi="Verdana" w:cs="Arial"/>
          <w:bCs/>
          <w:color w:val="000000" w:themeColor="text1"/>
        </w:rPr>
        <w:t>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bookmarkStart w:id="16" w:name="_Hlk204854194"/>
    </w:p>
    <w:p w14:paraId="34CA3F85" w14:textId="77777777" w:rsidR="00244BAE" w:rsidRDefault="00244BAE" w:rsidP="00244BAE">
      <w:pPr>
        <w:spacing w:after="0" w:line="276" w:lineRule="auto"/>
        <w:jc w:val="both"/>
        <w:rPr>
          <w:rFonts w:ascii="Verdana" w:eastAsia="Century Gothic" w:hAnsi="Verdana" w:cs="Century Gothic"/>
          <w:b/>
          <w:bCs/>
        </w:rPr>
      </w:pPr>
      <w:r w:rsidRPr="00237877">
        <w:rPr>
          <w:rFonts w:ascii="Verdana" w:hAnsi="Verdana" w:cs="Arial"/>
          <w:b/>
          <w:color w:val="000000" w:themeColor="text1"/>
        </w:rPr>
        <w:t>4.</w:t>
      </w:r>
      <w:r>
        <w:rPr>
          <w:rFonts w:ascii="Verdana" w:hAnsi="Verdana" w:cs="Arial"/>
          <w:bCs/>
          <w:color w:val="000000" w:themeColor="text1"/>
        </w:rPr>
        <w:t xml:space="preserve"> </w:t>
      </w:r>
      <w:r w:rsidRPr="005644FE">
        <w:rPr>
          <w:rFonts w:ascii="Verdana" w:eastAsia="Century Gothic" w:hAnsi="Verdana" w:cs="Century Gothic"/>
          <w:b/>
          <w:bCs/>
        </w:rPr>
        <w:t>Referencias normativas</w:t>
      </w:r>
      <w:r>
        <w:rPr>
          <w:rFonts w:ascii="Verdana" w:eastAsia="Century Gothic" w:hAnsi="Verdana" w:cs="Century Gothic"/>
          <w:b/>
          <w:bCs/>
        </w:rPr>
        <w:t xml:space="preserve">, jurisprudenciales y </w:t>
      </w:r>
      <w:r w:rsidRPr="00F709D3">
        <w:rPr>
          <w:rFonts w:ascii="Verdana" w:eastAsia="Century Gothic" w:hAnsi="Verdana" w:cs="Century Gothic"/>
          <w:b/>
          <w:bCs/>
        </w:rPr>
        <w:t>otras fuentes</w:t>
      </w:r>
      <w:r w:rsidRPr="005644FE">
        <w:rPr>
          <w:rFonts w:ascii="Verdana" w:eastAsia="Century Gothic" w:hAnsi="Verdana" w:cs="Century Gothic"/>
          <w:b/>
          <w:bCs/>
        </w:rPr>
        <w:t>:</w:t>
      </w:r>
      <w:bookmarkEnd w:id="16"/>
    </w:p>
    <w:p w14:paraId="4DF39F8B" w14:textId="77777777" w:rsidR="00244BAE" w:rsidRPr="00E5656D" w:rsidRDefault="00244BAE" w:rsidP="00244BAE">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44BAE" w:rsidRPr="002D2C18" w14:paraId="565BD984" w14:textId="77777777" w:rsidTr="00FD2119">
        <w:trPr>
          <w:trHeight w:val="56"/>
          <w:jc w:val="center"/>
        </w:trPr>
        <w:tc>
          <w:tcPr>
            <w:tcW w:w="8647" w:type="dxa"/>
          </w:tcPr>
          <w:p w14:paraId="163C6340" w14:textId="77777777" w:rsidR="00244BAE" w:rsidRDefault="00244BAE" w:rsidP="00FD2119">
            <w:pPr>
              <w:pStyle w:val="Prrafodelista"/>
              <w:numPr>
                <w:ilvl w:val="0"/>
                <w:numId w:val="17"/>
              </w:numPr>
              <w:spacing w:line="276" w:lineRule="auto"/>
              <w:ind w:left="714" w:hanging="357"/>
              <w:jc w:val="both"/>
              <w:rPr>
                <w:rFonts w:ascii="Verdana" w:eastAsia="Calibri" w:hAnsi="Verdana" w:cs="Arial"/>
                <w:bCs/>
                <w:color w:val="000000" w:themeColor="text1"/>
                <w:lang w:val="es-CO"/>
              </w:rPr>
            </w:pPr>
            <w:r>
              <w:rPr>
                <w:rFonts w:ascii="Verdana" w:eastAsia="Calibri" w:hAnsi="Verdana" w:cs="Arial"/>
                <w:bCs/>
                <w:color w:val="000000" w:themeColor="text1"/>
                <w:lang w:val="es-CO"/>
              </w:rPr>
              <w:t xml:space="preserve">Ley 80 de 1993. Artículo 44. </w:t>
            </w:r>
          </w:p>
          <w:p w14:paraId="25B85A3B" w14:textId="77777777" w:rsidR="00244BAE" w:rsidRPr="00E277F2" w:rsidRDefault="00244BAE" w:rsidP="00FD2119">
            <w:pPr>
              <w:pStyle w:val="Prrafodelista"/>
              <w:numPr>
                <w:ilvl w:val="0"/>
                <w:numId w:val="17"/>
              </w:numPr>
              <w:spacing w:line="276" w:lineRule="auto"/>
              <w:ind w:left="714" w:hanging="357"/>
              <w:jc w:val="both"/>
              <w:rPr>
                <w:rFonts w:ascii="Verdana" w:eastAsia="Calibri" w:hAnsi="Verdana" w:cs="Arial"/>
                <w:bCs/>
                <w:color w:val="000000" w:themeColor="text1"/>
                <w:lang w:val="es-CO"/>
              </w:rPr>
            </w:pPr>
            <w:r w:rsidRPr="00C902D5">
              <w:rPr>
                <w:rFonts w:ascii="Verdana" w:eastAsia="Calibri" w:hAnsi="Verdana" w:cs="Arial"/>
                <w:bCs/>
                <w:color w:val="000000" w:themeColor="text1"/>
                <w:lang w:val="es-CO"/>
              </w:rPr>
              <w:t>Ley 1150 de 2007: Artículo</w:t>
            </w:r>
            <w:r w:rsidRPr="00E277F2">
              <w:rPr>
                <w:rFonts w:ascii="Verdana" w:eastAsia="Calibri" w:hAnsi="Verdana" w:cs="Arial"/>
                <w:bCs/>
                <w:color w:val="000000" w:themeColor="text1"/>
              </w:rPr>
              <w:t xml:space="preserve"> 5</w:t>
            </w:r>
            <w:r>
              <w:rPr>
                <w:rFonts w:ascii="Verdana" w:eastAsia="Calibri" w:hAnsi="Verdana" w:cs="Arial"/>
                <w:bCs/>
                <w:color w:val="000000" w:themeColor="text1"/>
              </w:rPr>
              <w:t>.</w:t>
            </w:r>
          </w:p>
          <w:p w14:paraId="2C6A43F4" w14:textId="77777777" w:rsidR="00244BAE" w:rsidRPr="00C902D5" w:rsidRDefault="00244BAE" w:rsidP="00FD2119">
            <w:pPr>
              <w:pStyle w:val="Prrafodelista"/>
              <w:numPr>
                <w:ilvl w:val="0"/>
                <w:numId w:val="17"/>
              </w:numPr>
              <w:spacing w:line="276" w:lineRule="auto"/>
              <w:ind w:left="714" w:hanging="357"/>
              <w:jc w:val="both"/>
              <w:rPr>
                <w:rFonts w:ascii="Verdana" w:eastAsia="Calibri" w:hAnsi="Verdana" w:cs="Arial"/>
                <w:bCs/>
                <w:color w:val="000000" w:themeColor="text1"/>
                <w:lang w:val="es-CO"/>
              </w:rPr>
            </w:pPr>
            <w:r w:rsidRPr="00C902D5">
              <w:rPr>
                <w:rFonts w:ascii="Verdana" w:eastAsia="Calibri" w:hAnsi="Verdana" w:cs="Arial"/>
                <w:bCs/>
                <w:color w:val="000000" w:themeColor="text1"/>
                <w:lang w:val="es-CO"/>
              </w:rPr>
              <w:t>Ley 2069 de 2020</w:t>
            </w:r>
            <w:r>
              <w:rPr>
                <w:rFonts w:ascii="Verdana" w:eastAsia="Calibri" w:hAnsi="Verdana" w:cs="Arial"/>
                <w:bCs/>
                <w:color w:val="000000" w:themeColor="text1"/>
                <w:lang w:val="es-CO"/>
              </w:rPr>
              <w:t>.</w:t>
            </w:r>
            <w:r w:rsidRPr="00C902D5">
              <w:rPr>
                <w:rFonts w:ascii="Verdana" w:eastAsia="Calibri" w:hAnsi="Verdana" w:cs="Arial"/>
                <w:bCs/>
                <w:color w:val="000000" w:themeColor="text1"/>
                <w:lang w:val="es-CO"/>
              </w:rPr>
              <w:t xml:space="preserve"> Artículo</w:t>
            </w:r>
            <w:r>
              <w:rPr>
                <w:rFonts w:ascii="Verdana" w:eastAsia="Calibri" w:hAnsi="Verdana" w:cs="Arial"/>
                <w:bCs/>
                <w:color w:val="000000" w:themeColor="text1"/>
                <w:lang w:val="es-CO"/>
              </w:rPr>
              <w:t>s</w:t>
            </w:r>
            <w:r w:rsidRPr="00C902D5">
              <w:rPr>
                <w:rFonts w:ascii="Verdana" w:eastAsia="Calibri" w:hAnsi="Verdana" w:cs="Arial"/>
                <w:bCs/>
                <w:color w:val="000000" w:themeColor="text1"/>
                <w:lang w:val="es-CO"/>
              </w:rPr>
              <w:t xml:space="preserve"> 30 y 35.</w:t>
            </w:r>
          </w:p>
          <w:p w14:paraId="03BDBC2A" w14:textId="77777777" w:rsidR="00244BAE" w:rsidRPr="00C902D5" w:rsidRDefault="00244BAE" w:rsidP="00FD2119">
            <w:pPr>
              <w:pStyle w:val="Prrafodelista"/>
              <w:numPr>
                <w:ilvl w:val="0"/>
                <w:numId w:val="17"/>
              </w:numPr>
              <w:spacing w:line="276" w:lineRule="auto"/>
              <w:ind w:left="714" w:hanging="357"/>
              <w:jc w:val="both"/>
              <w:rPr>
                <w:rFonts w:ascii="Verdana" w:eastAsia="Calibri" w:hAnsi="Verdana" w:cs="Arial"/>
                <w:bCs/>
                <w:color w:val="000000" w:themeColor="text1"/>
                <w:lang w:val="es-CO"/>
              </w:rPr>
            </w:pPr>
            <w:r w:rsidRPr="00C902D5">
              <w:rPr>
                <w:rFonts w:ascii="Verdana" w:eastAsia="Calibri" w:hAnsi="Verdana" w:cs="Arial"/>
                <w:bCs/>
                <w:color w:val="000000" w:themeColor="text1"/>
                <w:lang w:val="es-CO"/>
              </w:rPr>
              <w:t>Decreto 1082 del 2015</w:t>
            </w:r>
            <w:r>
              <w:rPr>
                <w:rFonts w:ascii="Verdana" w:eastAsia="Calibri" w:hAnsi="Verdana" w:cs="Arial"/>
                <w:bCs/>
                <w:color w:val="000000" w:themeColor="text1"/>
                <w:lang w:val="es-CO"/>
              </w:rPr>
              <w:t>.</w:t>
            </w:r>
            <w:r w:rsidRPr="00C902D5">
              <w:rPr>
                <w:rFonts w:ascii="Verdana" w:eastAsia="Calibri" w:hAnsi="Verdana" w:cs="Arial"/>
                <w:bCs/>
                <w:color w:val="000000" w:themeColor="text1"/>
                <w:lang w:val="es-CO"/>
              </w:rPr>
              <w:t xml:space="preserve"> Artículos 2.2.1.2.1.5.1. al 2.2.1.2.1.5.4</w:t>
            </w:r>
            <w:r>
              <w:rPr>
                <w:rFonts w:ascii="Verdana" w:eastAsia="Calibri" w:hAnsi="Verdana" w:cs="Arial"/>
                <w:bCs/>
                <w:color w:val="000000" w:themeColor="text1"/>
                <w:lang w:val="es-CO"/>
              </w:rPr>
              <w:t xml:space="preserve">, </w:t>
            </w:r>
            <w:r w:rsidRPr="00C902D5">
              <w:rPr>
                <w:rFonts w:ascii="Verdana" w:eastAsia="Calibri" w:hAnsi="Verdana" w:cs="Arial"/>
                <w:bCs/>
                <w:color w:val="000000" w:themeColor="text1"/>
                <w:lang w:val="es-CO"/>
              </w:rPr>
              <w:t>2.2.1.2.3.1.6</w:t>
            </w:r>
            <w:r>
              <w:rPr>
                <w:rFonts w:ascii="Verdana" w:eastAsia="Calibri" w:hAnsi="Verdana" w:cs="Arial"/>
                <w:bCs/>
                <w:color w:val="000000" w:themeColor="text1"/>
                <w:lang w:val="es-CO"/>
              </w:rPr>
              <w:t xml:space="preserve">, </w:t>
            </w:r>
            <w:r w:rsidRPr="00C51AFD">
              <w:rPr>
                <w:rFonts w:ascii="Verdana" w:eastAsia="Calibri" w:hAnsi="Verdana" w:cs="Arial"/>
              </w:rPr>
              <w:t>2.2.1.2.4.2.17</w:t>
            </w:r>
            <w:r w:rsidRPr="00C902D5">
              <w:rPr>
                <w:rFonts w:ascii="Verdana" w:eastAsia="Calibri" w:hAnsi="Verdana" w:cs="Arial"/>
                <w:bCs/>
                <w:color w:val="000000" w:themeColor="text1"/>
                <w:lang w:val="es-CO"/>
              </w:rPr>
              <w:t xml:space="preserve"> </w:t>
            </w:r>
          </w:p>
          <w:p w14:paraId="20E8468A" w14:textId="77777777" w:rsidR="00244BAE" w:rsidRPr="00702C82" w:rsidRDefault="00244BAE" w:rsidP="00FD2119">
            <w:pPr>
              <w:pStyle w:val="Prrafodelista"/>
              <w:numPr>
                <w:ilvl w:val="0"/>
                <w:numId w:val="17"/>
              </w:numPr>
              <w:spacing w:line="276" w:lineRule="auto"/>
              <w:ind w:left="714" w:hanging="357"/>
              <w:jc w:val="both"/>
              <w:rPr>
                <w:rFonts w:ascii="Verdana" w:hAnsi="Verdana" w:cs="Arial"/>
                <w:lang w:eastAsia="es-ES"/>
              </w:rPr>
            </w:pPr>
            <w:r w:rsidRPr="00C902D5">
              <w:rPr>
                <w:rFonts w:ascii="Verdana" w:eastAsia="Calibri" w:hAnsi="Verdana" w:cs="Arial"/>
                <w:bCs/>
                <w:color w:val="000000" w:themeColor="text1"/>
                <w:lang w:val="es-CO"/>
              </w:rPr>
              <w:t>Decreto 1860 de 2021</w:t>
            </w:r>
            <w:r>
              <w:rPr>
                <w:rFonts w:ascii="Verdana" w:eastAsia="Calibri" w:hAnsi="Verdana" w:cs="Arial"/>
                <w:bCs/>
                <w:color w:val="000000" w:themeColor="text1"/>
                <w:lang w:val="es-CO"/>
              </w:rPr>
              <w:t>.</w:t>
            </w:r>
            <w:r w:rsidRPr="00C902D5">
              <w:rPr>
                <w:rFonts w:ascii="Verdana" w:eastAsia="Calibri" w:hAnsi="Verdana" w:cs="Arial"/>
                <w:bCs/>
                <w:color w:val="000000" w:themeColor="text1"/>
                <w:lang w:val="es-CO"/>
              </w:rPr>
              <w:t xml:space="preserve"> Artículo</w:t>
            </w:r>
            <w:r>
              <w:rPr>
                <w:rFonts w:ascii="Verdana" w:eastAsia="Calibri" w:hAnsi="Verdana" w:cs="Arial"/>
                <w:bCs/>
                <w:color w:val="000000" w:themeColor="text1"/>
                <w:lang w:val="es-CO"/>
              </w:rPr>
              <w:t>s</w:t>
            </w:r>
            <w:r w:rsidRPr="00C902D5">
              <w:rPr>
                <w:rFonts w:ascii="Verdana" w:eastAsia="Calibri" w:hAnsi="Verdana" w:cs="Arial"/>
                <w:bCs/>
                <w:color w:val="000000" w:themeColor="text1"/>
                <w:lang w:val="es-CO"/>
              </w:rPr>
              <w:t xml:space="preserve"> 2 y 3.</w:t>
            </w:r>
          </w:p>
          <w:p w14:paraId="09E6E737" w14:textId="77777777" w:rsidR="00244BAE" w:rsidRDefault="00244BAE" w:rsidP="00FD2119">
            <w:pPr>
              <w:pStyle w:val="Prrafodelista"/>
              <w:numPr>
                <w:ilvl w:val="0"/>
                <w:numId w:val="17"/>
              </w:numPr>
              <w:spacing w:line="276" w:lineRule="auto"/>
              <w:ind w:left="714" w:hanging="357"/>
              <w:jc w:val="both"/>
              <w:rPr>
                <w:rFonts w:ascii="Verdana" w:hAnsi="Verdana" w:cs="Arial"/>
                <w:lang w:eastAsia="es-ES"/>
              </w:rPr>
            </w:pPr>
            <w:r w:rsidRPr="00702C82">
              <w:rPr>
                <w:rFonts w:ascii="Verdana" w:hAnsi="Verdana" w:cs="Arial"/>
              </w:rPr>
              <w:t>Consejo de Estado. Sala de lo Contencioso Administrativo. Sección Tercera. Subsección B. Sentencia del 29 de octubre de 2.015. Expediente: 31.918. C.P: Stella Conto Díaz Del Castillo.</w:t>
            </w:r>
          </w:p>
          <w:p w14:paraId="7A40DC9A" w14:textId="77777777" w:rsidR="00244BAE" w:rsidRDefault="00244BAE" w:rsidP="00FD2119">
            <w:pPr>
              <w:pStyle w:val="Prrafodelista"/>
              <w:numPr>
                <w:ilvl w:val="0"/>
                <w:numId w:val="17"/>
              </w:numPr>
              <w:spacing w:line="276" w:lineRule="auto"/>
              <w:ind w:left="714" w:hanging="357"/>
              <w:jc w:val="both"/>
              <w:rPr>
                <w:rFonts w:ascii="Verdana" w:hAnsi="Verdana" w:cs="Arial"/>
                <w:lang w:eastAsia="es-ES"/>
              </w:rPr>
            </w:pPr>
            <w:r w:rsidRPr="00702C82">
              <w:rPr>
                <w:rFonts w:ascii="Verdana" w:hAnsi="Verdana" w:cs="Arial"/>
              </w:rPr>
              <w:t>Consejo de Estado. Sala de lo Contencioso Administrativo. Sección Tercera. Sentencia del 6 de diciembre de 2.013. Expediente: 27.506. C.P: Stella Conto Díaz Del Castillo.</w:t>
            </w:r>
          </w:p>
          <w:p w14:paraId="255C05EB" w14:textId="77777777" w:rsidR="00244BAE" w:rsidRPr="00E277F2" w:rsidRDefault="00244BAE" w:rsidP="00FD2119">
            <w:pPr>
              <w:pStyle w:val="Prrafodelista"/>
              <w:numPr>
                <w:ilvl w:val="0"/>
                <w:numId w:val="17"/>
              </w:numPr>
              <w:spacing w:line="276" w:lineRule="auto"/>
              <w:ind w:left="714" w:hanging="357"/>
              <w:jc w:val="both"/>
              <w:rPr>
                <w:rFonts w:ascii="Verdana" w:hAnsi="Verdana" w:cs="Arial"/>
                <w:lang w:eastAsia="es-ES"/>
              </w:rPr>
            </w:pPr>
            <w:r w:rsidRPr="00702C82">
              <w:rPr>
                <w:rFonts w:ascii="Verdana" w:hAnsi="Verdana" w:cs="Arial"/>
              </w:rPr>
              <w:t>Corte Constitucional. Sentencia T-684A del 14 de septiembre de 2011. M.P: Mauricio González Cuervo.</w:t>
            </w:r>
          </w:p>
        </w:tc>
      </w:tr>
    </w:tbl>
    <w:p w14:paraId="1CB4924B" w14:textId="77777777" w:rsidR="00244BAE" w:rsidRPr="0091091D" w:rsidRDefault="00244BAE" w:rsidP="00244BAE">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565D0BF4" w14:textId="77777777" w:rsidR="00244BAE" w:rsidRPr="007A3DD4" w:rsidRDefault="00244BAE" w:rsidP="00244BAE">
      <w:pPr>
        <w:widowControl w:val="0"/>
        <w:autoSpaceDE w:val="0"/>
        <w:autoSpaceDN w:val="0"/>
        <w:spacing w:after="0" w:line="240" w:lineRule="auto"/>
        <w:jc w:val="both"/>
        <w:rPr>
          <w:rStyle w:val="normaltextrun"/>
          <w:rFonts w:ascii="Verdana" w:hAnsi="Verdana" w:cs="Arial"/>
          <w:shd w:val="clear" w:color="auto" w:fill="FFFFFF"/>
        </w:rPr>
      </w:pPr>
    </w:p>
    <w:p w14:paraId="4AA07F22" w14:textId="77777777" w:rsidR="00244BAE" w:rsidRDefault="00244BAE" w:rsidP="00244BAE">
      <w:pPr>
        <w:widowControl w:val="0"/>
        <w:autoSpaceDE w:val="0"/>
        <w:autoSpaceDN w:val="0"/>
        <w:spacing w:after="120" w:line="276" w:lineRule="auto"/>
        <w:jc w:val="both"/>
        <w:rPr>
          <w:rFonts w:ascii="Verdana" w:hAnsi="Verdana" w:cs="Arial"/>
          <w:shd w:val="clear" w:color="auto" w:fill="FFFFFF"/>
          <w:lang w:val="es-ES_tradnl"/>
        </w:rPr>
      </w:pPr>
      <w:r w:rsidRPr="00973627">
        <w:rPr>
          <w:rFonts w:ascii="Verdana" w:hAnsi="Verdana" w:cs="Arial"/>
          <w:shd w:val="clear" w:color="auto" w:fill="FFFFFF"/>
          <w:lang w:val="es-ES_tradnl"/>
        </w:rPr>
        <w:t xml:space="preserve">La Agencia Nacional de Contratación Pública – Colombia Compra Eficiente se ha pronunciado sobre </w:t>
      </w:r>
      <w:r>
        <w:rPr>
          <w:rFonts w:ascii="Verdana" w:hAnsi="Verdana" w:cs="Arial"/>
          <w:shd w:val="clear" w:color="auto" w:fill="FFFFFF"/>
          <w:lang w:val="es-ES_tradnl"/>
        </w:rPr>
        <w:t xml:space="preserve">los factores de desempate en los procesos de selección en los conceptos </w:t>
      </w:r>
      <w:r w:rsidRPr="00973627">
        <w:rPr>
          <w:rFonts w:ascii="Verdana" w:eastAsia="Aptos" w:hAnsi="Verdana" w:cs="Arial"/>
          <w:shd w:val="clear" w:color="auto" w:fill="FFFFFF"/>
          <w:lang w:val="es-ES"/>
        </w:rPr>
        <w:t>C-285 del 4 de mayo de 2020, C-481 del 27 de julio de 2020, C-514 y C-535 del 26 de agosto de 2020 y C-556 del 31 de agosto de 2020. De igual manera, estudió los factores de desempate del artículo 35 de la Ley 2069 de 2020 en los conceptos: C-136 del 07 de abril de 2021, C-138 del 07 de abril de 2021, C-139 del 07 de abril de 2021, C-141 del 08 de abril de 2021, C-162 de 13 de abril de 2021, C-165 del 13 de abril de 2021, C-164 del 19 de abril de 2021, C−167 del 21 de abril de 2021, C-166 del 23 de abril de 2021, C-191 del 26 de abril de 2021, C-187 del 28 de abril de 2021, C-192 del 29 de abril de 2021, C-206 del 03 de mayo de 2021, C−198 del 5 de mayo de 2021, C-203 del 6 de mayo de 2021,  C-180 del 10 de mayo de 2021, C-210 del 10 de mayo de 2021, C-221 del 18 de mayo de 2021, C-239 del 25 de mayo de 2021, C-338 del 12 de julio de 2021, C-422 del 18 de agosto de 2021, C-437 del 24 de agosto de 2021, C-518 el 20 de septiembre de 2021, C-438 del 28 de septiembre de 2021, C-586 del 14 de octubre de 2021, C-514 del 10 de junio de 2025, C-760 del 24 de julio de 2025, entre otros.</w:t>
      </w:r>
      <w:r w:rsidRPr="006A0F21">
        <w:rPr>
          <w:rFonts w:ascii="Verdana" w:hAnsi="Verdana" w:cs="Arial"/>
          <w:shd w:val="clear" w:color="auto" w:fill="FFFFFF"/>
          <w:lang w:val="es-ES_tradnl"/>
        </w:rPr>
        <w:t xml:space="preserve"> </w:t>
      </w:r>
      <w:r w:rsidRPr="00622C01">
        <w:rPr>
          <w:rFonts w:ascii="Verdana" w:hAnsi="Verdana" w:cs="Arial"/>
        </w:rPr>
        <w:t xml:space="preserve">Estos y otros </w:t>
      </w:r>
      <w:r w:rsidRPr="00622C01">
        <w:rPr>
          <w:rFonts w:ascii="Verdana" w:hAnsi="Verdana"/>
        </w:rPr>
        <w:t>conceptos se encuentran disponibles para consulta en el Sistema de relatoría de la Agencia, al cual se puede acceder a través del siguiente enlace:</w:t>
      </w:r>
      <w:r w:rsidRPr="00622C01">
        <w:rPr>
          <w:rFonts w:ascii="Verdana" w:hAnsi="Verdana" w:cs="Arial"/>
          <w:shd w:val="clear" w:color="auto" w:fill="FFFFFF"/>
        </w:rPr>
        <w:t xml:space="preserve"> </w:t>
      </w:r>
      <w:hyperlink r:id="rId12" w:history="1">
        <w:r w:rsidRPr="00622C01">
          <w:rPr>
            <w:rFonts w:ascii="Verdana" w:hAnsi="Verdana" w:cs="Arial"/>
            <w:color w:val="0563C1" w:themeColor="hyperlink"/>
            <w:u w:val="single"/>
            <w:shd w:val="clear" w:color="auto" w:fill="FFFFFF"/>
          </w:rPr>
          <w:t>https://relatoria.colombiacompra.gov.co/busqueda/conceptos</w:t>
        </w:r>
      </w:hyperlink>
      <w:r w:rsidRPr="00622C01">
        <w:rPr>
          <w:rFonts w:ascii="Verdana" w:hAnsi="Verdana" w:cs="Arial"/>
          <w:shd w:val="clear" w:color="auto" w:fill="FFFFFF"/>
        </w:rPr>
        <w:t>.</w:t>
      </w:r>
      <w:r w:rsidRPr="00147D6A">
        <w:rPr>
          <w:rFonts w:ascii="Verdana" w:hAnsi="Verdana" w:cs="Arial"/>
          <w:color w:val="FF0000"/>
          <w:shd w:val="clear" w:color="auto" w:fill="FFFFFF"/>
        </w:rPr>
        <w:t xml:space="preserve"> </w:t>
      </w:r>
    </w:p>
    <w:p w14:paraId="0A3A1FFC" w14:textId="77777777" w:rsidR="00244BAE" w:rsidRDefault="00244BAE" w:rsidP="00244BAE">
      <w:pPr>
        <w:widowControl w:val="0"/>
        <w:autoSpaceDE w:val="0"/>
        <w:autoSpaceDN w:val="0"/>
        <w:spacing w:after="0" w:line="240" w:lineRule="auto"/>
        <w:jc w:val="both"/>
        <w:rPr>
          <w:rFonts w:ascii="Verdana" w:hAnsi="Verdana" w:cs="Arial"/>
          <w:shd w:val="clear" w:color="auto" w:fill="FFFFFF"/>
          <w:lang w:val="es-ES_tradnl"/>
        </w:rPr>
      </w:pPr>
    </w:p>
    <w:p w14:paraId="72E9B7D9" w14:textId="77777777" w:rsidR="00244BAE" w:rsidRPr="004F09D3" w:rsidRDefault="00244BAE" w:rsidP="00244BAE">
      <w:pPr>
        <w:widowControl w:val="0"/>
        <w:autoSpaceDE w:val="0"/>
        <w:autoSpaceDN w:val="0"/>
        <w:spacing w:after="120" w:line="276" w:lineRule="auto"/>
        <w:jc w:val="both"/>
        <w:rPr>
          <w:rFonts w:ascii="Verdana" w:hAnsi="Verdana" w:cs="Arial"/>
          <w:shd w:val="clear" w:color="auto" w:fill="FFFFFF"/>
          <w:lang w:val="es-ES_tradnl"/>
        </w:rPr>
      </w:pPr>
      <w:r w:rsidRPr="00147D6A">
        <w:rPr>
          <w:rFonts w:ascii="Verdana" w:hAnsi="Verdana"/>
        </w:rPr>
        <w:t>La sostenibilidad no es una opción, es una obligación. Por ello</w:t>
      </w:r>
      <w:r w:rsidRPr="009A385A">
        <w:rPr>
          <w:rFonts w:ascii="Verdana" w:hAnsi="Verdana"/>
        </w:rPr>
        <w:t xml:space="preserve">,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8746BD">
          <w:rPr>
            <w:rStyle w:val="Hipervnculo"/>
            <w:rFonts w:ascii="Verdana" w:hAnsi="Verdana"/>
          </w:rPr>
          <w:t>https://formacionvirtual.colombiacompra.gov.co/mod/page/view.php?id=3718</w:t>
        </w:r>
      </w:hyperlink>
    </w:p>
    <w:p w14:paraId="0B3EED9B" w14:textId="77777777" w:rsidR="00244BAE" w:rsidRDefault="00244BAE" w:rsidP="00244BAE">
      <w:pPr>
        <w:widowControl w:val="0"/>
        <w:autoSpaceDE w:val="0"/>
        <w:autoSpaceDN w:val="0"/>
        <w:spacing w:after="0" w:line="240" w:lineRule="auto"/>
        <w:jc w:val="both"/>
        <w:rPr>
          <w:rFonts w:ascii="Verdana" w:hAnsi="Verdana"/>
        </w:rPr>
      </w:pPr>
    </w:p>
    <w:p w14:paraId="082E0AD6" w14:textId="77777777" w:rsidR="00244BAE" w:rsidRDefault="00244BAE" w:rsidP="00244BAE">
      <w:pPr>
        <w:widowControl w:val="0"/>
        <w:autoSpaceDE w:val="0"/>
        <w:autoSpaceDN w:val="0"/>
        <w:spacing w:after="120" w:line="276" w:lineRule="auto"/>
        <w:jc w:val="both"/>
        <w:rPr>
          <w:rStyle w:val="Hipervnculo"/>
          <w:rFonts w:ascii="Verdana" w:hAnsi="Verdana" w:cs="Arial"/>
          <w:color w:val="auto"/>
          <w:u w:val="none"/>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0E1EA7">
          <w:rPr>
            <w:rStyle w:val="Hipervnculo"/>
            <w:rFonts w:ascii="Verdana" w:hAnsi="Verdana"/>
          </w:rPr>
          <w:t>https://www.colombiacompra.gov.co/normativa-y-relatoria/documentos-tipo</w:t>
        </w:r>
      </w:hyperlink>
    </w:p>
    <w:p w14:paraId="696257B5" w14:textId="77777777" w:rsidR="00244BAE" w:rsidRDefault="00244BAE" w:rsidP="00244BAE">
      <w:pPr>
        <w:widowControl w:val="0"/>
        <w:autoSpaceDE w:val="0"/>
        <w:autoSpaceDN w:val="0"/>
        <w:spacing w:after="0" w:line="240" w:lineRule="auto"/>
        <w:jc w:val="both"/>
        <w:rPr>
          <w:rStyle w:val="Hipervnculo"/>
          <w:rFonts w:ascii="Verdana" w:hAnsi="Verdana" w:cs="Arial"/>
          <w:color w:val="auto"/>
          <w:u w:val="none"/>
        </w:rPr>
      </w:pPr>
    </w:p>
    <w:p w14:paraId="7CCB9BC8" w14:textId="77777777" w:rsidR="00244BAE" w:rsidRDefault="00244BAE" w:rsidP="00244BAE">
      <w:pPr>
        <w:widowControl w:val="0"/>
        <w:autoSpaceDE w:val="0"/>
        <w:autoSpaceDN w:val="0"/>
        <w:spacing w:after="120" w:line="276" w:lineRule="auto"/>
        <w:jc w:val="both"/>
        <w:rPr>
          <w:rStyle w:val="Hipervnculo"/>
          <w:rFonts w:ascii="Verdana" w:hAnsi="Verdana" w:cs="Arial"/>
          <w:color w:val="auto"/>
          <w:u w:val="none"/>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5"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2A24507A" w14:textId="77777777" w:rsidR="00244BAE" w:rsidRDefault="00244BAE" w:rsidP="00244BAE">
      <w:pPr>
        <w:widowControl w:val="0"/>
        <w:autoSpaceDE w:val="0"/>
        <w:autoSpaceDN w:val="0"/>
        <w:spacing w:after="0" w:line="240" w:lineRule="auto"/>
        <w:jc w:val="both"/>
        <w:rPr>
          <w:rFonts w:ascii="Verdana" w:hAnsi="Verdana"/>
        </w:rPr>
      </w:pPr>
    </w:p>
    <w:p w14:paraId="4E3025DF" w14:textId="77777777" w:rsidR="00244BAE" w:rsidRPr="007A3DD4" w:rsidRDefault="00244BAE" w:rsidP="00244BAE">
      <w:pPr>
        <w:widowControl w:val="0"/>
        <w:autoSpaceDE w:val="0"/>
        <w:autoSpaceDN w:val="0"/>
        <w:spacing w:after="120" w:line="276" w:lineRule="auto"/>
        <w:jc w:val="both"/>
        <w:rPr>
          <w:rFonts w:ascii="Verdana" w:hAnsi="Verdana" w:cs="Arial"/>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2829B5C7" w14:textId="77777777" w:rsidR="00244BAE" w:rsidRPr="00116940" w:rsidRDefault="00244BAE" w:rsidP="00244BAE">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32F5DFF" w14:textId="77777777" w:rsidR="00244BAE" w:rsidRPr="00116940" w:rsidRDefault="00244BAE" w:rsidP="00244BAE">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2B35DD26" w14:textId="77777777" w:rsidR="00244BAE" w:rsidRPr="00116940" w:rsidRDefault="00244BAE" w:rsidP="00244BAE">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4C71C8A8" w14:textId="77777777" w:rsidR="00244BAE" w:rsidRPr="00116940" w:rsidRDefault="00244BAE" w:rsidP="00244BAE">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442BA44E" w14:textId="77777777" w:rsidR="00244BAE" w:rsidRDefault="00244BAE" w:rsidP="00244BAE">
      <w:pPr>
        <w:spacing w:after="0" w:line="240" w:lineRule="auto"/>
        <w:jc w:val="both"/>
        <w:rPr>
          <w:rFonts w:ascii="Verdana" w:hAnsi="Verdana"/>
        </w:rPr>
      </w:pPr>
    </w:p>
    <w:p w14:paraId="594B24EB" w14:textId="77777777" w:rsidR="00244BAE" w:rsidRDefault="00244BAE" w:rsidP="00244BAE">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18"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32D42A62" w14:textId="77777777" w:rsidR="00244BAE" w:rsidRDefault="00244BAE" w:rsidP="00244BAE">
      <w:pPr>
        <w:spacing w:after="0" w:line="240" w:lineRule="auto"/>
        <w:jc w:val="both"/>
        <w:rPr>
          <w:rFonts w:ascii="Verdana" w:hAnsi="Verdana"/>
        </w:rPr>
      </w:pPr>
    </w:p>
    <w:p w14:paraId="106AB15E" w14:textId="77777777" w:rsidR="00244BAE" w:rsidRPr="00116940" w:rsidRDefault="00244BAE" w:rsidP="00244BAE">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8232CBA" w14:textId="77777777" w:rsidR="00244BAE" w:rsidRPr="008746BD" w:rsidRDefault="00244BAE" w:rsidP="00244BAE">
      <w:pPr>
        <w:spacing w:after="0" w:line="240" w:lineRule="auto"/>
        <w:jc w:val="both"/>
        <w:rPr>
          <w:rFonts w:ascii="Verdana" w:hAnsi="Verdana"/>
        </w:rPr>
      </w:pPr>
    </w:p>
    <w:p w14:paraId="2877C3A6" w14:textId="77777777" w:rsidR="00244BAE" w:rsidRPr="00116940" w:rsidRDefault="00244BAE" w:rsidP="00244BAE">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599763F" w14:textId="77777777" w:rsidR="00244BAE" w:rsidRPr="00116940" w:rsidRDefault="00244BAE" w:rsidP="00244BAE">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B5A188B" w14:textId="77777777" w:rsidR="00244BAE" w:rsidRPr="00116940" w:rsidRDefault="00244BAE" w:rsidP="00244BAE">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0A6C552E" w14:textId="77777777" w:rsidR="00244BAE" w:rsidRDefault="00244BAE" w:rsidP="00244BAE">
      <w:pPr>
        <w:spacing w:after="0" w:line="276" w:lineRule="auto"/>
        <w:jc w:val="both"/>
        <w:rPr>
          <w:rFonts w:ascii="Century Gothic" w:eastAsia="Century Gothic" w:hAnsi="Century Gothic" w:cs="Century Gothic"/>
          <w:lang w:val="es-ES" w:eastAsia="es-ES_tradnl"/>
        </w:rPr>
      </w:pPr>
    </w:p>
    <w:p w14:paraId="790C8087" w14:textId="77777777" w:rsidR="00244BAE" w:rsidRPr="00842775" w:rsidRDefault="00244BAE" w:rsidP="00244BAE">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6FABAB6F" w14:textId="77777777" w:rsidR="00244BAE" w:rsidRDefault="00244BAE" w:rsidP="00244BAE">
      <w:pPr>
        <w:spacing w:after="0" w:line="276" w:lineRule="auto"/>
        <w:jc w:val="both"/>
        <w:rPr>
          <w:rFonts w:ascii="Verdana" w:hAnsi="Verdana"/>
          <w:lang w:val="es-MX"/>
        </w:rPr>
      </w:pPr>
    </w:p>
    <w:p w14:paraId="27DCACD9" w14:textId="77777777" w:rsidR="00244BAE" w:rsidRPr="00330029" w:rsidRDefault="00244BAE" w:rsidP="00244BAE">
      <w:pPr>
        <w:spacing w:after="0" w:line="276" w:lineRule="auto"/>
        <w:jc w:val="both"/>
        <w:rPr>
          <w:rFonts w:ascii="Verdana" w:hAnsi="Verdana"/>
          <w:lang w:val="es-MX"/>
        </w:rPr>
      </w:pPr>
      <w:r w:rsidRPr="00E02524">
        <w:rPr>
          <w:rFonts w:ascii="Verdana" w:hAnsi="Verdana"/>
          <w:lang w:val="es-MX"/>
        </w:rPr>
        <w:t>Cordialmente,</w:t>
      </w:r>
    </w:p>
    <w:p w14:paraId="57DFCD7C" w14:textId="656C4EFC" w:rsidR="00244BAE" w:rsidRDefault="00244BAE" w:rsidP="00244BAE">
      <w:pPr>
        <w:spacing w:after="0" w:line="256" w:lineRule="auto"/>
        <w:jc w:val="center"/>
        <w:rPr>
          <w:rFonts w:ascii="Verdana" w:eastAsia="Calibri" w:hAnsi="Verdana" w:cs="Times New Roman"/>
        </w:rPr>
      </w:pPr>
    </w:p>
    <w:p w14:paraId="3FDAE0EB" w14:textId="5615A024" w:rsidR="00244BAE" w:rsidRDefault="00893628" w:rsidP="00244BAE">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16AD5960" wp14:editId="22033D36">
            <wp:extent cx="3181350" cy="1498906"/>
            <wp:effectExtent l="0" t="0" r="0" b="635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19"/>
                    <a:stretch>
                      <a:fillRect/>
                    </a:stretch>
                  </pic:blipFill>
                  <pic:spPr>
                    <a:xfrm>
                      <a:off x="0" y="0"/>
                      <a:ext cx="3185141" cy="1500692"/>
                    </a:xfrm>
                    <a:prstGeom prst="rect">
                      <a:avLst/>
                    </a:prstGeom>
                  </pic:spPr>
                </pic:pic>
              </a:graphicData>
            </a:graphic>
          </wp:inline>
        </w:drawing>
      </w:r>
    </w:p>
    <w:p w14:paraId="4AF36D2A" w14:textId="77777777" w:rsidR="00244BAE" w:rsidRDefault="00244BAE" w:rsidP="00244BAE">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244BAE" w:rsidRPr="005644FE" w14:paraId="2F75E7BB" w14:textId="77777777" w:rsidTr="00FD2119">
        <w:trPr>
          <w:trHeight w:val="288"/>
        </w:trPr>
        <w:tc>
          <w:tcPr>
            <w:tcW w:w="893" w:type="dxa"/>
            <w:vAlign w:val="center"/>
            <w:hideMark/>
          </w:tcPr>
          <w:p w14:paraId="77AFBD45" w14:textId="77777777" w:rsidR="00244BAE" w:rsidRPr="005644FE" w:rsidRDefault="00244BAE" w:rsidP="00FD2119">
            <w:pPr>
              <w:contextualSpacing/>
              <w:rPr>
                <w:rFonts w:ascii="Verdana" w:hAnsi="Verdana" w:cs="Arial"/>
                <w:sz w:val="16"/>
                <w:szCs w:val="16"/>
                <w:lang w:eastAsia="es-ES"/>
              </w:rPr>
            </w:pPr>
            <w:r w:rsidRPr="005644FE">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2BFCF82E" w14:textId="77777777" w:rsidR="00244BAE" w:rsidRPr="005644FE" w:rsidRDefault="00244BAE" w:rsidP="00FD2119">
            <w:pPr>
              <w:contextualSpacing/>
              <w:rPr>
                <w:rStyle w:val="normaltextrun"/>
                <w:rFonts w:ascii="Verdana" w:hAnsi="Verdana"/>
                <w:sz w:val="16"/>
                <w:szCs w:val="16"/>
              </w:rPr>
            </w:pPr>
            <w:r w:rsidRPr="005644FE">
              <w:rPr>
                <w:rStyle w:val="normaltextrun"/>
                <w:rFonts w:ascii="Verdana" w:hAnsi="Verdana"/>
                <w:sz w:val="16"/>
                <w:szCs w:val="16"/>
              </w:rPr>
              <w:t xml:space="preserve">Esperanza Contreras P </w:t>
            </w:r>
          </w:p>
          <w:p w14:paraId="22C9B6C8" w14:textId="77777777" w:rsidR="00244BAE" w:rsidRPr="005644FE" w:rsidRDefault="00244BAE" w:rsidP="00FD2119">
            <w:pPr>
              <w:contextualSpacing/>
              <w:rPr>
                <w:rFonts w:ascii="Verdana" w:eastAsia="Arial" w:hAnsi="Verdana" w:cs="Arial"/>
                <w:sz w:val="16"/>
                <w:szCs w:val="16"/>
              </w:rPr>
            </w:pPr>
            <w:r w:rsidRPr="005644FE">
              <w:rPr>
                <w:rStyle w:val="normaltextrun"/>
                <w:rFonts w:ascii="Verdana" w:hAnsi="Verdana" w:cs="Arial"/>
                <w:sz w:val="16"/>
                <w:szCs w:val="16"/>
              </w:rPr>
              <w:t>Contratista de la Subdirección de Gestión Contractual</w:t>
            </w:r>
            <w:r w:rsidRPr="005644FE">
              <w:rPr>
                <w:rStyle w:val="eop"/>
                <w:rFonts w:ascii="Verdana" w:hAnsi="Verdana" w:cs="Arial"/>
                <w:sz w:val="16"/>
                <w:szCs w:val="16"/>
              </w:rPr>
              <w:t> </w:t>
            </w:r>
          </w:p>
        </w:tc>
      </w:tr>
      <w:tr w:rsidR="00244BAE" w:rsidRPr="005644FE" w14:paraId="033E5137" w14:textId="77777777" w:rsidTr="00FD2119">
        <w:trPr>
          <w:trHeight w:val="330"/>
        </w:trPr>
        <w:tc>
          <w:tcPr>
            <w:tcW w:w="893" w:type="dxa"/>
            <w:vAlign w:val="center"/>
            <w:hideMark/>
          </w:tcPr>
          <w:p w14:paraId="5947B8F0" w14:textId="77777777" w:rsidR="00244BAE" w:rsidRPr="005644FE" w:rsidRDefault="00244BAE" w:rsidP="00FD2119">
            <w:pPr>
              <w:contextualSpacing/>
              <w:rPr>
                <w:rFonts w:ascii="Verdana" w:hAnsi="Verdana" w:cs="Arial"/>
                <w:sz w:val="16"/>
                <w:szCs w:val="16"/>
                <w:lang w:eastAsia="es-ES"/>
              </w:rPr>
            </w:pPr>
            <w:r w:rsidRPr="005644FE">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2F8EBE62" w14:textId="77777777" w:rsidR="00244BAE" w:rsidRPr="00CD5FF1" w:rsidRDefault="00244BAE" w:rsidP="00FD2119">
            <w:pPr>
              <w:pStyle w:val="paragraph"/>
              <w:spacing w:before="0" w:beforeAutospacing="0" w:after="0" w:afterAutospacing="0"/>
              <w:contextualSpacing/>
              <w:textAlignment w:val="baseline"/>
              <w:rPr>
                <w:rStyle w:val="normaltextrun"/>
                <w:rFonts w:ascii="Verdana" w:hAnsi="Verdana"/>
                <w:sz w:val="16"/>
                <w:szCs w:val="16"/>
              </w:rPr>
            </w:pPr>
            <w:r w:rsidRPr="00CD5FF1">
              <w:rPr>
                <w:rStyle w:val="normaltextrun"/>
                <w:rFonts w:ascii="Verdana" w:hAnsi="Verdana"/>
                <w:sz w:val="16"/>
                <w:szCs w:val="16"/>
              </w:rPr>
              <w:t xml:space="preserve">Juan David Cárdenas. </w:t>
            </w:r>
          </w:p>
          <w:p w14:paraId="122A7E5C" w14:textId="77777777" w:rsidR="00244BAE" w:rsidRPr="00147D6A" w:rsidRDefault="00244BAE" w:rsidP="00FD2119">
            <w:pPr>
              <w:pStyle w:val="paragraph"/>
              <w:spacing w:before="0" w:beforeAutospacing="0" w:after="0" w:afterAutospacing="0"/>
              <w:contextualSpacing/>
              <w:textAlignment w:val="baseline"/>
              <w:rPr>
                <w:rFonts w:ascii="Verdana" w:hAnsi="Verdana" w:cs="Segoe UI"/>
                <w:sz w:val="16"/>
                <w:szCs w:val="16"/>
              </w:rPr>
            </w:pPr>
            <w:r w:rsidRPr="00147D6A">
              <w:rPr>
                <w:rStyle w:val="normaltextrun"/>
                <w:rFonts w:ascii="Verdana" w:hAnsi="Verdana"/>
                <w:sz w:val="16"/>
                <w:szCs w:val="16"/>
              </w:rPr>
              <w:t xml:space="preserve">Contratista Subdirección Gestión Contractual  </w:t>
            </w:r>
          </w:p>
        </w:tc>
      </w:tr>
      <w:tr w:rsidR="00244BAE" w:rsidRPr="005644FE" w14:paraId="28464244" w14:textId="77777777" w:rsidTr="00FD2119">
        <w:trPr>
          <w:trHeight w:val="300"/>
        </w:trPr>
        <w:tc>
          <w:tcPr>
            <w:tcW w:w="893" w:type="dxa"/>
            <w:vAlign w:val="center"/>
          </w:tcPr>
          <w:p w14:paraId="08BE4A87" w14:textId="77777777" w:rsidR="00244BAE" w:rsidRPr="005644FE" w:rsidRDefault="00244BAE" w:rsidP="00FD2119">
            <w:pPr>
              <w:contextualSpacing/>
              <w:rPr>
                <w:rFonts w:ascii="Verdana" w:hAnsi="Verdana" w:cs="Arial"/>
                <w:sz w:val="16"/>
                <w:szCs w:val="16"/>
                <w:lang w:eastAsia="es-ES"/>
              </w:rPr>
            </w:pPr>
            <w:r w:rsidRPr="005644FE">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073DE295" w14:textId="77777777" w:rsidR="00244BAE" w:rsidRPr="00147D6A" w:rsidRDefault="00244BAE" w:rsidP="00FD2119">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Carolina Quintero Gacharná</w:t>
            </w:r>
          </w:p>
          <w:p w14:paraId="6C2A27D0" w14:textId="77777777" w:rsidR="00244BAE" w:rsidRPr="00147D6A" w:rsidRDefault="00244BAE" w:rsidP="00FD2119">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Subdirectora de Gestión Contractual ANCP – CCE</w:t>
            </w:r>
          </w:p>
        </w:tc>
      </w:tr>
      <w:bookmarkEnd w:id="1"/>
    </w:tbl>
    <w:p w14:paraId="2A68E646" w14:textId="77777777" w:rsidR="00244BAE" w:rsidRPr="0024624F" w:rsidRDefault="00244BAE" w:rsidP="00244BAE">
      <w:pPr>
        <w:spacing w:after="0"/>
        <w:rPr>
          <w:rFonts w:ascii="Verdana" w:eastAsia="Verdana" w:hAnsi="Verdana" w:cs="Verdana"/>
        </w:rPr>
      </w:pPr>
    </w:p>
    <w:bookmarkEnd w:id="0"/>
    <w:p w14:paraId="0F293BF4" w14:textId="4D065143" w:rsidR="00127233" w:rsidRPr="00DE3126" w:rsidRDefault="00127233" w:rsidP="00DE3126"/>
    <w:sectPr w:rsidR="00127233" w:rsidRPr="00DE3126"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D73F" w14:textId="77777777" w:rsidR="00424DCD" w:rsidRDefault="00424DCD" w:rsidP="004A1847">
      <w:pPr>
        <w:spacing w:after="0" w:line="240" w:lineRule="auto"/>
      </w:pPr>
      <w:r>
        <w:separator/>
      </w:r>
    </w:p>
  </w:endnote>
  <w:endnote w:type="continuationSeparator" w:id="0">
    <w:p w14:paraId="5CF62736" w14:textId="77777777" w:rsidR="00424DCD" w:rsidRDefault="00424DC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80B57" w14:textId="77777777" w:rsidR="00424DCD" w:rsidRDefault="00424DCD" w:rsidP="004A1847">
      <w:pPr>
        <w:spacing w:after="0" w:line="240" w:lineRule="auto"/>
      </w:pPr>
      <w:r>
        <w:separator/>
      </w:r>
    </w:p>
  </w:footnote>
  <w:footnote w:type="continuationSeparator" w:id="0">
    <w:p w14:paraId="53EDDF05" w14:textId="77777777" w:rsidR="00424DCD" w:rsidRDefault="00424DCD" w:rsidP="004A1847">
      <w:pPr>
        <w:spacing w:after="0" w:line="240" w:lineRule="auto"/>
      </w:pPr>
      <w:r>
        <w:continuationSeparator/>
      </w:r>
    </w:p>
  </w:footnote>
  <w:footnote w:id="1">
    <w:p w14:paraId="2CA44185" w14:textId="77777777" w:rsidR="00244BAE" w:rsidRDefault="00244BAE" w:rsidP="00244BAE">
      <w:pPr>
        <w:pStyle w:val="Textonotapie"/>
        <w:ind w:firstLine="709"/>
        <w:jc w:val="both"/>
        <w:rPr>
          <w:rFonts w:ascii="Verdana" w:hAnsi="Verdana" w:cs="Arial"/>
          <w:sz w:val="16"/>
          <w:szCs w:val="16"/>
          <w:lang w:val="es-ES"/>
        </w:rPr>
      </w:pPr>
      <w:r w:rsidRPr="00C51AFD">
        <w:rPr>
          <w:rStyle w:val="Refdenotaalpie"/>
          <w:rFonts w:ascii="Verdana" w:hAnsi="Verdana" w:cs="Arial"/>
          <w:sz w:val="16"/>
          <w:szCs w:val="16"/>
        </w:rPr>
        <w:footnoteRef/>
      </w:r>
      <w:r w:rsidRPr="00C51AFD">
        <w:rPr>
          <w:rFonts w:ascii="Verdana" w:hAnsi="Verdana" w:cs="Arial"/>
          <w:sz w:val="16"/>
          <w:szCs w:val="16"/>
        </w:rPr>
        <w:t xml:space="preserve"> </w:t>
      </w:r>
      <w:r w:rsidRPr="00C51AFD">
        <w:rPr>
          <w:rFonts w:ascii="Verdana" w:hAnsi="Verdana" w:cs="Arial"/>
          <w:sz w:val="16"/>
          <w:szCs w:val="16"/>
          <w:lang w:val="es-ES"/>
        </w:rPr>
        <w:t>Artículos 2 al 29.</w:t>
      </w:r>
    </w:p>
    <w:p w14:paraId="3472647B" w14:textId="77777777" w:rsidR="00244BAE" w:rsidRPr="00C51AFD" w:rsidRDefault="00244BAE" w:rsidP="00244BAE">
      <w:pPr>
        <w:pStyle w:val="Textonotapie"/>
        <w:ind w:firstLine="709"/>
        <w:jc w:val="both"/>
        <w:rPr>
          <w:rFonts w:ascii="Verdana" w:hAnsi="Verdana" w:cs="Arial"/>
          <w:sz w:val="16"/>
          <w:szCs w:val="16"/>
          <w:lang w:val="es-ES"/>
        </w:rPr>
      </w:pPr>
    </w:p>
  </w:footnote>
  <w:footnote w:id="2">
    <w:p w14:paraId="2385A25E" w14:textId="77777777" w:rsidR="00244BAE" w:rsidRDefault="00244BAE" w:rsidP="00244BAE">
      <w:pPr>
        <w:pStyle w:val="Textonotapie"/>
        <w:ind w:firstLine="709"/>
        <w:jc w:val="both"/>
        <w:rPr>
          <w:rFonts w:ascii="Verdana" w:hAnsi="Verdana" w:cs="Arial"/>
          <w:sz w:val="16"/>
          <w:szCs w:val="16"/>
          <w:lang w:val="es-ES"/>
        </w:rPr>
      </w:pPr>
      <w:r w:rsidRPr="00C51AFD">
        <w:rPr>
          <w:rStyle w:val="Refdenotaalpie"/>
          <w:rFonts w:ascii="Verdana" w:hAnsi="Verdana" w:cs="Arial"/>
          <w:sz w:val="16"/>
          <w:szCs w:val="16"/>
        </w:rPr>
        <w:footnoteRef/>
      </w:r>
      <w:r w:rsidRPr="00C51AFD">
        <w:rPr>
          <w:rFonts w:ascii="Verdana" w:hAnsi="Verdana" w:cs="Arial"/>
          <w:sz w:val="16"/>
          <w:szCs w:val="16"/>
        </w:rPr>
        <w:t xml:space="preserve"> </w:t>
      </w:r>
      <w:r w:rsidRPr="00C51AFD">
        <w:rPr>
          <w:rFonts w:ascii="Verdana" w:hAnsi="Verdana" w:cs="Arial"/>
          <w:sz w:val="16"/>
          <w:szCs w:val="16"/>
          <w:lang w:val="es-ES"/>
        </w:rPr>
        <w:t>Artículos 30 al 36.</w:t>
      </w:r>
    </w:p>
    <w:p w14:paraId="58B2C843" w14:textId="77777777" w:rsidR="00244BAE" w:rsidRPr="00C51AFD" w:rsidRDefault="00244BAE" w:rsidP="00244BAE">
      <w:pPr>
        <w:pStyle w:val="Textonotapie"/>
        <w:ind w:firstLine="709"/>
        <w:jc w:val="both"/>
        <w:rPr>
          <w:rFonts w:ascii="Verdana" w:hAnsi="Verdana" w:cs="Arial"/>
          <w:sz w:val="16"/>
          <w:szCs w:val="16"/>
          <w:lang w:val="es-ES"/>
        </w:rPr>
      </w:pPr>
    </w:p>
  </w:footnote>
  <w:footnote w:id="3">
    <w:p w14:paraId="5DB9A38E" w14:textId="77777777" w:rsidR="00244BAE" w:rsidRDefault="00244BAE" w:rsidP="00244BAE">
      <w:pPr>
        <w:pStyle w:val="Textonotapie"/>
        <w:ind w:firstLine="709"/>
        <w:jc w:val="both"/>
        <w:rPr>
          <w:rFonts w:ascii="Verdana" w:hAnsi="Verdana" w:cs="Arial"/>
          <w:sz w:val="16"/>
          <w:szCs w:val="16"/>
          <w:lang w:val="es-ES"/>
        </w:rPr>
      </w:pPr>
      <w:r w:rsidRPr="00C51AFD">
        <w:rPr>
          <w:rStyle w:val="Refdenotaalpie"/>
          <w:rFonts w:ascii="Verdana" w:hAnsi="Verdana" w:cs="Arial"/>
          <w:sz w:val="16"/>
          <w:szCs w:val="16"/>
        </w:rPr>
        <w:footnoteRef/>
      </w:r>
      <w:r w:rsidRPr="00C51AFD">
        <w:rPr>
          <w:rFonts w:ascii="Verdana" w:hAnsi="Verdana" w:cs="Arial"/>
          <w:sz w:val="16"/>
          <w:szCs w:val="16"/>
        </w:rPr>
        <w:t xml:space="preserve"> </w:t>
      </w:r>
      <w:r w:rsidRPr="00C51AFD">
        <w:rPr>
          <w:rFonts w:ascii="Verdana" w:hAnsi="Verdana" w:cs="Arial"/>
          <w:sz w:val="16"/>
          <w:szCs w:val="16"/>
          <w:lang w:val="es-ES"/>
        </w:rPr>
        <w:t>Artículos 37 al 45.</w:t>
      </w:r>
    </w:p>
    <w:p w14:paraId="35C46A09" w14:textId="77777777" w:rsidR="00244BAE" w:rsidRPr="00C51AFD" w:rsidRDefault="00244BAE" w:rsidP="00244BAE">
      <w:pPr>
        <w:pStyle w:val="Textonotapie"/>
        <w:ind w:firstLine="709"/>
        <w:jc w:val="both"/>
        <w:rPr>
          <w:rFonts w:ascii="Verdana" w:hAnsi="Verdana" w:cs="Arial"/>
          <w:sz w:val="16"/>
          <w:szCs w:val="16"/>
          <w:lang w:val="es-ES"/>
        </w:rPr>
      </w:pPr>
    </w:p>
  </w:footnote>
  <w:footnote w:id="4">
    <w:p w14:paraId="4B24A0E1" w14:textId="77777777" w:rsidR="00244BAE" w:rsidRDefault="00244BAE" w:rsidP="00244BAE">
      <w:pPr>
        <w:pStyle w:val="Textonotapie"/>
        <w:ind w:firstLine="709"/>
        <w:jc w:val="both"/>
        <w:rPr>
          <w:rFonts w:ascii="Verdana" w:hAnsi="Verdana" w:cs="Arial"/>
          <w:sz w:val="16"/>
          <w:szCs w:val="16"/>
          <w:lang w:val="es-ES"/>
        </w:rPr>
      </w:pPr>
      <w:r w:rsidRPr="00C51AFD">
        <w:rPr>
          <w:rStyle w:val="Refdenotaalpie"/>
          <w:rFonts w:ascii="Verdana" w:hAnsi="Verdana" w:cs="Arial"/>
          <w:sz w:val="16"/>
          <w:szCs w:val="16"/>
        </w:rPr>
        <w:footnoteRef/>
      </w:r>
      <w:r w:rsidRPr="00C51AFD">
        <w:rPr>
          <w:rFonts w:ascii="Verdana" w:hAnsi="Verdana" w:cs="Arial"/>
          <w:sz w:val="16"/>
          <w:szCs w:val="16"/>
        </w:rPr>
        <w:t xml:space="preserve"> </w:t>
      </w:r>
      <w:r w:rsidRPr="00C51AFD">
        <w:rPr>
          <w:rFonts w:ascii="Verdana" w:hAnsi="Verdana" w:cs="Arial"/>
          <w:sz w:val="16"/>
          <w:szCs w:val="16"/>
          <w:lang w:val="es-ES"/>
        </w:rPr>
        <w:t>Artículos 46 al 73.</w:t>
      </w:r>
    </w:p>
    <w:p w14:paraId="573CA7C3" w14:textId="77777777" w:rsidR="00244BAE" w:rsidRPr="00C51AFD" w:rsidRDefault="00244BAE" w:rsidP="00244BAE">
      <w:pPr>
        <w:pStyle w:val="Textonotapie"/>
        <w:ind w:firstLine="709"/>
        <w:jc w:val="both"/>
        <w:rPr>
          <w:rFonts w:ascii="Verdana" w:hAnsi="Verdana" w:cs="Arial"/>
          <w:sz w:val="16"/>
          <w:szCs w:val="16"/>
          <w:lang w:val="es-ES"/>
        </w:rPr>
      </w:pPr>
    </w:p>
  </w:footnote>
  <w:footnote w:id="5">
    <w:p w14:paraId="4CFCBD61" w14:textId="77777777" w:rsidR="00244BAE" w:rsidRDefault="00244BAE" w:rsidP="00244BAE">
      <w:pPr>
        <w:pStyle w:val="Textonotapie"/>
        <w:ind w:firstLine="709"/>
        <w:jc w:val="both"/>
        <w:rPr>
          <w:rFonts w:ascii="Verdana" w:hAnsi="Verdana" w:cs="Arial"/>
          <w:sz w:val="16"/>
          <w:szCs w:val="16"/>
          <w:lang w:val="es-ES"/>
        </w:rPr>
      </w:pPr>
      <w:r w:rsidRPr="00C51AFD">
        <w:rPr>
          <w:rStyle w:val="Refdenotaalpie"/>
          <w:rFonts w:ascii="Verdana" w:hAnsi="Verdana" w:cs="Arial"/>
          <w:sz w:val="16"/>
          <w:szCs w:val="16"/>
        </w:rPr>
        <w:footnoteRef/>
      </w:r>
      <w:r w:rsidRPr="00C51AFD">
        <w:rPr>
          <w:rFonts w:ascii="Verdana" w:hAnsi="Verdana" w:cs="Arial"/>
          <w:sz w:val="16"/>
          <w:szCs w:val="16"/>
        </w:rPr>
        <w:t xml:space="preserve"> </w:t>
      </w:r>
      <w:r w:rsidRPr="00C51AFD">
        <w:rPr>
          <w:rFonts w:ascii="Verdana" w:hAnsi="Verdana" w:cs="Arial"/>
          <w:sz w:val="16"/>
          <w:szCs w:val="16"/>
          <w:lang w:val="es-ES"/>
        </w:rPr>
        <w:t>Artículos 74 al 83.</w:t>
      </w:r>
    </w:p>
    <w:p w14:paraId="16FA0E67" w14:textId="77777777" w:rsidR="00244BAE" w:rsidRPr="00C51AFD" w:rsidRDefault="00244BAE" w:rsidP="00244BAE">
      <w:pPr>
        <w:pStyle w:val="Textonotapie"/>
        <w:ind w:firstLine="709"/>
        <w:jc w:val="both"/>
        <w:rPr>
          <w:rFonts w:ascii="Verdana" w:hAnsi="Verdana" w:cs="Arial"/>
          <w:sz w:val="16"/>
          <w:szCs w:val="16"/>
          <w:lang w:val="es-ES"/>
        </w:rPr>
      </w:pPr>
    </w:p>
  </w:footnote>
  <w:footnote w:id="6">
    <w:p w14:paraId="120748EE" w14:textId="77777777" w:rsidR="00244BAE" w:rsidRPr="00C51AFD" w:rsidRDefault="00244BAE" w:rsidP="00244BAE">
      <w:pPr>
        <w:pStyle w:val="Textonotapie"/>
        <w:ind w:firstLine="708"/>
        <w:jc w:val="both"/>
        <w:rPr>
          <w:rFonts w:ascii="Verdana" w:hAnsi="Verdana" w:cs="Arial"/>
          <w:bCs/>
          <w:color w:val="000000" w:themeColor="text1"/>
          <w:sz w:val="16"/>
          <w:szCs w:val="16"/>
        </w:rPr>
      </w:pPr>
      <w:r w:rsidRPr="00C51AFD">
        <w:rPr>
          <w:rStyle w:val="Refdenotaalpie"/>
          <w:rFonts w:ascii="Verdana" w:hAnsi="Verdana" w:cs="Arial"/>
          <w:color w:val="000000" w:themeColor="text1"/>
          <w:sz w:val="16"/>
          <w:szCs w:val="16"/>
        </w:rPr>
        <w:footnoteRef/>
      </w:r>
      <w:r w:rsidRPr="00C51AFD">
        <w:rPr>
          <w:rFonts w:ascii="Verdana" w:hAnsi="Verdana" w:cs="Arial"/>
          <w:color w:val="000000" w:themeColor="text1"/>
          <w:sz w:val="16"/>
          <w:szCs w:val="16"/>
        </w:rPr>
        <w:t xml:space="preserve"> </w:t>
      </w:r>
      <w:r w:rsidRPr="00C51AFD">
        <w:rPr>
          <w:rFonts w:ascii="Verdana" w:hAnsi="Verdana" w:cs="Arial"/>
          <w:bCs/>
          <w:color w:val="000000" w:themeColor="text1"/>
          <w:sz w:val="16"/>
          <w:szCs w:val="16"/>
        </w:rPr>
        <w:t xml:space="preserve">Esta política se justifica en la medida que: «Cuando una empresa decide ser formal se generan beneficios para la sociedad más allá de los que la empresa recibe (externalidades positivas). Estos beneficios […] incluyen la inserción de más trabajadores al sistema de aseguramiento social, un mayor cumplimiento de las normas sectoriales que buscan proteger la salud de los consumidores y mayores ingresos tributarios para la inversión pública. De igual manera, cuando una empresa decide ser informal, su decisión genera costos para la sociedad más allá de los asumidos por la empresa (externalidades negativas). Algunos de estos son competencia desleal con empresas formales, ya que estas últimas asumen costos adicionales (por ejemplo, pago de registros, seguridad social e impuestos), y el aumento de la corrupción porque, en ocasiones, la manera en que empresas informales evaden el control de los requisitos de formalidad es vía pagos ilegales” (Cfr. </w:t>
      </w:r>
      <w:r w:rsidRPr="00C51AFD">
        <w:rPr>
          <w:rFonts w:ascii="Verdana" w:hAnsi="Verdana" w:cs="Arial"/>
          <w:color w:val="000000" w:themeColor="text1"/>
          <w:sz w:val="16"/>
          <w:szCs w:val="16"/>
        </w:rPr>
        <w:t xml:space="preserve">CONSEJO NACIONAL DE POLÍTICA ECONÓMICA Y SOCIAL. Documento 3956 del 8 de enero de 2019: “Política de formalización empresarial”. Archivo consultado el 8 de febrero de 2021 en la página web </w:t>
      </w:r>
      <w:hyperlink r:id="rId1" w:history="1">
        <w:r w:rsidRPr="00C51AFD">
          <w:rPr>
            <w:rStyle w:val="Hipervnculo"/>
            <w:rFonts w:ascii="Verdana" w:hAnsi="Verdana" w:cs="Arial"/>
            <w:color w:val="000000" w:themeColor="text1"/>
            <w:sz w:val="16"/>
            <w:szCs w:val="16"/>
          </w:rPr>
          <w:t>https://colaboracion.dnp.gov.co/CDT/Conpes/Econ%C3%B3micos/3956.pdf</w:t>
        </w:r>
      </w:hyperlink>
      <w:r w:rsidRPr="00C51AFD">
        <w:rPr>
          <w:rFonts w:ascii="Verdana" w:hAnsi="Verdana" w:cs="Arial"/>
          <w:color w:val="000000" w:themeColor="text1"/>
          <w:sz w:val="16"/>
          <w:szCs w:val="16"/>
        </w:rPr>
        <w:t xml:space="preserve">).  </w:t>
      </w:r>
      <w:r w:rsidRPr="00C51AFD">
        <w:rPr>
          <w:rFonts w:ascii="Verdana" w:hAnsi="Verdana" w:cs="Arial"/>
          <w:bCs/>
          <w:color w:val="000000" w:themeColor="text1"/>
          <w:sz w:val="16"/>
          <w:szCs w:val="16"/>
        </w:rPr>
        <w:t xml:space="preserve"> </w:t>
      </w:r>
    </w:p>
    <w:p w14:paraId="3C859F30" w14:textId="77777777" w:rsidR="00244BAE" w:rsidRPr="00C51AFD" w:rsidRDefault="00244BAE" w:rsidP="00244BAE">
      <w:pPr>
        <w:pStyle w:val="Textonotapie"/>
        <w:ind w:firstLine="708"/>
        <w:jc w:val="both"/>
        <w:rPr>
          <w:rFonts w:ascii="Verdana" w:hAnsi="Verdana" w:cs="Arial"/>
          <w:bCs/>
          <w:color w:val="000000" w:themeColor="text1"/>
          <w:sz w:val="16"/>
          <w:szCs w:val="16"/>
        </w:rPr>
      </w:pPr>
    </w:p>
  </w:footnote>
  <w:footnote w:id="7">
    <w:p w14:paraId="6D38CE46" w14:textId="77777777" w:rsidR="00244BAE" w:rsidRDefault="00244BAE" w:rsidP="00244BAE">
      <w:pPr>
        <w:pStyle w:val="Textonotapie"/>
        <w:ind w:firstLine="708"/>
        <w:jc w:val="both"/>
        <w:rPr>
          <w:rFonts w:ascii="Arial" w:hAnsi="Arial" w:cs="Arial"/>
          <w:sz w:val="19"/>
          <w:szCs w:val="19"/>
          <w:lang w:val="es-ES"/>
        </w:rPr>
      </w:pPr>
      <w:r w:rsidRPr="00C51AFD">
        <w:rPr>
          <w:rStyle w:val="Refdenotaalpie"/>
          <w:rFonts w:ascii="Verdana" w:hAnsi="Verdana" w:cs="Arial"/>
          <w:sz w:val="16"/>
          <w:szCs w:val="16"/>
        </w:rPr>
        <w:footnoteRef/>
      </w:r>
      <w:r w:rsidRPr="00C51AFD">
        <w:rPr>
          <w:rFonts w:ascii="Verdana" w:hAnsi="Verdana" w:cs="Arial"/>
          <w:sz w:val="16"/>
          <w:szCs w:val="16"/>
        </w:rPr>
        <w:t xml:space="preserve"> </w:t>
      </w:r>
      <w:bookmarkStart w:id="7" w:name="_Hlk63862868"/>
      <w:r w:rsidRPr="00C51AFD">
        <w:rPr>
          <w:rFonts w:ascii="Verdana" w:hAnsi="Verdana" w:cs="Arial"/>
          <w:sz w:val="16"/>
          <w:szCs w:val="16"/>
        </w:rPr>
        <w:t>CONGRESO DE LA REPÚBLICA. Gaceta No. 670 del 11 de agosto de 2020. Exposición de motivos del Proyecto de Ley No. 122 de 2020 Cámara. p. 13.</w:t>
      </w:r>
      <w:r>
        <w:rPr>
          <w:rFonts w:ascii="Verdana" w:hAnsi="Verdana" w:cs="Arial"/>
          <w:sz w:val="14"/>
          <w:szCs w:val="14"/>
        </w:rPr>
        <w:t xml:space="preserve"> </w:t>
      </w:r>
      <w:bookmarkEnd w:id="7"/>
    </w:p>
  </w:footnote>
  <w:footnote w:id="8">
    <w:p w14:paraId="374E4B77" w14:textId="77777777" w:rsidR="00244BAE" w:rsidRPr="0007098C" w:rsidRDefault="00244BAE" w:rsidP="00244BAE">
      <w:pPr>
        <w:ind w:firstLine="709"/>
        <w:jc w:val="both"/>
        <w:rPr>
          <w:rFonts w:ascii="Verdana" w:hAnsi="Verdana" w:cs="Arial"/>
          <w:sz w:val="16"/>
          <w:szCs w:val="16"/>
          <w:lang w:val="es-ES"/>
        </w:rPr>
      </w:pPr>
      <w:r w:rsidRPr="0007098C">
        <w:rPr>
          <w:rStyle w:val="Refdenotaalpie"/>
          <w:rFonts w:ascii="Verdana" w:hAnsi="Verdana" w:cs="Arial"/>
          <w:sz w:val="16"/>
          <w:szCs w:val="16"/>
        </w:rPr>
        <w:footnoteRef/>
      </w:r>
      <w:r w:rsidRPr="0007098C">
        <w:rPr>
          <w:rFonts w:ascii="Verdana" w:hAnsi="Verdana" w:cs="Arial"/>
          <w:sz w:val="16"/>
          <w:szCs w:val="16"/>
        </w:rPr>
        <w:t xml:space="preserve"> </w:t>
      </w:r>
      <w:r w:rsidRPr="0007098C">
        <w:rPr>
          <w:rFonts w:ascii="Verdana" w:hAnsi="Verdana" w:cs="Arial"/>
          <w:sz w:val="16"/>
          <w:szCs w:val="16"/>
          <w:lang w:val="es-ES"/>
        </w:rPr>
        <w:t xml:space="preserve">Consejo de Estado. </w:t>
      </w:r>
      <w:r>
        <w:rPr>
          <w:rFonts w:ascii="Verdana" w:hAnsi="Verdana" w:cs="Arial"/>
          <w:sz w:val="16"/>
          <w:szCs w:val="16"/>
          <w:lang w:val="es-ES"/>
        </w:rPr>
        <w:t xml:space="preserve">Sala de lo Contencioso Administrativo. </w:t>
      </w:r>
      <w:r w:rsidRPr="0007098C">
        <w:rPr>
          <w:rFonts w:ascii="Verdana" w:hAnsi="Verdana" w:cs="Arial"/>
          <w:sz w:val="16"/>
          <w:szCs w:val="16"/>
          <w:lang w:val="es-ES"/>
        </w:rPr>
        <w:t>Sección Tercera.</w:t>
      </w:r>
      <w:r>
        <w:rPr>
          <w:rFonts w:ascii="Verdana" w:hAnsi="Verdana" w:cs="Arial"/>
          <w:sz w:val="16"/>
          <w:szCs w:val="16"/>
          <w:lang w:val="es-ES"/>
        </w:rPr>
        <w:t xml:space="preserve"> Subsección B. </w:t>
      </w:r>
      <w:r w:rsidRPr="0007098C">
        <w:rPr>
          <w:rFonts w:ascii="Verdana" w:hAnsi="Verdana" w:cs="Arial"/>
          <w:sz w:val="16"/>
          <w:szCs w:val="16"/>
          <w:lang w:val="es-ES"/>
        </w:rPr>
        <w:t>Sentencia del 29 de octubre de 2.015. Expediente: 31.918</w:t>
      </w:r>
      <w:r>
        <w:rPr>
          <w:rFonts w:ascii="Verdana" w:hAnsi="Verdana" w:cs="Arial"/>
          <w:sz w:val="16"/>
          <w:szCs w:val="16"/>
          <w:lang w:val="es-ES"/>
        </w:rPr>
        <w:t xml:space="preserve">. </w:t>
      </w:r>
      <w:r w:rsidRPr="0007098C">
        <w:rPr>
          <w:rFonts w:ascii="Verdana" w:hAnsi="Verdana" w:cs="Arial"/>
          <w:sz w:val="16"/>
          <w:szCs w:val="16"/>
          <w:lang w:val="es-ES"/>
        </w:rPr>
        <w:t>C</w:t>
      </w:r>
      <w:r>
        <w:rPr>
          <w:rFonts w:ascii="Verdana" w:hAnsi="Verdana" w:cs="Arial"/>
          <w:sz w:val="16"/>
          <w:szCs w:val="16"/>
          <w:lang w:val="es-ES"/>
        </w:rPr>
        <w:t xml:space="preserve">.P: </w:t>
      </w:r>
      <w:r w:rsidRPr="0007098C">
        <w:rPr>
          <w:rFonts w:ascii="Verdana" w:hAnsi="Verdana" w:cs="Arial"/>
          <w:sz w:val="16"/>
          <w:szCs w:val="16"/>
          <w:lang w:val="es-ES"/>
        </w:rPr>
        <w:t>Stella Conto Díaz Del Castillo.</w:t>
      </w:r>
    </w:p>
  </w:footnote>
  <w:footnote w:id="9">
    <w:p w14:paraId="51B1EDC5" w14:textId="77777777" w:rsidR="00244BAE" w:rsidRPr="0007098C" w:rsidRDefault="00244BAE" w:rsidP="00244BAE">
      <w:pPr>
        <w:ind w:firstLine="709"/>
        <w:jc w:val="both"/>
        <w:rPr>
          <w:rFonts w:ascii="Verdana" w:hAnsi="Verdana" w:cs="Arial"/>
          <w:sz w:val="16"/>
          <w:szCs w:val="16"/>
          <w:lang w:val="es-ES"/>
        </w:rPr>
      </w:pPr>
      <w:r w:rsidRPr="0007098C">
        <w:rPr>
          <w:rStyle w:val="Refdenotaalpie"/>
          <w:rFonts w:ascii="Verdana" w:hAnsi="Verdana" w:cs="Arial"/>
          <w:sz w:val="16"/>
          <w:szCs w:val="16"/>
        </w:rPr>
        <w:footnoteRef/>
      </w:r>
      <w:r w:rsidRPr="0007098C">
        <w:rPr>
          <w:rFonts w:ascii="Verdana" w:hAnsi="Verdana" w:cs="Arial"/>
          <w:sz w:val="16"/>
          <w:szCs w:val="16"/>
        </w:rPr>
        <w:t xml:space="preserve"> </w:t>
      </w:r>
      <w:r w:rsidRPr="0007098C">
        <w:rPr>
          <w:rFonts w:ascii="Verdana" w:hAnsi="Verdana" w:cs="Arial"/>
          <w:sz w:val="16"/>
          <w:szCs w:val="16"/>
          <w:lang w:val="es-ES"/>
        </w:rPr>
        <w:t>Corte Constitucional. Sentencia T-684A del 14 de septiembre de 2011. M</w:t>
      </w:r>
      <w:r>
        <w:rPr>
          <w:rFonts w:ascii="Verdana" w:hAnsi="Verdana" w:cs="Arial"/>
          <w:sz w:val="16"/>
          <w:szCs w:val="16"/>
          <w:lang w:val="es-ES"/>
        </w:rPr>
        <w:t>.P</w:t>
      </w:r>
      <w:r w:rsidRPr="0007098C">
        <w:rPr>
          <w:rFonts w:ascii="Verdana" w:hAnsi="Verdana" w:cs="Arial"/>
          <w:sz w:val="16"/>
          <w:szCs w:val="16"/>
          <w:lang w:val="es-ES"/>
        </w:rPr>
        <w:t>: Mauricio González Cuervo.</w:t>
      </w:r>
    </w:p>
  </w:footnote>
  <w:footnote w:id="10">
    <w:p w14:paraId="31FB7ABB" w14:textId="77777777" w:rsidR="00244BAE" w:rsidRDefault="00244BAE" w:rsidP="00244BAE">
      <w:pPr>
        <w:ind w:firstLine="709"/>
        <w:jc w:val="both"/>
        <w:rPr>
          <w:rFonts w:ascii="Verdana" w:hAnsi="Verdana" w:cs="Arial"/>
          <w:sz w:val="14"/>
          <w:szCs w:val="14"/>
          <w:lang w:val="es-ES"/>
        </w:rPr>
      </w:pPr>
      <w:r w:rsidRPr="0007098C">
        <w:rPr>
          <w:rStyle w:val="Refdenotaalpie"/>
          <w:rFonts w:ascii="Verdana" w:hAnsi="Verdana" w:cs="Arial"/>
          <w:sz w:val="16"/>
          <w:szCs w:val="16"/>
        </w:rPr>
        <w:footnoteRef/>
      </w:r>
      <w:r w:rsidRPr="0007098C">
        <w:rPr>
          <w:rFonts w:ascii="Verdana" w:hAnsi="Verdana" w:cs="Arial"/>
          <w:sz w:val="16"/>
          <w:szCs w:val="16"/>
        </w:rPr>
        <w:t xml:space="preserve"> </w:t>
      </w:r>
      <w:r w:rsidRPr="0007098C">
        <w:rPr>
          <w:rFonts w:ascii="Verdana" w:hAnsi="Verdana" w:cs="Arial"/>
          <w:sz w:val="16"/>
          <w:szCs w:val="16"/>
          <w:lang w:val="es-ES"/>
        </w:rPr>
        <w:t>Consejo de Estado.</w:t>
      </w:r>
      <w:r>
        <w:rPr>
          <w:rFonts w:ascii="Verdana" w:hAnsi="Verdana" w:cs="Arial"/>
          <w:sz w:val="16"/>
          <w:szCs w:val="16"/>
          <w:lang w:val="es-ES"/>
        </w:rPr>
        <w:t xml:space="preserve"> Sala de lo Contencioso Administrativo.</w:t>
      </w:r>
      <w:r w:rsidRPr="0007098C">
        <w:rPr>
          <w:rFonts w:ascii="Verdana" w:hAnsi="Verdana" w:cs="Arial"/>
          <w:sz w:val="16"/>
          <w:szCs w:val="16"/>
          <w:lang w:val="es-ES"/>
        </w:rPr>
        <w:t xml:space="preserve"> Sección Tercera. Sentencia del 6 de diciembre de 2.013. Expediente: 27.506</w:t>
      </w:r>
      <w:r>
        <w:rPr>
          <w:rFonts w:ascii="Verdana" w:hAnsi="Verdana" w:cs="Arial"/>
          <w:sz w:val="16"/>
          <w:szCs w:val="16"/>
          <w:lang w:val="es-ES"/>
        </w:rPr>
        <w:t xml:space="preserve">. </w:t>
      </w:r>
      <w:r w:rsidRPr="0007098C">
        <w:rPr>
          <w:rFonts w:ascii="Verdana" w:hAnsi="Verdana" w:cs="Arial"/>
          <w:sz w:val="16"/>
          <w:szCs w:val="16"/>
          <w:lang w:val="es-ES"/>
        </w:rPr>
        <w:t>C</w:t>
      </w:r>
      <w:r>
        <w:rPr>
          <w:rFonts w:ascii="Verdana" w:hAnsi="Verdana" w:cs="Arial"/>
          <w:sz w:val="16"/>
          <w:szCs w:val="16"/>
          <w:lang w:val="es-ES"/>
        </w:rPr>
        <w:t>.</w:t>
      </w:r>
      <w:r w:rsidRPr="0007098C">
        <w:rPr>
          <w:rFonts w:ascii="Verdana" w:hAnsi="Verdana" w:cs="Arial"/>
          <w:sz w:val="16"/>
          <w:szCs w:val="16"/>
          <w:lang w:val="es-ES"/>
        </w:rPr>
        <w:t>P</w:t>
      </w:r>
      <w:r>
        <w:rPr>
          <w:rFonts w:ascii="Verdana" w:hAnsi="Verdana" w:cs="Arial"/>
          <w:sz w:val="16"/>
          <w:szCs w:val="16"/>
          <w:lang w:val="es-ES"/>
        </w:rPr>
        <w:t>:</w:t>
      </w:r>
      <w:r w:rsidRPr="0007098C">
        <w:rPr>
          <w:rFonts w:ascii="Verdana" w:hAnsi="Verdana" w:cs="Arial"/>
          <w:sz w:val="16"/>
          <w:szCs w:val="16"/>
          <w:lang w:val="es-ES"/>
        </w:rPr>
        <w:t xml:space="preserve"> Stella Conto Díaz Del Castillo.. En efecto, el artículo 44, inciso 1º, de la Ley 80 de 1993 establece que “Los contratos del Estado son absolutamente nulos en los casos previstos en el derecho común […]”, y uno de los supuestos consagrados en el derecho común es el llamado “objeto ilícito”, que se presenta cuando se contrarían las normas de orden público, de conformidad con el artículo 1.519 del Código Civil</w:t>
      </w:r>
      <w:r>
        <w:rPr>
          <w:rFonts w:ascii="Verdana" w:hAnsi="Verdana" w:cs="Arial"/>
          <w:sz w:val="14"/>
          <w:szCs w:val="14"/>
          <w:lang w:val="es-ES"/>
        </w:rPr>
        <w:t xml:space="preserve">. </w:t>
      </w:r>
    </w:p>
  </w:footnote>
  <w:footnote w:id="11">
    <w:p w14:paraId="17A01B72" w14:textId="77777777" w:rsidR="00244BAE" w:rsidRPr="001667F8" w:rsidRDefault="00244BAE" w:rsidP="00244BAE">
      <w:pPr>
        <w:pStyle w:val="NormalWeb"/>
        <w:spacing w:before="0" w:beforeAutospacing="0" w:after="0" w:afterAutospacing="0"/>
        <w:ind w:firstLine="708"/>
        <w:contextualSpacing/>
        <w:jc w:val="both"/>
        <w:rPr>
          <w:rFonts w:ascii="Verdana" w:hAnsi="Verdana" w:cs="Arial"/>
          <w:sz w:val="16"/>
          <w:szCs w:val="16"/>
        </w:rPr>
      </w:pPr>
      <w:r w:rsidRPr="001667F8">
        <w:rPr>
          <w:rStyle w:val="Refdenotaalpie"/>
          <w:rFonts w:ascii="Verdana" w:eastAsiaTheme="minorHAnsi" w:hAnsi="Verdana" w:cs="Arial"/>
          <w:sz w:val="16"/>
          <w:szCs w:val="16"/>
          <w:lang w:val="es-MX" w:eastAsia="en-US"/>
        </w:rPr>
        <w:footnoteRef/>
      </w:r>
      <w:r w:rsidRPr="001667F8">
        <w:rPr>
          <w:rFonts w:ascii="Verdana" w:hAnsi="Verdana" w:cs="Arial"/>
          <w:sz w:val="16"/>
          <w:szCs w:val="16"/>
        </w:rPr>
        <w:t xml:space="preserve"> Decreto 1082 de 2015, modificado por el Decreto 1860 de 2021: “Artículo 2.2.1.2.1.5.2. Procedimiento para la contratación de mínima cuantía. La Entidad Estatal debe elaborar unos estudios previos que deben contener, como mínimo, lo siguiente:</w:t>
      </w:r>
    </w:p>
    <w:p w14:paraId="7449B123" w14:textId="77777777" w:rsidR="00244BAE" w:rsidRDefault="00244BAE" w:rsidP="00244BAE">
      <w:pPr>
        <w:pStyle w:val="NormalWeb"/>
        <w:spacing w:before="0" w:beforeAutospacing="0" w:after="0" w:afterAutospacing="0"/>
        <w:ind w:firstLine="708"/>
        <w:contextualSpacing/>
        <w:jc w:val="both"/>
        <w:rPr>
          <w:rFonts w:ascii="Verdana" w:hAnsi="Verdana" w:cs="Arial"/>
          <w:sz w:val="14"/>
          <w:szCs w:val="14"/>
        </w:rPr>
      </w:pPr>
      <w:r w:rsidRPr="001667F8">
        <w:rPr>
          <w:rFonts w:ascii="Verdana" w:hAnsi="Verdana" w:cs="Arial"/>
          <w:sz w:val="16"/>
          <w:szCs w:val="16"/>
        </w:rPr>
        <w:t>“[…] 8. En caso de empate, la Entidad Estatal aplicará los criterios de que trata el artículo </w:t>
      </w:r>
      <w:hyperlink r:id="rId2" w:anchor="35" w:history="1">
        <w:r w:rsidRPr="001667F8">
          <w:rPr>
            <w:rStyle w:val="Hipervnculo"/>
            <w:rFonts w:ascii="Verdana" w:hAnsi="Verdana" w:cs="Arial"/>
            <w:color w:val="auto"/>
            <w:sz w:val="16"/>
            <w:szCs w:val="16"/>
            <w:u w:val="none"/>
          </w:rPr>
          <w:t>35 </w:t>
        </w:r>
      </w:hyperlink>
      <w:r w:rsidRPr="001667F8">
        <w:rPr>
          <w:rFonts w:ascii="Verdana" w:hAnsi="Verdana" w:cs="Arial"/>
          <w:sz w:val="16"/>
          <w:szCs w:val="16"/>
        </w:rPr>
        <w:t>de la Ley 2069 de 2020, conforme a los medíos de acreditación del artículo 2.2.1.2.4.2.17. del presente Decreto o las normas que los modifiquen, adicionen o sustituyan.”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8FB7985"/>
    <w:multiLevelType w:val="hybridMultilevel"/>
    <w:tmpl w:val="6D723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691346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5DAE"/>
    <w:rsid w:val="00046945"/>
    <w:rsid w:val="00061B2A"/>
    <w:rsid w:val="00082362"/>
    <w:rsid w:val="000A683E"/>
    <w:rsid w:val="000B19B9"/>
    <w:rsid w:val="000B2039"/>
    <w:rsid w:val="000D0334"/>
    <w:rsid w:val="000D5DA7"/>
    <w:rsid w:val="000F6486"/>
    <w:rsid w:val="00116940"/>
    <w:rsid w:val="00125105"/>
    <w:rsid w:val="00127233"/>
    <w:rsid w:val="0015699B"/>
    <w:rsid w:val="001A33BF"/>
    <w:rsid w:val="001E4177"/>
    <w:rsid w:val="001F0B24"/>
    <w:rsid w:val="001F7DC6"/>
    <w:rsid w:val="0022400B"/>
    <w:rsid w:val="002421BB"/>
    <w:rsid w:val="00244BAE"/>
    <w:rsid w:val="0025796E"/>
    <w:rsid w:val="002707A2"/>
    <w:rsid w:val="002951A0"/>
    <w:rsid w:val="002962BC"/>
    <w:rsid w:val="002A093D"/>
    <w:rsid w:val="002A0DD0"/>
    <w:rsid w:val="002A1B44"/>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4DCD"/>
    <w:rsid w:val="0042722E"/>
    <w:rsid w:val="0044528D"/>
    <w:rsid w:val="00466E39"/>
    <w:rsid w:val="004A1847"/>
    <w:rsid w:val="004A305D"/>
    <w:rsid w:val="004F21C4"/>
    <w:rsid w:val="004F685F"/>
    <w:rsid w:val="00535155"/>
    <w:rsid w:val="005566E8"/>
    <w:rsid w:val="00573516"/>
    <w:rsid w:val="00574867"/>
    <w:rsid w:val="00591460"/>
    <w:rsid w:val="005A65E0"/>
    <w:rsid w:val="005C3777"/>
    <w:rsid w:val="005C5CDC"/>
    <w:rsid w:val="005D476C"/>
    <w:rsid w:val="00612CD4"/>
    <w:rsid w:val="006200BF"/>
    <w:rsid w:val="006219F8"/>
    <w:rsid w:val="006302F7"/>
    <w:rsid w:val="00646B9F"/>
    <w:rsid w:val="00665D70"/>
    <w:rsid w:val="0067610D"/>
    <w:rsid w:val="006900D9"/>
    <w:rsid w:val="00696457"/>
    <w:rsid w:val="00706C16"/>
    <w:rsid w:val="007340C3"/>
    <w:rsid w:val="0075235A"/>
    <w:rsid w:val="00756841"/>
    <w:rsid w:val="007649AB"/>
    <w:rsid w:val="00771D0C"/>
    <w:rsid w:val="007833AC"/>
    <w:rsid w:val="007B268C"/>
    <w:rsid w:val="007B7171"/>
    <w:rsid w:val="007C0C0F"/>
    <w:rsid w:val="007C3B4A"/>
    <w:rsid w:val="007C3DC2"/>
    <w:rsid w:val="007E5497"/>
    <w:rsid w:val="00806F5F"/>
    <w:rsid w:val="00820278"/>
    <w:rsid w:val="008258C9"/>
    <w:rsid w:val="00844AE9"/>
    <w:rsid w:val="00867F95"/>
    <w:rsid w:val="008843B6"/>
    <w:rsid w:val="00891928"/>
    <w:rsid w:val="00893628"/>
    <w:rsid w:val="008A446D"/>
    <w:rsid w:val="008B25F1"/>
    <w:rsid w:val="008D180B"/>
    <w:rsid w:val="008E27C9"/>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3AC4"/>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6A3D"/>
    <w:rsid w:val="00BD7F72"/>
    <w:rsid w:val="00BF7425"/>
    <w:rsid w:val="00C04FB3"/>
    <w:rsid w:val="00C11D8B"/>
    <w:rsid w:val="00C15139"/>
    <w:rsid w:val="00C330EB"/>
    <w:rsid w:val="00C50D69"/>
    <w:rsid w:val="00C5365C"/>
    <w:rsid w:val="00C562DA"/>
    <w:rsid w:val="00C754BE"/>
    <w:rsid w:val="00C76B1C"/>
    <w:rsid w:val="00C925AC"/>
    <w:rsid w:val="00C94911"/>
    <w:rsid w:val="00CB6357"/>
    <w:rsid w:val="00CC1B26"/>
    <w:rsid w:val="00D361FD"/>
    <w:rsid w:val="00D423A2"/>
    <w:rsid w:val="00D44E26"/>
    <w:rsid w:val="00D520D8"/>
    <w:rsid w:val="00D63AC2"/>
    <w:rsid w:val="00D7383B"/>
    <w:rsid w:val="00D7788A"/>
    <w:rsid w:val="00DA231B"/>
    <w:rsid w:val="00DC39FC"/>
    <w:rsid w:val="00DE3126"/>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D6538"/>
    <w:rsid w:val="00FF1449"/>
    <w:rsid w:val="00FF7963"/>
    <w:rsid w:val="071B8F93"/>
    <w:rsid w:val="07C73DD1"/>
    <w:rsid w:val="09908A09"/>
    <w:rsid w:val="0E0AF0F4"/>
    <w:rsid w:val="0EFE6349"/>
    <w:rsid w:val="0FF4CCA8"/>
    <w:rsid w:val="13CFC91B"/>
    <w:rsid w:val="19566C56"/>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44BAE"/>
    <w:rPr>
      <w:rFonts w:ascii="Geomanist Light" w:hAnsi="Geomanist Light"/>
      <w:lang w:val="es-ES"/>
    </w:rPr>
  </w:style>
  <w:style w:type="paragraph" w:customStyle="1" w:styleId="Appelnotedebasde">
    <w:name w:val="Appel note de bas de..."/>
    <w:basedOn w:val="Normal"/>
    <w:link w:val="Refdenotaalpie"/>
    <w:uiPriority w:val="99"/>
    <w:rsid w:val="00244BAE"/>
    <w:pPr>
      <w:spacing w:line="240" w:lineRule="exact"/>
    </w:pPr>
    <w:rPr>
      <w:vertAlign w:val="superscript"/>
    </w:rPr>
  </w:style>
  <w:style w:type="character" w:customStyle="1" w:styleId="NormalWebCar">
    <w:name w:val="Normal (Web) Car"/>
    <w:link w:val="NormalWeb"/>
    <w:uiPriority w:val="99"/>
    <w:rsid w:val="00244BAE"/>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copaternina@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funcionpublica.gov.co/eva/gestornormativo/norma.php?i=160966" TargetMode="External"/><Relationship Id="rId1" Type="http://schemas.openxmlformats.org/officeDocument/2006/relationships/hyperlink" Target="https://colaboracion.dnp.gov.co/CDT/Conpes/Econ%C3%B3micos/395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B2D959-4C45-44C6-832A-A9516CF537A1}"/>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108</TotalTime>
  <Pages>20</Pages>
  <Words>7079</Words>
  <Characters>38938</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4</cp:revision>
  <cp:lastPrinted>2023-01-10T21:18:00Z</cp:lastPrinted>
  <dcterms:created xsi:type="dcterms:W3CDTF">2026-07-29T00:07:00Z</dcterms:created>
  <dcterms:modified xsi:type="dcterms:W3CDTF">2026-07-30T23:59:00Z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