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D9EF0" w14:textId="77777777" w:rsidR="007C3DF2" w:rsidRPr="007C3CE2" w:rsidRDefault="007C3DF2" w:rsidP="007C3DF2">
      <w:pPr>
        <w:spacing w:after="0" w:line="240" w:lineRule="auto"/>
        <w:rPr>
          <w:rFonts w:ascii="Verdana" w:eastAsia="Calibri" w:hAnsi="Verdana" w:cs="Arial"/>
          <w:b/>
          <w:bCs/>
          <w:lang w:val="es-ES" w:eastAsia="es-ES"/>
        </w:rPr>
      </w:pPr>
      <w:bookmarkStart w:id="0" w:name="_Hlk186494164"/>
      <w:bookmarkStart w:id="1" w:name="_Hlk143780582"/>
      <w:r w:rsidRPr="007C3CE2">
        <w:rPr>
          <w:rFonts w:ascii="Verdana" w:eastAsia="Calibri" w:hAnsi="Verdana" w:cs="Arial"/>
          <w:b/>
          <w:bCs/>
          <w:lang w:val="es-ES" w:eastAsia="es-ES"/>
        </w:rPr>
        <w:t xml:space="preserve">SISTEMA GENERAL DE REGALÍAS – Ley 2056 de 2020 – artículo 37 </w:t>
      </w:r>
    </w:p>
    <w:p w14:paraId="250724E5" w14:textId="77777777" w:rsidR="007C3DF2" w:rsidRPr="007C3DF2" w:rsidRDefault="007C3DF2" w:rsidP="007C3DF2">
      <w:pPr>
        <w:spacing w:after="0" w:line="240" w:lineRule="auto"/>
        <w:jc w:val="both"/>
        <w:rPr>
          <w:rFonts w:ascii="Verdana" w:hAnsi="Verdana" w:cs="Arial"/>
          <w:noProof/>
          <w:sz w:val="20"/>
          <w:szCs w:val="20"/>
          <w:lang w:val="es-ES_tradnl"/>
        </w:rPr>
      </w:pPr>
    </w:p>
    <w:p w14:paraId="1E1F3884" w14:textId="77777777" w:rsidR="007C3DF2" w:rsidRPr="007C3DF2" w:rsidRDefault="007C3DF2" w:rsidP="007C3DF2">
      <w:pPr>
        <w:spacing w:after="0" w:line="240" w:lineRule="auto"/>
        <w:jc w:val="both"/>
        <w:rPr>
          <w:rFonts w:ascii="Verdana" w:hAnsi="Verdana" w:cs="Arial"/>
          <w:noProof/>
          <w:sz w:val="20"/>
          <w:szCs w:val="20"/>
          <w:lang w:val="es-ES_tradnl"/>
        </w:rPr>
      </w:pPr>
      <w:r w:rsidRPr="007C3DF2">
        <w:rPr>
          <w:rFonts w:ascii="Verdana" w:hAnsi="Verdana" w:cs="Arial"/>
          <w:noProof/>
          <w:sz w:val="20"/>
          <w:szCs w:val="20"/>
          <w:lang w:val="es-ES_tradnl"/>
        </w:rPr>
        <w:t xml:space="preserve">En </w:t>
      </w:r>
      <w:r w:rsidRPr="007C3DF2">
        <w:rPr>
          <w:rFonts w:ascii="Verdana" w:hAnsi="Verdana" w:cs="Arial"/>
          <w:noProof/>
          <w:sz w:val="20"/>
          <w:szCs w:val="20"/>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2EC7D2D5" w14:textId="77777777" w:rsidR="007C3DF2" w:rsidRPr="007C3DF2" w:rsidRDefault="007C3DF2" w:rsidP="007C3DF2">
      <w:pPr>
        <w:spacing w:after="0" w:line="240" w:lineRule="auto"/>
        <w:jc w:val="both"/>
        <w:rPr>
          <w:rFonts w:ascii="Verdana" w:hAnsi="Verdana" w:cs="Arial"/>
          <w:noProof/>
          <w:sz w:val="20"/>
          <w:szCs w:val="20"/>
        </w:rPr>
      </w:pPr>
    </w:p>
    <w:p w14:paraId="42EFF5AB" w14:textId="77777777" w:rsidR="007C3DF2" w:rsidRPr="007C3DF2" w:rsidRDefault="007C3DF2" w:rsidP="007C3DF2">
      <w:pPr>
        <w:spacing w:after="0" w:line="240" w:lineRule="auto"/>
        <w:jc w:val="both"/>
        <w:rPr>
          <w:rFonts w:ascii="Verdana" w:hAnsi="Verdana" w:cs="Arial"/>
          <w:sz w:val="20"/>
          <w:szCs w:val="20"/>
        </w:rPr>
      </w:pPr>
      <w:r w:rsidRPr="007C3DF2">
        <w:rPr>
          <w:rFonts w:ascii="Verdana" w:hAnsi="Verdana" w:cs="Arial"/>
          <w:noProof/>
          <w:sz w:val="20"/>
          <w:szCs w:val="20"/>
        </w:rPr>
        <w:t xml:space="preserve">Particularmente, el artículo 37 </w:t>
      </w:r>
      <w:r w:rsidRPr="007C3DF2">
        <w:rPr>
          <w:rFonts w:ascii="Verdana" w:hAnsi="Verdana" w:cs="Arial"/>
          <w:sz w:val="20"/>
          <w:szCs w:val="20"/>
        </w:rPr>
        <w:t xml:space="preserve">de la Ley 2056 de 2020 dispone que los proyectos de inversión que se financien con cargo al Sistema General de Regalías serán ejecutados por quien designe las entidades u órganos de que tratan los artículos 35 y 36 </w:t>
      </w:r>
      <w:r w:rsidRPr="007C3DF2">
        <w:rPr>
          <w:rFonts w:ascii="Verdana" w:hAnsi="Verdana" w:cs="Arial"/>
          <w:i/>
          <w:iCs/>
          <w:sz w:val="20"/>
          <w:szCs w:val="20"/>
        </w:rPr>
        <w:t>ibidem</w:t>
      </w:r>
      <w:r w:rsidRPr="007C3DF2">
        <w:rPr>
          <w:rFonts w:ascii="Verdana" w:hAnsi="Verdana" w:cs="Arial"/>
          <w:sz w:val="20"/>
          <w:szCs w:val="20"/>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7C3DF2">
        <w:rPr>
          <w:rFonts w:ascii="Verdana" w:hAnsi="Verdana" w:cs="Arial"/>
          <w:sz w:val="20"/>
          <w:szCs w:val="20"/>
        </w:rPr>
        <w:t>los mismos</w:t>
      </w:r>
      <w:proofErr w:type="gramEnd"/>
      <w:r w:rsidRPr="007C3DF2">
        <w:rPr>
          <w:rFonts w:ascii="Verdana" w:hAnsi="Verdana" w:cs="Arial"/>
          <w:sz w:val="20"/>
          <w:szCs w:val="20"/>
        </w:rPr>
        <w:t xml:space="preserve">, sin perjuicio de las acciones de control a las que haya lugar. El parágrafo primero del artículo 37 </w:t>
      </w:r>
      <w:r w:rsidRPr="007C3DF2">
        <w:rPr>
          <w:rFonts w:ascii="Verdana" w:hAnsi="Verdana" w:cs="Arial"/>
          <w:i/>
          <w:iCs/>
          <w:sz w:val="20"/>
          <w:szCs w:val="20"/>
        </w:rPr>
        <w:t>ibidem</w:t>
      </w:r>
      <w:r w:rsidRPr="007C3DF2">
        <w:rPr>
          <w:rFonts w:ascii="Verdana" w:hAnsi="Verdana" w:cs="Arial"/>
          <w:sz w:val="20"/>
          <w:szCs w:val="20"/>
        </w:rPr>
        <w:t xml:space="preserve"> dispone lo siguiente: “La ejecución de proyectos de que trata este artículo, se adelantará, con estricta sujeción al régimen presupuestal definido en esta ley, </w:t>
      </w:r>
      <w:r w:rsidRPr="007C3DF2">
        <w:rPr>
          <w:rFonts w:ascii="Verdana" w:hAnsi="Verdana" w:cs="Arial"/>
          <w:i/>
          <w:iCs/>
          <w:sz w:val="20"/>
          <w:szCs w:val="20"/>
          <w:u w:val="single"/>
        </w:rPr>
        <w:t>al de contratación pública</w:t>
      </w:r>
      <w:r w:rsidRPr="007C3DF2">
        <w:rPr>
          <w:rFonts w:ascii="Verdana" w:hAnsi="Verdana" w:cs="Arial"/>
          <w:sz w:val="20"/>
          <w:szCs w:val="20"/>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p>
    <w:p w14:paraId="0AB0751F" w14:textId="77777777" w:rsidR="007C3CE2" w:rsidRDefault="007C3CE2" w:rsidP="007C3DF2">
      <w:pPr>
        <w:jc w:val="both"/>
        <w:rPr>
          <w:rFonts w:ascii="Verdana" w:eastAsia="Calibri" w:hAnsi="Verdana" w:cs="Arial"/>
          <w:b/>
          <w:bCs/>
          <w:lang w:val="es-ES" w:eastAsia="es-ES"/>
        </w:rPr>
      </w:pPr>
    </w:p>
    <w:p w14:paraId="2E89CB21" w14:textId="77777777" w:rsidR="007C3DF2" w:rsidRPr="007C3DF2" w:rsidRDefault="007C3DF2" w:rsidP="007C3DF2">
      <w:pPr>
        <w:jc w:val="both"/>
        <w:rPr>
          <w:rFonts w:ascii="Verdana" w:eastAsia="Calibri" w:hAnsi="Verdana" w:cs="Arial"/>
          <w:b/>
          <w:bCs/>
          <w:lang w:val="es-ES" w:eastAsia="es-ES"/>
        </w:rPr>
      </w:pPr>
      <w:r w:rsidRPr="007C3DF2">
        <w:rPr>
          <w:rFonts w:ascii="Verdana" w:eastAsia="Calibri" w:hAnsi="Verdana" w:cs="Arial"/>
          <w:b/>
          <w:bCs/>
          <w:lang w:val="es-ES" w:eastAsia="es-ES"/>
        </w:rPr>
        <w:t xml:space="preserve">RÉGIMEN CONTRACTUAL – Entidades ejecutoras – Aplicación del Estatuto General de Contratación de la Administración Pública         </w:t>
      </w:r>
    </w:p>
    <w:p w14:paraId="7742728C" w14:textId="77777777" w:rsidR="007C3DF2" w:rsidRPr="007C3DF2" w:rsidRDefault="007C3DF2" w:rsidP="007C3DF2">
      <w:pPr>
        <w:spacing w:after="0" w:line="240" w:lineRule="auto"/>
        <w:jc w:val="both"/>
        <w:rPr>
          <w:rFonts w:ascii="Verdana" w:hAnsi="Verdana" w:cs="Arial"/>
          <w:sz w:val="20"/>
          <w:szCs w:val="20"/>
          <w:bdr w:val="none" w:sz="0" w:space="0" w:color="auto" w:frame="1"/>
        </w:rPr>
      </w:pPr>
      <w:r w:rsidRPr="007C3DF2">
        <w:rPr>
          <w:rFonts w:ascii="Verdana" w:hAnsi="Verdana" w:cs="Arial"/>
          <w:sz w:val="20"/>
          <w:szCs w:val="20"/>
        </w:rPr>
        <w:t xml:space="preserve">En caso de que se realicen proyectos de inversión en el marco del Sistema General de Regalías, como también aquellos proyectos especiales referenciados </w:t>
      </w:r>
      <w:r w:rsidRPr="007C3DF2">
        <w:rPr>
          <w:rFonts w:ascii="Verdana" w:hAnsi="Verdana" w:cs="Arial"/>
          <w:i/>
          <w:iCs/>
          <w:sz w:val="20"/>
          <w:szCs w:val="20"/>
        </w:rPr>
        <w:t>ut supra</w:t>
      </w:r>
      <w:r w:rsidRPr="007C3DF2">
        <w:rPr>
          <w:rFonts w:ascii="Verdana" w:hAnsi="Verdana" w:cs="Arial"/>
          <w:sz w:val="20"/>
          <w:szCs w:val="20"/>
        </w:rPr>
        <w:t>, los ejecutores designados para desarrollarlos deben sujetarse al Estatuto General de Contratación de la Administración Pública</w:t>
      </w:r>
      <w:r w:rsidRPr="007C3DF2">
        <w:rPr>
          <w:rFonts w:ascii="Verdana" w:eastAsia="Calibri" w:hAnsi="Verdana" w:cs="Arial"/>
          <w:sz w:val="20"/>
          <w:szCs w:val="20"/>
        </w:rPr>
        <w:t>.</w:t>
      </w:r>
      <w:r w:rsidRPr="007C3DF2">
        <w:rPr>
          <w:rFonts w:ascii="Verdana" w:hAnsi="Verdana" w:cs="Arial"/>
          <w:sz w:val="20"/>
          <w:szCs w:val="20"/>
        </w:rPr>
        <w:t xml:space="preserve"> </w:t>
      </w:r>
      <w:r w:rsidRPr="007C3DF2">
        <w:rPr>
          <w:rFonts w:ascii="Verdana" w:hAnsi="Verdana" w:cs="Arial"/>
          <w:sz w:val="20"/>
          <w:szCs w:val="20"/>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4B316297" w14:textId="77777777" w:rsidR="007C3DF2" w:rsidRPr="007C3DF2" w:rsidRDefault="007C3DF2" w:rsidP="007C3DF2">
      <w:pPr>
        <w:spacing w:after="0" w:line="240" w:lineRule="auto"/>
        <w:jc w:val="both"/>
        <w:rPr>
          <w:rFonts w:ascii="Verdana" w:eastAsia="Calibri" w:hAnsi="Verdana" w:cs="Arial"/>
          <w:color w:val="000000"/>
          <w:sz w:val="20"/>
          <w:szCs w:val="20"/>
          <w:lang w:val="es-ES" w:eastAsia="es-ES"/>
        </w:rPr>
      </w:pPr>
    </w:p>
    <w:p w14:paraId="40A00CE7" w14:textId="77777777" w:rsidR="007C3DF2" w:rsidRPr="007C3DF2" w:rsidRDefault="007C3DF2" w:rsidP="007C3DF2">
      <w:pPr>
        <w:spacing w:after="0" w:line="240" w:lineRule="auto"/>
        <w:jc w:val="both"/>
        <w:rPr>
          <w:rFonts w:ascii="Verdana" w:eastAsia="Calibri" w:hAnsi="Verdana" w:cs="Arial"/>
          <w:color w:val="000000"/>
          <w:sz w:val="20"/>
          <w:szCs w:val="20"/>
          <w:lang w:val="es-ES" w:eastAsia="es-ES"/>
        </w:rPr>
      </w:pPr>
      <w:r w:rsidRPr="007C3DF2">
        <w:rPr>
          <w:rFonts w:ascii="Verdana" w:eastAsia="Calibri" w:hAnsi="Verdana" w:cs="Arial"/>
          <w:color w:val="000000"/>
          <w:sz w:val="20"/>
          <w:szCs w:val="20"/>
          <w:lang w:val="es-ES" w:eastAsia="es-ES"/>
        </w:rPr>
        <w:t xml:space="preserve">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w:t>
      </w:r>
      <w:r w:rsidRPr="007C3DF2">
        <w:rPr>
          <w:rFonts w:ascii="Verdana" w:eastAsia="Calibri" w:hAnsi="Verdana" w:cs="Arial"/>
          <w:color w:val="000000"/>
          <w:sz w:val="20"/>
          <w:szCs w:val="20"/>
          <w:lang w:val="es-ES" w:eastAsia="es-ES"/>
        </w:rPr>
        <w:lastRenderedPageBreak/>
        <w:t>de entidades ejecutoras para efectos del SGR deben sujetarse a las normas donde prevalece el derecho público, esto es, al EGCAP, sin perjuicio de que en sus demás actividades apliquen el régimen especial que les corresponda.</w:t>
      </w:r>
    </w:p>
    <w:p w14:paraId="571BCFC9" w14:textId="77777777" w:rsidR="007C3DF2" w:rsidRPr="007C3DF2" w:rsidRDefault="007C3DF2" w:rsidP="007C3DF2">
      <w:pPr>
        <w:spacing w:after="0" w:line="240" w:lineRule="auto"/>
        <w:rPr>
          <w:rFonts w:ascii="Verdana" w:eastAsia="Geomanist Light" w:hAnsi="Verdana" w:cs="Arial"/>
          <w:b/>
          <w:bCs/>
          <w:color w:val="000000" w:themeColor="text1"/>
        </w:rPr>
      </w:pPr>
    </w:p>
    <w:p w14:paraId="60FF3200" w14:textId="77777777" w:rsidR="007C3DF2" w:rsidRPr="007C3DF2" w:rsidRDefault="007C3DF2" w:rsidP="007C3DF2">
      <w:pPr>
        <w:spacing w:after="0" w:line="240" w:lineRule="auto"/>
        <w:rPr>
          <w:rFonts w:ascii="Verdana" w:eastAsia="Calibri" w:hAnsi="Verdana" w:cs="Arial"/>
          <w:lang w:val="es-ES" w:eastAsia="es-ES"/>
        </w:rPr>
      </w:pPr>
      <w:r w:rsidRPr="007C3DF2">
        <w:rPr>
          <w:rFonts w:ascii="Verdana" w:eastAsia="Calibri" w:hAnsi="Verdana" w:cs="Arial"/>
          <w:b/>
          <w:bCs/>
          <w:lang w:val="es-ES" w:eastAsia="es-ES"/>
        </w:rPr>
        <w:t>SGR – Aplicación Documentos Tipo – Publicidad SECOP</w:t>
      </w:r>
      <w:r w:rsidRPr="007C3DF2">
        <w:rPr>
          <w:rFonts w:ascii="Verdana" w:eastAsia="Calibri" w:hAnsi="Verdana" w:cs="Arial"/>
          <w:lang w:val="es-ES" w:eastAsia="es-ES"/>
        </w:rPr>
        <w:t xml:space="preserve">        </w:t>
      </w:r>
    </w:p>
    <w:p w14:paraId="392E1DFD" w14:textId="77777777" w:rsidR="007C3DF2" w:rsidRPr="007C3DF2" w:rsidRDefault="007C3DF2" w:rsidP="007C3DF2">
      <w:pPr>
        <w:spacing w:after="0" w:line="240" w:lineRule="auto"/>
        <w:rPr>
          <w:rFonts w:ascii="Verdana" w:eastAsia="Calibri" w:hAnsi="Verdana" w:cs="Arial"/>
          <w:lang w:val="es-ES" w:eastAsia="es-ES"/>
        </w:rPr>
      </w:pPr>
    </w:p>
    <w:p w14:paraId="394153A5" w14:textId="77777777" w:rsidR="007C3DF2" w:rsidRPr="007C3DF2" w:rsidRDefault="007C3DF2" w:rsidP="007C3DF2">
      <w:pPr>
        <w:spacing w:after="0" w:line="240" w:lineRule="auto"/>
        <w:jc w:val="both"/>
        <w:rPr>
          <w:rFonts w:ascii="Verdana" w:hAnsi="Verdana" w:cs="Arial"/>
          <w:sz w:val="20"/>
          <w:szCs w:val="20"/>
          <w:bdr w:val="none" w:sz="0" w:space="0" w:color="auto" w:frame="1"/>
        </w:rPr>
      </w:pPr>
      <w:r w:rsidRPr="007C3DF2">
        <w:rPr>
          <w:rFonts w:ascii="Verdana" w:hAnsi="Verdana" w:cs="Arial"/>
          <w:sz w:val="20"/>
          <w:szCs w:val="20"/>
          <w:bdr w:val="none" w:sz="0" w:space="0" w:color="auto" w:frame="1"/>
        </w:rPr>
        <w:t xml:space="preserve">En este orden de ideas, si bien en principio las entidades con régimen de contratación especial no están obligadas a aplicar los documentos tipo, la remisión efectuada por el parágrafo primero del artículo 37 de la Ley 2056 de 2020 al EGCAP, conlleva a que las entidades designadas ejecutoras deban sujetarse a las reglas y principios establecidos en el Estatuto General de Contratación de la Administración Pública y sus disposiciones reglamentarias. En consecuencia, ello comprende la aplicación de los documentos tipo en la medida en que el parágrafo 7 del artículo 2 de la Ley 1150 de 2007, adicionado por la Ley 1882 de 2018 y modificado por la Ley 2022 de 2020, establece su carácter obligatorio para las entidades que se rigen por el EGCAP, como sucede para efectos de los recursos del SGR. </w:t>
      </w:r>
    </w:p>
    <w:p w14:paraId="1A32A787" w14:textId="77777777" w:rsidR="007C3DF2" w:rsidRPr="007C3DF2" w:rsidRDefault="007C3DF2" w:rsidP="007C3DF2">
      <w:pPr>
        <w:spacing w:after="0" w:line="240" w:lineRule="auto"/>
        <w:jc w:val="both"/>
        <w:rPr>
          <w:rFonts w:ascii="Verdana" w:hAnsi="Verdana" w:cs="Arial"/>
          <w:sz w:val="20"/>
          <w:szCs w:val="20"/>
          <w:bdr w:val="none" w:sz="0" w:space="0" w:color="auto" w:frame="1"/>
        </w:rPr>
      </w:pPr>
    </w:p>
    <w:p w14:paraId="24519D91" w14:textId="77777777" w:rsidR="007C3DF2" w:rsidRPr="007C3DF2" w:rsidRDefault="007C3DF2" w:rsidP="007C3DF2">
      <w:pPr>
        <w:spacing w:after="0" w:line="240" w:lineRule="auto"/>
        <w:jc w:val="both"/>
        <w:rPr>
          <w:rFonts w:ascii="Verdana" w:hAnsi="Verdana" w:cs="Arial"/>
          <w:sz w:val="20"/>
          <w:szCs w:val="20"/>
          <w:bdr w:val="none" w:sz="0" w:space="0" w:color="auto" w:frame="1"/>
        </w:rPr>
      </w:pPr>
      <w:r w:rsidRPr="007C3DF2">
        <w:rPr>
          <w:rFonts w:ascii="Verdana" w:hAnsi="Verdana" w:cs="Arial"/>
          <w:sz w:val="20"/>
          <w:szCs w:val="20"/>
          <w:bdr w:val="none" w:sz="0" w:space="0" w:color="auto" w:frame="1"/>
        </w:rPr>
        <w:t>Por último, sobre el deber de publicidad de la información relativa al Sistema General de Regalías, el artículo 27 de la Ley 2056 del 2020 establece en su parágrafo segundo que las Entidades ejecutoras y los beneficiarios de los recursos del Sistema General de Regalías “al momento de afectar las apropiaciones en Sistema de Presupuesto y Giros de Regalías (SPGR), deberán publicar el proceso de contratación en el Sistema Electrónico para la Contratación Pública”.</w:t>
      </w:r>
    </w:p>
    <w:p w14:paraId="6A168E01" w14:textId="77777777" w:rsidR="007C3DF2" w:rsidRPr="007C3DF2" w:rsidRDefault="007C3DF2" w:rsidP="007C3DF2">
      <w:pPr>
        <w:spacing w:after="0" w:line="240" w:lineRule="auto"/>
        <w:rPr>
          <w:rFonts w:ascii="Verdana" w:eastAsia="Geomanist Light" w:hAnsi="Verdana" w:cs="Arial"/>
          <w:color w:val="000000" w:themeColor="text1"/>
        </w:rPr>
      </w:pPr>
    </w:p>
    <w:p w14:paraId="7E529D64" w14:textId="77777777" w:rsidR="007C3DF2" w:rsidRPr="007C3DF2" w:rsidRDefault="007C3DF2" w:rsidP="007C3DF2">
      <w:pPr>
        <w:spacing w:after="0" w:line="240" w:lineRule="auto"/>
        <w:rPr>
          <w:rFonts w:ascii="Verdana" w:eastAsia="Geomanist Light" w:hAnsi="Verdana" w:cs="Arial"/>
          <w:color w:val="000000" w:themeColor="text1"/>
        </w:rPr>
      </w:pPr>
    </w:p>
    <w:p w14:paraId="426D0E26" w14:textId="77777777" w:rsidR="007C3DF2" w:rsidRPr="007C3DF2" w:rsidRDefault="007C3DF2" w:rsidP="007C3DF2">
      <w:pPr>
        <w:spacing w:after="0" w:line="240" w:lineRule="auto"/>
        <w:rPr>
          <w:rFonts w:ascii="Verdana" w:eastAsia="Geomanist Light" w:hAnsi="Verdana" w:cs="Arial"/>
          <w:color w:val="000000" w:themeColor="text1"/>
        </w:rPr>
      </w:pPr>
    </w:p>
    <w:p w14:paraId="6CC4955A" w14:textId="77777777" w:rsidR="007C3DF2" w:rsidRPr="007C3DF2" w:rsidRDefault="007C3DF2" w:rsidP="007C3DF2">
      <w:pPr>
        <w:spacing w:after="0" w:line="240" w:lineRule="auto"/>
        <w:rPr>
          <w:rFonts w:ascii="Verdana" w:eastAsia="Geomanist Light" w:hAnsi="Verdana" w:cs="Arial"/>
          <w:color w:val="000000" w:themeColor="text1"/>
        </w:rPr>
      </w:pPr>
    </w:p>
    <w:p w14:paraId="4CA29DD2" w14:textId="77777777" w:rsidR="007C3DF2" w:rsidRPr="007C3DF2" w:rsidRDefault="007C3DF2" w:rsidP="007C3DF2">
      <w:pPr>
        <w:spacing w:after="0" w:line="240" w:lineRule="auto"/>
        <w:rPr>
          <w:rFonts w:ascii="Verdana" w:eastAsia="Geomanist Light" w:hAnsi="Verdana" w:cs="Arial"/>
          <w:color w:val="000000" w:themeColor="text1"/>
        </w:rPr>
      </w:pPr>
    </w:p>
    <w:p w14:paraId="158D7282" w14:textId="77777777" w:rsidR="007C3DF2" w:rsidRPr="007C3DF2" w:rsidRDefault="007C3DF2" w:rsidP="007C3DF2">
      <w:pPr>
        <w:spacing w:after="0" w:line="240" w:lineRule="auto"/>
        <w:rPr>
          <w:rFonts w:ascii="Verdana" w:eastAsia="Geomanist Light" w:hAnsi="Verdana" w:cs="Arial"/>
          <w:color w:val="000000" w:themeColor="text1"/>
        </w:rPr>
      </w:pPr>
    </w:p>
    <w:p w14:paraId="6E6EAA4F" w14:textId="77777777" w:rsidR="007C3DF2" w:rsidRPr="007C3DF2" w:rsidRDefault="007C3DF2" w:rsidP="007C3DF2">
      <w:pPr>
        <w:spacing w:after="0" w:line="240" w:lineRule="auto"/>
        <w:rPr>
          <w:rFonts w:ascii="Verdana" w:eastAsia="Geomanist Light" w:hAnsi="Verdana" w:cs="Arial"/>
          <w:color w:val="000000" w:themeColor="text1"/>
        </w:rPr>
      </w:pPr>
    </w:p>
    <w:p w14:paraId="268884AC" w14:textId="77777777" w:rsidR="007C3DF2" w:rsidRPr="007C3DF2" w:rsidRDefault="007C3DF2" w:rsidP="007C3DF2">
      <w:pPr>
        <w:spacing w:after="0" w:line="240" w:lineRule="auto"/>
        <w:rPr>
          <w:rFonts w:ascii="Verdana" w:eastAsia="Geomanist Light" w:hAnsi="Verdana" w:cs="Arial"/>
          <w:color w:val="000000" w:themeColor="text1"/>
        </w:rPr>
      </w:pPr>
    </w:p>
    <w:p w14:paraId="5E568A95" w14:textId="77777777" w:rsidR="007C3DF2" w:rsidRPr="007C3DF2" w:rsidRDefault="007C3DF2" w:rsidP="007C3DF2">
      <w:pPr>
        <w:spacing w:after="0" w:line="240" w:lineRule="auto"/>
        <w:rPr>
          <w:rFonts w:ascii="Verdana" w:eastAsia="Geomanist Light" w:hAnsi="Verdana" w:cs="Arial"/>
          <w:color w:val="000000" w:themeColor="text1"/>
        </w:rPr>
      </w:pPr>
    </w:p>
    <w:p w14:paraId="390F56A3" w14:textId="77777777" w:rsidR="007C3DF2" w:rsidRPr="007C3DF2" w:rsidRDefault="007C3DF2" w:rsidP="007C3DF2">
      <w:pPr>
        <w:spacing w:after="0" w:line="240" w:lineRule="auto"/>
        <w:rPr>
          <w:rFonts w:ascii="Verdana" w:eastAsia="Geomanist Light" w:hAnsi="Verdana" w:cs="Arial"/>
          <w:color w:val="000000" w:themeColor="text1"/>
        </w:rPr>
      </w:pPr>
    </w:p>
    <w:p w14:paraId="1C7B8342" w14:textId="77777777" w:rsidR="007C3DF2" w:rsidRPr="007C3DF2" w:rsidRDefault="007C3DF2" w:rsidP="007C3DF2">
      <w:pPr>
        <w:spacing w:after="0" w:line="240" w:lineRule="auto"/>
        <w:rPr>
          <w:rFonts w:ascii="Verdana" w:eastAsia="Geomanist Light" w:hAnsi="Verdana" w:cs="Arial"/>
          <w:color w:val="000000" w:themeColor="text1"/>
        </w:rPr>
      </w:pPr>
    </w:p>
    <w:p w14:paraId="49673EDD" w14:textId="77777777" w:rsidR="007C3DF2" w:rsidRPr="007C3DF2" w:rsidRDefault="007C3DF2" w:rsidP="007C3DF2">
      <w:pPr>
        <w:spacing w:after="0" w:line="240" w:lineRule="auto"/>
        <w:rPr>
          <w:rFonts w:ascii="Verdana" w:eastAsia="Geomanist Light" w:hAnsi="Verdana" w:cs="Arial"/>
          <w:color w:val="000000" w:themeColor="text1"/>
        </w:rPr>
      </w:pPr>
    </w:p>
    <w:p w14:paraId="18E36D7E" w14:textId="77777777" w:rsidR="007C3DF2" w:rsidRPr="007C3DF2" w:rsidRDefault="007C3DF2" w:rsidP="007C3DF2">
      <w:pPr>
        <w:spacing w:after="0" w:line="240" w:lineRule="auto"/>
        <w:rPr>
          <w:rFonts w:ascii="Verdana" w:eastAsia="Geomanist Light" w:hAnsi="Verdana" w:cs="Arial"/>
          <w:color w:val="000000" w:themeColor="text1"/>
        </w:rPr>
      </w:pPr>
    </w:p>
    <w:p w14:paraId="67EC4001" w14:textId="77777777" w:rsidR="007C3DF2" w:rsidRPr="007C3DF2" w:rsidRDefault="007C3DF2" w:rsidP="007C3DF2">
      <w:pPr>
        <w:spacing w:after="0" w:line="240" w:lineRule="auto"/>
        <w:rPr>
          <w:rFonts w:ascii="Verdana" w:eastAsia="Geomanist Light" w:hAnsi="Verdana" w:cs="Arial"/>
          <w:color w:val="000000" w:themeColor="text1"/>
        </w:rPr>
      </w:pPr>
    </w:p>
    <w:p w14:paraId="6D606045" w14:textId="77777777" w:rsidR="007C3DF2" w:rsidRPr="007C3DF2" w:rsidRDefault="007C3DF2" w:rsidP="007C3DF2">
      <w:pPr>
        <w:spacing w:after="0" w:line="240" w:lineRule="auto"/>
        <w:rPr>
          <w:rFonts w:ascii="Verdana" w:eastAsia="Geomanist Light" w:hAnsi="Verdana" w:cs="Arial"/>
          <w:color w:val="000000" w:themeColor="text1"/>
        </w:rPr>
      </w:pPr>
    </w:p>
    <w:p w14:paraId="255A2537" w14:textId="77777777" w:rsidR="007C3DF2" w:rsidRPr="007C3DF2" w:rsidRDefault="007C3DF2" w:rsidP="007C3DF2">
      <w:pPr>
        <w:spacing w:after="0" w:line="240" w:lineRule="auto"/>
        <w:rPr>
          <w:rFonts w:ascii="Verdana" w:eastAsia="Geomanist Light" w:hAnsi="Verdana" w:cs="Arial"/>
          <w:color w:val="000000" w:themeColor="text1"/>
        </w:rPr>
      </w:pPr>
    </w:p>
    <w:p w14:paraId="0E52630F" w14:textId="77777777" w:rsidR="007C3DF2" w:rsidRPr="007C3DF2" w:rsidRDefault="007C3DF2" w:rsidP="007C3DF2">
      <w:pPr>
        <w:spacing w:after="0" w:line="240" w:lineRule="auto"/>
        <w:rPr>
          <w:rFonts w:ascii="Verdana" w:eastAsia="Geomanist Light" w:hAnsi="Verdana" w:cs="Arial"/>
          <w:color w:val="000000" w:themeColor="text1"/>
        </w:rPr>
      </w:pPr>
    </w:p>
    <w:p w14:paraId="09AEF325" w14:textId="77777777" w:rsidR="007C3DF2" w:rsidRPr="007C3DF2" w:rsidRDefault="007C3DF2" w:rsidP="007C3DF2">
      <w:pPr>
        <w:spacing w:after="0" w:line="240" w:lineRule="auto"/>
        <w:rPr>
          <w:rFonts w:ascii="Verdana" w:eastAsia="Geomanist Light" w:hAnsi="Verdana" w:cs="Arial"/>
          <w:color w:val="000000" w:themeColor="text1"/>
        </w:rPr>
      </w:pPr>
    </w:p>
    <w:p w14:paraId="17B28ADD" w14:textId="77777777" w:rsidR="007C3DF2" w:rsidRPr="007C3DF2" w:rsidRDefault="007C3DF2" w:rsidP="007C3DF2">
      <w:pPr>
        <w:spacing w:after="0" w:line="240" w:lineRule="auto"/>
        <w:rPr>
          <w:rFonts w:ascii="Verdana" w:eastAsia="Geomanist Light" w:hAnsi="Verdana" w:cs="Arial"/>
          <w:color w:val="000000" w:themeColor="text1"/>
        </w:rPr>
      </w:pPr>
    </w:p>
    <w:p w14:paraId="37861182" w14:textId="77777777" w:rsidR="007C3DF2" w:rsidRPr="007C3DF2" w:rsidRDefault="007C3DF2" w:rsidP="007C3DF2">
      <w:pPr>
        <w:spacing w:after="0" w:line="240" w:lineRule="auto"/>
        <w:rPr>
          <w:rFonts w:ascii="Verdana" w:eastAsia="Geomanist Light" w:hAnsi="Verdana" w:cs="Arial"/>
          <w:color w:val="000000" w:themeColor="text1"/>
        </w:rPr>
      </w:pPr>
    </w:p>
    <w:p w14:paraId="2D5A7E2C" w14:textId="0DCC38C9" w:rsidR="007C3DF2" w:rsidRPr="007C3DF2" w:rsidRDefault="007C3DF2" w:rsidP="007C3DF2">
      <w:pPr>
        <w:spacing w:after="0" w:line="240" w:lineRule="auto"/>
        <w:rPr>
          <w:rFonts w:ascii="Verdana" w:eastAsia="Geomanist Light" w:hAnsi="Verdana" w:cs="Arial"/>
          <w:color w:val="201F1E"/>
        </w:rPr>
      </w:pPr>
      <w:r w:rsidRPr="007C3DF2">
        <w:rPr>
          <w:rFonts w:ascii="Verdana" w:eastAsia="Geomanist Light" w:hAnsi="Verdana" w:cs="Arial"/>
          <w:color w:val="000000" w:themeColor="text1"/>
        </w:rPr>
        <w:lastRenderedPageBreak/>
        <w:t>Bogotá D.C., </w:t>
      </w:r>
      <w:r w:rsidR="0080364D">
        <w:rPr>
          <w:rFonts w:ascii="Verdana" w:eastAsia="Geomanist Light" w:hAnsi="Verdana" w:cs="Arial"/>
          <w:color w:val="000000" w:themeColor="text1"/>
        </w:rPr>
        <w:t>17 de julio de 2026</w:t>
      </w:r>
    </w:p>
    <w:p w14:paraId="03A71E94" w14:textId="77777777" w:rsidR="007C3DF2" w:rsidRPr="007C3DF2" w:rsidRDefault="007C3DF2" w:rsidP="007C3DF2">
      <w:pPr>
        <w:spacing w:after="0" w:line="240" w:lineRule="auto"/>
        <w:jc w:val="both"/>
        <w:rPr>
          <w:rFonts w:ascii="Verdana" w:eastAsia="Calibri" w:hAnsi="Verdana" w:cs="Arial"/>
          <w:color w:val="000000"/>
        </w:rPr>
      </w:pPr>
    </w:p>
    <w:p w14:paraId="3D4CB6E8" w14:textId="400D99B1" w:rsidR="007C3DF2" w:rsidRPr="007C3DF2" w:rsidRDefault="0080364D" w:rsidP="0080364D">
      <w:pPr>
        <w:spacing w:after="0" w:line="240" w:lineRule="auto"/>
        <w:jc w:val="right"/>
        <w:rPr>
          <w:rFonts w:ascii="Verdana" w:eastAsia="Calibri" w:hAnsi="Verdana" w:cs="Arial"/>
          <w:color w:val="000000"/>
        </w:rPr>
      </w:pPr>
      <w:r w:rsidRPr="0080364D">
        <w:rPr>
          <w:rFonts w:ascii="Verdana" w:eastAsia="Calibri" w:hAnsi="Verdana" w:cs="Arial"/>
          <w:noProof/>
          <w:color w:val="000000"/>
        </w:rPr>
        <w:drawing>
          <wp:anchor distT="0" distB="0" distL="114300" distR="114300" simplePos="0" relativeHeight="251658240" behindDoc="0" locked="0" layoutInCell="1" allowOverlap="1" wp14:anchorId="1EF820EA" wp14:editId="68175EE0">
            <wp:simplePos x="0" y="0"/>
            <wp:positionH relativeFrom="column">
              <wp:posOffset>3514725</wp:posOffset>
            </wp:positionH>
            <wp:positionV relativeFrom="paragraph">
              <wp:posOffset>2540</wp:posOffset>
            </wp:positionV>
            <wp:extent cx="2095500" cy="922020"/>
            <wp:effectExtent l="0" t="0" r="0" b="0"/>
            <wp:wrapSquare wrapText="bothSides"/>
            <wp:docPr id="12885630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0" cy="922020"/>
                    </a:xfrm>
                    <a:prstGeom prst="rect">
                      <a:avLst/>
                    </a:prstGeom>
                    <a:noFill/>
                    <a:ln>
                      <a:noFill/>
                    </a:ln>
                  </pic:spPr>
                </pic:pic>
              </a:graphicData>
            </a:graphic>
          </wp:anchor>
        </w:drawing>
      </w:r>
    </w:p>
    <w:p w14:paraId="4311C363" w14:textId="77777777" w:rsidR="007C3DF2" w:rsidRPr="007C3DF2" w:rsidRDefault="007C3DF2" w:rsidP="007C3DF2">
      <w:pPr>
        <w:spacing w:after="0" w:line="240" w:lineRule="auto"/>
        <w:jc w:val="both"/>
        <w:rPr>
          <w:rFonts w:ascii="Verdana" w:eastAsia="Calibri" w:hAnsi="Verdana" w:cs="Arial"/>
          <w:lang w:eastAsia="es-ES"/>
        </w:rPr>
      </w:pPr>
      <w:r w:rsidRPr="007C3DF2">
        <w:rPr>
          <w:rFonts w:ascii="Verdana" w:eastAsia="Calibri" w:hAnsi="Verdana" w:cs="Arial"/>
          <w:lang w:eastAsia="es-ES"/>
        </w:rPr>
        <w:t>Señora</w:t>
      </w:r>
    </w:p>
    <w:p w14:paraId="1B819664" w14:textId="77777777" w:rsidR="007C3DF2" w:rsidRPr="007C3DF2" w:rsidRDefault="007C3DF2" w:rsidP="007C3DF2">
      <w:pPr>
        <w:spacing w:after="0" w:line="240" w:lineRule="auto"/>
        <w:jc w:val="both"/>
        <w:rPr>
          <w:rFonts w:ascii="Verdana" w:eastAsia="Calibri" w:hAnsi="Verdana" w:cs="Arial"/>
          <w:b/>
          <w:bCs/>
          <w:lang w:eastAsia="es-ES"/>
        </w:rPr>
      </w:pPr>
      <w:r w:rsidRPr="007C3DF2">
        <w:rPr>
          <w:rFonts w:ascii="Verdana" w:eastAsia="Calibri" w:hAnsi="Verdana" w:cs="Arial"/>
          <w:b/>
          <w:bCs/>
          <w:lang w:eastAsia="es-ES"/>
        </w:rPr>
        <w:t xml:space="preserve">Sylvia Ofelia Puerta López </w:t>
      </w:r>
    </w:p>
    <w:p w14:paraId="5573439B" w14:textId="77777777" w:rsidR="007C3DF2" w:rsidRPr="007C3DF2" w:rsidRDefault="007C3DF2" w:rsidP="007C3DF2">
      <w:pPr>
        <w:spacing w:after="0" w:line="240" w:lineRule="auto"/>
        <w:rPr>
          <w:rFonts w:ascii="Verdana" w:hAnsi="Verdana"/>
        </w:rPr>
      </w:pPr>
      <w:hyperlink r:id="rId12" w:history="1">
        <w:r w:rsidRPr="007C3DF2">
          <w:rPr>
            <w:rFonts w:ascii="Verdana" w:hAnsi="Verdana"/>
            <w:color w:val="0563C1" w:themeColor="hyperlink"/>
            <w:u w:val="single"/>
          </w:rPr>
          <w:t>silviapuerta@live.com</w:t>
        </w:r>
      </w:hyperlink>
      <w:r w:rsidRPr="007C3DF2">
        <w:rPr>
          <w:rFonts w:ascii="Verdana" w:hAnsi="Verdana"/>
        </w:rPr>
        <w:t xml:space="preserve"> </w:t>
      </w:r>
    </w:p>
    <w:p w14:paraId="41F583E0" w14:textId="77777777" w:rsidR="007C3DF2" w:rsidRPr="007C3DF2" w:rsidRDefault="007C3DF2" w:rsidP="007C3DF2">
      <w:pPr>
        <w:spacing w:after="0" w:line="240" w:lineRule="auto"/>
        <w:rPr>
          <w:rFonts w:ascii="Verdana" w:hAnsi="Verdana"/>
          <w:lang w:val="pt-BR"/>
        </w:rPr>
      </w:pPr>
      <w:r w:rsidRPr="007C3DF2">
        <w:rPr>
          <w:rFonts w:ascii="Verdana" w:hAnsi="Verdana"/>
          <w:lang w:val="pt-BR"/>
        </w:rPr>
        <w:t xml:space="preserve">Bogotá D.C  </w:t>
      </w:r>
    </w:p>
    <w:p w14:paraId="02D0F7CE" w14:textId="77777777" w:rsidR="007C3DF2" w:rsidRPr="007C3DF2" w:rsidRDefault="007C3DF2" w:rsidP="007C3DF2">
      <w:pPr>
        <w:spacing w:after="0" w:line="240" w:lineRule="auto"/>
        <w:rPr>
          <w:rFonts w:ascii="Verdana" w:eastAsia="Calibri" w:hAnsi="Verdana" w:cs="Arial"/>
          <w:lang w:val="pt-BR" w:eastAsia="es-ES"/>
        </w:rPr>
      </w:pPr>
    </w:p>
    <w:p w14:paraId="25BF3BA1" w14:textId="77777777" w:rsidR="007C3DF2" w:rsidRPr="007C3DF2" w:rsidRDefault="007C3DF2" w:rsidP="007C3DF2">
      <w:pPr>
        <w:spacing w:after="0" w:line="240" w:lineRule="auto"/>
        <w:rPr>
          <w:rFonts w:ascii="Verdana" w:eastAsia="Calibri" w:hAnsi="Verdana" w:cs="Arial"/>
          <w:b/>
          <w:color w:val="000000"/>
          <w:lang w:val="pt-BR" w:eastAsia="es-ES_tradnl"/>
        </w:rPr>
      </w:pPr>
    </w:p>
    <w:p w14:paraId="345F6642" w14:textId="77777777" w:rsidR="007C3DF2" w:rsidRPr="007C3DF2" w:rsidRDefault="007C3DF2" w:rsidP="007C3DF2">
      <w:pPr>
        <w:spacing w:after="0" w:line="240" w:lineRule="auto"/>
        <w:jc w:val="center"/>
        <w:rPr>
          <w:rFonts w:ascii="Verdana" w:eastAsia="Calibri" w:hAnsi="Verdana" w:cs="Arial"/>
          <w:b/>
          <w:lang w:val="pt-BR" w:eastAsia="es-ES"/>
        </w:rPr>
      </w:pPr>
      <w:r w:rsidRPr="007C3DF2">
        <w:rPr>
          <w:rFonts w:ascii="Verdana" w:eastAsia="Calibri" w:hAnsi="Verdana" w:cs="Arial"/>
          <w:b/>
          <w:lang w:val="pt-BR" w:eastAsia="es-ES"/>
        </w:rPr>
        <w:t>Concepto C – 1030 de 2026</w:t>
      </w:r>
    </w:p>
    <w:p w14:paraId="4AE2C97E" w14:textId="77777777" w:rsidR="007C3DF2" w:rsidRPr="007C3DF2" w:rsidRDefault="007C3DF2" w:rsidP="007C3DF2">
      <w:pPr>
        <w:spacing w:after="0" w:line="240" w:lineRule="auto"/>
        <w:rPr>
          <w:rFonts w:ascii="Verdana" w:eastAsia="Calibri" w:hAnsi="Verdana" w:cs="Arial"/>
          <w:b/>
          <w:color w:val="000000"/>
          <w:lang w:val="pt-BR"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C3DF2" w:rsidRPr="007C3DF2" w14:paraId="30A976A1" w14:textId="77777777" w:rsidTr="00E934E8">
        <w:trPr>
          <w:trHeight w:val="884"/>
        </w:trPr>
        <w:tc>
          <w:tcPr>
            <w:tcW w:w="2689" w:type="dxa"/>
          </w:tcPr>
          <w:p w14:paraId="7958C69B" w14:textId="77777777" w:rsidR="007C3DF2" w:rsidRPr="007C3DF2" w:rsidRDefault="007C3DF2" w:rsidP="007C3DF2">
            <w:pPr>
              <w:jc w:val="both"/>
              <w:rPr>
                <w:rFonts w:ascii="Verdana" w:eastAsia="Calibri" w:hAnsi="Verdana" w:cs="Arial"/>
                <w:color w:val="000000"/>
                <w:lang w:eastAsia="es-ES_tradnl"/>
              </w:rPr>
            </w:pPr>
            <w:r w:rsidRPr="007C3DF2">
              <w:rPr>
                <w:rFonts w:ascii="Verdana" w:eastAsia="Calibri" w:hAnsi="Verdana" w:cs="Arial"/>
                <w:b/>
                <w:color w:val="000000"/>
                <w:lang w:eastAsia="es-ES_tradnl"/>
              </w:rPr>
              <w:t>Temas:</w:t>
            </w:r>
            <w:r w:rsidRPr="007C3DF2">
              <w:rPr>
                <w:rFonts w:ascii="Verdana" w:eastAsia="Calibri" w:hAnsi="Verdana" w:cs="Arial"/>
                <w:color w:val="000000"/>
                <w:lang w:eastAsia="es-ES_tradnl"/>
              </w:rPr>
              <w:t xml:space="preserve">                   </w:t>
            </w:r>
          </w:p>
        </w:tc>
        <w:tc>
          <w:tcPr>
            <w:tcW w:w="6100" w:type="dxa"/>
          </w:tcPr>
          <w:p w14:paraId="5DC80E5C" w14:textId="77777777" w:rsidR="007C3DF2" w:rsidRPr="007C3DF2" w:rsidRDefault="007C3DF2" w:rsidP="007C3DF2">
            <w:pPr>
              <w:spacing w:line="276" w:lineRule="auto"/>
              <w:jc w:val="both"/>
              <w:rPr>
                <w:rFonts w:ascii="Verdana" w:eastAsia="Calibri" w:hAnsi="Verdana" w:cs="Arial"/>
                <w:lang w:val="es-ES" w:eastAsia="es-ES"/>
              </w:rPr>
            </w:pPr>
            <w:r w:rsidRPr="007C3DF2">
              <w:rPr>
                <w:rFonts w:ascii="Verdana" w:eastAsia="Calibri" w:hAnsi="Verdana" w:cs="Arial"/>
                <w:lang w:val="es-ES" w:eastAsia="es-ES"/>
              </w:rPr>
              <w:t xml:space="preserve">SISTEMA GENERAL DE REGALÍAS – Ley 2056 de 2020 – artículo 37 / RÉGIMEN CONTRACTUAL – Entidades ejecutoras – Aplicación del Estatuto General de Contratación de la Administración Pública / SGR – Aplicación documentos tipo – Publicidad SECOP        </w:t>
            </w:r>
          </w:p>
          <w:p w14:paraId="5EDBC88B" w14:textId="77777777" w:rsidR="007C3DF2" w:rsidRPr="007C3DF2" w:rsidRDefault="007C3DF2" w:rsidP="007C3DF2">
            <w:pPr>
              <w:jc w:val="both"/>
              <w:rPr>
                <w:rFonts w:ascii="Verdana" w:eastAsia="Calibri" w:hAnsi="Verdana" w:cs="Arial"/>
                <w:lang w:eastAsia="es-ES"/>
              </w:rPr>
            </w:pPr>
          </w:p>
        </w:tc>
      </w:tr>
      <w:tr w:rsidR="007C3DF2" w:rsidRPr="007C3DF2" w14:paraId="534C22AC" w14:textId="77777777" w:rsidTr="00E934E8">
        <w:tc>
          <w:tcPr>
            <w:tcW w:w="2689" w:type="dxa"/>
          </w:tcPr>
          <w:p w14:paraId="7038DB2C" w14:textId="77777777" w:rsidR="007C3DF2" w:rsidRPr="007C3DF2" w:rsidRDefault="007C3DF2" w:rsidP="007C3DF2">
            <w:pPr>
              <w:jc w:val="both"/>
              <w:rPr>
                <w:rFonts w:ascii="Verdana" w:eastAsia="Calibri" w:hAnsi="Verdana" w:cs="Arial"/>
                <w:b/>
                <w:lang w:eastAsia="es-ES_tradnl"/>
              </w:rPr>
            </w:pPr>
            <w:r w:rsidRPr="007C3DF2">
              <w:rPr>
                <w:rFonts w:ascii="Verdana" w:eastAsia="Calibri" w:hAnsi="Verdana" w:cs="Arial"/>
                <w:b/>
                <w:lang w:eastAsia="es-ES_tradnl"/>
              </w:rPr>
              <w:t>Radicación:</w:t>
            </w:r>
            <w:r w:rsidRPr="007C3DF2">
              <w:rPr>
                <w:rFonts w:ascii="Verdana" w:eastAsia="Calibri" w:hAnsi="Verdana" w:cs="Arial"/>
                <w:lang w:eastAsia="es-ES_tradnl"/>
              </w:rPr>
              <w:t xml:space="preserve">               </w:t>
            </w:r>
          </w:p>
        </w:tc>
        <w:tc>
          <w:tcPr>
            <w:tcW w:w="6100" w:type="dxa"/>
          </w:tcPr>
          <w:p w14:paraId="503D1B46" w14:textId="77777777" w:rsidR="007C3DF2" w:rsidRPr="007C3DF2" w:rsidRDefault="007C3DF2" w:rsidP="007C3DF2">
            <w:pPr>
              <w:jc w:val="both"/>
              <w:rPr>
                <w:rFonts w:ascii="Verdana" w:eastAsia="Calibri" w:hAnsi="Verdana" w:cs="Arial"/>
                <w:lang w:eastAsia="es-ES_tradnl"/>
              </w:rPr>
            </w:pPr>
            <w:r w:rsidRPr="007C3DF2">
              <w:rPr>
                <w:rFonts w:ascii="Verdana" w:eastAsia="Calibri" w:hAnsi="Verdana" w:cs="Arial"/>
                <w:lang w:eastAsia="es-ES_tradnl"/>
              </w:rPr>
              <w:t>Respuesta a la consulta con radicado No.</w:t>
            </w:r>
            <w:r w:rsidRPr="007C3DF2">
              <w:t xml:space="preserve"> </w:t>
            </w:r>
            <w:r w:rsidRPr="007C3DF2">
              <w:rPr>
                <w:rFonts w:ascii="Verdana" w:eastAsia="Calibri" w:hAnsi="Verdana" w:cs="Arial"/>
                <w:lang w:eastAsia="es-ES_tradnl"/>
              </w:rPr>
              <w:t>1_2026_06_26_008617</w:t>
            </w:r>
          </w:p>
        </w:tc>
      </w:tr>
    </w:tbl>
    <w:p w14:paraId="2ADAFCF3" w14:textId="77777777" w:rsidR="007C3DF2" w:rsidRPr="007C3DF2" w:rsidRDefault="007C3DF2" w:rsidP="007C3DF2">
      <w:pPr>
        <w:spacing w:after="0" w:line="240" w:lineRule="auto"/>
        <w:jc w:val="both"/>
        <w:rPr>
          <w:rFonts w:ascii="Verdana" w:eastAsia="Calibri" w:hAnsi="Verdana" w:cs="Arial"/>
          <w:color w:val="000000"/>
          <w:lang w:eastAsia="es-ES_tradnl"/>
        </w:rPr>
      </w:pPr>
    </w:p>
    <w:p w14:paraId="2E26AF4D" w14:textId="77777777" w:rsidR="007C3DF2" w:rsidRPr="007C3DF2" w:rsidRDefault="007C3DF2" w:rsidP="007C3DF2">
      <w:pPr>
        <w:spacing w:after="0" w:line="240" w:lineRule="auto"/>
        <w:jc w:val="both"/>
        <w:rPr>
          <w:rFonts w:ascii="Verdana" w:eastAsia="Calibri" w:hAnsi="Verdana" w:cs="Arial"/>
          <w:color w:val="000000"/>
          <w:lang w:eastAsia="es-ES_tradnl"/>
        </w:rPr>
      </w:pPr>
    </w:p>
    <w:p w14:paraId="1D1FD938" w14:textId="77777777" w:rsidR="007C3DF2" w:rsidRPr="007C3DF2" w:rsidRDefault="007C3DF2" w:rsidP="007C3DF2">
      <w:pPr>
        <w:spacing w:after="0" w:line="276" w:lineRule="auto"/>
        <w:jc w:val="both"/>
        <w:rPr>
          <w:rFonts w:ascii="Verdana" w:eastAsia="Calibri" w:hAnsi="Verdana" w:cs="Arial"/>
          <w:lang w:eastAsia="es-ES"/>
        </w:rPr>
      </w:pPr>
      <w:r w:rsidRPr="007C3DF2">
        <w:rPr>
          <w:rFonts w:ascii="Verdana" w:eastAsia="Calibri" w:hAnsi="Verdana" w:cs="Arial"/>
          <w:lang w:eastAsia="es-ES"/>
        </w:rPr>
        <w:t xml:space="preserve">Estimada señora Puerta: </w:t>
      </w:r>
    </w:p>
    <w:p w14:paraId="69DCEE51" w14:textId="77777777" w:rsidR="007C3DF2" w:rsidRPr="007C3DF2" w:rsidRDefault="007C3DF2" w:rsidP="007C3DF2">
      <w:pPr>
        <w:tabs>
          <w:tab w:val="left" w:pos="3768"/>
        </w:tabs>
        <w:spacing w:after="0" w:line="276" w:lineRule="auto"/>
        <w:jc w:val="both"/>
        <w:rPr>
          <w:rFonts w:ascii="Verdana" w:eastAsia="Calibri" w:hAnsi="Verdana" w:cs="Arial"/>
          <w:color w:val="000000" w:themeColor="text1"/>
          <w:lang w:eastAsia="es-ES"/>
        </w:rPr>
      </w:pPr>
      <w:r w:rsidRPr="007C3DF2">
        <w:rPr>
          <w:rFonts w:ascii="Verdana" w:eastAsia="Calibri" w:hAnsi="Verdana" w:cs="Arial"/>
          <w:color w:val="000000" w:themeColor="text1"/>
          <w:lang w:eastAsia="es-ES"/>
        </w:rPr>
        <w:tab/>
      </w:r>
    </w:p>
    <w:p w14:paraId="5BAF835F" w14:textId="77777777" w:rsidR="007C3DF2" w:rsidRPr="007C3DF2" w:rsidRDefault="007C3DF2" w:rsidP="007C3DF2">
      <w:pPr>
        <w:spacing w:after="0" w:line="276" w:lineRule="auto"/>
        <w:jc w:val="both"/>
        <w:rPr>
          <w:rFonts w:ascii="Verdana" w:eastAsia="Calibri" w:hAnsi="Verdana" w:cs="Arial"/>
          <w:i/>
          <w:iCs/>
          <w:lang w:eastAsia="es-ES"/>
        </w:rPr>
      </w:pPr>
      <w:r w:rsidRPr="007C3DF2">
        <w:rPr>
          <w:rFonts w:ascii="Verdana" w:eastAsia="Calibri" w:hAnsi="Verdana" w:cs="Arial"/>
          <w:color w:val="000000" w:themeColor="text1"/>
          <w:lang w:eastAsia="es-ES"/>
        </w:rPr>
        <w:t>En ejercicio de la competencia otorgada por los artículos 3, numeral 5º, y 11, numeral 8º, del Decreto Ley 4170 de 2011,</w:t>
      </w:r>
      <w:r w:rsidRPr="007C3DF2">
        <w:rPr>
          <w:rFonts w:ascii="Verdana" w:eastAsia="Arial MT" w:hAnsi="Verdana" w:cs="Arial MT"/>
          <w:lang w:eastAsia="es-ES"/>
        </w:rPr>
        <w:t xml:space="preserve"> </w:t>
      </w:r>
      <w:r w:rsidRPr="007C3DF2">
        <w:rPr>
          <w:rFonts w:ascii="Verdana" w:hAnsi="Verdana" w:cs="Arial"/>
        </w:rPr>
        <w:t xml:space="preserve">así como lo establecido en la Resolución 469 de 2025 expedida por esta Entidad, </w:t>
      </w:r>
      <w:r w:rsidRPr="007C3DF2">
        <w:rPr>
          <w:rFonts w:ascii="Verdana" w:eastAsia="Calibri" w:hAnsi="Verdana" w:cs="Arial"/>
          <w:color w:val="000000" w:themeColor="text1"/>
          <w:lang w:eastAsia="es-ES"/>
        </w:rPr>
        <w:t>la Agencia Nacional de Contratación Pública – Colombia Compra Eficiente responde la solicitud remitida por competencia por el Departamento Nacional de Planeación el 25 de junio de 2026,</w:t>
      </w:r>
      <w:r w:rsidRPr="007C3DF2">
        <w:rPr>
          <w:rFonts w:ascii="Verdana" w:eastAsia="Calibri" w:hAnsi="Verdana" w:cs="Arial"/>
          <w:lang w:eastAsia="es-ES"/>
        </w:rPr>
        <w:t xml:space="preserve"> en la cual consulta sobre lo siguiente:</w:t>
      </w:r>
      <w:r w:rsidRPr="007C3DF2">
        <w:rPr>
          <w:rFonts w:ascii="Verdana" w:eastAsia="Calibri" w:hAnsi="Verdana" w:cs="Arial"/>
          <w:i/>
          <w:iCs/>
          <w:lang w:eastAsia="es-ES"/>
        </w:rPr>
        <w:t xml:space="preserve"> </w:t>
      </w:r>
      <w:bookmarkStart w:id="2" w:name="_Hlk95313578"/>
    </w:p>
    <w:p w14:paraId="774FCD91" w14:textId="77777777" w:rsidR="007C3DF2" w:rsidRPr="007C3DF2" w:rsidRDefault="007C3DF2" w:rsidP="007C3DF2">
      <w:pPr>
        <w:spacing w:after="0" w:line="276" w:lineRule="auto"/>
        <w:jc w:val="both"/>
        <w:rPr>
          <w:rFonts w:ascii="Verdana" w:eastAsia="Calibri" w:hAnsi="Verdana" w:cs="Arial"/>
          <w:i/>
          <w:iCs/>
          <w:lang w:eastAsia="es-ES"/>
        </w:rPr>
      </w:pPr>
    </w:p>
    <w:p w14:paraId="4B8E2FC2" w14:textId="77777777" w:rsidR="007C3DF2" w:rsidRPr="007C3DF2" w:rsidRDefault="007C3DF2" w:rsidP="007C3DF2">
      <w:pPr>
        <w:spacing w:after="0" w:line="240" w:lineRule="auto"/>
        <w:ind w:left="709" w:right="709"/>
        <w:jc w:val="both"/>
        <w:rPr>
          <w:rFonts w:ascii="Verdana" w:hAnsi="Verdana"/>
          <w:sz w:val="20"/>
          <w:szCs w:val="20"/>
        </w:rPr>
      </w:pPr>
      <w:r w:rsidRPr="007C3DF2">
        <w:rPr>
          <w:rFonts w:ascii="Verdana" w:eastAsia="Arial" w:hAnsi="Verdana" w:cs="Arial"/>
          <w:iCs/>
          <w:color w:val="000000"/>
          <w:sz w:val="20"/>
          <w:szCs w:val="20"/>
        </w:rPr>
        <w:t>“</w:t>
      </w:r>
      <w:bookmarkEnd w:id="2"/>
      <w:r w:rsidRPr="007C3DF2">
        <w:rPr>
          <w:rFonts w:ascii="Verdana" w:hAnsi="Verdana"/>
          <w:sz w:val="20"/>
          <w:szCs w:val="20"/>
        </w:rPr>
        <w:t xml:space="preserve">1. Uso del Manual de Contratación Propio: ¿Se encuentra facultada una entidad descentralizada que actúa como ejecutora de proyectos para utilizar su propio manual de contratación en la selección de contratistas financiados exclusivamente con recursos del Sistema General de Regalías? ¿Se encuentra facultada una entidad descentralizada que actúa como ejecutora de proyectos para utilizar su propio manual de contratación en la selección de contratistas financiados con recursos del Sistema General de Regalías y con propios de la empresa descentralizada? </w:t>
      </w:r>
    </w:p>
    <w:p w14:paraId="28CAF786" w14:textId="77777777" w:rsidR="007C3DF2" w:rsidRPr="007C3DF2" w:rsidRDefault="007C3DF2" w:rsidP="007C3DF2">
      <w:pPr>
        <w:spacing w:after="0" w:line="240" w:lineRule="auto"/>
        <w:ind w:left="709" w:right="709"/>
        <w:jc w:val="both"/>
        <w:rPr>
          <w:rFonts w:ascii="Verdana" w:hAnsi="Verdana"/>
          <w:sz w:val="20"/>
          <w:szCs w:val="20"/>
        </w:rPr>
      </w:pPr>
    </w:p>
    <w:p w14:paraId="0D86A58D" w14:textId="77777777" w:rsidR="007C3DF2" w:rsidRPr="007C3DF2" w:rsidRDefault="007C3DF2" w:rsidP="007C3DF2">
      <w:pPr>
        <w:spacing w:after="0" w:line="240" w:lineRule="auto"/>
        <w:ind w:left="709" w:right="709"/>
        <w:jc w:val="both"/>
        <w:rPr>
          <w:rFonts w:ascii="Verdana" w:hAnsi="Verdana"/>
          <w:sz w:val="20"/>
          <w:szCs w:val="20"/>
        </w:rPr>
      </w:pPr>
      <w:r w:rsidRPr="007C3DF2">
        <w:rPr>
          <w:rFonts w:ascii="Verdana" w:hAnsi="Verdana"/>
          <w:sz w:val="20"/>
          <w:szCs w:val="20"/>
        </w:rPr>
        <w:lastRenderedPageBreak/>
        <w:t xml:space="preserve">2. Aplicación de términos de la Ley 80 de 1993: En caso de ser viable la utilización del manual interno de la entidad descentralizada para ejecutar recursos del SGR, ¿es jurídicamente obligatorio que la entidad respete y aplique de forma estricta los tiempos, plazos y etapas procesales consagrados en el Estatuto General de Contratación (Ley 80 de 1993 y Ley 1150 de 2007), omitiendo las flexibilidades de su régimen propio? Se pide claridad ya que los tiempos para contratación de ley de 80 son muy extensos y </w:t>
      </w:r>
      <w:proofErr w:type="spellStart"/>
      <w:r w:rsidRPr="007C3DF2">
        <w:rPr>
          <w:rFonts w:ascii="Verdana" w:hAnsi="Verdana"/>
          <w:sz w:val="20"/>
          <w:szCs w:val="20"/>
        </w:rPr>
        <w:t>tomena</w:t>
      </w:r>
      <w:proofErr w:type="spellEnd"/>
      <w:r w:rsidRPr="007C3DF2">
        <w:rPr>
          <w:rFonts w:ascii="Verdana" w:hAnsi="Verdana"/>
          <w:sz w:val="20"/>
          <w:szCs w:val="20"/>
        </w:rPr>
        <w:t xml:space="preserve"> </w:t>
      </w:r>
      <w:proofErr w:type="spellStart"/>
      <w:r w:rsidRPr="007C3DF2">
        <w:rPr>
          <w:rFonts w:ascii="Verdana" w:hAnsi="Verdana"/>
          <w:sz w:val="20"/>
          <w:szCs w:val="20"/>
        </w:rPr>
        <w:t>mas</w:t>
      </w:r>
      <w:proofErr w:type="spellEnd"/>
      <w:r w:rsidRPr="007C3DF2">
        <w:rPr>
          <w:rFonts w:ascii="Verdana" w:hAnsi="Verdana"/>
          <w:sz w:val="20"/>
          <w:szCs w:val="20"/>
        </w:rPr>
        <w:t xml:space="preserve"> de 50 días para poder adjudicar, esto a fin de atender de manera rápida las necesidades de la comunidad. </w:t>
      </w:r>
    </w:p>
    <w:p w14:paraId="0189CBD9" w14:textId="77777777" w:rsidR="007C3DF2" w:rsidRPr="007C3DF2" w:rsidRDefault="007C3DF2" w:rsidP="007C3DF2">
      <w:pPr>
        <w:spacing w:after="0" w:line="240" w:lineRule="auto"/>
        <w:ind w:left="709" w:right="709"/>
        <w:jc w:val="both"/>
        <w:rPr>
          <w:rFonts w:ascii="Verdana" w:hAnsi="Verdana"/>
          <w:sz w:val="20"/>
          <w:szCs w:val="20"/>
        </w:rPr>
      </w:pPr>
    </w:p>
    <w:p w14:paraId="1E5DEB19" w14:textId="77777777" w:rsidR="007C3DF2" w:rsidRPr="007C3DF2" w:rsidRDefault="007C3DF2" w:rsidP="007C3DF2">
      <w:pPr>
        <w:spacing w:after="0" w:line="240" w:lineRule="auto"/>
        <w:ind w:left="709" w:right="709"/>
        <w:jc w:val="both"/>
        <w:rPr>
          <w:rFonts w:ascii="Verdana" w:hAnsi="Verdana"/>
          <w:sz w:val="20"/>
          <w:szCs w:val="20"/>
        </w:rPr>
      </w:pPr>
      <w:r w:rsidRPr="007C3DF2">
        <w:rPr>
          <w:rFonts w:ascii="Verdana" w:hAnsi="Verdana"/>
          <w:sz w:val="20"/>
          <w:szCs w:val="20"/>
        </w:rPr>
        <w:t xml:space="preserve">3. Inalterabilidad de los Documentos Tipo: Teniendo en cuenta la obligación de adoptar los Documentos Tipo, ¿le está permitido a la entidad descentralizada modificar los plazos preestablecidos y alterar o adaptar los requisitos de experiencia exigidos en dichos documentos para ajustarlos a sus lineamientos internos, o debe ceñirse de manera irrestricta a los parámetros fijados por la Agencia Nacional de Contratación Pública - Colombia Compra Eficiente? </w:t>
      </w:r>
    </w:p>
    <w:p w14:paraId="1410D875" w14:textId="77777777" w:rsidR="007C3DF2" w:rsidRPr="007C3DF2" w:rsidRDefault="007C3DF2" w:rsidP="007C3DF2">
      <w:pPr>
        <w:spacing w:after="0" w:line="240" w:lineRule="auto"/>
        <w:ind w:left="709" w:right="709"/>
        <w:jc w:val="both"/>
        <w:rPr>
          <w:rFonts w:ascii="Verdana" w:hAnsi="Verdana"/>
          <w:sz w:val="20"/>
          <w:szCs w:val="20"/>
        </w:rPr>
      </w:pPr>
    </w:p>
    <w:p w14:paraId="654CAC39" w14:textId="77777777" w:rsidR="007C3DF2" w:rsidRPr="007C3DF2" w:rsidRDefault="007C3DF2" w:rsidP="007C3DF2">
      <w:pPr>
        <w:spacing w:after="0" w:line="240" w:lineRule="auto"/>
        <w:ind w:left="709" w:right="709"/>
        <w:jc w:val="both"/>
        <w:rPr>
          <w:rFonts w:ascii="Verdana" w:hAnsi="Verdana"/>
          <w:sz w:val="20"/>
          <w:szCs w:val="20"/>
        </w:rPr>
      </w:pPr>
      <w:r w:rsidRPr="007C3DF2">
        <w:rPr>
          <w:rFonts w:ascii="Verdana" w:hAnsi="Verdana"/>
          <w:sz w:val="20"/>
          <w:szCs w:val="20"/>
        </w:rPr>
        <w:t xml:space="preserve">4. Publicidad del Proceso en SECOPII: Es obligación de la empresa descentralizada publicar el proceso en la plataforma SECOPII y seguir el proceso de adjudicación en dicha plataforma al igual que una entidad </w:t>
      </w:r>
      <w:proofErr w:type="spellStart"/>
      <w:r w:rsidRPr="007C3DF2">
        <w:rPr>
          <w:rFonts w:ascii="Verdana" w:hAnsi="Verdana"/>
          <w:sz w:val="20"/>
          <w:szCs w:val="20"/>
        </w:rPr>
        <w:t>descentrailizada</w:t>
      </w:r>
      <w:proofErr w:type="spellEnd"/>
      <w:r w:rsidRPr="007C3DF2">
        <w:rPr>
          <w:rFonts w:ascii="Verdana" w:hAnsi="Verdana"/>
          <w:sz w:val="20"/>
          <w:szCs w:val="20"/>
        </w:rPr>
        <w:t xml:space="preserve"> o puede aplicar su manual interno?</w:t>
      </w:r>
    </w:p>
    <w:p w14:paraId="4977F33E" w14:textId="77777777" w:rsidR="007C3DF2" w:rsidRPr="007C3DF2" w:rsidRDefault="007C3DF2" w:rsidP="007C3DF2">
      <w:pPr>
        <w:spacing w:after="0" w:line="240" w:lineRule="auto"/>
        <w:ind w:left="709" w:right="709"/>
        <w:jc w:val="both"/>
      </w:pPr>
    </w:p>
    <w:p w14:paraId="19BB5C4E" w14:textId="77777777" w:rsidR="007C3DF2" w:rsidRPr="007C3DF2" w:rsidRDefault="007C3DF2" w:rsidP="007C3DF2">
      <w:pPr>
        <w:spacing w:after="120" w:line="276" w:lineRule="auto"/>
        <w:ind w:firstLine="709"/>
        <w:jc w:val="both"/>
        <w:rPr>
          <w:rFonts w:ascii="Verdana" w:eastAsia="Calibri" w:hAnsi="Verdana" w:cs="Arial"/>
          <w:color w:val="000000"/>
          <w:lang w:eastAsia="es-ES"/>
        </w:rPr>
      </w:pPr>
      <w:r w:rsidRPr="007C3DF2">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C3DF2">
        <w:rPr>
          <w:rFonts w:ascii="Verdana" w:eastAsia="Calibri" w:hAnsi="Verdana" w:cs="Arial"/>
          <w:color w:val="000000"/>
          <w:szCs w:val="24"/>
          <w:lang w:eastAsia="es-ES_tradnl"/>
        </w:rPr>
        <w:tab/>
      </w:r>
    </w:p>
    <w:p w14:paraId="43D0DA74" w14:textId="77777777" w:rsidR="007C3DF2" w:rsidRPr="007C3DF2" w:rsidRDefault="007C3DF2" w:rsidP="007C3DF2">
      <w:pPr>
        <w:spacing w:after="0" w:line="276" w:lineRule="auto"/>
        <w:ind w:firstLine="709"/>
        <w:jc w:val="both"/>
        <w:rPr>
          <w:rFonts w:ascii="Verdana" w:eastAsia="Calibri" w:hAnsi="Verdana" w:cs="Arial"/>
          <w:color w:val="000000"/>
          <w:lang w:eastAsia="es-ES"/>
        </w:rPr>
      </w:pPr>
      <w:r w:rsidRPr="007C3DF2">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7C3DF2">
        <w:rPr>
          <w:rFonts w:ascii="Verdana" w:eastAsia="Calibri" w:hAnsi="Verdana" w:cs="Arial"/>
          <w:color w:val="7030A0"/>
          <w:lang w:eastAsia="es-ES"/>
        </w:rPr>
        <w:t xml:space="preserve"> </w:t>
      </w:r>
      <w:r w:rsidRPr="007C3DF2">
        <w:rPr>
          <w:rFonts w:ascii="Verdana" w:eastAsia="Calibri" w:hAnsi="Verdana" w:cs="Arial"/>
          <w:color w:val="000000"/>
          <w:lang w:eastAsia="es-ES"/>
        </w:rPr>
        <w:t>problemas</w:t>
      </w:r>
      <w:r w:rsidRPr="007C3DF2">
        <w:rPr>
          <w:rFonts w:ascii="Verdana" w:eastAsia="Calibri" w:hAnsi="Verdana" w:cs="Arial"/>
          <w:color w:val="7030A0"/>
          <w:lang w:eastAsia="es-ES"/>
        </w:rPr>
        <w:t xml:space="preserve"> </w:t>
      </w:r>
      <w:r w:rsidRPr="007C3DF2">
        <w:rPr>
          <w:rFonts w:ascii="Verdana" w:eastAsia="Calibri" w:hAnsi="Verdana" w:cs="Arial"/>
          <w:color w:val="000000"/>
          <w:lang w:eastAsia="es-ES"/>
        </w:rPr>
        <w:t>jurídicos</w:t>
      </w:r>
      <w:r w:rsidRPr="007C3DF2">
        <w:rPr>
          <w:rFonts w:ascii="Verdana" w:eastAsia="Calibri" w:hAnsi="Verdana" w:cs="Arial"/>
          <w:color w:val="7030A0"/>
          <w:lang w:eastAsia="es-ES"/>
        </w:rPr>
        <w:t xml:space="preserve"> </w:t>
      </w:r>
      <w:r w:rsidRPr="007C3DF2">
        <w:rPr>
          <w:rFonts w:ascii="Verdana" w:eastAsia="Calibri" w:hAnsi="Verdana" w:cs="Arial"/>
          <w:color w:val="000000"/>
          <w:lang w:eastAsia="es-ES"/>
        </w:rPr>
        <w:t xml:space="preserve">de su consulta. </w:t>
      </w:r>
    </w:p>
    <w:p w14:paraId="3E595DDF" w14:textId="77777777" w:rsidR="007C3DF2" w:rsidRPr="007C3DF2" w:rsidRDefault="007C3DF2" w:rsidP="007C3DF2">
      <w:pPr>
        <w:spacing w:after="0" w:line="276" w:lineRule="auto"/>
        <w:ind w:firstLine="709"/>
        <w:jc w:val="both"/>
        <w:rPr>
          <w:rFonts w:ascii="Verdana" w:eastAsia="Calibri" w:hAnsi="Verdana" w:cs="Arial"/>
          <w:color w:val="000000"/>
          <w:lang w:eastAsia="es-ES"/>
        </w:rPr>
      </w:pPr>
    </w:p>
    <w:p w14:paraId="057303AA" w14:textId="77777777" w:rsidR="007C3DF2" w:rsidRPr="007C3DF2" w:rsidRDefault="007C3DF2" w:rsidP="007C3DF2">
      <w:pPr>
        <w:numPr>
          <w:ilvl w:val="0"/>
          <w:numId w:val="1"/>
        </w:numPr>
        <w:tabs>
          <w:tab w:val="left" w:pos="142"/>
          <w:tab w:val="left" w:pos="284"/>
        </w:tabs>
        <w:spacing w:after="0" w:line="276" w:lineRule="auto"/>
        <w:jc w:val="both"/>
        <w:rPr>
          <w:rFonts w:ascii="Verdana" w:eastAsia="Century Gothic" w:hAnsi="Verdana" w:cs="Century Gothic"/>
          <w:b/>
          <w:bCs/>
        </w:rPr>
      </w:pPr>
      <w:r w:rsidRPr="007C3DF2">
        <w:rPr>
          <w:rFonts w:ascii="Verdana" w:eastAsia="Century Gothic" w:hAnsi="Verdana" w:cs="Century Gothic"/>
          <w:b/>
          <w:bCs/>
        </w:rPr>
        <w:t>Problemas planteados:</w:t>
      </w:r>
    </w:p>
    <w:p w14:paraId="28604775" w14:textId="77777777" w:rsidR="007C3DF2" w:rsidRPr="007C3DF2" w:rsidRDefault="007C3DF2" w:rsidP="007C3DF2">
      <w:pPr>
        <w:tabs>
          <w:tab w:val="left" w:pos="426"/>
        </w:tabs>
        <w:spacing w:after="0" w:line="276" w:lineRule="auto"/>
        <w:jc w:val="both"/>
        <w:rPr>
          <w:rFonts w:ascii="Verdana" w:eastAsia="Century Gothic" w:hAnsi="Verdana" w:cs="Century Gothic"/>
        </w:rPr>
      </w:pPr>
    </w:p>
    <w:p w14:paraId="10A21DE9" w14:textId="11442CC3" w:rsidR="007C3DF2" w:rsidRPr="007C3DF2" w:rsidRDefault="007C3DF2" w:rsidP="007C3DF2">
      <w:pPr>
        <w:spacing w:after="0" w:line="276" w:lineRule="auto"/>
        <w:jc w:val="both"/>
        <w:rPr>
          <w:rFonts w:ascii="Verdana" w:eastAsia="Century Gothic" w:hAnsi="Verdana" w:cs="Century Gothic"/>
        </w:rPr>
      </w:pPr>
      <w:r w:rsidRPr="007C3DF2">
        <w:rPr>
          <w:rFonts w:ascii="Verdana" w:eastAsia="Century Gothic" w:hAnsi="Verdana" w:cs="Century Gothic"/>
        </w:rPr>
        <w:t xml:space="preserve">De acuerdo con el contenido de su solicitud, esta Agencia resolverá </w:t>
      </w:r>
      <w:r w:rsidR="00BE63FE">
        <w:rPr>
          <w:rFonts w:ascii="Verdana" w:eastAsia="Century Gothic" w:hAnsi="Verdana" w:cs="Century Gothic"/>
        </w:rPr>
        <w:t>los</w:t>
      </w:r>
      <w:r w:rsidRPr="007C3DF2">
        <w:rPr>
          <w:rFonts w:ascii="Verdana" w:eastAsia="Century Gothic" w:hAnsi="Verdana" w:cs="Century Gothic"/>
        </w:rPr>
        <w:t xml:space="preserve"> siguiente</w:t>
      </w:r>
      <w:r w:rsidR="00BE63FE">
        <w:rPr>
          <w:rFonts w:ascii="Verdana" w:eastAsia="Century Gothic" w:hAnsi="Verdana" w:cs="Century Gothic"/>
        </w:rPr>
        <w:t>s</w:t>
      </w:r>
      <w:r w:rsidRPr="007C3DF2">
        <w:rPr>
          <w:rFonts w:ascii="Verdana" w:eastAsia="Century Gothic" w:hAnsi="Verdana" w:cs="Century Gothic"/>
        </w:rPr>
        <w:t xml:space="preserve"> problema</w:t>
      </w:r>
      <w:r w:rsidR="00BE63FE">
        <w:rPr>
          <w:rFonts w:ascii="Verdana" w:eastAsia="Century Gothic" w:hAnsi="Verdana" w:cs="Century Gothic"/>
        </w:rPr>
        <w:t>s</w:t>
      </w:r>
      <w:r w:rsidRPr="007C3DF2">
        <w:rPr>
          <w:rFonts w:ascii="Verdana" w:eastAsia="Century Gothic" w:hAnsi="Verdana" w:cs="Century Gothic"/>
        </w:rPr>
        <w:t xml:space="preserve"> jurídico</w:t>
      </w:r>
      <w:r w:rsidR="00BE63FE">
        <w:rPr>
          <w:rFonts w:ascii="Verdana" w:eastAsia="Century Gothic" w:hAnsi="Verdana" w:cs="Century Gothic"/>
        </w:rPr>
        <w:t>s</w:t>
      </w:r>
      <w:r w:rsidRPr="007C3DF2">
        <w:rPr>
          <w:rFonts w:ascii="Verdana" w:eastAsia="Century Gothic" w:hAnsi="Verdana" w:cs="Century Gothic"/>
        </w:rPr>
        <w:t>: i) ¿ De conformidad con el parágrafo del artículo 37 de la Ley 2056 de 2020, cu</w:t>
      </w:r>
      <w:r w:rsidRPr="007C3DF2">
        <w:rPr>
          <w:rFonts w:ascii="Verdana" w:eastAsia="Calibri" w:hAnsi="Verdana" w:cs="Times New Roman"/>
        </w:rPr>
        <w:t>ál es el régimen contractual aplicable en la ejecución de proyectos cuya fuente de financiación es el Sistema General de Regalías, en adelante SGR, cuando la entidad ejecutora se rige por el derecho privado</w:t>
      </w:r>
      <w:r w:rsidRPr="007C3DF2">
        <w:rPr>
          <w:rFonts w:ascii="Verdana" w:eastAsia="Century Gothic" w:hAnsi="Verdana" w:cs="Century Gothic"/>
        </w:rPr>
        <w:t xml:space="preserve">?, de acuerdo con lo anterior </w:t>
      </w:r>
      <w:proofErr w:type="spellStart"/>
      <w:r w:rsidRPr="007C3DF2">
        <w:rPr>
          <w:rFonts w:ascii="Verdana" w:eastAsia="Century Gothic" w:hAnsi="Verdana" w:cs="Century Gothic"/>
        </w:rPr>
        <w:t>ii</w:t>
      </w:r>
      <w:proofErr w:type="spellEnd"/>
      <w:r w:rsidRPr="007C3DF2">
        <w:rPr>
          <w:rFonts w:ascii="Verdana" w:eastAsia="Century Gothic" w:hAnsi="Verdana" w:cs="Century Gothic"/>
        </w:rPr>
        <w:t xml:space="preserve">) ¿la entidad ejecutora debe aplicar los documentos tipo cuando el objeto contractual se enmarque en el ámbito de aplicación de estos?, y </w:t>
      </w:r>
      <w:proofErr w:type="spellStart"/>
      <w:r w:rsidRPr="007C3DF2">
        <w:rPr>
          <w:rFonts w:ascii="Verdana" w:eastAsia="Century Gothic" w:hAnsi="Verdana" w:cs="Century Gothic"/>
        </w:rPr>
        <w:t>iii</w:t>
      </w:r>
      <w:proofErr w:type="spellEnd"/>
      <w:r w:rsidRPr="007C3DF2">
        <w:rPr>
          <w:rFonts w:ascii="Verdana" w:eastAsia="Century Gothic" w:hAnsi="Verdana" w:cs="Century Gothic"/>
        </w:rPr>
        <w:t>) ¿debe publicarse en el SECOP II los proyectos financiados con recursos del SGR?</w:t>
      </w:r>
    </w:p>
    <w:p w14:paraId="36623548" w14:textId="77777777" w:rsidR="007C3DF2" w:rsidRPr="007C3DF2" w:rsidRDefault="007C3DF2" w:rsidP="007C3DF2">
      <w:pPr>
        <w:spacing w:after="0" w:line="276" w:lineRule="auto"/>
        <w:jc w:val="both"/>
        <w:rPr>
          <w:rFonts w:ascii="Verdana" w:eastAsia="Century Gothic" w:hAnsi="Verdana" w:cs="Century Gothic"/>
        </w:rPr>
      </w:pPr>
    </w:p>
    <w:p w14:paraId="70A2E97D" w14:textId="77777777" w:rsidR="007C3DF2" w:rsidRPr="007C3DF2" w:rsidRDefault="007C3DF2" w:rsidP="007C3DF2">
      <w:pPr>
        <w:numPr>
          <w:ilvl w:val="0"/>
          <w:numId w:val="1"/>
        </w:numPr>
        <w:tabs>
          <w:tab w:val="left" w:pos="142"/>
          <w:tab w:val="left" w:pos="284"/>
        </w:tabs>
        <w:spacing w:after="0" w:line="276" w:lineRule="auto"/>
        <w:jc w:val="both"/>
        <w:rPr>
          <w:rFonts w:ascii="Verdana" w:eastAsia="Century Gothic" w:hAnsi="Verdana" w:cs="Century Gothic"/>
          <w:b/>
          <w:bCs/>
        </w:rPr>
      </w:pPr>
      <w:r w:rsidRPr="007C3DF2">
        <w:rPr>
          <w:rFonts w:ascii="Verdana" w:eastAsia="Century Gothic" w:hAnsi="Verdana" w:cs="Century Gothic"/>
          <w:b/>
          <w:bCs/>
        </w:rPr>
        <w:t>Respuestas:</w:t>
      </w:r>
    </w:p>
    <w:p w14:paraId="34E4548D" w14:textId="77777777" w:rsidR="007C3DF2" w:rsidRPr="007C3DF2" w:rsidRDefault="007C3DF2" w:rsidP="007C3DF2">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C3DF2" w:rsidRPr="007C3DF2" w14:paraId="73D6EEF9" w14:textId="77777777" w:rsidTr="00E934E8">
        <w:trPr>
          <w:trHeight w:val="58"/>
          <w:jc w:val="center"/>
        </w:trPr>
        <w:tc>
          <w:tcPr>
            <w:tcW w:w="8828" w:type="dxa"/>
          </w:tcPr>
          <w:p w14:paraId="368C6DAE" w14:textId="77777777" w:rsidR="007C3DF2" w:rsidRPr="007C3DF2" w:rsidRDefault="007C3DF2" w:rsidP="007C3DF2">
            <w:pPr>
              <w:spacing w:after="120" w:line="276" w:lineRule="auto"/>
              <w:jc w:val="both"/>
              <w:rPr>
                <w:rFonts w:ascii="Verdana" w:eastAsia="Calibri" w:hAnsi="Verdana" w:cs="Arial"/>
                <w:color w:val="000000"/>
                <w:lang w:val="es-ES" w:eastAsia="es-ES"/>
              </w:rPr>
            </w:pPr>
            <w:bookmarkStart w:id="3" w:name="_Hlk171694685"/>
            <w:r w:rsidRPr="007C3DF2">
              <w:rPr>
                <w:rFonts w:ascii="Verdana" w:eastAsia="Calibri" w:hAnsi="Verdana" w:cs="Arial"/>
                <w:color w:val="000000"/>
                <w:lang w:val="es-ES" w:eastAsia="es-ES"/>
              </w:rPr>
              <w:t xml:space="preserve">i. Conforme a la interpretación general de las normas del sistema de compras públicas, esta Subdirección en </w:t>
            </w:r>
            <w:r w:rsidRPr="007C3DF2">
              <w:rPr>
                <w:rFonts w:ascii="Verdana" w:hAnsi="Verdana" w:cs="Arial"/>
              </w:rPr>
              <w:t xml:space="preserve">los conceptos </w:t>
            </w:r>
            <w:r w:rsidRPr="007C3DF2">
              <w:rPr>
                <w:rFonts w:ascii="Verdana" w:hAnsi="Verdana"/>
              </w:rPr>
              <w:t>C-370 del 2021,</w:t>
            </w:r>
            <w:r w:rsidRPr="007C3DF2">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y C-225 del 27 de febrero de 2026, </w:t>
            </w:r>
            <w:r w:rsidRPr="007C3DF2">
              <w:rPr>
                <w:rFonts w:ascii="Verdana" w:hAnsi="Verdana" w:cs="Arial"/>
                <w:shd w:val="clear" w:color="auto" w:fill="FFFFFF"/>
              </w:rPr>
              <w:t xml:space="preserve">ha mantenido la postura en virtud de la cual </w:t>
            </w:r>
            <w:r w:rsidRPr="007C3DF2">
              <w:rPr>
                <w:rFonts w:ascii="Verdana" w:eastAsia="Calibri" w:hAnsi="Verdana" w:cs="Arial"/>
                <w:color w:val="000000"/>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las prescripciones establecidas en el Estatuto General de Contratación de la Administración Pública-EGCAP, así como las normas que lo modifiquen, sustituyan o reglamenten.</w:t>
            </w:r>
          </w:p>
          <w:p w14:paraId="4458787D" w14:textId="77777777" w:rsidR="007C3DF2" w:rsidRPr="007C3DF2" w:rsidRDefault="007C3DF2" w:rsidP="007C3DF2">
            <w:pPr>
              <w:spacing w:after="120" w:line="276" w:lineRule="auto"/>
              <w:ind w:firstLine="709"/>
              <w:jc w:val="both"/>
              <w:rPr>
                <w:rFonts w:ascii="Verdana" w:eastAsia="Calibri" w:hAnsi="Verdana" w:cs="Arial"/>
                <w:color w:val="000000"/>
                <w:lang w:val="es-ES" w:eastAsia="es-ES"/>
              </w:rPr>
            </w:pPr>
            <w:r w:rsidRPr="007C3DF2">
              <w:rPr>
                <w:rFonts w:ascii="Verdana" w:eastAsia="Calibri" w:hAnsi="Verdana" w:cs="Arial"/>
                <w:color w:val="000000"/>
                <w:lang w:val="es-ES" w:eastAsia="es-ES"/>
              </w:rPr>
              <w:t xml:space="preserve">En este sentido,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w:t>
            </w:r>
            <w:r w:rsidRPr="007C3DF2">
              <w:rPr>
                <w:rFonts w:ascii="Verdana" w:eastAsia="Calibri" w:hAnsi="Verdana" w:cs="Arial"/>
                <w:color w:val="000000"/>
                <w:lang w:val="es-ES" w:eastAsia="es-ES"/>
              </w:rPr>
              <w:lastRenderedPageBreak/>
              <w:t>esto es, al EGCAP, sin perjuicio de que en sus demás actividades apliquen el régimen especial que les corresponda.</w:t>
            </w:r>
          </w:p>
          <w:p w14:paraId="111329CE" w14:textId="77777777" w:rsidR="007C3DF2" w:rsidRPr="007C3DF2" w:rsidRDefault="007C3DF2" w:rsidP="007C3DF2">
            <w:pPr>
              <w:spacing w:line="276" w:lineRule="auto"/>
              <w:ind w:firstLine="709"/>
              <w:jc w:val="both"/>
              <w:rPr>
                <w:rFonts w:ascii="Verdana" w:eastAsia="Calibri" w:hAnsi="Verdana" w:cs="Arial"/>
                <w:color w:val="000000" w:themeColor="text1"/>
                <w:lang w:eastAsia="es-ES"/>
              </w:rPr>
            </w:pPr>
            <w:r w:rsidRPr="007C3DF2">
              <w:rPr>
                <w:rFonts w:ascii="Verdana" w:eastAsia="Calibri" w:hAnsi="Verdana" w:cs="Arial"/>
                <w:color w:val="000000" w:themeColor="text1"/>
                <w:lang w:eastAsia="es-ES"/>
              </w:rPr>
              <w:t xml:space="preserve">Así las cosas,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 </w:t>
            </w:r>
          </w:p>
          <w:p w14:paraId="273787DF" w14:textId="77777777" w:rsidR="007C3DF2" w:rsidRPr="007C3DF2" w:rsidRDefault="007C3DF2" w:rsidP="007C3DF2">
            <w:pPr>
              <w:spacing w:line="276" w:lineRule="auto"/>
              <w:ind w:firstLine="709"/>
              <w:jc w:val="both"/>
              <w:rPr>
                <w:rFonts w:ascii="Verdana" w:eastAsia="Calibri" w:hAnsi="Verdana" w:cs="Arial"/>
                <w:color w:val="000000" w:themeColor="text1"/>
                <w:lang w:eastAsia="es-ES"/>
              </w:rPr>
            </w:pPr>
          </w:p>
          <w:p w14:paraId="18644D28" w14:textId="77777777" w:rsidR="007C3DF2" w:rsidRPr="007C3DF2" w:rsidRDefault="007C3DF2" w:rsidP="007C3DF2">
            <w:pPr>
              <w:spacing w:after="120" w:line="276" w:lineRule="auto"/>
              <w:jc w:val="both"/>
              <w:rPr>
                <w:rFonts w:ascii="Verdana" w:eastAsia="Calibri" w:hAnsi="Verdana" w:cs="Arial"/>
                <w:color w:val="000000" w:themeColor="text1"/>
                <w:lang w:eastAsia="es-ES"/>
              </w:rPr>
            </w:pPr>
            <w:proofErr w:type="spellStart"/>
            <w:r w:rsidRPr="007C3DF2">
              <w:rPr>
                <w:rFonts w:ascii="Verdana" w:eastAsia="Calibri" w:hAnsi="Verdana" w:cs="Arial"/>
                <w:color w:val="000000"/>
                <w:lang w:val="es-ES" w:eastAsia="es-ES"/>
              </w:rPr>
              <w:t>ii</w:t>
            </w:r>
            <w:proofErr w:type="spellEnd"/>
            <w:r w:rsidRPr="007C3DF2">
              <w:rPr>
                <w:rFonts w:ascii="Verdana" w:eastAsia="Calibri" w:hAnsi="Verdana" w:cs="Arial"/>
                <w:color w:val="000000"/>
                <w:lang w:val="es-ES" w:eastAsia="es-ES"/>
              </w:rPr>
              <w:t>. D</w:t>
            </w:r>
            <w:proofErr w:type="spellStart"/>
            <w:r w:rsidRPr="007C3DF2">
              <w:rPr>
                <w:rFonts w:ascii="Verdana" w:eastAsia="Calibri" w:hAnsi="Verdana" w:cs="Arial"/>
                <w:color w:val="000000" w:themeColor="text1"/>
                <w:lang w:eastAsia="es-ES"/>
              </w:rPr>
              <w:t>e</w:t>
            </w:r>
            <w:proofErr w:type="spellEnd"/>
            <w:r w:rsidRPr="007C3DF2">
              <w:rPr>
                <w:rFonts w:ascii="Verdana" w:eastAsia="Calibri" w:hAnsi="Verdana" w:cs="Arial"/>
                <w:color w:val="000000" w:themeColor="text1"/>
                <w:lang w:eastAsia="es-ES"/>
              </w:rPr>
              <w:t xml:space="preserve"> acuerdo con la interpretación explicada, acorde con el artículo 37 de la Ley 2056 de 2020 las entidades ejecutoras deben sujetarse al EGCAP,</w:t>
            </w:r>
            <w:r w:rsidRPr="007C3DF2">
              <w:rPr>
                <w:rFonts w:ascii="Verdana" w:eastAsia="Calibri" w:hAnsi="Verdana" w:cs="Arial"/>
                <w:color w:val="000000"/>
                <w:lang w:val="es-ES" w:eastAsia="es-ES"/>
              </w:rPr>
              <w:t xml:space="preserve"> sin perjuicio de que en sus demás actividades apliquen el régimen especial que les corresponda</w:t>
            </w:r>
            <w:r w:rsidRPr="007C3DF2">
              <w:rPr>
                <w:rFonts w:ascii="Verdana" w:eastAsia="Calibri" w:hAnsi="Verdana" w:cs="Arial"/>
                <w:color w:val="000000" w:themeColor="text1"/>
                <w:lang w:eastAsia="es-ES"/>
              </w:rPr>
              <w:t>. Esto significa que la contratación de los bienes, obras o servicios que se adelante con fundamento en dicha normativa, deberá sujetarse a las disposiciones del EGCAP y en consecuencia, los procesos de contratación deberán desarrollarse observando las etapas, términos, procedimientos y demás reglas previstas en dicho estatuto, así como los Documentos Tipo cuando el objeto contractual corresponda a alguno de los sectores respecto de los cuales estos se encuentren vigentes y resulten aplicables.</w:t>
            </w:r>
          </w:p>
          <w:p w14:paraId="5AF0B486" w14:textId="77777777" w:rsidR="007C3DF2" w:rsidRPr="007C3DF2" w:rsidRDefault="007C3DF2" w:rsidP="007C3DF2">
            <w:pPr>
              <w:spacing w:after="120" w:line="276" w:lineRule="auto"/>
              <w:ind w:firstLine="708"/>
              <w:jc w:val="both"/>
              <w:rPr>
                <w:rFonts w:ascii="Verdana" w:eastAsia="Calibri" w:hAnsi="Verdana" w:cs="Arial"/>
                <w:color w:val="000000" w:themeColor="text1"/>
                <w:lang w:eastAsia="es-ES"/>
              </w:rPr>
            </w:pPr>
            <w:r w:rsidRPr="007C3DF2">
              <w:rPr>
                <w:rFonts w:ascii="Verdana" w:eastAsia="Calibri" w:hAnsi="Verdana" w:cs="Arial"/>
                <w:color w:val="000000" w:themeColor="text1"/>
                <w:lang w:eastAsia="es-ES"/>
              </w:rPr>
              <w:t xml:space="preserve">En efecto, de conformidad con el parágrafo 7 del artículo 2 de la Ley 1150 de 2007, adicionado por la Ley 1882 de 2018 y modificado por la Ley 2022 de 2020, las Entidades Estatales regidas por el EGCAP, se encuentran obligadas a aplicar los Documentos Tipo implementados por esta Agencia para adelantar los Procesos de Contratación que se encuentren cobijados por los Documentos Tipo expedidos. </w:t>
            </w:r>
          </w:p>
          <w:p w14:paraId="5F4A4CF9" w14:textId="77777777" w:rsidR="007C3DF2" w:rsidRPr="007C3DF2" w:rsidRDefault="007C3DF2" w:rsidP="007C3DF2">
            <w:pPr>
              <w:spacing w:after="120" w:line="276" w:lineRule="auto"/>
              <w:ind w:firstLine="708"/>
              <w:jc w:val="both"/>
              <w:rPr>
                <w:rFonts w:ascii="Verdana" w:eastAsia="Calibri" w:hAnsi="Verdana" w:cs="Arial"/>
                <w:color w:val="000000" w:themeColor="text1"/>
                <w:lang w:eastAsia="es-ES"/>
              </w:rPr>
            </w:pPr>
            <w:r w:rsidRPr="007C3DF2">
              <w:rPr>
                <w:rFonts w:ascii="Verdana" w:eastAsia="Calibri" w:hAnsi="Verdana" w:cs="Arial"/>
                <w:lang w:val="es-ES"/>
              </w:rPr>
              <w:t xml:space="preserve">En este orden de ideas, si bien en principio las entidades con régimen de contratación especial no están obligadas a aplicar los Documentos Tipo, la remisión efectuada por el parágrafo primero del artículo 37 de la Ley 2056 de 2020 al EGCAP, conlleva a que las </w:t>
            </w:r>
            <w:r w:rsidRPr="007C3DF2">
              <w:rPr>
                <w:rFonts w:ascii="Verdana" w:eastAsia="Calibri" w:hAnsi="Verdana" w:cs="Arial"/>
                <w:color w:val="000000" w:themeColor="text1"/>
                <w:lang w:eastAsia="es-ES"/>
              </w:rPr>
              <w:t xml:space="preserve">entidades designadas ejecutoras deban sujetarse a las reglas y principios establecidos en el Estatuto General de Contratación de la Administración Pública y sus disposiciones reglamentarias. En consecuencia, ello comprende la aplicación de los documentos tipo en la </w:t>
            </w:r>
            <w:r w:rsidRPr="007C3DF2">
              <w:rPr>
                <w:rFonts w:ascii="Verdana" w:eastAsia="Calibri" w:hAnsi="Verdana" w:cs="Arial"/>
                <w:color w:val="000000" w:themeColor="text1"/>
                <w:lang w:eastAsia="es-ES"/>
              </w:rPr>
              <w:lastRenderedPageBreak/>
              <w:t xml:space="preserve">medida en que el parágrafo 7 del artículo 2 de la Ley 1150 de 2007, adicionado por la Ley 1882 de 2018 y modificado por la Ley 2022 de 2020, establece su carácter obligatorio para las entidades que se rigen por el EGCAP, como sucede para efectos de los recursos del SGR. </w:t>
            </w:r>
          </w:p>
          <w:p w14:paraId="4077D38F" w14:textId="77777777" w:rsidR="007C3DF2" w:rsidRPr="007C3DF2" w:rsidRDefault="007C3DF2" w:rsidP="007C3DF2">
            <w:pPr>
              <w:spacing w:before="120" w:line="276" w:lineRule="auto"/>
              <w:jc w:val="both"/>
              <w:rPr>
                <w:rFonts w:ascii="Verdana" w:eastAsia="Calibri" w:hAnsi="Verdana" w:cs="Times New Roman"/>
              </w:rPr>
            </w:pPr>
            <w:proofErr w:type="spellStart"/>
            <w:r w:rsidRPr="007C3DF2">
              <w:rPr>
                <w:rFonts w:ascii="Verdana" w:eastAsia="Calibri" w:hAnsi="Verdana" w:cs="Times New Roman"/>
              </w:rPr>
              <w:t>iii</w:t>
            </w:r>
            <w:proofErr w:type="spellEnd"/>
            <w:r w:rsidRPr="007C3DF2">
              <w:rPr>
                <w:rFonts w:ascii="Verdana" w:eastAsia="Calibri" w:hAnsi="Verdana" w:cs="Times New Roman"/>
              </w:rPr>
              <w:t xml:space="preserve">. Sobre el deber de publicidad de la información relativa al Sistema General de Regalías, el artículo 27 de la Ley 2056 del 2020 establece en su parágrafo segundo que las Entidades ejecutoras y los beneficiarios de los recursos del Sistema General de Regalías “al momento de afectar las apropiaciones en Sistema de Presupuesto y Giros de Regalías (SPGR), deberán publicar el proceso de contratación en el Sistema Electrónico para la Contratación Pública”. </w:t>
            </w:r>
          </w:p>
          <w:p w14:paraId="4FFBEC64" w14:textId="77777777" w:rsidR="007C3DF2" w:rsidRPr="007C3DF2" w:rsidRDefault="007C3DF2" w:rsidP="007C3DF2">
            <w:pPr>
              <w:spacing w:before="120" w:line="276" w:lineRule="auto"/>
              <w:ind w:firstLine="709"/>
              <w:jc w:val="both"/>
              <w:rPr>
                <w:rFonts w:ascii="Verdana" w:eastAsia="Calibri" w:hAnsi="Verdana" w:cs="Arial"/>
                <w:lang w:val="es-ES_tradnl"/>
              </w:rPr>
            </w:pPr>
            <w:r w:rsidRPr="007C3DF2">
              <w:rPr>
                <w:rFonts w:ascii="Verdana" w:eastAsia="Calibri" w:hAnsi="Verdana" w:cs="Times New Roman"/>
              </w:rPr>
              <w:t>Conforme a lo expuesto, en el marco del Sistema General de Regalías</w:t>
            </w:r>
            <w:r w:rsidRPr="007C3DF2">
              <w:rPr>
                <w:rFonts w:ascii="Verdana" w:eastAsia="Calibri" w:hAnsi="Verdana" w:cs="Arial"/>
              </w:rPr>
              <w:t xml:space="preserve"> las entidades ejecutoras tienen la</w:t>
            </w:r>
            <w:r w:rsidRPr="007C3DF2">
              <w:rPr>
                <w:rFonts w:ascii="Verdana" w:eastAsia="Calibri" w:hAnsi="Verdana" w:cs="Times New Roman"/>
              </w:rPr>
              <w:t xml:space="preserve"> obligación de registro y publicación en el SECOP de toda la actividad contractual. Además,</w:t>
            </w:r>
            <w:r w:rsidRPr="007C3DF2">
              <w:rPr>
                <w:rFonts w:ascii="Verdana" w:eastAsia="Calibri" w:hAnsi="Verdana" w:cs="Arial"/>
                <w:noProof/>
              </w:rPr>
              <w:t xml:space="preserve"> este deber de publicación en el SECOP, se hace extensivo a la entidades ejecutoras teniendo en cuenta que su actividad en esta materia se encuentra sometida al Estatuto General de Contratación de la Administración Pública, en virtud de la remisión del </w:t>
            </w:r>
            <w:r w:rsidRPr="007C3DF2">
              <w:rPr>
                <w:rFonts w:ascii="Verdana" w:eastAsia="Calibri" w:hAnsi="Verdana" w:cs="Arial"/>
                <w:color w:val="000000" w:themeColor="text1"/>
                <w:lang w:eastAsia="es-ES"/>
              </w:rPr>
              <w:t xml:space="preserve">artículo 37 de la Ley 2056 de 2020. De cualquier modo, es importante aclarar que el deber de publicidad también es extensible a las entidades exceptuadas, en los términos del artículo 53 </w:t>
            </w:r>
            <w:r w:rsidRPr="007C3DF2">
              <w:rPr>
                <w:rFonts w:ascii="Verdana" w:eastAsia="Calibri" w:hAnsi="Verdana" w:cs="Arial"/>
                <w:lang w:val="es-ES_tradnl"/>
              </w:rPr>
              <w:t>de la Ley 2195 de 2022, quienes</w:t>
            </w:r>
            <w:r w:rsidRPr="007C3DF2">
              <w:rPr>
                <w:rFonts w:ascii="Verdana" w:eastAsia="Calibri" w:hAnsi="Verdana" w:cs="Arial"/>
                <w:noProof/>
              </w:rPr>
              <w:t xml:space="preserve"> deben </w:t>
            </w:r>
            <w:r w:rsidRPr="007C3DF2">
              <w:rPr>
                <w:rFonts w:ascii="Verdana" w:eastAsia="Calibri" w:hAnsi="Verdana" w:cs="Arial"/>
                <w:lang w:val="es-ES_tradnl"/>
              </w:rPr>
              <w:t>publicar en el SECOP II todo documento expedido durante las diferentes etapas del proceso contractual, abarcando desde la fase previa a su celebración, pasando por la ejecución y hasta la fase posterior a su ejecución. Lo anterior sin perjuicio de las reservas de información establecidas en normas de orden constitucional o legal.</w:t>
            </w:r>
          </w:p>
          <w:p w14:paraId="0EA89132" w14:textId="77777777" w:rsidR="007C3DF2" w:rsidRPr="007C3DF2" w:rsidRDefault="007C3DF2" w:rsidP="007C3DF2">
            <w:pPr>
              <w:spacing w:before="120" w:line="276" w:lineRule="auto"/>
              <w:ind w:firstLine="709"/>
              <w:jc w:val="both"/>
              <w:rPr>
                <w:rFonts w:ascii="Verdana" w:eastAsia="Calibri" w:hAnsi="Verdana" w:cs="Times New Roman"/>
              </w:rPr>
            </w:pPr>
            <w:r w:rsidRPr="007C3DF2">
              <w:rPr>
                <w:rFonts w:ascii="Verdana" w:hAnsi="Verdana"/>
              </w:rPr>
              <w:t xml:space="preserve">Finalmente, se precisa que corresponde a cada entidad pública, en ejercicio de su competencia y previa valoración de los elementos fácticos y jurídicos, así como de las disposiciones legales mencionadas, determinar su gestión contractual.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w:t>
            </w:r>
            <w:r w:rsidRPr="007C3DF2">
              <w:rPr>
                <w:rFonts w:ascii="Verdana" w:hAnsi="Verdana"/>
              </w:rPr>
              <w:lastRenderedPageBreak/>
              <w:t xml:space="preserve">contractual, sin que sea atribución de Colombia Compra Eficiente validar sus actuaciones ni determinar las irregularidades de un proceso de contratación. </w:t>
            </w:r>
          </w:p>
        </w:tc>
      </w:tr>
    </w:tbl>
    <w:p w14:paraId="179AAF0F" w14:textId="77777777" w:rsidR="007C3DF2" w:rsidRPr="007C3DF2" w:rsidRDefault="007C3DF2" w:rsidP="007C3DF2">
      <w:pPr>
        <w:tabs>
          <w:tab w:val="left" w:pos="142"/>
          <w:tab w:val="left" w:pos="284"/>
        </w:tabs>
        <w:spacing w:after="0" w:line="276" w:lineRule="auto"/>
        <w:jc w:val="both"/>
        <w:rPr>
          <w:rFonts w:ascii="Verdana" w:eastAsia="Century Gothic" w:hAnsi="Verdana" w:cs="Century Gothic"/>
          <w:b/>
          <w:bCs/>
        </w:rPr>
      </w:pPr>
    </w:p>
    <w:bookmarkEnd w:id="3"/>
    <w:p w14:paraId="243A9BCE" w14:textId="77777777" w:rsidR="007C3DF2" w:rsidRPr="007C3DF2" w:rsidRDefault="007C3DF2" w:rsidP="007C3DF2">
      <w:pPr>
        <w:numPr>
          <w:ilvl w:val="0"/>
          <w:numId w:val="1"/>
        </w:numPr>
        <w:tabs>
          <w:tab w:val="left" w:pos="142"/>
          <w:tab w:val="left" w:pos="284"/>
        </w:tabs>
        <w:spacing w:after="0" w:line="276" w:lineRule="auto"/>
        <w:jc w:val="both"/>
        <w:rPr>
          <w:rFonts w:ascii="Verdana" w:eastAsia="Century Gothic" w:hAnsi="Verdana" w:cs="Century Gothic"/>
          <w:b/>
          <w:bCs/>
        </w:rPr>
      </w:pPr>
      <w:r w:rsidRPr="007C3DF2">
        <w:rPr>
          <w:rFonts w:ascii="Verdana" w:eastAsia="Century Gothic" w:hAnsi="Verdana" w:cs="Century Gothic"/>
          <w:b/>
          <w:bCs/>
        </w:rPr>
        <w:t>Razones de las respuestas:</w:t>
      </w:r>
    </w:p>
    <w:p w14:paraId="77780101" w14:textId="77777777" w:rsidR="007C3DF2" w:rsidRPr="007C3DF2" w:rsidRDefault="007C3DF2" w:rsidP="007C3DF2">
      <w:pPr>
        <w:spacing w:after="0" w:line="276" w:lineRule="auto"/>
        <w:jc w:val="both"/>
        <w:rPr>
          <w:rFonts w:ascii="Verdana" w:eastAsia="Calibri" w:hAnsi="Verdana" w:cs="Arial"/>
          <w:color w:val="7030A0"/>
        </w:rPr>
      </w:pPr>
    </w:p>
    <w:p w14:paraId="51CB7507" w14:textId="77777777" w:rsidR="007C3DF2" w:rsidRPr="007C3DF2" w:rsidRDefault="007C3DF2" w:rsidP="007C3DF2">
      <w:pPr>
        <w:spacing w:after="0" w:line="276" w:lineRule="auto"/>
        <w:jc w:val="both"/>
        <w:rPr>
          <w:rFonts w:ascii="Verdana" w:eastAsia="Calibri" w:hAnsi="Verdana" w:cs="Arial"/>
        </w:rPr>
      </w:pPr>
      <w:r w:rsidRPr="007C3DF2">
        <w:rPr>
          <w:rFonts w:ascii="Verdana" w:eastAsia="Calibri" w:hAnsi="Verdana" w:cs="Arial"/>
        </w:rPr>
        <w:t>Lo anterior se sustenta en las siguientes consideraciones:</w:t>
      </w:r>
    </w:p>
    <w:p w14:paraId="05557C84" w14:textId="77777777" w:rsidR="007C3DF2" w:rsidRPr="007C3DF2" w:rsidRDefault="007C3DF2" w:rsidP="007C3DF2">
      <w:pPr>
        <w:spacing w:after="0" w:line="276" w:lineRule="auto"/>
        <w:jc w:val="both"/>
        <w:rPr>
          <w:rFonts w:ascii="Verdana" w:eastAsia="Calibri" w:hAnsi="Verdana" w:cs="Arial"/>
        </w:rPr>
      </w:pPr>
    </w:p>
    <w:p w14:paraId="3B9687CE" w14:textId="113800F8" w:rsidR="007C3DF2" w:rsidRPr="007C3DF2" w:rsidRDefault="007C3DF2" w:rsidP="007C3DF2">
      <w:pPr>
        <w:spacing w:after="120" w:line="276" w:lineRule="auto"/>
        <w:jc w:val="both"/>
        <w:rPr>
          <w:rFonts w:ascii="Verdana" w:eastAsia="Calibri" w:hAnsi="Verdana" w:cs="Arial"/>
          <w:color w:val="000000"/>
          <w:lang w:val="es-ES" w:eastAsia="es-ES"/>
        </w:rPr>
      </w:pPr>
      <w:r w:rsidRPr="007C3DF2">
        <w:rPr>
          <w:rFonts w:ascii="Verdana" w:eastAsia="Calibri" w:hAnsi="Verdana" w:cs="Arial"/>
          <w:color w:val="000000"/>
          <w:lang w:val="es-ES" w:eastAsia="es-ES"/>
        </w:rPr>
        <w:t xml:space="preserve">i. Como punto de partida es importante señalar que conforme a la interpretación general de las normas del sistema de compras públicas, esta Subdirección en </w:t>
      </w:r>
      <w:r w:rsidRPr="007C3DF2">
        <w:rPr>
          <w:rFonts w:ascii="Verdana" w:hAnsi="Verdana" w:cs="Arial"/>
        </w:rPr>
        <w:t xml:space="preserve">los conceptos </w:t>
      </w:r>
      <w:r w:rsidRPr="007C3DF2">
        <w:rPr>
          <w:rFonts w:ascii="Verdana" w:hAnsi="Verdana"/>
        </w:rPr>
        <w:t>C-370 del 2021,</w:t>
      </w:r>
      <w:r w:rsidRPr="007C3DF2">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y C-417 del 2026</w:t>
      </w:r>
      <w:r w:rsidRPr="007C3DF2">
        <w:rPr>
          <w:rFonts w:ascii="Verdana" w:hAnsi="Verdana" w:cs="Arial"/>
        </w:rPr>
        <w:t xml:space="preserve"> y C-764 del 29 de mayo de 2026</w:t>
      </w:r>
      <w:r w:rsidRPr="007C3DF2">
        <w:rPr>
          <w:rFonts w:ascii="Verdana" w:hAnsi="Verdana" w:cs="Arial"/>
          <w:shd w:val="clear" w:color="auto" w:fill="FFFFFF"/>
        </w:rPr>
        <w:t xml:space="preserve">, ha mantenido la postura en virtud de la cual </w:t>
      </w:r>
      <w:r w:rsidRPr="007C3DF2">
        <w:rPr>
          <w:rFonts w:ascii="Verdana" w:eastAsia="Calibri" w:hAnsi="Verdana" w:cs="Arial"/>
          <w:color w:val="000000"/>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a las prescripciones establecidas en el Estatuto General de Contratación de la Administración Pública-EGCAP, así como las normas que lo modifiquen, sustituyan o reglamenten.</w:t>
      </w:r>
    </w:p>
    <w:p w14:paraId="18E4B7FD" w14:textId="77777777" w:rsidR="007C3DF2" w:rsidRPr="007C3DF2" w:rsidRDefault="007C3DF2" w:rsidP="007C3DF2">
      <w:pPr>
        <w:spacing w:after="120" w:line="276" w:lineRule="auto"/>
        <w:ind w:firstLine="709"/>
        <w:jc w:val="both"/>
        <w:rPr>
          <w:rFonts w:ascii="Verdana" w:hAnsi="Verdana" w:cs="Arial"/>
          <w:noProof/>
        </w:rPr>
      </w:pPr>
      <w:r w:rsidRPr="007C3DF2">
        <w:rPr>
          <w:rFonts w:ascii="Verdana" w:eastAsia="Calibri" w:hAnsi="Verdana" w:cs="Arial"/>
          <w:color w:val="000000"/>
          <w:lang w:val="es-ES" w:eastAsia="es-ES"/>
        </w:rPr>
        <w:t xml:space="preserve">En efecto, conforme se ha explicado en estos conceptos, </w:t>
      </w:r>
      <w:r w:rsidRPr="007C3DF2">
        <w:rPr>
          <w:rFonts w:ascii="Verdana" w:hAnsi="Verdana" w:cs="Arial"/>
          <w:noProof/>
          <w:lang w:val="es-ES_tradnl"/>
        </w:rPr>
        <w:t xml:space="preserve">en </w:t>
      </w:r>
      <w:r w:rsidRPr="007C3DF2">
        <w:rPr>
          <w:rFonts w:ascii="Verdana" w:hAnsi="Verdana" w:cs="Arial"/>
          <w:noProof/>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197329B2" w14:textId="77777777" w:rsidR="007C3DF2" w:rsidRPr="007C3DF2" w:rsidRDefault="007C3DF2" w:rsidP="007C3DF2">
      <w:pPr>
        <w:spacing w:after="120" w:line="276" w:lineRule="auto"/>
        <w:ind w:firstLine="709"/>
        <w:jc w:val="both"/>
        <w:rPr>
          <w:rFonts w:ascii="Verdana" w:hAnsi="Verdana" w:cs="Arial"/>
        </w:rPr>
      </w:pPr>
      <w:r w:rsidRPr="007C3DF2">
        <w:rPr>
          <w:rFonts w:ascii="Verdana" w:hAnsi="Verdana" w:cs="Arial"/>
          <w:noProof/>
        </w:rPr>
        <w:lastRenderedPageBreak/>
        <w:t xml:space="preserve">Particularmente, el artículo 37 </w:t>
      </w:r>
      <w:r w:rsidRPr="007C3DF2">
        <w:rPr>
          <w:rFonts w:ascii="Verdana" w:hAnsi="Verdana" w:cs="Arial"/>
        </w:rPr>
        <w:t xml:space="preserve">de la Ley 2056 de 2020 dispone que los proyectos de inversión que se financien con cargo al Sistema General de Regalías serán ejecutados por quien designe las entidades u órganos de que tratan los artículos 35 y 36 </w:t>
      </w:r>
      <w:r w:rsidRPr="007C3DF2">
        <w:rPr>
          <w:rFonts w:ascii="Verdana" w:hAnsi="Verdana" w:cs="Arial"/>
          <w:i/>
          <w:iCs/>
        </w:rPr>
        <w:t>ibidem</w:t>
      </w:r>
      <w:r w:rsidRPr="007C3DF2">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7C3DF2">
        <w:rPr>
          <w:rFonts w:ascii="Verdana" w:hAnsi="Verdana" w:cs="Arial"/>
        </w:rPr>
        <w:t>los mismos</w:t>
      </w:r>
      <w:proofErr w:type="gramEnd"/>
      <w:r w:rsidRPr="007C3DF2">
        <w:rPr>
          <w:rFonts w:ascii="Verdana" w:hAnsi="Verdana" w:cs="Arial"/>
        </w:rPr>
        <w:t xml:space="preserve">, sin perjuicio de las acciones de control a las que haya lugar. </w:t>
      </w:r>
    </w:p>
    <w:p w14:paraId="721361C2" w14:textId="77777777" w:rsidR="007C3DF2" w:rsidRPr="007C3DF2" w:rsidRDefault="007C3DF2" w:rsidP="007C3DF2">
      <w:pPr>
        <w:spacing w:after="120" w:line="276" w:lineRule="auto"/>
        <w:ind w:firstLine="709"/>
        <w:jc w:val="both"/>
        <w:rPr>
          <w:rFonts w:ascii="Verdana" w:hAnsi="Verdana" w:cs="Arial"/>
        </w:rPr>
      </w:pPr>
      <w:r w:rsidRPr="007C3DF2">
        <w:rPr>
          <w:rFonts w:ascii="Verdana" w:hAnsi="Verdana" w:cs="Arial"/>
        </w:rPr>
        <w:t xml:space="preserve">El parágrafo primero del artículo 37 </w:t>
      </w:r>
      <w:r w:rsidRPr="007C3DF2">
        <w:rPr>
          <w:rFonts w:ascii="Verdana" w:hAnsi="Verdana" w:cs="Arial"/>
          <w:i/>
          <w:iCs/>
        </w:rPr>
        <w:t>ibidem</w:t>
      </w:r>
      <w:r w:rsidRPr="007C3DF2">
        <w:rPr>
          <w:rFonts w:ascii="Verdana" w:hAnsi="Verdana" w:cs="Arial"/>
        </w:rPr>
        <w:t xml:space="preserve"> dispone lo siguiente: “La ejecución de proyectos de que trata este artículo, se adelantará, con estricta sujeción al régimen presupuestal definido en esta ley, </w:t>
      </w:r>
      <w:r w:rsidRPr="007C3DF2">
        <w:rPr>
          <w:rFonts w:ascii="Verdana" w:hAnsi="Verdana" w:cs="Arial"/>
          <w:i/>
          <w:iCs/>
          <w:u w:val="single"/>
        </w:rPr>
        <w:t>al de contratación pública</w:t>
      </w:r>
      <w:r w:rsidRPr="007C3DF2">
        <w:rPr>
          <w:rFonts w:ascii="Verdana" w:hAnsi="Verdana" w:cs="Arial"/>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r w:rsidRPr="007C3DF2">
        <w:rPr>
          <w:rFonts w:ascii="Verdana" w:hAnsi="Verdana" w:cs="Arial"/>
          <w:vertAlign w:val="superscript"/>
        </w:rPr>
        <w:footnoteReference w:id="2"/>
      </w:r>
      <w:r w:rsidRPr="007C3DF2">
        <w:rPr>
          <w:rFonts w:ascii="Verdana" w:hAnsi="Verdana" w:cs="Arial"/>
        </w:rPr>
        <w:t>.</w:t>
      </w:r>
      <w:r w:rsidRPr="007C3DF2">
        <w:rPr>
          <w:rFonts w:ascii="Verdana" w:hAnsi="Verdana" w:cs="Arial"/>
          <w:noProof/>
        </w:rPr>
        <w:t xml:space="preserve"> A partir de esta norma, el ejercutor de los proyectos de </w:t>
      </w:r>
      <w:r w:rsidRPr="007C3DF2">
        <w:rPr>
          <w:rFonts w:ascii="Verdana" w:hAnsi="Verdana" w:cs="Arial"/>
          <w:noProof/>
        </w:rPr>
        <w:lastRenderedPageBreak/>
        <w:t xml:space="preserve">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6C9A5658" w14:textId="77777777" w:rsidR="007C3DF2" w:rsidRPr="007C3DF2" w:rsidRDefault="007C3DF2" w:rsidP="007C3DF2">
      <w:pPr>
        <w:spacing w:after="120" w:line="276" w:lineRule="auto"/>
        <w:ind w:firstLine="709"/>
        <w:jc w:val="both"/>
        <w:rPr>
          <w:rFonts w:ascii="Verdana" w:hAnsi="Verdana" w:cs="Arial"/>
          <w:bdr w:val="none" w:sz="0" w:space="0" w:color="auto" w:frame="1"/>
        </w:rPr>
      </w:pPr>
      <w:r w:rsidRPr="007C3DF2">
        <w:rPr>
          <w:rFonts w:ascii="Verdana" w:hAnsi="Verdana" w:cs="Arial"/>
        </w:rPr>
        <w:t xml:space="preserve">Por tanto, en caso de que se realicen proyectos de inversión en el marco del Sistema General de Regalías, como también aquellos proyectos especiales referenciados </w:t>
      </w:r>
      <w:r w:rsidRPr="007C3DF2">
        <w:rPr>
          <w:rFonts w:ascii="Verdana" w:hAnsi="Verdana" w:cs="Arial"/>
          <w:i/>
          <w:iCs/>
        </w:rPr>
        <w:t>ut supra</w:t>
      </w:r>
      <w:r w:rsidRPr="007C3DF2">
        <w:rPr>
          <w:rFonts w:ascii="Verdana" w:hAnsi="Verdana" w:cs="Arial"/>
        </w:rPr>
        <w:t>, los ejecutores designados para desarrollarlos deben sujetarse al Estatuto General de Contratación de la Administración Pública</w:t>
      </w:r>
      <w:r w:rsidRPr="007C3DF2">
        <w:rPr>
          <w:rFonts w:ascii="Verdana" w:eastAsia="Calibri" w:hAnsi="Verdana" w:cs="Arial"/>
        </w:rPr>
        <w:t>.</w:t>
      </w:r>
      <w:r w:rsidRPr="007C3DF2">
        <w:rPr>
          <w:rFonts w:ascii="Verdana" w:hAnsi="Verdana" w:cs="Arial"/>
        </w:rPr>
        <w:t xml:space="preserve"> </w:t>
      </w:r>
      <w:r w:rsidRPr="007C3DF2">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77EF6C5F" w14:textId="77777777" w:rsidR="007C3DF2" w:rsidRPr="007C3DF2" w:rsidRDefault="007C3DF2" w:rsidP="007C3DF2">
      <w:pPr>
        <w:spacing w:after="120" w:line="276" w:lineRule="auto"/>
        <w:ind w:firstLine="709"/>
        <w:jc w:val="both"/>
        <w:rPr>
          <w:rFonts w:ascii="Verdana" w:eastAsia="Calibri" w:hAnsi="Verdana" w:cs="Arial"/>
          <w:iCs/>
          <w:color w:val="000000"/>
          <w:lang w:eastAsia="es-ES"/>
        </w:rPr>
      </w:pPr>
      <w:r w:rsidRPr="007C3DF2">
        <w:rPr>
          <w:rFonts w:ascii="Verdana" w:eastAsia="Calibri" w:hAnsi="Verdana" w:cs="Arial"/>
          <w:color w:val="000000"/>
          <w:lang w:val="es-ES" w:eastAsia="es-ES"/>
        </w:rPr>
        <w:t>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r w:rsidRPr="007C3DF2">
        <w:rPr>
          <w:rFonts w:ascii="Verdana" w:eastAsia="Calibri" w:hAnsi="Verdana" w:cs="Arial"/>
          <w:iCs/>
          <w:color w:val="000000"/>
          <w:lang w:eastAsia="es-ES"/>
        </w:rPr>
        <w:t>.</w:t>
      </w:r>
    </w:p>
    <w:p w14:paraId="371D62D6" w14:textId="77777777" w:rsidR="007C3DF2" w:rsidRPr="007C3DF2" w:rsidRDefault="007C3DF2" w:rsidP="007C3DF2">
      <w:pPr>
        <w:spacing w:after="120" w:line="276" w:lineRule="auto"/>
        <w:ind w:firstLine="709"/>
        <w:jc w:val="both"/>
        <w:rPr>
          <w:rFonts w:ascii="Verdana" w:eastAsia="Calibri" w:hAnsi="Verdana" w:cs="Arial"/>
          <w:color w:val="000000" w:themeColor="text1"/>
          <w:lang w:eastAsia="es-ES"/>
        </w:rPr>
      </w:pPr>
      <w:r w:rsidRPr="007C3DF2">
        <w:rPr>
          <w:rFonts w:ascii="Verdana" w:eastAsia="Calibri" w:hAnsi="Verdana" w:cs="Arial"/>
        </w:rPr>
        <w:t xml:space="preserve">De acuerdo con esta interpretación, esta Subdirección considera que el </w:t>
      </w:r>
      <w:r w:rsidRPr="007C3DF2">
        <w:rPr>
          <w:rFonts w:ascii="Verdana" w:eastAsia="Calibri" w:hAnsi="Verdana" w:cs="Arial"/>
          <w:color w:val="000000" w:themeColor="text1"/>
          <w:lang w:eastAsia="es-ES"/>
        </w:rPr>
        <w:t>parágrafo primero del artículo 37 de la Ley 2056 de 2020 incorpora una remisión normativa expresa y categórica al régimen de contratación pública, es decir, a las reglas contenidas principalmente en la Ley 80 de 1993 y sus normas complementarias - Ley 1150 de 2007, Decreto 1082 de 2015, entre otras-. Además, el uso de la expresión “estricta sujeción” refuerza la intención del legislador de conferir un carácter obligatorio a dicha remisión.</w:t>
      </w:r>
    </w:p>
    <w:p w14:paraId="7D657BFD" w14:textId="77777777" w:rsidR="007C3DF2" w:rsidRPr="007C3DF2" w:rsidRDefault="007C3DF2" w:rsidP="007C3DF2">
      <w:pPr>
        <w:spacing w:after="120" w:line="276" w:lineRule="auto"/>
        <w:ind w:firstLine="709"/>
        <w:jc w:val="both"/>
        <w:rPr>
          <w:rFonts w:ascii="Verdana" w:eastAsia="Calibri" w:hAnsi="Verdana" w:cs="Arial"/>
          <w:color w:val="000000" w:themeColor="text1"/>
          <w:lang w:eastAsia="es-ES"/>
        </w:rPr>
      </w:pPr>
      <w:r w:rsidRPr="007C3DF2">
        <w:rPr>
          <w:rFonts w:ascii="Verdana" w:eastAsia="Calibri" w:hAnsi="Verdana" w:cs="Arial"/>
          <w:color w:val="000000" w:themeColor="text1"/>
          <w:lang w:eastAsia="es-ES"/>
        </w:rPr>
        <w:t xml:space="preserve">El alcance de esta remisión normativa implica que, para efectos de la ejecución de proyectos financiados con recursos del Sistema General de </w:t>
      </w:r>
      <w:r w:rsidRPr="007C3DF2">
        <w:rPr>
          <w:rFonts w:ascii="Verdana" w:eastAsia="Calibri" w:hAnsi="Verdana" w:cs="Arial"/>
          <w:color w:val="000000" w:themeColor="text1"/>
          <w:lang w:eastAsia="es-ES"/>
        </w:rPr>
        <w:lastRenderedPageBreak/>
        <w:t xml:space="preserve">Regalías, las entidades ejecutoras deben sujetarse a las reglas y principios establecidos en el Estatuto General de Contratación de la Administración Pública y sus disposiciones reglamentarias. En tal sentido, esta remisión impone la aplicación del régimen general de contratación pública como garantía de transparencia y eficiencia configurando un marco jurídico específico que se activa por el uso de los recursos de regalías, lo que excluye la aplicación de regímenes especiales. </w:t>
      </w:r>
    </w:p>
    <w:p w14:paraId="3952875B" w14:textId="77777777" w:rsidR="007C3DF2" w:rsidRPr="007C3DF2" w:rsidRDefault="007C3DF2" w:rsidP="007C3DF2">
      <w:pPr>
        <w:spacing w:after="120" w:line="276" w:lineRule="auto"/>
        <w:ind w:firstLine="709"/>
        <w:jc w:val="both"/>
        <w:rPr>
          <w:rFonts w:ascii="Verdana" w:eastAsia="Calibri" w:hAnsi="Verdana" w:cs="Arial"/>
          <w:color w:val="000000" w:themeColor="text1"/>
          <w:lang w:eastAsia="es-ES"/>
        </w:rPr>
      </w:pPr>
      <w:r w:rsidRPr="007C3DF2">
        <w:rPr>
          <w:rFonts w:ascii="Verdana" w:eastAsia="Calibri" w:hAnsi="Verdana" w:cs="Arial"/>
          <w:color w:val="000000" w:themeColor="text1"/>
          <w:lang w:eastAsia="es-ES"/>
        </w:rPr>
        <w:t>Así pues, se parte de una lectura literal del texto normativo, en la que la remisión al EGCAP refleja de manera directa la voluntad del legislador de someter tales asuntos a la ley 80 de 1993 y normas reglamentarias vigentes. De igual forma, esta remisión expresa al EGCAP establecida en el parágrafo 1 del artículo 37 se contempla en diferentes disposiciones de la Ley 2056 de 2020, como son los artículos 84</w:t>
      </w:r>
      <w:r w:rsidRPr="007C3DF2">
        <w:rPr>
          <w:rFonts w:ascii="Verdana" w:eastAsia="Calibri" w:hAnsi="Verdana" w:cs="Arial"/>
          <w:color w:val="000000" w:themeColor="text1"/>
          <w:vertAlign w:val="superscript"/>
          <w:lang w:eastAsia="es-ES"/>
        </w:rPr>
        <w:footnoteReference w:id="3"/>
      </w:r>
      <w:r w:rsidRPr="007C3DF2">
        <w:rPr>
          <w:rFonts w:ascii="Verdana" w:eastAsia="Calibri" w:hAnsi="Verdana" w:cs="Arial"/>
          <w:color w:val="000000" w:themeColor="text1"/>
          <w:lang w:eastAsia="es-ES"/>
        </w:rPr>
        <w:t>, 98</w:t>
      </w:r>
      <w:r w:rsidRPr="007C3DF2">
        <w:rPr>
          <w:rFonts w:ascii="Verdana" w:eastAsia="Calibri" w:hAnsi="Verdana" w:cs="Arial"/>
          <w:color w:val="000000" w:themeColor="text1"/>
          <w:vertAlign w:val="superscript"/>
          <w:lang w:eastAsia="es-ES"/>
        </w:rPr>
        <w:footnoteReference w:id="4"/>
      </w:r>
      <w:r w:rsidRPr="007C3DF2">
        <w:rPr>
          <w:rFonts w:ascii="Verdana" w:eastAsia="Calibri" w:hAnsi="Verdana" w:cs="Arial"/>
          <w:color w:val="000000" w:themeColor="text1"/>
          <w:lang w:eastAsia="es-ES"/>
        </w:rPr>
        <w:t>, 99</w:t>
      </w:r>
      <w:r w:rsidRPr="007C3DF2">
        <w:rPr>
          <w:rFonts w:ascii="Verdana" w:eastAsia="Calibri" w:hAnsi="Verdana" w:cs="Arial"/>
          <w:color w:val="000000" w:themeColor="text1"/>
          <w:vertAlign w:val="superscript"/>
          <w:lang w:eastAsia="es-ES"/>
        </w:rPr>
        <w:footnoteReference w:id="5"/>
      </w:r>
      <w:r w:rsidRPr="007C3DF2">
        <w:rPr>
          <w:rFonts w:ascii="Verdana" w:eastAsia="Calibri" w:hAnsi="Verdana" w:cs="Arial"/>
          <w:color w:val="000000" w:themeColor="text1"/>
          <w:lang w:eastAsia="es-ES"/>
        </w:rPr>
        <w:t>, 108</w:t>
      </w:r>
      <w:r w:rsidRPr="007C3DF2">
        <w:rPr>
          <w:rFonts w:ascii="Verdana" w:eastAsia="Calibri" w:hAnsi="Verdana" w:cs="Arial"/>
          <w:color w:val="000000" w:themeColor="text1"/>
          <w:vertAlign w:val="superscript"/>
          <w:lang w:eastAsia="es-ES"/>
        </w:rPr>
        <w:footnoteReference w:id="6"/>
      </w:r>
      <w:r w:rsidRPr="007C3DF2">
        <w:rPr>
          <w:rFonts w:ascii="Verdana" w:eastAsia="Calibri" w:hAnsi="Verdana" w:cs="Arial"/>
          <w:color w:val="000000" w:themeColor="text1"/>
          <w:lang w:eastAsia="es-ES"/>
        </w:rPr>
        <w:t xml:space="preserve"> y 109</w:t>
      </w:r>
      <w:r w:rsidRPr="007C3DF2">
        <w:rPr>
          <w:rFonts w:ascii="Verdana" w:eastAsia="Calibri" w:hAnsi="Verdana" w:cs="Arial"/>
          <w:color w:val="000000" w:themeColor="text1"/>
          <w:vertAlign w:val="superscript"/>
          <w:lang w:eastAsia="es-ES"/>
        </w:rPr>
        <w:footnoteReference w:id="7"/>
      </w:r>
      <w:r w:rsidRPr="007C3DF2">
        <w:rPr>
          <w:rFonts w:ascii="Verdana" w:eastAsia="Calibri" w:hAnsi="Verdana" w:cs="Arial"/>
          <w:color w:val="000000" w:themeColor="text1"/>
          <w:lang w:eastAsia="es-ES"/>
        </w:rPr>
        <w:t>, lo que evidencia una voluntad legislativa clara y reiterada de aplicar el EGCAP, sin distinción o salvedades sobre el régimen de contratación de las entidades ejecutoras.</w:t>
      </w:r>
    </w:p>
    <w:p w14:paraId="2E1F7E02" w14:textId="77777777" w:rsidR="007C3DF2" w:rsidRPr="007C3DF2" w:rsidRDefault="007C3DF2" w:rsidP="007C3DF2">
      <w:pPr>
        <w:spacing w:after="120" w:line="276" w:lineRule="auto"/>
        <w:ind w:firstLine="709"/>
        <w:jc w:val="both"/>
        <w:rPr>
          <w:rFonts w:ascii="Verdana" w:eastAsia="Calibri" w:hAnsi="Verdana" w:cs="Arial"/>
          <w:color w:val="000000" w:themeColor="text1"/>
          <w:lang w:eastAsia="es-ES"/>
        </w:rPr>
      </w:pPr>
      <w:r w:rsidRPr="007C3DF2">
        <w:rPr>
          <w:rFonts w:ascii="Verdana" w:eastAsia="Calibri" w:hAnsi="Verdana" w:cs="Arial"/>
          <w:color w:val="000000" w:themeColor="text1"/>
          <w:lang w:eastAsia="es-ES"/>
        </w:rPr>
        <w:t xml:space="preserve">Desde una lectura sistemática de la Ley 2056 de 2020, estas múltiples remisiones a las normas del régimen general de contratación pública no deben considerarse como simples alusiones formales sin efectos jurídicos. Por el contrario, configuran un mandato normativo concreto que impone la aplicación del EGCAP en la contratación de proyectos financiados con recursos de regalías. </w:t>
      </w:r>
      <w:r w:rsidRPr="007C3DF2">
        <w:rPr>
          <w:rFonts w:ascii="Verdana" w:eastAsia="Calibri" w:hAnsi="Verdana" w:cs="Arial"/>
          <w:color w:val="000000" w:themeColor="text1"/>
          <w:lang w:eastAsia="es-ES"/>
        </w:rPr>
        <w:lastRenderedPageBreak/>
        <w:t>De esta manera, una lectura sistemática de todas las normas señaladas conlleva a interpretar la ley en su conjunto, atendiendo no solo a su tenor literal, sino a su estructura interna, lo que permite identificar una intención legislativa de sujetar la ejecución de los recursos del SGR al EGCAP, sin excepciones.</w:t>
      </w:r>
    </w:p>
    <w:p w14:paraId="0931E54D" w14:textId="77777777" w:rsidR="007C3DF2" w:rsidRPr="007C3DF2" w:rsidRDefault="007C3DF2" w:rsidP="007C3DF2">
      <w:pPr>
        <w:spacing w:after="120" w:line="276" w:lineRule="auto"/>
        <w:ind w:firstLine="709"/>
        <w:jc w:val="both"/>
        <w:rPr>
          <w:rFonts w:ascii="Verdana" w:eastAsia="Calibri" w:hAnsi="Verdana" w:cs="Arial"/>
          <w:color w:val="000000" w:themeColor="text1"/>
          <w:lang w:eastAsia="es-ES"/>
        </w:rPr>
      </w:pPr>
      <w:r w:rsidRPr="007C3DF2">
        <w:rPr>
          <w:rFonts w:ascii="Verdana" w:eastAsia="Calibri" w:hAnsi="Verdana" w:cs="Arial"/>
          <w:color w:val="000000" w:themeColor="text1"/>
          <w:lang w:eastAsia="es-ES"/>
        </w:rPr>
        <w:t xml:space="preserve">Aunado a lo anterior, se precisa que el parágrafo 1 del artículo 37 de la Ley 2056 de 2020 no distingue sobre el tipo de régimen de contratación aplicable a las entidades ejecutoras de los recursos del SGR, sin embargo, si realiza la remisión expresa al EGCAP. Por tanto, en desarrollo del principio general de interpretación jurídica según el cual </w:t>
      </w:r>
      <w:r w:rsidRPr="007C3DF2">
        <w:rPr>
          <w:rFonts w:ascii="Verdana" w:eastAsia="Calibri" w:hAnsi="Verdana" w:cs="Arial"/>
          <w:i/>
          <w:iCs/>
          <w:color w:val="000000" w:themeColor="text1"/>
          <w:lang w:eastAsia="es-ES"/>
        </w:rPr>
        <w:t>donde la norma no distingue, no le corresponde distinguir al intérprete,</w:t>
      </w:r>
      <w:r w:rsidRPr="007C3DF2">
        <w:rPr>
          <w:rFonts w:ascii="Verdana" w:eastAsia="Calibri" w:hAnsi="Verdana" w:cs="Arial"/>
          <w:color w:val="000000" w:themeColor="text1"/>
          <w:lang w:eastAsia="es-ES"/>
        </w:rPr>
        <w:t xml:space="preserve"> no resulta viable concluir que es posible la aplicación de un régimen distinto al del EGCAP. Esta regla cobra particular relevancia por el carácter público de los recursos, en los que se impone garantizar</w:t>
      </w:r>
      <w:r w:rsidRPr="007C3DF2">
        <w:t xml:space="preserve"> </w:t>
      </w:r>
      <w:r w:rsidRPr="007C3DF2">
        <w:rPr>
          <w:rFonts w:ascii="Verdana" w:eastAsia="Calibri" w:hAnsi="Verdana" w:cs="Arial"/>
          <w:color w:val="000000" w:themeColor="text1"/>
          <w:lang w:eastAsia="es-ES"/>
        </w:rPr>
        <w:t xml:space="preserve">la eficiencia, transparencia y responsabilidad en la gestión del gasto público.  </w:t>
      </w:r>
    </w:p>
    <w:p w14:paraId="5A3674E4" w14:textId="77777777" w:rsidR="007C3DF2" w:rsidRPr="007C3DF2" w:rsidRDefault="007C3DF2" w:rsidP="007C3DF2">
      <w:pPr>
        <w:spacing w:after="120" w:line="276" w:lineRule="auto"/>
        <w:ind w:firstLine="709"/>
        <w:jc w:val="both"/>
        <w:rPr>
          <w:rFonts w:ascii="Verdana" w:eastAsia="Calibri" w:hAnsi="Verdana" w:cs="Arial"/>
          <w:color w:val="000000" w:themeColor="text1"/>
          <w:lang w:eastAsia="es-ES"/>
        </w:rPr>
      </w:pPr>
      <w:r w:rsidRPr="007C3DF2">
        <w:rPr>
          <w:rFonts w:ascii="Verdana" w:eastAsia="Calibri" w:hAnsi="Verdana" w:cs="Arial"/>
          <w:color w:val="000000" w:themeColor="text1"/>
          <w:lang w:eastAsia="es-ES"/>
        </w:rPr>
        <w:t xml:space="preserve">En este sentido,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 </w:t>
      </w:r>
    </w:p>
    <w:p w14:paraId="762F3853" w14:textId="77777777" w:rsidR="007C3DF2" w:rsidRPr="007C3DF2" w:rsidRDefault="007C3DF2" w:rsidP="007C3DF2">
      <w:pPr>
        <w:spacing w:after="120" w:line="276" w:lineRule="auto"/>
        <w:ind w:firstLine="709"/>
        <w:jc w:val="both"/>
        <w:rPr>
          <w:rFonts w:ascii="Verdana" w:eastAsia="Calibri" w:hAnsi="Verdana" w:cs="Arial"/>
          <w:color w:val="000000" w:themeColor="text1"/>
          <w:lang w:eastAsia="es-ES"/>
        </w:rPr>
      </w:pPr>
      <w:r w:rsidRPr="007C3DF2">
        <w:rPr>
          <w:rFonts w:ascii="Verdana" w:eastAsia="Calibri" w:hAnsi="Verdana" w:cs="Arial"/>
          <w:color w:val="000000" w:themeColor="text1"/>
          <w:lang w:eastAsia="es-ES"/>
        </w:rPr>
        <w:t>Adicionalmente, resulta pertinente indicar que el hecho de que el parágrafo primero del artículo 37 de la Ley 2056 de 2020 haga referencia a “las demás normas legales aplicables” no puede interpretarse como una exclusión de la remisión expresa que realiza al EGCAP. En otras palabras, dicha inclusión no niega que hay una remisión expresa y prevalente al EGCAP. Por el contrario, debe entenderse como una manifestación clara de la voluntad del legislador de establecer un marco normativo específico para la ejecución de los recursos del SGR, sin que ello implique desconocer o derogar de manera general los regímenes de contratación propios de las entidades que tienen regímenes especiales.</w:t>
      </w:r>
    </w:p>
    <w:p w14:paraId="0C90BEC4" w14:textId="77777777" w:rsidR="007C3DF2" w:rsidRPr="007C3DF2" w:rsidRDefault="007C3DF2" w:rsidP="007C3DF2">
      <w:pPr>
        <w:spacing w:after="120" w:line="276" w:lineRule="auto"/>
        <w:ind w:firstLine="709"/>
        <w:jc w:val="both"/>
        <w:rPr>
          <w:rFonts w:ascii="Verdana" w:eastAsia="Calibri" w:hAnsi="Verdana" w:cs="Arial"/>
          <w:color w:val="000000" w:themeColor="text1"/>
          <w:lang w:eastAsia="es-ES"/>
        </w:rPr>
      </w:pPr>
      <w:r w:rsidRPr="007C3DF2">
        <w:rPr>
          <w:rFonts w:ascii="Verdana" w:eastAsia="Calibri" w:hAnsi="Verdana" w:cs="Arial"/>
          <w:color w:val="000000" w:themeColor="text1"/>
          <w:lang w:eastAsia="es-ES"/>
        </w:rPr>
        <w:t xml:space="preserve">Por lo tanto, lejos de generar una contradicción normativa, la remisión al EGCAP debe entenderse como una disposición especial y prevalente frente a la aplicación de otras normas contractuales, y como un instrumento para </w:t>
      </w:r>
      <w:r w:rsidRPr="007C3DF2">
        <w:rPr>
          <w:rFonts w:ascii="Verdana" w:eastAsia="Calibri" w:hAnsi="Verdana" w:cs="Arial"/>
          <w:color w:val="000000" w:themeColor="text1"/>
          <w:lang w:eastAsia="es-ES"/>
        </w:rPr>
        <w:lastRenderedPageBreak/>
        <w:t>garantizar la unidad, el control y la eficiencia en el manejo de los recursos del Sistema General de Regalías.</w:t>
      </w:r>
    </w:p>
    <w:p w14:paraId="27F32D5C" w14:textId="77777777" w:rsidR="007C3DF2" w:rsidRPr="007C3DF2" w:rsidRDefault="007C3DF2" w:rsidP="007C3DF2">
      <w:pPr>
        <w:spacing w:after="120" w:line="276" w:lineRule="auto"/>
        <w:ind w:firstLine="709"/>
        <w:jc w:val="both"/>
        <w:rPr>
          <w:rFonts w:ascii="Verdana" w:eastAsia="Calibri" w:hAnsi="Verdana" w:cs="Arial"/>
          <w:color w:val="000000" w:themeColor="text1"/>
          <w:lang w:eastAsia="es-ES"/>
        </w:rPr>
      </w:pPr>
      <w:r w:rsidRPr="007C3DF2">
        <w:rPr>
          <w:rFonts w:ascii="Verdana" w:eastAsia="Calibri" w:hAnsi="Verdana" w:cs="Arial"/>
          <w:color w:val="000000" w:themeColor="text1"/>
          <w:lang w:eastAsia="es-ES"/>
        </w:rPr>
        <w:t>A lo anterior debe agregarse que en este marco también cobra relevancia el principio de hermenéutica jurídica del efecto útil de las normas, conforme al cual “debe preferir la interpretación que permita dotarlas de sentido y eficacia, frente a otra u otras que lo impidan”</w:t>
      </w:r>
      <w:r w:rsidRPr="007C3DF2">
        <w:rPr>
          <w:rFonts w:ascii="Verdana" w:eastAsia="Calibri" w:hAnsi="Verdana" w:cs="Arial"/>
          <w:color w:val="000000" w:themeColor="text1"/>
          <w:vertAlign w:val="superscript"/>
          <w:lang w:eastAsia="es-ES"/>
        </w:rPr>
        <w:footnoteReference w:id="8"/>
      </w:r>
      <w:r w:rsidRPr="007C3DF2">
        <w:rPr>
          <w:rFonts w:ascii="Verdana" w:eastAsia="Calibri" w:hAnsi="Verdana" w:cs="Arial"/>
          <w:color w:val="000000" w:themeColor="text1"/>
          <w:lang w:eastAsia="es-ES"/>
        </w:rPr>
        <w:t>, es decir, que su aplicación y efectividad debe estar ligada al propósito para el cual fueron promulgadas. En este sentido, desconocer la aplicación del EGCAP en el marco de la Ley 2056 de 2020 implicaría privar de eficacia la remisión expresa que esta ley establece en materia de contratación pública, contrariando tanto su tenor literal como su finalidad normativa. En este caso, la voluntad del legislador ha sido la de establecer mecanismos que garanticen la transparencia, eficiencia y control en la ejecución de los recursos del SGR mediante la aplicación del EGCAP, lo cual se refleja no solo en la redacción del articulado, sino también en los antecedentes legislativos que dieron lugar a su expedición</w:t>
      </w:r>
      <w:r w:rsidRPr="007C3DF2">
        <w:rPr>
          <w:rFonts w:ascii="Verdana" w:eastAsia="Calibri" w:hAnsi="Verdana" w:cs="Arial"/>
          <w:color w:val="000000" w:themeColor="text1"/>
          <w:vertAlign w:val="superscript"/>
          <w:lang w:eastAsia="es-ES"/>
        </w:rPr>
        <w:footnoteReference w:id="9"/>
      </w:r>
      <w:r w:rsidRPr="007C3DF2">
        <w:rPr>
          <w:rFonts w:ascii="Verdana" w:eastAsia="Calibri" w:hAnsi="Verdana" w:cs="Arial"/>
          <w:color w:val="000000" w:themeColor="text1"/>
          <w:lang w:eastAsia="es-ES"/>
        </w:rPr>
        <w:t>.</w:t>
      </w:r>
    </w:p>
    <w:p w14:paraId="371FF931" w14:textId="77777777" w:rsidR="007C3DF2" w:rsidRPr="007C3DF2" w:rsidRDefault="007C3DF2" w:rsidP="007C3DF2">
      <w:pPr>
        <w:spacing w:after="120" w:line="276" w:lineRule="auto"/>
        <w:ind w:firstLine="709"/>
        <w:jc w:val="both"/>
        <w:rPr>
          <w:rFonts w:ascii="Verdana" w:eastAsia="Calibri" w:hAnsi="Verdana" w:cs="Arial"/>
          <w:color w:val="000000" w:themeColor="text1"/>
          <w:lang w:eastAsia="es-ES"/>
        </w:rPr>
      </w:pPr>
      <w:r w:rsidRPr="007C3DF2">
        <w:rPr>
          <w:rFonts w:ascii="Verdana" w:eastAsia="Calibri" w:hAnsi="Verdana" w:cs="Arial"/>
          <w:color w:val="000000" w:themeColor="text1"/>
          <w:lang w:eastAsia="es-ES"/>
        </w:rPr>
        <w:t xml:space="preserve">De acuerdo con lo señalado, el legislador optó claramente por un criterio funcional o finalista, según el cual el régimen de contratación aplicable se determina por el origen de los recursos públicos y no por la naturaleza orgánica de la entidad ejecutora. Este enfoque parte de la premisa de que los recursos públicos de regalías deben estar sometidos a un marco normativo concreto. De esta forma, el legislador privilegia la naturaleza pública de recursos de regalías como criterio rector, por encima de cualquier particularidad orgánica o régimen especial que pudiera ostentar la entidad ejecutora. Esto se refuerza con el hecho de que la norma no hace ninguna distinción respecto de la ejecución de recurso por parte las entidades con régimen especial. </w:t>
      </w:r>
    </w:p>
    <w:p w14:paraId="60A78D50" w14:textId="77777777" w:rsidR="007C3DF2" w:rsidRPr="007C3DF2" w:rsidRDefault="007C3DF2" w:rsidP="007C3DF2">
      <w:pPr>
        <w:spacing w:after="120" w:line="276" w:lineRule="auto"/>
        <w:ind w:firstLine="709"/>
        <w:jc w:val="both"/>
        <w:rPr>
          <w:rFonts w:ascii="Verdana" w:eastAsia="Calibri" w:hAnsi="Verdana" w:cs="Arial"/>
          <w:color w:val="000000" w:themeColor="text1"/>
          <w:lang w:eastAsia="es-ES"/>
        </w:rPr>
      </w:pPr>
      <w:r w:rsidRPr="007C3DF2">
        <w:rPr>
          <w:rFonts w:ascii="Verdana" w:eastAsia="Calibri" w:hAnsi="Verdana" w:cs="Arial"/>
          <w:color w:val="000000" w:themeColor="text1"/>
          <w:lang w:eastAsia="es-ES"/>
        </w:rPr>
        <w:t xml:space="preserve">Finalmente, resulta indispensable precisar que la remisión al EGCAP de la ejecución de los proyectos financiados con recursos de regalías no implica una alteración estructural del régimen especial de las entidades ejecutoras ni </w:t>
      </w:r>
      <w:r w:rsidRPr="007C3DF2">
        <w:rPr>
          <w:rFonts w:ascii="Verdana" w:eastAsia="Calibri" w:hAnsi="Verdana" w:cs="Arial"/>
          <w:color w:val="000000" w:themeColor="text1"/>
          <w:lang w:eastAsia="es-ES"/>
        </w:rPr>
        <w:lastRenderedPageBreak/>
        <w:t xml:space="preserve">desconoce las normas que lo regulan. Tal y como se ha expuesto, la interpretación literal, sistemática y teleológica de la norma, armonizada con el principio general del </w:t>
      </w:r>
      <w:r w:rsidRPr="007C3DF2">
        <w:rPr>
          <w:rFonts w:ascii="Verdana" w:eastAsia="Calibri" w:hAnsi="Verdana" w:cs="Arial"/>
          <w:i/>
          <w:iCs/>
          <w:color w:val="000000" w:themeColor="text1"/>
          <w:lang w:eastAsia="es-ES"/>
        </w:rPr>
        <w:t>efecto útil</w:t>
      </w:r>
      <w:r w:rsidRPr="007C3DF2">
        <w:rPr>
          <w:rFonts w:ascii="Verdana" w:eastAsia="Calibri" w:hAnsi="Verdana" w:cs="Arial"/>
          <w:color w:val="000000" w:themeColor="text1"/>
          <w:lang w:eastAsia="es-ES"/>
        </w:rPr>
        <w:t xml:space="preserve">, conduce a concluir que cuando estas entidades actúan en calidad de ejecutoras en el marco de la Ley 2056 de 2020, deben sujetarse al EGCAP. </w:t>
      </w:r>
    </w:p>
    <w:p w14:paraId="16E51EF7" w14:textId="77777777" w:rsidR="007C3DF2" w:rsidRPr="007C3DF2" w:rsidRDefault="007C3DF2" w:rsidP="007C3DF2">
      <w:pPr>
        <w:spacing w:after="120" w:line="276" w:lineRule="auto"/>
        <w:ind w:firstLine="709"/>
        <w:jc w:val="both"/>
        <w:rPr>
          <w:rFonts w:ascii="Verdana" w:eastAsia="Calibri" w:hAnsi="Verdana" w:cs="Arial"/>
          <w:color w:val="000000" w:themeColor="text1"/>
          <w:lang w:eastAsia="es-ES"/>
        </w:rPr>
      </w:pPr>
      <w:r w:rsidRPr="007C3DF2">
        <w:rPr>
          <w:rFonts w:ascii="Verdana" w:eastAsia="Calibri" w:hAnsi="Verdana" w:cs="Arial"/>
          <w:color w:val="000000" w:themeColor="text1"/>
          <w:lang w:eastAsia="es-ES"/>
        </w:rPr>
        <w:t>Este régimen particular no sustituye ni deroga el régimen especial de contratación al que está sujeta la entidad ejecutora, pero sí superpone válidamente un conjunto de reglas especiales aplicables de manera preferente respecto de los contratos financiados con recursos de regalías, porque la Ley 2056 de 2020 contiene disposiciones específicas que regulan un aspecto puntual. En ese contexto, la remisión al régimen de contratación pública contenida en el artículo 37, y reiterada en otras disposiciones de la ley, despliega un efecto de aplicación preferente, no solo por su especialidad temática, sino también por su carácter imperativo y por estar dirigida a una función específica que es la ejecución de proyectos con recursos de regalías.</w:t>
      </w:r>
    </w:p>
    <w:p w14:paraId="6EE1A898" w14:textId="77777777" w:rsidR="007C3DF2" w:rsidRPr="007C3DF2" w:rsidRDefault="007C3DF2" w:rsidP="007C3DF2">
      <w:pPr>
        <w:spacing w:after="120" w:line="276" w:lineRule="auto"/>
        <w:ind w:firstLine="709"/>
        <w:jc w:val="both"/>
        <w:rPr>
          <w:rFonts w:ascii="Verdana" w:eastAsia="Calibri" w:hAnsi="Verdana" w:cs="Arial"/>
          <w:color w:val="000000" w:themeColor="text1"/>
          <w:lang w:eastAsia="es-ES"/>
        </w:rPr>
      </w:pPr>
      <w:r w:rsidRPr="007C3DF2">
        <w:rPr>
          <w:rFonts w:ascii="Verdana" w:eastAsia="Calibri" w:hAnsi="Verdana" w:cs="Arial"/>
          <w:color w:val="000000" w:themeColor="text1"/>
          <w:lang w:eastAsia="es-ES"/>
        </w:rPr>
        <w:t>Debido a que esta remisión normativa no es una mera referencia indicativa sino que tiene pleno efectos jurídicos, impone la aplicación de régimen de contratación específico en virtud del principio de especialidad y de legalidad. Es decir, mientras actúan como ejecutoras del SGR, dichas entidades deben sujetarse al régimen previsto en la Ley 2056, incluyendo su remisión expresa al EGCAP, sin que ello implique una derogatoria general de su régimen contractual ordinario.</w:t>
      </w:r>
    </w:p>
    <w:p w14:paraId="620DB844" w14:textId="51CB2503" w:rsidR="007C3DF2" w:rsidRPr="007C3DF2" w:rsidRDefault="007C3DF2" w:rsidP="007C3DF2">
      <w:pPr>
        <w:spacing w:after="120" w:line="276" w:lineRule="auto"/>
        <w:jc w:val="both"/>
        <w:rPr>
          <w:rFonts w:ascii="Verdana" w:eastAsia="Calibri" w:hAnsi="Verdana" w:cs="Arial"/>
          <w:color w:val="000000" w:themeColor="text1"/>
          <w:lang w:eastAsia="es-ES"/>
        </w:rPr>
      </w:pPr>
      <w:proofErr w:type="spellStart"/>
      <w:r w:rsidRPr="007C3DF2">
        <w:rPr>
          <w:rFonts w:ascii="Verdana" w:eastAsia="Calibri" w:hAnsi="Verdana" w:cs="Arial"/>
          <w:color w:val="000000" w:themeColor="text1"/>
          <w:lang w:eastAsia="es-ES"/>
        </w:rPr>
        <w:t>ii</w:t>
      </w:r>
      <w:proofErr w:type="spellEnd"/>
      <w:r w:rsidRPr="007C3DF2">
        <w:rPr>
          <w:rFonts w:ascii="Verdana" w:eastAsia="Calibri" w:hAnsi="Verdana" w:cs="Arial"/>
          <w:color w:val="000000" w:themeColor="text1"/>
          <w:lang w:eastAsia="es-ES"/>
        </w:rPr>
        <w:t>. Ahora bien, de acuerdo con la interpretación explicada, acorde con el artículo 37 de la Ley 2056 de 2020 las entidades ejecutoras deben sujetarse al EGCAP,</w:t>
      </w:r>
      <w:r w:rsidRPr="007C3DF2">
        <w:rPr>
          <w:rFonts w:ascii="Verdana" w:eastAsia="Calibri" w:hAnsi="Verdana" w:cs="Arial"/>
          <w:color w:val="000000"/>
          <w:lang w:val="es-ES" w:eastAsia="es-ES"/>
        </w:rPr>
        <w:t xml:space="preserve"> sin perjuicio de que en sus demás actividades apliquen el régimen especial que les corresponda</w:t>
      </w:r>
      <w:r w:rsidRPr="007C3DF2">
        <w:rPr>
          <w:rFonts w:ascii="Verdana" w:eastAsia="Calibri" w:hAnsi="Verdana" w:cs="Arial"/>
          <w:color w:val="000000" w:themeColor="text1"/>
          <w:lang w:eastAsia="es-ES"/>
        </w:rPr>
        <w:t>. Esto significa que la contratación de los bienes, obras o servicios que se adelante con fundamento en dicha normativa, deberá sujetarse a las disposiciones del EGCAP y en consecuencia, los procesos de contratación deberán desarrollarse observando las etapas, términos, procedimientos y demás reglas previstas en dicho estatuto, así como los Documentos Tipo cuando el objeto contractual corresponda a alguno de los sectores respecto de los cuales estos se encuentren vigentes y resulten aplicables.</w:t>
      </w:r>
    </w:p>
    <w:p w14:paraId="4362FC05" w14:textId="77777777" w:rsidR="007C3DF2" w:rsidRPr="007C3DF2" w:rsidRDefault="007C3DF2" w:rsidP="007C3DF2">
      <w:pPr>
        <w:spacing w:after="120" w:line="276" w:lineRule="auto"/>
        <w:ind w:firstLine="708"/>
        <w:jc w:val="both"/>
        <w:rPr>
          <w:rFonts w:ascii="Verdana" w:eastAsia="Calibri" w:hAnsi="Verdana" w:cs="Arial"/>
          <w:color w:val="000000" w:themeColor="text1"/>
          <w:lang w:eastAsia="es-ES"/>
        </w:rPr>
      </w:pPr>
      <w:r w:rsidRPr="007C3DF2">
        <w:rPr>
          <w:rFonts w:ascii="Verdana" w:eastAsia="Calibri" w:hAnsi="Verdana" w:cs="Arial"/>
          <w:color w:val="000000" w:themeColor="text1"/>
          <w:lang w:eastAsia="es-ES"/>
        </w:rPr>
        <w:t xml:space="preserve">En efecto, de conformidad con el parágrafo 7 del artículo 2 de la Ley 1150 de 2007, adicionado por la Ley 1882 de 2018 y modificado por la Ley 2022 de 2020, las Entidades Estatales regidas por el EGCAP, se encuentran obligadas a </w:t>
      </w:r>
      <w:r w:rsidRPr="007C3DF2">
        <w:rPr>
          <w:rFonts w:ascii="Verdana" w:eastAsia="Calibri" w:hAnsi="Verdana" w:cs="Arial"/>
          <w:color w:val="000000" w:themeColor="text1"/>
          <w:lang w:eastAsia="es-ES"/>
        </w:rPr>
        <w:lastRenderedPageBreak/>
        <w:t xml:space="preserve">aplicar los Documentos Tipo implementados por esta Agencia para adelantar los Procesos de Contratación que se encuentren cobijados por los Documentos Tipo expedidos. </w:t>
      </w:r>
    </w:p>
    <w:p w14:paraId="476B1432" w14:textId="77777777" w:rsidR="007C3DF2" w:rsidRPr="007C3DF2" w:rsidRDefault="007C3DF2" w:rsidP="007C3DF2">
      <w:pPr>
        <w:spacing w:after="120" w:line="276" w:lineRule="auto"/>
        <w:ind w:firstLine="708"/>
        <w:jc w:val="both"/>
        <w:rPr>
          <w:rFonts w:ascii="Verdana" w:eastAsia="Calibri" w:hAnsi="Verdana" w:cs="Arial"/>
          <w:lang w:val="es-ES"/>
        </w:rPr>
      </w:pPr>
      <w:r w:rsidRPr="007C3DF2">
        <w:rPr>
          <w:rFonts w:ascii="Verdana" w:eastAsia="Calibri" w:hAnsi="Verdana" w:cs="Arial"/>
        </w:rPr>
        <w:t xml:space="preserve">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estos documentos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r w:rsidRPr="007C3DF2">
        <w:rPr>
          <w:rFonts w:ascii="Verdana" w:eastAsia="Calibri" w:hAnsi="Verdana" w:cs="Arial"/>
          <w:lang w:val="es-ES"/>
        </w:rPr>
        <w:t xml:space="preserve">Sin embargo, si el objeto contractual no se relaciona con actividades u objetos contractuales descritos en los Documentos Tipo que han sido expedidos por Colombia Compra Eficiente, o estos no aplican a la modalidad de escogencia aplicable, no será obligatorio aplicar los Pliegos Tipo. </w:t>
      </w:r>
    </w:p>
    <w:p w14:paraId="71F2ADD5" w14:textId="77777777" w:rsidR="007C3DF2" w:rsidRPr="007C3DF2" w:rsidRDefault="007C3DF2" w:rsidP="007C3DF2">
      <w:pPr>
        <w:spacing w:after="120" w:line="276" w:lineRule="auto"/>
        <w:ind w:firstLine="708"/>
        <w:jc w:val="both"/>
        <w:rPr>
          <w:rFonts w:ascii="Verdana" w:eastAsia="Calibri" w:hAnsi="Verdana" w:cs="Arial"/>
          <w:color w:val="000000" w:themeColor="text1"/>
          <w:lang w:eastAsia="es-ES"/>
        </w:rPr>
      </w:pPr>
      <w:r w:rsidRPr="007C3DF2">
        <w:rPr>
          <w:rFonts w:ascii="Verdana" w:eastAsia="Calibri" w:hAnsi="Verdana" w:cs="Arial"/>
          <w:lang w:val="es-ES"/>
        </w:rPr>
        <w:t xml:space="preserve">En este orden de ideas, si bien en principio las entidades con régimen de contratación especial no están obligadas a aplicar los documentos tipo, la remisión efectuada por el parágrafo primero del artículo 37 de la Ley 2056 de 2020 al EGCAP, conlleva a que las </w:t>
      </w:r>
      <w:r w:rsidRPr="007C3DF2">
        <w:rPr>
          <w:rFonts w:ascii="Verdana" w:eastAsia="Calibri" w:hAnsi="Verdana" w:cs="Arial"/>
          <w:color w:val="000000" w:themeColor="text1"/>
          <w:lang w:eastAsia="es-ES"/>
        </w:rPr>
        <w:t xml:space="preserve">entidades designadas ejecutoras deban sujetarse a las reglas y principios establecidos en el Estatuto General de Contratación de la Administración Pública y sus disposiciones reglamentarias. En consecuencia, ello comprende la aplicación de los documentos tipo en la medida en que el parágrafo 7 del artículo 2 de la Ley 1150 de 2007, adicionado por la Ley 1882 de 2018 y modificado por la Ley 2022 de 2020, establece su carácter obligatorio para las entidades que se rigen por el EGCAP, como sucede para efectos de los recursos del SGR. </w:t>
      </w:r>
    </w:p>
    <w:p w14:paraId="0603C542" w14:textId="77777777" w:rsidR="007C3DF2" w:rsidRPr="007C3DF2" w:rsidRDefault="007C3DF2" w:rsidP="007C3DF2">
      <w:pPr>
        <w:spacing w:before="120" w:line="276" w:lineRule="auto"/>
        <w:ind w:firstLine="709"/>
        <w:jc w:val="both"/>
        <w:rPr>
          <w:rFonts w:ascii="Verdana" w:eastAsia="Calibri" w:hAnsi="Verdana" w:cs="Times New Roman"/>
        </w:rPr>
      </w:pPr>
      <w:r w:rsidRPr="007C3DF2">
        <w:rPr>
          <w:rFonts w:ascii="Verdana" w:eastAsia="Calibri" w:hAnsi="Verdana" w:cs="Times New Roman"/>
        </w:rPr>
        <w:t>Por último, de acuerdo con lo planteado en la consulta, sobre el deber de publicidad de la información relativa al Sistema General de Regalías, el artículo 27 de la Ley 2056 del 2020 establece en su parágrafo segundo que las Entidades ejecutoras y los beneficiarios de los recursos del Sistema General de Regalías “al momento de afectar las apropiaciones en Sistema de Presupuesto y Giros de Regalías (SPGR), deberán publicar el proceso de contratación en el Sistema Electrónico para la Contratación Pública”.</w:t>
      </w:r>
    </w:p>
    <w:p w14:paraId="59B338A3" w14:textId="77777777" w:rsidR="007C3DF2" w:rsidRPr="007C3DF2" w:rsidRDefault="007C3DF2" w:rsidP="007C3DF2">
      <w:pPr>
        <w:spacing w:before="120" w:line="276" w:lineRule="auto"/>
        <w:ind w:firstLine="709"/>
        <w:jc w:val="both"/>
        <w:rPr>
          <w:rFonts w:ascii="Verdana" w:eastAsia="Calibri" w:hAnsi="Verdana" w:cs="Arial"/>
          <w:lang w:val="es-ES_tradnl"/>
        </w:rPr>
      </w:pPr>
      <w:bookmarkStart w:id="6" w:name="_Hlk109111956"/>
      <w:r w:rsidRPr="007C3DF2">
        <w:rPr>
          <w:rFonts w:ascii="Verdana" w:eastAsia="Calibri" w:hAnsi="Verdana" w:cs="Times New Roman"/>
        </w:rPr>
        <w:t>Conforme a lo expuesto, en el marco del Sistema General de Regalías</w:t>
      </w:r>
      <w:r w:rsidRPr="007C3DF2">
        <w:rPr>
          <w:rFonts w:ascii="Verdana" w:eastAsia="Calibri" w:hAnsi="Verdana" w:cs="Arial"/>
        </w:rPr>
        <w:t xml:space="preserve"> las entidades ejecutoras tienen la</w:t>
      </w:r>
      <w:r w:rsidRPr="007C3DF2">
        <w:rPr>
          <w:rFonts w:ascii="Verdana" w:eastAsia="Calibri" w:hAnsi="Verdana" w:cs="Times New Roman"/>
        </w:rPr>
        <w:t xml:space="preserve"> obligación de registro y publicación en el SECOP </w:t>
      </w:r>
      <w:r w:rsidRPr="007C3DF2">
        <w:rPr>
          <w:rFonts w:ascii="Verdana" w:eastAsia="Calibri" w:hAnsi="Verdana" w:cs="Times New Roman"/>
        </w:rPr>
        <w:lastRenderedPageBreak/>
        <w:t>de toda la actividad contractual. Además,</w:t>
      </w:r>
      <w:r w:rsidRPr="007C3DF2">
        <w:rPr>
          <w:rFonts w:ascii="Verdana" w:eastAsia="Calibri" w:hAnsi="Verdana" w:cs="Arial"/>
          <w:noProof/>
        </w:rPr>
        <w:t xml:space="preserve"> este deber de publicación en el SECOP, se hace extensivo a la entidades ejecutoras teniendo en cuenta que su actividad en esta materia se encuentra sometida al Estatuto General de Contratación de la Administración Pública, en virtud de la remisión del </w:t>
      </w:r>
      <w:r w:rsidRPr="007C3DF2">
        <w:rPr>
          <w:rFonts w:ascii="Verdana" w:eastAsia="Calibri" w:hAnsi="Verdana" w:cs="Arial"/>
          <w:color w:val="000000" w:themeColor="text1"/>
          <w:lang w:eastAsia="es-ES"/>
        </w:rPr>
        <w:t xml:space="preserve">artículo 37 de la Ley 2056 de 2020. De cualquier modo, es importante aclarar que el deber de publicidad también es extensible a las entidades exceptuadas, en los términos del artículo 53 </w:t>
      </w:r>
      <w:r w:rsidRPr="007C3DF2">
        <w:rPr>
          <w:rFonts w:ascii="Verdana" w:eastAsia="Calibri" w:hAnsi="Verdana" w:cs="Arial"/>
          <w:lang w:val="es-ES_tradnl"/>
        </w:rPr>
        <w:t>de la Ley 2195 de 2022</w:t>
      </w:r>
      <w:r w:rsidRPr="007C3DF2">
        <w:rPr>
          <w:rFonts w:ascii="Verdana" w:eastAsia="Calibri" w:hAnsi="Verdana" w:cs="Arial"/>
          <w:vertAlign w:val="superscript"/>
          <w:lang w:val="es-ES_tradnl"/>
        </w:rPr>
        <w:footnoteReference w:id="10"/>
      </w:r>
      <w:r w:rsidRPr="007C3DF2">
        <w:rPr>
          <w:rFonts w:ascii="Verdana" w:eastAsia="Calibri" w:hAnsi="Verdana" w:cs="Arial"/>
          <w:lang w:val="es-ES_tradnl"/>
        </w:rPr>
        <w:t>, quienes</w:t>
      </w:r>
      <w:r w:rsidRPr="007C3DF2">
        <w:rPr>
          <w:rFonts w:ascii="Verdana" w:eastAsia="Calibri" w:hAnsi="Verdana" w:cs="Arial"/>
          <w:noProof/>
        </w:rPr>
        <w:t xml:space="preserve"> deben </w:t>
      </w:r>
      <w:r w:rsidRPr="007C3DF2">
        <w:rPr>
          <w:rFonts w:ascii="Verdana" w:eastAsia="Calibri" w:hAnsi="Verdana" w:cs="Arial"/>
          <w:lang w:val="es-ES_tradnl"/>
        </w:rPr>
        <w:t>publicar en el SECOP II todo documento expedido durante las diferentes etapas del proceso contractual, abarcando desde la fase previa a su celebración, pasando por la ejecución y hasta la fase posterior a su ejecución. Lo anterior sin perjuicio de las reservas de información establecidas en normas de orden constitucional o legal.</w:t>
      </w:r>
      <w:bookmarkEnd w:id="6"/>
    </w:p>
    <w:p w14:paraId="4B909FE1" w14:textId="77777777" w:rsidR="007C3DF2" w:rsidRPr="007C3DF2" w:rsidRDefault="007C3DF2" w:rsidP="007C3DF2">
      <w:pPr>
        <w:spacing w:line="276" w:lineRule="auto"/>
        <w:ind w:firstLine="709"/>
        <w:contextualSpacing/>
        <w:jc w:val="both"/>
        <w:rPr>
          <w:rFonts w:ascii="Verdana" w:hAnsi="Verdana" w:cs="Arial"/>
        </w:rPr>
      </w:pPr>
      <w:r w:rsidRPr="007C3DF2">
        <w:rPr>
          <w:rFonts w:ascii="Verdana" w:eastAsia="Calibri" w:hAnsi="Verdana" w:cs="Arial"/>
          <w:lang w:val="es-ES_tradnl" w:eastAsia="es-ES_tradnl"/>
        </w:rPr>
        <w:t xml:space="preserve">En efecto, el artículo </w:t>
      </w:r>
      <w:r w:rsidRPr="007C3DF2">
        <w:rPr>
          <w:rFonts w:ascii="Verdana" w:hAnsi="Verdana" w:cs="Arial"/>
        </w:rPr>
        <w:t>artículo 53 de la Ley 2195 de 2022 adiciona el artículo 13 de la Ley 1150 de 2007, y obliga a las entidades estatales que por disposición legal cuenten con un régimen contractual excepcional al del Estatuto General de Contratación de la Administración Pública a publicar los documentos relacionados con su actividad contractual en el Sistema Electrónico para la Contratación Pública –SECOP II– o la plataforma transaccional que haga sus veces. Al respecto, la norma citada dispone lo siguiente:</w:t>
      </w:r>
    </w:p>
    <w:p w14:paraId="06524C57" w14:textId="77777777" w:rsidR="007C3DF2" w:rsidRPr="007C3DF2" w:rsidRDefault="007C3DF2" w:rsidP="007C3DF2">
      <w:pPr>
        <w:spacing w:line="276" w:lineRule="auto"/>
        <w:ind w:firstLine="301"/>
        <w:contextualSpacing/>
        <w:rPr>
          <w:rFonts w:ascii="Verdana" w:hAnsi="Verdana" w:cs="Arial"/>
        </w:rPr>
      </w:pPr>
    </w:p>
    <w:p w14:paraId="1E4751AA" w14:textId="77777777" w:rsidR="007C3DF2" w:rsidRPr="007C3DF2" w:rsidRDefault="007C3DF2" w:rsidP="007C3DF2">
      <w:pPr>
        <w:spacing w:after="0" w:line="240" w:lineRule="auto"/>
        <w:ind w:left="709" w:right="709"/>
        <w:contextualSpacing/>
        <w:jc w:val="both"/>
        <w:rPr>
          <w:rFonts w:ascii="Verdana" w:eastAsia="Calibri" w:hAnsi="Verdana" w:cs="Arial"/>
          <w:sz w:val="20"/>
          <w:szCs w:val="20"/>
        </w:rPr>
      </w:pPr>
      <w:r w:rsidRPr="007C3DF2">
        <w:rPr>
          <w:rFonts w:ascii="Verdana" w:eastAsia="Calibri" w:hAnsi="Verdana" w:cs="Arial"/>
          <w:sz w:val="20"/>
          <w:szCs w:val="20"/>
        </w:rPr>
        <w:t>“Adiciónese los siguientes incisos al artículo 13 de la Ley 1150 de 2007, el cual quedará así:</w:t>
      </w:r>
    </w:p>
    <w:p w14:paraId="3114B91B" w14:textId="77777777" w:rsidR="007C3DF2" w:rsidRPr="007C3DF2" w:rsidRDefault="007C3DF2" w:rsidP="007C3DF2">
      <w:pPr>
        <w:spacing w:after="0" w:line="240" w:lineRule="auto"/>
        <w:ind w:left="709" w:right="709"/>
        <w:contextualSpacing/>
        <w:jc w:val="both"/>
        <w:rPr>
          <w:rFonts w:ascii="Verdana" w:eastAsia="Calibri" w:hAnsi="Verdana" w:cs="Arial"/>
          <w:sz w:val="12"/>
          <w:szCs w:val="12"/>
        </w:rPr>
      </w:pPr>
    </w:p>
    <w:p w14:paraId="030E0C31" w14:textId="77777777" w:rsidR="007C3DF2" w:rsidRPr="007C3DF2" w:rsidRDefault="007C3DF2" w:rsidP="007C3DF2">
      <w:pPr>
        <w:spacing w:after="0" w:line="240" w:lineRule="auto"/>
        <w:ind w:left="709" w:right="709"/>
        <w:contextualSpacing/>
        <w:jc w:val="both"/>
        <w:rPr>
          <w:rFonts w:ascii="Verdana" w:eastAsia="Calibri" w:hAnsi="Verdana" w:cs="Arial"/>
          <w:sz w:val="20"/>
          <w:szCs w:val="20"/>
        </w:rPr>
      </w:pPr>
      <w:r w:rsidRPr="007C3DF2">
        <w:rPr>
          <w:rFonts w:ascii="Verdana" w:eastAsia="Calibri" w:hAnsi="Verdana" w:cs="Arial"/>
          <w:sz w:val="20"/>
          <w:szCs w:val="20"/>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4CF65CF0" w14:textId="77777777" w:rsidR="007C3DF2" w:rsidRPr="007C3DF2" w:rsidRDefault="007C3DF2" w:rsidP="007C3DF2">
      <w:pPr>
        <w:spacing w:after="0" w:line="240" w:lineRule="auto"/>
        <w:ind w:left="709" w:right="709"/>
        <w:contextualSpacing/>
        <w:jc w:val="both"/>
        <w:rPr>
          <w:rFonts w:ascii="Verdana" w:eastAsia="Calibri" w:hAnsi="Verdana" w:cs="Arial"/>
          <w:sz w:val="12"/>
          <w:szCs w:val="12"/>
        </w:rPr>
      </w:pPr>
    </w:p>
    <w:p w14:paraId="22583251" w14:textId="77777777" w:rsidR="007C3DF2" w:rsidRPr="007C3DF2" w:rsidRDefault="007C3DF2" w:rsidP="007C3DF2">
      <w:pPr>
        <w:spacing w:after="0" w:line="240" w:lineRule="auto"/>
        <w:ind w:left="709" w:right="709"/>
        <w:contextualSpacing/>
        <w:jc w:val="both"/>
        <w:rPr>
          <w:rFonts w:ascii="Verdana" w:eastAsia="Calibri" w:hAnsi="Verdana" w:cs="Arial"/>
          <w:i/>
          <w:iCs/>
          <w:sz w:val="20"/>
          <w:szCs w:val="20"/>
        </w:rPr>
      </w:pPr>
      <w:r w:rsidRPr="007C3DF2">
        <w:rPr>
          <w:rFonts w:ascii="Verdana" w:eastAsia="Calibri" w:hAnsi="Verdana" w:cs="Arial"/>
          <w:i/>
          <w:iCs/>
          <w:sz w:val="20"/>
          <w:szCs w:val="20"/>
        </w:rPr>
        <w:lastRenderedPageBreak/>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7C3DF2">
        <w:rPr>
          <w:rFonts w:ascii="Verdana" w:eastAsia="Calibri" w:hAnsi="Verdana" w:cs="Arial"/>
          <w:i/>
          <w:iCs/>
          <w:sz w:val="20"/>
          <w:szCs w:val="20"/>
        </w:rPr>
        <w:t>postcontractual</w:t>
      </w:r>
      <w:proofErr w:type="spellEnd"/>
      <w:r w:rsidRPr="007C3DF2">
        <w:rPr>
          <w:rFonts w:ascii="Verdana" w:eastAsia="Calibri" w:hAnsi="Verdana" w:cs="Arial"/>
          <w:i/>
          <w:iCs/>
          <w:sz w:val="20"/>
          <w:szCs w:val="20"/>
        </w:rPr>
        <w:t>.</w:t>
      </w:r>
    </w:p>
    <w:p w14:paraId="2C8F10B7" w14:textId="77777777" w:rsidR="007C3DF2" w:rsidRPr="007C3DF2" w:rsidRDefault="007C3DF2" w:rsidP="007C3DF2">
      <w:pPr>
        <w:spacing w:after="0" w:line="240" w:lineRule="auto"/>
        <w:ind w:left="709" w:right="709"/>
        <w:contextualSpacing/>
        <w:jc w:val="both"/>
        <w:rPr>
          <w:rFonts w:ascii="Verdana" w:eastAsia="Calibri" w:hAnsi="Verdana" w:cs="Arial"/>
          <w:i/>
          <w:iCs/>
          <w:sz w:val="12"/>
          <w:szCs w:val="12"/>
        </w:rPr>
      </w:pPr>
    </w:p>
    <w:p w14:paraId="0780F44E" w14:textId="77777777" w:rsidR="007C3DF2" w:rsidRPr="007C3DF2" w:rsidRDefault="007C3DF2" w:rsidP="007C3DF2">
      <w:pPr>
        <w:spacing w:line="240" w:lineRule="auto"/>
        <w:ind w:left="709" w:right="709"/>
        <w:contextualSpacing/>
        <w:jc w:val="both"/>
        <w:rPr>
          <w:rFonts w:ascii="Verdana" w:eastAsia="Calibri" w:hAnsi="Verdana" w:cs="Arial"/>
          <w:sz w:val="20"/>
          <w:szCs w:val="20"/>
        </w:rPr>
      </w:pPr>
      <w:r w:rsidRPr="007C3DF2">
        <w:rPr>
          <w:rFonts w:ascii="Verdana" w:eastAsia="Calibri" w:hAnsi="Verdana" w:cs="Arial"/>
          <w:sz w:val="20"/>
          <w:szCs w:val="20"/>
        </w:rPr>
        <w:t xml:space="preserve">A partir de la </w:t>
      </w:r>
      <w:proofErr w:type="gramStart"/>
      <w:r w:rsidRPr="007C3DF2">
        <w:rPr>
          <w:rFonts w:ascii="Verdana" w:eastAsia="Calibri" w:hAnsi="Verdana" w:cs="Arial"/>
          <w:sz w:val="20"/>
          <w:szCs w:val="20"/>
        </w:rPr>
        <w:t>entrada en vigencia</w:t>
      </w:r>
      <w:proofErr w:type="gramEnd"/>
      <w:r w:rsidRPr="007C3DF2">
        <w:rPr>
          <w:rFonts w:ascii="Verdana" w:eastAsia="Calibri" w:hAnsi="Verdana" w:cs="Arial"/>
          <w:sz w:val="20"/>
          <w:szCs w:val="20"/>
        </w:rPr>
        <w:t xml:space="preserve"> de la presente Ley, se establecerá un periodo de transición de seis (6) meses, para que las entidades den cumplimiento efectivo a lo aquí establecido” (Énfasis fuera de texto).</w:t>
      </w:r>
    </w:p>
    <w:p w14:paraId="7929142C" w14:textId="77777777" w:rsidR="007C3DF2" w:rsidRPr="007C3DF2" w:rsidRDefault="007C3DF2" w:rsidP="007C3DF2">
      <w:pPr>
        <w:spacing w:line="276" w:lineRule="auto"/>
        <w:ind w:firstLine="709"/>
        <w:contextualSpacing/>
        <w:jc w:val="both"/>
        <w:rPr>
          <w:rFonts w:ascii="Verdana" w:eastAsia="Calibri" w:hAnsi="Verdana" w:cs="Arial"/>
          <w:lang w:val="es-ES_tradnl"/>
        </w:rPr>
      </w:pPr>
    </w:p>
    <w:p w14:paraId="37F7D2E5" w14:textId="77777777" w:rsidR="007C3DF2" w:rsidRPr="007C3DF2" w:rsidRDefault="007C3DF2" w:rsidP="007C3DF2">
      <w:pPr>
        <w:spacing w:after="120" w:line="276" w:lineRule="auto"/>
        <w:ind w:firstLine="709"/>
        <w:jc w:val="both"/>
        <w:rPr>
          <w:rFonts w:ascii="Verdana" w:eastAsia="Calibri" w:hAnsi="Verdana" w:cs="Arial"/>
          <w:lang w:val="es-ES_tradnl" w:eastAsia="es-ES_tradnl"/>
        </w:rPr>
      </w:pPr>
      <w:r w:rsidRPr="007C3DF2">
        <w:rPr>
          <w:rFonts w:ascii="Verdana" w:eastAsia="Calibri" w:hAnsi="Verdana" w:cs="Arial"/>
          <w:lang w:val="es-ES_tradnl"/>
        </w:rPr>
        <w:t xml:space="preserve">Cabe destacar que cuando la norma trascrita hace referencia a que el mencionado deber de publicidad debe cumplirse en el SECOP II o </w:t>
      </w:r>
      <w:r w:rsidRPr="007C3DF2">
        <w:rPr>
          <w:rFonts w:ascii="Verdana" w:hAnsi="Verdana" w:cs="Arial"/>
        </w:rPr>
        <w:t>“</w:t>
      </w:r>
      <w:r w:rsidRPr="007C3DF2">
        <w:rPr>
          <w:rFonts w:ascii="Verdana" w:eastAsia="Calibri" w:hAnsi="Verdana" w:cs="Arial"/>
          <w:lang w:val="es-ES_tradnl"/>
        </w:rPr>
        <w:t xml:space="preserve">la plataforma transaccional que haga sus veces”,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w:t>
      </w:r>
      <w:r w:rsidRPr="007C3DF2">
        <w:rPr>
          <w:rFonts w:ascii="Verdana" w:hAnsi="Verdana" w:cs="Arial"/>
        </w:rPr>
        <w:t>“</w:t>
      </w:r>
      <w:r w:rsidRPr="007C3DF2">
        <w:rPr>
          <w:rFonts w:ascii="Verdana" w:eastAsia="Calibri" w:hAnsi="Verdana" w:cs="Arial"/>
          <w:lang w:val="es-ES_tradnl"/>
        </w:rPr>
        <w:t>la plataforma que haga sus veces</w:t>
      </w:r>
      <w:r w:rsidRPr="007C3DF2">
        <w:rPr>
          <w:rFonts w:ascii="Verdana" w:hAnsi="Verdana" w:cs="Arial"/>
        </w:rPr>
        <w:t>”</w:t>
      </w:r>
      <w:r w:rsidRPr="007C3DF2">
        <w:rPr>
          <w:rFonts w:ascii="Verdana" w:eastAsia="Calibri" w:hAnsi="Verdana" w:cs="Arial"/>
          <w:lang w:val="es-ES_tradnl"/>
        </w:rPr>
        <w:t xml:space="preserve"> no puede interpretarse como una autorización para que las entidades obligadas en virtud del artículo 53 de la Ley 2195 de 2022 puedan emplear sus páginas web o sus propios portales electrónicos para cumplir con el deber de publicidad que les asiste. </w:t>
      </w:r>
      <w:r w:rsidRPr="007C3DF2">
        <w:rPr>
          <w:rFonts w:ascii="Verdana" w:eastAsia="Calibri" w:hAnsi="Verdana" w:cs="Arial"/>
          <w:lang w:val="es-ES_tradnl" w:eastAsia="es-ES_tradnl"/>
        </w:rPr>
        <w:t>Con esto se logra que la ciudadanía pueda encontrar en un mismo sistema la gestión de la actividad contractual del Estado, garantizándose en mayor grado la transparencia y el acceso a la información y documentación pública.</w:t>
      </w:r>
    </w:p>
    <w:p w14:paraId="39627F39" w14:textId="77777777" w:rsidR="007C3DF2" w:rsidRPr="007C3DF2" w:rsidRDefault="007C3DF2" w:rsidP="007C3DF2">
      <w:pPr>
        <w:spacing w:after="120" w:line="276" w:lineRule="auto"/>
        <w:jc w:val="both"/>
        <w:rPr>
          <w:rFonts w:ascii="Verdana" w:eastAsiaTheme="minorEastAsia" w:hAnsi="Verdana" w:cs="Arial"/>
          <w:spacing w:val="-9"/>
          <w:szCs w:val="24"/>
          <w:lang w:eastAsia="es-CO"/>
        </w:rPr>
      </w:pPr>
      <w:proofErr w:type="spellStart"/>
      <w:r w:rsidRPr="007C3DF2">
        <w:rPr>
          <w:rFonts w:ascii="Verdana" w:eastAsia="Calibri" w:hAnsi="Verdana" w:cs="Arial"/>
          <w:lang w:val="es-ES"/>
        </w:rPr>
        <w:t>iii</w:t>
      </w:r>
      <w:proofErr w:type="spellEnd"/>
      <w:r w:rsidRPr="007C3DF2">
        <w:rPr>
          <w:rFonts w:ascii="Verdana" w:eastAsia="Calibri" w:hAnsi="Verdana" w:cs="Arial"/>
          <w:lang w:val="es-ES"/>
        </w:rPr>
        <w:t xml:space="preserve">. </w:t>
      </w:r>
      <w:r w:rsidRPr="007C3DF2">
        <w:rPr>
          <w:rFonts w:ascii="Verdana" w:hAnsi="Verdana" w:cs="Arial"/>
          <w:lang w:eastAsia="es-ES"/>
        </w:rPr>
        <w:t>Al margen de la postura de la ANCP – CCE en torno a</w:t>
      </w:r>
      <w:r w:rsidRPr="007C3DF2">
        <w:rPr>
          <w:rFonts w:ascii="Verdana" w:eastAsia="Calibri" w:hAnsi="Verdana" w:cs="Arial"/>
          <w:color w:val="000000"/>
          <w:lang w:val="es-ES" w:eastAsia="es-ES"/>
        </w:rPr>
        <w:t xml:space="preserve">l régimen de contratación aplicable a la ejecución de proyectos financiados con recursos del Sistema General de Regalías -SGR, se reitera que los conceptos emitidos por esta Subdirección en el marco de la función consultiva </w:t>
      </w:r>
      <w:bookmarkStart w:id="7" w:name="_Hlk200718672"/>
      <w:r w:rsidRPr="007C3DF2">
        <w:rPr>
          <w:rFonts w:ascii="Verdana" w:eastAsia="Calibri" w:hAnsi="Verdana" w:cs="Arial"/>
          <w:color w:val="000000"/>
          <w:lang w:val="es-ES" w:eastAsia="es-ES"/>
        </w:rPr>
        <w:t>representan</w:t>
      </w:r>
      <w:r w:rsidRPr="007C3DF2">
        <w:rPr>
          <w:rFonts w:ascii="Verdana" w:hAnsi="Verdana" w:cs="Arial"/>
          <w:lang w:eastAsia="es-ES"/>
        </w:rPr>
        <w:t xml:space="preserve"> una </w:t>
      </w:r>
      <w:r w:rsidRPr="007C3DF2">
        <w:rPr>
          <w:rFonts w:ascii="Verdana" w:eastAsia="Calibri" w:hAnsi="Verdana" w:cs="Arial"/>
          <w:bCs/>
          <w:lang w:val="es-ES_tradnl"/>
        </w:rPr>
        <w:t>posición hermenéutica respecto a las disposiciones normativas del Sistema de Compras Públicas,</w:t>
      </w:r>
      <w:r w:rsidRPr="007C3DF2">
        <w:rPr>
          <w:rFonts w:ascii="Verdana" w:hAnsi="Verdana" w:cs="Arial"/>
          <w:lang w:eastAsia="es-ES"/>
        </w:rPr>
        <w:t xml:space="preserve"> </w:t>
      </w:r>
      <w:bookmarkStart w:id="8" w:name="_Hlk42100007"/>
      <w:r w:rsidRPr="007C3DF2">
        <w:rPr>
          <w:rFonts w:ascii="Verdana" w:hAnsi="Verdana" w:cs="Arial"/>
          <w:lang w:eastAsia="es-ES"/>
        </w:rPr>
        <w:t xml:space="preserve">que </w:t>
      </w:r>
      <w:r w:rsidRPr="007C3DF2">
        <w:rPr>
          <w:rFonts w:ascii="Verdana" w:eastAsia="Calibri" w:hAnsi="Verdana" w:cs="Arial"/>
          <w:bCs/>
          <w:lang w:val="es-ES_tradnl"/>
        </w:rPr>
        <w:t xml:space="preserve">no tienen efectos vinculantes </w:t>
      </w:r>
      <w:bookmarkEnd w:id="7"/>
      <w:r w:rsidRPr="007C3DF2">
        <w:rPr>
          <w:rFonts w:ascii="Verdana" w:eastAsia="Calibri" w:hAnsi="Verdana" w:cs="Arial"/>
          <w:bCs/>
          <w:lang w:val="es-ES_tradnl"/>
        </w:rPr>
        <w:t>en relación con una situación jurídica particular y concreta, y exponen un criterio que, aunque jurídicamente fundamentado, no representan la única interpretación válida del ordenamiento jurídico.</w:t>
      </w:r>
      <w:bookmarkEnd w:id="8"/>
      <w:r w:rsidRPr="007C3DF2">
        <w:rPr>
          <w:rFonts w:ascii="Verdana" w:eastAsiaTheme="minorEastAsia" w:hAnsi="Verdana" w:cs="Arial"/>
          <w:szCs w:val="24"/>
          <w:lang w:eastAsia="es-CO"/>
        </w:rPr>
        <w:t xml:space="preserve"> De este modo, las autoridades que ejercen funciones consultivas pueden expresar su</w:t>
      </w:r>
      <w:r w:rsidRPr="007C3DF2">
        <w:rPr>
          <w:rFonts w:ascii="Verdana" w:eastAsiaTheme="minorEastAsia" w:hAnsi="Verdana" w:cs="Arial"/>
          <w:spacing w:val="1"/>
          <w:szCs w:val="24"/>
          <w:lang w:eastAsia="es-CO"/>
        </w:rPr>
        <w:t xml:space="preserve"> </w:t>
      </w:r>
      <w:r w:rsidRPr="007C3DF2">
        <w:rPr>
          <w:rFonts w:ascii="Verdana" w:eastAsiaTheme="minorEastAsia" w:hAnsi="Verdana" w:cs="Arial"/>
          <w:szCs w:val="24"/>
          <w:lang w:eastAsia="es-CO"/>
        </w:rPr>
        <w:t xml:space="preserve">interpretación de un precepto normativo, que no excluye otras interpretaciones posibles, pues el derecho, como sistema normativo, es un </w:t>
      </w:r>
      <w:r w:rsidRPr="007C3DF2">
        <w:rPr>
          <w:rFonts w:ascii="Verdana" w:eastAsiaTheme="minorEastAsia" w:hAnsi="Verdana" w:cs="Arial"/>
          <w:szCs w:val="24"/>
          <w:lang w:eastAsia="es-CO"/>
        </w:rPr>
        <w:lastRenderedPageBreak/>
        <w:t>lenguaje que, en ocasiones, se tiñe de vaguedad, en</w:t>
      </w:r>
      <w:r w:rsidRPr="007C3DF2">
        <w:rPr>
          <w:rFonts w:ascii="Verdana" w:eastAsiaTheme="minorEastAsia" w:hAnsi="Verdana" w:cs="Arial"/>
          <w:spacing w:val="1"/>
          <w:szCs w:val="24"/>
          <w:lang w:eastAsia="es-CO"/>
        </w:rPr>
        <w:t xml:space="preserve"> </w:t>
      </w:r>
      <w:r w:rsidRPr="007C3DF2">
        <w:rPr>
          <w:rFonts w:ascii="Verdana" w:eastAsiaTheme="minorEastAsia" w:hAnsi="Verdana" w:cs="Arial"/>
          <w:szCs w:val="24"/>
          <w:lang w:eastAsia="es-CO"/>
        </w:rPr>
        <w:t>virtud</w:t>
      </w:r>
      <w:r w:rsidRPr="007C3DF2">
        <w:rPr>
          <w:rFonts w:ascii="Verdana" w:eastAsiaTheme="minorEastAsia" w:hAnsi="Verdana" w:cs="Arial"/>
          <w:spacing w:val="-10"/>
          <w:szCs w:val="24"/>
          <w:lang w:eastAsia="es-CO"/>
        </w:rPr>
        <w:t xml:space="preserve"> </w:t>
      </w:r>
      <w:r w:rsidRPr="007C3DF2">
        <w:rPr>
          <w:rFonts w:ascii="Verdana" w:eastAsiaTheme="minorEastAsia" w:hAnsi="Verdana" w:cs="Arial"/>
          <w:szCs w:val="24"/>
          <w:lang w:eastAsia="es-CO"/>
        </w:rPr>
        <w:t>de</w:t>
      </w:r>
      <w:r w:rsidRPr="007C3DF2">
        <w:rPr>
          <w:rFonts w:ascii="Verdana" w:eastAsiaTheme="minorEastAsia" w:hAnsi="Verdana" w:cs="Arial"/>
          <w:spacing w:val="-9"/>
          <w:szCs w:val="24"/>
          <w:lang w:eastAsia="es-CO"/>
        </w:rPr>
        <w:t xml:space="preserve"> </w:t>
      </w:r>
      <w:r w:rsidRPr="007C3DF2">
        <w:rPr>
          <w:rFonts w:ascii="Verdana" w:eastAsiaTheme="minorEastAsia" w:hAnsi="Verdana" w:cs="Arial"/>
          <w:szCs w:val="24"/>
          <w:lang w:eastAsia="es-CO"/>
        </w:rPr>
        <w:t>la</w:t>
      </w:r>
      <w:r w:rsidRPr="007C3DF2">
        <w:rPr>
          <w:rFonts w:ascii="Verdana" w:eastAsiaTheme="minorEastAsia" w:hAnsi="Verdana" w:cs="Arial"/>
          <w:spacing w:val="-9"/>
          <w:szCs w:val="24"/>
          <w:lang w:eastAsia="es-CO"/>
        </w:rPr>
        <w:t xml:space="preserve"> </w:t>
      </w:r>
      <w:r w:rsidRPr="007C3DF2">
        <w:rPr>
          <w:rFonts w:ascii="Verdana" w:eastAsiaTheme="minorEastAsia" w:hAnsi="Verdana" w:cs="Arial"/>
          <w:szCs w:val="24"/>
          <w:lang w:eastAsia="es-CO"/>
        </w:rPr>
        <w:t>utilización</w:t>
      </w:r>
      <w:r w:rsidRPr="007C3DF2">
        <w:rPr>
          <w:rFonts w:ascii="Verdana" w:eastAsiaTheme="minorEastAsia" w:hAnsi="Verdana" w:cs="Arial"/>
          <w:spacing w:val="-9"/>
          <w:szCs w:val="24"/>
          <w:lang w:eastAsia="es-CO"/>
        </w:rPr>
        <w:t xml:space="preserve"> </w:t>
      </w:r>
      <w:r w:rsidRPr="007C3DF2">
        <w:rPr>
          <w:rFonts w:ascii="Verdana" w:eastAsiaTheme="minorEastAsia" w:hAnsi="Verdana" w:cs="Arial"/>
          <w:szCs w:val="24"/>
          <w:lang w:eastAsia="es-CO"/>
        </w:rPr>
        <w:t>de</w:t>
      </w:r>
      <w:r w:rsidRPr="007C3DF2">
        <w:rPr>
          <w:rFonts w:ascii="Verdana" w:eastAsiaTheme="minorEastAsia" w:hAnsi="Verdana" w:cs="Arial"/>
          <w:spacing w:val="-9"/>
          <w:szCs w:val="24"/>
          <w:lang w:eastAsia="es-CO"/>
        </w:rPr>
        <w:t xml:space="preserve"> </w:t>
      </w:r>
      <w:r w:rsidRPr="007C3DF2">
        <w:rPr>
          <w:rFonts w:ascii="Verdana" w:eastAsiaTheme="minorEastAsia" w:hAnsi="Verdana" w:cs="Arial"/>
          <w:szCs w:val="24"/>
          <w:lang w:eastAsia="es-CO"/>
        </w:rPr>
        <w:t>conceptos</w:t>
      </w:r>
      <w:r w:rsidRPr="007C3DF2">
        <w:rPr>
          <w:rFonts w:ascii="Verdana" w:eastAsiaTheme="minorEastAsia" w:hAnsi="Verdana" w:cs="Arial"/>
          <w:spacing w:val="-10"/>
          <w:szCs w:val="24"/>
          <w:lang w:eastAsia="es-CO"/>
        </w:rPr>
        <w:t xml:space="preserve"> </w:t>
      </w:r>
      <w:r w:rsidRPr="007C3DF2">
        <w:rPr>
          <w:rFonts w:ascii="Verdana" w:eastAsiaTheme="minorEastAsia" w:hAnsi="Verdana" w:cs="Arial"/>
          <w:szCs w:val="24"/>
          <w:lang w:eastAsia="es-CO"/>
        </w:rPr>
        <w:t>jurídicos</w:t>
      </w:r>
      <w:r w:rsidRPr="007C3DF2">
        <w:rPr>
          <w:rFonts w:ascii="Verdana" w:eastAsiaTheme="minorEastAsia" w:hAnsi="Verdana" w:cs="Arial"/>
          <w:spacing w:val="-9"/>
          <w:szCs w:val="24"/>
          <w:lang w:eastAsia="es-CO"/>
        </w:rPr>
        <w:t xml:space="preserve"> </w:t>
      </w:r>
      <w:r w:rsidRPr="007C3DF2">
        <w:rPr>
          <w:rFonts w:ascii="Verdana" w:eastAsiaTheme="minorEastAsia" w:hAnsi="Verdana" w:cs="Arial"/>
          <w:szCs w:val="24"/>
          <w:lang w:eastAsia="es-CO"/>
        </w:rPr>
        <w:t>indeterminados.</w:t>
      </w:r>
      <w:r w:rsidRPr="007C3DF2">
        <w:rPr>
          <w:rFonts w:ascii="Verdana" w:eastAsiaTheme="minorEastAsia" w:hAnsi="Verdana" w:cs="Arial"/>
          <w:spacing w:val="-9"/>
          <w:szCs w:val="24"/>
          <w:lang w:eastAsia="es-CO"/>
        </w:rPr>
        <w:t xml:space="preserve"> </w:t>
      </w:r>
    </w:p>
    <w:p w14:paraId="12B773FE" w14:textId="77777777" w:rsidR="007C3DF2" w:rsidRPr="007C3DF2" w:rsidRDefault="007C3DF2" w:rsidP="007C3DF2">
      <w:pPr>
        <w:spacing w:after="120" w:line="276" w:lineRule="auto"/>
        <w:ind w:firstLine="709"/>
        <w:jc w:val="both"/>
        <w:rPr>
          <w:rFonts w:ascii="Verdana" w:eastAsia="Calibri" w:hAnsi="Verdana" w:cs="Arial"/>
          <w:color w:val="000000"/>
          <w:lang w:val="es-ES" w:eastAsia="es-ES"/>
        </w:rPr>
      </w:pPr>
      <w:r w:rsidRPr="007C3DF2">
        <w:rPr>
          <w:rFonts w:ascii="Verdana" w:hAnsi="Verdana" w:cs="Arial"/>
          <w:lang w:eastAsia="es-ES"/>
        </w:rPr>
        <w:t xml:space="preserve">Por consiguiente, debe advertirse que el llamado a emitir lineamientos respecto a </w:t>
      </w:r>
      <w:r w:rsidRPr="007C3DF2">
        <w:rPr>
          <w:rFonts w:ascii="Verdana" w:eastAsia="Calibri" w:hAnsi="Verdana" w:cs="Arial"/>
          <w:bCs/>
          <w:color w:val="000000" w:themeColor="text1"/>
        </w:rPr>
        <w:t>los proyectos adelantados con cargo al Sistema General de Regalías</w:t>
      </w:r>
      <w:r w:rsidRPr="007C3DF2">
        <w:rPr>
          <w:rFonts w:ascii="Verdana" w:hAnsi="Verdana" w:cs="Arial"/>
          <w:lang w:eastAsia="es-ES"/>
        </w:rPr>
        <w:t xml:space="preserve"> debe ser realizado por el Departamento Nacional de Planeación</w:t>
      </w:r>
      <w:r w:rsidRPr="007C3DF2">
        <w:rPr>
          <w:rFonts w:ascii="Verdana" w:eastAsia="Calibri" w:hAnsi="Verdana" w:cs="Arial"/>
          <w:color w:val="000000"/>
          <w:lang w:val="es-ES" w:eastAsia="es-ES"/>
        </w:rPr>
        <w:t xml:space="preserve">, el cual tiene a su cargo el deber de </w:t>
      </w:r>
      <w:r w:rsidRPr="007C3DF2">
        <w:rPr>
          <w:rFonts w:ascii="Verdana" w:eastAsia="Calibri" w:hAnsi="Verdana" w:cs="Arial"/>
          <w:color w:val="000000"/>
          <w:lang w:eastAsia="es-ES"/>
        </w:rPr>
        <w:t xml:space="preserve">impartir las directrices jurídicas y adoptar los instrumentos para la interpretación y aplicación de las normas por parte de las dependencias y demás organismos y entidades del Estado y de establecer criterios de interpretación legal de última instancia, así como fijar la posición jurídica institucional del Departamento Nacional de Planeación y de las normas legales relacionadas con el Sistema General de Regalías, de </w:t>
      </w:r>
      <w:r w:rsidRPr="007C3DF2">
        <w:rPr>
          <w:rFonts w:ascii="Verdana" w:eastAsia="Calibri" w:hAnsi="Verdana" w:cs="Arial"/>
          <w:color w:val="000000"/>
          <w:lang w:val="es-ES" w:eastAsia="es-ES"/>
        </w:rPr>
        <w:t xml:space="preserve">conformidad con lo señalado en los numeral 2 y 3 del artículo 8 del Decreto 1893 de 2021. </w:t>
      </w:r>
    </w:p>
    <w:p w14:paraId="22E9994A" w14:textId="77777777" w:rsidR="007C3DF2" w:rsidRPr="007C3DF2" w:rsidRDefault="007C3DF2" w:rsidP="007C3DF2">
      <w:pPr>
        <w:widowControl w:val="0"/>
        <w:autoSpaceDE w:val="0"/>
        <w:autoSpaceDN w:val="0"/>
        <w:spacing w:after="120" w:line="276" w:lineRule="auto"/>
        <w:ind w:right="176" w:firstLine="708"/>
        <w:jc w:val="both"/>
        <w:rPr>
          <w:rFonts w:ascii="Verdana" w:hAnsi="Verdana"/>
        </w:rPr>
      </w:pPr>
      <w:r w:rsidRPr="007C3DF2">
        <w:rPr>
          <w:rFonts w:ascii="Verdana" w:hAnsi="Verdana"/>
        </w:rPr>
        <w:t xml:space="preserve">Dentro de este marco, corresponde a cada entidad pública, en ejercicio de su competencia y previa valoración de los elementos fácticos y jurídicos, así como de las disposiciones legales mencionadas, determinar su gestión contractual.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ni determinar las irregularidades de un proceso de contratación. </w:t>
      </w:r>
    </w:p>
    <w:p w14:paraId="76AA6054" w14:textId="77777777" w:rsidR="007C3DF2" w:rsidRPr="007C3DF2" w:rsidRDefault="007C3DF2" w:rsidP="007C3DF2">
      <w:pPr>
        <w:widowControl w:val="0"/>
        <w:autoSpaceDE w:val="0"/>
        <w:autoSpaceDN w:val="0"/>
        <w:spacing w:after="0" w:line="276" w:lineRule="auto"/>
        <w:jc w:val="both"/>
        <w:rPr>
          <w:rFonts w:ascii="Verdana" w:eastAsia="Arial" w:hAnsi="Verdana" w:cs="Arial"/>
          <w:lang w:val="es-ES"/>
        </w:rPr>
      </w:pPr>
    </w:p>
    <w:p w14:paraId="013E7C6B" w14:textId="77777777" w:rsidR="007C3DF2" w:rsidRPr="007C3DF2" w:rsidRDefault="007C3DF2" w:rsidP="007C3DF2">
      <w:pPr>
        <w:numPr>
          <w:ilvl w:val="0"/>
          <w:numId w:val="1"/>
        </w:numPr>
        <w:tabs>
          <w:tab w:val="left" w:pos="142"/>
          <w:tab w:val="left" w:pos="284"/>
        </w:tabs>
        <w:spacing w:after="0" w:line="276" w:lineRule="auto"/>
        <w:jc w:val="both"/>
        <w:rPr>
          <w:rFonts w:ascii="Verdana" w:eastAsia="Century Gothic" w:hAnsi="Verdana" w:cs="Century Gothic"/>
          <w:b/>
          <w:bCs/>
        </w:rPr>
      </w:pPr>
      <w:r w:rsidRPr="007C3DF2">
        <w:rPr>
          <w:rFonts w:ascii="Verdana" w:eastAsia="Century Gothic" w:hAnsi="Verdana" w:cs="Century Gothic"/>
          <w:b/>
          <w:bCs/>
        </w:rPr>
        <w:t>Referencias normativas y jurisprudenciales:</w:t>
      </w:r>
    </w:p>
    <w:p w14:paraId="5537B8C3" w14:textId="77777777" w:rsidR="007C3DF2" w:rsidRPr="007C3DF2" w:rsidRDefault="007C3DF2" w:rsidP="007C3DF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C3DF2" w:rsidRPr="007C3DF2" w14:paraId="24255DE3" w14:textId="77777777" w:rsidTr="00E934E8">
        <w:trPr>
          <w:trHeight w:val="410"/>
          <w:jc w:val="center"/>
        </w:trPr>
        <w:tc>
          <w:tcPr>
            <w:tcW w:w="8647" w:type="dxa"/>
          </w:tcPr>
          <w:p w14:paraId="55B7EAE7" w14:textId="77777777" w:rsidR="007C3DF2" w:rsidRPr="007C3DF2" w:rsidRDefault="007C3DF2" w:rsidP="007C3DF2">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7C3DF2">
              <w:rPr>
                <w:rFonts w:ascii="Verdana" w:hAnsi="Verdana" w:cs="Arial"/>
                <w:lang w:val="es-ES"/>
              </w:rPr>
              <w:t xml:space="preserve">Constitución Política de 1991, artículos 360 y 361. </w:t>
            </w:r>
          </w:p>
          <w:p w14:paraId="0BBB91F6" w14:textId="77777777" w:rsidR="007C3DF2" w:rsidRPr="007C3DF2" w:rsidRDefault="007C3DF2" w:rsidP="007C3DF2">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7C3DF2">
              <w:rPr>
                <w:rFonts w:ascii="Verdana" w:hAnsi="Verdana" w:cs="Arial"/>
                <w:lang w:val="es-ES"/>
              </w:rPr>
              <w:t>Ley 80 de 1993, artículos 40 y 41</w:t>
            </w:r>
          </w:p>
          <w:p w14:paraId="35DB4F61" w14:textId="77777777" w:rsidR="007C3DF2" w:rsidRPr="007C3DF2" w:rsidRDefault="007C3DF2" w:rsidP="007C3DF2">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7C3DF2">
              <w:rPr>
                <w:rFonts w:ascii="Verdana" w:hAnsi="Verdana" w:cs="Arial"/>
              </w:rPr>
              <w:t>Ley 2056 de 2020, artículos 28 a 37, 83, 87, 98, 99, 101, 108 y 109</w:t>
            </w:r>
          </w:p>
          <w:p w14:paraId="3980FAE1" w14:textId="77777777" w:rsidR="007C3DF2" w:rsidRPr="007C3DF2" w:rsidRDefault="007C3DF2" w:rsidP="007C3DF2">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7C3DF2">
              <w:rPr>
                <w:rFonts w:ascii="Verdana" w:eastAsia="Aptos" w:hAnsi="Verdana" w:cs="Arial"/>
              </w:rPr>
              <w:t>Consejo De Estado. Sección tercera. Sentencia del 7 de marzo de 2025. Radicación No.69.941. C.P: José Roberto Sáchica.</w:t>
            </w:r>
          </w:p>
        </w:tc>
      </w:tr>
    </w:tbl>
    <w:p w14:paraId="488F8044" w14:textId="77777777" w:rsidR="007C3DF2" w:rsidRPr="007C3DF2" w:rsidRDefault="007C3DF2" w:rsidP="007C3DF2">
      <w:pPr>
        <w:widowControl w:val="0"/>
        <w:autoSpaceDE w:val="0"/>
        <w:autoSpaceDN w:val="0"/>
        <w:spacing w:after="0" w:line="276" w:lineRule="auto"/>
        <w:jc w:val="both"/>
        <w:rPr>
          <w:rFonts w:ascii="Verdana" w:hAnsi="Verdana" w:cs="Arial"/>
        </w:rPr>
      </w:pPr>
    </w:p>
    <w:p w14:paraId="44389063" w14:textId="77777777" w:rsidR="007C3DF2" w:rsidRPr="007C3DF2" w:rsidRDefault="007C3DF2" w:rsidP="007C3DF2">
      <w:pPr>
        <w:numPr>
          <w:ilvl w:val="0"/>
          <w:numId w:val="1"/>
        </w:numPr>
        <w:tabs>
          <w:tab w:val="left" w:pos="142"/>
          <w:tab w:val="left" w:pos="284"/>
        </w:tabs>
        <w:spacing w:after="0" w:line="276" w:lineRule="auto"/>
        <w:jc w:val="both"/>
        <w:rPr>
          <w:rFonts w:ascii="Verdana" w:eastAsia="Century Gothic" w:hAnsi="Verdana" w:cs="Century Gothic"/>
          <w:b/>
          <w:bCs/>
        </w:rPr>
      </w:pPr>
      <w:r w:rsidRPr="007C3DF2">
        <w:rPr>
          <w:rFonts w:ascii="Verdana" w:eastAsia="Century Gothic" w:hAnsi="Verdana" w:cs="Century Gothic"/>
          <w:b/>
          <w:bCs/>
        </w:rPr>
        <w:t>Doctrina de la Agencia Nacional de Contratación Pública:</w:t>
      </w:r>
    </w:p>
    <w:p w14:paraId="4907FE15" w14:textId="77777777" w:rsidR="007C3DF2" w:rsidRPr="007C3DF2" w:rsidRDefault="007C3DF2" w:rsidP="007C3DF2">
      <w:pPr>
        <w:widowControl w:val="0"/>
        <w:autoSpaceDE w:val="0"/>
        <w:autoSpaceDN w:val="0"/>
        <w:spacing w:after="0" w:line="276" w:lineRule="auto"/>
        <w:jc w:val="both"/>
        <w:rPr>
          <w:rFonts w:ascii="Verdana" w:hAnsi="Verdana" w:cs="Arial"/>
        </w:rPr>
      </w:pPr>
    </w:p>
    <w:p w14:paraId="52AB367B" w14:textId="77777777" w:rsidR="007C3DF2" w:rsidRPr="007C3DF2" w:rsidRDefault="007C3DF2" w:rsidP="007C3DF2">
      <w:pPr>
        <w:widowControl w:val="0"/>
        <w:autoSpaceDE w:val="0"/>
        <w:autoSpaceDN w:val="0"/>
        <w:spacing w:after="120" w:line="276" w:lineRule="auto"/>
        <w:jc w:val="both"/>
        <w:rPr>
          <w:rFonts w:ascii="Verdana" w:hAnsi="Verdana" w:cs="Arial"/>
          <w:shd w:val="clear" w:color="auto" w:fill="FFFFFF"/>
        </w:rPr>
      </w:pPr>
      <w:r w:rsidRPr="007C3DF2">
        <w:rPr>
          <w:rFonts w:ascii="Verdana" w:hAnsi="Verdana" w:cs="Arial"/>
          <w:shd w:val="clear" w:color="auto" w:fill="FFFFFF"/>
        </w:rPr>
        <w:t xml:space="preserve">Esta Subdirección se ha pronunciado sobre el régimen de contratación de las </w:t>
      </w:r>
      <w:r w:rsidRPr="007C3DF2">
        <w:rPr>
          <w:rFonts w:ascii="Verdana" w:hAnsi="Verdana" w:cs="Arial"/>
          <w:shd w:val="clear" w:color="auto" w:fill="FFFFFF"/>
        </w:rPr>
        <w:lastRenderedPageBreak/>
        <w:t xml:space="preserve">entidades ejecutoras cuando ejecutan recursos del SGR en los conceptos </w:t>
      </w:r>
      <w:r w:rsidRPr="007C3DF2">
        <w:rPr>
          <w:rFonts w:ascii="Verdana" w:hAnsi="Verdana"/>
        </w:rPr>
        <w:t>C-370 del 2021,</w:t>
      </w:r>
      <w:r w:rsidRPr="007C3DF2">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y C-417 del 2026</w:t>
      </w:r>
      <w:r w:rsidRPr="007C3DF2">
        <w:rPr>
          <w:rFonts w:ascii="Verdana" w:hAnsi="Verdana" w:cs="Arial"/>
        </w:rPr>
        <w:t xml:space="preserve"> y C-764 del 29 de mayo de 2026.</w:t>
      </w:r>
      <w:r w:rsidRPr="007C3DF2">
        <w:rPr>
          <w:rFonts w:ascii="Verdana" w:hAnsi="Verdana"/>
          <w:shd w:val="clear" w:color="auto" w:fill="FFFFFF"/>
        </w:rPr>
        <w:t xml:space="preserve"> </w:t>
      </w:r>
      <w:r w:rsidRPr="007C3DF2">
        <w:rPr>
          <w:rFonts w:ascii="Verdana" w:hAnsi="Verdana" w:cs="Arial"/>
          <w:shd w:val="clear" w:color="auto" w:fill="FFFFFF"/>
        </w:rPr>
        <w:t>Es</w:t>
      </w:r>
      <w:r w:rsidRPr="007C3DF2">
        <w:rPr>
          <w:rFonts w:ascii="Verdana" w:hAnsi="Verdana"/>
        </w:rPr>
        <w:t>tos conceptos se encuentran disponibles para consulta en el Sistema de relatoría de la Agencia, al cual se puede acceder a través del siguiente enlace:</w:t>
      </w:r>
      <w:r w:rsidRPr="007C3DF2">
        <w:rPr>
          <w:rFonts w:ascii="Verdana" w:hAnsi="Verdana" w:cs="Arial"/>
          <w:shd w:val="clear" w:color="auto" w:fill="FFFFFF"/>
        </w:rPr>
        <w:t xml:space="preserve"> </w:t>
      </w:r>
      <w:hyperlink r:id="rId13" w:history="1">
        <w:r w:rsidRPr="007C3DF2">
          <w:rPr>
            <w:rFonts w:ascii="Verdana" w:hAnsi="Verdana" w:cs="Arial"/>
            <w:color w:val="0563C1" w:themeColor="hyperlink"/>
            <w:u w:val="single"/>
            <w:shd w:val="clear" w:color="auto" w:fill="FFFFFF"/>
          </w:rPr>
          <w:t>https://relatoria.colombiacompra.gov.co/busqueda/conceptos</w:t>
        </w:r>
      </w:hyperlink>
      <w:r w:rsidRPr="007C3DF2">
        <w:rPr>
          <w:rFonts w:ascii="Verdana" w:hAnsi="Verdana" w:cs="Arial"/>
          <w:shd w:val="clear" w:color="auto" w:fill="FFFFFF"/>
        </w:rPr>
        <w:t>.</w:t>
      </w:r>
      <w:r w:rsidRPr="007C3DF2">
        <w:rPr>
          <w:rFonts w:ascii="Verdana" w:hAnsi="Verdana" w:cs="Arial"/>
          <w:color w:val="FF0000"/>
          <w:shd w:val="clear" w:color="auto" w:fill="FFFFFF"/>
        </w:rPr>
        <w:t xml:space="preserve"> </w:t>
      </w:r>
      <w:r w:rsidRPr="007C3DF2">
        <w:rPr>
          <w:rFonts w:ascii="Verdana" w:hAnsi="Verdana" w:cs="Arial"/>
          <w:color w:val="000000" w:themeColor="text1"/>
          <w:shd w:val="clear" w:color="auto" w:fill="FFFFFF"/>
        </w:rPr>
        <w:t> </w:t>
      </w:r>
    </w:p>
    <w:p w14:paraId="0D55F822" w14:textId="77777777" w:rsidR="007C3DF2" w:rsidRPr="007C3DF2" w:rsidRDefault="007C3DF2" w:rsidP="007C3DF2">
      <w:pPr>
        <w:jc w:val="both"/>
        <w:rPr>
          <w:rFonts w:ascii="Verdana" w:hAnsi="Verdana"/>
        </w:rPr>
      </w:pPr>
      <w:r w:rsidRPr="007C3DF2">
        <w:rPr>
          <w:rFonts w:ascii="Verdana" w:hAnsi="Verdana"/>
        </w:rPr>
        <w:t xml:space="preserve">La sostenibilidad no es una opción, es una obligación. Por ello, la Agencia Nacional de Contratación Pública –Colombia Compra Eficiente– te invita a realizar el </w:t>
      </w:r>
      <w:r w:rsidRPr="007C3DF2">
        <w:rPr>
          <w:rFonts w:ascii="Verdana" w:hAnsi="Verdana"/>
          <w:b/>
          <w:bCs/>
        </w:rPr>
        <w:t>Curso de Contratación Pública Sostenible y Socialmente Responsable</w:t>
      </w:r>
      <w:r w:rsidRPr="007C3DF2">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7C3DF2">
        <w:rPr>
          <w:rFonts w:ascii="Verdana" w:hAnsi="Verdana"/>
        </w:rPr>
        <w:br/>
      </w:r>
      <w:hyperlink r:id="rId14" w:tgtFrame="_new" w:history="1">
        <w:r w:rsidRPr="007C3DF2">
          <w:rPr>
            <w:rFonts w:ascii="Verdana" w:hAnsi="Verdana"/>
            <w:color w:val="0000FF"/>
            <w:u w:val="single"/>
          </w:rPr>
          <w:t>https://formacionvirtual.colombiacompra.gov.co/mod/page/view.php?id=3718</w:t>
        </w:r>
      </w:hyperlink>
    </w:p>
    <w:p w14:paraId="361CF5F6" w14:textId="77777777" w:rsidR="007C3DF2" w:rsidRPr="007C3DF2" w:rsidRDefault="007C3DF2" w:rsidP="007C3DF2">
      <w:pPr>
        <w:jc w:val="both"/>
        <w:rPr>
          <w:rFonts w:ascii="Verdana" w:hAnsi="Verdana"/>
        </w:rPr>
      </w:pPr>
      <w:r w:rsidRPr="007C3DF2">
        <w:rPr>
          <w:rFonts w:ascii="Verdana" w:hAnsi="Verdana"/>
        </w:rPr>
        <w:t xml:space="preserve">De otro lado, te contamos que esta Agencia ha da un paso decisivo en la estandarización y modernización del </w:t>
      </w:r>
      <w:r w:rsidRPr="007C3DF2">
        <w:rPr>
          <w:rFonts w:ascii="Verdana" w:hAnsi="Verdana"/>
          <w:b/>
          <w:bCs/>
        </w:rPr>
        <w:t>sector  social</w:t>
      </w:r>
      <w:r w:rsidRPr="007C3DF2">
        <w:rPr>
          <w:rFonts w:ascii="Verdana" w:hAnsi="Verdana"/>
        </w:rPr>
        <w:t xml:space="preserve"> con la expedición de las </w:t>
      </w:r>
      <w:r w:rsidRPr="007C3DF2">
        <w:rPr>
          <w:rFonts w:ascii="Verdana" w:hAnsi="Verdana"/>
          <w:b/>
          <w:bCs/>
        </w:rPr>
        <w:t>Resoluciones 539, 540, 541, 952 y 953 de 2025</w:t>
      </w:r>
      <w:r w:rsidRPr="007C3DF2">
        <w:rPr>
          <w:rFonts w:ascii="Verdana" w:hAnsi="Verdana"/>
        </w:rPr>
        <w:t xml:space="preserve">, </w:t>
      </w:r>
      <w:r w:rsidRPr="007C3DF2">
        <w:rPr>
          <w:rFonts w:ascii="Verdana" w:hAnsi="Verdana"/>
          <w:b/>
          <w:bCs/>
        </w:rPr>
        <w:t>mediante las cuales adoptó Documentos Tipo</w:t>
      </w:r>
      <w:r w:rsidRPr="007C3DF2">
        <w:rPr>
          <w:rFonts w:ascii="Verdana" w:hAnsi="Verdana"/>
        </w:rPr>
        <w:t xml:space="preserve"> para las modalidades de selección de</w:t>
      </w:r>
      <w:r w:rsidRPr="007C3DF2">
        <w:rPr>
          <w:rFonts w:ascii="Verdana" w:hAnsi="Verdana"/>
          <w:b/>
          <w:bCs/>
        </w:rPr>
        <w:t xml:space="preserve"> licitación pública (versión 2), selección abreviada de menor cuantía, mínima cuantía, consultoría e interventoría</w:t>
      </w:r>
      <w:r w:rsidRPr="007C3DF2">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7C3DF2">
          <w:rPr>
            <w:rFonts w:ascii="Verdana" w:hAnsi="Verdana"/>
            <w:color w:val="0000FF"/>
            <w:u w:val="single"/>
          </w:rPr>
          <w:t>https://www.colombiacompra.gov.co/normativa-y-relatoria/documentos-tipo</w:t>
        </w:r>
      </w:hyperlink>
    </w:p>
    <w:p w14:paraId="1014AE65" w14:textId="77777777" w:rsidR="007C3DF2" w:rsidRPr="007C3DF2" w:rsidRDefault="007C3DF2" w:rsidP="007C3DF2">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r w:rsidRPr="007C3DF2">
        <w:rPr>
          <w:rFonts w:ascii="Verdana" w:hAnsi="Verdana"/>
        </w:rPr>
        <w:t xml:space="preserve">Si quieres conocer más sobre la aplicación de Documentos Tipo puedes consultar la última versión de la </w:t>
      </w:r>
      <w:r w:rsidRPr="007C3DF2">
        <w:rPr>
          <w:rFonts w:ascii="Verdana" w:hAnsi="Verdana"/>
          <w:b/>
          <w:bCs/>
        </w:rPr>
        <w:t>Guía para la comprensión e implementación de los Documentos Tipo de obra pública de infraestructura de transporte</w:t>
      </w:r>
      <w:r w:rsidRPr="007C3DF2">
        <w:rPr>
          <w:rFonts w:ascii="Verdana" w:hAnsi="Verdana"/>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w:t>
      </w:r>
      <w:r w:rsidRPr="007C3DF2">
        <w:rPr>
          <w:rFonts w:ascii="Verdana" w:hAnsi="Verdana"/>
        </w:rPr>
        <w:lastRenderedPageBreak/>
        <w:t>documentos tipo: Consulta la guía aquí:</w:t>
      </w:r>
      <w:r w:rsidRPr="007C3DF2">
        <w:rPr>
          <w:rFonts w:ascii="Verdana" w:hAnsi="Verdana"/>
        </w:rPr>
        <w:br/>
      </w:r>
      <w:hyperlink r:id="rId16" w:tgtFrame="_new" w:history="1">
        <w:r w:rsidRPr="007C3DF2">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04730BDF" w14:textId="77777777" w:rsidR="007C3DF2" w:rsidRPr="007C3DF2" w:rsidRDefault="007C3DF2" w:rsidP="007C3DF2">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p>
    <w:p w14:paraId="4C9B1FCF" w14:textId="77777777" w:rsidR="007C3DF2" w:rsidRPr="007C3DF2" w:rsidRDefault="007C3DF2" w:rsidP="007C3DF2">
      <w:pPr>
        <w:widowControl w:val="0"/>
        <w:autoSpaceDE w:val="0"/>
        <w:autoSpaceDN w:val="0"/>
        <w:spacing w:after="0" w:line="276" w:lineRule="auto"/>
        <w:jc w:val="both"/>
        <w:rPr>
          <w:rFonts w:ascii="Verdana" w:hAnsi="Verdana" w:cs="Arial"/>
        </w:rPr>
      </w:pPr>
      <w:r w:rsidRPr="007C3DF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6203212" w14:textId="77777777" w:rsidR="007C3DF2" w:rsidRPr="007C3DF2" w:rsidRDefault="007C3DF2" w:rsidP="007C3DF2">
      <w:pPr>
        <w:widowControl w:val="0"/>
        <w:autoSpaceDE w:val="0"/>
        <w:autoSpaceDN w:val="0"/>
        <w:spacing w:after="0" w:line="276" w:lineRule="auto"/>
        <w:jc w:val="both"/>
        <w:rPr>
          <w:rFonts w:ascii="Verdana" w:hAnsi="Verdana" w:cs="Arial"/>
        </w:rPr>
      </w:pPr>
    </w:p>
    <w:p w14:paraId="4C2DCFA1" w14:textId="77777777" w:rsidR="007C3DF2" w:rsidRPr="007C3DF2" w:rsidRDefault="007C3DF2" w:rsidP="007C3DF2">
      <w:pPr>
        <w:spacing w:after="0" w:line="276" w:lineRule="auto"/>
        <w:rPr>
          <w:rFonts w:ascii="Verdana" w:hAnsi="Verdana" w:cs="Arial"/>
          <w:lang w:eastAsia="es-CO"/>
        </w:rPr>
      </w:pPr>
      <w:r w:rsidRPr="007C3DF2">
        <w:rPr>
          <w:rFonts w:ascii="Verdana" w:eastAsia="Times New Roman" w:hAnsi="Verdana" w:cs="Arial"/>
          <w:lang w:eastAsia="es-CO"/>
        </w:rPr>
        <w:t>Atentamente,</w:t>
      </w:r>
      <w:r w:rsidRPr="007C3DF2">
        <w:rPr>
          <w:rFonts w:ascii="Verdana" w:hAnsi="Verdana" w:cs="Arial"/>
          <w:lang w:eastAsia="es-CO"/>
        </w:rPr>
        <w:t xml:space="preserve"> </w:t>
      </w:r>
    </w:p>
    <w:p w14:paraId="14832D55" w14:textId="0289DAFB" w:rsidR="007C3DF2" w:rsidRPr="007C3DF2" w:rsidRDefault="00005329" w:rsidP="007C3DF2">
      <w:pPr>
        <w:spacing w:line="276" w:lineRule="auto"/>
        <w:jc w:val="center"/>
        <w:rPr>
          <w:rFonts w:ascii="Verdana" w:hAnsi="Verdana" w:cs="Arial"/>
          <w:color w:val="000000"/>
          <w:lang w:eastAsia="es-CO"/>
        </w:rPr>
      </w:pPr>
      <w:r>
        <w:rPr>
          <w:noProof/>
        </w:rPr>
        <w:drawing>
          <wp:inline distT="0" distB="0" distL="0" distR="0" wp14:anchorId="7DA26E80" wp14:editId="5B7621DB">
            <wp:extent cx="3771900" cy="131826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31826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C3DF2" w:rsidRPr="007C3DF2" w14:paraId="5B291C46" w14:textId="77777777" w:rsidTr="00E934E8">
        <w:trPr>
          <w:trHeight w:val="315"/>
        </w:trPr>
        <w:tc>
          <w:tcPr>
            <w:tcW w:w="893" w:type="dxa"/>
            <w:vAlign w:val="center"/>
            <w:hideMark/>
          </w:tcPr>
          <w:bookmarkEnd w:id="0"/>
          <w:p w14:paraId="076EC131" w14:textId="77777777" w:rsidR="007C3DF2" w:rsidRPr="007C3DF2" w:rsidRDefault="007C3DF2" w:rsidP="007C3DF2">
            <w:pPr>
              <w:contextualSpacing/>
              <w:rPr>
                <w:rFonts w:ascii="Verdana" w:hAnsi="Verdana" w:cs="Arial"/>
                <w:sz w:val="16"/>
                <w:szCs w:val="16"/>
                <w:lang w:val="es-ES" w:eastAsia="es-ES"/>
              </w:rPr>
            </w:pPr>
            <w:r w:rsidRPr="007C3DF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EF627D4" w14:textId="77777777" w:rsidR="007C3DF2" w:rsidRPr="007C3DF2" w:rsidRDefault="007C3DF2" w:rsidP="007C3DF2">
            <w:pPr>
              <w:contextualSpacing/>
              <w:rPr>
                <w:rFonts w:ascii="Verdana" w:hAnsi="Verdana"/>
                <w:sz w:val="16"/>
                <w:szCs w:val="16"/>
              </w:rPr>
            </w:pPr>
            <w:r w:rsidRPr="007C3DF2">
              <w:rPr>
                <w:rFonts w:ascii="Verdana" w:hAnsi="Verdana"/>
                <w:sz w:val="16"/>
                <w:szCs w:val="16"/>
              </w:rPr>
              <w:t>Tatiana Baquero Iguarán</w:t>
            </w:r>
          </w:p>
          <w:p w14:paraId="0462BE3F" w14:textId="77777777" w:rsidR="007C3DF2" w:rsidRPr="007C3DF2" w:rsidRDefault="007C3DF2" w:rsidP="007C3DF2">
            <w:pPr>
              <w:contextualSpacing/>
              <w:rPr>
                <w:rFonts w:ascii="Verdana" w:eastAsia="Arial" w:hAnsi="Verdana" w:cs="Arial"/>
                <w:sz w:val="16"/>
                <w:szCs w:val="16"/>
              </w:rPr>
            </w:pPr>
            <w:r w:rsidRPr="007C3DF2">
              <w:rPr>
                <w:rFonts w:ascii="Verdana" w:hAnsi="Verdana"/>
                <w:sz w:val="16"/>
                <w:szCs w:val="16"/>
              </w:rPr>
              <w:t>Contratista de la Subdirección de Gestión Contractual</w:t>
            </w:r>
          </w:p>
        </w:tc>
      </w:tr>
      <w:tr w:rsidR="007C3DF2" w:rsidRPr="007C3DF2" w14:paraId="70FD2640" w14:textId="77777777" w:rsidTr="00E934E8">
        <w:trPr>
          <w:trHeight w:val="330"/>
        </w:trPr>
        <w:tc>
          <w:tcPr>
            <w:tcW w:w="893" w:type="dxa"/>
            <w:vAlign w:val="center"/>
            <w:hideMark/>
          </w:tcPr>
          <w:p w14:paraId="532E9BC5" w14:textId="77777777" w:rsidR="007C3DF2" w:rsidRPr="007C3DF2" w:rsidRDefault="007C3DF2" w:rsidP="007C3DF2">
            <w:pPr>
              <w:contextualSpacing/>
              <w:rPr>
                <w:rFonts w:ascii="Verdana" w:hAnsi="Verdana" w:cs="Arial"/>
                <w:sz w:val="16"/>
                <w:szCs w:val="16"/>
                <w:lang w:val="es-ES" w:eastAsia="es-ES"/>
              </w:rPr>
            </w:pPr>
            <w:r w:rsidRPr="007C3DF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E1AB573" w14:textId="77777777" w:rsidR="007C3DF2" w:rsidRPr="007C3DF2" w:rsidRDefault="007C3DF2" w:rsidP="007C3DF2">
            <w:pPr>
              <w:spacing w:before="100" w:beforeAutospacing="1" w:afterAutospacing="1"/>
              <w:contextualSpacing/>
              <w:textAlignment w:val="baseline"/>
              <w:rPr>
                <w:rFonts w:ascii="Verdana" w:eastAsia="Times New Roman" w:hAnsi="Verdana" w:cs="Arial"/>
                <w:sz w:val="16"/>
                <w:szCs w:val="16"/>
                <w:lang w:val="es-ES" w:eastAsia="es-ES_tradnl"/>
              </w:rPr>
            </w:pPr>
            <w:r w:rsidRPr="007C3DF2">
              <w:rPr>
                <w:rFonts w:ascii="Verdana" w:eastAsia="Times New Roman" w:hAnsi="Verdana" w:cs="Arial"/>
                <w:sz w:val="16"/>
                <w:szCs w:val="16"/>
                <w:lang w:val="es-ES" w:eastAsia="es-ES_tradnl"/>
              </w:rPr>
              <w:t>Alejandro Sarmiento Cantillo</w:t>
            </w:r>
          </w:p>
          <w:p w14:paraId="21AFD14C" w14:textId="77777777" w:rsidR="007C3DF2" w:rsidRPr="007C3DF2" w:rsidRDefault="007C3DF2" w:rsidP="007C3DF2">
            <w:pPr>
              <w:contextualSpacing/>
              <w:textAlignment w:val="baseline"/>
              <w:rPr>
                <w:rFonts w:ascii="Verdana" w:eastAsia="Times New Roman" w:hAnsi="Verdana" w:cs="Segoe UI"/>
                <w:sz w:val="16"/>
                <w:szCs w:val="16"/>
                <w:lang w:eastAsia="es-ES_tradnl"/>
              </w:rPr>
            </w:pPr>
            <w:r w:rsidRPr="007C3DF2">
              <w:rPr>
                <w:rFonts w:ascii="Verdana" w:eastAsia="Times New Roman" w:hAnsi="Verdana" w:cs="Arial"/>
                <w:sz w:val="16"/>
                <w:szCs w:val="16"/>
                <w:lang w:val="es-ES" w:eastAsia="es-ES_tradnl"/>
              </w:rPr>
              <w:t>Gestor T1 ‒ 15 de la Subdirección de Gestión Contractual</w:t>
            </w:r>
            <w:r w:rsidRPr="007C3DF2">
              <w:rPr>
                <w:rFonts w:ascii="Verdana" w:eastAsia="Times New Roman" w:hAnsi="Verdana" w:cs="Arial"/>
                <w:sz w:val="16"/>
                <w:szCs w:val="16"/>
                <w:lang w:eastAsia="es-ES_tradnl"/>
              </w:rPr>
              <w:t> </w:t>
            </w:r>
          </w:p>
        </w:tc>
      </w:tr>
      <w:tr w:rsidR="007C3DF2" w:rsidRPr="007C3DF2" w14:paraId="7455F2B3" w14:textId="77777777" w:rsidTr="00E934E8">
        <w:trPr>
          <w:trHeight w:val="300"/>
        </w:trPr>
        <w:tc>
          <w:tcPr>
            <w:tcW w:w="893" w:type="dxa"/>
            <w:vAlign w:val="center"/>
          </w:tcPr>
          <w:p w14:paraId="3AB156B1" w14:textId="77777777" w:rsidR="007C3DF2" w:rsidRPr="007C3DF2" w:rsidRDefault="007C3DF2" w:rsidP="007C3DF2">
            <w:pPr>
              <w:contextualSpacing/>
              <w:rPr>
                <w:rFonts w:ascii="Verdana" w:hAnsi="Verdana" w:cs="Arial"/>
                <w:sz w:val="16"/>
                <w:szCs w:val="16"/>
                <w:lang w:val="es-ES" w:eastAsia="es-ES"/>
              </w:rPr>
            </w:pPr>
            <w:r w:rsidRPr="007C3DF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0579E71" w14:textId="77777777" w:rsidR="007C3DF2" w:rsidRPr="007C3DF2" w:rsidRDefault="007C3DF2" w:rsidP="007C3DF2">
            <w:pPr>
              <w:contextualSpacing/>
              <w:rPr>
                <w:rFonts w:ascii="Verdana" w:eastAsia="Calibri" w:hAnsi="Verdana" w:cs="Arial"/>
                <w:sz w:val="16"/>
                <w:szCs w:val="16"/>
                <w:lang w:val="pt-BR" w:eastAsia="es-ES"/>
              </w:rPr>
            </w:pPr>
            <w:r w:rsidRPr="007C3DF2">
              <w:rPr>
                <w:rFonts w:ascii="Verdana" w:eastAsia="Calibri" w:hAnsi="Verdana" w:cs="Arial"/>
                <w:sz w:val="16"/>
                <w:szCs w:val="16"/>
                <w:lang w:val="pt-BR" w:eastAsia="es-ES"/>
              </w:rPr>
              <w:t xml:space="preserve">Carolina Quintero </w:t>
            </w:r>
            <w:proofErr w:type="spellStart"/>
            <w:r w:rsidRPr="007C3DF2">
              <w:rPr>
                <w:rFonts w:ascii="Verdana" w:eastAsia="Calibri" w:hAnsi="Verdana" w:cs="Arial"/>
                <w:sz w:val="16"/>
                <w:szCs w:val="16"/>
                <w:lang w:val="pt-BR" w:eastAsia="es-ES"/>
              </w:rPr>
              <w:t>Gacharná</w:t>
            </w:r>
            <w:proofErr w:type="spellEnd"/>
          </w:p>
          <w:p w14:paraId="7C661C3B" w14:textId="77777777" w:rsidR="007C3DF2" w:rsidRPr="007C3DF2" w:rsidRDefault="007C3DF2" w:rsidP="007C3DF2">
            <w:pPr>
              <w:contextualSpacing/>
              <w:rPr>
                <w:rFonts w:ascii="Verdana" w:eastAsia="Calibri" w:hAnsi="Verdana" w:cs="Arial"/>
                <w:sz w:val="16"/>
                <w:szCs w:val="16"/>
                <w:lang w:val="pt-BR" w:eastAsia="es-ES"/>
              </w:rPr>
            </w:pPr>
            <w:r w:rsidRPr="007C3DF2">
              <w:rPr>
                <w:rFonts w:ascii="Verdana" w:eastAsia="Calibri" w:hAnsi="Verdana" w:cs="Arial"/>
                <w:sz w:val="16"/>
                <w:szCs w:val="16"/>
                <w:lang w:eastAsia="es-ES"/>
              </w:rPr>
              <w:t>Subdirectora</w:t>
            </w:r>
            <w:r w:rsidRPr="007C3DF2">
              <w:rPr>
                <w:rFonts w:ascii="Verdana" w:eastAsia="Calibri" w:hAnsi="Verdana" w:cs="Arial"/>
                <w:sz w:val="16"/>
                <w:szCs w:val="16"/>
                <w:lang w:val="pt-BR" w:eastAsia="es-ES"/>
              </w:rPr>
              <w:t xml:space="preserve"> de Gestión </w:t>
            </w:r>
            <w:proofErr w:type="spellStart"/>
            <w:r w:rsidRPr="007C3DF2">
              <w:rPr>
                <w:rFonts w:ascii="Verdana" w:eastAsia="Calibri" w:hAnsi="Verdana" w:cs="Arial"/>
                <w:sz w:val="16"/>
                <w:szCs w:val="16"/>
                <w:lang w:val="pt-BR" w:eastAsia="es-ES"/>
              </w:rPr>
              <w:t>Contractual</w:t>
            </w:r>
            <w:proofErr w:type="spellEnd"/>
            <w:r w:rsidRPr="007C3DF2">
              <w:rPr>
                <w:rFonts w:ascii="Verdana" w:eastAsia="Calibri" w:hAnsi="Verdana" w:cs="Arial"/>
                <w:sz w:val="16"/>
                <w:szCs w:val="16"/>
                <w:lang w:val="pt-BR" w:eastAsia="es-ES"/>
              </w:rPr>
              <w:t xml:space="preserve"> ANCP – CCE</w:t>
            </w:r>
          </w:p>
        </w:tc>
      </w:tr>
    </w:tbl>
    <w:p w14:paraId="204CB331" w14:textId="77777777" w:rsidR="007C3DF2" w:rsidRPr="007C3DF2" w:rsidRDefault="007C3DF2" w:rsidP="007C3DF2">
      <w:pPr>
        <w:spacing w:after="0" w:line="240" w:lineRule="auto"/>
        <w:jc w:val="both"/>
        <w:textAlignment w:val="baseline"/>
        <w:rPr>
          <w:rFonts w:ascii="Verdana" w:eastAsia="Verdana" w:hAnsi="Verdana" w:cs="Verdana"/>
          <w:lang w:eastAsia="es-CO"/>
        </w:rPr>
      </w:pPr>
    </w:p>
    <w:p w14:paraId="39832383" w14:textId="77777777" w:rsidR="007C3DF2" w:rsidRPr="007C3DF2" w:rsidRDefault="007C3DF2" w:rsidP="007C3DF2">
      <w:pPr>
        <w:spacing w:after="0" w:line="240" w:lineRule="auto"/>
        <w:jc w:val="both"/>
        <w:textAlignment w:val="baseline"/>
        <w:rPr>
          <w:rFonts w:ascii="Verdana" w:eastAsia="Verdana" w:hAnsi="Verdana" w:cs="Verdana"/>
          <w:lang w:eastAsia="es-CO"/>
        </w:rPr>
      </w:pPr>
    </w:p>
    <w:p w14:paraId="76F621B8" w14:textId="647EA07B" w:rsidR="007C3DF2" w:rsidRPr="007C3DF2" w:rsidRDefault="007C3DF2" w:rsidP="007C3DF2">
      <w:pPr>
        <w:spacing w:after="0" w:line="240" w:lineRule="auto"/>
        <w:textAlignment w:val="baseline"/>
        <w:rPr>
          <w:rFonts w:ascii="Verdana" w:eastAsia="Verdana" w:hAnsi="Verdana" w:cs="Verdana"/>
          <w:lang w:eastAsia="es-CO"/>
        </w:rPr>
      </w:pPr>
      <w:r w:rsidRPr="007C3DF2">
        <w:rPr>
          <w:rFonts w:ascii="Verdana" w:eastAsia="Verdana" w:hAnsi="Verdana" w:cs="Verdana"/>
          <w:lang w:eastAsia="es-CO"/>
        </w:rPr>
        <w:t> </w:t>
      </w:r>
      <w:bookmarkEnd w:id="1"/>
    </w:p>
    <w:p w14:paraId="5B787479" w14:textId="77777777" w:rsidR="007C3DF2" w:rsidRPr="007C3DF2" w:rsidRDefault="007C3DF2" w:rsidP="007C3DF2"/>
    <w:p w14:paraId="37191DB3" w14:textId="77777777" w:rsidR="007C3DF2" w:rsidRPr="007C3DF2" w:rsidRDefault="007C3DF2" w:rsidP="007C3DF2"/>
    <w:p w14:paraId="2E980930" w14:textId="77777777" w:rsidR="001F2DB5" w:rsidRPr="007C3DF2" w:rsidRDefault="001F2DB5" w:rsidP="007C3DF2"/>
    <w:sectPr w:rsidR="001F2DB5" w:rsidRPr="007C3DF2" w:rsidSect="00C44B4C">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727E8" w14:textId="77777777" w:rsidR="00192A86" w:rsidRPr="009B7987" w:rsidRDefault="00192A86" w:rsidP="00B30448">
      <w:pPr>
        <w:spacing w:after="0" w:line="240" w:lineRule="auto"/>
      </w:pPr>
      <w:r w:rsidRPr="009B7987">
        <w:separator/>
      </w:r>
    </w:p>
  </w:endnote>
  <w:endnote w:type="continuationSeparator" w:id="0">
    <w:p w14:paraId="0772888A" w14:textId="77777777" w:rsidR="00192A86" w:rsidRPr="009B7987" w:rsidRDefault="00192A86" w:rsidP="00B30448">
      <w:pPr>
        <w:spacing w:after="0" w:line="240" w:lineRule="auto"/>
      </w:pPr>
      <w:r w:rsidRPr="009B7987">
        <w:continuationSeparator/>
      </w:r>
    </w:p>
  </w:endnote>
  <w:endnote w:type="continuationNotice" w:id="1">
    <w:p w14:paraId="4C638A2C" w14:textId="77777777" w:rsidR="00192A86" w:rsidRPr="009B7987" w:rsidRDefault="00192A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FDA85" w14:textId="77777777" w:rsidR="00192A86" w:rsidRPr="009B7987" w:rsidRDefault="00192A86" w:rsidP="00B30448">
      <w:pPr>
        <w:spacing w:after="0" w:line="240" w:lineRule="auto"/>
      </w:pPr>
      <w:r w:rsidRPr="009B7987">
        <w:separator/>
      </w:r>
    </w:p>
  </w:footnote>
  <w:footnote w:type="continuationSeparator" w:id="0">
    <w:p w14:paraId="5A7B1D6F" w14:textId="77777777" w:rsidR="00192A86" w:rsidRPr="009B7987" w:rsidRDefault="00192A86" w:rsidP="00B30448">
      <w:pPr>
        <w:spacing w:after="0" w:line="240" w:lineRule="auto"/>
      </w:pPr>
      <w:r w:rsidRPr="009B7987">
        <w:continuationSeparator/>
      </w:r>
    </w:p>
  </w:footnote>
  <w:footnote w:type="continuationNotice" w:id="1">
    <w:p w14:paraId="6A0FADBA" w14:textId="77777777" w:rsidR="00192A86" w:rsidRPr="009B7987" w:rsidRDefault="00192A86">
      <w:pPr>
        <w:spacing w:after="0" w:line="240" w:lineRule="auto"/>
      </w:pPr>
    </w:p>
  </w:footnote>
  <w:footnote w:id="2">
    <w:p w14:paraId="5070E38F" w14:textId="77777777" w:rsidR="007C3DF2" w:rsidRPr="00591347" w:rsidRDefault="007C3DF2" w:rsidP="007C3DF2">
      <w:pPr>
        <w:spacing w:after="0"/>
        <w:ind w:firstLine="708"/>
        <w:jc w:val="both"/>
        <w:rPr>
          <w:rFonts w:ascii="Verdana" w:hAnsi="Verdana" w:cs="Arial"/>
          <w:sz w:val="16"/>
          <w:szCs w:val="16"/>
        </w:rPr>
      </w:pPr>
      <w:r w:rsidRPr="00591347">
        <w:rPr>
          <w:rStyle w:val="Refdenotaalpie"/>
          <w:rFonts w:ascii="Verdana" w:hAnsi="Verdana" w:cs="Arial"/>
          <w:sz w:val="16"/>
          <w:szCs w:val="16"/>
        </w:rPr>
        <w:footnoteRef/>
      </w:r>
      <w:r w:rsidRPr="00591347">
        <w:rPr>
          <w:rFonts w:ascii="Verdana" w:hAnsi="Verdana" w:cs="Arial"/>
          <w:sz w:val="16"/>
          <w:szCs w:val="16"/>
        </w:rPr>
        <w:t xml:space="preserve"> “</w:t>
      </w:r>
      <w:r w:rsidRPr="00591347">
        <w:rPr>
          <w:rFonts w:ascii="Verdana" w:hAnsi="Verdana" w:cs="Arial"/>
          <w:bCs/>
          <w:sz w:val="16"/>
          <w:szCs w:val="16"/>
        </w:rPr>
        <w:t>Artículo 37. ejecución de proyectos de inversión.</w:t>
      </w:r>
      <w:r w:rsidRPr="00591347">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591347">
          <w:rPr>
            <w:rFonts w:ascii="Verdana" w:hAnsi="Verdana" w:cs="Arial"/>
            <w:sz w:val="16"/>
            <w:szCs w:val="16"/>
          </w:rPr>
          <w:t>35</w:t>
        </w:r>
      </w:hyperlink>
      <w:r w:rsidRPr="00591347">
        <w:rPr>
          <w:rFonts w:ascii="Verdana" w:hAnsi="Verdana" w:cs="Arial"/>
          <w:sz w:val="16"/>
          <w:szCs w:val="16"/>
        </w:rPr>
        <w:t> y </w:t>
      </w:r>
      <w:hyperlink r:id="rId2" w:anchor="36" w:history="1">
        <w:r w:rsidRPr="00591347">
          <w:rPr>
            <w:rFonts w:ascii="Verdana" w:hAnsi="Verdana" w:cs="Arial"/>
            <w:sz w:val="16"/>
            <w:szCs w:val="16"/>
          </w:rPr>
          <w:t>36</w:t>
        </w:r>
      </w:hyperlink>
      <w:r w:rsidRPr="00591347">
        <w:rPr>
          <w:rFonts w:ascii="Verdana" w:hAnsi="Verdana" w:cs="Arial"/>
          <w:sz w:val="16"/>
          <w:szCs w:val="16"/>
        </w:rPr>
        <w:t> de la presente ley. así mismo, la entidad ejecutora estará a cargo de la contratación de la interventoría, de conformidad con lo previsto en la presente ley.</w:t>
      </w:r>
    </w:p>
    <w:p w14:paraId="15D6BECB" w14:textId="77777777" w:rsidR="007C3DF2" w:rsidRPr="00591347" w:rsidRDefault="007C3DF2" w:rsidP="007C3DF2">
      <w:pPr>
        <w:spacing w:after="0"/>
        <w:ind w:firstLine="708"/>
        <w:jc w:val="both"/>
        <w:rPr>
          <w:rFonts w:ascii="Verdana" w:hAnsi="Verdana" w:cs="Arial"/>
          <w:sz w:val="16"/>
          <w:szCs w:val="16"/>
        </w:rPr>
      </w:pPr>
      <w:r w:rsidRPr="00591347">
        <w:rPr>
          <w:rFonts w:ascii="Verdana" w:hAnsi="Verdana" w:cs="Arial"/>
          <w:sz w:val="16"/>
          <w:szCs w:val="16"/>
        </w:rPr>
        <w:t xml:space="preserve">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w:t>
      </w:r>
      <w:proofErr w:type="gramStart"/>
      <w:r w:rsidRPr="00591347">
        <w:rPr>
          <w:rFonts w:ascii="Verdana" w:hAnsi="Verdana" w:cs="Arial"/>
          <w:sz w:val="16"/>
          <w:szCs w:val="16"/>
        </w:rPr>
        <w:t>los mismos</w:t>
      </w:r>
      <w:proofErr w:type="gramEnd"/>
      <w:r w:rsidRPr="00591347">
        <w:rPr>
          <w:rFonts w:ascii="Verdana" w:hAnsi="Verdana" w:cs="Arial"/>
          <w:sz w:val="16"/>
          <w:szCs w:val="16"/>
        </w:rPr>
        <w:t>, sin perjuicio de las acciones de control a las que haya lugar.</w:t>
      </w:r>
    </w:p>
    <w:p w14:paraId="6A621D0D" w14:textId="77777777" w:rsidR="007C3DF2" w:rsidRPr="00591347" w:rsidRDefault="007C3DF2" w:rsidP="007C3DF2">
      <w:pPr>
        <w:spacing w:after="0"/>
        <w:ind w:firstLine="708"/>
        <w:jc w:val="both"/>
        <w:rPr>
          <w:rFonts w:ascii="Verdana" w:hAnsi="Verdana" w:cs="Arial"/>
          <w:sz w:val="16"/>
          <w:szCs w:val="16"/>
        </w:rPr>
      </w:pPr>
      <w:r w:rsidRPr="00591347">
        <w:rPr>
          <w:rFonts w:ascii="Verdana" w:hAnsi="Verdana" w:cs="Arial"/>
          <w:bCs/>
          <w:sz w:val="16"/>
          <w:szCs w:val="16"/>
        </w:rPr>
        <w:t>Parágrafo 1o.</w:t>
      </w:r>
      <w:r w:rsidRPr="00591347">
        <w:rPr>
          <w:rFonts w:ascii="Verdana" w:hAnsi="Verdana" w:cs="Arial"/>
          <w:sz w:val="16"/>
          <w:szCs w:val="16"/>
        </w:rPr>
        <w:t xml:space="preserve"> La ejecución de proyectos de que trata este </w:t>
      </w:r>
      <w:proofErr w:type="gramStart"/>
      <w:r w:rsidRPr="00591347">
        <w:rPr>
          <w:rFonts w:ascii="Verdana" w:hAnsi="Verdana" w:cs="Arial"/>
          <w:sz w:val="16"/>
          <w:szCs w:val="16"/>
        </w:rPr>
        <w:t>artículo,</w:t>
      </w:r>
      <w:proofErr w:type="gramEnd"/>
      <w:r w:rsidRPr="00591347">
        <w:rPr>
          <w:rFonts w:ascii="Verdana" w:hAnsi="Verdana" w:cs="Arial"/>
          <w:sz w:val="16"/>
          <w:szCs w:val="16"/>
        </w:rPr>
        <w:t xml:space="preserve">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51017B7A" w14:textId="77777777" w:rsidR="007C3DF2" w:rsidRPr="00591347" w:rsidRDefault="007C3DF2" w:rsidP="007C3DF2">
      <w:pPr>
        <w:spacing w:after="0"/>
        <w:ind w:firstLine="708"/>
        <w:jc w:val="both"/>
        <w:rPr>
          <w:rFonts w:ascii="Verdana" w:hAnsi="Verdana" w:cs="Arial"/>
          <w:sz w:val="16"/>
          <w:szCs w:val="16"/>
        </w:rPr>
      </w:pPr>
      <w:r w:rsidRPr="00591347">
        <w:rPr>
          <w:rFonts w:ascii="Verdana" w:hAnsi="Verdana" w:cs="Arial"/>
          <w:bCs/>
          <w:sz w:val="16"/>
          <w:szCs w:val="16"/>
        </w:rPr>
        <w:t>Parágrafo 2o.</w:t>
      </w:r>
      <w:r w:rsidRPr="00591347">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40EAC58C" w14:textId="77777777" w:rsidR="007C3DF2" w:rsidRPr="00591347" w:rsidRDefault="007C3DF2" w:rsidP="007C3DF2">
      <w:pPr>
        <w:spacing w:after="0"/>
        <w:ind w:firstLine="708"/>
        <w:jc w:val="both"/>
        <w:rPr>
          <w:rFonts w:ascii="Verdana" w:hAnsi="Verdana" w:cs="Arial"/>
          <w:sz w:val="16"/>
          <w:szCs w:val="16"/>
        </w:rPr>
      </w:pPr>
      <w:r w:rsidRPr="00591347">
        <w:rPr>
          <w:rFonts w:ascii="Verdana" w:hAnsi="Verdana" w:cs="Arial"/>
          <w:bCs/>
          <w:sz w:val="16"/>
          <w:szCs w:val="16"/>
        </w:rPr>
        <w:t>Parágrafo 3o.</w:t>
      </w:r>
      <w:r w:rsidRPr="00591347">
        <w:rPr>
          <w:rFonts w:ascii="Verdana" w:hAnsi="Verdana" w:cs="Arial"/>
          <w:sz w:val="16"/>
          <w:szCs w:val="16"/>
        </w:rPr>
        <w:t xml:space="preserve"> La entidad designada ejecutora por las entidades u órganos de que tratan los artículos </w:t>
      </w:r>
      <w:hyperlink r:id="rId3" w:anchor="35" w:history="1">
        <w:r w:rsidRPr="00591347">
          <w:rPr>
            <w:rFonts w:ascii="Verdana" w:hAnsi="Verdana" w:cs="Arial"/>
            <w:sz w:val="16"/>
            <w:szCs w:val="16"/>
          </w:rPr>
          <w:t>35</w:t>
        </w:r>
      </w:hyperlink>
      <w:r w:rsidRPr="00591347">
        <w:rPr>
          <w:rFonts w:ascii="Verdana" w:hAnsi="Verdana" w:cs="Arial"/>
          <w:sz w:val="16"/>
          <w:szCs w:val="16"/>
        </w:rPr>
        <w:t xml:space="preserve"> y </w:t>
      </w:r>
      <w:hyperlink r:id="rId4" w:anchor="36" w:history="1">
        <w:r w:rsidRPr="00591347">
          <w:rPr>
            <w:rFonts w:ascii="Verdana" w:hAnsi="Verdana" w:cs="Arial"/>
            <w:sz w:val="16"/>
            <w:szCs w:val="16"/>
          </w:rPr>
          <w:t>36</w:t>
        </w:r>
      </w:hyperlink>
      <w:r w:rsidRPr="00591347">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09A9579E" w14:textId="77777777" w:rsidR="007C3DF2" w:rsidRPr="00591347" w:rsidRDefault="007C3DF2" w:rsidP="007C3DF2">
      <w:pPr>
        <w:spacing w:after="0"/>
        <w:ind w:firstLine="708"/>
        <w:jc w:val="both"/>
        <w:rPr>
          <w:rFonts w:ascii="Verdana" w:hAnsi="Verdana" w:cs="Arial"/>
          <w:sz w:val="16"/>
          <w:szCs w:val="16"/>
        </w:rPr>
      </w:pPr>
      <w:r w:rsidRPr="00591347">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4092EE03" w14:textId="77777777" w:rsidR="007C3DF2" w:rsidRPr="00591347" w:rsidRDefault="007C3DF2" w:rsidP="007C3DF2">
      <w:pPr>
        <w:spacing w:after="0"/>
        <w:ind w:firstLine="708"/>
        <w:jc w:val="both"/>
        <w:rPr>
          <w:rFonts w:ascii="Verdana" w:hAnsi="Verdana"/>
          <w:sz w:val="16"/>
          <w:szCs w:val="16"/>
        </w:rPr>
      </w:pPr>
      <w:r w:rsidRPr="00591347">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591347">
        <w:rPr>
          <w:rFonts w:ascii="Verdana" w:hAnsi="Verdana" w:cs="Arial"/>
          <w:sz w:val="16"/>
          <w:szCs w:val="16"/>
          <w:lang w:val="es-ES"/>
        </w:rPr>
        <w:t>”</w:t>
      </w:r>
      <w:r w:rsidRPr="00591347">
        <w:rPr>
          <w:rFonts w:ascii="Verdana" w:hAnsi="Verdana" w:cs="Arial"/>
          <w:sz w:val="16"/>
          <w:szCs w:val="16"/>
        </w:rPr>
        <w:t>.</w:t>
      </w:r>
    </w:p>
  </w:footnote>
  <w:footnote w:id="3">
    <w:p w14:paraId="5FC1C9F8" w14:textId="77777777" w:rsidR="007C3DF2" w:rsidRPr="00591347" w:rsidRDefault="007C3DF2" w:rsidP="007C3DF2">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Artículo 84.</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olor w:val="000000" w:themeColor="text1"/>
          <w:sz w:val="16"/>
          <w:szCs w:val="16"/>
        </w:rPr>
        <w:t xml:space="preserve"> </w:t>
      </w:r>
      <w:r w:rsidRPr="00591347">
        <w:rPr>
          <w:rStyle w:val="baj"/>
          <w:rFonts w:ascii="Verdana" w:hAnsi="Verdana" w:cs="Arial"/>
          <w:color w:val="000000" w:themeColor="text1"/>
          <w:sz w:val="16"/>
          <w:szCs w:val="16"/>
        </w:rPr>
        <w:t>PARÁGRAFO 2o.</w:t>
      </w:r>
      <w:r w:rsidRPr="00591347">
        <w:rPr>
          <w:rFonts w:ascii="Verdana" w:hAnsi="Verdana" w:cs="Arial"/>
          <w:color w:val="000000" w:themeColor="text1"/>
          <w:sz w:val="16"/>
          <w:szCs w:val="16"/>
        </w:rPr>
        <w:t xml:space="preserve"> La ejecución de los proyectos de inversión financiados con recursos del Sistema General de Regalías se adelantará con estricta sujeción al régimen presupuestal definido en esta ley </w:t>
      </w:r>
      <w:r w:rsidRPr="00591347">
        <w:rPr>
          <w:rFonts w:ascii="Verdana" w:hAnsi="Verdana" w:cs="Arial"/>
          <w:i/>
          <w:iCs/>
          <w:color w:val="000000" w:themeColor="text1"/>
          <w:sz w:val="16"/>
          <w:szCs w:val="16"/>
        </w:rPr>
        <w:t>y al de contratación pública</w:t>
      </w:r>
      <w:r w:rsidRPr="00591347">
        <w:rPr>
          <w:rFonts w:ascii="Verdana" w:hAnsi="Verdana" w:cs="Arial"/>
          <w:color w:val="000000" w:themeColor="text1"/>
          <w:sz w:val="16"/>
          <w:szCs w:val="16"/>
        </w:rPr>
        <w:t xml:space="preserve"> y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4">
    <w:p w14:paraId="286E29FA" w14:textId="77777777" w:rsidR="007C3DF2" w:rsidRPr="00591347" w:rsidRDefault="007C3DF2" w:rsidP="007C3DF2">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98.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w:t>
      </w:r>
      <w:proofErr w:type="gramStart"/>
      <w:r w:rsidRPr="00591347">
        <w:rPr>
          <w:rFonts w:ascii="Verdana" w:hAnsi="Verdana"/>
          <w:sz w:val="16"/>
          <w:szCs w:val="16"/>
          <w:lang w:val="es-CO"/>
        </w:rPr>
        <w:t>artículo,</w:t>
      </w:r>
      <w:proofErr w:type="gramEnd"/>
      <w:r w:rsidRPr="00591347">
        <w:rPr>
          <w:rFonts w:ascii="Verdana" w:hAnsi="Verdana"/>
          <w:sz w:val="16"/>
          <w:szCs w:val="16"/>
          <w:lang w:val="es-CO"/>
        </w:rPr>
        <w:t xml:space="preserve"> se adelantará, con estricta sujeción al régimen presupuestal definido en esta ley y </w:t>
      </w:r>
      <w:r w:rsidRPr="00591347">
        <w:rPr>
          <w:rFonts w:ascii="Verdana" w:hAnsi="Verdana"/>
          <w:i/>
          <w:iCs/>
          <w:sz w:val="16"/>
          <w:szCs w:val="16"/>
          <w:lang w:val="es-CO"/>
        </w:rPr>
        <w:t>al de contratación pública</w:t>
      </w:r>
      <w:r w:rsidRPr="00591347">
        <w:rPr>
          <w:rFonts w:ascii="Verdana" w:hAnsi="Verdana"/>
          <w:sz w:val="16"/>
          <w:szCs w:val="16"/>
          <w:lang w:val="es-CO"/>
        </w:rPr>
        <w:t xml:space="preserve">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5">
    <w:p w14:paraId="254D3177" w14:textId="77777777" w:rsidR="007C3DF2" w:rsidRPr="00591347" w:rsidRDefault="007C3DF2" w:rsidP="007C3DF2">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4" w:name="99"/>
      <w:r w:rsidRPr="00591347">
        <w:rPr>
          <w:rFonts w:ascii="Verdana" w:hAnsi="Verdana"/>
          <w:sz w:val="16"/>
          <w:szCs w:val="16"/>
          <w:lang w:val="es-CO"/>
        </w:rPr>
        <w:t xml:space="preserve">Artículo 99.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Ejecución De Recursos.</w:t>
      </w:r>
      <w:bookmarkEnd w:id="4"/>
      <w:r w:rsidRPr="00591347">
        <w:rPr>
          <w:rFonts w:ascii="Verdana" w:hAnsi="Verdana"/>
          <w:sz w:val="16"/>
          <w:szCs w:val="16"/>
          <w:lang w:val="es-CO"/>
        </w:rPr>
        <w:t xml:space="preserve"> Los actos o contratos que expidan o celebren los ejecutores se regirán por las normas presupuestales contenidas en la presente ley, </w:t>
      </w:r>
      <w:r w:rsidRPr="00591347">
        <w:rPr>
          <w:rFonts w:ascii="Verdana" w:hAnsi="Verdana"/>
          <w:i/>
          <w:iCs/>
          <w:sz w:val="16"/>
          <w:szCs w:val="16"/>
          <w:lang w:val="es-CO"/>
        </w:rPr>
        <w:t>el Estatuto de Contratación Estatal</w:t>
      </w:r>
      <w:r w:rsidRPr="00591347">
        <w:rPr>
          <w:rFonts w:ascii="Verdana" w:hAnsi="Verdana"/>
          <w:sz w:val="16"/>
          <w:szCs w:val="16"/>
          <w:lang w:val="es-CO"/>
        </w:rPr>
        <w:t>, las normas contables que para este efecto defina la Contaduría General de la Nación y las demás disposiciones complementarias.</w:t>
      </w:r>
    </w:p>
  </w:footnote>
  <w:footnote w:id="6">
    <w:p w14:paraId="1D6F6D50" w14:textId="77777777" w:rsidR="007C3DF2" w:rsidRPr="00591347" w:rsidRDefault="007C3DF2" w:rsidP="007C3DF2">
      <w:pPr>
        <w:pStyle w:val="Textonotapie"/>
        <w:ind w:firstLine="709"/>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108.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PARÁGRAFO 2o. La ejecución de proyectos de inversión de que trata este artículo, se adelantará, con estricta sujeción al régimen presupuestal definido en esta ley y al de contratación pública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7">
    <w:p w14:paraId="56C149B0" w14:textId="77777777" w:rsidR="007C3DF2" w:rsidRPr="00591347" w:rsidRDefault="007C3DF2" w:rsidP="007C3DF2">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5" w:name="109"/>
      <w:r w:rsidRPr="00591347">
        <w:rPr>
          <w:rFonts w:ascii="Verdana" w:hAnsi="Verdana" w:cs="Arial"/>
          <w:color w:val="000000" w:themeColor="text1"/>
          <w:sz w:val="16"/>
          <w:szCs w:val="16"/>
        </w:rPr>
        <w:t xml:space="preserve">Artículo 109.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s="Arial"/>
          <w:color w:val="000000" w:themeColor="text1"/>
          <w:sz w:val="16"/>
          <w:szCs w:val="16"/>
        </w:rPr>
        <w:t>Ejecución De Recursos.</w:t>
      </w:r>
      <w:bookmarkEnd w:id="5"/>
      <w:r w:rsidRPr="00591347">
        <w:rPr>
          <w:rFonts w:ascii="Verdana" w:hAnsi="Verdana" w:cs="Arial"/>
          <w:color w:val="000000" w:themeColor="text1"/>
          <w:sz w:val="16"/>
          <w:szCs w:val="16"/>
        </w:rPr>
        <w:t xml:space="preserve"> Los actos o contratos que expidan o celebren los ejecutores se regirán por las normas presupuestales contenidas en la presente ley, </w:t>
      </w:r>
      <w:r w:rsidRPr="00591347">
        <w:rPr>
          <w:rFonts w:ascii="Verdana" w:hAnsi="Verdana" w:cs="Arial"/>
          <w:i/>
          <w:iCs/>
          <w:color w:val="000000" w:themeColor="text1"/>
          <w:sz w:val="16"/>
          <w:szCs w:val="16"/>
        </w:rPr>
        <w:t>el Estatuto de Contratación Estatal,</w:t>
      </w:r>
      <w:r w:rsidRPr="00591347">
        <w:rPr>
          <w:rFonts w:ascii="Verdana" w:hAnsi="Verdana" w:cs="Arial"/>
          <w:color w:val="000000" w:themeColor="text1"/>
          <w:sz w:val="16"/>
          <w:szCs w:val="16"/>
        </w:rPr>
        <w:t xml:space="preserve"> las normas contables que para este efecto defina la Contaduría General de la Nación y las demás disposiciones complementarias.</w:t>
      </w:r>
    </w:p>
  </w:footnote>
  <w:footnote w:id="8">
    <w:p w14:paraId="5034C48C" w14:textId="77777777" w:rsidR="007C3DF2" w:rsidRPr="00591347" w:rsidRDefault="007C3DF2" w:rsidP="007C3DF2">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Consejo De Estado. Sección tercera. Sentencia del 7 de marzo de 2025. Radicación No.69.941. C.P: José Roberto Sáchica. </w:t>
      </w:r>
    </w:p>
  </w:footnote>
  <w:footnote w:id="9">
    <w:p w14:paraId="13650002" w14:textId="77777777" w:rsidR="007C3DF2" w:rsidRPr="00591347" w:rsidRDefault="007C3DF2" w:rsidP="007C3DF2">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La exposición de motivos de la Ley 2056 de 2020 explica que “el proyecto de ley prevé que los proyectos de inversión que se financien con cargo al SGR serán ejecutados por quien designe la entidad u órgano que apruebe y priorice el respetivo proyecto, y que la entidad ejecutora estará a cargo de la contratación de la interventoría, la cual se regirá por los establecido en el Estatuto General de Contratación de la Administración Pública vigente</w:t>
      </w:r>
      <w:r w:rsidRPr="00591347">
        <w:rPr>
          <w:rFonts w:ascii="Verdana" w:hAnsi="Verdana" w:cs="Arial"/>
          <w:sz w:val="16"/>
          <w:szCs w:val="16"/>
          <w:lang w:val="es-ES"/>
        </w:rPr>
        <w:t xml:space="preserve">. Gaceta 638 del 2020 Disponible en: </w:t>
      </w:r>
      <w:hyperlink r:id="rId5" w:history="1">
        <w:r w:rsidRPr="00591347">
          <w:rPr>
            <w:rStyle w:val="Hipervnculo"/>
            <w:rFonts w:ascii="Verdana" w:hAnsi="Verdana" w:cs="Arial"/>
            <w:sz w:val="16"/>
            <w:szCs w:val="16"/>
            <w:lang w:val="es-ES"/>
          </w:rPr>
          <w:t>https://leyes.senado.gov.co/proyectos/index.php/proyectos-ley/cuatrenio-2018-2022/2020-2021/article/200-por-el-cual-se-regula-la-organizacion-y-el-funcionamiento-del-sistema-general-de-regalias-mensaje-de-urgencia</w:t>
        </w:r>
      </w:hyperlink>
    </w:p>
  </w:footnote>
  <w:footnote w:id="10">
    <w:p w14:paraId="24BE1BB4" w14:textId="77777777" w:rsidR="007C3DF2" w:rsidRDefault="007C3DF2" w:rsidP="007C3DF2">
      <w:pPr>
        <w:pStyle w:val="Textonotapie"/>
        <w:ind w:firstLine="708"/>
        <w:jc w:val="both"/>
        <w:rPr>
          <w:rFonts w:ascii="Verdana" w:hAnsi="Verdana" w:cs="Times New Roman"/>
          <w:sz w:val="16"/>
          <w:szCs w:val="16"/>
          <w:lang w:val="es-ES"/>
        </w:rPr>
      </w:pPr>
      <w:r>
        <w:rPr>
          <w:rStyle w:val="Refdenotaalpie"/>
          <w:rFonts w:ascii="Verdana" w:hAnsi="Verdana"/>
          <w:sz w:val="16"/>
          <w:szCs w:val="16"/>
        </w:rPr>
        <w:footnoteRef/>
      </w:r>
      <w:r>
        <w:rPr>
          <w:rFonts w:ascii="Verdana" w:hAnsi="Verdana"/>
          <w:sz w:val="16"/>
          <w:szCs w:val="16"/>
        </w:rPr>
        <w:t xml:space="preserve"> Frente a la obligación de publicar los Procesos de Contratación en el SECOP II,</w:t>
      </w:r>
      <w:r>
        <w:rPr>
          <w:rFonts w:ascii="Verdana" w:hAnsi="Verdana"/>
          <w:spacing w:val="40"/>
          <w:sz w:val="16"/>
          <w:szCs w:val="16"/>
        </w:rPr>
        <w:t xml:space="preserve"> </w:t>
      </w:r>
      <w:r>
        <w:rPr>
          <w:rFonts w:ascii="Verdana" w:hAnsi="Verdana"/>
          <w:sz w:val="16"/>
          <w:szCs w:val="16"/>
        </w:rPr>
        <w:t>el 18 de enero de 2022 fue expedida la Ley 2195 de 2022 “</w:t>
      </w:r>
      <w:r>
        <w:rPr>
          <w:rFonts w:ascii="Verdana" w:hAnsi="Verdana"/>
          <w:i/>
          <w:sz w:val="16"/>
          <w:szCs w:val="16"/>
        </w:rPr>
        <w:t>Por medio</w:t>
      </w:r>
      <w:r>
        <w:rPr>
          <w:rFonts w:ascii="Verdana" w:hAnsi="Verdana"/>
          <w:i/>
          <w:spacing w:val="-20"/>
          <w:sz w:val="16"/>
          <w:szCs w:val="16"/>
        </w:rPr>
        <w:t xml:space="preserve"> </w:t>
      </w:r>
      <w:r>
        <w:rPr>
          <w:rFonts w:ascii="Verdana" w:hAnsi="Verdana"/>
          <w:i/>
          <w:sz w:val="16"/>
          <w:szCs w:val="16"/>
        </w:rPr>
        <w:t>de</w:t>
      </w:r>
      <w:r>
        <w:rPr>
          <w:rFonts w:ascii="Verdana" w:hAnsi="Verdana"/>
          <w:i/>
          <w:spacing w:val="-19"/>
          <w:sz w:val="16"/>
          <w:szCs w:val="16"/>
        </w:rPr>
        <w:t xml:space="preserve"> </w:t>
      </w:r>
      <w:r>
        <w:rPr>
          <w:rFonts w:ascii="Verdana" w:hAnsi="Verdana"/>
          <w:i/>
          <w:sz w:val="16"/>
          <w:szCs w:val="16"/>
        </w:rPr>
        <w:t>la</w:t>
      </w:r>
      <w:r>
        <w:rPr>
          <w:rFonts w:ascii="Verdana" w:hAnsi="Verdana"/>
          <w:i/>
          <w:spacing w:val="-19"/>
          <w:sz w:val="16"/>
          <w:szCs w:val="16"/>
        </w:rPr>
        <w:t xml:space="preserve"> </w:t>
      </w:r>
      <w:r>
        <w:rPr>
          <w:rFonts w:ascii="Verdana" w:hAnsi="Verdana"/>
          <w:i/>
          <w:sz w:val="16"/>
          <w:szCs w:val="16"/>
        </w:rPr>
        <w:t>cual</w:t>
      </w:r>
      <w:r>
        <w:rPr>
          <w:rFonts w:ascii="Verdana" w:hAnsi="Verdana"/>
          <w:i/>
          <w:spacing w:val="-20"/>
          <w:sz w:val="16"/>
          <w:szCs w:val="16"/>
        </w:rPr>
        <w:t xml:space="preserve"> </w:t>
      </w:r>
      <w:r>
        <w:rPr>
          <w:rFonts w:ascii="Verdana" w:hAnsi="Verdana"/>
          <w:i/>
          <w:sz w:val="16"/>
          <w:szCs w:val="16"/>
        </w:rPr>
        <w:t>se</w:t>
      </w:r>
      <w:r>
        <w:rPr>
          <w:rFonts w:ascii="Verdana" w:hAnsi="Verdana"/>
          <w:i/>
          <w:spacing w:val="-19"/>
          <w:sz w:val="16"/>
          <w:szCs w:val="16"/>
        </w:rPr>
        <w:t xml:space="preserve"> </w:t>
      </w:r>
      <w:r>
        <w:rPr>
          <w:rFonts w:ascii="Verdana" w:hAnsi="Verdana"/>
          <w:i/>
          <w:sz w:val="16"/>
          <w:szCs w:val="16"/>
        </w:rPr>
        <w:t>adoptan</w:t>
      </w:r>
      <w:r>
        <w:rPr>
          <w:rFonts w:ascii="Verdana" w:hAnsi="Verdana"/>
          <w:i/>
          <w:spacing w:val="-20"/>
          <w:sz w:val="16"/>
          <w:szCs w:val="16"/>
        </w:rPr>
        <w:t xml:space="preserve"> </w:t>
      </w:r>
      <w:r>
        <w:rPr>
          <w:rFonts w:ascii="Verdana" w:hAnsi="Verdana"/>
          <w:i/>
          <w:sz w:val="16"/>
          <w:szCs w:val="16"/>
        </w:rPr>
        <w:t>medidas</w:t>
      </w:r>
      <w:r>
        <w:rPr>
          <w:rFonts w:ascii="Verdana" w:hAnsi="Verdana"/>
          <w:i/>
          <w:spacing w:val="-19"/>
          <w:sz w:val="16"/>
          <w:szCs w:val="16"/>
        </w:rPr>
        <w:t xml:space="preserve"> </w:t>
      </w:r>
      <w:r>
        <w:rPr>
          <w:rFonts w:ascii="Verdana" w:hAnsi="Verdana"/>
          <w:i/>
          <w:sz w:val="16"/>
          <w:szCs w:val="16"/>
        </w:rPr>
        <w:t>en</w:t>
      </w:r>
      <w:r>
        <w:rPr>
          <w:rFonts w:ascii="Verdana" w:hAnsi="Verdana"/>
          <w:i/>
          <w:spacing w:val="-19"/>
          <w:sz w:val="16"/>
          <w:szCs w:val="16"/>
        </w:rPr>
        <w:t xml:space="preserve"> </w:t>
      </w:r>
      <w:r>
        <w:rPr>
          <w:rFonts w:ascii="Verdana" w:hAnsi="Verdana"/>
          <w:i/>
          <w:sz w:val="16"/>
          <w:szCs w:val="16"/>
        </w:rPr>
        <w:t>materia</w:t>
      </w:r>
      <w:r>
        <w:rPr>
          <w:rFonts w:ascii="Verdana" w:hAnsi="Verdana"/>
          <w:i/>
          <w:spacing w:val="-20"/>
          <w:sz w:val="16"/>
          <w:szCs w:val="16"/>
        </w:rPr>
        <w:t xml:space="preserve"> </w:t>
      </w:r>
      <w:r>
        <w:rPr>
          <w:rFonts w:ascii="Verdana" w:hAnsi="Verdana"/>
          <w:i/>
          <w:sz w:val="16"/>
          <w:szCs w:val="16"/>
        </w:rPr>
        <w:t>de</w:t>
      </w:r>
      <w:r>
        <w:rPr>
          <w:rFonts w:ascii="Verdana" w:hAnsi="Verdana"/>
          <w:i/>
          <w:spacing w:val="-19"/>
          <w:sz w:val="16"/>
          <w:szCs w:val="16"/>
        </w:rPr>
        <w:t xml:space="preserve"> </w:t>
      </w:r>
      <w:r>
        <w:rPr>
          <w:rFonts w:ascii="Verdana" w:hAnsi="Verdana"/>
          <w:i/>
          <w:sz w:val="16"/>
          <w:szCs w:val="16"/>
        </w:rPr>
        <w:t>transparencia,</w:t>
      </w:r>
      <w:r>
        <w:rPr>
          <w:rFonts w:ascii="Verdana" w:hAnsi="Verdana"/>
          <w:i/>
          <w:spacing w:val="-19"/>
          <w:sz w:val="16"/>
          <w:szCs w:val="16"/>
        </w:rPr>
        <w:t xml:space="preserve"> </w:t>
      </w:r>
      <w:r>
        <w:rPr>
          <w:rFonts w:ascii="Verdana" w:hAnsi="Verdana"/>
          <w:i/>
          <w:sz w:val="16"/>
          <w:szCs w:val="16"/>
        </w:rPr>
        <w:t>prevención y</w:t>
      </w:r>
      <w:r>
        <w:rPr>
          <w:rFonts w:ascii="Verdana" w:hAnsi="Verdana"/>
          <w:i/>
          <w:spacing w:val="-13"/>
          <w:sz w:val="16"/>
          <w:szCs w:val="16"/>
        </w:rPr>
        <w:t xml:space="preserve"> </w:t>
      </w:r>
      <w:r>
        <w:rPr>
          <w:rFonts w:ascii="Verdana" w:hAnsi="Verdana"/>
          <w:i/>
          <w:sz w:val="16"/>
          <w:szCs w:val="16"/>
        </w:rPr>
        <w:t>lucha</w:t>
      </w:r>
      <w:r>
        <w:rPr>
          <w:rFonts w:ascii="Verdana" w:hAnsi="Verdana"/>
          <w:i/>
          <w:spacing w:val="-11"/>
          <w:sz w:val="16"/>
          <w:szCs w:val="16"/>
        </w:rPr>
        <w:t xml:space="preserve"> </w:t>
      </w:r>
      <w:r>
        <w:rPr>
          <w:rFonts w:ascii="Verdana" w:hAnsi="Verdana"/>
          <w:i/>
          <w:sz w:val="16"/>
          <w:szCs w:val="16"/>
        </w:rPr>
        <w:t>contra</w:t>
      </w:r>
      <w:r>
        <w:rPr>
          <w:rFonts w:ascii="Verdana" w:hAnsi="Verdana"/>
          <w:i/>
          <w:spacing w:val="-12"/>
          <w:sz w:val="16"/>
          <w:szCs w:val="16"/>
        </w:rPr>
        <w:t xml:space="preserve"> </w:t>
      </w:r>
      <w:r>
        <w:rPr>
          <w:rFonts w:ascii="Verdana" w:hAnsi="Verdana"/>
          <w:i/>
          <w:sz w:val="16"/>
          <w:szCs w:val="16"/>
        </w:rPr>
        <w:t>la</w:t>
      </w:r>
      <w:r>
        <w:rPr>
          <w:rFonts w:ascii="Verdana" w:hAnsi="Verdana"/>
          <w:i/>
          <w:spacing w:val="-11"/>
          <w:sz w:val="16"/>
          <w:szCs w:val="16"/>
        </w:rPr>
        <w:t xml:space="preserve"> </w:t>
      </w:r>
      <w:r>
        <w:rPr>
          <w:rFonts w:ascii="Verdana" w:hAnsi="Verdana"/>
          <w:i/>
          <w:sz w:val="16"/>
          <w:szCs w:val="16"/>
        </w:rPr>
        <w:t>corrupción</w:t>
      </w:r>
      <w:r>
        <w:rPr>
          <w:rFonts w:ascii="Verdana" w:hAnsi="Verdana"/>
          <w:i/>
          <w:spacing w:val="-12"/>
          <w:sz w:val="16"/>
          <w:szCs w:val="16"/>
        </w:rPr>
        <w:t xml:space="preserve"> </w:t>
      </w:r>
      <w:r>
        <w:rPr>
          <w:rFonts w:ascii="Verdana" w:hAnsi="Verdana"/>
          <w:i/>
          <w:sz w:val="16"/>
          <w:szCs w:val="16"/>
        </w:rPr>
        <w:t>y</w:t>
      </w:r>
      <w:r>
        <w:rPr>
          <w:rFonts w:ascii="Verdana" w:hAnsi="Verdana"/>
          <w:i/>
          <w:spacing w:val="-13"/>
          <w:sz w:val="16"/>
          <w:szCs w:val="16"/>
        </w:rPr>
        <w:t xml:space="preserve"> </w:t>
      </w:r>
      <w:r>
        <w:rPr>
          <w:rFonts w:ascii="Verdana" w:hAnsi="Verdana"/>
          <w:i/>
          <w:sz w:val="16"/>
          <w:szCs w:val="16"/>
        </w:rPr>
        <w:t>se</w:t>
      </w:r>
      <w:r>
        <w:rPr>
          <w:rFonts w:ascii="Verdana" w:hAnsi="Verdana"/>
          <w:i/>
          <w:spacing w:val="-11"/>
          <w:sz w:val="16"/>
          <w:szCs w:val="16"/>
        </w:rPr>
        <w:t xml:space="preserve"> </w:t>
      </w:r>
      <w:r>
        <w:rPr>
          <w:rFonts w:ascii="Verdana" w:hAnsi="Verdana"/>
          <w:i/>
          <w:sz w:val="16"/>
          <w:szCs w:val="16"/>
        </w:rPr>
        <w:t>dictan</w:t>
      </w:r>
      <w:r>
        <w:rPr>
          <w:rFonts w:ascii="Verdana" w:hAnsi="Verdana"/>
          <w:i/>
          <w:spacing w:val="-12"/>
          <w:sz w:val="16"/>
          <w:szCs w:val="16"/>
        </w:rPr>
        <w:t xml:space="preserve"> </w:t>
      </w:r>
      <w:r>
        <w:rPr>
          <w:rFonts w:ascii="Verdana" w:hAnsi="Verdana"/>
          <w:i/>
          <w:sz w:val="16"/>
          <w:szCs w:val="16"/>
        </w:rPr>
        <w:t>otras</w:t>
      </w:r>
      <w:r>
        <w:rPr>
          <w:rFonts w:ascii="Verdana" w:hAnsi="Verdana"/>
          <w:i/>
          <w:spacing w:val="-11"/>
          <w:sz w:val="16"/>
          <w:szCs w:val="16"/>
        </w:rPr>
        <w:t xml:space="preserve"> </w:t>
      </w:r>
      <w:r>
        <w:rPr>
          <w:rFonts w:ascii="Verdana" w:hAnsi="Verdana"/>
          <w:i/>
          <w:sz w:val="16"/>
          <w:szCs w:val="16"/>
        </w:rPr>
        <w:t>disposiciones</w:t>
      </w:r>
      <w:r>
        <w:rPr>
          <w:rFonts w:ascii="Verdana" w:hAnsi="Verdana"/>
          <w:sz w:val="16"/>
          <w:szCs w:val="16"/>
        </w:rPr>
        <w:t>”,</w:t>
      </w:r>
      <w:r>
        <w:rPr>
          <w:rFonts w:ascii="Verdana" w:hAnsi="Verdana"/>
          <w:spacing w:val="-14"/>
          <w:sz w:val="16"/>
          <w:szCs w:val="16"/>
        </w:rPr>
        <w:t xml:space="preserve"> </w:t>
      </w:r>
      <w:r>
        <w:rPr>
          <w:rFonts w:ascii="Verdana" w:hAnsi="Verdana"/>
          <w:sz w:val="16"/>
          <w:szCs w:val="16"/>
        </w:rPr>
        <w:t>mediante</w:t>
      </w:r>
      <w:r>
        <w:rPr>
          <w:rFonts w:ascii="Verdana" w:hAnsi="Verdana"/>
          <w:spacing w:val="-11"/>
          <w:sz w:val="16"/>
          <w:szCs w:val="16"/>
        </w:rPr>
        <w:t xml:space="preserve"> </w:t>
      </w:r>
      <w:r>
        <w:rPr>
          <w:rFonts w:ascii="Verdana" w:hAnsi="Verdana"/>
          <w:sz w:val="16"/>
          <w:szCs w:val="16"/>
        </w:rPr>
        <w:t>la</w:t>
      </w:r>
      <w:r>
        <w:rPr>
          <w:rFonts w:ascii="Verdana" w:hAnsi="Verdana"/>
          <w:spacing w:val="-10"/>
          <w:sz w:val="16"/>
          <w:szCs w:val="16"/>
        </w:rPr>
        <w:t xml:space="preserve"> </w:t>
      </w:r>
      <w:r>
        <w:rPr>
          <w:rFonts w:ascii="Verdana" w:hAnsi="Verdana"/>
          <w:sz w:val="16"/>
          <w:szCs w:val="16"/>
        </w:rPr>
        <w:t>cual se introdujeron, a través del artículo 53, los incisos 2° y 3° al artículo 13 de la Ley 1150 de 2007, los cuales establecen la obligación, para las entidades públicas que por disposición legal cuenten con un régimen especial de contratación, de publicar su actividad contractual a través del Sistema Electrónico</w:t>
      </w:r>
      <w:r>
        <w:rPr>
          <w:rFonts w:ascii="Verdana" w:hAnsi="Verdana"/>
          <w:spacing w:val="-2"/>
          <w:sz w:val="16"/>
          <w:szCs w:val="16"/>
        </w:rPr>
        <w:t xml:space="preserve"> </w:t>
      </w:r>
      <w:r>
        <w:rPr>
          <w:rFonts w:ascii="Verdana" w:hAnsi="Verdana"/>
          <w:sz w:val="16"/>
          <w:szCs w:val="16"/>
        </w:rPr>
        <w:t>para</w:t>
      </w:r>
      <w:r>
        <w:rPr>
          <w:rFonts w:ascii="Verdana" w:hAnsi="Verdana"/>
          <w:spacing w:val="-4"/>
          <w:sz w:val="16"/>
          <w:szCs w:val="16"/>
        </w:rPr>
        <w:t xml:space="preserve"> </w:t>
      </w:r>
      <w:r>
        <w:rPr>
          <w:rFonts w:ascii="Verdana" w:hAnsi="Verdana"/>
          <w:sz w:val="16"/>
          <w:szCs w:val="16"/>
        </w:rPr>
        <w:t>la</w:t>
      </w:r>
      <w:r>
        <w:rPr>
          <w:rFonts w:ascii="Verdana" w:hAnsi="Verdana"/>
          <w:spacing w:val="-2"/>
          <w:sz w:val="16"/>
          <w:szCs w:val="16"/>
        </w:rPr>
        <w:t xml:space="preserve"> </w:t>
      </w:r>
      <w:r>
        <w:rPr>
          <w:rFonts w:ascii="Verdana" w:hAnsi="Verdana"/>
          <w:sz w:val="16"/>
          <w:szCs w:val="16"/>
        </w:rPr>
        <w:t>Contratación</w:t>
      </w:r>
      <w:r>
        <w:rPr>
          <w:rFonts w:ascii="Verdana" w:hAnsi="Verdana"/>
          <w:spacing w:val="-3"/>
          <w:sz w:val="16"/>
          <w:szCs w:val="16"/>
        </w:rPr>
        <w:t xml:space="preserve"> </w:t>
      </w:r>
      <w:r>
        <w:rPr>
          <w:rFonts w:ascii="Verdana" w:hAnsi="Verdana"/>
          <w:sz w:val="16"/>
          <w:szCs w:val="16"/>
        </w:rPr>
        <w:t>Pública</w:t>
      </w:r>
      <w:r>
        <w:rPr>
          <w:rFonts w:ascii="Verdana" w:hAnsi="Verdana"/>
          <w:spacing w:val="-4"/>
          <w:sz w:val="16"/>
          <w:szCs w:val="16"/>
        </w:rPr>
        <w:t xml:space="preserve"> </w:t>
      </w:r>
      <w:r>
        <w:rPr>
          <w:rFonts w:ascii="Verdana" w:hAnsi="Verdana"/>
          <w:sz w:val="16"/>
          <w:szCs w:val="16"/>
        </w:rPr>
        <w:t>en</w:t>
      </w:r>
      <w:r>
        <w:rPr>
          <w:rFonts w:ascii="Verdana" w:hAnsi="Verdana"/>
          <w:spacing w:val="-1"/>
          <w:sz w:val="16"/>
          <w:szCs w:val="16"/>
        </w:rPr>
        <w:t xml:space="preserve"> </w:t>
      </w:r>
      <w:r>
        <w:rPr>
          <w:rFonts w:ascii="Verdana" w:hAnsi="Verdana"/>
          <w:sz w:val="16"/>
          <w:szCs w:val="16"/>
        </w:rPr>
        <w:t>su</w:t>
      </w:r>
      <w:r>
        <w:rPr>
          <w:rFonts w:ascii="Verdana" w:hAnsi="Verdana"/>
          <w:spacing w:val="-3"/>
          <w:sz w:val="16"/>
          <w:szCs w:val="16"/>
        </w:rPr>
        <w:t xml:space="preserve"> </w:t>
      </w:r>
      <w:r>
        <w:rPr>
          <w:rFonts w:ascii="Verdana" w:hAnsi="Verdana"/>
          <w:sz w:val="16"/>
          <w:szCs w:val="16"/>
        </w:rPr>
        <w:t>versión</w:t>
      </w:r>
      <w:r>
        <w:rPr>
          <w:rFonts w:ascii="Verdana" w:hAnsi="Verdana"/>
          <w:spacing w:val="-3"/>
          <w:sz w:val="16"/>
          <w:szCs w:val="16"/>
        </w:rPr>
        <w:t xml:space="preserve"> </w:t>
      </w:r>
      <w:r>
        <w:rPr>
          <w:rFonts w:ascii="Verdana" w:hAnsi="Verdana"/>
          <w:sz w:val="16"/>
          <w:szCs w:val="16"/>
        </w:rPr>
        <w:t>transaccional,</w:t>
      </w:r>
      <w:r>
        <w:rPr>
          <w:rFonts w:ascii="Verdana" w:hAnsi="Verdana"/>
          <w:spacing w:val="-2"/>
          <w:sz w:val="16"/>
          <w:szCs w:val="16"/>
        </w:rPr>
        <w:t xml:space="preserve"> </w:t>
      </w:r>
      <w:r>
        <w:rPr>
          <w:rFonts w:ascii="Verdana" w:hAnsi="Verdana"/>
          <w:sz w:val="16"/>
          <w:szCs w:val="16"/>
        </w:rPr>
        <w:t>es</w:t>
      </w:r>
      <w:r>
        <w:rPr>
          <w:rFonts w:ascii="Verdana" w:hAnsi="Verdana"/>
          <w:spacing w:val="-2"/>
          <w:sz w:val="16"/>
          <w:szCs w:val="16"/>
        </w:rPr>
        <w:t xml:space="preserve"> </w:t>
      </w:r>
      <w:r>
        <w:rPr>
          <w:rFonts w:ascii="Verdana" w:hAnsi="Verdana"/>
          <w:sz w:val="16"/>
          <w:szCs w:val="16"/>
        </w:rPr>
        <w:t>decir en la plataforma SECOP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769791B"/>
    <w:multiLevelType w:val="hybridMultilevel"/>
    <w:tmpl w:val="6BF6515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7"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0" w15:restartNumberingAfterBreak="0">
    <w:nsid w:val="251123D3"/>
    <w:multiLevelType w:val="hybridMultilevel"/>
    <w:tmpl w:val="6B7E2E24"/>
    <w:lvl w:ilvl="0" w:tplc="A3687E8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2"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1"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4"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8"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0" w15:restartNumberingAfterBreak="0">
    <w:nsid w:val="6EC84743"/>
    <w:multiLevelType w:val="hybridMultilevel"/>
    <w:tmpl w:val="9790F6FE"/>
    <w:lvl w:ilvl="0" w:tplc="6D1C2B0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8226FF1"/>
    <w:multiLevelType w:val="hybridMultilevel"/>
    <w:tmpl w:val="18F0F084"/>
    <w:lvl w:ilvl="0" w:tplc="6A3AC74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7"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4"/>
  </w:num>
  <w:num w:numId="3" w16cid:durableId="679089576">
    <w:abstractNumId w:val="18"/>
  </w:num>
  <w:num w:numId="4" w16cid:durableId="893472101">
    <w:abstractNumId w:val="9"/>
  </w:num>
  <w:num w:numId="5" w16cid:durableId="1982299905">
    <w:abstractNumId w:val="37"/>
  </w:num>
  <w:num w:numId="6" w16cid:durableId="130758360">
    <w:abstractNumId w:val="21"/>
  </w:num>
  <w:num w:numId="7" w16cid:durableId="262541512">
    <w:abstractNumId w:val="33"/>
  </w:num>
  <w:num w:numId="8" w16cid:durableId="1947226218">
    <w:abstractNumId w:val="17"/>
  </w:num>
  <w:num w:numId="9" w16cid:durableId="1180706126">
    <w:abstractNumId w:val="20"/>
  </w:num>
  <w:num w:numId="10" w16cid:durableId="2097506960">
    <w:abstractNumId w:val="26"/>
  </w:num>
  <w:num w:numId="11" w16cid:durableId="1977490869">
    <w:abstractNumId w:val="24"/>
  </w:num>
  <w:num w:numId="12" w16cid:durableId="158663248">
    <w:abstractNumId w:val="23"/>
  </w:num>
  <w:num w:numId="13" w16cid:durableId="2024085788">
    <w:abstractNumId w:val="2"/>
  </w:num>
  <w:num w:numId="14" w16cid:durableId="1885099950">
    <w:abstractNumId w:val="16"/>
  </w:num>
  <w:num w:numId="15" w16cid:durableId="32047459">
    <w:abstractNumId w:val="11"/>
  </w:num>
  <w:num w:numId="16" w16cid:durableId="1192261824">
    <w:abstractNumId w:val="12"/>
  </w:num>
  <w:num w:numId="17" w16cid:durableId="375933272">
    <w:abstractNumId w:val="19"/>
  </w:num>
  <w:num w:numId="18" w16cid:durableId="610939998">
    <w:abstractNumId w:val="27"/>
  </w:num>
  <w:num w:numId="19" w16cid:durableId="1910656144">
    <w:abstractNumId w:val="4"/>
  </w:num>
  <w:num w:numId="20" w16cid:durableId="947545103">
    <w:abstractNumId w:val="15"/>
  </w:num>
  <w:num w:numId="21" w16cid:durableId="1851335222">
    <w:abstractNumId w:val="36"/>
  </w:num>
  <w:num w:numId="22" w16cid:durableId="578707994">
    <w:abstractNumId w:val="6"/>
  </w:num>
  <w:num w:numId="23" w16cid:durableId="876742304">
    <w:abstractNumId w:val="13"/>
  </w:num>
  <w:num w:numId="24" w16cid:durableId="1994095851">
    <w:abstractNumId w:val="7"/>
  </w:num>
  <w:num w:numId="25" w16cid:durableId="1567109325">
    <w:abstractNumId w:val="28"/>
  </w:num>
  <w:num w:numId="26" w16cid:durableId="1116487847">
    <w:abstractNumId w:val="22"/>
  </w:num>
  <w:num w:numId="27" w16cid:durableId="611326471">
    <w:abstractNumId w:val="31"/>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5"/>
  </w:num>
  <w:num w:numId="30" w16cid:durableId="363991975">
    <w:abstractNumId w:val="32"/>
  </w:num>
  <w:num w:numId="31" w16cid:durableId="1509440290">
    <w:abstractNumId w:val="25"/>
  </w:num>
  <w:num w:numId="32" w16cid:durableId="1601723362">
    <w:abstractNumId w:val="8"/>
  </w:num>
  <w:num w:numId="33" w16cid:durableId="1484539021">
    <w:abstractNumId w:val="5"/>
  </w:num>
  <w:num w:numId="34" w16cid:durableId="1387339555">
    <w:abstractNumId w:val="3"/>
  </w:num>
  <w:num w:numId="35" w16cid:durableId="591087840">
    <w:abstractNumId w:val="29"/>
  </w:num>
  <w:num w:numId="36" w16cid:durableId="1632059173">
    <w:abstractNumId w:val="34"/>
  </w:num>
  <w:num w:numId="37" w16cid:durableId="742992957">
    <w:abstractNumId w:val="18"/>
  </w:num>
  <w:num w:numId="38" w16cid:durableId="1317681908">
    <w:abstractNumId w:val="10"/>
  </w:num>
  <w:num w:numId="39" w16cid:durableId="72079176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08"/>
    <w:rsid w:val="00001E39"/>
    <w:rsid w:val="000024D6"/>
    <w:rsid w:val="00002920"/>
    <w:rsid w:val="00002D55"/>
    <w:rsid w:val="00003467"/>
    <w:rsid w:val="0000399A"/>
    <w:rsid w:val="00005225"/>
    <w:rsid w:val="00005329"/>
    <w:rsid w:val="000054DB"/>
    <w:rsid w:val="0000587D"/>
    <w:rsid w:val="000059AE"/>
    <w:rsid w:val="00005BB0"/>
    <w:rsid w:val="00006F59"/>
    <w:rsid w:val="00007086"/>
    <w:rsid w:val="00007382"/>
    <w:rsid w:val="00007576"/>
    <w:rsid w:val="0001025F"/>
    <w:rsid w:val="0001155E"/>
    <w:rsid w:val="00011613"/>
    <w:rsid w:val="00011D3C"/>
    <w:rsid w:val="0001222D"/>
    <w:rsid w:val="00012550"/>
    <w:rsid w:val="00012679"/>
    <w:rsid w:val="00012C27"/>
    <w:rsid w:val="00012EDA"/>
    <w:rsid w:val="00013B3F"/>
    <w:rsid w:val="00014981"/>
    <w:rsid w:val="00014B0D"/>
    <w:rsid w:val="00014E7B"/>
    <w:rsid w:val="00016280"/>
    <w:rsid w:val="0001672C"/>
    <w:rsid w:val="00016F04"/>
    <w:rsid w:val="00017870"/>
    <w:rsid w:val="00021068"/>
    <w:rsid w:val="00021595"/>
    <w:rsid w:val="000219D1"/>
    <w:rsid w:val="00021C3A"/>
    <w:rsid w:val="0002202D"/>
    <w:rsid w:val="00022C23"/>
    <w:rsid w:val="00023DF7"/>
    <w:rsid w:val="00024F51"/>
    <w:rsid w:val="000267DD"/>
    <w:rsid w:val="000273EA"/>
    <w:rsid w:val="00027B63"/>
    <w:rsid w:val="00027CA9"/>
    <w:rsid w:val="00030B3D"/>
    <w:rsid w:val="00030BC5"/>
    <w:rsid w:val="00030BFB"/>
    <w:rsid w:val="00031DA1"/>
    <w:rsid w:val="00031EAF"/>
    <w:rsid w:val="0003287A"/>
    <w:rsid w:val="00033390"/>
    <w:rsid w:val="000361EA"/>
    <w:rsid w:val="0003699E"/>
    <w:rsid w:val="000369C0"/>
    <w:rsid w:val="0003731A"/>
    <w:rsid w:val="00037A8B"/>
    <w:rsid w:val="00040372"/>
    <w:rsid w:val="000408AD"/>
    <w:rsid w:val="00041469"/>
    <w:rsid w:val="0004180C"/>
    <w:rsid w:val="000419D7"/>
    <w:rsid w:val="00042DD7"/>
    <w:rsid w:val="000438BA"/>
    <w:rsid w:val="00043EE5"/>
    <w:rsid w:val="000442CC"/>
    <w:rsid w:val="000442DE"/>
    <w:rsid w:val="0004491F"/>
    <w:rsid w:val="00044B24"/>
    <w:rsid w:val="0004508D"/>
    <w:rsid w:val="0004526E"/>
    <w:rsid w:val="00045B37"/>
    <w:rsid w:val="0004709D"/>
    <w:rsid w:val="000504AA"/>
    <w:rsid w:val="0005086B"/>
    <w:rsid w:val="0005098A"/>
    <w:rsid w:val="00050C95"/>
    <w:rsid w:val="00050CAD"/>
    <w:rsid w:val="0005142D"/>
    <w:rsid w:val="00051A3C"/>
    <w:rsid w:val="00051BE4"/>
    <w:rsid w:val="00051E96"/>
    <w:rsid w:val="000526A8"/>
    <w:rsid w:val="00052EF1"/>
    <w:rsid w:val="0005420B"/>
    <w:rsid w:val="00054DFE"/>
    <w:rsid w:val="000551CB"/>
    <w:rsid w:val="00055ED8"/>
    <w:rsid w:val="0005620B"/>
    <w:rsid w:val="00057392"/>
    <w:rsid w:val="00057740"/>
    <w:rsid w:val="000577A2"/>
    <w:rsid w:val="000577D3"/>
    <w:rsid w:val="00057963"/>
    <w:rsid w:val="000579AB"/>
    <w:rsid w:val="00060AE4"/>
    <w:rsid w:val="000618E5"/>
    <w:rsid w:val="000622B9"/>
    <w:rsid w:val="000631E9"/>
    <w:rsid w:val="00063B4B"/>
    <w:rsid w:val="00064431"/>
    <w:rsid w:val="00064721"/>
    <w:rsid w:val="00064D60"/>
    <w:rsid w:val="0006565C"/>
    <w:rsid w:val="00065973"/>
    <w:rsid w:val="00065C6D"/>
    <w:rsid w:val="000665D3"/>
    <w:rsid w:val="00066646"/>
    <w:rsid w:val="00066C7A"/>
    <w:rsid w:val="00066CF1"/>
    <w:rsid w:val="000678BB"/>
    <w:rsid w:val="000709EF"/>
    <w:rsid w:val="00070D9B"/>
    <w:rsid w:val="0007144A"/>
    <w:rsid w:val="000716AB"/>
    <w:rsid w:val="00071AB8"/>
    <w:rsid w:val="0007243A"/>
    <w:rsid w:val="00072AF5"/>
    <w:rsid w:val="000734CB"/>
    <w:rsid w:val="00074660"/>
    <w:rsid w:val="000752FA"/>
    <w:rsid w:val="00075BDC"/>
    <w:rsid w:val="00076211"/>
    <w:rsid w:val="000762C0"/>
    <w:rsid w:val="0007655A"/>
    <w:rsid w:val="00076737"/>
    <w:rsid w:val="00076C2B"/>
    <w:rsid w:val="00076C73"/>
    <w:rsid w:val="00076F81"/>
    <w:rsid w:val="000772B1"/>
    <w:rsid w:val="000779DE"/>
    <w:rsid w:val="000800B6"/>
    <w:rsid w:val="00080D15"/>
    <w:rsid w:val="00081B03"/>
    <w:rsid w:val="00081BAA"/>
    <w:rsid w:val="000847A0"/>
    <w:rsid w:val="00084BFD"/>
    <w:rsid w:val="00085BD2"/>
    <w:rsid w:val="0008651B"/>
    <w:rsid w:val="00087073"/>
    <w:rsid w:val="0008734C"/>
    <w:rsid w:val="0008739A"/>
    <w:rsid w:val="000875BD"/>
    <w:rsid w:val="000878E7"/>
    <w:rsid w:val="00087A3B"/>
    <w:rsid w:val="00087C01"/>
    <w:rsid w:val="000903E4"/>
    <w:rsid w:val="000906E3"/>
    <w:rsid w:val="00091D73"/>
    <w:rsid w:val="0009252F"/>
    <w:rsid w:val="000933B5"/>
    <w:rsid w:val="000933BC"/>
    <w:rsid w:val="00093544"/>
    <w:rsid w:val="00093D95"/>
    <w:rsid w:val="00093F87"/>
    <w:rsid w:val="00094663"/>
    <w:rsid w:val="00095410"/>
    <w:rsid w:val="00095CF4"/>
    <w:rsid w:val="00095E48"/>
    <w:rsid w:val="00096637"/>
    <w:rsid w:val="0009726B"/>
    <w:rsid w:val="00097285"/>
    <w:rsid w:val="0009740F"/>
    <w:rsid w:val="000975EA"/>
    <w:rsid w:val="000A021A"/>
    <w:rsid w:val="000A1828"/>
    <w:rsid w:val="000A1C31"/>
    <w:rsid w:val="000A1D06"/>
    <w:rsid w:val="000A1F38"/>
    <w:rsid w:val="000A2030"/>
    <w:rsid w:val="000A358F"/>
    <w:rsid w:val="000A37F5"/>
    <w:rsid w:val="000A413A"/>
    <w:rsid w:val="000A4F1E"/>
    <w:rsid w:val="000A5881"/>
    <w:rsid w:val="000A66A1"/>
    <w:rsid w:val="000A69FB"/>
    <w:rsid w:val="000A776F"/>
    <w:rsid w:val="000A77D4"/>
    <w:rsid w:val="000B0B16"/>
    <w:rsid w:val="000B1087"/>
    <w:rsid w:val="000B146F"/>
    <w:rsid w:val="000B1936"/>
    <w:rsid w:val="000B199A"/>
    <w:rsid w:val="000B1FF7"/>
    <w:rsid w:val="000B2529"/>
    <w:rsid w:val="000B2685"/>
    <w:rsid w:val="000B2B7C"/>
    <w:rsid w:val="000B3027"/>
    <w:rsid w:val="000B377E"/>
    <w:rsid w:val="000B381D"/>
    <w:rsid w:val="000B3DD4"/>
    <w:rsid w:val="000B4024"/>
    <w:rsid w:val="000B44BA"/>
    <w:rsid w:val="000B4C9C"/>
    <w:rsid w:val="000B5311"/>
    <w:rsid w:val="000B5313"/>
    <w:rsid w:val="000B5C05"/>
    <w:rsid w:val="000B5C65"/>
    <w:rsid w:val="000B5F1D"/>
    <w:rsid w:val="000B5FB9"/>
    <w:rsid w:val="000B69C5"/>
    <w:rsid w:val="000B6BE9"/>
    <w:rsid w:val="000C02AD"/>
    <w:rsid w:val="000C060A"/>
    <w:rsid w:val="000C07B0"/>
    <w:rsid w:val="000C09DF"/>
    <w:rsid w:val="000C0AA8"/>
    <w:rsid w:val="000C18BD"/>
    <w:rsid w:val="000C1FC8"/>
    <w:rsid w:val="000C36E1"/>
    <w:rsid w:val="000C42A9"/>
    <w:rsid w:val="000C42C6"/>
    <w:rsid w:val="000C50D6"/>
    <w:rsid w:val="000C51E1"/>
    <w:rsid w:val="000C557B"/>
    <w:rsid w:val="000C5A85"/>
    <w:rsid w:val="000C5F29"/>
    <w:rsid w:val="000C5F48"/>
    <w:rsid w:val="000C66BF"/>
    <w:rsid w:val="000C6FC1"/>
    <w:rsid w:val="000C7FF8"/>
    <w:rsid w:val="000D0372"/>
    <w:rsid w:val="000D0ADE"/>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D6EEE"/>
    <w:rsid w:val="000E0622"/>
    <w:rsid w:val="000E07AA"/>
    <w:rsid w:val="000E161A"/>
    <w:rsid w:val="000E1D6F"/>
    <w:rsid w:val="000E2D0D"/>
    <w:rsid w:val="000E3381"/>
    <w:rsid w:val="000E3744"/>
    <w:rsid w:val="000E3CD9"/>
    <w:rsid w:val="000E481D"/>
    <w:rsid w:val="000E496B"/>
    <w:rsid w:val="000E4DBF"/>
    <w:rsid w:val="000E4DF2"/>
    <w:rsid w:val="000E5844"/>
    <w:rsid w:val="000E634B"/>
    <w:rsid w:val="000E7349"/>
    <w:rsid w:val="000E762D"/>
    <w:rsid w:val="000E77CC"/>
    <w:rsid w:val="000F0144"/>
    <w:rsid w:val="000F0783"/>
    <w:rsid w:val="000F0807"/>
    <w:rsid w:val="000F080D"/>
    <w:rsid w:val="000F0B3C"/>
    <w:rsid w:val="000F13D5"/>
    <w:rsid w:val="000F175F"/>
    <w:rsid w:val="000F1AD8"/>
    <w:rsid w:val="000F2F4C"/>
    <w:rsid w:val="000F306E"/>
    <w:rsid w:val="000F38D9"/>
    <w:rsid w:val="000F3CED"/>
    <w:rsid w:val="000F414C"/>
    <w:rsid w:val="000F6320"/>
    <w:rsid w:val="000F64FC"/>
    <w:rsid w:val="000F696E"/>
    <w:rsid w:val="000F6C10"/>
    <w:rsid w:val="000F718E"/>
    <w:rsid w:val="001001F2"/>
    <w:rsid w:val="00100207"/>
    <w:rsid w:val="001003C6"/>
    <w:rsid w:val="00100682"/>
    <w:rsid w:val="00100F25"/>
    <w:rsid w:val="001010D3"/>
    <w:rsid w:val="0010144A"/>
    <w:rsid w:val="00101C11"/>
    <w:rsid w:val="00102F4F"/>
    <w:rsid w:val="001034DD"/>
    <w:rsid w:val="00104425"/>
    <w:rsid w:val="00104B4C"/>
    <w:rsid w:val="00105135"/>
    <w:rsid w:val="001055A2"/>
    <w:rsid w:val="00105DC2"/>
    <w:rsid w:val="0010682A"/>
    <w:rsid w:val="00106C4C"/>
    <w:rsid w:val="001079AE"/>
    <w:rsid w:val="00107DEF"/>
    <w:rsid w:val="00110145"/>
    <w:rsid w:val="0011031D"/>
    <w:rsid w:val="0011037E"/>
    <w:rsid w:val="00110404"/>
    <w:rsid w:val="001109E8"/>
    <w:rsid w:val="00110F73"/>
    <w:rsid w:val="00111E35"/>
    <w:rsid w:val="001128B4"/>
    <w:rsid w:val="00112EBD"/>
    <w:rsid w:val="001132C2"/>
    <w:rsid w:val="00113335"/>
    <w:rsid w:val="0011382D"/>
    <w:rsid w:val="00113AF2"/>
    <w:rsid w:val="00113C17"/>
    <w:rsid w:val="00113FDD"/>
    <w:rsid w:val="00114051"/>
    <w:rsid w:val="00114973"/>
    <w:rsid w:val="00114CFB"/>
    <w:rsid w:val="00114CFF"/>
    <w:rsid w:val="00114FDF"/>
    <w:rsid w:val="0011650B"/>
    <w:rsid w:val="00116616"/>
    <w:rsid w:val="00116FC5"/>
    <w:rsid w:val="00117163"/>
    <w:rsid w:val="00117BBD"/>
    <w:rsid w:val="00117E26"/>
    <w:rsid w:val="001202DF"/>
    <w:rsid w:val="00120F1B"/>
    <w:rsid w:val="001213E7"/>
    <w:rsid w:val="00122208"/>
    <w:rsid w:val="001224BA"/>
    <w:rsid w:val="001238BC"/>
    <w:rsid w:val="00124518"/>
    <w:rsid w:val="001248AB"/>
    <w:rsid w:val="00124981"/>
    <w:rsid w:val="00124B10"/>
    <w:rsid w:val="00124B2E"/>
    <w:rsid w:val="001256A1"/>
    <w:rsid w:val="00125D81"/>
    <w:rsid w:val="00126301"/>
    <w:rsid w:val="0012661F"/>
    <w:rsid w:val="00126966"/>
    <w:rsid w:val="001269B0"/>
    <w:rsid w:val="00126B24"/>
    <w:rsid w:val="00127234"/>
    <w:rsid w:val="001276C4"/>
    <w:rsid w:val="00127C68"/>
    <w:rsid w:val="00127D5B"/>
    <w:rsid w:val="001300B0"/>
    <w:rsid w:val="00131373"/>
    <w:rsid w:val="001314A0"/>
    <w:rsid w:val="00131A1F"/>
    <w:rsid w:val="00131A66"/>
    <w:rsid w:val="00131F9C"/>
    <w:rsid w:val="00132336"/>
    <w:rsid w:val="00132425"/>
    <w:rsid w:val="0013280A"/>
    <w:rsid w:val="00132875"/>
    <w:rsid w:val="0013315A"/>
    <w:rsid w:val="001332B3"/>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5EA8"/>
    <w:rsid w:val="001461A7"/>
    <w:rsid w:val="00146946"/>
    <w:rsid w:val="00146E7C"/>
    <w:rsid w:val="00147F8C"/>
    <w:rsid w:val="00150492"/>
    <w:rsid w:val="00151200"/>
    <w:rsid w:val="001513CE"/>
    <w:rsid w:val="00151465"/>
    <w:rsid w:val="00151AD8"/>
    <w:rsid w:val="00151E77"/>
    <w:rsid w:val="00153287"/>
    <w:rsid w:val="001533E6"/>
    <w:rsid w:val="001538BE"/>
    <w:rsid w:val="00153BA7"/>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3EB1"/>
    <w:rsid w:val="00164803"/>
    <w:rsid w:val="00164AE0"/>
    <w:rsid w:val="001656F6"/>
    <w:rsid w:val="00165BF5"/>
    <w:rsid w:val="00165F2E"/>
    <w:rsid w:val="0016646A"/>
    <w:rsid w:val="001673EE"/>
    <w:rsid w:val="0016793B"/>
    <w:rsid w:val="00167C43"/>
    <w:rsid w:val="001706C9"/>
    <w:rsid w:val="0017120C"/>
    <w:rsid w:val="0017150D"/>
    <w:rsid w:val="001719EC"/>
    <w:rsid w:val="00171D3A"/>
    <w:rsid w:val="001727D7"/>
    <w:rsid w:val="00172C96"/>
    <w:rsid w:val="00172DDC"/>
    <w:rsid w:val="00172F3A"/>
    <w:rsid w:val="0017303B"/>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1FE"/>
    <w:rsid w:val="00183F50"/>
    <w:rsid w:val="001848FF"/>
    <w:rsid w:val="00184BB2"/>
    <w:rsid w:val="00184BD9"/>
    <w:rsid w:val="00184ED6"/>
    <w:rsid w:val="00184F13"/>
    <w:rsid w:val="00184FD9"/>
    <w:rsid w:val="00185361"/>
    <w:rsid w:val="00186037"/>
    <w:rsid w:val="00186AE4"/>
    <w:rsid w:val="00186D14"/>
    <w:rsid w:val="001876D8"/>
    <w:rsid w:val="00187F6A"/>
    <w:rsid w:val="00190325"/>
    <w:rsid w:val="00190391"/>
    <w:rsid w:val="0019151E"/>
    <w:rsid w:val="00191593"/>
    <w:rsid w:val="001918F1"/>
    <w:rsid w:val="0019196E"/>
    <w:rsid w:val="00191FF5"/>
    <w:rsid w:val="001926D7"/>
    <w:rsid w:val="00192A86"/>
    <w:rsid w:val="00192CCE"/>
    <w:rsid w:val="0019385B"/>
    <w:rsid w:val="00193F1C"/>
    <w:rsid w:val="00194428"/>
    <w:rsid w:val="001947C0"/>
    <w:rsid w:val="001948F5"/>
    <w:rsid w:val="00194958"/>
    <w:rsid w:val="0019566E"/>
    <w:rsid w:val="00196359"/>
    <w:rsid w:val="0019710C"/>
    <w:rsid w:val="00197205"/>
    <w:rsid w:val="00197632"/>
    <w:rsid w:val="0019793F"/>
    <w:rsid w:val="00197A9D"/>
    <w:rsid w:val="001A08E7"/>
    <w:rsid w:val="001A17D7"/>
    <w:rsid w:val="001A1A67"/>
    <w:rsid w:val="001A1FDD"/>
    <w:rsid w:val="001A2D8F"/>
    <w:rsid w:val="001A3C1B"/>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175"/>
    <w:rsid w:val="001B35D4"/>
    <w:rsid w:val="001B4446"/>
    <w:rsid w:val="001B52D3"/>
    <w:rsid w:val="001B53DD"/>
    <w:rsid w:val="001B5565"/>
    <w:rsid w:val="001B5A00"/>
    <w:rsid w:val="001B5F59"/>
    <w:rsid w:val="001B63A7"/>
    <w:rsid w:val="001B6810"/>
    <w:rsid w:val="001B6E89"/>
    <w:rsid w:val="001B7358"/>
    <w:rsid w:val="001B791C"/>
    <w:rsid w:val="001B7B9B"/>
    <w:rsid w:val="001B7D70"/>
    <w:rsid w:val="001C0125"/>
    <w:rsid w:val="001C1074"/>
    <w:rsid w:val="001C21C8"/>
    <w:rsid w:val="001C25F5"/>
    <w:rsid w:val="001C265A"/>
    <w:rsid w:val="001C2DFD"/>
    <w:rsid w:val="001C34D0"/>
    <w:rsid w:val="001C4249"/>
    <w:rsid w:val="001C46E3"/>
    <w:rsid w:val="001C496A"/>
    <w:rsid w:val="001C4AC1"/>
    <w:rsid w:val="001C4F27"/>
    <w:rsid w:val="001C51FE"/>
    <w:rsid w:val="001C582B"/>
    <w:rsid w:val="001C6573"/>
    <w:rsid w:val="001C7B08"/>
    <w:rsid w:val="001C7D03"/>
    <w:rsid w:val="001D00BE"/>
    <w:rsid w:val="001D079B"/>
    <w:rsid w:val="001D0D32"/>
    <w:rsid w:val="001D1363"/>
    <w:rsid w:val="001D17C9"/>
    <w:rsid w:val="001D1AB9"/>
    <w:rsid w:val="001D1EEB"/>
    <w:rsid w:val="001D1F20"/>
    <w:rsid w:val="001D22D5"/>
    <w:rsid w:val="001D2A41"/>
    <w:rsid w:val="001D3795"/>
    <w:rsid w:val="001D4006"/>
    <w:rsid w:val="001D54BD"/>
    <w:rsid w:val="001D5C72"/>
    <w:rsid w:val="001D616F"/>
    <w:rsid w:val="001D626E"/>
    <w:rsid w:val="001D733B"/>
    <w:rsid w:val="001D73CF"/>
    <w:rsid w:val="001D7536"/>
    <w:rsid w:val="001D76B1"/>
    <w:rsid w:val="001D7E8C"/>
    <w:rsid w:val="001E04CD"/>
    <w:rsid w:val="001E0902"/>
    <w:rsid w:val="001E1801"/>
    <w:rsid w:val="001E1C73"/>
    <w:rsid w:val="001E1E05"/>
    <w:rsid w:val="001E20B7"/>
    <w:rsid w:val="001E2254"/>
    <w:rsid w:val="001E22D2"/>
    <w:rsid w:val="001E22DE"/>
    <w:rsid w:val="001E2343"/>
    <w:rsid w:val="001E3A17"/>
    <w:rsid w:val="001E3FCB"/>
    <w:rsid w:val="001E52DF"/>
    <w:rsid w:val="001E5500"/>
    <w:rsid w:val="001E65BD"/>
    <w:rsid w:val="001E6930"/>
    <w:rsid w:val="001E6BCB"/>
    <w:rsid w:val="001E761F"/>
    <w:rsid w:val="001E774A"/>
    <w:rsid w:val="001E783B"/>
    <w:rsid w:val="001E7FBC"/>
    <w:rsid w:val="001F0822"/>
    <w:rsid w:val="001F08CB"/>
    <w:rsid w:val="001F105B"/>
    <w:rsid w:val="001F15F6"/>
    <w:rsid w:val="001F179C"/>
    <w:rsid w:val="001F24B7"/>
    <w:rsid w:val="001F2649"/>
    <w:rsid w:val="001F2DB5"/>
    <w:rsid w:val="001F2DC7"/>
    <w:rsid w:val="001F3496"/>
    <w:rsid w:val="001F41CA"/>
    <w:rsid w:val="001F4355"/>
    <w:rsid w:val="001F478E"/>
    <w:rsid w:val="001F4819"/>
    <w:rsid w:val="001F485F"/>
    <w:rsid w:val="001F48BD"/>
    <w:rsid w:val="001F4FAB"/>
    <w:rsid w:val="001F5034"/>
    <w:rsid w:val="001F61DE"/>
    <w:rsid w:val="001F63AA"/>
    <w:rsid w:val="001F69C8"/>
    <w:rsid w:val="001F7054"/>
    <w:rsid w:val="001F77E5"/>
    <w:rsid w:val="001F7DB7"/>
    <w:rsid w:val="002000AA"/>
    <w:rsid w:val="00201502"/>
    <w:rsid w:val="0020302A"/>
    <w:rsid w:val="0020324C"/>
    <w:rsid w:val="002032A0"/>
    <w:rsid w:val="00203532"/>
    <w:rsid w:val="00203AE0"/>
    <w:rsid w:val="00204106"/>
    <w:rsid w:val="00204109"/>
    <w:rsid w:val="0020503A"/>
    <w:rsid w:val="00205041"/>
    <w:rsid w:val="0020524C"/>
    <w:rsid w:val="002059E3"/>
    <w:rsid w:val="00206258"/>
    <w:rsid w:val="00207438"/>
    <w:rsid w:val="002100FF"/>
    <w:rsid w:val="00210543"/>
    <w:rsid w:val="00210B9B"/>
    <w:rsid w:val="0021102F"/>
    <w:rsid w:val="002118D1"/>
    <w:rsid w:val="00211DCE"/>
    <w:rsid w:val="0021229D"/>
    <w:rsid w:val="00212390"/>
    <w:rsid w:val="00212897"/>
    <w:rsid w:val="00212ACB"/>
    <w:rsid w:val="00213612"/>
    <w:rsid w:val="0021386A"/>
    <w:rsid w:val="00213C44"/>
    <w:rsid w:val="002147EE"/>
    <w:rsid w:val="00215516"/>
    <w:rsid w:val="002158DC"/>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935"/>
    <w:rsid w:val="00221C72"/>
    <w:rsid w:val="002223E1"/>
    <w:rsid w:val="002225AB"/>
    <w:rsid w:val="00222955"/>
    <w:rsid w:val="002231B0"/>
    <w:rsid w:val="002239B8"/>
    <w:rsid w:val="00224086"/>
    <w:rsid w:val="002250D1"/>
    <w:rsid w:val="00225AAD"/>
    <w:rsid w:val="002267D2"/>
    <w:rsid w:val="00227AD7"/>
    <w:rsid w:val="00230839"/>
    <w:rsid w:val="00230EE8"/>
    <w:rsid w:val="00231ADB"/>
    <w:rsid w:val="00232178"/>
    <w:rsid w:val="00232248"/>
    <w:rsid w:val="00232D12"/>
    <w:rsid w:val="0023353F"/>
    <w:rsid w:val="00233616"/>
    <w:rsid w:val="00233975"/>
    <w:rsid w:val="00233B8C"/>
    <w:rsid w:val="002353E3"/>
    <w:rsid w:val="00235CC0"/>
    <w:rsid w:val="00235F30"/>
    <w:rsid w:val="00236287"/>
    <w:rsid w:val="002363FF"/>
    <w:rsid w:val="00236D10"/>
    <w:rsid w:val="0023777E"/>
    <w:rsid w:val="002407CE"/>
    <w:rsid w:val="002410D2"/>
    <w:rsid w:val="00241A6E"/>
    <w:rsid w:val="00242325"/>
    <w:rsid w:val="002430FE"/>
    <w:rsid w:val="00243A38"/>
    <w:rsid w:val="0024474F"/>
    <w:rsid w:val="00244761"/>
    <w:rsid w:val="002450F2"/>
    <w:rsid w:val="00245716"/>
    <w:rsid w:val="00245B7F"/>
    <w:rsid w:val="00246383"/>
    <w:rsid w:val="002469C2"/>
    <w:rsid w:val="00247BDE"/>
    <w:rsid w:val="00247DE2"/>
    <w:rsid w:val="00247F35"/>
    <w:rsid w:val="002505DE"/>
    <w:rsid w:val="002514FA"/>
    <w:rsid w:val="00251DAF"/>
    <w:rsid w:val="00252503"/>
    <w:rsid w:val="0025265C"/>
    <w:rsid w:val="00252ED7"/>
    <w:rsid w:val="0025393C"/>
    <w:rsid w:val="002549E7"/>
    <w:rsid w:val="00254A7A"/>
    <w:rsid w:val="00254EA4"/>
    <w:rsid w:val="0025509C"/>
    <w:rsid w:val="002552F8"/>
    <w:rsid w:val="0025575F"/>
    <w:rsid w:val="002560FB"/>
    <w:rsid w:val="002571E3"/>
    <w:rsid w:val="002573DA"/>
    <w:rsid w:val="00260496"/>
    <w:rsid w:val="00260542"/>
    <w:rsid w:val="00260BAD"/>
    <w:rsid w:val="002612EA"/>
    <w:rsid w:val="0026224C"/>
    <w:rsid w:val="00264022"/>
    <w:rsid w:val="00264C7C"/>
    <w:rsid w:val="0026650F"/>
    <w:rsid w:val="00266DC3"/>
    <w:rsid w:val="0027029D"/>
    <w:rsid w:val="00270443"/>
    <w:rsid w:val="00270EE2"/>
    <w:rsid w:val="0027138C"/>
    <w:rsid w:val="0027165A"/>
    <w:rsid w:val="00272787"/>
    <w:rsid w:val="00272826"/>
    <w:rsid w:val="00272A7B"/>
    <w:rsid w:val="00272C44"/>
    <w:rsid w:val="00272E8C"/>
    <w:rsid w:val="00272F05"/>
    <w:rsid w:val="00273527"/>
    <w:rsid w:val="00273F6B"/>
    <w:rsid w:val="002747EF"/>
    <w:rsid w:val="00274B06"/>
    <w:rsid w:val="002751D6"/>
    <w:rsid w:val="002754D3"/>
    <w:rsid w:val="00275B97"/>
    <w:rsid w:val="00276261"/>
    <w:rsid w:val="00276944"/>
    <w:rsid w:val="00276964"/>
    <w:rsid w:val="002769AE"/>
    <w:rsid w:val="00276CA7"/>
    <w:rsid w:val="0027737B"/>
    <w:rsid w:val="002816DD"/>
    <w:rsid w:val="002817A6"/>
    <w:rsid w:val="002821E8"/>
    <w:rsid w:val="00282B86"/>
    <w:rsid w:val="00282F1D"/>
    <w:rsid w:val="00283215"/>
    <w:rsid w:val="00283294"/>
    <w:rsid w:val="00283369"/>
    <w:rsid w:val="002833F3"/>
    <w:rsid w:val="00284203"/>
    <w:rsid w:val="0028512A"/>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785"/>
    <w:rsid w:val="00297E05"/>
    <w:rsid w:val="002A0444"/>
    <w:rsid w:val="002A0BEB"/>
    <w:rsid w:val="002A0F8D"/>
    <w:rsid w:val="002A1311"/>
    <w:rsid w:val="002A1377"/>
    <w:rsid w:val="002A1F89"/>
    <w:rsid w:val="002A211A"/>
    <w:rsid w:val="002A264B"/>
    <w:rsid w:val="002A4A82"/>
    <w:rsid w:val="002A4B33"/>
    <w:rsid w:val="002A4C00"/>
    <w:rsid w:val="002A5311"/>
    <w:rsid w:val="002A5863"/>
    <w:rsid w:val="002A6E9B"/>
    <w:rsid w:val="002A6FBB"/>
    <w:rsid w:val="002B05D1"/>
    <w:rsid w:val="002B09F5"/>
    <w:rsid w:val="002B0DE1"/>
    <w:rsid w:val="002B18C7"/>
    <w:rsid w:val="002B1933"/>
    <w:rsid w:val="002B20BD"/>
    <w:rsid w:val="002B22DB"/>
    <w:rsid w:val="002B2611"/>
    <w:rsid w:val="002B27D8"/>
    <w:rsid w:val="002B35B9"/>
    <w:rsid w:val="002B38D2"/>
    <w:rsid w:val="002B3A46"/>
    <w:rsid w:val="002B3F1C"/>
    <w:rsid w:val="002B3F60"/>
    <w:rsid w:val="002B401B"/>
    <w:rsid w:val="002B48C5"/>
    <w:rsid w:val="002B4ED9"/>
    <w:rsid w:val="002B4EF4"/>
    <w:rsid w:val="002B4F53"/>
    <w:rsid w:val="002B5007"/>
    <w:rsid w:val="002B51BB"/>
    <w:rsid w:val="002B58C5"/>
    <w:rsid w:val="002B654E"/>
    <w:rsid w:val="002B6C1F"/>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3799"/>
    <w:rsid w:val="002C401A"/>
    <w:rsid w:val="002C479B"/>
    <w:rsid w:val="002C4EC8"/>
    <w:rsid w:val="002C532B"/>
    <w:rsid w:val="002C6AF5"/>
    <w:rsid w:val="002C6D15"/>
    <w:rsid w:val="002C72F4"/>
    <w:rsid w:val="002C7E5B"/>
    <w:rsid w:val="002D0907"/>
    <w:rsid w:val="002D0E9E"/>
    <w:rsid w:val="002D1381"/>
    <w:rsid w:val="002D2D68"/>
    <w:rsid w:val="002D2F69"/>
    <w:rsid w:val="002D3016"/>
    <w:rsid w:val="002D3067"/>
    <w:rsid w:val="002D3630"/>
    <w:rsid w:val="002D38D9"/>
    <w:rsid w:val="002D3CE3"/>
    <w:rsid w:val="002D3DBE"/>
    <w:rsid w:val="002D4298"/>
    <w:rsid w:val="002D47E8"/>
    <w:rsid w:val="002D4FCC"/>
    <w:rsid w:val="002D5FD5"/>
    <w:rsid w:val="002D68F4"/>
    <w:rsid w:val="002D7125"/>
    <w:rsid w:val="002D7395"/>
    <w:rsid w:val="002D7417"/>
    <w:rsid w:val="002D782B"/>
    <w:rsid w:val="002E0D9C"/>
    <w:rsid w:val="002E1247"/>
    <w:rsid w:val="002E26E8"/>
    <w:rsid w:val="002E33A6"/>
    <w:rsid w:val="002E3DD8"/>
    <w:rsid w:val="002E3ED8"/>
    <w:rsid w:val="002E556D"/>
    <w:rsid w:val="002E5A01"/>
    <w:rsid w:val="002E5AF4"/>
    <w:rsid w:val="002E5EA3"/>
    <w:rsid w:val="002E717C"/>
    <w:rsid w:val="002E7533"/>
    <w:rsid w:val="002E7A61"/>
    <w:rsid w:val="002F00B8"/>
    <w:rsid w:val="002F0106"/>
    <w:rsid w:val="002F02C2"/>
    <w:rsid w:val="002F03C8"/>
    <w:rsid w:val="002F188D"/>
    <w:rsid w:val="002F18A5"/>
    <w:rsid w:val="002F266E"/>
    <w:rsid w:val="002F26F3"/>
    <w:rsid w:val="002F317F"/>
    <w:rsid w:val="002F3FE7"/>
    <w:rsid w:val="002F51A2"/>
    <w:rsid w:val="002F5BA8"/>
    <w:rsid w:val="002F5E95"/>
    <w:rsid w:val="002F5F68"/>
    <w:rsid w:val="002F6367"/>
    <w:rsid w:val="002F63CA"/>
    <w:rsid w:val="002F67B4"/>
    <w:rsid w:val="002F6F73"/>
    <w:rsid w:val="002F7AA9"/>
    <w:rsid w:val="00300414"/>
    <w:rsid w:val="003004E3"/>
    <w:rsid w:val="00300FF1"/>
    <w:rsid w:val="003010FF"/>
    <w:rsid w:val="00301C0D"/>
    <w:rsid w:val="00301D7B"/>
    <w:rsid w:val="00301E19"/>
    <w:rsid w:val="003023DE"/>
    <w:rsid w:val="00302998"/>
    <w:rsid w:val="00303DC4"/>
    <w:rsid w:val="00304676"/>
    <w:rsid w:val="00306BE7"/>
    <w:rsid w:val="00306D4A"/>
    <w:rsid w:val="00307F1A"/>
    <w:rsid w:val="00307F40"/>
    <w:rsid w:val="003110A2"/>
    <w:rsid w:val="00311655"/>
    <w:rsid w:val="00311B66"/>
    <w:rsid w:val="00311F29"/>
    <w:rsid w:val="00312518"/>
    <w:rsid w:val="00313432"/>
    <w:rsid w:val="00314036"/>
    <w:rsid w:val="003142CC"/>
    <w:rsid w:val="00314347"/>
    <w:rsid w:val="00314C4F"/>
    <w:rsid w:val="00314FAF"/>
    <w:rsid w:val="003162A5"/>
    <w:rsid w:val="00316591"/>
    <w:rsid w:val="00317C91"/>
    <w:rsid w:val="00320553"/>
    <w:rsid w:val="00320C6D"/>
    <w:rsid w:val="003213A8"/>
    <w:rsid w:val="00321FA8"/>
    <w:rsid w:val="00321FE5"/>
    <w:rsid w:val="00321FFD"/>
    <w:rsid w:val="003225AD"/>
    <w:rsid w:val="00322E18"/>
    <w:rsid w:val="00323C3D"/>
    <w:rsid w:val="00323D1D"/>
    <w:rsid w:val="00323F8A"/>
    <w:rsid w:val="00324247"/>
    <w:rsid w:val="00324752"/>
    <w:rsid w:val="00324D73"/>
    <w:rsid w:val="00326011"/>
    <w:rsid w:val="0032643D"/>
    <w:rsid w:val="00326D02"/>
    <w:rsid w:val="00327069"/>
    <w:rsid w:val="00327812"/>
    <w:rsid w:val="00327AFB"/>
    <w:rsid w:val="00327BAF"/>
    <w:rsid w:val="00327D10"/>
    <w:rsid w:val="00331894"/>
    <w:rsid w:val="00331FA5"/>
    <w:rsid w:val="00332CB8"/>
    <w:rsid w:val="00333428"/>
    <w:rsid w:val="00334784"/>
    <w:rsid w:val="003350B6"/>
    <w:rsid w:val="0033595E"/>
    <w:rsid w:val="0033601B"/>
    <w:rsid w:val="003364B6"/>
    <w:rsid w:val="0033764C"/>
    <w:rsid w:val="00337DF3"/>
    <w:rsid w:val="00337F8E"/>
    <w:rsid w:val="00340039"/>
    <w:rsid w:val="003400D3"/>
    <w:rsid w:val="0034024F"/>
    <w:rsid w:val="00340A77"/>
    <w:rsid w:val="00340D39"/>
    <w:rsid w:val="00340DFB"/>
    <w:rsid w:val="00341787"/>
    <w:rsid w:val="00341941"/>
    <w:rsid w:val="0034207A"/>
    <w:rsid w:val="0034278F"/>
    <w:rsid w:val="0034281F"/>
    <w:rsid w:val="00343B47"/>
    <w:rsid w:val="00343F24"/>
    <w:rsid w:val="0034404F"/>
    <w:rsid w:val="00344ACC"/>
    <w:rsid w:val="00345F01"/>
    <w:rsid w:val="0034654F"/>
    <w:rsid w:val="00346762"/>
    <w:rsid w:val="00346B28"/>
    <w:rsid w:val="003475E1"/>
    <w:rsid w:val="00347685"/>
    <w:rsid w:val="00350575"/>
    <w:rsid w:val="003509A5"/>
    <w:rsid w:val="003515FD"/>
    <w:rsid w:val="003518A4"/>
    <w:rsid w:val="00351E21"/>
    <w:rsid w:val="00352327"/>
    <w:rsid w:val="003526A9"/>
    <w:rsid w:val="00354062"/>
    <w:rsid w:val="00354405"/>
    <w:rsid w:val="00354752"/>
    <w:rsid w:val="0035505D"/>
    <w:rsid w:val="00355779"/>
    <w:rsid w:val="00355A76"/>
    <w:rsid w:val="00355DEC"/>
    <w:rsid w:val="0035635F"/>
    <w:rsid w:val="003564B1"/>
    <w:rsid w:val="00356E0F"/>
    <w:rsid w:val="0035700C"/>
    <w:rsid w:val="003607C1"/>
    <w:rsid w:val="003607EE"/>
    <w:rsid w:val="00360BC8"/>
    <w:rsid w:val="00360E35"/>
    <w:rsid w:val="00361106"/>
    <w:rsid w:val="003617AE"/>
    <w:rsid w:val="00361F64"/>
    <w:rsid w:val="0036215C"/>
    <w:rsid w:val="003630F7"/>
    <w:rsid w:val="0036332B"/>
    <w:rsid w:val="00363589"/>
    <w:rsid w:val="00363636"/>
    <w:rsid w:val="0036498F"/>
    <w:rsid w:val="003651AC"/>
    <w:rsid w:val="003653AA"/>
    <w:rsid w:val="00366120"/>
    <w:rsid w:val="003661FF"/>
    <w:rsid w:val="003665A5"/>
    <w:rsid w:val="00366900"/>
    <w:rsid w:val="00366A0C"/>
    <w:rsid w:val="00367238"/>
    <w:rsid w:val="00367462"/>
    <w:rsid w:val="003677D5"/>
    <w:rsid w:val="0037034B"/>
    <w:rsid w:val="00370507"/>
    <w:rsid w:val="00370682"/>
    <w:rsid w:val="00370F0B"/>
    <w:rsid w:val="003718D8"/>
    <w:rsid w:val="00372A01"/>
    <w:rsid w:val="00372ADC"/>
    <w:rsid w:val="00372B87"/>
    <w:rsid w:val="00372C82"/>
    <w:rsid w:val="00372CFC"/>
    <w:rsid w:val="003733DF"/>
    <w:rsid w:val="00373865"/>
    <w:rsid w:val="003739DA"/>
    <w:rsid w:val="00373CE8"/>
    <w:rsid w:val="00374DB0"/>
    <w:rsid w:val="003751C7"/>
    <w:rsid w:val="00375C84"/>
    <w:rsid w:val="00376524"/>
    <w:rsid w:val="003769DE"/>
    <w:rsid w:val="00376E3B"/>
    <w:rsid w:val="003770C7"/>
    <w:rsid w:val="003776FE"/>
    <w:rsid w:val="00380424"/>
    <w:rsid w:val="00380868"/>
    <w:rsid w:val="00380B9B"/>
    <w:rsid w:val="003818B3"/>
    <w:rsid w:val="003819F5"/>
    <w:rsid w:val="00381A52"/>
    <w:rsid w:val="00381B57"/>
    <w:rsid w:val="00381D47"/>
    <w:rsid w:val="003821CC"/>
    <w:rsid w:val="003835F0"/>
    <w:rsid w:val="00384296"/>
    <w:rsid w:val="003853B1"/>
    <w:rsid w:val="003853ED"/>
    <w:rsid w:val="0038628F"/>
    <w:rsid w:val="00386421"/>
    <w:rsid w:val="0038704C"/>
    <w:rsid w:val="00387AA1"/>
    <w:rsid w:val="0039082A"/>
    <w:rsid w:val="0039101F"/>
    <w:rsid w:val="00392EDB"/>
    <w:rsid w:val="00392FAE"/>
    <w:rsid w:val="003931AA"/>
    <w:rsid w:val="00393EEE"/>
    <w:rsid w:val="003941C0"/>
    <w:rsid w:val="00394D45"/>
    <w:rsid w:val="00395132"/>
    <w:rsid w:val="00395D99"/>
    <w:rsid w:val="00396682"/>
    <w:rsid w:val="003968DF"/>
    <w:rsid w:val="003976C3"/>
    <w:rsid w:val="00397A03"/>
    <w:rsid w:val="00397A64"/>
    <w:rsid w:val="003A010B"/>
    <w:rsid w:val="003A099A"/>
    <w:rsid w:val="003A1372"/>
    <w:rsid w:val="003A15DE"/>
    <w:rsid w:val="003A1D46"/>
    <w:rsid w:val="003A2447"/>
    <w:rsid w:val="003A2B82"/>
    <w:rsid w:val="003A36D3"/>
    <w:rsid w:val="003A3927"/>
    <w:rsid w:val="003A3D2E"/>
    <w:rsid w:val="003A3F75"/>
    <w:rsid w:val="003A3FF7"/>
    <w:rsid w:val="003A43D1"/>
    <w:rsid w:val="003A6A2B"/>
    <w:rsid w:val="003A6A51"/>
    <w:rsid w:val="003A6E29"/>
    <w:rsid w:val="003A7FEA"/>
    <w:rsid w:val="003B0464"/>
    <w:rsid w:val="003B0BDB"/>
    <w:rsid w:val="003B0E88"/>
    <w:rsid w:val="003B106E"/>
    <w:rsid w:val="003B153F"/>
    <w:rsid w:val="003B17B0"/>
    <w:rsid w:val="003B1844"/>
    <w:rsid w:val="003B1A5C"/>
    <w:rsid w:val="003B211E"/>
    <w:rsid w:val="003B24EA"/>
    <w:rsid w:val="003B2DA7"/>
    <w:rsid w:val="003B348A"/>
    <w:rsid w:val="003B3993"/>
    <w:rsid w:val="003B3AB7"/>
    <w:rsid w:val="003B3ABC"/>
    <w:rsid w:val="003B3CDD"/>
    <w:rsid w:val="003B3D8E"/>
    <w:rsid w:val="003B3FED"/>
    <w:rsid w:val="003B3FF1"/>
    <w:rsid w:val="003B4217"/>
    <w:rsid w:val="003B59A1"/>
    <w:rsid w:val="003B6D11"/>
    <w:rsid w:val="003B74F1"/>
    <w:rsid w:val="003B7541"/>
    <w:rsid w:val="003B783F"/>
    <w:rsid w:val="003B7966"/>
    <w:rsid w:val="003B7F07"/>
    <w:rsid w:val="003B7FCE"/>
    <w:rsid w:val="003C067C"/>
    <w:rsid w:val="003C0F87"/>
    <w:rsid w:val="003C1113"/>
    <w:rsid w:val="003C141E"/>
    <w:rsid w:val="003C1B83"/>
    <w:rsid w:val="003C210E"/>
    <w:rsid w:val="003C2186"/>
    <w:rsid w:val="003C21B3"/>
    <w:rsid w:val="003C30AD"/>
    <w:rsid w:val="003C3503"/>
    <w:rsid w:val="003C3A13"/>
    <w:rsid w:val="003C40DE"/>
    <w:rsid w:val="003C4851"/>
    <w:rsid w:val="003C4C96"/>
    <w:rsid w:val="003C55E0"/>
    <w:rsid w:val="003C5E39"/>
    <w:rsid w:val="003C683A"/>
    <w:rsid w:val="003D0079"/>
    <w:rsid w:val="003D017D"/>
    <w:rsid w:val="003D04D6"/>
    <w:rsid w:val="003D10EC"/>
    <w:rsid w:val="003D1901"/>
    <w:rsid w:val="003D28DE"/>
    <w:rsid w:val="003D29B9"/>
    <w:rsid w:val="003D3500"/>
    <w:rsid w:val="003D37B6"/>
    <w:rsid w:val="003D3C68"/>
    <w:rsid w:val="003D450D"/>
    <w:rsid w:val="003D4BA9"/>
    <w:rsid w:val="003D4F8F"/>
    <w:rsid w:val="003D503A"/>
    <w:rsid w:val="003D6505"/>
    <w:rsid w:val="003D71A6"/>
    <w:rsid w:val="003D7709"/>
    <w:rsid w:val="003E004C"/>
    <w:rsid w:val="003E0BAF"/>
    <w:rsid w:val="003E0E25"/>
    <w:rsid w:val="003E1409"/>
    <w:rsid w:val="003E14AC"/>
    <w:rsid w:val="003E16F2"/>
    <w:rsid w:val="003E2195"/>
    <w:rsid w:val="003E241A"/>
    <w:rsid w:val="003E36A5"/>
    <w:rsid w:val="003E42BC"/>
    <w:rsid w:val="003E4A52"/>
    <w:rsid w:val="003E5CBA"/>
    <w:rsid w:val="003E782F"/>
    <w:rsid w:val="003E78A9"/>
    <w:rsid w:val="003E7912"/>
    <w:rsid w:val="003E7C98"/>
    <w:rsid w:val="003E7DB5"/>
    <w:rsid w:val="003F04A3"/>
    <w:rsid w:val="003F04E6"/>
    <w:rsid w:val="003F097C"/>
    <w:rsid w:val="003F163F"/>
    <w:rsid w:val="003F2164"/>
    <w:rsid w:val="003F229A"/>
    <w:rsid w:val="003F2CDD"/>
    <w:rsid w:val="003F3FB3"/>
    <w:rsid w:val="003F45D7"/>
    <w:rsid w:val="003F4C1B"/>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2E56"/>
    <w:rsid w:val="00403634"/>
    <w:rsid w:val="00403A99"/>
    <w:rsid w:val="00403F02"/>
    <w:rsid w:val="004041BA"/>
    <w:rsid w:val="00404592"/>
    <w:rsid w:val="0040496E"/>
    <w:rsid w:val="00404B58"/>
    <w:rsid w:val="00404BD2"/>
    <w:rsid w:val="0040544F"/>
    <w:rsid w:val="00405537"/>
    <w:rsid w:val="0040597C"/>
    <w:rsid w:val="0040625C"/>
    <w:rsid w:val="004069D2"/>
    <w:rsid w:val="004076FF"/>
    <w:rsid w:val="004077EC"/>
    <w:rsid w:val="00411B17"/>
    <w:rsid w:val="00411B3A"/>
    <w:rsid w:val="00411FFF"/>
    <w:rsid w:val="0041222D"/>
    <w:rsid w:val="004124F2"/>
    <w:rsid w:val="00412C2A"/>
    <w:rsid w:val="00412E6F"/>
    <w:rsid w:val="00413C5C"/>
    <w:rsid w:val="00413DB2"/>
    <w:rsid w:val="0041413F"/>
    <w:rsid w:val="0041567A"/>
    <w:rsid w:val="00415BAB"/>
    <w:rsid w:val="00415BCF"/>
    <w:rsid w:val="00416297"/>
    <w:rsid w:val="00417083"/>
    <w:rsid w:val="0041736F"/>
    <w:rsid w:val="00417E36"/>
    <w:rsid w:val="0042057C"/>
    <w:rsid w:val="00420BDF"/>
    <w:rsid w:val="00421608"/>
    <w:rsid w:val="00421849"/>
    <w:rsid w:val="00421C23"/>
    <w:rsid w:val="0042261E"/>
    <w:rsid w:val="00422749"/>
    <w:rsid w:val="004228F2"/>
    <w:rsid w:val="004233DC"/>
    <w:rsid w:val="00424888"/>
    <w:rsid w:val="004255D9"/>
    <w:rsid w:val="00425763"/>
    <w:rsid w:val="00425C3C"/>
    <w:rsid w:val="00425F29"/>
    <w:rsid w:val="0042605B"/>
    <w:rsid w:val="004261FD"/>
    <w:rsid w:val="00426B69"/>
    <w:rsid w:val="00426F8D"/>
    <w:rsid w:val="00427D1B"/>
    <w:rsid w:val="00427E40"/>
    <w:rsid w:val="004306AB"/>
    <w:rsid w:val="0043159D"/>
    <w:rsid w:val="0043171D"/>
    <w:rsid w:val="0043263C"/>
    <w:rsid w:val="00432AC3"/>
    <w:rsid w:val="00432F78"/>
    <w:rsid w:val="004334A2"/>
    <w:rsid w:val="004335BC"/>
    <w:rsid w:val="00433972"/>
    <w:rsid w:val="004339E6"/>
    <w:rsid w:val="00433DA5"/>
    <w:rsid w:val="00434723"/>
    <w:rsid w:val="00434729"/>
    <w:rsid w:val="0043499E"/>
    <w:rsid w:val="00434FEA"/>
    <w:rsid w:val="0043617B"/>
    <w:rsid w:val="00437D17"/>
    <w:rsid w:val="00437D2F"/>
    <w:rsid w:val="0044046D"/>
    <w:rsid w:val="00440DEC"/>
    <w:rsid w:val="004410D3"/>
    <w:rsid w:val="00441A5B"/>
    <w:rsid w:val="00441DAF"/>
    <w:rsid w:val="0044270D"/>
    <w:rsid w:val="00442E8C"/>
    <w:rsid w:val="0044312A"/>
    <w:rsid w:val="00443310"/>
    <w:rsid w:val="004435D5"/>
    <w:rsid w:val="00443A34"/>
    <w:rsid w:val="00443D38"/>
    <w:rsid w:val="00444140"/>
    <w:rsid w:val="00444BF5"/>
    <w:rsid w:val="00444F43"/>
    <w:rsid w:val="00447213"/>
    <w:rsid w:val="0044765A"/>
    <w:rsid w:val="00447C23"/>
    <w:rsid w:val="00450744"/>
    <w:rsid w:val="00450BE7"/>
    <w:rsid w:val="00450FE8"/>
    <w:rsid w:val="004518D0"/>
    <w:rsid w:val="0045213A"/>
    <w:rsid w:val="0045227C"/>
    <w:rsid w:val="0045230E"/>
    <w:rsid w:val="00452553"/>
    <w:rsid w:val="004528FA"/>
    <w:rsid w:val="00452D67"/>
    <w:rsid w:val="00452E53"/>
    <w:rsid w:val="0045418C"/>
    <w:rsid w:val="004542C6"/>
    <w:rsid w:val="0045435F"/>
    <w:rsid w:val="00454EDC"/>
    <w:rsid w:val="00455B00"/>
    <w:rsid w:val="00455B97"/>
    <w:rsid w:val="00456635"/>
    <w:rsid w:val="00456BFD"/>
    <w:rsid w:val="004575D5"/>
    <w:rsid w:val="00457657"/>
    <w:rsid w:val="004600BF"/>
    <w:rsid w:val="004607D0"/>
    <w:rsid w:val="00460CE3"/>
    <w:rsid w:val="00460F25"/>
    <w:rsid w:val="0046116D"/>
    <w:rsid w:val="004612A4"/>
    <w:rsid w:val="0046153C"/>
    <w:rsid w:val="004624D2"/>
    <w:rsid w:val="004625C8"/>
    <w:rsid w:val="00462DCE"/>
    <w:rsid w:val="00464194"/>
    <w:rsid w:val="0046442A"/>
    <w:rsid w:val="00464BF1"/>
    <w:rsid w:val="00464CAF"/>
    <w:rsid w:val="00465D73"/>
    <w:rsid w:val="00466078"/>
    <w:rsid w:val="0046626B"/>
    <w:rsid w:val="00466967"/>
    <w:rsid w:val="004676E4"/>
    <w:rsid w:val="00467AFF"/>
    <w:rsid w:val="00470183"/>
    <w:rsid w:val="004708C9"/>
    <w:rsid w:val="00470C48"/>
    <w:rsid w:val="0047139F"/>
    <w:rsid w:val="00471429"/>
    <w:rsid w:val="0047153B"/>
    <w:rsid w:val="004722B1"/>
    <w:rsid w:val="00472312"/>
    <w:rsid w:val="00473A2B"/>
    <w:rsid w:val="00473A47"/>
    <w:rsid w:val="00473A4F"/>
    <w:rsid w:val="00473C0A"/>
    <w:rsid w:val="00473EEF"/>
    <w:rsid w:val="00474415"/>
    <w:rsid w:val="00474BC1"/>
    <w:rsid w:val="00475A46"/>
    <w:rsid w:val="004763EC"/>
    <w:rsid w:val="0047679B"/>
    <w:rsid w:val="0047722F"/>
    <w:rsid w:val="00477459"/>
    <w:rsid w:val="00477CC9"/>
    <w:rsid w:val="0048026E"/>
    <w:rsid w:val="00480303"/>
    <w:rsid w:val="004804C3"/>
    <w:rsid w:val="004807A9"/>
    <w:rsid w:val="00480A8A"/>
    <w:rsid w:val="00480F76"/>
    <w:rsid w:val="004810A5"/>
    <w:rsid w:val="004810E0"/>
    <w:rsid w:val="00481318"/>
    <w:rsid w:val="00481363"/>
    <w:rsid w:val="004813EE"/>
    <w:rsid w:val="00481835"/>
    <w:rsid w:val="0048237F"/>
    <w:rsid w:val="00482CDC"/>
    <w:rsid w:val="00482FB0"/>
    <w:rsid w:val="00483B03"/>
    <w:rsid w:val="0048444C"/>
    <w:rsid w:val="00485058"/>
    <w:rsid w:val="00485702"/>
    <w:rsid w:val="00485C2D"/>
    <w:rsid w:val="004860F7"/>
    <w:rsid w:val="00486177"/>
    <w:rsid w:val="004862C2"/>
    <w:rsid w:val="004867EC"/>
    <w:rsid w:val="00486A37"/>
    <w:rsid w:val="00486DA6"/>
    <w:rsid w:val="00487662"/>
    <w:rsid w:val="004876C6"/>
    <w:rsid w:val="00487D7B"/>
    <w:rsid w:val="00490F7A"/>
    <w:rsid w:val="00490FD5"/>
    <w:rsid w:val="00491241"/>
    <w:rsid w:val="00491813"/>
    <w:rsid w:val="00492B82"/>
    <w:rsid w:val="00493278"/>
    <w:rsid w:val="00493855"/>
    <w:rsid w:val="004951D8"/>
    <w:rsid w:val="004952C1"/>
    <w:rsid w:val="00497575"/>
    <w:rsid w:val="004A078B"/>
    <w:rsid w:val="004A12C0"/>
    <w:rsid w:val="004A169A"/>
    <w:rsid w:val="004A18C9"/>
    <w:rsid w:val="004A191A"/>
    <w:rsid w:val="004A1A70"/>
    <w:rsid w:val="004A2D5A"/>
    <w:rsid w:val="004A2E84"/>
    <w:rsid w:val="004A3988"/>
    <w:rsid w:val="004A4027"/>
    <w:rsid w:val="004A419E"/>
    <w:rsid w:val="004A43F0"/>
    <w:rsid w:val="004A4688"/>
    <w:rsid w:val="004A4776"/>
    <w:rsid w:val="004A4F72"/>
    <w:rsid w:val="004A5741"/>
    <w:rsid w:val="004A6463"/>
    <w:rsid w:val="004A6B58"/>
    <w:rsid w:val="004A6BA2"/>
    <w:rsid w:val="004A7D74"/>
    <w:rsid w:val="004B0364"/>
    <w:rsid w:val="004B06C3"/>
    <w:rsid w:val="004B0917"/>
    <w:rsid w:val="004B0B09"/>
    <w:rsid w:val="004B140F"/>
    <w:rsid w:val="004B14EB"/>
    <w:rsid w:val="004B21CF"/>
    <w:rsid w:val="004B2DE3"/>
    <w:rsid w:val="004B34DF"/>
    <w:rsid w:val="004B3FEA"/>
    <w:rsid w:val="004B44A9"/>
    <w:rsid w:val="004B4E68"/>
    <w:rsid w:val="004B53F1"/>
    <w:rsid w:val="004B5D6E"/>
    <w:rsid w:val="004B60BA"/>
    <w:rsid w:val="004B6946"/>
    <w:rsid w:val="004B6D89"/>
    <w:rsid w:val="004B6E81"/>
    <w:rsid w:val="004B7DE4"/>
    <w:rsid w:val="004C0FFE"/>
    <w:rsid w:val="004C136D"/>
    <w:rsid w:val="004C1619"/>
    <w:rsid w:val="004C177F"/>
    <w:rsid w:val="004C19E4"/>
    <w:rsid w:val="004C1B59"/>
    <w:rsid w:val="004C3C25"/>
    <w:rsid w:val="004C3CFC"/>
    <w:rsid w:val="004C3EEA"/>
    <w:rsid w:val="004C4D02"/>
    <w:rsid w:val="004C4EA2"/>
    <w:rsid w:val="004C596B"/>
    <w:rsid w:val="004C5E41"/>
    <w:rsid w:val="004C60E7"/>
    <w:rsid w:val="004C664D"/>
    <w:rsid w:val="004C7BDE"/>
    <w:rsid w:val="004D0090"/>
    <w:rsid w:val="004D020F"/>
    <w:rsid w:val="004D03D1"/>
    <w:rsid w:val="004D10B0"/>
    <w:rsid w:val="004D11AF"/>
    <w:rsid w:val="004D2E58"/>
    <w:rsid w:val="004D37D9"/>
    <w:rsid w:val="004D41A2"/>
    <w:rsid w:val="004D47F2"/>
    <w:rsid w:val="004D502C"/>
    <w:rsid w:val="004D5CEE"/>
    <w:rsid w:val="004D5FB2"/>
    <w:rsid w:val="004D60A3"/>
    <w:rsid w:val="004D6DC3"/>
    <w:rsid w:val="004D71CA"/>
    <w:rsid w:val="004D78B9"/>
    <w:rsid w:val="004D7CF5"/>
    <w:rsid w:val="004E016A"/>
    <w:rsid w:val="004E0461"/>
    <w:rsid w:val="004E12E8"/>
    <w:rsid w:val="004E1CC8"/>
    <w:rsid w:val="004E2052"/>
    <w:rsid w:val="004E29B1"/>
    <w:rsid w:val="004E3F87"/>
    <w:rsid w:val="004E461B"/>
    <w:rsid w:val="004E477D"/>
    <w:rsid w:val="004E534B"/>
    <w:rsid w:val="004E5890"/>
    <w:rsid w:val="004E79EF"/>
    <w:rsid w:val="004E7B33"/>
    <w:rsid w:val="004F0368"/>
    <w:rsid w:val="004F0D19"/>
    <w:rsid w:val="004F121B"/>
    <w:rsid w:val="004F140F"/>
    <w:rsid w:val="004F185F"/>
    <w:rsid w:val="004F2811"/>
    <w:rsid w:val="004F2F69"/>
    <w:rsid w:val="004F3326"/>
    <w:rsid w:val="004F4D22"/>
    <w:rsid w:val="004F590E"/>
    <w:rsid w:val="004F5966"/>
    <w:rsid w:val="004F6026"/>
    <w:rsid w:val="004F60F4"/>
    <w:rsid w:val="004F62E8"/>
    <w:rsid w:val="004F67C3"/>
    <w:rsid w:val="004F6C17"/>
    <w:rsid w:val="004F7390"/>
    <w:rsid w:val="004F78F8"/>
    <w:rsid w:val="005001A5"/>
    <w:rsid w:val="00500201"/>
    <w:rsid w:val="00500CCD"/>
    <w:rsid w:val="005019AA"/>
    <w:rsid w:val="00502008"/>
    <w:rsid w:val="00502075"/>
    <w:rsid w:val="005026B8"/>
    <w:rsid w:val="005028AF"/>
    <w:rsid w:val="005032E9"/>
    <w:rsid w:val="00503C3B"/>
    <w:rsid w:val="00503CE7"/>
    <w:rsid w:val="005040C9"/>
    <w:rsid w:val="005042DB"/>
    <w:rsid w:val="0050458E"/>
    <w:rsid w:val="00505928"/>
    <w:rsid w:val="00505CD6"/>
    <w:rsid w:val="005069B2"/>
    <w:rsid w:val="0050741A"/>
    <w:rsid w:val="00510452"/>
    <w:rsid w:val="005107BD"/>
    <w:rsid w:val="005108EC"/>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17667"/>
    <w:rsid w:val="00520482"/>
    <w:rsid w:val="00520BBA"/>
    <w:rsid w:val="00522185"/>
    <w:rsid w:val="005225AC"/>
    <w:rsid w:val="005226FA"/>
    <w:rsid w:val="005233F3"/>
    <w:rsid w:val="0052365C"/>
    <w:rsid w:val="005245D2"/>
    <w:rsid w:val="00524806"/>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6735"/>
    <w:rsid w:val="005374FE"/>
    <w:rsid w:val="0054053D"/>
    <w:rsid w:val="0054126C"/>
    <w:rsid w:val="00541368"/>
    <w:rsid w:val="005415DD"/>
    <w:rsid w:val="00541D12"/>
    <w:rsid w:val="005423F3"/>
    <w:rsid w:val="005426DB"/>
    <w:rsid w:val="00542B9F"/>
    <w:rsid w:val="00543C9C"/>
    <w:rsid w:val="005442F1"/>
    <w:rsid w:val="00544A24"/>
    <w:rsid w:val="0054583C"/>
    <w:rsid w:val="00546227"/>
    <w:rsid w:val="005468E2"/>
    <w:rsid w:val="00546D83"/>
    <w:rsid w:val="00546FCC"/>
    <w:rsid w:val="00550113"/>
    <w:rsid w:val="0055019B"/>
    <w:rsid w:val="005504BE"/>
    <w:rsid w:val="0055082B"/>
    <w:rsid w:val="0055093A"/>
    <w:rsid w:val="00550F00"/>
    <w:rsid w:val="00551964"/>
    <w:rsid w:val="00551BDF"/>
    <w:rsid w:val="00551ED7"/>
    <w:rsid w:val="0055211C"/>
    <w:rsid w:val="0055263A"/>
    <w:rsid w:val="005526EE"/>
    <w:rsid w:val="00552B57"/>
    <w:rsid w:val="00552E53"/>
    <w:rsid w:val="00553E34"/>
    <w:rsid w:val="005547B7"/>
    <w:rsid w:val="00554D6D"/>
    <w:rsid w:val="005551E9"/>
    <w:rsid w:val="0055680D"/>
    <w:rsid w:val="00557670"/>
    <w:rsid w:val="00557C2D"/>
    <w:rsid w:val="00560094"/>
    <w:rsid w:val="0056054A"/>
    <w:rsid w:val="00560C62"/>
    <w:rsid w:val="00562A61"/>
    <w:rsid w:val="00562E78"/>
    <w:rsid w:val="005638A2"/>
    <w:rsid w:val="00563D60"/>
    <w:rsid w:val="00564E45"/>
    <w:rsid w:val="005652D5"/>
    <w:rsid w:val="005652FA"/>
    <w:rsid w:val="00565E52"/>
    <w:rsid w:val="00567227"/>
    <w:rsid w:val="00567CD0"/>
    <w:rsid w:val="00570C7B"/>
    <w:rsid w:val="00571C77"/>
    <w:rsid w:val="00572BCD"/>
    <w:rsid w:val="00572D5B"/>
    <w:rsid w:val="00574614"/>
    <w:rsid w:val="00574A70"/>
    <w:rsid w:val="00574D35"/>
    <w:rsid w:val="00575C75"/>
    <w:rsid w:val="00575CEA"/>
    <w:rsid w:val="005762CA"/>
    <w:rsid w:val="005770CF"/>
    <w:rsid w:val="00577904"/>
    <w:rsid w:val="00577922"/>
    <w:rsid w:val="00577AC3"/>
    <w:rsid w:val="00580577"/>
    <w:rsid w:val="00580E97"/>
    <w:rsid w:val="005815A8"/>
    <w:rsid w:val="00581915"/>
    <w:rsid w:val="0058284A"/>
    <w:rsid w:val="00583431"/>
    <w:rsid w:val="005835B0"/>
    <w:rsid w:val="005846C0"/>
    <w:rsid w:val="00584D04"/>
    <w:rsid w:val="005853F5"/>
    <w:rsid w:val="0058567E"/>
    <w:rsid w:val="00585DE1"/>
    <w:rsid w:val="0058659E"/>
    <w:rsid w:val="005869EE"/>
    <w:rsid w:val="005872DD"/>
    <w:rsid w:val="00587CF2"/>
    <w:rsid w:val="00587D3A"/>
    <w:rsid w:val="00590197"/>
    <w:rsid w:val="00590346"/>
    <w:rsid w:val="0059093F"/>
    <w:rsid w:val="00590BA2"/>
    <w:rsid w:val="00590CA7"/>
    <w:rsid w:val="00590E93"/>
    <w:rsid w:val="005915E1"/>
    <w:rsid w:val="0059177A"/>
    <w:rsid w:val="00591C75"/>
    <w:rsid w:val="00592D10"/>
    <w:rsid w:val="005935A2"/>
    <w:rsid w:val="0059388B"/>
    <w:rsid w:val="00593A5F"/>
    <w:rsid w:val="0059404E"/>
    <w:rsid w:val="00594269"/>
    <w:rsid w:val="005950C2"/>
    <w:rsid w:val="00595539"/>
    <w:rsid w:val="00597108"/>
    <w:rsid w:val="005976DB"/>
    <w:rsid w:val="005A06DA"/>
    <w:rsid w:val="005A1A84"/>
    <w:rsid w:val="005A3282"/>
    <w:rsid w:val="005A3E82"/>
    <w:rsid w:val="005A4287"/>
    <w:rsid w:val="005A482E"/>
    <w:rsid w:val="005A4DB0"/>
    <w:rsid w:val="005A5095"/>
    <w:rsid w:val="005A5597"/>
    <w:rsid w:val="005A57BF"/>
    <w:rsid w:val="005A6AC2"/>
    <w:rsid w:val="005A7A65"/>
    <w:rsid w:val="005A7B26"/>
    <w:rsid w:val="005A7B8E"/>
    <w:rsid w:val="005A7C10"/>
    <w:rsid w:val="005B012B"/>
    <w:rsid w:val="005B03E2"/>
    <w:rsid w:val="005B0C87"/>
    <w:rsid w:val="005B0FE9"/>
    <w:rsid w:val="005B2195"/>
    <w:rsid w:val="005B26C7"/>
    <w:rsid w:val="005B27AA"/>
    <w:rsid w:val="005B2D1F"/>
    <w:rsid w:val="005B2D65"/>
    <w:rsid w:val="005B3877"/>
    <w:rsid w:val="005B3AC8"/>
    <w:rsid w:val="005B3CC1"/>
    <w:rsid w:val="005B4002"/>
    <w:rsid w:val="005B45AB"/>
    <w:rsid w:val="005B46DF"/>
    <w:rsid w:val="005B4D8F"/>
    <w:rsid w:val="005B526C"/>
    <w:rsid w:val="005B541E"/>
    <w:rsid w:val="005B6551"/>
    <w:rsid w:val="005B71A8"/>
    <w:rsid w:val="005B744B"/>
    <w:rsid w:val="005C0A6F"/>
    <w:rsid w:val="005C0FA7"/>
    <w:rsid w:val="005C155F"/>
    <w:rsid w:val="005C1C0E"/>
    <w:rsid w:val="005C1FF5"/>
    <w:rsid w:val="005C259E"/>
    <w:rsid w:val="005C36E2"/>
    <w:rsid w:val="005C3E9E"/>
    <w:rsid w:val="005C400C"/>
    <w:rsid w:val="005C410C"/>
    <w:rsid w:val="005C4BF1"/>
    <w:rsid w:val="005C4BF2"/>
    <w:rsid w:val="005C52D4"/>
    <w:rsid w:val="005C5624"/>
    <w:rsid w:val="005C5967"/>
    <w:rsid w:val="005C5BED"/>
    <w:rsid w:val="005C5D86"/>
    <w:rsid w:val="005C6167"/>
    <w:rsid w:val="005C6ADB"/>
    <w:rsid w:val="005C6EE2"/>
    <w:rsid w:val="005C74DC"/>
    <w:rsid w:val="005C7A07"/>
    <w:rsid w:val="005C7DDC"/>
    <w:rsid w:val="005C7F7C"/>
    <w:rsid w:val="005D0BAD"/>
    <w:rsid w:val="005D0C0A"/>
    <w:rsid w:val="005D107D"/>
    <w:rsid w:val="005D123A"/>
    <w:rsid w:val="005D2506"/>
    <w:rsid w:val="005D2BB5"/>
    <w:rsid w:val="005D3677"/>
    <w:rsid w:val="005D3A10"/>
    <w:rsid w:val="005D42B7"/>
    <w:rsid w:val="005D4CFB"/>
    <w:rsid w:val="005D4E4C"/>
    <w:rsid w:val="005D57A3"/>
    <w:rsid w:val="005D5B5E"/>
    <w:rsid w:val="005D5C85"/>
    <w:rsid w:val="005D5CA0"/>
    <w:rsid w:val="005D5F27"/>
    <w:rsid w:val="005D69AB"/>
    <w:rsid w:val="005D72FC"/>
    <w:rsid w:val="005D7DFC"/>
    <w:rsid w:val="005E035A"/>
    <w:rsid w:val="005E0464"/>
    <w:rsid w:val="005E0681"/>
    <w:rsid w:val="005E1143"/>
    <w:rsid w:val="005E1218"/>
    <w:rsid w:val="005E18EC"/>
    <w:rsid w:val="005E1A55"/>
    <w:rsid w:val="005E1B6B"/>
    <w:rsid w:val="005E1F61"/>
    <w:rsid w:val="005E2127"/>
    <w:rsid w:val="005E2281"/>
    <w:rsid w:val="005E236C"/>
    <w:rsid w:val="005E2FAE"/>
    <w:rsid w:val="005E32C9"/>
    <w:rsid w:val="005E351B"/>
    <w:rsid w:val="005E38A8"/>
    <w:rsid w:val="005E39F9"/>
    <w:rsid w:val="005E3D9B"/>
    <w:rsid w:val="005E44B6"/>
    <w:rsid w:val="005E4828"/>
    <w:rsid w:val="005E4887"/>
    <w:rsid w:val="005E5016"/>
    <w:rsid w:val="005E5231"/>
    <w:rsid w:val="005E55BB"/>
    <w:rsid w:val="005E5D11"/>
    <w:rsid w:val="005E667C"/>
    <w:rsid w:val="005E68BC"/>
    <w:rsid w:val="005E6A1D"/>
    <w:rsid w:val="005E6F12"/>
    <w:rsid w:val="005E733E"/>
    <w:rsid w:val="005E7428"/>
    <w:rsid w:val="005F0694"/>
    <w:rsid w:val="005F06E1"/>
    <w:rsid w:val="005F077C"/>
    <w:rsid w:val="005F0B88"/>
    <w:rsid w:val="005F1735"/>
    <w:rsid w:val="005F187E"/>
    <w:rsid w:val="005F252A"/>
    <w:rsid w:val="005F367B"/>
    <w:rsid w:val="005F3CC3"/>
    <w:rsid w:val="005F3CE8"/>
    <w:rsid w:val="005F4F41"/>
    <w:rsid w:val="005F4F70"/>
    <w:rsid w:val="005F566D"/>
    <w:rsid w:val="005F648F"/>
    <w:rsid w:val="005F68C3"/>
    <w:rsid w:val="005F7D87"/>
    <w:rsid w:val="00601794"/>
    <w:rsid w:val="00601E94"/>
    <w:rsid w:val="006021B1"/>
    <w:rsid w:val="00602412"/>
    <w:rsid w:val="006029A7"/>
    <w:rsid w:val="00602F40"/>
    <w:rsid w:val="006037C5"/>
    <w:rsid w:val="00603CC8"/>
    <w:rsid w:val="006040CE"/>
    <w:rsid w:val="0060467D"/>
    <w:rsid w:val="00604DF3"/>
    <w:rsid w:val="0060585E"/>
    <w:rsid w:val="00605B4D"/>
    <w:rsid w:val="00605B9D"/>
    <w:rsid w:val="00606213"/>
    <w:rsid w:val="00606830"/>
    <w:rsid w:val="00606B57"/>
    <w:rsid w:val="00606B85"/>
    <w:rsid w:val="00607390"/>
    <w:rsid w:val="006076D8"/>
    <w:rsid w:val="00607C43"/>
    <w:rsid w:val="00607E6D"/>
    <w:rsid w:val="00610490"/>
    <w:rsid w:val="0061061D"/>
    <w:rsid w:val="00610B97"/>
    <w:rsid w:val="00611708"/>
    <w:rsid w:val="00611816"/>
    <w:rsid w:val="00611A3B"/>
    <w:rsid w:val="006120CA"/>
    <w:rsid w:val="00612389"/>
    <w:rsid w:val="00612570"/>
    <w:rsid w:val="006127BD"/>
    <w:rsid w:val="00612871"/>
    <w:rsid w:val="00612929"/>
    <w:rsid w:val="006129DD"/>
    <w:rsid w:val="00612A44"/>
    <w:rsid w:val="00612A8E"/>
    <w:rsid w:val="00613098"/>
    <w:rsid w:val="0061348F"/>
    <w:rsid w:val="006134D9"/>
    <w:rsid w:val="006135DA"/>
    <w:rsid w:val="00613BDC"/>
    <w:rsid w:val="00613F64"/>
    <w:rsid w:val="00614921"/>
    <w:rsid w:val="00615564"/>
    <w:rsid w:val="006155E2"/>
    <w:rsid w:val="00615CD9"/>
    <w:rsid w:val="00615ECA"/>
    <w:rsid w:val="00615F26"/>
    <w:rsid w:val="00616974"/>
    <w:rsid w:val="00616CCC"/>
    <w:rsid w:val="00617828"/>
    <w:rsid w:val="00617A81"/>
    <w:rsid w:val="00617C11"/>
    <w:rsid w:val="00617DEC"/>
    <w:rsid w:val="00617EEC"/>
    <w:rsid w:val="00620542"/>
    <w:rsid w:val="00620573"/>
    <w:rsid w:val="00620579"/>
    <w:rsid w:val="006208AA"/>
    <w:rsid w:val="0062128D"/>
    <w:rsid w:val="00621C96"/>
    <w:rsid w:val="00622161"/>
    <w:rsid w:val="0062228D"/>
    <w:rsid w:val="006224D1"/>
    <w:rsid w:val="0062258F"/>
    <w:rsid w:val="00622732"/>
    <w:rsid w:val="00622E6D"/>
    <w:rsid w:val="00623BC7"/>
    <w:rsid w:val="00623E70"/>
    <w:rsid w:val="006241D0"/>
    <w:rsid w:val="00624425"/>
    <w:rsid w:val="00624665"/>
    <w:rsid w:val="00624B06"/>
    <w:rsid w:val="00625316"/>
    <w:rsid w:val="00625434"/>
    <w:rsid w:val="0062576B"/>
    <w:rsid w:val="00625C5F"/>
    <w:rsid w:val="00625FF2"/>
    <w:rsid w:val="00626032"/>
    <w:rsid w:val="0062719D"/>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1A"/>
    <w:rsid w:val="006357E2"/>
    <w:rsid w:val="00635923"/>
    <w:rsid w:val="00635FD8"/>
    <w:rsid w:val="00636651"/>
    <w:rsid w:val="006368E4"/>
    <w:rsid w:val="006369C3"/>
    <w:rsid w:val="00636A1C"/>
    <w:rsid w:val="00636F7B"/>
    <w:rsid w:val="00637784"/>
    <w:rsid w:val="00640140"/>
    <w:rsid w:val="0064019C"/>
    <w:rsid w:val="00640288"/>
    <w:rsid w:val="006405AC"/>
    <w:rsid w:val="0064099D"/>
    <w:rsid w:val="00640E9A"/>
    <w:rsid w:val="006412CD"/>
    <w:rsid w:val="006413D8"/>
    <w:rsid w:val="00641420"/>
    <w:rsid w:val="00641610"/>
    <w:rsid w:val="00641B7B"/>
    <w:rsid w:val="00641C55"/>
    <w:rsid w:val="00642405"/>
    <w:rsid w:val="00642645"/>
    <w:rsid w:val="006437E8"/>
    <w:rsid w:val="006438E0"/>
    <w:rsid w:val="006443D6"/>
    <w:rsid w:val="00644BED"/>
    <w:rsid w:val="00644F27"/>
    <w:rsid w:val="006453C4"/>
    <w:rsid w:val="006455CB"/>
    <w:rsid w:val="00646FD5"/>
    <w:rsid w:val="006472F8"/>
    <w:rsid w:val="00647680"/>
    <w:rsid w:val="00647743"/>
    <w:rsid w:val="00647CE0"/>
    <w:rsid w:val="0065069B"/>
    <w:rsid w:val="006510C0"/>
    <w:rsid w:val="00651DC7"/>
    <w:rsid w:val="00652092"/>
    <w:rsid w:val="00652472"/>
    <w:rsid w:val="00652A5F"/>
    <w:rsid w:val="00652F31"/>
    <w:rsid w:val="006535E5"/>
    <w:rsid w:val="0065394E"/>
    <w:rsid w:val="00653B2B"/>
    <w:rsid w:val="00653B38"/>
    <w:rsid w:val="006549B4"/>
    <w:rsid w:val="00654D37"/>
    <w:rsid w:val="00654F06"/>
    <w:rsid w:val="00656385"/>
    <w:rsid w:val="00656F19"/>
    <w:rsid w:val="00657274"/>
    <w:rsid w:val="00657BB7"/>
    <w:rsid w:val="00660299"/>
    <w:rsid w:val="00660552"/>
    <w:rsid w:val="00660DBE"/>
    <w:rsid w:val="00661113"/>
    <w:rsid w:val="0066127D"/>
    <w:rsid w:val="00661AB0"/>
    <w:rsid w:val="006623A4"/>
    <w:rsid w:val="006627B5"/>
    <w:rsid w:val="0066351C"/>
    <w:rsid w:val="006635BF"/>
    <w:rsid w:val="00663CBA"/>
    <w:rsid w:val="00663DBD"/>
    <w:rsid w:val="00664498"/>
    <w:rsid w:val="00664693"/>
    <w:rsid w:val="00664C4B"/>
    <w:rsid w:val="00664DC0"/>
    <w:rsid w:val="00664F24"/>
    <w:rsid w:val="006651CC"/>
    <w:rsid w:val="0066582B"/>
    <w:rsid w:val="006658DA"/>
    <w:rsid w:val="00665B9B"/>
    <w:rsid w:val="00665CA1"/>
    <w:rsid w:val="00666676"/>
    <w:rsid w:val="00666F2F"/>
    <w:rsid w:val="00667421"/>
    <w:rsid w:val="0066780E"/>
    <w:rsid w:val="00667A31"/>
    <w:rsid w:val="00667E6C"/>
    <w:rsid w:val="00670702"/>
    <w:rsid w:val="006708EB"/>
    <w:rsid w:val="0067147C"/>
    <w:rsid w:val="0067225F"/>
    <w:rsid w:val="00672895"/>
    <w:rsid w:val="00672A8A"/>
    <w:rsid w:val="00673524"/>
    <w:rsid w:val="00673F50"/>
    <w:rsid w:val="00674EEA"/>
    <w:rsid w:val="0067549D"/>
    <w:rsid w:val="006759B0"/>
    <w:rsid w:val="0067636E"/>
    <w:rsid w:val="00677012"/>
    <w:rsid w:val="0067705C"/>
    <w:rsid w:val="006771EA"/>
    <w:rsid w:val="006772F9"/>
    <w:rsid w:val="00677C53"/>
    <w:rsid w:val="00680D0E"/>
    <w:rsid w:val="00680F00"/>
    <w:rsid w:val="006825A6"/>
    <w:rsid w:val="006825B4"/>
    <w:rsid w:val="006829BA"/>
    <w:rsid w:val="00682AF2"/>
    <w:rsid w:val="00682C1D"/>
    <w:rsid w:val="00682E8A"/>
    <w:rsid w:val="00682FB7"/>
    <w:rsid w:val="006837DE"/>
    <w:rsid w:val="00683CE0"/>
    <w:rsid w:val="00684FA5"/>
    <w:rsid w:val="00685026"/>
    <w:rsid w:val="0068537F"/>
    <w:rsid w:val="00685E0D"/>
    <w:rsid w:val="00686104"/>
    <w:rsid w:val="00686334"/>
    <w:rsid w:val="00686C3A"/>
    <w:rsid w:val="00686EEB"/>
    <w:rsid w:val="00687628"/>
    <w:rsid w:val="00687CFE"/>
    <w:rsid w:val="0069035A"/>
    <w:rsid w:val="006906FD"/>
    <w:rsid w:val="00690EB8"/>
    <w:rsid w:val="0069109D"/>
    <w:rsid w:val="006915E5"/>
    <w:rsid w:val="00692401"/>
    <w:rsid w:val="00692AD4"/>
    <w:rsid w:val="00693B7A"/>
    <w:rsid w:val="006940BE"/>
    <w:rsid w:val="006941CC"/>
    <w:rsid w:val="006942BA"/>
    <w:rsid w:val="006945D4"/>
    <w:rsid w:val="00694EC0"/>
    <w:rsid w:val="00695852"/>
    <w:rsid w:val="00695F56"/>
    <w:rsid w:val="0069690E"/>
    <w:rsid w:val="0069758B"/>
    <w:rsid w:val="00697F88"/>
    <w:rsid w:val="006A050B"/>
    <w:rsid w:val="006A07FF"/>
    <w:rsid w:val="006A0A70"/>
    <w:rsid w:val="006A0B6C"/>
    <w:rsid w:val="006A1692"/>
    <w:rsid w:val="006A16E1"/>
    <w:rsid w:val="006A179F"/>
    <w:rsid w:val="006A188D"/>
    <w:rsid w:val="006A3293"/>
    <w:rsid w:val="006A36DF"/>
    <w:rsid w:val="006A3C8A"/>
    <w:rsid w:val="006A3E61"/>
    <w:rsid w:val="006A5213"/>
    <w:rsid w:val="006A6003"/>
    <w:rsid w:val="006A6737"/>
    <w:rsid w:val="006B0AE6"/>
    <w:rsid w:val="006B1AF3"/>
    <w:rsid w:val="006B1E08"/>
    <w:rsid w:val="006B2099"/>
    <w:rsid w:val="006B26B1"/>
    <w:rsid w:val="006B2741"/>
    <w:rsid w:val="006B275D"/>
    <w:rsid w:val="006B2E45"/>
    <w:rsid w:val="006B341B"/>
    <w:rsid w:val="006B3875"/>
    <w:rsid w:val="006B3937"/>
    <w:rsid w:val="006B425B"/>
    <w:rsid w:val="006B4986"/>
    <w:rsid w:val="006B4A56"/>
    <w:rsid w:val="006B545C"/>
    <w:rsid w:val="006B5AC8"/>
    <w:rsid w:val="006B5D32"/>
    <w:rsid w:val="006B6AC1"/>
    <w:rsid w:val="006B6EDF"/>
    <w:rsid w:val="006B758B"/>
    <w:rsid w:val="006B78A5"/>
    <w:rsid w:val="006B7BF8"/>
    <w:rsid w:val="006C00A0"/>
    <w:rsid w:val="006C0A9F"/>
    <w:rsid w:val="006C0E54"/>
    <w:rsid w:val="006C0F11"/>
    <w:rsid w:val="006C23E1"/>
    <w:rsid w:val="006C25D5"/>
    <w:rsid w:val="006C25F9"/>
    <w:rsid w:val="006C262B"/>
    <w:rsid w:val="006C27DC"/>
    <w:rsid w:val="006C2866"/>
    <w:rsid w:val="006C31C6"/>
    <w:rsid w:val="006C32BE"/>
    <w:rsid w:val="006C3A2D"/>
    <w:rsid w:val="006C4666"/>
    <w:rsid w:val="006C49BF"/>
    <w:rsid w:val="006C4BB3"/>
    <w:rsid w:val="006C63D7"/>
    <w:rsid w:val="006C6894"/>
    <w:rsid w:val="006C69D9"/>
    <w:rsid w:val="006C6C2D"/>
    <w:rsid w:val="006C6DE2"/>
    <w:rsid w:val="006C7535"/>
    <w:rsid w:val="006C76A6"/>
    <w:rsid w:val="006C796D"/>
    <w:rsid w:val="006D0525"/>
    <w:rsid w:val="006D08DC"/>
    <w:rsid w:val="006D09D1"/>
    <w:rsid w:val="006D10C4"/>
    <w:rsid w:val="006D23FF"/>
    <w:rsid w:val="006D2F09"/>
    <w:rsid w:val="006D2FD2"/>
    <w:rsid w:val="006D33E6"/>
    <w:rsid w:val="006D3783"/>
    <w:rsid w:val="006D3DC0"/>
    <w:rsid w:val="006D40C4"/>
    <w:rsid w:val="006D4162"/>
    <w:rsid w:val="006D44D2"/>
    <w:rsid w:val="006D453E"/>
    <w:rsid w:val="006D4F80"/>
    <w:rsid w:val="006D5303"/>
    <w:rsid w:val="006D5E84"/>
    <w:rsid w:val="006D7A4C"/>
    <w:rsid w:val="006D7C99"/>
    <w:rsid w:val="006E0369"/>
    <w:rsid w:val="006E0443"/>
    <w:rsid w:val="006E0C50"/>
    <w:rsid w:val="006E0DCF"/>
    <w:rsid w:val="006E14D6"/>
    <w:rsid w:val="006E1647"/>
    <w:rsid w:val="006E1BA2"/>
    <w:rsid w:val="006E2298"/>
    <w:rsid w:val="006E2C5A"/>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03AF"/>
    <w:rsid w:val="006F193C"/>
    <w:rsid w:val="006F1B58"/>
    <w:rsid w:val="006F27DC"/>
    <w:rsid w:val="006F2B89"/>
    <w:rsid w:val="006F36F1"/>
    <w:rsid w:val="006F3B81"/>
    <w:rsid w:val="006F4860"/>
    <w:rsid w:val="006F4D59"/>
    <w:rsid w:val="006F4F79"/>
    <w:rsid w:val="006F4F80"/>
    <w:rsid w:val="006F5532"/>
    <w:rsid w:val="006F5ADA"/>
    <w:rsid w:val="006F62CC"/>
    <w:rsid w:val="006F644B"/>
    <w:rsid w:val="006F66C1"/>
    <w:rsid w:val="006F681D"/>
    <w:rsid w:val="006F6FA1"/>
    <w:rsid w:val="006F731E"/>
    <w:rsid w:val="006F78E9"/>
    <w:rsid w:val="0070235F"/>
    <w:rsid w:val="00702BC3"/>
    <w:rsid w:val="00702FF3"/>
    <w:rsid w:val="007032AC"/>
    <w:rsid w:val="00703496"/>
    <w:rsid w:val="007036FE"/>
    <w:rsid w:val="00703AB1"/>
    <w:rsid w:val="00704614"/>
    <w:rsid w:val="00704C5F"/>
    <w:rsid w:val="00704DEB"/>
    <w:rsid w:val="00705623"/>
    <w:rsid w:val="00705B37"/>
    <w:rsid w:val="0070658A"/>
    <w:rsid w:val="00706B65"/>
    <w:rsid w:val="007070DA"/>
    <w:rsid w:val="007071AF"/>
    <w:rsid w:val="00707C1A"/>
    <w:rsid w:val="00710023"/>
    <w:rsid w:val="00710207"/>
    <w:rsid w:val="0071023D"/>
    <w:rsid w:val="007103CD"/>
    <w:rsid w:val="007104CB"/>
    <w:rsid w:val="00710530"/>
    <w:rsid w:val="0071078C"/>
    <w:rsid w:val="007107BD"/>
    <w:rsid w:val="00710A79"/>
    <w:rsid w:val="00711E77"/>
    <w:rsid w:val="00712912"/>
    <w:rsid w:val="00713AAC"/>
    <w:rsid w:val="00713B8D"/>
    <w:rsid w:val="00713C1D"/>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3E16"/>
    <w:rsid w:val="00723FAF"/>
    <w:rsid w:val="0072442F"/>
    <w:rsid w:val="00725189"/>
    <w:rsid w:val="0072541E"/>
    <w:rsid w:val="00725735"/>
    <w:rsid w:val="00725BB8"/>
    <w:rsid w:val="007260A3"/>
    <w:rsid w:val="0072630D"/>
    <w:rsid w:val="00726A2A"/>
    <w:rsid w:val="007271E9"/>
    <w:rsid w:val="007273BC"/>
    <w:rsid w:val="007275FD"/>
    <w:rsid w:val="007276E5"/>
    <w:rsid w:val="00730943"/>
    <w:rsid w:val="007310EF"/>
    <w:rsid w:val="00731D5E"/>
    <w:rsid w:val="00732492"/>
    <w:rsid w:val="00733549"/>
    <w:rsid w:val="00733E5A"/>
    <w:rsid w:val="00733F25"/>
    <w:rsid w:val="00736395"/>
    <w:rsid w:val="00736459"/>
    <w:rsid w:val="0073685F"/>
    <w:rsid w:val="00737821"/>
    <w:rsid w:val="0074058F"/>
    <w:rsid w:val="00740E86"/>
    <w:rsid w:val="00741175"/>
    <w:rsid w:val="007419FB"/>
    <w:rsid w:val="0074218C"/>
    <w:rsid w:val="00742606"/>
    <w:rsid w:val="007441FF"/>
    <w:rsid w:val="007448A7"/>
    <w:rsid w:val="00744EE8"/>
    <w:rsid w:val="00744F42"/>
    <w:rsid w:val="007459F5"/>
    <w:rsid w:val="00745D9E"/>
    <w:rsid w:val="007466DC"/>
    <w:rsid w:val="00746713"/>
    <w:rsid w:val="007467E4"/>
    <w:rsid w:val="00746B08"/>
    <w:rsid w:val="00747569"/>
    <w:rsid w:val="00750238"/>
    <w:rsid w:val="0075023C"/>
    <w:rsid w:val="007518E3"/>
    <w:rsid w:val="007518E9"/>
    <w:rsid w:val="00752247"/>
    <w:rsid w:val="007523E7"/>
    <w:rsid w:val="007524C4"/>
    <w:rsid w:val="00752AE5"/>
    <w:rsid w:val="007531CA"/>
    <w:rsid w:val="00754252"/>
    <w:rsid w:val="00755894"/>
    <w:rsid w:val="007560D3"/>
    <w:rsid w:val="00756258"/>
    <w:rsid w:val="007569B0"/>
    <w:rsid w:val="007577B1"/>
    <w:rsid w:val="00757CB3"/>
    <w:rsid w:val="00757D87"/>
    <w:rsid w:val="00757DB4"/>
    <w:rsid w:val="00757E79"/>
    <w:rsid w:val="00760EED"/>
    <w:rsid w:val="0076109F"/>
    <w:rsid w:val="00761399"/>
    <w:rsid w:val="00761615"/>
    <w:rsid w:val="007616DA"/>
    <w:rsid w:val="007619CE"/>
    <w:rsid w:val="00761F4F"/>
    <w:rsid w:val="007620DC"/>
    <w:rsid w:val="00762102"/>
    <w:rsid w:val="0076255D"/>
    <w:rsid w:val="007625F6"/>
    <w:rsid w:val="00762B8B"/>
    <w:rsid w:val="0076325B"/>
    <w:rsid w:val="00763A04"/>
    <w:rsid w:val="00764AF9"/>
    <w:rsid w:val="007650AD"/>
    <w:rsid w:val="00765D18"/>
    <w:rsid w:val="0076640B"/>
    <w:rsid w:val="007673DE"/>
    <w:rsid w:val="00770C54"/>
    <w:rsid w:val="00771344"/>
    <w:rsid w:val="0077213A"/>
    <w:rsid w:val="00772613"/>
    <w:rsid w:val="00772B41"/>
    <w:rsid w:val="00772CED"/>
    <w:rsid w:val="00773EA1"/>
    <w:rsid w:val="00775215"/>
    <w:rsid w:val="00775748"/>
    <w:rsid w:val="00776ACC"/>
    <w:rsid w:val="00776AD5"/>
    <w:rsid w:val="00777AE2"/>
    <w:rsid w:val="00777C71"/>
    <w:rsid w:val="00777D6B"/>
    <w:rsid w:val="00777F20"/>
    <w:rsid w:val="0078080B"/>
    <w:rsid w:val="00781148"/>
    <w:rsid w:val="0078120F"/>
    <w:rsid w:val="00781F98"/>
    <w:rsid w:val="007820DF"/>
    <w:rsid w:val="0078265B"/>
    <w:rsid w:val="00782AFE"/>
    <w:rsid w:val="00782E10"/>
    <w:rsid w:val="00784926"/>
    <w:rsid w:val="00784DB8"/>
    <w:rsid w:val="00784FDD"/>
    <w:rsid w:val="0078508F"/>
    <w:rsid w:val="00786448"/>
    <w:rsid w:val="007875D7"/>
    <w:rsid w:val="007906B2"/>
    <w:rsid w:val="0079134E"/>
    <w:rsid w:val="007925F0"/>
    <w:rsid w:val="0079278E"/>
    <w:rsid w:val="00792DCA"/>
    <w:rsid w:val="00792E3C"/>
    <w:rsid w:val="00792FDF"/>
    <w:rsid w:val="00793040"/>
    <w:rsid w:val="007930C1"/>
    <w:rsid w:val="0079315D"/>
    <w:rsid w:val="00793B45"/>
    <w:rsid w:val="007946EE"/>
    <w:rsid w:val="0079477A"/>
    <w:rsid w:val="007956CD"/>
    <w:rsid w:val="00795706"/>
    <w:rsid w:val="007960E3"/>
    <w:rsid w:val="00796F7C"/>
    <w:rsid w:val="00797131"/>
    <w:rsid w:val="00797254"/>
    <w:rsid w:val="00797430"/>
    <w:rsid w:val="00797AF4"/>
    <w:rsid w:val="007A0F8D"/>
    <w:rsid w:val="007A1078"/>
    <w:rsid w:val="007A180A"/>
    <w:rsid w:val="007A21E4"/>
    <w:rsid w:val="007A2304"/>
    <w:rsid w:val="007A257D"/>
    <w:rsid w:val="007A2CB0"/>
    <w:rsid w:val="007A343D"/>
    <w:rsid w:val="007A38CE"/>
    <w:rsid w:val="007A3F1C"/>
    <w:rsid w:val="007A457D"/>
    <w:rsid w:val="007A46E6"/>
    <w:rsid w:val="007A48D8"/>
    <w:rsid w:val="007A5ACE"/>
    <w:rsid w:val="007A5C5C"/>
    <w:rsid w:val="007A6528"/>
    <w:rsid w:val="007A6A64"/>
    <w:rsid w:val="007A7B48"/>
    <w:rsid w:val="007A7FD7"/>
    <w:rsid w:val="007B08FD"/>
    <w:rsid w:val="007B0A0A"/>
    <w:rsid w:val="007B18C6"/>
    <w:rsid w:val="007B20C2"/>
    <w:rsid w:val="007B25D5"/>
    <w:rsid w:val="007B27E4"/>
    <w:rsid w:val="007B2818"/>
    <w:rsid w:val="007B2910"/>
    <w:rsid w:val="007B301D"/>
    <w:rsid w:val="007B3264"/>
    <w:rsid w:val="007B35F6"/>
    <w:rsid w:val="007B3F87"/>
    <w:rsid w:val="007B404F"/>
    <w:rsid w:val="007B44A6"/>
    <w:rsid w:val="007B494E"/>
    <w:rsid w:val="007B4C5E"/>
    <w:rsid w:val="007B51F8"/>
    <w:rsid w:val="007B7462"/>
    <w:rsid w:val="007B7B52"/>
    <w:rsid w:val="007B7EEE"/>
    <w:rsid w:val="007C02A3"/>
    <w:rsid w:val="007C0C55"/>
    <w:rsid w:val="007C1507"/>
    <w:rsid w:val="007C1857"/>
    <w:rsid w:val="007C207E"/>
    <w:rsid w:val="007C290B"/>
    <w:rsid w:val="007C2F60"/>
    <w:rsid w:val="007C3639"/>
    <w:rsid w:val="007C3757"/>
    <w:rsid w:val="007C3CE2"/>
    <w:rsid w:val="007C3DF2"/>
    <w:rsid w:val="007C4D8D"/>
    <w:rsid w:val="007C5144"/>
    <w:rsid w:val="007C5613"/>
    <w:rsid w:val="007C6138"/>
    <w:rsid w:val="007C6153"/>
    <w:rsid w:val="007C6849"/>
    <w:rsid w:val="007C6BC6"/>
    <w:rsid w:val="007C6C12"/>
    <w:rsid w:val="007C73B2"/>
    <w:rsid w:val="007D0435"/>
    <w:rsid w:val="007D0D3E"/>
    <w:rsid w:val="007D116E"/>
    <w:rsid w:val="007D1772"/>
    <w:rsid w:val="007D1B24"/>
    <w:rsid w:val="007D267F"/>
    <w:rsid w:val="007D3341"/>
    <w:rsid w:val="007D399C"/>
    <w:rsid w:val="007D3A3E"/>
    <w:rsid w:val="007D400A"/>
    <w:rsid w:val="007D4365"/>
    <w:rsid w:val="007D44C1"/>
    <w:rsid w:val="007D4B0E"/>
    <w:rsid w:val="007D4DD2"/>
    <w:rsid w:val="007D558F"/>
    <w:rsid w:val="007D5D0F"/>
    <w:rsid w:val="007D6EA8"/>
    <w:rsid w:val="007D7B3C"/>
    <w:rsid w:val="007E010B"/>
    <w:rsid w:val="007E042B"/>
    <w:rsid w:val="007E05DB"/>
    <w:rsid w:val="007E1247"/>
    <w:rsid w:val="007E168B"/>
    <w:rsid w:val="007E1A44"/>
    <w:rsid w:val="007E2419"/>
    <w:rsid w:val="007E2E7D"/>
    <w:rsid w:val="007E3FF5"/>
    <w:rsid w:val="007E4219"/>
    <w:rsid w:val="007E577E"/>
    <w:rsid w:val="007E635E"/>
    <w:rsid w:val="007E6A9C"/>
    <w:rsid w:val="007E6C0C"/>
    <w:rsid w:val="007E7300"/>
    <w:rsid w:val="007E767B"/>
    <w:rsid w:val="007E7B54"/>
    <w:rsid w:val="007F038C"/>
    <w:rsid w:val="007F0428"/>
    <w:rsid w:val="007F0C82"/>
    <w:rsid w:val="007F0F24"/>
    <w:rsid w:val="007F1755"/>
    <w:rsid w:val="007F1C20"/>
    <w:rsid w:val="007F222B"/>
    <w:rsid w:val="007F2443"/>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362"/>
    <w:rsid w:val="0080364D"/>
    <w:rsid w:val="00803C65"/>
    <w:rsid w:val="00804BC0"/>
    <w:rsid w:val="00804E3C"/>
    <w:rsid w:val="00804E4C"/>
    <w:rsid w:val="00806272"/>
    <w:rsid w:val="008064DD"/>
    <w:rsid w:val="0080662C"/>
    <w:rsid w:val="008070B2"/>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6559"/>
    <w:rsid w:val="0081724D"/>
    <w:rsid w:val="0081788A"/>
    <w:rsid w:val="00817927"/>
    <w:rsid w:val="00817CFC"/>
    <w:rsid w:val="00817E82"/>
    <w:rsid w:val="00820A3F"/>
    <w:rsid w:val="00821D81"/>
    <w:rsid w:val="00822A52"/>
    <w:rsid w:val="00822F31"/>
    <w:rsid w:val="00823654"/>
    <w:rsid w:val="0082374A"/>
    <w:rsid w:val="008237F3"/>
    <w:rsid w:val="00823A90"/>
    <w:rsid w:val="00823D01"/>
    <w:rsid w:val="00825C68"/>
    <w:rsid w:val="00826883"/>
    <w:rsid w:val="0082757E"/>
    <w:rsid w:val="0082769C"/>
    <w:rsid w:val="008277D4"/>
    <w:rsid w:val="008279D2"/>
    <w:rsid w:val="00827B6C"/>
    <w:rsid w:val="00827D77"/>
    <w:rsid w:val="00830259"/>
    <w:rsid w:val="00830561"/>
    <w:rsid w:val="00831115"/>
    <w:rsid w:val="00832092"/>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8CA"/>
    <w:rsid w:val="008429CF"/>
    <w:rsid w:val="0084324C"/>
    <w:rsid w:val="00843910"/>
    <w:rsid w:val="00843B9B"/>
    <w:rsid w:val="00843D9D"/>
    <w:rsid w:val="008451F8"/>
    <w:rsid w:val="008456C8"/>
    <w:rsid w:val="008457D2"/>
    <w:rsid w:val="00846212"/>
    <w:rsid w:val="008468E0"/>
    <w:rsid w:val="0084767E"/>
    <w:rsid w:val="0084790F"/>
    <w:rsid w:val="00847BE7"/>
    <w:rsid w:val="00850EAB"/>
    <w:rsid w:val="00851C80"/>
    <w:rsid w:val="00851D70"/>
    <w:rsid w:val="00852760"/>
    <w:rsid w:val="008529B3"/>
    <w:rsid w:val="008529BB"/>
    <w:rsid w:val="00852ADD"/>
    <w:rsid w:val="00853883"/>
    <w:rsid w:val="00853EB9"/>
    <w:rsid w:val="00854CF7"/>
    <w:rsid w:val="00854DA7"/>
    <w:rsid w:val="008557A0"/>
    <w:rsid w:val="00855FA6"/>
    <w:rsid w:val="00856258"/>
    <w:rsid w:val="00856607"/>
    <w:rsid w:val="00857AA1"/>
    <w:rsid w:val="008602F1"/>
    <w:rsid w:val="008604A8"/>
    <w:rsid w:val="00860ADD"/>
    <w:rsid w:val="00860CA2"/>
    <w:rsid w:val="008616A2"/>
    <w:rsid w:val="00861C6C"/>
    <w:rsid w:val="008636AC"/>
    <w:rsid w:val="00863862"/>
    <w:rsid w:val="00863AAD"/>
    <w:rsid w:val="00863AB5"/>
    <w:rsid w:val="00864644"/>
    <w:rsid w:val="00864F4D"/>
    <w:rsid w:val="008658DE"/>
    <w:rsid w:val="00865F5C"/>
    <w:rsid w:val="00866296"/>
    <w:rsid w:val="008665C7"/>
    <w:rsid w:val="00866DC1"/>
    <w:rsid w:val="00867BBF"/>
    <w:rsid w:val="008707A3"/>
    <w:rsid w:val="00870A36"/>
    <w:rsid w:val="008711AE"/>
    <w:rsid w:val="0087143E"/>
    <w:rsid w:val="00871A36"/>
    <w:rsid w:val="00871E97"/>
    <w:rsid w:val="00872F21"/>
    <w:rsid w:val="00873736"/>
    <w:rsid w:val="0087378E"/>
    <w:rsid w:val="008737DF"/>
    <w:rsid w:val="008755E7"/>
    <w:rsid w:val="00875A46"/>
    <w:rsid w:val="00875E16"/>
    <w:rsid w:val="00877D03"/>
    <w:rsid w:val="00877E96"/>
    <w:rsid w:val="0088023D"/>
    <w:rsid w:val="008803CE"/>
    <w:rsid w:val="00880D8F"/>
    <w:rsid w:val="00882077"/>
    <w:rsid w:val="008820D9"/>
    <w:rsid w:val="00882F34"/>
    <w:rsid w:val="00883613"/>
    <w:rsid w:val="0088557F"/>
    <w:rsid w:val="00886393"/>
    <w:rsid w:val="00886579"/>
    <w:rsid w:val="00886F19"/>
    <w:rsid w:val="00887090"/>
    <w:rsid w:val="00887865"/>
    <w:rsid w:val="00887B37"/>
    <w:rsid w:val="00890598"/>
    <w:rsid w:val="0089065A"/>
    <w:rsid w:val="00890DEB"/>
    <w:rsid w:val="0089177A"/>
    <w:rsid w:val="00891AA9"/>
    <w:rsid w:val="00891D7A"/>
    <w:rsid w:val="00891DFC"/>
    <w:rsid w:val="00892791"/>
    <w:rsid w:val="00892B98"/>
    <w:rsid w:val="008945D2"/>
    <w:rsid w:val="008949A3"/>
    <w:rsid w:val="00894CB5"/>
    <w:rsid w:val="008959FC"/>
    <w:rsid w:val="0089605E"/>
    <w:rsid w:val="00896668"/>
    <w:rsid w:val="00896E9A"/>
    <w:rsid w:val="00897247"/>
    <w:rsid w:val="00897619"/>
    <w:rsid w:val="008978D6"/>
    <w:rsid w:val="008A0CCC"/>
    <w:rsid w:val="008A1D0E"/>
    <w:rsid w:val="008A25EA"/>
    <w:rsid w:val="008A276E"/>
    <w:rsid w:val="008A31C7"/>
    <w:rsid w:val="008A3215"/>
    <w:rsid w:val="008A3630"/>
    <w:rsid w:val="008A3E8B"/>
    <w:rsid w:val="008A47BE"/>
    <w:rsid w:val="008A4AEC"/>
    <w:rsid w:val="008A5609"/>
    <w:rsid w:val="008A5697"/>
    <w:rsid w:val="008A5B35"/>
    <w:rsid w:val="008A6DD5"/>
    <w:rsid w:val="008A6DF0"/>
    <w:rsid w:val="008A6FA0"/>
    <w:rsid w:val="008B0385"/>
    <w:rsid w:val="008B05E6"/>
    <w:rsid w:val="008B0E76"/>
    <w:rsid w:val="008B105C"/>
    <w:rsid w:val="008B15CE"/>
    <w:rsid w:val="008B1C8F"/>
    <w:rsid w:val="008B21F8"/>
    <w:rsid w:val="008B2570"/>
    <w:rsid w:val="008B2B19"/>
    <w:rsid w:val="008B2F40"/>
    <w:rsid w:val="008B2FCD"/>
    <w:rsid w:val="008B3627"/>
    <w:rsid w:val="008B3EAD"/>
    <w:rsid w:val="008B4208"/>
    <w:rsid w:val="008B49B6"/>
    <w:rsid w:val="008B534B"/>
    <w:rsid w:val="008B55A6"/>
    <w:rsid w:val="008B56A0"/>
    <w:rsid w:val="008B5AA1"/>
    <w:rsid w:val="008B5C51"/>
    <w:rsid w:val="008B5E49"/>
    <w:rsid w:val="008B5E61"/>
    <w:rsid w:val="008B64CE"/>
    <w:rsid w:val="008B68B4"/>
    <w:rsid w:val="008B756F"/>
    <w:rsid w:val="008B7633"/>
    <w:rsid w:val="008B7914"/>
    <w:rsid w:val="008C0D0C"/>
    <w:rsid w:val="008C127A"/>
    <w:rsid w:val="008C179E"/>
    <w:rsid w:val="008C18BD"/>
    <w:rsid w:val="008C1932"/>
    <w:rsid w:val="008C1CC8"/>
    <w:rsid w:val="008C1CD3"/>
    <w:rsid w:val="008C1ECC"/>
    <w:rsid w:val="008C2C41"/>
    <w:rsid w:val="008C2C7F"/>
    <w:rsid w:val="008C2F0D"/>
    <w:rsid w:val="008C346A"/>
    <w:rsid w:val="008C364D"/>
    <w:rsid w:val="008C500C"/>
    <w:rsid w:val="008C58A2"/>
    <w:rsid w:val="008C5BC0"/>
    <w:rsid w:val="008C5D2A"/>
    <w:rsid w:val="008C62E8"/>
    <w:rsid w:val="008C6754"/>
    <w:rsid w:val="008C6C16"/>
    <w:rsid w:val="008C6F7D"/>
    <w:rsid w:val="008C74FB"/>
    <w:rsid w:val="008C7AF4"/>
    <w:rsid w:val="008C7B0F"/>
    <w:rsid w:val="008C7DA4"/>
    <w:rsid w:val="008C7F6E"/>
    <w:rsid w:val="008C7FAE"/>
    <w:rsid w:val="008D0210"/>
    <w:rsid w:val="008D033E"/>
    <w:rsid w:val="008D0851"/>
    <w:rsid w:val="008D0AF5"/>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E81"/>
    <w:rsid w:val="008D7739"/>
    <w:rsid w:val="008D7A64"/>
    <w:rsid w:val="008D7A92"/>
    <w:rsid w:val="008E0302"/>
    <w:rsid w:val="008E03F3"/>
    <w:rsid w:val="008E1267"/>
    <w:rsid w:val="008E19FD"/>
    <w:rsid w:val="008E1B7B"/>
    <w:rsid w:val="008E22F8"/>
    <w:rsid w:val="008E23EE"/>
    <w:rsid w:val="008E25D0"/>
    <w:rsid w:val="008E25EC"/>
    <w:rsid w:val="008E39D8"/>
    <w:rsid w:val="008E5313"/>
    <w:rsid w:val="008E5D73"/>
    <w:rsid w:val="008E606F"/>
    <w:rsid w:val="008E6300"/>
    <w:rsid w:val="008E6AD9"/>
    <w:rsid w:val="008E6E25"/>
    <w:rsid w:val="008F022A"/>
    <w:rsid w:val="008F06FD"/>
    <w:rsid w:val="008F1172"/>
    <w:rsid w:val="008F27E3"/>
    <w:rsid w:val="008F3485"/>
    <w:rsid w:val="008F3AC3"/>
    <w:rsid w:val="008F42C1"/>
    <w:rsid w:val="008F51FF"/>
    <w:rsid w:val="008F52FC"/>
    <w:rsid w:val="008F5DEF"/>
    <w:rsid w:val="008F6031"/>
    <w:rsid w:val="008F61F2"/>
    <w:rsid w:val="008F636D"/>
    <w:rsid w:val="008F7C0A"/>
    <w:rsid w:val="00901140"/>
    <w:rsid w:val="00901613"/>
    <w:rsid w:val="00901DBB"/>
    <w:rsid w:val="009026CB"/>
    <w:rsid w:val="00902876"/>
    <w:rsid w:val="00902C0B"/>
    <w:rsid w:val="009030FF"/>
    <w:rsid w:val="009036E9"/>
    <w:rsid w:val="009038F6"/>
    <w:rsid w:val="00903EDE"/>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015D"/>
    <w:rsid w:val="009130CC"/>
    <w:rsid w:val="009133EC"/>
    <w:rsid w:val="00913AF7"/>
    <w:rsid w:val="00913B37"/>
    <w:rsid w:val="00914683"/>
    <w:rsid w:val="00914861"/>
    <w:rsid w:val="009148D8"/>
    <w:rsid w:val="00914B5F"/>
    <w:rsid w:val="00914E71"/>
    <w:rsid w:val="0091504C"/>
    <w:rsid w:val="00915417"/>
    <w:rsid w:val="0091573F"/>
    <w:rsid w:val="00915897"/>
    <w:rsid w:val="00915B44"/>
    <w:rsid w:val="00915CD5"/>
    <w:rsid w:val="00916093"/>
    <w:rsid w:val="009160E3"/>
    <w:rsid w:val="0091639C"/>
    <w:rsid w:val="00916A8C"/>
    <w:rsid w:val="00916E99"/>
    <w:rsid w:val="0092002E"/>
    <w:rsid w:val="0092050A"/>
    <w:rsid w:val="009209A1"/>
    <w:rsid w:val="00920EC6"/>
    <w:rsid w:val="0092101E"/>
    <w:rsid w:val="009225D6"/>
    <w:rsid w:val="0092383B"/>
    <w:rsid w:val="00923DCE"/>
    <w:rsid w:val="00924119"/>
    <w:rsid w:val="0092492A"/>
    <w:rsid w:val="00925120"/>
    <w:rsid w:val="009251B3"/>
    <w:rsid w:val="009255FA"/>
    <w:rsid w:val="009262E4"/>
    <w:rsid w:val="009266D2"/>
    <w:rsid w:val="00927361"/>
    <w:rsid w:val="00927D4E"/>
    <w:rsid w:val="00927F89"/>
    <w:rsid w:val="00930AC2"/>
    <w:rsid w:val="00930D2A"/>
    <w:rsid w:val="009312BF"/>
    <w:rsid w:val="00931680"/>
    <w:rsid w:val="00931B84"/>
    <w:rsid w:val="00931DA9"/>
    <w:rsid w:val="0093220A"/>
    <w:rsid w:val="009322B2"/>
    <w:rsid w:val="009328DA"/>
    <w:rsid w:val="00932E7E"/>
    <w:rsid w:val="00933846"/>
    <w:rsid w:val="00933A80"/>
    <w:rsid w:val="00933C37"/>
    <w:rsid w:val="0093442D"/>
    <w:rsid w:val="00934CD2"/>
    <w:rsid w:val="00935A35"/>
    <w:rsid w:val="009366FD"/>
    <w:rsid w:val="009375E5"/>
    <w:rsid w:val="0093785F"/>
    <w:rsid w:val="00937BC5"/>
    <w:rsid w:val="00937D30"/>
    <w:rsid w:val="00941692"/>
    <w:rsid w:val="00941848"/>
    <w:rsid w:val="00942258"/>
    <w:rsid w:val="009423BB"/>
    <w:rsid w:val="0094337A"/>
    <w:rsid w:val="009437F2"/>
    <w:rsid w:val="009442E8"/>
    <w:rsid w:val="00944BA7"/>
    <w:rsid w:val="0094519B"/>
    <w:rsid w:val="0094636D"/>
    <w:rsid w:val="00946854"/>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86A"/>
    <w:rsid w:val="009612A9"/>
    <w:rsid w:val="00961453"/>
    <w:rsid w:val="009616D4"/>
    <w:rsid w:val="0096182D"/>
    <w:rsid w:val="00962150"/>
    <w:rsid w:val="009627E5"/>
    <w:rsid w:val="00962CCD"/>
    <w:rsid w:val="00963847"/>
    <w:rsid w:val="00964036"/>
    <w:rsid w:val="00964166"/>
    <w:rsid w:val="00964429"/>
    <w:rsid w:val="009645AD"/>
    <w:rsid w:val="0096475C"/>
    <w:rsid w:val="0096546E"/>
    <w:rsid w:val="0096562A"/>
    <w:rsid w:val="00965865"/>
    <w:rsid w:val="00966096"/>
    <w:rsid w:val="009661BA"/>
    <w:rsid w:val="00966A13"/>
    <w:rsid w:val="00966BAF"/>
    <w:rsid w:val="00967473"/>
    <w:rsid w:val="00967730"/>
    <w:rsid w:val="00970D56"/>
    <w:rsid w:val="00970E50"/>
    <w:rsid w:val="00971074"/>
    <w:rsid w:val="009725B2"/>
    <w:rsid w:val="00972969"/>
    <w:rsid w:val="009747AA"/>
    <w:rsid w:val="00974B99"/>
    <w:rsid w:val="00974BCB"/>
    <w:rsid w:val="0097529C"/>
    <w:rsid w:val="00975361"/>
    <w:rsid w:val="009758CD"/>
    <w:rsid w:val="00975AEF"/>
    <w:rsid w:val="00975BF2"/>
    <w:rsid w:val="0097616C"/>
    <w:rsid w:val="009763E4"/>
    <w:rsid w:val="0097649D"/>
    <w:rsid w:val="0097654D"/>
    <w:rsid w:val="009766B7"/>
    <w:rsid w:val="00976D58"/>
    <w:rsid w:val="00977A66"/>
    <w:rsid w:val="00977C23"/>
    <w:rsid w:val="00980A22"/>
    <w:rsid w:val="00980D85"/>
    <w:rsid w:val="0098167D"/>
    <w:rsid w:val="00981E09"/>
    <w:rsid w:val="00983094"/>
    <w:rsid w:val="00983599"/>
    <w:rsid w:val="009843DE"/>
    <w:rsid w:val="00984BE4"/>
    <w:rsid w:val="0098536A"/>
    <w:rsid w:val="0098544F"/>
    <w:rsid w:val="00985B04"/>
    <w:rsid w:val="0098661B"/>
    <w:rsid w:val="00986A6D"/>
    <w:rsid w:val="00986BEF"/>
    <w:rsid w:val="00987298"/>
    <w:rsid w:val="00987B34"/>
    <w:rsid w:val="00990282"/>
    <w:rsid w:val="00990769"/>
    <w:rsid w:val="00991DF8"/>
    <w:rsid w:val="00992499"/>
    <w:rsid w:val="009928A3"/>
    <w:rsid w:val="00992986"/>
    <w:rsid w:val="009936E2"/>
    <w:rsid w:val="00994B55"/>
    <w:rsid w:val="00995D86"/>
    <w:rsid w:val="00995FB2"/>
    <w:rsid w:val="00996A5A"/>
    <w:rsid w:val="0099781E"/>
    <w:rsid w:val="00997A68"/>
    <w:rsid w:val="009A0071"/>
    <w:rsid w:val="009A00EA"/>
    <w:rsid w:val="009A0403"/>
    <w:rsid w:val="009A0587"/>
    <w:rsid w:val="009A0DA2"/>
    <w:rsid w:val="009A1F6B"/>
    <w:rsid w:val="009A2616"/>
    <w:rsid w:val="009A2C4C"/>
    <w:rsid w:val="009A2DD8"/>
    <w:rsid w:val="009A30DE"/>
    <w:rsid w:val="009A39D5"/>
    <w:rsid w:val="009A3D29"/>
    <w:rsid w:val="009A509F"/>
    <w:rsid w:val="009A5453"/>
    <w:rsid w:val="009A6A7B"/>
    <w:rsid w:val="009A7532"/>
    <w:rsid w:val="009A7883"/>
    <w:rsid w:val="009B04B7"/>
    <w:rsid w:val="009B0596"/>
    <w:rsid w:val="009B1D50"/>
    <w:rsid w:val="009B237F"/>
    <w:rsid w:val="009B2760"/>
    <w:rsid w:val="009B308D"/>
    <w:rsid w:val="009B31D6"/>
    <w:rsid w:val="009B3707"/>
    <w:rsid w:val="009B38D5"/>
    <w:rsid w:val="009B3B62"/>
    <w:rsid w:val="009B3C8D"/>
    <w:rsid w:val="009B3DE3"/>
    <w:rsid w:val="009B4FFB"/>
    <w:rsid w:val="009B53C7"/>
    <w:rsid w:val="009B54FD"/>
    <w:rsid w:val="009B7489"/>
    <w:rsid w:val="009B7987"/>
    <w:rsid w:val="009B7B0A"/>
    <w:rsid w:val="009C0519"/>
    <w:rsid w:val="009C07C9"/>
    <w:rsid w:val="009C08D7"/>
    <w:rsid w:val="009C0B63"/>
    <w:rsid w:val="009C0DC5"/>
    <w:rsid w:val="009C1866"/>
    <w:rsid w:val="009C1FDE"/>
    <w:rsid w:val="009C23FE"/>
    <w:rsid w:val="009C24C8"/>
    <w:rsid w:val="009C274A"/>
    <w:rsid w:val="009C375C"/>
    <w:rsid w:val="009C4E0D"/>
    <w:rsid w:val="009C4F09"/>
    <w:rsid w:val="009C4F1B"/>
    <w:rsid w:val="009C503B"/>
    <w:rsid w:val="009C542B"/>
    <w:rsid w:val="009C5793"/>
    <w:rsid w:val="009C5816"/>
    <w:rsid w:val="009C61EA"/>
    <w:rsid w:val="009C63EC"/>
    <w:rsid w:val="009C6DF1"/>
    <w:rsid w:val="009C7DAC"/>
    <w:rsid w:val="009C7DBA"/>
    <w:rsid w:val="009C7F93"/>
    <w:rsid w:val="009D077D"/>
    <w:rsid w:val="009D08A6"/>
    <w:rsid w:val="009D0EC0"/>
    <w:rsid w:val="009D1915"/>
    <w:rsid w:val="009D1B69"/>
    <w:rsid w:val="009D1EB3"/>
    <w:rsid w:val="009D25DE"/>
    <w:rsid w:val="009D2ABF"/>
    <w:rsid w:val="009D3AD2"/>
    <w:rsid w:val="009D3E06"/>
    <w:rsid w:val="009D5843"/>
    <w:rsid w:val="009D638D"/>
    <w:rsid w:val="009D6393"/>
    <w:rsid w:val="009D6B6C"/>
    <w:rsid w:val="009D766F"/>
    <w:rsid w:val="009E0885"/>
    <w:rsid w:val="009E1CC8"/>
    <w:rsid w:val="009E20F7"/>
    <w:rsid w:val="009E2827"/>
    <w:rsid w:val="009E2863"/>
    <w:rsid w:val="009E30D2"/>
    <w:rsid w:val="009E31B5"/>
    <w:rsid w:val="009E4885"/>
    <w:rsid w:val="009E49C6"/>
    <w:rsid w:val="009E4E65"/>
    <w:rsid w:val="009E508B"/>
    <w:rsid w:val="009E5EDF"/>
    <w:rsid w:val="009E5FBE"/>
    <w:rsid w:val="009E6068"/>
    <w:rsid w:val="009E6A00"/>
    <w:rsid w:val="009E6DB4"/>
    <w:rsid w:val="009F0086"/>
    <w:rsid w:val="009F03AB"/>
    <w:rsid w:val="009F0619"/>
    <w:rsid w:val="009F068A"/>
    <w:rsid w:val="009F08C5"/>
    <w:rsid w:val="009F0A85"/>
    <w:rsid w:val="009F1260"/>
    <w:rsid w:val="009F15CA"/>
    <w:rsid w:val="009F1B71"/>
    <w:rsid w:val="009F220A"/>
    <w:rsid w:val="009F3171"/>
    <w:rsid w:val="009F36D6"/>
    <w:rsid w:val="009F3860"/>
    <w:rsid w:val="009F6575"/>
    <w:rsid w:val="009F7ADC"/>
    <w:rsid w:val="00A0002A"/>
    <w:rsid w:val="00A01F3A"/>
    <w:rsid w:val="00A0236D"/>
    <w:rsid w:val="00A026A4"/>
    <w:rsid w:val="00A02985"/>
    <w:rsid w:val="00A02B2B"/>
    <w:rsid w:val="00A02FA8"/>
    <w:rsid w:val="00A03F1A"/>
    <w:rsid w:val="00A03F74"/>
    <w:rsid w:val="00A03F88"/>
    <w:rsid w:val="00A044B9"/>
    <w:rsid w:val="00A046BF"/>
    <w:rsid w:val="00A04709"/>
    <w:rsid w:val="00A05A37"/>
    <w:rsid w:val="00A05B25"/>
    <w:rsid w:val="00A05C04"/>
    <w:rsid w:val="00A05EC0"/>
    <w:rsid w:val="00A06254"/>
    <w:rsid w:val="00A06842"/>
    <w:rsid w:val="00A07459"/>
    <w:rsid w:val="00A07D78"/>
    <w:rsid w:val="00A07DB6"/>
    <w:rsid w:val="00A10573"/>
    <w:rsid w:val="00A10972"/>
    <w:rsid w:val="00A11406"/>
    <w:rsid w:val="00A11C82"/>
    <w:rsid w:val="00A13205"/>
    <w:rsid w:val="00A132A1"/>
    <w:rsid w:val="00A13422"/>
    <w:rsid w:val="00A148F0"/>
    <w:rsid w:val="00A15132"/>
    <w:rsid w:val="00A15331"/>
    <w:rsid w:val="00A1554D"/>
    <w:rsid w:val="00A15792"/>
    <w:rsid w:val="00A158E3"/>
    <w:rsid w:val="00A1591A"/>
    <w:rsid w:val="00A172E0"/>
    <w:rsid w:val="00A17527"/>
    <w:rsid w:val="00A211C5"/>
    <w:rsid w:val="00A221A3"/>
    <w:rsid w:val="00A223D5"/>
    <w:rsid w:val="00A235E4"/>
    <w:rsid w:val="00A23F41"/>
    <w:rsid w:val="00A254D5"/>
    <w:rsid w:val="00A25547"/>
    <w:rsid w:val="00A2563D"/>
    <w:rsid w:val="00A25F76"/>
    <w:rsid w:val="00A3003E"/>
    <w:rsid w:val="00A31E14"/>
    <w:rsid w:val="00A331DC"/>
    <w:rsid w:val="00A3325E"/>
    <w:rsid w:val="00A34276"/>
    <w:rsid w:val="00A34524"/>
    <w:rsid w:val="00A345B6"/>
    <w:rsid w:val="00A3502D"/>
    <w:rsid w:val="00A354D1"/>
    <w:rsid w:val="00A357A4"/>
    <w:rsid w:val="00A35AF5"/>
    <w:rsid w:val="00A35CDF"/>
    <w:rsid w:val="00A36453"/>
    <w:rsid w:val="00A37970"/>
    <w:rsid w:val="00A37A68"/>
    <w:rsid w:val="00A37B0C"/>
    <w:rsid w:val="00A37CE6"/>
    <w:rsid w:val="00A37D1C"/>
    <w:rsid w:val="00A37FFE"/>
    <w:rsid w:val="00A404BE"/>
    <w:rsid w:val="00A40C08"/>
    <w:rsid w:val="00A40ECF"/>
    <w:rsid w:val="00A411C9"/>
    <w:rsid w:val="00A41B47"/>
    <w:rsid w:val="00A41FEF"/>
    <w:rsid w:val="00A42476"/>
    <w:rsid w:val="00A433CA"/>
    <w:rsid w:val="00A43A1A"/>
    <w:rsid w:val="00A43D48"/>
    <w:rsid w:val="00A43F3C"/>
    <w:rsid w:val="00A447A5"/>
    <w:rsid w:val="00A44D18"/>
    <w:rsid w:val="00A45B83"/>
    <w:rsid w:val="00A4646E"/>
    <w:rsid w:val="00A468FD"/>
    <w:rsid w:val="00A46921"/>
    <w:rsid w:val="00A47249"/>
    <w:rsid w:val="00A47723"/>
    <w:rsid w:val="00A47E3B"/>
    <w:rsid w:val="00A501C7"/>
    <w:rsid w:val="00A5058A"/>
    <w:rsid w:val="00A50905"/>
    <w:rsid w:val="00A513FD"/>
    <w:rsid w:val="00A517D0"/>
    <w:rsid w:val="00A5254B"/>
    <w:rsid w:val="00A52BC1"/>
    <w:rsid w:val="00A52D47"/>
    <w:rsid w:val="00A5347F"/>
    <w:rsid w:val="00A534A0"/>
    <w:rsid w:val="00A537EA"/>
    <w:rsid w:val="00A539AD"/>
    <w:rsid w:val="00A53D1B"/>
    <w:rsid w:val="00A53E3E"/>
    <w:rsid w:val="00A540B2"/>
    <w:rsid w:val="00A5414D"/>
    <w:rsid w:val="00A54A3E"/>
    <w:rsid w:val="00A55146"/>
    <w:rsid w:val="00A556B7"/>
    <w:rsid w:val="00A56454"/>
    <w:rsid w:val="00A564A6"/>
    <w:rsid w:val="00A567AE"/>
    <w:rsid w:val="00A56819"/>
    <w:rsid w:val="00A568AC"/>
    <w:rsid w:val="00A57809"/>
    <w:rsid w:val="00A57B07"/>
    <w:rsid w:val="00A6025F"/>
    <w:rsid w:val="00A60E9C"/>
    <w:rsid w:val="00A61196"/>
    <w:rsid w:val="00A6131E"/>
    <w:rsid w:val="00A616AF"/>
    <w:rsid w:val="00A61879"/>
    <w:rsid w:val="00A628B4"/>
    <w:rsid w:val="00A62B65"/>
    <w:rsid w:val="00A62E6A"/>
    <w:rsid w:val="00A63E32"/>
    <w:rsid w:val="00A63E4E"/>
    <w:rsid w:val="00A6444F"/>
    <w:rsid w:val="00A652FF"/>
    <w:rsid w:val="00A65567"/>
    <w:rsid w:val="00A6598D"/>
    <w:rsid w:val="00A65A0D"/>
    <w:rsid w:val="00A65C27"/>
    <w:rsid w:val="00A65F3C"/>
    <w:rsid w:val="00A661FD"/>
    <w:rsid w:val="00A66FB3"/>
    <w:rsid w:val="00A67DF5"/>
    <w:rsid w:val="00A709A3"/>
    <w:rsid w:val="00A71216"/>
    <w:rsid w:val="00A714A3"/>
    <w:rsid w:val="00A71B8B"/>
    <w:rsid w:val="00A74456"/>
    <w:rsid w:val="00A75089"/>
    <w:rsid w:val="00A754D1"/>
    <w:rsid w:val="00A75832"/>
    <w:rsid w:val="00A75EDC"/>
    <w:rsid w:val="00A80404"/>
    <w:rsid w:val="00A80548"/>
    <w:rsid w:val="00A8085F"/>
    <w:rsid w:val="00A80A3D"/>
    <w:rsid w:val="00A817A8"/>
    <w:rsid w:val="00A81E50"/>
    <w:rsid w:val="00A81F1C"/>
    <w:rsid w:val="00A82241"/>
    <w:rsid w:val="00A82602"/>
    <w:rsid w:val="00A82DA0"/>
    <w:rsid w:val="00A83E49"/>
    <w:rsid w:val="00A8401C"/>
    <w:rsid w:val="00A8415A"/>
    <w:rsid w:val="00A841A6"/>
    <w:rsid w:val="00A84221"/>
    <w:rsid w:val="00A843CA"/>
    <w:rsid w:val="00A84B45"/>
    <w:rsid w:val="00A84B7A"/>
    <w:rsid w:val="00A85063"/>
    <w:rsid w:val="00A85367"/>
    <w:rsid w:val="00A86359"/>
    <w:rsid w:val="00A865DC"/>
    <w:rsid w:val="00A86FBC"/>
    <w:rsid w:val="00A879C5"/>
    <w:rsid w:val="00A87FA2"/>
    <w:rsid w:val="00A902AD"/>
    <w:rsid w:val="00A90302"/>
    <w:rsid w:val="00A9099E"/>
    <w:rsid w:val="00A91FB7"/>
    <w:rsid w:val="00A921CE"/>
    <w:rsid w:val="00A92967"/>
    <w:rsid w:val="00A9298F"/>
    <w:rsid w:val="00A929D7"/>
    <w:rsid w:val="00A9301E"/>
    <w:rsid w:val="00A93E3A"/>
    <w:rsid w:val="00A94BFF"/>
    <w:rsid w:val="00A95186"/>
    <w:rsid w:val="00A951AD"/>
    <w:rsid w:val="00A952F8"/>
    <w:rsid w:val="00A9561B"/>
    <w:rsid w:val="00A961BD"/>
    <w:rsid w:val="00A9652F"/>
    <w:rsid w:val="00A973B1"/>
    <w:rsid w:val="00AA027E"/>
    <w:rsid w:val="00AA1224"/>
    <w:rsid w:val="00AA14F2"/>
    <w:rsid w:val="00AA17D9"/>
    <w:rsid w:val="00AA180B"/>
    <w:rsid w:val="00AA1D43"/>
    <w:rsid w:val="00AA2358"/>
    <w:rsid w:val="00AA2469"/>
    <w:rsid w:val="00AA2CD7"/>
    <w:rsid w:val="00AA2FA4"/>
    <w:rsid w:val="00AA3301"/>
    <w:rsid w:val="00AA3360"/>
    <w:rsid w:val="00AA386B"/>
    <w:rsid w:val="00AA4C2E"/>
    <w:rsid w:val="00AA5B16"/>
    <w:rsid w:val="00AA6384"/>
    <w:rsid w:val="00AA6B93"/>
    <w:rsid w:val="00AA7A06"/>
    <w:rsid w:val="00AA7A7F"/>
    <w:rsid w:val="00AA7F56"/>
    <w:rsid w:val="00AB1984"/>
    <w:rsid w:val="00AB1CBB"/>
    <w:rsid w:val="00AB215B"/>
    <w:rsid w:val="00AB266D"/>
    <w:rsid w:val="00AB2E7D"/>
    <w:rsid w:val="00AB3146"/>
    <w:rsid w:val="00AB333E"/>
    <w:rsid w:val="00AB37DB"/>
    <w:rsid w:val="00AB3ECC"/>
    <w:rsid w:val="00AB54B5"/>
    <w:rsid w:val="00AB5584"/>
    <w:rsid w:val="00AB573A"/>
    <w:rsid w:val="00AB5A73"/>
    <w:rsid w:val="00AB5F48"/>
    <w:rsid w:val="00AB7156"/>
    <w:rsid w:val="00AB716D"/>
    <w:rsid w:val="00AB72B6"/>
    <w:rsid w:val="00AB72BB"/>
    <w:rsid w:val="00AB7472"/>
    <w:rsid w:val="00AB7BF3"/>
    <w:rsid w:val="00AC039D"/>
    <w:rsid w:val="00AC09D5"/>
    <w:rsid w:val="00AC0C1D"/>
    <w:rsid w:val="00AC0D8E"/>
    <w:rsid w:val="00AC175B"/>
    <w:rsid w:val="00AC1AA3"/>
    <w:rsid w:val="00AC1F8E"/>
    <w:rsid w:val="00AC22C1"/>
    <w:rsid w:val="00AC374B"/>
    <w:rsid w:val="00AC3798"/>
    <w:rsid w:val="00AC3ED5"/>
    <w:rsid w:val="00AC4CB3"/>
    <w:rsid w:val="00AC4D7C"/>
    <w:rsid w:val="00AC53B0"/>
    <w:rsid w:val="00AC6473"/>
    <w:rsid w:val="00AC6655"/>
    <w:rsid w:val="00AC6EF2"/>
    <w:rsid w:val="00AC6FD3"/>
    <w:rsid w:val="00AC71A6"/>
    <w:rsid w:val="00AC742F"/>
    <w:rsid w:val="00AC7664"/>
    <w:rsid w:val="00AC774F"/>
    <w:rsid w:val="00AC780D"/>
    <w:rsid w:val="00AC787B"/>
    <w:rsid w:val="00AC78A0"/>
    <w:rsid w:val="00AC7956"/>
    <w:rsid w:val="00AC7E18"/>
    <w:rsid w:val="00AD1B79"/>
    <w:rsid w:val="00AD3208"/>
    <w:rsid w:val="00AD3C00"/>
    <w:rsid w:val="00AD4A3C"/>
    <w:rsid w:val="00AD4F6A"/>
    <w:rsid w:val="00AD50F8"/>
    <w:rsid w:val="00AD719F"/>
    <w:rsid w:val="00AD738C"/>
    <w:rsid w:val="00AD7447"/>
    <w:rsid w:val="00AD752A"/>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7D5"/>
    <w:rsid w:val="00AE67FA"/>
    <w:rsid w:val="00AE78ED"/>
    <w:rsid w:val="00AE7AC2"/>
    <w:rsid w:val="00AE7EC9"/>
    <w:rsid w:val="00AF0117"/>
    <w:rsid w:val="00AF1117"/>
    <w:rsid w:val="00AF1555"/>
    <w:rsid w:val="00AF174E"/>
    <w:rsid w:val="00AF18BA"/>
    <w:rsid w:val="00AF19AE"/>
    <w:rsid w:val="00AF1CA5"/>
    <w:rsid w:val="00AF228C"/>
    <w:rsid w:val="00AF2C0E"/>
    <w:rsid w:val="00AF2DB9"/>
    <w:rsid w:val="00AF3928"/>
    <w:rsid w:val="00AF3B55"/>
    <w:rsid w:val="00AF3D62"/>
    <w:rsid w:val="00AF4146"/>
    <w:rsid w:val="00AF56FE"/>
    <w:rsid w:val="00AF5C45"/>
    <w:rsid w:val="00AF62A7"/>
    <w:rsid w:val="00AF6AC5"/>
    <w:rsid w:val="00AF7809"/>
    <w:rsid w:val="00AF7CA7"/>
    <w:rsid w:val="00AF7F7B"/>
    <w:rsid w:val="00B00BDE"/>
    <w:rsid w:val="00B0104B"/>
    <w:rsid w:val="00B01FA1"/>
    <w:rsid w:val="00B021E0"/>
    <w:rsid w:val="00B03A30"/>
    <w:rsid w:val="00B03A35"/>
    <w:rsid w:val="00B0430C"/>
    <w:rsid w:val="00B04F99"/>
    <w:rsid w:val="00B057B6"/>
    <w:rsid w:val="00B05A7C"/>
    <w:rsid w:val="00B06361"/>
    <w:rsid w:val="00B0651D"/>
    <w:rsid w:val="00B06955"/>
    <w:rsid w:val="00B0758A"/>
    <w:rsid w:val="00B07BEA"/>
    <w:rsid w:val="00B07F41"/>
    <w:rsid w:val="00B102F9"/>
    <w:rsid w:val="00B11C80"/>
    <w:rsid w:val="00B11F33"/>
    <w:rsid w:val="00B12152"/>
    <w:rsid w:val="00B12DCA"/>
    <w:rsid w:val="00B13ECB"/>
    <w:rsid w:val="00B1524F"/>
    <w:rsid w:val="00B15A54"/>
    <w:rsid w:val="00B15ECF"/>
    <w:rsid w:val="00B16666"/>
    <w:rsid w:val="00B169CD"/>
    <w:rsid w:val="00B16C0A"/>
    <w:rsid w:val="00B1785C"/>
    <w:rsid w:val="00B17F60"/>
    <w:rsid w:val="00B2039A"/>
    <w:rsid w:val="00B20AC8"/>
    <w:rsid w:val="00B21063"/>
    <w:rsid w:val="00B2124A"/>
    <w:rsid w:val="00B215D5"/>
    <w:rsid w:val="00B21D55"/>
    <w:rsid w:val="00B225CB"/>
    <w:rsid w:val="00B22870"/>
    <w:rsid w:val="00B22A22"/>
    <w:rsid w:val="00B22AA6"/>
    <w:rsid w:val="00B23D1A"/>
    <w:rsid w:val="00B23F4C"/>
    <w:rsid w:val="00B24233"/>
    <w:rsid w:val="00B246DD"/>
    <w:rsid w:val="00B248D8"/>
    <w:rsid w:val="00B24BA7"/>
    <w:rsid w:val="00B25A6F"/>
    <w:rsid w:val="00B25CD9"/>
    <w:rsid w:val="00B268D0"/>
    <w:rsid w:val="00B269D3"/>
    <w:rsid w:val="00B27886"/>
    <w:rsid w:val="00B27F44"/>
    <w:rsid w:val="00B301ED"/>
    <w:rsid w:val="00B30448"/>
    <w:rsid w:val="00B3048B"/>
    <w:rsid w:val="00B30875"/>
    <w:rsid w:val="00B30C49"/>
    <w:rsid w:val="00B30D75"/>
    <w:rsid w:val="00B30DAD"/>
    <w:rsid w:val="00B31315"/>
    <w:rsid w:val="00B31A80"/>
    <w:rsid w:val="00B3260E"/>
    <w:rsid w:val="00B32C4B"/>
    <w:rsid w:val="00B3407E"/>
    <w:rsid w:val="00B34C84"/>
    <w:rsid w:val="00B34D6A"/>
    <w:rsid w:val="00B35021"/>
    <w:rsid w:val="00B35749"/>
    <w:rsid w:val="00B35EF5"/>
    <w:rsid w:val="00B3677F"/>
    <w:rsid w:val="00B36872"/>
    <w:rsid w:val="00B3704D"/>
    <w:rsid w:val="00B37071"/>
    <w:rsid w:val="00B40162"/>
    <w:rsid w:val="00B401B6"/>
    <w:rsid w:val="00B4054D"/>
    <w:rsid w:val="00B405CD"/>
    <w:rsid w:val="00B40903"/>
    <w:rsid w:val="00B40FDB"/>
    <w:rsid w:val="00B41C6D"/>
    <w:rsid w:val="00B420B2"/>
    <w:rsid w:val="00B42800"/>
    <w:rsid w:val="00B42832"/>
    <w:rsid w:val="00B42863"/>
    <w:rsid w:val="00B430F6"/>
    <w:rsid w:val="00B43511"/>
    <w:rsid w:val="00B43CE6"/>
    <w:rsid w:val="00B4468B"/>
    <w:rsid w:val="00B45528"/>
    <w:rsid w:val="00B468B0"/>
    <w:rsid w:val="00B46B6E"/>
    <w:rsid w:val="00B478FA"/>
    <w:rsid w:val="00B50156"/>
    <w:rsid w:val="00B501E8"/>
    <w:rsid w:val="00B502A3"/>
    <w:rsid w:val="00B506D4"/>
    <w:rsid w:val="00B506ED"/>
    <w:rsid w:val="00B507AA"/>
    <w:rsid w:val="00B50953"/>
    <w:rsid w:val="00B509AE"/>
    <w:rsid w:val="00B50E13"/>
    <w:rsid w:val="00B51581"/>
    <w:rsid w:val="00B518AD"/>
    <w:rsid w:val="00B51BB6"/>
    <w:rsid w:val="00B52056"/>
    <w:rsid w:val="00B52B0E"/>
    <w:rsid w:val="00B52D81"/>
    <w:rsid w:val="00B5355B"/>
    <w:rsid w:val="00B536C1"/>
    <w:rsid w:val="00B5402E"/>
    <w:rsid w:val="00B540E8"/>
    <w:rsid w:val="00B54681"/>
    <w:rsid w:val="00B55852"/>
    <w:rsid w:val="00B55E43"/>
    <w:rsid w:val="00B560A9"/>
    <w:rsid w:val="00B56866"/>
    <w:rsid w:val="00B56CC4"/>
    <w:rsid w:val="00B604BB"/>
    <w:rsid w:val="00B6062A"/>
    <w:rsid w:val="00B60A96"/>
    <w:rsid w:val="00B60DD7"/>
    <w:rsid w:val="00B60EB6"/>
    <w:rsid w:val="00B60EE5"/>
    <w:rsid w:val="00B616A5"/>
    <w:rsid w:val="00B628BE"/>
    <w:rsid w:val="00B62B67"/>
    <w:rsid w:val="00B637FB"/>
    <w:rsid w:val="00B6386F"/>
    <w:rsid w:val="00B649BD"/>
    <w:rsid w:val="00B65295"/>
    <w:rsid w:val="00B65D9B"/>
    <w:rsid w:val="00B667E1"/>
    <w:rsid w:val="00B66E51"/>
    <w:rsid w:val="00B66E68"/>
    <w:rsid w:val="00B672CB"/>
    <w:rsid w:val="00B67346"/>
    <w:rsid w:val="00B6793A"/>
    <w:rsid w:val="00B67AC3"/>
    <w:rsid w:val="00B70880"/>
    <w:rsid w:val="00B71422"/>
    <w:rsid w:val="00B71486"/>
    <w:rsid w:val="00B71607"/>
    <w:rsid w:val="00B71EF7"/>
    <w:rsid w:val="00B720BE"/>
    <w:rsid w:val="00B72361"/>
    <w:rsid w:val="00B74AB0"/>
    <w:rsid w:val="00B75345"/>
    <w:rsid w:val="00B7584B"/>
    <w:rsid w:val="00B76327"/>
    <w:rsid w:val="00B76400"/>
    <w:rsid w:val="00B76C94"/>
    <w:rsid w:val="00B76D4E"/>
    <w:rsid w:val="00B76D6E"/>
    <w:rsid w:val="00B771A8"/>
    <w:rsid w:val="00B771AA"/>
    <w:rsid w:val="00B772D0"/>
    <w:rsid w:val="00B80A99"/>
    <w:rsid w:val="00B80F4E"/>
    <w:rsid w:val="00B814CF"/>
    <w:rsid w:val="00B81A33"/>
    <w:rsid w:val="00B8256C"/>
    <w:rsid w:val="00B82B2D"/>
    <w:rsid w:val="00B83117"/>
    <w:rsid w:val="00B8319C"/>
    <w:rsid w:val="00B83620"/>
    <w:rsid w:val="00B83B71"/>
    <w:rsid w:val="00B86070"/>
    <w:rsid w:val="00B86BD5"/>
    <w:rsid w:val="00B90351"/>
    <w:rsid w:val="00B90532"/>
    <w:rsid w:val="00B906F2"/>
    <w:rsid w:val="00B90D9B"/>
    <w:rsid w:val="00B91259"/>
    <w:rsid w:val="00B91AD5"/>
    <w:rsid w:val="00B91B81"/>
    <w:rsid w:val="00B91FF0"/>
    <w:rsid w:val="00B92164"/>
    <w:rsid w:val="00B926A8"/>
    <w:rsid w:val="00B92B6F"/>
    <w:rsid w:val="00B92FFF"/>
    <w:rsid w:val="00B93538"/>
    <w:rsid w:val="00B936F8"/>
    <w:rsid w:val="00B9492E"/>
    <w:rsid w:val="00B94B06"/>
    <w:rsid w:val="00B960DB"/>
    <w:rsid w:val="00B96799"/>
    <w:rsid w:val="00B96DE5"/>
    <w:rsid w:val="00B97A76"/>
    <w:rsid w:val="00BA0166"/>
    <w:rsid w:val="00BA0584"/>
    <w:rsid w:val="00BA0755"/>
    <w:rsid w:val="00BA1E9D"/>
    <w:rsid w:val="00BA249D"/>
    <w:rsid w:val="00BA2F9B"/>
    <w:rsid w:val="00BA38D5"/>
    <w:rsid w:val="00BA3C66"/>
    <w:rsid w:val="00BA4D00"/>
    <w:rsid w:val="00BA4D30"/>
    <w:rsid w:val="00BA4F9B"/>
    <w:rsid w:val="00BA4FE9"/>
    <w:rsid w:val="00BA51C0"/>
    <w:rsid w:val="00BA5665"/>
    <w:rsid w:val="00BA6825"/>
    <w:rsid w:val="00BA72D9"/>
    <w:rsid w:val="00BA74E8"/>
    <w:rsid w:val="00BB02DB"/>
    <w:rsid w:val="00BB0AB5"/>
    <w:rsid w:val="00BB195B"/>
    <w:rsid w:val="00BB1BBA"/>
    <w:rsid w:val="00BB1DB7"/>
    <w:rsid w:val="00BB204A"/>
    <w:rsid w:val="00BB2BD1"/>
    <w:rsid w:val="00BB31DF"/>
    <w:rsid w:val="00BB33E9"/>
    <w:rsid w:val="00BB34B7"/>
    <w:rsid w:val="00BB37AF"/>
    <w:rsid w:val="00BB3BE4"/>
    <w:rsid w:val="00BB44DB"/>
    <w:rsid w:val="00BB57D3"/>
    <w:rsid w:val="00BB58EE"/>
    <w:rsid w:val="00BB64EC"/>
    <w:rsid w:val="00BB7589"/>
    <w:rsid w:val="00BB7668"/>
    <w:rsid w:val="00BB767D"/>
    <w:rsid w:val="00BB7D3C"/>
    <w:rsid w:val="00BB7E42"/>
    <w:rsid w:val="00BC06ED"/>
    <w:rsid w:val="00BC077E"/>
    <w:rsid w:val="00BC0DE5"/>
    <w:rsid w:val="00BC0E57"/>
    <w:rsid w:val="00BC1F5F"/>
    <w:rsid w:val="00BC21BE"/>
    <w:rsid w:val="00BC2465"/>
    <w:rsid w:val="00BC2A8A"/>
    <w:rsid w:val="00BC3E36"/>
    <w:rsid w:val="00BC4B2D"/>
    <w:rsid w:val="00BC4CE8"/>
    <w:rsid w:val="00BC4D54"/>
    <w:rsid w:val="00BC5645"/>
    <w:rsid w:val="00BC6E2F"/>
    <w:rsid w:val="00BC728A"/>
    <w:rsid w:val="00BC7632"/>
    <w:rsid w:val="00BC77A4"/>
    <w:rsid w:val="00BC7C9E"/>
    <w:rsid w:val="00BD1E79"/>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3FED"/>
    <w:rsid w:val="00BE42FC"/>
    <w:rsid w:val="00BE53CB"/>
    <w:rsid w:val="00BE5888"/>
    <w:rsid w:val="00BE6085"/>
    <w:rsid w:val="00BE63FE"/>
    <w:rsid w:val="00BE6494"/>
    <w:rsid w:val="00BE66FC"/>
    <w:rsid w:val="00BE73FA"/>
    <w:rsid w:val="00BF00D1"/>
    <w:rsid w:val="00BF0353"/>
    <w:rsid w:val="00BF090A"/>
    <w:rsid w:val="00BF0918"/>
    <w:rsid w:val="00BF2001"/>
    <w:rsid w:val="00BF208E"/>
    <w:rsid w:val="00BF2575"/>
    <w:rsid w:val="00BF31A0"/>
    <w:rsid w:val="00BF323A"/>
    <w:rsid w:val="00BF36C0"/>
    <w:rsid w:val="00BF3CC3"/>
    <w:rsid w:val="00BF3F0A"/>
    <w:rsid w:val="00BF4331"/>
    <w:rsid w:val="00BF4C22"/>
    <w:rsid w:val="00BF4E35"/>
    <w:rsid w:val="00BF5098"/>
    <w:rsid w:val="00BF5FB3"/>
    <w:rsid w:val="00BF6F82"/>
    <w:rsid w:val="00BF70E2"/>
    <w:rsid w:val="00BF7B9B"/>
    <w:rsid w:val="00C0083F"/>
    <w:rsid w:val="00C00976"/>
    <w:rsid w:val="00C020CD"/>
    <w:rsid w:val="00C02DDE"/>
    <w:rsid w:val="00C0362D"/>
    <w:rsid w:val="00C0367B"/>
    <w:rsid w:val="00C04E51"/>
    <w:rsid w:val="00C05074"/>
    <w:rsid w:val="00C05AF9"/>
    <w:rsid w:val="00C0606E"/>
    <w:rsid w:val="00C060A3"/>
    <w:rsid w:val="00C060B0"/>
    <w:rsid w:val="00C06D2C"/>
    <w:rsid w:val="00C072F0"/>
    <w:rsid w:val="00C07344"/>
    <w:rsid w:val="00C079A3"/>
    <w:rsid w:val="00C07C1F"/>
    <w:rsid w:val="00C07C79"/>
    <w:rsid w:val="00C11A79"/>
    <w:rsid w:val="00C1211E"/>
    <w:rsid w:val="00C13607"/>
    <w:rsid w:val="00C137B1"/>
    <w:rsid w:val="00C13811"/>
    <w:rsid w:val="00C13B43"/>
    <w:rsid w:val="00C14152"/>
    <w:rsid w:val="00C147CC"/>
    <w:rsid w:val="00C15E81"/>
    <w:rsid w:val="00C174C9"/>
    <w:rsid w:val="00C17A25"/>
    <w:rsid w:val="00C17B6E"/>
    <w:rsid w:val="00C200BA"/>
    <w:rsid w:val="00C20748"/>
    <w:rsid w:val="00C20754"/>
    <w:rsid w:val="00C21378"/>
    <w:rsid w:val="00C220A5"/>
    <w:rsid w:val="00C22307"/>
    <w:rsid w:val="00C22BB2"/>
    <w:rsid w:val="00C22EAF"/>
    <w:rsid w:val="00C23150"/>
    <w:rsid w:val="00C23F7D"/>
    <w:rsid w:val="00C24580"/>
    <w:rsid w:val="00C24908"/>
    <w:rsid w:val="00C250E8"/>
    <w:rsid w:val="00C25150"/>
    <w:rsid w:val="00C2515F"/>
    <w:rsid w:val="00C251F1"/>
    <w:rsid w:val="00C25B30"/>
    <w:rsid w:val="00C25DCF"/>
    <w:rsid w:val="00C26AEA"/>
    <w:rsid w:val="00C276EC"/>
    <w:rsid w:val="00C27C0A"/>
    <w:rsid w:val="00C30530"/>
    <w:rsid w:val="00C305D9"/>
    <w:rsid w:val="00C31184"/>
    <w:rsid w:val="00C31197"/>
    <w:rsid w:val="00C31AD4"/>
    <w:rsid w:val="00C31C63"/>
    <w:rsid w:val="00C31C8C"/>
    <w:rsid w:val="00C31CD9"/>
    <w:rsid w:val="00C32481"/>
    <w:rsid w:val="00C3394C"/>
    <w:rsid w:val="00C34278"/>
    <w:rsid w:val="00C34581"/>
    <w:rsid w:val="00C34A4C"/>
    <w:rsid w:val="00C34AD7"/>
    <w:rsid w:val="00C3516D"/>
    <w:rsid w:val="00C351E4"/>
    <w:rsid w:val="00C353D8"/>
    <w:rsid w:val="00C35B43"/>
    <w:rsid w:val="00C361A6"/>
    <w:rsid w:val="00C365C5"/>
    <w:rsid w:val="00C3670F"/>
    <w:rsid w:val="00C36E1A"/>
    <w:rsid w:val="00C36E26"/>
    <w:rsid w:val="00C371DF"/>
    <w:rsid w:val="00C37818"/>
    <w:rsid w:val="00C37EFC"/>
    <w:rsid w:val="00C37FF9"/>
    <w:rsid w:val="00C40126"/>
    <w:rsid w:val="00C41099"/>
    <w:rsid w:val="00C41425"/>
    <w:rsid w:val="00C41B4A"/>
    <w:rsid w:val="00C4213A"/>
    <w:rsid w:val="00C42C11"/>
    <w:rsid w:val="00C43344"/>
    <w:rsid w:val="00C43ADB"/>
    <w:rsid w:val="00C44065"/>
    <w:rsid w:val="00C44949"/>
    <w:rsid w:val="00C44B4C"/>
    <w:rsid w:val="00C450E3"/>
    <w:rsid w:val="00C456CC"/>
    <w:rsid w:val="00C45830"/>
    <w:rsid w:val="00C45C56"/>
    <w:rsid w:val="00C45CCD"/>
    <w:rsid w:val="00C46734"/>
    <w:rsid w:val="00C46C24"/>
    <w:rsid w:val="00C50112"/>
    <w:rsid w:val="00C5105D"/>
    <w:rsid w:val="00C511F0"/>
    <w:rsid w:val="00C513C7"/>
    <w:rsid w:val="00C51639"/>
    <w:rsid w:val="00C51871"/>
    <w:rsid w:val="00C53220"/>
    <w:rsid w:val="00C533A0"/>
    <w:rsid w:val="00C537E7"/>
    <w:rsid w:val="00C53AFE"/>
    <w:rsid w:val="00C53E9D"/>
    <w:rsid w:val="00C5426B"/>
    <w:rsid w:val="00C54C18"/>
    <w:rsid w:val="00C573DA"/>
    <w:rsid w:val="00C5772E"/>
    <w:rsid w:val="00C5781B"/>
    <w:rsid w:val="00C609E1"/>
    <w:rsid w:val="00C61117"/>
    <w:rsid w:val="00C616B4"/>
    <w:rsid w:val="00C621A7"/>
    <w:rsid w:val="00C62AA0"/>
    <w:rsid w:val="00C62AEC"/>
    <w:rsid w:val="00C62BF2"/>
    <w:rsid w:val="00C62D1B"/>
    <w:rsid w:val="00C62D43"/>
    <w:rsid w:val="00C638A6"/>
    <w:rsid w:val="00C63FB9"/>
    <w:rsid w:val="00C64266"/>
    <w:rsid w:val="00C647DF"/>
    <w:rsid w:val="00C64F8E"/>
    <w:rsid w:val="00C66306"/>
    <w:rsid w:val="00C66CE8"/>
    <w:rsid w:val="00C70074"/>
    <w:rsid w:val="00C703BA"/>
    <w:rsid w:val="00C70D51"/>
    <w:rsid w:val="00C70DF4"/>
    <w:rsid w:val="00C71252"/>
    <w:rsid w:val="00C7277F"/>
    <w:rsid w:val="00C72960"/>
    <w:rsid w:val="00C73C07"/>
    <w:rsid w:val="00C74759"/>
    <w:rsid w:val="00C74930"/>
    <w:rsid w:val="00C74B47"/>
    <w:rsid w:val="00C74D80"/>
    <w:rsid w:val="00C754BD"/>
    <w:rsid w:val="00C75D3A"/>
    <w:rsid w:val="00C769A9"/>
    <w:rsid w:val="00C772BC"/>
    <w:rsid w:val="00C774C9"/>
    <w:rsid w:val="00C77F1B"/>
    <w:rsid w:val="00C80987"/>
    <w:rsid w:val="00C80A3F"/>
    <w:rsid w:val="00C8180E"/>
    <w:rsid w:val="00C818A9"/>
    <w:rsid w:val="00C81F34"/>
    <w:rsid w:val="00C82436"/>
    <w:rsid w:val="00C82933"/>
    <w:rsid w:val="00C82BE2"/>
    <w:rsid w:val="00C835D3"/>
    <w:rsid w:val="00C84BBF"/>
    <w:rsid w:val="00C84BE9"/>
    <w:rsid w:val="00C854B7"/>
    <w:rsid w:val="00C85DEF"/>
    <w:rsid w:val="00C85E1C"/>
    <w:rsid w:val="00C85E40"/>
    <w:rsid w:val="00C86D76"/>
    <w:rsid w:val="00C86DA6"/>
    <w:rsid w:val="00C87A64"/>
    <w:rsid w:val="00C910F8"/>
    <w:rsid w:val="00C91106"/>
    <w:rsid w:val="00C9117B"/>
    <w:rsid w:val="00C91D19"/>
    <w:rsid w:val="00C93286"/>
    <w:rsid w:val="00C93B58"/>
    <w:rsid w:val="00C93C2F"/>
    <w:rsid w:val="00C9437C"/>
    <w:rsid w:val="00C946E4"/>
    <w:rsid w:val="00C946FF"/>
    <w:rsid w:val="00C94A14"/>
    <w:rsid w:val="00C94CDA"/>
    <w:rsid w:val="00C95BED"/>
    <w:rsid w:val="00C95EB3"/>
    <w:rsid w:val="00C96725"/>
    <w:rsid w:val="00C96FD9"/>
    <w:rsid w:val="00C97A66"/>
    <w:rsid w:val="00CA007B"/>
    <w:rsid w:val="00CA01BB"/>
    <w:rsid w:val="00CA0AA4"/>
    <w:rsid w:val="00CA0C1E"/>
    <w:rsid w:val="00CA15B0"/>
    <w:rsid w:val="00CA1C71"/>
    <w:rsid w:val="00CA1D4C"/>
    <w:rsid w:val="00CA1D50"/>
    <w:rsid w:val="00CA1DAB"/>
    <w:rsid w:val="00CA20E0"/>
    <w:rsid w:val="00CA2598"/>
    <w:rsid w:val="00CA3347"/>
    <w:rsid w:val="00CA41A6"/>
    <w:rsid w:val="00CA523D"/>
    <w:rsid w:val="00CA6FDA"/>
    <w:rsid w:val="00CA77CF"/>
    <w:rsid w:val="00CA7B58"/>
    <w:rsid w:val="00CB0836"/>
    <w:rsid w:val="00CB0CB9"/>
    <w:rsid w:val="00CB1413"/>
    <w:rsid w:val="00CB18D4"/>
    <w:rsid w:val="00CB24D9"/>
    <w:rsid w:val="00CB2518"/>
    <w:rsid w:val="00CB3156"/>
    <w:rsid w:val="00CB3920"/>
    <w:rsid w:val="00CB469E"/>
    <w:rsid w:val="00CB4C4C"/>
    <w:rsid w:val="00CB4DBA"/>
    <w:rsid w:val="00CB6413"/>
    <w:rsid w:val="00CB696F"/>
    <w:rsid w:val="00CB6A00"/>
    <w:rsid w:val="00CB7059"/>
    <w:rsid w:val="00CB7097"/>
    <w:rsid w:val="00CB709D"/>
    <w:rsid w:val="00CB73EE"/>
    <w:rsid w:val="00CB77F4"/>
    <w:rsid w:val="00CB780D"/>
    <w:rsid w:val="00CC00E9"/>
    <w:rsid w:val="00CC0F1C"/>
    <w:rsid w:val="00CC109F"/>
    <w:rsid w:val="00CC1983"/>
    <w:rsid w:val="00CC1BBB"/>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125"/>
    <w:rsid w:val="00CD5397"/>
    <w:rsid w:val="00CD5E93"/>
    <w:rsid w:val="00CD6D2E"/>
    <w:rsid w:val="00CE061C"/>
    <w:rsid w:val="00CE1344"/>
    <w:rsid w:val="00CE15AE"/>
    <w:rsid w:val="00CE1CFC"/>
    <w:rsid w:val="00CE235A"/>
    <w:rsid w:val="00CE37A3"/>
    <w:rsid w:val="00CE3814"/>
    <w:rsid w:val="00CE3FC0"/>
    <w:rsid w:val="00CE4AC7"/>
    <w:rsid w:val="00CE56B7"/>
    <w:rsid w:val="00CE6543"/>
    <w:rsid w:val="00CE6660"/>
    <w:rsid w:val="00CE6855"/>
    <w:rsid w:val="00CE6B6F"/>
    <w:rsid w:val="00CE7033"/>
    <w:rsid w:val="00CE7075"/>
    <w:rsid w:val="00CE770A"/>
    <w:rsid w:val="00CF02A6"/>
    <w:rsid w:val="00CF05A6"/>
    <w:rsid w:val="00CF060D"/>
    <w:rsid w:val="00CF06CF"/>
    <w:rsid w:val="00CF101C"/>
    <w:rsid w:val="00CF15C5"/>
    <w:rsid w:val="00CF1E77"/>
    <w:rsid w:val="00CF1EFE"/>
    <w:rsid w:val="00CF2DC1"/>
    <w:rsid w:val="00CF2EE2"/>
    <w:rsid w:val="00CF37AD"/>
    <w:rsid w:val="00CF3948"/>
    <w:rsid w:val="00CF3ACF"/>
    <w:rsid w:val="00CF441D"/>
    <w:rsid w:val="00CF4FCF"/>
    <w:rsid w:val="00CF4FDC"/>
    <w:rsid w:val="00CF53F2"/>
    <w:rsid w:val="00CF56AF"/>
    <w:rsid w:val="00CF58F1"/>
    <w:rsid w:val="00CF5BE0"/>
    <w:rsid w:val="00CF5BF1"/>
    <w:rsid w:val="00CF5D64"/>
    <w:rsid w:val="00CF6001"/>
    <w:rsid w:val="00CF61CB"/>
    <w:rsid w:val="00CF666F"/>
    <w:rsid w:val="00CF686F"/>
    <w:rsid w:val="00CF6CA7"/>
    <w:rsid w:val="00CF6E7D"/>
    <w:rsid w:val="00CF76FB"/>
    <w:rsid w:val="00CF7705"/>
    <w:rsid w:val="00D00175"/>
    <w:rsid w:val="00D00223"/>
    <w:rsid w:val="00D00312"/>
    <w:rsid w:val="00D0045E"/>
    <w:rsid w:val="00D008D8"/>
    <w:rsid w:val="00D00DBF"/>
    <w:rsid w:val="00D0149B"/>
    <w:rsid w:val="00D01AAA"/>
    <w:rsid w:val="00D01F5D"/>
    <w:rsid w:val="00D01FA9"/>
    <w:rsid w:val="00D02D17"/>
    <w:rsid w:val="00D03755"/>
    <w:rsid w:val="00D03DBE"/>
    <w:rsid w:val="00D03EED"/>
    <w:rsid w:val="00D0597D"/>
    <w:rsid w:val="00D06274"/>
    <w:rsid w:val="00D066D8"/>
    <w:rsid w:val="00D07FB9"/>
    <w:rsid w:val="00D10C27"/>
    <w:rsid w:val="00D10E78"/>
    <w:rsid w:val="00D11949"/>
    <w:rsid w:val="00D11A69"/>
    <w:rsid w:val="00D11CB2"/>
    <w:rsid w:val="00D12C98"/>
    <w:rsid w:val="00D12FFC"/>
    <w:rsid w:val="00D13CA3"/>
    <w:rsid w:val="00D1484F"/>
    <w:rsid w:val="00D14BA0"/>
    <w:rsid w:val="00D14D7B"/>
    <w:rsid w:val="00D1516D"/>
    <w:rsid w:val="00D158B0"/>
    <w:rsid w:val="00D15B1C"/>
    <w:rsid w:val="00D15BBB"/>
    <w:rsid w:val="00D1707A"/>
    <w:rsid w:val="00D17489"/>
    <w:rsid w:val="00D17CC2"/>
    <w:rsid w:val="00D20EED"/>
    <w:rsid w:val="00D21435"/>
    <w:rsid w:val="00D2242C"/>
    <w:rsid w:val="00D224FA"/>
    <w:rsid w:val="00D23033"/>
    <w:rsid w:val="00D23D60"/>
    <w:rsid w:val="00D23DA6"/>
    <w:rsid w:val="00D2402F"/>
    <w:rsid w:val="00D245C2"/>
    <w:rsid w:val="00D25660"/>
    <w:rsid w:val="00D2569B"/>
    <w:rsid w:val="00D258EB"/>
    <w:rsid w:val="00D25AEB"/>
    <w:rsid w:val="00D26C14"/>
    <w:rsid w:val="00D271CD"/>
    <w:rsid w:val="00D27BD2"/>
    <w:rsid w:val="00D27C94"/>
    <w:rsid w:val="00D30480"/>
    <w:rsid w:val="00D3064E"/>
    <w:rsid w:val="00D315CC"/>
    <w:rsid w:val="00D316A5"/>
    <w:rsid w:val="00D31DDA"/>
    <w:rsid w:val="00D31F05"/>
    <w:rsid w:val="00D32067"/>
    <w:rsid w:val="00D327A3"/>
    <w:rsid w:val="00D33893"/>
    <w:rsid w:val="00D33AE9"/>
    <w:rsid w:val="00D34224"/>
    <w:rsid w:val="00D34927"/>
    <w:rsid w:val="00D34C82"/>
    <w:rsid w:val="00D36550"/>
    <w:rsid w:val="00D36C97"/>
    <w:rsid w:val="00D379EC"/>
    <w:rsid w:val="00D37C94"/>
    <w:rsid w:val="00D37E9F"/>
    <w:rsid w:val="00D40D88"/>
    <w:rsid w:val="00D41E42"/>
    <w:rsid w:val="00D41F6B"/>
    <w:rsid w:val="00D42380"/>
    <w:rsid w:val="00D42C9B"/>
    <w:rsid w:val="00D4348D"/>
    <w:rsid w:val="00D436D7"/>
    <w:rsid w:val="00D43ADD"/>
    <w:rsid w:val="00D44029"/>
    <w:rsid w:val="00D44E42"/>
    <w:rsid w:val="00D44FC3"/>
    <w:rsid w:val="00D45072"/>
    <w:rsid w:val="00D450E2"/>
    <w:rsid w:val="00D453D7"/>
    <w:rsid w:val="00D4552D"/>
    <w:rsid w:val="00D462D6"/>
    <w:rsid w:val="00D466FC"/>
    <w:rsid w:val="00D46898"/>
    <w:rsid w:val="00D4714D"/>
    <w:rsid w:val="00D474AB"/>
    <w:rsid w:val="00D4754E"/>
    <w:rsid w:val="00D50460"/>
    <w:rsid w:val="00D50961"/>
    <w:rsid w:val="00D50A02"/>
    <w:rsid w:val="00D512A1"/>
    <w:rsid w:val="00D518D6"/>
    <w:rsid w:val="00D51FDC"/>
    <w:rsid w:val="00D52AB4"/>
    <w:rsid w:val="00D52F26"/>
    <w:rsid w:val="00D531F5"/>
    <w:rsid w:val="00D5373C"/>
    <w:rsid w:val="00D538C1"/>
    <w:rsid w:val="00D538D5"/>
    <w:rsid w:val="00D53B5C"/>
    <w:rsid w:val="00D54640"/>
    <w:rsid w:val="00D54916"/>
    <w:rsid w:val="00D55455"/>
    <w:rsid w:val="00D559B5"/>
    <w:rsid w:val="00D56420"/>
    <w:rsid w:val="00D5658A"/>
    <w:rsid w:val="00D56A94"/>
    <w:rsid w:val="00D56C0C"/>
    <w:rsid w:val="00D56F9E"/>
    <w:rsid w:val="00D570B4"/>
    <w:rsid w:val="00D5798B"/>
    <w:rsid w:val="00D602DF"/>
    <w:rsid w:val="00D60736"/>
    <w:rsid w:val="00D6170E"/>
    <w:rsid w:val="00D61972"/>
    <w:rsid w:val="00D61B58"/>
    <w:rsid w:val="00D6307D"/>
    <w:rsid w:val="00D63632"/>
    <w:rsid w:val="00D63732"/>
    <w:rsid w:val="00D637F5"/>
    <w:rsid w:val="00D63925"/>
    <w:rsid w:val="00D63D9C"/>
    <w:rsid w:val="00D6405D"/>
    <w:rsid w:val="00D6568E"/>
    <w:rsid w:val="00D65893"/>
    <w:rsid w:val="00D658EC"/>
    <w:rsid w:val="00D66816"/>
    <w:rsid w:val="00D6684E"/>
    <w:rsid w:val="00D6742A"/>
    <w:rsid w:val="00D67B9B"/>
    <w:rsid w:val="00D71733"/>
    <w:rsid w:val="00D718AC"/>
    <w:rsid w:val="00D719A3"/>
    <w:rsid w:val="00D71E7A"/>
    <w:rsid w:val="00D72DE7"/>
    <w:rsid w:val="00D7302F"/>
    <w:rsid w:val="00D7329E"/>
    <w:rsid w:val="00D7340B"/>
    <w:rsid w:val="00D73870"/>
    <w:rsid w:val="00D73BB2"/>
    <w:rsid w:val="00D74575"/>
    <w:rsid w:val="00D74C57"/>
    <w:rsid w:val="00D74D14"/>
    <w:rsid w:val="00D74E74"/>
    <w:rsid w:val="00D74F3B"/>
    <w:rsid w:val="00D752E7"/>
    <w:rsid w:val="00D7574B"/>
    <w:rsid w:val="00D75913"/>
    <w:rsid w:val="00D75E82"/>
    <w:rsid w:val="00D76270"/>
    <w:rsid w:val="00D767C6"/>
    <w:rsid w:val="00D769C5"/>
    <w:rsid w:val="00D76E76"/>
    <w:rsid w:val="00D77ED7"/>
    <w:rsid w:val="00D80631"/>
    <w:rsid w:val="00D818EC"/>
    <w:rsid w:val="00D81A20"/>
    <w:rsid w:val="00D81F55"/>
    <w:rsid w:val="00D8292F"/>
    <w:rsid w:val="00D8321A"/>
    <w:rsid w:val="00D83F57"/>
    <w:rsid w:val="00D84A86"/>
    <w:rsid w:val="00D8507B"/>
    <w:rsid w:val="00D85152"/>
    <w:rsid w:val="00D85D1A"/>
    <w:rsid w:val="00D85F2C"/>
    <w:rsid w:val="00D86030"/>
    <w:rsid w:val="00D861BD"/>
    <w:rsid w:val="00D86D55"/>
    <w:rsid w:val="00D8789C"/>
    <w:rsid w:val="00D8789D"/>
    <w:rsid w:val="00D87B3F"/>
    <w:rsid w:val="00D9003D"/>
    <w:rsid w:val="00D90279"/>
    <w:rsid w:val="00D90558"/>
    <w:rsid w:val="00D9082F"/>
    <w:rsid w:val="00D90C79"/>
    <w:rsid w:val="00D914EB"/>
    <w:rsid w:val="00D91B36"/>
    <w:rsid w:val="00D9305B"/>
    <w:rsid w:val="00D94085"/>
    <w:rsid w:val="00D9445B"/>
    <w:rsid w:val="00D944D2"/>
    <w:rsid w:val="00D95ECE"/>
    <w:rsid w:val="00D96D4F"/>
    <w:rsid w:val="00DA13FB"/>
    <w:rsid w:val="00DA1806"/>
    <w:rsid w:val="00DA1BD1"/>
    <w:rsid w:val="00DA212B"/>
    <w:rsid w:val="00DA3155"/>
    <w:rsid w:val="00DA3A76"/>
    <w:rsid w:val="00DA5713"/>
    <w:rsid w:val="00DA5B51"/>
    <w:rsid w:val="00DA5F95"/>
    <w:rsid w:val="00DA6856"/>
    <w:rsid w:val="00DA6D6D"/>
    <w:rsid w:val="00DA73C1"/>
    <w:rsid w:val="00DA7457"/>
    <w:rsid w:val="00DA7478"/>
    <w:rsid w:val="00DA770D"/>
    <w:rsid w:val="00DA77A8"/>
    <w:rsid w:val="00DA7851"/>
    <w:rsid w:val="00DA7DC1"/>
    <w:rsid w:val="00DB00EE"/>
    <w:rsid w:val="00DB0132"/>
    <w:rsid w:val="00DB2754"/>
    <w:rsid w:val="00DB2D88"/>
    <w:rsid w:val="00DB3687"/>
    <w:rsid w:val="00DB38D1"/>
    <w:rsid w:val="00DB3DC3"/>
    <w:rsid w:val="00DB41CB"/>
    <w:rsid w:val="00DB5114"/>
    <w:rsid w:val="00DB681B"/>
    <w:rsid w:val="00DB6D37"/>
    <w:rsid w:val="00DB73C2"/>
    <w:rsid w:val="00DB7E24"/>
    <w:rsid w:val="00DC0445"/>
    <w:rsid w:val="00DC115F"/>
    <w:rsid w:val="00DC17A9"/>
    <w:rsid w:val="00DC2082"/>
    <w:rsid w:val="00DC225F"/>
    <w:rsid w:val="00DC254E"/>
    <w:rsid w:val="00DC2883"/>
    <w:rsid w:val="00DC2C48"/>
    <w:rsid w:val="00DC46B5"/>
    <w:rsid w:val="00DC4B28"/>
    <w:rsid w:val="00DC4B5D"/>
    <w:rsid w:val="00DC525E"/>
    <w:rsid w:val="00DC535C"/>
    <w:rsid w:val="00DC5DCB"/>
    <w:rsid w:val="00DC6C0D"/>
    <w:rsid w:val="00DC6CCF"/>
    <w:rsid w:val="00DC75E7"/>
    <w:rsid w:val="00DD074A"/>
    <w:rsid w:val="00DD0D70"/>
    <w:rsid w:val="00DD1941"/>
    <w:rsid w:val="00DD26A5"/>
    <w:rsid w:val="00DD2812"/>
    <w:rsid w:val="00DD2CE3"/>
    <w:rsid w:val="00DD34F2"/>
    <w:rsid w:val="00DD3C6B"/>
    <w:rsid w:val="00DD4A56"/>
    <w:rsid w:val="00DD54ED"/>
    <w:rsid w:val="00DD6861"/>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703"/>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1EC8"/>
    <w:rsid w:val="00DF2144"/>
    <w:rsid w:val="00DF24D9"/>
    <w:rsid w:val="00DF2EA5"/>
    <w:rsid w:val="00DF310B"/>
    <w:rsid w:val="00DF3E47"/>
    <w:rsid w:val="00DF5362"/>
    <w:rsid w:val="00DF56E8"/>
    <w:rsid w:val="00DF5C01"/>
    <w:rsid w:val="00DF5FF5"/>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1198B"/>
    <w:rsid w:val="00E11C0C"/>
    <w:rsid w:val="00E126B2"/>
    <w:rsid w:val="00E127E3"/>
    <w:rsid w:val="00E13AFB"/>
    <w:rsid w:val="00E13E8F"/>
    <w:rsid w:val="00E14818"/>
    <w:rsid w:val="00E148E8"/>
    <w:rsid w:val="00E151ED"/>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C63"/>
    <w:rsid w:val="00E23E84"/>
    <w:rsid w:val="00E23F9B"/>
    <w:rsid w:val="00E24D23"/>
    <w:rsid w:val="00E2546F"/>
    <w:rsid w:val="00E26285"/>
    <w:rsid w:val="00E26649"/>
    <w:rsid w:val="00E2703D"/>
    <w:rsid w:val="00E271F9"/>
    <w:rsid w:val="00E27F0A"/>
    <w:rsid w:val="00E304DF"/>
    <w:rsid w:val="00E30712"/>
    <w:rsid w:val="00E309B0"/>
    <w:rsid w:val="00E30A3E"/>
    <w:rsid w:val="00E30E67"/>
    <w:rsid w:val="00E32143"/>
    <w:rsid w:val="00E325F3"/>
    <w:rsid w:val="00E326E9"/>
    <w:rsid w:val="00E32AB7"/>
    <w:rsid w:val="00E32B61"/>
    <w:rsid w:val="00E33106"/>
    <w:rsid w:val="00E33585"/>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19C"/>
    <w:rsid w:val="00E43894"/>
    <w:rsid w:val="00E44AC7"/>
    <w:rsid w:val="00E44E08"/>
    <w:rsid w:val="00E45B2D"/>
    <w:rsid w:val="00E45D26"/>
    <w:rsid w:val="00E45DF9"/>
    <w:rsid w:val="00E468F2"/>
    <w:rsid w:val="00E477C4"/>
    <w:rsid w:val="00E478EF"/>
    <w:rsid w:val="00E47A20"/>
    <w:rsid w:val="00E47BBA"/>
    <w:rsid w:val="00E5065D"/>
    <w:rsid w:val="00E5084C"/>
    <w:rsid w:val="00E50871"/>
    <w:rsid w:val="00E50AD9"/>
    <w:rsid w:val="00E50B4C"/>
    <w:rsid w:val="00E512FE"/>
    <w:rsid w:val="00E5198D"/>
    <w:rsid w:val="00E52063"/>
    <w:rsid w:val="00E52C66"/>
    <w:rsid w:val="00E53533"/>
    <w:rsid w:val="00E537ED"/>
    <w:rsid w:val="00E5384D"/>
    <w:rsid w:val="00E53F2E"/>
    <w:rsid w:val="00E54004"/>
    <w:rsid w:val="00E546C9"/>
    <w:rsid w:val="00E54BB9"/>
    <w:rsid w:val="00E54D3F"/>
    <w:rsid w:val="00E55F1F"/>
    <w:rsid w:val="00E56735"/>
    <w:rsid w:val="00E56866"/>
    <w:rsid w:val="00E56904"/>
    <w:rsid w:val="00E56FA9"/>
    <w:rsid w:val="00E57DFD"/>
    <w:rsid w:val="00E60423"/>
    <w:rsid w:val="00E60438"/>
    <w:rsid w:val="00E60545"/>
    <w:rsid w:val="00E606F4"/>
    <w:rsid w:val="00E607E5"/>
    <w:rsid w:val="00E60A16"/>
    <w:rsid w:val="00E610CB"/>
    <w:rsid w:val="00E6125B"/>
    <w:rsid w:val="00E615AF"/>
    <w:rsid w:val="00E6170A"/>
    <w:rsid w:val="00E62816"/>
    <w:rsid w:val="00E629EF"/>
    <w:rsid w:val="00E62ADF"/>
    <w:rsid w:val="00E62FA7"/>
    <w:rsid w:val="00E637A3"/>
    <w:rsid w:val="00E659FD"/>
    <w:rsid w:val="00E65B0C"/>
    <w:rsid w:val="00E66783"/>
    <w:rsid w:val="00E66B16"/>
    <w:rsid w:val="00E66BA2"/>
    <w:rsid w:val="00E677DB"/>
    <w:rsid w:val="00E700F8"/>
    <w:rsid w:val="00E71B42"/>
    <w:rsid w:val="00E71C2D"/>
    <w:rsid w:val="00E72187"/>
    <w:rsid w:val="00E7266C"/>
    <w:rsid w:val="00E72BB6"/>
    <w:rsid w:val="00E72CD0"/>
    <w:rsid w:val="00E730AC"/>
    <w:rsid w:val="00E7310C"/>
    <w:rsid w:val="00E733ED"/>
    <w:rsid w:val="00E734CE"/>
    <w:rsid w:val="00E73D33"/>
    <w:rsid w:val="00E74DAE"/>
    <w:rsid w:val="00E750CB"/>
    <w:rsid w:val="00E778DC"/>
    <w:rsid w:val="00E77FD3"/>
    <w:rsid w:val="00E80336"/>
    <w:rsid w:val="00E80D00"/>
    <w:rsid w:val="00E810BD"/>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888"/>
    <w:rsid w:val="00E8695C"/>
    <w:rsid w:val="00E87D1E"/>
    <w:rsid w:val="00E90DE0"/>
    <w:rsid w:val="00E91191"/>
    <w:rsid w:val="00E92C96"/>
    <w:rsid w:val="00E93F01"/>
    <w:rsid w:val="00E942B8"/>
    <w:rsid w:val="00E944ED"/>
    <w:rsid w:val="00E945AF"/>
    <w:rsid w:val="00E94A0B"/>
    <w:rsid w:val="00E94A2C"/>
    <w:rsid w:val="00E9544C"/>
    <w:rsid w:val="00E95799"/>
    <w:rsid w:val="00E95A53"/>
    <w:rsid w:val="00E95D93"/>
    <w:rsid w:val="00E9683D"/>
    <w:rsid w:val="00E970B7"/>
    <w:rsid w:val="00E97D95"/>
    <w:rsid w:val="00EA0035"/>
    <w:rsid w:val="00EA010D"/>
    <w:rsid w:val="00EA04C5"/>
    <w:rsid w:val="00EA0507"/>
    <w:rsid w:val="00EA07EC"/>
    <w:rsid w:val="00EA09B6"/>
    <w:rsid w:val="00EA0BB5"/>
    <w:rsid w:val="00EA1A8A"/>
    <w:rsid w:val="00EA21FA"/>
    <w:rsid w:val="00EA25EB"/>
    <w:rsid w:val="00EA26D5"/>
    <w:rsid w:val="00EA2775"/>
    <w:rsid w:val="00EA305D"/>
    <w:rsid w:val="00EA3106"/>
    <w:rsid w:val="00EA3874"/>
    <w:rsid w:val="00EA5697"/>
    <w:rsid w:val="00EA5AB6"/>
    <w:rsid w:val="00EA5B93"/>
    <w:rsid w:val="00EA5FB0"/>
    <w:rsid w:val="00EA612E"/>
    <w:rsid w:val="00EA6F91"/>
    <w:rsid w:val="00EA7618"/>
    <w:rsid w:val="00EA761C"/>
    <w:rsid w:val="00EA7D7F"/>
    <w:rsid w:val="00EB0810"/>
    <w:rsid w:val="00EB0AF9"/>
    <w:rsid w:val="00EB0B5F"/>
    <w:rsid w:val="00EB1CF7"/>
    <w:rsid w:val="00EB25C2"/>
    <w:rsid w:val="00EB2B6F"/>
    <w:rsid w:val="00EB2CAD"/>
    <w:rsid w:val="00EB2FA2"/>
    <w:rsid w:val="00EB3272"/>
    <w:rsid w:val="00EB37B2"/>
    <w:rsid w:val="00EB3FF9"/>
    <w:rsid w:val="00EB5047"/>
    <w:rsid w:val="00EB5F0B"/>
    <w:rsid w:val="00EB7352"/>
    <w:rsid w:val="00EB769A"/>
    <w:rsid w:val="00EC08CF"/>
    <w:rsid w:val="00EC11E4"/>
    <w:rsid w:val="00EC14E1"/>
    <w:rsid w:val="00EC183C"/>
    <w:rsid w:val="00EC1AB4"/>
    <w:rsid w:val="00EC1CDD"/>
    <w:rsid w:val="00EC2A3F"/>
    <w:rsid w:val="00EC2E64"/>
    <w:rsid w:val="00EC3312"/>
    <w:rsid w:val="00EC3A35"/>
    <w:rsid w:val="00EC3C52"/>
    <w:rsid w:val="00EC3E5B"/>
    <w:rsid w:val="00EC3E69"/>
    <w:rsid w:val="00EC41A7"/>
    <w:rsid w:val="00EC4257"/>
    <w:rsid w:val="00EC46CE"/>
    <w:rsid w:val="00EC4F94"/>
    <w:rsid w:val="00EC5162"/>
    <w:rsid w:val="00EC5554"/>
    <w:rsid w:val="00EC572B"/>
    <w:rsid w:val="00EC5B8E"/>
    <w:rsid w:val="00EC7356"/>
    <w:rsid w:val="00EC75F6"/>
    <w:rsid w:val="00EC75FC"/>
    <w:rsid w:val="00ED0065"/>
    <w:rsid w:val="00ED17B5"/>
    <w:rsid w:val="00ED1BA0"/>
    <w:rsid w:val="00ED1D2D"/>
    <w:rsid w:val="00ED353D"/>
    <w:rsid w:val="00ED3B56"/>
    <w:rsid w:val="00ED4C59"/>
    <w:rsid w:val="00ED4FF4"/>
    <w:rsid w:val="00ED588C"/>
    <w:rsid w:val="00ED5B71"/>
    <w:rsid w:val="00ED6E7A"/>
    <w:rsid w:val="00ED6EA1"/>
    <w:rsid w:val="00ED7A7F"/>
    <w:rsid w:val="00ED7B85"/>
    <w:rsid w:val="00EE060B"/>
    <w:rsid w:val="00EE07AC"/>
    <w:rsid w:val="00EE0891"/>
    <w:rsid w:val="00EE0C94"/>
    <w:rsid w:val="00EE0F24"/>
    <w:rsid w:val="00EE1062"/>
    <w:rsid w:val="00EE17F2"/>
    <w:rsid w:val="00EE188A"/>
    <w:rsid w:val="00EE1B01"/>
    <w:rsid w:val="00EE1C62"/>
    <w:rsid w:val="00EE1DB8"/>
    <w:rsid w:val="00EE210D"/>
    <w:rsid w:val="00EE2746"/>
    <w:rsid w:val="00EE2FD8"/>
    <w:rsid w:val="00EE3256"/>
    <w:rsid w:val="00EE4759"/>
    <w:rsid w:val="00EE4C20"/>
    <w:rsid w:val="00EE4F2D"/>
    <w:rsid w:val="00EE524C"/>
    <w:rsid w:val="00EE589E"/>
    <w:rsid w:val="00EE6755"/>
    <w:rsid w:val="00EE78D6"/>
    <w:rsid w:val="00EF03DC"/>
    <w:rsid w:val="00EF0437"/>
    <w:rsid w:val="00EF0568"/>
    <w:rsid w:val="00EF0BFE"/>
    <w:rsid w:val="00EF1878"/>
    <w:rsid w:val="00EF1DE8"/>
    <w:rsid w:val="00EF2AC7"/>
    <w:rsid w:val="00EF3397"/>
    <w:rsid w:val="00EF40BF"/>
    <w:rsid w:val="00EF429A"/>
    <w:rsid w:val="00EF4557"/>
    <w:rsid w:val="00EF493F"/>
    <w:rsid w:val="00EF5947"/>
    <w:rsid w:val="00EF5E22"/>
    <w:rsid w:val="00EF60CA"/>
    <w:rsid w:val="00EF63C1"/>
    <w:rsid w:val="00EF6557"/>
    <w:rsid w:val="00EF69B7"/>
    <w:rsid w:val="00EF6C2B"/>
    <w:rsid w:val="00F00059"/>
    <w:rsid w:val="00F00084"/>
    <w:rsid w:val="00F008BD"/>
    <w:rsid w:val="00F021A9"/>
    <w:rsid w:val="00F02B50"/>
    <w:rsid w:val="00F02C54"/>
    <w:rsid w:val="00F02CD0"/>
    <w:rsid w:val="00F02D03"/>
    <w:rsid w:val="00F035DB"/>
    <w:rsid w:val="00F03B30"/>
    <w:rsid w:val="00F0448C"/>
    <w:rsid w:val="00F04BAF"/>
    <w:rsid w:val="00F0553C"/>
    <w:rsid w:val="00F0571E"/>
    <w:rsid w:val="00F06BA7"/>
    <w:rsid w:val="00F06C50"/>
    <w:rsid w:val="00F071BA"/>
    <w:rsid w:val="00F108BD"/>
    <w:rsid w:val="00F11A39"/>
    <w:rsid w:val="00F11D2E"/>
    <w:rsid w:val="00F1284F"/>
    <w:rsid w:val="00F13228"/>
    <w:rsid w:val="00F136A4"/>
    <w:rsid w:val="00F1377B"/>
    <w:rsid w:val="00F13C5E"/>
    <w:rsid w:val="00F14108"/>
    <w:rsid w:val="00F148D5"/>
    <w:rsid w:val="00F1601A"/>
    <w:rsid w:val="00F160BF"/>
    <w:rsid w:val="00F16173"/>
    <w:rsid w:val="00F1675C"/>
    <w:rsid w:val="00F16A3C"/>
    <w:rsid w:val="00F16B84"/>
    <w:rsid w:val="00F17428"/>
    <w:rsid w:val="00F17EAC"/>
    <w:rsid w:val="00F20046"/>
    <w:rsid w:val="00F20CC1"/>
    <w:rsid w:val="00F20D22"/>
    <w:rsid w:val="00F21A58"/>
    <w:rsid w:val="00F2302A"/>
    <w:rsid w:val="00F23048"/>
    <w:rsid w:val="00F23538"/>
    <w:rsid w:val="00F239CD"/>
    <w:rsid w:val="00F23DCC"/>
    <w:rsid w:val="00F24158"/>
    <w:rsid w:val="00F24294"/>
    <w:rsid w:val="00F2477C"/>
    <w:rsid w:val="00F24E5D"/>
    <w:rsid w:val="00F24EBB"/>
    <w:rsid w:val="00F27696"/>
    <w:rsid w:val="00F2777F"/>
    <w:rsid w:val="00F27F06"/>
    <w:rsid w:val="00F30C26"/>
    <w:rsid w:val="00F314E8"/>
    <w:rsid w:val="00F316A2"/>
    <w:rsid w:val="00F323A2"/>
    <w:rsid w:val="00F32850"/>
    <w:rsid w:val="00F332D4"/>
    <w:rsid w:val="00F333DF"/>
    <w:rsid w:val="00F33B57"/>
    <w:rsid w:val="00F33CA8"/>
    <w:rsid w:val="00F33D5C"/>
    <w:rsid w:val="00F356D6"/>
    <w:rsid w:val="00F36284"/>
    <w:rsid w:val="00F372DB"/>
    <w:rsid w:val="00F3785D"/>
    <w:rsid w:val="00F378BE"/>
    <w:rsid w:val="00F37D37"/>
    <w:rsid w:val="00F400E3"/>
    <w:rsid w:val="00F4021A"/>
    <w:rsid w:val="00F40876"/>
    <w:rsid w:val="00F4363B"/>
    <w:rsid w:val="00F44642"/>
    <w:rsid w:val="00F454A2"/>
    <w:rsid w:val="00F45E89"/>
    <w:rsid w:val="00F47845"/>
    <w:rsid w:val="00F47B6C"/>
    <w:rsid w:val="00F50039"/>
    <w:rsid w:val="00F50675"/>
    <w:rsid w:val="00F5071D"/>
    <w:rsid w:val="00F50B07"/>
    <w:rsid w:val="00F50BD6"/>
    <w:rsid w:val="00F50E16"/>
    <w:rsid w:val="00F513B2"/>
    <w:rsid w:val="00F51520"/>
    <w:rsid w:val="00F52140"/>
    <w:rsid w:val="00F521E4"/>
    <w:rsid w:val="00F52CCE"/>
    <w:rsid w:val="00F53151"/>
    <w:rsid w:val="00F535A9"/>
    <w:rsid w:val="00F53F3D"/>
    <w:rsid w:val="00F53F92"/>
    <w:rsid w:val="00F54096"/>
    <w:rsid w:val="00F5480F"/>
    <w:rsid w:val="00F54AA5"/>
    <w:rsid w:val="00F552F7"/>
    <w:rsid w:val="00F553A7"/>
    <w:rsid w:val="00F554EB"/>
    <w:rsid w:val="00F5562D"/>
    <w:rsid w:val="00F55710"/>
    <w:rsid w:val="00F55BC7"/>
    <w:rsid w:val="00F56631"/>
    <w:rsid w:val="00F566EA"/>
    <w:rsid w:val="00F567A4"/>
    <w:rsid w:val="00F578EB"/>
    <w:rsid w:val="00F605BE"/>
    <w:rsid w:val="00F60778"/>
    <w:rsid w:val="00F60AF6"/>
    <w:rsid w:val="00F60DDC"/>
    <w:rsid w:val="00F610A9"/>
    <w:rsid w:val="00F6172C"/>
    <w:rsid w:val="00F617BE"/>
    <w:rsid w:val="00F6185D"/>
    <w:rsid w:val="00F61C7A"/>
    <w:rsid w:val="00F625F7"/>
    <w:rsid w:val="00F632C2"/>
    <w:rsid w:val="00F64702"/>
    <w:rsid w:val="00F64D5A"/>
    <w:rsid w:val="00F65399"/>
    <w:rsid w:val="00F65B68"/>
    <w:rsid w:val="00F65C22"/>
    <w:rsid w:val="00F65EC9"/>
    <w:rsid w:val="00F66CB1"/>
    <w:rsid w:val="00F672BD"/>
    <w:rsid w:val="00F677CB"/>
    <w:rsid w:val="00F67E15"/>
    <w:rsid w:val="00F67FCA"/>
    <w:rsid w:val="00F70815"/>
    <w:rsid w:val="00F709F4"/>
    <w:rsid w:val="00F71019"/>
    <w:rsid w:val="00F710A9"/>
    <w:rsid w:val="00F72823"/>
    <w:rsid w:val="00F7284D"/>
    <w:rsid w:val="00F72CFE"/>
    <w:rsid w:val="00F72FB0"/>
    <w:rsid w:val="00F73336"/>
    <w:rsid w:val="00F73423"/>
    <w:rsid w:val="00F7365E"/>
    <w:rsid w:val="00F737A4"/>
    <w:rsid w:val="00F73950"/>
    <w:rsid w:val="00F74242"/>
    <w:rsid w:val="00F75481"/>
    <w:rsid w:val="00F76664"/>
    <w:rsid w:val="00F76A4C"/>
    <w:rsid w:val="00F76AB3"/>
    <w:rsid w:val="00F80B27"/>
    <w:rsid w:val="00F816A4"/>
    <w:rsid w:val="00F8194C"/>
    <w:rsid w:val="00F81AE9"/>
    <w:rsid w:val="00F827D0"/>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138"/>
    <w:rsid w:val="00F87C3F"/>
    <w:rsid w:val="00F87C5B"/>
    <w:rsid w:val="00F87FEA"/>
    <w:rsid w:val="00F90613"/>
    <w:rsid w:val="00F906F4"/>
    <w:rsid w:val="00F915F3"/>
    <w:rsid w:val="00F91800"/>
    <w:rsid w:val="00F91853"/>
    <w:rsid w:val="00F918B6"/>
    <w:rsid w:val="00F91987"/>
    <w:rsid w:val="00F91CCD"/>
    <w:rsid w:val="00F9208E"/>
    <w:rsid w:val="00F92571"/>
    <w:rsid w:val="00F93837"/>
    <w:rsid w:val="00F93B2F"/>
    <w:rsid w:val="00F93CAE"/>
    <w:rsid w:val="00F9453D"/>
    <w:rsid w:val="00F954E4"/>
    <w:rsid w:val="00F95BFB"/>
    <w:rsid w:val="00F95CCE"/>
    <w:rsid w:val="00F966D3"/>
    <w:rsid w:val="00F9692D"/>
    <w:rsid w:val="00F978BE"/>
    <w:rsid w:val="00F97D7B"/>
    <w:rsid w:val="00FA0013"/>
    <w:rsid w:val="00FA0154"/>
    <w:rsid w:val="00FA0288"/>
    <w:rsid w:val="00FA0C62"/>
    <w:rsid w:val="00FA0F71"/>
    <w:rsid w:val="00FA23E2"/>
    <w:rsid w:val="00FA26BC"/>
    <w:rsid w:val="00FA2D8E"/>
    <w:rsid w:val="00FA3520"/>
    <w:rsid w:val="00FA3872"/>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2EE5"/>
    <w:rsid w:val="00FB3363"/>
    <w:rsid w:val="00FB4048"/>
    <w:rsid w:val="00FB446E"/>
    <w:rsid w:val="00FB4629"/>
    <w:rsid w:val="00FB577F"/>
    <w:rsid w:val="00FB5E5D"/>
    <w:rsid w:val="00FB5FC4"/>
    <w:rsid w:val="00FB6A07"/>
    <w:rsid w:val="00FB6E1F"/>
    <w:rsid w:val="00FB6FB1"/>
    <w:rsid w:val="00FB7460"/>
    <w:rsid w:val="00FB7747"/>
    <w:rsid w:val="00FB7A10"/>
    <w:rsid w:val="00FC0F81"/>
    <w:rsid w:val="00FC3798"/>
    <w:rsid w:val="00FC577C"/>
    <w:rsid w:val="00FC5958"/>
    <w:rsid w:val="00FC59AF"/>
    <w:rsid w:val="00FC5BDD"/>
    <w:rsid w:val="00FC5C43"/>
    <w:rsid w:val="00FC5F72"/>
    <w:rsid w:val="00FC62B5"/>
    <w:rsid w:val="00FC6D4E"/>
    <w:rsid w:val="00FC7073"/>
    <w:rsid w:val="00FC736F"/>
    <w:rsid w:val="00FD0CDB"/>
    <w:rsid w:val="00FD1FA7"/>
    <w:rsid w:val="00FD226A"/>
    <w:rsid w:val="00FD2282"/>
    <w:rsid w:val="00FD2D42"/>
    <w:rsid w:val="00FD30B5"/>
    <w:rsid w:val="00FD3453"/>
    <w:rsid w:val="00FD39CF"/>
    <w:rsid w:val="00FD4B7B"/>
    <w:rsid w:val="00FD4D84"/>
    <w:rsid w:val="00FD5468"/>
    <w:rsid w:val="00FD58F5"/>
    <w:rsid w:val="00FD6287"/>
    <w:rsid w:val="00FD754C"/>
    <w:rsid w:val="00FD7696"/>
    <w:rsid w:val="00FE0669"/>
    <w:rsid w:val="00FE0DAE"/>
    <w:rsid w:val="00FE0E6B"/>
    <w:rsid w:val="00FE1370"/>
    <w:rsid w:val="00FE1510"/>
    <w:rsid w:val="00FE2121"/>
    <w:rsid w:val="00FE2387"/>
    <w:rsid w:val="00FE254A"/>
    <w:rsid w:val="00FE321B"/>
    <w:rsid w:val="00FE3D07"/>
    <w:rsid w:val="00FE4411"/>
    <w:rsid w:val="00FE46BC"/>
    <w:rsid w:val="00FE4B6F"/>
    <w:rsid w:val="00FE6788"/>
    <w:rsid w:val="00FE6818"/>
    <w:rsid w:val="00FE6A9E"/>
    <w:rsid w:val="00FE6BFB"/>
    <w:rsid w:val="00FF009D"/>
    <w:rsid w:val="00FF0CF5"/>
    <w:rsid w:val="00FF0D6F"/>
    <w:rsid w:val="00FF0E9E"/>
    <w:rsid w:val="00FF1103"/>
    <w:rsid w:val="00FF1712"/>
    <w:rsid w:val="00FF213D"/>
    <w:rsid w:val="00FF251D"/>
    <w:rsid w:val="00FF37DC"/>
    <w:rsid w:val="00FF37F2"/>
    <w:rsid w:val="00FF4243"/>
    <w:rsid w:val="00FF43D9"/>
    <w:rsid w:val="00FF44E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Fuerte">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character" w:customStyle="1" w:styleId="s15">
    <w:name w:val="s15"/>
    <w:basedOn w:val="Fuentedeprrafopredeter"/>
    <w:rsid w:val="00F11A39"/>
  </w:style>
  <w:style w:type="character" w:customStyle="1" w:styleId="apple-converted-space">
    <w:name w:val="apple-converted-space"/>
    <w:basedOn w:val="Fuentedeprrafopredeter"/>
    <w:rsid w:val="00F11A39"/>
  </w:style>
  <w:style w:type="character" w:customStyle="1" w:styleId="NormalWebCar">
    <w:name w:val="Normal (Web) Car"/>
    <w:link w:val="NormalWeb"/>
    <w:uiPriority w:val="99"/>
    <w:locked/>
    <w:rsid w:val="009E49C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31460425">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65763639">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41471648">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2574583">
      <w:bodyDiv w:val="1"/>
      <w:marLeft w:val="0"/>
      <w:marRight w:val="0"/>
      <w:marTop w:val="0"/>
      <w:marBottom w:val="0"/>
      <w:divBdr>
        <w:top w:val="none" w:sz="0" w:space="0" w:color="auto"/>
        <w:left w:val="none" w:sz="0" w:space="0" w:color="auto"/>
        <w:bottom w:val="none" w:sz="0" w:space="0" w:color="auto"/>
        <w:right w:val="none" w:sz="0" w:space="0" w:color="auto"/>
      </w:divBdr>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2882439">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39845968">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17657566">
      <w:bodyDiv w:val="1"/>
      <w:marLeft w:val="0"/>
      <w:marRight w:val="0"/>
      <w:marTop w:val="0"/>
      <w:marBottom w:val="0"/>
      <w:divBdr>
        <w:top w:val="none" w:sz="0" w:space="0" w:color="auto"/>
        <w:left w:val="none" w:sz="0" w:space="0" w:color="auto"/>
        <w:bottom w:val="none" w:sz="0" w:space="0" w:color="auto"/>
        <w:right w:val="none" w:sz="0" w:space="0" w:color="auto"/>
      </w:divBdr>
    </w:div>
    <w:div w:id="1022704690">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246720">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18936703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47184175">
      <w:bodyDiv w:val="1"/>
      <w:marLeft w:val="0"/>
      <w:marRight w:val="0"/>
      <w:marTop w:val="0"/>
      <w:marBottom w:val="0"/>
      <w:divBdr>
        <w:top w:val="none" w:sz="0" w:space="0" w:color="auto"/>
        <w:left w:val="none" w:sz="0" w:space="0" w:color="auto"/>
        <w:bottom w:val="none" w:sz="0" w:space="0" w:color="auto"/>
        <w:right w:val="none" w:sz="0" w:space="0" w:color="auto"/>
      </w:divBdr>
    </w:div>
    <w:div w:id="1548563183">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02983792">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 w:id="21338674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ilviapuerta@live.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5" Type="http://schemas.openxmlformats.org/officeDocument/2006/relationships/hyperlink" Target="https://leyes.senado.gov.co/proyectos/index.php/proyectos-ley/cuatrenio-2018-2022/2020-2021/article/200-por-el-cual-se-regula-la-organizacion-y-el-funcionamiento-del-sistema-general-de-regalias-mensaje-de-urgencia"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0096016A-DDD6-4AF9-9198-913C640901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20</Pages>
  <Words>6739</Words>
  <Characters>37068</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43720</CharactersWithSpaces>
  <SharedDoc>false</SharedDoc>
  <HLinks>
    <vt:vector size="60" baseType="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3604489</vt:i4>
      </vt:variant>
      <vt:variant>
        <vt:i4>0</vt:i4>
      </vt:variant>
      <vt:variant>
        <vt:i4>0</vt:i4>
      </vt:variant>
      <vt:variant>
        <vt:i4>5</vt:i4>
      </vt:variant>
      <vt:variant>
        <vt:lpwstr>mailto:silviapuerta@live.com</vt:lpwstr>
      </vt:variant>
      <vt:variant>
        <vt:lpwstr/>
      </vt:variant>
      <vt:variant>
        <vt:i4>1376329</vt:i4>
      </vt:variant>
      <vt:variant>
        <vt:i4>12</vt:i4>
      </vt:variant>
      <vt:variant>
        <vt:i4>0</vt:i4>
      </vt:variant>
      <vt:variant>
        <vt:i4>5</vt:i4>
      </vt:variant>
      <vt:variant>
        <vt:lpwstr>https://leyes.senado.gov.co/proyectos/index.php/proyectos-ley/cuatrenio-2018-2022/2020-2021/article/200-por-el-cual-se-regula-la-organizacion-y-el-funcionamiento-del-sistema-general-de-regalias-mensaje-de-urgencia</vt:lpwstr>
      </vt:variant>
      <vt:variant>
        <vt:lpwstr/>
      </vt:variant>
      <vt:variant>
        <vt:i4>65552</vt:i4>
      </vt:variant>
      <vt:variant>
        <vt:i4>9</vt:i4>
      </vt:variant>
      <vt:variant>
        <vt:i4>0</vt:i4>
      </vt:variant>
      <vt:variant>
        <vt:i4>5</vt:i4>
      </vt:variant>
      <vt:variant>
        <vt:lpwstr>http://www.secretariasenado.gov.co/senado/basedoc/ley_2056_2020.html</vt:lpwstr>
      </vt:variant>
      <vt:variant>
        <vt:lpwstr>36</vt:lpwstr>
      </vt:variant>
      <vt:variant>
        <vt:i4>131088</vt:i4>
      </vt:variant>
      <vt:variant>
        <vt:i4>6</vt:i4>
      </vt:variant>
      <vt:variant>
        <vt:i4>0</vt:i4>
      </vt:variant>
      <vt:variant>
        <vt:i4>5</vt:i4>
      </vt:variant>
      <vt:variant>
        <vt:lpwstr>http://www.secretariasenado.gov.co/senado/basedoc/ley_2056_2020.html</vt:lpwstr>
      </vt:variant>
      <vt:variant>
        <vt:lpwstr>35</vt:lpwstr>
      </vt:variant>
      <vt:variant>
        <vt:i4>65552</vt:i4>
      </vt:variant>
      <vt:variant>
        <vt:i4>3</vt:i4>
      </vt:variant>
      <vt:variant>
        <vt:i4>0</vt:i4>
      </vt:variant>
      <vt:variant>
        <vt:i4>5</vt:i4>
      </vt:variant>
      <vt:variant>
        <vt:lpwstr>http://www.secretariasenado.gov.co/senado/basedoc/ley_2056_2020.html</vt:lpwstr>
      </vt:variant>
      <vt:variant>
        <vt:lpwstr>36</vt:lpwstr>
      </vt:variant>
      <vt:variant>
        <vt:i4>131088</vt:i4>
      </vt:variant>
      <vt:variant>
        <vt:i4>0</vt:i4>
      </vt:variant>
      <vt:variant>
        <vt:i4>0</vt:i4>
      </vt:variant>
      <vt:variant>
        <vt:i4>5</vt:i4>
      </vt:variant>
      <vt:variant>
        <vt:lpwstr>http://www.secretariasenado.gov.co/senado/basedoc/ley_2056_2020.html</vt:lpwstr>
      </vt:variant>
      <vt:variant>
        <vt:lpwstr>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2</cp:revision>
  <dcterms:created xsi:type="dcterms:W3CDTF">2026-07-21T19:02:00Z</dcterms:created>
  <dcterms:modified xsi:type="dcterms:W3CDTF">2026-07-21T19:02:00Z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