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3FC186" w14:textId="1CB0C6BC" w:rsidR="001C5F37" w:rsidRPr="001C5F37" w:rsidRDefault="001C5F37" w:rsidP="001C5F37">
      <w:pPr>
        <w:spacing w:after="0"/>
        <w:jc w:val="both"/>
        <w:rPr>
          <w:rFonts w:ascii="Verdana" w:eastAsia="Verdana" w:hAnsi="Verdana" w:cs="Verdana"/>
        </w:rPr>
      </w:pPr>
      <w:bookmarkStart w:id="0" w:name="_Hlk143780582"/>
      <w:r w:rsidRPr="001C5F37">
        <w:rPr>
          <w:rFonts w:ascii="Verdana" w:eastAsia="Calibri" w:hAnsi="Verdana" w:cs="Arial"/>
          <w:b/>
          <w:bCs/>
          <w:lang w:val="es-ES" w:eastAsia="es-ES"/>
        </w:rPr>
        <w:t>DOCUMENTOS TIPO DE INFRAESTRUCTURA SOCIAL – Generalidades</w:t>
      </w:r>
    </w:p>
    <w:p w14:paraId="76EFEE55" w14:textId="77777777" w:rsidR="001C5F37" w:rsidRPr="001C5F37" w:rsidRDefault="001C5F37" w:rsidP="001C5F37">
      <w:pPr>
        <w:shd w:val="clear" w:color="auto" w:fill="FFFFFF"/>
        <w:spacing w:after="0" w:line="276" w:lineRule="auto"/>
        <w:contextualSpacing/>
        <w:jc w:val="both"/>
        <w:rPr>
          <w:rFonts w:ascii="Verdana" w:eastAsia="Calibri" w:hAnsi="Verdana" w:cs="Arial"/>
          <w:b/>
          <w:bCs/>
          <w:lang w:val="es-ES" w:eastAsia="es-ES"/>
        </w:rPr>
      </w:pPr>
    </w:p>
    <w:p w14:paraId="6D972EFF" w14:textId="69B32FC2" w:rsidR="001C5F37" w:rsidRPr="00CD7972" w:rsidRDefault="00FD4BB5" w:rsidP="00CD7972">
      <w:pPr>
        <w:snapToGrid w:val="0"/>
        <w:spacing w:after="0" w:line="240" w:lineRule="auto"/>
        <w:jc w:val="both"/>
        <w:rPr>
          <w:rFonts w:ascii="Verdana" w:eastAsia="Calibri" w:hAnsi="Verdana" w:cs="Times New Roman"/>
          <w:sz w:val="20"/>
          <w:szCs w:val="20"/>
          <w:lang w:val="es-ES" w:eastAsia="es-MX"/>
        </w:rPr>
      </w:pPr>
      <w:r w:rsidRPr="00CD7972">
        <w:rPr>
          <w:rFonts w:ascii="Verdana" w:eastAsia="Calibri" w:hAnsi="Verdana" w:cs="Times New Roman"/>
          <w:sz w:val="20"/>
          <w:szCs w:val="20"/>
          <w:lang w:val="es-ES" w:eastAsia="es-MX"/>
        </w:rPr>
        <w:t xml:space="preserve">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 </w:t>
      </w:r>
    </w:p>
    <w:p w14:paraId="5BF2D576" w14:textId="77777777" w:rsidR="001C5F37" w:rsidRPr="00CD7972" w:rsidRDefault="001C5F37" w:rsidP="00CD7972">
      <w:pPr>
        <w:snapToGrid w:val="0"/>
        <w:spacing w:after="0" w:line="240" w:lineRule="auto"/>
        <w:jc w:val="both"/>
        <w:rPr>
          <w:rFonts w:ascii="Verdana" w:eastAsia="Calibri" w:hAnsi="Verdana" w:cs="Times New Roman"/>
          <w:sz w:val="20"/>
          <w:szCs w:val="20"/>
          <w:lang w:val="es-ES" w:eastAsia="es-MX"/>
        </w:rPr>
      </w:pPr>
      <w:r w:rsidRPr="00CD7972">
        <w:rPr>
          <w:rFonts w:ascii="Verdana" w:eastAsia="Arial MT" w:hAnsi="Verdana" w:cs="Arial MT"/>
          <w:sz w:val="20"/>
          <w:szCs w:val="20"/>
          <w:lang w:val="es-ES" w:eastAsia="es-MX"/>
        </w:rPr>
        <w:t>[…]</w:t>
      </w:r>
    </w:p>
    <w:p w14:paraId="1A96402F" w14:textId="77777777" w:rsidR="00FD4BB5" w:rsidRPr="00CD7972" w:rsidRDefault="00FD4BB5" w:rsidP="00CD7972">
      <w:pPr>
        <w:snapToGrid w:val="0"/>
        <w:spacing w:after="0" w:line="240" w:lineRule="auto"/>
        <w:jc w:val="both"/>
        <w:rPr>
          <w:rFonts w:ascii="Verdana" w:eastAsia="Calibri" w:hAnsi="Verdana" w:cs="Times New Roman"/>
          <w:sz w:val="20"/>
          <w:szCs w:val="20"/>
          <w:lang w:val="es-ES" w:eastAsia="es-MX"/>
        </w:rPr>
      </w:pPr>
      <w:r w:rsidRPr="00CD7972">
        <w:rPr>
          <w:rFonts w:ascii="Verdana" w:eastAsia="Calibri" w:hAnsi="Verdana" w:cs="Times New Roman"/>
          <w:sz w:val="20"/>
          <w:szCs w:val="20"/>
          <w:lang w:val="es-ES" w:eastAsia="es-MX"/>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62060EAA" w14:textId="77777777" w:rsidR="001C5F37" w:rsidRPr="001C5F37" w:rsidRDefault="001C5F37" w:rsidP="001C5F37">
      <w:pPr>
        <w:shd w:val="clear" w:color="auto" w:fill="FFFFFF"/>
        <w:spacing w:after="0" w:line="276" w:lineRule="auto"/>
        <w:contextualSpacing/>
        <w:jc w:val="both"/>
        <w:rPr>
          <w:rFonts w:ascii="Verdana" w:eastAsia="Calibri" w:hAnsi="Verdana" w:cs="Arial"/>
          <w:b/>
          <w:bCs/>
          <w:lang w:val="es-ES" w:eastAsia="es-ES"/>
        </w:rPr>
      </w:pPr>
    </w:p>
    <w:p w14:paraId="1D6D7E6E" w14:textId="77777777" w:rsidR="001C5F37" w:rsidRPr="001C5F37" w:rsidRDefault="001C5F37" w:rsidP="001C5F37">
      <w:pPr>
        <w:shd w:val="clear" w:color="auto" w:fill="FFFFFF"/>
        <w:spacing w:after="0" w:line="276" w:lineRule="auto"/>
        <w:contextualSpacing/>
        <w:jc w:val="both"/>
        <w:rPr>
          <w:rFonts w:ascii="Verdana" w:eastAsia="Calibri" w:hAnsi="Verdana" w:cs="Arial"/>
          <w:b/>
          <w:bCs/>
          <w:lang w:val="es-ES" w:eastAsia="es-ES"/>
        </w:rPr>
      </w:pPr>
      <w:r w:rsidRPr="001C5F37">
        <w:rPr>
          <w:rFonts w:ascii="Verdana" w:eastAsia="Calibri" w:hAnsi="Verdana" w:cs="Arial"/>
          <w:b/>
          <w:bCs/>
          <w:lang w:val="es-ES" w:eastAsia="es-ES"/>
        </w:rPr>
        <w:t xml:space="preserve">DOCUMENTOS TIPO DE INFRAESTRUCTURA SOCIAL – Aplicación – Matriz 1 – Determinación de la experiencia  </w:t>
      </w:r>
    </w:p>
    <w:p w14:paraId="0C98004E" w14:textId="77777777" w:rsidR="001C5F37" w:rsidRPr="001C5F37" w:rsidRDefault="001C5F37" w:rsidP="001C5F37">
      <w:pPr>
        <w:shd w:val="clear" w:color="auto" w:fill="FFFFFF"/>
        <w:spacing w:after="0" w:line="276" w:lineRule="auto"/>
        <w:contextualSpacing/>
        <w:jc w:val="both"/>
        <w:rPr>
          <w:rFonts w:ascii="Verdana" w:eastAsia="Calibri" w:hAnsi="Verdana" w:cs="Arial"/>
          <w:b/>
          <w:lang w:val="es-MX" w:eastAsia="es-ES_tradnl"/>
        </w:rPr>
      </w:pPr>
    </w:p>
    <w:p w14:paraId="6A3C7571" w14:textId="77777777" w:rsidR="00561D7E" w:rsidRDefault="00561D7E" w:rsidP="00CD7972">
      <w:pPr>
        <w:adjustRightInd w:val="0"/>
        <w:snapToGrid w:val="0"/>
        <w:spacing w:after="0" w:line="240" w:lineRule="auto"/>
        <w:jc w:val="both"/>
        <w:rPr>
          <w:rFonts w:ascii="Verdana" w:eastAsia="Calibri" w:hAnsi="Verdana" w:cs="Times New Roman"/>
          <w:sz w:val="20"/>
          <w:szCs w:val="20"/>
          <w:lang w:eastAsia="es-MX"/>
        </w:rPr>
      </w:pPr>
      <w:r w:rsidRPr="00CD7972">
        <w:rPr>
          <w:rFonts w:ascii="Verdana" w:eastAsia="Calibri" w:hAnsi="Verdana" w:cs="Times New Roman"/>
          <w:sz w:val="20"/>
          <w:szCs w:val="20"/>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habilitante de experiencia, de acuerdo con: i) el tipo de obra de infraestructura social, </w:t>
      </w:r>
      <w:proofErr w:type="spellStart"/>
      <w:r w:rsidRPr="00CD7972">
        <w:rPr>
          <w:rFonts w:ascii="Verdana" w:eastAsia="Calibri" w:hAnsi="Verdana" w:cs="Times New Roman"/>
          <w:sz w:val="20"/>
          <w:szCs w:val="20"/>
          <w:lang w:eastAsia="es-MX"/>
        </w:rPr>
        <w:t>ii</w:t>
      </w:r>
      <w:proofErr w:type="spellEnd"/>
      <w:r w:rsidRPr="00CD7972">
        <w:rPr>
          <w:rFonts w:ascii="Verdana" w:eastAsia="Calibri" w:hAnsi="Verdana" w:cs="Times New Roman"/>
          <w:sz w:val="20"/>
          <w:szCs w:val="20"/>
          <w:lang w:eastAsia="es-MX"/>
        </w:rPr>
        <w:t xml:space="preserve">) la actividad a contratar y </w:t>
      </w:r>
      <w:proofErr w:type="spellStart"/>
      <w:r w:rsidRPr="00CD7972">
        <w:rPr>
          <w:rFonts w:ascii="Verdana" w:eastAsia="Calibri" w:hAnsi="Verdana" w:cs="Times New Roman"/>
          <w:sz w:val="20"/>
          <w:szCs w:val="20"/>
          <w:lang w:eastAsia="es-MX"/>
        </w:rPr>
        <w:t>iii</w:t>
      </w:r>
      <w:proofErr w:type="spellEnd"/>
      <w:r w:rsidRPr="00CD7972">
        <w:rPr>
          <w:rFonts w:ascii="Verdana" w:eastAsia="Calibri" w:hAnsi="Verdana" w:cs="Times New Roman"/>
          <w:sz w:val="20"/>
          <w:szCs w:val="20"/>
          <w:lang w:eastAsia="es-MX"/>
        </w:rPr>
        <w:t>) la cuantía del proceso de contratación.</w:t>
      </w:r>
    </w:p>
    <w:p w14:paraId="02DD8676" w14:textId="77777777" w:rsidR="00CD7972" w:rsidRPr="00CD7972" w:rsidRDefault="00CD7972" w:rsidP="00CD7972">
      <w:pPr>
        <w:adjustRightInd w:val="0"/>
        <w:snapToGrid w:val="0"/>
        <w:spacing w:after="0" w:line="240" w:lineRule="auto"/>
        <w:jc w:val="both"/>
        <w:rPr>
          <w:rFonts w:ascii="Verdana" w:eastAsia="Calibri" w:hAnsi="Verdana" w:cs="Times New Roman"/>
          <w:sz w:val="20"/>
          <w:szCs w:val="20"/>
          <w:lang w:eastAsia="es-MX"/>
        </w:rPr>
      </w:pPr>
    </w:p>
    <w:p w14:paraId="2C7251E9" w14:textId="77777777" w:rsidR="00561D7E" w:rsidRPr="00CD7972" w:rsidRDefault="00561D7E" w:rsidP="00CD7972">
      <w:pPr>
        <w:spacing w:after="0" w:line="240" w:lineRule="auto"/>
        <w:jc w:val="both"/>
        <w:rPr>
          <w:rFonts w:ascii="Verdana" w:eastAsia="Aptos" w:hAnsi="Verdana" w:cs="Times New Roman"/>
          <w:kern w:val="2"/>
          <w:sz w:val="20"/>
          <w:szCs w:val="20"/>
          <w14:ligatures w14:val="standardContextual"/>
        </w:rPr>
      </w:pPr>
      <w:r w:rsidRPr="00CD7972">
        <w:rPr>
          <w:rFonts w:ascii="Verdana" w:eastAsia="Aptos" w:hAnsi="Verdana" w:cs="Times New Roman"/>
          <w:kern w:val="2"/>
          <w:sz w:val="20"/>
          <w:szCs w:val="20"/>
          <w14:ligatures w14:val="standardContextual"/>
        </w:rPr>
        <w:t>Además, estas matrices constan de unas celdas en las que se describe la experiencia requerida en relación con el objeto a contratar, definiendo además qué tipo de actividades relacionadas con cada sector deben acogerse a los pliegos tipo. Por otro lado, se encuentra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333DBBA4" w14:textId="77777777" w:rsidR="001C5F37" w:rsidRPr="001C5F37" w:rsidRDefault="001C5F37" w:rsidP="001C5F37">
      <w:pPr>
        <w:spacing w:after="0" w:line="276" w:lineRule="auto"/>
        <w:jc w:val="both"/>
        <w:rPr>
          <w:rFonts w:ascii="Verdana" w:eastAsia="Arial" w:hAnsi="Verdana" w:cs="Calibri"/>
          <w:lang w:eastAsia="es-ES"/>
        </w:rPr>
      </w:pPr>
    </w:p>
    <w:p w14:paraId="1D5D3A62" w14:textId="77777777" w:rsidR="00CD7972" w:rsidRDefault="001C5F37" w:rsidP="00CD7972">
      <w:pPr>
        <w:snapToGrid w:val="0"/>
        <w:spacing w:after="0" w:line="276" w:lineRule="auto"/>
        <w:jc w:val="both"/>
        <w:rPr>
          <w:rFonts w:ascii="Verdana" w:eastAsia="Aptos" w:hAnsi="Verdana" w:cs="Times New Roman"/>
          <w:b/>
          <w:bCs/>
          <w:lang w:eastAsia="es-MX"/>
        </w:rPr>
      </w:pPr>
      <w:r w:rsidRPr="001C5F37">
        <w:rPr>
          <w:rFonts w:ascii="Verdana" w:eastAsia="Aptos" w:hAnsi="Verdana" w:cs="Times New Roman"/>
          <w:b/>
          <w:bCs/>
          <w:lang w:eastAsia="es-MX"/>
        </w:rPr>
        <w:t xml:space="preserve">DOCUMENTOS TIPO DE INFRAESTRUCTURA SOCIAL – Sector institucional – Actividades de instalación y suministro de dotación o mobiliario – Aplicación </w:t>
      </w:r>
    </w:p>
    <w:p w14:paraId="2C77406A" w14:textId="77777777" w:rsidR="00CD7972" w:rsidRDefault="00CD7972" w:rsidP="00CD7972">
      <w:pPr>
        <w:snapToGrid w:val="0"/>
        <w:spacing w:after="0" w:line="276" w:lineRule="auto"/>
        <w:jc w:val="both"/>
        <w:rPr>
          <w:rFonts w:ascii="Verdana" w:eastAsia="Aptos" w:hAnsi="Verdana" w:cs="Times New Roman"/>
          <w:b/>
          <w:bCs/>
          <w:lang w:eastAsia="es-MX"/>
        </w:rPr>
      </w:pPr>
    </w:p>
    <w:p w14:paraId="365724A0" w14:textId="1C95735C" w:rsidR="00CD7972" w:rsidRPr="00CD7972" w:rsidRDefault="001C5F37" w:rsidP="00CD7972">
      <w:pPr>
        <w:snapToGrid w:val="0"/>
        <w:spacing w:after="0" w:line="276" w:lineRule="auto"/>
        <w:jc w:val="both"/>
        <w:rPr>
          <w:rFonts w:ascii="Verdana" w:eastAsia="Aptos" w:hAnsi="Verdana" w:cs="Times New Roman"/>
          <w:b/>
          <w:bCs/>
          <w:lang w:eastAsia="es-MX"/>
        </w:rPr>
      </w:pPr>
      <w:r w:rsidRPr="00CD7972">
        <w:rPr>
          <w:rFonts w:ascii="Verdana" w:eastAsia="Aptos" w:hAnsi="Verdana" w:cs="Times New Roman"/>
          <w:kern w:val="2"/>
          <w:sz w:val="20"/>
          <w:szCs w:val="20"/>
          <w14:ligatures w14:val="standardContextual"/>
        </w:rPr>
        <w:lastRenderedPageBreak/>
        <w:t xml:space="preserve">[…] </w:t>
      </w:r>
      <w:r w:rsidR="00CD7972" w:rsidRPr="00CD7972">
        <w:rPr>
          <w:rFonts w:ascii="Verdana" w:eastAsia="Aptos" w:hAnsi="Verdana" w:cs="Times New Roman"/>
          <w:kern w:val="2"/>
          <w:sz w:val="20"/>
          <w:szCs w:val="20"/>
          <w14:ligatures w14:val="standardContextual"/>
        </w:rPr>
        <w:t>conviene señalar que, el alcance de la actividad a contratar de la matriz de experiencia del sector social para el subsector Institucional identificada con como la 2.11. implementada para “</w:t>
      </w:r>
      <w:r w:rsidR="00CD7972" w:rsidRPr="00CD7972">
        <w:rPr>
          <w:rFonts w:ascii="Verdana" w:eastAsia="Aptos" w:hAnsi="Verdana" w:cs="Times New Roman"/>
          <w:i/>
          <w:iCs/>
          <w:kern w:val="2"/>
          <w:sz w:val="20"/>
          <w:szCs w:val="20"/>
          <w14:ligatures w14:val="standardContextual"/>
        </w:rPr>
        <w:t>suministro y/o instalación de dotación y/o de mobiliario interno o externo para infraestructura de servicio público</w:t>
      </w:r>
      <w:r w:rsidR="00CD7972" w:rsidRPr="00CD7972">
        <w:rPr>
          <w:rFonts w:ascii="Verdana" w:eastAsia="Aptos" w:hAnsi="Verdana" w:cs="Times New Roman"/>
          <w:kern w:val="2"/>
          <w:sz w:val="20"/>
          <w:szCs w:val="20"/>
          <w14:ligatures w14:val="standardContextual"/>
        </w:rPr>
        <w:t>”, determina para acreditar la experiencia general, que se presenten proyectos que correspondan y/o contemplen actividades de suministro y/o instalación de dotación y/o de mobiliario interno o externo para edificaciones y como experiencia especifica; además, exige que los proponentes acrediten que por lo menos uno (1) de los contratos válidos aportados como experiencia general corresponda al 30% del presupuesto oficial del proceso de selección.</w:t>
      </w:r>
    </w:p>
    <w:p w14:paraId="686E28E9" w14:textId="3ED0291D" w:rsidR="00CD7972" w:rsidRPr="00CD7972" w:rsidRDefault="00CD7972" w:rsidP="00CD7972">
      <w:pPr>
        <w:spacing w:after="0" w:line="240" w:lineRule="auto"/>
        <w:jc w:val="both"/>
        <w:rPr>
          <w:rFonts w:ascii="Verdana" w:eastAsia="Aptos" w:hAnsi="Verdana" w:cs="Times New Roman"/>
          <w:kern w:val="2"/>
          <w:sz w:val="20"/>
          <w:szCs w:val="20"/>
          <w14:ligatures w14:val="standardContextual"/>
        </w:rPr>
      </w:pPr>
    </w:p>
    <w:p w14:paraId="4824E9B0" w14:textId="77777777" w:rsidR="00CD7972" w:rsidRDefault="00CD7972" w:rsidP="00CD7972">
      <w:pPr>
        <w:spacing w:after="0" w:line="240" w:lineRule="auto"/>
        <w:jc w:val="both"/>
        <w:rPr>
          <w:rFonts w:ascii="Verdana" w:eastAsia="Aptos" w:hAnsi="Verdana" w:cs="Times New Roman"/>
          <w:kern w:val="2"/>
          <w:sz w:val="20"/>
          <w:szCs w:val="20"/>
          <w14:ligatures w14:val="standardContextual"/>
        </w:rPr>
      </w:pPr>
      <w:r w:rsidRPr="00CD7972">
        <w:rPr>
          <w:rFonts w:ascii="Verdana" w:eastAsia="Aptos" w:hAnsi="Verdana" w:cs="Times New Roman"/>
          <w:kern w:val="2"/>
          <w:sz w:val="20"/>
          <w:szCs w:val="20"/>
          <w14:ligatures w14:val="standardContextual"/>
        </w:rPr>
        <w:t>Sobre este tipo de experiencia, debe advertirse que la misma debe interpretarse como una actividad o tipo de experiencia que una Entidad puede solicitar, para que sea acreditada por los proponentes dentro de un proceso de contratación del sector de infraestructura social. Sin embargo, su incorporación dentro de la matriz de experiencia del sector Institucional no significa, por sí sola, que todo contrato cuyo objeto solo sea suministrar e instalar mobiliario interno o externo para infraestructura de servicio público, quede automáticamente sometido a los Documentos Tipo.  Es decir que la presencia de actividades de suministro e instalación dentro de las matrices de experiencia no implica que dichas actividades, consideradas aisladamente, constituyan necesariamente contratos de obra pública, ni que siempre deban acogerse a la aplicación de los Documentos Tipo.</w:t>
      </w:r>
    </w:p>
    <w:p w14:paraId="12DDA22C" w14:textId="77777777" w:rsidR="00CD7972" w:rsidRPr="00CD7972" w:rsidRDefault="00CD7972" w:rsidP="00CD7972">
      <w:pPr>
        <w:spacing w:after="0" w:line="240" w:lineRule="auto"/>
        <w:jc w:val="both"/>
        <w:rPr>
          <w:rFonts w:ascii="Verdana" w:eastAsia="Aptos" w:hAnsi="Verdana" w:cs="Times New Roman"/>
          <w:kern w:val="2"/>
          <w:sz w:val="20"/>
          <w:szCs w:val="20"/>
          <w14:ligatures w14:val="standardContextual"/>
        </w:rPr>
      </w:pPr>
    </w:p>
    <w:p w14:paraId="4B25DD6D" w14:textId="77777777" w:rsidR="00CD7972" w:rsidRPr="00CD7972" w:rsidRDefault="00CD7972" w:rsidP="00CD7972">
      <w:pPr>
        <w:spacing w:after="0" w:line="240" w:lineRule="auto"/>
        <w:jc w:val="both"/>
        <w:rPr>
          <w:rFonts w:ascii="Verdana" w:eastAsia="Aptos" w:hAnsi="Verdana" w:cs="Times New Roman"/>
          <w:kern w:val="2"/>
          <w:sz w:val="20"/>
          <w:szCs w:val="20"/>
          <w14:ligatures w14:val="standardContextual"/>
        </w:rPr>
      </w:pPr>
      <w:r w:rsidRPr="00CD7972">
        <w:rPr>
          <w:rFonts w:ascii="Verdana" w:eastAsia="Aptos" w:hAnsi="Verdana" w:cs="Times New Roman"/>
          <w:kern w:val="2"/>
          <w:sz w:val="20"/>
          <w:szCs w:val="20"/>
          <w14:ligatures w14:val="standardContextual"/>
        </w:rPr>
        <w:t>Por lo tanto, la inclusión de la actividad a contratar 2.11 de la matriz de experiencia del sector social – Institucional, debe analizarse en conjunto con el objeto del proceso y con la finalidad de la contratación. Si el suministro e instalación del mobiliario, bien sea interior o exterior, forma parte de un proyecto de infraestructura social o de una intervención sobre una edificación pública comprendida dentro del ámbito de aplicación de las resoluciones expedidas por Colombia Compra Eficiente, la entidad podría encontrarse con un proceso sujeto a los Documentos Tipo. En cambio, si el objeto contractual consiste exclusivamente en la adquisición, suministro e instalación de mobiliario, sin que exista una intervención relevante sobre la infraestructura, no puede concluirse automáticamente que el proceso esté sometido a dichos documentos.</w:t>
      </w:r>
    </w:p>
    <w:p w14:paraId="7AB0EBB0" w14:textId="06AC8C4C" w:rsidR="001C5F37" w:rsidRPr="001C5F37" w:rsidRDefault="001C5F37" w:rsidP="00CD7972">
      <w:pPr>
        <w:spacing w:after="0" w:line="240" w:lineRule="auto"/>
        <w:jc w:val="both"/>
        <w:rPr>
          <w:rFonts w:ascii="Verdana" w:eastAsia="Aptos" w:hAnsi="Verdana" w:cs="Times New Roman"/>
          <w:kern w:val="2"/>
          <w:sz w:val="20"/>
          <w:szCs w:val="20"/>
          <w14:ligatures w14:val="standardContextual"/>
        </w:rPr>
      </w:pPr>
    </w:p>
    <w:p w14:paraId="704EC475" w14:textId="77777777" w:rsidR="001C5F37" w:rsidRPr="001C5F37" w:rsidRDefault="001C5F37" w:rsidP="001C5F37">
      <w:pPr>
        <w:autoSpaceDE w:val="0"/>
        <w:autoSpaceDN w:val="0"/>
        <w:adjustRightInd w:val="0"/>
        <w:spacing w:after="0" w:line="240" w:lineRule="auto"/>
        <w:jc w:val="both"/>
        <w:rPr>
          <w:rFonts w:ascii="Verdana" w:eastAsia="Times New Roman" w:hAnsi="Verdana" w:cs="Calibri"/>
          <w:sz w:val="20"/>
          <w:szCs w:val="20"/>
          <w:lang w:eastAsia="es-MX"/>
        </w:rPr>
      </w:pPr>
    </w:p>
    <w:p w14:paraId="18D3B0B8" w14:textId="77777777" w:rsidR="001C5F37" w:rsidRPr="001C5F37" w:rsidRDefault="001C5F37" w:rsidP="001C5F37">
      <w:pPr>
        <w:autoSpaceDE w:val="0"/>
        <w:autoSpaceDN w:val="0"/>
        <w:adjustRightInd w:val="0"/>
        <w:spacing w:after="0" w:line="240" w:lineRule="auto"/>
        <w:jc w:val="both"/>
        <w:rPr>
          <w:rFonts w:ascii="Verdana" w:eastAsia="Times New Roman" w:hAnsi="Verdana" w:cs="Calibri"/>
          <w:sz w:val="20"/>
          <w:szCs w:val="20"/>
          <w:lang w:eastAsia="es-MX"/>
        </w:rPr>
      </w:pPr>
    </w:p>
    <w:p w14:paraId="0C2F5232" w14:textId="77777777" w:rsidR="001C5F37" w:rsidRPr="001C5F37" w:rsidRDefault="001C5F37" w:rsidP="001C5F37">
      <w:pPr>
        <w:spacing w:after="0" w:line="240" w:lineRule="auto"/>
        <w:jc w:val="both"/>
        <w:rPr>
          <w:rFonts w:ascii="Verdana" w:eastAsia="Times New Roman" w:hAnsi="Verdana" w:cs="Calibri"/>
          <w:sz w:val="20"/>
          <w:szCs w:val="20"/>
          <w:lang w:eastAsia="es-MX"/>
        </w:rPr>
      </w:pPr>
    </w:p>
    <w:p w14:paraId="0E71095B" w14:textId="77777777" w:rsidR="001C5F37" w:rsidRPr="001C5F37" w:rsidRDefault="001C5F37" w:rsidP="001C5F37">
      <w:pPr>
        <w:snapToGrid w:val="0"/>
        <w:spacing w:after="0" w:line="240" w:lineRule="auto"/>
        <w:jc w:val="both"/>
        <w:rPr>
          <w:rFonts w:ascii="Verdana" w:eastAsia="Aptos" w:hAnsi="Verdana" w:cs="Aptos"/>
          <w:kern w:val="2"/>
          <w:sz w:val="20"/>
          <w:szCs w:val="20"/>
          <w:lang w:val="es-ES"/>
          <w14:ligatures w14:val="standardContextual"/>
        </w:rPr>
      </w:pPr>
    </w:p>
    <w:p w14:paraId="21809C96" w14:textId="77777777" w:rsidR="001C5F37" w:rsidRPr="001C5F37" w:rsidRDefault="001C5F37" w:rsidP="001C5F37">
      <w:pPr>
        <w:spacing w:after="0" w:line="240" w:lineRule="auto"/>
        <w:jc w:val="both"/>
        <w:rPr>
          <w:rFonts w:ascii="Verdana" w:eastAsia="Arial" w:hAnsi="Verdana" w:cs="Calibri"/>
          <w:sz w:val="20"/>
          <w:szCs w:val="20"/>
          <w:lang w:eastAsia="es-ES"/>
        </w:rPr>
      </w:pPr>
    </w:p>
    <w:p w14:paraId="5E03E6A1" w14:textId="77777777" w:rsidR="001C5F37" w:rsidRPr="001C5F37" w:rsidRDefault="001C5F37" w:rsidP="001C5F37">
      <w:pPr>
        <w:spacing w:after="0" w:line="240" w:lineRule="auto"/>
        <w:jc w:val="both"/>
        <w:rPr>
          <w:rFonts w:ascii="Verdana" w:eastAsia="Arial" w:hAnsi="Verdana" w:cs="Calibri"/>
          <w:sz w:val="20"/>
          <w:szCs w:val="20"/>
          <w:lang w:eastAsia="es-ES"/>
        </w:rPr>
      </w:pPr>
    </w:p>
    <w:p w14:paraId="56B39AE9" w14:textId="77777777" w:rsidR="001C5F37" w:rsidRPr="001C5F37" w:rsidRDefault="001C5F37" w:rsidP="001C5F37">
      <w:pPr>
        <w:spacing w:after="0" w:line="240" w:lineRule="auto"/>
        <w:jc w:val="both"/>
        <w:rPr>
          <w:rFonts w:ascii="Verdana" w:eastAsia="Calibri" w:hAnsi="Verdana" w:cs="Arial"/>
          <w:color w:val="000000"/>
          <w:sz w:val="20"/>
          <w:szCs w:val="20"/>
          <w:lang w:val="es-ES" w:eastAsia="es-MX"/>
        </w:rPr>
      </w:pPr>
    </w:p>
    <w:p w14:paraId="434AB01D" w14:textId="77777777" w:rsidR="001C5F37" w:rsidRPr="001C5F37" w:rsidRDefault="001C5F37" w:rsidP="001C5F37">
      <w:pPr>
        <w:spacing w:after="0" w:line="240" w:lineRule="auto"/>
        <w:jc w:val="both"/>
        <w:rPr>
          <w:rFonts w:ascii="Verdana" w:eastAsia="Calibri" w:hAnsi="Verdana" w:cs="Arial"/>
          <w:color w:val="000000"/>
          <w:sz w:val="20"/>
          <w:szCs w:val="20"/>
          <w:lang w:val="es-ES" w:eastAsia="es-MX"/>
        </w:rPr>
      </w:pPr>
    </w:p>
    <w:p w14:paraId="51BEA31C" w14:textId="77777777" w:rsidR="001C5F37" w:rsidRDefault="001C5F37" w:rsidP="001C5F37">
      <w:pPr>
        <w:spacing w:after="0" w:line="240" w:lineRule="auto"/>
        <w:jc w:val="both"/>
        <w:rPr>
          <w:rFonts w:ascii="Verdana" w:eastAsia="Calibri" w:hAnsi="Verdana" w:cs="Arial"/>
          <w:color w:val="000000"/>
          <w:sz w:val="20"/>
          <w:szCs w:val="20"/>
          <w:lang w:val="es-ES" w:eastAsia="es-MX"/>
        </w:rPr>
      </w:pPr>
    </w:p>
    <w:p w14:paraId="1C7840DC" w14:textId="77777777" w:rsidR="0081420A" w:rsidRPr="001C5F37" w:rsidRDefault="0081420A" w:rsidP="001C5F37">
      <w:pPr>
        <w:spacing w:after="0" w:line="240" w:lineRule="auto"/>
        <w:jc w:val="both"/>
        <w:rPr>
          <w:rFonts w:ascii="Verdana" w:eastAsia="Calibri" w:hAnsi="Verdana" w:cs="Arial"/>
          <w:color w:val="000000"/>
          <w:sz w:val="20"/>
          <w:szCs w:val="20"/>
          <w:lang w:val="es-ES" w:eastAsia="es-MX"/>
        </w:rPr>
      </w:pPr>
    </w:p>
    <w:p w14:paraId="0295958F" w14:textId="77777777" w:rsidR="001C5F37" w:rsidRDefault="001C5F37" w:rsidP="001C5F37">
      <w:pPr>
        <w:spacing w:after="0" w:line="240" w:lineRule="auto"/>
        <w:jc w:val="both"/>
        <w:rPr>
          <w:rFonts w:ascii="Verdana" w:eastAsia="Verdana" w:hAnsi="Verdana" w:cs="Verdana"/>
        </w:rPr>
      </w:pPr>
    </w:p>
    <w:p w14:paraId="4A361766" w14:textId="4FCEE780" w:rsidR="001C5F37" w:rsidRDefault="001C5F37" w:rsidP="001C5F37">
      <w:pPr>
        <w:spacing w:after="0" w:line="240" w:lineRule="auto"/>
        <w:jc w:val="both"/>
        <w:rPr>
          <w:rFonts w:ascii="Verdana" w:eastAsia="Verdana" w:hAnsi="Verdana" w:cs="Verdana"/>
        </w:rPr>
      </w:pPr>
      <w:r w:rsidRPr="30821638">
        <w:rPr>
          <w:rFonts w:ascii="Verdana" w:eastAsia="Verdana" w:hAnsi="Verdana" w:cs="Verdana"/>
        </w:rPr>
        <w:lastRenderedPageBreak/>
        <w:t>Bogotá D.C.,</w:t>
      </w:r>
      <w:r w:rsidR="003D121B">
        <w:rPr>
          <w:rFonts w:ascii="Verdana" w:eastAsia="Verdana" w:hAnsi="Verdana" w:cs="Verdana"/>
        </w:rPr>
        <w:t xml:space="preserve"> 30 Julio 2026</w:t>
      </w:r>
    </w:p>
    <w:p w14:paraId="3F973BFB" w14:textId="0F9CCB00" w:rsidR="001C5F37" w:rsidRPr="001C5F37" w:rsidRDefault="003D121B" w:rsidP="003D121B">
      <w:pPr>
        <w:spacing w:after="0" w:line="240" w:lineRule="auto"/>
        <w:jc w:val="right"/>
        <w:rPr>
          <w:rFonts w:ascii="Verdana" w:eastAsia="Calibri" w:hAnsi="Verdana" w:cs="Arial"/>
          <w:lang w:val="es-ES" w:eastAsia="es-ES"/>
        </w:rPr>
      </w:pPr>
      <w:r>
        <w:rPr>
          <w:rFonts w:ascii="Verdana" w:eastAsia="Calibri" w:hAnsi="Verdana" w:cs="Arial"/>
          <w:noProof/>
          <w:lang w:val="es-ES" w:eastAsia="es-ES"/>
        </w:rPr>
        <w:drawing>
          <wp:inline distT="0" distB="0" distL="0" distR="0" wp14:anchorId="0D248403" wp14:editId="4F94070B">
            <wp:extent cx="2145672" cy="622165"/>
            <wp:effectExtent l="0" t="0" r="635" b="635"/>
            <wp:docPr id="6926766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76683" name="Imagen 69267668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5732" cy="627982"/>
                    </a:xfrm>
                    <a:prstGeom prst="rect">
                      <a:avLst/>
                    </a:prstGeom>
                  </pic:spPr>
                </pic:pic>
              </a:graphicData>
            </a:graphic>
          </wp:inline>
        </w:drawing>
      </w:r>
    </w:p>
    <w:p w14:paraId="27E4EC65" w14:textId="77777777" w:rsidR="001C5F37" w:rsidRPr="001C5F37" w:rsidRDefault="001C5F37" w:rsidP="001C5F37">
      <w:pPr>
        <w:spacing w:after="0" w:line="240" w:lineRule="auto"/>
        <w:jc w:val="both"/>
        <w:rPr>
          <w:rFonts w:ascii="Verdana" w:eastAsia="Calibri" w:hAnsi="Verdana" w:cs="Arial"/>
          <w:lang w:val="es-ES" w:eastAsia="es-ES"/>
        </w:rPr>
      </w:pPr>
      <w:r w:rsidRPr="001C5F37">
        <w:rPr>
          <w:rFonts w:ascii="Verdana" w:eastAsia="Calibri" w:hAnsi="Verdana" w:cs="Arial"/>
          <w:lang w:val="es-ES" w:eastAsia="es-ES"/>
        </w:rPr>
        <w:t>Señor</w:t>
      </w:r>
    </w:p>
    <w:p w14:paraId="144DB1DD" w14:textId="77777777" w:rsidR="001C5F37" w:rsidRPr="001C5F37" w:rsidRDefault="001C5F37" w:rsidP="001C5F37">
      <w:pPr>
        <w:spacing w:after="0" w:line="240" w:lineRule="auto"/>
        <w:rPr>
          <w:rFonts w:ascii="Verdana" w:eastAsia="Calibri" w:hAnsi="Verdana" w:cs="Arial"/>
          <w:b/>
          <w:lang w:eastAsia="es-ES_tradnl"/>
        </w:rPr>
      </w:pPr>
      <w:proofErr w:type="spellStart"/>
      <w:r w:rsidRPr="001C5F37">
        <w:rPr>
          <w:rFonts w:ascii="Verdana" w:eastAsia="Calibri" w:hAnsi="Verdana" w:cs="Arial"/>
          <w:b/>
          <w:lang w:eastAsia="es-ES_tradnl"/>
        </w:rPr>
        <w:t>Sebastian</w:t>
      </w:r>
      <w:proofErr w:type="spellEnd"/>
      <w:r w:rsidRPr="001C5F37">
        <w:rPr>
          <w:rFonts w:ascii="Verdana" w:eastAsia="Calibri" w:hAnsi="Verdana" w:cs="Arial"/>
          <w:b/>
          <w:lang w:eastAsia="es-ES_tradnl"/>
        </w:rPr>
        <w:t xml:space="preserve"> Enrique Castaño David</w:t>
      </w:r>
    </w:p>
    <w:p w14:paraId="03AD3698" w14:textId="77777777" w:rsidR="001C5F37" w:rsidRPr="001C5F37" w:rsidRDefault="001C5F37" w:rsidP="001C5F37">
      <w:pPr>
        <w:spacing w:after="0" w:line="240" w:lineRule="auto"/>
        <w:rPr>
          <w:rFonts w:ascii="Verdana" w:eastAsia="Calibri" w:hAnsi="Verdana" w:cs="Arial"/>
          <w:b/>
          <w:bCs/>
          <w:lang w:val="es-ES" w:eastAsia="es-ES"/>
        </w:rPr>
      </w:pPr>
      <w:r w:rsidRPr="001C5F37">
        <w:rPr>
          <w:rFonts w:ascii="Verdana" w:eastAsia="Calibri" w:hAnsi="Verdana" w:cs="Arial"/>
          <w:lang w:val="es-ES" w:eastAsia="es-ES"/>
        </w:rPr>
        <w:t>Armenia, Quindío</w:t>
      </w:r>
    </w:p>
    <w:p w14:paraId="27140763" w14:textId="77777777" w:rsidR="001C5F37" w:rsidRPr="001C5F37" w:rsidRDefault="001C5F37" w:rsidP="001C5F37">
      <w:pPr>
        <w:spacing w:after="0" w:line="240" w:lineRule="auto"/>
        <w:rPr>
          <w:rFonts w:ascii="Verdana" w:eastAsia="Calibri" w:hAnsi="Verdana" w:cs="Arial"/>
          <w:b/>
          <w:bCs/>
          <w:lang w:eastAsia="es-ES_tradnl"/>
        </w:rPr>
      </w:pPr>
    </w:p>
    <w:p w14:paraId="466C3436" w14:textId="77777777" w:rsidR="001C5F37" w:rsidRPr="001C5F37" w:rsidRDefault="001C5F37" w:rsidP="001C5F37">
      <w:pPr>
        <w:spacing w:after="0" w:line="240" w:lineRule="auto"/>
        <w:rPr>
          <w:rFonts w:ascii="Verdana" w:eastAsia="Calibri" w:hAnsi="Verdana" w:cs="Arial"/>
          <w:b/>
          <w:bCs/>
          <w:lang w:eastAsia="es-ES_tradnl"/>
        </w:rPr>
      </w:pPr>
    </w:p>
    <w:tbl>
      <w:tblPr>
        <w:tblStyle w:val="Tablaconcuadrcula1"/>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1C5F37" w:rsidRPr="001C5F37" w14:paraId="41C9BFC8" w14:textId="77777777" w:rsidTr="001D686A">
        <w:trPr>
          <w:trHeight w:val="884"/>
        </w:trPr>
        <w:tc>
          <w:tcPr>
            <w:tcW w:w="2689" w:type="dxa"/>
          </w:tcPr>
          <w:p w14:paraId="401BCDE4" w14:textId="77777777" w:rsidR="001C5F37" w:rsidRPr="001C5F37" w:rsidRDefault="001C5F37" w:rsidP="001C5F37">
            <w:pPr>
              <w:spacing w:line="240" w:lineRule="exact"/>
              <w:jc w:val="both"/>
              <w:rPr>
                <w:rFonts w:ascii="Verdana" w:eastAsia="Calibri" w:hAnsi="Verdana" w:cs="Arial"/>
                <w:b/>
                <w:bCs/>
                <w:lang w:eastAsia="es-ES_tradnl"/>
              </w:rPr>
            </w:pPr>
          </w:p>
        </w:tc>
        <w:tc>
          <w:tcPr>
            <w:tcW w:w="6100" w:type="dxa"/>
          </w:tcPr>
          <w:p w14:paraId="05B6683E" w14:textId="77777777" w:rsidR="001C5F37" w:rsidRPr="001C5F37" w:rsidRDefault="001C5F37" w:rsidP="001C5F37">
            <w:pPr>
              <w:spacing w:line="240" w:lineRule="exact"/>
              <w:jc w:val="both"/>
              <w:rPr>
                <w:rFonts w:ascii="Verdana" w:eastAsia="Calibri" w:hAnsi="Verdana" w:cs="Arial"/>
                <w:b/>
                <w:bCs/>
                <w:lang w:val="es-ES" w:eastAsia="es-ES"/>
              </w:rPr>
            </w:pPr>
            <w:r w:rsidRPr="001C5F37">
              <w:rPr>
                <w:rFonts w:ascii="Verdana" w:eastAsia="Calibri" w:hAnsi="Verdana" w:cs="Arial"/>
                <w:b/>
                <w:bCs/>
                <w:lang w:val="es-ES" w:eastAsia="es-ES"/>
              </w:rPr>
              <w:t>Concepto C – 1041 de 2026</w:t>
            </w:r>
          </w:p>
        </w:tc>
      </w:tr>
      <w:tr w:rsidR="001C5F37" w:rsidRPr="001C5F37" w14:paraId="1E98E0E4" w14:textId="77777777" w:rsidTr="001D686A">
        <w:trPr>
          <w:trHeight w:val="884"/>
        </w:trPr>
        <w:tc>
          <w:tcPr>
            <w:tcW w:w="2689" w:type="dxa"/>
          </w:tcPr>
          <w:p w14:paraId="73CF2A67" w14:textId="77777777" w:rsidR="001C5F37" w:rsidRPr="001C5F37" w:rsidRDefault="001C5F37" w:rsidP="001C5F37">
            <w:pPr>
              <w:spacing w:line="240" w:lineRule="exact"/>
              <w:jc w:val="both"/>
              <w:rPr>
                <w:rFonts w:ascii="Verdana" w:eastAsia="Calibri" w:hAnsi="Verdana" w:cs="Arial"/>
                <w:lang w:eastAsia="es-ES_tradnl"/>
              </w:rPr>
            </w:pPr>
            <w:r w:rsidRPr="001C5F37">
              <w:rPr>
                <w:rFonts w:ascii="Verdana" w:eastAsia="Calibri" w:hAnsi="Verdana" w:cs="Arial"/>
                <w:b/>
                <w:lang w:eastAsia="es-ES_tradnl"/>
              </w:rPr>
              <w:t>Temas:</w:t>
            </w:r>
            <w:r w:rsidRPr="001C5F37">
              <w:rPr>
                <w:rFonts w:ascii="Verdana" w:eastAsia="Calibri" w:hAnsi="Verdana" w:cs="Arial"/>
                <w:lang w:eastAsia="es-ES_tradnl"/>
              </w:rPr>
              <w:t xml:space="preserve">                   </w:t>
            </w:r>
          </w:p>
        </w:tc>
        <w:tc>
          <w:tcPr>
            <w:tcW w:w="6100" w:type="dxa"/>
          </w:tcPr>
          <w:p w14:paraId="6D9AADF2" w14:textId="77777777" w:rsidR="001C5F37" w:rsidRPr="001C5F37" w:rsidRDefault="001C5F37" w:rsidP="001C5F37">
            <w:pPr>
              <w:snapToGrid w:val="0"/>
              <w:spacing w:line="276" w:lineRule="auto"/>
              <w:jc w:val="both"/>
              <w:rPr>
                <w:rFonts w:ascii="Verdana" w:eastAsia="Aptos" w:hAnsi="Verdana" w:cs="Times New Roman"/>
                <w:lang w:eastAsia="es-MX"/>
              </w:rPr>
            </w:pPr>
            <w:r w:rsidRPr="001C5F37">
              <w:rPr>
                <w:rFonts w:ascii="Verdana" w:eastAsia="Calibri" w:hAnsi="Verdana" w:cs="Arial"/>
                <w:lang w:val="es-ES" w:eastAsia="es-ES"/>
              </w:rPr>
              <w:t xml:space="preserve">DOCUMENTOS TIPO DE INFRAESTRUCTURA SOCIAL – Generalidades / DOCUMENTOS TIPO DE INFRAESTRUCTURA SOCIAL – Aplicación – Matriz 1 – Determinación de la experiencia / </w:t>
            </w:r>
            <w:r w:rsidRPr="001C5F37">
              <w:rPr>
                <w:rFonts w:ascii="Verdana" w:eastAsia="Aptos" w:hAnsi="Verdana" w:cs="Times New Roman"/>
                <w:lang w:eastAsia="es-MX"/>
              </w:rPr>
              <w:t xml:space="preserve">DOCUMENTOS TIPO DE INFRAESTRUCTURA SOCIAL – Sector institucional – Actividades de instalación y suministro de dotación o mobiliario – Aplicación </w:t>
            </w:r>
          </w:p>
          <w:p w14:paraId="621018EB" w14:textId="77777777" w:rsidR="001C5F37" w:rsidRPr="001C5F37" w:rsidRDefault="001C5F37" w:rsidP="001C5F37">
            <w:pPr>
              <w:shd w:val="clear" w:color="auto" w:fill="FFFFFF"/>
              <w:spacing w:line="276" w:lineRule="auto"/>
              <w:contextualSpacing/>
              <w:jc w:val="both"/>
              <w:rPr>
                <w:rFonts w:ascii="Verdana" w:eastAsia="Calibri" w:hAnsi="Verdana" w:cs="Arial"/>
                <w:highlight w:val="yellow"/>
                <w:lang w:val="es-ES" w:eastAsia="es-ES"/>
              </w:rPr>
            </w:pPr>
          </w:p>
        </w:tc>
      </w:tr>
      <w:tr w:rsidR="001C5F37" w:rsidRPr="001C5F37" w14:paraId="3E1059BB" w14:textId="77777777" w:rsidTr="001D686A">
        <w:tc>
          <w:tcPr>
            <w:tcW w:w="2689" w:type="dxa"/>
          </w:tcPr>
          <w:p w14:paraId="69F8456B" w14:textId="77777777" w:rsidR="001C5F37" w:rsidRPr="001C5F37" w:rsidRDefault="001C5F37" w:rsidP="001C5F37">
            <w:pPr>
              <w:spacing w:line="240" w:lineRule="exact"/>
              <w:jc w:val="both"/>
              <w:rPr>
                <w:rFonts w:ascii="Verdana" w:eastAsia="Calibri" w:hAnsi="Verdana" w:cs="Arial"/>
                <w:b/>
                <w:lang w:eastAsia="es-ES_tradnl"/>
              </w:rPr>
            </w:pPr>
            <w:r w:rsidRPr="001C5F37">
              <w:rPr>
                <w:rFonts w:ascii="Verdana" w:eastAsia="Calibri" w:hAnsi="Verdana" w:cs="Arial"/>
                <w:b/>
                <w:lang w:eastAsia="es-ES_tradnl"/>
              </w:rPr>
              <w:t>Radicación:</w:t>
            </w:r>
            <w:r w:rsidRPr="001C5F37">
              <w:rPr>
                <w:rFonts w:ascii="Verdana" w:eastAsia="Calibri" w:hAnsi="Verdana" w:cs="Arial"/>
                <w:lang w:eastAsia="es-ES_tradnl"/>
              </w:rPr>
              <w:t xml:space="preserve">               </w:t>
            </w:r>
          </w:p>
        </w:tc>
        <w:tc>
          <w:tcPr>
            <w:tcW w:w="6100" w:type="dxa"/>
          </w:tcPr>
          <w:p w14:paraId="748C1BB8" w14:textId="77777777" w:rsidR="001C5F37" w:rsidRPr="001C5F37" w:rsidRDefault="001C5F37" w:rsidP="001C5F37">
            <w:pPr>
              <w:spacing w:line="240" w:lineRule="exact"/>
              <w:jc w:val="both"/>
              <w:rPr>
                <w:rFonts w:ascii="Verdana" w:eastAsia="Calibri" w:hAnsi="Verdana" w:cs="Arial"/>
                <w:lang w:eastAsia="es-ES_tradnl"/>
              </w:rPr>
            </w:pPr>
            <w:r w:rsidRPr="001C5F37">
              <w:rPr>
                <w:rFonts w:ascii="Verdana" w:eastAsia="Calibri" w:hAnsi="Verdana" w:cs="Arial"/>
                <w:lang w:eastAsia="es-ES_tradnl"/>
              </w:rPr>
              <w:t>Respuesta a consulta con radicado No. 1_2026_06_30_008673</w:t>
            </w:r>
          </w:p>
        </w:tc>
      </w:tr>
    </w:tbl>
    <w:p w14:paraId="144F2664" w14:textId="77777777" w:rsidR="001C5F37" w:rsidRPr="001C5F37" w:rsidRDefault="001C5F37" w:rsidP="001C5F37">
      <w:pPr>
        <w:spacing w:after="0" w:line="240" w:lineRule="auto"/>
        <w:jc w:val="both"/>
        <w:rPr>
          <w:rFonts w:ascii="Verdana" w:eastAsia="Calibri" w:hAnsi="Verdana" w:cs="Arial"/>
          <w:lang w:eastAsia="es-ES_tradnl"/>
        </w:rPr>
      </w:pPr>
    </w:p>
    <w:p w14:paraId="3B807A6F" w14:textId="77777777" w:rsidR="001C5F37" w:rsidRPr="001C5F37" w:rsidRDefault="001C5F37" w:rsidP="001C5F37">
      <w:pPr>
        <w:spacing w:after="0" w:line="240" w:lineRule="auto"/>
        <w:jc w:val="both"/>
        <w:rPr>
          <w:rFonts w:ascii="Verdana" w:eastAsia="Calibri" w:hAnsi="Verdana" w:cs="Arial"/>
          <w:lang w:eastAsia="es-ES_tradnl"/>
        </w:rPr>
      </w:pPr>
    </w:p>
    <w:p w14:paraId="4AE5BF54" w14:textId="77777777" w:rsidR="001C5F37" w:rsidRPr="001C5F37" w:rsidRDefault="001C5F37" w:rsidP="001C5F37">
      <w:pPr>
        <w:spacing w:after="0" w:line="276" w:lineRule="auto"/>
        <w:jc w:val="both"/>
        <w:rPr>
          <w:rFonts w:ascii="Verdana" w:eastAsia="Calibri" w:hAnsi="Verdana" w:cs="Arial"/>
          <w:lang w:val="es-ES" w:eastAsia="es-ES"/>
        </w:rPr>
      </w:pPr>
      <w:r w:rsidRPr="001C5F37">
        <w:rPr>
          <w:rFonts w:ascii="Verdana" w:eastAsia="Calibri" w:hAnsi="Verdana" w:cs="Arial"/>
          <w:lang w:val="es-ES" w:eastAsia="es-ES"/>
        </w:rPr>
        <w:t xml:space="preserve">Estimado señor Castaño David: </w:t>
      </w:r>
    </w:p>
    <w:p w14:paraId="6AE9CC89" w14:textId="77777777" w:rsidR="001C5F37" w:rsidRPr="001C5F37" w:rsidRDefault="001C5F37" w:rsidP="001C5F37">
      <w:pPr>
        <w:tabs>
          <w:tab w:val="left" w:pos="3768"/>
        </w:tabs>
        <w:spacing w:after="0" w:line="276" w:lineRule="auto"/>
        <w:jc w:val="both"/>
        <w:rPr>
          <w:rFonts w:ascii="Verdana" w:eastAsia="Calibri" w:hAnsi="Verdana" w:cs="Arial"/>
          <w:lang w:val="es-ES" w:eastAsia="es-ES"/>
        </w:rPr>
      </w:pPr>
      <w:r w:rsidRPr="001C5F37">
        <w:rPr>
          <w:rFonts w:ascii="Verdana" w:eastAsia="Calibri" w:hAnsi="Verdana" w:cs="Arial"/>
          <w:lang w:val="es-ES" w:eastAsia="es-ES"/>
        </w:rPr>
        <w:tab/>
      </w:r>
    </w:p>
    <w:p w14:paraId="26588780" w14:textId="77777777" w:rsidR="001C5F37" w:rsidRPr="001C5F37" w:rsidRDefault="001C5F37" w:rsidP="001C5F37">
      <w:pPr>
        <w:spacing w:after="0" w:line="276" w:lineRule="auto"/>
        <w:jc w:val="both"/>
        <w:rPr>
          <w:rFonts w:ascii="Verdana" w:eastAsia="Calibri" w:hAnsi="Verdana" w:cs="Arial"/>
          <w:lang w:val="es-ES" w:eastAsia="es-ES"/>
        </w:rPr>
      </w:pPr>
      <w:r w:rsidRPr="001C5F37">
        <w:rPr>
          <w:rFonts w:ascii="Verdana" w:eastAsia="Calibri" w:hAnsi="Verdana" w:cs="Arial"/>
          <w:lang w:val="es-ES" w:eastAsia="es-ES"/>
        </w:rPr>
        <w:t>En ejercicio de la competencia otorgada por los artículos 3, numeral 5º, y 11, numeral 8º, del Decreto Ley 4170 de 2011,</w:t>
      </w:r>
      <w:r w:rsidRPr="001C5F37">
        <w:rPr>
          <w:rFonts w:ascii="Verdana" w:eastAsia="Arial MT" w:hAnsi="Verdana" w:cs="Arial MT"/>
          <w:lang w:val="es-ES" w:eastAsia="es-ES"/>
        </w:rPr>
        <w:t xml:space="preserve"> </w:t>
      </w:r>
      <w:r w:rsidRPr="001C5F37">
        <w:rPr>
          <w:rFonts w:ascii="Verdana" w:eastAsia="Calibri" w:hAnsi="Verdana" w:cs="Arial"/>
          <w:lang w:eastAsia="es-MX"/>
        </w:rPr>
        <w:t xml:space="preserve">así como lo establecido en la </w:t>
      </w:r>
      <w:r w:rsidRPr="001C5F37">
        <w:rPr>
          <w:rFonts w:ascii="Verdana" w:eastAsia="Calibri" w:hAnsi="Verdana" w:cs="Arial"/>
          <w:kern w:val="2"/>
          <w:lang w:val="es-ES_tradnl" w:eastAsia="es-MX"/>
          <w14:ligatures w14:val="standardContextual"/>
        </w:rPr>
        <w:t xml:space="preserve">Resolución No. 469 de 2025 </w:t>
      </w:r>
      <w:r w:rsidRPr="001C5F37">
        <w:rPr>
          <w:rFonts w:ascii="Verdana" w:eastAsia="Calibri" w:hAnsi="Verdana" w:cs="Arial"/>
          <w:kern w:val="2"/>
          <w:lang w:val="es-ES"/>
          <w14:ligatures w14:val="standardContextual"/>
        </w:rPr>
        <w:t xml:space="preserve">expedida </w:t>
      </w:r>
      <w:r w:rsidRPr="001C5F37">
        <w:rPr>
          <w:rFonts w:ascii="Verdana" w:eastAsia="Calibri" w:hAnsi="Verdana" w:cs="Arial"/>
          <w:lang w:eastAsia="es-MX"/>
        </w:rPr>
        <w:t xml:space="preserve">por esta Entidad, </w:t>
      </w:r>
      <w:r w:rsidRPr="001C5F37">
        <w:rPr>
          <w:rFonts w:ascii="Verdana" w:eastAsia="Calibri" w:hAnsi="Verdana" w:cs="Arial"/>
          <w:lang w:val="es-ES" w:eastAsia="es-ES"/>
        </w:rPr>
        <w:t>la Agencia Nacional de Contratación Pública – Colombia Compra Eficiente responde su solicitud de consulta de fecha 30 de junio de 2026. En relación con los documentos tipo de infraestructura social, usted realiza las siguientes preguntas:</w:t>
      </w:r>
    </w:p>
    <w:p w14:paraId="2D530A59" w14:textId="77777777" w:rsidR="001C5F37" w:rsidRPr="001C5F37" w:rsidRDefault="001C5F37" w:rsidP="001C5F37">
      <w:pPr>
        <w:spacing w:after="0" w:line="276" w:lineRule="auto"/>
        <w:jc w:val="both"/>
        <w:rPr>
          <w:rFonts w:ascii="Verdana" w:eastAsia="Calibri" w:hAnsi="Verdana" w:cs="Arial"/>
          <w:lang w:val="es-ES" w:eastAsia="es-ES"/>
        </w:rPr>
      </w:pPr>
    </w:p>
    <w:p w14:paraId="65C0D1CB" w14:textId="77777777" w:rsidR="001C5F37" w:rsidRPr="001C5F37" w:rsidRDefault="001C5F37" w:rsidP="001C5F37">
      <w:pPr>
        <w:spacing w:after="0" w:line="240" w:lineRule="auto"/>
        <w:ind w:left="709" w:right="709"/>
        <w:jc w:val="both"/>
        <w:rPr>
          <w:rFonts w:ascii="Verdana" w:eastAsia="Calibri" w:hAnsi="Verdana" w:cs="Arial"/>
          <w:sz w:val="21"/>
          <w:szCs w:val="21"/>
          <w:lang w:val="es-ES" w:eastAsia="es-ES"/>
        </w:rPr>
      </w:pPr>
      <w:r w:rsidRPr="001C5F37">
        <w:rPr>
          <w:rFonts w:ascii="Verdana" w:eastAsia="Calibri" w:hAnsi="Verdana" w:cs="Arial"/>
          <w:sz w:val="21"/>
          <w:szCs w:val="21"/>
          <w:lang w:val="es-ES" w:eastAsia="es-ES"/>
        </w:rPr>
        <w:t>"</w:t>
      </w:r>
      <w:r w:rsidRPr="001C5F37">
        <w:rPr>
          <w:rFonts w:ascii="Verdana" w:eastAsia="Calibri" w:hAnsi="Verdana" w:cs="Arial"/>
          <w:b/>
          <w:bCs/>
          <w:sz w:val="21"/>
          <w:szCs w:val="21"/>
          <w:lang w:val="es-ES" w:eastAsia="es-ES"/>
        </w:rPr>
        <w:t xml:space="preserve">· Primera: </w:t>
      </w:r>
      <w:proofErr w:type="gramStart"/>
      <w:r w:rsidRPr="001C5F37">
        <w:rPr>
          <w:rFonts w:ascii="Verdana" w:eastAsia="Calibri" w:hAnsi="Verdana" w:cs="Arial"/>
          <w:sz w:val="21"/>
          <w:szCs w:val="21"/>
          <w:lang w:val="es-ES" w:eastAsia="es-ES"/>
        </w:rPr>
        <w:t>¿Cuál es el alcance de la categoría de experiencia</w:t>
      </w:r>
      <w:r w:rsidRPr="001C5F37">
        <w:rPr>
          <w:rFonts w:ascii="Verdana" w:eastAsia="Calibri" w:hAnsi="Verdana" w:cs="Arial"/>
          <w:i/>
          <w:iCs/>
          <w:sz w:val="21"/>
          <w:szCs w:val="21"/>
          <w:lang w:val="es-ES" w:eastAsia="es-ES"/>
        </w:rPr>
        <w:t>"2.</w:t>
      </w:r>
      <w:proofErr w:type="gramEnd"/>
      <w:r w:rsidRPr="001C5F37">
        <w:rPr>
          <w:rFonts w:ascii="Verdana" w:eastAsia="Calibri" w:hAnsi="Verdana" w:cs="Arial"/>
          <w:i/>
          <w:iCs/>
          <w:sz w:val="21"/>
          <w:szCs w:val="21"/>
          <w:lang w:val="es-ES" w:eastAsia="es-ES"/>
        </w:rPr>
        <w:t>11. SUMINISTRO Y/O INSTALACIÓN DE DOTACIÓN Y/O DE MOBILIARIO INTERNO O EXTERNO PARA INFRAESTRUCTURA DE SERVICIO PUBLICO"</w:t>
      </w:r>
      <w:r w:rsidRPr="001C5F37">
        <w:rPr>
          <w:rFonts w:ascii="Verdana" w:eastAsia="Calibri" w:hAnsi="Verdana" w:cs="Arial"/>
          <w:sz w:val="21"/>
          <w:szCs w:val="21"/>
          <w:lang w:val="es-ES" w:eastAsia="es-ES"/>
        </w:rPr>
        <w:t xml:space="preserve"> contenida en los Documentos Tipo de Infraestructura Social? ¿Esta matriz aplica únicamente cuando el objeto principal del proceso de selección es un contrato de obra pública, o también se extiende a </w:t>
      </w:r>
      <w:r w:rsidRPr="001C5F37">
        <w:rPr>
          <w:rFonts w:ascii="Verdana" w:eastAsia="Calibri" w:hAnsi="Verdana" w:cs="Arial"/>
          <w:sz w:val="21"/>
          <w:szCs w:val="21"/>
          <w:lang w:val="es-ES" w:eastAsia="es-ES"/>
        </w:rPr>
        <w:lastRenderedPageBreak/>
        <w:t>contratos donde el objeto exclusivo es el suministro e instalación de mobiliario?</w:t>
      </w:r>
    </w:p>
    <w:p w14:paraId="313D544E" w14:textId="77777777" w:rsidR="001C5F37" w:rsidRPr="001C5F37" w:rsidRDefault="001C5F37" w:rsidP="001C5F37">
      <w:pPr>
        <w:spacing w:after="0" w:line="240" w:lineRule="auto"/>
        <w:ind w:left="709" w:right="709"/>
        <w:jc w:val="both"/>
        <w:rPr>
          <w:rFonts w:ascii="Verdana" w:eastAsia="Calibri" w:hAnsi="Verdana" w:cs="Arial"/>
          <w:sz w:val="21"/>
          <w:szCs w:val="21"/>
          <w:lang w:val="es-ES" w:eastAsia="es-ES"/>
        </w:rPr>
      </w:pPr>
    </w:p>
    <w:p w14:paraId="18D7FBF8" w14:textId="77777777" w:rsidR="001C5F37" w:rsidRPr="001C5F37" w:rsidRDefault="001C5F37" w:rsidP="001C5F37">
      <w:pPr>
        <w:spacing w:after="0" w:line="240" w:lineRule="auto"/>
        <w:ind w:left="709" w:right="709"/>
        <w:jc w:val="both"/>
        <w:rPr>
          <w:rFonts w:ascii="Verdana" w:eastAsia="Calibri" w:hAnsi="Verdana" w:cs="Arial"/>
          <w:sz w:val="21"/>
          <w:szCs w:val="21"/>
          <w:lang w:val="es-ES" w:eastAsia="es-ES"/>
        </w:rPr>
      </w:pPr>
      <w:r w:rsidRPr="001C5F37">
        <w:rPr>
          <w:rFonts w:ascii="Verdana" w:eastAsia="Calibri" w:hAnsi="Verdana" w:cs="Arial"/>
          <w:b/>
          <w:bCs/>
          <w:sz w:val="21"/>
          <w:szCs w:val="21"/>
          <w:lang w:val="es-ES" w:eastAsia="es-ES"/>
        </w:rPr>
        <w:t>· Segunda:</w:t>
      </w:r>
      <w:r w:rsidRPr="001C5F37">
        <w:rPr>
          <w:rFonts w:ascii="Verdana" w:eastAsia="Calibri" w:hAnsi="Verdana" w:cs="Arial"/>
          <w:sz w:val="21"/>
          <w:szCs w:val="21"/>
          <w:lang w:val="es-ES" w:eastAsia="es-ES"/>
        </w:rPr>
        <w:t xml:space="preserve"> Si una entidad estatal requiere contratar </w:t>
      </w:r>
      <w:r w:rsidRPr="001C5F37">
        <w:rPr>
          <w:rFonts w:ascii="Verdana" w:eastAsia="Calibri" w:hAnsi="Verdana" w:cs="Arial"/>
          <w:b/>
          <w:bCs/>
          <w:sz w:val="21"/>
          <w:szCs w:val="21"/>
          <w:lang w:val="es-ES" w:eastAsia="es-ES"/>
        </w:rPr>
        <w:t>exclusivamente</w:t>
      </w:r>
      <w:r w:rsidRPr="001C5F37">
        <w:rPr>
          <w:rFonts w:ascii="Verdana" w:eastAsia="Calibri" w:hAnsi="Verdana" w:cs="Arial"/>
          <w:sz w:val="21"/>
          <w:szCs w:val="21"/>
          <w:lang w:val="es-ES" w:eastAsia="es-ES"/>
        </w:rPr>
        <w:t xml:space="preserve"> el suministro y la instalación de un sistema de archivos o archivadores para una sede institucional (sin que esto implique reforzamiento estructural, construcción o modificaciones arquitectónicas mayores al inmueble), ¿se encuentra obligada a aplicar los Documentos Tipo de Infraestructura Social?</w:t>
      </w:r>
    </w:p>
    <w:p w14:paraId="30EA2572" w14:textId="77777777" w:rsidR="001C5F37" w:rsidRPr="001C5F37" w:rsidRDefault="001C5F37" w:rsidP="001C5F37">
      <w:pPr>
        <w:spacing w:after="0" w:line="240" w:lineRule="auto"/>
        <w:ind w:left="709" w:right="709"/>
        <w:jc w:val="both"/>
        <w:rPr>
          <w:rFonts w:ascii="Verdana" w:eastAsia="Calibri" w:hAnsi="Verdana" w:cs="Arial"/>
          <w:sz w:val="21"/>
          <w:szCs w:val="21"/>
          <w:lang w:val="es-ES" w:eastAsia="es-ES"/>
        </w:rPr>
      </w:pPr>
    </w:p>
    <w:p w14:paraId="21AB63C7" w14:textId="77777777" w:rsidR="001C5F37" w:rsidRPr="001C5F37" w:rsidRDefault="001C5F37" w:rsidP="001C5F37">
      <w:pPr>
        <w:spacing w:after="0" w:line="240" w:lineRule="auto"/>
        <w:ind w:left="709" w:right="709"/>
        <w:jc w:val="both"/>
        <w:rPr>
          <w:rFonts w:ascii="Verdana" w:eastAsia="Calibri" w:hAnsi="Verdana" w:cs="Arial"/>
          <w:sz w:val="21"/>
          <w:szCs w:val="21"/>
          <w:lang w:val="es-ES" w:eastAsia="es-ES"/>
        </w:rPr>
      </w:pPr>
      <w:r w:rsidRPr="001C5F37">
        <w:rPr>
          <w:rFonts w:ascii="Verdana" w:eastAsia="Calibri" w:hAnsi="Verdana" w:cs="Arial"/>
          <w:b/>
          <w:bCs/>
          <w:sz w:val="21"/>
          <w:szCs w:val="21"/>
          <w:lang w:val="es-ES" w:eastAsia="es-ES"/>
        </w:rPr>
        <w:t>· Tercera:</w:t>
      </w:r>
      <w:r w:rsidRPr="001C5F37">
        <w:rPr>
          <w:rFonts w:ascii="Verdana" w:eastAsia="Calibri" w:hAnsi="Verdana" w:cs="Arial"/>
          <w:sz w:val="21"/>
          <w:szCs w:val="21"/>
          <w:lang w:val="es-ES" w:eastAsia="es-ES"/>
        </w:rPr>
        <w:t xml:space="preserve"> </w:t>
      </w:r>
      <w:proofErr w:type="gramStart"/>
      <w:r w:rsidRPr="001C5F37">
        <w:rPr>
          <w:rFonts w:ascii="Verdana" w:eastAsia="Calibri" w:hAnsi="Verdana" w:cs="Arial"/>
          <w:sz w:val="21"/>
          <w:szCs w:val="21"/>
          <w:lang w:val="es-ES" w:eastAsia="es-ES"/>
        </w:rPr>
        <w:t>¿Debe entenderse que la inclusión del código 2.</w:t>
      </w:r>
      <w:proofErr w:type="gramEnd"/>
      <w:r w:rsidRPr="001C5F37">
        <w:rPr>
          <w:rFonts w:ascii="Verdana" w:eastAsia="Calibri" w:hAnsi="Verdana" w:cs="Arial"/>
          <w:sz w:val="21"/>
          <w:szCs w:val="21"/>
          <w:lang w:val="es-ES" w:eastAsia="es-ES"/>
        </w:rPr>
        <w:t xml:space="preserve">11 en la matriz de experiencia de Infraestructura Social tiene como finalidad calificar la experiencia de los proponentes en componentes </w:t>
      </w:r>
      <w:r w:rsidRPr="001C5F37">
        <w:rPr>
          <w:rFonts w:ascii="Verdana" w:eastAsia="Calibri" w:hAnsi="Verdana" w:cs="Arial"/>
          <w:i/>
          <w:iCs/>
          <w:sz w:val="21"/>
          <w:szCs w:val="21"/>
          <w:lang w:val="es-ES" w:eastAsia="es-ES"/>
        </w:rPr>
        <w:t>accesorios</w:t>
      </w:r>
      <w:r w:rsidRPr="001C5F37">
        <w:rPr>
          <w:rFonts w:ascii="Verdana" w:eastAsia="Calibri" w:hAnsi="Verdana" w:cs="Arial"/>
          <w:sz w:val="21"/>
          <w:szCs w:val="21"/>
          <w:lang w:val="es-ES" w:eastAsia="es-ES"/>
        </w:rPr>
        <w:t xml:space="preserve"> de un contrato de obra (dotación de una obra nueva o remodelada), y no convertir los contratos típicos de suministro e instalación de bienes en contratos de obra pública sometidos a Documentos Tipo?”</w:t>
      </w:r>
    </w:p>
    <w:p w14:paraId="471F8935" w14:textId="77777777" w:rsidR="001C5F37" w:rsidRPr="001C5F37" w:rsidRDefault="001C5F37" w:rsidP="001C5F37">
      <w:pPr>
        <w:spacing w:after="0" w:line="276" w:lineRule="auto"/>
        <w:ind w:left="709" w:right="709"/>
        <w:jc w:val="both"/>
        <w:rPr>
          <w:rFonts w:ascii="Verdana" w:eastAsia="Calibri" w:hAnsi="Verdana" w:cs="Arial"/>
          <w:lang w:val="es-ES" w:eastAsia="es-ES"/>
        </w:rPr>
      </w:pPr>
    </w:p>
    <w:p w14:paraId="1FDF8DC6" w14:textId="77777777" w:rsidR="001C5F37" w:rsidRPr="001C5F37" w:rsidRDefault="001C5F37" w:rsidP="001C5F37">
      <w:pPr>
        <w:spacing w:after="120" w:line="276" w:lineRule="auto"/>
        <w:ind w:firstLine="709"/>
        <w:jc w:val="both"/>
        <w:rPr>
          <w:rFonts w:ascii="Verdana" w:eastAsia="Calibri" w:hAnsi="Verdana" w:cs="Arial"/>
          <w:szCs w:val="24"/>
          <w:lang w:eastAsia="es-ES_tradnl"/>
        </w:rPr>
      </w:pPr>
      <w:r w:rsidRPr="001C5F37">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compras públicas.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C5F37">
        <w:rPr>
          <w:rFonts w:ascii="Verdana" w:eastAsia="Calibri" w:hAnsi="Verdana" w:cs="Arial"/>
          <w:szCs w:val="24"/>
          <w:lang w:eastAsia="es-ES_tradnl"/>
        </w:rPr>
        <w:tab/>
      </w:r>
    </w:p>
    <w:p w14:paraId="5E4E9E66" w14:textId="77777777" w:rsidR="001C5F37" w:rsidRPr="001C5F37" w:rsidRDefault="001C5F37" w:rsidP="001C5F37">
      <w:pPr>
        <w:spacing w:after="0" w:line="276" w:lineRule="auto"/>
        <w:ind w:firstLine="709"/>
        <w:jc w:val="both"/>
        <w:rPr>
          <w:rFonts w:ascii="Verdana" w:eastAsia="Calibri" w:hAnsi="Verdana" w:cs="Arial"/>
          <w:lang w:val="es-ES" w:eastAsia="es-ES"/>
        </w:rPr>
      </w:pPr>
      <w:r w:rsidRPr="001C5F37">
        <w:rPr>
          <w:rFonts w:ascii="Verdana" w:eastAsia="Calibri" w:hAnsi="Verdana" w:cs="Arial"/>
          <w:lang w:val="es-ES" w:eastAsia="es-ES"/>
        </w:rPr>
        <w:t>Conforme a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r w:rsidRPr="001C5F37">
        <w:rPr>
          <w:rFonts w:ascii="Verdana" w:eastAsia="Calibri" w:hAnsi="Verdana" w:cs="Arial"/>
          <w:lang w:val="es-ES" w:eastAsia="es-ES"/>
        </w:rPr>
        <w:tab/>
      </w:r>
    </w:p>
    <w:p w14:paraId="091F951C" w14:textId="77777777" w:rsidR="001C5F37" w:rsidRPr="001C5F37" w:rsidRDefault="001C5F37" w:rsidP="001C5F37">
      <w:pPr>
        <w:numPr>
          <w:ilvl w:val="0"/>
          <w:numId w:val="16"/>
        </w:numPr>
        <w:tabs>
          <w:tab w:val="left" w:pos="142"/>
          <w:tab w:val="left" w:pos="284"/>
        </w:tabs>
        <w:spacing w:after="0" w:line="276" w:lineRule="auto"/>
        <w:ind w:left="357" w:hanging="357"/>
        <w:contextualSpacing/>
        <w:jc w:val="both"/>
        <w:rPr>
          <w:rFonts w:ascii="Verdana" w:eastAsia="Century Gothic" w:hAnsi="Verdana" w:cs="Century Gothic"/>
          <w:b/>
          <w:bCs/>
          <w:lang w:val="es-ES" w:eastAsia="es-MX"/>
        </w:rPr>
      </w:pPr>
      <w:r w:rsidRPr="001C5F37">
        <w:rPr>
          <w:rFonts w:ascii="Verdana" w:eastAsia="Century Gothic" w:hAnsi="Verdana" w:cs="Century Gothic"/>
          <w:b/>
          <w:bCs/>
          <w:lang w:val="es-ES" w:eastAsia="es-MX"/>
        </w:rPr>
        <w:t>Problema planteado:</w:t>
      </w:r>
    </w:p>
    <w:p w14:paraId="1BA815C9" w14:textId="77777777" w:rsidR="001C5F37" w:rsidRPr="001C5F37" w:rsidRDefault="001C5F37" w:rsidP="001C5F37">
      <w:pPr>
        <w:tabs>
          <w:tab w:val="left" w:pos="426"/>
        </w:tabs>
        <w:spacing w:after="0" w:line="276" w:lineRule="auto"/>
        <w:jc w:val="both"/>
        <w:rPr>
          <w:rFonts w:ascii="Verdana" w:eastAsia="Century Gothic" w:hAnsi="Verdana" w:cs="Century Gothic"/>
          <w:lang w:val="es-ES" w:eastAsia="es-MX"/>
        </w:rPr>
      </w:pPr>
    </w:p>
    <w:p w14:paraId="1A5885DB" w14:textId="77777777" w:rsidR="001C5F37" w:rsidRPr="001C5F37" w:rsidRDefault="001C5F37" w:rsidP="001C5F37">
      <w:pPr>
        <w:snapToGrid w:val="0"/>
        <w:spacing w:after="0" w:line="276" w:lineRule="auto"/>
        <w:jc w:val="both"/>
        <w:rPr>
          <w:rFonts w:ascii="Verdana" w:eastAsia="Century Gothic" w:hAnsi="Verdana" w:cs="Century Gothic"/>
          <w:lang w:eastAsia="es-MX"/>
        </w:rPr>
      </w:pPr>
      <w:r w:rsidRPr="001C5F37">
        <w:rPr>
          <w:rFonts w:ascii="Verdana" w:eastAsia="Century Gothic" w:hAnsi="Verdana" w:cs="Century Gothic"/>
          <w:lang w:eastAsia="es-MX"/>
        </w:rPr>
        <w:lastRenderedPageBreak/>
        <w:t xml:space="preserve">De acuerdo con el contenido de su solicitud, esta Agencia resolverá los siguientes problemas jurídicos relacionados con los documentos tipo de infraestructura social – sector institucional: </w:t>
      </w:r>
    </w:p>
    <w:p w14:paraId="5113E11F" w14:textId="77777777" w:rsidR="001C5F37" w:rsidRPr="001C5F37" w:rsidRDefault="001C5F37" w:rsidP="001C5F37">
      <w:pPr>
        <w:snapToGrid w:val="0"/>
        <w:spacing w:after="0" w:line="276" w:lineRule="auto"/>
        <w:jc w:val="both"/>
        <w:rPr>
          <w:rFonts w:ascii="Verdana" w:eastAsia="Century Gothic" w:hAnsi="Verdana" w:cs="Century Gothic"/>
          <w:lang w:eastAsia="es-MX"/>
        </w:rPr>
      </w:pPr>
    </w:p>
    <w:p w14:paraId="02B055CE" w14:textId="77777777" w:rsidR="001C5F37" w:rsidRPr="001C5F37" w:rsidRDefault="001C5F37" w:rsidP="001C5F37">
      <w:pPr>
        <w:numPr>
          <w:ilvl w:val="0"/>
          <w:numId w:val="19"/>
        </w:numPr>
        <w:snapToGrid w:val="0"/>
        <w:spacing w:after="0" w:line="276" w:lineRule="auto"/>
        <w:contextualSpacing/>
        <w:jc w:val="both"/>
        <w:rPr>
          <w:rFonts w:ascii="Verdana" w:eastAsia="Century Gothic" w:hAnsi="Verdana" w:cs="Century Gothic"/>
          <w:lang w:eastAsia="es-MX"/>
        </w:rPr>
      </w:pPr>
      <w:r w:rsidRPr="001C5F37">
        <w:rPr>
          <w:rFonts w:ascii="Verdana" w:eastAsia="Century Gothic" w:hAnsi="Verdana" w:cs="Century Gothic"/>
          <w:lang w:eastAsia="es-MX"/>
        </w:rPr>
        <w:t>¿Cuál es el alcance de la categoría de experiencia relacionada con el suministro y/o instalación de dotación y/o de mobiliario interno o externo?</w:t>
      </w:r>
    </w:p>
    <w:p w14:paraId="41D876C2" w14:textId="77777777" w:rsidR="001C5F37" w:rsidRPr="001C5F37" w:rsidRDefault="001C5F37" w:rsidP="001C5F37">
      <w:pPr>
        <w:snapToGrid w:val="0"/>
        <w:spacing w:after="0" w:line="276" w:lineRule="auto"/>
        <w:jc w:val="both"/>
        <w:rPr>
          <w:rFonts w:ascii="Verdana" w:eastAsia="Century Gothic" w:hAnsi="Verdana" w:cs="Century Gothic"/>
          <w:lang w:eastAsia="es-MX"/>
        </w:rPr>
      </w:pPr>
    </w:p>
    <w:p w14:paraId="2850CFCA" w14:textId="77777777" w:rsidR="001C5F37" w:rsidRPr="001C5F37" w:rsidRDefault="001C5F37" w:rsidP="001C5F37">
      <w:pPr>
        <w:numPr>
          <w:ilvl w:val="0"/>
          <w:numId w:val="19"/>
        </w:numPr>
        <w:snapToGrid w:val="0"/>
        <w:spacing w:after="0" w:line="276" w:lineRule="auto"/>
        <w:contextualSpacing/>
        <w:jc w:val="both"/>
        <w:rPr>
          <w:rFonts w:ascii="Verdana" w:eastAsia="Century Gothic" w:hAnsi="Verdana" w:cs="Century Gothic"/>
          <w:lang w:eastAsia="es-MX"/>
        </w:rPr>
      </w:pPr>
      <w:r w:rsidRPr="001C5F37">
        <w:rPr>
          <w:rFonts w:ascii="Verdana" w:eastAsia="Century Gothic" w:hAnsi="Verdana" w:cs="Century Gothic"/>
          <w:lang w:eastAsia="es-MX"/>
        </w:rPr>
        <w:t>¿La contratación exclusiva del suministro y la instalación de un sistema de archivos o archivadores implica per se la aplicación de documentos tipo?</w:t>
      </w:r>
    </w:p>
    <w:p w14:paraId="3F4044A9" w14:textId="77777777" w:rsidR="001C5F37" w:rsidRPr="001C5F37" w:rsidRDefault="001C5F37" w:rsidP="001C5F37">
      <w:pPr>
        <w:snapToGrid w:val="0"/>
        <w:spacing w:after="0" w:line="276" w:lineRule="auto"/>
        <w:jc w:val="both"/>
        <w:rPr>
          <w:rFonts w:ascii="Verdana" w:eastAsia="Calibri" w:hAnsi="Verdana" w:cs="Arial"/>
          <w:lang w:val="es-ES" w:eastAsia="es-MX"/>
        </w:rPr>
      </w:pPr>
    </w:p>
    <w:p w14:paraId="1F96DDCA" w14:textId="77777777" w:rsidR="001C5F37" w:rsidRPr="001C5F37" w:rsidRDefault="001C5F37" w:rsidP="001C5F37">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1C5F37">
        <w:rPr>
          <w:rFonts w:ascii="Verdana" w:eastAsia="Century Gothic" w:hAnsi="Verdana" w:cs="Century Gothic"/>
          <w:b/>
          <w:bCs/>
          <w:lang w:val="es-ES" w:eastAsia="es-MX"/>
        </w:rPr>
        <w:t>Respuesta:</w:t>
      </w:r>
    </w:p>
    <w:p w14:paraId="79C7526A" w14:textId="77777777" w:rsidR="001C5F37" w:rsidRPr="001C5F37" w:rsidRDefault="001C5F37" w:rsidP="001C5F37">
      <w:pPr>
        <w:tabs>
          <w:tab w:val="left" w:pos="142"/>
          <w:tab w:val="left" w:pos="284"/>
        </w:tabs>
        <w:snapToGrid w:val="0"/>
        <w:spacing w:after="0" w:line="276" w:lineRule="auto"/>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C5F37" w:rsidRPr="001C5F37" w14:paraId="6EC39AB5" w14:textId="77777777" w:rsidTr="001D686A">
        <w:tc>
          <w:tcPr>
            <w:tcW w:w="8828" w:type="dxa"/>
          </w:tcPr>
          <w:p w14:paraId="6EB1AA03" w14:textId="77777777" w:rsidR="001C5F37" w:rsidRPr="001C5F37" w:rsidRDefault="001C5F37" w:rsidP="001C5F37">
            <w:pPr>
              <w:spacing w:after="120" w:line="276" w:lineRule="auto"/>
              <w:jc w:val="both"/>
              <w:rPr>
                <w:rFonts w:ascii="Verdana" w:eastAsia="Aptos" w:hAnsi="Verdana" w:cs="Times New Roman"/>
              </w:rPr>
            </w:pPr>
            <w:r w:rsidRPr="001C5F37">
              <w:rPr>
                <w:rFonts w:ascii="Verdana" w:eastAsia="Aptos" w:hAnsi="Verdana" w:cs="Times New Roman"/>
                <w:i/>
                <w:iCs/>
              </w:rPr>
              <w:t>En cuanto a la primera pregunta de su petición,</w:t>
            </w:r>
            <w:r w:rsidRPr="001C5F37">
              <w:rPr>
                <w:rFonts w:ascii="Verdana" w:eastAsia="Aptos" w:hAnsi="Verdana" w:cs="Times New Roman"/>
              </w:rPr>
              <w:t xml:space="preserve"> conviene señalar que, el alcance de la actividad a contratar de la matriz de experiencia del sector social para el subsector Institucional identificada con como la 2.11. implementada para “</w:t>
            </w:r>
            <w:r w:rsidRPr="001C5F37">
              <w:rPr>
                <w:rFonts w:ascii="Verdana" w:eastAsia="Aptos" w:hAnsi="Verdana" w:cs="Times New Roman"/>
                <w:i/>
                <w:iCs/>
              </w:rPr>
              <w:t>suministro y/o instalación de dotación y/o de mobiliario interno o externo para infraestructura de servicio público</w:t>
            </w:r>
            <w:r w:rsidRPr="001C5F37">
              <w:rPr>
                <w:rFonts w:ascii="Verdana" w:eastAsia="Aptos" w:hAnsi="Verdana" w:cs="Times New Roman"/>
              </w:rPr>
              <w:t>”, determina para acreditar la experiencia general, que se presenten proyectos que correspondan y/o contemplen actividades de suministro y/o instalación de dotación y/o de mobiliario interno o externo para edificaciones y como experiencia especifica; además, exige que los proponentes acrediten que por lo menos uno (1) de los contratos válidos aportados como experiencia general corresponda al 30% del presupuesto oficial del proceso de selección.</w:t>
            </w:r>
          </w:p>
          <w:p w14:paraId="30D41885" w14:textId="77777777" w:rsidR="001C5F37" w:rsidRPr="001C5F37" w:rsidRDefault="001C5F37" w:rsidP="001C5F37">
            <w:pPr>
              <w:spacing w:after="120" w:line="276" w:lineRule="auto"/>
              <w:ind w:firstLine="709"/>
              <w:jc w:val="both"/>
              <w:rPr>
                <w:rFonts w:ascii="Verdana" w:eastAsia="Aptos" w:hAnsi="Verdana" w:cs="Times New Roman"/>
              </w:rPr>
            </w:pPr>
            <w:r w:rsidRPr="001C5F37">
              <w:rPr>
                <w:rFonts w:ascii="Verdana" w:eastAsia="Aptos" w:hAnsi="Verdana" w:cs="Times New Roman"/>
              </w:rPr>
              <w:t xml:space="preserve">Sobre este tipo de experiencia, debe advertirse que la misma debe interpretarse como una actividad o tipo de experiencia que una Entidad puede solicitar, para que sea acreditada por los proponentes dentro de un proceso de contratación del sector de infraestructura social. Sin embargo, su incorporación dentro de la matriz de experiencia del sector Institucional no significa, por sí sola, que todo contrato cuyo objeto solo sea suministrar e instalar mobiliario interno o externo para infraestructura de servicio público, quede automáticamente sometido a los Documentos Tipo.  Es decir que la presencia de actividades de suministro e instalación dentro de las matrices de experiencia no implica que dichas actividades, consideradas aisladamente, </w:t>
            </w:r>
            <w:r w:rsidRPr="001C5F37">
              <w:rPr>
                <w:rFonts w:ascii="Verdana" w:eastAsia="Aptos" w:hAnsi="Verdana" w:cs="Times New Roman"/>
              </w:rPr>
              <w:lastRenderedPageBreak/>
              <w:t>constituyan necesariamente contratos de obra pública, ni que siempre deban acogerse a la aplicación de los Documentos Tipo.</w:t>
            </w:r>
          </w:p>
          <w:p w14:paraId="53BD81A7" w14:textId="77777777" w:rsidR="001C5F37" w:rsidRPr="001C5F37" w:rsidRDefault="001C5F37" w:rsidP="001C5F37">
            <w:pPr>
              <w:spacing w:after="120" w:line="276" w:lineRule="auto"/>
              <w:ind w:firstLine="709"/>
              <w:jc w:val="both"/>
              <w:rPr>
                <w:rFonts w:ascii="Verdana" w:eastAsia="Aptos" w:hAnsi="Verdana" w:cs="Times New Roman"/>
              </w:rPr>
            </w:pPr>
            <w:r w:rsidRPr="001C5F37">
              <w:rPr>
                <w:rFonts w:ascii="Verdana" w:eastAsia="Aptos" w:hAnsi="Verdana" w:cs="Times New Roman"/>
              </w:rPr>
              <w:t>Por lo tanto, la inclusión de la actividad a contratar 2.11 de la matriz de experiencia del sector social – Institucional, debe analizarse en conjunto con el objeto del proceso y con la finalidad de la contratación. Si el suministro e instalación del mobiliario, bien sea interior o exterior, forma parte de un proyecto de infraestructura social o de una intervención sobre una edificación pública comprendida dentro del ámbito de aplicación de las resoluciones expedidas por Colombia Compra Eficiente, la entidad podría encontrarse con un proceso sujeto a los Documentos Tipo. En cambio, si el objeto contractual consiste exclusivamente en la adquisición, suministro e instalación de mobiliario, sin que exista una intervención relevante sobre la infraestructura, no puede concluirse automáticamente que el proceso esté sometido a dichos documentos.</w:t>
            </w:r>
          </w:p>
          <w:p w14:paraId="2823CD9E" w14:textId="77777777" w:rsidR="001C5F37" w:rsidRPr="001C5F37" w:rsidRDefault="001C5F37" w:rsidP="001C5F37">
            <w:pPr>
              <w:spacing w:after="120" w:line="276" w:lineRule="auto"/>
              <w:ind w:firstLine="709"/>
              <w:jc w:val="both"/>
              <w:rPr>
                <w:rFonts w:ascii="Verdana" w:eastAsia="Aptos" w:hAnsi="Verdana" w:cs="Times New Roman"/>
              </w:rPr>
            </w:pPr>
            <w:r w:rsidRPr="001C5F37">
              <w:rPr>
                <w:rFonts w:ascii="Verdana" w:eastAsia="Aptos" w:hAnsi="Verdana" w:cs="Times New Roman"/>
                <w:i/>
                <w:iCs/>
              </w:rPr>
              <w:t>En lo que respecta a su segunda pregunta,</w:t>
            </w:r>
            <w:r w:rsidRPr="001C5F37">
              <w:rPr>
                <w:rFonts w:ascii="Verdana" w:eastAsia="Aptos" w:hAnsi="Verdana" w:cs="Times New Roman"/>
              </w:rPr>
              <w:t xml:space="preserve"> no resulta posible afirmar de manera categórica que un contrato cuyo objeto exclusivo sea el suministro e instalación de sistemas de archivo o archivadores para una sede institucional, deba someterse a los Documentos Tipo de Infraestructura Social.</w:t>
            </w:r>
          </w:p>
          <w:p w14:paraId="0093FA19" w14:textId="77777777" w:rsidR="001C5F37" w:rsidRPr="001C5F37" w:rsidRDefault="001C5F37" w:rsidP="001C5F37">
            <w:pPr>
              <w:spacing w:after="120" w:line="276" w:lineRule="auto"/>
              <w:ind w:firstLine="709"/>
              <w:jc w:val="both"/>
              <w:rPr>
                <w:rFonts w:ascii="Verdana" w:eastAsia="Aptos" w:hAnsi="Verdana" w:cs="Times New Roman"/>
              </w:rPr>
            </w:pPr>
            <w:r w:rsidRPr="001C5F37">
              <w:rPr>
                <w:rFonts w:ascii="Verdana" w:eastAsia="Aptos" w:hAnsi="Verdana" w:cs="Times New Roman"/>
              </w:rPr>
              <w:t>En efecto, si la necesidad de la entidad se limita a la adquisición e instalación de mobiliario destinado al almacenamiento documental y dicha instalación no requiere intervenciones civiles, estructurales, arquitectónicas o funcionales relevantes sobre la infraestructura existente, podría considerarse que la finalidad predominante del negocio jurídico corresponde al suministro de bienes muebles y no a la ejecución de una obra pública o de un proyecto de infraestructura social.</w:t>
            </w:r>
          </w:p>
          <w:p w14:paraId="47EE4070" w14:textId="77777777" w:rsidR="001C5F37" w:rsidRPr="001C5F37" w:rsidRDefault="001C5F37" w:rsidP="001C5F37">
            <w:pPr>
              <w:spacing w:line="276" w:lineRule="auto"/>
              <w:ind w:firstLine="709"/>
              <w:jc w:val="both"/>
              <w:rPr>
                <w:rFonts w:ascii="Verdana" w:eastAsia="Aptos" w:hAnsi="Verdana" w:cs="Times New Roman"/>
              </w:rPr>
            </w:pPr>
            <w:r w:rsidRPr="001C5F37">
              <w:rPr>
                <w:rFonts w:ascii="Verdana" w:eastAsia="Aptos" w:hAnsi="Verdana" w:cs="Times New Roman"/>
              </w:rPr>
              <w:t>La sola obligación de suministrar e instalar un bien dentro de un inmueble no determina por sí misma la naturaleza de obra pública del contrato. La entidad debe analizar, entre otros aspectos:</w:t>
            </w:r>
          </w:p>
          <w:p w14:paraId="1A2ADABD" w14:textId="77777777" w:rsidR="001C5F37" w:rsidRPr="001C5F37" w:rsidRDefault="001C5F37" w:rsidP="001C5F37">
            <w:pPr>
              <w:jc w:val="both"/>
              <w:rPr>
                <w:rFonts w:ascii="Verdana" w:eastAsia="Aptos" w:hAnsi="Verdana" w:cs="Times New Roman"/>
              </w:rPr>
            </w:pPr>
          </w:p>
          <w:p w14:paraId="79163FA0" w14:textId="77777777" w:rsidR="001C5F37" w:rsidRPr="001C5F37" w:rsidRDefault="001C5F37" w:rsidP="001C5F37">
            <w:pPr>
              <w:numPr>
                <w:ilvl w:val="0"/>
                <w:numId w:val="18"/>
              </w:numPr>
              <w:contextualSpacing/>
              <w:jc w:val="both"/>
              <w:rPr>
                <w:rFonts w:ascii="Verdana" w:eastAsia="Aptos" w:hAnsi="Verdana" w:cs="Times New Roman"/>
              </w:rPr>
            </w:pPr>
            <w:r w:rsidRPr="001C5F37">
              <w:rPr>
                <w:rFonts w:ascii="Verdana" w:eastAsia="Aptos" w:hAnsi="Verdana" w:cs="Times New Roman"/>
              </w:rPr>
              <w:t>La prestación principal del contrato.</w:t>
            </w:r>
          </w:p>
          <w:p w14:paraId="6593DB74" w14:textId="77777777" w:rsidR="001C5F37" w:rsidRPr="001C5F37" w:rsidRDefault="001C5F37" w:rsidP="001C5F37">
            <w:pPr>
              <w:numPr>
                <w:ilvl w:val="0"/>
                <w:numId w:val="18"/>
              </w:numPr>
              <w:contextualSpacing/>
              <w:jc w:val="both"/>
              <w:rPr>
                <w:rFonts w:ascii="Verdana" w:eastAsia="Aptos" w:hAnsi="Verdana" w:cs="Times New Roman"/>
              </w:rPr>
            </w:pPr>
            <w:r w:rsidRPr="001C5F37">
              <w:rPr>
                <w:rFonts w:ascii="Verdana" w:eastAsia="Aptos" w:hAnsi="Verdana" w:cs="Times New Roman"/>
              </w:rPr>
              <w:t>La finalidad perseguida por las partes.</w:t>
            </w:r>
          </w:p>
          <w:p w14:paraId="7456D491" w14:textId="77777777" w:rsidR="001C5F37" w:rsidRPr="001C5F37" w:rsidRDefault="001C5F37" w:rsidP="001C5F37">
            <w:pPr>
              <w:numPr>
                <w:ilvl w:val="0"/>
                <w:numId w:val="18"/>
              </w:numPr>
              <w:contextualSpacing/>
              <w:jc w:val="both"/>
              <w:rPr>
                <w:rFonts w:ascii="Verdana" w:eastAsia="Aptos" w:hAnsi="Verdana" w:cs="Times New Roman"/>
              </w:rPr>
            </w:pPr>
            <w:r w:rsidRPr="001C5F37">
              <w:rPr>
                <w:rFonts w:ascii="Verdana" w:eastAsia="Aptos" w:hAnsi="Verdana" w:cs="Times New Roman"/>
              </w:rPr>
              <w:t>La relevancia funcional y económica de cada una de las obligaciones.</w:t>
            </w:r>
          </w:p>
          <w:p w14:paraId="4225C04D" w14:textId="77777777" w:rsidR="001C5F37" w:rsidRPr="001C5F37" w:rsidRDefault="001C5F37" w:rsidP="001C5F37">
            <w:pPr>
              <w:numPr>
                <w:ilvl w:val="0"/>
                <w:numId w:val="18"/>
              </w:numPr>
              <w:contextualSpacing/>
              <w:jc w:val="both"/>
              <w:rPr>
                <w:rFonts w:ascii="Verdana" w:eastAsia="Aptos" w:hAnsi="Verdana" w:cs="Times New Roman"/>
              </w:rPr>
            </w:pPr>
            <w:r w:rsidRPr="001C5F37">
              <w:rPr>
                <w:rFonts w:ascii="Verdana" w:eastAsia="Aptos" w:hAnsi="Verdana" w:cs="Times New Roman"/>
              </w:rPr>
              <w:t>El nivel de intervención requerido sobre la infraestructura existente.</w:t>
            </w:r>
          </w:p>
          <w:p w14:paraId="3D4F2D1A" w14:textId="77777777" w:rsidR="001C5F37" w:rsidRPr="001C5F37" w:rsidRDefault="001C5F37" w:rsidP="001C5F37">
            <w:pPr>
              <w:ind w:left="720"/>
              <w:contextualSpacing/>
              <w:jc w:val="both"/>
              <w:rPr>
                <w:rFonts w:ascii="Verdana" w:eastAsia="Aptos" w:hAnsi="Verdana" w:cs="Times New Roman"/>
              </w:rPr>
            </w:pPr>
          </w:p>
          <w:p w14:paraId="21822433" w14:textId="77777777" w:rsidR="001C5F37" w:rsidRPr="001C5F37" w:rsidRDefault="001C5F37" w:rsidP="001C5F37">
            <w:pPr>
              <w:spacing w:after="120" w:line="276" w:lineRule="auto"/>
              <w:ind w:firstLine="709"/>
              <w:jc w:val="both"/>
              <w:rPr>
                <w:rFonts w:ascii="Verdana" w:eastAsia="Aptos" w:hAnsi="Verdana" w:cs="Times New Roman"/>
              </w:rPr>
            </w:pPr>
            <w:r w:rsidRPr="001C5F37">
              <w:rPr>
                <w:rFonts w:ascii="Verdana" w:eastAsia="Aptos" w:hAnsi="Verdana" w:cs="Times New Roman"/>
              </w:rPr>
              <w:lastRenderedPageBreak/>
              <w:t>Si la instalación de archivadores o sistemas de almacenamiento documental no exige adecuaciones constructivas significativas ni genera una transformación material relevante del inmueble, podría concluirse que la instalación constituye una obligación accesoria respecto del suministro del mobiliario.</w:t>
            </w:r>
          </w:p>
          <w:p w14:paraId="18B385A2" w14:textId="77777777" w:rsidR="001C5F37" w:rsidRPr="001C5F37" w:rsidRDefault="001C5F37" w:rsidP="001C5F37">
            <w:pPr>
              <w:spacing w:after="120" w:line="276" w:lineRule="auto"/>
              <w:ind w:firstLine="709"/>
              <w:jc w:val="both"/>
              <w:rPr>
                <w:rFonts w:ascii="Verdana" w:eastAsia="Aptos" w:hAnsi="Verdana" w:cs="Times New Roman"/>
              </w:rPr>
            </w:pPr>
            <w:r w:rsidRPr="001C5F37">
              <w:rPr>
                <w:rFonts w:ascii="Verdana" w:eastAsia="Aptos" w:hAnsi="Verdana" w:cs="Times New Roman"/>
                <w:i/>
                <w:iCs/>
              </w:rPr>
              <w:t>Finalmente, en lo que atañe a su tercer interrogante,</w:t>
            </w:r>
            <w:r w:rsidRPr="001C5F37">
              <w:rPr>
                <w:rFonts w:ascii="Verdana" w:eastAsia="Aptos" w:hAnsi="Verdana" w:cs="Times New Roman"/>
              </w:rPr>
              <w:t xml:space="preserve"> entendiendo que se consulta si la finalidad es calificar la experiencia de proveedores especializados en dotación y mobiliario para infraestructura pública, en principio, la inclusión de la actividad a contratar 2.11 dentro de las matrices de experiencia de Infraestructura Social busca dar opciones a las entidades que dentro de su proceso de contratación tengan relevancia de esta actividad, para que puedan incluir dentro de la experiencia del proceso garantizar la idoneidad de los oferentes para este concepto, de cara a reconocer y valorar la experiencia específica o general de los proponentes que han ejecutado actividades relacionadas con el suministro y/o instalación de dotación y mobiliario para infraestructura de servicio público.</w:t>
            </w:r>
          </w:p>
          <w:p w14:paraId="3A1A47CE" w14:textId="77777777" w:rsidR="001C5F37" w:rsidRPr="001C5F37" w:rsidRDefault="001C5F37" w:rsidP="001C5F37">
            <w:pPr>
              <w:spacing w:after="120" w:line="276" w:lineRule="auto"/>
              <w:ind w:firstLine="709"/>
              <w:jc w:val="both"/>
              <w:rPr>
                <w:rFonts w:ascii="Verdana" w:eastAsia="Aptos" w:hAnsi="Verdana" w:cs="Times New Roman"/>
              </w:rPr>
            </w:pPr>
            <w:r w:rsidRPr="001C5F37">
              <w:rPr>
                <w:rFonts w:ascii="Verdana" w:eastAsia="Aptos" w:hAnsi="Verdana" w:cs="Times New Roman"/>
              </w:rPr>
              <w:t>Desde esta perspectiva, la finalidad de la actividad a contratar 2.11 no es la de ampliar el ámbito de aplicación de los Documentos Tipo a cualquier contrato de mobiliario celebrado por una entidad pública, sino permitir que, dentro de procesos de infraestructura social que sí se encuentren sometidos a dichos documentos, puedan acreditarse experiencias relacionadas con componentes de dotación y mobiliario que hacen parte integral de proyectos de infraestructura pública.</w:t>
            </w:r>
          </w:p>
          <w:p w14:paraId="1D418D45" w14:textId="77777777" w:rsidR="001C5F37" w:rsidRPr="001C5F37" w:rsidRDefault="001C5F37" w:rsidP="001C5F37">
            <w:pPr>
              <w:spacing w:after="120" w:line="276" w:lineRule="auto"/>
              <w:ind w:firstLine="709"/>
              <w:jc w:val="both"/>
              <w:rPr>
                <w:rFonts w:ascii="Verdana" w:eastAsia="Aptos" w:hAnsi="Verdana" w:cs="Times New Roman"/>
              </w:rPr>
            </w:pPr>
            <w:r w:rsidRPr="001C5F37">
              <w:rPr>
                <w:rFonts w:ascii="Verdana" w:eastAsia="Aptos" w:hAnsi="Verdana" w:cs="Times New Roman"/>
              </w:rPr>
              <w:t>Así, la actividad a contratar 2.11 constituye una opción adicional de experiencia habilitante que permite identificar actividades especializadas vinculadas a la dotación funcional de la infraestructura de servicio público. Sin embargo, su existencia dentro de la matriz no convierte automáticamente cualquier adquisición de mobiliario en una contratación de infraestructura social, ni implica, por sí sola, la aplicación obligatoria de los Documentos Tipo.</w:t>
            </w:r>
          </w:p>
          <w:p w14:paraId="76D544F6" w14:textId="77777777" w:rsidR="001C5F37" w:rsidRPr="001C5F37" w:rsidRDefault="001C5F37" w:rsidP="001C5F37">
            <w:pPr>
              <w:spacing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rPr>
              <w:t xml:space="preserve">En consecuencia, la actividad a contratar 2.11 debe interpretarse como una opción para las entidades públicas, a manera de criterio de acreditación de experiencia dentro del sistema estandarizado adoptado por Colombia Compra Eficiente, cuya aplicación depende de que previamente la entidad haya determinado que el proceso contractual se encuentra efectivamente </w:t>
            </w:r>
            <w:r w:rsidRPr="001C5F37">
              <w:rPr>
                <w:rFonts w:ascii="Verdana" w:eastAsia="Aptos" w:hAnsi="Verdana" w:cs="Times New Roman"/>
              </w:rPr>
              <w:lastRenderedPageBreak/>
              <w:t>dentro del ámbito de aplicación de los Documentos Tipo de Infraestructura Social.</w:t>
            </w:r>
          </w:p>
        </w:tc>
      </w:tr>
    </w:tbl>
    <w:p w14:paraId="61131002" w14:textId="77777777" w:rsidR="001C5F37" w:rsidRPr="001C5F37" w:rsidRDefault="001C5F37" w:rsidP="001C5F37">
      <w:pPr>
        <w:tabs>
          <w:tab w:val="left" w:pos="142"/>
          <w:tab w:val="left" w:pos="284"/>
        </w:tabs>
        <w:snapToGrid w:val="0"/>
        <w:spacing w:after="0" w:line="276" w:lineRule="auto"/>
        <w:jc w:val="both"/>
        <w:rPr>
          <w:rFonts w:ascii="Verdana" w:eastAsia="Century Gothic" w:hAnsi="Verdana" w:cs="Century Gothic"/>
          <w:b/>
          <w:bCs/>
          <w:lang w:val="es-ES" w:eastAsia="es-MX"/>
        </w:rPr>
      </w:pPr>
    </w:p>
    <w:p w14:paraId="3359F91D" w14:textId="77777777" w:rsidR="001C5F37" w:rsidRPr="001C5F37" w:rsidRDefault="001C5F37" w:rsidP="001C5F37">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1C5F37">
        <w:rPr>
          <w:rFonts w:ascii="Verdana" w:eastAsia="Century Gothic" w:hAnsi="Verdana" w:cs="Century Gothic"/>
          <w:b/>
          <w:bCs/>
          <w:lang w:val="es-ES" w:eastAsia="es-MX"/>
        </w:rPr>
        <w:t>Razones de la respuesta:</w:t>
      </w:r>
    </w:p>
    <w:p w14:paraId="1DB6A5F4" w14:textId="77777777" w:rsidR="001C5F37" w:rsidRPr="001C5F37" w:rsidRDefault="001C5F37" w:rsidP="001C5F37">
      <w:pPr>
        <w:tabs>
          <w:tab w:val="left" w:pos="142"/>
          <w:tab w:val="left" w:pos="284"/>
        </w:tabs>
        <w:snapToGrid w:val="0"/>
        <w:spacing w:after="0" w:line="276" w:lineRule="auto"/>
        <w:jc w:val="both"/>
        <w:rPr>
          <w:rFonts w:ascii="Verdana" w:eastAsia="Century Gothic" w:hAnsi="Verdana" w:cs="Century Gothic"/>
          <w:b/>
          <w:bCs/>
          <w:lang w:val="es-ES" w:eastAsia="es-MX"/>
        </w:rPr>
      </w:pPr>
    </w:p>
    <w:p w14:paraId="03094202" w14:textId="77777777" w:rsidR="001C5F37" w:rsidRPr="001C5F37" w:rsidRDefault="001C5F37" w:rsidP="001C5F37">
      <w:pPr>
        <w:snapToGrid w:val="0"/>
        <w:spacing w:after="0" w:line="276" w:lineRule="auto"/>
        <w:jc w:val="both"/>
        <w:rPr>
          <w:rFonts w:ascii="Verdana" w:eastAsia="Calibri" w:hAnsi="Verdana" w:cs="Arial"/>
          <w:lang w:val="es-ES" w:eastAsia="es-MX"/>
        </w:rPr>
      </w:pPr>
      <w:r w:rsidRPr="001C5F37">
        <w:rPr>
          <w:rFonts w:ascii="Verdana" w:eastAsia="Calibri" w:hAnsi="Verdana" w:cs="Arial"/>
          <w:lang w:val="es-ES" w:eastAsia="es-MX"/>
        </w:rPr>
        <w:t xml:space="preserve">Lo anterior se sustenta en las siguientes consideraciones: </w:t>
      </w:r>
    </w:p>
    <w:p w14:paraId="1535FB54" w14:textId="77777777" w:rsidR="001C5F37" w:rsidRPr="001C5F37" w:rsidRDefault="001C5F37" w:rsidP="001C5F37">
      <w:pPr>
        <w:spacing w:after="0" w:line="276" w:lineRule="auto"/>
        <w:jc w:val="both"/>
        <w:rPr>
          <w:rFonts w:ascii="Verdana" w:eastAsia="Calibri" w:hAnsi="Verdana" w:cs="Arial"/>
          <w:lang w:val="es-ES" w:eastAsia="es-MX"/>
        </w:rPr>
      </w:pPr>
    </w:p>
    <w:p w14:paraId="52F78CA0" w14:textId="77777777" w:rsidR="001C5F37" w:rsidRPr="001C5F37" w:rsidRDefault="001C5F37" w:rsidP="001C5F37">
      <w:pPr>
        <w:snapToGrid w:val="0"/>
        <w:spacing w:after="120" w:line="276" w:lineRule="auto"/>
        <w:jc w:val="both"/>
        <w:rPr>
          <w:rFonts w:ascii="Verdana" w:eastAsia="Calibri" w:hAnsi="Verdana" w:cs="Times New Roman"/>
          <w:lang w:val="es-ES" w:eastAsia="es-MX"/>
        </w:rPr>
      </w:pPr>
      <w:r w:rsidRPr="001C5F37">
        <w:rPr>
          <w:rFonts w:ascii="Verdana" w:eastAsia="Calibri" w:hAnsi="Verdana" w:cs="Times New Roman"/>
          <w:lang w:val="es-ES" w:eastAsia="es-MX"/>
        </w:rPr>
        <w:t xml:space="preserve">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 </w:t>
      </w:r>
      <w:r w:rsidRPr="001C5F37">
        <w:rPr>
          <w:rFonts w:ascii="Verdana" w:eastAsia="Calibri" w:hAnsi="Verdana" w:cs="Times New Roman"/>
          <w:lang w:val="es-ES" w:eastAsia="es-MX"/>
        </w:rPr>
        <w:tab/>
      </w:r>
    </w:p>
    <w:p w14:paraId="7DDAAF10" w14:textId="77777777" w:rsidR="001C5F37" w:rsidRPr="001C5F37" w:rsidRDefault="001C5F37" w:rsidP="001C5F37">
      <w:pPr>
        <w:snapToGrid w:val="0"/>
        <w:spacing w:after="120" w:line="276" w:lineRule="auto"/>
        <w:ind w:firstLine="709"/>
        <w:jc w:val="both"/>
        <w:rPr>
          <w:rFonts w:ascii="Verdana" w:eastAsia="Calibri" w:hAnsi="Verdana" w:cs="Times New Roman"/>
          <w:lang w:val="es-ES" w:eastAsia="es-MX"/>
        </w:rPr>
      </w:pPr>
      <w:r w:rsidRPr="001C5F37">
        <w:rPr>
          <w:rFonts w:ascii="Verdana" w:eastAsia="Calibri" w:hAnsi="Verdana" w:cs="Times New Roman"/>
          <w:lang w:val="es-ES" w:eastAsia="es-MX"/>
        </w:rPr>
        <w:t xml:space="preserve">Como puede observarse, la Resolución 219 de 2021 contiene un listado enunciativo de los sectores relacionados con los proyectos de infraestructura social a los cuales aplican los documentos tipo –educativo; salud; cultura, recreación y deporte–. También precisa que el alcance de cada sector estará dado por las resoluciones posteriores que expida la Agencia. A su vez, esas resoluciones desarrollarán las matrices de experiencia y los glosarios que definirán concretamente cada sector, mediante los cuales se precisará de forma detallada su ámbito de aplicación.   </w:t>
      </w:r>
    </w:p>
    <w:p w14:paraId="497AE9F4" w14:textId="77777777" w:rsidR="001C5F37" w:rsidRPr="001C5F37" w:rsidRDefault="001C5F37" w:rsidP="001C5F37">
      <w:pPr>
        <w:snapToGrid w:val="0"/>
        <w:spacing w:after="120" w:line="276" w:lineRule="auto"/>
        <w:ind w:firstLine="709"/>
        <w:jc w:val="both"/>
        <w:rPr>
          <w:rFonts w:ascii="Verdana" w:eastAsia="Calibri" w:hAnsi="Verdana" w:cs="Times New Roman"/>
          <w:lang w:val="es-ES" w:eastAsia="es-MX"/>
        </w:rPr>
      </w:pPr>
      <w:r w:rsidRPr="001C5F37">
        <w:rPr>
          <w:rFonts w:ascii="Verdana" w:eastAsia="Calibri" w:hAnsi="Verdana" w:cs="Times New Roman"/>
          <w:bCs/>
          <w:lang w:val="es-ES" w:eastAsia="es-MX"/>
        </w:rPr>
        <w:t xml:space="preserve">El 6 de agosto, 18 de noviembre y 16 de diciembre de 2021, se adoptaron los documentos tipo complementarios para los procesos de licitación de obra pública de infraestructura social relacionados con el </w:t>
      </w:r>
      <w:r w:rsidRPr="001C5F37">
        <w:rPr>
          <w:rFonts w:ascii="Verdana" w:eastAsia="Calibri" w:hAnsi="Verdana" w:cs="Times New Roman"/>
          <w:bCs/>
          <w:i/>
          <w:iCs/>
          <w:lang w:val="es-ES" w:eastAsia="es-MX"/>
        </w:rPr>
        <w:t>sector educ</w:t>
      </w:r>
      <w:r w:rsidRPr="001C5F37">
        <w:rPr>
          <w:rFonts w:ascii="Verdana" w:eastAsia="Calibri" w:hAnsi="Verdana" w:cs="Times New Roman"/>
          <w:bCs/>
          <w:i/>
          <w:lang w:val="es-ES" w:eastAsia="es-MX"/>
        </w:rPr>
        <w:t xml:space="preserve">ativo, salud, y cultura, recreación y deporte, </w:t>
      </w:r>
      <w:r w:rsidRPr="001C5F37">
        <w:rPr>
          <w:rFonts w:ascii="Verdana" w:eastAsia="Calibri" w:hAnsi="Verdana" w:cs="Times New Roman"/>
          <w:bCs/>
          <w:iCs/>
          <w:lang w:val="es-ES" w:eastAsia="es-MX"/>
        </w:rPr>
        <w:t>respectivamente</w:t>
      </w:r>
      <w:r w:rsidRPr="001C5F37">
        <w:rPr>
          <w:rFonts w:ascii="Verdana" w:eastAsia="Calibri" w:hAnsi="Verdana" w:cs="Times New Roman"/>
          <w:bCs/>
          <w:i/>
          <w:lang w:val="es-ES" w:eastAsia="es-MX"/>
        </w:rPr>
        <w:t xml:space="preserve">, </w:t>
      </w:r>
      <w:r w:rsidRPr="001C5F37">
        <w:rPr>
          <w:rFonts w:ascii="Verdana" w:eastAsia="Calibri" w:hAnsi="Verdana" w:cs="Times New Roman"/>
          <w:bCs/>
          <w:lang w:val="es-ES" w:eastAsia="es-MX"/>
        </w:rPr>
        <w:t xml:space="preserve">mediante las </w:t>
      </w:r>
      <w:r w:rsidRPr="001C5F37">
        <w:rPr>
          <w:rFonts w:ascii="Verdana" w:eastAsia="Calibri" w:hAnsi="Verdana" w:cs="Times New Roman"/>
          <w:lang w:val="es-ES" w:eastAsia="es-MX"/>
        </w:rPr>
        <w:t xml:space="preserve">Resoluciones 220, 392 y 454 de 2021. Estas Resoluciones, en el artículo 2, desarrollan el “Anexo – Glosario” y la </w:t>
      </w:r>
      <w:r w:rsidRPr="001C5F37">
        <w:rPr>
          <w:rFonts w:ascii="Verdana" w:eastAsia="Calibri" w:hAnsi="Verdana" w:cs="Times New Roman"/>
          <w:lang w:eastAsia="es-MX"/>
        </w:rPr>
        <w:t>“Matriz – Experiencia”</w:t>
      </w:r>
      <w:r w:rsidRPr="001C5F37">
        <w:rPr>
          <w:rFonts w:ascii="Verdana" w:eastAsia="Calibri" w:hAnsi="Verdana" w:cs="Times New Roman"/>
          <w:lang w:val="es-ES" w:eastAsia="es-MX"/>
        </w:rPr>
        <w:t xml:space="preserve"> para proyectos de infraestructura social para cada sector, lo que significa que estos documentos definen el alcance para </w:t>
      </w:r>
      <w:r w:rsidRPr="001C5F37">
        <w:rPr>
          <w:rFonts w:ascii="Verdana" w:eastAsia="Calibri" w:hAnsi="Verdana" w:cs="Times New Roman"/>
          <w:lang w:val="es-ES" w:eastAsia="es-MX"/>
        </w:rPr>
        <w:lastRenderedPageBreak/>
        <w:t>cada sector de manera específica. Del mismo modo, la Matriz de Experiencia de cada sector, además de estandarizar el requisito habilitante de experiencia, señala los proyectos o contratos concretos a los cuales aplican los documentos tipo, bajo el entendido de que aplicarán a los procesos de contratación cuyo objeto se relacione con alguna de las actividades establecidas de forma detallada en la Matriz de Experiencia respectiva.</w:t>
      </w:r>
    </w:p>
    <w:p w14:paraId="0B6E1A46" w14:textId="77777777" w:rsidR="001C5F37" w:rsidRPr="001C5F37" w:rsidRDefault="001C5F37" w:rsidP="001C5F37">
      <w:pPr>
        <w:snapToGrid w:val="0"/>
        <w:spacing w:after="120" w:line="276" w:lineRule="auto"/>
        <w:ind w:firstLine="709"/>
        <w:jc w:val="both"/>
        <w:rPr>
          <w:rFonts w:ascii="Verdana" w:eastAsia="Calibri" w:hAnsi="Verdana" w:cs="Times New Roman"/>
          <w:lang w:val="es-ES" w:eastAsia="es-MX"/>
        </w:rPr>
      </w:pPr>
      <w:r w:rsidRPr="001C5F37">
        <w:rPr>
          <w:rFonts w:ascii="Verdana" w:eastAsia="Calibri" w:hAnsi="Verdana" w:cs="Times New Roman"/>
          <w:lang w:val="es-ES" w:eastAsia="es-MX"/>
        </w:rPr>
        <w:t>Recientemente, los precitados documentos tipo fueron modificados mediante la Resolución No. 539 del 21 de agosto de 2025, “Por la cual se adopta la versión -2- de los documentos tipo para los procesos de selección de licitación 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19F2A0BC" w14:textId="77777777" w:rsidR="001C5F37" w:rsidRPr="001C5F37" w:rsidRDefault="001C5F37" w:rsidP="001C5F37">
      <w:pPr>
        <w:snapToGrid w:val="0"/>
        <w:spacing w:after="120" w:line="276" w:lineRule="auto"/>
        <w:ind w:firstLine="709"/>
        <w:jc w:val="both"/>
        <w:rPr>
          <w:rFonts w:ascii="Verdana" w:eastAsia="Calibri" w:hAnsi="Verdana" w:cs="Times New Roman"/>
          <w:lang w:val="es-ES" w:eastAsia="es-MX"/>
        </w:rPr>
      </w:pPr>
      <w:r w:rsidRPr="001C5F37">
        <w:rPr>
          <w:rFonts w:ascii="Verdana" w:eastAsia="Calibri" w:hAnsi="Verdana" w:cs="Times New Roman"/>
          <w:lang w:val="es-ES" w:eastAsia="es-MX"/>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0C0D13B5" w14:textId="77777777" w:rsidR="001C5F37" w:rsidRPr="001C5F37" w:rsidRDefault="001C5F37" w:rsidP="001C5F37">
      <w:pPr>
        <w:snapToGrid w:val="0"/>
        <w:spacing w:after="120" w:line="276" w:lineRule="auto"/>
        <w:ind w:firstLine="709"/>
        <w:jc w:val="both"/>
        <w:rPr>
          <w:rFonts w:ascii="Verdana" w:eastAsia="Calibri" w:hAnsi="Verdana" w:cs="Times New Roman"/>
          <w:lang w:eastAsia="es-MX"/>
        </w:rPr>
      </w:pPr>
      <w:r w:rsidRPr="001C5F37">
        <w:rPr>
          <w:rFonts w:ascii="Verdana" w:eastAsia="Calibri" w:hAnsi="Verdana" w:cs="Times New Roman"/>
          <w:lang w:eastAsia="es-MX"/>
        </w:rPr>
        <w:t xml:space="preserve">Para la determinación de los requisitos mínimos de experiencia según la “Matriz – Experiencia”, el documento base de los documentos tipo de obra pública de infraestructura social, prescribe que la entidad debe indicar la forma de análisis y establecimiento de las condiciones de experiencia, tanto general como específica. Además, deberá indicar el número de la actividad a contratar, y transcribir textualmente lo señalado en la “Matriz – Experiencia”. </w:t>
      </w:r>
    </w:p>
    <w:p w14:paraId="6CB9BE33" w14:textId="77777777" w:rsidR="001C5F37" w:rsidRPr="001C5F37" w:rsidRDefault="001C5F37" w:rsidP="001C5F37">
      <w:pPr>
        <w:snapToGrid w:val="0"/>
        <w:spacing w:after="120" w:line="276" w:lineRule="auto"/>
        <w:ind w:firstLine="709"/>
        <w:jc w:val="both"/>
        <w:rPr>
          <w:rFonts w:ascii="Verdana" w:eastAsia="Calibri" w:hAnsi="Verdana" w:cs="Times New Roman"/>
          <w:lang w:val="es-ES" w:eastAsia="es-MX"/>
        </w:rPr>
      </w:pPr>
      <w:r w:rsidRPr="001C5F37">
        <w:rPr>
          <w:rFonts w:ascii="Verdana" w:eastAsia="Calibri" w:hAnsi="Verdana" w:cs="Times New Roman"/>
          <w:lang w:val="es-ES" w:eastAsia="es-MX"/>
        </w:rPr>
        <w:t xml:space="preserve">La Matrices de Experiencia de los documentos tipo de infraestructura social se componen de varios capítulos que contemplan diferentes actividades y obras a contratar por parte de la entidad estatal. A su vez, en estas matrices se </w:t>
      </w:r>
      <w:r w:rsidRPr="001C5F37">
        <w:rPr>
          <w:rFonts w:ascii="Verdana" w:eastAsia="Calibri" w:hAnsi="Verdana" w:cs="Times New Roman"/>
          <w:lang w:val="es-ES" w:eastAsia="es-MX"/>
        </w:rPr>
        <w:lastRenderedPageBreak/>
        <w:t xml:space="preserve">establecen las actividades a contratar que hacen parte de un tipo o grupo de infraestructura, las cuales señalan las condiciones y requerimientos de experiencia general y específica. </w:t>
      </w:r>
    </w:p>
    <w:p w14:paraId="2CC29441" w14:textId="77777777" w:rsidR="001C5F37" w:rsidRPr="001C5F37" w:rsidRDefault="001C5F37" w:rsidP="001C5F37">
      <w:pPr>
        <w:snapToGrid w:val="0"/>
        <w:spacing w:after="120" w:line="276" w:lineRule="auto"/>
        <w:ind w:firstLine="709"/>
        <w:jc w:val="both"/>
        <w:rPr>
          <w:rFonts w:ascii="Verdana" w:eastAsia="Calibri" w:hAnsi="Verdana" w:cs="Times New Roman"/>
          <w:lang w:val="es-ES" w:eastAsia="es-MX"/>
        </w:rPr>
      </w:pPr>
      <w:r w:rsidRPr="001C5F37">
        <w:rPr>
          <w:rFonts w:ascii="Verdana" w:eastAsia="Calibri" w:hAnsi="Verdana" w:cs="Times New Roman"/>
          <w:lang w:val="es-ES" w:eastAsia="es-MX"/>
        </w:rPr>
        <w:t>La experiencia específica, dependiendo del tipo de “actividad a contratar”, puede contener un “% de dimensionamiento” con la implementación de un factor (F%), el cual es definido por el rango de SMMLV en el cual se encuentre el presupuesto oficial del proceso de contratación. Así mismo, en la parte inferior de la matriz se establecen los lineamientos para su aplicación, incluyendo aspectos asociados con la forma en la cual se establecen las reglas de combinaciones entre las diferentes “actividades a contratar” y aspectos generales de la Matriz de Experiencia.</w:t>
      </w:r>
    </w:p>
    <w:p w14:paraId="3FBE407A" w14:textId="77777777" w:rsidR="001C5F37" w:rsidRPr="001C5F37" w:rsidRDefault="001C5F37" w:rsidP="001C5F37">
      <w:pPr>
        <w:adjustRightInd w:val="0"/>
        <w:snapToGrid w:val="0"/>
        <w:spacing w:after="120" w:line="276" w:lineRule="auto"/>
        <w:ind w:firstLine="709"/>
        <w:jc w:val="both"/>
        <w:rPr>
          <w:rFonts w:ascii="Verdana" w:eastAsia="Calibri" w:hAnsi="Verdana" w:cs="Times New Roman"/>
          <w:lang w:eastAsia="es-MX"/>
        </w:rPr>
      </w:pPr>
      <w:r w:rsidRPr="001C5F37">
        <w:rPr>
          <w:rFonts w:ascii="Verdana" w:eastAsia="Calibri" w:hAnsi="Verdana" w:cs="Times New Roman"/>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habilitante de experiencia, de acuerdo con: i) el tipo de obra de infraestructura social, </w:t>
      </w:r>
      <w:proofErr w:type="spellStart"/>
      <w:r w:rsidRPr="001C5F37">
        <w:rPr>
          <w:rFonts w:ascii="Verdana" w:eastAsia="Calibri" w:hAnsi="Verdana" w:cs="Times New Roman"/>
          <w:lang w:eastAsia="es-MX"/>
        </w:rPr>
        <w:t>ii</w:t>
      </w:r>
      <w:proofErr w:type="spellEnd"/>
      <w:r w:rsidRPr="001C5F37">
        <w:rPr>
          <w:rFonts w:ascii="Verdana" w:eastAsia="Calibri" w:hAnsi="Verdana" w:cs="Times New Roman"/>
          <w:lang w:eastAsia="es-MX"/>
        </w:rPr>
        <w:t xml:space="preserve">) la actividad a contratar y </w:t>
      </w:r>
      <w:proofErr w:type="spellStart"/>
      <w:r w:rsidRPr="001C5F37">
        <w:rPr>
          <w:rFonts w:ascii="Verdana" w:eastAsia="Calibri" w:hAnsi="Verdana" w:cs="Times New Roman"/>
          <w:lang w:eastAsia="es-MX"/>
        </w:rPr>
        <w:t>iii</w:t>
      </w:r>
      <w:proofErr w:type="spellEnd"/>
      <w:r w:rsidRPr="001C5F37">
        <w:rPr>
          <w:rFonts w:ascii="Verdana" w:eastAsia="Calibri" w:hAnsi="Verdana" w:cs="Times New Roman"/>
          <w:lang w:eastAsia="es-MX"/>
        </w:rPr>
        <w:t>) la cuantía del proceso de contratación.</w:t>
      </w:r>
    </w:p>
    <w:p w14:paraId="00BC7160" w14:textId="77777777" w:rsidR="001C5F37" w:rsidRPr="001C5F37" w:rsidRDefault="001C5F37" w:rsidP="001C5F37">
      <w:pPr>
        <w:spacing w:after="12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Además, estas matrices constan de unas celdas en las que se describe la experiencia requerida en relación con el objeto a contratar, definiendo además qué tipo de actividades relacionadas con cada sector deben acogerse a los pliegos tipo. Por otro lado, se encuentra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58561650" w14:textId="77777777" w:rsidR="001C5F37" w:rsidRPr="001C5F37" w:rsidRDefault="001C5F37" w:rsidP="001C5F37">
      <w:pPr>
        <w:spacing w:after="12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i/>
          <w:iCs/>
          <w:kern w:val="2"/>
          <w14:ligatures w14:val="standardContextual"/>
        </w:rPr>
        <w:t>En cuanto a la primera pregunta de su petición,</w:t>
      </w:r>
      <w:r w:rsidRPr="001C5F37">
        <w:rPr>
          <w:rFonts w:ascii="Verdana" w:eastAsia="Aptos" w:hAnsi="Verdana" w:cs="Times New Roman"/>
          <w:kern w:val="2"/>
          <w14:ligatures w14:val="standardContextual"/>
        </w:rPr>
        <w:t xml:space="preserve"> conviene señalar que, el alcance de la actividad a contratar de la matriz de experiencia del sector social para el subsector Institucional identificada con como la 2.11. implementada para “</w:t>
      </w:r>
      <w:r w:rsidRPr="001C5F37">
        <w:rPr>
          <w:rFonts w:ascii="Verdana" w:eastAsia="Aptos" w:hAnsi="Verdana" w:cs="Times New Roman"/>
          <w:i/>
          <w:iCs/>
          <w:kern w:val="2"/>
          <w14:ligatures w14:val="standardContextual"/>
        </w:rPr>
        <w:t>suministro y/o instalación de dotación y/o de mobiliario interno o externo para infraestructura de servicio público</w:t>
      </w:r>
      <w:r w:rsidRPr="001C5F37">
        <w:rPr>
          <w:rFonts w:ascii="Verdana" w:eastAsia="Aptos" w:hAnsi="Verdana" w:cs="Times New Roman"/>
          <w:kern w:val="2"/>
          <w14:ligatures w14:val="standardContextual"/>
        </w:rPr>
        <w:t xml:space="preserve">”, determina para acreditar la experiencia general, que se presenten proyectos que correspondan y/o contemplen actividades de suministro y/o instalación de dotación y/o de mobiliario interno o externo para edificaciones y como experiencia especifica; además, exige que los proponentes acrediten que por lo menos uno (1) de los contratos válidos </w:t>
      </w:r>
      <w:r w:rsidRPr="001C5F37">
        <w:rPr>
          <w:rFonts w:ascii="Verdana" w:eastAsia="Aptos" w:hAnsi="Verdana" w:cs="Times New Roman"/>
          <w:kern w:val="2"/>
          <w14:ligatures w14:val="standardContextual"/>
        </w:rPr>
        <w:lastRenderedPageBreak/>
        <w:t>aportados como experiencia general corresponda al 30% del presupuesto oficial del proceso de selección.</w:t>
      </w:r>
    </w:p>
    <w:p w14:paraId="79A2DBDE" w14:textId="77777777" w:rsidR="001C5F37" w:rsidRPr="001C5F37" w:rsidRDefault="001C5F37" w:rsidP="001C5F37">
      <w:pPr>
        <w:spacing w:after="12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Sobre este tipo de experiencia, debe advertirse que la misma debe interpretarse como una actividad o tipo de experiencia que una Entidad puede solicitar, para que sea acreditada por los proponentes dentro de un proceso de contratación del sector de infraestructura social. Sin embargo, su incorporación dentro de la matriz de experiencia del sector Institucional no significa, por sí sola, que todo contrato cuyo objeto solo sea suministrar e instalar mobiliario interno o externo para infraestructura de servicio público, quede automáticamente sometido a los Documentos Tipo.  Es decir que la presencia de actividades de suministro e instalación dentro de las matrices de experiencia no implica que dichas actividades, consideradas aisladamente, constituyan necesariamente contratos de obra pública, ni que siempre deban acogerse a la aplicación de los Documentos Tipo.</w:t>
      </w:r>
    </w:p>
    <w:p w14:paraId="77D9D306" w14:textId="77777777" w:rsidR="001C5F37" w:rsidRPr="001C5F37" w:rsidRDefault="001C5F37" w:rsidP="001C5F37">
      <w:pPr>
        <w:spacing w:after="12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Por lo tanto, la inclusión de la actividad a contratar 2.11 de la matriz de experiencia del sector social – Institucional, debe analizarse en conjunto con el objeto del proceso y con la finalidad de la contratación. Si el suministro e instalación del mobiliario, bien sea interior o exterior, forma parte de un proyecto de infraestructura social o de una intervención sobre una edificación pública comprendida dentro del ámbito de aplicación de las resoluciones expedidas por Colombia Compra Eficiente, la entidad podría encontrarse con un proceso sujeto a los Documentos Tipo. En cambio, si el objeto contractual consiste exclusivamente en la adquisición, suministro e instalación de mobiliario, sin que exista una intervención relevante sobre la infraestructura, no puede concluirse automáticamente que el proceso esté sometido a dichos documentos.</w:t>
      </w:r>
    </w:p>
    <w:p w14:paraId="7A818549" w14:textId="77777777" w:rsidR="001C5F37" w:rsidRPr="001C5F37" w:rsidRDefault="001C5F37" w:rsidP="001C5F37">
      <w:pPr>
        <w:spacing w:after="12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En ese orden, para bienes susceptibles de disponerse en una edificación o instalarse en el espacio público, la determinación dependerá del análisis de la prestación principal, de la finalidad contractual y del grado de integración de las actividades con la infraestructura existente.</w:t>
      </w:r>
    </w:p>
    <w:p w14:paraId="55E34851" w14:textId="77777777" w:rsidR="001C5F37" w:rsidRPr="001C5F37" w:rsidRDefault="001C5F37" w:rsidP="001C5F37">
      <w:pPr>
        <w:spacing w:after="12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i/>
          <w:iCs/>
          <w:kern w:val="2"/>
          <w14:ligatures w14:val="standardContextual"/>
        </w:rPr>
        <w:t>En lo que respecta a su segunda pregunta,</w:t>
      </w:r>
      <w:r w:rsidRPr="001C5F37">
        <w:rPr>
          <w:rFonts w:ascii="Verdana" w:eastAsia="Aptos" w:hAnsi="Verdana" w:cs="Times New Roman"/>
          <w:kern w:val="2"/>
          <w14:ligatures w14:val="standardContextual"/>
        </w:rPr>
        <w:t xml:space="preserve"> no resulta posible afirmar de manera categórica que un contrato cuyo objeto exclusivo sea el suministro e instalación de sistemas de archivo o archivadores para una sede institucional, deba someterse a los Documentos Tipo de Infraestructura Social.</w:t>
      </w:r>
    </w:p>
    <w:p w14:paraId="0B5A1C94" w14:textId="77777777" w:rsidR="001C5F37" w:rsidRPr="001C5F37" w:rsidRDefault="001C5F37" w:rsidP="001C5F37">
      <w:pPr>
        <w:spacing w:after="12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lastRenderedPageBreak/>
        <w:t>En efecto, si la necesidad de la entidad se limita a la adquisición e instalación de mobiliario destinado al almacenamiento documental y dicha instalación no requiere intervenciones civiles, estructurales, arquitectónicas o funcionales relevantes sobre la infraestructura existente, podría considerarse que la finalidad predominante del negocio jurídico corresponde al suministro de bienes muebles y no a la ejecución de una obra pública o de un proyecto de infraestructura social.</w:t>
      </w:r>
    </w:p>
    <w:p w14:paraId="1B070261" w14:textId="77777777" w:rsidR="001C5F37" w:rsidRPr="001C5F37" w:rsidRDefault="001C5F37" w:rsidP="001C5F37">
      <w:pPr>
        <w:spacing w:after="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La sola obligación de suministrar e instalar un bien dentro de un inmueble no determina por sí misma la naturaleza de obra pública del contrato. La entidad debe analizar, entre otros aspectos:</w:t>
      </w:r>
    </w:p>
    <w:p w14:paraId="76F307F2" w14:textId="77777777" w:rsidR="001C5F37" w:rsidRPr="001C5F37" w:rsidRDefault="001C5F37" w:rsidP="001C5F37">
      <w:pPr>
        <w:spacing w:after="0" w:line="278" w:lineRule="auto"/>
        <w:jc w:val="both"/>
        <w:rPr>
          <w:rFonts w:ascii="Verdana" w:eastAsia="Aptos" w:hAnsi="Verdana" w:cs="Times New Roman"/>
          <w:kern w:val="2"/>
          <w14:ligatures w14:val="standardContextual"/>
        </w:rPr>
      </w:pPr>
    </w:p>
    <w:p w14:paraId="6484BE68" w14:textId="77777777" w:rsidR="001C5F37" w:rsidRPr="001C5F37" w:rsidRDefault="001C5F37" w:rsidP="001C5F37">
      <w:pPr>
        <w:numPr>
          <w:ilvl w:val="0"/>
          <w:numId w:val="18"/>
        </w:numPr>
        <w:spacing w:after="0" w:line="278" w:lineRule="auto"/>
        <w:contextualSpacing/>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La prestación principal del contrato.</w:t>
      </w:r>
    </w:p>
    <w:p w14:paraId="53898069" w14:textId="77777777" w:rsidR="001C5F37" w:rsidRPr="001C5F37" w:rsidRDefault="001C5F37" w:rsidP="001C5F37">
      <w:pPr>
        <w:numPr>
          <w:ilvl w:val="0"/>
          <w:numId w:val="18"/>
        </w:numPr>
        <w:spacing w:after="0" w:line="278" w:lineRule="auto"/>
        <w:contextualSpacing/>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La finalidad perseguida por las partes.</w:t>
      </w:r>
    </w:p>
    <w:p w14:paraId="5D1013CF" w14:textId="77777777" w:rsidR="001C5F37" w:rsidRPr="001C5F37" w:rsidRDefault="001C5F37" w:rsidP="001C5F37">
      <w:pPr>
        <w:numPr>
          <w:ilvl w:val="0"/>
          <w:numId w:val="18"/>
        </w:numPr>
        <w:spacing w:after="0" w:line="278" w:lineRule="auto"/>
        <w:contextualSpacing/>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La relevancia funcional y económica de cada una de las obligaciones.</w:t>
      </w:r>
    </w:p>
    <w:p w14:paraId="4CD4D9F8" w14:textId="77777777" w:rsidR="001C5F37" w:rsidRPr="001C5F37" w:rsidRDefault="001C5F37" w:rsidP="001C5F37">
      <w:pPr>
        <w:numPr>
          <w:ilvl w:val="0"/>
          <w:numId w:val="18"/>
        </w:numPr>
        <w:spacing w:after="0" w:line="278" w:lineRule="auto"/>
        <w:contextualSpacing/>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El nivel de intervención requerido sobre la infraestructura existente.</w:t>
      </w:r>
    </w:p>
    <w:p w14:paraId="1CBADCE8" w14:textId="77777777" w:rsidR="001C5F37" w:rsidRPr="001C5F37" w:rsidRDefault="001C5F37" w:rsidP="001C5F37">
      <w:pPr>
        <w:spacing w:after="0" w:line="278" w:lineRule="auto"/>
        <w:ind w:left="720"/>
        <w:contextualSpacing/>
        <w:jc w:val="both"/>
        <w:rPr>
          <w:rFonts w:ascii="Verdana" w:eastAsia="Aptos" w:hAnsi="Verdana" w:cs="Times New Roman"/>
          <w:kern w:val="2"/>
          <w14:ligatures w14:val="standardContextual"/>
        </w:rPr>
      </w:pPr>
    </w:p>
    <w:p w14:paraId="47B973A4" w14:textId="77777777" w:rsidR="001C5F37" w:rsidRPr="001C5F37" w:rsidRDefault="001C5F37" w:rsidP="001C5F37">
      <w:pPr>
        <w:spacing w:after="12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Si la instalación de archivadores o sistemas de almacenamiento documental no exige adecuaciones constructivas significativas ni genera una transformación material relevante del inmueble, podría concluirse que la instalación constituye una obligación accesoria respecto del suministro del mobiliario.</w:t>
      </w:r>
    </w:p>
    <w:p w14:paraId="30963FBC" w14:textId="77777777" w:rsidR="001C5F37" w:rsidRPr="001C5F37" w:rsidRDefault="001C5F37" w:rsidP="001C5F37">
      <w:pPr>
        <w:spacing w:after="12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En tal escenario, y siempre que el objeto no se encuentre integrado a un proyecto de infraestructura social sometido a Documentos Tipo, la entidad podría determinar que no existe obligación de aplicar los Documentos Tipo de Infraestructura Social.</w:t>
      </w:r>
    </w:p>
    <w:p w14:paraId="0F17CB05" w14:textId="77777777" w:rsidR="001C5F37" w:rsidRPr="001C5F37" w:rsidRDefault="001C5F37" w:rsidP="001C5F37">
      <w:pPr>
        <w:spacing w:after="12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i/>
          <w:iCs/>
          <w:kern w:val="2"/>
          <w14:ligatures w14:val="standardContextual"/>
        </w:rPr>
        <w:t>Finalmente, en lo que atañe a su tercer interrogante,</w:t>
      </w:r>
      <w:r w:rsidRPr="001C5F37">
        <w:rPr>
          <w:rFonts w:ascii="Verdana" w:eastAsia="Aptos" w:hAnsi="Verdana" w:cs="Times New Roman"/>
          <w:kern w:val="2"/>
          <w14:ligatures w14:val="standardContextual"/>
        </w:rPr>
        <w:t xml:space="preserve"> entendiendo que se consulta si la finalidad es calificar la experiencia de proveedores especializados en dotación y mobiliario para infraestructura pública, en principio, la inclusión de la actividad a contratar 2.11 dentro de las matrices de experiencia de Infraestructura Social busca dar opciones a las entidades que dentro de su proceso de contratación tengan relevancia de esta actividad, para que puedan incluir dentro de la experiencia del proceso garantizar la idoneidad de los oferentes para este concepto, de cara a reconocer y valorar la experiencia específica o general de los proponentes que han ejecutado actividades </w:t>
      </w:r>
      <w:r w:rsidRPr="001C5F37">
        <w:rPr>
          <w:rFonts w:ascii="Verdana" w:eastAsia="Aptos" w:hAnsi="Verdana" w:cs="Times New Roman"/>
          <w:kern w:val="2"/>
          <w14:ligatures w14:val="standardContextual"/>
        </w:rPr>
        <w:lastRenderedPageBreak/>
        <w:t>relacionadas con el suministro y/o instalación de dotación y mobiliario para infraestructura de servicio público.</w:t>
      </w:r>
    </w:p>
    <w:p w14:paraId="1ED42961" w14:textId="77777777" w:rsidR="001C5F37" w:rsidRPr="001C5F37" w:rsidRDefault="001C5F37" w:rsidP="001C5F37">
      <w:pPr>
        <w:spacing w:after="12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Desde esta perspectiva, la finalidad de la actividad a contratar 2.11 no es la de ampliar el ámbito de aplicación de los Documentos Tipo a cualquier contrato de mobiliario celebrado por una entidad pública, sino permitir que, dentro de procesos de infraestructura social que sí se encuentren sometidos a dichos documentos, puedan acreditarse experiencias relacionadas con componentes de dotación y mobiliario que hacen parte integral de proyectos de infraestructura pública.</w:t>
      </w:r>
    </w:p>
    <w:p w14:paraId="4C44284F" w14:textId="77777777" w:rsidR="001C5F37" w:rsidRPr="001C5F37" w:rsidRDefault="001C5F37" w:rsidP="001C5F37">
      <w:pPr>
        <w:spacing w:after="12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Así, la actividad a contratar 2.11 constituye una opción adicional de experiencia habilitante que permite identificar actividades especializadas vinculadas a la dotación funcional de la infraestructura de servicio público. Sin embargo, su existencia dentro de la matriz no convierte automáticamente cualquier adquisición de mobiliario en una contratación de infraestructura social, ni implica, por sí sola, la aplicación obligatoria de los Documentos Tipo.</w:t>
      </w:r>
    </w:p>
    <w:p w14:paraId="6DCB2FC5" w14:textId="77777777" w:rsidR="001C5F37" w:rsidRPr="001C5F37" w:rsidRDefault="001C5F37" w:rsidP="001C5F37">
      <w:pPr>
        <w:spacing w:after="0" w:line="276" w:lineRule="auto"/>
        <w:ind w:firstLine="709"/>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En consecuencia, la actividad a contratar 2.11 debe interpretarse como una opción para las entidades públicas, a manera de criterio de acreditación de experiencia dentro del sistema estandarizado adoptado por Colombia Compra Eficiente, cuya aplicación depende de que previamente la entidad haya determinado que el proceso contractual se encuentra efectivamente dentro del ámbito de aplicación de los Documentos Tipo de Infraestructura Social.</w:t>
      </w:r>
    </w:p>
    <w:p w14:paraId="26F486F0" w14:textId="77777777" w:rsidR="001C5F37" w:rsidRPr="001C5F37" w:rsidRDefault="001C5F37" w:rsidP="001C5F37">
      <w:pPr>
        <w:widowControl w:val="0"/>
        <w:autoSpaceDE w:val="0"/>
        <w:autoSpaceDN w:val="0"/>
        <w:spacing w:after="0" w:line="276" w:lineRule="auto"/>
        <w:jc w:val="both"/>
        <w:rPr>
          <w:rFonts w:ascii="Verdana" w:eastAsia="Calibri" w:hAnsi="Verdana" w:cs="Arial"/>
          <w:lang w:eastAsia="es-MX"/>
        </w:rPr>
      </w:pPr>
    </w:p>
    <w:p w14:paraId="0DE96E19" w14:textId="77777777" w:rsidR="001C5F37" w:rsidRPr="001C5F37" w:rsidRDefault="001C5F37" w:rsidP="001C5F37">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1C5F37">
        <w:rPr>
          <w:rFonts w:ascii="Verdana" w:eastAsia="Century Gothic" w:hAnsi="Verdana" w:cs="Century Gothic"/>
          <w:b/>
          <w:bCs/>
          <w:lang w:val="es-ES" w:eastAsia="es-MX"/>
        </w:rPr>
        <w:t>Referencias normativas, jurisprudenciales y otras fuentes:</w:t>
      </w:r>
    </w:p>
    <w:p w14:paraId="4F315E71" w14:textId="77777777" w:rsidR="001C5F37" w:rsidRPr="001C5F37" w:rsidRDefault="001C5F37" w:rsidP="001C5F37">
      <w:pPr>
        <w:widowControl w:val="0"/>
        <w:autoSpaceDE w:val="0"/>
        <w:autoSpaceDN w:val="0"/>
        <w:spacing w:after="0" w:line="276" w:lineRule="auto"/>
        <w:jc w:val="both"/>
        <w:rPr>
          <w:rFonts w:ascii="Verdana" w:eastAsia="Calibri" w:hAnsi="Verdana" w:cs="Arial"/>
          <w:lang w:eastAsia="es-MX"/>
        </w:rPr>
      </w:pPr>
    </w:p>
    <w:tbl>
      <w:tblPr>
        <w:tblStyle w:val="Tablaconcuadrcula1"/>
        <w:tblW w:w="8647" w:type="dxa"/>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8647"/>
      </w:tblGrid>
      <w:tr w:rsidR="001C5F37" w:rsidRPr="001C5F37" w14:paraId="2072B306" w14:textId="77777777" w:rsidTr="001D686A">
        <w:trPr>
          <w:trHeight w:val="870"/>
        </w:trPr>
        <w:tc>
          <w:tcPr>
            <w:tcW w:w="8647" w:type="dxa"/>
          </w:tcPr>
          <w:p w14:paraId="3400F915" w14:textId="77777777" w:rsidR="001C5F37" w:rsidRPr="001C5F37" w:rsidRDefault="001C5F37" w:rsidP="001C5F37">
            <w:pPr>
              <w:widowControl w:val="0"/>
              <w:numPr>
                <w:ilvl w:val="0"/>
                <w:numId w:val="17"/>
              </w:numPr>
              <w:autoSpaceDE w:val="0"/>
              <w:autoSpaceDN w:val="0"/>
              <w:spacing w:after="120" w:line="276" w:lineRule="auto"/>
              <w:jc w:val="both"/>
              <w:rPr>
                <w:rFonts w:ascii="Verdana" w:eastAsia="Calibri" w:hAnsi="Verdana" w:cs="Arial"/>
                <w:lang w:eastAsia="es-MX"/>
              </w:rPr>
            </w:pPr>
            <w:r w:rsidRPr="001C5F37">
              <w:rPr>
                <w:rFonts w:ascii="Verdana" w:eastAsia="Calibri" w:hAnsi="Verdana" w:cs="Arial"/>
                <w:lang w:eastAsia="es-MX"/>
              </w:rPr>
              <w:t>Ley 2022 de 2020, artículo 1.</w:t>
            </w:r>
          </w:p>
          <w:p w14:paraId="246060EA" w14:textId="77777777" w:rsidR="001C5F37" w:rsidRPr="001C5F37" w:rsidRDefault="001C5F37" w:rsidP="001C5F37">
            <w:pPr>
              <w:widowControl w:val="0"/>
              <w:numPr>
                <w:ilvl w:val="0"/>
                <w:numId w:val="17"/>
              </w:numPr>
              <w:autoSpaceDE w:val="0"/>
              <w:autoSpaceDN w:val="0"/>
              <w:spacing w:after="120" w:line="276" w:lineRule="auto"/>
              <w:jc w:val="both"/>
              <w:rPr>
                <w:rFonts w:ascii="Verdana" w:eastAsia="Calibri" w:hAnsi="Verdana" w:cs="Arial"/>
                <w:lang w:eastAsia="es-MX"/>
              </w:rPr>
            </w:pPr>
            <w:r w:rsidRPr="001C5F37">
              <w:rPr>
                <w:rFonts w:ascii="Verdana" w:eastAsia="Calibri" w:hAnsi="Verdana" w:cs="Arial"/>
                <w:lang w:eastAsia="es-MX"/>
              </w:rPr>
              <w:t xml:space="preserve">Documentos tipo de obra pública de infraestructura social, y adicionales del sector </w:t>
            </w:r>
            <w:r w:rsidRPr="001C5F37">
              <w:rPr>
                <w:rFonts w:ascii="Verdana" w:eastAsia="Calibri" w:hAnsi="Verdana" w:cs="Arial"/>
                <w:i/>
                <w:iCs/>
                <w:lang w:eastAsia="es-MX"/>
              </w:rPr>
              <w:t xml:space="preserve">institucional. </w:t>
            </w:r>
            <w:r w:rsidRPr="001C5F37">
              <w:rPr>
                <w:rFonts w:ascii="Verdana" w:eastAsia="Calibri" w:hAnsi="Verdana" w:cs="Arial"/>
                <w:lang w:eastAsia="es-MX"/>
              </w:rPr>
              <w:t xml:space="preserve">Disponibles en: </w:t>
            </w:r>
            <w:hyperlink r:id="rId11" w:history="1">
              <w:r w:rsidRPr="001C5F37">
                <w:rPr>
                  <w:rFonts w:ascii="Verdana" w:eastAsia="Calibri" w:hAnsi="Verdana" w:cs="Arial"/>
                  <w:color w:val="467886"/>
                  <w:u w:val="single"/>
                  <w:lang w:eastAsia="es-MX"/>
                </w:rPr>
                <w:t>https://www.colombiacompra.gov.co/normativa-y-relatoria/documentos-tipo</w:t>
              </w:r>
            </w:hyperlink>
            <w:r w:rsidRPr="001C5F37">
              <w:rPr>
                <w:rFonts w:ascii="Verdana" w:eastAsia="Calibri" w:hAnsi="Verdana" w:cs="Arial"/>
                <w:lang w:eastAsia="es-MX"/>
              </w:rPr>
              <w:t>.</w:t>
            </w:r>
            <w:r w:rsidRPr="001C5F37">
              <w:rPr>
                <w:rFonts w:ascii="Verdana" w:eastAsia="Calibri" w:hAnsi="Verdana" w:cs="Arial"/>
                <w:vertAlign w:val="superscript"/>
                <w:lang w:eastAsia="es-MX"/>
              </w:rPr>
              <w:t xml:space="preserve"> </w:t>
            </w:r>
          </w:p>
        </w:tc>
      </w:tr>
    </w:tbl>
    <w:p w14:paraId="6B4AA1A1" w14:textId="77777777" w:rsidR="001C5F37" w:rsidRPr="001C5F37" w:rsidRDefault="001C5F37" w:rsidP="001C5F37">
      <w:pPr>
        <w:tabs>
          <w:tab w:val="left" w:pos="142"/>
          <w:tab w:val="left" w:pos="284"/>
        </w:tabs>
        <w:spacing w:after="0" w:line="276" w:lineRule="auto"/>
        <w:jc w:val="both"/>
        <w:rPr>
          <w:rFonts w:ascii="Verdana" w:eastAsia="Calibri" w:hAnsi="Verdana" w:cs="Arial"/>
          <w:lang w:eastAsia="es-MX"/>
        </w:rPr>
      </w:pPr>
    </w:p>
    <w:p w14:paraId="29277D06" w14:textId="77777777" w:rsidR="001C5F37" w:rsidRPr="001C5F37" w:rsidRDefault="001C5F37" w:rsidP="001C5F37">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1C5F37">
        <w:rPr>
          <w:rFonts w:ascii="Verdana" w:eastAsia="Century Gothic" w:hAnsi="Verdana" w:cs="Century Gothic"/>
          <w:b/>
          <w:bCs/>
          <w:lang w:val="es-ES" w:eastAsia="es-MX"/>
        </w:rPr>
        <w:t>Doctrina de la Agencia Nacional de Contratación Pública:</w:t>
      </w:r>
    </w:p>
    <w:p w14:paraId="6AF4196E" w14:textId="77777777" w:rsidR="001C5F37" w:rsidRPr="001C5F37" w:rsidRDefault="001C5F37" w:rsidP="001C5F37">
      <w:pPr>
        <w:widowControl w:val="0"/>
        <w:autoSpaceDE w:val="0"/>
        <w:autoSpaceDN w:val="0"/>
        <w:spacing w:after="0" w:line="276" w:lineRule="auto"/>
        <w:jc w:val="both"/>
        <w:rPr>
          <w:rFonts w:ascii="Verdana" w:eastAsia="Calibri" w:hAnsi="Verdana" w:cs="Arial"/>
          <w:lang w:eastAsia="es-MX"/>
        </w:rPr>
      </w:pPr>
    </w:p>
    <w:p w14:paraId="31809164" w14:textId="77777777" w:rsidR="001C5F37" w:rsidRPr="001C5F37" w:rsidRDefault="001C5F37" w:rsidP="001C5F37">
      <w:pPr>
        <w:widowControl w:val="0"/>
        <w:autoSpaceDE w:val="0"/>
        <w:autoSpaceDN w:val="0"/>
        <w:spacing w:after="0" w:line="276" w:lineRule="auto"/>
        <w:jc w:val="both"/>
        <w:rPr>
          <w:rFonts w:ascii="Verdana" w:eastAsia="Times New Roman" w:hAnsi="Verdana" w:cs="Arial"/>
          <w:kern w:val="2"/>
          <w:shd w:val="clear" w:color="auto" w:fill="FFFFFF"/>
          <w:lang w:val="es-ES" w:eastAsia="es-MX"/>
          <w14:ligatures w14:val="standardContextual"/>
        </w:rPr>
      </w:pPr>
      <w:r w:rsidRPr="001C5F37">
        <w:rPr>
          <w:rFonts w:ascii="Verdana" w:eastAsia="Calibri" w:hAnsi="Verdana" w:cs="Arial"/>
          <w:shd w:val="clear" w:color="auto" w:fill="FFFFFF"/>
          <w:lang w:val="es-ES" w:eastAsia="es-MX"/>
        </w:rPr>
        <w:t>La Agencia Nacional de Contratación Pública – Colombia Compra Eficiente se pronunció</w:t>
      </w:r>
      <w:r w:rsidRPr="001C5F37">
        <w:rPr>
          <w:rFonts w:ascii="Aptos" w:eastAsia="Aptos" w:hAnsi="Aptos" w:cs="Times New Roman"/>
          <w:sz w:val="24"/>
          <w:szCs w:val="24"/>
          <w:lang w:eastAsia="es-MX"/>
        </w:rPr>
        <w:t xml:space="preserve"> </w:t>
      </w:r>
      <w:r w:rsidRPr="001C5F37">
        <w:rPr>
          <w:rFonts w:ascii="Verdana" w:eastAsia="Calibri" w:hAnsi="Verdana" w:cs="Arial"/>
          <w:shd w:val="clear" w:color="auto" w:fill="FFFFFF"/>
          <w:lang w:val="es-ES" w:eastAsia="es-MX"/>
        </w:rPr>
        <w:t xml:space="preserve">sobre el ámbito de aplicación de los documentos tipo de </w:t>
      </w:r>
      <w:r w:rsidRPr="001C5F37">
        <w:rPr>
          <w:rFonts w:ascii="Verdana" w:eastAsia="Calibri" w:hAnsi="Verdana" w:cs="Arial"/>
          <w:shd w:val="clear" w:color="auto" w:fill="FFFFFF"/>
          <w:lang w:val="es-ES" w:eastAsia="es-MX"/>
        </w:rPr>
        <w:lastRenderedPageBreak/>
        <w:t xml:space="preserve">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 C-472 del 24 de septiembre de 2024, C-469 del 23 de mayo de 2025, C-1772 del 22 de diciembre de 2025, C-232 del 11 de marzo de 2026, C-486 del 7 de mayo de 2026, entre otros. </w:t>
      </w:r>
      <w:r w:rsidRPr="001C5F37">
        <w:rPr>
          <w:rFonts w:ascii="Verdana" w:eastAsia="Times New Roman" w:hAnsi="Verdana" w:cs="Arial"/>
          <w:kern w:val="2"/>
          <w:shd w:val="clear" w:color="auto" w:fill="FFFFFF"/>
          <w:lang w:val="es-ES"/>
          <w14:ligatures w14:val="standardContextual"/>
        </w:rPr>
        <w:t>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2" w:tgtFrame="_blank" w:tooltip="Dirección URL original: https://relatoria.colombiacompra.gov.co/. Haga clic o pulse si confía en este vínculo." w:history="1">
        <w:r w:rsidRPr="001C5F37">
          <w:rPr>
            <w:rFonts w:ascii="Verdana" w:eastAsia="Times New Roman" w:hAnsi="Verdana" w:cs="Arial"/>
            <w:kern w:val="2"/>
            <w:shd w:val="clear" w:color="auto" w:fill="FFFFFF"/>
            <w:lang w:val="es-ES"/>
            <w14:ligatures w14:val="standardContextual"/>
          </w:rPr>
          <w:t>https://relatoria.colombiacompra.gov.co/</w:t>
        </w:r>
      </w:hyperlink>
      <w:r w:rsidRPr="001C5F37">
        <w:rPr>
          <w:rFonts w:ascii="Verdana" w:eastAsia="Times New Roman" w:hAnsi="Verdana" w:cs="Arial"/>
          <w:kern w:val="2"/>
          <w:shd w:val="clear" w:color="auto" w:fill="FFFFFF"/>
          <w:lang w:val="es-ES"/>
          <w14:ligatures w14:val="standardContextual"/>
        </w:rPr>
        <w:t>.</w:t>
      </w:r>
    </w:p>
    <w:p w14:paraId="2C5669B1" w14:textId="77777777" w:rsidR="001C5F37" w:rsidRPr="001C5F37" w:rsidRDefault="001C5F37" w:rsidP="001C5F37">
      <w:pPr>
        <w:spacing w:after="0" w:line="240" w:lineRule="auto"/>
        <w:jc w:val="both"/>
        <w:rPr>
          <w:rFonts w:ascii="Verdana" w:eastAsia="Calibri" w:hAnsi="Verdana" w:cs="Arial"/>
          <w:color w:val="000000"/>
          <w:kern w:val="2"/>
          <w:shd w:val="clear" w:color="auto" w:fill="FFFFFF"/>
          <w:lang w:val="es-ES_tradnl"/>
          <w14:ligatures w14:val="standardContextual"/>
        </w:rPr>
      </w:pPr>
    </w:p>
    <w:p w14:paraId="0A218644" w14:textId="77777777" w:rsidR="001C5F37" w:rsidRPr="001C5F37" w:rsidRDefault="001C5F37" w:rsidP="001C5F37">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1C5F37">
        <w:rPr>
          <w:rFonts w:ascii="Verdana" w:eastAsia="Calibri" w:hAnsi="Verdana" w:cs="Arial"/>
          <w:kern w:val="2"/>
          <w:shd w:val="clear" w:color="auto" w:fill="FFFFFF"/>
          <w:lang w:val="es-ES_tradnl"/>
          <w14:ligatures w14:val="standardContextual"/>
        </w:rPr>
        <w:t>La</w:t>
      </w:r>
      <w:r w:rsidRPr="001C5F37">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1C5F37">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1C5F37">
        <w:rPr>
          <w:rFonts w:ascii="Verdana" w:eastAsia="Calibri" w:hAnsi="Verdana" w:cs="Arial"/>
          <w:b/>
          <w:bCs/>
          <w:kern w:val="2"/>
          <w:shd w:val="clear" w:color="auto" w:fill="FFFFFF"/>
          <w:lang w:val="es-ES_tradnl"/>
          <w14:ligatures w14:val="standardContextual"/>
        </w:rPr>
        <w:t>Documentos Tipo</w:t>
      </w:r>
      <w:r w:rsidRPr="001C5F37">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1C5F37">
        <w:rPr>
          <w:rFonts w:ascii="Verdana" w:eastAsia="Calibri" w:hAnsi="Verdana" w:cs="Arial"/>
          <w:b/>
          <w:bCs/>
          <w:kern w:val="2"/>
          <w:shd w:val="clear" w:color="auto" w:fill="FFFFFF"/>
          <w:lang w:val="es-ES_tradnl"/>
          <w14:ligatures w14:val="standardContextual"/>
        </w:rPr>
        <w:t>transparencia</w:t>
      </w:r>
      <w:r w:rsidRPr="001C5F37">
        <w:rPr>
          <w:rFonts w:ascii="Verdana" w:eastAsia="Calibri" w:hAnsi="Verdana" w:cs="Arial"/>
          <w:kern w:val="2"/>
          <w:shd w:val="clear" w:color="auto" w:fill="FFFFFF"/>
          <w:lang w:val="es-ES_tradnl"/>
          <w14:ligatures w14:val="standardContextual"/>
        </w:rPr>
        <w:t> y promover un proceso de </w:t>
      </w:r>
      <w:r w:rsidRPr="001C5F37">
        <w:rPr>
          <w:rFonts w:ascii="Verdana" w:eastAsia="Calibri" w:hAnsi="Verdana" w:cs="Arial"/>
          <w:b/>
          <w:bCs/>
          <w:kern w:val="2"/>
          <w:shd w:val="clear" w:color="auto" w:fill="FFFFFF"/>
          <w:lang w:val="es-ES_tradnl"/>
          <w14:ligatures w14:val="standardContextual"/>
        </w:rPr>
        <w:t>selección objetiva</w:t>
      </w:r>
      <w:r w:rsidRPr="001C5F37">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4328A5CF" w14:textId="77777777" w:rsidR="001C5F37" w:rsidRPr="001C5F37" w:rsidRDefault="001C5F37" w:rsidP="001C5F37">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096DDE81" w14:textId="77777777" w:rsidR="001C5F37" w:rsidRPr="001C5F37" w:rsidRDefault="001C5F37" w:rsidP="001C5F37">
      <w:pPr>
        <w:spacing w:after="0" w:line="276" w:lineRule="auto"/>
        <w:jc w:val="both"/>
        <w:rPr>
          <w:rFonts w:ascii="Verdana" w:eastAsia="Aptos" w:hAnsi="Verdana" w:cs="Times New Roman"/>
          <w:kern w:val="2"/>
          <w:lang w:val="es-ES_tradnl"/>
          <w14:ligatures w14:val="standardContextual"/>
        </w:rPr>
      </w:pPr>
      <w:r w:rsidRPr="001C5F37">
        <w:rPr>
          <w:rFonts w:ascii="Verdana" w:eastAsia="Aptos" w:hAnsi="Verdana" w:cs="Times New Roman"/>
          <w:kern w:val="2"/>
          <w14:ligatures w14:val="standardContextual"/>
        </w:rPr>
        <w:t>Las garantías no son un requisito formal: son el instrumento con el que se protege el patrimonio público frente a los riesgos del contrato. Por ello, la Agencia Nacional de Contratación Pública –Colombia Compra Eficiente– le invita a consultar la nueva versión de la </w:t>
      </w:r>
      <w:r w:rsidRPr="001C5F37">
        <w:rPr>
          <w:rFonts w:ascii="Verdana" w:eastAsia="Aptos" w:hAnsi="Verdana" w:cs="Times New Roman"/>
          <w:b/>
          <w:bCs/>
          <w:kern w:val="2"/>
          <w14:ligatures w14:val="standardContextual"/>
        </w:rPr>
        <w:t>Guía para la Exigencia y Constitución de Garantías en los Procesos de Contratación</w:t>
      </w:r>
      <w:r w:rsidRPr="001C5F37">
        <w:rPr>
          <w:rFonts w:ascii="Verdana" w:eastAsia="Aptos" w:hAnsi="Verdana" w:cs="Times New Roman"/>
          <w:kern w:val="2"/>
          <w14:ligatures w14:val="standardContextual"/>
        </w:rPr>
        <w:t>,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Consúltela aquí: </w:t>
      </w:r>
      <w:hyperlink r:id="rId13" w:tgtFrame="_blank" w:tooltip="Original URL: https://www.colombiacompra.gov.co/archivos/manual/guia-de-garantias-en-procesos-de-contratacion. Click or tap if you trust this link." w:history="1">
        <w:r w:rsidRPr="001C5F37">
          <w:rPr>
            <w:rFonts w:ascii="Verdana" w:eastAsia="Aptos" w:hAnsi="Verdana" w:cs="Times New Roman"/>
            <w:color w:val="0000FF"/>
            <w:kern w:val="2"/>
            <w:u w:val="single"/>
            <w14:ligatures w14:val="standardContextual"/>
          </w:rPr>
          <w:t>https://www.colombiacompra.gov.co/archivos/manual/guia-de-garantias-en-procesos-de-contratacion</w:t>
        </w:r>
      </w:hyperlink>
    </w:p>
    <w:p w14:paraId="56FDA858" w14:textId="77777777" w:rsidR="001C5F37" w:rsidRPr="001C5F37" w:rsidRDefault="001C5F37" w:rsidP="001C5F37">
      <w:pPr>
        <w:spacing w:after="0" w:line="276" w:lineRule="auto"/>
        <w:jc w:val="both"/>
        <w:rPr>
          <w:rFonts w:ascii="Verdana" w:eastAsia="Aptos" w:hAnsi="Verdana" w:cs="Times New Roman"/>
          <w:kern w:val="2"/>
          <w14:ligatures w14:val="standardContextual"/>
        </w:rPr>
      </w:pPr>
    </w:p>
    <w:p w14:paraId="5C301B9F" w14:textId="77777777" w:rsidR="001C5F37" w:rsidRPr="001C5F37" w:rsidRDefault="001C5F37" w:rsidP="001C5F37">
      <w:pPr>
        <w:spacing w:after="0" w:line="276" w:lineRule="auto"/>
        <w:jc w:val="both"/>
        <w:rPr>
          <w:rFonts w:ascii="Verdana" w:eastAsia="Aptos" w:hAnsi="Verdana" w:cs="Times New Roman"/>
          <w:kern w:val="2"/>
          <w:lang w:val="es-ES_tradnl"/>
          <w14:ligatures w14:val="standardContextual"/>
        </w:rPr>
      </w:pPr>
      <w:r w:rsidRPr="001C5F37">
        <w:rPr>
          <w:rFonts w:ascii="Verdana" w:eastAsia="Aptos" w:hAnsi="Verdana" w:cs="Times New Roman"/>
          <w:kern w:val="2"/>
          <w14:ligatures w14:val="standardContextual"/>
        </w:rPr>
        <w:lastRenderedPageBreak/>
        <w:t>De otro lado, le contamos que el Decreto 287 del 19 de marzo de 2026 sustituyó los artículos 2.2.1.2.4.2.6., 2.2.1.2.4.2.7. y 2.2.1.2.4.2.8. del Decreto 1082 de 2015 y estructuró el </w:t>
      </w:r>
      <w:r w:rsidRPr="001C5F37">
        <w:rPr>
          <w:rFonts w:ascii="Verdana" w:eastAsia="Aptos" w:hAnsi="Verdana" w:cs="Times New Roman"/>
          <w:b/>
          <w:bCs/>
          <w:kern w:val="2"/>
          <w14:ligatures w14:val="standardContextual"/>
        </w:rPr>
        <w:t>Sistema Integral de Preferencias en favor de las personas con discapacidad</w:t>
      </w:r>
      <w:r w:rsidRPr="001C5F37">
        <w:rPr>
          <w:rFonts w:ascii="Verdana" w:eastAsia="Aptos" w:hAnsi="Verdana" w:cs="Times New Roman"/>
          <w:kern w:val="2"/>
          <w14:ligatures w14:val="standardContextual"/>
        </w:rPr>
        <w:t>, en cumplimiento del artículo 13 de la Ley Estatutaria 1618 de 2013. Para orientar su aplicación, esta Agencia expidió la </w:t>
      </w:r>
      <w:r w:rsidRPr="001C5F37">
        <w:rPr>
          <w:rFonts w:ascii="Verdana" w:eastAsia="Aptos" w:hAnsi="Verdana" w:cs="Times New Roman"/>
          <w:b/>
          <w:bCs/>
          <w:kern w:val="2"/>
          <w14:ligatures w14:val="standardContextual"/>
        </w:rPr>
        <w:t>Circular Externa 003 del 12 de mayo de 2026, </w:t>
      </w:r>
      <w:r w:rsidRPr="001C5F37">
        <w:rPr>
          <w:rFonts w:ascii="Verdana" w:eastAsia="Aptos" w:hAnsi="Verdana" w:cs="Times New Roman"/>
          <w:kern w:val="2"/>
          <w14:ligatures w14:val="standardContextual"/>
        </w:rPr>
        <w:t>en la que precisa quiénes son los beneficiarios, las cinco medidas que integran el sistema y su obligatoriedad según la modalidad de selección, y el régimen de transición aplicable a los procesos en curso. Consúltela aquí: </w:t>
      </w:r>
      <w:hyperlink r:id="rId14" w:tgtFrame="_blank" w:tooltip="Original URL: https://www.colombiacompra.gov.co/archivos/circular/circular-externa-003-de-2026. Click or tap if you trust this link." w:history="1">
        <w:r w:rsidRPr="001C5F37">
          <w:rPr>
            <w:rFonts w:ascii="Verdana" w:eastAsia="Aptos" w:hAnsi="Verdana" w:cs="Times New Roman"/>
            <w:color w:val="0000FF"/>
            <w:kern w:val="2"/>
            <w:u w:val="single"/>
            <w14:ligatures w14:val="standardContextual"/>
          </w:rPr>
          <w:t>https://www.colombiacompra.gov.co/archivos/circular/circular-externa-003-de-2026</w:t>
        </w:r>
      </w:hyperlink>
    </w:p>
    <w:p w14:paraId="3CA092EE" w14:textId="77777777" w:rsidR="001C5F37" w:rsidRPr="001C5F37" w:rsidRDefault="001C5F37" w:rsidP="001C5F37">
      <w:pPr>
        <w:spacing w:after="0" w:line="276" w:lineRule="auto"/>
        <w:jc w:val="both"/>
        <w:rPr>
          <w:rFonts w:ascii="Verdana" w:eastAsia="Aptos" w:hAnsi="Verdana" w:cs="Times New Roman"/>
          <w:kern w:val="2"/>
          <w14:ligatures w14:val="standardContextual"/>
        </w:rPr>
      </w:pPr>
    </w:p>
    <w:p w14:paraId="77318B13" w14:textId="77777777" w:rsidR="001C5F37" w:rsidRPr="001C5F37" w:rsidRDefault="001C5F37" w:rsidP="001C5F37">
      <w:pPr>
        <w:spacing w:after="0" w:line="276" w:lineRule="auto"/>
        <w:jc w:val="both"/>
        <w:rPr>
          <w:rFonts w:ascii="Verdana" w:eastAsia="Aptos" w:hAnsi="Verdana" w:cs="Times New Roman"/>
          <w:kern w:val="2"/>
          <w:lang w:val="es-ES_tradnl"/>
          <w14:ligatures w14:val="standardContextual"/>
        </w:rPr>
      </w:pPr>
      <w:r w:rsidRPr="001C5F37">
        <w:rPr>
          <w:rFonts w:ascii="Verdana" w:eastAsia="Aptos" w:hAnsi="Verdana" w:cs="Times New Roman"/>
          <w:kern w:val="2"/>
          <w14:ligatures w14:val="standardContextual"/>
        </w:rPr>
        <w:t>Recuerde también que la</w:t>
      </w:r>
      <w:r w:rsidRPr="001C5F37">
        <w:rPr>
          <w:rFonts w:ascii="Verdana" w:eastAsia="Aptos" w:hAnsi="Verdana" w:cs="Times New Roman"/>
          <w:b/>
          <w:bCs/>
          <w:kern w:val="2"/>
          <w14:ligatures w14:val="standardContextual"/>
        </w:rPr>
        <w:t> información sobre sanciones e inhabilidades </w:t>
      </w:r>
      <w:r w:rsidRPr="001C5F37">
        <w:rPr>
          <w:rFonts w:ascii="Verdana" w:eastAsia="Aptos" w:hAnsi="Verdana" w:cs="Times New Roman"/>
          <w:kern w:val="2"/>
          <w14:ligatures w14:val="standardContextual"/>
        </w:rPr>
        <w:t>solo cumple su función preventiva si llega oportunamente a los registros públicos. Sobre este deber, esta Agencia expidió la </w:t>
      </w:r>
      <w:r w:rsidRPr="001C5F37">
        <w:rPr>
          <w:rFonts w:ascii="Verdana" w:eastAsia="Aptos" w:hAnsi="Verdana" w:cs="Times New Roman"/>
          <w:b/>
          <w:bCs/>
          <w:kern w:val="2"/>
          <w14:ligatures w14:val="standardContextual"/>
        </w:rPr>
        <w:t>Circular Externa 002 del 5 de mayo de 2026,</w:t>
      </w:r>
      <w:r w:rsidRPr="001C5F37">
        <w:rPr>
          <w:rFonts w:ascii="Verdana" w:eastAsia="Aptos" w:hAnsi="Verdana" w:cs="Times New Roman"/>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Original URL: https://www.colombiacompra.gov.co/archivos/circular/circular-externa-002-de-2026. Click or tap if you trust this link." w:history="1">
        <w:r w:rsidRPr="001C5F37">
          <w:rPr>
            <w:rFonts w:ascii="Verdana" w:eastAsia="Aptos" w:hAnsi="Verdana" w:cs="Times New Roman"/>
            <w:color w:val="0000FF"/>
            <w:kern w:val="2"/>
            <w:u w:val="single"/>
            <w14:ligatures w14:val="standardContextual"/>
          </w:rPr>
          <w:t>https://www.colombiacompra.gov.co/archivos/circular/circular-externa-002-de-2026</w:t>
        </w:r>
      </w:hyperlink>
    </w:p>
    <w:p w14:paraId="42B15735" w14:textId="77777777" w:rsidR="001C5F37" w:rsidRPr="001C5F37" w:rsidRDefault="001C5F37" w:rsidP="001C5F37">
      <w:pPr>
        <w:spacing w:after="0" w:line="276" w:lineRule="auto"/>
        <w:jc w:val="both"/>
        <w:rPr>
          <w:rFonts w:ascii="Verdana" w:eastAsia="Aptos" w:hAnsi="Verdana" w:cs="Times New Roman"/>
          <w:kern w:val="2"/>
          <w14:ligatures w14:val="standardContextual"/>
        </w:rPr>
      </w:pPr>
    </w:p>
    <w:p w14:paraId="286B571C" w14:textId="4228427F" w:rsidR="001C5F37" w:rsidRPr="001C5F37" w:rsidRDefault="001C5F37" w:rsidP="001C5F37">
      <w:pPr>
        <w:spacing w:after="0" w:line="276" w:lineRule="auto"/>
        <w:jc w:val="both"/>
        <w:rPr>
          <w:rFonts w:ascii="Verdana" w:eastAsia="Aptos" w:hAnsi="Verdana" w:cs="Times New Roman"/>
          <w:kern w:val="2"/>
          <w14:ligatures w14:val="standardContextual"/>
        </w:rPr>
      </w:pPr>
      <w:r w:rsidRPr="001C5F37">
        <w:rPr>
          <w:rFonts w:ascii="Verdana" w:eastAsia="Aptos" w:hAnsi="Verdana" w:cs="Times New Roman"/>
          <w:kern w:val="2"/>
          <w14:ligatures w14:val="standardContextual"/>
        </w:rPr>
        <w:t>Finalmente, si quiere seguir de cerca la actividad de la Agencia, la tercera edición de 2026 del</w:t>
      </w:r>
      <w:r w:rsidRPr="001C5F37">
        <w:rPr>
          <w:rFonts w:ascii="Verdana" w:eastAsia="Aptos" w:hAnsi="Verdana" w:cs="Times New Roman"/>
          <w:b/>
          <w:bCs/>
          <w:kern w:val="2"/>
          <w14:ligatures w14:val="standardContextual"/>
        </w:rPr>
        <w:t> Radar de la Compra Pública</w:t>
      </w:r>
      <w:r w:rsidRPr="001C5F37">
        <w:rPr>
          <w:rFonts w:ascii="Verdana" w:eastAsia="Aptos" w:hAnsi="Verdana" w:cs="Times New Roman"/>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6" w:tgtFrame="_blank" w:tooltip="Original URL: https://www.colombiacompra.gov.co/archivos/boletin/boletin-edicion-n-3-de-2026-radar-de-la-compra-publica. Click or tap if you trust this link." w:history="1">
        <w:r w:rsidRPr="001C5F37">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38F99242" w14:textId="77777777" w:rsidR="001C5F37" w:rsidRPr="001C5F37" w:rsidRDefault="001C5F37" w:rsidP="001C5F37">
      <w:pPr>
        <w:widowControl w:val="0"/>
        <w:autoSpaceDE w:val="0"/>
        <w:autoSpaceDN w:val="0"/>
        <w:spacing w:after="0" w:line="276" w:lineRule="auto"/>
        <w:jc w:val="both"/>
        <w:rPr>
          <w:rFonts w:ascii="Verdana" w:eastAsia="Calibri" w:hAnsi="Verdana" w:cs="Arial"/>
          <w:shd w:val="clear" w:color="auto" w:fill="FFFFFF"/>
          <w:lang w:val="es-ES_tradnl"/>
        </w:rPr>
      </w:pPr>
    </w:p>
    <w:p w14:paraId="596CB395" w14:textId="77777777" w:rsidR="001C5F37" w:rsidRPr="001C5F37" w:rsidRDefault="001C5F37" w:rsidP="001C5F37">
      <w:pPr>
        <w:spacing w:after="0" w:line="276" w:lineRule="auto"/>
        <w:jc w:val="both"/>
        <w:rPr>
          <w:rFonts w:ascii="Verdana" w:eastAsia="Calibri" w:hAnsi="Verdana" w:cs="Times New Roman"/>
          <w:lang w:val="es-ES_tradnl"/>
        </w:rPr>
      </w:pPr>
      <w:r w:rsidRPr="001C5F37">
        <w:rPr>
          <w:rFonts w:ascii="Verdana" w:eastAsia="Calibri" w:hAnsi="Verdana" w:cs="Times New Roman"/>
          <w:lang w:val="es-ES_tradnl"/>
        </w:rPr>
        <w:t xml:space="preserve">Los invitamos a seguirnos en las redes sociales, en las cuales se difunde información institucional: </w:t>
      </w:r>
    </w:p>
    <w:p w14:paraId="3A325184" w14:textId="77777777" w:rsidR="001C5F37" w:rsidRPr="001C5F37" w:rsidRDefault="001C5F37" w:rsidP="001C5F37">
      <w:pPr>
        <w:spacing w:after="0" w:line="240" w:lineRule="auto"/>
        <w:jc w:val="both"/>
        <w:rPr>
          <w:rFonts w:ascii="Verdana" w:eastAsia="Calibri" w:hAnsi="Verdana" w:cs="Times New Roman"/>
          <w:kern w:val="2"/>
          <w:lang w:val="es-ES_tradnl" w:eastAsia="es-MX"/>
          <w14:ligatures w14:val="standardContextual"/>
        </w:rPr>
      </w:pPr>
    </w:p>
    <w:p w14:paraId="376E0E7E" w14:textId="77777777" w:rsidR="001C5F37" w:rsidRPr="001C5F37" w:rsidRDefault="001C5F37" w:rsidP="001C5F37">
      <w:pPr>
        <w:spacing w:after="0" w:line="240" w:lineRule="auto"/>
        <w:jc w:val="both"/>
        <w:rPr>
          <w:rFonts w:ascii="Verdana" w:eastAsia="Calibri" w:hAnsi="Verdana" w:cs="Times New Roman"/>
          <w:kern w:val="2"/>
          <w:lang w:val="es-ES_tradnl" w:eastAsia="es-MX"/>
          <w14:ligatures w14:val="standardContextual"/>
        </w:rPr>
      </w:pPr>
      <w:r w:rsidRPr="001C5F37">
        <w:rPr>
          <w:rFonts w:ascii="Verdana" w:eastAsia="Calibri" w:hAnsi="Verdana" w:cs="Times New Roman"/>
          <w:kern w:val="2"/>
          <w:lang w:val="es-ES_tradnl" w:eastAsia="es-MX"/>
          <w14:ligatures w14:val="standardContextual"/>
        </w:rPr>
        <w:lastRenderedPageBreak/>
        <w:t xml:space="preserve">X: </w:t>
      </w:r>
      <w:r w:rsidRPr="001C5F37">
        <w:rPr>
          <w:rFonts w:ascii="Verdana" w:eastAsia="Calibri" w:hAnsi="Verdana" w:cs="Times New Roman"/>
          <w:kern w:val="2"/>
          <w:u w:val="single"/>
          <w:lang w:val="es-ES_tradnl" w:eastAsia="es-MX"/>
          <w14:ligatures w14:val="standardContextual"/>
        </w:rPr>
        <w:t>@colombiacompra</w:t>
      </w:r>
      <w:r w:rsidRPr="001C5F37">
        <w:rPr>
          <w:rFonts w:ascii="Verdana" w:eastAsia="Calibri" w:hAnsi="Verdana" w:cs="Times New Roman"/>
          <w:kern w:val="2"/>
          <w:lang w:val="es-ES_tradnl" w:eastAsia="es-MX"/>
          <w14:ligatures w14:val="standardContextual"/>
        </w:rPr>
        <w:t xml:space="preserve"> </w:t>
      </w:r>
    </w:p>
    <w:p w14:paraId="142ED3F0" w14:textId="77777777" w:rsidR="001C5F37" w:rsidRPr="001C5F37" w:rsidRDefault="001C5F37" w:rsidP="001C5F37">
      <w:pPr>
        <w:spacing w:after="0" w:line="240" w:lineRule="auto"/>
        <w:jc w:val="both"/>
        <w:rPr>
          <w:rFonts w:ascii="Verdana" w:eastAsia="Calibri" w:hAnsi="Verdana" w:cs="Times New Roman"/>
          <w:kern w:val="2"/>
          <w:lang w:val="es-ES" w:eastAsia="es-MX"/>
          <w14:ligatures w14:val="standardContextual"/>
        </w:rPr>
      </w:pPr>
      <w:r w:rsidRPr="001C5F37">
        <w:rPr>
          <w:rFonts w:ascii="Verdana" w:eastAsia="Calibri" w:hAnsi="Verdana" w:cs="Times New Roman"/>
          <w:kern w:val="2"/>
          <w:lang w:val="es-ES" w:eastAsia="es-MX"/>
          <w14:ligatures w14:val="standardContextual"/>
        </w:rPr>
        <w:t xml:space="preserve">Facebook: </w:t>
      </w:r>
      <w:proofErr w:type="spellStart"/>
      <w:r w:rsidRPr="001C5F37">
        <w:rPr>
          <w:rFonts w:ascii="Verdana" w:eastAsia="Calibri" w:hAnsi="Verdana" w:cs="Times New Roman"/>
          <w:kern w:val="2"/>
          <w:u w:val="single"/>
          <w:lang w:val="es-ES" w:eastAsia="es-MX"/>
          <w14:ligatures w14:val="standardContextual"/>
        </w:rPr>
        <w:t>ColombiaCompraEficiente</w:t>
      </w:r>
      <w:proofErr w:type="spellEnd"/>
    </w:p>
    <w:p w14:paraId="638561B2" w14:textId="77777777" w:rsidR="001C5F37" w:rsidRPr="001C5F37" w:rsidRDefault="001C5F37" w:rsidP="001C5F37">
      <w:pPr>
        <w:spacing w:after="0" w:line="240" w:lineRule="auto"/>
        <w:jc w:val="both"/>
        <w:rPr>
          <w:rFonts w:ascii="Verdana" w:eastAsia="Calibri" w:hAnsi="Verdana" w:cs="Times New Roman"/>
          <w:kern w:val="2"/>
          <w:lang w:val="es-ES_tradnl" w:eastAsia="es-MX"/>
          <w14:ligatures w14:val="standardContextual"/>
        </w:rPr>
      </w:pPr>
      <w:r w:rsidRPr="001C5F37">
        <w:rPr>
          <w:rFonts w:ascii="Verdana" w:eastAsia="Calibri" w:hAnsi="Verdana" w:cs="Times New Roman"/>
          <w:kern w:val="2"/>
          <w:lang w:val="es-ES_tradnl" w:eastAsia="es-MX"/>
          <w14:ligatures w14:val="standardContextual"/>
        </w:rPr>
        <w:t xml:space="preserve">LinkedIn: </w:t>
      </w:r>
      <w:r w:rsidRPr="001C5F37">
        <w:rPr>
          <w:rFonts w:ascii="Verdana" w:eastAsia="Calibri" w:hAnsi="Verdana" w:cs="Times New Roman"/>
          <w:kern w:val="2"/>
          <w:u w:val="single"/>
          <w:lang w:val="es-ES_tradnl" w:eastAsia="es-MX"/>
          <w14:ligatures w14:val="standardContextual"/>
        </w:rPr>
        <w:t>Agencia Nacional de Contratación Pública - Colombia Compra Eficiente</w:t>
      </w:r>
      <w:r w:rsidRPr="001C5F37">
        <w:rPr>
          <w:rFonts w:ascii="Verdana" w:eastAsia="Calibri" w:hAnsi="Verdana" w:cs="Times New Roman"/>
          <w:kern w:val="2"/>
          <w:lang w:val="es-ES_tradnl" w:eastAsia="es-MX"/>
          <w14:ligatures w14:val="standardContextual"/>
        </w:rPr>
        <w:t xml:space="preserve"> Instagram: </w:t>
      </w:r>
      <w:r w:rsidRPr="001C5F37">
        <w:rPr>
          <w:rFonts w:ascii="Verdana" w:eastAsia="Calibri" w:hAnsi="Verdana" w:cs="Times New Roman"/>
          <w:kern w:val="2"/>
          <w:u w:val="single"/>
          <w:lang w:val="es-ES_tradnl" w:eastAsia="es-MX"/>
          <w14:ligatures w14:val="standardContextual"/>
        </w:rPr>
        <w:t>@colombiacompraeficiente_cce</w:t>
      </w:r>
    </w:p>
    <w:p w14:paraId="0F01DCC2" w14:textId="77777777" w:rsidR="001C5F37" w:rsidRPr="001C5F37" w:rsidRDefault="001C5F37" w:rsidP="001C5F37">
      <w:pPr>
        <w:widowControl w:val="0"/>
        <w:autoSpaceDE w:val="0"/>
        <w:autoSpaceDN w:val="0"/>
        <w:spacing w:after="0" w:line="276" w:lineRule="auto"/>
        <w:jc w:val="both"/>
        <w:rPr>
          <w:rFonts w:ascii="Verdana" w:eastAsia="Calibri" w:hAnsi="Verdana" w:cs="Arial"/>
          <w:kern w:val="2"/>
          <w:lang w:val="es-ES_tradnl" w:eastAsia="es-MX"/>
          <w14:ligatures w14:val="standardContextual"/>
        </w:rPr>
      </w:pPr>
    </w:p>
    <w:p w14:paraId="557EB1F4" w14:textId="77777777" w:rsidR="001C5F37" w:rsidRPr="001C5F37" w:rsidRDefault="001C5F37" w:rsidP="001C5F37">
      <w:pPr>
        <w:widowControl w:val="0"/>
        <w:autoSpaceDE w:val="0"/>
        <w:autoSpaceDN w:val="0"/>
        <w:spacing w:after="0" w:line="276" w:lineRule="auto"/>
        <w:jc w:val="both"/>
        <w:rPr>
          <w:rFonts w:ascii="Verdana" w:eastAsia="Calibri" w:hAnsi="Verdana" w:cs="Arial"/>
          <w:lang w:eastAsia="es-MX"/>
        </w:rPr>
      </w:pPr>
      <w:r w:rsidRPr="001C5F37">
        <w:rPr>
          <w:rFonts w:ascii="Verdana" w:eastAsia="Calibri" w:hAnsi="Verdana" w:cs="Arial"/>
          <w:kern w:val="2"/>
          <w:lang w:val="es-ES_tradnl" w:eastAsia="es-MX"/>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787DAF4F" w14:textId="77777777" w:rsidR="001C5F37" w:rsidRPr="001C5F37" w:rsidRDefault="001C5F37" w:rsidP="001C5F37">
      <w:pPr>
        <w:widowControl w:val="0"/>
        <w:autoSpaceDE w:val="0"/>
        <w:autoSpaceDN w:val="0"/>
        <w:spacing w:after="0" w:line="276" w:lineRule="auto"/>
        <w:jc w:val="both"/>
        <w:rPr>
          <w:rFonts w:ascii="Verdana" w:eastAsia="Calibri" w:hAnsi="Verdana" w:cs="Arial"/>
          <w:lang w:eastAsia="es-MX"/>
        </w:rPr>
      </w:pPr>
    </w:p>
    <w:p w14:paraId="08BB6975" w14:textId="77777777" w:rsidR="001C5F37" w:rsidRPr="001C5F37" w:rsidRDefault="001C5F37" w:rsidP="001C5F37">
      <w:pPr>
        <w:spacing w:after="0" w:line="240" w:lineRule="auto"/>
        <w:rPr>
          <w:rFonts w:ascii="Verdana" w:eastAsia="Calibri" w:hAnsi="Verdana" w:cs="Arial"/>
          <w:lang w:eastAsia="es-CO"/>
        </w:rPr>
      </w:pPr>
      <w:r w:rsidRPr="001C5F37">
        <w:rPr>
          <w:rFonts w:ascii="Verdana" w:eastAsia="Times New Roman" w:hAnsi="Verdana" w:cs="Arial"/>
          <w:lang w:eastAsia="es-CO"/>
        </w:rPr>
        <w:t>Atentamente,</w:t>
      </w:r>
      <w:r w:rsidRPr="001C5F37">
        <w:rPr>
          <w:rFonts w:ascii="Verdana" w:eastAsia="Calibri" w:hAnsi="Verdana" w:cs="Arial"/>
          <w:lang w:eastAsia="es-CO"/>
        </w:rPr>
        <w:t xml:space="preserve"> </w:t>
      </w:r>
    </w:p>
    <w:p w14:paraId="18C95572" w14:textId="04BED160" w:rsidR="001C5F37" w:rsidRPr="001C5F37" w:rsidRDefault="00B75CC2" w:rsidP="001C5F37">
      <w:pPr>
        <w:tabs>
          <w:tab w:val="left" w:pos="1320"/>
        </w:tabs>
        <w:spacing w:after="0" w:line="240" w:lineRule="auto"/>
        <w:jc w:val="center"/>
        <w:rPr>
          <w:rFonts w:ascii="Verdana" w:eastAsia="Calibri" w:hAnsi="Verdana" w:cs="Times New Roman"/>
          <w:sz w:val="24"/>
          <w:szCs w:val="24"/>
          <w:lang w:eastAsia="es-MX"/>
        </w:rPr>
      </w:pPr>
      <w:r w:rsidRPr="002C3AD6">
        <w:rPr>
          <w:rFonts w:ascii="Century Gothic" w:hAnsi="Century Gothic"/>
          <w:noProof/>
        </w:rPr>
        <w:drawing>
          <wp:inline distT="0" distB="0" distL="0" distR="0" wp14:anchorId="2772F4E4" wp14:editId="00299E55">
            <wp:extent cx="3200400" cy="1188026"/>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stretch>
                      <a:fillRect/>
                    </a:stretch>
                  </pic:blipFill>
                  <pic:spPr>
                    <a:xfrm>
                      <a:off x="0" y="0"/>
                      <a:ext cx="3219498" cy="1195115"/>
                    </a:xfrm>
                    <a:prstGeom prst="rect">
                      <a:avLst/>
                    </a:prstGeom>
                  </pic:spPr>
                </pic:pic>
              </a:graphicData>
            </a:graphic>
          </wp:inline>
        </w:drawing>
      </w:r>
    </w:p>
    <w:tbl>
      <w:tblPr>
        <w:tblStyle w:val="Tablaconcuadrcula1"/>
        <w:tblW w:w="6521" w:type="dxa"/>
        <w:tblLook w:val="04A0" w:firstRow="1" w:lastRow="0" w:firstColumn="1" w:lastColumn="0" w:noHBand="0" w:noVBand="1"/>
      </w:tblPr>
      <w:tblGrid>
        <w:gridCol w:w="893"/>
        <w:gridCol w:w="5628"/>
      </w:tblGrid>
      <w:tr w:rsidR="001C5F37" w:rsidRPr="001C5F37" w14:paraId="1581292D" w14:textId="77777777" w:rsidTr="001D686A">
        <w:trPr>
          <w:trHeight w:val="315"/>
        </w:trPr>
        <w:tc>
          <w:tcPr>
            <w:tcW w:w="893" w:type="dxa"/>
            <w:tcBorders>
              <w:top w:val="nil"/>
              <w:left w:val="nil"/>
              <w:bottom w:val="nil"/>
              <w:right w:val="nil"/>
            </w:tcBorders>
            <w:vAlign w:val="center"/>
            <w:hideMark/>
          </w:tcPr>
          <w:p w14:paraId="7EDFA2C5" w14:textId="77777777" w:rsidR="001C5F37" w:rsidRPr="001C5F37" w:rsidRDefault="001C5F37" w:rsidP="001C5F37">
            <w:pPr>
              <w:rPr>
                <w:rFonts w:ascii="Verdana" w:eastAsia="Calibri" w:hAnsi="Verdana" w:cs="Arial"/>
                <w:sz w:val="16"/>
                <w:szCs w:val="16"/>
                <w:lang w:eastAsia="es-ES"/>
              </w:rPr>
            </w:pPr>
            <w:r w:rsidRPr="001C5F37">
              <w:rPr>
                <w:rFonts w:ascii="Verdana" w:eastAsia="Calibri" w:hAnsi="Verdana" w:cs="Arial"/>
                <w:sz w:val="16"/>
                <w:szCs w:val="16"/>
                <w:lang w:eastAsia="es-ES"/>
              </w:rPr>
              <w:t>Elaboró:</w:t>
            </w:r>
          </w:p>
        </w:tc>
        <w:tc>
          <w:tcPr>
            <w:tcW w:w="5628" w:type="dxa"/>
            <w:tcBorders>
              <w:top w:val="nil"/>
              <w:left w:val="nil"/>
              <w:bottom w:val="dotted" w:sz="4" w:space="0" w:color="7F7F7F"/>
              <w:right w:val="nil"/>
            </w:tcBorders>
            <w:vAlign w:val="center"/>
            <w:hideMark/>
          </w:tcPr>
          <w:p w14:paraId="64744DC9" w14:textId="77777777" w:rsidR="001C5F37" w:rsidRPr="001C5F37" w:rsidRDefault="001C5F37" w:rsidP="001C5F37">
            <w:pPr>
              <w:rPr>
                <w:rFonts w:ascii="Verdana" w:eastAsia="Arial" w:hAnsi="Verdana" w:cs="Arial"/>
                <w:sz w:val="16"/>
                <w:szCs w:val="16"/>
                <w:lang w:eastAsia="es-MX"/>
              </w:rPr>
            </w:pPr>
            <w:r w:rsidRPr="001C5F37">
              <w:rPr>
                <w:rFonts w:ascii="Verdana" w:eastAsia="Arial" w:hAnsi="Verdana" w:cs="Arial"/>
                <w:sz w:val="16"/>
                <w:szCs w:val="16"/>
                <w:lang w:eastAsia="es-MX"/>
              </w:rPr>
              <w:t>Kevin Arlid Herrera Santa</w:t>
            </w:r>
          </w:p>
          <w:p w14:paraId="5CD8F95A" w14:textId="77777777" w:rsidR="001C5F37" w:rsidRPr="001C5F37" w:rsidRDefault="001C5F37" w:rsidP="001C5F37">
            <w:pPr>
              <w:rPr>
                <w:rFonts w:ascii="Verdana" w:eastAsia="Arial" w:hAnsi="Verdana" w:cs="Arial"/>
                <w:sz w:val="16"/>
                <w:szCs w:val="16"/>
                <w:lang w:eastAsia="es-MX"/>
              </w:rPr>
            </w:pPr>
            <w:r w:rsidRPr="001C5F37">
              <w:rPr>
                <w:rFonts w:ascii="Verdana" w:eastAsia="Arial" w:hAnsi="Verdana" w:cs="Arial"/>
                <w:sz w:val="16"/>
                <w:szCs w:val="16"/>
                <w:lang w:eastAsia="es-MX"/>
              </w:rPr>
              <w:t>Contratista de la Subdirección de Gestión Contractual</w:t>
            </w:r>
          </w:p>
          <w:p w14:paraId="0AE2C9AA" w14:textId="77777777" w:rsidR="001C5F37" w:rsidRPr="001C5F37" w:rsidRDefault="001C5F37" w:rsidP="001C5F37">
            <w:pPr>
              <w:rPr>
                <w:rFonts w:ascii="Verdana" w:eastAsia="Arial" w:hAnsi="Verdana" w:cs="Arial"/>
                <w:sz w:val="16"/>
                <w:szCs w:val="16"/>
                <w:lang w:eastAsia="es-MX"/>
              </w:rPr>
            </w:pPr>
            <w:r w:rsidRPr="001C5F37">
              <w:rPr>
                <w:rFonts w:ascii="Verdana" w:eastAsia="Arial" w:hAnsi="Verdana" w:cs="Arial"/>
                <w:sz w:val="16"/>
                <w:szCs w:val="16"/>
                <w:lang w:eastAsia="es-MX"/>
              </w:rPr>
              <w:t>Alexandra Rodríguez Motta</w:t>
            </w:r>
          </w:p>
          <w:p w14:paraId="395F3BAD" w14:textId="77777777" w:rsidR="001C5F37" w:rsidRPr="001C5F37" w:rsidRDefault="001C5F37" w:rsidP="001C5F37">
            <w:pPr>
              <w:rPr>
                <w:rFonts w:ascii="Verdana" w:eastAsia="Arial" w:hAnsi="Verdana" w:cs="Arial"/>
                <w:sz w:val="16"/>
                <w:szCs w:val="16"/>
                <w:lang w:eastAsia="es-MX"/>
              </w:rPr>
            </w:pPr>
            <w:r w:rsidRPr="001C5F37">
              <w:rPr>
                <w:rFonts w:ascii="Verdana" w:eastAsia="Arial" w:hAnsi="Verdana" w:cs="Arial"/>
                <w:sz w:val="16"/>
                <w:szCs w:val="16"/>
                <w:lang w:eastAsia="es-MX"/>
              </w:rPr>
              <w:t>Contratista de la Subdirección de Gestión Contractual</w:t>
            </w:r>
          </w:p>
        </w:tc>
      </w:tr>
      <w:tr w:rsidR="001C5F37" w:rsidRPr="001C5F37" w14:paraId="667E74C3" w14:textId="77777777" w:rsidTr="001D686A">
        <w:trPr>
          <w:trHeight w:val="330"/>
        </w:trPr>
        <w:tc>
          <w:tcPr>
            <w:tcW w:w="893" w:type="dxa"/>
            <w:tcBorders>
              <w:top w:val="nil"/>
              <w:left w:val="nil"/>
              <w:bottom w:val="nil"/>
              <w:right w:val="nil"/>
            </w:tcBorders>
            <w:vAlign w:val="center"/>
            <w:hideMark/>
          </w:tcPr>
          <w:p w14:paraId="17156836" w14:textId="77777777" w:rsidR="001C5F37" w:rsidRPr="001C5F37" w:rsidRDefault="001C5F37" w:rsidP="001C5F37">
            <w:pPr>
              <w:rPr>
                <w:rFonts w:ascii="Verdana" w:eastAsia="Calibri" w:hAnsi="Verdana" w:cs="Arial"/>
                <w:sz w:val="16"/>
                <w:szCs w:val="16"/>
                <w:lang w:eastAsia="es-ES"/>
              </w:rPr>
            </w:pPr>
            <w:r w:rsidRPr="001C5F37">
              <w:rPr>
                <w:rFonts w:ascii="Verdana" w:eastAsia="Calibri" w:hAnsi="Verdana" w:cs="Arial"/>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2B4B9052" w14:textId="77777777" w:rsidR="001C5F37" w:rsidRPr="001C5F37" w:rsidRDefault="001C5F37" w:rsidP="001C5F37">
            <w:pPr>
              <w:textAlignment w:val="baseline"/>
              <w:rPr>
                <w:rFonts w:ascii="Verdana" w:eastAsia="Times New Roman" w:hAnsi="Verdana" w:cs="Segoe UI"/>
                <w:sz w:val="16"/>
                <w:szCs w:val="16"/>
                <w:lang w:val="es-ES" w:eastAsia="es-ES"/>
              </w:rPr>
            </w:pPr>
            <w:r w:rsidRPr="001C5F37">
              <w:rPr>
                <w:rFonts w:ascii="Verdana" w:eastAsia="Times New Roman" w:hAnsi="Verdana" w:cs="Segoe UI"/>
                <w:sz w:val="16"/>
                <w:szCs w:val="16"/>
                <w:lang w:val="es-ES" w:eastAsia="es-ES"/>
              </w:rPr>
              <w:t>Juan David Cárdenas Cabeza</w:t>
            </w:r>
          </w:p>
          <w:p w14:paraId="0CEC762E" w14:textId="77777777" w:rsidR="001C5F37" w:rsidRPr="001C5F37" w:rsidRDefault="001C5F37" w:rsidP="001C5F37">
            <w:pPr>
              <w:textAlignment w:val="baseline"/>
              <w:rPr>
                <w:rFonts w:ascii="Verdana" w:eastAsia="Times New Roman" w:hAnsi="Verdana" w:cs="Segoe UI"/>
                <w:sz w:val="16"/>
                <w:szCs w:val="16"/>
                <w:lang w:eastAsia="es-ES_tradnl"/>
              </w:rPr>
            </w:pPr>
            <w:r w:rsidRPr="001C5F37">
              <w:rPr>
                <w:rFonts w:ascii="Verdana" w:eastAsia="Times New Roman" w:hAnsi="Verdana" w:cs="Arial"/>
                <w:sz w:val="16"/>
                <w:szCs w:val="16"/>
                <w:lang w:val="es-ES_tradnl" w:eastAsia="es-ES_tradnl"/>
              </w:rPr>
              <w:t>Contratista de la Subdirección de Gestión Contractual </w:t>
            </w:r>
          </w:p>
        </w:tc>
      </w:tr>
      <w:tr w:rsidR="001C5F37" w:rsidRPr="001C5F37" w14:paraId="0F301FE1" w14:textId="77777777" w:rsidTr="001D686A">
        <w:trPr>
          <w:trHeight w:val="300"/>
        </w:trPr>
        <w:tc>
          <w:tcPr>
            <w:tcW w:w="893" w:type="dxa"/>
            <w:tcBorders>
              <w:top w:val="nil"/>
              <w:left w:val="nil"/>
              <w:bottom w:val="nil"/>
              <w:right w:val="nil"/>
            </w:tcBorders>
            <w:vAlign w:val="center"/>
          </w:tcPr>
          <w:p w14:paraId="1C524392" w14:textId="77777777" w:rsidR="001C5F37" w:rsidRPr="001C5F37" w:rsidRDefault="001C5F37" w:rsidP="001C5F37">
            <w:pPr>
              <w:rPr>
                <w:rFonts w:ascii="Verdana" w:eastAsia="Calibri" w:hAnsi="Verdana" w:cs="Arial"/>
                <w:sz w:val="16"/>
                <w:szCs w:val="16"/>
                <w:lang w:eastAsia="es-ES"/>
              </w:rPr>
            </w:pPr>
            <w:r w:rsidRPr="001C5F37">
              <w:rPr>
                <w:rFonts w:ascii="Verdana" w:eastAsia="Calibri" w:hAnsi="Verdana" w:cs="Arial"/>
                <w:sz w:val="16"/>
                <w:szCs w:val="16"/>
                <w:lang w:eastAsia="es-ES"/>
              </w:rPr>
              <w:t>Aprobó:</w:t>
            </w:r>
          </w:p>
        </w:tc>
        <w:tc>
          <w:tcPr>
            <w:tcW w:w="5628" w:type="dxa"/>
            <w:tcBorders>
              <w:top w:val="dotted" w:sz="4" w:space="0" w:color="7F7F7F"/>
              <w:left w:val="nil"/>
              <w:bottom w:val="dotted" w:sz="4" w:space="0" w:color="7F7F7F"/>
              <w:right w:val="nil"/>
            </w:tcBorders>
            <w:vAlign w:val="center"/>
          </w:tcPr>
          <w:p w14:paraId="1AF6ECA4" w14:textId="77777777" w:rsidR="001C5F37" w:rsidRPr="001C5F37" w:rsidRDefault="001C5F37" w:rsidP="001C5F37">
            <w:pPr>
              <w:rPr>
                <w:rFonts w:ascii="Verdana" w:eastAsia="Calibri" w:hAnsi="Verdana" w:cs="Arial"/>
                <w:sz w:val="16"/>
                <w:szCs w:val="16"/>
                <w:lang w:eastAsia="es-ES"/>
              </w:rPr>
            </w:pPr>
            <w:r w:rsidRPr="001C5F37">
              <w:rPr>
                <w:rFonts w:ascii="Verdana" w:eastAsia="Calibri" w:hAnsi="Verdana" w:cs="Arial"/>
                <w:sz w:val="16"/>
                <w:szCs w:val="16"/>
                <w:lang w:eastAsia="es-ES"/>
              </w:rPr>
              <w:t>Carolina Quintero Gacharná</w:t>
            </w:r>
          </w:p>
          <w:p w14:paraId="0DE116B0" w14:textId="77777777" w:rsidR="001C5F37" w:rsidRPr="001C5F37" w:rsidRDefault="001C5F37" w:rsidP="001C5F37">
            <w:pPr>
              <w:rPr>
                <w:rFonts w:ascii="Verdana" w:eastAsia="Calibri" w:hAnsi="Verdana" w:cs="Arial"/>
                <w:sz w:val="16"/>
                <w:szCs w:val="16"/>
                <w:lang w:eastAsia="es-ES"/>
              </w:rPr>
            </w:pPr>
            <w:r w:rsidRPr="001C5F37">
              <w:rPr>
                <w:rFonts w:ascii="Verdana" w:eastAsia="Calibri" w:hAnsi="Verdana" w:cs="Arial"/>
                <w:sz w:val="16"/>
                <w:szCs w:val="16"/>
                <w:lang w:eastAsia="es-ES"/>
              </w:rPr>
              <w:t>Subdirectora de Gestión Contractual ANCP – CCE</w:t>
            </w:r>
          </w:p>
        </w:tc>
      </w:tr>
    </w:tbl>
    <w:p w14:paraId="69BC4D14" w14:textId="53EEFFCA"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30A2F7" w14:textId="77777777" w:rsidR="00375EA7" w:rsidRDefault="00375EA7" w:rsidP="004A1847">
      <w:pPr>
        <w:spacing w:after="0" w:line="240" w:lineRule="auto"/>
      </w:pPr>
      <w:r>
        <w:separator/>
      </w:r>
    </w:p>
  </w:endnote>
  <w:endnote w:type="continuationSeparator" w:id="0">
    <w:p w14:paraId="655525A3" w14:textId="77777777" w:rsidR="00375EA7" w:rsidRDefault="00375EA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72EABC" w14:textId="77777777" w:rsidR="00375EA7" w:rsidRDefault="00375EA7" w:rsidP="004A1847">
      <w:pPr>
        <w:spacing w:after="0" w:line="240" w:lineRule="auto"/>
      </w:pPr>
      <w:r>
        <w:separator/>
      </w:r>
    </w:p>
  </w:footnote>
  <w:footnote w:type="continuationSeparator" w:id="0">
    <w:p w14:paraId="1171261A" w14:textId="77777777" w:rsidR="00375EA7" w:rsidRDefault="00375EA7" w:rsidP="004A1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5pt;height:12.8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3152A2"/>
    <w:multiLevelType w:val="hybridMultilevel"/>
    <w:tmpl w:val="D43EEA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9500940"/>
    <w:multiLevelType w:val="hybridMultilevel"/>
    <w:tmpl w:val="2EC46D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6"/>
  </w:num>
  <w:num w:numId="8" w16cid:durableId="152644682">
    <w:abstractNumId w:val="14"/>
  </w:num>
  <w:num w:numId="9" w16cid:durableId="1317221377">
    <w:abstractNumId w:val="8"/>
  </w:num>
  <w:num w:numId="10" w16cid:durableId="1471245386">
    <w:abstractNumId w:val="13"/>
  </w:num>
  <w:num w:numId="11" w16cid:durableId="289172385">
    <w:abstractNumId w:val="9"/>
  </w:num>
  <w:num w:numId="12" w16cid:durableId="1470781324">
    <w:abstractNumId w:val="1"/>
  </w:num>
  <w:num w:numId="13" w16cid:durableId="1512908409">
    <w:abstractNumId w:val="3"/>
  </w:num>
  <w:num w:numId="14" w16cid:durableId="895897244">
    <w:abstractNumId w:val="16"/>
  </w:num>
  <w:num w:numId="15" w16cid:durableId="390349800">
    <w:abstractNumId w:val="12"/>
  </w:num>
  <w:num w:numId="16" w16cid:durableId="341274352">
    <w:abstractNumId w:val="0"/>
  </w:num>
  <w:num w:numId="17" w16cid:durableId="679089576">
    <w:abstractNumId w:val="10"/>
  </w:num>
  <w:num w:numId="18" w16cid:durableId="1373075324">
    <w:abstractNumId w:val="4"/>
  </w:num>
  <w:num w:numId="19" w16cid:durableId="867641278">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B6817"/>
    <w:rsid w:val="001C5F37"/>
    <w:rsid w:val="001E4177"/>
    <w:rsid w:val="001F0B24"/>
    <w:rsid w:val="001F7DC6"/>
    <w:rsid w:val="0022400B"/>
    <w:rsid w:val="002421BB"/>
    <w:rsid w:val="0025796E"/>
    <w:rsid w:val="002707A2"/>
    <w:rsid w:val="002951A0"/>
    <w:rsid w:val="002962BC"/>
    <w:rsid w:val="002A093D"/>
    <w:rsid w:val="002A0DD0"/>
    <w:rsid w:val="002A49AC"/>
    <w:rsid w:val="002A64FD"/>
    <w:rsid w:val="002C615B"/>
    <w:rsid w:val="002C7A84"/>
    <w:rsid w:val="002E2BF8"/>
    <w:rsid w:val="002E4FD9"/>
    <w:rsid w:val="0030657A"/>
    <w:rsid w:val="00322A85"/>
    <w:rsid w:val="00324168"/>
    <w:rsid w:val="00330834"/>
    <w:rsid w:val="003448F4"/>
    <w:rsid w:val="00374F5E"/>
    <w:rsid w:val="00375EA7"/>
    <w:rsid w:val="00377E3E"/>
    <w:rsid w:val="00383C5C"/>
    <w:rsid w:val="003A5951"/>
    <w:rsid w:val="003A779E"/>
    <w:rsid w:val="003D0F4D"/>
    <w:rsid w:val="003D121B"/>
    <w:rsid w:val="003D5B0D"/>
    <w:rsid w:val="003E0499"/>
    <w:rsid w:val="003E4F80"/>
    <w:rsid w:val="003E6439"/>
    <w:rsid w:val="003F3941"/>
    <w:rsid w:val="00406575"/>
    <w:rsid w:val="00414C74"/>
    <w:rsid w:val="0042722E"/>
    <w:rsid w:val="0044528D"/>
    <w:rsid w:val="00453344"/>
    <w:rsid w:val="00466E39"/>
    <w:rsid w:val="004A1847"/>
    <w:rsid w:val="004A305D"/>
    <w:rsid w:val="004B517C"/>
    <w:rsid w:val="004D780C"/>
    <w:rsid w:val="004F21C4"/>
    <w:rsid w:val="004F685F"/>
    <w:rsid w:val="005566E8"/>
    <w:rsid w:val="00561D7E"/>
    <w:rsid w:val="00574867"/>
    <w:rsid w:val="00591460"/>
    <w:rsid w:val="005A65E0"/>
    <w:rsid w:val="005C3777"/>
    <w:rsid w:val="005C5CDC"/>
    <w:rsid w:val="005D476C"/>
    <w:rsid w:val="005F008F"/>
    <w:rsid w:val="006200BF"/>
    <w:rsid w:val="006219F8"/>
    <w:rsid w:val="006302F7"/>
    <w:rsid w:val="00646B9F"/>
    <w:rsid w:val="00665D70"/>
    <w:rsid w:val="006900D9"/>
    <w:rsid w:val="006B576D"/>
    <w:rsid w:val="00706C16"/>
    <w:rsid w:val="007340C3"/>
    <w:rsid w:val="0075235A"/>
    <w:rsid w:val="00756841"/>
    <w:rsid w:val="007649AB"/>
    <w:rsid w:val="00771D0C"/>
    <w:rsid w:val="007833AC"/>
    <w:rsid w:val="007B268C"/>
    <w:rsid w:val="007B7171"/>
    <w:rsid w:val="007C0C0F"/>
    <w:rsid w:val="007C3DC2"/>
    <w:rsid w:val="007E5497"/>
    <w:rsid w:val="00806F5F"/>
    <w:rsid w:val="0081420A"/>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9F5B95"/>
    <w:rsid w:val="00A122D3"/>
    <w:rsid w:val="00A14468"/>
    <w:rsid w:val="00A17F13"/>
    <w:rsid w:val="00A20739"/>
    <w:rsid w:val="00A23AF9"/>
    <w:rsid w:val="00A33C78"/>
    <w:rsid w:val="00AB0ADB"/>
    <w:rsid w:val="00B00C0E"/>
    <w:rsid w:val="00B01B1A"/>
    <w:rsid w:val="00B0381D"/>
    <w:rsid w:val="00B44A47"/>
    <w:rsid w:val="00B72CD3"/>
    <w:rsid w:val="00B72FFF"/>
    <w:rsid w:val="00B75CC2"/>
    <w:rsid w:val="00B80A42"/>
    <w:rsid w:val="00BC3D36"/>
    <w:rsid w:val="00BD54A6"/>
    <w:rsid w:val="00BD7F72"/>
    <w:rsid w:val="00BE1B82"/>
    <w:rsid w:val="00BF7425"/>
    <w:rsid w:val="00C04FB3"/>
    <w:rsid w:val="00C11D8B"/>
    <w:rsid w:val="00C15139"/>
    <w:rsid w:val="00C330EB"/>
    <w:rsid w:val="00C50D69"/>
    <w:rsid w:val="00C5365C"/>
    <w:rsid w:val="00C754BE"/>
    <w:rsid w:val="00C76B1C"/>
    <w:rsid w:val="00C925AC"/>
    <w:rsid w:val="00CB6357"/>
    <w:rsid w:val="00CC1B26"/>
    <w:rsid w:val="00CD7972"/>
    <w:rsid w:val="00D361FD"/>
    <w:rsid w:val="00D423A2"/>
    <w:rsid w:val="00D44E26"/>
    <w:rsid w:val="00D520D8"/>
    <w:rsid w:val="00D63AC2"/>
    <w:rsid w:val="00D72B6F"/>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D4BB5"/>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1C5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normativa-y-relatoria/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0D704A-3EF6-4A31-B0CD-767DA1271FE7}"/>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16</Pages>
  <Words>5839</Words>
  <Characters>32116</Characters>
  <Application>Microsoft Office Word</Application>
  <DocSecurity>0</DocSecurity>
  <Lines>267</Lines>
  <Paragraphs>75</Paragraphs>
  <ScaleCrop>false</ScaleCrop>
  <Company/>
  <LinksUpToDate>false</LinksUpToDate>
  <CharactersWithSpaces>37880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Herrera</cp:lastModifiedBy>
  <cp:revision>5</cp:revision>
  <cp:lastPrinted>2023-01-10T21:18:00Z</cp:lastPrinted>
  <dcterms:created xsi:type="dcterms:W3CDTF">2026-07-28T22:22:00Z</dcterms:created>
  <dcterms:modified xsi:type="dcterms:W3CDTF">2026-07-31T18:08:00Z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