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FA169" w14:textId="77777777" w:rsidR="00FE292D" w:rsidRPr="00396DBB" w:rsidRDefault="00FE292D" w:rsidP="00FE292D">
      <w:pPr>
        <w:pStyle w:val="Textoindependiente"/>
        <w:spacing w:after="0" w:line="240" w:lineRule="auto"/>
        <w:ind w:right="102"/>
        <w:jc w:val="both"/>
        <w:rPr>
          <w:rFonts w:ascii="Verdana" w:hAnsi="Verdana" w:cs="Arial"/>
          <w:b/>
          <w:color w:val="000000" w:themeColor="text1"/>
          <w:sz w:val="20"/>
          <w:szCs w:val="20"/>
          <w:lang w:val="es-ES_tradnl"/>
        </w:rPr>
      </w:pPr>
    </w:p>
    <w:p w14:paraId="48400652" w14:textId="77777777" w:rsidR="00FE292D" w:rsidRPr="00396DBB" w:rsidRDefault="00FE292D" w:rsidP="00FE292D">
      <w:pPr>
        <w:pStyle w:val="Textoindependiente"/>
        <w:spacing w:after="0" w:line="240" w:lineRule="auto"/>
        <w:ind w:right="102"/>
        <w:jc w:val="both"/>
        <w:rPr>
          <w:rFonts w:ascii="Verdana" w:hAnsi="Verdana" w:cs="Arial"/>
          <w:b/>
          <w:color w:val="000000" w:themeColor="text1"/>
          <w:lang w:val="es-ES_tradnl"/>
        </w:rPr>
      </w:pPr>
      <w:r>
        <w:rPr>
          <w:rFonts w:ascii="Verdana" w:hAnsi="Verdana" w:cs="Arial"/>
          <w:b/>
          <w:color w:val="000000" w:themeColor="text1"/>
          <w:lang w:val="es-ES_tradnl"/>
        </w:rPr>
        <w:t>CONTRATO ESTATAL</w:t>
      </w:r>
      <w:r w:rsidRPr="00396DBB">
        <w:rPr>
          <w:rFonts w:ascii="Verdana" w:hAnsi="Verdana" w:cs="Arial"/>
          <w:b/>
          <w:color w:val="000000" w:themeColor="text1"/>
          <w:lang w:val="es-ES_tradnl"/>
        </w:rPr>
        <w:t xml:space="preserve"> – </w:t>
      </w:r>
      <w:r>
        <w:rPr>
          <w:rFonts w:ascii="Verdana" w:hAnsi="Verdana" w:cs="Arial"/>
          <w:b/>
          <w:color w:val="000000" w:themeColor="text1"/>
          <w:lang w:val="es-ES_tradnl"/>
        </w:rPr>
        <w:t>Régimen jurídico</w:t>
      </w:r>
      <w:r w:rsidRPr="00396DBB">
        <w:rPr>
          <w:rFonts w:ascii="Verdana" w:hAnsi="Verdana" w:cs="Arial"/>
          <w:b/>
          <w:color w:val="000000" w:themeColor="text1"/>
          <w:lang w:val="es-ES_tradnl"/>
        </w:rPr>
        <w:t xml:space="preserve"> </w:t>
      </w:r>
    </w:p>
    <w:p w14:paraId="5B3F5513" w14:textId="77777777" w:rsidR="00FE292D" w:rsidRPr="00396DBB" w:rsidRDefault="00FE292D" w:rsidP="00FE292D">
      <w:pPr>
        <w:pStyle w:val="Textoindependiente"/>
        <w:spacing w:after="0" w:line="240" w:lineRule="auto"/>
        <w:ind w:right="102"/>
        <w:jc w:val="both"/>
        <w:rPr>
          <w:rFonts w:ascii="Verdana" w:hAnsi="Verdana" w:cs="Arial"/>
          <w:color w:val="000000" w:themeColor="text1"/>
          <w:sz w:val="20"/>
          <w:szCs w:val="20"/>
          <w:lang w:val="es-ES_tradnl"/>
        </w:rPr>
      </w:pPr>
    </w:p>
    <w:p w14:paraId="27AF9937" w14:textId="77777777" w:rsidR="00FE292D" w:rsidRDefault="00FE292D" w:rsidP="00FE292D">
      <w:pPr>
        <w:spacing w:after="0" w:line="240" w:lineRule="auto"/>
        <w:jc w:val="both"/>
        <w:rPr>
          <w:rFonts w:ascii="Verdana" w:eastAsia="Arial" w:hAnsi="Verdana" w:cs="Arial"/>
          <w:color w:val="000000" w:themeColor="text1"/>
          <w:sz w:val="20"/>
          <w:szCs w:val="20"/>
        </w:rPr>
      </w:pPr>
      <w:r>
        <w:rPr>
          <w:rFonts w:ascii="Verdana" w:eastAsia="Arial" w:hAnsi="Verdana" w:cs="Arial"/>
          <w:color w:val="000000" w:themeColor="text1"/>
          <w:sz w:val="20"/>
          <w:szCs w:val="20"/>
          <w:lang w:val="es-ES"/>
        </w:rPr>
        <w:t>E</w:t>
      </w:r>
      <w:r w:rsidRPr="00FB1576">
        <w:rPr>
          <w:rFonts w:ascii="Verdana" w:eastAsia="Arial" w:hAnsi="Verdana" w:cs="Arial"/>
          <w:color w:val="000000" w:themeColor="text1"/>
          <w:sz w:val="20"/>
          <w:szCs w:val="20"/>
          <w:lang w:val="es-ES"/>
        </w:rPr>
        <w:t xml:space="preserv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FB1576">
        <w:rPr>
          <w:rFonts w:ascii="Verdana" w:eastAsia="Arial" w:hAnsi="Verdana" w:cs="Arial"/>
          <w:color w:val="000000" w:themeColor="text1"/>
          <w:sz w:val="20"/>
          <w:szCs w:val="20"/>
        </w:rPr>
        <w:t>el inciso primero del artículo 13 dispone que “Los contratos que celebren las entidades a que se refiere el artículo 2o. del presente estatuto se regirán por las disposiciones comerciales y civiles pertinentes, salvo en las materias particularmente reguladas en esta ley”.</w:t>
      </w:r>
    </w:p>
    <w:p w14:paraId="16958842" w14:textId="77777777" w:rsidR="00FE292D" w:rsidRDefault="00FE292D" w:rsidP="00FE292D">
      <w:pPr>
        <w:spacing w:after="0" w:line="240" w:lineRule="auto"/>
        <w:jc w:val="both"/>
        <w:rPr>
          <w:rFonts w:ascii="Verdana" w:eastAsia="Arial" w:hAnsi="Verdana" w:cs="Arial"/>
          <w:color w:val="000000" w:themeColor="text1"/>
          <w:sz w:val="20"/>
          <w:szCs w:val="20"/>
        </w:rPr>
      </w:pPr>
    </w:p>
    <w:p w14:paraId="01990513" w14:textId="77777777" w:rsidR="00FE292D" w:rsidRDefault="00FE292D" w:rsidP="00FE292D">
      <w:pPr>
        <w:spacing w:after="0" w:line="240" w:lineRule="auto"/>
        <w:jc w:val="both"/>
        <w:rPr>
          <w:rFonts w:ascii="Verdana" w:eastAsia="Arial" w:hAnsi="Verdana" w:cs="Arial"/>
          <w:color w:val="000000" w:themeColor="text1"/>
          <w:sz w:val="20"/>
          <w:szCs w:val="20"/>
        </w:rPr>
      </w:pPr>
      <w:r w:rsidRPr="00BE364D">
        <w:rPr>
          <w:rFonts w:ascii="Verdana" w:eastAsia="Arial" w:hAnsi="Verdana" w:cs="Arial"/>
          <w:color w:val="000000" w:themeColor="text1"/>
          <w:sz w:val="20"/>
          <w:szCs w:val="20"/>
        </w:rPr>
        <w:t>Ello no implica una privatización absoluta del régimen contractual de las entidades públicas, pues la Ley 80 de 1993 –entre otros aspectos– regula 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 Esta precisión es importante, porque el comodato se encuentra tipificado en el Código Civil y allí se encuentra gran parte de su régimen jurídico.</w:t>
      </w:r>
      <w:r w:rsidRPr="00FB1576">
        <w:rPr>
          <w:rFonts w:ascii="Verdana" w:eastAsia="Arial" w:hAnsi="Verdana" w:cs="Arial"/>
          <w:color w:val="000000" w:themeColor="text1"/>
          <w:sz w:val="20"/>
          <w:szCs w:val="20"/>
        </w:rPr>
        <w:t xml:space="preserve"> </w:t>
      </w:r>
    </w:p>
    <w:p w14:paraId="66646D1C" w14:textId="77777777" w:rsidR="00FE292D" w:rsidRDefault="00FE292D" w:rsidP="00FE292D">
      <w:pPr>
        <w:spacing w:after="0" w:line="240" w:lineRule="auto"/>
        <w:jc w:val="both"/>
        <w:rPr>
          <w:rFonts w:ascii="Verdana" w:eastAsia="Arial" w:hAnsi="Verdana" w:cs="Arial"/>
          <w:color w:val="000000" w:themeColor="text1"/>
          <w:sz w:val="20"/>
          <w:szCs w:val="20"/>
        </w:rPr>
      </w:pPr>
    </w:p>
    <w:p w14:paraId="35BAC8C1" w14:textId="77777777" w:rsidR="00FE292D" w:rsidRPr="00396DBB" w:rsidRDefault="00FE292D" w:rsidP="00FE292D">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CONTRATO DE DONACIÓN</w:t>
      </w:r>
      <w:r w:rsidRPr="00396DBB">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 xml:space="preserve">Caracterización normativa y doctrinal </w:t>
      </w:r>
      <w:r w:rsidRPr="00396DBB">
        <w:rPr>
          <w:rFonts w:ascii="Verdana" w:eastAsia="Calibri" w:hAnsi="Verdana" w:cs="Arial"/>
          <w:b/>
          <w:color w:val="000000" w:themeColor="text1"/>
          <w:lang w:val="es-ES_tradnl"/>
        </w:rPr>
        <w:t xml:space="preserve"> </w:t>
      </w:r>
    </w:p>
    <w:p w14:paraId="59B46389" w14:textId="77777777" w:rsidR="00FE292D" w:rsidRPr="00396DBB" w:rsidRDefault="00FE292D" w:rsidP="00FE292D">
      <w:pPr>
        <w:spacing w:after="0" w:line="240" w:lineRule="auto"/>
        <w:jc w:val="both"/>
        <w:rPr>
          <w:rFonts w:ascii="Verdana" w:eastAsia="Calibri" w:hAnsi="Verdana" w:cs="Arial"/>
          <w:bCs/>
          <w:color w:val="000000" w:themeColor="text1"/>
          <w:sz w:val="20"/>
          <w:szCs w:val="20"/>
          <w:lang w:val="es-ES_tradnl"/>
        </w:rPr>
      </w:pPr>
    </w:p>
    <w:p w14:paraId="785B6D49" w14:textId="77777777" w:rsidR="00FE292D" w:rsidRPr="008E659C" w:rsidRDefault="00FE292D" w:rsidP="00FE292D">
      <w:pPr>
        <w:spacing w:after="0" w:line="240" w:lineRule="auto"/>
        <w:jc w:val="both"/>
        <w:rPr>
          <w:rFonts w:ascii="Verdana" w:hAnsi="Verdana" w:cs="Arial"/>
          <w:color w:val="000000" w:themeColor="text1"/>
          <w:sz w:val="20"/>
          <w:szCs w:val="20"/>
        </w:rPr>
      </w:pPr>
      <w:r>
        <w:rPr>
          <w:rFonts w:ascii="Verdana" w:hAnsi="Verdana" w:cs="Arial"/>
          <w:color w:val="000000" w:themeColor="text1"/>
          <w:sz w:val="20"/>
          <w:szCs w:val="20"/>
        </w:rPr>
        <w:t>E</w:t>
      </w:r>
      <w:r w:rsidRPr="008E659C">
        <w:rPr>
          <w:rFonts w:ascii="Verdana" w:hAnsi="Verdana" w:cs="Arial"/>
          <w:color w:val="000000" w:themeColor="text1"/>
          <w:sz w:val="20"/>
          <w:szCs w:val="20"/>
        </w:rPr>
        <w:t xml:space="preserve">l artículo 1443 </w:t>
      </w:r>
      <w:r w:rsidRPr="008E659C">
        <w:rPr>
          <w:rFonts w:ascii="Verdana" w:hAnsi="Verdana" w:cs="Arial"/>
          <w:i/>
          <w:iCs/>
          <w:color w:val="000000" w:themeColor="text1"/>
          <w:sz w:val="20"/>
          <w:szCs w:val="20"/>
        </w:rPr>
        <w:t>ibidem</w:t>
      </w:r>
      <w:r w:rsidRPr="008E659C">
        <w:rPr>
          <w:rFonts w:ascii="Verdana" w:hAnsi="Verdana" w:cs="Arial"/>
          <w:color w:val="000000" w:themeColor="text1"/>
          <w:sz w:val="20"/>
          <w:szCs w:val="20"/>
        </w:rPr>
        <w:t xml:space="preserve">, inspirándose en el artículo 894 del Código de Napoleón, dispone que “La donación entre vivos es un acto por el cual una persona transfiere, gratuita e irrevocablemente, una parte de sus bienes a otra persona que la acepta”.  Esta norma ha sido ampliamente criticada, pues –más que un simple “acto”– la donación tiene la naturaleza contractual, pues aunque en la mayoría de los casos imponga obligaciones a una sola de las partes, surge del acuerdo de voluntades. </w:t>
      </w:r>
    </w:p>
    <w:p w14:paraId="667C86A6" w14:textId="77777777" w:rsidR="00FE292D" w:rsidRDefault="00FE292D" w:rsidP="00FE292D">
      <w:pPr>
        <w:spacing w:after="0" w:line="240" w:lineRule="auto"/>
        <w:jc w:val="both"/>
        <w:rPr>
          <w:rFonts w:ascii="Verdana" w:hAnsi="Verdana" w:cs="Arial"/>
          <w:color w:val="000000" w:themeColor="text1"/>
          <w:sz w:val="20"/>
          <w:szCs w:val="20"/>
        </w:rPr>
      </w:pPr>
    </w:p>
    <w:p w14:paraId="5246752E" w14:textId="77777777" w:rsidR="00FE292D" w:rsidRPr="008E659C" w:rsidRDefault="00FE292D" w:rsidP="00FE292D">
      <w:pPr>
        <w:spacing w:after="0" w:line="240" w:lineRule="auto"/>
        <w:jc w:val="both"/>
        <w:rPr>
          <w:rFonts w:ascii="Verdana" w:hAnsi="Verdana" w:cs="Arial"/>
          <w:color w:val="000000" w:themeColor="text1"/>
          <w:sz w:val="20"/>
          <w:szCs w:val="20"/>
        </w:rPr>
      </w:pPr>
      <w:r w:rsidRPr="008E659C">
        <w:rPr>
          <w:rFonts w:ascii="Verdana" w:hAnsi="Verdana" w:cs="Arial"/>
          <w:color w:val="000000" w:themeColor="text1"/>
          <w:sz w:val="20"/>
          <w:szCs w:val="20"/>
        </w:rPr>
        <w:t>Autores como GUZMÁN BRITO definen la donación como “[…] la atribución convencional dispositiva entre vivos, no debida, gratuita y lucrativa de una cosa corporal o incorporal o de un valor, que disminuyendo el patrimonio del donante aumenta el del donatario”. Este carácter atributivo no es de naturaleza legal –como sucede en la adjudicación del tesoro encontrado en terreno ajeno conforme a las reglas del artículo 701 del Código Civil–, no tiene como propósito entregar la mera tenencia de la cosa –como sucede en los contratos de comodato o arrendamiento–, ni se origina en aplicación de las reglas de la sucesión por causa de muerte. Asimismo, la donación es una liberalidad y depende completamente de la voluntad del donante, por lo que –a diferencia de la compraventa, por ejemplo– la transferencia de la cosa no surge de un acto debido. Esta liberalidad entraña, por un lado, la falta de contraprestación –gratuidad– y, por otro, la usencia del deber de restituir lo donado –</w:t>
      </w:r>
      <w:proofErr w:type="spellStart"/>
      <w:r w:rsidRPr="008E659C">
        <w:rPr>
          <w:rFonts w:ascii="Verdana" w:hAnsi="Verdana" w:cs="Arial"/>
          <w:color w:val="000000" w:themeColor="text1"/>
          <w:sz w:val="20"/>
          <w:szCs w:val="20"/>
        </w:rPr>
        <w:t>lucratividad</w:t>
      </w:r>
      <w:proofErr w:type="spellEnd"/>
      <w:r w:rsidRPr="008E659C">
        <w:rPr>
          <w:rFonts w:ascii="Verdana" w:hAnsi="Verdana" w:cs="Arial"/>
          <w:color w:val="000000" w:themeColor="text1"/>
          <w:sz w:val="20"/>
          <w:szCs w:val="20"/>
        </w:rPr>
        <w:t xml:space="preserve">–. Por tanto, es necesario una modificación en el patrimonio de las partes involucradas en el negocio jurídico.  </w:t>
      </w:r>
    </w:p>
    <w:p w14:paraId="740A4E9C" w14:textId="77777777" w:rsidR="00FE292D" w:rsidRDefault="00FE292D" w:rsidP="00FE292D">
      <w:pPr>
        <w:spacing w:after="0" w:line="240" w:lineRule="auto"/>
        <w:jc w:val="both"/>
        <w:rPr>
          <w:rFonts w:ascii="Verdana" w:hAnsi="Verdana" w:cs="Arial"/>
          <w:color w:val="000000" w:themeColor="text1"/>
          <w:sz w:val="20"/>
          <w:szCs w:val="20"/>
        </w:rPr>
      </w:pPr>
    </w:p>
    <w:p w14:paraId="4A769BE6" w14:textId="77777777" w:rsidR="00FE292D" w:rsidRPr="008E659C" w:rsidRDefault="00FE292D" w:rsidP="00FE292D">
      <w:pPr>
        <w:spacing w:after="0" w:line="240" w:lineRule="auto"/>
        <w:jc w:val="both"/>
        <w:rPr>
          <w:rFonts w:ascii="Verdana" w:hAnsi="Verdana" w:cs="Arial"/>
          <w:color w:val="000000" w:themeColor="text1"/>
          <w:sz w:val="20"/>
          <w:szCs w:val="20"/>
        </w:rPr>
      </w:pPr>
      <w:r w:rsidRPr="008E659C">
        <w:rPr>
          <w:rFonts w:ascii="Verdana" w:hAnsi="Verdana" w:cs="Arial"/>
          <w:color w:val="000000" w:themeColor="text1"/>
          <w:sz w:val="20"/>
          <w:szCs w:val="20"/>
        </w:rPr>
        <w:lastRenderedPageBreak/>
        <w:t xml:space="preserve">Además de nominado, la donación es un contrato principal y gratuito, pues subsiste por sí mismo sin necesidad de una convención adicional –art. 1499 del CC– y tiene por objeto la utilidad de una sola de las partes –art. 1497 del CC–. Aunque por regla general es un contrato unilateral, es decir, una las partes se obliga para con otra que no contrae obligación alguna –art. 1496 del CC–, existen ciertos tipos de donaciones –como aquellas con causa onerosa, con gravamen o sujetas a modalidades– que generan compromisos para ambas. En estos casos, la donación será un contrato bilateral pero gratuito.    </w:t>
      </w:r>
    </w:p>
    <w:p w14:paraId="4347AFAE" w14:textId="77777777" w:rsidR="00FE292D" w:rsidRPr="00396DBB" w:rsidRDefault="00FE292D" w:rsidP="00FE292D">
      <w:pPr>
        <w:spacing w:after="0" w:line="240" w:lineRule="auto"/>
        <w:jc w:val="both"/>
        <w:rPr>
          <w:rFonts w:ascii="Verdana" w:eastAsia="Calibri" w:hAnsi="Verdana" w:cs="Arial"/>
          <w:b/>
          <w:color w:val="000000" w:themeColor="text1"/>
          <w:lang w:val="es-ES_tradnl"/>
        </w:rPr>
      </w:pPr>
    </w:p>
    <w:p w14:paraId="302B79FB" w14:textId="77777777" w:rsidR="00FE292D" w:rsidRPr="00396DBB" w:rsidRDefault="00FE292D" w:rsidP="00FE292D">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CONTRATO DE COMODATO</w:t>
      </w:r>
      <w:r w:rsidRPr="00396DBB">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 xml:space="preserve">Reglas vigentes </w:t>
      </w:r>
      <w:r w:rsidRPr="00396DBB">
        <w:rPr>
          <w:rFonts w:ascii="Verdana" w:eastAsia="Calibri" w:hAnsi="Verdana" w:cs="Arial"/>
          <w:b/>
          <w:color w:val="000000" w:themeColor="text1"/>
          <w:lang w:val="es-ES_tradnl"/>
        </w:rPr>
        <w:t xml:space="preserve"> </w:t>
      </w:r>
    </w:p>
    <w:p w14:paraId="0EF36EE0" w14:textId="77777777" w:rsidR="00FE292D" w:rsidRPr="00396DBB" w:rsidRDefault="00FE292D" w:rsidP="00FE292D">
      <w:pPr>
        <w:spacing w:after="0" w:line="240" w:lineRule="auto"/>
        <w:jc w:val="both"/>
        <w:rPr>
          <w:rFonts w:ascii="Verdana" w:eastAsia="Calibri" w:hAnsi="Verdana" w:cs="Arial"/>
          <w:bCs/>
          <w:color w:val="000000" w:themeColor="text1"/>
          <w:sz w:val="20"/>
          <w:szCs w:val="20"/>
          <w:lang w:val="es-ES_tradnl"/>
        </w:rPr>
      </w:pPr>
    </w:p>
    <w:p w14:paraId="2BF12EF0" w14:textId="77777777" w:rsidR="00FE292D" w:rsidRDefault="00FE292D" w:rsidP="00FE292D">
      <w:pPr>
        <w:spacing w:after="0" w:line="240" w:lineRule="auto"/>
        <w:jc w:val="both"/>
        <w:rPr>
          <w:rFonts w:ascii="Verdana" w:hAnsi="Verdana" w:cs="Arial"/>
          <w:color w:val="000000" w:themeColor="text1"/>
          <w:sz w:val="20"/>
          <w:szCs w:val="20"/>
        </w:rPr>
      </w:pPr>
      <w:r>
        <w:rPr>
          <w:rFonts w:ascii="Verdana" w:hAnsi="Verdana" w:cs="Arial"/>
          <w:color w:val="000000" w:themeColor="text1"/>
          <w:sz w:val="20"/>
          <w:szCs w:val="20"/>
        </w:rPr>
        <w:t>E</w:t>
      </w:r>
      <w:r w:rsidRPr="00BE364D">
        <w:rPr>
          <w:rFonts w:ascii="Verdana" w:hAnsi="Verdana" w:cs="Arial"/>
          <w:color w:val="000000" w:themeColor="text1"/>
          <w:sz w:val="20"/>
          <w:szCs w:val="20"/>
        </w:rPr>
        <w:t xml:space="preserve">l marco jurídico vigente de los contratos de comodato se rige por las siguiente reglas: i) las entidades públicas no podrán dar en comodato sus inmuebles sino únicamente a otras entidades públicas, sindicatos, cooperativas, asociaciones y fundaciones que no repartan utilidades entre sus asociados o fundadores ni adjudiquen sus activos en el momento de su liquidación a los mismos, juntas de acción comunal, fondos de empleados y las demás que puedan asimilarse a las anteriores, por un término máximo de cinco (5) años, renovables, de acuerdo con el artículo 38 de la Ley 9 de 1989; </w:t>
      </w:r>
      <w:proofErr w:type="spellStart"/>
      <w:r w:rsidRPr="00BE364D">
        <w:rPr>
          <w:rFonts w:ascii="Verdana" w:hAnsi="Verdana" w:cs="Arial"/>
          <w:color w:val="000000" w:themeColor="text1"/>
          <w:sz w:val="20"/>
          <w:szCs w:val="20"/>
        </w:rPr>
        <w:t>ii</w:t>
      </w:r>
      <w:proofErr w:type="spellEnd"/>
      <w:r w:rsidRPr="00BE364D">
        <w:rPr>
          <w:rFonts w:ascii="Verdana" w:hAnsi="Verdana" w:cs="Arial"/>
          <w:color w:val="000000" w:themeColor="text1"/>
          <w:sz w:val="20"/>
          <w:szCs w:val="20"/>
        </w:rPr>
        <w:t xml:space="preserve">) las entidades estatales pueden celebrar contratos de comodato de bienes muebles entre sí, de acuerdo con las reglas del Código Civil; </w:t>
      </w:r>
      <w:proofErr w:type="spellStart"/>
      <w:r w:rsidRPr="00BE364D">
        <w:rPr>
          <w:rFonts w:ascii="Verdana" w:hAnsi="Verdana" w:cs="Arial"/>
          <w:color w:val="000000" w:themeColor="text1"/>
          <w:sz w:val="20"/>
          <w:szCs w:val="20"/>
        </w:rPr>
        <w:t>iii</w:t>
      </w:r>
      <w:proofErr w:type="spellEnd"/>
      <w:r w:rsidRPr="00BE364D">
        <w:rPr>
          <w:rFonts w:ascii="Verdana" w:hAnsi="Verdana" w:cs="Arial"/>
          <w:color w:val="000000" w:themeColor="text1"/>
          <w:sz w:val="20"/>
          <w:szCs w:val="20"/>
        </w:rPr>
        <w:t>) en virtud del artículo 355 de la Constitución Política,</w:t>
      </w:r>
      <w:r>
        <w:rPr>
          <w:rFonts w:ascii="Verdana" w:hAnsi="Verdana" w:cs="Arial"/>
          <w:color w:val="000000" w:themeColor="text1"/>
          <w:sz w:val="20"/>
          <w:szCs w:val="20"/>
        </w:rPr>
        <w:t xml:space="preserve"> </w:t>
      </w:r>
      <w:r w:rsidRPr="00B60FA2">
        <w:rPr>
          <w:rFonts w:ascii="Verdana" w:hAnsi="Verdana" w:cs="Arial"/>
          <w:color w:val="000000" w:themeColor="text1"/>
          <w:sz w:val="20"/>
          <w:szCs w:val="20"/>
        </w:rPr>
        <w:t>de acuerdo con el procedimiento establecido en el Decreto 092 de 2017,</w:t>
      </w:r>
      <w:r>
        <w:rPr>
          <w:rFonts w:ascii="Verdana" w:hAnsi="Verdana" w:cs="Arial"/>
          <w:color w:val="000000" w:themeColor="text1"/>
          <w:sz w:val="20"/>
          <w:szCs w:val="20"/>
        </w:rPr>
        <w:t xml:space="preserve"> </w:t>
      </w:r>
      <w:r w:rsidRPr="00BE364D">
        <w:rPr>
          <w:rFonts w:ascii="Verdana" w:hAnsi="Verdana" w:cs="Arial"/>
          <w:color w:val="000000" w:themeColor="text1"/>
          <w:sz w:val="20"/>
          <w:szCs w:val="20"/>
        </w:rPr>
        <w:t xml:space="preserve">las entidades estatales pueden entregar en comodato sus bienes muebles a entidades privadas sin ánimo de lucro, y el tiempo de duración del contrato estará sujeto en todo caso a la actividad misional de la respectiva entidad estatal de acuerdo con lo previsto en el artículo 96 de la Ley 489 de 1998 y; </w:t>
      </w:r>
      <w:proofErr w:type="spellStart"/>
      <w:r w:rsidRPr="00BE364D">
        <w:rPr>
          <w:rFonts w:ascii="Verdana" w:hAnsi="Verdana" w:cs="Arial"/>
          <w:color w:val="000000" w:themeColor="text1"/>
          <w:sz w:val="20"/>
          <w:szCs w:val="20"/>
        </w:rPr>
        <w:t>iv</w:t>
      </w:r>
      <w:proofErr w:type="spellEnd"/>
      <w:r w:rsidRPr="00BE364D">
        <w:rPr>
          <w:rFonts w:ascii="Verdana" w:hAnsi="Verdana" w:cs="Arial"/>
          <w:color w:val="000000" w:themeColor="text1"/>
          <w:sz w:val="20"/>
          <w:szCs w:val="20"/>
        </w:rPr>
        <w:t>) las entidades estatales pueden celebrar contratos de comodato con privados, actuando en calidad de comodatarias, caso en el cual no tienen restricción normativa para celebrar este tipo de contratos, con fundamento en la autonomía de la voluntad que establece el artículo 32 de la Ley 80 de 1993, sin perjuicio del cumplimiento de los principios constitucionales aplicables a la función administrativa y los de la contratación estatal. En estos eventos, sin perjuicio de las reglas especiales previstas en el EGCAP, el tipo contractual se rige por los artículos 2200 al 2220, dada la remisión expresa del artículo 13 de la Ley 80 de 1993 en cuanto al régimen aplicable a los contratos estatales.</w:t>
      </w:r>
    </w:p>
    <w:p w14:paraId="5EA2836E" w14:textId="77777777" w:rsidR="00FE292D" w:rsidRDefault="00FE292D" w:rsidP="00FE292D">
      <w:pPr>
        <w:spacing w:after="0" w:line="240" w:lineRule="auto"/>
        <w:jc w:val="both"/>
        <w:rPr>
          <w:rFonts w:ascii="Verdana" w:hAnsi="Verdana" w:cs="Arial"/>
          <w:color w:val="000000" w:themeColor="text1"/>
          <w:sz w:val="20"/>
          <w:szCs w:val="20"/>
          <w:lang w:val="es-ES_tradnl"/>
        </w:rPr>
      </w:pPr>
    </w:p>
    <w:p w14:paraId="1B98EF6D" w14:textId="77777777" w:rsidR="00FE292D" w:rsidRPr="00C72F17" w:rsidRDefault="00FE292D" w:rsidP="00FE292D">
      <w:pPr>
        <w:spacing w:after="0"/>
        <w:jc w:val="both"/>
        <w:rPr>
          <w:rFonts w:ascii="Verdana" w:eastAsia="Arial" w:hAnsi="Verdana" w:cs="Arial"/>
          <w:b/>
          <w:color w:val="000000"/>
        </w:rPr>
      </w:pPr>
      <w:r>
        <w:rPr>
          <w:rFonts w:ascii="Verdana" w:eastAsia="Arial" w:hAnsi="Verdana" w:cs="Arial"/>
          <w:b/>
          <w:color w:val="000000"/>
        </w:rPr>
        <w:t>OBLIGACIONES DE ASEGURAMIENTO</w:t>
      </w:r>
      <w:r w:rsidRPr="00C72F17">
        <w:rPr>
          <w:rFonts w:ascii="Verdana" w:eastAsia="Arial" w:hAnsi="Verdana" w:cs="Arial"/>
          <w:b/>
          <w:color w:val="000000"/>
        </w:rPr>
        <w:t xml:space="preserve"> </w:t>
      </w:r>
      <w:r>
        <w:rPr>
          <w:rFonts w:ascii="Verdana" w:eastAsia="Arial" w:hAnsi="Verdana" w:cs="Arial"/>
          <w:b/>
          <w:color w:val="000000"/>
        </w:rPr>
        <w:t>–</w:t>
      </w:r>
      <w:r w:rsidRPr="00C72F17">
        <w:rPr>
          <w:rFonts w:ascii="Verdana" w:eastAsia="Arial" w:hAnsi="Verdana" w:cs="Arial"/>
          <w:b/>
          <w:color w:val="000000"/>
        </w:rPr>
        <w:t xml:space="preserve"> </w:t>
      </w:r>
      <w:r>
        <w:rPr>
          <w:rFonts w:ascii="Verdana" w:eastAsia="Arial" w:hAnsi="Verdana" w:cs="Arial"/>
          <w:b/>
          <w:color w:val="000000"/>
        </w:rPr>
        <w:t xml:space="preserve">Contrato de donación y comodato entre entidades públicas </w:t>
      </w:r>
    </w:p>
    <w:p w14:paraId="5525E19E" w14:textId="77777777" w:rsidR="00FE292D" w:rsidRPr="00C72F17" w:rsidRDefault="00FE292D" w:rsidP="00FE292D">
      <w:pPr>
        <w:spacing w:after="0"/>
        <w:jc w:val="both"/>
        <w:rPr>
          <w:rFonts w:ascii="Verdana" w:eastAsia="Arial" w:hAnsi="Verdana" w:cs="Arial"/>
          <w:bCs/>
          <w:color w:val="000000"/>
          <w:sz w:val="20"/>
          <w:szCs w:val="20"/>
        </w:rPr>
      </w:pPr>
    </w:p>
    <w:p w14:paraId="294D4D01" w14:textId="77777777" w:rsidR="00FE292D" w:rsidRDefault="00FE292D" w:rsidP="00FE292D">
      <w:pPr>
        <w:spacing w:after="0" w:line="240" w:lineRule="auto"/>
        <w:jc w:val="both"/>
        <w:textAlignment w:val="baseline"/>
        <w:rPr>
          <w:rFonts w:ascii="Verdana" w:eastAsia="Arial" w:hAnsi="Verdana" w:cs="Arial"/>
          <w:bCs/>
          <w:color w:val="000000"/>
          <w:sz w:val="20"/>
          <w:szCs w:val="20"/>
        </w:rPr>
      </w:pPr>
      <w:r>
        <w:rPr>
          <w:rFonts w:ascii="Verdana" w:eastAsia="Arial" w:hAnsi="Verdana" w:cs="Arial"/>
          <w:bCs/>
          <w:color w:val="000000"/>
          <w:sz w:val="20"/>
          <w:szCs w:val="20"/>
          <w:lang w:val="es-MX"/>
        </w:rPr>
        <w:t>L</w:t>
      </w:r>
      <w:r w:rsidRPr="008E659C">
        <w:rPr>
          <w:rFonts w:ascii="Verdana" w:eastAsia="Arial" w:hAnsi="Verdana" w:cs="Arial"/>
          <w:bCs/>
          <w:color w:val="000000"/>
          <w:sz w:val="20"/>
          <w:szCs w:val="20"/>
        </w:rPr>
        <w:t>a diferencia en el régimen jurídico de la donación y el comodato entre entidades públicas impacta en el aseguramiento de los bienes objeto de cada contrato.</w:t>
      </w:r>
      <w:r w:rsidRPr="008E659C">
        <w:rPr>
          <w:rFonts w:ascii="Verdana" w:eastAsia="Arial" w:hAnsi="Verdana" w:cs="Arial"/>
          <w:bCs/>
          <w:color w:val="000000"/>
          <w:sz w:val="20"/>
          <w:szCs w:val="20"/>
          <w:lang w:val="es-MX"/>
        </w:rPr>
        <w:t xml:space="preserve"> Como</w:t>
      </w:r>
      <w:r w:rsidRPr="008E659C">
        <w:rPr>
          <w:rFonts w:ascii="Verdana" w:eastAsia="Arial" w:hAnsi="Verdana" w:cs="Arial"/>
          <w:bCs/>
          <w:color w:val="000000"/>
          <w:sz w:val="20"/>
          <w:szCs w:val="20"/>
        </w:rPr>
        <w:t xml:space="preserve"> la donación es un título traslaticio del derecho de dominio en los términos del artículo 745 del Código Civil, la obligación de asegurar el bien recae sobre el donatario, ya que el donante se deprende de la propiedad para transferirla a un sujeto distinto. Dicho deber se fundamenta en el artículo 107 de la Ley 42 de 1993, pues dispone que “Los órganos de control fiscal verificarán que los bienes del Estado estén debidamente amparados por una póliza de seguros o un fondo especial creado para tal fin, pudiendo establecer responsabilidad fiscal a los tomadores cuando las circunstancias lo ameriten”. Su </w:t>
      </w:r>
      <w:r w:rsidRPr="008E659C">
        <w:rPr>
          <w:rFonts w:ascii="Verdana" w:eastAsia="Arial" w:hAnsi="Verdana" w:cs="Arial"/>
          <w:bCs/>
          <w:color w:val="000000"/>
          <w:sz w:val="20"/>
          <w:szCs w:val="20"/>
        </w:rPr>
        <w:lastRenderedPageBreak/>
        <w:t xml:space="preserve">incumplimiento hace presumir la culpa grave en los procesos de responsabilidad fiscal. Incluso, la omisión es objeto reproche disciplinario. </w:t>
      </w:r>
    </w:p>
    <w:p w14:paraId="158FFAB4" w14:textId="77777777" w:rsidR="00FE292D" w:rsidRPr="008E659C" w:rsidRDefault="00FE292D" w:rsidP="00FE292D">
      <w:pPr>
        <w:spacing w:after="0" w:line="240" w:lineRule="auto"/>
        <w:jc w:val="both"/>
        <w:textAlignment w:val="baseline"/>
        <w:rPr>
          <w:rFonts w:ascii="Verdana" w:eastAsia="Arial" w:hAnsi="Verdana" w:cs="Arial"/>
          <w:bCs/>
          <w:color w:val="000000"/>
          <w:sz w:val="20"/>
          <w:szCs w:val="20"/>
        </w:rPr>
      </w:pPr>
    </w:p>
    <w:p w14:paraId="4F918EFA" w14:textId="77777777" w:rsidR="00FE292D" w:rsidRDefault="00FE292D" w:rsidP="00FE292D">
      <w:pPr>
        <w:spacing w:after="0" w:line="240" w:lineRule="auto"/>
        <w:jc w:val="both"/>
        <w:textAlignment w:val="baseline"/>
        <w:rPr>
          <w:rFonts w:ascii="Verdana" w:eastAsia="Arial" w:hAnsi="Verdana" w:cs="Arial"/>
          <w:bCs/>
          <w:color w:val="000000"/>
          <w:sz w:val="20"/>
          <w:szCs w:val="20"/>
        </w:rPr>
      </w:pPr>
      <w:r w:rsidRPr="008E659C">
        <w:rPr>
          <w:rFonts w:ascii="Verdana" w:eastAsia="Arial" w:hAnsi="Verdana" w:cs="Arial"/>
          <w:bCs/>
          <w:color w:val="000000"/>
          <w:sz w:val="20"/>
          <w:szCs w:val="20"/>
        </w:rPr>
        <w:t xml:space="preserve">Por el contrario, como indica el artículo 2201 del Código Civil, el comodato no transfiere la propiedad, pues es un título de mera tenencia; razón por la cual, “[…] la entrega o tradición por la que se perfecciona no es un título traslaticio de dominio, de posesión, ni constituye enajenación en sentido alguno […]”. En este contexto, el comodante conserva el dominio del bien y, por tanto, de acuerdo al marco normativo citado en el párrafo precedente, debe garantizar su conservación frente a los riesgos, daños o deterioros a los que esté expuesto. </w:t>
      </w:r>
    </w:p>
    <w:p w14:paraId="1E26E085" w14:textId="77777777" w:rsidR="00FE292D" w:rsidRPr="008E659C" w:rsidRDefault="00FE292D" w:rsidP="00FE292D">
      <w:pPr>
        <w:spacing w:after="0" w:line="240" w:lineRule="auto"/>
        <w:jc w:val="both"/>
        <w:textAlignment w:val="baseline"/>
        <w:rPr>
          <w:rFonts w:ascii="Verdana" w:eastAsia="Arial" w:hAnsi="Verdana" w:cs="Arial"/>
          <w:bCs/>
          <w:color w:val="000000"/>
          <w:sz w:val="20"/>
          <w:szCs w:val="20"/>
        </w:rPr>
      </w:pPr>
    </w:p>
    <w:p w14:paraId="547FFDAC" w14:textId="77777777" w:rsidR="00FE292D" w:rsidRDefault="00FE292D" w:rsidP="00FE292D">
      <w:pPr>
        <w:spacing w:after="0" w:line="240" w:lineRule="auto"/>
        <w:jc w:val="both"/>
        <w:textAlignment w:val="baseline"/>
        <w:rPr>
          <w:rFonts w:ascii="Verdana" w:eastAsia="Arial" w:hAnsi="Verdana" w:cs="Arial"/>
          <w:bCs/>
          <w:color w:val="000000"/>
          <w:sz w:val="20"/>
          <w:szCs w:val="20"/>
        </w:rPr>
      </w:pPr>
      <w:r w:rsidRPr="008E659C">
        <w:rPr>
          <w:rFonts w:ascii="Verdana" w:eastAsia="Arial" w:hAnsi="Verdana" w:cs="Arial"/>
          <w:bCs/>
          <w:color w:val="000000"/>
          <w:sz w:val="20"/>
          <w:szCs w:val="20"/>
        </w:rPr>
        <w:t xml:space="preserve">Lo anterior no obsta para que el comodatario también responda hasta por culpa levísima de un deber de conservación conforme al artículo 2203 del Código Civil, ya que está a cargo de “[…] todo deterioro que no provenga de la naturaleza o del uso legítimo de la cosa; y si este deterioro es tal, que la cosa no sea ya susceptible de emplearse en su uso ordinario, podrá el comodante exigir el precio anterior de la cosa, abandonando su propiedad al comodatario”. Por ello, el artículo 2202 </w:t>
      </w:r>
      <w:r w:rsidRPr="008E659C">
        <w:rPr>
          <w:rFonts w:ascii="Verdana" w:eastAsia="Arial" w:hAnsi="Verdana" w:cs="Arial"/>
          <w:bCs/>
          <w:i/>
          <w:iCs/>
          <w:color w:val="000000"/>
          <w:sz w:val="20"/>
          <w:szCs w:val="20"/>
        </w:rPr>
        <w:t>ibidem</w:t>
      </w:r>
      <w:r w:rsidRPr="008E659C">
        <w:rPr>
          <w:rFonts w:ascii="Verdana" w:eastAsia="Arial" w:hAnsi="Verdana" w:cs="Arial"/>
          <w:bCs/>
          <w:color w:val="000000"/>
          <w:sz w:val="20"/>
          <w:szCs w:val="20"/>
        </w:rPr>
        <w:t xml:space="preserve"> prescribe que el comodatario sólo puede emplear la cosa prestada para el uso convenido por las partes o, a falta de pacto al respecto, deberá emplearla conforme a su uso ordinario. El incumplimiento de esta obligación permite la reparación de los perjuicios, medida a la que se suma la restitución del anticipada del bien.</w:t>
      </w:r>
    </w:p>
    <w:p w14:paraId="4D338188" w14:textId="77777777" w:rsidR="00FE292D" w:rsidRPr="008E659C" w:rsidRDefault="00FE292D" w:rsidP="00FE292D">
      <w:pPr>
        <w:spacing w:after="0" w:line="240" w:lineRule="auto"/>
        <w:jc w:val="both"/>
        <w:textAlignment w:val="baseline"/>
        <w:rPr>
          <w:rFonts w:ascii="Verdana" w:eastAsia="Arial" w:hAnsi="Verdana" w:cs="Arial"/>
          <w:bCs/>
          <w:color w:val="000000"/>
          <w:sz w:val="20"/>
          <w:szCs w:val="20"/>
        </w:rPr>
      </w:pPr>
    </w:p>
    <w:p w14:paraId="4BFD1446" w14:textId="77777777" w:rsidR="00FE292D" w:rsidRPr="002C0402" w:rsidRDefault="00FE292D" w:rsidP="00FE292D">
      <w:pPr>
        <w:spacing w:after="0" w:line="240" w:lineRule="auto"/>
        <w:jc w:val="both"/>
        <w:textAlignment w:val="baseline"/>
        <w:rPr>
          <w:rFonts w:ascii="Verdana" w:hAnsi="Verdana" w:cs="Arial"/>
          <w:bCs/>
          <w:sz w:val="20"/>
          <w:szCs w:val="20"/>
          <w:lang w:val="es-ES_tradnl" w:eastAsia="es-CO"/>
        </w:rPr>
      </w:pPr>
      <w:r w:rsidRPr="008E659C">
        <w:rPr>
          <w:rFonts w:ascii="Verdana" w:eastAsia="Arial" w:hAnsi="Verdana" w:cs="Arial"/>
          <w:bCs/>
          <w:color w:val="000000"/>
          <w:sz w:val="20"/>
          <w:szCs w:val="20"/>
        </w:rPr>
        <w:t xml:space="preserve">El artículo 2.2.1.2.1.4.5 del Decreto 1082 de 2015 establece que la constitución de garantías no es obligatoria en la contratación directa, causal dentro la que se incluyen los contratos o convenios interadministrativos del artículo 2.2.1.2.1.4.4 </w:t>
      </w:r>
      <w:r w:rsidRPr="008E659C">
        <w:rPr>
          <w:rFonts w:ascii="Verdana" w:eastAsia="Arial" w:hAnsi="Verdana" w:cs="Arial"/>
          <w:bCs/>
          <w:i/>
          <w:iCs/>
          <w:color w:val="000000"/>
          <w:sz w:val="20"/>
          <w:szCs w:val="20"/>
        </w:rPr>
        <w:t>ibidem</w:t>
      </w:r>
      <w:r w:rsidRPr="008E659C">
        <w:rPr>
          <w:rFonts w:ascii="Verdana" w:eastAsia="Arial" w:hAnsi="Verdana" w:cs="Arial"/>
          <w:bCs/>
          <w:color w:val="000000"/>
          <w:sz w:val="20"/>
          <w:szCs w:val="20"/>
        </w:rPr>
        <w:t xml:space="preserve">. No obstante, el comodante –como propietario del bien y responsable de su conservación– puede exigirlas para mitigar el riesgo de daño o deterioro en manos del comodatario: corresponde a este último constituir los amparos y asumir los costos que impliquen, lo cual se desprende de su obligación de cuidar el bien prestado y de conservarlo conforme lo recibió, salvo el desgate natural o derivado del uso legítimo. De esta manera, además de que el comodante puede exigir al comodatario que ampare el cumplimiento del contrato en las condiciones del numeral 3 del artículo 2.2.1.2.3.1.7 del Decreto 1082 de 2015, el numeral 8 </w:t>
      </w:r>
      <w:r w:rsidRPr="008E659C">
        <w:rPr>
          <w:rFonts w:ascii="Verdana" w:eastAsia="Arial" w:hAnsi="Verdana" w:cs="Arial"/>
          <w:bCs/>
          <w:i/>
          <w:iCs/>
          <w:color w:val="000000"/>
          <w:sz w:val="20"/>
          <w:szCs w:val="20"/>
        </w:rPr>
        <w:t>ibidem</w:t>
      </w:r>
      <w:r w:rsidRPr="008E659C">
        <w:rPr>
          <w:rFonts w:ascii="Verdana" w:eastAsia="Arial" w:hAnsi="Verdana" w:cs="Arial"/>
          <w:bCs/>
          <w:color w:val="000000"/>
          <w:sz w:val="20"/>
          <w:szCs w:val="20"/>
        </w:rPr>
        <w:t xml:space="preserve"> también permite la cobertura de “Los demás incumplimientos de obligaciones que la Entidad Estatal considere deben ser amparados de manera proporcional y acorde a la naturaleza del contrato”.</w:t>
      </w:r>
      <w:r w:rsidRPr="002C0402">
        <w:rPr>
          <w:rFonts w:ascii="Verdana" w:hAnsi="Verdana" w:cs="Arial"/>
          <w:bCs/>
          <w:sz w:val="20"/>
          <w:szCs w:val="20"/>
          <w:lang w:val="es-ES_tradnl" w:eastAsia="es-CO"/>
        </w:rPr>
        <w:t xml:space="preserve"> </w:t>
      </w:r>
    </w:p>
    <w:p w14:paraId="46FFA16A" w14:textId="77777777" w:rsidR="00FE292D" w:rsidRDefault="00FE292D" w:rsidP="00FE292D">
      <w:pPr>
        <w:spacing w:after="0" w:line="240" w:lineRule="auto"/>
        <w:rPr>
          <w:rFonts w:ascii="Verdana" w:eastAsia="Calibri" w:hAnsi="Verdana" w:cs="Arial"/>
          <w:b/>
          <w:color w:val="000000" w:themeColor="text1"/>
          <w:lang w:val="es-ES"/>
        </w:rPr>
      </w:pPr>
    </w:p>
    <w:p w14:paraId="57E02D22" w14:textId="77777777" w:rsidR="00FE292D" w:rsidRDefault="00FE292D" w:rsidP="00FE292D">
      <w:pPr>
        <w:spacing w:after="0" w:line="240" w:lineRule="auto"/>
        <w:rPr>
          <w:rFonts w:ascii="Verdana" w:eastAsia="Calibri" w:hAnsi="Verdana" w:cs="Arial"/>
          <w:b/>
          <w:color w:val="000000" w:themeColor="text1"/>
          <w:lang w:val="es-ES"/>
        </w:rPr>
      </w:pPr>
    </w:p>
    <w:p w14:paraId="4E305215" w14:textId="77777777" w:rsidR="00FE292D" w:rsidRDefault="00FE292D" w:rsidP="00FE292D">
      <w:pPr>
        <w:spacing w:after="0" w:line="240" w:lineRule="auto"/>
        <w:rPr>
          <w:rFonts w:ascii="Verdana" w:eastAsia="Calibri" w:hAnsi="Verdana" w:cs="Arial"/>
          <w:b/>
          <w:color w:val="000000" w:themeColor="text1"/>
          <w:lang w:val="es-ES"/>
        </w:rPr>
      </w:pPr>
    </w:p>
    <w:p w14:paraId="2EC9DC93" w14:textId="77777777" w:rsidR="00FE292D" w:rsidRDefault="00FE292D" w:rsidP="00FE292D">
      <w:pPr>
        <w:spacing w:after="0" w:line="240" w:lineRule="auto"/>
        <w:rPr>
          <w:rFonts w:ascii="Verdana" w:eastAsia="Calibri" w:hAnsi="Verdana" w:cs="Arial"/>
          <w:b/>
          <w:color w:val="000000" w:themeColor="text1"/>
          <w:lang w:val="es-ES"/>
        </w:rPr>
      </w:pPr>
    </w:p>
    <w:p w14:paraId="111FD14A" w14:textId="77777777" w:rsidR="00FE292D" w:rsidRDefault="00FE292D" w:rsidP="00FE292D">
      <w:pPr>
        <w:spacing w:after="0" w:line="240" w:lineRule="auto"/>
        <w:rPr>
          <w:rFonts w:ascii="Verdana" w:eastAsia="Calibri" w:hAnsi="Verdana" w:cs="Arial"/>
          <w:b/>
          <w:color w:val="000000" w:themeColor="text1"/>
          <w:lang w:val="es-ES"/>
        </w:rPr>
      </w:pPr>
    </w:p>
    <w:p w14:paraId="0CACCE37" w14:textId="77777777" w:rsidR="00FE292D" w:rsidRDefault="00FE292D" w:rsidP="00FE292D">
      <w:pPr>
        <w:spacing w:after="0" w:line="240" w:lineRule="auto"/>
        <w:rPr>
          <w:rFonts w:ascii="Verdana" w:eastAsia="Calibri" w:hAnsi="Verdana" w:cs="Arial"/>
          <w:b/>
          <w:color w:val="000000" w:themeColor="text1"/>
          <w:lang w:val="es-ES"/>
        </w:rPr>
      </w:pPr>
    </w:p>
    <w:p w14:paraId="5C6FCEA6" w14:textId="77777777" w:rsidR="00FE292D" w:rsidRDefault="00FE292D" w:rsidP="00FE292D">
      <w:pPr>
        <w:spacing w:after="0" w:line="240" w:lineRule="auto"/>
        <w:rPr>
          <w:rFonts w:ascii="Verdana" w:eastAsia="Calibri" w:hAnsi="Verdana" w:cs="Arial"/>
          <w:b/>
          <w:color w:val="000000" w:themeColor="text1"/>
          <w:lang w:val="es-ES"/>
        </w:rPr>
      </w:pPr>
    </w:p>
    <w:p w14:paraId="2CB1BAB5" w14:textId="77777777" w:rsidR="00FE292D" w:rsidRDefault="00FE292D" w:rsidP="009C5993">
      <w:pPr>
        <w:spacing w:after="0" w:line="240" w:lineRule="auto"/>
        <w:rPr>
          <w:rFonts w:ascii="Verdana" w:eastAsia="Calibri" w:hAnsi="Verdana" w:cs="Arial"/>
          <w:b/>
          <w:color w:val="000000" w:themeColor="text1"/>
          <w:lang w:val="es-ES"/>
        </w:rPr>
      </w:pPr>
    </w:p>
    <w:p w14:paraId="20A97F21" w14:textId="77777777" w:rsidR="00FE292D" w:rsidRDefault="00FE292D" w:rsidP="009C5993">
      <w:pPr>
        <w:spacing w:after="0" w:line="240" w:lineRule="auto"/>
        <w:rPr>
          <w:rFonts w:ascii="Verdana" w:eastAsia="Geomanist Light" w:hAnsi="Verdana" w:cs="Arial"/>
          <w:color w:val="000000" w:themeColor="text1"/>
          <w:lang w:val="es-MX"/>
        </w:rPr>
      </w:pPr>
    </w:p>
    <w:p w14:paraId="772C498C" w14:textId="77777777" w:rsidR="00FE292D" w:rsidRDefault="00FE292D" w:rsidP="009C5993">
      <w:pPr>
        <w:spacing w:after="0" w:line="240" w:lineRule="auto"/>
        <w:rPr>
          <w:rFonts w:ascii="Verdana" w:eastAsia="Geomanist Light" w:hAnsi="Verdana" w:cs="Arial"/>
          <w:color w:val="000000" w:themeColor="text1"/>
          <w:lang w:val="es-MX"/>
        </w:rPr>
      </w:pPr>
    </w:p>
    <w:p w14:paraId="060D8EB4" w14:textId="39546ED2" w:rsidR="009C5993" w:rsidRPr="00593A5F" w:rsidRDefault="009C5993" w:rsidP="009C5993">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7A39A9" w:rsidRPr="007A39A9">
        <w:rPr>
          <w:rFonts w:ascii="Verdana" w:eastAsia="Geomanist Light" w:hAnsi="Verdana" w:cs="Arial"/>
          <w:color w:val="000000" w:themeColor="text1"/>
          <w:lang w:val="es-MX"/>
        </w:rPr>
        <w:t>14 de Julio de 2026</w:t>
      </w:r>
    </w:p>
    <w:p w14:paraId="51284C4E" w14:textId="6AC56E68" w:rsidR="009C5993" w:rsidRDefault="009C5993" w:rsidP="009C5993">
      <w:pPr>
        <w:spacing w:after="0" w:line="240" w:lineRule="auto"/>
        <w:jc w:val="both"/>
        <w:rPr>
          <w:rFonts w:ascii="Verdana" w:eastAsia="Calibri" w:hAnsi="Verdana" w:cs="Arial"/>
          <w:color w:val="000000"/>
          <w:lang w:val="es-ES"/>
        </w:rPr>
      </w:pPr>
    </w:p>
    <w:p w14:paraId="12044007" w14:textId="008A0D65" w:rsidR="009C5993" w:rsidRDefault="009C5993" w:rsidP="007A39A9">
      <w:pPr>
        <w:spacing w:after="0" w:line="240" w:lineRule="auto"/>
        <w:jc w:val="right"/>
        <w:rPr>
          <w:rFonts w:ascii="Verdana" w:eastAsia="Calibri" w:hAnsi="Verdana" w:cs="Arial"/>
          <w:color w:val="000000"/>
          <w:lang w:val="es-ES"/>
        </w:rPr>
      </w:pPr>
    </w:p>
    <w:p w14:paraId="719733B1" w14:textId="23E40925" w:rsidR="007A39A9" w:rsidRPr="00593A5F" w:rsidRDefault="007A39A9" w:rsidP="009C5993">
      <w:pPr>
        <w:spacing w:after="0" w:line="240" w:lineRule="auto"/>
        <w:jc w:val="both"/>
        <w:rPr>
          <w:rFonts w:ascii="Verdana" w:eastAsia="Calibri" w:hAnsi="Verdana" w:cs="Arial"/>
          <w:color w:val="000000"/>
          <w:lang w:val="es-ES"/>
        </w:rPr>
      </w:pPr>
    </w:p>
    <w:p w14:paraId="48191167" w14:textId="33298DA2" w:rsidR="009C5993" w:rsidRPr="00B96799" w:rsidRDefault="00700BDE" w:rsidP="009C5993">
      <w:pPr>
        <w:spacing w:after="0" w:line="240" w:lineRule="auto"/>
        <w:jc w:val="both"/>
        <w:rPr>
          <w:rFonts w:ascii="Verdana" w:eastAsia="Calibri" w:hAnsi="Verdana" w:cs="Arial"/>
          <w:lang w:val="es-ES" w:eastAsia="es-ES"/>
        </w:rPr>
      </w:pPr>
      <w:r w:rsidRPr="007A39A9">
        <w:rPr>
          <w:rFonts w:ascii="Verdana" w:eastAsia="Calibri" w:hAnsi="Verdana" w:cs="Arial"/>
          <w:noProof/>
          <w:color w:val="000000"/>
          <w:lang w:val="es-ES"/>
        </w:rPr>
        <w:drawing>
          <wp:anchor distT="0" distB="0" distL="114300" distR="114300" simplePos="0" relativeHeight="251658240" behindDoc="0" locked="0" layoutInCell="1" allowOverlap="1" wp14:anchorId="6305FD11" wp14:editId="5C2B5172">
            <wp:simplePos x="0" y="0"/>
            <wp:positionH relativeFrom="margin">
              <wp:align>right</wp:align>
            </wp:positionH>
            <wp:positionV relativeFrom="paragraph">
              <wp:posOffset>5715</wp:posOffset>
            </wp:positionV>
            <wp:extent cx="2400300" cy="755015"/>
            <wp:effectExtent l="0" t="0" r="0" b="6985"/>
            <wp:wrapSquare wrapText="bothSides"/>
            <wp:docPr id="17734032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03251"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755015"/>
                    </a:xfrm>
                    <a:prstGeom prst="rect">
                      <a:avLst/>
                    </a:prstGeom>
                  </pic:spPr>
                </pic:pic>
              </a:graphicData>
            </a:graphic>
            <wp14:sizeRelV relativeFrom="margin">
              <wp14:pctHeight>0</wp14:pctHeight>
            </wp14:sizeRelV>
          </wp:anchor>
        </w:drawing>
      </w:r>
      <w:r w:rsidR="009C5993">
        <w:rPr>
          <w:rFonts w:ascii="Verdana" w:eastAsia="Calibri" w:hAnsi="Verdana" w:cs="Arial"/>
          <w:lang w:val="es-ES" w:eastAsia="es-ES"/>
        </w:rPr>
        <w:t>Señora</w:t>
      </w:r>
    </w:p>
    <w:p w14:paraId="04BD737D" w14:textId="77777777" w:rsidR="009C5993" w:rsidRDefault="009C5993" w:rsidP="009C5993">
      <w:pPr>
        <w:spacing w:after="0" w:line="240" w:lineRule="auto"/>
        <w:rPr>
          <w:rFonts w:ascii="Verdana" w:eastAsia="Calibri" w:hAnsi="Verdana" w:cs="Arial"/>
          <w:b/>
          <w:lang w:val="es-ES_tradnl" w:eastAsia="es-ES_tradnl"/>
        </w:rPr>
      </w:pPr>
      <w:r w:rsidRPr="002F6EFE">
        <w:rPr>
          <w:rFonts w:ascii="Verdana" w:eastAsia="Calibri" w:hAnsi="Verdana" w:cs="Arial"/>
          <w:b/>
          <w:lang w:val="es-ES_tradnl" w:eastAsia="es-ES_tradnl"/>
        </w:rPr>
        <w:t>Luz Mary Sánchez Álzate</w:t>
      </w:r>
      <w:r w:rsidRPr="008777D5">
        <w:rPr>
          <w:rFonts w:ascii="Verdana" w:eastAsia="Calibri" w:hAnsi="Verdana" w:cs="Arial"/>
          <w:b/>
          <w:lang w:val="es-ES_tradnl" w:eastAsia="es-ES_tradnl"/>
        </w:rPr>
        <w:t xml:space="preserve"> </w:t>
      </w:r>
    </w:p>
    <w:p w14:paraId="7304386E" w14:textId="77777777" w:rsidR="009C5993" w:rsidRPr="00C13BB8" w:rsidRDefault="009C5993" w:rsidP="009C5993">
      <w:pPr>
        <w:spacing w:after="0" w:line="240" w:lineRule="auto"/>
        <w:rPr>
          <w:rFonts w:ascii="Verdana" w:eastAsia="Calibri" w:hAnsi="Verdana" w:cs="Arial"/>
          <w:lang w:val="es-ES" w:eastAsia="es-ES"/>
        </w:rPr>
      </w:pPr>
      <w:hyperlink r:id="rId11" w:history="1">
        <w:r w:rsidRPr="00673357">
          <w:rPr>
            <w:rStyle w:val="Hipervnculo"/>
            <w:rFonts w:ascii="Verdana" w:hAnsi="Verdana"/>
          </w:rPr>
          <w:t>contactenos@contaduria.gov.co</w:t>
        </w:r>
      </w:hyperlink>
      <w:r>
        <w:rPr>
          <w:rFonts w:ascii="Verdana" w:hAnsi="Verdana"/>
        </w:rPr>
        <w:t xml:space="preserve"> </w:t>
      </w:r>
      <w:r w:rsidRPr="00C13BB8">
        <w:rPr>
          <w:rFonts w:ascii="Verdana" w:hAnsi="Verdana"/>
        </w:rPr>
        <w:t xml:space="preserve">                      </w:t>
      </w:r>
      <w:r w:rsidRPr="00C13BB8">
        <w:rPr>
          <w:rFonts w:ascii="Verdana" w:eastAsia="Calibri" w:hAnsi="Verdana" w:cs="Arial"/>
          <w:lang w:val="es-ES" w:eastAsia="es-ES"/>
        </w:rPr>
        <w:t xml:space="preserve">    </w:t>
      </w:r>
    </w:p>
    <w:p w14:paraId="03F5D2BE" w14:textId="77777777" w:rsidR="009C5993" w:rsidRDefault="009C5993" w:rsidP="009C5993">
      <w:pPr>
        <w:spacing w:after="0" w:line="240" w:lineRule="auto"/>
        <w:rPr>
          <w:rFonts w:ascii="Verdana" w:eastAsia="Calibri" w:hAnsi="Verdana" w:cs="Arial"/>
          <w:lang w:val="es-ES" w:eastAsia="es-ES"/>
        </w:rPr>
      </w:pPr>
      <w:r w:rsidRPr="002F6EFE">
        <w:rPr>
          <w:rFonts w:ascii="Verdana" w:eastAsia="Calibri" w:hAnsi="Verdana" w:cs="Arial"/>
          <w:lang w:val="es-ES" w:eastAsia="es-ES"/>
        </w:rPr>
        <w:t>Girardota, Antioquia</w:t>
      </w:r>
      <w:r>
        <w:rPr>
          <w:rFonts w:ascii="Verdana" w:eastAsia="Calibri" w:hAnsi="Verdana" w:cs="Arial"/>
          <w:lang w:val="es-ES" w:eastAsia="es-ES"/>
        </w:rPr>
        <w:t xml:space="preserve"> </w:t>
      </w:r>
    </w:p>
    <w:p w14:paraId="08A28364" w14:textId="77777777" w:rsidR="009C5993" w:rsidRPr="00593A5F" w:rsidRDefault="009C5993" w:rsidP="009C5993">
      <w:pPr>
        <w:spacing w:after="0" w:line="240" w:lineRule="auto"/>
        <w:rPr>
          <w:rFonts w:ascii="Verdana" w:eastAsia="Calibri" w:hAnsi="Verdana" w:cs="Arial"/>
          <w:b/>
          <w:bCs/>
          <w:color w:val="000000"/>
          <w:lang w:val="es-ES_tradnl" w:eastAsia="es-ES_tradnl"/>
        </w:rPr>
      </w:pPr>
    </w:p>
    <w:p w14:paraId="5D9747ED" w14:textId="77777777" w:rsidR="009C5993" w:rsidRPr="00593A5F" w:rsidRDefault="009C5993" w:rsidP="009C5993">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C5993" w:rsidRPr="00593A5F" w14:paraId="0EB540AB" w14:textId="77777777" w:rsidTr="00085C35">
        <w:trPr>
          <w:trHeight w:val="884"/>
        </w:trPr>
        <w:tc>
          <w:tcPr>
            <w:tcW w:w="2689" w:type="dxa"/>
          </w:tcPr>
          <w:p w14:paraId="0FAF3C92" w14:textId="77777777" w:rsidR="009C5993" w:rsidRPr="00C00976" w:rsidRDefault="009C5993" w:rsidP="00085C35">
            <w:pPr>
              <w:jc w:val="both"/>
              <w:rPr>
                <w:rFonts w:ascii="Verdana" w:eastAsia="Calibri" w:hAnsi="Verdana" w:cs="Arial"/>
                <w:b/>
                <w:bCs/>
                <w:color w:val="7030A0"/>
                <w:lang w:val="es-ES_tradnl" w:eastAsia="es-ES_tradnl"/>
              </w:rPr>
            </w:pPr>
          </w:p>
        </w:tc>
        <w:tc>
          <w:tcPr>
            <w:tcW w:w="6100" w:type="dxa"/>
          </w:tcPr>
          <w:p w14:paraId="50B36EFA" w14:textId="77777777" w:rsidR="009C5993" w:rsidRPr="00C00976" w:rsidRDefault="009C5993" w:rsidP="00085C35">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 xml:space="preserve">Concepto C – </w:t>
            </w:r>
            <w:r>
              <w:rPr>
                <w:rFonts w:ascii="Verdana" w:eastAsia="Calibri" w:hAnsi="Verdana" w:cs="Arial"/>
                <w:b/>
                <w:bCs/>
                <w:lang w:val="es-ES" w:eastAsia="es-ES"/>
              </w:rPr>
              <w:t xml:space="preserve">1043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9C5993" w:rsidRPr="00593A5F" w14:paraId="011DB028" w14:textId="77777777" w:rsidTr="00085C35">
        <w:trPr>
          <w:trHeight w:val="884"/>
        </w:trPr>
        <w:tc>
          <w:tcPr>
            <w:tcW w:w="2689" w:type="dxa"/>
          </w:tcPr>
          <w:p w14:paraId="5A7E9D69" w14:textId="77777777" w:rsidR="009C5993" w:rsidRPr="00593A5F" w:rsidRDefault="009C5993" w:rsidP="00085C35">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4669B550" w14:textId="77777777" w:rsidR="009C5993" w:rsidRPr="00A11406" w:rsidRDefault="009C5993" w:rsidP="00085C35">
            <w:pPr>
              <w:spacing w:line="276" w:lineRule="auto"/>
              <w:jc w:val="both"/>
              <w:rPr>
                <w:rFonts w:ascii="Verdana" w:eastAsia="Calibri" w:hAnsi="Verdana" w:cs="Arial"/>
                <w:lang w:val="es-ES" w:eastAsia="es-ES"/>
              </w:rPr>
            </w:pPr>
            <w:r w:rsidRPr="001768C1">
              <w:rPr>
                <w:rFonts w:ascii="Verdana" w:eastAsia="Calibri" w:hAnsi="Verdana" w:cs="Arial"/>
                <w:lang w:val="es-ES" w:eastAsia="es-ES"/>
              </w:rPr>
              <w:t>CONTRATO ESTATAL – Régimen jurídico</w:t>
            </w:r>
            <w:r>
              <w:rPr>
                <w:rFonts w:ascii="Verdana" w:eastAsia="Calibri" w:hAnsi="Verdana" w:cs="Arial"/>
                <w:lang w:val="es-ES" w:eastAsia="es-ES"/>
              </w:rPr>
              <w:t xml:space="preserve"> / </w:t>
            </w:r>
            <w:r w:rsidRPr="001768C1">
              <w:rPr>
                <w:rFonts w:ascii="Verdana" w:eastAsia="Calibri" w:hAnsi="Verdana" w:cs="Arial"/>
                <w:lang w:val="es-ES" w:eastAsia="es-ES"/>
              </w:rPr>
              <w:t>CONTRATO DE DONACIÓN – Caracterización normativa y doctrinal</w:t>
            </w:r>
            <w:r>
              <w:rPr>
                <w:rFonts w:ascii="Verdana" w:eastAsia="Calibri" w:hAnsi="Verdana" w:cs="Arial"/>
                <w:lang w:val="es-ES" w:eastAsia="es-ES"/>
              </w:rPr>
              <w:t xml:space="preserve"> / </w:t>
            </w:r>
            <w:r w:rsidRPr="001768C1">
              <w:rPr>
                <w:rFonts w:ascii="Verdana" w:eastAsia="Calibri" w:hAnsi="Verdana" w:cs="Arial"/>
                <w:lang w:val="es-ES" w:eastAsia="es-ES"/>
              </w:rPr>
              <w:t>CONTRATO DE COMODATO – Reglas vigentes</w:t>
            </w:r>
            <w:r>
              <w:rPr>
                <w:rFonts w:ascii="Verdana" w:eastAsia="Calibri" w:hAnsi="Verdana" w:cs="Arial"/>
                <w:lang w:val="es-ES" w:eastAsia="es-ES"/>
              </w:rPr>
              <w:t xml:space="preserve"> / </w:t>
            </w:r>
            <w:r w:rsidRPr="001768C1">
              <w:rPr>
                <w:rFonts w:ascii="Verdana" w:eastAsia="Calibri" w:hAnsi="Verdana" w:cs="Arial"/>
                <w:lang w:val="es-ES" w:eastAsia="es-ES"/>
              </w:rPr>
              <w:t xml:space="preserve">OBLIGACIONES DE ASEGURAMIENTO – Contrato de donación y comodato entre entidades públicas </w:t>
            </w:r>
            <w:r w:rsidRPr="00857446">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605D94AE" w14:textId="77777777" w:rsidR="009C5993" w:rsidRPr="00593A5F" w:rsidRDefault="009C5993" w:rsidP="00085C35">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9C5993" w:rsidRPr="008E6AD9" w14:paraId="703721E2" w14:textId="77777777" w:rsidTr="00085C35">
        <w:tc>
          <w:tcPr>
            <w:tcW w:w="2689" w:type="dxa"/>
          </w:tcPr>
          <w:p w14:paraId="6AFB92F2" w14:textId="77777777" w:rsidR="009C5993" w:rsidRPr="008E6AD9" w:rsidRDefault="009C5993" w:rsidP="00085C35">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50413265" w14:textId="77777777" w:rsidR="009C5993" w:rsidRPr="00B92340" w:rsidRDefault="009C5993" w:rsidP="00085C35">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015E14">
              <w:rPr>
                <w:rFonts w:ascii="Verdana" w:eastAsia="Calibri" w:hAnsi="Verdana" w:cs="Arial"/>
                <w:lang w:val="es-ES_tradnl" w:eastAsia="es-ES_tradnl"/>
              </w:rPr>
              <w:t>1_2026_06_26_008575</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0E1BC91A" w14:textId="77777777" w:rsidR="009C5993" w:rsidRPr="00593A5F" w:rsidRDefault="009C5993" w:rsidP="009C5993">
      <w:pPr>
        <w:spacing w:after="0" w:line="240" w:lineRule="auto"/>
        <w:jc w:val="both"/>
        <w:rPr>
          <w:rFonts w:ascii="Verdana" w:eastAsia="Calibri" w:hAnsi="Verdana" w:cs="Arial"/>
          <w:color w:val="000000"/>
          <w:lang w:val="es-ES_tradnl" w:eastAsia="es-ES_tradnl"/>
        </w:rPr>
      </w:pPr>
    </w:p>
    <w:p w14:paraId="5AFE906F" w14:textId="77777777" w:rsidR="009C5993" w:rsidRPr="00593A5F" w:rsidRDefault="009C5993" w:rsidP="009C5993">
      <w:pPr>
        <w:spacing w:after="0" w:line="240" w:lineRule="auto"/>
        <w:jc w:val="both"/>
        <w:rPr>
          <w:rFonts w:ascii="Verdana" w:eastAsia="Calibri" w:hAnsi="Verdana" w:cs="Arial"/>
          <w:color w:val="000000"/>
          <w:lang w:val="es-ES_tradnl" w:eastAsia="es-ES_tradnl"/>
        </w:rPr>
      </w:pPr>
    </w:p>
    <w:p w14:paraId="72F7CFAF" w14:textId="77777777" w:rsidR="009C5993" w:rsidRPr="008E6AD9" w:rsidRDefault="009C5993" w:rsidP="009C5993">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señora </w:t>
      </w:r>
      <w:r w:rsidRPr="0062535A">
        <w:rPr>
          <w:rFonts w:ascii="Verdana" w:eastAsia="Calibri" w:hAnsi="Verdana" w:cs="Arial"/>
          <w:lang w:val="es-ES" w:eastAsia="es-ES"/>
        </w:rPr>
        <w:t>Sánchez Álzate</w:t>
      </w:r>
      <w:r w:rsidRPr="008E6AD9">
        <w:rPr>
          <w:rFonts w:ascii="Verdana" w:eastAsia="Calibri" w:hAnsi="Verdana" w:cs="Arial"/>
          <w:lang w:val="es-ES" w:eastAsia="es-ES"/>
        </w:rPr>
        <w:t xml:space="preserve">: </w:t>
      </w:r>
    </w:p>
    <w:p w14:paraId="27E752DA" w14:textId="77777777" w:rsidR="009C5993" w:rsidRDefault="009C5993" w:rsidP="009C5993">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70624CC9" w14:textId="77777777" w:rsidR="009C5993" w:rsidRPr="00593A5F" w:rsidRDefault="009C5993" w:rsidP="009C5993">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w:t>
      </w:r>
      <w:r>
        <w:rPr>
          <w:rFonts w:ascii="Verdana" w:eastAsia="Calibri" w:hAnsi="Verdana" w:cs="Arial"/>
          <w:color w:val="000000" w:themeColor="text1"/>
          <w:lang w:val="es-ES" w:eastAsia="es-ES"/>
        </w:rPr>
        <w:t xml:space="preserve"> </w:t>
      </w:r>
      <w:r w:rsidRPr="00593A5F">
        <w:rPr>
          <w:rFonts w:ascii="Verdana" w:eastAsia="Calibri" w:hAnsi="Verdana" w:cs="Arial"/>
          <w:color w:val="000000" w:themeColor="text1"/>
          <w:lang w:val="es-ES" w:eastAsia="es-ES"/>
        </w:rPr>
        <w:t xml:space="preserve">responde </w:t>
      </w:r>
      <w:r>
        <w:rPr>
          <w:rFonts w:ascii="Verdana" w:eastAsia="Calibri" w:hAnsi="Verdana" w:cs="Arial"/>
          <w:color w:val="000000" w:themeColor="text1"/>
          <w:lang w:val="es-ES" w:eastAsia="es-ES"/>
        </w:rPr>
        <w:t xml:space="preserve">el punto 1 de </w:t>
      </w:r>
      <w:r w:rsidRPr="00593A5F">
        <w:rPr>
          <w:rFonts w:ascii="Verdana" w:eastAsia="Calibri" w:hAnsi="Verdana" w:cs="Arial"/>
          <w:color w:val="000000" w:themeColor="text1"/>
          <w:lang w:val="es-ES" w:eastAsia="es-ES"/>
        </w:rPr>
        <w:t>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26 de junio de 2026 ante la Contaduría General de la Nación, donde pide conceptuar sobre el siguiente aspecto</w:t>
      </w:r>
      <w:r w:rsidRPr="008E6AD9">
        <w:rPr>
          <w:rFonts w:ascii="Verdana" w:eastAsia="Calibri" w:hAnsi="Verdana" w:cs="Arial"/>
          <w:lang w:val="es-ES" w:eastAsia="es-ES"/>
        </w:rPr>
        <w:t xml:space="preserve">: </w:t>
      </w:r>
    </w:p>
    <w:p w14:paraId="0628A1D3" w14:textId="77777777" w:rsidR="009C5993" w:rsidRPr="00272A7B" w:rsidRDefault="009C5993" w:rsidP="009C5993">
      <w:pPr>
        <w:pStyle w:val="Prrafodelista"/>
        <w:tabs>
          <w:tab w:val="left" w:pos="142"/>
          <w:tab w:val="left" w:pos="284"/>
        </w:tabs>
        <w:spacing w:after="0" w:line="276" w:lineRule="auto"/>
        <w:ind w:left="0"/>
        <w:jc w:val="both"/>
        <w:rPr>
          <w:rFonts w:ascii="Verdana" w:eastAsia="Century Gothic" w:hAnsi="Verdana" w:cs="Century Gothic"/>
          <w:b/>
          <w:bCs/>
        </w:rPr>
      </w:pPr>
    </w:p>
    <w:p w14:paraId="5FD4D738" w14:textId="77777777" w:rsidR="009C5993" w:rsidRDefault="009C5993" w:rsidP="009C5993">
      <w:pPr>
        <w:spacing w:after="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CE7C41">
        <w:rPr>
          <w:rFonts w:ascii="Verdana" w:eastAsia="Century Gothic" w:hAnsi="Verdana" w:cs="Century Gothic"/>
          <w:sz w:val="20"/>
          <w:szCs w:val="20"/>
          <w:lang w:val="es-ES"/>
        </w:rPr>
        <w:t>La gran mayoría de los municipios en Colombia entregamos en donación o utilizando la figura del contrato de comodato bienes muebles (devolutivos) a las Instituciones Educativas de carácter oficial, situación que hoy nos genera un interrogante</w:t>
      </w:r>
      <w:r>
        <w:rPr>
          <w:rFonts w:ascii="Verdana" w:eastAsia="Century Gothic" w:hAnsi="Verdana" w:cs="Century Gothic"/>
          <w:sz w:val="20"/>
          <w:szCs w:val="20"/>
          <w:lang w:val="es-ES"/>
        </w:rPr>
        <w:t xml:space="preserve"> […]</w:t>
      </w:r>
    </w:p>
    <w:p w14:paraId="035168B2" w14:textId="77777777" w:rsidR="009C5993" w:rsidRPr="00CE7C41" w:rsidRDefault="009C5993" w:rsidP="009C5993">
      <w:pPr>
        <w:spacing w:after="0" w:line="240" w:lineRule="auto"/>
        <w:ind w:left="709" w:right="709"/>
        <w:jc w:val="both"/>
        <w:rPr>
          <w:rFonts w:ascii="Verdana" w:eastAsia="Century Gothic" w:hAnsi="Verdana" w:cs="Century Gothic"/>
          <w:sz w:val="12"/>
          <w:szCs w:val="12"/>
          <w:lang w:val="es-ES"/>
        </w:rPr>
      </w:pPr>
    </w:p>
    <w:p w14:paraId="652A36F9" w14:textId="77777777" w:rsidR="009C5993" w:rsidRPr="00CE1B84" w:rsidRDefault="009C5993" w:rsidP="009C5993">
      <w:pPr>
        <w:spacing w:after="0" w:line="240" w:lineRule="auto"/>
        <w:ind w:left="709" w:right="709"/>
        <w:jc w:val="both"/>
        <w:rPr>
          <w:rFonts w:ascii="Verdana" w:eastAsia="Century Gothic" w:hAnsi="Verdana" w:cs="Century Gothic"/>
          <w:sz w:val="20"/>
          <w:szCs w:val="20"/>
          <w:lang w:val="es-ES"/>
        </w:rPr>
      </w:pPr>
      <w:r w:rsidRPr="00421B18">
        <w:rPr>
          <w:rFonts w:ascii="Verdana" w:eastAsia="Century Gothic" w:hAnsi="Verdana" w:cs="Century Gothic"/>
          <w:sz w:val="20"/>
          <w:szCs w:val="20"/>
          <w:lang w:val="es-ES"/>
        </w:rPr>
        <w:t xml:space="preserve">1) Cuando los bienes muebles (devolutivos) se entregan en donación o en comodato precario (con transferencia del control al comodatario), surge la siguiente inquietud por parte de las instituciones educativas: ¿a quién le </w:t>
      </w:r>
      <w:r w:rsidRPr="00421B18">
        <w:rPr>
          <w:rFonts w:ascii="Verdana" w:eastAsia="Century Gothic" w:hAnsi="Verdana" w:cs="Century Gothic"/>
          <w:sz w:val="20"/>
          <w:szCs w:val="20"/>
          <w:lang w:val="es-ES"/>
        </w:rPr>
        <w:lastRenderedPageBreak/>
        <w:t>corresponde asegurar dichos bienes: al donante o al donatario, o al comodante o al comodatario?</w:t>
      </w:r>
      <w:r>
        <w:rPr>
          <w:rFonts w:ascii="Verdana" w:eastAsia="Century Gothic" w:hAnsi="Verdana" w:cs="Century Gothic"/>
          <w:sz w:val="20"/>
          <w:szCs w:val="20"/>
          <w:lang w:val="es-ES"/>
        </w:rPr>
        <w:t>”.</w:t>
      </w:r>
    </w:p>
    <w:p w14:paraId="1F8BE526" w14:textId="77777777" w:rsidR="009C5993" w:rsidRDefault="009C5993" w:rsidP="009C5993">
      <w:pPr>
        <w:spacing w:after="0" w:line="276" w:lineRule="auto"/>
        <w:ind w:firstLine="709"/>
        <w:jc w:val="both"/>
        <w:rPr>
          <w:rFonts w:ascii="Verdana" w:eastAsia="Calibri" w:hAnsi="Verdana" w:cs="Arial"/>
          <w:color w:val="000000"/>
          <w:lang w:val="es-ES" w:eastAsia="es-ES"/>
        </w:rPr>
      </w:pPr>
    </w:p>
    <w:p w14:paraId="54E2A27E" w14:textId="77777777" w:rsidR="009C5993" w:rsidRDefault="009C5993" w:rsidP="009C5993">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 xml:space="preserve">De acuerdo con el Oficio </w:t>
      </w:r>
      <w:r w:rsidRPr="00421B18">
        <w:rPr>
          <w:rFonts w:ascii="Verdana" w:eastAsia="Calibri" w:hAnsi="Verdana" w:cs="Arial"/>
          <w:color w:val="000000"/>
          <w:lang w:val="es-ES" w:eastAsia="es-ES"/>
        </w:rPr>
        <w:t>CGN-20261120018451</w:t>
      </w:r>
      <w:r>
        <w:rPr>
          <w:rFonts w:ascii="Verdana" w:eastAsia="Calibri" w:hAnsi="Verdana" w:cs="Arial"/>
          <w:color w:val="000000"/>
          <w:lang w:val="es-ES" w:eastAsia="es-ES"/>
        </w:rPr>
        <w:t xml:space="preserve"> del 25 de junio de 2026, remitido a la ANCP – CCE por correo electrónico de la misma fecha, </w:t>
      </w:r>
      <w:r>
        <w:rPr>
          <w:rFonts w:ascii="Verdana" w:eastAsia="Calibri" w:hAnsi="Verdana" w:cs="Arial"/>
          <w:lang w:val="es-ES" w:eastAsia="es-ES"/>
        </w:rPr>
        <w:t xml:space="preserve">la Contaduría General de la Nación manifiesta que “[…] </w:t>
      </w:r>
      <w:r w:rsidRPr="00421B18">
        <w:rPr>
          <w:rFonts w:ascii="Verdana" w:eastAsia="Calibri" w:hAnsi="Verdana" w:cs="Arial"/>
          <w:i/>
          <w:iCs/>
          <w:lang w:val="es-ES" w:eastAsia="es-ES"/>
        </w:rPr>
        <w:t>trasladamos el primer interrogante a su Despacho</w:t>
      </w:r>
      <w:r w:rsidRPr="00421B18">
        <w:rPr>
          <w:rFonts w:ascii="Verdana" w:eastAsia="Calibri" w:hAnsi="Verdana" w:cs="Arial"/>
          <w:lang w:val="es-ES" w:eastAsia="es-ES"/>
        </w:rPr>
        <w:t>, por considerarlo del ámbito de su competencia, lo anterior, en los términos del artículo 21 de la Ley 1437 de 2011, sustituido por el artículo 1° de la Ley 1755 de 2015, para su conocimiento y trámite pertinente</w:t>
      </w:r>
      <w:r>
        <w:rPr>
          <w:rFonts w:ascii="Verdana" w:eastAsia="Calibri" w:hAnsi="Verdana" w:cs="Arial"/>
          <w:lang w:val="es-ES" w:eastAsia="es-ES"/>
        </w:rPr>
        <w:t>” (Énfasis fuera de texto)</w:t>
      </w:r>
      <w:r w:rsidRPr="00421B18">
        <w:rPr>
          <w:rFonts w:ascii="Verdana" w:eastAsia="Calibri" w:hAnsi="Verdana" w:cs="Arial"/>
          <w:lang w:val="es-ES" w:eastAsia="es-ES"/>
        </w:rPr>
        <w:t>.</w:t>
      </w:r>
      <w:r>
        <w:rPr>
          <w:rFonts w:ascii="Verdana" w:eastAsia="Calibri" w:hAnsi="Verdana" w:cs="Arial"/>
          <w:lang w:val="es-ES" w:eastAsia="es-ES"/>
        </w:rPr>
        <w:t xml:space="preserve"> Como el órgano remitente manifiesta que “[…] la UAE </w:t>
      </w:r>
      <w:r w:rsidRPr="00421B18">
        <w:rPr>
          <w:rFonts w:ascii="Verdana" w:eastAsia="Calibri" w:hAnsi="Verdana" w:cs="Arial"/>
          <w:lang w:val="es-ES" w:eastAsia="es-ES"/>
        </w:rPr>
        <w:t>Contaduría General de la Nación ya dio respuesta oportuna a los puntos que corresponden estrictamente a la competencia de esta entidad</w:t>
      </w:r>
      <w:r>
        <w:rPr>
          <w:rFonts w:ascii="Verdana" w:eastAsia="Calibri" w:hAnsi="Verdana" w:cs="Arial"/>
          <w:lang w:val="es-ES" w:eastAsia="es-ES"/>
        </w:rPr>
        <w:t>”, la Agencia sólo se pronunciará sobre el primer punto de la solicitud.</w:t>
      </w:r>
    </w:p>
    <w:p w14:paraId="1580A4C0" w14:textId="77777777" w:rsidR="009C5993" w:rsidRPr="00A652FF" w:rsidRDefault="009C5993" w:rsidP="009C5993">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033D1F96" w14:textId="77777777" w:rsidR="009C5993" w:rsidRDefault="009C5993" w:rsidP="009C5993">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5AF17C0E" w14:textId="77777777" w:rsidR="009C5993" w:rsidRPr="00593A5F" w:rsidRDefault="009C5993" w:rsidP="009C5993">
      <w:pPr>
        <w:spacing w:after="0" w:line="276" w:lineRule="auto"/>
        <w:ind w:firstLine="709"/>
        <w:jc w:val="both"/>
        <w:rPr>
          <w:rFonts w:ascii="Verdana" w:eastAsia="Calibri" w:hAnsi="Verdana" w:cs="Arial"/>
          <w:color w:val="000000"/>
          <w:lang w:val="es-ES" w:eastAsia="es-ES"/>
        </w:rPr>
      </w:pPr>
    </w:p>
    <w:p w14:paraId="7D3118A0" w14:textId="77777777" w:rsidR="009C5993" w:rsidRPr="00593A5F" w:rsidRDefault="009C5993" w:rsidP="009C599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5F8AA669" w14:textId="77777777" w:rsidR="009C5993" w:rsidRPr="00593A5F" w:rsidRDefault="009C5993" w:rsidP="009C5993">
      <w:pPr>
        <w:tabs>
          <w:tab w:val="left" w:pos="426"/>
        </w:tabs>
        <w:spacing w:after="0" w:line="276" w:lineRule="auto"/>
        <w:jc w:val="both"/>
        <w:rPr>
          <w:rFonts w:ascii="Verdana" w:eastAsia="Century Gothic" w:hAnsi="Verdana" w:cs="Century Gothic"/>
          <w:lang w:val="es-ES"/>
        </w:rPr>
      </w:pPr>
    </w:p>
    <w:p w14:paraId="651F06C0" w14:textId="77777777" w:rsidR="009C5993" w:rsidRPr="00593A5F" w:rsidRDefault="009C5993" w:rsidP="009C5993">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Pr="00CE2EBC">
        <w:rPr>
          <w:rFonts w:ascii="Verdana" w:eastAsia="Century Gothic" w:hAnsi="Verdana" w:cs="Century Gothic"/>
        </w:rPr>
        <w:t>¿cu</w:t>
      </w:r>
      <w:r>
        <w:rPr>
          <w:rFonts w:ascii="Verdana" w:eastAsia="Century Gothic" w:hAnsi="Verdana" w:cs="Century Gothic"/>
        </w:rPr>
        <w:t xml:space="preserve">áles son las obligaciones de aseguramiento que se </w:t>
      </w:r>
      <w:r>
        <w:rPr>
          <w:rFonts w:ascii="Verdana" w:eastAsia="Century Gothic" w:hAnsi="Verdana" w:cs="Century Gothic"/>
        </w:rPr>
        <w:lastRenderedPageBreak/>
        <w:t>desprenden de la celebración de contratos de donación y de comodato entre entidades públicas</w:t>
      </w:r>
      <w:r w:rsidRPr="00CE2EBC">
        <w:rPr>
          <w:rFonts w:ascii="Verdana" w:eastAsia="Century Gothic" w:hAnsi="Verdana" w:cs="Century Gothic"/>
        </w:rPr>
        <w:t>?</w:t>
      </w:r>
    </w:p>
    <w:p w14:paraId="7252D035" w14:textId="77777777" w:rsidR="009C5993" w:rsidRPr="004B140F" w:rsidRDefault="009C5993" w:rsidP="009C5993">
      <w:pPr>
        <w:spacing w:after="0" w:line="276" w:lineRule="auto"/>
        <w:jc w:val="both"/>
        <w:rPr>
          <w:rFonts w:ascii="Verdana" w:eastAsia="Calibri" w:hAnsi="Verdana" w:cs="Arial"/>
          <w:color w:val="7030A0"/>
        </w:rPr>
      </w:pPr>
    </w:p>
    <w:p w14:paraId="6E0A8700" w14:textId="77777777" w:rsidR="009C5993" w:rsidRPr="00593A5F" w:rsidRDefault="009C5993" w:rsidP="009C599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24E9EDAF" w14:textId="77777777" w:rsidR="009C5993" w:rsidRPr="00593A5F" w:rsidRDefault="009C5993" w:rsidP="009C5993">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C5993" w:rsidRPr="00593A5F" w14:paraId="7D8CC11F" w14:textId="77777777" w:rsidTr="00085C35">
        <w:trPr>
          <w:jc w:val="center"/>
        </w:trPr>
        <w:tc>
          <w:tcPr>
            <w:tcW w:w="8828" w:type="dxa"/>
          </w:tcPr>
          <w:p w14:paraId="3D500E98" w14:textId="77777777" w:rsidR="009C5993" w:rsidRDefault="009C5993" w:rsidP="00085C35">
            <w:pPr>
              <w:widowControl w:val="0"/>
              <w:autoSpaceDE w:val="0"/>
              <w:autoSpaceDN w:val="0"/>
              <w:spacing w:after="120" w:line="276" w:lineRule="auto"/>
              <w:jc w:val="both"/>
              <w:rPr>
                <w:rFonts w:ascii="Verdana" w:hAnsi="Verdana" w:cs="Arial"/>
                <w:color w:val="000000" w:themeColor="text1"/>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l</w:t>
            </w:r>
            <w:r>
              <w:rPr>
                <w:rFonts w:ascii="Verdana" w:hAnsi="Verdana" w:cs="Arial"/>
                <w:color w:val="000000" w:themeColor="text1"/>
              </w:rPr>
              <w:t>a diferencia en el régimen jurídico de la donación y el comodato entre entidades públicas impacta en el aseguramiento de los bienes objeto de cada contrato.</w:t>
            </w:r>
            <w:r>
              <w:rPr>
                <w:rFonts w:ascii="Verdana" w:eastAsia="Arial" w:hAnsi="Verdana" w:cs="Arial"/>
                <w:lang w:val="es-MX" w:eastAsia="es-ES" w:bidi="es-ES"/>
              </w:rPr>
              <w:t xml:space="preserve"> Como</w:t>
            </w:r>
            <w:r>
              <w:rPr>
                <w:rFonts w:ascii="Verdana" w:hAnsi="Verdana" w:cs="Arial"/>
                <w:color w:val="000000" w:themeColor="text1"/>
              </w:rPr>
              <w:t xml:space="preserve"> la donación es un título traslaticio del derecho de dominio en los términos del artículo 745 del Código Civil, la obligación de asegurar el bien recae sobre el donatario, ya que el donante se deprende de la propiedad para transferirla a un sujeto distinto. Dicho deber se fundamenta en el artículo 107 de la Ley 42 de 1993, pues dispone que “</w:t>
            </w:r>
            <w:r w:rsidRPr="00822E5D">
              <w:rPr>
                <w:rFonts w:ascii="Verdana" w:hAnsi="Verdana" w:cs="Arial"/>
                <w:color w:val="000000" w:themeColor="text1"/>
              </w:rPr>
              <w:t>Los órganos de control fiscal verificarán que los bienes del Estado estén debidamente amparados por una póliza de seguros o un fondo especial creado para tal fin, pudiendo establecer responsabilidad fiscal a los tomadores cuando las circunstancias lo ameriten</w:t>
            </w:r>
            <w:r>
              <w:rPr>
                <w:rFonts w:ascii="Verdana" w:hAnsi="Verdana" w:cs="Arial"/>
                <w:color w:val="000000" w:themeColor="text1"/>
              </w:rPr>
              <w:t>”</w:t>
            </w:r>
            <w:r w:rsidRPr="00822E5D">
              <w:rPr>
                <w:rFonts w:ascii="Verdana" w:hAnsi="Verdana" w:cs="Arial"/>
                <w:color w:val="000000" w:themeColor="text1"/>
              </w:rPr>
              <w:t>.</w:t>
            </w:r>
            <w:r>
              <w:rPr>
                <w:rFonts w:ascii="Verdana" w:hAnsi="Verdana" w:cs="Arial"/>
                <w:color w:val="000000" w:themeColor="text1"/>
              </w:rPr>
              <w:t xml:space="preserve"> Su incumplimiento hace presumir la culpa grave en los procesos de responsabilidad fiscal. Incluso, la omisión es objeto reproche disciplinario. </w:t>
            </w:r>
          </w:p>
          <w:p w14:paraId="434CA3A7" w14:textId="77777777" w:rsidR="009C5993" w:rsidRDefault="009C5993" w:rsidP="00085C35">
            <w:pPr>
              <w:widowControl w:val="0"/>
              <w:autoSpaceDE w:val="0"/>
              <w:autoSpaceDN w:val="0"/>
              <w:spacing w:after="120" w:line="276" w:lineRule="auto"/>
              <w:ind w:firstLine="709"/>
              <w:jc w:val="both"/>
              <w:rPr>
                <w:rFonts w:ascii="Verdana" w:hAnsi="Verdana" w:cs="Arial"/>
                <w:color w:val="000000" w:themeColor="text1"/>
              </w:rPr>
            </w:pPr>
            <w:r>
              <w:rPr>
                <w:rFonts w:ascii="Verdana" w:hAnsi="Verdana" w:cs="Arial"/>
                <w:color w:val="000000" w:themeColor="text1"/>
              </w:rPr>
              <w:t>Por el contrario, como indica el artículo 2201 del Código Civil, el comodato no transfiere la propiedad, pues es un título de mera tenencia; razón por la cual, “[…] l</w:t>
            </w:r>
            <w:r w:rsidRPr="00230444">
              <w:rPr>
                <w:rFonts w:ascii="Verdana" w:hAnsi="Verdana" w:cs="Arial"/>
                <w:color w:val="000000" w:themeColor="text1"/>
              </w:rPr>
              <w:t>a entrega</w:t>
            </w:r>
            <w:r>
              <w:rPr>
                <w:rFonts w:ascii="Verdana" w:hAnsi="Verdana" w:cs="Arial"/>
                <w:color w:val="000000" w:themeColor="text1"/>
              </w:rPr>
              <w:t xml:space="preserve"> </w:t>
            </w:r>
            <w:r w:rsidRPr="00230444">
              <w:rPr>
                <w:rFonts w:ascii="Verdana" w:hAnsi="Verdana" w:cs="Arial"/>
                <w:color w:val="000000" w:themeColor="text1"/>
              </w:rPr>
              <w:t>o tradición por la que se perfecciona no es un título traslaticio de dominio, de posesión, ni constituye enajenación en sentido alguno</w:t>
            </w:r>
            <w:r>
              <w:rPr>
                <w:rFonts w:ascii="Verdana" w:hAnsi="Verdana" w:cs="Arial"/>
                <w:color w:val="000000" w:themeColor="text1"/>
              </w:rPr>
              <w:t xml:space="preserve"> […]”. En este contexto, el comodante conserva el dominio del bien y, por tanto, de acuerdo al marco normativo citado en el párrafo precedente, debe garantizar su conservación frente a los riesgos, daños o deterioros a los que esté expuesto. </w:t>
            </w:r>
          </w:p>
          <w:p w14:paraId="6E2F0D9D" w14:textId="77777777" w:rsidR="009C5993" w:rsidRDefault="009C5993" w:rsidP="00085C35">
            <w:pPr>
              <w:widowControl w:val="0"/>
              <w:autoSpaceDE w:val="0"/>
              <w:autoSpaceDN w:val="0"/>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Lo anterior no obsta para que el comodatario también responda hasta por culpa levísima de un deber de conservación conforme al artículo 2203 del Código Civil, ya que está a cargo de “[…] </w:t>
            </w:r>
            <w:r w:rsidRPr="00881A3C">
              <w:rPr>
                <w:rFonts w:ascii="Verdana" w:hAnsi="Verdana" w:cs="Arial"/>
                <w:color w:val="000000" w:themeColor="text1"/>
              </w:rPr>
              <w:t>todo deterioro que no provenga de la naturaleza o del uso legítimo de la cosa; y si este deterioro es tal, que la cosa no sea ya susceptible de emplearse en su uso ordinario, podrá el comodante exigir el precio anterior de la cosa, abandonando su propiedad al comodatario</w:t>
            </w:r>
            <w:r>
              <w:rPr>
                <w:rFonts w:ascii="Verdana" w:hAnsi="Verdana" w:cs="Arial"/>
                <w:color w:val="000000" w:themeColor="text1"/>
              </w:rPr>
              <w:t xml:space="preserve">”. Por ello, el artículo 2202 </w:t>
            </w:r>
            <w:r w:rsidRPr="006A4B98">
              <w:rPr>
                <w:rFonts w:ascii="Verdana" w:hAnsi="Verdana" w:cs="Arial"/>
                <w:i/>
                <w:iCs/>
                <w:color w:val="000000" w:themeColor="text1"/>
              </w:rPr>
              <w:t>ibidem</w:t>
            </w:r>
            <w:r>
              <w:rPr>
                <w:rFonts w:ascii="Verdana" w:hAnsi="Verdana" w:cs="Arial"/>
                <w:color w:val="000000" w:themeColor="text1"/>
              </w:rPr>
              <w:t xml:space="preserve"> prescribe que el comodatario sólo puede emplear la cosa prestada para el uso convenido por las partes o, a falta de pacto al respecto, deberá emplearla conforme a su uso ordinario. El </w:t>
            </w:r>
            <w:r>
              <w:rPr>
                <w:rFonts w:ascii="Verdana" w:hAnsi="Verdana" w:cs="Arial"/>
                <w:color w:val="000000" w:themeColor="text1"/>
              </w:rPr>
              <w:lastRenderedPageBreak/>
              <w:t>incumplimiento de esta obligación permite la reparación de los perjuicios, medida a la que se suma la restitución del anticipada del bien.</w:t>
            </w:r>
          </w:p>
          <w:p w14:paraId="1E2A38F9" w14:textId="77777777" w:rsidR="009C5993" w:rsidRDefault="009C5993" w:rsidP="00085C35">
            <w:pPr>
              <w:widowControl w:val="0"/>
              <w:autoSpaceDE w:val="0"/>
              <w:autoSpaceDN w:val="0"/>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El artículo </w:t>
            </w:r>
            <w:r w:rsidRPr="00D52CBB">
              <w:rPr>
                <w:rFonts w:ascii="Verdana" w:hAnsi="Verdana" w:cs="Arial"/>
                <w:color w:val="000000" w:themeColor="text1"/>
              </w:rPr>
              <w:t>2.2.1.2.1.4.5</w:t>
            </w:r>
            <w:r>
              <w:rPr>
                <w:rFonts w:ascii="Verdana" w:hAnsi="Verdana" w:cs="Arial"/>
                <w:color w:val="000000" w:themeColor="text1"/>
              </w:rPr>
              <w:t xml:space="preserve"> del Decreto 1082 de 2015 establece que la constitución de garantías no es obligatoria en la contratación directa, causal dentro la que se incluyen los contratos o convenios interadministrativos del artículo </w:t>
            </w:r>
            <w:r w:rsidRPr="00D52CBB">
              <w:rPr>
                <w:rFonts w:ascii="Verdana" w:hAnsi="Verdana" w:cs="Arial"/>
                <w:color w:val="000000" w:themeColor="text1"/>
              </w:rPr>
              <w:t>2.2.1.2.1.4.4</w:t>
            </w:r>
            <w:r>
              <w:rPr>
                <w:rFonts w:ascii="Verdana" w:hAnsi="Verdana" w:cs="Arial"/>
                <w:color w:val="000000" w:themeColor="text1"/>
              </w:rPr>
              <w:t xml:space="preserve"> </w:t>
            </w:r>
            <w:r w:rsidRPr="00D52CBB">
              <w:rPr>
                <w:rFonts w:ascii="Verdana" w:hAnsi="Verdana" w:cs="Arial"/>
                <w:i/>
                <w:iCs/>
                <w:color w:val="000000" w:themeColor="text1"/>
              </w:rPr>
              <w:t>ibidem</w:t>
            </w:r>
            <w:r>
              <w:rPr>
                <w:rFonts w:ascii="Verdana" w:hAnsi="Verdana" w:cs="Arial"/>
                <w:color w:val="000000" w:themeColor="text1"/>
              </w:rPr>
              <w:t xml:space="preserve">. No obstante, el comodante –como propietario del bien y responsable de su conservación– puede exigirlas para mitigar el riesgo de daño o deterioro en manos del comodatario: </w:t>
            </w:r>
            <w:r w:rsidRPr="00887265">
              <w:rPr>
                <w:rFonts w:ascii="Verdana" w:hAnsi="Verdana" w:cs="Arial"/>
                <w:color w:val="000000" w:themeColor="text1"/>
              </w:rPr>
              <w:t xml:space="preserve">corresponde </w:t>
            </w:r>
            <w:r>
              <w:rPr>
                <w:rFonts w:ascii="Verdana" w:hAnsi="Verdana" w:cs="Arial"/>
                <w:color w:val="000000" w:themeColor="text1"/>
              </w:rPr>
              <w:t xml:space="preserve">a este último </w:t>
            </w:r>
            <w:r w:rsidRPr="00887265">
              <w:rPr>
                <w:rFonts w:ascii="Verdana" w:hAnsi="Verdana" w:cs="Arial"/>
                <w:color w:val="000000" w:themeColor="text1"/>
              </w:rPr>
              <w:t>constituir</w:t>
            </w:r>
            <w:r>
              <w:rPr>
                <w:rFonts w:ascii="Verdana" w:hAnsi="Verdana" w:cs="Arial"/>
                <w:color w:val="000000" w:themeColor="text1"/>
              </w:rPr>
              <w:t xml:space="preserve"> los amparos</w:t>
            </w:r>
            <w:r w:rsidRPr="00887265">
              <w:rPr>
                <w:rFonts w:ascii="Verdana" w:hAnsi="Verdana" w:cs="Arial"/>
                <w:color w:val="000000" w:themeColor="text1"/>
              </w:rPr>
              <w:t xml:space="preserve"> y asumir los costos </w:t>
            </w:r>
            <w:r>
              <w:rPr>
                <w:rFonts w:ascii="Verdana" w:hAnsi="Verdana" w:cs="Arial"/>
                <w:color w:val="000000" w:themeColor="text1"/>
              </w:rPr>
              <w:t>que impliquen</w:t>
            </w:r>
            <w:r w:rsidRPr="00887265">
              <w:rPr>
                <w:rFonts w:ascii="Verdana" w:hAnsi="Verdana" w:cs="Arial"/>
                <w:color w:val="000000" w:themeColor="text1"/>
              </w:rPr>
              <w:t xml:space="preserve">, lo cual se </w:t>
            </w:r>
            <w:r>
              <w:rPr>
                <w:rFonts w:ascii="Verdana" w:hAnsi="Verdana" w:cs="Arial"/>
                <w:color w:val="000000" w:themeColor="text1"/>
              </w:rPr>
              <w:t>desprende de su obligación de</w:t>
            </w:r>
            <w:r w:rsidRPr="00887265">
              <w:rPr>
                <w:rFonts w:ascii="Verdana" w:hAnsi="Verdana" w:cs="Arial"/>
                <w:color w:val="000000" w:themeColor="text1"/>
              </w:rPr>
              <w:t xml:space="preserve"> cuidar el bien </w:t>
            </w:r>
            <w:r>
              <w:rPr>
                <w:rFonts w:ascii="Verdana" w:hAnsi="Verdana" w:cs="Arial"/>
                <w:color w:val="000000" w:themeColor="text1"/>
              </w:rPr>
              <w:t>prestado</w:t>
            </w:r>
            <w:r w:rsidRPr="00887265">
              <w:rPr>
                <w:rFonts w:ascii="Verdana" w:hAnsi="Verdana" w:cs="Arial"/>
                <w:color w:val="000000" w:themeColor="text1"/>
              </w:rPr>
              <w:t xml:space="preserve"> y</w:t>
            </w:r>
            <w:r>
              <w:rPr>
                <w:rFonts w:ascii="Verdana" w:hAnsi="Verdana" w:cs="Arial"/>
                <w:color w:val="000000" w:themeColor="text1"/>
              </w:rPr>
              <w:t xml:space="preserve"> de </w:t>
            </w:r>
            <w:r w:rsidRPr="00887265">
              <w:rPr>
                <w:rFonts w:ascii="Verdana" w:hAnsi="Verdana" w:cs="Arial"/>
                <w:color w:val="000000" w:themeColor="text1"/>
              </w:rPr>
              <w:t xml:space="preserve">conservarlo conforme lo recibió, salvo el desgate </w:t>
            </w:r>
            <w:r>
              <w:rPr>
                <w:rFonts w:ascii="Verdana" w:hAnsi="Verdana" w:cs="Arial"/>
                <w:color w:val="000000" w:themeColor="text1"/>
              </w:rPr>
              <w:t>natural o derivado</w:t>
            </w:r>
            <w:r w:rsidRPr="00887265">
              <w:rPr>
                <w:rFonts w:ascii="Verdana" w:hAnsi="Verdana" w:cs="Arial"/>
                <w:color w:val="000000" w:themeColor="text1"/>
              </w:rPr>
              <w:t xml:space="preserve"> </w:t>
            </w:r>
            <w:r>
              <w:rPr>
                <w:rFonts w:ascii="Verdana" w:hAnsi="Verdana" w:cs="Arial"/>
                <w:color w:val="000000" w:themeColor="text1"/>
              </w:rPr>
              <w:t>del</w:t>
            </w:r>
            <w:r w:rsidRPr="00887265">
              <w:rPr>
                <w:rFonts w:ascii="Verdana" w:hAnsi="Verdana" w:cs="Arial"/>
                <w:color w:val="000000" w:themeColor="text1"/>
              </w:rPr>
              <w:t xml:space="preserve"> uso</w:t>
            </w:r>
            <w:r>
              <w:rPr>
                <w:rFonts w:ascii="Verdana" w:hAnsi="Verdana" w:cs="Arial"/>
                <w:color w:val="000000" w:themeColor="text1"/>
              </w:rPr>
              <w:t xml:space="preserve"> legítimo. De esta manera, además de que el comodante puede exigir al comodatario que ampare el cumplimiento del contrato en las condiciones del numeral 3 del artículo </w:t>
            </w:r>
            <w:r w:rsidRPr="00582027">
              <w:rPr>
                <w:rFonts w:ascii="Verdana" w:hAnsi="Verdana" w:cs="Arial"/>
                <w:color w:val="000000" w:themeColor="text1"/>
              </w:rPr>
              <w:t>2.2.1.2.3.1.7</w:t>
            </w:r>
            <w:r>
              <w:rPr>
                <w:rFonts w:ascii="Verdana" w:hAnsi="Verdana" w:cs="Arial"/>
                <w:color w:val="000000" w:themeColor="text1"/>
              </w:rPr>
              <w:t xml:space="preserve"> del Decreto 1082 de 2015, el numeral 8 </w:t>
            </w:r>
            <w:r w:rsidRPr="00582027">
              <w:rPr>
                <w:rFonts w:ascii="Verdana" w:hAnsi="Verdana" w:cs="Arial"/>
                <w:i/>
                <w:iCs/>
                <w:color w:val="000000" w:themeColor="text1"/>
              </w:rPr>
              <w:t>ibidem</w:t>
            </w:r>
            <w:r>
              <w:rPr>
                <w:rFonts w:ascii="Verdana" w:hAnsi="Verdana" w:cs="Arial"/>
                <w:color w:val="000000" w:themeColor="text1"/>
              </w:rPr>
              <w:t xml:space="preserve"> también permite la cobertura de “</w:t>
            </w:r>
            <w:r w:rsidRPr="00582027">
              <w:rPr>
                <w:rFonts w:ascii="Verdana" w:hAnsi="Verdana" w:cs="Arial"/>
                <w:color w:val="000000" w:themeColor="text1"/>
              </w:rPr>
              <w:t>Los demás incumplimientos de obligaciones que la Entidad Estatal considere deben ser amparados de manera proporcional y acorde a la naturaleza del contrato</w:t>
            </w:r>
            <w:r>
              <w:rPr>
                <w:rFonts w:ascii="Verdana" w:hAnsi="Verdana" w:cs="Arial"/>
                <w:color w:val="000000" w:themeColor="text1"/>
              </w:rPr>
              <w:t>”.</w:t>
            </w:r>
          </w:p>
          <w:p w14:paraId="54D86260" w14:textId="77777777" w:rsidR="009C5993" w:rsidRPr="00CB1BB8" w:rsidRDefault="009C5993" w:rsidP="00085C35">
            <w:pPr>
              <w:spacing w:after="120" w:line="276" w:lineRule="auto"/>
              <w:ind w:firstLine="595"/>
              <w:jc w:val="both"/>
              <w:rPr>
                <w:rFonts w:ascii="Verdana" w:hAnsi="Verdana"/>
              </w:rPr>
            </w:pPr>
            <w:r>
              <w:rPr>
                <w:rFonts w:ascii="Verdana" w:hAnsi="Verdana" w:cs="Arial"/>
                <w:color w:val="000000" w:themeColor="text1"/>
              </w:rPr>
              <w:t xml:space="preserve">El Código de Comercio no impide que sobre un mismo bien se constituyan dos (2) seguros distintos, el del comodante y del comodatario en la consulta </w:t>
            </w:r>
            <w:r w:rsidRPr="003E002E">
              <w:rPr>
                <w:rFonts w:ascii="Verdana" w:hAnsi="Verdana" w:cs="Arial"/>
                <w:i/>
                <w:iCs/>
                <w:color w:val="000000" w:themeColor="text1"/>
              </w:rPr>
              <w:t>sub examine</w:t>
            </w:r>
            <w:r>
              <w:rPr>
                <w:rFonts w:ascii="Verdana" w:hAnsi="Verdana" w:cs="Arial"/>
                <w:color w:val="000000" w:themeColor="text1"/>
              </w:rPr>
              <w:t>. Por el contrario, el artículo 1084 prescribe que “</w:t>
            </w:r>
            <w:r w:rsidRPr="00B07699">
              <w:rPr>
                <w:rFonts w:ascii="Verdana" w:hAnsi="Verdana" w:cs="Arial"/>
                <w:color w:val="000000" w:themeColor="text1"/>
              </w:rPr>
              <w:t>Sobre una misma cosa podrán concurrir distintos intereses, todos los cuales son asegurables, simultánea o sucesivamente, hasta por el valor de cada uno de ellos. Pero la indemnización, en caso de producirse el hecho que la origine, no podrá exceder del valor total de la cosa en el momento del siniestro</w:t>
            </w:r>
            <w:r>
              <w:rPr>
                <w:rFonts w:ascii="Verdana" w:hAnsi="Verdana" w:cs="Arial"/>
                <w:color w:val="000000" w:themeColor="text1"/>
              </w:rPr>
              <w:t xml:space="preserve"> […]”. Por ello, es necesario tener en cuenta las reglas que rigen la coexistencia de seguros conforme a los artículos 1092, 1093 y 1094 del Código de Comercio. De esta forma, en cumplimiento del artículo 1076 </w:t>
            </w:r>
            <w:r w:rsidRPr="003641B5">
              <w:rPr>
                <w:rFonts w:ascii="Verdana" w:hAnsi="Verdana" w:cs="Arial"/>
                <w:i/>
                <w:iCs/>
                <w:color w:val="000000" w:themeColor="text1"/>
              </w:rPr>
              <w:t>ibidem</w:t>
            </w:r>
            <w:r>
              <w:rPr>
                <w:rFonts w:ascii="Verdana" w:hAnsi="Verdana" w:cs="Arial"/>
                <w:color w:val="000000" w:themeColor="text1"/>
              </w:rPr>
              <w:t xml:space="preserve">, “[…] </w:t>
            </w:r>
            <w:r w:rsidRPr="003641B5">
              <w:rPr>
                <w:rFonts w:ascii="Verdana" w:hAnsi="Verdana" w:cs="Arial"/>
                <w:color w:val="000000" w:themeColor="text1"/>
              </w:rPr>
              <w:t>el asegurado estará obligado a declarar al asegurador, al dar la noticia del siniestro, los seguros coexistentes, con indicación del asegurador y de la suma asegurada. La inobservancia maliciosa de esta obligación le acarreará la pérdida del derecho a la prestación asegurada</w:t>
            </w:r>
            <w:r>
              <w:rPr>
                <w:rFonts w:ascii="Verdana" w:hAnsi="Verdana" w:cs="Arial"/>
                <w:color w:val="000000" w:themeColor="text1"/>
              </w:rPr>
              <w:t>”</w:t>
            </w:r>
            <w:r w:rsidRPr="003641B5">
              <w:rPr>
                <w:rFonts w:ascii="Verdana" w:hAnsi="Verdana" w:cs="Arial"/>
                <w:color w:val="000000" w:themeColor="text1"/>
              </w:rPr>
              <w:t>.</w:t>
            </w:r>
          </w:p>
          <w:p w14:paraId="0C42E661" w14:textId="77777777" w:rsidR="009C5993" w:rsidRPr="001941FD" w:rsidRDefault="009C5993" w:rsidP="00085C35">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w:t>
            </w:r>
            <w:r w:rsidRPr="00A47393">
              <w:rPr>
                <w:rStyle w:val="s15"/>
                <w:rFonts w:ascii="Verdana" w:hAnsi="Verdana"/>
                <w:color w:val="000000"/>
              </w:rPr>
              <w:lastRenderedPageBreak/>
              <w:t>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1BD9B0B5" w14:textId="77777777" w:rsidR="009C5993" w:rsidRPr="00593A5F" w:rsidRDefault="009C5993" w:rsidP="009C5993">
      <w:pPr>
        <w:tabs>
          <w:tab w:val="left" w:pos="142"/>
          <w:tab w:val="left" w:pos="284"/>
        </w:tabs>
        <w:spacing w:after="0" w:line="276" w:lineRule="auto"/>
        <w:jc w:val="both"/>
        <w:rPr>
          <w:rFonts w:ascii="Verdana" w:eastAsia="Century Gothic" w:hAnsi="Verdana" w:cs="Century Gothic"/>
          <w:b/>
          <w:bCs/>
          <w:lang w:val="es-ES"/>
        </w:rPr>
      </w:pPr>
    </w:p>
    <w:bookmarkEnd w:id="1"/>
    <w:p w14:paraId="095CDF8E" w14:textId="77777777" w:rsidR="009C5993" w:rsidRPr="00593A5F" w:rsidRDefault="009C5993" w:rsidP="009C599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4AF90F38" w14:textId="77777777" w:rsidR="009C5993" w:rsidRPr="00593A5F" w:rsidRDefault="009C5993" w:rsidP="009C5993">
      <w:pPr>
        <w:spacing w:after="0" w:line="276" w:lineRule="auto"/>
        <w:jc w:val="both"/>
        <w:rPr>
          <w:rFonts w:ascii="Verdana" w:eastAsia="Calibri" w:hAnsi="Verdana" w:cs="Arial"/>
          <w:color w:val="7030A0"/>
          <w:lang w:val="es-ES"/>
        </w:rPr>
      </w:pPr>
    </w:p>
    <w:p w14:paraId="4FC9BFDE" w14:textId="77777777" w:rsidR="009C5993" w:rsidRDefault="009C5993" w:rsidP="009C5993">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09D29067" w14:textId="77777777" w:rsidR="009C5993" w:rsidRPr="00415608" w:rsidRDefault="009C5993" w:rsidP="009C5993">
      <w:pPr>
        <w:spacing w:after="0" w:line="276" w:lineRule="auto"/>
        <w:jc w:val="both"/>
        <w:rPr>
          <w:rFonts w:ascii="Verdana" w:eastAsia="Calibri" w:hAnsi="Verdana" w:cs="Arial"/>
          <w:lang w:val="es-ES"/>
        </w:rPr>
      </w:pPr>
    </w:p>
    <w:p w14:paraId="6DFA7058" w14:textId="77777777" w:rsidR="009C5993" w:rsidRPr="000D3074" w:rsidRDefault="009C5993" w:rsidP="009C5993">
      <w:pPr>
        <w:spacing w:after="120" w:line="276" w:lineRule="auto"/>
        <w:jc w:val="both"/>
        <w:rPr>
          <w:rFonts w:ascii="Verdana" w:hAnsi="Verdana" w:cs="Arial"/>
        </w:rPr>
      </w:pPr>
      <w:r w:rsidRPr="000D3074">
        <w:rPr>
          <w:rFonts w:ascii="Verdana" w:eastAsia="Calibri" w:hAnsi="Verdana" w:cs="Arial"/>
          <w:lang w:val="es-ES"/>
        </w:rPr>
        <w:t xml:space="preserve">Respecto al régimen jurídico, es necesario tener en cuenta que 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0D3074">
        <w:rPr>
          <w:rFonts w:ascii="Verdana" w:hAnsi="Verdana" w:cs="Arial"/>
        </w:rPr>
        <w:t xml:space="preserve">el inciso primero del artículo 13 dispone que “Los contratos que celebren las entidades a que se refiere el artículo 2o. del presente estatuto se regirán por las disposiciones comerciales y civiles pertinentes, salvo en las materias particularmente reguladas en esta ley”. </w:t>
      </w:r>
    </w:p>
    <w:p w14:paraId="3BB4D143" w14:textId="77777777" w:rsidR="009C5993" w:rsidRPr="000D3074" w:rsidRDefault="009C5993" w:rsidP="009C5993">
      <w:pPr>
        <w:spacing w:after="120" w:line="276" w:lineRule="auto"/>
        <w:ind w:firstLine="709"/>
        <w:jc w:val="both"/>
        <w:rPr>
          <w:rFonts w:ascii="Verdana" w:hAnsi="Verdana" w:cs="Arial"/>
        </w:rPr>
      </w:pPr>
      <w:r w:rsidRPr="000D3074">
        <w:rPr>
          <w:rFonts w:ascii="Verdana" w:hAnsi="Verdana" w:cs="Arial"/>
        </w:rPr>
        <w:t>Dicha idea también se reitera en el EGCAP considerando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dispone que “Las estipulaciones de los contratos serán las que de acuerdo con las normas civiles, comerciales y las previstas en esta ley, correspondan a su esencia y naturaleza” –art. 40, inciso primero–.</w:t>
      </w:r>
    </w:p>
    <w:p w14:paraId="22CCC365" w14:textId="77777777" w:rsidR="009C5993" w:rsidRPr="000D3074" w:rsidRDefault="009C5993" w:rsidP="009C5993">
      <w:pPr>
        <w:spacing w:after="0" w:line="276" w:lineRule="auto"/>
        <w:ind w:firstLine="708"/>
        <w:jc w:val="both"/>
        <w:rPr>
          <w:rFonts w:ascii="Verdana" w:hAnsi="Verdana" w:cs="Arial"/>
        </w:rPr>
      </w:pPr>
      <w:r w:rsidRPr="000D3074">
        <w:rPr>
          <w:rFonts w:ascii="Verdana" w:hAnsi="Verdana" w:cs="Arial"/>
        </w:rPr>
        <w:t>De esta manera, los contratos de las entidades sometidas al Estatuto General de Contratación se rigen generalmente por el derecho privado y excepcionalmente por el derecho público, pues las normas civiles y comerciales son el derecho común de los contratos estatales</w:t>
      </w:r>
      <w:r w:rsidRPr="000D3074">
        <w:rPr>
          <w:rStyle w:val="Refdenotaalpie"/>
          <w:rFonts w:ascii="Verdana" w:hAnsi="Verdana" w:cs="Arial"/>
        </w:rPr>
        <w:footnoteReference w:id="1"/>
      </w:r>
      <w:r w:rsidRPr="000D3074">
        <w:rPr>
          <w:rFonts w:ascii="Verdana" w:hAnsi="Verdana" w:cs="Arial"/>
        </w:rPr>
        <w:t>. Para la doctrina, la mixtura del régimen contractual:</w:t>
      </w:r>
    </w:p>
    <w:p w14:paraId="2470BB2E" w14:textId="77777777" w:rsidR="009C5993" w:rsidRPr="000D3074" w:rsidRDefault="009C5993" w:rsidP="009C5993">
      <w:pPr>
        <w:spacing w:after="0" w:line="276" w:lineRule="auto"/>
        <w:ind w:firstLine="709"/>
        <w:jc w:val="both"/>
        <w:rPr>
          <w:rFonts w:ascii="Verdana" w:hAnsi="Verdana" w:cs="Arial"/>
        </w:rPr>
      </w:pPr>
    </w:p>
    <w:p w14:paraId="13C9A41D" w14:textId="77777777" w:rsidR="009C5993" w:rsidRPr="000D3074" w:rsidRDefault="009C5993" w:rsidP="009C5993">
      <w:pPr>
        <w:spacing w:after="0" w:line="240" w:lineRule="auto"/>
        <w:ind w:left="709" w:right="709"/>
        <w:jc w:val="both"/>
        <w:rPr>
          <w:rFonts w:ascii="Verdana" w:hAnsi="Verdana" w:cs="Arial"/>
          <w:sz w:val="20"/>
          <w:szCs w:val="20"/>
        </w:rPr>
      </w:pPr>
      <w:r w:rsidRPr="000D3074">
        <w:rPr>
          <w:rFonts w:ascii="Verdana" w:hAnsi="Verdana" w:cs="Arial"/>
          <w:sz w:val="20"/>
          <w:szCs w:val="20"/>
        </w:rPr>
        <w:lastRenderedPageBreak/>
        <w:t>“[…] no hace otra cosa que aprovechar ciertos principios rectores de la contratación general que aunque tengan su consagración en códigos de derecho privado como el civil o el comercial, no son propios y exclusivos de este derecho. Baste pensar en los requisitos de consentimiento válido, objeto y causa lícitos, capacidad, elementos esenciales según la naturaleza de cada contrato, responsabilidad, naturaleza de las obligaciones emanadas de los mismos, etc. etc. Extremos éstos que de derecho privado no tienen sino su presentación formal o el nombre y que la tradición, desde su origen romano, se acostumbró a calificarlos así y a no preocuparse por su cuestionamiento o definición.</w:t>
      </w:r>
    </w:p>
    <w:p w14:paraId="39A99C31" w14:textId="77777777" w:rsidR="009C5993" w:rsidRPr="000D3074" w:rsidRDefault="009C5993" w:rsidP="009C5993">
      <w:pPr>
        <w:spacing w:after="0" w:line="240" w:lineRule="auto"/>
        <w:ind w:right="709"/>
        <w:jc w:val="both"/>
        <w:rPr>
          <w:rFonts w:ascii="Verdana" w:hAnsi="Verdana" w:cs="Arial"/>
          <w:sz w:val="12"/>
          <w:szCs w:val="12"/>
        </w:rPr>
      </w:pPr>
      <w:r w:rsidRPr="000D3074">
        <w:rPr>
          <w:rFonts w:ascii="Verdana" w:hAnsi="Verdana" w:cs="Arial"/>
          <w:sz w:val="21"/>
          <w:szCs w:val="21"/>
        </w:rPr>
        <w:tab/>
      </w:r>
    </w:p>
    <w:p w14:paraId="3AD9CB5C" w14:textId="77777777" w:rsidR="009C5993" w:rsidRPr="000D3074" w:rsidRDefault="009C5993" w:rsidP="009C5993">
      <w:pPr>
        <w:spacing w:after="0" w:line="240" w:lineRule="auto"/>
        <w:ind w:left="709" w:right="709"/>
        <w:jc w:val="both"/>
        <w:rPr>
          <w:rFonts w:ascii="Verdana" w:hAnsi="Verdana" w:cs="Arial"/>
          <w:sz w:val="20"/>
          <w:szCs w:val="20"/>
        </w:rPr>
      </w:pPr>
      <w:r w:rsidRPr="000D3074">
        <w:rPr>
          <w:rFonts w:ascii="Verdana" w:hAnsi="Verdana" w:cs="Arial"/>
          <w:sz w:val="20"/>
          <w:szCs w:val="20"/>
        </w:rPr>
        <w:t>En otras palabras, extremos como los indicados no son ni de derecho público ni de derecho privado, sino, simplemente, de derecho propio, aplicables a toda relación contractual, con prescindencia de la naturaleza de los sujetos involucrados en la misma”</w:t>
      </w:r>
      <w:r w:rsidRPr="000D3074">
        <w:rPr>
          <w:rStyle w:val="Refdenotaalpie"/>
          <w:rFonts w:ascii="Verdana" w:hAnsi="Verdana" w:cs="Arial"/>
          <w:sz w:val="20"/>
          <w:szCs w:val="20"/>
        </w:rPr>
        <w:footnoteReference w:id="2"/>
      </w:r>
      <w:r w:rsidRPr="000D3074">
        <w:rPr>
          <w:rFonts w:ascii="Verdana" w:hAnsi="Verdana" w:cs="Arial"/>
          <w:sz w:val="20"/>
          <w:szCs w:val="20"/>
        </w:rPr>
        <w:t xml:space="preserve">. </w:t>
      </w:r>
    </w:p>
    <w:p w14:paraId="505B4DCE" w14:textId="77777777" w:rsidR="009C5993" w:rsidRPr="000D3074" w:rsidRDefault="009C5993" w:rsidP="009C5993">
      <w:pPr>
        <w:spacing w:after="0" w:line="276" w:lineRule="auto"/>
        <w:ind w:left="709" w:right="709"/>
        <w:jc w:val="both"/>
        <w:rPr>
          <w:rFonts w:ascii="Verdana" w:hAnsi="Verdana" w:cs="Arial"/>
        </w:rPr>
      </w:pPr>
      <w:r w:rsidRPr="000D3074">
        <w:rPr>
          <w:rFonts w:ascii="Verdana" w:hAnsi="Verdana" w:cs="Arial"/>
        </w:rPr>
        <w:t xml:space="preserve"> </w:t>
      </w:r>
    </w:p>
    <w:p w14:paraId="59C4B951" w14:textId="77777777" w:rsidR="009C5993" w:rsidRPr="000D3074" w:rsidRDefault="009C5993" w:rsidP="009C5993">
      <w:pPr>
        <w:spacing w:after="120" w:line="276" w:lineRule="auto"/>
        <w:jc w:val="both"/>
        <w:rPr>
          <w:rFonts w:ascii="Verdana" w:hAnsi="Verdana" w:cs="Arial"/>
        </w:rPr>
      </w:pPr>
      <w:r w:rsidRPr="000D3074">
        <w:rPr>
          <w:rFonts w:ascii="Verdana" w:hAnsi="Verdana" w:cs="Arial"/>
        </w:rPr>
        <w:tab/>
        <w:t>Ello no implica una privatización absoluta del régimen contractual de las entidades públicas, pues la Ley 80 de 1993 –entre otros aspectos– regula 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w:t>
      </w:r>
    </w:p>
    <w:p w14:paraId="6B063E53" w14:textId="77777777" w:rsidR="009C5993" w:rsidRPr="000D3074" w:rsidRDefault="009C5993" w:rsidP="009C5993">
      <w:pPr>
        <w:spacing w:after="120" w:line="276" w:lineRule="auto"/>
        <w:jc w:val="both"/>
        <w:rPr>
          <w:rFonts w:ascii="Verdana" w:hAnsi="Verdana" w:cs="Arial"/>
        </w:rPr>
      </w:pPr>
      <w:r w:rsidRPr="000D3074">
        <w:rPr>
          <w:rFonts w:ascii="Verdana" w:hAnsi="Verdana" w:cs="Arial"/>
        </w:rPr>
        <w:tab/>
        <w:t>Esta precisión es importante, porque</w:t>
      </w:r>
      <w:r>
        <w:rPr>
          <w:rFonts w:ascii="Verdana" w:hAnsi="Verdana" w:cs="Arial"/>
        </w:rPr>
        <w:t xml:space="preserve"> tanto</w:t>
      </w:r>
      <w:r w:rsidRPr="000D3074">
        <w:rPr>
          <w:rFonts w:ascii="Verdana" w:hAnsi="Verdana" w:cs="Arial"/>
        </w:rPr>
        <w:t xml:space="preserve"> la donación</w:t>
      </w:r>
      <w:r>
        <w:rPr>
          <w:rFonts w:ascii="Verdana" w:hAnsi="Verdana" w:cs="Arial"/>
        </w:rPr>
        <w:t xml:space="preserve"> como el comodato</w:t>
      </w:r>
      <w:r w:rsidRPr="000D3074">
        <w:rPr>
          <w:rFonts w:ascii="Verdana" w:hAnsi="Verdana" w:cs="Arial"/>
        </w:rPr>
        <w:t xml:space="preserve"> se encuentra</w:t>
      </w:r>
      <w:r>
        <w:rPr>
          <w:rFonts w:ascii="Verdana" w:hAnsi="Verdana" w:cs="Arial"/>
        </w:rPr>
        <w:t>n</w:t>
      </w:r>
      <w:r w:rsidRPr="000D3074">
        <w:rPr>
          <w:rFonts w:ascii="Verdana" w:hAnsi="Verdana" w:cs="Arial"/>
        </w:rPr>
        <w:t xml:space="preserve"> tipificad</w:t>
      </w:r>
      <w:r>
        <w:rPr>
          <w:rFonts w:ascii="Verdana" w:hAnsi="Verdana" w:cs="Arial"/>
        </w:rPr>
        <w:t>os</w:t>
      </w:r>
      <w:r w:rsidRPr="000D3074">
        <w:rPr>
          <w:rFonts w:ascii="Verdana" w:hAnsi="Verdana" w:cs="Arial"/>
        </w:rPr>
        <w:t xml:space="preserve"> en el Código Civil y allí se encuentra</w:t>
      </w:r>
      <w:r>
        <w:rPr>
          <w:rFonts w:ascii="Verdana" w:hAnsi="Verdana" w:cs="Arial"/>
        </w:rPr>
        <w:t>n</w:t>
      </w:r>
      <w:r w:rsidRPr="000D3074">
        <w:rPr>
          <w:rFonts w:ascii="Verdana" w:hAnsi="Verdana" w:cs="Arial"/>
        </w:rPr>
        <w:t xml:space="preserve"> gran parte de su régimen jurídico. </w:t>
      </w:r>
      <w:r w:rsidRPr="001C298E">
        <w:rPr>
          <w:rFonts w:ascii="Verdana" w:hAnsi="Verdana" w:cs="Arial"/>
          <w:i/>
          <w:iCs/>
        </w:rPr>
        <w:t>Por un lado</w:t>
      </w:r>
      <w:r>
        <w:rPr>
          <w:rFonts w:ascii="Verdana" w:hAnsi="Verdana" w:cs="Arial"/>
        </w:rPr>
        <w:t>, e</w:t>
      </w:r>
      <w:r w:rsidRPr="000D3074">
        <w:rPr>
          <w:rFonts w:ascii="Verdana" w:hAnsi="Verdana" w:cs="Arial"/>
        </w:rPr>
        <w:t xml:space="preserve">l artículo 1443 </w:t>
      </w:r>
      <w:r w:rsidRPr="000D3074">
        <w:rPr>
          <w:rFonts w:ascii="Verdana" w:hAnsi="Verdana" w:cs="Arial"/>
          <w:i/>
          <w:iCs/>
        </w:rPr>
        <w:t>ibidem</w:t>
      </w:r>
      <w:r w:rsidRPr="000D3074">
        <w:rPr>
          <w:rFonts w:ascii="Verdana" w:hAnsi="Verdana" w:cs="Arial"/>
        </w:rPr>
        <w:t>, inspirándose en el artículo 894 del Código de Napoleón, dispone que “La donación entre vivos es un acto por el cual una persona transfiere, gratuita e irrevocablemente, una parte de sus bienes a otra persona que la acepta”.  Esta norma ha sido ampliamente criticada, pues –más que un simple “acto”– la donación tiene la naturaleza contractual, pues aunque en la mayoría de los casos imponga obligaciones a una sola de las partes, surge del acuerdo de voluntades</w:t>
      </w:r>
      <w:r w:rsidRPr="000D3074">
        <w:rPr>
          <w:rStyle w:val="Refdenotaalpie"/>
          <w:rFonts w:ascii="Verdana" w:hAnsi="Verdana" w:cs="Arial"/>
        </w:rPr>
        <w:footnoteReference w:id="3"/>
      </w:r>
      <w:r w:rsidRPr="000D3074">
        <w:rPr>
          <w:rFonts w:ascii="Verdana" w:hAnsi="Verdana" w:cs="Arial"/>
        </w:rPr>
        <w:t xml:space="preserve">. </w:t>
      </w:r>
    </w:p>
    <w:p w14:paraId="6991F78D" w14:textId="77777777" w:rsidR="009C5993" w:rsidRPr="000D3074" w:rsidRDefault="009C5993" w:rsidP="009C5993">
      <w:pPr>
        <w:spacing w:after="120" w:line="276" w:lineRule="auto"/>
        <w:jc w:val="both"/>
        <w:rPr>
          <w:rFonts w:ascii="Verdana" w:hAnsi="Verdana" w:cs="Arial"/>
        </w:rPr>
      </w:pPr>
      <w:r w:rsidRPr="000D3074">
        <w:rPr>
          <w:rFonts w:ascii="Verdana" w:hAnsi="Verdana" w:cs="Arial"/>
        </w:rPr>
        <w:lastRenderedPageBreak/>
        <w:tab/>
      </w:r>
      <w:r>
        <w:rPr>
          <w:rFonts w:ascii="Verdana" w:hAnsi="Verdana" w:cs="Arial"/>
        </w:rPr>
        <w:t>Autores como</w:t>
      </w:r>
      <w:r w:rsidRPr="000D3074">
        <w:rPr>
          <w:rFonts w:ascii="Verdana" w:hAnsi="Verdana" w:cs="Arial"/>
        </w:rPr>
        <w:t xml:space="preserve"> GUZMÁN BRITO define</w:t>
      </w:r>
      <w:r>
        <w:rPr>
          <w:rFonts w:ascii="Verdana" w:hAnsi="Verdana" w:cs="Arial"/>
        </w:rPr>
        <w:t>n</w:t>
      </w:r>
      <w:r w:rsidRPr="000D3074">
        <w:rPr>
          <w:rFonts w:ascii="Verdana" w:hAnsi="Verdana" w:cs="Arial"/>
        </w:rPr>
        <w:t xml:space="preserve"> la donación como “[…] la atribución convencional dispositiva entre vivos, no debida, gratuita y lucrativa de una cosa corporal o incorporal o de un valor, que disminuyendo el patrimonio del donante aumenta el del donatario”. Este carácter atributivo no es de naturaleza legal –como sucede en la adjudicación del tesoro encontrado en terreno ajeno conforme a las reglas del artículo 701 del Código Civil–, no tiene como propósito entregar la mera tenencia de la cosa –como sucede en los contratos de comodato o arrendamiento–, ni se origina en aplicación de las reglas de la sucesión por causa de muerte. Asimismo, la donación es una liberalidad y depende completamente de la voluntad del donante, por lo que –a diferencia de la compraventa, por ejemplo– la transferencia de la cosa no surge de un acto debido. Esta liberalidad entraña, por un lado, la falta de contraprestación –gratuidad– y, por otro, la usencia del deber de restituir lo donado –</w:t>
      </w:r>
      <w:proofErr w:type="spellStart"/>
      <w:r w:rsidRPr="000D3074">
        <w:rPr>
          <w:rFonts w:ascii="Verdana" w:hAnsi="Verdana" w:cs="Arial"/>
        </w:rPr>
        <w:t>lucratividad</w:t>
      </w:r>
      <w:proofErr w:type="spellEnd"/>
      <w:r w:rsidRPr="000D3074">
        <w:rPr>
          <w:rFonts w:ascii="Verdana" w:hAnsi="Verdana" w:cs="Arial"/>
        </w:rPr>
        <w:t>–. Por tanto, es necesario una modificación en el patrimonio de las partes involucradas en el negocio jurídico</w:t>
      </w:r>
      <w:r w:rsidRPr="000D3074">
        <w:rPr>
          <w:rStyle w:val="Refdenotaalpie"/>
          <w:rFonts w:ascii="Verdana" w:hAnsi="Verdana" w:cs="Arial"/>
        </w:rPr>
        <w:footnoteReference w:id="4"/>
      </w:r>
      <w:r w:rsidRPr="000D3074">
        <w:rPr>
          <w:rFonts w:ascii="Verdana" w:hAnsi="Verdana" w:cs="Arial"/>
        </w:rPr>
        <w:t xml:space="preserve">.  </w:t>
      </w:r>
    </w:p>
    <w:p w14:paraId="1FD2D0BD" w14:textId="77777777" w:rsidR="009C5993" w:rsidRPr="000D3074" w:rsidRDefault="009C5993" w:rsidP="009C5993">
      <w:pPr>
        <w:spacing w:after="120" w:line="276" w:lineRule="auto"/>
        <w:jc w:val="both"/>
        <w:rPr>
          <w:rFonts w:ascii="Verdana" w:hAnsi="Verdana" w:cs="Arial"/>
        </w:rPr>
      </w:pPr>
      <w:r w:rsidRPr="000D3074">
        <w:rPr>
          <w:rFonts w:ascii="Verdana" w:hAnsi="Verdana" w:cs="Arial"/>
        </w:rPr>
        <w:tab/>
        <w:t xml:space="preserve">Además de nominado, la donación es un contrato principal y gratuito, pues subsiste por sí mismo sin necesidad de una convención adicional –art. 1499 del CC– y tiene por objeto la utilidad de una sola de las partes –art. 1497 del CC–. Aunque por regla general es un contrato unilateral, es decir, una las partes se obliga para con otra que no contrae obligación alguna –art. 1496 del CC–, existen ciertos tipos de donaciones –como aquellas con causa onerosa, con </w:t>
      </w:r>
      <w:r w:rsidRPr="000D3074">
        <w:rPr>
          <w:rFonts w:ascii="Verdana" w:hAnsi="Verdana" w:cs="Arial"/>
        </w:rPr>
        <w:lastRenderedPageBreak/>
        <w:t>gravamen o sujetas a modalidades– que generan compromisos para ambas. En estos casos, la donación será un contrato bilateral pero gratuito</w:t>
      </w:r>
      <w:r w:rsidRPr="000D3074">
        <w:rPr>
          <w:rStyle w:val="Refdenotaalpie"/>
          <w:rFonts w:ascii="Verdana" w:hAnsi="Verdana" w:cs="Arial"/>
        </w:rPr>
        <w:footnoteReference w:id="5"/>
      </w:r>
      <w:r w:rsidRPr="000D3074">
        <w:rPr>
          <w:rFonts w:ascii="Verdana" w:hAnsi="Verdana" w:cs="Arial"/>
        </w:rPr>
        <w:t xml:space="preserve">.    </w:t>
      </w:r>
    </w:p>
    <w:p w14:paraId="759EA771" w14:textId="77777777" w:rsidR="009C5993" w:rsidRPr="000D3074" w:rsidRDefault="009C5993" w:rsidP="009C5993">
      <w:pPr>
        <w:spacing w:after="120" w:line="276" w:lineRule="auto"/>
        <w:jc w:val="both"/>
        <w:rPr>
          <w:rFonts w:ascii="Verdana" w:hAnsi="Verdana" w:cs="Arial"/>
        </w:rPr>
      </w:pPr>
      <w:r w:rsidRPr="000D3074">
        <w:rPr>
          <w:rFonts w:ascii="Verdana" w:hAnsi="Verdana" w:cs="Arial"/>
        </w:rPr>
        <w:tab/>
        <w:t xml:space="preserve">Respecto a las relaciones entre sujetos de derecho privado, sin perjuicio de la formalidad escrita que exige el inciso primero del artículo 41 del EGCAP, puede tener naturaleza consensual o solemne. De acuerdo con el artículo 1458 del Código Civil, “Corresponde al notario autorizar mediante escritura pública, las donaciones cuyo valor exceda la suma de cincuenta (50) salarios mínimos mensuales, siempre que donante y donatario sean plenamente capaces, lo soliciten de común acuerdo y no se contravenga ninguna disposición legal”; razón por la cual, “Las donaciones cuyo valor sea igual o inferior a cincuenta (50) salarios mínimos mensuales, no requieren insinuación. Por lo demás, independientemente de la cuantía, “No valdrá la donación entre vivos, de cualquiera especie de bienes raíces, si no es otorgada por escritura pública, inscrita en el competente registro de instrumentos públicos” –art. 1457, inc. 1°, del CC–.  También es un contrato de ejecución instantánea, salvo las donaciones de pensiones periódicas –art. 1459 del CC–.  </w:t>
      </w:r>
    </w:p>
    <w:p w14:paraId="628A9083" w14:textId="77777777" w:rsidR="009C5993" w:rsidRPr="000D3074" w:rsidRDefault="009C5993" w:rsidP="009C5993">
      <w:pPr>
        <w:spacing w:after="120" w:line="276" w:lineRule="auto"/>
        <w:jc w:val="both"/>
        <w:rPr>
          <w:rFonts w:ascii="Verdana" w:hAnsi="Verdana" w:cs="Arial"/>
        </w:rPr>
      </w:pPr>
      <w:r w:rsidRPr="000D3074">
        <w:rPr>
          <w:rFonts w:ascii="Verdana" w:hAnsi="Verdana" w:cs="Arial"/>
        </w:rPr>
        <w:tab/>
        <w:t xml:space="preserve">La donación es un título traslaticio del derecho de domino en los términos del inciso primero del artículo 745 del Código Civil. Desde esta perspectiva, como señala impropiamente el precitado artículo 1443 </w:t>
      </w:r>
      <w:r w:rsidRPr="000D3074">
        <w:rPr>
          <w:rFonts w:ascii="Verdana" w:hAnsi="Verdana" w:cs="Arial"/>
          <w:i/>
          <w:iCs/>
        </w:rPr>
        <w:t>ibidem</w:t>
      </w:r>
      <w:r w:rsidRPr="000D3074">
        <w:rPr>
          <w:rFonts w:ascii="Verdana" w:hAnsi="Verdana" w:cs="Arial"/>
        </w:rPr>
        <w:t>, el contrato no “transfiere” los bienes, sino que “obliga a transferirlos”</w:t>
      </w:r>
      <w:r>
        <w:rPr>
          <w:rFonts w:ascii="Verdana" w:hAnsi="Verdana" w:cs="Arial"/>
        </w:rPr>
        <w:t>,</w:t>
      </w:r>
      <w:r w:rsidRPr="000D3074">
        <w:rPr>
          <w:rFonts w:ascii="Verdana" w:hAnsi="Verdana" w:cs="Arial"/>
        </w:rPr>
        <w:t xml:space="preserve"> por lo que es un título que posibilita la posterior tradición de las cosas donadas. Este surge de forma derivativa –no originaria–, por acto entre vivos –lo que excluye las donaciones </w:t>
      </w:r>
      <w:r w:rsidRPr="000D3074">
        <w:rPr>
          <w:rFonts w:ascii="Verdana" w:hAnsi="Verdana" w:cs="Arial"/>
          <w:i/>
          <w:iCs/>
        </w:rPr>
        <w:t>mortis causa</w:t>
      </w:r>
      <w:r w:rsidRPr="000D3074">
        <w:rPr>
          <w:rFonts w:ascii="Verdana" w:hAnsi="Verdana" w:cs="Arial"/>
        </w:rPr>
        <w:t xml:space="preserve"> de los artículos 1194 y </w:t>
      </w:r>
      <w:proofErr w:type="spellStart"/>
      <w:r w:rsidRPr="000D3074">
        <w:rPr>
          <w:rFonts w:ascii="Verdana" w:hAnsi="Verdana" w:cs="Arial"/>
        </w:rPr>
        <w:t>ss</w:t>
      </w:r>
      <w:proofErr w:type="spellEnd"/>
      <w:r w:rsidRPr="000D3074">
        <w:rPr>
          <w:rFonts w:ascii="Verdana" w:hAnsi="Verdana" w:cs="Arial"/>
        </w:rPr>
        <w:t xml:space="preserve"> del Código Civil– y de forma singular –no universal–. </w:t>
      </w:r>
    </w:p>
    <w:p w14:paraId="78D6D22B" w14:textId="77777777" w:rsidR="009C5993" w:rsidRDefault="009C5993" w:rsidP="009C5993">
      <w:pPr>
        <w:spacing w:after="120" w:line="276" w:lineRule="auto"/>
        <w:jc w:val="both"/>
        <w:rPr>
          <w:rFonts w:ascii="Verdana" w:hAnsi="Verdana" w:cs="Arial"/>
        </w:rPr>
      </w:pPr>
      <w:r w:rsidRPr="000D3074">
        <w:rPr>
          <w:rFonts w:ascii="Verdana" w:hAnsi="Verdana" w:cs="Arial"/>
        </w:rPr>
        <w:tab/>
        <w:t xml:space="preserve">Finalmente, se trata de un contrato excepcional y, por regla general irrevocable. El artículo 1450 del Código Civil dispone que “La donación entre vivos no se presume sino en los casos que expresamente hayan previsto las leyes”, de manera que “Del que da lo que no debe no se presume que lo dona, a menos de probarse que tuvo perfecto conocimiento de lo que hacía, tanto en el hecho como en el derecho” –art. 1317 del CC–. Además, las obligaciones derivadas de la donación son ley para las partes y, por tanto, el contrato solo se </w:t>
      </w:r>
      <w:r w:rsidRPr="000D3074">
        <w:rPr>
          <w:rFonts w:ascii="Verdana" w:hAnsi="Verdana" w:cs="Arial"/>
        </w:rPr>
        <w:lastRenderedPageBreak/>
        <w:t>extingue por el mutuo consentimiento o por las causas que establezca la ley –art. 1602 del CC–. Tratándose de estas últimas, la revocabilidad se limita a la ingratitud del donatario –arts. 1485 del CC–, aunque las donaciones entre cónyuges sean revocables al margen de esta circunstancia –art. 1195, inc. final, del CC–.</w:t>
      </w:r>
    </w:p>
    <w:p w14:paraId="6449C0FE" w14:textId="77777777" w:rsidR="009C5993" w:rsidRPr="00222802" w:rsidRDefault="009C5993" w:rsidP="009C5993">
      <w:pPr>
        <w:spacing w:after="120" w:line="276" w:lineRule="auto"/>
        <w:jc w:val="both"/>
        <w:rPr>
          <w:rFonts w:ascii="Verdana" w:eastAsia="Calibri" w:hAnsi="Verdana" w:cs="Arial"/>
          <w:bCs/>
          <w:color w:val="000000" w:themeColor="text1"/>
        </w:rPr>
      </w:pPr>
      <w:r>
        <w:rPr>
          <w:rFonts w:ascii="Verdana" w:hAnsi="Verdana" w:cs="Arial"/>
        </w:rPr>
        <w:tab/>
      </w:r>
      <w:r w:rsidRPr="001C298E">
        <w:rPr>
          <w:rFonts w:ascii="Verdana" w:hAnsi="Verdana" w:cs="Arial"/>
          <w:i/>
          <w:iCs/>
        </w:rPr>
        <w:t>Por otra parte</w:t>
      </w:r>
      <w:r>
        <w:rPr>
          <w:rFonts w:ascii="Verdana" w:hAnsi="Verdana" w:cs="Arial"/>
        </w:rPr>
        <w:t xml:space="preserve">, el </w:t>
      </w:r>
      <w:r w:rsidRPr="00222802">
        <w:rPr>
          <w:rFonts w:ascii="Verdana" w:eastAsia="Calibri" w:hAnsi="Verdana" w:cs="Arial"/>
          <w:bCs/>
          <w:color w:val="000000" w:themeColor="text1"/>
        </w:rPr>
        <w:t xml:space="preserve">comodato está previsto en el título XXIX del Código Civil, en cuyo artículo 2200 lo define como aquel en que </w:t>
      </w:r>
      <w:r>
        <w:rPr>
          <w:rFonts w:ascii="Verdana" w:eastAsia="Calibri" w:hAnsi="Verdana" w:cs="Arial"/>
          <w:bCs/>
          <w:color w:val="000000" w:themeColor="text1"/>
        </w:rPr>
        <w:t>“</w:t>
      </w:r>
      <w:r w:rsidRPr="00222802">
        <w:rPr>
          <w:rFonts w:ascii="Verdana" w:eastAsia="Calibri" w:hAnsi="Verdana" w:cs="Arial"/>
          <w:bCs/>
          <w:color w:val="000000" w:themeColor="text1"/>
        </w:rPr>
        <w:t>[…] una de las partes entrega a la otra gratuitamente una especie mueble o raíz, para que haga uso de ella y con cargo de restituir la misma especie después de terminar el uso</w:t>
      </w:r>
      <w:r>
        <w:rPr>
          <w:rFonts w:ascii="Verdana" w:eastAsia="Calibri" w:hAnsi="Verdana" w:cs="Arial"/>
          <w:bCs/>
          <w:color w:val="000000" w:themeColor="text1"/>
        </w:rPr>
        <w:t>”</w:t>
      </w:r>
      <w:r w:rsidRPr="00222802">
        <w:rPr>
          <w:rFonts w:ascii="Verdana" w:eastAsia="Calibri" w:hAnsi="Verdana" w:cs="Arial"/>
          <w:bCs/>
          <w:color w:val="000000" w:themeColor="text1"/>
        </w:rPr>
        <w:t>. En virtud de esta definición, se desprende su carácter de contrato nominado, principal, real, unilateral y gratuito</w:t>
      </w:r>
      <w:r w:rsidRPr="00222802">
        <w:rPr>
          <w:rFonts w:ascii="Verdana" w:eastAsia="Calibri" w:hAnsi="Verdana" w:cs="Arial"/>
          <w:bCs/>
          <w:color w:val="000000" w:themeColor="text1"/>
          <w:vertAlign w:val="superscript"/>
        </w:rPr>
        <w:footnoteReference w:id="6"/>
      </w:r>
      <w:r w:rsidRPr="00222802">
        <w:rPr>
          <w:rFonts w:ascii="Verdana" w:eastAsia="Calibri" w:hAnsi="Verdana" w:cs="Arial"/>
          <w:bCs/>
          <w:color w:val="000000" w:themeColor="text1"/>
        </w:rPr>
        <w:t xml:space="preserve">. También se le ha denominado a este negocio jurídico como préstamo de uso, aunque con características propias y completamente diferente al préstamo de consumo. </w:t>
      </w:r>
    </w:p>
    <w:p w14:paraId="7C7DB666" w14:textId="77777777" w:rsidR="009C5993" w:rsidRPr="00222802" w:rsidRDefault="009C5993" w:rsidP="009C5993">
      <w:pPr>
        <w:spacing w:after="120" w:line="276" w:lineRule="auto"/>
        <w:ind w:firstLine="708"/>
        <w:jc w:val="both"/>
        <w:rPr>
          <w:rFonts w:ascii="Verdana" w:eastAsia="Calibri" w:hAnsi="Verdana" w:cs="Arial"/>
          <w:bCs/>
          <w:color w:val="000000" w:themeColor="text1"/>
        </w:rPr>
      </w:pPr>
      <w:r w:rsidRPr="00222802">
        <w:rPr>
          <w:rFonts w:ascii="Verdana" w:eastAsia="Calibri" w:hAnsi="Verdana" w:cs="Arial"/>
          <w:bCs/>
          <w:color w:val="000000" w:themeColor="text1"/>
        </w:rPr>
        <w:t>De igual manera, el</w:t>
      </w:r>
      <w:r>
        <w:rPr>
          <w:rFonts w:ascii="Verdana" w:eastAsia="Calibri" w:hAnsi="Verdana" w:cs="Arial"/>
          <w:bCs/>
          <w:color w:val="000000" w:themeColor="text1"/>
        </w:rPr>
        <w:t xml:space="preserve"> </w:t>
      </w:r>
      <w:r w:rsidRPr="00222802">
        <w:rPr>
          <w:rFonts w:ascii="Verdana" w:eastAsia="Calibri" w:hAnsi="Verdana" w:cs="Arial"/>
          <w:bCs/>
          <w:color w:val="000000" w:themeColor="text1"/>
        </w:rPr>
        <w:t>artículo 2201</w:t>
      </w:r>
      <w:r>
        <w:rPr>
          <w:rFonts w:ascii="Verdana" w:eastAsia="Calibri" w:hAnsi="Verdana" w:cs="Arial"/>
          <w:bCs/>
          <w:color w:val="000000" w:themeColor="text1"/>
        </w:rPr>
        <w:t xml:space="preserve"> del </w:t>
      </w:r>
      <w:r w:rsidRPr="00222802">
        <w:rPr>
          <w:rFonts w:ascii="Verdana" w:eastAsia="Calibri" w:hAnsi="Verdana" w:cs="Arial"/>
          <w:bCs/>
          <w:color w:val="000000" w:themeColor="text1"/>
        </w:rPr>
        <w:t xml:space="preserve">Código Civil regula lo relacionado con los derechos del comodante. Al respecto, establece que el comodato no trasfiere el dominio de la cosa dada en comodato y, por ello, </w:t>
      </w:r>
      <w:r>
        <w:rPr>
          <w:rFonts w:ascii="Verdana" w:eastAsia="Calibri" w:hAnsi="Verdana" w:cs="Arial"/>
          <w:bCs/>
          <w:color w:val="000000" w:themeColor="text1"/>
        </w:rPr>
        <w:t>“E</w:t>
      </w:r>
      <w:r w:rsidRPr="00222802">
        <w:rPr>
          <w:rFonts w:ascii="Verdana" w:eastAsia="Calibri" w:hAnsi="Verdana" w:cs="Arial"/>
          <w:bCs/>
          <w:color w:val="000000" w:themeColor="text1"/>
        </w:rPr>
        <w:t xml:space="preserve">l comodante </w:t>
      </w:r>
      <w:r>
        <w:rPr>
          <w:rFonts w:ascii="Verdana" w:eastAsia="Calibri" w:hAnsi="Verdana" w:cs="Arial"/>
          <w:bCs/>
          <w:color w:val="000000" w:themeColor="text1"/>
        </w:rPr>
        <w:t xml:space="preserve"> </w:t>
      </w:r>
      <w:r w:rsidRPr="00222802">
        <w:rPr>
          <w:rFonts w:ascii="Verdana" w:eastAsia="Calibri" w:hAnsi="Verdana" w:cs="Arial"/>
          <w:bCs/>
          <w:color w:val="000000" w:themeColor="text1"/>
        </w:rPr>
        <w:t>conserva sobre la cosa prestada todos los derechos que antes tenía, pero no su ejercicio, en cuanto fuere incompatible con el uso concedido al comodatario</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 </w:t>
      </w:r>
      <w:r>
        <w:rPr>
          <w:rFonts w:ascii="Verdana" w:eastAsia="Calibri" w:hAnsi="Verdana" w:cs="Arial"/>
          <w:bCs/>
          <w:color w:val="000000" w:themeColor="text1"/>
        </w:rPr>
        <w:t>P</w:t>
      </w:r>
      <w:r w:rsidRPr="00222802">
        <w:rPr>
          <w:rFonts w:ascii="Verdana" w:eastAsia="Calibri" w:hAnsi="Verdana" w:cs="Arial"/>
          <w:bCs/>
          <w:color w:val="000000" w:themeColor="text1"/>
        </w:rPr>
        <w:t xml:space="preserve">or lo tanto, </w:t>
      </w:r>
      <w:bookmarkStart w:id="2" w:name="_Hlk121750901"/>
      <w:r w:rsidRPr="00222802">
        <w:rPr>
          <w:rFonts w:ascii="Verdana" w:eastAsia="Calibri" w:hAnsi="Verdana" w:cs="Arial"/>
          <w:bCs/>
          <w:color w:val="000000" w:themeColor="text1"/>
        </w:rPr>
        <w:t>el comodatario es un mero tenedor de la cosa y</w:t>
      </w:r>
      <w:r>
        <w:rPr>
          <w:rFonts w:ascii="Verdana" w:eastAsia="Calibri" w:hAnsi="Verdana" w:cs="Arial"/>
          <w:bCs/>
          <w:color w:val="000000" w:themeColor="text1"/>
        </w:rPr>
        <w:t xml:space="preserve">, en los términos del </w:t>
      </w:r>
      <w:r w:rsidRPr="00222802">
        <w:rPr>
          <w:rFonts w:ascii="Verdana" w:eastAsia="Calibri" w:hAnsi="Verdana" w:cs="Arial"/>
          <w:bCs/>
          <w:color w:val="000000" w:themeColor="text1"/>
        </w:rPr>
        <w:t>artículo 2205</w:t>
      </w:r>
      <w:r>
        <w:rPr>
          <w:rFonts w:ascii="Verdana" w:eastAsia="Calibri" w:hAnsi="Verdana" w:cs="Arial"/>
          <w:bCs/>
          <w:color w:val="000000" w:themeColor="text1"/>
        </w:rPr>
        <w:t xml:space="preserve"> </w:t>
      </w:r>
      <w:r w:rsidRPr="009F2D84">
        <w:rPr>
          <w:rFonts w:ascii="Verdana" w:eastAsia="Calibri" w:hAnsi="Verdana" w:cs="Arial"/>
          <w:bCs/>
          <w:i/>
          <w:iCs/>
          <w:color w:val="000000" w:themeColor="text1"/>
        </w:rPr>
        <w:t>ibidem</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 está obligado a la restitución del bien entregado en comodato al vencimiento del plazo o cuando se ha cumplido el servicio para el cual ha sido prestada</w:t>
      </w:r>
      <w:bookmarkEnd w:id="2"/>
      <w:r w:rsidRPr="00222802">
        <w:rPr>
          <w:rStyle w:val="Refdenotaalpie"/>
          <w:rFonts w:ascii="Verdana" w:eastAsia="Calibri" w:hAnsi="Verdana" w:cs="Arial"/>
          <w:bCs/>
          <w:color w:val="000000" w:themeColor="text1"/>
        </w:rPr>
        <w:footnoteReference w:id="7"/>
      </w:r>
      <w:r w:rsidRPr="00222802">
        <w:rPr>
          <w:rFonts w:ascii="Verdana" w:eastAsia="Calibri" w:hAnsi="Verdana" w:cs="Arial"/>
          <w:bCs/>
          <w:color w:val="000000" w:themeColor="text1"/>
        </w:rPr>
        <w:t xml:space="preserve">. </w:t>
      </w:r>
    </w:p>
    <w:p w14:paraId="7DCB56FE" w14:textId="77777777" w:rsidR="009C5993" w:rsidRDefault="009C5993" w:rsidP="009C5993">
      <w:pPr>
        <w:spacing w:after="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lastRenderedPageBreak/>
        <w:t xml:space="preserve">Conforme al </w:t>
      </w:r>
      <w:r w:rsidRPr="00222802">
        <w:rPr>
          <w:rFonts w:ascii="Verdana" w:eastAsia="Calibri" w:hAnsi="Verdana" w:cs="Arial"/>
          <w:bCs/>
          <w:color w:val="000000" w:themeColor="text1"/>
        </w:rPr>
        <w:t>artículo 2202</w:t>
      </w:r>
      <w:r>
        <w:rPr>
          <w:rFonts w:ascii="Verdana" w:eastAsia="Calibri" w:hAnsi="Verdana" w:cs="Arial"/>
          <w:bCs/>
          <w:color w:val="000000" w:themeColor="text1"/>
        </w:rPr>
        <w:t xml:space="preserve"> del Código Civil</w:t>
      </w:r>
      <w:r w:rsidRPr="00222802">
        <w:rPr>
          <w:rFonts w:ascii="Verdana" w:eastAsia="Calibri" w:hAnsi="Verdana" w:cs="Arial"/>
          <w:bCs/>
          <w:color w:val="000000" w:themeColor="text1"/>
        </w:rPr>
        <w:t>, el comodatario tendrá la obligación de emplear la cosa para el uso convenido, o a falta de acuerdo, está obligado a usar la cosa bajo el uso ordinario</w:t>
      </w:r>
      <w:r w:rsidRPr="00222802">
        <w:rPr>
          <w:rStyle w:val="Refdenotaalpie"/>
          <w:rFonts w:ascii="Verdana" w:eastAsia="Calibri" w:hAnsi="Verdana" w:cs="Arial"/>
          <w:bCs/>
          <w:color w:val="000000" w:themeColor="text1"/>
        </w:rPr>
        <w:footnoteReference w:id="8"/>
      </w:r>
      <w:r w:rsidRPr="00222802">
        <w:rPr>
          <w:rFonts w:ascii="Verdana" w:eastAsia="Calibri" w:hAnsi="Verdana" w:cs="Arial"/>
          <w:bCs/>
          <w:color w:val="000000" w:themeColor="text1"/>
        </w:rPr>
        <w:t xml:space="preserve">. De incumplir esta obligación, el comodante podrá exigir la reparación de perjuicios y la restitución inmediata de la cosa. A propósito de las características del contrato de comodato, la Sala de Consulta y Servicio Civil del Consejo de Estado </w:t>
      </w:r>
      <w:r>
        <w:rPr>
          <w:rFonts w:ascii="Verdana" w:eastAsia="Calibri" w:hAnsi="Verdana" w:cs="Arial"/>
          <w:bCs/>
          <w:color w:val="000000" w:themeColor="text1"/>
        </w:rPr>
        <w:t>explica que</w:t>
      </w:r>
      <w:r w:rsidRPr="00222802">
        <w:rPr>
          <w:rFonts w:ascii="Verdana" w:eastAsia="Calibri" w:hAnsi="Verdana" w:cs="Arial"/>
          <w:bCs/>
          <w:color w:val="000000" w:themeColor="text1"/>
        </w:rPr>
        <w:t xml:space="preserve">: </w:t>
      </w:r>
    </w:p>
    <w:p w14:paraId="7CD55CB5" w14:textId="77777777" w:rsidR="009C5993" w:rsidRPr="00222802" w:rsidRDefault="009C5993" w:rsidP="009C5993">
      <w:pPr>
        <w:spacing w:after="0" w:line="276" w:lineRule="auto"/>
        <w:ind w:firstLine="709"/>
        <w:jc w:val="both"/>
        <w:rPr>
          <w:rFonts w:ascii="Verdana" w:eastAsia="Calibri" w:hAnsi="Verdana" w:cs="Arial"/>
          <w:bCs/>
          <w:color w:val="000000" w:themeColor="text1"/>
        </w:rPr>
      </w:pPr>
    </w:p>
    <w:p w14:paraId="2052977F" w14:textId="77777777" w:rsidR="009C5993" w:rsidRPr="001C298E" w:rsidRDefault="009C5993" w:rsidP="009C5993">
      <w:pPr>
        <w:spacing w:line="240" w:lineRule="auto"/>
        <w:ind w:left="709" w:right="709"/>
        <w:contextualSpacing/>
        <w:jc w:val="both"/>
        <w:rPr>
          <w:rFonts w:ascii="Verdana" w:hAnsi="Verdana" w:cs="Arial"/>
          <w:color w:val="000000" w:themeColor="text1"/>
          <w:sz w:val="20"/>
          <w:szCs w:val="20"/>
        </w:rPr>
      </w:pPr>
      <w:r w:rsidRPr="001C298E">
        <w:rPr>
          <w:rFonts w:ascii="Verdana" w:hAnsi="Verdana" w:cs="Arial"/>
          <w:color w:val="000000" w:themeColor="text1"/>
          <w:sz w:val="20"/>
          <w:szCs w:val="20"/>
        </w:rPr>
        <w:t xml:space="preserve">“Cabe señalar que el contrato de comodato, hoy por hoy, es más común en el derecho contractual administrativo que en el derecho privado; es una figura que ha permitido a las diferentes entidades estatales generar ahorro en componentes de gastos, tales como arrendamiento de sedes, costos de administración, mantenimiento y conservación de los bienes públicos; lo que evidencia algunas de las bondades de esta figura independientemente de las políticas que se dicten en materia de administración de los bienes públicos y de las posibilidades económicas que el Estado tiene para su manejo directo. </w:t>
      </w:r>
    </w:p>
    <w:p w14:paraId="1B8AB3D6" w14:textId="77777777" w:rsidR="009C5993" w:rsidRPr="001C298E" w:rsidRDefault="009C5993" w:rsidP="009C5993">
      <w:pPr>
        <w:spacing w:after="120" w:line="240" w:lineRule="auto"/>
        <w:ind w:left="709" w:right="709"/>
        <w:contextualSpacing/>
        <w:jc w:val="both"/>
        <w:rPr>
          <w:rFonts w:ascii="Verdana" w:hAnsi="Verdana" w:cs="Arial"/>
          <w:color w:val="000000" w:themeColor="text1"/>
          <w:sz w:val="20"/>
          <w:szCs w:val="20"/>
        </w:rPr>
      </w:pPr>
      <w:r w:rsidRPr="001C298E">
        <w:rPr>
          <w:rFonts w:ascii="Verdana" w:hAnsi="Verdana" w:cs="Arial"/>
          <w:color w:val="000000" w:themeColor="text1"/>
          <w:sz w:val="20"/>
          <w:szCs w:val="20"/>
        </w:rPr>
        <w:t xml:space="preserve">[…] </w:t>
      </w:r>
    </w:p>
    <w:p w14:paraId="3321E445" w14:textId="77777777" w:rsidR="009C5993" w:rsidRPr="001C298E" w:rsidRDefault="009C5993" w:rsidP="009C5993">
      <w:pPr>
        <w:spacing w:after="120" w:line="240" w:lineRule="auto"/>
        <w:ind w:left="709" w:right="709"/>
        <w:contextualSpacing/>
        <w:jc w:val="both"/>
        <w:rPr>
          <w:rFonts w:ascii="Verdana" w:hAnsi="Verdana" w:cs="Arial"/>
          <w:color w:val="000000" w:themeColor="text1"/>
          <w:sz w:val="12"/>
          <w:szCs w:val="12"/>
        </w:rPr>
      </w:pPr>
    </w:p>
    <w:p w14:paraId="363F0881" w14:textId="77777777" w:rsidR="009C5993" w:rsidRPr="001C298E" w:rsidRDefault="009C5993" w:rsidP="009C5993">
      <w:pPr>
        <w:spacing w:after="0" w:line="240" w:lineRule="auto"/>
        <w:ind w:left="709" w:right="709"/>
        <w:contextualSpacing/>
        <w:jc w:val="both"/>
        <w:rPr>
          <w:rFonts w:ascii="Verdana" w:hAnsi="Verdana" w:cs="Arial"/>
          <w:color w:val="000000" w:themeColor="text1"/>
          <w:sz w:val="20"/>
          <w:szCs w:val="20"/>
        </w:rPr>
      </w:pPr>
      <w:r w:rsidRPr="001C298E">
        <w:rPr>
          <w:rFonts w:ascii="Verdana" w:hAnsi="Verdana" w:cs="Arial"/>
          <w:color w:val="000000" w:themeColor="text1"/>
          <w:sz w:val="20"/>
          <w:szCs w:val="20"/>
        </w:rPr>
        <w:t>La Sala retoma algunos aspectos analizados en consultas anteriores sobre las características del contrato en comento y precisa lo siguiente con el fin de comprender el alcance de esta figura:</w:t>
      </w:r>
    </w:p>
    <w:p w14:paraId="2B3603BF" w14:textId="77777777" w:rsidR="009C5993" w:rsidRPr="001C298E" w:rsidRDefault="009C5993" w:rsidP="009C5993">
      <w:pPr>
        <w:spacing w:line="240" w:lineRule="auto"/>
        <w:ind w:left="709" w:right="709"/>
        <w:contextualSpacing/>
        <w:jc w:val="both"/>
        <w:rPr>
          <w:rFonts w:ascii="Verdana" w:eastAsia="Calibri" w:hAnsi="Verdana" w:cs="Arial"/>
          <w:bCs/>
          <w:color w:val="000000" w:themeColor="text1"/>
          <w:sz w:val="12"/>
          <w:szCs w:val="12"/>
        </w:rPr>
      </w:pPr>
    </w:p>
    <w:p w14:paraId="523A89C8" w14:textId="77777777" w:rsidR="009C5993" w:rsidRPr="001C298E" w:rsidRDefault="009C5993" w:rsidP="009C5993">
      <w:pPr>
        <w:numPr>
          <w:ilvl w:val="0"/>
          <w:numId w:val="18"/>
        </w:numPr>
        <w:tabs>
          <w:tab w:val="clear" w:pos="720"/>
          <w:tab w:val="num" w:pos="1068"/>
        </w:tabs>
        <w:spacing w:after="120" w:line="240" w:lineRule="auto"/>
        <w:ind w:left="1066" w:right="709" w:hanging="357"/>
        <w:contextualSpacing/>
        <w:jc w:val="both"/>
        <w:rPr>
          <w:rFonts w:ascii="Verdana" w:eastAsia="Calibri" w:hAnsi="Verdana" w:cs="Arial"/>
          <w:bCs/>
          <w:color w:val="000000" w:themeColor="text1"/>
          <w:sz w:val="20"/>
          <w:szCs w:val="20"/>
        </w:rPr>
      </w:pPr>
      <w:r w:rsidRPr="001C298E">
        <w:rPr>
          <w:rFonts w:ascii="Verdana" w:eastAsia="Calibri" w:hAnsi="Verdana" w:cs="Arial"/>
          <w:bCs/>
          <w:color w:val="000000" w:themeColor="text1"/>
          <w:sz w:val="20"/>
          <w:szCs w:val="20"/>
        </w:rPr>
        <w:t>El comodato se clasifica dentro de los denominados contratos traslaticios del uso y disfrute de un bien.</w:t>
      </w:r>
    </w:p>
    <w:p w14:paraId="2AC49DDE" w14:textId="77777777" w:rsidR="009C5993" w:rsidRPr="001C298E" w:rsidRDefault="009C5993" w:rsidP="009C5993">
      <w:pPr>
        <w:tabs>
          <w:tab w:val="num" w:pos="1068"/>
        </w:tabs>
        <w:spacing w:after="120" w:line="240" w:lineRule="auto"/>
        <w:ind w:left="1066" w:right="709"/>
        <w:contextualSpacing/>
        <w:jc w:val="both"/>
        <w:rPr>
          <w:rFonts w:ascii="Verdana" w:eastAsia="Calibri" w:hAnsi="Verdana" w:cs="Arial"/>
          <w:bCs/>
          <w:color w:val="000000" w:themeColor="text1"/>
          <w:sz w:val="12"/>
          <w:szCs w:val="12"/>
        </w:rPr>
      </w:pPr>
    </w:p>
    <w:p w14:paraId="53E909D1" w14:textId="77777777" w:rsidR="009C5993" w:rsidRPr="001C298E" w:rsidRDefault="009C5993" w:rsidP="009C5993">
      <w:pPr>
        <w:numPr>
          <w:ilvl w:val="0"/>
          <w:numId w:val="18"/>
        </w:numPr>
        <w:spacing w:after="0" w:line="240" w:lineRule="auto"/>
        <w:ind w:left="1069" w:right="709"/>
        <w:contextualSpacing/>
        <w:jc w:val="both"/>
        <w:rPr>
          <w:rFonts w:ascii="Verdana" w:eastAsia="Calibri" w:hAnsi="Verdana" w:cs="Arial"/>
          <w:bCs/>
          <w:color w:val="000000" w:themeColor="text1"/>
          <w:sz w:val="20"/>
          <w:szCs w:val="20"/>
        </w:rPr>
      </w:pPr>
      <w:r w:rsidRPr="001C298E">
        <w:rPr>
          <w:rFonts w:ascii="Verdana" w:eastAsia="Calibri" w:hAnsi="Verdana" w:cs="Arial"/>
          <w:bCs/>
          <w:color w:val="000000" w:themeColor="text1"/>
          <w:sz w:val="20"/>
          <w:szCs w:val="20"/>
        </w:rPr>
        <w:t>De conformidad con lo previsto en el artículo 32 de la ley 80 de 1993, las entidades estatales están facultadas para celebrar este tipo de contrato regulado por el derecho privado, observando los límites señalados en normas especiales sobre la materia, en cuanto al tiempo máximo de duración y la destinación o uso que debe darse al bien”</w:t>
      </w:r>
      <w:r w:rsidRPr="001C298E">
        <w:rPr>
          <w:rStyle w:val="Refdenotaalpie"/>
          <w:rFonts w:ascii="Verdana" w:eastAsia="Calibri" w:hAnsi="Verdana" w:cs="Arial"/>
          <w:bCs/>
          <w:color w:val="000000" w:themeColor="text1"/>
          <w:sz w:val="20"/>
          <w:szCs w:val="20"/>
        </w:rPr>
        <w:footnoteReference w:id="9"/>
      </w:r>
      <w:r w:rsidRPr="001C298E">
        <w:rPr>
          <w:rFonts w:ascii="Verdana" w:eastAsia="Calibri" w:hAnsi="Verdana" w:cs="Arial"/>
          <w:bCs/>
          <w:color w:val="000000" w:themeColor="text1"/>
          <w:sz w:val="20"/>
          <w:szCs w:val="20"/>
        </w:rPr>
        <w:t>.</w:t>
      </w:r>
    </w:p>
    <w:p w14:paraId="2E2A6B4C" w14:textId="77777777" w:rsidR="009C5993" w:rsidRPr="00222802" w:rsidRDefault="009C5993" w:rsidP="009C5993">
      <w:pPr>
        <w:spacing w:after="0" w:line="276" w:lineRule="auto"/>
        <w:ind w:firstLine="708"/>
        <w:jc w:val="both"/>
        <w:rPr>
          <w:rFonts w:ascii="Verdana" w:eastAsia="Calibri" w:hAnsi="Verdana" w:cs="Arial"/>
          <w:bCs/>
          <w:color w:val="000000" w:themeColor="text1"/>
        </w:rPr>
      </w:pPr>
    </w:p>
    <w:p w14:paraId="2C630A51" w14:textId="77777777" w:rsidR="009C5993" w:rsidRPr="00222802" w:rsidRDefault="009C5993" w:rsidP="009C5993">
      <w:pPr>
        <w:spacing w:after="120" w:line="276" w:lineRule="auto"/>
        <w:ind w:firstLine="709"/>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Si bien el artículo 1452 del Código Civil dispone que no existe donación en el comodato, implica un auxilio en favor de terceros. Para estos efectos, la jurisprudencia considera que el contrato </w:t>
      </w:r>
      <w:r>
        <w:rPr>
          <w:rFonts w:ascii="Verdana" w:eastAsia="Calibri" w:hAnsi="Verdana" w:cs="Arial"/>
          <w:bCs/>
          <w:color w:val="000000" w:themeColor="text1"/>
        </w:rPr>
        <w:t>“</w:t>
      </w:r>
      <w:r w:rsidRPr="001E075A">
        <w:rPr>
          <w:rFonts w:ascii="Verdana" w:eastAsia="Calibri" w:hAnsi="Verdana" w:cs="Arial"/>
          <w:bCs/>
          <w:iCs/>
          <w:color w:val="000000" w:themeColor="text1"/>
        </w:rPr>
        <w:t xml:space="preserve">Es tal vez una de las más elementales pero contundentes muestras de solidaridad, ayuda y auxilio, como que se trata de un acto de cortesía, benevolencia, beneficencia o complacencia que no tiene </w:t>
      </w:r>
      <w:r w:rsidRPr="001E075A">
        <w:rPr>
          <w:rFonts w:ascii="Verdana" w:eastAsia="Calibri" w:hAnsi="Verdana" w:cs="Arial"/>
          <w:bCs/>
          <w:iCs/>
          <w:color w:val="000000" w:themeColor="text1"/>
        </w:rPr>
        <w:lastRenderedPageBreak/>
        <w:t xml:space="preserve">el lucro como inspiración esencial y que facilita al comodatario la satisfacción de sus necesidades […] No en vano, comodato viene del latín </w:t>
      </w:r>
      <w:proofErr w:type="spellStart"/>
      <w:r w:rsidRPr="001E075A">
        <w:rPr>
          <w:rFonts w:ascii="Verdana" w:eastAsia="Calibri" w:hAnsi="Verdana" w:cs="Arial"/>
          <w:bCs/>
          <w:i/>
          <w:color w:val="000000" w:themeColor="text1"/>
        </w:rPr>
        <w:t>commodatum</w:t>
      </w:r>
      <w:proofErr w:type="spellEnd"/>
      <w:r w:rsidRPr="001E075A">
        <w:rPr>
          <w:rFonts w:ascii="Verdana" w:eastAsia="Calibri" w:hAnsi="Verdana" w:cs="Arial"/>
          <w:bCs/>
          <w:iCs/>
          <w:color w:val="000000" w:themeColor="text1"/>
        </w:rPr>
        <w:t xml:space="preserve">, expresión que conjuga los términos </w:t>
      </w:r>
      <w:proofErr w:type="spellStart"/>
      <w:r w:rsidRPr="001E075A">
        <w:rPr>
          <w:rFonts w:ascii="Verdana" w:eastAsia="Calibri" w:hAnsi="Verdana" w:cs="Arial"/>
          <w:bCs/>
          <w:i/>
          <w:color w:val="000000" w:themeColor="text1"/>
        </w:rPr>
        <w:t>commodum</w:t>
      </w:r>
      <w:proofErr w:type="spellEnd"/>
      <w:r w:rsidRPr="001E075A">
        <w:rPr>
          <w:rFonts w:ascii="Verdana" w:eastAsia="Calibri" w:hAnsi="Verdana" w:cs="Arial"/>
          <w:bCs/>
          <w:iCs/>
          <w:color w:val="000000" w:themeColor="text1"/>
        </w:rPr>
        <w:t xml:space="preserve"> -utilidad, provecho- y </w:t>
      </w:r>
      <w:r w:rsidRPr="001E075A">
        <w:rPr>
          <w:rFonts w:ascii="Verdana" w:eastAsia="Calibri" w:hAnsi="Verdana" w:cs="Arial"/>
          <w:bCs/>
          <w:i/>
          <w:color w:val="000000" w:themeColor="text1"/>
        </w:rPr>
        <w:t>datum</w:t>
      </w:r>
      <w:r w:rsidRPr="001E075A">
        <w:rPr>
          <w:rFonts w:ascii="Verdana" w:eastAsia="Calibri" w:hAnsi="Verdana" w:cs="Arial"/>
          <w:bCs/>
          <w:iCs/>
          <w:color w:val="000000" w:themeColor="text1"/>
        </w:rPr>
        <w:t xml:space="preserve"> -dar-, es decir, entregar para utilidad de otro (</w:t>
      </w:r>
      <w:proofErr w:type="spellStart"/>
      <w:r w:rsidRPr="001E075A">
        <w:rPr>
          <w:rFonts w:ascii="Verdana" w:eastAsia="Calibri" w:hAnsi="Verdana" w:cs="Arial"/>
          <w:bCs/>
          <w:i/>
          <w:color w:val="000000" w:themeColor="text1"/>
        </w:rPr>
        <w:t>utendum</w:t>
      </w:r>
      <w:proofErr w:type="spellEnd"/>
      <w:r w:rsidRPr="001E075A">
        <w:rPr>
          <w:rFonts w:ascii="Verdana" w:eastAsia="Calibri" w:hAnsi="Verdana" w:cs="Arial"/>
          <w:bCs/>
          <w:i/>
          <w:color w:val="000000" w:themeColor="text1"/>
        </w:rPr>
        <w:t xml:space="preserve"> </w:t>
      </w:r>
      <w:proofErr w:type="spellStart"/>
      <w:r w:rsidRPr="001E075A">
        <w:rPr>
          <w:rFonts w:ascii="Verdana" w:eastAsia="Calibri" w:hAnsi="Verdana" w:cs="Arial"/>
          <w:bCs/>
          <w:i/>
          <w:color w:val="000000" w:themeColor="text1"/>
        </w:rPr>
        <w:t>dare</w:t>
      </w:r>
      <w:proofErr w:type="spellEnd"/>
      <w:r w:rsidRPr="001E075A">
        <w:rPr>
          <w:rFonts w:ascii="Verdana" w:eastAsia="Calibri" w:hAnsi="Verdana" w:cs="Arial"/>
          <w:bCs/>
          <w:iCs/>
          <w:color w:val="000000" w:themeColor="text1"/>
        </w:rPr>
        <w:t>)</w:t>
      </w:r>
      <w:r>
        <w:rPr>
          <w:rFonts w:ascii="Verdana" w:eastAsia="Calibri" w:hAnsi="Verdana" w:cs="Arial"/>
          <w:bCs/>
          <w:color w:val="000000" w:themeColor="text1"/>
        </w:rPr>
        <w:t>”</w:t>
      </w:r>
      <w:r w:rsidRPr="00222802">
        <w:rPr>
          <w:rFonts w:ascii="Verdana" w:eastAsia="Calibri" w:hAnsi="Verdana"/>
          <w:vertAlign w:val="superscript"/>
        </w:rPr>
        <w:footnoteReference w:id="10"/>
      </w:r>
      <w:bookmarkStart w:id="5" w:name="_Hlk35263504"/>
      <w:r w:rsidRPr="00222802">
        <w:rPr>
          <w:rFonts w:ascii="Verdana" w:eastAsia="Calibri" w:hAnsi="Verdana" w:cs="Arial"/>
          <w:bCs/>
          <w:color w:val="000000" w:themeColor="text1"/>
        </w:rPr>
        <w:t xml:space="preserve">. </w:t>
      </w:r>
    </w:p>
    <w:p w14:paraId="6E8F98BE" w14:textId="77777777" w:rsidR="009C5993" w:rsidRPr="00222802" w:rsidRDefault="009C5993" w:rsidP="009C5993">
      <w:pPr>
        <w:spacing w:after="0" w:line="276" w:lineRule="auto"/>
        <w:ind w:firstLine="708"/>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Sin perjuicio de lo anterior, resulta relevante resaltar que </w:t>
      </w:r>
      <w:bookmarkStart w:id="6" w:name="_Hlk121742558"/>
      <w:r w:rsidRPr="00222802">
        <w:rPr>
          <w:rFonts w:ascii="Verdana" w:eastAsia="Calibri" w:hAnsi="Verdana" w:cs="Arial"/>
          <w:bCs/>
          <w:color w:val="000000" w:themeColor="text1"/>
        </w:rPr>
        <w:t>esta tipología contractual es restrictiva en la contratación pública, cuando se pretende celebrar con particulares, máxime cuando el ordenamiento s</w:t>
      </w:r>
      <w:r>
        <w:rPr>
          <w:rFonts w:ascii="Verdana" w:eastAsia="Calibri" w:hAnsi="Verdana" w:cs="Arial"/>
          <w:bCs/>
          <w:color w:val="000000" w:themeColor="text1"/>
        </w:rPr>
        <w:t>ó</w:t>
      </w:r>
      <w:r w:rsidRPr="00222802">
        <w:rPr>
          <w:rFonts w:ascii="Verdana" w:eastAsia="Calibri" w:hAnsi="Verdana" w:cs="Arial"/>
          <w:bCs/>
          <w:color w:val="000000" w:themeColor="text1"/>
        </w:rPr>
        <w:t>lo permite donaciones y auxilios a favor de entidades estatales.</w:t>
      </w:r>
      <w:bookmarkEnd w:id="6"/>
      <w:r w:rsidRPr="00222802">
        <w:rPr>
          <w:rFonts w:ascii="Verdana" w:eastAsia="Calibri" w:hAnsi="Verdana" w:cs="Arial"/>
          <w:bCs/>
          <w:color w:val="000000" w:themeColor="text1"/>
        </w:rPr>
        <w:t xml:space="preserve"> Al respecto, es importante destacar que el artículo 38 de la Ley 9 de 1989</w:t>
      </w:r>
      <w:bookmarkEnd w:id="5"/>
      <w:r w:rsidRPr="00222802">
        <w:rPr>
          <w:rFonts w:ascii="Verdana" w:eastAsia="Calibri" w:hAnsi="Verdana" w:cs="Arial"/>
          <w:bCs/>
          <w:color w:val="000000" w:themeColor="text1"/>
        </w:rPr>
        <w:t xml:space="preserve"> </w:t>
      </w:r>
      <w:r>
        <w:rPr>
          <w:rFonts w:ascii="Verdana" w:eastAsia="Calibri" w:hAnsi="Verdana" w:cs="Arial"/>
          <w:bCs/>
          <w:color w:val="000000" w:themeColor="text1"/>
        </w:rPr>
        <w:t>prescribe que</w:t>
      </w:r>
      <w:r w:rsidRPr="00222802">
        <w:rPr>
          <w:rFonts w:ascii="Verdana" w:eastAsia="Calibri" w:hAnsi="Verdana" w:cs="Arial"/>
          <w:bCs/>
          <w:color w:val="000000" w:themeColor="text1"/>
        </w:rPr>
        <w:t>:</w:t>
      </w:r>
    </w:p>
    <w:p w14:paraId="15E3B0A1" w14:textId="77777777" w:rsidR="009C5993" w:rsidRPr="00332CB9" w:rsidRDefault="009C5993" w:rsidP="009C5993">
      <w:pPr>
        <w:pStyle w:val="Prrafodelista"/>
        <w:spacing w:line="276" w:lineRule="auto"/>
        <w:jc w:val="both"/>
        <w:rPr>
          <w:rFonts w:ascii="Verdana" w:eastAsia="Calibri" w:hAnsi="Verdana" w:cs="Arial"/>
          <w:bCs/>
          <w:color w:val="000000" w:themeColor="text1"/>
          <w:lang w:val="es-ES_tradnl"/>
        </w:rPr>
      </w:pPr>
    </w:p>
    <w:p w14:paraId="5AFBD0DA" w14:textId="77777777" w:rsidR="009C5993" w:rsidRPr="001C298E" w:rsidRDefault="009C5993" w:rsidP="009C5993">
      <w:pPr>
        <w:pStyle w:val="Prrafodelista"/>
        <w:spacing w:after="120"/>
        <w:ind w:left="709" w:right="709"/>
        <w:jc w:val="both"/>
        <w:rPr>
          <w:rFonts w:ascii="Verdana" w:eastAsia="Calibri" w:hAnsi="Verdana" w:cs="Arial"/>
          <w:bCs/>
          <w:color w:val="000000" w:themeColor="text1"/>
          <w:sz w:val="20"/>
          <w:szCs w:val="20"/>
          <w:lang w:val="es-ES_tradnl"/>
        </w:rPr>
      </w:pPr>
      <w:r w:rsidRPr="001C298E">
        <w:rPr>
          <w:rFonts w:ascii="Verdana" w:eastAsia="Calibri" w:hAnsi="Verdana" w:cs="Arial"/>
          <w:bCs/>
          <w:i/>
          <w:color w:val="000000" w:themeColor="text1"/>
          <w:sz w:val="20"/>
          <w:szCs w:val="20"/>
          <w:lang w:val="es-ES_tradnl"/>
        </w:rPr>
        <w:t>“Las entidades públicas no podrán dar en comodato sus inmuebles sino únicamente a otras entidades públicas, sindicatos, cooperativas, asociaciones y fundaciones que no repartan utilidades entre sus asociados o fundadores ni adjudiquen sus activos en el momento de su liquidación a los mismos, juntas de acción comunal, fondos de empleados y las demás que puedan asimilarse a las anteriores, y por un término máximo de cinco (5) años, renovables</w:t>
      </w:r>
      <w:r w:rsidRPr="001C298E">
        <w:rPr>
          <w:rFonts w:ascii="Verdana" w:eastAsia="Calibri" w:hAnsi="Verdana" w:cs="Arial"/>
          <w:bCs/>
          <w:color w:val="000000" w:themeColor="text1"/>
          <w:sz w:val="20"/>
          <w:szCs w:val="20"/>
          <w:lang w:val="es-ES_tradnl"/>
        </w:rPr>
        <w:t>.</w:t>
      </w:r>
    </w:p>
    <w:p w14:paraId="09881629" w14:textId="77777777" w:rsidR="009C5993" w:rsidRPr="001C298E" w:rsidRDefault="009C5993" w:rsidP="009C5993">
      <w:pPr>
        <w:pStyle w:val="Prrafodelista"/>
        <w:spacing w:after="120"/>
        <w:ind w:left="709" w:right="709"/>
        <w:jc w:val="both"/>
        <w:rPr>
          <w:rFonts w:ascii="Verdana" w:eastAsia="Calibri" w:hAnsi="Verdana" w:cs="Arial"/>
          <w:bCs/>
          <w:color w:val="000000" w:themeColor="text1"/>
          <w:sz w:val="12"/>
          <w:szCs w:val="12"/>
          <w:lang w:val="es-ES_tradnl"/>
        </w:rPr>
      </w:pPr>
    </w:p>
    <w:p w14:paraId="44C6EA00" w14:textId="77777777" w:rsidR="009C5993" w:rsidRPr="00222802" w:rsidRDefault="009C5993" w:rsidP="009C5993">
      <w:pPr>
        <w:pStyle w:val="Prrafodelista"/>
        <w:ind w:left="709" w:right="709"/>
        <w:jc w:val="both"/>
        <w:rPr>
          <w:rFonts w:ascii="Verdana" w:eastAsia="Calibri" w:hAnsi="Verdana" w:cs="Arial"/>
          <w:bCs/>
          <w:color w:val="000000" w:themeColor="text1"/>
          <w:sz w:val="21"/>
          <w:szCs w:val="21"/>
          <w:lang w:val="es-ES_tradnl"/>
        </w:rPr>
      </w:pPr>
      <w:r w:rsidRPr="001C298E">
        <w:rPr>
          <w:rFonts w:ascii="Verdana" w:eastAsia="Calibri" w:hAnsi="Verdana" w:cs="Arial"/>
          <w:bCs/>
          <w:color w:val="000000" w:themeColor="text1"/>
          <w:sz w:val="20"/>
          <w:szCs w:val="20"/>
          <w:lang w:val="es-ES_tradnl"/>
        </w:rPr>
        <w:t>Los contratos de comodato existentes, y que hayan sido celebrados por las entidades públicas con personas distintas de las señaladas en el inciso anterior, serán renegociados por las primeras para limitar su término a tres (3) años renovables, contados a partir de la promulgación de la presente Ley”. (Énfasis fuera de texto)</w:t>
      </w:r>
    </w:p>
    <w:p w14:paraId="1E0BEA4D" w14:textId="77777777" w:rsidR="009C5993" w:rsidRPr="00222802" w:rsidRDefault="009C5993" w:rsidP="009C5993">
      <w:pPr>
        <w:pStyle w:val="Prrafodelista"/>
        <w:spacing w:after="0" w:line="276" w:lineRule="auto"/>
        <w:jc w:val="both"/>
        <w:rPr>
          <w:rFonts w:ascii="Verdana" w:eastAsia="Calibri" w:hAnsi="Verdana" w:cs="Arial"/>
          <w:bCs/>
          <w:color w:val="000000" w:themeColor="text1"/>
          <w:lang w:val="es-ES_tradnl"/>
        </w:rPr>
      </w:pPr>
    </w:p>
    <w:p w14:paraId="4A285FD1" w14:textId="77777777" w:rsidR="009C5993" w:rsidRPr="00222802" w:rsidRDefault="009C5993" w:rsidP="009C5993">
      <w:pPr>
        <w:spacing w:after="120" w:line="276" w:lineRule="auto"/>
        <w:ind w:firstLine="709"/>
        <w:jc w:val="both"/>
        <w:rPr>
          <w:rFonts w:ascii="Verdana" w:eastAsia="Calibri" w:hAnsi="Verdana" w:cs="Arial"/>
          <w:bCs/>
          <w:color w:val="000000" w:themeColor="text1"/>
        </w:rPr>
      </w:pPr>
      <w:r>
        <w:rPr>
          <w:rFonts w:ascii="Verdana" w:eastAsia="Calibri" w:hAnsi="Verdana" w:cs="Arial"/>
          <w:bCs/>
          <w:color w:val="000000" w:themeColor="text1"/>
        </w:rPr>
        <w:t>Esta norma</w:t>
      </w:r>
      <w:r w:rsidRPr="00222802">
        <w:rPr>
          <w:rFonts w:ascii="Verdana" w:eastAsia="Calibri" w:hAnsi="Verdana" w:cs="Arial"/>
          <w:bCs/>
          <w:color w:val="000000" w:themeColor="text1"/>
        </w:rPr>
        <w:t xml:space="preserve"> </w:t>
      </w:r>
      <w:r>
        <w:rPr>
          <w:rFonts w:ascii="Verdana" w:eastAsia="Calibri" w:hAnsi="Verdana" w:cs="Arial"/>
          <w:bCs/>
          <w:color w:val="000000" w:themeColor="text1"/>
        </w:rPr>
        <w:t xml:space="preserve">es congruente con </w:t>
      </w:r>
      <w:r w:rsidRPr="00222802">
        <w:rPr>
          <w:rFonts w:ascii="Verdana" w:eastAsia="Calibri" w:hAnsi="Verdana" w:cs="Arial"/>
          <w:bCs/>
          <w:color w:val="000000" w:themeColor="text1"/>
        </w:rPr>
        <w:t xml:space="preserve">el artículo 355 de la Constitución Política de 1991, el cual dispone que </w:t>
      </w:r>
      <w:r>
        <w:rPr>
          <w:rFonts w:ascii="Verdana" w:eastAsia="Calibri" w:hAnsi="Verdana" w:cs="Arial"/>
          <w:bCs/>
          <w:color w:val="000000" w:themeColor="text1"/>
        </w:rPr>
        <w:t>“</w:t>
      </w:r>
      <w:r w:rsidRPr="00222802">
        <w:rPr>
          <w:rFonts w:ascii="Verdana" w:eastAsia="Calibri" w:hAnsi="Verdana" w:cs="Arial"/>
          <w:bCs/>
          <w:color w:val="000000" w:themeColor="text1"/>
        </w:rPr>
        <w:t>Ninguna de las ramas u órganos del poder público podrá decretar auxilios o donaciones en favor de personas naturales o jurídicas de derecho privado</w:t>
      </w:r>
      <w:r>
        <w:rPr>
          <w:rFonts w:ascii="Verdana" w:eastAsia="Calibri" w:hAnsi="Verdana" w:cs="Arial"/>
          <w:bCs/>
          <w:color w:val="000000" w:themeColor="text1"/>
        </w:rPr>
        <w:t>”</w:t>
      </w:r>
      <w:r w:rsidRPr="00222802">
        <w:rPr>
          <w:rFonts w:ascii="Verdana" w:eastAsia="Calibri" w:hAnsi="Verdana" w:cs="Arial"/>
          <w:bCs/>
          <w:color w:val="000000" w:themeColor="text1"/>
        </w:rPr>
        <w:t>.</w:t>
      </w:r>
      <w:r>
        <w:rPr>
          <w:rFonts w:ascii="Verdana" w:eastAsia="Calibri" w:hAnsi="Verdana" w:cs="Arial"/>
          <w:bCs/>
          <w:color w:val="000000" w:themeColor="text1"/>
        </w:rPr>
        <w:t xml:space="preserve"> No obstante, el inciso segundo también señala lo siguiente: “</w:t>
      </w:r>
      <w:r w:rsidRPr="00CE3BCB">
        <w:rPr>
          <w:rFonts w:ascii="Verdana" w:eastAsia="Calibri" w:hAnsi="Verdana" w:cs="Arial"/>
          <w:bCs/>
          <w:color w:val="000000" w:themeColor="text1"/>
        </w:rPr>
        <w:t>El Gobierno, en los niveles nacional, departamental, distrital y municipal podrá, con recursos de los respectivos presupuestos, celebrara contratos con entidades privadas sin ánimo de lucro y de reconocida idoneidad con el fin de impulsar programas y actividades de interés público acordes con el Plan Nacional y con los planes seccionales de Desarrollo</w:t>
      </w:r>
      <w:r>
        <w:rPr>
          <w:rFonts w:ascii="Verdana" w:eastAsia="Calibri" w:hAnsi="Verdana" w:cs="Arial"/>
          <w:bCs/>
          <w:color w:val="000000" w:themeColor="text1"/>
        </w:rPr>
        <w:t xml:space="preserve"> […]”</w:t>
      </w:r>
      <w:r w:rsidRPr="00CE3BCB">
        <w:rPr>
          <w:rFonts w:ascii="Verdana" w:eastAsia="Calibri" w:hAnsi="Verdana" w:cs="Arial"/>
          <w:bCs/>
          <w:color w:val="000000" w:themeColor="text1"/>
        </w:rPr>
        <w:t>.</w:t>
      </w:r>
    </w:p>
    <w:p w14:paraId="09F0B896" w14:textId="77777777" w:rsidR="009C5993" w:rsidRPr="00222802" w:rsidRDefault="009C5993" w:rsidP="009C5993">
      <w:pPr>
        <w:widowControl w:val="0"/>
        <w:autoSpaceDE w:val="0"/>
        <w:autoSpaceDN w:val="0"/>
        <w:spacing w:after="120" w:line="276" w:lineRule="auto"/>
        <w:ind w:firstLine="709"/>
        <w:jc w:val="both"/>
        <w:rPr>
          <w:rFonts w:ascii="Verdana" w:eastAsia="Calibri" w:hAnsi="Verdana" w:cs="Arial"/>
          <w:bCs/>
          <w:color w:val="000000" w:themeColor="text1"/>
        </w:rPr>
      </w:pPr>
      <w:r w:rsidRPr="00222802">
        <w:rPr>
          <w:rFonts w:ascii="Verdana" w:eastAsia="Calibri" w:hAnsi="Verdana" w:cs="Arial"/>
          <w:bCs/>
          <w:color w:val="000000" w:themeColor="text1"/>
        </w:rPr>
        <w:t xml:space="preserve">Mediante </w:t>
      </w:r>
      <w:r>
        <w:rPr>
          <w:rFonts w:ascii="Verdana" w:eastAsia="Calibri" w:hAnsi="Verdana" w:cs="Arial"/>
          <w:bCs/>
          <w:color w:val="000000" w:themeColor="text1"/>
        </w:rPr>
        <w:t>C</w:t>
      </w:r>
      <w:r w:rsidRPr="00222802">
        <w:rPr>
          <w:rFonts w:ascii="Verdana" w:eastAsia="Calibri" w:hAnsi="Verdana" w:cs="Arial"/>
          <w:bCs/>
          <w:color w:val="000000" w:themeColor="text1"/>
        </w:rPr>
        <w:t>oncepto</w:t>
      </w:r>
      <w:r>
        <w:rPr>
          <w:rFonts w:ascii="Verdana" w:eastAsia="Calibri" w:hAnsi="Verdana" w:cs="Arial"/>
          <w:bCs/>
          <w:color w:val="000000" w:themeColor="text1"/>
        </w:rPr>
        <w:t xml:space="preserve"> </w:t>
      </w:r>
      <w:r w:rsidRPr="00222802">
        <w:rPr>
          <w:rFonts w:ascii="Verdana" w:eastAsia="Calibri" w:hAnsi="Verdana" w:cs="Arial"/>
          <w:bCs/>
          <w:color w:val="000000" w:themeColor="text1"/>
        </w:rPr>
        <w:t xml:space="preserve">415140000909 de 2015, la </w:t>
      </w:r>
      <w:r>
        <w:rPr>
          <w:rFonts w:ascii="Verdana" w:eastAsia="Calibri" w:hAnsi="Verdana" w:cs="Arial"/>
          <w:bCs/>
          <w:color w:val="000000" w:themeColor="text1"/>
        </w:rPr>
        <w:t>ANCP – CCE</w:t>
      </w:r>
      <w:r w:rsidRPr="00222802">
        <w:rPr>
          <w:rFonts w:ascii="Verdana" w:eastAsia="Calibri" w:hAnsi="Verdana" w:cs="Arial"/>
          <w:bCs/>
          <w:color w:val="000000" w:themeColor="text1"/>
        </w:rPr>
        <w:t xml:space="preserve"> explicó que el artículo 38 de la Ley 9 de 1989 contiene una restricción al texto constitucional del artículo 355, toda vez que tratándose de bienes inmuebles establece dos (2) </w:t>
      </w:r>
      <w:r w:rsidRPr="00222802">
        <w:rPr>
          <w:rFonts w:ascii="Verdana" w:eastAsia="Calibri" w:hAnsi="Verdana" w:cs="Arial"/>
          <w:bCs/>
          <w:color w:val="000000" w:themeColor="text1"/>
        </w:rPr>
        <w:lastRenderedPageBreak/>
        <w:t xml:space="preserve">condiciones a las que están sujetas las entidades estatales para celebrar el contrato de comodato: i) el tiempo de duración del contrato y </w:t>
      </w:r>
      <w:proofErr w:type="spellStart"/>
      <w:r w:rsidRPr="00222802">
        <w:rPr>
          <w:rFonts w:ascii="Verdana" w:eastAsia="Calibri" w:hAnsi="Verdana" w:cs="Arial"/>
          <w:bCs/>
          <w:color w:val="000000" w:themeColor="text1"/>
        </w:rPr>
        <w:t>ii</w:t>
      </w:r>
      <w:proofErr w:type="spellEnd"/>
      <w:r w:rsidRPr="00222802">
        <w:rPr>
          <w:rFonts w:ascii="Verdana" w:eastAsia="Calibri" w:hAnsi="Verdana" w:cs="Arial"/>
          <w:bCs/>
          <w:color w:val="000000" w:themeColor="text1"/>
        </w:rPr>
        <w:t xml:space="preserve">) las personas con las cuales puede celebrarlo. Con fundamento en la misma norma, precisó que esta no establece restricción frente al contrato de comodato de bienes muebles, por tanto, las entidades estatales podrían celebrar contratos de comodato entre sí, de acuerdo con las reglas del Código Civil dispuestas entre los artículos 2200 al 2220. </w:t>
      </w:r>
    </w:p>
    <w:p w14:paraId="72E5F5EE" w14:textId="77777777" w:rsidR="009C5993" w:rsidRPr="00222802" w:rsidRDefault="009C5993" w:rsidP="009C5993">
      <w:pPr>
        <w:widowControl w:val="0"/>
        <w:autoSpaceDE w:val="0"/>
        <w:autoSpaceDN w:val="0"/>
        <w:spacing w:after="120" w:line="276" w:lineRule="auto"/>
        <w:ind w:firstLine="709"/>
        <w:jc w:val="both"/>
        <w:rPr>
          <w:rFonts w:ascii="Verdana" w:eastAsia="Calibri" w:hAnsi="Verdana" w:cs="Arial"/>
          <w:bCs/>
          <w:color w:val="000000" w:themeColor="text1"/>
        </w:rPr>
      </w:pPr>
      <w:bookmarkStart w:id="7" w:name="_Hlk121751380"/>
      <w:r w:rsidRPr="00222802">
        <w:rPr>
          <w:rFonts w:ascii="Verdana" w:eastAsia="Calibri" w:hAnsi="Verdana" w:cs="Arial"/>
          <w:bCs/>
          <w:color w:val="000000" w:themeColor="text1"/>
        </w:rPr>
        <w:t xml:space="preserve">El supuesto antes </w:t>
      </w:r>
      <w:r>
        <w:rPr>
          <w:rFonts w:ascii="Verdana" w:eastAsia="Calibri" w:hAnsi="Verdana" w:cs="Arial"/>
          <w:bCs/>
          <w:color w:val="000000" w:themeColor="text1"/>
        </w:rPr>
        <w:t>descrito</w:t>
      </w:r>
      <w:r w:rsidRPr="00222802">
        <w:rPr>
          <w:rFonts w:ascii="Verdana" w:eastAsia="Calibri" w:hAnsi="Verdana" w:cs="Arial"/>
          <w:bCs/>
          <w:color w:val="000000" w:themeColor="text1"/>
        </w:rPr>
        <w:t xml:space="preserve"> hace referencia al caso cuando la entidad estatal tiene la condición de comodante</w:t>
      </w:r>
      <w:r>
        <w:rPr>
          <w:rFonts w:ascii="Verdana" w:eastAsia="Calibri" w:hAnsi="Verdana" w:cs="Arial"/>
          <w:bCs/>
          <w:color w:val="000000" w:themeColor="text1"/>
        </w:rPr>
        <w:t>.</w:t>
      </w:r>
      <w:r w:rsidRPr="00222802">
        <w:rPr>
          <w:rFonts w:ascii="Verdana" w:eastAsia="Calibri" w:hAnsi="Verdana" w:cs="Arial"/>
          <w:bCs/>
          <w:color w:val="000000" w:themeColor="text1"/>
        </w:rPr>
        <w:t xml:space="preserve"> </w:t>
      </w:r>
      <w:r>
        <w:rPr>
          <w:rFonts w:ascii="Verdana" w:eastAsia="Calibri" w:hAnsi="Verdana" w:cs="Arial"/>
          <w:bCs/>
          <w:color w:val="000000" w:themeColor="text1"/>
        </w:rPr>
        <w:t>E</w:t>
      </w:r>
      <w:r w:rsidRPr="00222802">
        <w:rPr>
          <w:rFonts w:ascii="Verdana" w:eastAsia="Calibri" w:hAnsi="Verdana" w:cs="Arial"/>
          <w:bCs/>
          <w:color w:val="000000" w:themeColor="text1"/>
        </w:rPr>
        <w:t xml:space="preserve">s decir, cuando la entidad tiene el dominio de la cosa y la entrega a otra persona –que deben ser a otras entidades públicas, sindicatos, cooperativas, asociaciones y fundaciones que no repartan utilidades entre sus asociados o fundadores ni adjudiquen sus activos en el momento de su liquidación a los mismos, juntas de acción comunal, fondos de empleados, conforme lo expuesto anteriormente– para que esta haga uso de ella. </w:t>
      </w:r>
    </w:p>
    <w:p w14:paraId="7B18A870" w14:textId="77777777" w:rsidR="009C5993" w:rsidRPr="00222802" w:rsidRDefault="009C5993" w:rsidP="009C5993">
      <w:pPr>
        <w:widowControl w:val="0"/>
        <w:autoSpaceDE w:val="0"/>
        <w:autoSpaceDN w:val="0"/>
        <w:spacing w:after="120" w:line="276" w:lineRule="auto"/>
        <w:ind w:firstLine="709"/>
        <w:jc w:val="both"/>
        <w:rPr>
          <w:rFonts w:ascii="Verdana" w:hAnsi="Verdana" w:cs="Arial"/>
          <w:color w:val="000000" w:themeColor="text1"/>
        </w:rPr>
      </w:pPr>
      <w:r w:rsidRPr="00222802">
        <w:rPr>
          <w:rFonts w:ascii="Verdana" w:eastAsia="Calibri" w:hAnsi="Verdana" w:cs="Arial"/>
          <w:bCs/>
          <w:color w:val="000000" w:themeColor="text1"/>
        </w:rPr>
        <w:t xml:space="preserve">Ahora bien, la prohibición transcrita en los párrafos anteriores no aplicaría para el supuesto de hecho en el cual la entidad estatal tenga la condición de comodataria, pues en este caso la entidad estatal no entregaría un bien a otra persona, sino que por el contrario a la entidad estatal le entregarían el bien para su uso. Esta postura se basa en dos (2) argumentos: i) </w:t>
      </w:r>
      <w:r>
        <w:rPr>
          <w:rFonts w:ascii="Verdana" w:eastAsia="Calibri" w:hAnsi="Verdana" w:cs="Arial"/>
          <w:bCs/>
          <w:color w:val="000000" w:themeColor="text1"/>
        </w:rPr>
        <w:t>d</w:t>
      </w:r>
      <w:r w:rsidRPr="00222802">
        <w:rPr>
          <w:rFonts w:ascii="Verdana" w:eastAsia="Calibri" w:hAnsi="Verdana" w:cs="Arial"/>
          <w:bCs/>
          <w:color w:val="000000" w:themeColor="text1"/>
        </w:rPr>
        <w:t>e acuerdo c</w:t>
      </w:r>
      <w:r>
        <w:rPr>
          <w:rFonts w:ascii="Verdana" w:eastAsia="Calibri" w:hAnsi="Verdana" w:cs="Arial"/>
          <w:bCs/>
          <w:color w:val="000000" w:themeColor="text1"/>
        </w:rPr>
        <w:t>on</w:t>
      </w:r>
      <w:r w:rsidRPr="00222802">
        <w:rPr>
          <w:rFonts w:ascii="Verdana" w:hAnsi="Verdana" w:cs="Arial"/>
          <w:color w:val="000000" w:themeColor="text1"/>
        </w:rPr>
        <w:t xml:space="preserve"> el artículo 32 de la Ley 80 de 1993, las entidades públicas en ejercicio de la autonomía de la voluntad pueden celebrar contratos con particulares para satisfacer sus necesidades que estén asociadas con el logro del interés público, siempre que no estén prohibidas por la Constitución y la Ley; </w:t>
      </w:r>
      <w:proofErr w:type="spellStart"/>
      <w:r w:rsidRPr="00222802">
        <w:rPr>
          <w:rFonts w:ascii="Verdana" w:hAnsi="Verdana" w:cs="Arial"/>
          <w:color w:val="000000" w:themeColor="text1"/>
        </w:rPr>
        <w:t>ii</w:t>
      </w:r>
      <w:proofErr w:type="spellEnd"/>
      <w:r w:rsidRPr="00222802">
        <w:rPr>
          <w:rFonts w:ascii="Verdana" w:hAnsi="Verdana" w:cs="Arial"/>
          <w:color w:val="000000" w:themeColor="text1"/>
        </w:rPr>
        <w:t xml:space="preserve">) en el supuesto que la entidad estatal actúe como comodatario no está entregando sus bienes en favor de un particular, por el contrario estaría recibiendo un bien </w:t>
      </w:r>
      <w:r w:rsidRPr="00222802">
        <w:rPr>
          <w:rFonts w:ascii="Verdana" w:eastAsia="Calibri" w:hAnsi="Verdana" w:cs="Arial"/>
          <w:bCs/>
          <w:color w:val="000000" w:themeColor="text1"/>
        </w:rPr>
        <w:t xml:space="preserve">para que haga uso del mismo, y con cargo de restituir la misma especie después de terminar el uso. </w:t>
      </w:r>
    </w:p>
    <w:bookmarkEnd w:id="7"/>
    <w:p w14:paraId="7C02CFFD" w14:textId="77777777" w:rsidR="009C5993" w:rsidRDefault="009C5993" w:rsidP="009C5993">
      <w:pPr>
        <w:widowControl w:val="0"/>
        <w:autoSpaceDE w:val="0"/>
        <w:autoSpaceDN w:val="0"/>
        <w:spacing w:after="120" w:line="276" w:lineRule="auto"/>
        <w:ind w:firstLine="709"/>
        <w:jc w:val="both"/>
        <w:rPr>
          <w:rFonts w:ascii="Verdana" w:hAnsi="Verdana" w:cs="Arial"/>
          <w:color w:val="000000" w:themeColor="text1"/>
        </w:rPr>
      </w:pPr>
      <w:r w:rsidRPr="00222802">
        <w:rPr>
          <w:rFonts w:ascii="Verdana" w:hAnsi="Verdana" w:cs="Arial"/>
          <w:color w:val="000000" w:themeColor="text1"/>
        </w:rPr>
        <w:t xml:space="preserve">En síntesis, i) las entidades públicas no podrán dar en comodato sus inmuebles sino únicamente a otras entidades públicas, sindicatos, cooperativas, asociaciones y fundaciones que no repartan utilidades entre sus asociados o fundadores ni adjudiquen sus activos en el momento de su liquidación a los mismos, juntas de acción comunal, fondos de empleados y las demás que puedan asimilarse a las anteriores, por un término máximo de cinco (5) años, renovables, de acuerdo con el artículo 38 de la Ley 9 de 1989; </w:t>
      </w:r>
      <w:proofErr w:type="spellStart"/>
      <w:r w:rsidRPr="00222802">
        <w:rPr>
          <w:rFonts w:ascii="Verdana" w:hAnsi="Verdana" w:cs="Arial"/>
          <w:color w:val="000000" w:themeColor="text1"/>
        </w:rPr>
        <w:t>ii</w:t>
      </w:r>
      <w:proofErr w:type="spellEnd"/>
      <w:r w:rsidRPr="00222802">
        <w:rPr>
          <w:rFonts w:ascii="Verdana" w:hAnsi="Verdana" w:cs="Arial"/>
          <w:color w:val="000000" w:themeColor="text1"/>
        </w:rPr>
        <w:t>)</w:t>
      </w:r>
      <w:r>
        <w:rPr>
          <w:rFonts w:ascii="Verdana" w:hAnsi="Verdana" w:cs="Arial"/>
          <w:color w:val="000000" w:themeColor="text1"/>
        </w:rPr>
        <w:t xml:space="preserve"> l</w:t>
      </w:r>
      <w:r w:rsidRPr="00222802">
        <w:rPr>
          <w:rFonts w:ascii="Verdana" w:hAnsi="Verdana" w:cs="Arial"/>
          <w:color w:val="000000" w:themeColor="text1"/>
        </w:rPr>
        <w:t>as entidades estatales pueden celebrar contrato</w:t>
      </w:r>
      <w:r>
        <w:rPr>
          <w:rFonts w:ascii="Verdana" w:hAnsi="Verdana" w:cs="Arial"/>
          <w:color w:val="000000" w:themeColor="text1"/>
        </w:rPr>
        <w:t>s</w:t>
      </w:r>
      <w:r w:rsidRPr="00222802">
        <w:rPr>
          <w:rFonts w:ascii="Verdana" w:hAnsi="Verdana" w:cs="Arial"/>
          <w:color w:val="000000" w:themeColor="text1"/>
        </w:rPr>
        <w:t xml:space="preserve"> de comodato de bienes muebles entre sí, de </w:t>
      </w:r>
      <w:r w:rsidRPr="00222802">
        <w:rPr>
          <w:rFonts w:ascii="Verdana" w:hAnsi="Verdana" w:cs="Arial"/>
          <w:color w:val="000000" w:themeColor="text1"/>
        </w:rPr>
        <w:lastRenderedPageBreak/>
        <w:t xml:space="preserve">acuerdo con las reglas del Código Civil; </w:t>
      </w:r>
      <w:proofErr w:type="spellStart"/>
      <w:r w:rsidRPr="00222802">
        <w:rPr>
          <w:rFonts w:ascii="Verdana" w:hAnsi="Verdana" w:cs="Arial"/>
          <w:color w:val="000000" w:themeColor="text1"/>
        </w:rPr>
        <w:t>iii</w:t>
      </w:r>
      <w:proofErr w:type="spellEnd"/>
      <w:r w:rsidRPr="00222802">
        <w:rPr>
          <w:rFonts w:ascii="Verdana" w:hAnsi="Verdana" w:cs="Arial"/>
          <w:color w:val="000000" w:themeColor="text1"/>
        </w:rPr>
        <w:t>) en virtud del artículo 355 de la Constitución Política,</w:t>
      </w:r>
      <w:r>
        <w:rPr>
          <w:rFonts w:ascii="Verdana" w:hAnsi="Verdana" w:cs="Arial"/>
          <w:color w:val="000000" w:themeColor="text1"/>
        </w:rPr>
        <w:t xml:space="preserve"> de acuerdo con el procedimiento establecido en el Decreto 092 de 2017,</w:t>
      </w:r>
      <w:r w:rsidRPr="00222802">
        <w:rPr>
          <w:rFonts w:ascii="Verdana" w:hAnsi="Verdana" w:cs="Arial"/>
          <w:color w:val="000000" w:themeColor="text1"/>
        </w:rPr>
        <w:t xml:space="preserve"> las entidades estatales pueden entregar en comodato sus bienes muebles a entidades privadas sin ánimo de lucro, y el tiempo de duración del contrato estará sujeto en todo caso a la actividad misional de la respectiva entidad estatal de acuerdo con lo previsto en el artículo 96 de la Ley 489 de 1998 y; </w:t>
      </w:r>
      <w:proofErr w:type="spellStart"/>
      <w:r w:rsidRPr="00222802">
        <w:rPr>
          <w:rFonts w:ascii="Verdana" w:hAnsi="Verdana" w:cs="Arial"/>
          <w:color w:val="000000" w:themeColor="text1"/>
        </w:rPr>
        <w:t>iv</w:t>
      </w:r>
      <w:proofErr w:type="spellEnd"/>
      <w:r w:rsidRPr="00222802">
        <w:rPr>
          <w:rFonts w:ascii="Verdana" w:hAnsi="Verdana" w:cs="Arial"/>
          <w:color w:val="000000" w:themeColor="text1"/>
        </w:rPr>
        <w:t xml:space="preserve">) las entidades estatales pueden celebrar contratos de comodato con privados, actuando en calidad de comodatarias, caso en el cual no tienen restricción normativa para celebrar este tipo de contratos, con fundamento en la autonomía de la voluntad que establece el artículo 32 de la Ley 80 de 1993, sin perjuicio del cumplimiento de los principios constitucionales aplicables a la función administrativa y los de la contratación estatal. </w:t>
      </w:r>
    </w:p>
    <w:p w14:paraId="12F20E21" w14:textId="77777777" w:rsidR="009C5993" w:rsidRDefault="009C5993" w:rsidP="009C5993">
      <w:pPr>
        <w:widowControl w:val="0"/>
        <w:autoSpaceDE w:val="0"/>
        <w:autoSpaceDN w:val="0"/>
        <w:spacing w:after="120" w:line="276" w:lineRule="auto"/>
        <w:ind w:firstLine="709"/>
        <w:jc w:val="both"/>
        <w:rPr>
          <w:rFonts w:ascii="Verdana" w:hAnsi="Verdana" w:cs="Arial"/>
          <w:color w:val="000000" w:themeColor="text1"/>
        </w:rPr>
      </w:pPr>
      <w:r>
        <w:rPr>
          <w:rFonts w:ascii="Verdana" w:hAnsi="Verdana" w:cs="Arial"/>
          <w:color w:val="000000" w:themeColor="text1"/>
        </w:rPr>
        <w:t>La diferencia en el régimen jurídico de la donación y el comodato entre entidades públicas impacta en el aseguramiento de los bienes objeto de cada contrato. Como la donación es un título traslaticio del derecho de dominio en los términos del artículo 745 del Código Civil, la obligación de asegurar el bien recae sobre el donatario, ya que el donante se deprende de la propiedad para transferirla a un sujeto distinto. Dicho deber se fundamenta en el artículo 107 de la Ley 42 de 1993, pues dispone que “</w:t>
      </w:r>
      <w:r w:rsidRPr="00822E5D">
        <w:rPr>
          <w:rFonts w:ascii="Verdana" w:hAnsi="Verdana" w:cs="Arial"/>
          <w:color w:val="000000" w:themeColor="text1"/>
        </w:rPr>
        <w:t>Los órganos de control fiscal verificarán que los bienes del Estado estén debidamente amparados por una póliza de seguros o un fondo especial creado para tal fin, pudiendo establecer responsabilidad fiscal a los tomadores cuando las circunstancias lo ameriten</w:t>
      </w:r>
      <w:r>
        <w:rPr>
          <w:rFonts w:ascii="Verdana" w:hAnsi="Verdana" w:cs="Arial"/>
          <w:color w:val="000000" w:themeColor="text1"/>
        </w:rPr>
        <w:t>”</w:t>
      </w:r>
      <w:r w:rsidRPr="00822E5D">
        <w:rPr>
          <w:rFonts w:ascii="Verdana" w:hAnsi="Verdana" w:cs="Arial"/>
          <w:color w:val="000000" w:themeColor="text1"/>
        </w:rPr>
        <w:t>.</w:t>
      </w:r>
      <w:r>
        <w:rPr>
          <w:rFonts w:ascii="Verdana" w:hAnsi="Verdana" w:cs="Arial"/>
          <w:color w:val="000000" w:themeColor="text1"/>
        </w:rPr>
        <w:t xml:space="preserve"> Su incumplimiento hace presumir la culpa grave en los procesos de responsabilidad fiscal</w:t>
      </w:r>
      <w:r>
        <w:rPr>
          <w:rStyle w:val="Refdenotaalpie"/>
          <w:rFonts w:ascii="Verdana" w:hAnsi="Verdana" w:cs="Arial"/>
          <w:color w:val="000000" w:themeColor="text1"/>
        </w:rPr>
        <w:footnoteReference w:id="11"/>
      </w:r>
      <w:r>
        <w:rPr>
          <w:rFonts w:ascii="Verdana" w:hAnsi="Verdana" w:cs="Arial"/>
          <w:color w:val="000000" w:themeColor="text1"/>
        </w:rPr>
        <w:t>. Incluso, la omisión es objeto reproche disciplinario</w:t>
      </w:r>
      <w:r>
        <w:rPr>
          <w:rStyle w:val="Refdenotaalpie"/>
          <w:rFonts w:ascii="Verdana" w:hAnsi="Verdana" w:cs="Arial"/>
          <w:color w:val="000000" w:themeColor="text1"/>
        </w:rPr>
        <w:footnoteReference w:id="12"/>
      </w:r>
      <w:r>
        <w:rPr>
          <w:rFonts w:ascii="Verdana" w:hAnsi="Verdana" w:cs="Arial"/>
          <w:color w:val="000000" w:themeColor="text1"/>
        </w:rPr>
        <w:t xml:space="preserve">. </w:t>
      </w:r>
    </w:p>
    <w:p w14:paraId="6B14CD25" w14:textId="77777777" w:rsidR="009C5993" w:rsidRDefault="009C5993" w:rsidP="009C5993">
      <w:pPr>
        <w:widowControl w:val="0"/>
        <w:autoSpaceDE w:val="0"/>
        <w:autoSpaceDN w:val="0"/>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Por el contrario, como indica el artículo 2201 del Código Civil, el comodato no transfiere la propiedad, pues es un título de mera tenencia; razón por la cual, </w:t>
      </w:r>
      <w:r>
        <w:rPr>
          <w:rFonts w:ascii="Verdana" w:hAnsi="Verdana" w:cs="Arial"/>
          <w:color w:val="000000" w:themeColor="text1"/>
        </w:rPr>
        <w:lastRenderedPageBreak/>
        <w:t>“[…] l</w:t>
      </w:r>
      <w:r w:rsidRPr="00230444">
        <w:rPr>
          <w:rFonts w:ascii="Verdana" w:hAnsi="Verdana" w:cs="Arial"/>
          <w:color w:val="000000" w:themeColor="text1"/>
        </w:rPr>
        <w:t>a entrega</w:t>
      </w:r>
      <w:r>
        <w:rPr>
          <w:rFonts w:ascii="Verdana" w:hAnsi="Verdana" w:cs="Arial"/>
          <w:color w:val="000000" w:themeColor="text1"/>
        </w:rPr>
        <w:t xml:space="preserve"> </w:t>
      </w:r>
      <w:r w:rsidRPr="00230444">
        <w:rPr>
          <w:rFonts w:ascii="Verdana" w:hAnsi="Verdana" w:cs="Arial"/>
          <w:color w:val="000000" w:themeColor="text1"/>
        </w:rPr>
        <w:t>o tradición por la que se perfecciona no es un título traslaticio de dominio, de posesión, ni constituye enajenación en sentido alguno</w:t>
      </w:r>
      <w:r>
        <w:rPr>
          <w:rFonts w:ascii="Verdana" w:hAnsi="Verdana" w:cs="Arial"/>
          <w:color w:val="000000" w:themeColor="text1"/>
        </w:rPr>
        <w:t xml:space="preserve"> […]”</w:t>
      </w:r>
      <w:r>
        <w:rPr>
          <w:rStyle w:val="Refdenotaalpie"/>
          <w:rFonts w:ascii="Verdana" w:hAnsi="Verdana" w:cs="Arial"/>
          <w:color w:val="000000" w:themeColor="text1"/>
        </w:rPr>
        <w:footnoteReference w:id="13"/>
      </w:r>
      <w:r>
        <w:rPr>
          <w:rFonts w:ascii="Verdana" w:hAnsi="Verdana" w:cs="Arial"/>
          <w:color w:val="000000" w:themeColor="text1"/>
        </w:rPr>
        <w:t xml:space="preserve">. En este contexto, el comodante conserva el dominio del bien y, por tanto, de acuerdo al marco normativo citado en el párrafo precedente, debe garantizar su conservación frente a los riesgos, daños o deterioros a los que esté expuesto. </w:t>
      </w:r>
    </w:p>
    <w:p w14:paraId="180EF762" w14:textId="77777777" w:rsidR="009C5993" w:rsidRDefault="009C5993" w:rsidP="009C5993">
      <w:pPr>
        <w:widowControl w:val="0"/>
        <w:autoSpaceDE w:val="0"/>
        <w:autoSpaceDN w:val="0"/>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Lo anterior no obsta para que el comodatario también responda hasta por culpa levísima de un deber de conservación conforme al artículo 2203 del Código Civil, ya que está a cargo de “[…] </w:t>
      </w:r>
      <w:r w:rsidRPr="00881A3C">
        <w:rPr>
          <w:rFonts w:ascii="Verdana" w:hAnsi="Verdana" w:cs="Arial"/>
          <w:color w:val="000000" w:themeColor="text1"/>
        </w:rPr>
        <w:t>todo deterioro que no provenga de la naturaleza o del uso legítimo de la cosa; y si este deterioro es tal, que la cosa no sea ya susceptible de emplearse en su uso ordinario, podrá el comodante exigir el precio anterior de la cosa, abandonando su propiedad al comodatario</w:t>
      </w:r>
      <w:r>
        <w:rPr>
          <w:rFonts w:ascii="Verdana" w:hAnsi="Verdana" w:cs="Arial"/>
          <w:color w:val="000000" w:themeColor="text1"/>
        </w:rPr>
        <w:t xml:space="preserve">”. Por ello, el artículo 2202 </w:t>
      </w:r>
      <w:r w:rsidRPr="006A4B98">
        <w:rPr>
          <w:rFonts w:ascii="Verdana" w:hAnsi="Verdana" w:cs="Arial"/>
          <w:i/>
          <w:iCs/>
          <w:color w:val="000000" w:themeColor="text1"/>
        </w:rPr>
        <w:t>ibidem</w:t>
      </w:r>
      <w:r>
        <w:rPr>
          <w:rFonts w:ascii="Verdana" w:hAnsi="Verdana" w:cs="Arial"/>
          <w:color w:val="000000" w:themeColor="text1"/>
        </w:rPr>
        <w:t xml:space="preserve"> prescribe que el comodatario sólo puede emplear la cosa prestada para el uso convenido por las partes o, a falta de pacto al respecto, deberá emplearla conforme a su uso ordinario. El incumplimiento de esta obligación permite la reparación de los perjuicios, medida a la que se suma la restitución del anticipada del bien.</w:t>
      </w:r>
    </w:p>
    <w:p w14:paraId="11353682" w14:textId="77777777" w:rsidR="009C5993" w:rsidRDefault="009C5993" w:rsidP="009C5993">
      <w:pPr>
        <w:widowControl w:val="0"/>
        <w:autoSpaceDE w:val="0"/>
        <w:autoSpaceDN w:val="0"/>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El artículo </w:t>
      </w:r>
      <w:r w:rsidRPr="00D52CBB">
        <w:rPr>
          <w:rFonts w:ascii="Verdana" w:hAnsi="Verdana" w:cs="Arial"/>
          <w:color w:val="000000" w:themeColor="text1"/>
        </w:rPr>
        <w:t>2.2.1.2.1.4.5</w:t>
      </w:r>
      <w:r>
        <w:rPr>
          <w:rFonts w:ascii="Verdana" w:hAnsi="Verdana" w:cs="Arial"/>
          <w:color w:val="000000" w:themeColor="text1"/>
        </w:rPr>
        <w:t xml:space="preserve"> del Decreto 1082 de 2015 establece que la constitución de garantías no es obligatoria en la contratación directa, causal dentro la que se incluyen los contratos o convenios interadministrativos del artículo </w:t>
      </w:r>
      <w:r w:rsidRPr="00D52CBB">
        <w:rPr>
          <w:rFonts w:ascii="Verdana" w:hAnsi="Verdana" w:cs="Arial"/>
          <w:color w:val="000000" w:themeColor="text1"/>
        </w:rPr>
        <w:t>2.2.1.2.1.4.4</w:t>
      </w:r>
      <w:r>
        <w:rPr>
          <w:rFonts w:ascii="Verdana" w:hAnsi="Verdana" w:cs="Arial"/>
          <w:color w:val="000000" w:themeColor="text1"/>
        </w:rPr>
        <w:t xml:space="preserve"> </w:t>
      </w:r>
      <w:r w:rsidRPr="00D52CBB">
        <w:rPr>
          <w:rFonts w:ascii="Verdana" w:hAnsi="Verdana" w:cs="Arial"/>
          <w:i/>
          <w:iCs/>
          <w:color w:val="000000" w:themeColor="text1"/>
        </w:rPr>
        <w:t>ibidem</w:t>
      </w:r>
      <w:r>
        <w:rPr>
          <w:rFonts w:ascii="Verdana" w:hAnsi="Verdana" w:cs="Arial"/>
          <w:color w:val="000000" w:themeColor="text1"/>
        </w:rPr>
        <w:t xml:space="preserve">. No obstante, el comodante –como propietario del bien y responsable de su conservación– puede exigirlas para mitigar el riesgo de daño o deterioro en manos del comodatario: </w:t>
      </w:r>
      <w:r w:rsidRPr="00887265">
        <w:rPr>
          <w:rFonts w:ascii="Verdana" w:hAnsi="Verdana" w:cs="Arial"/>
          <w:color w:val="000000" w:themeColor="text1"/>
        </w:rPr>
        <w:t xml:space="preserve">corresponde </w:t>
      </w:r>
      <w:r>
        <w:rPr>
          <w:rFonts w:ascii="Verdana" w:hAnsi="Verdana" w:cs="Arial"/>
          <w:color w:val="000000" w:themeColor="text1"/>
        </w:rPr>
        <w:t xml:space="preserve">a este último </w:t>
      </w:r>
      <w:r w:rsidRPr="00887265">
        <w:rPr>
          <w:rFonts w:ascii="Verdana" w:hAnsi="Verdana" w:cs="Arial"/>
          <w:color w:val="000000" w:themeColor="text1"/>
        </w:rPr>
        <w:t>constituir</w:t>
      </w:r>
      <w:r>
        <w:rPr>
          <w:rFonts w:ascii="Verdana" w:hAnsi="Verdana" w:cs="Arial"/>
          <w:color w:val="000000" w:themeColor="text1"/>
        </w:rPr>
        <w:t xml:space="preserve"> los amparos</w:t>
      </w:r>
      <w:r w:rsidRPr="00887265">
        <w:rPr>
          <w:rFonts w:ascii="Verdana" w:hAnsi="Verdana" w:cs="Arial"/>
          <w:color w:val="000000" w:themeColor="text1"/>
        </w:rPr>
        <w:t xml:space="preserve"> y asumir los costos </w:t>
      </w:r>
      <w:r>
        <w:rPr>
          <w:rFonts w:ascii="Verdana" w:hAnsi="Verdana" w:cs="Arial"/>
          <w:color w:val="000000" w:themeColor="text1"/>
        </w:rPr>
        <w:t>que impliquen</w:t>
      </w:r>
      <w:r w:rsidRPr="00887265">
        <w:rPr>
          <w:rFonts w:ascii="Verdana" w:hAnsi="Verdana" w:cs="Arial"/>
          <w:color w:val="000000" w:themeColor="text1"/>
        </w:rPr>
        <w:t xml:space="preserve">, lo cual se </w:t>
      </w:r>
      <w:r>
        <w:rPr>
          <w:rFonts w:ascii="Verdana" w:hAnsi="Verdana" w:cs="Arial"/>
          <w:color w:val="000000" w:themeColor="text1"/>
        </w:rPr>
        <w:t>desprende de su obligación de</w:t>
      </w:r>
      <w:r w:rsidRPr="00887265">
        <w:rPr>
          <w:rFonts w:ascii="Verdana" w:hAnsi="Verdana" w:cs="Arial"/>
          <w:color w:val="000000" w:themeColor="text1"/>
        </w:rPr>
        <w:t xml:space="preserve"> cuidar el bien </w:t>
      </w:r>
      <w:r>
        <w:rPr>
          <w:rFonts w:ascii="Verdana" w:hAnsi="Verdana" w:cs="Arial"/>
          <w:color w:val="000000" w:themeColor="text1"/>
        </w:rPr>
        <w:t>prestado</w:t>
      </w:r>
      <w:r w:rsidRPr="00887265">
        <w:rPr>
          <w:rFonts w:ascii="Verdana" w:hAnsi="Verdana" w:cs="Arial"/>
          <w:color w:val="000000" w:themeColor="text1"/>
        </w:rPr>
        <w:t xml:space="preserve"> y</w:t>
      </w:r>
      <w:r>
        <w:rPr>
          <w:rFonts w:ascii="Verdana" w:hAnsi="Verdana" w:cs="Arial"/>
          <w:color w:val="000000" w:themeColor="text1"/>
        </w:rPr>
        <w:t xml:space="preserve"> de </w:t>
      </w:r>
      <w:r w:rsidRPr="00887265">
        <w:rPr>
          <w:rFonts w:ascii="Verdana" w:hAnsi="Verdana" w:cs="Arial"/>
          <w:color w:val="000000" w:themeColor="text1"/>
        </w:rPr>
        <w:t xml:space="preserve">conservarlo conforme lo recibió, salvo el desgate </w:t>
      </w:r>
      <w:r>
        <w:rPr>
          <w:rFonts w:ascii="Verdana" w:hAnsi="Verdana" w:cs="Arial"/>
          <w:color w:val="000000" w:themeColor="text1"/>
        </w:rPr>
        <w:t>natural o derivado</w:t>
      </w:r>
      <w:r w:rsidRPr="00887265">
        <w:rPr>
          <w:rFonts w:ascii="Verdana" w:hAnsi="Verdana" w:cs="Arial"/>
          <w:color w:val="000000" w:themeColor="text1"/>
        </w:rPr>
        <w:t xml:space="preserve"> </w:t>
      </w:r>
      <w:r>
        <w:rPr>
          <w:rFonts w:ascii="Verdana" w:hAnsi="Verdana" w:cs="Arial"/>
          <w:color w:val="000000" w:themeColor="text1"/>
        </w:rPr>
        <w:t>del</w:t>
      </w:r>
      <w:r w:rsidRPr="00887265">
        <w:rPr>
          <w:rFonts w:ascii="Verdana" w:hAnsi="Verdana" w:cs="Arial"/>
          <w:color w:val="000000" w:themeColor="text1"/>
        </w:rPr>
        <w:t xml:space="preserve"> uso</w:t>
      </w:r>
      <w:r>
        <w:rPr>
          <w:rFonts w:ascii="Verdana" w:hAnsi="Verdana" w:cs="Arial"/>
          <w:color w:val="000000" w:themeColor="text1"/>
        </w:rPr>
        <w:t xml:space="preserve"> legítimo. De esta manera, además de que el comodante puede exigir al comodatario que ampare el cumplimiento del contrato en las condiciones del numeral 3 del artículo </w:t>
      </w:r>
      <w:r w:rsidRPr="00582027">
        <w:rPr>
          <w:rFonts w:ascii="Verdana" w:hAnsi="Verdana" w:cs="Arial"/>
          <w:color w:val="000000" w:themeColor="text1"/>
        </w:rPr>
        <w:t>2.2.1.2.3.1.7</w:t>
      </w:r>
      <w:r>
        <w:rPr>
          <w:rFonts w:ascii="Verdana" w:hAnsi="Verdana" w:cs="Arial"/>
          <w:color w:val="000000" w:themeColor="text1"/>
        </w:rPr>
        <w:t xml:space="preserve"> del Decreto 1082 de 2015, el numeral 8 </w:t>
      </w:r>
      <w:r w:rsidRPr="00582027">
        <w:rPr>
          <w:rFonts w:ascii="Verdana" w:hAnsi="Verdana" w:cs="Arial"/>
          <w:i/>
          <w:iCs/>
          <w:color w:val="000000" w:themeColor="text1"/>
        </w:rPr>
        <w:t>ibidem</w:t>
      </w:r>
      <w:r>
        <w:rPr>
          <w:rFonts w:ascii="Verdana" w:hAnsi="Verdana" w:cs="Arial"/>
          <w:color w:val="000000" w:themeColor="text1"/>
        </w:rPr>
        <w:t xml:space="preserve"> también permite la cobertura de “</w:t>
      </w:r>
      <w:r w:rsidRPr="00582027">
        <w:rPr>
          <w:rFonts w:ascii="Verdana" w:hAnsi="Verdana" w:cs="Arial"/>
          <w:color w:val="000000" w:themeColor="text1"/>
        </w:rPr>
        <w:t>Los demás incumplimientos de obligaciones que la Entidad Estatal considere deben ser amparados de manera proporcional y acorde a la naturaleza del contrato</w:t>
      </w:r>
      <w:r>
        <w:rPr>
          <w:rFonts w:ascii="Verdana" w:hAnsi="Verdana" w:cs="Arial"/>
          <w:color w:val="000000" w:themeColor="text1"/>
        </w:rPr>
        <w:t>”.</w:t>
      </w:r>
    </w:p>
    <w:p w14:paraId="4178CCC7" w14:textId="77777777" w:rsidR="009C5993" w:rsidRPr="003641B5" w:rsidRDefault="009C5993" w:rsidP="009C5993">
      <w:pPr>
        <w:widowControl w:val="0"/>
        <w:autoSpaceDE w:val="0"/>
        <w:autoSpaceDN w:val="0"/>
        <w:spacing w:after="120" w:line="276" w:lineRule="auto"/>
        <w:ind w:firstLine="709"/>
        <w:jc w:val="both"/>
        <w:rPr>
          <w:rFonts w:ascii="Verdana" w:hAnsi="Verdana" w:cs="Arial"/>
          <w:color w:val="000000" w:themeColor="text1"/>
        </w:rPr>
      </w:pPr>
      <w:r>
        <w:rPr>
          <w:rFonts w:ascii="Verdana" w:hAnsi="Verdana" w:cs="Arial"/>
          <w:color w:val="000000" w:themeColor="text1"/>
        </w:rPr>
        <w:t xml:space="preserve">El Código de Comercio no impide que sobre un mismo bien se constituyan dos (2) seguros distintos, el del comodante y del comodatario en la consulta </w:t>
      </w:r>
      <w:r w:rsidRPr="003E002E">
        <w:rPr>
          <w:rFonts w:ascii="Verdana" w:hAnsi="Verdana" w:cs="Arial"/>
          <w:i/>
          <w:iCs/>
          <w:color w:val="000000" w:themeColor="text1"/>
        </w:rPr>
        <w:t>sub examine</w:t>
      </w:r>
      <w:r>
        <w:rPr>
          <w:rFonts w:ascii="Verdana" w:hAnsi="Verdana" w:cs="Arial"/>
          <w:color w:val="000000" w:themeColor="text1"/>
        </w:rPr>
        <w:t>. Por el contrario, el artículo 1084 prescribe que “</w:t>
      </w:r>
      <w:r w:rsidRPr="00B07699">
        <w:rPr>
          <w:rFonts w:ascii="Verdana" w:hAnsi="Verdana" w:cs="Arial"/>
          <w:color w:val="000000" w:themeColor="text1"/>
        </w:rPr>
        <w:t xml:space="preserve">Sobre una misma cosa </w:t>
      </w:r>
      <w:r w:rsidRPr="00B07699">
        <w:rPr>
          <w:rFonts w:ascii="Verdana" w:hAnsi="Verdana" w:cs="Arial"/>
          <w:color w:val="000000" w:themeColor="text1"/>
        </w:rPr>
        <w:lastRenderedPageBreak/>
        <w:t>podrán concurrir distintos intereses, todos los cuales son asegurables, simultánea o sucesivamente, hasta por el valor de cada uno de ellos. Pero la indemnización, en caso de producirse el hecho que la origine, no podrá exceder del valor total de la cosa en el momento del siniestro</w:t>
      </w:r>
      <w:r>
        <w:rPr>
          <w:rFonts w:ascii="Verdana" w:hAnsi="Verdana" w:cs="Arial"/>
          <w:color w:val="000000" w:themeColor="text1"/>
        </w:rPr>
        <w:t xml:space="preserve"> […]”. Por ello, es necesario tener en cuenta las reglas que rigen la coexistencia de seguros conforme a los artículos 1092, 1093 y 1094 del Código de Comercio. De esta forma, en cumplimiento del artículo 1076 </w:t>
      </w:r>
      <w:r w:rsidRPr="003641B5">
        <w:rPr>
          <w:rFonts w:ascii="Verdana" w:hAnsi="Verdana" w:cs="Arial"/>
          <w:i/>
          <w:iCs/>
          <w:color w:val="000000" w:themeColor="text1"/>
        </w:rPr>
        <w:t>ibidem</w:t>
      </w:r>
      <w:r>
        <w:rPr>
          <w:rFonts w:ascii="Verdana" w:hAnsi="Verdana" w:cs="Arial"/>
          <w:color w:val="000000" w:themeColor="text1"/>
        </w:rPr>
        <w:t xml:space="preserve">, “[…] </w:t>
      </w:r>
      <w:r w:rsidRPr="003641B5">
        <w:rPr>
          <w:rFonts w:ascii="Verdana" w:hAnsi="Verdana" w:cs="Arial"/>
          <w:color w:val="000000" w:themeColor="text1"/>
        </w:rPr>
        <w:t>el asegurado estará obligado a declarar al asegurador, al dar la noticia del siniestro, los seguros coexistentes, con indicación del asegurador y de la suma asegurada. La inobservancia maliciosa de esta obligación le acarreará la pérdida del derecho a la prestación asegurada</w:t>
      </w:r>
      <w:r>
        <w:rPr>
          <w:rFonts w:ascii="Verdana" w:hAnsi="Verdana" w:cs="Arial"/>
          <w:color w:val="000000" w:themeColor="text1"/>
        </w:rPr>
        <w:t>”</w:t>
      </w:r>
      <w:r w:rsidRPr="003641B5">
        <w:rPr>
          <w:rFonts w:ascii="Verdana" w:hAnsi="Verdana" w:cs="Arial"/>
          <w:color w:val="000000" w:themeColor="text1"/>
        </w:rPr>
        <w:t>.</w:t>
      </w:r>
      <w:r>
        <w:rPr>
          <w:rFonts w:ascii="Verdana" w:hAnsi="Verdana" w:cs="Arial"/>
          <w:color w:val="000000" w:themeColor="text1"/>
        </w:rPr>
        <w:t xml:space="preserve">  </w:t>
      </w:r>
    </w:p>
    <w:p w14:paraId="5254C6EF" w14:textId="77777777" w:rsidR="009C5993" w:rsidRPr="00A47393" w:rsidRDefault="009C5993" w:rsidP="009C5993">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9609418" w14:textId="77777777" w:rsidR="009C5993" w:rsidRPr="00185EE9" w:rsidRDefault="009C5993" w:rsidP="009C5993">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291E2B52" w14:textId="77777777" w:rsidR="009C5993" w:rsidRPr="00182C89" w:rsidRDefault="009C5993" w:rsidP="009C5993">
      <w:pPr>
        <w:tabs>
          <w:tab w:val="left" w:pos="709"/>
        </w:tabs>
        <w:spacing w:after="0" w:line="276" w:lineRule="auto"/>
        <w:jc w:val="both"/>
        <w:rPr>
          <w:rFonts w:ascii="Verdana" w:eastAsia="Calibri" w:hAnsi="Verdana" w:cs="Arial"/>
          <w:color w:val="000000" w:themeColor="text1"/>
        </w:rPr>
      </w:pPr>
    </w:p>
    <w:p w14:paraId="0570B106" w14:textId="77777777" w:rsidR="009C5993" w:rsidRPr="00593A5F" w:rsidRDefault="009C5993" w:rsidP="009C599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4F43EA8D" w14:textId="77777777" w:rsidR="009C5993" w:rsidRPr="00593A5F" w:rsidRDefault="009C5993" w:rsidP="009C5993">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C5993" w:rsidRPr="002407CE" w14:paraId="1BC0DF24" w14:textId="77777777" w:rsidTr="00085C35">
        <w:trPr>
          <w:trHeight w:val="56"/>
          <w:jc w:val="center"/>
        </w:trPr>
        <w:tc>
          <w:tcPr>
            <w:tcW w:w="8647" w:type="dxa"/>
          </w:tcPr>
          <w:p w14:paraId="7B8A05FA" w14:textId="77777777" w:rsidR="009C5993" w:rsidRDefault="009C5993" w:rsidP="00085C3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 355.</w:t>
            </w:r>
          </w:p>
          <w:p w14:paraId="79143117" w14:textId="77777777" w:rsidR="009C5993" w:rsidRDefault="009C5993" w:rsidP="00085C3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lastRenderedPageBreak/>
              <w:t>Ley 42 de 1993, artículo 107.</w:t>
            </w:r>
          </w:p>
          <w:p w14:paraId="16AC4781" w14:textId="77777777" w:rsidR="009C5993" w:rsidRDefault="009C5993" w:rsidP="00085C3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13, 32, 40 y 41.</w:t>
            </w:r>
          </w:p>
          <w:p w14:paraId="6A3FD4FC" w14:textId="77777777" w:rsidR="009C5993" w:rsidRDefault="009C5993" w:rsidP="00085C3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1474 de 2011, artículo 118.</w:t>
            </w:r>
          </w:p>
          <w:p w14:paraId="2DDABF6F" w14:textId="77777777" w:rsidR="009C5993" w:rsidRDefault="009C5993" w:rsidP="00085C3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1952 de 2019, artículo 57.</w:t>
            </w:r>
          </w:p>
          <w:p w14:paraId="3BEED0C7" w14:textId="77777777" w:rsidR="009C5993" w:rsidRDefault="009C5993" w:rsidP="00085C3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9 de 1989, artículo 38.</w:t>
            </w:r>
          </w:p>
          <w:p w14:paraId="53CC38C2" w14:textId="77777777" w:rsidR="009C5993" w:rsidRDefault="009C5993" w:rsidP="00085C3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Decreto 1082 de 2015, artículos </w:t>
            </w:r>
            <w:r w:rsidRPr="00D52CBB">
              <w:rPr>
                <w:rFonts w:ascii="Verdana" w:hAnsi="Verdana" w:cs="Arial"/>
                <w:color w:val="000000" w:themeColor="text1"/>
              </w:rPr>
              <w:t>2.2.1.2.1.4.4</w:t>
            </w:r>
            <w:r>
              <w:rPr>
                <w:rFonts w:ascii="Verdana" w:hAnsi="Verdana" w:cs="Arial"/>
                <w:color w:val="000000" w:themeColor="text1"/>
              </w:rPr>
              <w:t xml:space="preserve">, </w:t>
            </w:r>
            <w:r w:rsidRPr="00D52CBB">
              <w:rPr>
                <w:rFonts w:ascii="Verdana" w:hAnsi="Verdana" w:cs="Arial"/>
                <w:color w:val="000000" w:themeColor="text1"/>
              </w:rPr>
              <w:t>2.2.1.2.1.4.</w:t>
            </w:r>
            <w:r>
              <w:rPr>
                <w:rFonts w:ascii="Verdana" w:hAnsi="Verdana" w:cs="Arial"/>
                <w:color w:val="000000" w:themeColor="text1"/>
              </w:rPr>
              <w:t>5 y 2.2.1.2.3.1.7.</w:t>
            </w:r>
          </w:p>
          <w:p w14:paraId="5CAA5BD7" w14:textId="77777777" w:rsidR="009C5993" w:rsidRDefault="009C5993" w:rsidP="00085C35">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Código Civil, artículos 701, 745, 1195, 1317, 1443, 1450, 1452, 1457, 1458, 1459, 1485, 1496, 1497, 1499, 1602, 2200, 2201, 2202 y 2203. </w:t>
            </w:r>
          </w:p>
          <w:p w14:paraId="0E92407E" w14:textId="77777777" w:rsidR="009C5993" w:rsidRPr="001E779B" w:rsidRDefault="009C5993" w:rsidP="00085C35">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Código de Comercio, artículos 1076, 1084, </w:t>
            </w:r>
            <w:r>
              <w:rPr>
                <w:rFonts w:ascii="Verdana" w:hAnsi="Verdana" w:cs="Arial"/>
                <w:color w:val="000000" w:themeColor="text1"/>
              </w:rPr>
              <w:t>1092, 1093 y 1094</w:t>
            </w:r>
            <w:r>
              <w:rPr>
                <w:rFonts w:ascii="Verdana" w:hAnsi="Verdana" w:cs="Arial"/>
              </w:rPr>
              <w:t>.</w:t>
            </w:r>
          </w:p>
        </w:tc>
      </w:tr>
    </w:tbl>
    <w:p w14:paraId="513D38DA" w14:textId="77777777" w:rsidR="009C5993" w:rsidRPr="002407CE" w:rsidRDefault="009C5993" w:rsidP="009C5993">
      <w:pPr>
        <w:widowControl w:val="0"/>
        <w:autoSpaceDE w:val="0"/>
        <w:autoSpaceDN w:val="0"/>
        <w:spacing w:after="0" w:line="276" w:lineRule="auto"/>
        <w:jc w:val="both"/>
        <w:rPr>
          <w:rFonts w:ascii="Verdana" w:hAnsi="Verdana" w:cs="Arial"/>
        </w:rPr>
      </w:pPr>
    </w:p>
    <w:p w14:paraId="34BAD5B1" w14:textId="77777777" w:rsidR="009C5993" w:rsidRPr="00593A5F" w:rsidRDefault="009C5993" w:rsidP="009C599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7EA4C09D" w14:textId="77777777" w:rsidR="009C5993" w:rsidRPr="00593A5F" w:rsidRDefault="009C5993" w:rsidP="009C5993">
      <w:pPr>
        <w:widowControl w:val="0"/>
        <w:autoSpaceDE w:val="0"/>
        <w:autoSpaceDN w:val="0"/>
        <w:spacing w:after="0" w:line="276" w:lineRule="auto"/>
        <w:jc w:val="both"/>
        <w:rPr>
          <w:rFonts w:ascii="Verdana" w:hAnsi="Verdana" w:cs="Arial"/>
        </w:rPr>
      </w:pPr>
    </w:p>
    <w:p w14:paraId="117E34A9" w14:textId="77777777" w:rsidR="009C5993" w:rsidRPr="00ED0098" w:rsidRDefault="009C5993" w:rsidP="009C5993">
      <w:pPr>
        <w:widowControl w:val="0"/>
        <w:autoSpaceDE w:val="0"/>
        <w:autoSpaceDN w:val="0"/>
        <w:spacing w:after="0" w:line="276" w:lineRule="auto"/>
        <w:jc w:val="both"/>
        <w:rPr>
          <w:rStyle w:val="normaltextrun"/>
          <w:rFonts w:ascii="Verdana" w:hAnsi="Verdana" w:cs="Arial"/>
          <w:shd w:val="clear" w:color="auto" w:fill="FFFFFF"/>
        </w:rPr>
      </w:pPr>
      <w:r w:rsidRPr="00FF29A7">
        <w:rPr>
          <w:rFonts w:ascii="Verdana" w:hAnsi="Verdana" w:cs="Arial"/>
          <w:shd w:val="clear" w:color="auto" w:fill="FFFFFF"/>
        </w:rPr>
        <w:t xml:space="preserve">Esta Subdirección se ha pronunciado </w:t>
      </w:r>
      <w:r w:rsidRPr="00D5302F">
        <w:rPr>
          <w:rFonts w:ascii="Verdana" w:eastAsia="Calibri" w:hAnsi="Verdana" w:cs="Arial"/>
          <w:shd w:val="clear" w:color="auto" w:fill="FFFFFF"/>
        </w:rPr>
        <w:t xml:space="preserve">sobre el contrato de donación en los </w:t>
      </w:r>
      <w:r>
        <w:rPr>
          <w:rFonts w:ascii="Verdana" w:eastAsia="Calibri" w:hAnsi="Verdana" w:cs="Arial"/>
          <w:shd w:val="clear" w:color="auto" w:fill="FFFFFF"/>
        </w:rPr>
        <w:t>C</w:t>
      </w:r>
      <w:r w:rsidRPr="00D5302F">
        <w:rPr>
          <w:rFonts w:ascii="Verdana" w:eastAsia="Calibri" w:hAnsi="Verdana" w:cs="Arial"/>
          <w:shd w:val="clear" w:color="auto" w:fill="FFFFFF"/>
        </w:rPr>
        <w:t>onceptos 4201913000006036del 17 de octubre de 2019, C- 661 del 17 de noviembre de 2020, C-763 del 15 de noviembre de 2022, C-921 del 26 de diciembre de 2022, C-947 del 12 de diciembre de 2022, P20221212012159 del 24 de enero de 2023, C-106 del 28 de mayo de 2024</w:t>
      </w:r>
      <w:r>
        <w:rPr>
          <w:rFonts w:ascii="Verdana" w:eastAsia="Calibri" w:hAnsi="Verdana" w:cs="Arial"/>
          <w:shd w:val="clear" w:color="auto" w:fill="FFFFFF"/>
        </w:rPr>
        <w:t>,</w:t>
      </w:r>
      <w:r w:rsidRPr="00D5302F">
        <w:rPr>
          <w:rFonts w:ascii="Verdana" w:eastAsia="Calibri" w:hAnsi="Verdana" w:cs="Arial"/>
          <w:shd w:val="clear" w:color="auto" w:fill="FFFFFF"/>
        </w:rPr>
        <w:t xml:space="preserve"> C-513 del 05 de junio de 2025</w:t>
      </w:r>
      <w:r>
        <w:rPr>
          <w:rFonts w:ascii="Verdana" w:eastAsia="Calibri" w:hAnsi="Verdana" w:cs="Arial"/>
          <w:shd w:val="clear" w:color="auto" w:fill="FFFFFF"/>
        </w:rPr>
        <w:t xml:space="preserve"> y</w:t>
      </w:r>
      <w:r w:rsidRPr="00D5302F">
        <w:rPr>
          <w:rFonts w:ascii="Verdana" w:eastAsia="Calibri" w:hAnsi="Verdana" w:cs="Arial"/>
          <w:shd w:val="clear" w:color="auto" w:fill="FFFFFF"/>
        </w:rPr>
        <w:t xml:space="preserve"> C-825 del 5 de agosto de 2025</w:t>
      </w:r>
      <w:r>
        <w:rPr>
          <w:rFonts w:ascii="Verdana" w:hAnsi="Verdana" w:cs="Arial"/>
          <w:shd w:val="clear" w:color="auto" w:fill="FFFFFF"/>
        </w:rPr>
        <w:t xml:space="preserve">. También se pronunció </w:t>
      </w:r>
      <w:r w:rsidRPr="001768C1">
        <w:rPr>
          <w:rFonts w:ascii="Verdana" w:hAnsi="Verdana" w:cs="Arial"/>
          <w:shd w:val="clear" w:color="auto" w:fill="FFFFFF"/>
        </w:rPr>
        <w:t>sobre el contrato de comodato en los Conceptos 415140000909 de 2015, C-014 del 24 de marzo de 2020, C-012 del 18 de febrero de 2022, C-799 del 12 de diciembre de 2022, C-161 del 6 de junio de 2023, C-270 del 12 de julio de 2023, C-685 del 14 de noviembre de 2024, C-785 del 11 de diciembre de 2024 y C-286 del 1˚ de abril de 2025</w:t>
      </w:r>
      <w:r>
        <w:rPr>
          <w:rFonts w:ascii="Verdana" w:hAnsi="Verdana" w:cs="Arial"/>
          <w:shd w:val="clear" w:color="auto" w:fill="FFFFFF"/>
        </w:rPr>
        <w:t xml:space="preserve">. </w:t>
      </w:r>
      <w:r w:rsidRPr="008E78D9">
        <w:rPr>
          <w:rFonts w:ascii="Verdana" w:hAnsi="Verdana" w:cs="Arial"/>
          <w:shd w:val="clear" w:color="auto" w:fill="FFFFFF"/>
        </w:rPr>
        <w:t>Este y otros conceptos se encuentran disponibles para consulta en el Sistema de relatoría de la Agencia, al cual puede accederse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31B6E0FB" w14:textId="77777777" w:rsidR="009C5993" w:rsidRPr="00096788" w:rsidRDefault="009C5993" w:rsidP="009C5993">
      <w:pPr>
        <w:widowControl w:val="0"/>
        <w:autoSpaceDE w:val="0"/>
        <w:autoSpaceDN w:val="0"/>
        <w:spacing w:after="0" w:line="276" w:lineRule="auto"/>
        <w:jc w:val="both"/>
        <w:rPr>
          <w:rFonts w:ascii="Verdana" w:hAnsi="Verdana" w:cs="Arial"/>
          <w:color w:val="000000" w:themeColor="text1"/>
          <w:shd w:val="clear" w:color="auto" w:fill="FFFFFF"/>
        </w:rPr>
      </w:pPr>
    </w:p>
    <w:p w14:paraId="4FE1CFC1" w14:textId="77777777" w:rsidR="009C5993" w:rsidRDefault="009C5993" w:rsidP="009C5993">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w:t>
      </w:r>
      <w:r>
        <w:rPr>
          <w:rFonts w:ascii="Verdana" w:hAnsi="Verdana"/>
        </w:rPr>
        <w:lastRenderedPageBreak/>
        <w:t>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24EBFF66" w14:textId="77777777" w:rsidR="009C5993" w:rsidRPr="009A385A" w:rsidRDefault="009C5993" w:rsidP="009C5993">
      <w:pPr>
        <w:spacing w:after="0"/>
        <w:jc w:val="both"/>
        <w:rPr>
          <w:rFonts w:ascii="Verdana" w:hAnsi="Verdana"/>
        </w:rPr>
      </w:pPr>
    </w:p>
    <w:p w14:paraId="0CB1AF32" w14:textId="77777777" w:rsidR="009C5993" w:rsidRDefault="009C5993" w:rsidP="009C5993">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179ABB0D" w14:textId="77777777" w:rsidR="009C5993" w:rsidRDefault="009C5993" w:rsidP="009C5993">
      <w:pPr>
        <w:spacing w:after="0"/>
        <w:jc w:val="both"/>
        <w:rPr>
          <w:rFonts w:ascii="Verdana" w:hAnsi="Verdana"/>
        </w:rPr>
      </w:pPr>
    </w:p>
    <w:p w14:paraId="2606A9CE" w14:textId="77777777" w:rsidR="009C5993" w:rsidRPr="008E1CD7" w:rsidRDefault="009C5993" w:rsidP="009C5993">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68AD13A2" w14:textId="77777777" w:rsidR="009C5993" w:rsidRDefault="009C5993" w:rsidP="009C5993">
      <w:pPr>
        <w:shd w:val="clear" w:color="auto" w:fill="FFFFFF"/>
        <w:spacing w:after="0" w:line="276" w:lineRule="auto"/>
        <w:jc w:val="both"/>
        <w:rPr>
          <w:rFonts w:ascii="Verdana" w:hAnsi="Verdana"/>
          <w:color w:val="000000"/>
          <w:u w:val="single"/>
        </w:rPr>
      </w:pPr>
    </w:p>
    <w:p w14:paraId="52D718D9" w14:textId="77777777" w:rsidR="009C5993" w:rsidRPr="00116940" w:rsidRDefault="009C5993" w:rsidP="009C5993">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20E1255C" w14:textId="77777777" w:rsidR="009C5993" w:rsidRPr="00116940" w:rsidRDefault="009C5993" w:rsidP="009C5993">
      <w:pPr>
        <w:spacing w:after="0"/>
        <w:jc w:val="both"/>
        <w:rPr>
          <w:rFonts w:ascii="Verdana" w:hAnsi="Verdana"/>
        </w:rPr>
      </w:pPr>
    </w:p>
    <w:p w14:paraId="7862FCCE" w14:textId="77777777" w:rsidR="009C5993" w:rsidRPr="00116940" w:rsidRDefault="009C5993" w:rsidP="009C5993">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0889687F" w14:textId="77777777" w:rsidR="009C5993" w:rsidRPr="00116940" w:rsidRDefault="009C5993" w:rsidP="009C5993">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1A7A74C7" w14:textId="77777777" w:rsidR="009C5993" w:rsidRPr="00116940" w:rsidRDefault="009C5993" w:rsidP="009C599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66DEC950" w14:textId="77777777" w:rsidR="009C5993" w:rsidRPr="00116940" w:rsidRDefault="009C5993" w:rsidP="009C599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lastRenderedPageBreak/>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0BDDE5CC" w14:textId="77777777" w:rsidR="009C5993" w:rsidRPr="00116940" w:rsidRDefault="009C5993" w:rsidP="009C5993">
      <w:pPr>
        <w:spacing w:after="0" w:line="240" w:lineRule="auto"/>
        <w:ind w:left="720"/>
        <w:jc w:val="both"/>
        <w:rPr>
          <w:rFonts w:ascii="Verdana" w:hAnsi="Verdana"/>
        </w:rPr>
      </w:pPr>
    </w:p>
    <w:p w14:paraId="5AC56D84" w14:textId="77777777" w:rsidR="009C5993" w:rsidRPr="00116940" w:rsidRDefault="009C5993" w:rsidP="009C5993">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630759D0" w14:textId="77777777" w:rsidR="009C5993" w:rsidRPr="00116940" w:rsidRDefault="009C5993" w:rsidP="009C5993">
      <w:pPr>
        <w:spacing w:after="0" w:line="240" w:lineRule="auto"/>
        <w:rPr>
          <w:rFonts w:ascii="Verdana" w:hAnsi="Verdana"/>
        </w:rPr>
      </w:pPr>
    </w:p>
    <w:p w14:paraId="2C0D59E1" w14:textId="77777777" w:rsidR="009C5993" w:rsidRPr="00116940" w:rsidRDefault="009C5993" w:rsidP="009C5993">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173DD3FF" w14:textId="77777777" w:rsidR="009C5993" w:rsidRPr="00116940" w:rsidRDefault="009C5993" w:rsidP="009C5993">
      <w:pPr>
        <w:spacing w:after="0" w:line="240" w:lineRule="auto"/>
        <w:jc w:val="both"/>
        <w:rPr>
          <w:rFonts w:ascii="Verdana" w:hAnsi="Verdana"/>
        </w:rPr>
      </w:pPr>
    </w:p>
    <w:p w14:paraId="39FAAD83" w14:textId="77777777" w:rsidR="009C5993" w:rsidRPr="00116940" w:rsidRDefault="009C5993" w:rsidP="009C5993">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60DF4631" w14:textId="77777777" w:rsidR="009C5993" w:rsidRPr="00116940" w:rsidRDefault="009C5993" w:rsidP="009C5993">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7094AA34" w14:textId="77777777" w:rsidR="009C5993" w:rsidRPr="00116940" w:rsidRDefault="009C5993" w:rsidP="009C5993">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2527605" w14:textId="77777777" w:rsidR="009C5993" w:rsidRPr="009C4035" w:rsidRDefault="009C5993" w:rsidP="009C5993">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00864B4D" w14:textId="77777777" w:rsidR="009C5993" w:rsidRPr="00593A5F" w:rsidRDefault="009C5993" w:rsidP="009C5993">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3B038644" w14:textId="77777777" w:rsidR="009C5993" w:rsidRPr="00593A5F" w:rsidRDefault="009C5993" w:rsidP="009C5993">
      <w:pPr>
        <w:widowControl w:val="0"/>
        <w:autoSpaceDE w:val="0"/>
        <w:autoSpaceDN w:val="0"/>
        <w:spacing w:after="0" w:line="276" w:lineRule="auto"/>
        <w:jc w:val="both"/>
        <w:rPr>
          <w:rFonts w:ascii="Verdana" w:hAnsi="Verdana" w:cs="Arial"/>
        </w:rPr>
      </w:pPr>
    </w:p>
    <w:p w14:paraId="1142A883" w14:textId="77777777" w:rsidR="009C5993" w:rsidRPr="00593A5F" w:rsidRDefault="009C5993" w:rsidP="009C5993">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4547654F" w14:textId="36158EE4" w:rsidR="009C5993" w:rsidRPr="00593A5F" w:rsidRDefault="006A450A" w:rsidP="009C5993">
      <w:pPr>
        <w:spacing w:line="276" w:lineRule="auto"/>
        <w:jc w:val="center"/>
        <w:rPr>
          <w:rFonts w:ascii="Verdana" w:hAnsi="Verdana" w:cs="Arial"/>
          <w:color w:val="000000"/>
          <w:lang w:val="es-ES_tradnl" w:eastAsia="es-CO"/>
        </w:rPr>
      </w:pPr>
      <w:r>
        <w:rPr>
          <w:noProof/>
        </w:rPr>
        <w:drawing>
          <wp:inline distT="0" distB="0" distL="0" distR="0" wp14:anchorId="74179CB0" wp14:editId="48E3004D">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9C5993" w:rsidRPr="00593A5F" w14:paraId="01C5AB2C" w14:textId="77777777" w:rsidTr="00085C35">
        <w:trPr>
          <w:trHeight w:val="315"/>
        </w:trPr>
        <w:tc>
          <w:tcPr>
            <w:tcW w:w="893" w:type="dxa"/>
            <w:vAlign w:val="center"/>
            <w:hideMark/>
          </w:tcPr>
          <w:p w14:paraId="5F06589F" w14:textId="77777777" w:rsidR="009C5993" w:rsidRPr="003751C7" w:rsidRDefault="009C5993" w:rsidP="00085C35">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182AC33" w14:textId="77777777" w:rsidR="009C5993" w:rsidRPr="00254A7A" w:rsidRDefault="009C5993" w:rsidP="00085C35">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5D14CB3C" w14:textId="77777777" w:rsidR="009C5993" w:rsidRPr="00254A7A" w:rsidRDefault="009C5993" w:rsidP="00085C35">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9C5993" w:rsidRPr="00593A5F" w14:paraId="1BB8DA2D" w14:textId="77777777" w:rsidTr="00085C35">
        <w:trPr>
          <w:trHeight w:val="330"/>
        </w:trPr>
        <w:tc>
          <w:tcPr>
            <w:tcW w:w="893" w:type="dxa"/>
            <w:vAlign w:val="center"/>
            <w:hideMark/>
          </w:tcPr>
          <w:p w14:paraId="17445974" w14:textId="77777777" w:rsidR="009C5993" w:rsidRPr="003751C7" w:rsidRDefault="009C5993" w:rsidP="00085C35">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4287FE6" w14:textId="77777777" w:rsidR="009C5993" w:rsidRPr="00CE1B84" w:rsidRDefault="009C5993" w:rsidP="00085C35">
            <w:pPr>
              <w:pStyle w:val="paragraph"/>
              <w:spacing w:after="0"/>
              <w:contextualSpacing/>
              <w:textAlignment w:val="baseline"/>
              <w:rPr>
                <w:rStyle w:val="normaltextrun"/>
                <w:rFonts w:ascii="Verdana" w:hAnsi="Verdana" w:cs="Arial"/>
                <w:sz w:val="16"/>
                <w:szCs w:val="16"/>
                <w:lang w:val="es-ES_tradnl"/>
              </w:rPr>
            </w:pPr>
            <w:r w:rsidRPr="00CE1B84">
              <w:rPr>
                <w:rStyle w:val="normaltextrun"/>
                <w:rFonts w:ascii="Verdana" w:hAnsi="Verdana" w:cs="Arial"/>
                <w:sz w:val="16"/>
                <w:szCs w:val="16"/>
                <w:lang w:val="es-ES_tradnl"/>
              </w:rPr>
              <w:t>Alejandro Sarmiento Cantillo</w:t>
            </w:r>
          </w:p>
          <w:p w14:paraId="10BF7359" w14:textId="77777777" w:rsidR="009C5993" w:rsidRPr="00A40FD0" w:rsidRDefault="009C5993" w:rsidP="00085C35">
            <w:pPr>
              <w:pStyle w:val="paragraph"/>
              <w:spacing w:before="0" w:beforeAutospacing="0" w:after="0" w:afterAutospacing="0"/>
              <w:contextualSpacing/>
              <w:textAlignment w:val="baseline"/>
              <w:rPr>
                <w:rFonts w:ascii="Verdana" w:hAnsi="Verdana" w:cs="Segoe UI"/>
                <w:sz w:val="16"/>
                <w:szCs w:val="16"/>
              </w:rPr>
            </w:pPr>
            <w:r w:rsidRPr="00CE1B84">
              <w:rPr>
                <w:rStyle w:val="normaltextrun"/>
                <w:rFonts w:ascii="Verdana" w:hAnsi="Verdana" w:cs="Arial"/>
                <w:sz w:val="16"/>
                <w:szCs w:val="16"/>
                <w:lang w:val="es-ES_tradnl"/>
              </w:rPr>
              <w:t>Gestor T1 ‒ 15 de la Subdirección de Gestión Contractual</w:t>
            </w:r>
          </w:p>
        </w:tc>
      </w:tr>
      <w:tr w:rsidR="009C5993" w:rsidRPr="00593A5F" w14:paraId="442339D2" w14:textId="77777777" w:rsidTr="00085C35">
        <w:trPr>
          <w:trHeight w:val="300"/>
        </w:trPr>
        <w:tc>
          <w:tcPr>
            <w:tcW w:w="893" w:type="dxa"/>
            <w:vAlign w:val="center"/>
          </w:tcPr>
          <w:p w14:paraId="1D96B6B5" w14:textId="77777777" w:rsidR="009C5993" w:rsidRPr="003751C7" w:rsidRDefault="009C5993" w:rsidP="00085C35">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9EC06BC" w14:textId="77777777" w:rsidR="009C5993" w:rsidRPr="00FE00BE" w:rsidRDefault="009C5993" w:rsidP="00085C35">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2ECB30FE" w14:textId="77777777" w:rsidR="009C5993" w:rsidRPr="00FE00BE" w:rsidRDefault="009C5993" w:rsidP="00085C35">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166DF3F3" w14:textId="77777777" w:rsidR="009C5993" w:rsidRDefault="009C5993" w:rsidP="009C5993"/>
    <w:p w14:paraId="13346FC5" w14:textId="479378A5" w:rsidR="009C5993" w:rsidRPr="00543BFE" w:rsidRDefault="009C5993" w:rsidP="009C5993"/>
    <w:p w14:paraId="0F293BF4" w14:textId="20FC9ACD" w:rsidR="00127233" w:rsidRPr="00D36ED3" w:rsidRDefault="00127233" w:rsidP="00D36ED3"/>
    <w:sectPr w:rsidR="00127233" w:rsidRPr="00D36ED3"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F4665" w14:textId="77777777" w:rsidR="00B4661B" w:rsidRDefault="00B4661B" w:rsidP="004A1847">
      <w:pPr>
        <w:spacing w:after="0" w:line="240" w:lineRule="auto"/>
      </w:pPr>
      <w:r>
        <w:separator/>
      </w:r>
    </w:p>
  </w:endnote>
  <w:endnote w:type="continuationSeparator" w:id="0">
    <w:p w14:paraId="25D23FD5" w14:textId="77777777" w:rsidR="00B4661B" w:rsidRDefault="00B4661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7AF3F" w14:textId="77777777" w:rsidR="00B4661B" w:rsidRDefault="00B4661B" w:rsidP="004A1847">
      <w:pPr>
        <w:spacing w:after="0" w:line="240" w:lineRule="auto"/>
      </w:pPr>
      <w:r>
        <w:separator/>
      </w:r>
    </w:p>
  </w:footnote>
  <w:footnote w:type="continuationSeparator" w:id="0">
    <w:p w14:paraId="37BB8D7F" w14:textId="77777777" w:rsidR="00B4661B" w:rsidRDefault="00B4661B" w:rsidP="004A1847">
      <w:pPr>
        <w:spacing w:after="0" w:line="240" w:lineRule="auto"/>
      </w:pPr>
      <w:r>
        <w:continuationSeparator/>
      </w:r>
    </w:p>
  </w:footnote>
  <w:footnote w:id="1">
    <w:p w14:paraId="2DC162EE" w14:textId="77777777" w:rsidR="009C5993" w:rsidRPr="0069674F" w:rsidRDefault="009C5993" w:rsidP="009C5993">
      <w:pPr>
        <w:pStyle w:val="Textonotapie"/>
        <w:ind w:firstLine="708"/>
        <w:jc w:val="both"/>
        <w:rPr>
          <w:rFonts w:ascii="Verdana" w:hAnsi="Verdana" w:cs="Arial"/>
          <w:sz w:val="16"/>
          <w:szCs w:val="16"/>
          <w:lang w:val="es-ES"/>
        </w:rPr>
      </w:pPr>
      <w:r w:rsidRPr="0069674F">
        <w:rPr>
          <w:rStyle w:val="Refdenotaalpie"/>
          <w:rFonts w:ascii="Verdana" w:hAnsi="Verdana" w:cs="Arial"/>
          <w:sz w:val="16"/>
          <w:szCs w:val="16"/>
        </w:rPr>
        <w:footnoteRef/>
      </w:r>
      <w:r w:rsidRPr="0069674F">
        <w:rPr>
          <w:rFonts w:ascii="Verdana" w:hAnsi="Verdana" w:cs="Arial"/>
          <w:sz w:val="16"/>
          <w:szCs w:val="16"/>
        </w:rPr>
        <w:t xml:space="preserve"> Cfr. BENAVIDES, José Luis. El contrato estatal: entre el derecho público y el derecho privado. Segunda edición. Bogotá: Universidad Externado de Colombia, 2009. pp. 78-79.      </w:t>
      </w:r>
    </w:p>
  </w:footnote>
  <w:footnote w:id="2">
    <w:p w14:paraId="6EFD05CC" w14:textId="77777777" w:rsidR="009C5993" w:rsidRPr="0069674F" w:rsidRDefault="009C5993" w:rsidP="009C5993">
      <w:pPr>
        <w:pStyle w:val="Textonotapie"/>
        <w:ind w:firstLine="708"/>
        <w:jc w:val="both"/>
        <w:rPr>
          <w:rFonts w:ascii="Verdana" w:hAnsi="Verdana" w:cs="Arial"/>
          <w:sz w:val="16"/>
          <w:szCs w:val="16"/>
          <w:lang w:val="es-ES"/>
        </w:rPr>
      </w:pPr>
      <w:r w:rsidRPr="0069674F">
        <w:rPr>
          <w:rStyle w:val="Refdenotaalpie"/>
          <w:rFonts w:ascii="Verdana" w:hAnsi="Verdana" w:cs="Arial"/>
          <w:sz w:val="16"/>
          <w:szCs w:val="16"/>
        </w:rPr>
        <w:footnoteRef/>
      </w:r>
      <w:r w:rsidRPr="0069674F">
        <w:rPr>
          <w:rFonts w:ascii="Verdana" w:hAnsi="Verdana" w:cs="Arial"/>
          <w:sz w:val="16"/>
          <w:szCs w:val="16"/>
        </w:rPr>
        <w:t xml:space="preserve"> BETANCUR JARAMILLO, Carlos. Derecho procesal administrativo. Octava edición. Medellín: Señal Editora, 2013. p. 627. </w:t>
      </w:r>
    </w:p>
  </w:footnote>
  <w:footnote w:id="3">
    <w:p w14:paraId="7BD44BEE" w14:textId="77777777" w:rsidR="009C5993" w:rsidRPr="0069674F" w:rsidRDefault="009C5993" w:rsidP="009C5993">
      <w:pPr>
        <w:pStyle w:val="Textonotapie"/>
        <w:ind w:firstLine="708"/>
        <w:jc w:val="both"/>
        <w:rPr>
          <w:rFonts w:ascii="Verdana" w:hAnsi="Verdana"/>
          <w:sz w:val="16"/>
          <w:szCs w:val="16"/>
        </w:rPr>
      </w:pPr>
      <w:r w:rsidRPr="0069674F">
        <w:rPr>
          <w:rStyle w:val="Refdenotaalpie"/>
          <w:rFonts w:ascii="Verdana" w:hAnsi="Verdana"/>
          <w:sz w:val="16"/>
          <w:szCs w:val="16"/>
        </w:rPr>
        <w:footnoteRef/>
      </w:r>
      <w:r w:rsidRPr="0069674F">
        <w:rPr>
          <w:rFonts w:ascii="Verdana" w:hAnsi="Verdana"/>
          <w:sz w:val="16"/>
          <w:szCs w:val="16"/>
        </w:rPr>
        <w:t xml:space="preserve"> Sobre la misma expresión, la cual fue utilizada también en el artículo 894 del Código Civil Francés, LAURENT comenta que “[…] En el proyecto del código civil sometido al Consejo de Estado, la donación se califica de contrato. El primer cónsul criticó esta definición. ‘El contrato, dijo, impone mutuas obligaciones a los dos contingentes; por lo que esta definición no puede convenir a la donación’. Esta crítica no fue objeto de ninguna discusión; se habló sobre la cuestión de saber si convenia admitir definiciones en el código; en el curso de la conversación, Malevilla presentó una definición que reemplazaba la palabra contrato, con la de acto; lo que el Consejo aceptó. Se ha querido ver en la observación del primer cónsul uno de esos rasgos de luz por los cuales un hombre de genio adivina las dificultades que en realidad ignora. Esto no es más que una adulación. Verdad es que en el antiguo derecho los mejores jurisconsultos estaban divididos en la cuestión: Furgole sostiene que la donación no es un contrato, porque su objeto esencial es gratificar al donatario, y que sería desnaturalizarlo si se quiere encadenarlo con un vínculo de derecho. Esta sutileza no está en el espíritu del derecho francés. Ricard, Pothier, Domat se atrevieron a la realidad de las cosas. ¿Por qué se exige la aceptación del donatario si no es un contrato la donación? ¿por qué se exige que el donatario y el donador sean capaces en el momento en que se verifica el concurso de consentimiento? En verdad que el primer cónsul no se percataba de esta sutileza cuando criticaba la disposición del proyecto; lo que dice es simplemente un error; porque supone que no hay contrato sino cuando las dos partes contraen obligaciones reciprocas, lo que conducirla a la consecuencia de que un contrato unilateral no es un contrato; y ¿es necesario añadir que lo contrario se halla escrito en el artículo 1103? ‘El contrato es unilateral cuando una persona se obliga en provecho de otra, sin que por parte de ésta haya ningún compromiso’ [norma equivalente al artículo 1496 del Código Civil Colombiano]. Esta definición se aplica literalmente a la donación. Luego es cierto que la donación es un contrato. Esta no es una cuestión de palabras. Siendo la donación un contrato, resulta de esto que las reglas generales establecidas ero el título ‘De las Obligaciones Convencionales’ tienen su aplicación a las donaciones, a menos que el código las derogue […]” (LAURENT, François. Principios de derecho civil francés. Tomo XI. México DF: Tribunal Superior de Justicia del Distrito Federal, 2008. pp. 139-140. Corchetes fuera de texto).</w:t>
      </w:r>
    </w:p>
  </w:footnote>
  <w:footnote w:id="4">
    <w:p w14:paraId="1A71EE29" w14:textId="77777777" w:rsidR="009C5993" w:rsidRPr="0069674F" w:rsidRDefault="009C5993" w:rsidP="009C5993">
      <w:pPr>
        <w:pStyle w:val="Textonotapie"/>
        <w:ind w:firstLine="708"/>
        <w:jc w:val="both"/>
        <w:rPr>
          <w:rFonts w:ascii="Verdana" w:hAnsi="Verdana"/>
          <w:sz w:val="16"/>
          <w:szCs w:val="16"/>
        </w:rPr>
      </w:pPr>
      <w:r w:rsidRPr="0069674F">
        <w:rPr>
          <w:rStyle w:val="Refdenotaalpie"/>
          <w:rFonts w:ascii="Verdana" w:hAnsi="Verdana"/>
          <w:sz w:val="16"/>
          <w:szCs w:val="16"/>
        </w:rPr>
        <w:footnoteRef/>
      </w:r>
      <w:r w:rsidRPr="0069674F">
        <w:rPr>
          <w:rFonts w:ascii="Verdana" w:hAnsi="Verdana"/>
          <w:sz w:val="16"/>
          <w:szCs w:val="16"/>
        </w:rPr>
        <w:t xml:space="preserve"> GUZMÁN BRITO, Alejandro. De las </w:t>
      </w:r>
      <w:r>
        <w:rPr>
          <w:rFonts w:ascii="Verdana" w:hAnsi="Verdana"/>
          <w:sz w:val="16"/>
          <w:szCs w:val="16"/>
        </w:rPr>
        <w:t>d</w:t>
      </w:r>
      <w:r w:rsidRPr="0069674F">
        <w:rPr>
          <w:rFonts w:ascii="Verdana" w:hAnsi="Verdana"/>
          <w:sz w:val="16"/>
          <w:szCs w:val="16"/>
        </w:rPr>
        <w:t>onaciones entre vivos. Conceptos y tipos, Santiago: LexisNexis, 2005. pp. 35 a 52.</w:t>
      </w:r>
    </w:p>
  </w:footnote>
  <w:footnote w:id="5">
    <w:p w14:paraId="1FCA68BF" w14:textId="77777777" w:rsidR="009C5993" w:rsidRPr="0069674F" w:rsidRDefault="009C5993" w:rsidP="009C5993">
      <w:pPr>
        <w:pStyle w:val="Textonotapie"/>
        <w:ind w:firstLine="708"/>
        <w:jc w:val="both"/>
        <w:rPr>
          <w:rFonts w:ascii="Verdana" w:hAnsi="Verdana"/>
          <w:sz w:val="16"/>
          <w:szCs w:val="16"/>
        </w:rPr>
      </w:pPr>
      <w:r w:rsidRPr="0069674F">
        <w:rPr>
          <w:rStyle w:val="Refdenotaalpie"/>
          <w:rFonts w:ascii="Verdana" w:hAnsi="Verdana"/>
          <w:sz w:val="16"/>
          <w:szCs w:val="16"/>
        </w:rPr>
        <w:footnoteRef/>
      </w:r>
      <w:r w:rsidRPr="0069674F">
        <w:rPr>
          <w:rFonts w:ascii="Verdana" w:hAnsi="Verdana"/>
          <w:sz w:val="16"/>
          <w:szCs w:val="16"/>
        </w:rPr>
        <w:t xml:space="preserve"> La donación irrevocable o entre vivos, en la que se impone al donatario una carga o modo en beneficio de un tercero, es un contrato bilateral, pues genera obligaciones para el donante y para el donatario, y al mismo tiempo es un contrato gratuito, ya que no engendra utilidad económica al donante sino que exclusivamente a la parte donataria y al tercero beneficiario del modo” (Cfr. LÓPEZ SANTA MARÍA, Jorge. Los contratos: parte general. Tomo I. Tercera Edición. Santiago: Editorial Jurídica de Chile. 2001. p. 109).</w:t>
      </w:r>
    </w:p>
  </w:footnote>
  <w:footnote w:id="6">
    <w:p w14:paraId="332136A9" w14:textId="77777777" w:rsidR="009C5993" w:rsidRPr="00D90575" w:rsidRDefault="009C5993" w:rsidP="009C5993">
      <w:pPr>
        <w:pStyle w:val="Textonotapie"/>
        <w:ind w:firstLine="709"/>
        <w:contextualSpacing/>
        <w:jc w:val="both"/>
        <w:rPr>
          <w:rFonts w:ascii="Verdana" w:hAnsi="Verdana" w:cs="Arial"/>
          <w:sz w:val="16"/>
          <w:szCs w:val="16"/>
        </w:rPr>
      </w:pPr>
      <w:r w:rsidRPr="00D90575">
        <w:rPr>
          <w:rFonts w:ascii="Verdana" w:hAnsi="Verdana" w:cs="Arial"/>
          <w:sz w:val="16"/>
          <w:szCs w:val="16"/>
          <w:vertAlign w:val="superscript"/>
        </w:rPr>
        <w:footnoteRef/>
      </w:r>
      <w:r w:rsidRPr="00D90575">
        <w:rPr>
          <w:rFonts w:ascii="Verdana" w:hAnsi="Verdana" w:cs="Arial"/>
          <w:sz w:val="16"/>
          <w:szCs w:val="16"/>
        </w:rPr>
        <w:t xml:space="preserve"> Al respecto, la jurisprudencia explica que “Entre las características esenciales (art. 1501 C.C.) que […] delimitan la institución, y la identifican como una relación jurídica de tenencia, se hallan las de corresponder a un negocio real, porque no se perfecciona sino por virtud de la entrega (no tanto la tradición, en sentido técnico)  de la cosa sobre la cual versa (arts. 1500 y 2200 C.C), carácter que se explica por cuanto la obligación fundamental, consiste en la restitución de la cosa por parte del comodatario al comodante; es, asimismo, una convención sustancialmente gratuita o de beneficencia</w:t>
      </w:r>
      <w:r w:rsidRPr="00D90575">
        <w:rPr>
          <w:rFonts w:ascii="Verdana" w:hAnsi="Verdana" w:cs="Arial"/>
          <w:sz w:val="16"/>
          <w:szCs w:val="16"/>
          <w:lang w:val="es-ES"/>
        </w:rPr>
        <w:t xml:space="preserve"> </w:t>
      </w:r>
      <w:r w:rsidRPr="00D90575">
        <w:rPr>
          <w:rFonts w:ascii="Verdana" w:hAnsi="Verdana" w:cs="Arial"/>
          <w:sz w:val="16"/>
          <w:szCs w:val="16"/>
        </w:rPr>
        <w:t>(arts. 1497 y 2200 C.C.), cuyo objeto es la utilidad de una de las partes, el prestatario o comodatario; se trata de un acto jurídico de naturaleza unilateral, en principio, porque sólo genera una obligación que grava a uno de los contratantes, esto es, la obligación de restituir la cosa, radicada en cabeza del comodatario; es un contrato principal, en la medida que ‘no requiere de algún otro para nacer a la vida jurídica’ ; y, finalmente, es convenio nominado y típico, pues tiene enunciación y regulación legal” (CORTE SUPREMA DE JUSTICIA. Sala de Casación Civil. Sentencia del 23 de mayo de 2018. Exp. 76001310301220080040401. M.P. Luis Armando Tolosa Villabona).</w:t>
      </w:r>
    </w:p>
  </w:footnote>
  <w:footnote w:id="7">
    <w:p w14:paraId="1C3AD1FB" w14:textId="77777777" w:rsidR="009C5993" w:rsidRPr="00D90575" w:rsidRDefault="009C5993" w:rsidP="009C5993">
      <w:pPr>
        <w:pStyle w:val="Textonotapie"/>
        <w:ind w:firstLine="708"/>
        <w:contextualSpacing/>
        <w:jc w:val="both"/>
        <w:rPr>
          <w:rFonts w:ascii="Verdana" w:hAnsi="Verdana" w:cs="Arial"/>
          <w:sz w:val="16"/>
          <w:szCs w:val="16"/>
          <w:lang w:val="es-CO"/>
        </w:rPr>
      </w:pPr>
      <w:r w:rsidRPr="00D90575">
        <w:rPr>
          <w:rStyle w:val="Refdenotaalpie"/>
          <w:rFonts w:ascii="Verdana" w:hAnsi="Verdana" w:cs="Arial"/>
          <w:sz w:val="16"/>
          <w:szCs w:val="16"/>
        </w:rPr>
        <w:footnoteRef/>
      </w:r>
      <w:r w:rsidRPr="00D90575">
        <w:rPr>
          <w:rFonts w:ascii="Verdana" w:hAnsi="Verdana" w:cs="Arial"/>
          <w:sz w:val="16"/>
          <w:szCs w:val="16"/>
        </w:rPr>
        <w:t xml:space="preserve"> </w:t>
      </w:r>
      <w:bookmarkStart w:id="3" w:name="2205"/>
      <w:r w:rsidRPr="00D90575">
        <w:rPr>
          <w:rFonts w:ascii="Verdana" w:hAnsi="Verdana" w:cs="Arial"/>
          <w:sz w:val="16"/>
          <w:szCs w:val="16"/>
        </w:rPr>
        <w:t>“</w:t>
      </w:r>
      <w:r w:rsidRPr="00D90575">
        <w:rPr>
          <w:rFonts w:ascii="Verdana" w:hAnsi="Verdana" w:cs="Arial"/>
          <w:sz w:val="16"/>
          <w:szCs w:val="16"/>
          <w:lang w:val="es-CO"/>
        </w:rPr>
        <w:t>ARTÍCULO 2205. &lt;TERMINO PARA LA RESTITUCION DE LA COSA PRESTADA&gt;.</w:t>
      </w:r>
      <w:bookmarkEnd w:id="3"/>
      <w:r w:rsidRPr="00D90575">
        <w:rPr>
          <w:rFonts w:ascii="Verdana" w:hAnsi="Verdana" w:cs="Arial"/>
          <w:sz w:val="16"/>
          <w:szCs w:val="16"/>
          <w:lang w:val="es-CO"/>
        </w:rPr>
        <w:t> El comodatario es obligado a restituir la cosa prestada en el tiempo convenido, o a falta de convención, después del uso para que ha sido prestada.</w:t>
      </w:r>
    </w:p>
    <w:p w14:paraId="179642D5" w14:textId="77777777" w:rsidR="009C5993" w:rsidRPr="00D90575" w:rsidRDefault="009C5993" w:rsidP="009C5993">
      <w:pPr>
        <w:pStyle w:val="Textonotapie"/>
        <w:contextualSpacing/>
        <w:jc w:val="both"/>
        <w:rPr>
          <w:rFonts w:ascii="Verdana" w:hAnsi="Verdana" w:cs="Arial"/>
          <w:sz w:val="16"/>
          <w:szCs w:val="16"/>
          <w:lang w:val="es-CO"/>
        </w:rPr>
      </w:pPr>
      <w:r w:rsidRPr="00D90575">
        <w:rPr>
          <w:rFonts w:ascii="Verdana" w:hAnsi="Verdana" w:cs="Arial"/>
          <w:sz w:val="16"/>
          <w:szCs w:val="16"/>
          <w:lang w:val="es-CO"/>
        </w:rPr>
        <w:t>Pero podrá exigirse la restitución aún antes del tiempo estipulado en tres casos:</w:t>
      </w:r>
    </w:p>
    <w:p w14:paraId="7A8EA524" w14:textId="77777777" w:rsidR="009C5993" w:rsidRPr="00D90575" w:rsidRDefault="009C5993" w:rsidP="009C5993">
      <w:pPr>
        <w:pStyle w:val="Textonotapie"/>
        <w:ind w:firstLine="708"/>
        <w:contextualSpacing/>
        <w:jc w:val="both"/>
        <w:rPr>
          <w:rFonts w:ascii="Verdana" w:hAnsi="Verdana" w:cs="Arial"/>
          <w:sz w:val="16"/>
          <w:szCs w:val="16"/>
          <w:lang w:val="es-CO"/>
        </w:rPr>
      </w:pPr>
      <w:r w:rsidRPr="00D90575">
        <w:rPr>
          <w:rFonts w:ascii="Verdana" w:hAnsi="Verdana" w:cs="Arial"/>
          <w:sz w:val="16"/>
          <w:szCs w:val="16"/>
          <w:lang w:val="es-CO"/>
        </w:rPr>
        <w:t>1. Si muere el comodatario, a menos que la cosa haya sido prestada para un servicio particular que no pueda diferirse o suspenderse.</w:t>
      </w:r>
    </w:p>
    <w:p w14:paraId="4D624605" w14:textId="77777777" w:rsidR="009C5993" w:rsidRPr="00D90575" w:rsidRDefault="009C5993" w:rsidP="009C5993">
      <w:pPr>
        <w:pStyle w:val="Textonotapie"/>
        <w:ind w:firstLine="708"/>
        <w:contextualSpacing/>
        <w:jc w:val="both"/>
        <w:rPr>
          <w:rFonts w:ascii="Verdana" w:hAnsi="Verdana" w:cs="Arial"/>
          <w:sz w:val="16"/>
          <w:szCs w:val="16"/>
          <w:lang w:val="es-CO"/>
        </w:rPr>
      </w:pPr>
      <w:r w:rsidRPr="00D90575">
        <w:rPr>
          <w:rFonts w:ascii="Verdana" w:hAnsi="Verdana" w:cs="Arial"/>
          <w:sz w:val="16"/>
          <w:szCs w:val="16"/>
          <w:lang w:val="es-CO"/>
        </w:rPr>
        <w:t>2. Si sobreviene al comodante una necesidad imprevista y urgente de la cosa.</w:t>
      </w:r>
    </w:p>
    <w:p w14:paraId="4E2515E4" w14:textId="77777777" w:rsidR="009C5993" w:rsidRPr="00D90575" w:rsidRDefault="009C5993" w:rsidP="009C5993">
      <w:pPr>
        <w:pStyle w:val="Textonotapie"/>
        <w:ind w:firstLine="708"/>
        <w:contextualSpacing/>
        <w:jc w:val="both"/>
        <w:rPr>
          <w:rFonts w:ascii="Verdana" w:hAnsi="Verdana" w:cs="Arial"/>
          <w:sz w:val="16"/>
          <w:szCs w:val="16"/>
          <w:lang w:val="es-CO"/>
        </w:rPr>
      </w:pPr>
      <w:r w:rsidRPr="00D90575">
        <w:rPr>
          <w:rFonts w:ascii="Verdana" w:hAnsi="Verdana" w:cs="Arial"/>
          <w:sz w:val="16"/>
          <w:szCs w:val="16"/>
          <w:lang w:val="es-CO"/>
        </w:rPr>
        <w:t>3. Si ha terminado o no tiene lugar el servicio para el cual se ha prestado la cosa</w:t>
      </w:r>
      <w:r w:rsidRPr="00D90575">
        <w:rPr>
          <w:rFonts w:ascii="Verdana" w:hAnsi="Verdana" w:cs="Arial"/>
          <w:sz w:val="16"/>
          <w:szCs w:val="16"/>
        </w:rPr>
        <w:t>”.</w:t>
      </w:r>
    </w:p>
  </w:footnote>
  <w:footnote w:id="8">
    <w:p w14:paraId="7FC5B121" w14:textId="77777777" w:rsidR="009C5993" w:rsidRPr="00D90575" w:rsidRDefault="009C5993" w:rsidP="009C5993">
      <w:pPr>
        <w:pStyle w:val="Textonotapie"/>
        <w:ind w:firstLine="708"/>
        <w:contextualSpacing/>
        <w:jc w:val="both"/>
        <w:rPr>
          <w:rFonts w:ascii="Verdana" w:hAnsi="Verdana" w:cs="Arial"/>
          <w:sz w:val="16"/>
          <w:szCs w:val="16"/>
          <w:lang w:val="es-CO"/>
        </w:rPr>
      </w:pPr>
      <w:r w:rsidRPr="00D90575">
        <w:rPr>
          <w:rStyle w:val="Refdenotaalpie"/>
          <w:rFonts w:ascii="Verdana" w:hAnsi="Verdana" w:cs="Arial"/>
          <w:sz w:val="16"/>
          <w:szCs w:val="16"/>
        </w:rPr>
        <w:footnoteRef/>
      </w:r>
      <w:r w:rsidRPr="00D90575">
        <w:rPr>
          <w:rFonts w:ascii="Verdana" w:hAnsi="Verdana" w:cs="Arial"/>
          <w:sz w:val="16"/>
          <w:szCs w:val="16"/>
        </w:rPr>
        <w:t xml:space="preserve"> </w:t>
      </w:r>
      <w:bookmarkStart w:id="4" w:name="2202"/>
      <w:r w:rsidRPr="00D90575">
        <w:rPr>
          <w:rFonts w:ascii="Verdana" w:hAnsi="Verdana" w:cs="Arial"/>
          <w:sz w:val="16"/>
          <w:szCs w:val="16"/>
        </w:rPr>
        <w:t>“</w:t>
      </w:r>
      <w:r w:rsidRPr="00D90575">
        <w:rPr>
          <w:rFonts w:ascii="Verdana" w:hAnsi="Verdana" w:cs="Arial"/>
          <w:sz w:val="16"/>
          <w:szCs w:val="16"/>
          <w:lang w:val="es-CO"/>
        </w:rPr>
        <w:t>ARTÍCULO 2202. &lt;LIMITACIONES DEL COMODATARIO&gt;.</w:t>
      </w:r>
      <w:bookmarkEnd w:id="4"/>
      <w:r w:rsidRPr="00D90575">
        <w:rPr>
          <w:rFonts w:ascii="Verdana" w:hAnsi="Verdana" w:cs="Arial"/>
          <w:sz w:val="16"/>
          <w:szCs w:val="16"/>
          <w:lang w:val="es-CO"/>
        </w:rPr>
        <w:t> El comodatario no puede emplear la cosa sino en el uso convenido, o falta de convención en el uso ordinario de las de su clase.</w:t>
      </w:r>
    </w:p>
    <w:p w14:paraId="5E292F01" w14:textId="77777777" w:rsidR="009C5993" w:rsidRPr="00D90575" w:rsidRDefault="009C5993" w:rsidP="009C5993">
      <w:pPr>
        <w:pStyle w:val="Textonotapie"/>
        <w:ind w:firstLine="708"/>
        <w:contextualSpacing/>
        <w:jc w:val="both"/>
        <w:rPr>
          <w:rFonts w:ascii="Verdana" w:hAnsi="Verdana" w:cs="Arial"/>
          <w:sz w:val="16"/>
          <w:szCs w:val="16"/>
          <w:lang w:val="es-CO"/>
        </w:rPr>
      </w:pPr>
      <w:r w:rsidRPr="00D90575">
        <w:rPr>
          <w:rFonts w:ascii="Verdana" w:hAnsi="Verdana" w:cs="Arial"/>
          <w:sz w:val="16"/>
          <w:szCs w:val="16"/>
          <w:lang w:val="es-CO"/>
        </w:rPr>
        <w:t>En el caso de contravención podrá el comodante exigir la reparación de todo perjuicio, y la restitución inmediata, aún cuando para la restitución se haya estipulado plazo</w:t>
      </w:r>
      <w:r w:rsidRPr="00D90575">
        <w:rPr>
          <w:rFonts w:ascii="Verdana" w:hAnsi="Verdana" w:cs="Arial"/>
          <w:sz w:val="16"/>
          <w:szCs w:val="16"/>
        </w:rPr>
        <w:t>”.</w:t>
      </w:r>
    </w:p>
  </w:footnote>
  <w:footnote w:id="9">
    <w:p w14:paraId="6CFD287B" w14:textId="77777777" w:rsidR="009C5993" w:rsidRPr="00D90575" w:rsidRDefault="009C5993" w:rsidP="009C5993">
      <w:pPr>
        <w:pStyle w:val="Textonotapie"/>
        <w:ind w:firstLine="708"/>
        <w:contextualSpacing/>
        <w:jc w:val="both"/>
        <w:rPr>
          <w:rFonts w:ascii="Verdana" w:hAnsi="Verdana" w:cs="Arial"/>
          <w:sz w:val="16"/>
          <w:szCs w:val="16"/>
        </w:rPr>
      </w:pPr>
      <w:r w:rsidRPr="00D90575">
        <w:rPr>
          <w:rStyle w:val="Refdenotaalpie"/>
          <w:rFonts w:ascii="Verdana" w:hAnsi="Verdana" w:cs="Arial"/>
          <w:sz w:val="16"/>
          <w:szCs w:val="16"/>
        </w:rPr>
        <w:footnoteRef/>
      </w:r>
      <w:r w:rsidRPr="00D90575">
        <w:rPr>
          <w:rFonts w:ascii="Verdana" w:hAnsi="Verdana" w:cs="Arial"/>
          <w:sz w:val="16"/>
          <w:szCs w:val="16"/>
        </w:rPr>
        <w:t xml:space="preserve"> CONSEJO DE ESTADO. Sala de Consulta y Servicio Civil. Concepto del 24 de julio de 2003. Radicación 1.510. C.P. Susana Montes de Echeverri. En torno a este tema, se han desarrollado los siguientes pronunciamientos: Conceptos Nos. 726/95; 994/97; 1017/97;1077/98; 1129/98.</w:t>
      </w:r>
    </w:p>
  </w:footnote>
  <w:footnote w:id="10">
    <w:p w14:paraId="4706DED5" w14:textId="77777777" w:rsidR="009C5993" w:rsidRPr="00D90575" w:rsidRDefault="009C5993" w:rsidP="009C5993">
      <w:pPr>
        <w:pStyle w:val="Textonotapie"/>
        <w:ind w:firstLine="708"/>
        <w:contextualSpacing/>
        <w:jc w:val="both"/>
        <w:rPr>
          <w:rFonts w:ascii="Verdana" w:hAnsi="Verdana" w:cs="Arial"/>
          <w:sz w:val="16"/>
          <w:szCs w:val="16"/>
          <w:lang w:val="es-ES"/>
        </w:rPr>
      </w:pPr>
      <w:r w:rsidRPr="00D90575">
        <w:rPr>
          <w:rStyle w:val="Refdenotaalpie"/>
          <w:rFonts w:ascii="Verdana" w:hAnsi="Verdana" w:cs="Arial"/>
          <w:sz w:val="16"/>
          <w:szCs w:val="16"/>
        </w:rPr>
        <w:footnoteRef/>
      </w:r>
      <w:r w:rsidRPr="00D90575">
        <w:rPr>
          <w:rFonts w:ascii="Verdana" w:hAnsi="Verdana" w:cs="Arial"/>
          <w:sz w:val="16"/>
          <w:szCs w:val="16"/>
        </w:rPr>
        <w:t xml:space="preserve"> CORTE SUPREMA DE JUSTICIA. Sala de Casación Civil. Sentencia del 4 de agosto de 2008. Exp. 68001310300920000071001. M.P. Edgardo Villamil Portilla. </w:t>
      </w:r>
    </w:p>
  </w:footnote>
  <w:footnote w:id="11">
    <w:p w14:paraId="6D9F7DA6" w14:textId="77777777" w:rsidR="009C5993" w:rsidRPr="00822E5D" w:rsidRDefault="009C5993" w:rsidP="009C5993">
      <w:pPr>
        <w:pStyle w:val="Textonotapie"/>
        <w:ind w:firstLine="708"/>
        <w:jc w:val="both"/>
        <w:rPr>
          <w:rFonts w:ascii="Verdana" w:hAnsi="Verdana"/>
          <w:sz w:val="16"/>
          <w:szCs w:val="16"/>
        </w:rPr>
      </w:pPr>
      <w:r w:rsidRPr="00822E5D">
        <w:rPr>
          <w:rStyle w:val="Refdenotaalpie"/>
          <w:rFonts w:ascii="Verdana" w:hAnsi="Verdana"/>
          <w:sz w:val="16"/>
          <w:szCs w:val="16"/>
        </w:rPr>
        <w:footnoteRef/>
      </w:r>
      <w:r w:rsidRPr="00822E5D">
        <w:rPr>
          <w:rFonts w:ascii="Verdana" w:hAnsi="Verdana"/>
          <w:sz w:val="16"/>
          <w:szCs w:val="16"/>
        </w:rPr>
        <w:t xml:space="preserve"> </w:t>
      </w:r>
      <w:r>
        <w:rPr>
          <w:rFonts w:ascii="Verdana" w:hAnsi="Verdana"/>
          <w:sz w:val="16"/>
          <w:szCs w:val="16"/>
        </w:rPr>
        <w:t>Conforme al artículo 118 de la Ley 1474 de 2011, “</w:t>
      </w:r>
      <w:r w:rsidRPr="00822E5D">
        <w:rPr>
          <w:rFonts w:ascii="Verdana" w:hAnsi="Verdana"/>
          <w:sz w:val="16"/>
          <w:szCs w:val="16"/>
        </w:rPr>
        <w:t>El grado de culpabilidad para establecer la existencia de responsabilidad fiscal será el dolo o la culpa grave.</w:t>
      </w:r>
    </w:p>
    <w:p w14:paraId="1AA43534" w14:textId="77777777" w:rsidR="009C5993" w:rsidRPr="00822E5D" w:rsidRDefault="009C5993" w:rsidP="009C5993">
      <w:pPr>
        <w:pStyle w:val="Textonotapie"/>
        <w:ind w:firstLine="708"/>
        <w:jc w:val="both"/>
        <w:rPr>
          <w:rFonts w:ascii="Verdana" w:hAnsi="Verdana"/>
          <w:sz w:val="16"/>
          <w:szCs w:val="16"/>
        </w:rPr>
      </w:pPr>
      <w:r w:rsidRPr="00822E5D">
        <w:rPr>
          <w:rFonts w:ascii="Verdana" w:hAnsi="Verdana"/>
          <w:sz w:val="16"/>
          <w:szCs w:val="16"/>
        </w:rPr>
        <w:t>Se presumirá que el gestor fiscal ha obrado con dolo cuando por los mismos hechos haya sido condenado penalmente o sancionado disciplinariamente por la comisión de un delito o una falta disciplinaria imputados a ese título.</w:t>
      </w:r>
    </w:p>
    <w:p w14:paraId="2899D4F3" w14:textId="77777777" w:rsidR="009C5993" w:rsidRDefault="009C5993" w:rsidP="009C5993">
      <w:pPr>
        <w:pStyle w:val="Textonotapie"/>
        <w:ind w:firstLine="708"/>
        <w:jc w:val="both"/>
        <w:rPr>
          <w:rFonts w:ascii="Verdana" w:hAnsi="Verdana"/>
          <w:sz w:val="16"/>
          <w:szCs w:val="16"/>
        </w:rPr>
      </w:pPr>
      <w:r w:rsidRPr="00822E5D">
        <w:rPr>
          <w:rFonts w:ascii="Verdana" w:hAnsi="Verdana"/>
          <w:sz w:val="16"/>
          <w:szCs w:val="16"/>
        </w:rPr>
        <w:t>Se presumirá que el gestor fiscal ha obrado con culpa grave en los siguientes eventos:</w:t>
      </w:r>
    </w:p>
    <w:p w14:paraId="308B2593" w14:textId="77777777" w:rsidR="009C5993" w:rsidRDefault="009C5993" w:rsidP="009C5993">
      <w:pPr>
        <w:pStyle w:val="Textonotapie"/>
        <w:ind w:firstLine="708"/>
        <w:jc w:val="both"/>
        <w:rPr>
          <w:rFonts w:ascii="Verdana" w:hAnsi="Verdana"/>
          <w:sz w:val="16"/>
          <w:szCs w:val="16"/>
        </w:rPr>
      </w:pPr>
      <w:r>
        <w:rPr>
          <w:rFonts w:ascii="Verdana" w:hAnsi="Verdana"/>
          <w:sz w:val="16"/>
          <w:szCs w:val="16"/>
        </w:rPr>
        <w:t>[…]</w:t>
      </w:r>
    </w:p>
    <w:p w14:paraId="652D5430" w14:textId="77777777" w:rsidR="009C5993" w:rsidRDefault="009C5993" w:rsidP="009C5993">
      <w:pPr>
        <w:pStyle w:val="Textonotapie"/>
        <w:ind w:firstLine="708"/>
        <w:jc w:val="both"/>
        <w:rPr>
          <w:rFonts w:ascii="Verdana" w:hAnsi="Verdana"/>
          <w:sz w:val="16"/>
          <w:szCs w:val="16"/>
          <w:lang w:val="es-CO"/>
        </w:rPr>
      </w:pPr>
      <w:r w:rsidRPr="004B0EFE">
        <w:rPr>
          <w:rFonts w:ascii="Verdana" w:hAnsi="Verdana"/>
          <w:sz w:val="16"/>
          <w:szCs w:val="16"/>
          <w:lang w:val="es-CO"/>
        </w:rPr>
        <w:t>d) Cuando se haya incumplido la obligación de asegurar los bienes de la entidad o la de hacer exigibles las pólizas o garantías frente al acaecimiento de los siniestros o el incumplimiento de los contratos</w:t>
      </w:r>
      <w:r>
        <w:rPr>
          <w:rFonts w:ascii="Verdana" w:hAnsi="Verdana"/>
          <w:sz w:val="16"/>
          <w:szCs w:val="16"/>
          <w:lang w:val="es-CO"/>
        </w:rPr>
        <w:t>.</w:t>
      </w:r>
    </w:p>
    <w:p w14:paraId="1703A2D6" w14:textId="77777777" w:rsidR="009C5993" w:rsidRPr="00822E5D" w:rsidRDefault="009C5993" w:rsidP="009C5993">
      <w:pPr>
        <w:pStyle w:val="Textonotapie"/>
        <w:ind w:firstLine="708"/>
        <w:jc w:val="both"/>
        <w:rPr>
          <w:rFonts w:ascii="Verdana" w:hAnsi="Verdana"/>
          <w:sz w:val="16"/>
          <w:szCs w:val="16"/>
          <w:lang w:val="es-CO"/>
        </w:rPr>
      </w:pPr>
      <w:r>
        <w:rPr>
          <w:rFonts w:ascii="Verdana" w:hAnsi="Verdana"/>
          <w:sz w:val="16"/>
          <w:szCs w:val="16"/>
          <w:lang w:val="es-CO"/>
        </w:rPr>
        <w:t>[…]”.</w:t>
      </w:r>
    </w:p>
  </w:footnote>
  <w:footnote w:id="12">
    <w:p w14:paraId="018AA6B7" w14:textId="77777777" w:rsidR="009C5993" w:rsidRPr="00822E5D" w:rsidRDefault="009C5993" w:rsidP="009C5993">
      <w:pPr>
        <w:pStyle w:val="Textonotapie"/>
        <w:ind w:firstLine="708"/>
        <w:jc w:val="both"/>
        <w:rPr>
          <w:rFonts w:ascii="Verdana" w:hAnsi="Verdana"/>
          <w:sz w:val="16"/>
          <w:szCs w:val="16"/>
          <w:lang w:val="es-CO"/>
        </w:rPr>
      </w:pPr>
      <w:r w:rsidRPr="00822E5D">
        <w:rPr>
          <w:rStyle w:val="Refdenotaalpie"/>
          <w:rFonts w:ascii="Verdana" w:hAnsi="Verdana"/>
          <w:sz w:val="16"/>
          <w:szCs w:val="16"/>
        </w:rPr>
        <w:footnoteRef/>
      </w:r>
      <w:r w:rsidRPr="00822E5D">
        <w:rPr>
          <w:rFonts w:ascii="Verdana" w:hAnsi="Verdana"/>
          <w:sz w:val="16"/>
          <w:szCs w:val="16"/>
        </w:rPr>
        <w:t xml:space="preserve"> </w:t>
      </w:r>
      <w:r>
        <w:rPr>
          <w:rFonts w:ascii="Verdana" w:hAnsi="Verdana"/>
          <w:sz w:val="16"/>
          <w:szCs w:val="16"/>
        </w:rPr>
        <w:t>De acuerdo con el artículo 57.13 de la Ley 1952 de 2019, constituye falta relacionada con la hacienda pública: “</w:t>
      </w:r>
      <w:r w:rsidRPr="00E576B4">
        <w:rPr>
          <w:rFonts w:ascii="Verdana" w:hAnsi="Verdana"/>
          <w:sz w:val="16"/>
          <w:szCs w:val="16"/>
        </w:rPr>
        <w:t>No asegurar por su valor real los bienes del Estado ni hacer las apropiaciones presupuestales pertinentes</w:t>
      </w:r>
      <w:r>
        <w:rPr>
          <w:rFonts w:ascii="Verdana" w:hAnsi="Verdana"/>
          <w:sz w:val="16"/>
          <w:szCs w:val="16"/>
        </w:rPr>
        <w:t>”</w:t>
      </w:r>
      <w:r w:rsidRPr="00E576B4">
        <w:rPr>
          <w:rFonts w:ascii="Verdana" w:hAnsi="Verdana"/>
          <w:sz w:val="16"/>
          <w:szCs w:val="16"/>
        </w:rPr>
        <w:t>.</w:t>
      </w:r>
    </w:p>
  </w:footnote>
  <w:footnote w:id="13">
    <w:p w14:paraId="3F2A6C15" w14:textId="77777777" w:rsidR="009C5993" w:rsidRPr="00230444" w:rsidRDefault="009C5993" w:rsidP="009C5993">
      <w:pPr>
        <w:pStyle w:val="Textonotapie"/>
        <w:ind w:firstLine="708"/>
        <w:jc w:val="both"/>
        <w:rPr>
          <w:rFonts w:ascii="Verdana" w:hAnsi="Verdana"/>
          <w:sz w:val="16"/>
          <w:szCs w:val="16"/>
          <w:lang w:val="es-CO"/>
        </w:rPr>
      </w:pPr>
      <w:r w:rsidRPr="00230444">
        <w:rPr>
          <w:rStyle w:val="Refdenotaalpie"/>
          <w:rFonts w:ascii="Verdana" w:hAnsi="Verdana"/>
          <w:sz w:val="16"/>
          <w:szCs w:val="16"/>
        </w:rPr>
        <w:footnoteRef/>
      </w:r>
      <w:r w:rsidRPr="00230444">
        <w:rPr>
          <w:rFonts w:ascii="Verdana" w:hAnsi="Verdana"/>
          <w:sz w:val="16"/>
          <w:szCs w:val="16"/>
        </w:rPr>
        <w:t xml:space="preserve"> AMUNÁTEGUI PERELLÓ</w:t>
      </w:r>
      <w:r>
        <w:rPr>
          <w:rFonts w:ascii="Verdana" w:hAnsi="Verdana"/>
          <w:sz w:val="16"/>
          <w:szCs w:val="16"/>
        </w:rPr>
        <w:t>, Carlos. Del comodato o prestamo de uso. En: Comentario histórico-dogmático al Libro IV del Código Civil de Chile. Tomo II. Valencia: Tirant lo Blanch, 2023. p. 1604.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4856BAC"/>
    <w:multiLevelType w:val="hybridMultilevel"/>
    <w:tmpl w:val="FE269584"/>
    <w:lvl w:ilvl="0" w:tplc="A4C23EA4">
      <w:start w:val="1"/>
      <w:numFmt w:val="bullet"/>
      <w:lvlText w:val="-"/>
      <w:lvlJc w:val="left"/>
      <w:pPr>
        <w:tabs>
          <w:tab w:val="num" w:pos="720"/>
        </w:tabs>
        <w:ind w:left="720" w:hanging="360"/>
      </w:pPr>
      <w:rPr>
        <w:rFonts w:ascii="Times New Roman" w:eastAsia="Times New Roman" w:hAnsi="Times New Roman" w:cs="Times New Roman" w:hint="default"/>
      </w:rPr>
    </w:lvl>
    <w:lvl w:ilvl="1" w:tplc="24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330140246">
    <w:abstractNumId w:val="0"/>
  </w:num>
  <w:num w:numId="17" w16cid:durableId="679089576">
    <w:abstractNumId w:val="9"/>
  </w:num>
  <w:num w:numId="18" w16cid:durableId="6589703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1A62"/>
    <w:rsid w:val="000A683E"/>
    <w:rsid w:val="000B19B9"/>
    <w:rsid w:val="000D0334"/>
    <w:rsid w:val="000D5DA7"/>
    <w:rsid w:val="000F6486"/>
    <w:rsid w:val="00116940"/>
    <w:rsid w:val="00125105"/>
    <w:rsid w:val="00127233"/>
    <w:rsid w:val="0015699B"/>
    <w:rsid w:val="001710D4"/>
    <w:rsid w:val="0019518E"/>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6A450A"/>
    <w:rsid w:val="006F455F"/>
    <w:rsid w:val="00700BDE"/>
    <w:rsid w:val="00706C16"/>
    <w:rsid w:val="007179AA"/>
    <w:rsid w:val="007340C3"/>
    <w:rsid w:val="0075235A"/>
    <w:rsid w:val="00756841"/>
    <w:rsid w:val="007649AB"/>
    <w:rsid w:val="00771D0C"/>
    <w:rsid w:val="007833AC"/>
    <w:rsid w:val="007905B0"/>
    <w:rsid w:val="007A39A9"/>
    <w:rsid w:val="007B268C"/>
    <w:rsid w:val="007B7171"/>
    <w:rsid w:val="007C0C0F"/>
    <w:rsid w:val="007C3DC2"/>
    <w:rsid w:val="007E5497"/>
    <w:rsid w:val="00806F5F"/>
    <w:rsid w:val="00820278"/>
    <w:rsid w:val="008258C9"/>
    <w:rsid w:val="00844AE9"/>
    <w:rsid w:val="00867F95"/>
    <w:rsid w:val="008843B6"/>
    <w:rsid w:val="00891928"/>
    <w:rsid w:val="00893E1D"/>
    <w:rsid w:val="008A446D"/>
    <w:rsid w:val="008B25F1"/>
    <w:rsid w:val="008D180B"/>
    <w:rsid w:val="008F0EA7"/>
    <w:rsid w:val="00914048"/>
    <w:rsid w:val="00923EEF"/>
    <w:rsid w:val="009419F9"/>
    <w:rsid w:val="0095685E"/>
    <w:rsid w:val="00961B09"/>
    <w:rsid w:val="00965334"/>
    <w:rsid w:val="0097093E"/>
    <w:rsid w:val="0097129B"/>
    <w:rsid w:val="009A0DFA"/>
    <w:rsid w:val="009A1C6F"/>
    <w:rsid w:val="009B2D26"/>
    <w:rsid w:val="009C5993"/>
    <w:rsid w:val="009C71FA"/>
    <w:rsid w:val="009C72E7"/>
    <w:rsid w:val="009C7F7E"/>
    <w:rsid w:val="009D3058"/>
    <w:rsid w:val="009F3A13"/>
    <w:rsid w:val="00A006BD"/>
    <w:rsid w:val="00A122D3"/>
    <w:rsid w:val="00A14468"/>
    <w:rsid w:val="00A17F13"/>
    <w:rsid w:val="00A20739"/>
    <w:rsid w:val="00A23AF9"/>
    <w:rsid w:val="00A33C78"/>
    <w:rsid w:val="00AB0ADB"/>
    <w:rsid w:val="00B00C0E"/>
    <w:rsid w:val="00B01B1A"/>
    <w:rsid w:val="00B0381D"/>
    <w:rsid w:val="00B44A47"/>
    <w:rsid w:val="00B4661B"/>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F2986"/>
    <w:rsid w:val="00D361FD"/>
    <w:rsid w:val="00D36ED3"/>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E292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9C599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9C5993"/>
    <w:rPr>
      <w:rFonts w:ascii="Geomanist Light" w:hAnsi="Geomanist Light"/>
      <w:lang w:val="es-ES"/>
    </w:rPr>
  </w:style>
  <w:style w:type="paragraph" w:styleId="Textoindependiente">
    <w:name w:val="Body Text"/>
    <w:basedOn w:val="Normal"/>
    <w:link w:val="TextoindependienteCar"/>
    <w:uiPriority w:val="99"/>
    <w:unhideWhenUsed/>
    <w:rsid w:val="009C5993"/>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9C5993"/>
    <w:rPr>
      <w:rFonts w:eastAsiaTheme="minorEastAsia"/>
      <w:lang w:eastAsia="es-CO"/>
    </w:rPr>
  </w:style>
  <w:style w:type="character" w:customStyle="1" w:styleId="s15">
    <w:name w:val="s15"/>
    <w:basedOn w:val="Fuentedeprrafopredeter"/>
    <w:rsid w:val="009C5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enos@contaduria.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AEDC3-3163-42CF-9F32-FA276C2EB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21</Pages>
  <Words>7302</Words>
  <Characters>40167</Characters>
  <Application>Microsoft Office Word</Application>
  <DocSecurity>0</DocSecurity>
  <Lines>334</Lines>
  <Paragraphs>94</Paragraphs>
  <ScaleCrop>false</ScaleCrop>
  <Company/>
  <LinksUpToDate>false</LinksUpToDate>
  <CharactersWithSpaces>47375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2026-07-10T23:56:00Z</dcterms:created>
  <dcterms:modified xsi:type="dcterms:W3CDTF">2026-07-16T01:22:00Z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