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FF6E4" w14:textId="77777777" w:rsidR="008D6B17" w:rsidRPr="00153DCC" w:rsidRDefault="008D6B17" w:rsidP="008D6B17">
      <w:pPr>
        <w:pStyle w:val="Sinespaciado"/>
        <w:widowControl w:val="0"/>
        <w:autoSpaceDE w:val="0"/>
        <w:autoSpaceDN w:val="0"/>
        <w:jc w:val="both"/>
        <w:rPr>
          <w:rFonts w:ascii="Verdana" w:hAnsi="Verdana" w:cs="Arial"/>
          <w:b/>
          <w:sz w:val="22"/>
        </w:rPr>
      </w:pPr>
      <w:r w:rsidRPr="00153DCC">
        <w:rPr>
          <w:rFonts w:ascii="Verdana" w:hAnsi="Verdana" w:cs="Arial"/>
          <w:b/>
          <w:sz w:val="22"/>
        </w:rPr>
        <w:t xml:space="preserve">EVALUACIÓN DEL PRECIO </w:t>
      </w:r>
      <w:r w:rsidRPr="00153DCC">
        <w:rPr>
          <w:rFonts w:ascii="Verdana" w:eastAsia="Calibri" w:hAnsi="Verdana" w:cs="Arial"/>
          <w:b/>
          <w:sz w:val="22"/>
        </w:rPr>
        <w:t>–</w:t>
      </w:r>
      <w:r w:rsidRPr="00153DCC">
        <w:rPr>
          <w:rFonts w:ascii="Verdana" w:hAnsi="Verdana" w:cs="Arial"/>
          <w:b/>
          <w:sz w:val="22"/>
        </w:rPr>
        <w:t xml:space="preserve"> Principio de selección objetiva </w:t>
      </w:r>
    </w:p>
    <w:p w14:paraId="32FF67C3" w14:textId="77777777" w:rsidR="008D6B17" w:rsidRPr="00153DCC" w:rsidRDefault="008D6B17" w:rsidP="008D6B17">
      <w:pPr>
        <w:pStyle w:val="Sinespaciado"/>
        <w:widowControl w:val="0"/>
        <w:autoSpaceDE w:val="0"/>
        <w:autoSpaceDN w:val="0"/>
        <w:jc w:val="both"/>
        <w:rPr>
          <w:rFonts w:ascii="Verdana" w:hAnsi="Verdana" w:cs="Arial"/>
          <w:b/>
          <w:sz w:val="20"/>
          <w:szCs w:val="20"/>
        </w:rPr>
      </w:pPr>
    </w:p>
    <w:p w14:paraId="0B3C8301" w14:textId="77777777" w:rsidR="008D6B17" w:rsidRDefault="008D6B17" w:rsidP="008D6B17">
      <w:pPr>
        <w:pStyle w:val="Sinespaciado"/>
        <w:jc w:val="both"/>
        <w:rPr>
          <w:rFonts w:ascii="Verdana" w:hAnsi="Verdana" w:cs="Arial"/>
          <w:sz w:val="20"/>
          <w:szCs w:val="20"/>
        </w:rPr>
      </w:pPr>
      <w:r>
        <w:rPr>
          <w:rFonts w:ascii="Verdana" w:hAnsi="Verdana" w:cs="Arial"/>
          <w:sz w:val="20"/>
          <w:szCs w:val="20"/>
        </w:rPr>
        <w:t>P</w:t>
      </w:r>
      <w:r w:rsidRPr="00153DCC">
        <w:rPr>
          <w:rFonts w:ascii="Verdana" w:hAnsi="Verdana" w:cs="Arial"/>
          <w:sz w:val="20"/>
          <w:szCs w:val="20"/>
        </w:rPr>
        <w:t>ara que la entidad pueda determinar cuál es la oferta que más ventaja le reporta, lo lógico es que la comparación de precios se haga sobre los que finalmente tendrá que pagar, es decir, no puede realizarse una ponderación adecuada, en el factor económico, si la entidad compara precios que no son reales, pues ello es lo que ocurre si en dicha comparación se toman precios que no serán los que finalmente pagará, porque no se encuentran incluidos los impuestos aplicables. De esta manera, el principio de selección objetiva, antes que permitir que la entidad compare las ofertas económicas sin tener en cuenta la carga tributaria, busca que la comparación se haga sobre la realidad de lo ofrecido por cada proponente, es decir, el valor total de lo que terminará pagando la entidad cuando adjudique el contrato.</w:t>
      </w:r>
    </w:p>
    <w:p w14:paraId="11760EBB" w14:textId="77777777" w:rsidR="008D6B17" w:rsidRPr="00153DCC" w:rsidRDefault="008D6B17" w:rsidP="008D6B17">
      <w:pPr>
        <w:pStyle w:val="Sinespaciado"/>
        <w:jc w:val="both"/>
        <w:rPr>
          <w:rFonts w:ascii="Verdana" w:hAnsi="Verdana" w:cs="Arial"/>
          <w:sz w:val="20"/>
          <w:szCs w:val="20"/>
        </w:rPr>
      </w:pPr>
    </w:p>
    <w:p w14:paraId="791FDE64" w14:textId="77777777" w:rsidR="008D6B17" w:rsidRPr="00153DCC" w:rsidRDefault="008D6B17" w:rsidP="008D6B17">
      <w:pPr>
        <w:pStyle w:val="Sinespaciado"/>
        <w:jc w:val="both"/>
        <w:rPr>
          <w:rFonts w:ascii="Verdana" w:hAnsi="Verdana" w:cs="Arial"/>
          <w:b/>
          <w:bCs/>
          <w:sz w:val="20"/>
          <w:szCs w:val="20"/>
        </w:rPr>
      </w:pPr>
      <w:r w:rsidRPr="00153DCC">
        <w:rPr>
          <w:rFonts w:ascii="Verdana" w:hAnsi="Verdana" w:cs="Arial"/>
          <w:b/>
          <w:bCs/>
          <w:sz w:val="20"/>
          <w:szCs w:val="20"/>
        </w:rPr>
        <w:t xml:space="preserve">EVALUACIÓN DEL PRECIO ‒ Costo real </w:t>
      </w:r>
      <w:r w:rsidRPr="00153DCC">
        <w:rPr>
          <w:rFonts w:ascii="Verdana" w:eastAsia="Calibri" w:hAnsi="Verdana" w:cs="Arial"/>
          <w:b/>
          <w:sz w:val="20"/>
          <w:szCs w:val="20"/>
        </w:rPr>
        <w:t>–</w:t>
      </w:r>
      <w:r w:rsidRPr="00153DCC">
        <w:rPr>
          <w:rFonts w:ascii="Verdana" w:hAnsi="Verdana" w:cs="Arial"/>
          <w:b/>
          <w:bCs/>
          <w:sz w:val="20"/>
          <w:szCs w:val="20"/>
        </w:rPr>
        <w:t xml:space="preserve"> </w:t>
      </w:r>
      <w:r w:rsidRPr="008E08C5">
        <w:rPr>
          <w:rFonts w:ascii="Verdana" w:hAnsi="Verdana" w:cs="Arial"/>
          <w:b/>
          <w:bCs/>
          <w:sz w:val="20"/>
          <w:szCs w:val="20"/>
        </w:rPr>
        <w:t>Impuestos ‒ Exención tributaria</w:t>
      </w:r>
    </w:p>
    <w:p w14:paraId="56A3A6F3" w14:textId="77777777" w:rsidR="008D6B17" w:rsidRPr="00153DCC" w:rsidRDefault="008D6B17" w:rsidP="008D6B17">
      <w:pPr>
        <w:pStyle w:val="Sinespaciado"/>
        <w:jc w:val="both"/>
        <w:rPr>
          <w:rFonts w:ascii="Verdana" w:hAnsi="Verdana" w:cs="Arial"/>
          <w:b/>
          <w:bCs/>
          <w:sz w:val="20"/>
          <w:szCs w:val="20"/>
        </w:rPr>
      </w:pPr>
    </w:p>
    <w:p w14:paraId="5F48A599" w14:textId="77777777" w:rsidR="008D6B17" w:rsidRDefault="008D6B17" w:rsidP="008D6B17">
      <w:pPr>
        <w:pStyle w:val="Sinespaciado"/>
        <w:jc w:val="both"/>
        <w:rPr>
          <w:rFonts w:ascii="Verdana" w:hAnsi="Verdana" w:cs="Arial"/>
          <w:sz w:val="20"/>
          <w:szCs w:val="20"/>
        </w:rPr>
      </w:pPr>
      <w:r w:rsidRPr="00CF5E49">
        <w:rPr>
          <w:rFonts w:ascii="Verdana" w:hAnsi="Verdana" w:cs="Arial"/>
          <w:sz w:val="20"/>
          <w:szCs w:val="20"/>
        </w:rPr>
        <w:t xml:space="preserve">Al respecto, vale la pena señalar que la posición que ha adoptado esta Subdirección Gestión Contractual desde tiempo atrás es que el IVA hace parte del precio que ofrece cada proponente, y así debe ser ponderado al momento de la evaluación de las ofertas. Si un proponente está en capacidad de ofrecer un precio menor porque, según su régimen tributario, no es responsable de IVA o de cualquier otro impuesto que incida en el precio, entonces eso hace parte de las condiciones de su oferta y, evidentemente, podría estar en ventaja, en lo que respecta al precio, frente a otro proponente que sea responsable del pago del impuesto, pero ello no representa un trato desigual que imponga la entidad, pues es el precio que puede ofrecer cada proponente. </w:t>
      </w:r>
    </w:p>
    <w:p w14:paraId="1DAA34CA" w14:textId="77777777" w:rsidR="00F84E1D" w:rsidRDefault="00F84E1D" w:rsidP="008D6B17">
      <w:pPr>
        <w:spacing w:after="0" w:line="240" w:lineRule="auto"/>
        <w:rPr>
          <w:rFonts w:ascii="Verdana" w:eastAsia="Geomanist Light" w:hAnsi="Verdana" w:cs="Arial"/>
          <w:color w:val="000000" w:themeColor="text1"/>
          <w:lang w:val="es-MX"/>
        </w:rPr>
      </w:pPr>
    </w:p>
    <w:p w14:paraId="7B787297" w14:textId="77777777" w:rsidR="008D6B17" w:rsidRPr="00155A89" w:rsidRDefault="008D6B17" w:rsidP="008D6B17">
      <w:pPr>
        <w:spacing w:after="0" w:line="240" w:lineRule="auto"/>
        <w:jc w:val="both"/>
        <w:rPr>
          <w:rFonts w:ascii="Verdana" w:eastAsia="Geomanist Light" w:hAnsi="Verdana" w:cs="Arial"/>
          <w:b/>
          <w:bCs/>
          <w:color w:val="000000" w:themeColor="text1"/>
          <w:lang w:val="es-MX"/>
        </w:rPr>
      </w:pPr>
      <w:r w:rsidRPr="00155A89">
        <w:rPr>
          <w:rFonts w:ascii="Verdana" w:eastAsia="Calibri" w:hAnsi="Verdana" w:cs="Arial"/>
          <w:b/>
          <w:bCs/>
          <w:lang w:val="es-MX"/>
        </w:rPr>
        <w:t>PRECIOS ARTIFICIALMENTE BAJOS – Noción</w:t>
      </w:r>
      <w:r>
        <w:rPr>
          <w:rFonts w:ascii="Verdana" w:eastAsia="Calibri" w:hAnsi="Verdana" w:cs="Arial"/>
          <w:b/>
          <w:bCs/>
          <w:lang w:val="es-MX"/>
        </w:rPr>
        <w:t xml:space="preserve"> </w:t>
      </w:r>
      <w:r w:rsidRPr="00155A89">
        <w:rPr>
          <w:rFonts w:ascii="Verdana" w:eastAsia="Calibri" w:hAnsi="Verdana" w:cs="Arial"/>
          <w:b/>
          <w:bCs/>
          <w:lang w:val="es-MX"/>
        </w:rPr>
        <w:t>–</w:t>
      </w:r>
      <w:r w:rsidRPr="00155A89">
        <w:rPr>
          <w:rFonts w:ascii="Verdana" w:eastAsia="Arial" w:hAnsi="Verdana" w:cs="Arial"/>
          <w:lang w:val="es-ES" w:eastAsia="es-ES" w:bidi="es-ES"/>
        </w:rPr>
        <w:t xml:space="preserve"> </w:t>
      </w:r>
      <w:r w:rsidRPr="00155A89">
        <w:rPr>
          <w:rFonts w:ascii="Verdana" w:eastAsia="Arial" w:hAnsi="Verdana" w:cs="Arial"/>
          <w:b/>
          <w:bCs/>
          <w:lang w:val="es-ES" w:eastAsia="es-ES" w:bidi="es-ES"/>
        </w:rPr>
        <w:t>Precio exento de impuestos</w:t>
      </w:r>
    </w:p>
    <w:p w14:paraId="56D102AA" w14:textId="77777777" w:rsidR="008D6B17" w:rsidRDefault="008D6B17" w:rsidP="008D6B17">
      <w:pPr>
        <w:spacing w:after="0" w:line="240" w:lineRule="auto"/>
        <w:rPr>
          <w:rFonts w:ascii="Verdana" w:eastAsia="Geomanist Light" w:hAnsi="Verdana" w:cs="Arial"/>
          <w:color w:val="000000" w:themeColor="text1"/>
          <w:lang w:val="es-MX"/>
        </w:rPr>
      </w:pPr>
    </w:p>
    <w:p w14:paraId="2B601EAF" w14:textId="77777777" w:rsidR="008D6B17" w:rsidRPr="00825B8D" w:rsidRDefault="008D6B17" w:rsidP="008D6B17">
      <w:pPr>
        <w:widowControl w:val="0"/>
        <w:autoSpaceDE w:val="0"/>
        <w:autoSpaceDN w:val="0"/>
        <w:snapToGrid w:val="0"/>
        <w:spacing w:after="0" w:line="240" w:lineRule="auto"/>
        <w:jc w:val="both"/>
        <w:rPr>
          <w:rFonts w:ascii="Verdana" w:eastAsia="Arial" w:hAnsi="Verdana" w:cs="Arial"/>
          <w:sz w:val="20"/>
          <w:szCs w:val="20"/>
          <w:lang w:val="es-ES" w:eastAsia="es-ES" w:bidi="es-ES"/>
        </w:rPr>
      </w:pPr>
      <w:r>
        <w:rPr>
          <w:rFonts w:ascii="Verdana" w:hAnsi="Verdana" w:cs="Arial"/>
          <w:bCs/>
          <w:sz w:val="20"/>
          <w:szCs w:val="20"/>
          <w:lang w:val="es-ES" w:eastAsia="es-ES_tradnl"/>
        </w:rPr>
        <w:t>E</w:t>
      </w:r>
      <w:r w:rsidRPr="00825B8D">
        <w:rPr>
          <w:rFonts w:ascii="Verdana" w:hAnsi="Verdana" w:cs="Arial"/>
          <w:bCs/>
          <w:sz w:val="20"/>
          <w:szCs w:val="20"/>
          <w:lang w:val="es-ES" w:eastAsia="es-ES_tradnl"/>
        </w:rPr>
        <w:t>n el caso de determinados sujetos, como las ESAL, que por su naturaleza tienen beneficios tributarios reconocidos por la ley, la presentación de su oferta con dichas exenciones no implica que esta situación, por sí misma, configure una oferta artificialmente baja. Ello obedece a que, en principio, el menor valor ofertado encuentra una justificación objetiva y legítima en el régimen tributario aplicable al proponente, el cual forma parte de su estructura real de costos y no de una práctica destinada a distorsionar la competencia o a presentar una oferta económicamente inviable.</w:t>
      </w:r>
      <w:r w:rsidRPr="00825B8D">
        <w:rPr>
          <w:rFonts w:ascii="Verdana" w:eastAsia="Arial" w:hAnsi="Verdana" w:cs="Arial"/>
          <w:sz w:val="20"/>
          <w:szCs w:val="20"/>
          <w:lang w:val="es-ES" w:eastAsia="es-ES" w:bidi="es-ES"/>
        </w:rPr>
        <w:t xml:space="preserve"> Al respecto, el Consejo de Estado define el precio artificialmente bajo como aquel que no tiene sustento o fundamento en su</w:t>
      </w:r>
      <w:r w:rsidRPr="00825B8D">
        <w:rPr>
          <w:rFonts w:ascii="Verdana" w:eastAsia="Arial" w:hAnsi="Verdana" w:cs="Arial"/>
          <w:spacing w:val="-45"/>
          <w:sz w:val="20"/>
          <w:szCs w:val="20"/>
          <w:lang w:val="es-ES" w:eastAsia="es-ES" w:bidi="es-ES"/>
        </w:rPr>
        <w:t xml:space="preserve"> </w:t>
      </w:r>
      <w:r w:rsidRPr="00825B8D">
        <w:rPr>
          <w:rFonts w:ascii="Verdana" w:eastAsia="Arial" w:hAnsi="Verdana" w:cs="Arial"/>
          <w:sz w:val="20"/>
          <w:szCs w:val="20"/>
          <w:lang w:val="es-ES" w:eastAsia="es-ES" w:bidi="es-ES"/>
        </w:rPr>
        <w:t>estructuración dentro del tráfico comercial:</w:t>
      </w:r>
    </w:p>
    <w:p w14:paraId="2185DAC5" w14:textId="77777777" w:rsidR="008D6B17" w:rsidRPr="00825B8D" w:rsidRDefault="008D6B17" w:rsidP="008D6B17">
      <w:pPr>
        <w:widowControl w:val="0"/>
        <w:autoSpaceDE w:val="0"/>
        <w:autoSpaceDN w:val="0"/>
        <w:spacing w:after="0" w:line="240" w:lineRule="auto"/>
        <w:ind w:left="720"/>
        <w:rPr>
          <w:rFonts w:ascii="Verdana" w:eastAsia="Arial" w:hAnsi="Verdana" w:cs="Arial"/>
          <w:sz w:val="20"/>
          <w:szCs w:val="20"/>
          <w:lang w:val="es-ES" w:eastAsia="es-ES" w:bidi="es-ES"/>
        </w:rPr>
      </w:pPr>
    </w:p>
    <w:p w14:paraId="27267E13" w14:textId="77777777" w:rsidR="008D6B17" w:rsidRPr="00825B8D" w:rsidRDefault="008D6B17" w:rsidP="008D6B17">
      <w:pPr>
        <w:spacing w:after="0" w:line="240" w:lineRule="auto"/>
        <w:ind w:left="709" w:right="709"/>
        <w:jc w:val="both"/>
        <w:rPr>
          <w:rFonts w:ascii="Verdana" w:eastAsia="Aptos" w:hAnsi="Verdana" w:cs="Times New Roman"/>
          <w:kern w:val="2"/>
          <w:sz w:val="20"/>
          <w:szCs w:val="20"/>
          <w14:ligatures w14:val="standardContextual"/>
        </w:rPr>
      </w:pPr>
      <w:r w:rsidRPr="00825B8D">
        <w:rPr>
          <w:rFonts w:ascii="Verdana" w:eastAsia="Aptos" w:hAnsi="Verdana" w:cs="Times New Roman"/>
          <w:kern w:val="2"/>
          <w:sz w:val="20"/>
          <w:szCs w:val="20"/>
          <w14:ligatures w14:val="standardContextual"/>
        </w:rPr>
        <w:t xml:space="preserve">“El denominado “precio artificialmente bajo” de que trata la Ley 80, es aquel que resulta artificioso o falso, disimulado, muy reducido o disminuido, pero además, que no encuentre sustentación o fundamento alguno en su estructuración dentro del tráfico comercial en el cual se desarrolla el negocio, es decir, que dicho precio no pueda ser justificado y por lo tanto, la Administración estaría imposibilitada para admitirlo, so pena de incurrir en violación de los principios de transparencia, equilibrio </w:t>
      </w:r>
      <w:r w:rsidRPr="00825B8D">
        <w:rPr>
          <w:rFonts w:ascii="Verdana" w:eastAsia="Aptos" w:hAnsi="Verdana" w:cs="Times New Roman"/>
          <w:kern w:val="2"/>
          <w:sz w:val="20"/>
          <w:szCs w:val="20"/>
          <w14:ligatures w14:val="standardContextual"/>
        </w:rPr>
        <w:lastRenderedPageBreak/>
        <w:t>e imparcialidad que gobiernan la actividad contractual y como parte de ella, el procedimiento de la licitación</w:t>
      </w:r>
      <w:r w:rsidRPr="00825B8D">
        <w:rPr>
          <w:rFonts w:ascii="Verdana" w:eastAsia="Aptos" w:hAnsi="Verdana" w:cs="Times New Roman"/>
          <w:spacing w:val="-8"/>
          <w:kern w:val="2"/>
          <w:sz w:val="20"/>
          <w:szCs w:val="20"/>
          <w14:ligatures w14:val="standardContextual"/>
        </w:rPr>
        <w:t xml:space="preserve"> </w:t>
      </w:r>
      <w:r w:rsidRPr="00825B8D">
        <w:rPr>
          <w:rFonts w:ascii="Verdana" w:eastAsia="Aptos" w:hAnsi="Verdana" w:cs="Times New Roman"/>
          <w:kern w:val="2"/>
          <w:sz w:val="20"/>
          <w:szCs w:val="20"/>
          <w14:ligatures w14:val="standardContextual"/>
        </w:rPr>
        <w:t>[…]”.</w:t>
      </w:r>
    </w:p>
    <w:p w14:paraId="0ABF75D3" w14:textId="77777777" w:rsidR="008D6B17" w:rsidRPr="00825B8D" w:rsidRDefault="008D6B17" w:rsidP="008D6B17">
      <w:pPr>
        <w:spacing w:after="0" w:line="240" w:lineRule="auto"/>
        <w:ind w:firstLine="709"/>
        <w:jc w:val="both"/>
        <w:rPr>
          <w:rFonts w:ascii="Verdana" w:hAnsi="Verdana" w:cs="Arial"/>
          <w:bCs/>
          <w:sz w:val="20"/>
          <w:szCs w:val="20"/>
          <w:lang w:val="es-ES" w:eastAsia="es-ES_tradnl"/>
        </w:rPr>
      </w:pPr>
    </w:p>
    <w:p w14:paraId="6E17C7BD" w14:textId="77777777" w:rsidR="008D6B17" w:rsidRPr="00825B8D" w:rsidRDefault="008D6B17" w:rsidP="008D6B17">
      <w:pPr>
        <w:spacing w:after="0" w:line="240" w:lineRule="auto"/>
        <w:jc w:val="both"/>
        <w:rPr>
          <w:rFonts w:ascii="Verdana" w:eastAsia="Geomanist Light" w:hAnsi="Verdana" w:cs="Arial"/>
          <w:color w:val="000000" w:themeColor="text1"/>
          <w:sz w:val="20"/>
          <w:szCs w:val="20"/>
          <w:lang w:val="es-MX"/>
        </w:rPr>
      </w:pPr>
      <w:r w:rsidRPr="00825B8D">
        <w:rPr>
          <w:rFonts w:ascii="Verdana" w:hAnsi="Verdana" w:cs="Arial"/>
          <w:bCs/>
          <w:sz w:val="20"/>
          <w:szCs w:val="20"/>
          <w:lang w:val="es-ES" w:eastAsia="es-ES_tradnl"/>
        </w:rPr>
        <w:t>Por consiguiente, la entidad estatal no puede excluir una oferta únicamente porque su menor precio se sustente en un tratamiento tributario favorable previsto por el ordenamiento jurídico, ya que ello implicaría desconocer una condición legalmente reconocida al proponente y establecer una restricción no prevista en la ley.</w:t>
      </w:r>
    </w:p>
    <w:p w14:paraId="21567E52" w14:textId="77777777" w:rsidR="008D6B17" w:rsidRDefault="008D6B17" w:rsidP="008D6B17">
      <w:pPr>
        <w:spacing w:after="0" w:line="240" w:lineRule="auto"/>
        <w:rPr>
          <w:rFonts w:ascii="Verdana" w:eastAsia="Geomanist Light" w:hAnsi="Verdana" w:cs="Arial"/>
          <w:color w:val="000000" w:themeColor="text1"/>
          <w:lang w:val="es-MX"/>
        </w:rPr>
      </w:pPr>
    </w:p>
    <w:p w14:paraId="0E38CF8E" w14:textId="77777777" w:rsidR="008D6B17" w:rsidRPr="00155A89" w:rsidRDefault="008D6B17" w:rsidP="008D6B17">
      <w:pPr>
        <w:spacing w:after="0" w:line="240" w:lineRule="auto"/>
        <w:rPr>
          <w:rFonts w:ascii="Verdana" w:eastAsia="Geomanist Light" w:hAnsi="Verdana" w:cs="Arial"/>
          <w:b/>
          <w:bCs/>
          <w:color w:val="000000" w:themeColor="text1"/>
          <w:lang w:val="es-MX"/>
        </w:rPr>
      </w:pPr>
      <w:r w:rsidRPr="00155A89">
        <w:rPr>
          <w:rFonts w:ascii="Verdana" w:eastAsia="Calibri" w:hAnsi="Verdana" w:cs="Arial"/>
          <w:b/>
          <w:bCs/>
          <w:lang w:val="es-ES" w:eastAsia="es-ES"/>
        </w:rPr>
        <w:t>ESAL – Capacidad para contratar</w:t>
      </w:r>
      <w:r>
        <w:rPr>
          <w:rFonts w:ascii="Verdana" w:eastAsia="Calibri" w:hAnsi="Verdana" w:cs="Arial"/>
          <w:b/>
          <w:bCs/>
          <w:lang w:val="es-ES" w:eastAsia="es-ES"/>
        </w:rPr>
        <w:t xml:space="preserve"> </w:t>
      </w:r>
      <w:r w:rsidRPr="00155A89">
        <w:rPr>
          <w:rFonts w:ascii="Verdana" w:eastAsia="Calibri" w:hAnsi="Verdana" w:cs="Arial"/>
          <w:b/>
          <w:bCs/>
          <w:lang w:val="es-ES" w:eastAsia="es-ES"/>
        </w:rPr>
        <w:t>–</w:t>
      </w:r>
      <w:r>
        <w:rPr>
          <w:rFonts w:ascii="Verdana" w:eastAsia="Calibri" w:hAnsi="Verdana" w:cs="Arial"/>
          <w:b/>
          <w:bCs/>
          <w:lang w:val="es-ES" w:eastAsia="es-ES"/>
        </w:rPr>
        <w:t xml:space="preserve"> Proponente plural</w:t>
      </w:r>
    </w:p>
    <w:p w14:paraId="347F442B" w14:textId="77777777" w:rsidR="008D6B17" w:rsidRDefault="008D6B17" w:rsidP="008D6B17">
      <w:pPr>
        <w:spacing w:after="0" w:line="240" w:lineRule="auto"/>
        <w:rPr>
          <w:rFonts w:ascii="Verdana" w:eastAsia="Geomanist Light" w:hAnsi="Verdana" w:cs="Arial"/>
          <w:color w:val="000000" w:themeColor="text1"/>
          <w:lang w:val="es-MX"/>
        </w:rPr>
      </w:pPr>
    </w:p>
    <w:p w14:paraId="1166E756" w14:textId="77777777" w:rsidR="008D6B17" w:rsidRDefault="008D6B17" w:rsidP="008D6B17">
      <w:pPr>
        <w:spacing w:after="0" w:line="240" w:lineRule="auto"/>
        <w:jc w:val="both"/>
        <w:rPr>
          <w:rFonts w:ascii="Verdana" w:hAnsi="Verdana" w:cs="Arial"/>
          <w:bCs/>
          <w:sz w:val="20"/>
          <w:szCs w:val="20"/>
          <w:lang w:val="es-ES" w:eastAsia="es-ES_tradnl"/>
        </w:rPr>
      </w:pPr>
      <w:r>
        <w:rPr>
          <w:rFonts w:ascii="Verdana" w:hAnsi="Verdana" w:cs="Arial"/>
          <w:bCs/>
          <w:sz w:val="20"/>
          <w:szCs w:val="20"/>
          <w:lang w:val="es-ES" w:eastAsia="es-ES_tradnl"/>
        </w:rPr>
        <w:t>L</w:t>
      </w:r>
      <w:r w:rsidRPr="00155A89">
        <w:rPr>
          <w:rFonts w:ascii="Verdana" w:hAnsi="Verdana" w:cs="Arial"/>
          <w:bCs/>
          <w:sz w:val="20"/>
          <w:szCs w:val="20"/>
          <w:lang w:val="es-ES" w:eastAsia="es-ES_tradnl"/>
        </w:rPr>
        <w:t>as ESAL tienen capacidad para contratar bajo las reglas del EGCAP al ser personas jurídicas consideradas legalmente capaces, en los términos del artículo 6 de la Ley 80 de 1993. En armonía con ello, el Decreto 092 de 2017 reguló un régimen especial de contratación; sin embargo, nada obsta para que las ESAL participen, en términos de igualdad con los demás oferentes, en los diferentes procesos contractuales que regula el EGCAP, siempre que cumplan con los requisitos exigidos en cada proceso, donde competirán con los demás proponentes. En este orden de ideas, las ESAL no solo pueden contratar bajo las reglas establecidas en el Decreto 092 de 2017, sino que también pueden intervenir en procesos de selección regidos por las reglas del EGCAP, caso en el cual participan con las mismas reglas aplicables a los demás oferentes.</w:t>
      </w:r>
    </w:p>
    <w:p w14:paraId="33C58D2F" w14:textId="77777777" w:rsidR="008D6B17" w:rsidRPr="00155A89" w:rsidRDefault="008D6B17" w:rsidP="008D6B17">
      <w:pPr>
        <w:spacing w:after="0" w:line="240" w:lineRule="auto"/>
        <w:jc w:val="both"/>
        <w:rPr>
          <w:rFonts w:ascii="Verdana" w:hAnsi="Verdana" w:cs="Arial"/>
          <w:bCs/>
          <w:sz w:val="20"/>
          <w:szCs w:val="20"/>
          <w:lang w:val="es-ES" w:eastAsia="es-ES_tradnl"/>
        </w:rPr>
      </w:pPr>
    </w:p>
    <w:p w14:paraId="3CC60DBB" w14:textId="77777777" w:rsidR="008D6B17" w:rsidRPr="00155A89" w:rsidRDefault="008D6B17" w:rsidP="008D6B17">
      <w:pPr>
        <w:spacing w:after="0" w:line="240" w:lineRule="auto"/>
        <w:jc w:val="both"/>
        <w:rPr>
          <w:rFonts w:ascii="Verdana" w:hAnsi="Verdana" w:cs="Arial"/>
          <w:bCs/>
          <w:sz w:val="20"/>
          <w:szCs w:val="20"/>
          <w:lang w:val="es-ES" w:eastAsia="es-ES_tradnl"/>
        </w:rPr>
      </w:pPr>
      <w:r w:rsidRPr="00155A89">
        <w:rPr>
          <w:rFonts w:ascii="Verdana" w:hAnsi="Verdana" w:cs="Arial"/>
          <w:bCs/>
          <w:sz w:val="20"/>
          <w:szCs w:val="20"/>
          <w:lang w:val="es-ES" w:eastAsia="es-ES_tradnl"/>
        </w:rPr>
        <w:t>En este sentido, las fundaciones y asociaciones sin ánimo de lucro -ESAL- pueden participar en procesos de contratación, ya sea de forma individual o bajo modalidades de consorcio o unión temporal, ya que no se encuentran inhabilitadas y dicha actividad no está prohibida en el ordenamiento jurídico colombiano.</w:t>
      </w:r>
    </w:p>
    <w:p w14:paraId="1509879E" w14:textId="77777777" w:rsidR="008D6B17" w:rsidRDefault="008D6B17" w:rsidP="008D6B17">
      <w:pPr>
        <w:spacing w:after="0" w:line="240" w:lineRule="auto"/>
        <w:rPr>
          <w:rFonts w:ascii="Verdana" w:eastAsia="Geomanist Light" w:hAnsi="Verdana" w:cs="Arial"/>
          <w:color w:val="000000" w:themeColor="text1"/>
          <w:lang w:val="es-MX"/>
        </w:rPr>
      </w:pPr>
    </w:p>
    <w:p w14:paraId="4BEA604A" w14:textId="77777777" w:rsidR="00151AD2" w:rsidRDefault="00151AD2" w:rsidP="008D6B17">
      <w:pPr>
        <w:spacing w:after="0" w:line="240" w:lineRule="auto"/>
        <w:jc w:val="both"/>
        <w:rPr>
          <w:rFonts w:ascii="Verdana" w:eastAsia="Calibri" w:hAnsi="Verdana" w:cs="Arial"/>
          <w:b/>
          <w:bCs/>
          <w:lang w:eastAsia="es-ES"/>
        </w:rPr>
      </w:pPr>
      <w:r w:rsidRPr="00151AD2">
        <w:rPr>
          <w:rFonts w:ascii="Verdana" w:eastAsia="Calibri" w:hAnsi="Verdana" w:cs="Arial"/>
          <w:b/>
          <w:bCs/>
          <w:lang w:eastAsia="es-ES"/>
        </w:rPr>
        <w:t xml:space="preserve">SISTEMA DE PREFERENCIA PARA PERSONAS CON DISCAPACIDAD ‒ Constitución Política ‒ Ley 1618 de 2013 </w:t>
      </w:r>
    </w:p>
    <w:p w14:paraId="447CD996" w14:textId="77777777" w:rsidR="00151AD2" w:rsidRDefault="00151AD2" w:rsidP="008D6B17">
      <w:pPr>
        <w:spacing w:after="0" w:line="240" w:lineRule="auto"/>
        <w:jc w:val="both"/>
        <w:rPr>
          <w:rFonts w:ascii="Verdana" w:eastAsia="Calibri" w:hAnsi="Verdana" w:cs="Arial"/>
          <w:b/>
          <w:bCs/>
          <w:lang w:eastAsia="es-ES"/>
        </w:rPr>
      </w:pPr>
    </w:p>
    <w:p w14:paraId="06F76973" w14:textId="2E8FD9D1" w:rsidR="00151AD2" w:rsidRDefault="00151AD2" w:rsidP="00151AD2">
      <w:pPr>
        <w:spacing w:after="0" w:line="240" w:lineRule="auto"/>
        <w:jc w:val="both"/>
        <w:rPr>
          <w:rFonts w:ascii="Verdana" w:hAnsi="Verdana" w:cs="Arial"/>
          <w:bCs/>
          <w:sz w:val="20"/>
          <w:szCs w:val="20"/>
          <w:lang w:val="es-ES" w:eastAsia="es-ES_tradnl"/>
        </w:rPr>
      </w:pPr>
      <w:r w:rsidRPr="00151AD2">
        <w:rPr>
          <w:rFonts w:ascii="Verdana" w:hAnsi="Verdana" w:cs="Arial"/>
          <w:bCs/>
          <w:sz w:val="20"/>
          <w:szCs w:val="20"/>
          <w:lang w:val="es-ES" w:eastAsia="es-ES_tradnl"/>
        </w:rPr>
        <w:t>El fundamento del Sistema de Preferencias para Personas con Discapacidad (</w:t>
      </w:r>
      <w:proofErr w:type="spellStart"/>
      <w:r w:rsidRPr="00151AD2">
        <w:rPr>
          <w:rFonts w:ascii="Verdana" w:hAnsi="Verdana" w:cs="Arial"/>
          <w:bCs/>
          <w:sz w:val="20"/>
          <w:szCs w:val="20"/>
          <w:lang w:val="es-ES" w:eastAsia="es-ES_tradnl"/>
        </w:rPr>
        <w:t>PcD</w:t>
      </w:r>
      <w:proofErr w:type="spellEnd"/>
      <w:r w:rsidRPr="00151AD2">
        <w:rPr>
          <w:rFonts w:ascii="Verdana" w:hAnsi="Verdana" w:cs="Arial"/>
          <w:bCs/>
          <w:sz w:val="20"/>
          <w:szCs w:val="20"/>
          <w:lang w:val="es-ES" w:eastAsia="es-ES_tradnl"/>
        </w:rPr>
        <w:t>) en la contratación pública es el principio de igualdad real y efectiva consagrado en el artículo 13 de la Constitución Política de 1991, que impone al Estado el deber positivo de adoptar acciones afirmativas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w:t>
      </w:r>
      <w:r>
        <w:rPr>
          <w:rFonts w:ascii="Verdana" w:hAnsi="Verdana" w:cs="Arial"/>
          <w:bCs/>
          <w:sz w:val="20"/>
          <w:szCs w:val="20"/>
          <w:lang w:val="es-ES" w:eastAsia="es-ES_tradnl"/>
        </w:rPr>
        <w:t>.</w:t>
      </w:r>
      <w:r w:rsidRPr="00151AD2">
        <w:t xml:space="preserve"> </w:t>
      </w:r>
      <w:r w:rsidRPr="00151AD2">
        <w:rPr>
          <w:rFonts w:ascii="Verdana" w:hAnsi="Verdana" w:cs="Arial"/>
          <w:bCs/>
          <w:sz w:val="20"/>
          <w:szCs w:val="20"/>
          <w:lang w:val="es-ES" w:eastAsia="es-ES_tradnl"/>
        </w:rPr>
        <w:t xml:space="preserve">Los artículos 47 y 54 de la Carta Política refuerzan este mandato al ordenar políticas de integración social y ubicación laboral para las </w:t>
      </w:r>
      <w:proofErr w:type="spellStart"/>
      <w:r w:rsidRPr="00151AD2">
        <w:rPr>
          <w:rFonts w:ascii="Verdana" w:hAnsi="Verdana" w:cs="Arial"/>
          <w:bCs/>
          <w:sz w:val="20"/>
          <w:szCs w:val="20"/>
          <w:lang w:val="es-ES" w:eastAsia="es-ES_tradnl"/>
        </w:rPr>
        <w:t>PcD</w:t>
      </w:r>
      <w:proofErr w:type="spellEnd"/>
      <w:r w:rsidRPr="00151AD2">
        <w:rPr>
          <w:rFonts w:ascii="Verdana" w:hAnsi="Verdana" w:cs="Arial"/>
          <w:bCs/>
          <w:sz w:val="20"/>
          <w:szCs w:val="20"/>
          <w:lang w:val="es-ES" w:eastAsia="es-ES_tradnl"/>
        </w:rPr>
        <w:t>.</w:t>
      </w:r>
    </w:p>
    <w:p w14:paraId="752AD655" w14:textId="77777777" w:rsidR="00151AD2" w:rsidRDefault="00151AD2" w:rsidP="00151AD2">
      <w:pPr>
        <w:spacing w:after="0" w:line="240" w:lineRule="auto"/>
        <w:jc w:val="both"/>
        <w:rPr>
          <w:rFonts w:ascii="Verdana" w:hAnsi="Verdana" w:cs="Arial"/>
          <w:bCs/>
          <w:sz w:val="20"/>
          <w:szCs w:val="20"/>
          <w:lang w:val="es-ES" w:eastAsia="es-ES_tradnl"/>
        </w:rPr>
      </w:pPr>
    </w:p>
    <w:p w14:paraId="2FA1C931" w14:textId="65E901E5" w:rsidR="00151AD2" w:rsidRDefault="00151AD2" w:rsidP="00151AD2">
      <w:pPr>
        <w:spacing w:after="0" w:line="240" w:lineRule="auto"/>
        <w:jc w:val="both"/>
        <w:rPr>
          <w:rFonts w:ascii="Verdana" w:eastAsia="Aptos" w:hAnsi="Verdana" w:cs="Times New Roman"/>
          <w:kern w:val="2"/>
          <w:sz w:val="20"/>
          <w:szCs w:val="20"/>
          <w14:ligatures w14:val="standardContextual"/>
        </w:rPr>
      </w:pPr>
      <w:r w:rsidRPr="00825B8D">
        <w:rPr>
          <w:rFonts w:ascii="Verdana" w:eastAsia="Aptos" w:hAnsi="Verdana" w:cs="Times New Roman"/>
          <w:kern w:val="2"/>
          <w:sz w:val="20"/>
          <w:szCs w:val="20"/>
          <w14:ligatures w14:val="standardContextual"/>
        </w:rPr>
        <w:t>[…]</w:t>
      </w:r>
    </w:p>
    <w:p w14:paraId="47DC3A11" w14:textId="77777777" w:rsidR="00151AD2" w:rsidRPr="00151AD2" w:rsidRDefault="00151AD2" w:rsidP="00151AD2">
      <w:pPr>
        <w:spacing w:after="0" w:line="240" w:lineRule="auto"/>
        <w:jc w:val="both"/>
        <w:rPr>
          <w:rFonts w:ascii="Verdana" w:hAnsi="Verdana" w:cs="Arial"/>
          <w:bCs/>
          <w:sz w:val="20"/>
          <w:szCs w:val="20"/>
          <w:lang w:val="es-ES" w:eastAsia="es-ES_tradnl"/>
        </w:rPr>
      </w:pPr>
    </w:p>
    <w:p w14:paraId="0E23F93F" w14:textId="1E1A4DAC" w:rsidR="00151AD2" w:rsidRPr="00151AD2" w:rsidRDefault="00151AD2" w:rsidP="00151AD2">
      <w:pPr>
        <w:spacing w:after="0" w:line="240" w:lineRule="auto"/>
        <w:jc w:val="both"/>
        <w:rPr>
          <w:rFonts w:ascii="Verdana" w:hAnsi="Verdana" w:cs="Arial"/>
          <w:bCs/>
          <w:sz w:val="20"/>
          <w:szCs w:val="20"/>
          <w:lang w:val="es-ES" w:eastAsia="es-ES_tradnl"/>
        </w:rPr>
      </w:pPr>
      <w:r w:rsidRPr="00151AD2">
        <w:rPr>
          <w:rFonts w:ascii="Verdana" w:hAnsi="Verdana" w:cs="Arial"/>
          <w:bCs/>
          <w:sz w:val="20"/>
          <w:szCs w:val="20"/>
          <w:lang w:val="es-ES" w:eastAsia="es-ES_tradnl"/>
        </w:rPr>
        <w:t xml:space="preserve">La Ley Estatutaria 1618 de 2013 representó un salto cualitativo en el marco jurídico de protección de las </w:t>
      </w:r>
      <w:proofErr w:type="spellStart"/>
      <w:r w:rsidRPr="00151AD2">
        <w:rPr>
          <w:rFonts w:ascii="Verdana" w:hAnsi="Verdana" w:cs="Arial"/>
          <w:bCs/>
          <w:sz w:val="20"/>
          <w:szCs w:val="20"/>
          <w:lang w:val="es-ES" w:eastAsia="es-ES_tradnl"/>
        </w:rPr>
        <w:t>PcD</w:t>
      </w:r>
      <w:proofErr w:type="spellEnd"/>
      <w:r w:rsidRPr="00151AD2">
        <w:rPr>
          <w:rFonts w:ascii="Verdana" w:hAnsi="Verdana" w:cs="Arial"/>
          <w:bCs/>
          <w:sz w:val="20"/>
          <w:szCs w:val="20"/>
          <w:lang w:val="es-ES" w:eastAsia="es-ES_tradnl"/>
        </w:rPr>
        <w:t xml:space="preserve">, al definir a estas como "aquellas personas que tengan deficiencias físicas, mentales, intelectuales o sensoriales a mediano y largo plazo que, al interactuar con diversas barreras incluyendo las actitudinales, puedan impedir su participación plena </w:t>
      </w:r>
      <w:r w:rsidRPr="00151AD2">
        <w:rPr>
          <w:rFonts w:ascii="Verdana" w:hAnsi="Verdana" w:cs="Arial"/>
          <w:bCs/>
          <w:sz w:val="20"/>
          <w:szCs w:val="20"/>
          <w:lang w:val="es-ES" w:eastAsia="es-ES_tradnl"/>
        </w:rPr>
        <w:lastRenderedPageBreak/>
        <w:t>y efectiva en la sociedad, en igualdad de condiciones con las demás</w:t>
      </w:r>
      <w:proofErr w:type="gramStart"/>
      <w:r w:rsidRPr="00151AD2">
        <w:rPr>
          <w:rFonts w:ascii="Verdana" w:hAnsi="Verdana" w:cs="Arial"/>
          <w:bCs/>
          <w:sz w:val="20"/>
          <w:szCs w:val="20"/>
          <w:lang w:val="es-ES" w:eastAsia="es-ES_tradnl"/>
        </w:rPr>
        <w:t>" .</w:t>
      </w:r>
      <w:proofErr w:type="gramEnd"/>
      <w:r w:rsidRPr="00151AD2">
        <w:rPr>
          <w:rFonts w:ascii="Verdana" w:hAnsi="Verdana" w:cs="Arial"/>
          <w:bCs/>
          <w:sz w:val="20"/>
          <w:szCs w:val="20"/>
          <w:lang w:val="es-ES" w:eastAsia="es-ES_tradnl"/>
        </w:rPr>
        <w:t xml:space="preserve"> Su artículo 13, en los numerales 1, 7 y 8, ordenó al Gobierno Nacional reglamentar: una puntuación adicional en licitación pública, concurso de méritos y contratación directa para empresas que vinculen </w:t>
      </w:r>
      <w:proofErr w:type="spellStart"/>
      <w:r w:rsidRPr="00151AD2">
        <w:rPr>
          <w:rFonts w:ascii="Verdana" w:hAnsi="Verdana" w:cs="Arial"/>
          <w:bCs/>
          <w:sz w:val="20"/>
          <w:szCs w:val="20"/>
          <w:lang w:val="es-ES" w:eastAsia="es-ES_tradnl"/>
        </w:rPr>
        <w:t>PcD</w:t>
      </w:r>
      <w:proofErr w:type="spellEnd"/>
      <w:r w:rsidRPr="00151AD2">
        <w:rPr>
          <w:rFonts w:ascii="Verdana" w:hAnsi="Verdana" w:cs="Arial"/>
          <w:bCs/>
          <w:sz w:val="20"/>
          <w:szCs w:val="20"/>
          <w:lang w:val="es-ES" w:eastAsia="es-ES_tradnl"/>
        </w:rPr>
        <w:t xml:space="preserve"> y para empresas de </w:t>
      </w:r>
      <w:proofErr w:type="spellStart"/>
      <w:r w:rsidRPr="00151AD2">
        <w:rPr>
          <w:rFonts w:ascii="Verdana" w:hAnsi="Verdana" w:cs="Arial"/>
          <w:bCs/>
          <w:sz w:val="20"/>
          <w:szCs w:val="20"/>
          <w:lang w:val="es-ES" w:eastAsia="es-ES_tradnl"/>
        </w:rPr>
        <w:t>PcD</w:t>
      </w:r>
      <w:proofErr w:type="spellEnd"/>
      <w:r w:rsidRPr="00151AD2">
        <w:rPr>
          <w:rFonts w:ascii="Verdana" w:hAnsi="Verdana" w:cs="Arial"/>
          <w:bCs/>
          <w:sz w:val="20"/>
          <w:szCs w:val="20"/>
          <w:lang w:val="es-ES" w:eastAsia="es-ES_tradnl"/>
        </w:rPr>
        <w:t xml:space="preserve">; un sistema de preferencias para empleadores de </w:t>
      </w:r>
      <w:proofErr w:type="spellStart"/>
      <w:r w:rsidRPr="00151AD2">
        <w:rPr>
          <w:rFonts w:ascii="Verdana" w:hAnsi="Verdana" w:cs="Arial"/>
          <w:bCs/>
          <w:sz w:val="20"/>
          <w:szCs w:val="20"/>
          <w:lang w:val="es-ES" w:eastAsia="es-ES_tradnl"/>
        </w:rPr>
        <w:t>PcD</w:t>
      </w:r>
      <w:proofErr w:type="spellEnd"/>
      <w:r w:rsidRPr="00151AD2">
        <w:rPr>
          <w:rFonts w:ascii="Verdana" w:hAnsi="Verdana" w:cs="Arial"/>
          <w:bCs/>
          <w:sz w:val="20"/>
          <w:szCs w:val="20"/>
          <w:lang w:val="es-ES" w:eastAsia="es-ES_tradnl"/>
        </w:rPr>
        <w:t xml:space="preserve"> en la adjudicación; y un sistema de preferencias en favor de las propias </w:t>
      </w:r>
      <w:proofErr w:type="spellStart"/>
      <w:r w:rsidRPr="00151AD2">
        <w:rPr>
          <w:rFonts w:ascii="Verdana" w:hAnsi="Verdana" w:cs="Arial"/>
          <w:bCs/>
          <w:sz w:val="20"/>
          <w:szCs w:val="20"/>
          <w:lang w:val="es-ES" w:eastAsia="es-ES_tradnl"/>
        </w:rPr>
        <w:t>PcD</w:t>
      </w:r>
      <w:proofErr w:type="spellEnd"/>
      <w:r w:rsidRPr="00151AD2">
        <w:rPr>
          <w:rFonts w:ascii="Verdana" w:hAnsi="Verdana" w:cs="Arial"/>
          <w:bCs/>
          <w:sz w:val="20"/>
          <w:szCs w:val="20"/>
          <w:lang w:val="es-ES" w:eastAsia="es-ES_tradnl"/>
        </w:rPr>
        <w:t xml:space="preserve"> como contratistas. Este último mandato fue especialmente significativo porque introdujo el concepto de "sistema de preferencias", que por definición no puede reducirse a una sola </w:t>
      </w:r>
      <w:proofErr w:type="gramStart"/>
      <w:r w:rsidRPr="00151AD2">
        <w:rPr>
          <w:rFonts w:ascii="Verdana" w:hAnsi="Verdana" w:cs="Arial"/>
          <w:bCs/>
          <w:sz w:val="20"/>
          <w:szCs w:val="20"/>
          <w:lang w:val="es-ES" w:eastAsia="es-ES_tradnl"/>
        </w:rPr>
        <w:t>medida</w:t>
      </w:r>
      <w:proofErr w:type="gramEnd"/>
      <w:r w:rsidRPr="00151AD2">
        <w:rPr>
          <w:rFonts w:ascii="Verdana" w:hAnsi="Verdana" w:cs="Arial"/>
          <w:bCs/>
          <w:sz w:val="20"/>
          <w:szCs w:val="20"/>
          <w:lang w:val="es-ES" w:eastAsia="es-ES_tradnl"/>
        </w:rPr>
        <w:t xml:space="preserve"> sino que implica un conjunto estructurado de instrumentos que actúen en las distintas fases del proceso contractual.</w:t>
      </w:r>
    </w:p>
    <w:p w14:paraId="29EDA957" w14:textId="77777777" w:rsidR="00151AD2" w:rsidRDefault="00151AD2" w:rsidP="008D6B17">
      <w:pPr>
        <w:spacing w:after="0" w:line="240" w:lineRule="auto"/>
        <w:jc w:val="both"/>
        <w:rPr>
          <w:rFonts w:ascii="Verdana" w:eastAsia="Calibri" w:hAnsi="Verdana" w:cs="Arial"/>
          <w:b/>
          <w:bCs/>
          <w:lang w:eastAsia="es-ES"/>
        </w:rPr>
      </w:pPr>
    </w:p>
    <w:p w14:paraId="29A47338" w14:textId="151D8E6D" w:rsidR="008D6B17" w:rsidRDefault="008D6B17" w:rsidP="008D6B17">
      <w:pPr>
        <w:spacing w:after="0" w:line="240" w:lineRule="auto"/>
        <w:jc w:val="both"/>
        <w:rPr>
          <w:rFonts w:ascii="Verdana" w:eastAsia="Calibri" w:hAnsi="Verdana" w:cs="Arial"/>
          <w:b/>
          <w:bCs/>
          <w:lang w:eastAsia="es-ES"/>
        </w:rPr>
      </w:pPr>
      <w:r w:rsidRPr="00E554A1">
        <w:rPr>
          <w:rFonts w:ascii="Verdana" w:eastAsia="Calibri" w:hAnsi="Verdana" w:cs="Arial"/>
          <w:b/>
          <w:bCs/>
          <w:lang w:eastAsia="es-ES"/>
        </w:rPr>
        <w:t xml:space="preserve">DECRETO 0287 DE 2026 ‒ Sistema Integral de Preferencias ‒ Contratación pública inclusiva ‒ Personas con discapacidad </w:t>
      </w:r>
    </w:p>
    <w:p w14:paraId="24E4F560" w14:textId="77777777" w:rsidR="008D6B17" w:rsidRDefault="008D6B17" w:rsidP="008D6B17">
      <w:pPr>
        <w:spacing w:after="0" w:line="240" w:lineRule="auto"/>
        <w:jc w:val="both"/>
        <w:rPr>
          <w:rFonts w:ascii="Verdana" w:eastAsia="Calibri" w:hAnsi="Verdana" w:cs="Arial"/>
          <w:b/>
          <w:bCs/>
          <w:lang w:eastAsia="es-ES"/>
        </w:rPr>
      </w:pPr>
    </w:p>
    <w:p w14:paraId="7EA62908" w14:textId="77777777" w:rsidR="008D6B17" w:rsidRDefault="008D6B17" w:rsidP="008D6B17">
      <w:pPr>
        <w:spacing w:after="0" w:line="240" w:lineRule="auto"/>
        <w:jc w:val="both"/>
        <w:rPr>
          <w:rFonts w:ascii="Verdana" w:eastAsia="Calibri" w:hAnsi="Verdana" w:cs="Arial"/>
          <w:sz w:val="20"/>
          <w:szCs w:val="20"/>
          <w:lang w:eastAsia="es-ES"/>
        </w:rPr>
      </w:pPr>
      <w:r w:rsidRPr="00915323">
        <w:rPr>
          <w:rFonts w:ascii="Verdana" w:eastAsia="Calibri" w:hAnsi="Verdana" w:cs="Arial"/>
          <w:sz w:val="20"/>
          <w:szCs w:val="20"/>
          <w:lang w:eastAsia="es-ES"/>
        </w:rPr>
        <w:t xml:space="preserve">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pues solo contempló el 1% de puntaje para empleadores de </w:t>
      </w:r>
      <w:proofErr w:type="spellStart"/>
      <w:r w:rsidRPr="00915323">
        <w:rPr>
          <w:rFonts w:ascii="Verdana" w:eastAsia="Calibri" w:hAnsi="Verdana" w:cs="Arial"/>
          <w:sz w:val="20"/>
          <w:szCs w:val="20"/>
          <w:lang w:eastAsia="es-ES"/>
        </w:rPr>
        <w:t>PcD</w:t>
      </w:r>
      <w:proofErr w:type="spellEnd"/>
      <w:r w:rsidRPr="00915323">
        <w:rPr>
          <w:rFonts w:ascii="Verdana" w:eastAsia="Calibri" w:hAnsi="Verdana" w:cs="Arial"/>
          <w:sz w:val="20"/>
          <w:szCs w:val="20"/>
          <w:lang w:eastAsia="es-ES"/>
        </w:rPr>
        <w:t xml:space="preserve">, sin incluir a las empresas de </w:t>
      </w:r>
      <w:proofErr w:type="spellStart"/>
      <w:r w:rsidRPr="00915323">
        <w:rPr>
          <w:rFonts w:ascii="Verdana" w:eastAsia="Calibri" w:hAnsi="Verdana" w:cs="Arial"/>
          <w:sz w:val="20"/>
          <w:szCs w:val="20"/>
          <w:lang w:eastAsia="es-ES"/>
        </w:rPr>
        <w:t>PcD</w:t>
      </w:r>
      <w:proofErr w:type="spellEnd"/>
      <w:r w:rsidRPr="00915323">
        <w:rPr>
          <w:rFonts w:ascii="Verdana" w:eastAsia="Calibri" w:hAnsi="Verdana" w:cs="Arial"/>
          <w:sz w:val="20"/>
          <w:szCs w:val="20"/>
          <w:lang w:eastAsia="es-ES"/>
        </w:rPr>
        <w:t xml:space="preserve">,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sistema de preferencias en favor de las propias </w:t>
      </w:r>
      <w:proofErr w:type="spellStart"/>
      <w:r w:rsidRPr="00915323">
        <w:rPr>
          <w:rFonts w:ascii="Verdana" w:eastAsia="Calibri" w:hAnsi="Verdana" w:cs="Arial"/>
          <w:sz w:val="20"/>
          <w:szCs w:val="20"/>
          <w:lang w:eastAsia="es-ES"/>
        </w:rPr>
        <w:t>PcD</w:t>
      </w:r>
      <w:proofErr w:type="spellEnd"/>
      <w:r w:rsidRPr="00915323">
        <w:rPr>
          <w:rFonts w:ascii="Verdana" w:eastAsia="Calibri" w:hAnsi="Verdana" w:cs="Arial"/>
          <w:sz w:val="20"/>
          <w:szCs w:val="20"/>
          <w:lang w:eastAsia="es-ES"/>
        </w:rPr>
        <w:t xml:space="preserve"> como contratistas.</w:t>
      </w:r>
    </w:p>
    <w:p w14:paraId="47810AD9" w14:textId="77777777" w:rsidR="008D6B17" w:rsidRPr="00915323" w:rsidRDefault="008D6B17" w:rsidP="008D6B17">
      <w:pPr>
        <w:spacing w:after="0" w:line="240" w:lineRule="auto"/>
        <w:jc w:val="both"/>
        <w:rPr>
          <w:rFonts w:ascii="Verdana" w:eastAsia="Calibri" w:hAnsi="Verdana" w:cs="Arial"/>
          <w:sz w:val="20"/>
          <w:szCs w:val="20"/>
          <w:lang w:eastAsia="es-ES"/>
        </w:rPr>
      </w:pPr>
    </w:p>
    <w:p w14:paraId="3C89F2E3" w14:textId="77777777" w:rsidR="008D6B17" w:rsidRPr="00915323" w:rsidRDefault="008D6B17" w:rsidP="008D6B17">
      <w:pPr>
        <w:spacing w:after="0" w:line="240" w:lineRule="auto"/>
        <w:jc w:val="both"/>
        <w:rPr>
          <w:rFonts w:ascii="Verdana" w:eastAsia="Calibri" w:hAnsi="Verdana" w:cs="Arial"/>
          <w:sz w:val="20"/>
          <w:szCs w:val="20"/>
          <w:lang w:eastAsia="es-ES"/>
        </w:rPr>
      </w:pPr>
      <w:r w:rsidRPr="00915323">
        <w:rPr>
          <w:rFonts w:ascii="Verdana" w:eastAsia="Calibri" w:hAnsi="Verdana" w:cs="Arial"/>
          <w:sz w:val="20"/>
          <w:szCs w:val="20"/>
          <w:lang w:eastAsia="es-ES"/>
        </w:rPr>
        <w:t>Lo anterior fue ratificado por el Consejo de Estado</w:t>
      </w:r>
      <w:r>
        <w:rPr>
          <w:rFonts w:ascii="Verdana" w:eastAsia="Calibri" w:hAnsi="Verdana" w:cs="Arial"/>
          <w:sz w:val="20"/>
          <w:szCs w:val="20"/>
          <w:lang w:eastAsia="es-ES"/>
        </w:rPr>
        <w:t xml:space="preserve"> </w:t>
      </w:r>
      <w:proofErr w:type="gramStart"/>
      <w:r w:rsidRPr="00915323">
        <w:rPr>
          <w:rFonts w:ascii="Verdana" w:eastAsia="Calibri" w:hAnsi="Verdana" w:cs="Arial"/>
          <w:sz w:val="20"/>
          <w:szCs w:val="20"/>
          <w:lang w:eastAsia="es-ES"/>
        </w:rPr>
        <w:t>que</w:t>
      </w:r>
      <w:proofErr w:type="gramEnd"/>
      <w:r w:rsidRPr="00915323">
        <w:rPr>
          <w:rFonts w:ascii="Verdana" w:eastAsia="Calibri" w:hAnsi="Verdana" w:cs="Arial"/>
          <w:sz w:val="20"/>
          <w:szCs w:val="20"/>
          <w:lang w:eastAsia="es-ES"/>
        </w:rPr>
        <w:t xml:space="preserve"> mediante una acción de cumplimiento, declaró el incumplimiento del deber de reglamentar integralmente el artículo 13 de la Ley 1618 de 2013 y ordenó al Gobierno Nacional expedir la regulación necesaria para hacer efectivo el sistema de preferencias en favor de las personas con discapacidad, sus emprendimientos y empresas que las contratan. La Sala calificó la obligación como imperativa, expresa e inobjetable, señalando que el Gobierno Nacional no contaba con margen de discrecionalidad para decidir si reglamentaba o no el sistema de preferencias.</w:t>
      </w:r>
    </w:p>
    <w:p w14:paraId="1337AFF5" w14:textId="77777777" w:rsidR="008D6B17" w:rsidRDefault="008D6B17" w:rsidP="008D6B17">
      <w:pPr>
        <w:spacing w:after="0" w:line="240" w:lineRule="auto"/>
        <w:jc w:val="both"/>
        <w:rPr>
          <w:rFonts w:ascii="Verdana" w:eastAsia="Calibri" w:hAnsi="Verdana" w:cs="Arial"/>
          <w:b/>
          <w:bCs/>
          <w:lang w:eastAsia="es-ES"/>
        </w:rPr>
      </w:pPr>
    </w:p>
    <w:p w14:paraId="5A65F40A" w14:textId="77777777" w:rsidR="008D6B17" w:rsidRPr="001B3C5D" w:rsidRDefault="008D6B17" w:rsidP="008D6B17">
      <w:pPr>
        <w:spacing w:after="0" w:line="240" w:lineRule="auto"/>
        <w:jc w:val="both"/>
        <w:rPr>
          <w:rFonts w:ascii="Verdana" w:eastAsia="Calibri" w:hAnsi="Verdana" w:cs="Arial"/>
          <w:color w:val="000000"/>
          <w:kern w:val="2"/>
          <w:sz w:val="20"/>
          <w:szCs w:val="20"/>
          <w:lang w:val="es-MX"/>
          <w14:ligatures w14:val="standardContextual"/>
        </w:rPr>
      </w:pPr>
      <w:r w:rsidRPr="007C0A2B">
        <w:rPr>
          <w:rFonts w:ascii="Verdana" w:eastAsia="Calibri" w:hAnsi="Verdana" w:cs="Arial"/>
          <w:color w:val="000000"/>
          <w:kern w:val="2"/>
          <w:sz w:val="20"/>
          <w:szCs w:val="20"/>
          <w14:ligatures w14:val="standardContextual"/>
        </w:rPr>
        <w:t xml:space="preserve">En cumplimiento de esa decisión fue expedido el Decreto 0287 de 2026, el cual establece un Sistema Integral de Preferencias compuesto por cinco medidas afirmativas que actúan en todas las fases del proceso contractual, planeación, selección, adjudicación y ejecución, y que benefician a dos sujetos diferenciados: los emprendimientos y empresas de </w:t>
      </w:r>
      <w:proofErr w:type="spellStart"/>
      <w:r w:rsidRPr="007C0A2B">
        <w:rPr>
          <w:rFonts w:ascii="Verdana" w:eastAsia="Calibri" w:hAnsi="Verdana" w:cs="Arial"/>
          <w:color w:val="000000"/>
          <w:kern w:val="2"/>
          <w:sz w:val="20"/>
          <w:szCs w:val="20"/>
          <w14:ligatures w14:val="standardContextual"/>
        </w:rPr>
        <w:t>PcD</w:t>
      </w:r>
      <w:proofErr w:type="spellEnd"/>
      <w:r w:rsidRPr="007C0A2B">
        <w:rPr>
          <w:rFonts w:ascii="Verdana" w:eastAsia="Calibri" w:hAnsi="Verdana" w:cs="Arial"/>
          <w:color w:val="000000"/>
          <w:kern w:val="2"/>
          <w:sz w:val="20"/>
          <w:szCs w:val="20"/>
          <w14:ligatures w14:val="standardContextual"/>
        </w:rPr>
        <w:t xml:space="preserve"> y los empleadores de </w:t>
      </w:r>
      <w:proofErr w:type="spellStart"/>
      <w:r w:rsidRPr="007C0A2B">
        <w:rPr>
          <w:rFonts w:ascii="Verdana" w:eastAsia="Calibri" w:hAnsi="Verdana" w:cs="Arial"/>
          <w:color w:val="000000"/>
          <w:kern w:val="2"/>
          <w:sz w:val="20"/>
          <w:szCs w:val="20"/>
          <w14:ligatures w14:val="standardContextual"/>
        </w:rPr>
        <w:t>PcD</w:t>
      </w:r>
      <w:proofErr w:type="spellEnd"/>
      <w:r w:rsidRPr="007C0A2B">
        <w:rPr>
          <w:rFonts w:ascii="Verdana" w:eastAsia="Calibri" w:hAnsi="Verdana" w:cs="Arial"/>
          <w:color w:val="000000"/>
          <w:kern w:val="2"/>
          <w:sz w:val="20"/>
          <w:szCs w:val="20"/>
          <w14:ligatures w14:val="standardContextual"/>
        </w:rPr>
        <w:t>. Mediante la expedición del mencionado decreto, se modificaron los artículos 2.2.1.2.4.2.6, 2.2.1.2.4.2.7. y 2.2.1.2.4.2.8. del Decreto 1082 de 2015 y se adicionan otras normas</w:t>
      </w:r>
      <w:r>
        <w:rPr>
          <w:rFonts w:ascii="Verdana" w:eastAsia="Calibri" w:hAnsi="Verdana" w:cs="Arial"/>
          <w:color w:val="000000"/>
          <w:kern w:val="2"/>
          <w:sz w:val="20"/>
          <w:szCs w:val="20"/>
          <w14:ligatures w14:val="standardContextual"/>
        </w:rPr>
        <w:t xml:space="preserve">. </w:t>
      </w:r>
    </w:p>
    <w:p w14:paraId="144FF9A7" w14:textId="77777777" w:rsidR="008D6B17" w:rsidRDefault="008D6B17" w:rsidP="008D6B17">
      <w:pPr>
        <w:spacing w:after="0" w:line="240" w:lineRule="auto"/>
        <w:jc w:val="both"/>
        <w:rPr>
          <w:rFonts w:ascii="Verdana" w:eastAsia="Calibri" w:hAnsi="Verdana" w:cs="Arial"/>
          <w:b/>
          <w:bCs/>
          <w:lang w:eastAsia="es-ES"/>
        </w:rPr>
      </w:pPr>
    </w:p>
    <w:p w14:paraId="5B294339" w14:textId="2D61DC28" w:rsidR="008D6B17" w:rsidRPr="00E554A1" w:rsidRDefault="008D6B17" w:rsidP="008D6B17">
      <w:pPr>
        <w:spacing w:after="0" w:line="240" w:lineRule="auto"/>
        <w:jc w:val="both"/>
        <w:rPr>
          <w:rFonts w:ascii="Verdana" w:eastAsia="Geomanist Light" w:hAnsi="Verdana" w:cs="Arial"/>
          <w:b/>
          <w:bCs/>
          <w:color w:val="000000" w:themeColor="text1"/>
          <w:lang w:val="es-MX"/>
        </w:rPr>
      </w:pPr>
      <w:r w:rsidRPr="00E554A1">
        <w:rPr>
          <w:rFonts w:ascii="Verdana" w:eastAsia="Calibri" w:hAnsi="Verdana" w:cs="Arial"/>
          <w:b/>
          <w:bCs/>
          <w:lang w:eastAsia="es-ES"/>
        </w:rPr>
        <w:t>DECRETO 0287 DE 2026 ‒ Puntaje adicional del 2% ‒ Documentos ‒ Acreditación ‒ Aportes a seguridad social ‒ 3 meses</w:t>
      </w:r>
    </w:p>
    <w:p w14:paraId="6A8A5E09" w14:textId="77777777" w:rsidR="00EF0FBF" w:rsidRDefault="00EF0FBF" w:rsidP="008D6B17">
      <w:pPr>
        <w:spacing w:after="0" w:line="240" w:lineRule="auto"/>
        <w:jc w:val="both"/>
        <w:rPr>
          <w:rFonts w:ascii="Verdana" w:eastAsia="Calibri" w:hAnsi="Verdana" w:cs="Arial"/>
          <w:color w:val="000000"/>
          <w:kern w:val="2"/>
          <w:sz w:val="20"/>
          <w:szCs w:val="20"/>
          <w14:ligatures w14:val="standardContextual"/>
        </w:rPr>
      </w:pPr>
    </w:p>
    <w:p w14:paraId="6DE79A66" w14:textId="77777777" w:rsidR="009463AE" w:rsidRPr="009463AE" w:rsidRDefault="009463AE" w:rsidP="009463AE">
      <w:pPr>
        <w:spacing w:after="0" w:line="240" w:lineRule="auto"/>
        <w:jc w:val="both"/>
        <w:rPr>
          <w:rFonts w:ascii="Verdana" w:eastAsia="Calibri" w:hAnsi="Verdana" w:cs="Arial"/>
          <w:color w:val="000000"/>
          <w:kern w:val="2"/>
          <w:sz w:val="20"/>
          <w:szCs w:val="20"/>
          <w14:ligatures w14:val="standardContextual"/>
        </w:rPr>
      </w:pPr>
      <w:r w:rsidRPr="009463AE">
        <w:rPr>
          <w:rFonts w:ascii="Verdana" w:eastAsia="Calibri" w:hAnsi="Verdana" w:cs="Arial"/>
          <w:color w:val="000000"/>
          <w:kern w:val="2"/>
          <w:sz w:val="20"/>
          <w:szCs w:val="20"/>
          <w14:ligatures w14:val="standardContextual"/>
        </w:rPr>
        <w:t>El artículo 2.2.1.2.4.2.7.4 del Decreto 1082 de 2015, adicionado por el Decreto 287 de 2026, exige, dentro de la documentación para verificar la condición de empleador de personas con discapacidad, el certificado de aportes a seguridad social de los tres (3) meses anteriores a la presentación de la oferta respecto de cada persona con discapacidad relacionada, en el que se demuestren los pagos realizados por el empleador. La finalidad del requisito es acreditar que la vinculación es real y verificable, y no meramente instrumental para un proceso de contratación determinado.</w:t>
      </w:r>
    </w:p>
    <w:p w14:paraId="691B2693" w14:textId="77777777" w:rsidR="009463AE" w:rsidRDefault="009463AE" w:rsidP="009463AE">
      <w:pPr>
        <w:spacing w:after="0" w:line="240" w:lineRule="auto"/>
        <w:jc w:val="both"/>
        <w:rPr>
          <w:rFonts w:ascii="Verdana" w:eastAsia="Calibri" w:hAnsi="Verdana" w:cs="Arial"/>
          <w:color w:val="000000"/>
          <w:kern w:val="2"/>
          <w:sz w:val="20"/>
          <w:szCs w:val="20"/>
          <w14:ligatures w14:val="standardContextual"/>
        </w:rPr>
      </w:pPr>
      <w:r w:rsidRPr="009463AE">
        <w:rPr>
          <w:rFonts w:ascii="Verdana" w:eastAsia="Calibri" w:hAnsi="Verdana" w:cs="Arial"/>
          <w:color w:val="000000"/>
          <w:kern w:val="2"/>
          <w:sz w:val="20"/>
          <w:szCs w:val="20"/>
          <w14:ligatures w14:val="standardContextual"/>
        </w:rPr>
        <w:t>Para precisar los efectos de este requisito es necesario atender la estructura del incentivo. El puntaje adicional no se asigna de manera individual por cada persona con discapacidad vinculada, sino que corresponde a un porcentaje único del dos por ciento (2%) que se otorga cuando el proponente acredita el número de trabajadores con discapacidad que le corresponde según su planta de personal, conforme a la tabla prevista en el numeral 2 de la disposición. No existe, por tanto, un puntaje proporcional ni fraccionable por persona acreditada.</w:t>
      </w:r>
    </w:p>
    <w:p w14:paraId="3B5415AA" w14:textId="77777777" w:rsidR="009463AE" w:rsidRPr="009463AE" w:rsidRDefault="009463AE" w:rsidP="009463AE">
      <w:pPr>
        <w:spacing w:after="0" w:line="240" w:lineRule="auto"/>
        <w:jc w:val="both"/>
        <w:rPr>
          <w:rFonts w:ascii="Verdana" w:eastAsia="Calibri" w:hAnsi="Verdana" w:cs="Arial"/>
          <w:color w:val="000000"/>
          <w:kern w:val="2"/>
          <w:sz w:val="20"/>
          <w:szCs w:val="20"/>
          <w14:ligatures w14:val="standardContextual"/>
        </w:rPr>
      </w:pPr>
    </w:p>
    <w:p w14:paraId="3448E413" w14:textId="63D74A02" w:rsidR="009463AE" w:rsidRDefault="009463AE" w:rsidP="009463AE">
      <w:pPr>
        <w:spacing w:after="0" w:line="240" w:lineRule="auto"/>
        <w:jc w:val="both"/>
        <w:rPr>
          <w:rFonts w:ascii="Verdana" w:eastAsia="Calibri" w:hAnsi="Verdana" w:cs="Arial"/>
          <w:color w:val="000000"/>
          <w:kern w:val="2"/>
          <w:sz w:val="20"/>
          <w:szCs w:val="20"/>
          <w14:ligatures w14:val="standardContextual"/>
        </w:rPr>
      </w:pPr>
      <w:r w:rsidRPr="009463AE">
        <w:rPr>
          <w:rFonts w:ascii="Verdana" w:eastAsia="Calibri" w:hAnsi="Verdana" w:cs="Arial"/>
          <w:color w:val="000000"/>
          <w:kern w:val="2"/>
          <w:sz w:val="20"/>
          <w:szCs w:val="20"/>
          <w14:ligatures w14:val="standardContextual"/>
        </w:rPr>
        <w:t>De lo anterior se sigue que las personas con discapacidad cuyos aportes no cubran los tres (3) meses anteriores a la presentación de la oferta no pueden computarse para efectos de la acreditación, y que la consecuencia depende del resultado de ese cómputo. Si las personas con discapacidad que sí cumplen el requisito temporal alcanzan el número exigido conforme a la tabla, el proponente accede al puntaje adicional en su totalidad. Si no lo alcanzan, no accede al puntaje, sin que resulte jurídicamente posible reconocer una fracción del dos por ciento en proporción a las personas efectivamente acreditadas</w:t>
      </w:r>
      <w:r>
        <w:rPr>
          <w:rFonts w:ascii="Verdana" w:eastAsia="Calibri" w:hAnsi="Verdana" w:cs="Arial"/>
          <w:color w:val="000000"/>
          <w:kern w:val="2"/>
          <w:sz w:val="20"/>
          <w:szCs w:val="20"/>
          <w14:ligatures w14:val="standardContextual"/>
        </w:rPr>
        <w:t>.</w:t>
      </w:r>
    </w:p>
    <w:p w14:paraId="7C37DFA1" w14:textId="77777777" w:rsidR="009463AE" w:rsidRDefault="009463AE" w:rsidP="009463AE">
      <w:pPr>
        <w:spacing w:after="0" w:line="240" w:lineRule="auto"/>
        <w:jc w:val="both"/>
        <w:rPr>
          <w:rFonts w:ascii="Verdana" w:eastAsia="Calibri" w:hAnsi="Verdana" w:cs="Arial"/>
          <w:color w:val="000000"/>
          <w:kern w:val="2"/>
          <w:sz w:val="20"/>
          <w:szCs w:val="20"/>
          <w14:ligatures w14:val="standardContextual"/>
        </w:rPr>
      </w:pPr>
    </w:p>
    <w:p w14:paraId="769FED6E" w14:textId="77777777" w:rsidR="008C2804" w:rsidRDefault="008C2804" w:rsidP="0075058F">
      <w:pPr>
        <w:spacing w:after="0" w:line="240" w:lineRule="auto"/>
        <w:rPr>
          <w:rFonts w:ascii="Verdana" w:eastAsia="Geomanist Light" w:hAnsi="Verdana" w:cs="Arial"/>
          <w:color w:val="000000" w:themeColor="text1"/>
          <w:lang w:val="es-MX"/>
        </w:rPr>
      </w:pPr>
    </w:p>
    <w:p w14:paraId="5D6AC1A0" w14:textId="77777777" w:rsidR="008C2804" w:rsidRDefault="008C2804" w:rsidP="0075058F">
      <w:pPr>
        <w:spacing w:after="0" w:line="240" w:lineRule="auto"/>
        <w:rPr>
          <w:rFonts w:ascii="Verdana" w:eastAsia="Geomanist Light" w:hAnsi="Verdana" w:cs="Arial"/>
          <w:color w:val="000000" w:themeColor="text1"/>
          <w:lang w:val="es-MX"/>
        </w:rPr>
      </w:pPr>
    </w:p>
    <w:p w14:paraId="40D64A26" w14:textId="77777777" w:rsidR="008C2804" w:rsidRDefault="008C2804" w:rsidP="0075058F">
      <w:pPr>
        <w:spacing w:after="0" w:line="240" w:lineRule="auto"/>
        <w:rPr>
          <w:rFonts w:ascii="Verdana" w:eastAsia="Geomanist Light" w:hAnsi="Verdana" w:cs="Arial"/>
          <w:color w:val="000000" w:themeColor="text1"/>
          <w:lang w:val="es-MX"/>
        </w:rPr>
      </w:pPr>
    </w:p>
    <w:p w14:paraId="19219060" w14:textId="77777777" w:rsidR="009463AE" w:rsidRDefault="009463AE" w:rsidP="0075058F">
      <w:pPr>
        <w:spacing w:after="0" w:line="240" w:lineRule="auto"/>
        <w:rPr>
          <w:rFonts w:ascii="Verdana" w:eastAsia="Geomanist Light" w:hAnsi="Verdana" w:cs="Arial"/>
          <w:color w:val="000000" w:themeColor="text1"/>
          <w:lang w:val="es-MX"/>
        </w:rPr>
      </w:pPr>
    </w:p>
    <w:p w14:paraId="3A404ED0" w14:textId="77777777" w:rsidR="00EB28FA" w:rsidRDefault="00EB28FA" w:rsidP="0075058F">
      <w:pPr>
        <w:spacing w:after="0" w:line="240" w:lineRule="auto"/>
        <w:rPr>
          <w:rFonts w:ascii="Verdana" w:eastAsia="Geomanist Light" w:hAnsi="Verdana" w:cs="Arial"/>
          <w:color w:val="000000" w:themeColor="text1"/>
          <w:lang w:val="es-MX"/>
        </w:rPr>
      </w:pPr>
    </w:p>
    <w:p w14:paraId="69E5BBDB" w14:textId="77777777" w:rsidR="00EB28FA" w:rsidRDefault="00EB28FA" w:rsidP="0075058F">
      <w:pPr>
        <w:spacing w:after="0" w:line="240" w:lineRule="auto"/>
        <w:rPr>
          <w:rFonts w:ascii="Verdana" w:eastAsia="Geomanist Light" w:hAnsi="Verdana" w:cs="Arial"/>
          <w:color w:val="000000" w:themeColor="text1"/>
          <w:lang w:val="es-MX"/>
        </w:rPr>
      </w:pPr>
    </w:p>
    <w:p w14:paraId="0BE7FA2A" w14:textId="77777777" w:rsidR="00EB28FA" w:rsidRDefault="00EB28FA" w:rsidP="0075058F">
      <w:pPr>
        <w:spacing w:after="0" w:line="240" w:lineRule="auto"/>
        <w:rPr>
          <w:rFonts w:ascii="Verdana" w:eastAsia="Geomanist Light" w:hAnsi="Verdana" w:cs="Arial"/>
          <w:color w:val="000000" w:themeColor="text1"/>
          <w:lang w:val="es-MX"/>
        </w:rPr>
      </w:pPr>
    </w:p>
    <w:p w14:paraId="65646EDF" w14:textId="77777777" w:rsidR="00EB28FA" w:rsidRDefault="00EB28FA" w:rsidP="0075058F">
      <w:pPr>
        <w:spacing w:after="0" w:line="240" w:lineRule="auto"/>
        <w:rPr>
          <w:rFonts w:ascii="Verdana" w:eastAsia="Geomanist Light" w:hAnsi="Verdana" w:cs="Arial"/>
          <w:color w:val="000000" w:themeColor="text1"/>
          <w:lang w:val="es-MX"/>
        </w:rPr>
      </w:pPr>
    </w:p>
    <w:p w14:paraId="3065FDDB" w14:textId="77777777" w:rsidR="00EB28FA" w:rsidRDefault="00EB28FA" w:rsidP="0075058F">
      <w:pPr>
        <w:spacing w:after="0" w:line="240" w:lineRule="auto"/>
        <w:rPr>
          <w:rFonts w:ascii="Verdana" w:eastAsia="Geomanist Light" w:hAnsi="Verdana" w:cs="Arial"/>
          <w:color w:val="000000" w:themeColor="text1"/>
          <w:lang w:val="es-MX"/>
        </w:rPr>
      </w:pPr>
    </w:p>
    <w:p w14:paraId="4CC76EB5" w14:textId="77777777" w:rsidR="00EB28FA" w:rsidRDefault="00EB28FA" w:rsidP="0075058F">
      <w:pPr>
        <w:spacing w:after="0" w:line="240" w:lineRule="auto"/>
        <w:rPr>
          <w:rFonts w:ascii="Verdana" w:eastAsia="Geomanist Light" w:hAnsi="Verdana" w:cs="Arial"/>
          <w:color w:val="000000" w:themeColor="text1"/>
          <w:lang w:val="es-MX"/>
        </w:rPr>
      </w:pPr>
    </w:p>
    <w:p w14:paraId="7D81965D" w14:textId="77777777" w:rsidR="00EB28FA" w:rsidRDefault="00EB28FA" w:rsidP="0075058F">
      <w:pPr>
        <w:spacing w:after="0" w:line="240" w:lineRule="auto"/>
        <w:rPr>
          <w:rFonts w:ascii="Verdana" w:eastAsia="Geomanist Light" w:hAnsi="Verdana" w:cs="Arial"/>
          <w:color w:val="000000" w:themeColor="text1"/>
          <w:lang w:val="es-MX"/>
        </w:rPr>
      </w:pPr>
    </w:p>
    <w:p w14:paraId="12294926" w14:textId="77777777" w:rsidR="00EB28FA" w:rsidRDefault="00EB28FA" w:rsidP="0075058F">
      <w:pPr>
        <w:spacing w:after="0" w:line="240" w:lineRule="auto"/>
        <w:rPr>
          <w:rFonts w:ascii="Verdana" w:eastAsia="Geomanist Light" w:hAnsi="Verdana" w:cs="Arial"/>
          <w:color w:val="000000" w:themeColor="text1"/>
          <w:lang w:val="es-MX"/>
        </w:rPr>
      </w:pPr>
    </w:p>
    <w:p w14:paraId="607B192C" w14:textId="77777777" w:rsidR="00EB28FA" w:rsidRDefault="00EB28FA" w:rsidP="0075058F">
      <w:pPr>
        <w:spacing w:after="0" w:line="240" w:lineRule="auto"/>
        <w:rPr>
          <w:rFonts w:ascii="Verdana" w:eastAsia="Geomanist Light" w:hAnsi="Verdana" w:cs="Arial"/>
          <w:color w:val="000000" w:themeColor="text1"/>
          <w:lang w:val="es-MX"/>
        </w:rPr>
      </w:pPr>
    </w:p>
    <w:p w14:paraId="1DD0564F" w14:textId="77777777" w:rsidR="00EB28FA" w:rsidRDefault="00EB28FA" w:rsidP="0075058F">
      <w:pPr>
        <w:spacing w:after="0" w:line="240" w:lineRule="auto"/>
        <w:rPr>
          <w:rFonts w:ascii="Verdana" w:eastAsia="Geomanist Light" w:hAnsi="Verdana" w:cs="Arial"/>
          <w:color w:val="000000" w:themeColor="text1"/>
          <w:lang w:val="es-MX"/>
        </w:rPr>
      </w:pPr>
    </w:p>
    <w:p w14:paraId="7B6E224A" w14:textId="77777777" w:rsidR="00EB28FA" w:rsidRDefault="00EB28FA" w:rsidP="0075058F">
      <w:pPr>
        <w:spacing w:after="0" w:line="240" w:lineRule="auto"/>
        <w:rPr>
          <w:rFonts w:ascii="Verdana" w:eastAsia="Geomanist Light" w:hAnsi="Verdana" w:cs="Arial"/>
          <w:color w:val="000000" w:themeColor="text1"/>
          <w:lang w:val="es-MX"/>
        </w:rPr>
      </w:pPr>
    </w:p>
    <w:p w14:paraId="1C76EE9F" w14:textId="77777777" w:rsidR="00EB28FA" w:rsidRDefault="00EB28FA" w:rsidP="0075058F">
      <w:pPr>
        <w:spacing w:after="0" w:line="240" w:lineRule="auto"/>
        <w:rPr>
          <w:rFonts w:ascii="Verdana" w:eastAsia="Geomanist Light" w:hAnsi="Verdana" w:cs="Arial"/>
          <w:color w:val="000000" w:themeColor="text1"/>
          <w:lang w:val="es-MX"/>
        </w:rPr>
      </w:pPr>
    </w:p>
    <w:p w14:paraId="1EBDA4D7" w14:textId="77777777" w:rsidR="00EB28FA" w:rsidRDefault="00EB28FA" w:rsidP="0075058F">
      <w:pPr>
        <w:spacing w:after="0" w:line="240" w:lineRule="auto"/>
        <w:rPr>
          <w:rFonts w:ascii="Verdana" w:eastAsia="Geomanist Light" w:hAnsi="Verdana" w:cs="Arial"/>
          <w:color w:val="000000" w:themeColor="text1"/>
          <w:lang w:val="es-MX"/>
        </w:rPr>
      </w:pPr>
    </w:p>
    <w:p w14:paraId="2897CE8D" w14:textId="77777777" w:rsidR="00EB28FA" w:rsidRDefault="00EB28FA" w:rsidP="0075058F">
      <w:pPr>
        <w:spacing w:after="0" w:line="240" w:lineRule="auto"/>
        <w:rPr>
          <w:rFonts w:ascii="Verdana" w:eastAsia="Geomanist Light" w:hAnsi="Verdana" w:cs="Arial"/>
          <w:color w:val="000000" w:themeColor="text1"/>
          <w:lang w:val="es-MX"/>
        </w:rPr>
      </w:pPr>
    </w:p>
    <w:p w14:paraId="213E9A8B" w14:textId="77777777" w:rsidR="00EB28FA" w:rsidRDefault="00EB28FA" w:rsidP="0075058F">
      <w:pPr>
        <w:spacing w:after="0" w:line="240" w:lineRule="auto"/>
        <w:rPr>
          <w:rFonts w:ascii="Verdana" w:eastAsia="Geomanist Light" w:hAnsi="Verdana" w:cs="Arial"/>
          <w:color w:val="000000" w:themeColor="text1"/>
          <w:lang w:val="es-MX"/>
        </w:rPr>
      </w:pPr>
    </w:p>
    <w:p w14:paraId="06CB4B2A" w14:textId="62DBB1BD" w:rsidR="0075058F" w:rsidRPr="00241376" w:rsidRDefault="0075058F" w:rsidP="0075058F">
      <w:pPr>
        <w:spacing w:after="0" w:line="240" w:lineRule="auto"/>
        <w:rPr>
          <w:rFonts w:ascii="Verdana" w:eastAsia="Geomanist Light" w:hAnsi="Verdana" w:cs="Arial"/>
          <w:color w:val="201F1E"/>
          <w:lang w:val="es-MX"/>
        </w:rPr>
      </w:pPr>
      <w:r w:rsidRPr="006D0E8A">
        <w:rPr>
          <w:rFonts w:ascii="Verdana" w:eastAsia="Geomanist Light" w:hAnsi="Verdana" w:cs="Arial"/>
          <w:color w:val="000000" w:themeColor="text1"/>
          <w:lang w:val="es-MX"/>
        </w:rPr>
        <w:lastRenderedPageBreak/>
        <w:t>Bogotá D.C., </w:t>
      </w:r>
      <w:r w:rsidR="007501FA">
        <w:rPr>
          <w:rFonts w:ascii="Verdana" w:eastAsia="Geomanist Light" w:hAnsi="Verdana" w:cs="Arial"/>
          <w:color w:val="201F1E"/>
        </w:rPr>
        <w:t>24 de julio de 2026</w:t>
      </w:r>
    </w:p>
    <w:p w14:paraId="400F42AE" w14:textId="77777777" w:rsidR="0075058F" w:rsidRPr="006D0E8A" w:rsidRDefault="0075058F" w:rsidP="0075058F">
      <w:pPr>
        <w:spacing w:after="0" w:line="240" w:lineRule="auto"/>
        <w:rPr>
          <w:rFonts w:ascii="Verdana" w:eastAsia="Geomanist Light" w:hAnsi="Verdana" w:cs="Arial"/>
          <w:color w:val="201F1E"/>
          <w:lang w:val="es-MX"/>
        </w:rPr>
      </w:pPr>
    </w:p>
    <w:p w14:paraId="247DDE6F" w14:textId="4BB5F88C" w:rsidR="0075058F" w:rsidRPr="006D0E8A" w:rsidRDefault="007501FA" w:rsidP="007501FA">
      <w:pPr>
        <w:spacing w:after="0" w:line="240" w:lineRule="auto"/>
        <w:jc w:val="right"/>
        <w:rPr>
          <w:rFonts w:ascii="Verdana" w:eastAsia="Calibri" w:hAnsi="Verdana" w:cs="Arial"/>
          <w:color w:val="000000"/>
          <w:lang w:val="es-ES"/>
        </w:rPr>
      </w:pPr>
      <w:r w:rsidRPr="007501FA">
        <w:rPr>
          <w:rFonts w:ascii="Verdana" w:eastAsia="Calibri" w:hAnsi="Verdana" w:cs="Arial"/>
          <w:noProof/>
          <w:color w:val="000000"/>
          <w:lang w:val="es-ES"/>
        </w:rPr>
        <w:drawing>
          <wp:anchor distT="0" distB="0" distL="114300" distR="114300" simplePos="0" relativeHeight="251658240" behindDoc="0" locked="0" layoutInCell="1" allowOverlap="1" wp14:anchorId="557ED231" wp14:editId="4A9F2539">
            <wp:simplePos x="0" y="0"/>
            <wp:positionH relativeFrom="column">
              <wp:posOffset>3415665</wp:posOffset>
            </wp:positionH>
            <wp:positionV relativeFrom="paragraph">
              <wp:posOffset>3175</wp:posOffset>
            </wp:positionV>
            <wp:extent cx="2194560" cy="830580"/>
            <wp:effectExtent l="0" t="0" r="0" b="7620"/>
            <wp:wrapSquare wrapText="bothSides"/>
            <wp:docPr id="1796391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830580"/>
                    </a:xfrm>
                    <a:prstGeom prst="rect">
                      <a:avLst/>
                    </a:prstGeom>
                    <a:noFill/>
                    <a:ln>
                      <a:noFill/>
                    </a:ln>
                  </pic:spPr>
                </pic:pic>
              </a:graphicData>
            </a:graphic>
          </wp:anchor>
        </w:drawing>
      </w:r>
    </w:p>
    <w:p w14:paraId="0BCB1E45" w14:textId="77777777" w:rsidR="0075058F" w:rsidRDefault="0075058F" w:rsidP="0075058F">
      <w:pPr>
        <w:spacing w:after="0" w:line="240" w:lineRule="auto"/>
        <w:jc w:val="both"/>
        <w:rPr>
          <w:rFonts w:ascii="Verdana" w:eastAsia="Calibri" w:hAnsi="Verdana" w:cs="Arial"/>
          <w:lang w:val="es-ES" w:eastAsia="es-ES"/>
        </w:rPr>
      </w:pPr>
      <w:r w:rsidRPr="006D0E8A">
        <w:rPr>
          <w:rFonts w:ascii="Verdana" w:eastAsia="Calibri" w:hAnsi="Verdana" w:cs="Arial"/>
          <w:lang w:val="es-ES" w:eastAsia="es-ES"/>
        </w:rPr>
        <w:t>Señor</w:t>
      </w:r>
      <w:r>
        <w:rPr>
          <w:rFonts w:ascii="Verdana" w:eastAsia="Calibri" w:hAnsi="Verdana" w:cs="Arial"/>
          <w:lang w:val="es-ES" w:eastAsia="es-ES"/>
        </w:rPr>
        <w:t>a</w:t>
      </w:r>
    </w:p>
    <w:p w14:paraId="0A54FDA8" w14:textId="77777777" w:rsidR="0075058F" w:rsidRPr="00F56851" w:rsidRDefault="0075058F" w:rsidP="0075058F">
      <w:pPr>
        <w:spacing w:after="0" w:line="240" w:lineRule="auto"/>
        <w:jc w:val="both"/>
        <w:rPr>
          <w:rFonts w:ascii="Verdana" w:eastAsia="Calibri" w:hAnsi="Verdana" w:cs="Arial"/>
          <w:b/>
          <w:bCs/>
          <w:lang w:val="es-ES" w:eastAsia="es-ES"/>
        </w:rPr>
      </w:pPr>
      <w:r w:rsidRPr="00F56851">
        <w:rPr>
          <w:rFonts w:ascii="Verdana" w:eastAsia="Calibri" w:hAnsi="Verdana" w:cs="Arial"/>
          <w:b/>
          <w:bCs/>
          <w:lang w:eastAsia="es-ES"/>
        </w:rPr>
        <w:t>Clara Lucía Goenaga Guarnizo</w:t>
      </w:r>
    </w:p>
    <w:p w14:paraId="7993DF88" w14:textId="77777777" w:rsidR="0075058F" w:rsidRPr="002C51D2" w:rsidRDefault="0075058F" w:rsidP="0075058F">
      <w:pPr>
        <w:spacing w:after="0" w:line="240" w:lineRule="auto"/>
        <w:rPr>
          <w:rFonts w:ascii="Verdana" w:eastAsia="Calibri" w:hAnsi="Verdana" w:cs="Arial"/>
          <w:bCs/>
          <w:lang w:val="es-ES" w:eastAsia="es-ES"/>
        </w:rPr>
      </w:pPr>
      <w:hyperlink r:id="rId12" w:history="1">
        <w:r w:rsidRPr="002C51D2">
          <w:rPr>
            <w:rStyle w:val="Hipervnculo"/>
            <w:rFonts w:ascii="Verdana" w:eastAsia="Calibri" w:hAnsi="Verdana" w:cs="Arial"/>
            <w:bCs/>
            <w:lang w:val="es-ES" w:eastAsia="es-ES"/>
          </w:rPr>
          <w:t>claragoenaga@delaespriellalawyers.com</w:t>
        </w:r>
      </w:hyperlink>
      <w:r w:rsidRPr="002C51D2">
        <w:rPr>
          <w:rFonts w:ascii="Verdana" w:eastAsia="Calibri" w:hAnsi="Verdana" w:cs="Arial"/>
          <w:bCs/>
          <w:lang w:val="es-ES" w:eastAsia="es-ES"/>
        </w:rPr>
        <w:t xml:space="preserve"> </w:t>
      </w:r>
    </w:p>
    <w:p w14:paraId="38F36BE1" w14:textId="77777777" w:rsidR="0075058F" w:rsidRPr="006D0E8A" w:rsidRDefault="0075058F" w:rsidP="0075058F">
      <w:pPr>
        <w:spacing w:after="0" w:line="240" w:lineRule="auto"/>
        <w:rPr>
          <w:rFonts w:ascii="Verdana" w:eastAsia="Calibri" w:hAnsi="Verdana" w:cs="Arial"/>
          <w:lang w:val="es-ES" w:eastAsia="es-ES"/>
        </w:rPr>
      </w:pPr>
      <w:r w:rsidRPr="006D0E8A">
        <w:rPr>
          <w:rFonts w:ascii="Verdana" w:eastAsia="Calibri" w:hAnsi="Verdana" w:cs="Arial"/>
          <w:lang w:val="es-ES" w:eastAsia="es-ES"/>
        </w:rPr>
        <w:t xml:space="preserve">Bogotá D.C. </w:t>
      </w:r>
    </w:p>
    <w:p w14:paraId="6D7E59CC" w14:textId="77777777" w:rsidR="0075058F" w:rsidRPr="006D0E8A" w:rsidRDefault="0075058F" w:rsidP="0075058F">
      <w:pPr>
        <w:spacing w:after="0" w:line="240" w:lineRule="auto"/>
        <w:rPr>
          <w:rFonts w:ascii="Verdana" w:eastAsia="Calibri" w:hAnsi="Verdana" w:cs="Arial"/>
          <w:b/>
          <w:bCs/>
          <w:color w:val="000000"/>
          <w:lang w:val="es-ES_tradnl" w:eastAsia="es-ES_tradnl"/>
        </w:rPr>
      </w:pPr>
    </w:p>
    <w:p w14:paraId="2347D6C1" w14:textId="77777777" w:rsidR="0075058F" w:rsidRPr="006D0E8A" w:rsidRDefault="0075058F" w:rsidP="0075058F">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75058F" w:rsidRPr="006D0E8A" w14:paraId="1DE6D723" w14:textId="77777777" w:rsidTr="007E09F3">
        <w:trPr>
          <w:trHeight w:val="884"/>
        </w:trPr>
        <w:tc>
          <w:tcPr>
            <w:tcW w:w="2689" w:type="dxa"/>
          </w:tcPr>
          <w:p w14:paraId="16067678" w14:textId="77777777" w:rsidR="0075058F" w:rsidRPr="006D0E8A" w:rsidRDefault="0075058F" w:rsidP="007E09F3">
            <w:pPr>
              <w:jc w:val="both"/>
              <w:rPr>
                <w:rFonts w:ascii="Verdana" w:eastAsia="Calibri" w:hAnsi="Verdana" w:cs="Arial"/>
                <w:b/>
                <w:bCs/>
                <w:color w:val="7030A0"/>
                <w:lang w:val="es-ES_tradnl" w:eastAsia="es-ES_tradnl"/>
              </w:rPr>
            </w:pPr>
          </w:p>
        </w:tc>
        <w:tc>
          <w:tcPr>
            <w:tcW w:w="6100" w:type="dxa"/>
          </w:tcPr>
          <w:p w14:paraId="10FB9098" w14:textId="3858DC3C" w:rsidR="0075058F" w:rsidRPr="006D0E8A" w:rsidRDefault="0075058F" w:rsidP="007E09F3">
            <w:pPr>
              <w:jc w:val="both"/>
              <w:rPr>
                <w:rFonts w:ascii="Verdana" w:eastAsia="Calibri" w:hAnsi="Verdana" w:cs="Arial"/>
                <w:b/>
                <w:bCs/>
                <w:color w:val="7030A0"/>
                <w:lang w:val="es-ES" w:eastAsia="es-ES"/>
              </w:rPr>
            </w:pPr>
            <w:r w:rsidRPr="006D0E8A">
              <w:rPr>
                <w:rFonts w:ascii="Verdana" w:eastAsia="Calibri" w:hAnsi="Verdana" w:cs="Arial"/>
                <w:b/>
                <w:bCs/>
                <w:lang w:val="es-ES" w:eastAsia="es-ES"/>
              </w:rPr>
              <w:t>Concepto C</w:t>
            </w:r>
            <w:r w:rsidR="0011406B">
              <w:rPr>
                <w:rFonts w:ascii="Verdana" w:eastAsia="Calibri" w:hAnsi="Verdana" w:cs="Arial"/>
                <w:b/>
                <w:bCs/>
                <w:lang w:val="es-ES" w:eastAsia="es-ES"/>
              </w:rPr>
              <w:t>-</w:t>
            </w:r>
            <w:r w:rsidRPr="006D0E8A">
              <w:rPr>
                <w:rFonts w:ascii="Verdana" w:eastAsia="Calibri" w:hAnsi="Verdana" w:cs="Arial"/>
                <w:b/>
                <w:bCs/>
                <w:lang w:val="es-ES" w:eastAsia="es-ES"/>
              </w:rPr>
              <w:t>1</w:t>
            </w:r>
            <w:r>
              <w:rPr>
                <w:rFonts w:ascii="Verdana" w:eastAsia="Calibri" w:hAnsi="Verdana" w:cs="Arial"/>
                <w:b/>
                <w:bCs/>
                <w:lang w:val="es-ES" w:eastAsia="es-ES"/>
              </w:rPr>
              <w:t>045</w:t>
            </w:r>
            <w:r w:rsidRPr="006D0E8A">
              <w:rPr>
                <w:rFonts w:ascii="Verdana" w:eastAsia="Calibri" w:hAnsi="Verdana" w:cs="Arial"/>
                <w:b/>
                <w:bCs/>
                <w:lang w:val="es-ES" w:eastAsia="es-ES"/>
              </w:rPr>
              <w:t xml:space="preserve"> de 202</w:t>
            </w:r>
            <w:r>
              <w:rPr>
                <w:rFonts w:ascii="Verdana" w:eastAsia="Calibri" w:hAnsi="Verdana" w:cs="Arial"/>
                <w:b/>
                <w:bCs/>
                <w:lang w:val="es-ES" w:eastAsia="es-ES"/>
              </w:rPr>
              <w:t>6</w:t>
            </w:r>
          </w:p>
        </w:tc>
      </w:tr>
      <w:tr w:rsidR="0075058F" w:rsidRPr="006D0E8A" w14:paraId="463C42BC" w14:textId="77777777" w:rsidTr="007E09F3">
        <w:trPr>
          <w:trHeight w:val="884"/>
        </w:trPr>
        <w:tc>
          <w:tcPr>
            <w:tcW w:w="2689" w:type="dxa"/>
          </w:tcPr>
          <w:p w14:paraId="3BD80ADE" w14:textId="77777777" w:rsidR="0075058F" w:rsidRPr="006D0E8A" w:rsidRDefault="0075058F" w:rsidP="007E09F3">
            <w:pPr>
              <w:jc w:val="both"/>
              <w:rPr>
                <w:rFonts w:ascii="Verdana" w:eastAsia="Calibri" w:hAnsi="Verdana" w:cs="Arial"/>
                <w:color w:val="000000"/>
                <w:lang w:val="es-ES_tradnl" w:eastAsia="es-ES_tradnl"/>
              </w:rPr>
            </w:pPr>
            <w:r w:rsidRPr="006D0E8A">
              <w:rPr>
                <w:rFonts w:ascii="Verdana" w:eastAsia="Calibri" w:hAnsi="Verdana" w:cs="Arial"/>
                <w:b/>
                <w:color w:val="000000"/>
                <w:lang w:val="es-ES_tradnl" w:eastAsia="es-ES_tradnl"/>
              </w:rPr>
              <w:t>Temas:</w:t>
            </w:r>
            <w:r w:rsidRPr="006D0E8A">
              <w:rPr>
                <w:rFonts w:ascii="Verdana" w:eastAsia="Calibri" w:hAnsi="Verdana" w:cs="Arial"/>
                <w:color w:val="000000"/>
                <w:lang w:val="es-ES_tradnl" w:eastAsia="es-ES_tradnl"/>
              </w:rPr>
              <w:t xml:space="preserve">                   </w:t>
            </w:r>
          </w:p>
        </w:tc>
        <w:tc>
          <w:tcPr>
            <w:tcW w:w="6100" w:type="dxa"/>
          </w:tcPr>
          <w:p w14:paraId="6A25C67B" w14:textId="77777777" w:rsidR="0075058F" w:rsidRPr="0014754D" w:rsidRDefault="0075058F" w:rsidP="007E09F3">
            <w:pPr>
              <w:widowControl w:val="0"/>
              <w:autoSpaceDE w:val="0"/>
              <w:autoSpaceDN w:val="0"/>
              <w:spacing w:after="160" w:line="276" w:lineRule="auto"/>
              <w:jc w:val="both"/>
              <w:rPr>
                <w:rFonts w:ascii="Verdana" w:eastAsia="Calibri" w:hAnsi="Verdana" w:cs="Arial"/>
                <w:b/>
                <w:bCs/>
                <w:lang w:eastAsia="es-ES"/>
              </w:rPr>
            </w:pPr>
            <w:r w:rsidRPr="00826BEE">
              <w:rPr>
                <w:rFonts w:ascii="Verdana" w:eastAsia="Calibri" w:hAnsi="Verdana" w:cs="Arial"/>
                <w:lang w:val="es-ES" w:eastAsia="es-ES"/>
              </w:rPr>
              <w:t>EVALUACIÓN DEL PRECIO ‒ Selección objetiva</w:t>
            </w:r>
            <w:r>
              <w:rPr>
                <w:rFonts w:ascii="Verdana" w:eastAsia="Calibri" w:hAnsi="Verdana" w:cs="Arial"/>
                <w:lang w:val="es-ES" w:eastAsia="es-ES"/>
              </w:rPr>
              <w:t xml:space="preserve"> </w:t>
            </w:r>
            <w:r w:rsidRPr="00826BEE">
              <w:rPr>
                <w:rFonts w:ascii="Verdana" w:eastAsia="Calibri" w:hAnsi="Verdana" w:cs="Arial"/>
                <w:lang w:val="es-ES" w:eastAsia="es-ES"/>
              </w:rPr>
              <w:t xml:space="preserve">/ EVALUACIÓN DEL PRECIO – Costo real ‒ </w:t>
            </w:r>
            <w:r>
              <w:rPr>
                <w:rFonts w:ascii="Verdana" w:eastAsia="Calibri" w:hAnsi="Verdana" w:cs="Arial"/>
                <w:lang w:val="es-ES" w:eastAsia="es-ES"/>
              </w:rPr>
              <w:t>Impuestos</w:t>
            </w:r>
            <w:r w:rsidRPr="00826BEE">
              <w:rPr>
                <w:rFonts w:ascii="Verdana" w:eastAsia="Calibri" w:hAnsi="Verdana" w:cs="Arial"/>
                <w:lang w:val="es-ES" w:eastAsia="es-ES"/>
              </w:rPr>
              <w:t xml:space="preserve"> ‒</w:t>
            </w:r>
            <w:r>
              <w:rPr>
                <w:rFonts w:ascii="Verdana" w:eastAsia="Calibri" w:hAnsi="Verdana" w:cs="Arial"/>
                <w:lang w:val="es-ES" w:eastAsia="es-ES"/>
              </w:rPr>
              <w:t xml:space="preserve"> Exención tributaria </w:t>
            </w:r>
            <w:r w:rsidRPr="00826BEE">
              <w:rPr>
                <w:rFonts w:ascii="Verdana" w:eastAsia="Calibri" w:hAnsi="Verdana" w:cs="Arial"/>
                <w:lang w:val="es-ES" w:eastAsia="es-ES"/>
              </w:rPr>
              <w:t>/</w:t>
            </w:r>
            <w:r>
              <w:rPr>
                <w:rFonts w:ascii="Verdana" w:eastAsia="Calibri" w:hAnsi="Verdana" w:cs="Arial"/>
                <w:lang w:val="es-ES" w:eastAsia="es-ES"/>
              </w:rPr>
              <w:t xml:space="preserve"> </w:t>
            </w:r>
            <w:r>
              <w:rPr>
                <w:rFonts w:ascii="Verdana" w:eastAsia="Calibri" w:hAnsi="Verdana" w:cs="Arial"/>
                <w:lang w:val="es-MX"/>
              </w:rPr>
              <w:t xml:space="preserve">PRECIOS ARTIFICIALMENTE BAJOS – Noción </w:t>
            </w:r>
            <w:r>
              <w:rPr>
                <w:rFonts w:ascii="Verdana" w:eastAsia="Arial" w:hAnsi="Verdana" w:cs="Arial"/>
                <w:lang w:val="es-ES" w:eastAsia="es-ES" w:bidi="es-ES"/>
              </w:rPr>
              <w:t xml:space="preserve">– Precio exento de impuestos </w:t>
            </w:r>
            <w:r w:rsidRPr="006D0E8A">
              <w:rPr>
                <w:rFonts w:ascii="Verdana" w:eastAsia="Calibri" w:hAnsi="Verdana" w:cs="Arial"/>
                <w:lang w:val="es-ES" w:eastAsia="es-ES"/>
              </w:rPr>
              <w:t xml:space="preserve">/ </w:t>
            </w:r>
            <w:r>
              <w:rPr>
                <w:rFonts w:ascii="Verdana" w:eastAsia="Calibri" w:hAnsi="Verdana" w:cs="Arial"/>
                <w:lang w:val="es-ES" w:eastAsia="es-ES"/>
              </w:rPr>
              <w:t xml:space="preserve">ESAL </w:t>
            </w:r>
            <w:r w:rsidRPr="006D0E8A">
              <w:rPr>
                <w:rFonts w:ascii="Verdana" w:eastAsia="Calibri" w:hAnsi="Verdana" w:cs="Arial"/>
                <w:lang w:val="es-ES" w:eastAsia="es-ES"/>
              </w:rPr>
              <w:t xml:space="preserve">– </w:t>
            </w:r>
            <w:r>
              <w:rPr>
                <w:rFonts w:ascii="Verdana" w:eastAsia="Calibri" w:hAnsi="Verdana" w:cs="Arial"/>
                <w:lang w:val="es-ES" w:eastAsia="es-ES"/>
              </w:rPr>
              <w:t xml:space="preserve">Capacidad para contratar </w:t>
            </w:r>
            <w:r w:rsidRPr="006D0E8A">
              <w:rPr>
                <w:rFonts w:ascii="Verdana" w:eastAsia="Calibri" w:hAnsi="Verdana" w:cs="Arial"/>
                <w:lang w:val="es-ES" w:eastAsia="es-ES"/>
              </w:rPr>
              <w:t xml:space="preserve">/ </w:t>
            </w:r>
            <w:r w:rsidRPr="00915323">
              <w:rPr>
                <w:rFonts w:ascii="Verdana" w:eastAsia="Calibri" w:hAnsi="Verdana" w:cs="Arial"/>
                <w:lang w:eastAsia="es-ES"/>
              </w:rPr>
              <w:t>SISTEMA DE PREFERENCIA PARA PERSONAS CON DISCAPACIDAD ‒ Constitución Política ‒ Ley 1618 de 2013</w:t>
            </w:r>
            <w:r>
              <w:rPr>
                <w:rFonts w:ascii="Verdana" w:eastAsia="Calibri" w:hAnsi="Verdana" w:cs="Arial"/>
                <w:lang w:eastAsia="es-ES"/>
              </w:rPr>
              <w:t xml:space="preserve"> / </w:t>
            </w:r>
            <w:r w:rsidRPr="00777292">
              <w:rPr>
                <w:rFonts w:ascii="Verdana" w:eastAsia="Calibri" w:hAnsi="Verdana" w:cs="Arial"/>
                <w:lang w:eastAsia="es-ES"/>
              </w:rPr>
              <w:t>DECRETO 0287 DE 2026 ‒ Sistema Integral de Preferencias ‒ Contratación pública inclusiva ‒ Personas con discapacidad</w:t>
            </w:r>
            <w:r>
              <w:rPr>
                <w:rFonts w:ascii="Verdana" w:eastAsia="Calibri" w:hAnsi="Verdana" w:cs="Arial"/>
                <w:lang w:eastAsia="es-ES"/>
              </w:rPr>
              <w:t xml:space="preserve"> / </w:t>
            </w:r>
            <w:r w:rsidRPr="0093530E">
              <w:rPr>
                <w:rFonts w:ascii="Verdana" w:eastAsia="Calibri" w:hAnsi="Verdana" w:cs="Arial"/>
                <w:lang w:eastAsia="es-ES"/>
              </w:rPr>
              <w:t xml:space="preserve">DECRETO 0287 DE 2026 ‒ Puntaje adicional del 2% ‒ </w:t>
            </w:r>
            <w:r w:rsidRPr="00777292">
              <w:rPr>
                <w:rFonts w:ascii="Verdana" w:eastAsia="Calibri" w:hAnsi="Verdana" w:cs="Arial"/>
                <w:lang w:eastAsia="es-ES"/>
              </w:rPr>
              <w:t xml:space="preserve">‒ </w:t>
            </w:r>
            <w:r>
              <w:rPr>
                <w:rFonts w:ascii="Verdana" w:eastAsia="Calibri" w:hAnsi="Verdana" w:cs="Arial"/>
                <w:lang w:eastAsia="es-ES"/>
              </w:rPr>
              <w:t xml:space="preserve">Documentos </w:t>
            </w:r>
            <w:r w:rsidRPr="00777292">
              <w:rPr>
                <w:rFonts w:ascii="Verdana" w:eastAsia="Calibri" w:hAnsi="Verdana" w:cs="Arial"/>
                <w:lang w:eastAsia="es-ES"/>
              </w:rPr>
              <w:t>‒</w:t>
            </w:r>
            <w:r>
              <w:rPr>
                <w:rFonts w:ascii="Verdana" w:eastAsia="Calibri" w:hAnsi="Verdana" w:cs="Arial"/>
                <w:lang w:eastAsia="es-ES"/>
              </w:rPr>
              <w:t xml:space="preserve"> Acreditación </w:t>
            </w:r>
            <w:r w:rsidRPr="00D518B6">
              <w:rPr>
                <w:rFonts w:ascii="Verdana" w:eastAsia="Calibri" w:hAnsi="Verdana" w:cs="Arial"/>
                <w:lang w:eastAsia="es-ES"/>
              </w:rPr>
              <w:t xml:space="preserve">‒ </w:t>
            </w:r>
            <w:r>
              <w:rPr>
                <w:rFonts w:ascii="Verdana" w:eastAsia="Calibri" w:hAnsi="Verdana" w:cs="Arial"/>
                <w:lang w:eastAsia="es-ES"/>
              </w:rPr>
              <w:t>Aportes a seguridad social</w:t>
            </w:r>
            <w:r w:rsidRPr="00D518B6">
              <w:rPr>
                <w:rFonts w:ascii="Verdana" w:eastAsia="Calibri" w:hAnsi="Verdana" w:cs="Arial"/>
                <w:lang w:eastAsia="es-ES"/>
              </w:rPr>
              <w:t xml:space="preserve"> ‒ </w:t>
            </w:r>
            <w:r>
              <w:rPr>
                <w:rFonts w:ascii="Verdana" w:eastAsia="Calibri" w:hAnsi="Verdana" w:cs="Arial"/>
                <w:lang w:eastAsia="es-ES"/>
              </w:rPr>
              <w:t>3 meses</w:t>
            </w:r>
          </w:p>
        </w:tc>
      </w:tr>
      <w:tr w:rsidR="0075058F" w:rsidRPr="006D0E8A" w14:paraId="11FC0D45" w14:textId="77777777" w:rsidTr="007E09F3">
        <w:tc>
          <w:tcPr>
            <w:tcW w:w="2689" w:type="dxa"/>
          </w:tcPr>
          <w:p w14:paraId="10D90F46" w14:textId="77777777" w:rsidR="0075058F" w:rsidRPr="006D0E8A" w:rsidRDefault="0075058F" w:rsidP="007E09F3">
            <w:pPr>
              <w:jc w:val="both"/>
              <w:rPr>
                <w:rFonts w:ascii="Verdana" w:eastAsia="Calibri" w:hAnsi="Verdana" w:cs="Arial"/>
                <w:b/>
                <w:lang w:val="es-ES_tradnl" w:eastAsia="es-ES_tradnl"/>
              </w:rPr>
            </w:pPr>
            <w:r w:rsidRPr="006D0E8A">
              <w:rPr>
                <w:rFonts w:ascii="Verdana" w:eastAsia="Calibri" w:hAnsi="Verdana" w:cs="Arial"/>
                <w:b/>
                <w:lang w:val="es-ES_tradnl" w:eastAsia="es-ES_tradnl"/>
              </w:rPr>
              <w:t>Radicación:</w:t>
            </w:r>
            <w:r w:rsidRPr="006D0E8A">
              <w:rPr>
                <w:rFonts w:ascii="Verdana" w:eastAsia="Calibri" w:hAnsi="Verdana" w:cs="Arial"/>
                <w:lang w:val="es-ES_tradnl" w:eastAsia="es-ES_tradnl"/>
              </w:rPr>
              <w:t xml:space="preserve">               </w:t>
            </w:r>
          </w:p>
        </w:tc>
        <w:tc>
          <w:tcPr>
            <w:tcW w:w="6100" w:type="dxa"/>
          </w:tcPr>
          <w:p w14:paraId="722BB643" w14:textId="77777777" w:rsidR="0075058F" w:rsidRPr="006D0E8A" w:rsidRDefault="0075058F" w:rsidP="007E09F3">
            <w:pPr>
              <w:spacing w:line="276" w:lineRule="auto"/>
              <w:jc w:val="both"/>
              <w:rPr>
                <w:rFonts w:ascii="Verdana" w:eastAsia="Calibri" w:hAnsi="Verdana" w:cs="Arial"/>
                <w:lang w:val="es-ES_tradnl" w:eastAsia="es-ES_tradnl"/>
              </w:rPr>
            </w:pPr>
            <w:r w:rsidRPr="006D0E8A">
              <w:rPr>
                <w:rFonts w:ascii="Verdana" w:eastAsia="Calibri" w:hAnsi="Verdana" w:cs="Arial"/>
                <w:lang w:val="es-ES_tradnl" w:eastAsia="es-ES_tradnl"/>
              </w:rPr>
              <w:t>Respuesta a la</w:t>
            </w:r>
            <w:r>
              <w:rPr>
                <w:rFonts w:ascii="Verdana" w:eastAsia="Calibri" w:hAnsi="Verdana" w:cs="Arial"/>
                <w:lang w:val="es-ES_tradnl" w:eastAsia="es-ES_tradnl"/>
              </w:rPr>
              <w:t>s</w:t>
            </w:r>
            <w:r w:rsidRPr="006D0E8A">
              <w:rPr>
                <w:rFonts w:ascii="Verdana" w:eastAsia="Calibri" w:hAnsi="Verdana" w:cs="Arial"/>
                <w:lang w:val="es-ES_tradnl" w:eastAsia="es-ES_tradnl"/>
              </w:rPr>
              <w:t xml:space="preserve"> consulta</w:t>
            </w:r>
            <w:r>
              <w:rPr>
                <w:rFonts w:ascii="Verdana" w:eastAsia="Calibri" w:hAnsi="Verdana" w:cs="Arial"/>
                <w:lang w:val="es-ES_tradnl" w:eastAsia="es-ES_tradnl"/>
              </w:rPr>
              <w:t>s</w:t>
            </w:r>
            <w:r w:rsidRPr="006D0E8A">
              <w:rPr>
                <w:rFonts w:ascii="Verdana" w:eastAsia="Calibri" w:hAnsi="Verdana" w:cs="Arial"/>
                <w:lang w:val="es-ES_tradnl" w:eastAsia="es-ES_tradnl"/>
              </w:rPr>
              <w:t xml:space="preserve"> con radicado No</w:t>
            </w:r>
            <w:r>
              <w:rPr>
                <w:rFonts w:ascii="Verdana" w:eastAsia="Calibri" w:hAnsi="Verdana" w:cs="Arial"/>
                <w:lang w:val="es-ES_tradnl" w:eastAsia="es-ES_tradnl"/>
              </w:rPr>
              <w:t>s</w:t>
            </w:r>
            <w:r w:rsidRPr="006D0E8A">
              <w:rPr>
                <w:rFonts w:ascii="Verdana" w:eastAsia="Calibri" w:hAnsi="Verdana" w:cs="Arial"/>
                <w:lang w:val="es-ES_tradnl" w:eastAsia="es-ES_tradnl"/>
              </w:rPr>
              <w:t xml:space="preserve">. </w:t>
            </w:r>
            <w:r w:rsidRPr="006415EB">
              <w:rPr>
                <w:rFonts w:ascii="Verdana" w:eastAsia="Calibri" w:hAnsi="Verdana" w:cs="Arial"/>
                <w:lang w:val="es-ES_tradnl" w:eastAsia="es-ES_tradnl"/>
              </w:rPr>
              <w:t xml:space="preserve">1_2026_06_30_008705 </w:t>
            </w:r>
            <w:r>
              <w:rPr>
                <w:rFonts w:ascii="Verdana" w:eastAsia="Calibri" w:hAnsi="Verdana" w:cs="Arial"/>
                <w:lang w:val="es-ES_tradnl" w:eastAsia="es-ES_tradnl"/>
              </w:rPr>
              <w:t>y</w:t>
            </w:r>
            <w:r w:rsidRPr="006415EB">
              <w:rPr>
                <w:rFonts w:ascii="Verdana" w:eastAsia="Calibri" w:hAnsi="Verdana" w:cs="Arial"/>
                <w:lang w:val="es-ES_tradnl" w:eastAsia="es-ES_tradnl"/>
              </w:rPr>
              <w:t xml:space="preserve"> 1_2026_07_01_008768</w:t>
            </w:r>
          </w:p>
        </w:tc>
      </w:tr>
    </w:tbl>
    <w:p w14:paraId="0D95DD52" w14:textId="77777777" w:rsidR="0075058F" w:rsidRPr="006D0E8A" w:rsidRDefault="0075058F" w:rsidP="0075058F">
      <w:pPr>
        <w:spacing w:after="0" w:line="240" w:lineRule="auto"/>
        <w:jc w:val="both"/>
        <w:rPr>
          <w:rFonts w:ascii="Verdana" w:eastAsia="Calibri" w:hAnsi="Verdana" w:cs="Arial"/>
          <w:color w:val="000000"/>
          <w:lang w:val="es-ES_tradnl" w:eastAsia="es-ES_tradnl"/>
        </w:rPr>
      </w:pPr>
    </w:p>
    <w:p w14:paraId="495850AE" w14:textId="77777777" w:rsidR="0075058F" w:rsidRPr="006D0E8A" w:rsidRDefault="0075058F" w:rsidP="0075058F">
      <w:pPr>
        <w:spacing w:after="0" w:line="240" w:lineRule="auto"/>
        <w:jc w:val="both"/>
        <w:rPr>
          <w:rFonts w:ascii="Verdana" w:eastAsia="Calibri" w:hAnsi="Verdana" w:cs="Arial"/>
          <w:color w:val="000000"/>
          <w:lang w:val="es-ES_tradnl" w:eastAsia="es-ES_tradnl"/>
        </w:rPr>
      </w:pPr>
    </w:p>
    <w:p w14:paraId="5C1BFE66" w14:textId="77777777" w:rsidR="0075058F" w:rsidRPr="006D0E8A" w:rsidRDefault="0075058F" w:rsidP="0075058F">
      <w:pPr>
        <w:spacing w:after="0" w:line="276" w:lineRule="auto"/>
        <w:jc w:val="both"/>
        <w:rPr>
          <w:rFonts w:ascii="Verdana" w:eastAsia="Calibri" w:hAnsi="Verdana" w:cs="Arial"/>
          <w:lang w:val="es-ES" w:eastAsia="es-ES"/>
        </w:rPr>
      </w:pPr>
      <w:r w:rsidRPr="006D0E8A">
        <w:rPr>
          <w:rFonts w:ascii="Verdana" w:eastAsia="Calibri" w:hAnsi="Verdana" w:cs="Arial"/>
          <w:lang w:val="es-ES" w:eastAsia="es-ES"/>
        </w:rPr>
        <w:t>Estimad</w:t>
      </w:r>
      <w:r>
        <w:rPr>
          <w:rFonts w:ascii="Verdana" w:eastAsia="Calibri" w:hAnsi="Verdana" w:cs="Arial"/>
          <w:lang w:val="es-ES" w:eastAsia="es-ES"/>
        </w:rPr>
        <w:t>a</w:t>
      </w:r>
      <w:r w:rsidRPr="006D0E8A">
        <w:rPr>
          <w:rFonts w:ascii="Verdana" w:eastAsia="Calibri" w:hAnsi="Verdana" w:cs="Arial"/>
          <w:lang w:val="es-ES" w:eastAsia="es-ES"/>
        </w:rPr>
        <w:t xml:space="preserve"> señor</w:t>
      </w:r>
      <w:r>
        <w:rPr>
          <w:rFonts w:ascii="Verdana" w:eastAsia="Calibri" w:hAnsi="Verdana" w:cs="Arial"/>
          <w:lang w:val="es-ES" w:eastAsia="es-ES"/>
        </w:rPr>
        <w:t>a Goenaga</w:t>
      </w:r>
      <w:r w:rsidRPr="006D0E8A">
        <w:rPr>
          <w:rFonts w:ascii="Verdana" w:eastAsia="Calibri" w:hAnsi="Verdana" w:cs="Arial"/>
          <w:lang w:val="es-ES" w:eastAsia="es-ES"/>
        </w:rPr>
        <w:t xml:space="preserve">: </w:t>
      </w:r>
    </w:p>
    <w:p w14:paraId="38FB6B11" w14:textId="77777777" w:rsidR="0075058F" w:rsidRPr="006D0E8A" w:rsidRDefault="0075058F" w:rsidP="0075058F">
      <w:pPr>
        <w:tabs>
          <w:tab w:val="left" w:pos="3768"/>
        </w:tabs>
        <w:spacing w:after="0" w:line="276" w:lineRule="auto"/>
        <w:jc w:val="both"/>
        <w:rPr>
          <w:rFonts w:ascii="Verdana" w:eastAsia="Calibri" w:hAnsi="Verdana" w:cs="Arial"/>
          <w:color w:val="000000" w:themeColor="text1"/>
          <w:lang w:val="es-ES" w:eastAsia="es-ES"/>
        </w:rPr>
      </w:pPr>
      <w:r w:rsidRPr="006D0E8A">
        <w:rPr>
          <w:rFonts w:ascii="Verdana" w:eastAsia="Calibri" w:hAnsi="Verdana" w:cs="Arial"/>
          <w:color w:val="000000" w:themeColor="text1"/>
          <w:lang w:val="es-ES" w:eastAsia="es-ES"/>
        </w:rPr>
        <w:tab/>
      </w:r>
    </w:p>
    <w:p w14:paraId="2047471D" w14:textId="77777777" w:rsidR="0075058F" w:rsidRPr="006D0E8A" w:rsidRDefault="0075058F" w:rsidP="0075058F">
      <w:pPr>
        <w:spacing w:after="0" w:line="276" w:lineRule="auto"/>
        <w:jc w:val="both"/>
        <w:rPr>
          <w:rFonts w:ascii="Verdana" w:eastAsia="Calibri" w:hAnsi="Verdana" w:cs="Arial"/>
          <w:color w:val="7030A0"/>
          <w:lang w:val="es-ES" w:eastAsia="es-ES"/>
        </w:rPr>
      </w:pPr>
      <w:r w:rsidRPr="006D0E8A">
        <w:rPr>
          <w:rFonts w:ascii="Verdana" w:eastAsia="Calibri" w:hAnsi="Verdana" w:cs="Arial"/>
          <w:color w:val="000000" w:themeColor="text1"/>
          <w:lang w:val="es-ES" w:eastAsia="es-ES"/>
        </w:rPr>
        <w:t>En ejercicio de la competencia otorgada por los artículos 3, numeral 5º, y 11, numeral 8º, del Decreto Ley 4170 de 2011,</w:t>
      </w:r>
      <w:r w:rsidRPr="006D0E8A">
        <w:rPr>
          <w:rFonts w:ascii="Verdana" w:eastAsia="Arial MT" w:hAnsi="Verdana" w:cs="Arial MT"/>
          <w:lang w:val="es-ES" w:eastAsia="es-ES"/>
        </w:rPr>
        <w:t xml:space="preserve"> </w:t>
      </w:r>
      <w:r w:rsidRPr="001B3C5D">
        <w:rPr>
          <w:rFonts w:ascii="Verdana" w:eastAsia="Calibri" w:hAnsi="Verdana" w:cs="Arial"/>
        </w:rPr>
        <w:t>así como lo establecido en la Resolución No. 469 del 2025 expedida por esta Entidad</w:t>
      </w:r>
      <w:r w:rsidRPr="006D0E8A">
        <w:rPr>
          <w:rFonts w:ascii="Verdana" w:hAnsi="Verdana" w:cs="Arial"/>
        </w:rPr>
        <w:t xml:space="preserve">, </w:t>
      </w:r>
      <w:r w:rsidRPr="006D0E8A">
        <w:rPr>
          <w:rFonts w:ascii="Verdana" w:eastAsia="Calibri" w:hAnsi="Verdana" w:cs="Arial"/>
          <w:color w:val="000000" w:themeColor="text1"/>
          <w:lang w:val="es-ES" w:eastAsia="es-ES"/>
        </w:rPr>
        <w:t>la Agencia Nacional de Contratación Pública – Colombia Compra Eficiente responde su</w:t>
      </w:r>
      <w:r>
        <w:rPr>
          <w:rFonts w:ascii="Verdana" w:eastAsia="Calibri" w:hAnsi="Verdana" w:cs="Arial"/>
          <w:color w:val="000000" w:themeColor="text1"/>
          <w:lang w:val="es-ES" w:eastAsia="es-ES"/>
        </w:rPr>
        <w:t>s</w:t>
      </w:r>
      <w:r w:rsidRPr="006D0E8A">
        <w:rPr>
          <w:rFonts w:ascii="Verdana" w:eastAsia="Calibri" w:hAnsi="Verdana" w:cs="Arial"/>
          <w:color w:val="000000" w:themeColor="text1"/>
          <w:lang w:val="es-ES" w:eastAsia="es-ES"/>
        </w:rPr>
        <w:t xml:space="preserve"> solicitud</w:t>
      </w:r>
      <w:r>
        <w:rPr>
          <w:rFonts w:ascii="Verdana" w:eastAsia="Calibri" w:hAnsi="Verdana" w:cs="Arial"/>
          <w:color w:val="000000" w:themeColor="text1"/>
          <w:lang w:val="es-ES" w:eastAsia="es-ES"/>
        </w:rPr>
        <w:t>es</w:t>
      </w:r>
      <w:r w:rsidRPr="006D0E8A">
        <w:rPr>
          <w:rFonts w:ascii="Verdana" w:eastAsia="Calibri" w:hAnsi="Verdana" w:cs="Arial"/>
          <w:color w:val="000000" w:themeColor="text1"/>
          <w:lang w:val="es-ES" w:eastAsia="es-ES"/>
        </w:rPr>
        <w:t xml:space="preserve"> de</w:t>
      </w:r>
      <w:r>
        <w:rPr>
          <w:rFonts w:ascii="Verdana" w:eastAsia="Calibri" w:hAnsi="Verdana" w:cs="Arial"/>
          <w:color w:val="000000" w:themeColor="text1"/>
          <w:lang w:val="es-ES" w:eastAsia="es-ES"/>
        </w:rPr>
        <w:t xml:space="preserve"> </w:t>
      </w:r>
      <w:r w:rsidRPr="006D0E8A">
        <w:rPr>
          <w:rFonts w:ascii="Verdana" w:eastAsia="Calibri" w:hAnsi="Verdana" w:cs="Arial"/>
          <w:color w:val="000000" w:themeColor="text1"/>
          <w:lang w:val="es-ES" w:eastAsia="es-ES"/>
        </w:rPr>
        <w:t>consulta</w:t>
      </w:r>
      <w:r>
        <w:rPr>
          <w:rFonts w:ascii="Verdana" w:eastAsia="Calibri" w:hAnsi="Verdana" w:cs="Arial"/>
          <w:color w:val="000000" w:themeColor="text1"/>
          <w:lang w:val="es-ES" w:eastAsia="es-ES"/>
        </w:rPr>
        <w:t>s</w:t>
      </w:r>
      <w:r w:rsidRPr="006D0E8A">
        <w:rPr>
          <w:rFonts w:ascii="Verdana" w:eastAsia="Calibri" w:hAnsi="Verdana" w:cs="Arial"/>
          <w:color w:val="000000" w:themeColor="text1"/>
          <w:lang w:val="es-ES" w:eastAsia="es-ES"/>
        </w:rPr>
        <w:t xml:space="preserve"> de </w:t>
      </w:r>
      <w:r w:rsidRPr="006D0E8A">
        <w:rPr>
          <w:rFonts w:ascii="Verdana" w:eastAsia="Calibri" w:hAnsi="Verdana" w:cs="Arial"/>
          <w:lang w:val="es-ES" w:eastAsia="es-ES"/>
        </w:rPr>
        <w:t xml:space="preserve">fecha </w:t>
      </w:r>
      <w:r>
        <w:rPr>
          <w:rFonts w:ascii="Verdana" w:eastAsia="Calibri" w:hAnsi="Verdana" w:cs="Arial"/>
          <w:lang w:val="es-ES" w:eastAsia="es-ES"/>
        </w:rPr>
        <w:t>30</w:t>
      </w:r>
      <w:r w:rsidRPr="006D0E8A">
        <w:rPr>
          <w:rFonts w:ascii="Verdana" w:eastAsia="Calibri" w:hAnsi="Verdana" w:cs="Arial"/>
          <w:lang w:val="es-ES" w:eastAsia="es-ES"/>
        </w:rPr>
        <w:t xml:space="preserve"> de </w:t>
      </w:r>
      <w:r>
        <w:rPr>
          <w:rFonts w:ascii="Verdana" w:eastAsia="Calibri" w:hAnsi="Verdana" w:cs="Arial"/>
          <w:lang w:val="es-ES" w:eastAsia="es-ES"/>
        </w:rPr>
        <w:t>junio</w:t>
      </w:r>
      <w:r w:rsidRPr="006D0E8A">
        <w:rPr>
          <w:rFonts w:ascii="Verdana" w:eastAsia="Calibri" w:hAnsi="Verdana" w:cs="Arial"/>
          <w:lang w:val="es-ES" w:eastAsia="es-ES"/>
        </w:rPr>
        <w:t xml:space="preserve"> </w:t>
      </w:r>
      <w:r>
        <w:rPr>
          <w:rFonts w:ascii="Verdana" w:eastAsia="Calibri" w:hAnsi="Verdana" w:cs="Arial"/>
          <w:lang w:val="es-ES" w:eastAsia="es-ES"/>
        </w:rPr>
        <w:t xml:space="preserve">y 1 de julio </w:t>
      </w:r>
      <w:r w:rsidRPr="006D0E8A">
        <w:rPr>
          <w:rFonts w:ascii="Verdana" w:eastAsia="Calibri" w:hAnsi="Verdana" w:cs="Arial"/>
          <w:lang w:val="es-ES" w:eastAsia="es-ES"/>
        </w:rPr>
        <w:t>de 202</w:t>
      </w:r>
      <w:r>
        <w:rPr>
          <w:rFonts w:ascii="Verdana" w:eastAsia="Calibri" w:hAnsi="Verdana" w:cs="Arial"/>
          <w:lang w:val="es-ES" w:eastAsia="es-ES"/>
        </w:rPr>
        <w:t>6</w:t>
      </w:r>
      <w:r w:rsidRPr="006D0E8A">
        <w:rPr>
          <w:rFonts w:ascii="Verdana" w:eastAsia="Calibri" w:hAnsi="Verdana" w:cs="Arial"/>
          <w:lang w:val="es-ES" w:eastAsia="es-ES"/>
        </w:rPr>
        <w:t>, en la cual pregunta</w:t>
      </w:r>
      <w:r>
        <w:rPr>
          <w:rFonts w:ascii="Verdana" w:eastAsia="Calibri" w:hAnsi="Verdana" w:cs="Arial"/>
          <w:lang w:val="es-ES" w:eastAsia="es-ES"/>
        </w:rPr>
        <w:t xml:space="preserve"> lo siguiente</w:t>
      </w:r>
      <w:r w:rsidRPr="006D0E8A">
        <w:rPr>
          <w:rFonts w:ascii="Verdana" w:eastAsia="Calibri" w:hAnsi="Verdana" w:cs="Arial"/>
          <w:lang w:val="es-ES" w:eastAsia="es-ES"/>
        </w:rPr>
        <w:t xml:space="preserve">: </w:t>
      </w:r>
    </w:p>
    <w:p w14:paraId="697FF880" w14:textId="77777777" w:rsidR="0075058F" w:rsidRPr="006D0E8A" w:rsidRDefault="0075058F" w:rsidP="0075058F">
      <w:pPr>
        <w:tabs>
          <w:tab w:val="left" w:pos="142"/>
          <w:tab w:val="left" w:pos="284"/>
        </w:tabs>
        <w:spacing w:after="0" w:line="276" w:lineRule="auto"/>
        <w:contextualSpacing/>
        <w:jc w:val="both"/>
        <w:rPr>
          <w:rFonts w:ascii="Verdana" w:eastAsia="Century Gothic" w:hAnsi="Verdana" w:cs="Century Gothic"/>
          <w:b/>
          <w:bCs/>
          <w:lang w:val="es-ES"/>
        </w:rPr>
      </w:pPr>
    </w:p>
    <w:p w14:paraId="6D6D45F3" w14:textId="77777777" w:rsidR="0075058F" w:rsidRDefault="0075058F" w:rsidP="0075058F">
      <w:pPr>
        <w:spacing w:after="0" w:line="240" w:lineRule="auto"/>
        <w:ind w:left="709" w:right="709"/>
        <w:jc w:val="both"/>
        <w:rPr>
          <w:rFonts w:ascii="Verdana" w:hAnsi="Verdana"/>
          <w:sz w:val="20"/>
          <w:szCs w:val="20"/>
        </w:rPr>
      </w:pPr>
      <w:bookmarkStart w:id="0" w:name="_Hlk95313578"/>
      <w:r w:rsidRPr="006D0E8A">
        <w:rPr>
          <w:rFonts w:ascii="Verdana" w:eastAsia="Century Gothic" w:hAnsi="Verdana" w:cs="Century Gothic"/>
          <w:sz w:val="20"/>
          <w:szCs w:val="20"/>
          <w:lang w:val="es-ES"/>
        </w:rPr>
        <w:lastRenderedPageBreak/>
        <w:t>“</w:t>
      </w:r>
      <w:bookmarkEnd w:id="0"/>
      <w:r w:rsidRPr="006D0E8A">
        <w:rPr>
          <w:rFonts w:ascii="Verdana" w:eastAsia="Century Gothic" w:hAnsi="Verdana" w:cs="Century Gothic"/>
          <w:sz w:val="20"/>
          <w:szCs w:val="20"/>
          <w:lang w:val="es-ES"/>
        </w:rPr>
        <w:t xml:space="preserve">[…] </w:t>
      </w:r>
      <w:r w:rsidRPr="00F54D53">
        <w:rPr>
          <w:rFonts w:ascii="Verdana" w:hAnsi="Verdana"/>
          <w:sz w:val="20"/>
          <w:szCs w:val="20"/>
        </w:rPr>
        <w:t xml:space="preserve">En virtud de los argumentos expuestos y con el fin de unificar criterios que garanticen la transparencia en la contratación estatal, se solicita a la Agencia Nacional de Contratación Pública – Colombia Compra Eficiente emitir concepto sobre los siguientes interrogantes: </w:t>
      </w:r>
    </w:p>
    <w:p w14:paraId="14217A5C" w14:textId="77777777" w:rsidR="0075058F" w:rsidRDefault="0075058F" w:rsidP="0075058F">
      <w:pPr>
        <w:spacing w:after="0" w:line="240" w:lineRule="auto"/>
        <w:ind w:left="709" w:right="709"/>
        <w:jc w:val="both"/>
        <w:rPr>
          <w:rFonts w:ascii="Verdana" w:hAnsi="Verdana"/>
          <w:sz w:val="20"/>
          <w:szCs w:val="20"/>
        </w:rPr>
      </w:pPr>
    </w:p>
    <w:p w14:paraId="635FD14B" w14:textId="77777777" w:rsidR="0075058F" w:rsidRDefault="0075058F" w:rsidP="0075058F">
      <w:pPr>
        <w:spacing w:after="0" w:line="240" w:lineRule="auto"/>
        <w:ind w:left="709" w:right="709"/>
        <w:jc w:val="both"/>
        <w:rPr>
          <w:rFonts w:ascii="Verdana" w:hAnsi="Verdana"/>
          <w:sz w:val="20"/>
          <w:szCs w:val="20"/>
        </w:rPr>
      </w:pPr>
      <w:r w:rsidRPr="00F54D53">
        <w:rPr>
          <w:rFonts w:ascii="Verdana" w:hAnsi="Verdana"/>
          <w:sz w:val="20"/>
          <w:szCs w:val="20"/>
        </w:rPr>
        <w:t xml:space="preserve">1. ¿Es compatible con el Principio de Igualdad que la adjudicación de un contrato estatal dependa exclusivamente de una ventaja tributaria (exenciones de ESAL) y no de la eficiencia técnica del oferente, creando una barrera de acceso para las sociedades comerciales? </w:t>
      </w:r>
    </w:p>
    <w:p w14:paraId="6DED1B16" w14:textId="77777777" w:rsidR="0075058F" w:rsidRDefault="0075058F" w:rsidP="0075058F">
      <w:pPr>
        <w:spacing w:after="0" w:line="240" w:lineRule="auto"/>
        <w:ind w:left="709" w:right="709"/>
        <w:jc w:val="both"/>
        <w:rPr>
          <w:rFonts w:ascii="Verdana" w:hAnsi="Verdana"/>
          <w:sz w:val="20"/>
          <w:szCs w:val="20"/>
        </w:rPr>
      </w:pPr>
    </w:p>
    <w:p w14:paraId="3C3509F6" w14:textId="77777777" w:rsidR="0075058F" w:rsidRDefault="0075058F" w:rsidP="0075058F">
      <w:pPr>
        <w:spacing w:after="0" w:line="240" w:lineRule="auto"/>
        <w:ind w:left="709" w:right="709"/>
        <w:jc w:val="both"/>
        <w:rPr>
          <w:rFonts w:ascii="Verdana" w:hAnsi="Verdana"/>
          <w:sz w:val="20"/>
          <w:szCs w:val="20"/>
        </w:rPr>
      </w:pPr>
      <w:r w:rsidRPr="00F54D53">
        <w:rPr>
          <w:rFonts w:ascii="Verdana" w:hAnsi="Verdana"/>
          <w:sz w:val="20"/>
          <w:szCs w:val="20"/>
        </w:rPr>
        <w:t xml:space="preserve">2. Dada la autonomía de la voluntad, ¿pueden las entidades estatales establecer en los pliegos de condiciones una base neta de comparación de ofertas que ajuste los precios de los exentos de impuestos territoriales para evaluarlos en igualdad de condiciones fiscales con los demás proponentes? </w:t>
      </w:r>
    </w:p>
    <w:p w14:paraId="59CBFCA8" w14:textId="77777777" w:rsidR="0075058F" w:rsidRDefault="0075058F" w:rsidP="0075058F">
      <w:pPr>
        <w:spacing w:after="0" w:line="240" w:lineRule="auto"/>
        <w:ind w:left="709" w:right="709"/>
        <w:jc w:val="both"/>
        <w:rPr>
          <w:rFonts w:ascii="Verdana" w:hAnsi="Verdana"/>
          <w:sz w:val="20"/>
          <w:szCs w:val="20"/>
        </w:rPr>
      </w:pPr>
    </w:p>
    <w:p w14:paraId="01A88E27" w14:textId="77777777" w:rsidR="0075058F" w:rsidRDefault="0075058F" w:rsidP="0075058F">
      <w:pPr>
        <w:spacing w:after="0" w:line="240" w:lineRule="auto"/>
        <w:ind w:left="709" w:right="709"/>
        <w:jc w:val="both"/>
        <w:rPr>
          <w:rFonts w:ascii="Verdana" w:hAnsi="Verdana"/>
          <w:sz w:val="20"/>
          <w:szCs w:val="20"/>
        </w:rPr>
      </w:pPr>
      <w:r w:rsidRPr="00F54D53">
        <w:rPr>
          <w:rFonts w:ascii="Verdana" w:hAnsi="Verdana"/>
          <w:sz w:val="20"/>
          <w:szCs w:val="20"/>
        </w:rPr>
        <w:t xml:space="preserve">3. ¿Se puede configurar el fenómeno de oferta artificialmente baja cuando el proponente presenta un precio que solo es sostenible mediante la exclusión de gravámenes que cualquier otro operador del sector está obligado legalmente a pagar para ejecutar el mismo objeto? </w:t>
      </w:r>
    </w:p>
    <w:p w14:paraId="3A622ED5" w14:textId="77777777" w:rsidR="0075058F" w:rsidRDefault="0075058F" w:rsidP="0075058F">
      <w:pPr>
        <w:spacing w:after="0" w:line="240" w:lineRule="auto"/>
        <w:ind w:left="709" w:right="709"/>
        <w:jc w:val="both"/>
        <w:rPr>
          <w:rFonts w:ascii="Verdana" w:hAnsi="Verdana"/>
          <w:sz w:val="20"/>
          <w:szCs w:val="20"/>
        </w:rPr>
      </w:pPr>
    </w:p>
    <w:p w14:paraId="63AB71DA" w14:textId="77777777" w:rsidR="0075058F" w:rsidRDefault="0075058F" w:rsidP="0075058F">
      <w:pPr>
        <w:spacing w:after="0" w:line="240" w:lineRule="auto"/>
        <w:ind w:left="709" w:right="709"/>
        <w:jc w:val="both"/>
        <w:rPr>
          <w:rFonts w:ascii="Verdana" w:hAnsi="Verdana"/>
          <w:sz w:val="20"/>
          <w:szCs w:val="20"/>
        </w:rPr>
      </w:pPr>
      <w:r w:rsidRPr="00F54D53">
        <w:rPr>
          <w:rFonts w:ascii="Verdana" w:hAnsi="Verdana"/>
          <w:sz w:val="20"/>
          <w:szCs w:val="20"/>
        </w:rPr>
        <w:t xml:space="preserve">4. ¿Considera la Agencia que la asociación de una sociedad comercial con una ESAL dentro de una Unión Temporal/Consorcio o incluso actuando en calidad de persona jurídica, con el fin de trasladar exenciones tributarias al precio, constituye un uso abusivo de la forma asociativa o una práctica contraria a la libre competencia? </w:t>
      </w:r>
    </w:p>
    <w:p w14:paraId="433BA0A5" w14:textId="77777777" w:rsidR="0075058F" w:rsidRDefault="0075058F" w:rsidP="0075058F">
      <w:pPr>
        <w:spacing w:after="0" w:line="240" w:lineRule="auto"/>
        <w:ind w:left="709" w:right="709"/>
        <w:jc w:val="both"/>
        <w:rPr>
          <w:rFonts w:ascii="Verdana" w:hAnsi="Verdana"/>
          <w:sz w:val="20"/>
          <w:szCs w:val="20"/>
        </w:rPr>
      </w:pPr>
    </w:p>
    <w:p w14:paraId="618EBBB9" w14:textId="77777777" w:rsidR="0075058F" w:rsidRDefault="0075058F" w:rsidP="0075058F">
      <w:pPr>
        <w:spacing w:after="0" w:line="240" w:lineRule="auto"/>
        <w:ind w:left="709" w:right="709"/>
        <w:jc w:val="both"/>
        <w:rPr>
          <w:rFonts w:ascii="Verdana" w:hAnsi="Verdana"/>
          <w:sz w:val="20"/>
          <w:szCs w:val="20"/>
        </w:rPr>
      </w:pPr>
      <w:r w:rsidRPr="00F54D53">
        <w:rPr>
          <w:rFonts w:ascii="Verdana" w:hAnsi="Verdana"/>
          <w:sz w:val="20"/>
          <w:szCs w:val="20"/>
        </w:rPr>
        <w:t xml:space="preserve">5. ¿Existe algún lineamiento vigente que recomiende a las entidades territoriales cómo neutralizar las asimetrías tributarias en la evaluación económica para evitar el desplazamiento de la industria comercial por parte de entidades de economía solidaria? </w:t>
      </w:r>
    </w:p>
    <w:p w14:paraId="3BC4839F" w14:textId="77777777" w:rsidR="0075058F" w:rsidRDefault="0075058F" w:rsidP="0075058F">
      <w:pPr>
        <w:spacing w:after="0" w:line="240" w:lineRule="auto"/>
        <w:ind w:left="709" w:right="709"/>
        <w:jc w:val="both"/>
        <w:rPr>
          <w:rFonts w:ascii="Verdana" w:hAnsi="Verdana"/>
          <w:sz w:val="20"/>
          <w:szCs w:val="20"/>
        </w:rPr>
      </w:pPr>
    </w:p>
    <w:p w14:paraId="7CFA3550" w14:textId="77777777" w:rsidR="0075058F" w:rsidRDefault="0075058F" w:rsidP="0075058F">
      <w:pPr>
        <w:spacing w:after="0" w:line="240" w:lineRule="auto"/>
        <w:ind w:left="709" w:right="709"/>
        <w:jc w:val="both"/>
        <w:rPr>
          <w:rFonts w:ascii="Verdana" w:hAnsi="Verdana"/>
          <w:sz w:val="20"/>
          <w:szCs w:val="20"/>
        </w:rPr>
      </w:pPr>
      <w:r w:rsidRPr="00F54D53">
        <w:rPr>
          <w:rFonts w:ascii="Verdana" w:hAnsi="Verdana"/>
          <w:sz w:val="20"/>
          <w:szCs w:val="20"/>
        </w:rPr>
        <w:t xml:space="preserve">6. ¿Cómo debe una entidad estatal evaluar el requisito de los tres (3) meses de aportes a seguridad social cuando el proponente ha realizado vinculaciones nuevas de personas con discapacidad específicamente para cumplir con los aumentos de cuota establecidos en el Decreto 0287 del 19 de marzo de 2026? </w:t>
      </w:r>
    </w:p>
    <w:p w14:paraId="25DC3400" w14:textId="77777777" w:rsidR="0075058F" w:rsidRDefault="0075058F" w:rsidP="0075058F">
      <w:pPr>
        <w:spacing w:after="0" w:line="240" w:lineRule="auto"/>
        <w:ind w:left="709" w:right="709"/>
        <w:jc w:val="both"/>
        <w:rPr>
          <w:rFonts w:ascii="Verdana" w:hAnsi="Verdana"/>
          <w:sz w:val="20"/>
          <w:szCs w:val="20"/>
        </w:rPr>
      </w:pPr>
    </w:p>
    <w:p w14:paraId="0BC3BA3F" w14:textId="77777777" w:rsidR="0075058F" w:rsidRDefault="0075058F" w:rsidP="0075058F">
      <w:pPr>
        <w:spacing w:after="0" w:line="240" w:lineRule="auto"/>
        <w:ind w:left="709" w:right="709"/>
        <w:jc w:val="both"/>
        <w:rPr>
          <w:rFonts w:ascii="Verdana" w:hAnsi="Verdana"/>
          <w:sz w:val="20"/>
          <w:szCs w:val="20"/>
        </w:rPr>
      </w:pPr>
      <w:r w:rsidRPr="00F54D53">
        <w:rPr>
          <w:rFonts w:ascii="Verdana" w:hAnsi="Verdana"/>
          <w:sz w:val="20"/>
          <w:szCs w:val="20"/>
        </w:rPr>
        <w:t xml:space="preserve">7. ¿Resulta procedente que, en aras de garantizar el acceso a las medidas afirmativas, las entidades acepten para el personal de nueva vinculación el certificado de afiliación y el pago del mes corriente, exonerando de la retroactividad de los tres meses a quienes acrediten que la contratación es posterior a la vigencia del decreto? </w:t>
      </w:r>
    </w:p>
    <w:p w14:paraId="6ECCB8FB" w14:textId="77777777" w:rsidR="0075058F" w:rsidRDefault="0075058F" w:rsidP="0075058F">
      <w:pPr>
        <w:spacing w:after="0" w:line="240" w:lineRule="auto"/>
        <w:ind w:left="709" w:right="709"/>
        <w:jc w:val="both"/>
        <w:rPr>
          <w:rFonts w:ascii="Verdana" w:hAnsi="Verdana"/>
          <w:sz w:val="20"/>
          <w:szCs w:val="20"/>
        </w:rPr>
      </w:pPr>
    </w:p>
    <w:p w14:paraId="3EE17AEE" w14:textId="77777777" w:rsidR="0075058F" w:rsidRDefault="0075058F" w:rsidP="0075058F">
      <w:pPr>
        <w:spacing w:after="0" w:line="240" w:lineRule="auto"/>
        <w:ind w:left="709" w:right="709"/>
        <w:jc w:val="both"/>
        <w:rPr>
          <w:rFonts w:ascii="Verdana" w:hAnsi="Verdana"/>
          <w:sz w:val="20"/>
          <w:szCs w:val="20"/>
        </w:rPr>
      </w:pPr>
      <w:r w:rsidRPr="00F54D53">
        <w:rPr>
          <w:rFonts w:ascii="Verdana" w:hAnsi="Verdana"/>
          <w:sz w:val="20"/>
          <w:szCs w:val="20"/>
        </w:rPr>
        <w:t xml:space="preserve">8. Para un proponente con una planta de 1000 trabajadores, donde el cálculo según el artículo 2.2.1.2.4.2.7.4. numeral 2 da como resultado 22 </w:t>
      </w:r>
      <w:r w:rsidRPr="00F54D53">
        <w:rPr>
          <w:rFonts w:ascii="Verdana" w:hAnsi="Verdana"/>
          <w:sz w:val="20"/>
          <w:szCs w:val="20"/>
        </w:rPr>
        <w:lastRenderedPageBreak/>
        <w:t xml:space="preserve">trabajadores con discapacidad, ¿se considera cumplido el requisito si el proponente acredita tener los 22 vinculados al cierre del </w:t>
      </w:r>
      <w:proofErr w:type="gramStart"/>
      <w:r w:rsidRPr="00F54D53">
        <w:rPr>
          <w:rFonts w:ascii="Verdana" w:hAnsi="Verdana"/>
          <w:sz w:val="20"/>
          <w:szCs w:val="20"/>
        </w:rPr>
        <w:t>proceso</w:t>
      </w:r>
      <w:proofErr w:type="gramEnd"/>
      <w:r w:rsidRPr="00F54D53">
        <w:rPr>
          <w:rFonts w:ascii="Verdana" w:hAnsi="Verdana"/>
          <w:sz w:val="20"/>
          <w:szCs w:val="20"/>
        </w:rPr>
        <w:t xml:space="preserve"> pero solo cuenta con soportes de seguridad social de tres meses para una parte de ellos (los que venían de la ley anterior) y de uno o dos meses para los nuevos? </w:t>
      </w:r>
    </w:p>
    <w:p w14:paraId="6B35DF24" w14:textId="77777777" w:rsidR="0075058F" w:rsidRDefault="0075058F" w:rsidP="0075058F">
      <w:pPr>
        <w:spacing w:after="0" w:line="240" w:lineRule="auto"/>
        <w:ind w:left="709" w:right="709"/>
        <w:jc w:val="both"/>
        <w:rPr>
          <w:rFonts w:ascii="Verdana" w:hAnsi="Verdana"/>
          <w:sz w:val="20"/>
          <w:szCs w:val="20"/>
        </w:rPr>
      </w:pPr>
    </w:p>
    <w:p w14:paraId="0CBE4A63" w14:textId="77777777" w:rsidR="0075058F" w:rsidRPr="000D0FC9" w:rsidRDefault="0075058F" w:rsidP="0075058F">
      <w:pPr>
        <w:spacing w:after="0" w:line="240" w:lineRule="auto"/>
        <w:ind w:left="709" w:right="709"/>
        <w:jc w:val="both"/>
        <w:rPr>
          <w:rFonts w:ascii="Verdana" w:hAnsi="Verdana"/>
          <w:sz w:val="20"/>
          <w:szCs w:val="20"/>
        </w:rPr>
      </w:pPr>
      <w:r w:rsidRPr="00F54D53">
        <w:rPr>
          <w:rFonts w:ascii="Verdana" w:hAnsi="Verdana"/>
          <w:sz w:val="20"/>
          <w:szCs w:val="20"/>
        </w:rPr>
        <w:t>9. ¿Existe algún lineamiento de transición que permita a los actuales contratistas del Estado, cuya ejecución se traslada con la entrada en vigor del Decreto 287 de 2026, acreditar el puntaje adicional sin verse afectados por la antigüedad de los aportes de personal recientemente vinculado para cumplir con la nueva norma?</w:t>
      </w:r>
      <w:r>
        <w:rPr>
          <w:rFonts w:ascii="Verdana" w:eastAsia="Century Gothic" w:hAnsi="Verdana" w:cs="Century Gothic"/>
          <w:sz w:val="20"/>
          <w:szCs w:val="20"/>
          <w:lang w:val="es-ES"/>
        </w:rPr>
        <w:t>”</w:t>
      </w:r>
      <w:r w:rsidRPr="00837DBF">
        <w:rPr>
          <w:rFonts w:ascii="Verdana" w:eastAsia="Century Gothic" w:hAnsi="Verdana" w:cs="Century Gothic"/>
          <w:sz w:val="20"/>
          <w:szCs w:val="20"/>
          <w:lang w:val="es-ES"/>
        </w:rPr>
        <w:t>.</w:t>
      </w:r>
    </w:p>
    <w:p w14:paraId="7B38776D" w14:textId="77777777" w:rsidR="0075058F" w:rsidRPr="006D0E8A" w:rsidRDefault="0075058F" w:rsidP="0075058F">
      <w:pPr>
        <w:tabs>
          <w:tab w:val="left" w:pos="142"/>
          <w:tab w:val="left" w:pos="284"/>
        </w:tabs>
        <w:spacing w:after="0" w:line="276" w:lineRule="auto"/>
        <w:contextualSpacing/>
        <w:jc w:val="both"/>
        <w:rPr>
          <w:rFonts w:ascii="Verdana" w:eastAsia="Century Gothic" w:hAnsi="Verdana" w:cs="Century Gothic"/>
          <w:b/>
          <w:bCs/>
          <w:lang w:val="es-ES"/>
        </w:rPr>
      </w:pPr>
    </w:p>
    <w:p w14:paraId="404A8B08" w14:textId="77777777" w:rsidR="0075058F" w:rsidRPr="006D0E8A" w:rsidRDefault="0075058F" w:rsidP="0075058F">
      <w:pPr>
        <w:spacing w:after="120" w:line="276" w:lineRule="auto"/>
        <w:ind w:firstLine="709"/>
        <w:jc w:val="both"/>
        <w:rPr>
          <w:rFonts w:ascii="Verdana" w:eastAsia="Calibri" w:hAnsi="Verdana" w:cs="Arial"/>
          <w:color w:val="000000"/>
          <w:lang w:val="es-ES" w:eastAsia="es-ES"/>
        </w:rPr>
      </w:pPr>
      <w:r w:rsidRPr="006D0E8A">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concretos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6D0E8A">
        <w:rPr>
          <w:rFonts w:ascii="Verdana" w:eastAsia="Calibri" w:hAnsi="Verdana" w:cs="Arial"/>
          <w:color w:val="000000"/>
          <w:szCs w:val="24"/>
          <w:lang w:val="es-ES_tradnl" w:eastAsia="es-ES_tradnl"/>
        </w:rPr>
        <w:tab/>
      </w:r>
    </w:p>
    <w:p w14:paraId="06C48442" w14:textId="77777777" w:rsidR="0075058F" w:rsidRPr="006D0E8A" w:rsidRDefault="0075058F" w:rsidP="0075058F">
      <w:pPr>
        <w:spacing w:after="0" w:line="276" w:lineRule="auto"/>
        <w:ind w:firstLine="709"/>
        <w:jc w:val="both"/>
        <w:rPr>
          <w:rFonts w:ascii="Verdana" w:eastAsia="Calibri" w:hAnsi="Verdana" w:cs="Arial"/>
          <w:color w:val="000000"/>
          <w:lang w:val="es-ES" w:eastAsia="es-ES"/>
        </w:rPr>
      </w:pPr>
      <w:r w:rsidRPr="006D0E8A">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específicas que la hayan motivado, pero haciendo unas consideraciones sobre las normas generales relacionadas con el</w:t>
      </w:r>
      <w:r w:rsidRPr="006D0E8A">
        <w:rPr>
          <w:rFonts w:ascii="Verdana" w:eastAsia="Calibri" w:hAnsi="Verdana" w:cs="Arial"/>
          <w:color w:val="7030A0"/>
          <w:lang w:val="es-ES" w:eastAsia="es-ES"/>
        </w:rPr>
        <w:t xml:space="preserve"> </w:t>
      </w:r>
      <w:r w:rsidRPr="006D0E8A">
        <w:rPr>
          <w:rFonts w:ascii="Verdana" w:eastAsia="Calibri" w:hAnsi="Verdana" w:cs="Arial"/>
          <w:color w:val="000000"/>
          <w:lang w:val="es-ES" w:eastAsia="es-ES"/>
        </w:rPr>
        <w:t>problema</w:t>
      </w:r>
      <w:r w:rsidRPr="006D0E8A">
        <w:rPr>
          <w:rFonts w:ascii="Verdana" w:eastAsia="Calibri" w:hAnsi="Verdana" w:cs="Arial"/>
          <w:color w:val="7030A0"/>
          <w:lang w:val="es-ES" w:eastAsia="es-ES"/>
        </w:rPr>
        <w:t xml:space="preserve"> </w:t>
      </w:r>
      <w:r w:rsidRPr="006D0E8A">
        <w:rPr>
          <w:rFonts w:ascii="Verdana" w:eastAsia="Calibri" w:hAnsi="Verdana" w:cs="Arial"/>
          <w:color w:val="000000"/>
          <w:lang w:val="es-ES" w:eastAsia="es-ES"/>
        </w:rPr>
        <w:t>jurídico</w:t>
      </w:r>
      <w:r w:rsidRPr="006D0E8A">
        <w:rPr>
          <w:rFonts w:ascii="Verdana" w:eastAsia="Calibri" w:hAnsi="Verdana" w:cs="Arial"/>
          <w:color w:val="7030A0"/>
          <w:lang w:val="es-ES" w:eastAsia="es-ES"/>
        </w:rPr>
        <w:t xml:space="preserve"> </w:t>
      </w:r>
      <w:r w:rsidRPr="006D0E8A">
        <w:rPr>
          <w:rFonts w:ascii="Verdana" w:eastAsia="Calibri" w:hAnsi="Verdana" w:cs="Arial"/>
          <w:color w:val="000000"/>
          <w:lang w:val="es-ES" w:eastAsia="es-ES"/>
        </w:rPr>
        <w:t xml:space="preserve">de su consulta.  </w:t>
      </w:r>
    </w:p>
    <w:p w14:paraId="3C127CFE" w14:textId="77777777" w:rsidR="0075058F" w:rsidRPr="006D0E8A" w:rsidRDefault="0075058F" w:rsidP="0075058F">
      <w:pPr>
        <w:spacing w:after="0" w:line="276" w:lineRule="auto"/>
        <w:ind w:firstLine="709"/>
        <w:jc w:val="both"/>
        <w:rPr>
          <w:rFonts w:ascii="Verdana" w:eastAsia="Calibri" w:hAnsi="Verdana" w:cs="Arial"/>
          <w:color w:val="000000"/>
          <w:lang w:val="es-ES" w:eastAsia="es-ES"/>
        </w:rPr>
      </w:pPr>
    </w:p>
    <w:p w14:paraId="2C51EBC6" w14:textId="77777777" w:rsidR="0075058F" w:rsidRPr="006D0E8A" w:rsidRDefault="0075058F" w:rsidP="0075058F">
      <w:pPr>
        <w:numPr>
          <w:ilvl w:val="0"/>
          <w:numId w:val="18"/>
        </w:numPr>
        <w:tabs>
          <w:tab w:val="left" w:pos="142"/>
          <w:tab w:val="left" w:pos="284"/>
        </w:tabs>
        <w:spacing w:after="0" w:line="276" w:lineRule="auto"/>
        <w:ind w:left="0" w:firstLine="0"/>
        <w:contextualSpacing/>
        <w:jc w:val="both"/>
        <w:rPr>
          <w:rFonts w:ascii="Verdana" w:eastAsia="Century Gothic" w:hAnsi="Verdana" w:cs="Century Gothic"/>
          <w:b/>
          <w:bCs/>
          <w:lang w:val="es-ES"/>
        </w:rPr>
      </w:pPr>
      <w:r w:rsidRPr="006D0E8A">
        <w:rPr>
          <w:rFonts w:ascii="Verdana" w:eastAsia="Century Gothic" w:hAnsi="Verdana" w:cs="Century Gothic"/>
          <w:b/>
          <w:bCs/>
          <w:lang w:val="es-ES"/>
        </w:rPr>
        <w:t>Problema planteado:</w:t>
      </w:r>
    </w:p>
    <w:p w14:paraId="5DCEDA0D" w14:textId="77777777" w:rsidR="0075058F" w:rsidRPr="006D0E8A" w:rsidRDefault="0075058F" w:rsidP="0075058F">
      <w:pPr>
        <w:tabs>
          <w:tab w:val="left" w:pos="426"/>
        </w:tabs>
        <w:spacing w:after="0" w:line="276" w:lineRule="auto"/>
        <w:jc w:val="both"/>
        <w:rPr>
          <w:rFonts w:ascii="Verdana" w:eastAsia="Century Gothic" w:hAnsi="Verdana" w:cs="Century Gothic"/>
          <w:lang w:val="es-ES"/>
        </w:rPr>
      </w:pPr>
    </w:p>
    <w:p w14:paraId="63901DBB" w14:textId="77777777" w:rsidR="0075058F" w:rsidRPr="006D0E8A" w:rsidRDefault="0075058F" w:rsidP="0075058F">
      <w:pPr>
        <w:spacing w:after="0" w:line="276" w:lineRule="auto"/>
        <w:jc w:val="both"/>
        <w:rPr>
          <w:rFonts w:ascii="Verdana" w:eastAsia="Century Gothic" w:hAnsi="Verdana" w:cs="Century Gothic"/>
        </w:rPr>
      </w:pPr>
      <w:r w:rsidRPr="006D0E8A">
        <w:rPr>
          <w:rFonts w:ascii="Verdana" w:eastAsia="Century Gothic" w:hAnsi="Verdana" w:cs="Century Gothic"/>
        </w:rPr>
        <w:t xml:space="preserve">De acuerdo con el contenido de su solicitud, esta Agencia resolverá </w:t>
      </w:r>
      <w:r>
        <w:rPr>
          <w:rFonts w:ascii="Verdana" w:eastAsia="Century Gothic" w:hAnsi="Verdana" w:cs="Century Gothic"/>
        </w:rPr>
        <w:t>los</w:t>
      </w:r>
      <w:r w:rsidRPr="006D0E8A">
        <w:rPr>
          <w:rFonts w:ascii="Verdana" w:eastAsia="Century Gothic" w:hAnsi="Verdana" w:cs="Century Gothic"/>
        </w:rPr>
        <w:t xml:space="preserve"> siguiente</w:t>
      </w:r>
      <w:r>
        <w:rPr>
          <w:rFonts w:ascii="Verdana" w:eastAsia="Century Gothic" w:hAnsi="Verdana" w:cs="Century Gothic"/>
        </w:rPr>
        <w:t>s</w:t>
      </w:r>
      <w:r w:rsidRPr="006D0E8A">
        <w:rPr>
          <w:rFonts w:ascii="Verdana" w:eastAsia="Century Gothic" w:hAnsi="Verdana" w:cs="Century Gothic"/>
        </w:rPr>
        <w:t xml:space="preserve"> problema</w:t>
      </w:r>
      <w:r>
        <w:rPr>
          <w:rFonts w:ascii="Verdana" w:eastAsia="Century Gothic" w:hAnsi="Verdana" w:cs="Century Gothic"/>
        </w:rPr>
        <w:t>s</w:t>
      </w:r>
      <w:r w:rsidRPr="006D0E8A">
        <w:rPr>
          <w:rFonts w:ascii="Verdana" w:eastAsia="Century Gothic" w:hAnsi="Verdana" w:cs="Century Gothic"/>
        </w:rPr>
        <w:t xml:space="preserve"> jurídico</w:t>
      </w:r>
      <w:r>
        <w:rPr>
          <w:rFonts w:ascii="Verdana" w:eastAsia="Century Gothic" w:hAnsi="Verdana" w:cs="Century Gothic"/>
        </w:rPr>
        <w:t>s</w:t>
      </w:r>
      <w:r w:rsidRPr="006D0E8A">
        <w:rPr>
          <w:rFonts w:ascii="Verdana" w:eastAsia="Century Gothic" w:hAnsi="Verdana" w:cs="Century Gothic"/>
        </w:rPr>
        <w:t>:</w:t>
      </w:r>
      <w:r>
        <w:rPr>
          <w:rFonts w:ascii="Verdana" w:eastAsia="Century Gothic" w:hAnsi="Verdana" w:cs="Century Gothic"/>
        </w:rPr>
        <w:t xml:space="preserve"> i)</w:t>
      </w:r>
      <w:r w:rsidRPr="00C27C70">
        <w:rPr>
          <w:rFonts w:ascii="Verdana" w:eastAsia="Century Gothic" w:hAnsi="Verdana" w:cs="Century Gothic"/>
        </w:rPr>
        <w:t xml:space="preserve"> </w:t>
      </w:r>
      <w:r w:rsidRPr="00015DB2">
        <w:rPr>
          <w:rFonts w:ascii="Verdana" w:hAnsi="Verdana" w:cs="Arial"/>
          <w:color w:val="000000" w:themeColor="text1"/>
          <w:lang w:val="es-MX"/>
        </w:rPr>
        <w:t>¿Vulnera el principio de igualdad que la entidad estatal evalúe, en las mismas condiciones que las demás ofertas, una propuesta económica cuyo precio se encuentra exento de determinado impuesto por disposición legal?</w:t>
      </w:r>
      <w:r>
        <w:rPr>
          <w:rFonts w:ascii="Verdana" w:eastAsia="Century Gothic" w:hAnsi="Verdana" w:cs="Century Gothic"/>
        </w:rPr>
        <w:t xml:space="preserve">, </w:t>
      </w:r>
      <w:proofErr w:type="spellStart"/>
      <w:r>
        <w:rPr>
          <w:rFonts w:ascii="Verdana" w:eastAsia="Century Gothic" w:hAnsi="Verdana" w:cs="Century Gothic"/>
        </w:rPr>
        <w:t>ii</w:t>
      </w:r>
      <w:proofErr w:type="spellEnd"/>
      <w:r>
        <w:rPr>
          <w:rFonts w:ascii="Verdana" w:eastAsia="Century Gothic" w:hAnsi="Verdana" w:cs="Century Gothic"/>
        </w:rPr>
        <w:t>) ¿</w:t>
      </w:r>
      <w:r w:rsidRPr="007D308D">
        <w:rPr>
          <w:rFonts w:ascii="Verdana" w:eastAsia="Century Gothic" w:hAnsi="Verdana" w:cs="Century Gothic"/>
        </w:rPr>
        <w:t xml:space="preserve">Se puede configurar </w:t>
      </w:r>
      <w:r>
        <w:rPr>
          <w:rFonts w:ascii="Verdana" w:eastAsia="Century Gothic" w:hAnsi="Verdana" w:cs="Century Gothic"/>
        </w:rPr>
        <w:t xml:space="preserve">una </w:t>
      </w:r>
      <w:r w:rsidRPr="007D308D">
        <w:rPr>
          <w:rFonts w:ascii="Verdana" w:eastAsia="Century Gothic" w:hAnsi="Verdana" w:cs="Century Gothic"/>
        </w:rPr>
        <w:t>oferta artificialmente baja cuando el proponente presenta un</w:t>
      </w:r>
      <w:r>
        <w:rPr>
          <w:rFonts w:ascii="Verdana" w:eastAsia="Century Gothic" w:hAnsi="Verdana" w:cs="Century Gothic"/>
        </w:rPr>
        <w:t xml:space="preserve">a oferta económica exenta de impuestos?, y </w:t>
      </w:r>
      <w:proofErr w:type="spellStart"/>
      <w:r>
        <w:rPr>
          <w:rFonts w:ascii="Verdana" w:eastAsia="Century Gothic" w:hAnsi="Verdana" w:cs="Century Gothic"/>
        </w:rPr>
        <w:lastRenderedPageBreak/>
        <w:t>iii</w:t>
      </w:r>
      <w:proofErr w:type="spellEnd"/>
      <w:r>
        <w:rPr>
          <w:rFonts w:ascii="Verdana" w:eastAsia="Century Gothic" w:hAnsi="Verdana" w:cs="Century Gothic"/>
        </w:rPr>
        <w:t xml:space="preserve">) </w:t>
      </w:r>
      <w:r>
        <w:rPr>
          <w:rFonts w:ascii="Verdana" w:eastAsia="Calibri" w:hAnsi="Verdana" w:cs="Arial"/>
          <w:bCs/>
          <w:lang w:val="es-ES_tradnl" w:eastAsia="es-ES_tradnl"/>
        </w:rPr>
        <w:t xml:space="preserve">¿Es obligatoria la presentación del certificado de </w:t>
      </w:r>
      <w:r w:rsidRPr="00D22B7C">
        <w:rPr>
          <w:rFonts w:ascii="Verdana" w:eastAsia="Times New Roman" w:hAnsi="Verdana" w:cs="Times New Roman"/>
        </w:rPr>
        <w:t xml:space="preserve">aportes a seguridad social de los tres (3) meses anteriores a la presentación de la oferta </w:t>
      </w:r>
      <w:r>
        <w:rPr>
          <w:rFonts w:ascii="Verdana" w:eastAsia="Times New Roman" w:hAnsi="Verdana" w:cs="Times New Roman"/>
        </w:rPr>
        <w:t>para acceder al puntaje adicional del 2%?</w:t>
      </w:r>
    </w:p>
    <w:p w14:paraId="2AD17630" w14:textId="77777777" w:rsidR="0075058F" w:rsidRPr="006D0E8A" w:rsidRDefault="0075058F" w:rsidP="0075058F">
      <w:pPr>
        <w:spacing w:after="0" w:line="276" w:lineRule="auto"/>
        <w:jc w:val="both"/>
        <w:rPr>
          <w:rFonts w:ascii="Verdana" w:eastAsia="Calibri" w:hAnsi="Verdana" w:cs="Arial"/>
          <w:color w:val="7030A0"/>
        </w:rPr>
      </w:pPr>
    </w:p>
    <w:p w14:paraId="40AFCE74" w14:textId="77777777" w:rsidR="0075058F" w:rsidRPr="006D0E8A" w:rsidRDefault="0075058F" w:rsidP="0075058F">
      <w:pPr>
        <w:numPr>
          <w:ilvl w:val="0"/>
          <w:numId w:val="18"/>
        </w:numPr>
        <w:tabs>
          <w:tab w:val="left" w:pos="142"/>
          <w:tab w:val="left" w:pos="284"/>
        </w:tabs>
        <w:spacing w:after="0" w:line="276" w:lineRule="auto"/>
        <w:ind w:left="0" w:firstLine="0"/>
        <w:jc w:val="both"/>
        <w:rPr>
          <w:rFonts w:ascii="Verdana" w:eastAsia="Century Gothic" w:hAnsi="Verdana" w:cs="Century Gothic"/>
          <w:b/>
          <w:bCs/>
          <w:lang w:val="es-ES"/>
        </w:rPr>
      </w:pPr>
      <w:r w:rsidRPr="006D0E8A">
        <w:rPr>
          <w:rFonts w:ascii="Verdana" w:eastAsia="Century Gothic" w:hAnsi="Verdana" w:cs="Century Gothic"/>
          <w:b/>
          <w:bCs/>
          <w:lang w:val="es-ES"/>
        </w:rPr>
        <w:t>Respuesta:</w:t>
      </w:r>
    </w:p>
    <w:p w14:paraId="339008C4" w14:textId="77777777" w:rsidR="0075058F" w:rsidRPr="006D0E8A" w:rsidRDefault="0075058F" w:rsidP="0075058F">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75058F" w:rsidRPr="006D0E8A" w14:paraId="1F0F88A4" w14:textId="77777777" w:rsidTr="007E09F3">
        <w:trPr>
          <w:jc w:val="center"/>
        </w:trPr>
        <w:tc>
          <w:tcPr>
            <w:tcW w:w="8828" w:type="dxa"/>
          </w:tcPr>
          <w:p w14:paraId="37AD0BC3" w14:textId="77777777" w:rsidR="0075058F" w:rsidRDefault="0075058F" w:rsidP="007E09F3">
            <w:pPr>
              <w:spacing w:after="120" w:line="276" w:lineRule="auto"/>
              <w:ind w:right="51"/>
              <w:jc w:val="both"/>
              <w:rPr>
                <w:rFonts w:ascii="Verdana" w:hAnsi="Verdana" w:cs="Arial"/>
                <w:color w:val="000000" w:themeColor="text1"/>
                <w:lang w:val="es-MX"/>
              </w:rPr>
            </w:pPr>
            <w:bookmarkStart w:id="1" w:name="_Hlk171694685"/>
            <w:r>
              <w:rPr>
                <w:rFonts w:ascii="Verdana" w:eastAsia="Times New Roman" w:hAnsi="Verdana" w:cs="Arial"/>
                <w:color w:val="000000" w:themeColor="text1"/>
                <w:lang w:val="es-ES" w:eastAsia="es-ES"/>
              </w:rPr>
              <w:t xml:space="preserve">i. </w:t>
            </w:r>
            <w:r w:rsidRPr="68ED2B87">
              <w:rPr>
                <w:rFonts w:ascii="Verdana" w:eastAsia="Times New Roman" w:hAnsi="Verdana" w:cs="Arial"/>
                <w:color w:val="000000" w:themeColor="text1"/>
                <w:lang w:val="es-ES" w:eastAsia="es-ES"/>
              </w:rPr>
              <w:t>Conforme a la interpretación general de las normas del sistema de compras públicas</w:t>
            </w:r>
            <w:r>
              <w:rPr>
                <w:rFonts w:ascii="Verdana" w:eastAsia="Times New Roman" w:hAnsi="Verdana" w:cs="Arial"/>
                <w:color w:val="000000" w:themeColor="text1"/>
                <w:lang w:val="es-ES" w:eastAsia="es-ES"/>
              </w:rPr>
              <w:t xml:space="preserve">, </w:t>
            </w:r>
            <w:r w:rsidRPr="00DC39AE">
              <w:rPr>
                <w:rFonts w:ascii="Verdana" w:hAnsi="Verdana" w:cs="Arial"/>
                <w:color w:val="000000" w:themeColor="text1"/>
                <w:lang w:val="es-MX"/>
              </w:rPr>
              <w:t>para que la entidad pueda determinar cuál es la oferta que más ventaja le reporta, lo lógico es que la comparación de precios se haga sobre los que finalmente tendrá que pagar, es decir, no puede realizarse una ponderación adecuada, en el factor económico, si la entidad compara precios que no son reales, pues ello es lo que ocurre si en dicha comparación se toman precios que no serán los que finalmente pagará, porque no se encuentra</w:t>
            </w:r>
            <w:r>
              <w:rPr>
                <w:rFonts w:ascii="Verdana" w:hAnsi="Verdana" w:cs="Arial"/>
                <w:color w:val="000000" w:themeColor="text1"/>
                <w:lang w:val="es-MX"/>
              </w:rPr>
              <w:t>n</w:t>
            </w:r>
            <w:r w:rsidRPr="00DC39AE">
              <w:rPr>
                <w:rFonts w:ascii="Verdana" w:hAnsi="Verdana" w:cs="Arial"/>
                <w:color w:val="000000" w:themeColor="text1"/>
                <w:lang w:val="es-MX"/>
              </w:rPr>
              <w:t xml:space="preserve"> incluido</w:t>
            </w:r>
            <w:r>
              <w:rPr>
                <w:rFonts w:ascii="Verdana" w:hAnsi="Verdana" w:cs="Arial"/>
                <w:color w:val="000000" w:themeColor="text1"/>
                <w:lang w:val="es-MX"/>
              </w:rPr>
              <w:t>s</w:t>
            </w:r>
            <w:r w:rsidRPr="00DC39AE">
              <w:rPr>
                <w:rFonts w:ascii="Verdana" w:hAnsi="Verdana" w:cs="Arial"/>
                <w:color w:val="000000" w:themeColor="text1"/>
                <w:lang w:val="es-MX"/>
              </w:rPr>
              <w:t xml:space="preserve"> </w:t>
            </w:r>
            <w:r>
              <w:rPr>
                <w:rFonts w:ascii="Verdana" w:hAnsi="Verdana" w:cs="Arial"/>
                <w:color w:val="000000" w:themeColor="text1"/>
                <w:lang w:val="es-MX"/>
              </w:rPr>
              <w:t>los impuestos aplicables</w:t>
            </w:r>
            <w:r w:rsidRPr="00DC39AE">
              <w:rPr>
                <w:rFonts w:ascii="Verdana" w:hAnsi="Verdana" w:cs="Arial"/>
                <w:color w:val="000000" w:themeColor="text1"/>
                <w:lang w:val="es-MX"/>
              </w:rPr>
              <w:t xml:space="preserve">. De esta manera, el principio de selección objetiva, antes que permitir que la entidad compare las ofertas económicas sin tener en cuenta </w:t>
            </w:r>
            <w:r>
              <w:rPr>
                <w:rFonts w:ascii="Verdana" w:hAnsi="Verdana" w:cs="Arial"/>
                <w:color w:val="000000" w:themeColor="text1"/>
                <w:lang w:val="es-MX"/>
              </w:rPr>
              <w:t>la carga tributaria</w:t>
            </w:r>
            <w:r w:rsidRPr="00DC39AE">
              <w:rPr>
                <w:rFonts w:ascii="Verdana" w:hAnsi="Verdana" w:cs="Arial"/>
                <w:color w:val="000000" w:themeColor="text1"/>
                <w:lang w:val="es-MX"/>
              </w:rPr>
              <w:t>, busca que la comparación se haga sobre la realidad de lo ofrecido por cada proponente, es decir, el valor total de lo que terminará pagando la entidad cuando adjudique el contrato</w:t>
            </w:r>
            <w:r>
              <w:rPr>
                <w:rFonts w:ascii="Verdana" w:hAnsi="Verdana" w:cs="Arial"/>
                <w:color w:val="000000" w:themeColor="text1"/>
                <w:lang w:val="es-MX"/>
              </w:rPr>
              <w:t xml:space="preserve">. </w:t>
            </w:r>
          </w:p>
          <w:p w14:paraId="04A91967" w14:textId="77777777" w:rsidR="0075058F" w:rsidRDefault="0075058F" w:rsidP="007E09F3">
            <w:pPr>
              <w:spacing w:before="120" w:after="120" w:line="276" w:lineRule="auto"/>
              <w:ind w:firstLine="709"/>
              <w:jc w:val="both"/>
              <w:rPr>
                <w:rFonts w:ascii="Verdana" w:hAnsi="Verdana" w:cs="Arial"/>
                <w:color w:val="000000" w:themeColor="text1"/>
                <w:lang w:val="es-MX"/>
              </w:rPr>
            </w:pPr>
            <w:r>
              <w:rPr>
                <w:rFonts w:ascii="Verdana" w:hAnsi="Verdana" w:cs="Arial"/>
                <w:color w:val="000000" w:themeColor="text1"/>
                <w:lang w:val="es-MX"/>
              </w:rPr>
              <w:t xml:space="preserve">Al respecto, vale la pena señalar que la posición que ha adoptado esta Subdirección Gestión Contractual desde tiempo atrás es que el IVA hace parte del precio que ofrece cada proponente, y así debe ser ponderado al momento de la evaluación de las ofertas. Si un proponente está en capacidad de ofrecer un precio menor porque, según su régimen tributario, no es responsable de IVA o de cualquier otro impuesto que incida en el precio, entonces eso hace parte de las condiciones de su oferta y, evidentemente, podría estar en ventaja, en lo que respecta al precio, frente a otro proponente que sea responsable del pago del impuesto, pero ello no representa un trato desigual que imponga la entidad, pues es el precio que puede ofrecer cada proponente. </w:t>
            </w:r>
          </w:p>
          <w:p w14:paraId="6640248F" w14:textId="77777777" w:rsidR="0075058F" w:rsidRDefault="0075058F" w:rsidP="007E09F3">
            <w:pPr>
              <w:spacing w:after="120" w:line="276" w:lineRule="auto"/>
              <w:ind w:firstLine="709"/>
              <w:jc w:val="both"/>
              <w:rPr>
                <w:rFonts w:ascii="Verdana" w:hAnsi="Verdana" w:cs="Arial"/>
                <w:color w:val="000000" w:themeColor="text1"/>
                <w:lang w:val="es-MX"/>
              </w:rPr>
            </w:pPr>
            <w:r w:rsidRPr="00DC39AE">
              <w:rPr>
                <w:rFonts w:ascii="Verdana" w:hAnsi="Verdana" w:cs="Arial"/>
                <w:color w:val="000000" w:themeColor="text1"/>
                <w:lang w:val="es-MX"/>
              </w:rPr>
              <w:t xml:space="preserve">Por ello, la Corte Constitucional ha señalado que un correcto entendimiento del derecho a la igualdad parte de la consideración de tratar igual a quienes estén en situaciones esencialmente similares y desigual a quienes estén en situaciones diferentes: De esta manera, </w:t>
            </w:r>
            <w:r>
              <w:rPr>
                <w:rFonts w:ascii="Verdana" w:hAnsi="Verdana" w:cs="Arial"/>
                <w:color w:val="000000" w:themeColor="text1"/>
                <w:lang w:val="es-MX"/>
              </w:rPr>
              <w:t>“</w:t>
            </w:r>
            <w:r w:rsidRPr="00DC39AE">
              <w:rPr>
                <w:rFonts w:ascii="Verdana" w:hAnsi="Verdana" w:cs="Arial"/>
                <w:color w:val="000000" w:themeColor="text1"/>
                <w:lang w:val="es-MX"/>
              </w:rPr>
              <w:t>La correcta aplicación del derecho a la igualdad no sólo supone la igualdad de trato respecto de los privilegios, oportunidades y cargas entre los iguales, sino también el tratamiento desigual entre supuestos disímiles</w:t>
            </w:r>
            <w:r>
              <w:rPr>
                <w:rFonts w:ascii="Verdana" w:hAnsi="Verdana" w:cs="Arial"/>
                <w:color w:val="000000" w:themeColor="text1"/>
                <w:lang w:val="es-MX"/>
              </w:rPr>
              <w:t>”</w:t>
            </w:r>
            <w:r w:rsidRPr="00DC39AE">
              <w:rPr>
                <w:rFonts w:ascii="Verdana" w:hAnsi="Verdana" w:cs="Arial"/>
                <w:color w:val="000000" w:themeColor="text1"/>
                <w:lang w:val="es-MX"/>
              </w:rPr>
              <w:t xml:space="preserve">. </w:t>
            </w:r>
          </w:p>
          <w:p w14:paraId="45C77F3B" w14:textId="77777777" w:rsidR="0075058F" w:rsidRDefault="0075058F" w:rsidP="007E09F3">
            <w:pPr>
              <w:spacing w:after="120" w:line="276" w:lineRule="auto"/>
              <w:ind w:firstLine="709"/>
              <w:jc w:val="both"/>
              <w:rPr>
                <w:rFonts w:ascii="Verdana" w:hAnsi="Verdana" w:cs="Arial"/>
                <w:color w:val="000000" w:themeColor="text1"/>
                <w:lang w:val="es-MX"/>
              </w:rPr>
            </w:pPr>
            <w:r>
              <w:rPr>
                <w:rFonts w:ascii="Verdana" w:hAnsi="Verdana" w:cs="Arial"/>
                <w:color w:val="000000" w:themeColor="text1"/>
                <w:lang w:val="es-MX"/>
              </w:rPr>
              <w:lastRenderedPageBreak/>
              <w:t xml:space="preserve">Así las cosas, no puede predicarse igualdad de trato frente a quienes no se encuentran en la misma situación. Entonces, no podría justificarse que en un proceso de selección donde existen oferentes que proponen un precio incluyendo determinados impuestos, por ser responsables de este, y otros que no, </w:t>
            </w:r>
            <w:r w:rsidRPr="00651A05">
              <w:rPr>
                <w:rFonts w:ascii="Verdana" w:hAnsi="Verdana" w:cs="Arial"/>
                <w:color w:val="000000" w:themeColor="text1"/>
                <w:lang w:val="es-MX"/>
              </w:rPr>
              <w:t>la ponderación de las ofertas se efectúe descontando o adicionando tales impuestos de manera uniforme. Una actuación en ese sentido, lejos de materializar el principio de igualdad, implicaría desconocer las diferencias jurídicas establecidas por el legislador y alterar las condiciones reales de competencia entre los proponentes.</w:t>
            </w:r>
            <w:r>
              <w:rPr>
                <w:rFonts w:ascii="Verdana" w:hAnsi="Verdana" w:cs="Arial"/>
                <w:color w:val="000000" w:themeColor="text1"/>
                <w:lang w:val="es-MX"/>
              </w:rPr>
              <w:t xml:space="preserve"> </w:t>
            </w:r>
          </w:p>
          <w:p w14:paraId="1168C8E3" w14:textId="77777777" w:rsidR="0075058F" w:rsidRDefault="0075058F" w:rsidP="007E09F3">
            <w:pPr>
              <w:spacing w:after="120" w:line="276" w:lineRule="auto"/>
              <w:ind w:firstLine="709"/>
              <w:jc w:val="both"/>
              <w:rPr>
                <w:rFonts w:ascii="Verdana" w:hAnsi="Verdana" w:cs="Arial"/>
                <w:color w:val="000000" w:themeColor="text1"/>
                <w:lang w:val="es-MX"/>
              </w:rPr>
            </w:pPr>
            <w:r>
              <w:rPr>
                <w:rFonts w:ascii="Verdana" w:hAnsi="Verdana" w:cs="Arial"/>
                <w:color w:val="000000" w:themeColor="text1"/>
                <w:lang w:val="es-MX"/>
              </w:rPr>
              <w:t>Bajo estas consideraciones, n</w:t>
            </w:r>
            <w:r w:rsidRPr="00D61978">
              <w:rPr>
                <w:rFonts w:ascii="Verdana" w:hAnsi="Verdana" w:cs="Arial"/>
                <w:color w:val="000000" w:themeColor="text1"/>
                <w:lang w:val="es-MX"/>
              </w:rPr>
              <w:t>o es posible afirmar que la participación de un</w:t>
            </w:r>
            <w:r>
              <w:rPr>
                <w:rFonts w:ascii="Verdana" w:hAnsi="Verdana" w:cs="Arial"/>
                <w:color w:val="000000" w:themeColor="text1"/>
                <w:lang w:val="es-MX"/>
              </w:rPr>
              <w:t xml:space="preserve"> proponente que cuente con exenciones tributarias, como puede ser una Entidad Sin Ánimo de Lucro -ESAL-, y la posterior adjudicación del contrato,</w:t>
            </w:r>
            <w:r w:rsidRPr="00D61978">
              <w:rPr>
                <w:rFonts w:ascii="Verdana" w:hAnsi="Verdana" w:cs="Arial"/>
                <w:color w:val="000000" w:themeColor="text1"/>
                <w:lang w:val="es-MX"/>
              </w:rPr>
              <w:t xml:space="preserve"> resulte incompatible con el principio de igualdad por el solo hecho de que est</w:t>
            </w:r>
            <w:r>
              <w:rPr>
                <w:rFonts w:ascii="Verdana" w:hAnsi="Verdana" w:cs="Arial"/>
                <w:color w:val="000000" w:themeColor="text1"/>
                <w:lang w:val="es-MX"/>
              </w:rPr>
              <w:t>e goce</w:t>
            </w:r>
            <w:r w:rsidRPr="00D61978">
              <w:rPr>
                <w:rFonts w:ascii="Verdana" w:hAnsi="Verdana" w:cs="Arial"/>
                <w:color w:val="000000" w:themeColor="text1"/>
                <w:lang w:val="es-MX"/>
              </w:rPr>
              <w:t xml:space="preserve"> de beneficios tributarios previstos por el ordenamiento jurídico.</w:t>
            </w:r>
            <w:r>
              <w:rPr>
                <w:rFonts w:ascii="Verdana" w:hAnsi="Verdana" w:cs="Arial"/>
                <w:color w:val="000000" w:themeColor="text1"/>
                <w:lang w:val="es-MX"/>
              </w:rPr>
              <w:t xml:space="preserve"> Como se explicó</w:t>
            </w:r>
            <w:r w:rsidRPr="00D61978">
              <w:rPr>
                <w:rFonts w:ascii="Verdana" w:hAnsi="Verdana" w:cs="Arial"/>
                <w:color w:val="000000" w:themeColor="text1"/>
                <w:lang w:val="es-MX"/>
              </w:rPr>
              <w:t>, el principio de igualdad no exige eliminar las diferencias jurídicas que el propio legislador ha establecido entre los distintos sujetos de derecho, sino garantizar que quienes se encuentran en una misma situación jurídica reciban el mismo tratamiento. En consecuencia, cuando el ordenamiento tributario reconoce determinados beneficios</w:t>
            </w:r>
            <w:r>
              <w:rPr>
                <w:rFonts w:ascii="Verdana" w:hAnsi="Verdana" w:cs="Arial"/>
                <w:color w:val="000000" w:themeColor="text1"/>
                <w:lang w:val="es-MX"/>
              </w:rPr>
              <w:t xml:space="preserve"> </w:t>
            </w:r>
            <w:r w:rsidRPr="00D61978">
              <w:rPr>
                <w:rFonts w:ascii="Verdana" w:hAnsi="Verdana" w:cs="Arial"/>
                <w:color w:val="000000" w:themeColor="text1"/>
                <w:lang w:val="es-MX"/>
              </w:rPr>
              <w:t>a ciertas entidades en atención a su naturaleza, finalidad o régimen especial, tales diferencias constituyen una decisión del legislador que no puede ser desconocida por las entidades estatales mediante los pliegos de condiciones</w:t>
            </w:r>
            <w:r>
              <w:rPr>
                <w:rFonts w:ascii="Verdana" w:hAnsi="Verdana" w:cs="Arial"/>
                <w:color w:val="000000" w:themeColor="text1"/>
                <w:lang w:val="es-MX"/>
              </w:rPr>
              <w:t xml:space="preserve">. </w:t>
            </w:r>
          </w:p>
          <w:p w14:paraId="7BEF66C1" w14:textId="77777777" w:rsidR="0075058F" w:rsidRDefault="0075058F" w:rsidP="007E09F3">
            <w:pPr>
              <w:widowControl w:val="0"/>
              <w:autoSpaceDE w:val="0"/>
              <w:autoSpaceDN w:val="0"/>
              <w:snapToGrid w:val="0"/>
              <w:spacing w:after="120" w:line="276" w:lineRule="auto"/>
              <w:jc w:val="both"/>
              <w:rPr>
                <w:rFonts w:ascii="Verdana" w:eastAsia="Arial" w:hAnsi="Verdana" w:cs="Arial"/>
                <w:lang w:val="es-ES" w:eastAsia="es-ES" w:bidi="es-ES"/>
              </w:rPr>
            </w:pPr>
            <w:proofErr w:type="spellStart"/>
            <w:r>
              <w:rPr>
                <w:rFonts w:ascii="Verdana" w:hAnsi="Verdana" w:cs="Arial"/>
                <w:color w:val="000000" w:themeColor="text1"/>
                <w:lang w:val="es-MX"/>
              </w:rPr>
              <w:t>ii</w:t>
            </w:r>
            <w:proofErr w:type="spellEnd"/>
            <w:r>
              <w:rPr>
                <w:rFonts w:ascii="Verdana" w:hAnsi="Verdana" w:cs="Arial"/>
                <w:color w:val="000000" w:themeColor="text1"/>
                <w:lang w:val="es-MX"/>
              </w:rPr>
              <w:t>.</w:t>
            </w:r>
            <w:r>
              <w:rPr>
                <w:rFonts w:ascii="Verdana" w:hAnsi="Verdana" w:cs="Arial"/>
                <w:bCs/>
                <w:szCs w:val="24"/>
                <w:lang w:val="es-ES" w:eastAsia="es-ES_tradnl"/>
              </w:rPr>
              <w:t xml:space="preserve"> E</w:t>
            </w:r>
            <w:r w:rsidRPr="00955CBA">
              <w:rPr>
                <w:rFonts w:ascii="Verdana" w:hAnsi="Verdana" w:cs="Arial"/>
                <w:bCs/>
                <w:szCs w:val="24"/>
                <w:lang w:val="es-ES" w:eastAsia="es-ES_tradnl"/>
              </w:rPr>
              <w:t xml:space="preserve">n el caso de </w:t>
            </w:r>
            <w:r>
              <w:rPr>
                <w:rFonts w:ascii="Verdana" w:hAnsi="Verdana" w:cs="Arial"/>
                <w:bCs/>
                <w:szCs w:val="24"/>
                <w:lang w:val="es-ES" w:eastAsia="es-ES_tradnl"/>
              </w:rPr>
              <w:t>determinados sujetos, como las ESAL</w:t>
            </w:r>
            <w:r w:rsidRPr="00955CBA">
              <w:rPr>
                <w:rFonts w:ascii="Verdana" w:hAnsi="Verdana" w:cs="Arial"/>
                <w:bCs/>
                <w:szCs w:val="24"/>
                <w:lang w:val="es-ES" w:eastAsia="es-ES_tradnl"/>
              </w:rPr>
              <w:t xml:space="preserve">, </w:t>
            </w:r>
            <w:r>
              <w:rPr>
                <w:rFonts w:ascii="Verdana" w:hAnsi="Verdana" w:cs="Arial"/>
                <w:bCs/>
                <w:szCs w:val="24"/>
                <w:lang w:val="es-ES" w:eastAsia="es-ES_tradnl"/>
              </w:rPr>
              <w:t xml:space="preserve">que por su naturaleza tienen </w:t>
            </w:r>
            <w:r w:rsidRPr="00955CBA">
              <w:rPr>
                <w:rFonts w:ascii="Verdana" w:hAnsi="Verdana" w:cs="Arial"/>
                <w:bCs/>
                <w:szCs w:val="24"/>
                <w:lang w:val="es-ES" w:eastAsia="es-ES_tradnl"/>
              </w:rPr>
              <w:t>beneficios tributar</w:t>
            </w:r>
            <w:r>
              <w:rPr>
                <w:rFonts w:ascii="Verdana" w:hAnsi="Verdana" w:cs="Arial"/>
                <w:bCs/>
                <w:szCs w:val="24"/>
                <w:lang w:val="es-ES" w:eastAsia="es-ES_tradnl"/>
              </w:rPr>
              <w:t>io</w:t>
            </w:r>
            <w:r w:rsidRPr="00955CBA">
              <w:rPr>
                <w:rFonts w:ascii="Verdana" w:hAnsi="Verdana" w:cs="Arial"/>
                <w:bCs/>
                <w:szCs w:val="24"/>
                <w:lang w:val="es-ES" w:eastAsia="es-ES_tradnl"/>
              </w:rPr>
              <w:t>s reconocid</w:t>
            </w:r>
            <w:r>
              <w:rPr>
                <w:rFonts w:ascii="Verdana" w:hAnsi="Verdana" w:cs="Arial"/>
                <w:bCs/>
                <w:szCs w:val="24"/>
                <w:lang w:val="es-ES" w:eastAsia="es-ES_tradnl"/>
              </w:rPr>
              <w:t>o</w:t>
            </w:r>
            <w:r w:rsidRPr="00955CBA">
              <w:rPr>
                <w:rFonts w:ascii="Verdana" w:hAnsi="Verdana" w:cs="Arial"/>
                <w:bCs/>
                <w:szCs w:val="24"/>
                <w:lang w:val="es-ES" w:eastAsia="es-ES_tradnl"/>
              </w:rPr>
              <w:t>s por la ley</w:t>
            </w:r>
            <w:r>
              <w:rPr>
                <w:rFonts w:ascii="Verdana" w:hAnsi="Verdana" w:cs="Arial"/>
                <w:bCs/>
                <w:szCs w:val="24"/>
                <w:lang w:val="es-ES" w:eastAsia="es-ES_tradnl"/>
              </w:rPr>
              <w:t>, la presentación de su oferta con dichas exenciones no implica que esta situación</w:t>
            </w:r>
            <w:r w:rsidRPr="00955CBA">
              <w:rPr>
                <w:rFonts w:ascii="Verdana" w:hAnsi="Verdana" w:cs="Arial"/>
                <w:bCs/>
                <w:szCs w:val="24"/>
                <w:lang w:val="es-ES" w:eastAsia="es-ES_tradnl"/>
              </w:rPr>
              <w:t>, por sí misma,</w:t>
            </w:r>
            <w:r>
              <w:rPr>
                <w:rFonts w:ascii="Verdana" w:hAnsi="Verdana" w:cs="Arial"/>
                <w:bCs/>
                <w:szCs w:val="24"/>
                <w:lang w:val="es-ES" w:eastAsia="es-ES_tradnl"/>
              </w:rPr>
              <w:t xml:space="preserve"> configure </w:t>
            </w:r>
            <w:r w:rsidRPr="00955CBA">
              <w:rPr>
                <w:rFonts w:ascii="Verdana" w:hAnsi="Verdana" w:cs="Arial"/>
                <w:bCs/>
                <w:szCs w:val="24"/>
                <w:lang w:val="es-ES" w:eastAsia="es-ES_tradnl"/>
              </w:rPr>
              <w:t>una oferta artificialmente baja. Ello obedece a que</w:t>
            </w:r>
            <w:r>
              <w:rPr>
                <w:rFonts w:ascii="Verdana" w:hAnsi="Verdana" w:cs="Arial"/>
                <w:bCs/>
                <w:szCs w:val="24"/>
                <w:lang w:val="es-ES" w:eastAsia="es-ES_tradnl"/>
              </w:rPr>
              <w:t>, en principio,</w:t>
            </w:r>
            <w:r w:rsidRPr="00955CBA">
              <w:rPr>
                <w:rFonts w:ascii="Verdana" w:hAnsi="Verdana" w:cs="Arial"/>
                <w:bCs/>
                <w:szCs w:val="24"/>
                <w:lang w:val="es-ES" w:eastAsia="es-ES_tradnl"/>
              </w:rPr>
              <w:t xml:space="preserve"> el menor valor ofertado encuentra una justificación objetiva y legítima en el régimen tributario aplicable al proponente, el cual forma parte de su estructura real de costos y no de una práctica destinada a distorsionar la competencia o a presentar una oferta económicamente inviable.</w:t>
            </w:r>
            <w:r w:rsidRPr="00BF3A72">
              <w:rPr>
                <w:rFonts w:ascii="Verdana" w:eastAsia="Arial" w:hAnsi="Verdana" w:cs="Arial"/>
                <w:lang w:val="es-ES" w:eastAsia="es-ES" w:bidi="es-ES"/>
              </w:rPr>
              <w:t xml:space="preserve"> </w:t>
            </w:r>
            <w:r>
              <w:rPr>
                <w:rFonts w:ascii="Verdana" w:eastAsia="Arial" w:hAnsi="Verdana" w:cs="Arial"/>
                <w:lang w:val="es-ES" w:eastAsia="es-ES" w:bidi="es-ES"/>
              </w:rPr>
              <w:t>Al respecto, el Consejo de Estado define el precio artificialmente bajo como aquel que no tiene sustento o fundamento en su</w:t>
            </w:r>
            <w:r>
              <w:rPr>
                <w:rFonts w:ascii="Verdana" w:eastAsia="Arial" w:hAnsi="Verdana" w:cs="Arial"/>
                <w:spacing w:val="-45"/>
                <w:lang w:val="es-ES" w:eastAsia="es-ES" w:bidi="es-ES"/>
              </w:rPr>
              <w:t xml:space="preserve"> </w:t>
            </w:r>
            <w:r>
              <w:rPr>
                <w:rFonts w:ascii="Verdana" w:eastAsia="Arial" w:hAnsi="Verdana" w:cs="Arial"/>
                <w:lang w:val="es-ES" w:eastAsia="es-ES" w:bidi="es-ES"/>
              </w:rPr>
              <w:t>estructuración dentro del tráfico comercial:</w:t>
            </w:r>
          </w:p>
          <w:p w14:paraId="2A460675" w14:textId="77777777" w:rsidR="0075058F" w:rsidRDefault="0075058F" w:rsidP="007E09F3">
            <w:pPr>
              <w:widowControl w:val="0"/>
              <w:autoSpaceDE w:val="0"/>
              <w:autoSpaceDN w:val="0"/>
              <w:spacing w:line="276" w:lineRule="auto"/>
              <w:ind w:left="720"/>
              <w:rPr>
                <w:rFonts w:ascii="Verdana" w:eastAsia="Arial" w:hAnsi="Verdana" w:cs="Arial"/>
                <w:lang w:val="es-ES" w:eastAsia="es-ES" w:bidi="es-ES"/>
              </w:rPr>
            </w:pPr>
          </w:p>
          <w:p w14:paraId="5B727238" w14:textId="77777777" w:rsidR="0075058F" w:rsidRDefault="0075058F" w:rsidP="007E09F3">
            <w:pPr>
              <w:ind w:left="709" w:right="709"/>
              <w:jc w:val="both"/>
              <w:rPr>
                <w:rFonts w:ascii="Verdana" w:eastAsia="Aptos" w:hAnsi="Verdana" w:cs="Times New Roman"/>
                <w:kern w:val="2"/>
                <w:sz w:val="20"/>
                <w:szCs w:val="20"/>
                <w14:ligatures w14:val="standardContextual"/>
              </w:rPr>
            </w:pPr>
            <w:r>
              <w:rPr>
                <w:rFonts w:ascii="Verdana" w:eastAsia="Aptos" w:hAnsi="Verdana" w:cs="Times New Roman"/>
                <w:kern w:val="2"/>
                <w:sz w:val="20"/>
                <w:szCs w:val="20"/>
                <w14:ligatures w14:val="standardContextual"/>
              </w:rPr>
              <w:t xml:space="preserve">“El denominado “precio artificialmente bajo” de que trata la Ley 80, es aquel que resulta artificioso o falso, disimulado, muy reducido o disminuido, pero además, que no encuentre sustentación o fundamento </w:t>
            </w:r>
            <w:r>
              <w:rPr>
                <w:rFonts w:ascii="Verdana" w:eastAsia="Aptos" w:hAnsi="Verdana" w:cs="Times New Roman"/>
                <w:kern w:val="2"/>
                <w:sz w:val="20"/>
                <w:szCs w:val="20"/>
                <w14:ligatures w14:val="standardContextual"/>
              </w:rPr>
              <w:lastRenderedPageBreak/>
              <w:t>alguno en su estructuración dentro del tráfico comercial en el cual se desarrolla el negocio, es decir, que dicho precio no pueda ser justificado y por lo tanto, la Administración estaría imposibilitada para admitirlo, so pena de incurrir en violación de los principios de transparencia, equilibrio e imparcialidad que gobiernan la actividad contractual y como parte de ella, el procedimiento de la licitación</w:t>
            </w:r>
            <w:r>
              <w:rPr>
                <w:rFonts w:ascii="Verdana" w:eastAsia="Aptos" w:hAnsi="Verdana" w:cs="Times New Roman"/>
                <w:spacing w:val="-8"/>
                <w:kern w:val="2"/>
                <w:sz w:val="20"/>
                <w:szCs w:val="20"/>
                <w14:ligatures w14:val="standardContextual"/>
              </w:rPr>
              <w:t xml:space="preserve"> </w:t>
            </w:r>
            <w:r>
              <w:rPr>
                <w:rFonts w:ascii="Verdana" w:eastAsia="Aptos" w:hAnsi="Verdana" w:cs="Times New Roman"/>
                <w:kern w:val="2"/>
                <w:sz w:val="20"/>
                <w:szCs w:val="20"/>
                <w14:ligatures w14:val="standardContextual"/>
              </w:rPr>
              <w:t>[…]”.</w:t>
            </w:r>
          </w:p>
          <w:p w14:paraId="5094C5A1" w14:textId="77777777" w:rsidR="0075058F" w:rsidRDefault="0075058F" w:rsidP="007E09F3">
            <w:pPr>
              <w:spacing w:line="276" w:lineRule="auto"/>
              <w:ind w:firstLine="709"/>
              <w:jc w:val="both"/>
              <w:rPr>
                <w:rFonts w:ascii="Verdana" w:hAnsi="Verdana" w:cs="Arial"/>
                <w:bCs/>
                <w:szCs w:val="24"/>
                <w:lang w:val="es-ES" w:eastAsia="es-ES_tradnl"/>
              </w:rPr>
            </w:pPr>
          </w:p>
          <w:p w14:paraId="766E91EB" w14:textId="77777777" w:rsidR="0075058F" w:rsidRPr="0012230A" w:rsidRDefault="0075058F" w:rsidP="007E09F3">
            <w:pPr>
              <w:spacing w:after="120" w:line="276" w:lineRule="auto"/>
              <w:ind w:firstLine="743"/>
              <w:jc w:val="both"/>
              <w:rPr>
                <w:rFonts w:ascii="Verdana" w:hAnsi="Verdana" w:cs="Arial"/>
                <w:color w:val="000000" w:themeColor="text1"/>
                <w:lang w:val="es-MX"/>
              </w:rPr>
            </w:pPr>
            <w:r w:rsidRPr="00955CBA">
              <w:rPr>
                <w:rFonts w:ascii="Verdana" w:hAnsi="Verdana" w:cs="Arial"/>
                <w:bCs/>
                <w:szCs w:val="24"/>
                <w:lang w:val="es-ES" w:eastAsia="es-ES_tradnl"/>
              </w:rPr>
              <w:t xml:space="preserve">Por consiguiente, la entidad estatal no puede </w:t>
            </w:r>
            <w:r>
              <w:rPr>
                <w:rFonts w:ascii="Verdana" w:hAnsi="Verdana" w:cs="Arial"/>
                <w:bCs/>
                <w:szCs w:val="24"/>
                <w:lang w:val="es-ES" w:eastAsia="es-ES_tradnl"/>
              </w:rPr>
              <w:t>excluir</w:t>
            </w:r>
            <w:r w:rsidRPr="00955CBA">
              <w:rPr>
                <w:rFonts w:ascii="Verdana" w:hAnsi="Verdana" w:cs="Arial"/>
                <w:bCs/>
                <w:szCs w:val="24"/>
                <w:lang w:val="es-ES" w:eastAsia="es-ES_tradnl"/>
              </w:rPr>
              <w:t xml:space="preserve"> una oferta únicamente porque su menor precio se sustente en un tratamiento tributario favorable previsto por</w:t>
            </w:r>
            <w:r>
              <w:rPr>
                <w:rFonts w:ascii="Verdana" w:hAnsi="Verdana" w:cs="Arial"/>
                <w:bCs/>
                <w:szCs w:val="24"/>
                <w:lang w:val="es-ES" w:eastAsia="es-ES_tradnl"/>
              </w:rPr>
              <w:t xml:space="preserve"> el ordenamiento jurídico, ya que ello </w:t>
            </w:r>
            <w:r w:rsidRPr="00955CBA">
              <w:rPr>
                <w:rFonts w:ascii="Verdana" w:hAnsi="Verdana" w:cs="Arial"/>
                <w:bCs/>
                <w:szCs w:val="24"/>
                <w:lang w:val="es-ES" w:eastAsia="es-ES_tradnl"/>
              </w:rPr>
              <w:t>implicaría desconocer una condición legalmente reconocida al proponente</w:t>
            </w:r>
            <w:r>
              <w:rPr>
                <w:rFonts w:ascii="Verdana" w:hAnsi="Verdana" w:cs="Arial"/>
                <w:bCs/>
                <w:szCs w:val="24"/>
                <w:lang w:val="es-ES" w:eastAsia="es-ES_tradnl"/>
              </w:rPr>
              <w:t xml:space="preserve"> y establecer</w:t>
            </w:r>
            <w:r w:rsidRPr="00955CBA">
              <w:rPr>
                <w:rFonts w:ascii="Verdana" w:hAnsi="Verdana" w:cs="Arial"/>
                <w:bCs/>
                <w:szCs w:val="24"/>
                <w:lang w:val="es-ES" w:eastAsia="es-ES_tradnl"/>
              </w:rPr>
              <w:t xml:space="preserve"> una restricción no prevista en la ley</w:t>
            </w:r>
            <w:r>
              <w:rPr>
                <w:rFonts w:ascii="Verdana" w:hAnsi="Verdana" w:cs="Arial"/>
                <w:bCs/>
                <w:szCs w:val="24"/>
                <w:lang w:val="es-ES" w:eastAsia="es-ES_tradnl"/>
              </w:rPr>
              <w:t>.</w:t>
            </w:r>
          </w:p>
          <w:p w14:paraId="0AE0DBCF" w14:textId="77777777" w:rsidR="0075058F" w:rsidRPr="00A05FE6" w:rsidRDefault="0075058F" w:rsidP="007E09F3">
            <w:pPr>
              <w:spacing w:after="120" w:line="276" w:lineRule="auto"/>
              <w:jc w:val="both"/>
              <w:rPr>
                <w:rFonts w:ascii="Verdana" w:eastAsia="Arial" w:hAnsi="Verdana" w:cs="Arial"/>
              </w:rPr>
            </w:pPr>
            <w:proofErr w:type="spellStart"/>
            <w:r>
              <w:rPr>
                <w:rFonts w:ascii="Verdana" w:eastAsia="Times New Roman" w:hAnsi="Verdana" w:cs="Arial"/>
                <w:bCs/>
                <w:color w:val="000000" w:themeColor="text1"/>
                <w:lang w:val="es-ES" w:eastAsia="es-ES"/>
              </w:rPr>
              <w:t>iii</w:t>
            </w:r>
            <w:proofErr w:type="spellEnd"/>
            <w:r>
              <w:rPr>
                <w:rFonts w:ascii="Verdana" w:eastAsia="Times New Roman" w:hAnsi="Verdana" w:cs="Arial"/>
                <w:bCs/>
                <w:color w:val="000000" w:themeColor="text1"/>
                <w:lang w:val="es-ES" w:eastAsia="es-ES"/>
              </w:rPr>
              <w:t xml:space="preserve">. </w:t>
            </w:r>
            <w:r w:rsidRPr="000E0BC1">
              <w:rPr>
                <w:rFonts w:ascii="Verdana" w:eastAsia="Arial" w:hAnsi="Verdana" w:cs="Arial"/>
              </w:rPr>
              <w:t>El artículo 2.2.1.2.4.2.7.4 del Decreto 1082 de 2015, adicionado por el Decreto 287 de 2026, exige, dentro de la documentación para verificar la condición de empleador de personas con discapacidad, el certificado de aportes a seguridad social de los tres (3) meses anteriores a la presentación de la oferta respecto de cada persona con discapacidad relacionada, en el que se demuestren los pagos realizados por el empleador. La finalidad del requisito es acreditar que la vinculación es real y verificable, y no meramente instrumental para un proceso de contratación determinado.</w:t>
            </w:r>
          </w:p>
          <w:p w14:paraId="6F5D5C5A" w14:textId="77777777" w:rsidR="0075058F" w:rsidRPr="00A05FE6" w:rsidRDefault="0075058F" w:rsidP="007E09F3">
            <w:pPr>
              <w:spacing w:after="120" w:line="276" w:lineRule="auto"/>
              <w:ind w:firstLine="709"/>
              <w:jc w:val="both"/>
              <w:rPr>
                <w:rFonts w:ascii="Verdana" w:eastAsia="Arial" w:hAnsi="Verdana" w:cs="Arial"/>
              </w:rPr>
            </w:pPr>
            <w:r w:rsidRPr="000E0BC1">
              <w:rPr>
                <w:rFonts w:ascii="Verdana" w:eastAsia="Arial" w:hAnsi="Verdana" w:cs="Arial"/>
              </w:rPr>
              <w:t>Para precisar los efectos de este requisito es necesario atender la estructura del incentivo. El puntaje adicional no se asigna de manera individual por cada persona con discapacidad vinculada, sino que corresponde a un porcentaje único del dos por ciento (2%) que se otorga cuando el proponente acredita el número de trabajadores con discapacidad que le corresponde según su planta de personal, conforme a la tabla prevista en el numeral 2 de la disposición. No existe, por tanto, un puntaje proporcional ni fraccionable por persona acreditada.</w:t>
            </w:r>
          </w:p>
          <w:p w14:paraId="6BACE5D3" w14:textId="77777777" w:rsidR="0075058F" w:rsidRPr="00A05FE6" w:rsidRDefault="0075058F" w:rsidP="007E09F3">
            <w:pPr>
              <w:spacing w:after="120" w:line="276" w:lineRule="auto"/>
              <w:ind w:firstLine="709"/>
              <w:jc w:val="both"/>
              <w:rPr>
                <w:rFonts w:ascii="Verdana" w:eastAsia="Arial" w:hAnsi="Verdana" w:cs="Arial"/>
              </w:rPr>
            </w:pPr>
            <w:r w:rsidRPr="000E0BC1">
              <w:rPr>
                <w:rFonts w:ascii="Verdana" w:eastAsia="Arial" w:hAnsi="Verdana" w:cs="Arial"/>
              </w:rPr>
              <w:t xml:space="preserve">De lo anterior se sigue que las personas con discapacidad cuyos aportes no cubran los tres (3) meses anteriores a la presentación de la oferta no pueden computarse para efectos de la acreditación, y que la consecuencia depende del resultado de ese cómputo. Si las personas con discapacidad que sí cumplen el requisito temporal alcanzan el número exigido conforme a la tabla, el proponente accede al puntaje adicional en su totalidad. Si no lo alcanzan, no accede al puntaje, sin que resulte jurídicamente posible </w:t>
            </w:r>
            <w:r w:rsidRPr="000E0BC1">
              <w:rPr>
                <w:rFonts w:ascii="Verdana" w:eastAsia="Arial" w:hAnsi="Verdana" w:cs="Arial"/>
              </w:rPr>
              <w:lastRenderedPageBreak/>
              <w:t>reconocer una fracción del dos por ciento en proporción a las personas efectivamente acreditadas.</w:t>
            </w:r>
          </w:p>
          <w:p w14:paraId="62F9B6AD" w14:textId="77777777" w:rsidR="0075058F" w:rsidRPr="00A05FE6" w:rsidRDefault="0075058F" w:rsidP="007E09F3">
            <w:pPr>
              <w:spacing w:after="120" w:line="276" w:lineRule="auto"/>
              <w:ind w:firstLine="709"/>
              <w:jc w:val="both"/>
              <w:rPr>
                <w:rFonts w:ascii="Verdana" w:eastAsia="Arial" w:hAnsi="Verdana" w:cs="Arial"/>
              </w:rPr>
            </w:pPr>
            <w:r w:rsidRPr="000E0BC1">
              <w:rPr>
                <w:rFonts w:ascii="Verdana" w:eastAsia="Arial" w:hAnsi="Verdana" w:cs="Arial"/>
              </w:rPr>
              <w:t>Así, en el supuesto de un proponente con una planta de mil (1.000) trabajadores, al que conforme a la tabla le corresponde acreditar veintidós (22) trabajadores con discapacidad, el hecho de contar con las veintidós vinculaciones al cierre del proceso no resulta suficiente si algunas de ellas no cuentan con los tres (3) meses de aportes: el puntaje se obtiene únicamente si el número de personas con discapacidad que cumplen íntegramente el requisito documental iguala o supera el exigido.</w:t>
            </w:r>
          </w:p>
          <w:p w14:paraId="20E201C3" w14:textId="77777777" w:rsidR="0075058F" w:rsidRPr="00A05FE6" w:rsidRDefault="0075058F" w:rsidP="007E09F3">
            <w:pPr>
              <w:spacing w:after="120" w:line="276" w:lineRule="auto"/>
              <w:ind w:firstLine="709"/>
              <w:jc w:val="both"/>
              <w:rPr>
                <w:rFonts w:ascii="Verdana" w:eastAsia="Arial" w:hAnsi="Verdana" w:cs="Arial"/>
              </w:rPr>
            </w:pPr>
            <w:r w:rsidRPr="000E0BC1">
              <w:rPr>
                <w:rFonts w:ascii="Verdana" w:eastAsia="Arial" w:hAnsi="Verdana" w:cs="Arial"/>
              </w:rPr>
              <w:t>En todo caso, el no cumplimiento del requisito no impide la participación en el proceso de contratación ni conduce al rechazo de la oferta, pues se trata de un criterio de asignación de puntaje y no de un requisito habilitante</w:t>
            </w:r>
          </w:p>
          <w:p w14:paraId="196A536F" w14:textId="77777777" w:rsidR="0075058F" w:rsidRPr="006D0E8A" w:rsidRDefault="0075058F" w:rsidP="007E09F3">
            <w:pPr>
              <w:spacing w:line="276" w:lineRule="auto"/>
              <w:ind w:right="51" w:firstLine="743"/>
              <w:jc w:val="both"/>
              <w:rPr>
                <w:rFonts w:ascii="Verdana" w:eastAsia="Calibri" w:hAnsi="Verdana" w:cs="Arial"/>
                <w:bCs/>
                <w:color w:val="000000" w:themeColor="text1"/>
              </w:rPr>
            </w:pPr>
            <w:r>
              <w:rPr>
                <w:rFonts w:ascii="Verdana" w:eastAsia="Times New Roman" w:hAnsi="Verdana" w:cs="Times New Roman"/>
              </w:rPr>
              <w:t xml:space="preserve">Por consiguiente, no se está generando una barrera de entrada que pueda </w:t>
            </w:r>
            <w:r w:rsidRPr="00F656FA">
              <w:rPr>
                <w:rFonts w:ascii="Verdana" w:eastAsia="Times New Roman" w:hAnsi="Verdana" w:cs="Times New Roman"/>
              </w:rPr>
              <w:t>reducir la competencia en los procesos que apliquen el puntaje</w:t>
            </w:r>
            <w:r>
              <w:rPr>
                <w:rFonts w:ascii="Verdana" w:eastAsia="Times New Roman" w:hAnsi="Verdana" w:cs="Times New Roman"/>
              </w:rPr>
              <w:t xml:space="preserve">, ya que al tratarse de un requisito que otorga puntaje no determina la participación de los proponentes al proceso de contratación. Como se explicó en la memoria justificativa </w:t>
            </w:r>
            <w:r>
              <w:rPr>
                <w:rFonts w:ascii="Verdana" w:eastAsia="Times New Roman" w:hAnsi="Verdana" w:cs="Times New Roman"/>
                <w:lang w:val="es-ES"/>
              </w:rPr>
              <w:t>“</w:t>
            </w:r>
            <w:r w:rsidRPr="00212451">
              <w:rPr>
                <w:rFonts w:ascii="Verdana" w:eastAsia="Times New Roman" w:hAnsi="Verdana" w:cs="Times New Roman"/>
                <w:lang w:val="es-ES"/>
              </w:rPr>
              <w:t>la vinculación de Personas con Discapacidad constituye un criterio estrictamente opcional dentro del esquema de evaluación, al igual que otros factores de puntaje diferencial, como el enfoque MIPYME o el de empresas lideradas por mujeres, cuya aplicación depende de la decisión estratégica del proponente frente a su capacidad de generar valor agregado en la oferta. En tal sentido, este criterio no configura una obligación general para todos los participantes del mercado, sino un incentivo voluntario que amplía alternativas competitivas sin imponer cargas desproporcionadas ni afectar la libre concurrencia y competencia</w:t>
            </w:r>
            <w:r>
              <w:rPr>
                <w:rFonts w:ascii="Verdana" w:eastAsia="Times New Roman" w:hAnsi="Verdana" w:cs="Times New Roman"/>
                <w:lang w:val="es-ES"/>
              </w:rPr>
              <w:t>”.</w:t>
            </w:r>
          </w:p>
        </w:tc>
      </w:tr>
    </w:tbl>
    <w:p w14:paraId="31F9C1B6" w14:textId="77777777" w:rsidR="0075058F" w:rsidRPr="006D0E8A" w:rsidRDefault="0075058F" w:rsidP="0075058F">
      <w:pPr>
        <w:tabs>
          <w:tab w:val="left" w:pos="142"/>
          <w:tab w:val="left" w:pos="284"/>
        </w:tabs>
        <w:spacing w:after="0" w:line="276" w:lineRule="auto"/>
        <w:jc w:val="both"/>
        <w:rPr>
          <w:rFonts w:ascii="Verdana" w:eastAsia="Century Gothic" w:hAnsi="Verdana" w:cs="Century Gothic"/>
          <w:b/>
          <w:bCs/>
          <w:lang w:val="es-ES"/>
        </w:rPr>
      </w:pPr>
    </w:p>
    <w:bookmarkEnd w:id="1"/>
    <w:p w14:paraId="55893D8E" w14:textId="77777777" w:rsidR="0075058F" w:rsidRPr="006D0E8A" w:rsidRDefault="0075058F" w:rsidP="0075058F">
      <w:pPr>
        <w:numPr>
          <w:ilvl w:val="0"/>
          <w:numId w:val="18"/>
        </w:numPr>
        <w:tabs>
          <w:tab w:val="left" w:pos="142"/>
          <w:tab w:val="left" w:pos="284"/>
        </w:tabs>
        <w:spacing w:after="0" w:line="276" w:lineRule="auto"/>
        <w:ind w:left="0" w:firstLine="0"/>
        <w:jc w:val="both"/>
        <w:rPr>
          <w:rFonts w:ascii="Verdana" w:eastAsia="Century Gothic" w:hAnsi="Verdana" w:cs="Century Gothic"/>
          <w:b/>
          <w:bCs/>
          <w:lang w:val="es-ES"/>
        </w:rPr>
      </w:pPr>
      <w:r w:rsidRPr="006D0E8A">
        <w:rPr>
          <w:rFonts w:ascii="Verdana" w:eastAsia="Century Gothic" w:hAnsi="Verdana" w:cs="Century Gothic"/>
          <w:b/>
          <w:bCs/>
          <w:lang w:val="es-ES"/>
        </w:rPr>
        <w:t>Razones de la respuesta:</w:t>
      </w:r>
    </w:p>
    <w:p w14:paraId="0D0B53A5" w14:textId="77777777" w:rsidR="0075058F" w:rsidRPr="006D0E8A" w:rsidRDefault="0075058F" w:rsidP="0075058F">
      <w:pPr>
        <w:spacing w:after="0" w:line="276" w:lineRule="auto"/>
        <w:jc w:val="both"/>
        <w:rPr>
          <w:rFonts w:ascii="Verdana" w:eastAsia="Calibri" w:hAnsi="Verdana" w:cs="Arial"/>
          <w:color w:val="7030A0"/>
          <w:lang w:val="es-ES"/>
        </w:rPr>
      </w:pPr>
    </w:p>
    <w:p w14:paraId="0694995E" w14:textId="77777777" w:rsidR="0075058F" w:rsidRPr="006D0E8A" w:rsidRDefault="0075058F" w:rsidP="0075058F">
      <w:pPr>
        <w:spacing w:after="0" w:line="276" w:lineRule="auto"/>
        <w:jc w:val="both"/>
        <w:rPr>
          <w:rFonts w:ascii="Verdana" w:eastAsia="Calibri" w:hAnsi="Verdana" w:cs="Arial"/>
          <w:lang w:val="es-ES"/>
        </w:rPr>
      </w:pPr>
      <w:r w:rsidRPr="006D0E8A">
        <w:rPr>
          <w:rFonts w:ascii="Verdana" w:eastAsia="Calibri" w:hAnsi="Verdana" w:cs="Arial"/>
          <w:lang w:val="es-ES"/>
        </w:rPr>
        <w:t>Lo anterior se sustenta en las siguientes consideraciones:</w:t>
      </w:r>
    </w:p>
    <w:p w14:paraId="0DCC5603" w14:textId="77777777" w:rsidR="0075058F" w:rsidRPr="006D0E8A" w:rsidRDefault="0075058F" w:rsidP="0075058F">
      <w:pPr>
        <w:spacing w:after="0" w:line="276" w:lineRule="auto"/>
        <w:jc w:val="both"/>
        <w:rPr>
          <w:rFonts w:ascii="Verdana" w:eastAsia="Calibri" w:hAnsi="Verdana" w:cs="Arial"/>
          <w:lang w:val="es-ES"/>
        </w:rPr>
      </w:pPr>
    </w:p>
    <w:p w14:paraId="730C60AB" w14:textId="77777777" w:rsidR="0075058F" w:rsidRPr="00DC39AE" w:rsidRDefault="0075058F" w:rsidP="0075058F">
      <w:pPr>
        <w:spacing w:after="120" w:line="276" w:lineRule="auto"/>
        <w:jc w:val="both"/>
        <w:rPr>
          <w:rFonts w:ascii="Verdana" w:hAnsi="Verdana" w:cs="Arial"/>
          <w:color w:val="000000" w:themeColor="text1"/>
          <w:spacing w:val="4"/>
        </w:rPr>
      </w:pPr>
      <w:r w:rsidRPr="006D0E8A">
        <w:rPr>
          <w:rFonts w:ascii="Verdana" w:eastAsia="Calibri" w:hAnsi="Verdana" w:cs="Arial"/>
        </w:rPr>
        <w:t xml:space="preserve">i. </w:t>
      </w:r>
      <w:r w:rsidRPr="00DC39AE">
        <w:rPr>
          <w:rFonts w:ascii="Verdana" w:hAnsi="Verdana" w:cs="Arial"/>
          <w:color w:val="000000" w:themeColor="text1"/>
          <w:spacing w:val="4"/>
        </w:rPr>
        <w:t xml:space="preserve">Las actuaciones de quienes intervengan en la contratación estatal se desarrollarán con arreglo al deber de </w:t>
      </w:r>
      <w:r w:rsidRPr="00DC39AE">
        <w:rPr>
          <w:rFonts w:ascii="Verdana" w:hAnsi="Verdana" w:cs="Arial"/>
          <w:bCs/>
          <w:color w:val="000000" w:themeColor="text1"/>
          <w:lang w:val="es-ES"/>
        </w:rPr>
        <w:t>selección objetiva, el cual debe interpretarse de manera conjunta e integrada con los principios orientadores de la actividad contractual, como lo son el de transparencia, economía y responsabilidad, consagrados en los artículos 24, 25 y 26 de la Ley 80 de 1993.</w:t>
      </w:r>
    </w:p>
    <w:p w14:paraId="3CE56713" w14:textId="77777777" w:rsidR="0075058F" w:rsidRPr="00DC39AE" w:rsidRDefault="0075058F" w:rsidP="0075058F">
      <w:pPr>
        <w:spacing w:after="120" w:line="276" w:lineRule="auto"/>
        <w:ind w:firstLine="709"/>
        <w:jc w:val="both"/>
        <w:rPr>
          <w:rFonts w:ascii="Verdana" w:hAnsi="Verdana" w:cs="Arial"/>
          <w:color w:val="000000" w:themeColor="text1"/>
          <w:spacing w:val="4"/>
        </w:rPr>
      </w:pPr>
      <w:r w:rsidRPr="00DC39AE">
        <w:rPr>
          <w:rFonts w:ascii="Verdana" w:hAnsi="Verdana" w:cs="Arial"/>
          <w:bCs/>
          <w:color w:val="000000" w:themeColor="text1"/>
          <w:lang w:val="es-ES"/>
        </w:rPr>
        <w:lastRenderedPageBreak/>
        <w:t xml:space="preserve">El artículo 5º de la Ley 1150 de 2007, mediante la cual se introdujeron algunas modificaciones a la Ley 80 de 1993, se refiere a la </w:t>
      </w:r>
      <w:r w:rsidRPr="00DC39AE">
        <w:rPr>
          <w:rFonts w:ascii="Verdana" w:hAnsi="Verdana" w:cs="Arial"/>
          <w:bCs/>
          <w:i/>
          <w:iCs/>
          <w:color w:val="000000" w:themeColor="text1"/>
          <w:lang w:val="es-ES"/>
        </w:rPr>
        <w:t>“</w:t>
      </w:r>
      <w:r w:rsidRPr="00A04392">
        <w:rPr>
          <w:rFonts w:ascii="Verdana" w:hAnsi="Verdana" w:cs="Arial"/>
          <w:bCs/>
          <w:color w:val="000000" w:themeColor="text1"/>
          <w:lang w:val="es-ES"/>
        </w:rPr>
        <w:t>selección objetiva</w:t>
      </w:r>
      <w:r w:rsidRPr="00DC39AE">
        <w:rPr>
          <w:rFonts w:ascii="Verdana" w:hAnsi="Verdana" w:cs="Arial"/>
          <w:bCs/>
          <w:i/>
          <w:iCs/>
          <w:color w:val="000000" w:themeColor="text1"/>
          <w:lang w:val="es-ES"/>
        </w:rPr>
        <w:t>”</w:t>
      </w:r>
      <w:r w:rsidRPr="00DC39AE">
        <w:rPr>
          <w:rFonts w:ascii="Verdana" w:hAnsi="Verdana" w:cs="Arial"/>
          <w:bCs/>
          <w:color w:val="000000" w:themeColor="text1"/>
          <w:lang w:val="es-ES"/>
        </w:rPr>
        <w:t xml:space="preserve"> y la define como oferta más favorable aquella que resulte ser más ventajosa para la entidad, después de haber sido aplicados los criterios de escogencia y su ponderación, determinados de manera precisa y detallada en el pliego de condiciones, sin que tal favorabilidad la constituyan elementos extraños a los factores contemplados en ellos.</w:t>
      </w:r>
      <w:r>
        <w:rPr>
          <w:rFonts w:ascii="Verdana" w:hAnsi="Verdana" w:cs="Arial"/>
          <w:color w:val="000000" w:themeColor="text1"/>
          <w:lang w:val="es-ES"/>
        </w:rPr>
        <w:t xml:space="preserve"> </w:t>
      </w:r>
      <w:r w:rsidRPr="00DC39AE">
        <w:rPr>
          <w:rFonts w:ascii="Verdana" w:hAnsi="Verdana" w:cs="Arial"/>
          <w:color w:val="000000" w:themeColor="text1"/>
          <w:spacing w:val="4"/>
        </w:rPr>
        <w:t>En ese sentido, no cabe duda de que la selección objetiva se fundamenta en aplicar rigurosamente los requisitos de selección de los oferentes y los criterios o factores de evaluación o calificación de las ofertas de forma precisa, detallada y concreta, que permitan a la entidad seleccionar una óptima propuesta o la más ventajosa para la entidad.</w:t>
      </w:r>
    </w:p>
    <w:p w14:paraId="47B00D8F" w14:textId="77777777" w:rsidR="0075058F" w:rsidRDefault="0075058F" w:rsidP="0075058F">
      <w:pPr>
        <w:spacing w:after="0" w:line="276" w:lineRule="auto"/>
        <w:ind w:firstLine="709"/>
        <w:jc w:val="both"/>
        <w:rPr>
          <w:rFonts w:ascii="Verdana" w:hAnsi="Verdana" w:cs="Arial"/>
          <w:color w:val="000000" w:themeColor="text1"/>
          <w:lang w:val="es-MX"/>
        </w:rPr>
      </w:pPr>
      <w:bookmarkStart w:id="2" w:name="_Hlk108685728"/>
      <w:r w:rsidRPr="00DC39AE">
        <w:rPr>
          <w:rFonts w:ascii="Verdana" w:hAnsi="Verdana" w:cs="Arial"/>
          <w:color w:val="000000" w:themeColor="text1"/>
          <w:lang w:val="es-MX"/>
        </w:rPr>
        <w:t>Así las cosas, para que la entidad pueda determinar cuál es la oferta que más ventaja le reporta, lo lógico es que la comparación de precios se haga sobre los que finalmente tendrá que pagar, es decir, no puede realizarse una ponderación adecuada, en el factor económico, si la entidad compara precios que no son reales, pues ello es lo que ocurre si en dicha comparación se toman precios que no serán los que finalmente pagará, porque no se encuentra</w:t>
      </w:r>
      <w:r>
        <w:rPr>
          <w:rFonts w:ascii="Verdana" w:hAnsi="Verdana" w:cs="Arial"/>
          <w:color w:val="000000" w:themeColor="text1"/>
          <w:lang w:val="es-MX"/>
        </w:rPr>
        <w:t>n</w:t>
      </w:r>
      <w:r w:rsidRPr="00DC39AE">
        <w:rPr>
          <w:rFonts w:ascii="Verdana" w:hAnsi="Verdana" w:cs="Arial"/>
          <w:color w:val="000000" w:themeColor="text1"/>
          <w:lang w:val="es-MX"/>
        </w:rPr>
        <w:t xml:space="preserve"> incluido</w:t>
      </w:r>
      <w:r>
        <w:rPr>
          <w:rFonts w:ascii="Verdana" w:hAnsi="Verdana" w:cs="Arial"/>
          <w:color w:val="000000" w:themeColor="text1"/>
          <w:lang w:val="es-MX"/>
        </w:rPr>
        <w:t>s</w:t>
      </w:r>
      <w:r w:rsidRPr="00DC39AE">
        <w:rPr>
          <w:rFonts w:ascii="Verdana" w:hAnsi="Verdana" w:cs="Arial"/>
          <w:color w:val="000000" w:themeColor="text1"/>
          <w:lang w:val="es-MX"/>
        </w:rPr>
        <w:t xml:space="preserve"> </w:t>
      </w:r>
      <w:bookmarkEnd w:id="2"/>
      <w:r>
        <w:rPr>
          <w:rFonts w:ascii="Verdana" w:hAnsi="Verdana" w:cs="Arial"/>
          <w:color w:val="000000" w:themeColor="text1"/>
          <w:lang w:val="es-MX"/>
        </w:rPr>
        <w:t>los impuestos aplicables</w:t>
      </w:r>
      <w:r w:rsidRPr="00DC39AE">
        <w:rPr>
          <w:rFonts w:ascii="Verdana" w:hAnsi="Verdana" w:cs="Arial"/>
          <w:color w:val="000000" w:themeColor="text1"/>
          <w:lang w:val="es-MX"/>
        </w:rPr>
        <w:t xml:space="preserve">. De esta manera, el principio de selección objetiva, antes que permitir que la entidad compare las ofertas económicas sin tener en cuenta </w:t>
      </w:r>
      <w:r>
        <w:rPr>
          <w:rFonts w:ascii="Verdana" w:hAnsi="Verdana" w:cs="Arial"/>
          <w:color w:val="000000" w:themeColor="text1"/>
          <w:lang w:val="es-MX"/>
        </w:rPr>
        <w:t>la carga tributaria</w:t>
      </w:r>
      <w:r w:rsidRPr="00DC39AE">
        <w:rPr>
          <w:rFonts w:ascii="Verdana" w:hAnsi="Verdana" w:cs="Arial"/>
          <w:color w:val="000000" w:themeColor="text1"/>
          <w:lang w:val="es-MX"/>
        </w:rPr>
        <w:t xml:space="preserve">, busca que la comparación se haga sobre la realidad de lo ofrecido por cada proponente, es decir, el valor total de lo que terminará pagando la entidad cuando adjudique el contrato. </w:t>
      </w:r>
      <w:r>
        <w:rPr>
          <w:rFonts w:ascii="Verdana" w:hAnsi="Verdana" w:cs="Arial"/>
          <w:color w:val="000000" w:themeColor="text1"/>
          <w:lang w:val="es-MX"/>
        </w:rPr>
        <w:t>Para la doctrina:</w:t>
      </w:r>
    </w:p>
    <w:p w14:paraId="4804EFA1" w14:textId="77777777" w:rsidR="0075058F" w:rsidRDefault="0075058F" w:rsidP="0075058F">
      <w:pPr>
        <w:spacing w:after="0" w:line="276" w:lineRule="auto"/>
        <w:ind w:firstLine="709"/>
        <w:jc w:val="both"/>
        <w:rPr>
          <w:rFonts w:ascii="Verdana" w:hAnsi="Verdana" w:cs="Arial"/>
          <w:color w:val="000000" w:themeColor="text1"/>
          <w:lang w:val="es-MX"/>
        </w:rPr>
      </w:pPr>
    </w:p>
    <w:p w14:paraId="0069D4AD" w14:textId="77777777" w:rsidR="0075058F" w:rsidRPr="00A41F79" w:rsidRDefault="0075058F" w:rsidP="0075058F">
      <w:pPr>
        <w:spacing w:after="120" w:line="240" w:lineRule="auto"/>
        <w:ind w:left="709" w:right="709"/>
        <w:jc w:val="both"/>
        <w:rPr>
          <w:rFonts w:ascii="Verdana" w:hAnsi="Verdana" w:cs="Arial"/>
          <w:color w:val="000000" w:themeColor="text1"/>
          <w:sz w:val="20"/>
          <w:szCs w:val="20"/>
          <w:lang w:val="es-MX"/>
        </w:rPr>
      </w:pPr>
      <w:r w:rsidRPr="00A41F79">
        <w:rPr>
          <w:rFonts w:ascii="Verdana" w:hAnsi="Verdana" w:cs="Arial"/>
          <w:color w:val="000000" w:themeColor="text1"/>
          <w:sz w:val="20"/>
          <w:szCs w:val="20"/>
          <w:lang w:val="es-MX"/>
        </w:rPr>
        <w:t>“[…] el precio debe incluir los costos en que incurrirá el contratista para cumplir sus obligaciones y obtener la utilidad que espera del negocio. Esto significa que hacen parte del precio las inversiones y gastos que deba hacer, más la utilidad que espera.</w:t>
      </w:r>
    </w:p>
    <w:p w14:paraId="77109483" w14:textId="77777777" w:rsidR="0075058F" w:rsidRPr="00A41F79" w:rsidRDefault="0075058F" w:rsidP="0075058F">
      <w:pPr>
        <w:spacing w:after="0" w:line="240" w:lineRule="auto"/>
        <w:ind w:left="709" w:right="709"/>
        <w:jc w:val="both"/>
        <w:rPr>
          <w:rFonts w:ascii="Verdana" w:hAnsi="Verdana" w:cs="Arial"/>
          <w:color w:val="000000" w:themeColor="text1"/>
          <w:sz w:val="20"/>
          <w:szCs w:val="20"/>
          <w:lang w:val="es-MX"/>
        </w:rPr>
      </w:pPr>
      <w:r w:rsidRPr="00A41F79">
        <w:rPr>
          <w:rFonts w:ascii="Verdana" w:hAnsi="Verdana" w:cs="Arial"/>
          <w:color w:val="000000" w:themeColor="text1"/>
          <w:sz w:val="20"/>
          <w:szCs w:val="20"/>
          <w:lang w:val="es-MX"/>
        </w:rPr>
        <w:t xml:space="preserve">Entre los costos se encuentran los impuestos que afectarán el contrato, por </w:t>
      </w:r>
      <w:proofErr w:type="gramStart"/>
      <w:r w:rsidRPr="00A41F79">
        <w:rPr>
          <w:rFonts w:ascii="Verdana" w:hAnsi="Verdana" w:cs="Arial"/>
          <w:color w:val="000000" w:themeColor="text1"/>
          <w:sz w:val="20"/>
          <w:szCs w:val="20"/>
          <w:lang w:val="es-MX"/>
        </w:rPr>
        <w:t>ejemplo</w:t>
      </w:r>
      <w:proofErr w:type="gramEnd"/>
      <w:r w:rsidRPr="00A41F79">
        <w:rPr>
          <w:rFonts w:ascii="Verdana" w:hAnsi="Verdana" w:cs="Arial"/>
          <w:color w:val="000000" w:themeColor="text1"/>
          <w:sz w:val="20"/>
          <w:szCs w:val="20"/>
          <w:lang w:val="es-MX"/>
        </w:rPr>
        <w:t xml:space="preserve"> el IVA, la contribución especial, las estampillas, y otros. Esta precisión resulta importante porque el valor, que incluye el impuesto, determina el precio final. Basta hacer una pregunta para entender la idea: ¿un bien gravado puede venderse sin el impuesto, sin violar las normas tributarias? Como no es posible, entonces es inevitable incorporarlo al costo, porque el oferente -futuro contratista- inevitablemente debe incurrir en </w:t>
      </w:r>
      <w:proofErr w:type="spellStart"/>
      <w:r w:rsidRPr="00A41F79">
        <w:rPr>
          <w:rFonts w:ascii="Verdana" w:hAnsi="Verdana" w:cs="Arial"/>
          <w:color w:val="000000" w:themeColor="text1"/>
          <w:sz w:val="20"/>
          <w:szCs w:val="20"/>
          <w:lang w:val="es-MX"/>
        </w:rPr>
        <w:t>el</w:t>
      </w:r>
      <w:proofErr w:type="spellEnd"/>
      <w:r w:rsidRPr="00A41F79">
        <w:rPr>
          <w:rFonts w:ascii="Verdana" w:hAnsi="Verdana" w:cs="Arial"/>
          <w:color w:val="000000" w:themeColor="text1"/>
          <w:sz w:val="20"/>
          <w:szCs w:val="20"/>
          <w:lang w:val="es-MX"/>
        </w:rPr>
        <w:t xml:space="preserve">, so pena de no poder cobrarlo luego. </w:t>
      </w:r>
      <w:r w:rsidRPr="007458E9">
        <w:rPr>
          <w:rFonts w:ascii="Verdana" w:hAnsi="Verdana" w:cs="Arial"/>
          <w:i/>
          <w:iCs/>
          <w:color w:val="000000" w:themeColor="text1"/>
          <w:sz w:val="20"/>
          <w:szCs w:val="20"/>
          <w:lang w:val="es-MX"/>
        </w:rPr>
        <w:t xml:space="preserve">En otras palabras, es absurdo presentar una oferta que no incluya los impuestos que gravan la actividad o los productos, guardando la esperanza de que se adjudique el contrato por ese precio -que será bajo-, y confiando en que posteriormente se podrá facturar el impuesto, so pretexto de que al fin y </w:t>
      </w:r>
      <w:r w:rsidRPr="007458E9">
        <w:rPr>
          <w:rFonts w:ascii="Verdana" w:hAnsi="Verdana" w:cs="Arial"/>
          <w:i/>
          <w:iCs/>
          <w:color w:val="000000" w:themeColor="text1"/>
          <w:sz w:val="20"/>
          <w:szCs w:val="20"/>
          <w:lang w:val="es-MX"/>
        </w:rPr>
        <w:lastRenderedPageBreak/>
        <w:t>al cabo la</w:t>
      </w:r>
      <w:r>
        <w:rPr>
          <w:rFonts w:ascii="Verdana" w:hAnsi="Verdana" w:cs="Arial"/>
          <w:i/>
          <w:iCs/>
          <w:color w:val="000000" w:themeColor="text1"/>
          <w:sz w:val="20"/>
          <w:szCs w:val="20"/>
          <w:lang w:val="es-MX"/>
        </w:rPr>
        <w:t xml:space="preserve"> </w:t>
      </w:r>
      <w:r w:rsidRPr="007458E9">
        <w:rPr>
          <w:rFonts w:ascii="Verdana" w:hAnsi="Verdana" w:cs="Arial"/>
          <w:i/>
          <w:iCs/>
          <w:color w:val="000000" w:themeColor="text1"/>
          <w:sz w:val="20"/>
          <w:szCs w:val="20"/>
          <w:lang w:val="es-MX"/>
        </w:rPr>
        <w:t>ley grava la actividad</w:t>
      </w:r>
      <w:r w:rsidRPr="00A41F79">
        <w:rPr>
          <w:rFonts w:ascii="Verdana" w:hAnsi="Verdana" w:cs="Arial"/>
          <w:color w:val="000000" w:themeColor="text1"/>
          <w:sz w:val="20"/>
          <w:szCs w:val="20"/>
          <w:lang w:val="es-MX"/>
        </w:rPr>
        <w:t>. Por el contrario, el oferente tiene la obligación de incluir todos los gastos en que incurrirá para vender sus bienes o servicios, so pena de que la entidad entienda que el precio ofrecido los incluye, y luego sólo pagará el precio ofertado, pues allí se debieron incluir -es lo lógico y así debe entenderse- todos los gastos en que incurrirá el proponente.</w:t>
      </w:r>
    </w:p>
    <w:p w14:paraId="521E511D" w14:textId="77777777" w:rsidR="0075058F" w:rsidRPr="00A41F79" w:rsidRDefault="0075058F" w:rsidP="0075058F">
      <w:pPr>
        <w:spacing w:after="120" w:line="240" w:lineRule="auto"/>
        <w:ind w:left="709" w:right="709"/>
        <w:jc w:val="both"/>
        <w:rPr>
          <w:rFonts w:ascii="Verdana" w:hAnsi="Verdana" w:cs="Arial"/>
          <w:color w:val="000000" w:themeColor="text1"/>
          <w:sz w:val="20"/>
          <w:szCs w:val="20"/>
          <w:lang w:val="es-MX"/>
        </w:rPr>
      </w:pPr>
      <w:r w:rsidRPr="00A41F79">
        <w:rPr>
          <w:rFonts w:ascii="Verdana" w:hAnsi="Verdana" w:cs="Arial"/>
          <w:color w:val="000000" w:themeColor="text1"/>
          <w:sz w:val="20"/>
          <w:szCs w:val="20"/>
          <w:lang w:val="es-MX"/>
        </w:rPr>
        <w:t>[…]</w:t>
      </w:r>
    </w:p>
    <w:p w14:paraId="701AA092" w14:textId="77777777" w:rsidR="0075058F" w:rsidRDefault="0075058F" w:rsidP="0075058F">
      <w:pPr>
        <w:spacing w:after="0" w:line="240" w:lineRule="auto"/>
        <w:ind w:left="709" w:right="709"/>
        <w:jc w:val="both"/>
        <w:rPr>
          <w:rFonts w:ascii="Verdana" w:hAnsi="Verdana" w:cs="Arial"/>
          <w:color w:val="000000" w:themeColor="text1"/>
          <w:lang w:val="es-MX"/>
        </w:rPr>
      </w:pPr>
      <w:r w:rsidRPr="00A41F79">
        <w:rPr>
          <w:rFonts w:ascii="Verdana" w:hAnsi="Verdana" w:cs="Arial"/>
          <w:color w:val="000000" w:themeColor="text1"/>
          <w:sz w:val="20"/>
          <w:szCs w:val="20"/>
          <w:lang w:val="es-MX"/>
        </w:rPr>
        <w:t xml:space="preserve">Esta misma idea aplica para elaborar el presupuesto oficial del contrato estatal, e igualmente para obtener el certificado de disponibilidad presupuestal, porque la entidad, cuando calcula los costos probables del contrato, naturalmente debe incluir los impuestos que gravan los productos o servicios que desea adquirir, pues en el mercado no se los venderán sin ellos. </w:t>
      </w:r>
      <w:proofErr w:type="gramStart"/>
      <w:r w:rsidRPr="00A41F79">
        <w:rPr>
          <w:rFonts w:ascii="Verdana" w:hAnsi="Verdana" w:cs="Arial"/>
          <w:color w:val="000000" w:themeColor="text1"/>
          <w:sz w:val="20"/>
          <w:szCs w:val="20"/>
          <w:lang w:val="es-MX"/>
        </w:rPr>
        <w:t>Acaso comprará un vehículo sin IVA o una carretera sin el impuesto de guerra o contribución especial?</w:t>
      </w:r>
      <w:proofErr w:type="gramEnd"/>
      <w:r w:rsidRPr="00A41F79">
        <w:rPr>
          <w:rFonts w:ascii="Verdana" w:hAnsi="Verdana" w:cs="Arial"/>
          <w:color w:val="000000" w:themeColor="text1"/>
          <w:sz w:val="20"/>
          <w:szCs w:val="20"/>
          <w:lang w:val="es-MX"/>
        </w:rPr>
        <w:t xml:space="preserve"> Del mismo modo, la disponibilidad presupuestal debe incluir el impuesto, pues de no hacerlo el contrato quedará desfinanciado, y la entidad asumiría compromisos económicos sin tener la cobertura económica suficiente para no incurrir en mora”</w:t>
      </w:r>
      <w:r w:rsidRPr="00A41F79">
        <w:rPr>
          <w:rStyle w:val="Refdenotaalpie"/>
          <w:rFonts w:ascii="Verdana" w:hAnsi="Verdana" w:cs="Arial"/>
          <w:color w:val="000000" w:themeColor="text1"/>
          <w:sz w:val="20"/>
          <w:szCs w:val="20"/>
          <w:lang w:val="es-MX"/>
        </w:rPr>
        <w:footnoteReference w:id="2"/>
      </w:r>
      <w:r w:rsidRPr="00A41F79">
        <w:rPr>
          <w:rFonts w:ascii="Verdana" w:hAnsi="Verdana" w:cs="Arial"/>
          <w:color w:val="000000" w:themeColor="text1"/>
          <w:sz w:val="20"/>
          <w:szCs w:val="20"/>
          <w:lang w:val="es-MX"/>
        </w:rPr>
        <w:t>.</w:t>
      </w:r>
      <w:r>
        <w:rPr>
          <w:rFonts w:ascii="Verdana" w:hAnsi="Verdana" w:cs="Arial"/>
          <w:color w:val="000000" w:themeColor="text1"/>
          <w:sz w:val="20"/>
          <w:szCs w:val="20"/>
          <w:lang w:val="es-MX"/>
        </w:rPr>
        <w:t xml:space="preserve"> (Énfasis por fuera de texto)</w:t>
      </w:r>
    </w:p>
    <w:p w14:paraId="488EF57A" w14:textId="77777777" w:rsidR="0075058F" w:rsidRDefault="0075058F" w:rsidP="0075058F">
      <w:pPr>
        <w:spacing w:after="0" w:line="276" w:lineRule="auto"/>
        <w:jc w:val="both"/>
        <w:rPr>
          <w:rFonts w:ascii="Verdana" w:hAnsi="Verdana" w:cs="Arial"/>
          <w:color w:val="000000" w:themeColor="text1"/>
          <w:lang w:val="es-MX"/>
        </w:rPr>
      </w:pPr>
    </w:p>
    <w:p w14:paraId="2F6C2DA7" w14:textId="77777777" w:rsidR="0075058F" w:rsidRPr="00DC39AE" w:rsidRDefault="0075058F" w:rsidP="0075058F">
      <w:pPr>
        <w:spacing w:after="120" w:line="276" w:lineRule="auto"/>
        <w:ind w:firstLine="708"/>
        <w:jc w:val="both"/>
        <w:rPr>
          <w:rFonts w:ascii="Verdana" w:hAnsi="Verdana" w:cs="Arial"/>
          <w:color w:val="000000" w:themeColor="text1"/>
          <w:lang w:val="es-MX"/>
        </w:rPr>
      </w:pPr>
      <w:r w:rsidRPr="00DC39AE">
        <w:rPr>
          <w:rFonts w:ascii="Verdana" w:hAnsi="Verdana" w:cs="Arial"/>
          <w:color w:val="000000" w:themeColor="text1"/>
          <w:lang w:val="es-MX"/>
        </w:rPr>
        <w:t>De otro lado, el principio de igualdad consagrado en el artículo 13 de la Constitución Política es un pilar fundamental, no solo de la contratación estatal sino del ordenamiento jurídico. La igualdad, según la Corte Constitucional, tiene la connotación de principio, valor y derecho, por lo que representa un criterio de obligatoria observancia tanto para la producción, como para la aplicación e interpretación del derecho</w:t>
      </w:r>
      <w:r w:rsidRPr="00DC39AE">
        <w:rPr>
          <w:rFonts w:ascii="Verdana" w:hAnsi="Verdana" w:cs="Arial"/>
          <w:color w:val="000000" w:themeColor="text1"/>
          <w:vertAlign w:val="superscript"/>
          <w:lang w:val="es-MX"/>
        </w:rPr>
        <w:footnoteReference w:id="3"/>
      </w:r>
      <w:r w:rsidRPr="00DC39AE">
        <w:rPr>
          <w:rFonts w:ascii="Verdana" w:hAnsi="Verdana" w:cs="Arial"/>
          <w:color w:val="000000" w:themeColor="text1"/>
          <w:lang w:val="es-MX"/>
        </w:rPr>
        <w:t xml:space="preserve">. A la luz del artículo 209 de la Constitución Política, la igualdad es uno de los principios orientadores de la función administrativa y, en virtud, del principio de igualdad las autoridades darán el mismo trato y protección a las personas e instituciones que intervengan en las actuaciones bajo su conocimiento, como lo ordena el numeral 2º del artículo 3º de la Ley 1437 de 2011. </w:t>
      </w:r>
    </w:p>
    <w:p w14:paraId="64201B75" w14:textId="77777777" w:rsidR="0075058F" w:rsidRPr="00DC39AE" w:rsidRDefault="0075058F" w:rsidP="0075058F">
      <w:pPr>
        <w:spacing w:before="120" w:after="0" w:line="276" w:lineRule="auto"/>
        <w:ind w:firstLine="709"/>
        <w:jc w:val="both"/>
        <w:rPr>
          <w:rFonts w:ascii="Verdana" w:hAnsi="Verdana" w:cs="Arial"/>
          <w:color w:val="000000" w:themeColor="text1"/>
          <w:lang w:val="es-MX"/>
        </w:rPr>
      </w:pPr>
      <w:r w:rsidRPr="00DC39AE">
        <w:rPr>
          <w:rFonts w:ascii="Verdana" w:hAnsi="Verdana" w:cs="Arial"/>
          <w:color w:val="000000" w:themeColor="text1"/>
          <w:lang w:val="es-MX"/>
        </w:rPr>
        <w:lastRenderedPageBreak/>
        <w:t xml:space="preserve">En el ámbito de la contratación pública, la igualdad se materializa a través del equilibrio de todos los oferentes frente al proceso de selección, desde la exigencia de los requisitos estipulados en los pliegos de condiciones, en la calificación de sus ofertas y en su selección. La igualdad en los procesos de contratación supone que las condiciones a las que se enfrentan los proponentes sean las mismas para todos y que la oferta adjudicada sea la más favorable a la entidad. Por ello el Consejo de Estado ha determinado que la aplicación del principio de igualdad en la contratación pública materializa otros principios de similar importancia como la selección objetiva y la transparencia: </w:t>
      </w:r>
    </w:p>
    <w:p w14:paraId="3ECA55C2" w14:textId="77777777" w:rsidR="0075058F" w:rsidRPr="00DC39AE" w:rsidRDefault="0075058F" w:rsidP="0075058F">
      <w:pPr>
        <w:spacing w:after="0" w:line="276" w:lineRule="auto"/>
        <w:ind w:left="709"/>
        <w:contextualSpacing/>
        <w:jc w:val="both"/>
        <w:rPr>
          <w:rFonts w:ascii="Verdana" w:hAnsi="Verdana" w:cs="Arial"/>
          <w:color w:val="000000" w:themeColor="text1"/>
          <w:lang w:val="es-MX"/>
        </w:rPr>
      </w:pPr>
    </w:p>
    <w:p w14:paraId="7348CFC9" w14:textId="77777777" w:rsidR="0075058F" w:rsidRPr="00A41F79" w:rsidRDefault="0075058F" w:rsidP="0075058F">
      <w:pPr>
        <w:spacing w:line="240" w:lineRule="auto"/>
        <w:ind w:left="709" w:right="709"/>
        <w:contextualSpacing/>
        <w:jc w:val="both"/>
        <w:rPr>
          <w:rFonts w:ascii="Verdana" w:hAnsi="Verdana" w:cs="Arial"/>
          <w:color w:val="000000" w:themeColor="text1"/>
          <w:sz w:val="20"/>
          <w:szCs w:val="20"/>
          <w:lang w:val="es-MX"/>
        </w:rPr>
      </w:pPr>
      <w:r w:rsidRPr="00A41F79">
        <w:rPr>
          <w:rFonts w:ascii="Verdana" w:hAnsi="Verdana" w:cs="Arial"/>
          <w:color w:val="000000" w:themeColor="text1"/>
          <w:sz w:val="20"/>
          <w:szCs w:val="20"/>
          <w:lang w:val="es-MX"/>
        </w:rPr>
        <w:t>“La igualdad de los licitadores, presupuesto fundamental que garantiza la selección objetiva y desarrolla el principio de transparencia que orienta la contratación estatal, se traduce en la identidad de oportunidades dispuesta para los sujetos interesados en contratar con la Administración. Y la sujeción estricta al pliego de condiciones es un principio fundamental del proceso licitatorio, que desarrolla la objetividad connatural a este procedimiento, en consideración a que el pliego es fuente principal de los derechos y obligaciones de la administración y de los proponentes”</w:t>
      </w:r>
      <w:r w:rsidRPr="00A41F79">
        <w:rPr>
          <w:rFonts w:ascii="Verdana" w:hAnsi="Verdana" w:cs="Arial"/>
          <w:color w:val="000000" w:themeColor="text1"/>
          <w:sz w:val="20"/>
          <w:szCs w:val="20"/>
          <w:vertAlign w:val="superscript"/>
          <w:lang w:val="es-MX"/>
        </w:rPr>
        <w:footnoteReference w:id="4"/>
      </w:r>
      <w:r w:rsidRPr="00A41F79">
        <w:rPr>
          <w:rFonts w:ascii="Verdana" w:hAnsi="Verdana" w:cs="Arial"/>
          <w:color w:val="000000" w:themeColor="text1"/>
          <w:sz w:val="20"/>
          <w:szCs w:val="20"/>
          <w:lang w:val="es-MX"/>
        </w:rPr>
        <w:t>.</w:t>
      </w:r>
    </w:p>
    <w:p w14:paraId="4B5849D4" w14:textId="77777777" w:rsidR="0075058F" w:rsidRPr="00DC39AE" w:rsidRDefault="0075058F" w:rsidP="0075058F">
      <w:pPr>
        <w:spacing w:line="276" w:lineRule="auto"/>
        <w:contextualSpacing/>
        <w:jc w:val="both"/>
        <w:rPr>
          <w:rFonts w:ascii="Verdana" w:hAnsi="Verdana" w:cs="Arial"/>
          <w:color w:val="000000" w:themeColor="text1"/>
          <w:lang w:val="es-MX"/>
        </w:rPr>
      </w:pPr>
    </w:p>
    <w:p w14:paraId="151534F1" w14:textId="77777777" w:rsidR="0075058F" w:rsidRDefault="0075058F" w:rsidP="0075058F">
      <w:pPr>
        <w:spacing w:after="120" w:line="276" w:lineRule="auto"/>
        <w:ind w:firstLine="709"/>
        <w:jc w:val="both"/>
        <w:rPr>
          <w:rFonts w:ascii="Verdana" w:hAnsi="Verdana" w:cs="Arial"/>
          <w:color w:val="000000" w:themeColor="text1"/>
          <w:lang w:val="es-MX"/>
        </w:rPr>
      </w:pPr>
      <w:bookmarkStart w:id="4" w:name="_Hlk108689460"/>
      <w:bookmarkStart w:id="5" w:name="_Hlk108448910"/>
      <w:r>
        <w:rPr>
          <w:rFonts w:ascii="Verdana" w:hAnsi="Verdana" w:cs="Arial"/>
          <w:color w:val="000000" w:themeColor="text1"/>
          <w:lang w:val="es-MX"/>
        </w:rPr>
        <w:t xml:space="preserve">Ahora bien, en el escenario de un procedimiento de selección en el que se presentan varios oferentes, unos que según su régimen tributario son responsables de determinados impuestos y otros que no, hay que preguntarse ¿el principio de igualdad obliga a que la entidad evalúe las ofertas económicas sin tener en cuenta los impuestos en el precio ofertado? La respuesta es negativa. </w:t>
      </w:r>
    </w:p>
    <w:p w14:paraId="699CBCBE" w14:textId="77777777" w:rsidR="0075058F" w:rsidRDefault="0075058F" w:rsidP="0075058F">
      <w:pPr>
        <w:spacing w:before="120" w:after="120" w:line="276" w:lineRule="auto"/>
        <w:ind w:firstLine="709"/>
        <w:jc w:val="both"/>
        <w:rPr>
          <w:rFonts w:ascii="Verdana" w:hAnsi="Verdana" w:cs="Arial"/>
          <w:color w:val="000000" w:themeColor="text1"/>
          <w:lang w:val="es-MX"/>
        </w:rPr>
      </w:pPr>
      <w:r>
        <w:rPr>
          <w:rFonts w:ascii="Verdana" w:hAnsi="Verdana" w:cs="Arial"/>
          <w:color w:val="000000" w:themeColor="text1"/>
          <w:lang w:val="es-MX"/>
        </w:rPr>
        <w:t>Al respecto, vale la pena señalar que la posición que ha adoptado esta Subdirección Gestión Contractual desde tiempo atrás es que el IVA hace parte del precio que ofrece cada proponente, y así debe ser ponderado al momento de la evaluación de las ofertas</w:t>
      </w:r>
      <w:r>
        <w:rPr>
          <w:rStyle w:val="Refdenotaalpie"/>
          <w:rFonts w:ascii="Verdana" w:hAnsi="Verdana" w:cs="Arial"/>
          <w:color w:val="000000" w:themeColor="text1"/>
          <w:lang w:val="es-MX"/>
        </w:rPr>
        <w:footnoteReference w:id="5"/>
      </w:r>
      <w:r>
        <w:rPr>
          <w:rFonts w:ascii="Verdana" w:hAnsi="Verdana" w:cs="Arial"/>
          <w:color w:val="000000" w:themeColor="text1"/>
          <w:lang w:val="es-MX"/>
        </w:rPr>
        <w:t xml:space="preserve">. Si un proponente está en capacidad de ofrecer un precio menor porque, según su régimen tributario, no es responsable de IVA o de cualquier otro impuesto que incida en el precio, entonces eso hace parte de las condiciones de su oferta y, evidentemente, podría estar en ventaja, en lo que respecta al precio, frente a otro proponente que sea responsable del pago del </w:t>
      </w:r>
      <w:r>
        <w:rPr>
          <w:rFonts w:ascii="Verdana" w:hAnsi="Verdana" w:cs="Arial"/>
          <w:color w:val="000000" w:themeColor="text1"/>
          <w:lang w:val="es-MX"/>
        </w:rPr>
        <w:lastRenderedPageBreak/>
        <w:t xml:space="preserve">impuesto, pero ello no representa un trato desigual que imponga la entidad, pues es el precio que puede ofrecer cada proponente. </w:t>
      </w:r>
    </w:p>
    <w:p w14:paraId="3D01B1E5" w14:textId="77777777" w:rsidR="0075058F" w:rsidRDefault="0075058F" w:rsidP="0075058F">
      <w:pPr>
        <w:spacing w:before="120" w:after="120" w:line="276" w:lineRule="auto"/>
        <w:ind w:firstLine="709"/>
        <w:jc w:val="both"/>
        <w:rPr>
          <w:rFonts w:ascii="Verdana" w:hAnsi="Verdana" w:cs="Arial"/>
          <w:color w:val="000000" w:themeColor="text1"/>
          <w:lang w:val="es-MX"/>
        </w:rPr>
      </w:pPr>
      <w:r>
        <w:rPr>
          <w:rFonts w:ascii="Verdana" w:hAnsi="Verdana" w:cs="Arial"/>
          <w:color w:val="000000" w:themeColor="text1"/>
          <w:lang w:val="es-MX"/>
        </w:rPr>
        <w:t xml:space="preserve">La misma reflexión cabría, por ejemplo, si un proponente es capaz de ofertar a unos precios significativamente inferiores que el resto de los competidores porque su estructura de costos se lo permite, o porque tiene acceso a créditos a una tasa de interés más baja que el resto o porque es propietario de la maquinaria y no debe pagar alquiler. Todas estas situaciones, incluida la del IVA u otros impuestos, son aspectos que inciden en el precio que puede ofrecer cada proponente y en la calidad de su oferta. </w:t>
      </w:r>
    </w:p>
    <w:bookmarkEnd w:id="4"/>
    <w:bookmarkEnd w:id="5"/>
    <w:p w14:paraId="0512751D" w14:textId="77777777" w:rsidR="0075058F" w:rsidRDefault="0075058F" w:rsidP="0075058F">
      <w:pPr>
        <w:spacing w:before="120" w:after="120" w:line="276" w:lineRule="auto"/>
        <w:ind w:firstLine="709"/>
        <w:jc w:val="both"/>
        <w:rPr>
          <w:rFonts w:ascii="Verdana" w:hAnsi="Verdana" w:cs="Arial"/>
          <w:color w:val="000000" w:themeColor="text1"/>
          <w:lang w:val="es-MX"/>
        </w:rPr>
      </w:pPr>
      <w:r w:rsidRPr="00DC39AE">
        <w:rPr>
          <w:rFonts w:ascii="Verdana" w:hAnsi="Verdana" w:cs="Arial"/>
          <w:color w:val="000000" w:themeColor="text1"/>
          <w:lang w:val="es-MX"/>
        </w:rPr>
        <w:t xml:space="preserve">Por ello, la Corte Constitucional ha señalado que un correcto entendimiento del derecho a la igualdad parte de la consideración de tratar igual a quienes estén en situaciones esencialmente similares y desigual a quienes estén en situaciones diferentes: De esta manera, </w:t>
      </w:r>
      <w:r>
        <w:rPr>
          <w:rFonts w:ascii="Verdana" w:hAnsi="Verdana" w:cs="Arial"/>
          <w:color w:val="000000" w:themeColor="text1"/>
          <w:lang w:val="es-MX"/>
        </w:rPr>
        <w:t>“</w:t>
      </w:r>
      <w:r w:rsidRPr="00DC39AE">
        <w:rPr>
          <w:rFonts w:ascii="Verdana" w:hAnsi="Verdana" w:cs="Arial"/>
          <w:color w:val="000000" w:themeColor="text1"/>
          <w:lang w:val="es-MX"/>
        </w:rPr>
        <w:t>La correcta aplicación del derecho a la igualdad no sólo supone la igualdad de trato respecto de los privilegios, oportunidades y cargas entre los iguales, sino también el tratamiento desigual entre supuestos disímiles</w:t>
      </w:r>
      <w:r>
        <w:rPr>
          <w:rFonts w:ascii="Verdana" w:hAnsi="Verdana" w:cs="Arial"/>
          <w:color w:val="000000" w:themeColor="text1"/>
          <w:lang w:val="es-MX"/>
        </w:rPr>
        <w:t>”</w:t>
      </w:r>
      <w:r w:rsidRPr="00DC39AE">
        <w:rPr>
          <w:rFonts w:ascii="Verdana" w:hAnsi="Verdana" w:cs="Arial"/>
          <w:color w:val="000000" w:themeColor="text1"/>
          <w:vertAlign w:val="superscript"/>
          <w:lang w:val="es-MX"/>
        </w:rPr>
        <w:footnoteReference w:id="6"/>
      </w:r>
      <w:r w:rsidRPr="00DC39AE">
        <w:rPr>
          <w:rFonts w:ascii="Verdana" w:hAnsi="Verdana" w:cs="Arial"/>
          <w:color w:val="000000" w:themeColor="text1"/>
          <w:lang w:val="es-MX"/>
        </w:rPr>
        <w:t xml:space="preserve">. </w:t>
      </w:r>
    </w:p>
    <w:p w14:paraId="302381A0" w14:textId="77777777" w:rsidR="0075058F" w:rsidRDefault="0075058F" w:rsidP="0075058F">
      <w:pPr>
        <w:spacing w:after="120" w:line="276" w:lineRule="auto"/>
        <w:ind w:firstLine="709"/>
        <w:jc w:val="both"/>
        <w:rPr>
          <w:rFonts w:ascii="Verdana" w:hAnsi="Verdana" w:cs="Arial"/>
          <w:color w:val="000000" w:themeColor="text1"/>
          <w:lang w:val="es-MX"/>
        </w:rPr>
      </w:pPr>
      <w:bookmarkStart w:id="6" w:name="_Hlk108448925"/>
      <w:bookmarkStart w:id="7" w:name="_Hlk108689480"/>
      <w:r>
        <w:rPr>
          <w:rFonts w:ascii="Verdana" w:hAnsi="Verdana" w:cs="Arial"/>
          <w:color w:val="000000" w:themeColor="text1"/>
          <w:lang w:val="es-MX"/>
        </w:rPr>
        <w:t>Así las cosas,</w:t>
      </w:r>
      <w:r w:rsidRPr="001264CA">
        <w:rPr>
          <w:rFonts w:ascii="Verdana" w:hAnsi="Verdana" w:cs="Arial"/>
          <w:color w:val="000000" w:themeColor="text1"/>
          <w:lang w:val="es-MX"/>
        </w:rPr>
        <w:t xml:space="preserve"> </w:t>
      </w:r>
      <w:r>
        <w:rPr>
          <w:rFonts w:ascii="Verdana" w:hAnsi="Verdana" w:cs="Arial"/>
          <w:color w:val="000000" w:themeColor="text1"/>
          <w:lang w:val="es-MX"/>
        </w:rPr>
        <w:t xml:space="preserve">no puede predicarse igualdad de trato frente a quienes no se encuentran en la misma situación. Entonces, no podría justificarse que en un proceso de selección donde existen oferentes que proponen un precio incluyendo determinados impuestos, por ser responsables de este, y otros que no, </w:t>
      </w:r>
      <w:r w:rsidRPr="00651A05">
        <w:rPr>
          <w:rFonts w:ascii="Verdana" w:hAnsi="Verdana" w:cs="Arial"/>
          <w:color w:val="000000" w:themeColor="text1"/>
          <w:lang w:val="es-MX"/>
        </w:rPr>
        <w:t>la ponderación de las ofertas se efectúe descontando o adicionando tales impuestos de manera uniforme. Una actuación en ese sentido, lejos de materializar el principio de igualdad, implicaría desconocer las diferencias jurídicas establecidas por el legislador y alterar las condiciones reales de competencia entre los proponentes.</w:t>
      </w:r>
      <w:r>
        <w:rPr>
          <w:rFonts w:ascii="Verdana" w:hAnsi="Verdana" w:cs="Arial"/>
          <w:color w:val="000000" w:themeColor="text1"/>
          <w:lang w:val="es-MX"/>
        </w:rPr>
        <w:t xml:space="preserve"> </w:t>
      </w:r>
    </w:p>
    <w:p w14:paraId="5D30916B" w14:textId="77777777" w:rsidR="0075058F" w:rsidRPr="00DC39AE" w:rsidRDefault="0075058F" w:rsidP="0075058F">
      <w:pPr>
        <w:spacing w:after="120" w:line="276" w:lineRule="auto"/>
        <w:ind w:firstLine="709"/>
        <w:jc w:val="both"/>
        <w:rPr>
          <w:rFonts w:ascii="Verdana" w:hAnsi="Verdana" w:cs="Arial"/>
          <w:color w:val="000000" w:themeColor="text1"/>
          <w:lang w:val="es-MX"/>
        </w:rPr>
      </w:pPr>
      <w:r>
        <w:rPr>
          <w:rFonts w:ascii="Verdana" w:hAnsi="Verdana" w:cs="Arial"/>
          <w:color w:val="000000" w:themeColor="text1"/>
          <w:lang w:val="es-MX"/>
        </w:rPr>
        <w:t xml:space="preserve"> En efecto, no se encuentran en la misma situación quienes ofrecen un precio con determinado impuesto y quienes son capaces de ofrecerle a la entidad ese precio sin este, porque no tienen que pagarlo. Frente al criterio de comparación, en este caso, el precio, los oferentes estarían en situaciones diferentes, y no por un criterio que hubiere adoptado la entidad, sino por un aspecto que le es propio a cada oferente, como es su régimen tributario. </w:t>
      </w:r>
      <w:bookmarkEnd w:id="6"/>
      <w:bookmarkEnd w:id="7"/>
    </w:p>
    <w:p w14:paraId="2B479BDA" w14:textId="77777777" w:rsidR="0075058F" w:rsidRDefault="0075058F" w:rsidP="0075058F">
      <w:pPr>
        <w:spacing w:after="120" w:line="276" w:lineRule="auto"/>
        <w:ind w:firstLine="709"/>
        <w:jc w:val="both"/>
        <w:rPr>
          <w:rFonts w:ascii="Verdana" w:hAnsi="Verdana" w:cs="Arial"/>
          <w:color w:val="000000" w:themeColor="text1"/>
          <w:lang w:val="es-MX"/>
        </w:rPr>
      </w:pPr>
      <w:bookmarkStart w:id="8" w:name="_Hlk108448954"/>
      <w:r>
        <w:rPr>
          <w:rFonts w:ascii="Verdana" w:hAnsi="Verdana" w:cs="Arial"/>
          <w:color w:val="000000" w:themeColor="text1"/>
          <w:lang w:val="es-MX"/>
        </w:rPr>
        <w:t>L</w:t>
      </w:r>
      <w:r w:rsidRPr="00DC39AE">
        <w:rPr>
          <w:rFonts w:ascii="Verdana" w:hAnsi="Verdana" w:cs="Arial"/>
          <w:color w:val="000000" w:themeColor="text1"/>
          <w:lang w:val="es-MX"/>
        </w:rPr>
        <w:t xml:space="preserve">os impuestos son parte integral del precio, pues es lo que finalmente terminará pagando la entidad cuando adjudique el contrato, por lo cual en </w:t>
      </w:r>
      <w:r w:rsidRPr="00DC39AE">
        <w:rPr>
          <w:rFonts w:ascii="Verdana" w:hAnsi="Verdana" w:cs="Arial"/>
          <w:color w:val="000000" w:themeColor="text1"/>
          <w:lang w:val="es-MX"/>
        </w:rPr>
        <w:lastRenderedPageBreak/>
        <w:t xml:space="preserve">aplicación de los principios de selección objetiva y de igualdad, la entidad contratante debe evaluar las ofertas con base en el precio final o real que ofrezca cada proponente, toda vez que de esa comparación es que surgirá la oferta más favorable o ventajosa para el Estado. </w:t>
      </w:r>
      <w:bookmarkEnd w:id="8"/>
      <w:r w:rsidRPr="008979BE">
        <w:rPr>
          <w:rFonts w:ascii="Verdana" w:hAnsi="Verdana" w:cs="Arial"/>
          <w:color w:val="000000" w:themeColor="text1"/>
          <w:lang w:val="es-MX"/>
        </w:rPr>
        <w:t xml:space="preserve">Esta carga hace parte del componente de Administración del AIU por ser un costo indirecto del negocio, </w:t>
      </w:r>
      <w:r>
        <w:rPr>
          <w:rFonts w:ascii="Verdana" w:hAnsi="Verdana" w:cs="Arial"/>
          <w:color w:val="000000" w:themeColor="text1"/>
          <w:lang w:val="es-MX"/>
        </w:rPr>
        <w:t xml:space="preserve">en los contratos que se estructuren bajo esta figura, </w:t>
      </w:r>
      <w:r w:rsidRPr="008979BE">
        <w:rPr>
          <w:rFonts w:ascii="Verdana" w:hAnsi="Verdana" w:cs="Arial"/>
          <w:color w:val="000000" w:themeColor="text1"/>
          <w:lang w:val="es-MX"/>
        </w:rPr>
        <w:t xml:space="preserve">y está a cargo del sujeto pasivo que dé lugar al hecho generador conforme a las normas tributarias. </w:t>
      </w:r>
    </w:p>
    <w:p w14:paraId="7532B5D6" w14:textId="77777777" w:rsidR="0075058F" w:rsidRPr="00D61978" w:rsidRDefault="0075058F" w:rsidP="0075058F">
      <w:pPr>
        <w:spacing w:after="120" w:line="276" w:lineRule="auto"/>
        <w:ind w:firstLine="709"/>
        <w:jc w:val="both"/>
        <w:rPr>
          <w:rFonts w:ascii="Verdana" w:hAnsi="Verdana" w:cs="Arial"/>
          <w:color w:val="000000" w:themeColor="text1"/>
          <w:lang w:val="es-MX"/>
        </w:rPr>
      </w:pPr>
      <w:r>
        <w:rPr>
          <w:rFonts w:ascii="Verdana" w:hAnsi="Verdana" w:cs="Arial"/>
          <w:color w:val="000000" w:themeColor="text1"/>
          <w:lang w:val="es-MX"/>
        </w:rPr>
        <w:t>Bajo estas consideraciones, de cara a los interrogantes planteados en su consulta, n</w:t>
      </w:r>
      <w:r w:rsidRPr="00D61978">
        <w:rPr>
          <w:rFonts w:ascii="Verdana" w:hAnsi="Verdana" w:cs="Arial"/>
          <w:color w:val="000000" w:themeColor="text1"/>
          <w:lang w:val="es-MX"/>
        </w:rPr>
        <w:t>o es posible afirmar que la participación de un</w:t>
      </w:r>
      <w:r>
        <w:rPr>
          <w:rFonts w:ascii="Verdana" w:hAnsi="Verdana" w:cs="Arial"/>
          <w:color w:val="000000" w:themeColor="text1"/>
          <w:lang w:val="es-MX"/>
        </w:rPr>
        <w:t xml:space="preserve"> proponente que cuente con exenciones tributarias, como puede ser una Entidad Sin Ánimo de Lucro -ESAL-, y la posterior adjudicación del contrato, </w:t>
      </w:r>
      <w:r w:rsidRPr="00D61978">
        <w:rPr>
          <w:rFonts w:ascii="Verdana" w:hAnsi="Verdana" w:cs="Arial"/>
          <w:color w:val="000000" w:themeColor="text1"/>
          <w:lang w:val="es-MX"/>
        </w:rPr>
        <w:t>resulte incompatible con el principio de igualdad por el solo hecho de que est</w:t>
      </w:r>
      <w:r>
        <w:rPr>
          <w:rFonts w:ascii="Verdana" w:hAnsi="Verdana" w:cs="Arial"/>
          <w:color w:val="000000" w:themeColor="text1"/>
          <w:lang w:val="es-MX"/>
        </w:rPr>
        <w:t>e goce</w:t>
      </w:r>
      <w:r w:rsidRPr="00D61978">
        <w:rPr>
          <w:rFonts w:ascii="Verdana" w:hAnsi="Verdana" w:cs="Arial"/>
          <w:color w:val="000000" w:themeColor="text1"/>
          <w:lang w:val="es-MX"/>
        </w:rPr>
        <w:t xml:space="preserve"> de beneficios tributarios previstos por el ordenamiento jurídico.</w:t>
      </w:r>
      <w:r>
        <w:rPr>
          <w:rFonts w:ascii="Verdana" w:hAnsi="Verdana" w:cs="Arial"/>
          <w:color w:val="000000" w:themeColor="text1"/>
          <w:lang w:val="es-MX"/>
        </w:rPr>
        <w:t xml:space="preserve"> Como se explicó</w:t>
      </w:r>
      <w:r w:rsidRPr="00D61978">
        <w:rPr>
          <w:rFonts w:ascii="Verdana" w:hAnsi="Verdana" w:cs="Arial"/>
          <w:color w:val="000000" w:themeColor="text1"/>
          <w:lang w:val="es-MX"/>
        </w:rPr>
        <w:t>, el principio de igualdad no exige eliminar las diferencias jurídicas que el propio legislador ha establecido entre los distintos sujetos de derecho, sino garantizar que quienes se encuentran en una misma situación jurídica reciban el mismo tratamiento. En consecuencia, cuando el ordenamiento tributario reconoce determinados beneficios</w:t>
      </w:r>
      <w:r>
        <w:rPr>
          <w:rFonts w:ascii="Verdana" w:hAnsi="Verdana" w:cs="Arial"/>
          <w:color w:val="000000" w:themeColor="text1"/>
          <w:lang w:val="es-MX"/>
        </w:rPr>
        <w:t xml:space="preserve"> </w:t>
      </w:r>
      <w:r w:rsidRPr="00D61978">
        <w:rPr>
          <w:rFonts w:ascii="Verdana" w:hAnsi="Verdana" w:cs="Arial"/>
          <w:color w:val="000000" w:themeColor="text1"/>
          <w:lang w:val="es-MX"/>
        </w:rPr>
        <w:t>a ciertas entidades en atención a su naturaleza, finalidad o régimen especial, tales diferencias constituyen una decisión del legislador que no puede ser desconocida por las entidades estatales mediante los pliegos de condiciones.</w:t>
      </w:r>
    </w:p>
    <w:p w14:paraId="3576C310" w14:textId="77777777" w:rsidR="0075058F" w:rsidRPr="000B3855" w:rsidRDefault="0075058F" w:rsidP="0075058F">
      <w:pPr>
        <w:spacing w:after="120" w:line="276" w:lineRule="auto"/>
        <w:ind w:firstLine="709"/>
        <w:jc w:val="both"/>
        <w:rPr>
          <w:rFonts w:ascii="Verdana" w:hAnsi="Verdana" w:cs="Arial"/>
          <w:b/>
          <w:bCs/>
          <w:color w:val="000000" w:themeColor="text1"/>
          <w:lang w:val="es-MX"/>
        </w:rPr>
      </w:pPr>
      <w:r w:rsidRPr="00D61978">
        <w:rPr>
          <w:rFonts w:ascii="Verdana" w:hAnsi="Verdana" w:cs="Arial"/>
          <w:color w:val="000000" w:themeColor="text1"/>
          <w:lang w:val="es-MX"/>
        </w:rPr>
        <w:t xml:space="preserve">Adicionalmente, </w:t>
      </w:r>
      <w:r>
        <w:rPr>
          <w:rFonts w:ascii="Verdana" w:hAnsi="Verdana" w:cs="Arial"/>
          <w:color w:val="000000" w:themeColor="text1"/>
          <w:lang w:val="es-MX"/>
        </w:rPr>
        <w:t xml:space="preserve">es importante precisar que </w:t>
      </w:r>
      <w:r w:rsidRPr="00D61978">
        <w:rPr>
          <w:rFonts w:ascii="Verdana" w:hAnsi="Verdana" w:cs="Arial"/>
          <w:color w:val="000000" w:themeColor="text1"/>
          <w:lang w:val="es-MX"/>
        </w:rPr>
        <w:t>la selección objetiva supone valorar la oferta de acuerdo con los criterios establecidos en el pliego de condiciones, los cuales pueden comprender aspectos técnicos, de calidad, experiencia, y criterios económicos, según la modalidad de selección aplicable.</w:t>
      </w:r>
      <w:r>
        <w:rPr>
          <w:rFonts w:ascii="Verdana" w:hAnsi="Verdana" w:cs="Arial"/>
          <w:color w:val="000000" w:themeColor="text1"/>
          <w:lang w:val="es-MX"/>
        </w:rPr>
        <w:t xml:space="preserve"> Por tanto, </w:t>
      </w:r>
      <w:r w:rsidRPr="00D61978">
        <w:rPr>
          <w:rFonts w:ascii="Verdana" w:hAnsi="Verdana" w:cs="Arial"/>
          <w:color w:val="000000" w:themeColor="text1"/>
          <w:lang w:val="es-MX"/>
        </w:rPr>
        <w:t>la existencia de un beneficio tributario no implica, por sí misma, que el oferente present</w:t>
      </w:r>
      <w:r>
        <w:rPr>
          <w:rFonts w:ascii="Verdana" w:hAnsi="Verdana" w:cs="Arial"/>
          <w:color w:val="000000" w:themeColor="text1"/>
          <w:lang w:val="es-MX"/>
        </w:rPr>
        <w:t>e</w:t>
      </w:r>
      <w:r w:rsidRPr="00D61978">
        <w:rPr>
          <w:rFonts w:ascii="Verdana" w:hAnsi="Verdana" w:cs="Arial"/>
          <w:color w:val="000000" w:themeColor="text1"/>
          <w:lang w:val="es-MX"/>
        </w:rPr>
        <w:t xml:space="preserve"> la mejor oferta ni que necesariamente resulte adjudicatario, pues la decisión final depende de la evaluación integral de todos los factores previstos para el proceso.</w:t>
      </w:r>
      <w:r>
        <w:rPr>
          <w:rFonts w:ascii="Verdana" w:hAnsi="Verdana" w:cs="Arial"/>
          <w:color w:val="000000" w:themeColor="text1"/>
          <w:lang w:val="es-MX"/>
        </w:rPr>
        <w:t xml:space="preserve"> </w:t>
      </w:r>
      <w:r w:rsidRPr="00D61978">
        <w:rPr>
          <w:rFonts w:ascii="Verdana" w:hAnsi="Verdana" w:cs="Arial"/>
          <w:color w:val="000000" w:themeColor="text1"/>
          <w:lang w:val="es-MX"/>
        </w:rPr>
        <w:t xml:space="preserve">En ese sentido, si una diferencia en los costos deriva de una </w:t>
      </w:r>
      <w:r>
        <w:rPr>
          <w:rFonts w:ascii="Verdana" w:hAnsi="Verdana" w:cs="Arial"/>
          <w:color w:val="000000" w:themeColor="text1"/>
          <w:lang w:val="es-MX"/>
        </w:rPr>
        <w:t xml:space="preserve">situación </w:t>
      </w:r>
      <w:r w:rsidRPr="00D61978">
        <w:rPr>
          <w:rFonts w:ascii="Verdana" w:hAnsi="Verdana" w:cs="Arial"/>
          <w:color w:val="000000" w:themeColor="text1"/>
          <w:lang w:val="es-MX"/>
        </w:rPr>
        <w:t>tributaria expresamente reconocida por la ley, dicha circunstancia constituye un elemento propio de la estructura económica de</w:t>
      </w:r>
      <w:r>
        <w:rPr>
          <w:rFonts w:ascii="Verdana" w:hAnsi="Verdana" w:cs="Arial"/>
          <w:color w:val="000000" w:themeColor="text1"/>
          <w:lang w:val="es-MX"/>
        </w:rPr>
        <w:t xml:space="preserve"> la oferta del proponente </w:t>
      </w:r>
      <w:r w:rsidRPr="00D61978">
        <w:rPr>
          <w:rFonts w:ascii="Verdana" w:hAnsi="Verdana" w:cs="Arial"/>
          <w:color w:val="000000" w:themeColor="text1"/>
          <w:lang w:val="es-MX"/>
        </w:rPr>
        <w:t xml:space="preserve">y no una situación que la entidad deba desconocer mediante reglas de </w:t>
      </w:r>
      <w:r>
        <w:rPr>
          <w:rFonts w:ascii="Verdana" w:hAnsi="Verdana" w:cs="Arial"/>
          <w:color w:val="000000" w:themeColor="text1"/>
          <w:lang w:val="es-MX"/>
        </w:rPr>
        <w:t xml:space="preserve">evaluación. </w:t>
      </w:r>
      <w:r w:rsidRPr="000E0BC1">
        <w:rPr>
          <w:rFonts w:ascii="Verdana" w:hAnsi="Verdana" w:cs="Arial"/>
          <w:color w:val="000000" w:themeColor="text1"/>
          <w:lang w:val="es-MX"/>
        </w:rPr>
        <w:t xml:space="preserve">(Respuesta a interrogante No. 1) </w:t>
      </w:r>
    </w:p>
    <w:p w14:paraId="2825FB14" w14:textId="77777777" w:rsidR="0075058F" w:rsidRDefault="0075058F" w:rsidP="0075058F">
      <w:pPr>
        <w:spacing w:after="120" w:line="276" w:lineRule="auto"/>
        <w:ind w:firstLine="709"/>
        <w:jc w:val="both"/>
        <w:rPr>
          <w:rFonts w:ascii="Verdana" w:hAnsi="Verdana" w:cs="Arial"/>
          <w:color w:val="000000" w:themeColor="text1"/>
        </w:rPr>
      </w:pPr>
      <w:r w:rsidRPr="00125E5D">
        <w:rPr>
          <w:rFonts w:ascii="Verdana" w:hAnsi="Verdana" w:cs="Arial"/>
          <w:color w:val="000000" w:themeColor="text1"/>
        </w:rPr>
        <w:t>De esta manera, aunque la administración dispone de un amplio margen de configuración para elaborar los pliegos de condiciones, dicha facultad se encuentra limitada por los fines</w:t>
      </w:r>
      <w:r>
        <w:rPr>
          <w:rFonts w:ascii="Verdana" w:hAnsi="Verdana" w:cs="Arial"/>
          <w:color w:val="000000" w:themeColor="text1"/>
        </w:rPr>
        <w:t xml:space="preserve"> y</w:t>
      </w:r>
      <w:r w:rsidRPr="00125E5D">
        <w:rPr>
          <w:rFonts w:ascii="Verdana" w:hAnsi="Verdana" w:cs="Arial"/>
          <w:color w:val="000000" w:themeColor="text1"/>
        </w:rPr>
        <w:t xml:space="preserve"> principios</w:t>
      </w:r>
      <w:r>
        <w:rPr>
          <w:rFonts w:ascii="Verdana" w:hAnsi="Verdana" w:cs="Arial"/>
          <w:color w:val="000000" w:themeColor="text1"/>
        </w:rPr>
        <w:t xml:space="preserve"> de la contratación estatal, por lo que </w:t>
      </w:r>
      <w:r w:rsidRPr="00125E5D">
        <w:rPr>
          <w:rFonts w:ascii="Verdana" w:hAnsi="Verdana" w:cs="Arial"/>
          <w:color w:val="000000" w:themeColor="text1"/>
        </w:rPr>
        <w:lastRenderedPageBreak/>
        <w:t>las entidades no pueden incorporar mecanismos de evaluación que, sin un fundamento legal expreso, desconozcan los efectos del régimen tributario que el legislador ha establecido para determinados sujetos, cuando ello pueda afectar los principios de selección objetiva y</w:t>
      </w:r>
      <w:r>
        <w:rPr>
          <w:rFonts w:ascii="Verdana" w:hAnsi="Verdana" w:cs="Arial"/>
          <w:color w:val="000000" w:themeColor="text1"/>
        </w:rPr>
        <w:t xml:space="preserve"> de</w:t>
      </w:r>
      <w:r w:rsidRPr="00125E5D">
        <w:rPr>
          <w:rFonts w:ascii="Verdana" w:hAnsi="Verdana" w:cs="Arial"/>
          <w:color w:val="000000" w:themeColor="text1"/>
        </w:rPr>
        <w:t xml:space="preserve"> libre concurrencia. Por tanto, la autonomía para estructurar los pliegos no habilita a las entidades para alterar las condiciones económicas derivadas del régimen tributario aplicable a cada proponente</w:t>
      </w:r>
      <w:r>
        <w:rPr>
          <w:rFonts w:ascii="Verdana" w:hAnsi="Verdana" w:cs="Arial"/>
          <w:color w:val="000000" w:themeColor="text1"/>
        </w:rPr>
        <w:t>, que, por demás, han sido establecidas por el legislador</w:t>
      </w:r>
      <w:r w:rsidRPr="00125E5D">
        <w:rPr>
          <w:rFonts w:ascii="Verdana" w:hAnsi="Verdana" w:cs="Arial"/>
          <w:color w:val="000000" w:themeColor="text1"/>
        </w:rPr>
        <w:t>.</w:t>
      </w:r>
      <w:r>
        <w:rPr>
          <w:rFonts w:ascii="Verdana" w:hAnsi="Verdana" w:cs="Arial"/>
          <w:color w:val="000000" w:themeColor="text1"/>
        </w:rPr>
        <w:t xml:space="preserve"> </w:t>
      </w:r>
    </w:p>
    <w:p w14:paraId="541E05EE" w14:textId="77777777" w:rsidR="0075058F" w:rsidRDefault="0075058F" w:rsidP="0075058F">
      <w:pPr>
        <w:spacing w:after="120" w:line="276" w:lineRule="auto"/>
        <w:ind w:firstLine="709"/>
        <w:jc w:val="both"/>
        <w:rPr>
          <w:rFonts w:ascii="Verdana" w:hAnsi="Verdana" w:cs="Arial"/>
          <w:color w:val="000000" w:themeColor="text1"/>
        </w:rPr>
      </w:pPr>
      <w:r>
        <w:rPr>
          <w:rFonts w:ascii="Verdana" w:hAnsi="Verdana" w:cs="Arial"/>
          <w:color w:val="000000" w:themeColor="text1"/>
        </w:rPr>
        <w:t>Sobre el particular, el Consejo de Estado se ha referido a los límites de la facultad administrativa de configuración de los pliegos de condiciones:</w:t>
      </w:r>
    </w:p>
    <w:p w14:paraId="1ED6693C" w14:textId="77777777" w:rsidR="0075058F" w:rsidRDefault="0075058F" w:rsidP="0075058F">
      <w:pPr>
        <w:spacing w:after="0" w:line="240" w:lineRule="auto"/>
        <w:ind w:right="758" w:firstLine="709"/>
        <w:jc w:val="both"/>
        <w:rPr>
          <w:rFonts w:ascii="Verdana" w:hAnsi="Verdana" w:cs="Arial"/>
          <w:color w:val="000000" w:themeColor="text1"/>
        </w:rPr>
      </w:pPr>
      <w:r>
        <w:rPr>
          <w:rFonts w:ascii="Verdana" w:hAnsi="Verdana" w:cs="Arial"/>
          <w:color w:val="000000" w:themeColor="text1"/>
        </w:rPr>
        <w:t xml:space="preserve">  </w:t>
      </w:r>
    </w:p>
    <w:p w14:paraId="228FDA3F" w14:textId="77777777" w:rsidR="0075058F" w:rsidRPr="00FF3652" w:rsidRDefault="0075058F" w:rsidP="0075058F">
      <w:pPr>
        <w:spacing w:after="0" w:line="240" w:lineRule="auto"/>
        <w:ind w:left="709" w:right="758"/>
        <w:contextualSpacing/>
        <w:jc w:val="both"/>
        <w:rPr>
          <w:rFonts w:ascii="Verdana" w:hAnsi="Verdana" w:cs="Arial"/>
          <w:color w:val="000000" w:themeColor="text1"/>
          <w:sz w:val="20"/>
          <w:szCs w:val="20"/>
          <w:lang w:val="es-MX"/>
        </w:rPr>
      </w:pPr>
      <w:r w:rsidRPr="00FF3652">
        <w:rPr>
          <w:rFonts w:ascii="Verdana" w:hAnsi="Verdana" w:cs="Arial"/>
          <w:color w:val="000000" w:themeColor="text1"/>
          <w:sz w:val="20"/>
          <w:szCs w:val="20"/>
        </w:rPr>
        <w:t xml:space="preserve"> </w:t>
      </w:r>
      <w:r w:rsidRPr="00FF3652">
        <w:rPr>
          <w:rFonts w:ascii="Verdana" w:hAnsi="Verdana" w:cs="Arial"/>
          <w:color w:val="000000" w:themeColor="text1"/>
          <w:sz w:val="20"/>
          <w:szCs w:val="20"/>
          <w:lang w:val="es-MX"/>
        </w:rPr>
        <w:t>“</w:t>
      </w:r>
      <w:r>
        <w:rPr>
          <w:rFonts w:ascii="Verdana" w:hAnsi="Verdana" w:cs="Arial"/>
          <w:color w:val="000000" w:themeColor="text1"/>
          <w:sz w:val="20"/>
          <w:szCs w:val="20"/>
          <w:lang w:val="es-MX"/>
        </w:rPr>
        <w:t xml:space="preserve">(…) </w:t>
      </w:r>
      <w:r w:rsidRPr="00FF3652">
        <w:rPr>
          <w:rFonts w:ascii="Verdana" w:hAnsi="Verdana" w:cs="Arial"/>
          <w:color w:val="000000" w:themeColor="text1"/>
          <w:sz w:val="20"/>
          <w:szCs w:val="20"/>
          <w:lang w:val="es-MX"/>
        </w:rPr>
        <w:t>De ahí que la Sala considere que, si bien la Administración goza de autonomía en la elaboración de los pliegos de condiciones o términos de referencia de acuerdo con sus particulares necesidades, no es menos cierto que ella está enmarcada en los fines de la contratación estatal y, por consiguiente, los criterios de selección susceptibles de calificación, deben ser congruentes con ellos y comprender los elementos necesarios para llevar a cabo el contrato en las condiciones de modo, tiempo y lugar requeridas por ella. La objetividad que reclama la Ley </w:t>
      </w:r>
      <w:hyperlink r:id="rId13" w:history="1">
        <w:r w:rsidRPr="00FF3652">
          <w:rPr>
            <w:rFonts w:ascii="Verdana" w:hAnsi="Verdana" w:cs="Arial"/>
            <w:color w:val="000000" w:themeColor="text1"/>
            <w:sz w:val="20"/>
            <w:szCs w:val="20"/>
            <w:lang w:val="es-MX"/>
          </w:rPr>
          <w:t>80</w:t>
        </w:r>
      </w:hyperlink>
      <w:r w:rsidRPr="00FF3652">
        <w:rPr>
          <w:rFonts w:ascii="Verdana" w:hAnsi="Verdana" w:cs="Arial"/>
          <w:color w:val="000000" w:themeColor="text1"/>
          <w:sz w:val="20"/>
          <w:szCs w:val="20"/>
          <w:lang w:val="es-MX"/>
        </w:rPr>
        <w:t> de 1993 en la contratación estatal, en varias de sus disposiciones, solo se cumple a condición de que existan en los pliegos de condiciones o términos de referencia reglas necesarias al fin del contrato</w:t>
      </w:r>
      <w:r w:rsidRPr="00FF3652">
        <w:rPr>
          <w:rFonts w:ascii="Verdana" w:hAnsi="Verdana"/>
          <w:color w:val="000000" w:themeColor="text1"/>
          <w:sz w:val="20"/>
          <w:szCs w:val="20"/>
          <w:lang w:val="es-MX"/>
        </w:rPr>
        <w:t xml:space="preserve"> [</w:t>
      </w:r>
      <w:r w:rsidRPr="00FF3652">
        <w:rPr>
          <w:rFonts w:ascii="Verdana" w:hAnsi="Verdana" w:cs="Arial"/>
          <w:color w:val="000000" w:themeColor="text1"/>
          <w:sz w:val="20"/>
          <w:szCs w:val="20"/>
          <w:lang w:val="es-MX"/>
        </w:rPr>
        <w:t>28]</w:t>
      </w:r>
      <w:r>
        <w:rPr>
          <w:rStyle w:val="Refdenotaalpie"/>
          <w:rFonts w:ascii="Verdana" w:hAnsi="Verdana" w:cs="Arial"/>
          <w:color w:val="000000" w:themeColor="text1"/>
          <w:sz w:val="20"/>
          <w:szCs w:val="20"/>
          <w:lang w:val="es-MX"/>
        </w:rPr>
        <w:footnoteReference w:id="7"/>
      </w:r>
      <w:r w:rsidRPr="00FF3652">
        <w:rPr>
          <w:rFonts w:ascii="Verdana" w:hAnsi="Verdana" w:cs="Arial"/>
          <w:color w:val="000000" w:themeColor="text1"/>
          <w:sz w:val="20"/>
          <w:szCs w:val="20"/>
          <w:lang w:val="es-MX"/>
        </w:rPr>
        <w:t>”.</w:t>
      </w:r>
    </w:p>
    <w:p w14:paraId="03B46640" w14:textId="77777777" w:rsidR="0075058F" w:rsidRPr="00FF3652" w:rsidRDefault="0075058F" w:rsidP="0075058F">
      <w:pPr>
        <w:spacing w:after="0" w:line="276" w:lineRule="auto"/>
        <w:ind w:left="709"/>
        <w:contextualSpacing/>
        <w:jc w:val="both"/>
        <w:rPr>
          <w:rFonts w:ascii="Verdana" w:hAnsi="Verdana" w:cs="Arial"/>
          <w:color w:val="000000" w:themeColor="text1"/>
          <w:lang w:val="es-MX"/>
        </w:rPr>
      </w:pPr>
    </w:p>
    <w:p w14:paraId="3AC3640A" w14:textId="77777777" w:rsidR="0075058F" w:rsidRDefault="0075058F" w:rsidP="0075058F">
      <w:pPr>
        <w:spacing w:after="120" w:line="276" w:lineRule="auto"/>
        <w:ind w:firstLine="709"/>
        <w:jc w:val="both"/>
        <w:rPr>
          <w:rFonts w:ascii="Verdana" w:hAnsi="Verdana" w:cs="Arial"/>
          <w:color w:val="000000" w:themeColor="text1"/>
          <w:lang w:val="es-MX"/>
        </w:rPr>
      </w:pPr>
      <w:r w:rsidRPr="001A0649">
        <w:rPr>
          <w:rFonts w:ascii="Verdana" w:hAnsi="Verdana" w:cs="Arial"/>
          <w:color w:val="000000" w:themeColor="text1"/>
        </w:rPr>
        <w:t xml:space="preserve">En este contexto, no </w:t>
      </w:r>
      <w:r>
        <w:rPr>
          <w:rFonts w:ascii="Verdana" w:hAnsi="Verdana" w:cs="Arial"/>
          <w:color w:val="000000" w:themeColor="text1"/>
        </w:rPr>
        <w:t xml:space="preserve">se considera viable, ni atiende a criterios de objetividad, que </w:t>
      </w:r>
      <w:r w:rsidRPr="001A0649">
        <w:rPr>
          <w:rFonts w:ascii="Verdana" w:hAnsi="Verdana" w:cs="Arial"/>
          <w:color w:val="000000" w:themeColor="text1"/>
        </w:rPr>
        <w:t xml:space="preserve">las entidades estatales incorporen una metodología de comparación de ofertas basada en ajustes de precios </w:t>
      </w:r>
      <w:r>
        <w:rPr>
          <w:rFonts w:ascii="Verdana" w:hAnsi="Verdana" w:cs="Arial"/>
          <w:color w:val="000000" w:themeColor="text1"/>
        </w:rPr>
        <w:t xml:space="preserve">asociados con </w:t>
      </w:r>
      <w:r w:rsidRPr="001A0649">
        <w:rPr>
          <w:rFonts w:ascii="Verdana" w:hAnsi="Verdana" w:cs="Arial"/>
          <w:color w:val="000000" w:themeColor="text1"/>
        </w:rPr>
        <w:t>el régimen tributario aplicable a determinados proponentes</w:t>
      </w:r>
      <w:r>
        <w:rPr>
          <w:rFonts w:ascii="Verdana" w:hAnsi="Verdana" w:cs="Arial"/>
          <w:color w:val="000000" w:themeColor="text1"/>
        </w:rPr>
        <w:t>,</w:t>
      </w:r>
      <w:r w:rsidRPr="001A0649">
        <w:rPr>
          <w:rFonts w:ascii="Verdana" w:hAnsi="Verdana" w:cs="Arial"/>
          <w:color w:val="000000" w:themeColor="text1"/>
        </w:rPr>
        <w:t xml:space="preserve"> en la medida en que</w:t>
      </w:r>
      <w:r>
        <w:rPr>
          <w:rFonts w:ascii="Verdana" w:hAnsi="Verdana" w:cs="Arial"/>
          <w:color w:val="000000" w:themeColor="text1"/>
        </w:rPr>
        <w:t xml:space="preserve"> ello implicaría que </w:t>
      </w:r>
      <w:r w:rsidRPr="009E4AEC">
        <w:rPr>
          <w:rFonts w:ascii="Verdana" w:hAnsi="Verdana" w:cs="Arial"/>
          <w:color w:val="000000" w:themeColor="text1"/>
        </w:rPr>
        <w:t xml:space="preserve">la evaluación económica no </w:t>
      </w:r>
      <w:r>
        <w:rPr>
          <w:rFonts w:ascii="Verdana" w:hAnsi="Verdana" w:cs="Arial"/>
          <w:color w:val="000000" w:themeColor="text1"/>
        </w:rPr>
        <w:t xml:space="preserve">se realice </w:t>
      </w:r>
      <w:r w:rsidRPr="009E4AEC">
        <w:rPr>
          <w:rFonts w:ascii="Verdana" w:hAnsi="Verdana" w:cs="Arial"/>
          <w:color w:val="000000" w:themeColor="text1"/>
        </w:rPr>
        <w:t>sobre el precio real y efectivamente ofertado</w:t>
      </w:r>
      <w:r>
        <w:rPr>
          <w:rFonts w:ascii="Verdana" w:hAnsi="Verdana" w:cs="Arial"/>
          <w:color w:val="000000" w:themeColor="text1"/>
        </w:rPr>
        <w:t xml:space="preserve"> por cada proponente. Debe resaltarse, que</w:t>
      </w:r>
      <w:r w:rsidRPr="008C6D9B">
        <w:rPr>
          <w:rFonts w:ascii="Verdana" w:hAnsi="Verdana" w:cs="Arial"/>
          <w:bCs/>
          <w:szCs w:val="24"/>
          <w:lang w:val="es-ES" w:eastAsia="es-ES_tradnl"/>
        </w:rPr>
        <w:t xml:space="preserve"> </w:t>
      </w:r>
      <w:r w:rsidRPr="0068390B">
        <w:rPr>
          <w:rFonts w:ascii="Verdana" w:hAnsi="Verdana" w:cs="Arial"/>
          <w:bCs/>
          <w:szCs w:val="24"/>
          <w:lang w:val="es-ES" w:eastAsia="es-ES_tradnl"/>
        </w:rPr>
        <w:t>el precio es el total del valor que paga el comprador por un bien o servicio, y eso incluye los</w:t>
      </w:r>
      <w:r>
        <w:rPr>
          <w:rFonts w:ascii="Verdana" w:hAnsi="Verdana" w:cs="Arial"/>
          <w:bCs/>
          <w:szCs w:val="24"/>
          <w:lang w:val="es-ES" w:eastAsia="es-ES_tradnl"/>
        </w:rPr>
        <w:t xml:space="preserve"> tributos que apliquen</w:t>
      </w:r>
      <w:r w:rsidRPr="0068390B">
        <w:rPr>
          <w:rFonts w:ascii="Verdana" w:hAnsi="Verdana" w:cs="Arial"/>
          <w:bCs/>
          <w:szCs w:val="24"/>
          <w:lang w:val="es-ES" w:eastAsia="es-ES_tradnl"/>
        </w:rPr>
        <w:t xml:space="preserve">, por una sencilla razón, ningún comprador podrá hacerse a la propiedad de una cosa o beneficiarse de un servicio sino paga la totalidad de lo que incluye el precio. </w:t>
      </w:r>
      <w:r>
        <w:rPr>
          <w:rFonts w:ascii="Verdana" w:hAnsi="Verdana" w:cs="Arial"/>
          <w:bCs/>
          <w:szCs w:val="24"/>
          <w:lang w:val="es-ES" w:eastAsia="es-ES_tradnl"/>
        </w:rPr>
        <w:t xml:space="preserve">Por tanto, </w:t>
      </w:r>
      <w:r w:rsidRPr="007F7D8D">
        <w:rPr>
          <w:rFonts w:ascii="Verdana" w:hAnsi="Verdana" w:cs="Arial"/>
          <w:bCs/>
          <w:szCs w:val="24"/>
          <w:lang w:val="es-ES" w:eastAsia="es-ES_tradnl"/>
        </w:rPr>
        <w:t xml:space="preserve">cuando el precio ofertado se encuentra exento de determinado gravamen por disposición expresa del legislador, la entidad estatal no puede excluir los efectos jurídicos y económicos de dicho beneficio tributario </w:t>
      </w:r>
      <w:r>
        <w:rPr>
          <w:rFonts w:ascii="Verdana" w:hAnsi="Verdana" w:cs="Arial"/>
          <w:bCs/>
          <w:szCs w:val="24"/>
          <w:lang w:val="es-ES" w:eastAsia="es-ES_tradnl"/>
        </w:rPr>
        <w:t>con fundamento en la</w:t>
      </w:r>
      <w:r w:rsidRPr="007F7D8D">
        <w:rPr>
          <w:rFonts w:ascii="Verdana" w:hAnsi="Verdana" w:cs="Arial"/>
          <w:bCs/>
          <w:szCs w:val="24"/>
          <w:lang w:val="es-ES" w:eastAsia="es-ES_tradnl"/>
        </w:rPr>
        <w:t xml:space="preserve"> facultad d</w:t>
      </w:r>
      <w:r>
        <w:rPr>
          <w:rFonts w:ascii="Verdana" w:hAnsi="Verdana" w:cs="Arial"/>
          <w:bCs/>
          <w:szCs w:val="24"/>
          <w:lang w:val="es-ES" w:eastAsia="es-ES_tradnl"/>
        </w:rPr>
        <w:t>iscrecional de</w:t>
      </w:r>
      <w:r w:rsidRPr="007F7D8D">
        <w:rPr>
          <w:rFonts w:ascii="Verdana" w:hAnsi="Verdana" w:cs="Arial"/>
          <w:bCs/>
          <w:szCs w:val="24"/>
          <w:lang w:val="es-ES" w:eastAsia="es-ES_tradnl"/>
        </w:rPr>
        <w:t xml:space="preserve"> configuración de los pliegos de condiciones</w:t>
      </w:r>
      <w:r>
        <w:rPr>
          <w:rFonts w:ascii="Verdana" w:hAnsi="Verdana" w:cs="Arial"/>
          <w:bCs/>
          <w:szCs w:val="24"/>
          <w:lang w:val="es-ES" w:eastAsia="es-ES_tradnl"/>
        </w:rPr>
        <w:t xml:space="preserve">, pues ello implicaría no solo desconocer </w:t>
      </w:r>
      <w:r w:rsidRPr="00A00BC3">
        <w:rPr>
          <w:rFonts w:ascii="Verdana" w:hAnsi="Verdana" w:cs="Arial"/>
          <w:bCs/>
          <w:szCs w:val="24"/>
          <w:lang w:val="es-ES" w:eastAsia="es-ES_tradnl"/>
        </w:rPr>
        <w:t xml:space="preserve">el régimen </w:t>
      </w:r>
      <w:r w:rsidRPr="00A00BC3">
        <w:rPr>
          <w:rFonts w:ascii="Verdana" w:hAnsi="Verdana" w:cs="Arial"/>
          <w:bCs/>
          <w:szCs w:val="24"/>
          <w:lang w:val="es-ES" w:eastAsia="es-ES_tradnl"/>
        </w:rPr>
        <w:lastRenderedPageBreak/>
        <w:t>tributario especial reconocido por la ley a ciertos sujetos</w:t>
      </w:r>
      <w:r>
        <w:rPr>
          <w:rFonts w:ascii="Verdana" w:hAnsi="Verdana" w:cs="Arial"/>
          <w:bCs/>
          <w:szCs w:val="24"/>
          <w:lang w:val="es-ES" w:eastAsia="es-ES_tradnl"/>
        </w:rPr>
        <w:t>, sino que también vulnera la selección objetiva y la libre concurrencia del proceso de contratación.</w:t>
      </w:r>
      <w:r w:rsidRPr="00F4700A">
        <w:rPr>
          <w:rFonts w:ascii="Verdana" w:hAnsi="Verdana" w:cs="Arial"/>
          <w:color w:val="000000" w:themeColor="text1"/>
          <w:lang w:val="es-MX"/>
        </w:rPr>
        <w:t xml:space="preserve"> </w:t>
      </w:r>
    </w:p>
    <w:p w14:paraId="74E1B5B6" w14:textId="77777777" w:rsidR="0075058F" w:rsidRPr="00DD7048" w:rsidRDefault="0075058F" w:rsidP="0075058F">
      <w:pPr>
        <w:spacing w:after="120" w:line="276" w:lineRule="auto"/>
        <w:ind w:firstLine="709"/>
        <w:jc w:val="both"/>
        <w:rPr>
          <w:rFonts w:ascii="Verdana" w:hAnsi="Verdana" w:cs="Arial"/>
          <w:color w:val="000000" w:themeColor="text1"/>
        </w:rPr>
      </w:pPr>
      <w:r w:rsidRPr="000E0BC1">
        <w:rPr>
          <w:rFonts w:ascii="Verdana" w:hAnsi="Verdana" w:cs="Arial"/>
          <w:color w:val="000000" w:themeColor="text1"/>
        </w:rPr>
        <w:t>Lo anterior no significa que la entidad estatal carezca de herramientas para asegurar la comparabilidad de las ofertas económicas. Por el contrario, en ejercicio de su facultad de configuración de los documentos del proceso, la entidad debe definir con precisión qué comprende el precio ofertado —incluidos los impuestos, tasas, contribuciones, estampillas y demás gravámenes aplicables al contratista—, de manera que todos los proponentes coticen sobre la misma base y la evaluación recaiga sobre valores homogéneos. La comparabilidad se logra, entonces, mediante la definición clara del contenido del precio en los documentos del proceso, y no mediante ajustes que alteren el valor efectivamente ofertado por cada proponente</w:t>
      </w:r>
      <w:r w:rsidRPr="000E0BC1">
        <w:rPr>
          <w:rFonts w:ascii="Verdana" w:hAnsi="Verdana" w:cs="Arial"/>
          <w:color w:val="000000" w:themeColor="text1"/>
          <w:lang w:val="es-MX"/>
        </w:rPr>
        <w:t xml:space="preserve"> (Respuesta a interrogante No. 2)</w:t>
      </w:r>
      <w:r w:rsidRPr="00CC5569">
        <w:rPr>
          <w:rFonts w:ascii="Verdana" w:hAnsi="Verdana" w:cs="Arial"/>
          <w:b/>
          <w:bCs/>
          <w:color w:val="000000" w:themeColor="text1"/>
          <w:lang w:val="es-MX"/>
        </w:rPr>
        <w:t xml:space="preserve"> </w:t>
      </w:r>
      <w:r>
        <w:rPr>
          <w:rFonts w:ascii="Verdana" w:hAnsi="Verdana" w:cs="Arial"/>
          <w:bCs/>
          <w:szCs w:val="24"/>
          <w:lang w:val="es-ES" w:eastAsia="es-ES_tradnl"/>
        </w:rPr>
        <w:t xml:space="preserve"> </w:t>
      </w:r>
    </w:p>
    <w:p w14:paraId="1204FE68" w14:textId="77777777" w:rsidR="0075058F" w:rsidRDefault="0075058F" w:rsidP="0075058F">
      <w:pPr>
        <w:widowControl w:val="0"/>
        <w:autoSpaceDE w:val="0"/>
        <w:autoSpaceDN w:val="0"/>
        <w:snapToGrid w:val="0"/>
        <w:spacing w:after="120" w:line="276" w:lineRule="auto"/>
        <w:ind w:firstLine="709"/>
        <w:jc w:val="both"/>
        <w:rPr>
          <w:rFonts w:ascii="Verdana" w:eastAsia="Arial" w:hAnsi="Verdana" w:cs="Arial"/>
          <w:lang w:val="es-ES" w:eastAsia="es-ES" w:bidi="es-ES"/>
        </w:rPr>
      </w:pPr>
      <w:r w:rsidRPr="00D4355C">
        <w:rPr>
          <w:rFonts w:ascii="Verdana" w:hAnsi="Verdana" w:cs="Arial"/>
          <w:bCs/>
          <w:szCs w:val="24"/>
          <w:lang w:val="es-ES" w:eastAsia="es-ES_tradnl"/>
        </w:rPr>
        <w:t>Ahora bien,</w:t>
      </w:r>
      <w:r>
        <w:rPr>
          <w:rFonts w:ascii="Verdana" w:hAnsi="Verdana" w:cs="Arial"/>
          <w:bCs/>
          <w:szCs w:val="24"/>
          <w:lang w:val="es-ES" w:eastAsia="es-ES_tradnl"/>
        </w:rPr>
        <w:t xml:space="preserve"> e</w:t>
      </w:r>
      <w:r w:rsidRPr="00955CBA">
        <w:rPr>
          <w:rFonts w:ascii="Verdana" w:hAnsi="Verdana" w:cs="Arial"/>
          <w:bCs/>
          <w:szCs w:val="24"/>
          <w:lang w:val="es-ES" w:eastAsia="es-ES_tradnl"/>
        </w:rPr>
        <w:t xml:space="preserve">n el caso de </w:t>
      </w:r>
      <w:r>
        <w:rPr>
          <w:rFonts w:ascii="Verdana" w:hAnsi="Verdana" w:cs="Arial"/>
          <w:bCs/>
          <w:szCs w:val="24"/>
          <w:lang w:val="es-ES" w:eastAsia="es-ES_tradnl"/>
        </w:rPr>
        <w:t>determinados sujetos, como las ESAL</w:t>
      </w:r>
      <w:r w:rsidRPr="00955CBA">
        <w:rPr>
          <w:rFonts w:ascii="Verdana" w:hAnsi="Verdana" w:cs="Arial"/>
          <w:bCs/>
          <w:szCs w:val="24"/>
          <w:lang w:val="es-ES" w:eastAsia="es-ES_tradnl"/>
        </w:rPr>
        <w:t xml:space="preserve">, </w:t>
      </w:r>
      <w:r>
        <w:rPr>
          <w:rFonts w:ascii="Verdana" w:hAnsi="Verdana" w:cs="Arial"/>
          <w:bCs/>
          <w:szCs w:val="24"/>
          <w:lang w:val="es-ES" w:eastAsia="es-ES_tradnl"/>
        </w:rPr>
        <w:t xml:space="preserve">que por su naturaleza tienen </w:t>
      </w:r>
      <w:r w:rsidRPr="00955CBA">
        <w:rPr>
          <w:rFonts w:ascii="Verdana" w:hAnsi="Verdana" w:cs="Arial"/>
          <w:bCs/>
          <w:szCs w:val="24"/>
          <w:lang w:val="es-ES" w:eastAsia="es-ES_tradnl"/>
        </w:rPr>
        <w:t>beneficios tributar</w:t>
      </w:r>
      <w:r>
        <w:rPr>
          <w:rFonts w:ascii="Verdana" w:hAnsi="Verdana" w:cs="Arial"/>
          <w:bCs/>
          <w:szCs w:val="24"/>
          <w:lang w:val="es-ES" w:eastAsia="es-ES_tradnl"/>
        </w:rPr>
        <w:t>io</w:t>
      </w:r>
      <w:r w:rsidRPr="00955CBA">
        <w:rPr>
          <w:rFonts w:ascii="Verdana" w:hAnsi="Verdana" w:cs="Arial"/>
          <w:bCs/>
          <w:szCs w:val="24"/>
          <w:lang w:val="es-ES" w:eastAsia="es-ES_tradnl"/>
        </w:rPr>
        <w:t>s reconocid</w:t>
      </w:r>
      <w:r>
        <w:rPr>
          <w:rFonts w:ascii="Verdana" w:hAnsi="Verdana" w:cs="Arial"/>
          <w:bCs/>
          <w:szCs w:val="24"/>
          <w:lang w:val="es-ES" w:eastAsia="es-ES_tradnl"/>
        </w:rPr>
        <w:t>o</w:t>
      </w:r>
      <w:r w:rsidRPr="00955CBA">
        <w:rPr>
          <w:rFonts w:ascii="Verdana" w:hAnsi="Verdana" w:cs="Arial"/>
          <w:bCs/>
          <w:szCs w:val="24"/>
          <w:lang w:val="es-ES" w:eastAsia="es-ES_tradnl"/>
        </w:rPr>
        <w:t>s por la ley</w:t>
      </w:r>
      <w:r>
        <w:rPr>
          <w:rFonts w:ascii="Verdana" w:hAnsi="Verdana" w:cs="Arial"/>
          <w:bCs/>
          <w:szCs w:val="24"/>
          <w:lang w:val="es-ES" w:eastAsia="es-ES_tradnl"/>
        </w:rPr>
        <w:t>, la presentación de su oferta con dichas exenciones no implica que esta situación</w:t>
      </w:r>
      <w:r w:rsidRPr="00955CBA">
        <w:rPr>
          <w:rFonts w:ascii="Verdana" w:hAnsi="Verdana" w:cs="Arial"/>
          <w:bCs/>
          <w:szCs w:val="24"/>
          <w:lang w:val="es-ES" w:eastAsia="es-ES_tradnl"/>
        </w:rPr>
        <w:t>, por sí misma,</w:t>
      </w:r>
      <w:r>
        <w:rPr>
          <w:rFonts w:ascii="Verdana" w:hAnsi="Verdana" w:cs="Arial"/>
          <w:bCs/>
          <w:szCs w:val="24"/>
          <w:lang w:val="es-ES" w:eastAsia="es-ES_tradnl"/>
        </w:rPr>
        <w:t xml:space="preserve"> configure </w:t>
      </w:r>
      <w:r w:rsidRPr="00955CBA">
        <w:rPr>
          <w:rFonts w:ascii="Verdana" w:hAnsi="Verdana" w:cs="Arial"/>
          <w:bCs/>
          <w:szCs w:val="24"/>
          <w:lang w:val="es-ES" w:eastAsia="es-ES_tradnl"/>
        </w:rPr>
        <w:t>una oferta artificialmente baja. Ello obedece a que</w:t>
      </w:r>
      <w:r>
        <w:rPr>
          <w:rFonts w:ascii="Verdana" w:hAnsi="Verdana" w:cs="Arial"/>
          <w:bCs/>
          <w:szCs w:val="24"/>
          <w:lang w:val="es-ES" w:eastAsia="es-ES_tradnl"/>
        </w:rPr>
        <w:t>, en principio,</w:t>
      </w:r>
      <w:r w:rsidRPr="00955CBA">
        <w:rPr>
          <w:rFonts w:ascii="Verdana" w:hAnsi="Verdana" w:cs="Arial"/>
          <w:bCs/>
          <w:szCs w:val="24"/>
          <w:lang w:val="es-ES" w:eastAsia="es-ES_tradnl"/>
        </w:rPr>
        <w:t xml:space="preserve"> el menor valor ofertado encuentra una justificación objetiva y legítima en el régimen tributario aplicable al proponente, el cual forma parte de su estructura real de costos y no de una práctica destinada a distorsionar la competencia o a presentar una oferta económicamente inviable.</w:t>
      </w:r>
      <w:r w:rsidRPr="00BF3A72">
        <w:rPr>
          <w:rFonts w:ascii="Verdana" w:eastAsia="Arial" w:hAnsi="Verdana" w:cs="Arial"/>
          <w:lang w:val="es-ES" w:eastAsia="es-ES" w:bidi="es-ES"/>
        </w:rPr>
        <w:t xml:space="preserve"> </w:t>
      </w:r>
      <w:r>
        <w:rPr>
          <w:rFonts w:ascii="Verdana" w:eastAsia="Arial" w:hAnsi="Verdana" w:cs="Arial"/>
          <w:lang w:val="es-ES" w:eastAsia="es-ES" w:bidi="es-ES"/>
        </w:rPr>
        <w:t>Al respecto, el Consejo de Estado define el precio artificialmente bajo como aquel que no tiene sustento o fundamento en su</w:t>
      </w:r>
      <w:r>
        <w:rPr>
          <w:rFonts w:ascii="Verdana" w:eastAsia="Arial" w:hAnsi="Verdana" w:cs="Arial"/>
          <w:spacing w:val="-45"/>
          <w:lang w:val="es-ES" w:eastAsia="es-ES" w:bidi="es-ES"/>
        </w:rPr>
        <w:t xml:space="preserve"> </w:t>
      </w:r>
      <w:r>
        <w:rPr>
          <w:rFonts w:ascii="Verdana" w:eastAsia="Arial" w:hAnsi="Verdana" w:cs="Arial"/>
          <w:lang w:val="es-ES" w:eastAsia="es-ES" w:bidi="es-ES"/>
        </w:rPr>
        <w:t>estructuración dentro del tráfico comercial:</w:t>
      </w:r>
    </w:p>
    <w:p w14:paraId="64A095D9" w14:textId="77777777" w:rsidR="0075058F" w:rsidRDefault="0075058F" w:rsidP="0075058F">
      <w:pPr>
        <w:widowControl w:val="0"/>
        <w:autoSpaceDE w:val="0"/>
        <w:autoSpaceDN w:val="0"/>
        <w:spacing w:after="0" w:line="276" w:lineRule="auto"/>
        <w:ind w:left="720"/>
        <w:rPr>
          <w:rFonts w:ascii="Verdana" w:eastAsia="Arial" w:hAnsi="Verdana" w:cs="Arial"/>
          <w:lang w:val="es-ES" w:eastAsia="es-ES" w:bidi="es-ES"/>
        </w:rPr>
      </w:pPr>
    </w:p>
    <w:p w14:paraId="7FA19D44" w14:textId="77777777" w:rsidR="0075058F" w:rsidRDefault="0075058F" w:rsidP="0075058F">
      <w:pPr>
        <w:spacing w:after="0" w:line="240" w:lineRule="auto"/>
        <w:ind w:left="709" w:right="709"/>
        <w:jc w:val="both"/>
        <w:rPr>
          <w:rFonts w:ascii="Verdana" w:eastAsia="Aptos" w:hAnsi="Verdana" w:cs="Times New Roman"/>
          <w:kern w:val="2"/>
          <w:sz w:val="20"/>
          <w:szCs w:val="20"/>
          <w14:ligatures w14:val="standardContextual"/>
        </w:rPr>
      </w:pPr>
      <w:r>
        <w:rPr>
          <w:rFonts w:ascii="Verdana" w:eastAsia="Aptos" w:hAnsi="Verdana" w:cs="Times New Roman"/>
          <w:kern w:val="2"/>
          <w:sz w:val="20"/>
          <w:szCs w:val="20"/>
          <w14:ligatures w14:val="standardContextual"/>
        </w:rPr>
        <w:t>“El denominado “precio artificialmente bajo” de que trata la Ley 80, es aquel que resulta artificioso o falso, disimulado, muy reducido o disminuido, pero además, que no encuentre sustentación o fundamento alguno en su estructuración dentro del tráfico comercial en el cual se desarrolla el negocio, es decir, que dicho precio no pueda ser justificado y por lo tanto, la Administración estaría imposibilitada para admitirlo, so pena de incurrir en violación de los principios de transparencia, equilibrio e imparcialidad que gobiernan la actividad contractual y como parte de ella, el procedimiento de la licitación</w:t>
      </w:r>
      <w:r>
        <w:rPr>
          <w:rFonts w:ascii="Verdana" w:eastAsia="Aptos" w:hAnsi="Verdana" w:cs="Times New Roman"/>
          <w:spacing w:val="-8"/>
          <w:kern w:val="2"/>
          <w:sz w:val="20"/>
          <w:szCs w:val="20"/>
          <w14:ligatures w14:val="standardContextual"/>
        </w:rPr>
        <w:t xml:space="preserve"> </w:t>
      </w:r>
      <w:r>
        <w:rPr>
          <w:rFonts w:ascii="Verdana" w:eastAsia="Aptos" w:hAnsi="Verdana" w:cs="Times New Roman"/>
          <w:kern w:val="2"/>
          <w:sz w:val="20"/>
          <w:szCs w:val="20"/>
          <w14:ligatures w14:val="standardContextual"/>
        </w:rPr>
        <w:t>[…]</w:t>
      </w:r>
      <w:r>
        <w:rPr>
          <w:rStyle w:val="Refdenotaalpie"/>
          <w:rFonts w:ascii="Verdana" w:eastAsia="Aptos" w:hAnsi="Verdana" w:cs="Times New Roman"/>
          <w:kern w:val="2"/>
          <w:sz w:val="20"/>
          <w:szCs w:val="20"/>
          <w14:ligatures w14:val="standardContextual"/>
        </w:rPr>
        <w:footnoteReference w:id="8"/>
      </w:r>
      <w:r>
        <w:rPr>
          <w:rFonts w:ascii="Verdana" w:eastAsia="Aptos" w:hAnsi="Verdana" w:cs="Times New Roman"/>
          <w:kern w:val="2"/>
          <w:sz w:val="20"/>
          <w:szCs w:val="20"/>
          <w14:ligatures w14:val="standardContextual"/>
        </w:rPr>
        <w:t>”.</w:t>
      </w:r>
    </w:p>
    <w:p w14:paraId="761B2812" w14:textId="77777777" w:rsidR="0075058F" w:rsidRDefault="0075058F" w:rsidP="0075058F">
      <w:pPr>
        <w:spacing w:after="0" w:line="276" w:lineRule="auto"/>
        <w:ind w:firstLine="709"/>
        <w:jc w:val="both"/>
        <w:rPr>
          <w:rFonts w:ascii="Verdana" w:hAnsi="Verdana" w:cs="Arial"/>
          <w:bCs/>
          <w:szCs w:val="24"/>
          <w:lang w:val="es-ES" w:eastAsia="es-ES_tradnl"/>
        </w:rPr>
      </w:pPr>
    </w:p>
    <w:p w14:paraId="0ADD29D0" w14:textId="77777777" w:rsidR="0075058F" w:rsidRDefault="0075058F" w:rsidP="0075058F">
      <w:pPr>
        <w:widowControl w:val="0"/>
        <w:autoSpaceDE w:val="0"/>
        <w:autoSpaceDN w:val="0"/>
        <w:spacing w:after="120" w:line="276" w:lineRule="auto"/>
        <w:ind w:firstLine="709"/>
        <w:jc w:val="both"/>
        <w:rPr>
          <w:rFonts w:ascii="Verdana" w:hAnsi="Verdana" w:cs="Arial"/>
          <w:bCs/>
          <w:szCs w:val="24"/>
          <w:lang w:val="es-ES" w:eastAsia="es-ES_tradnl"/>
        </w:rPr>
      </w:pPr>
      <w:r w:rsidRPr="00955CBA">
        <w:rPr>
          <w:rFonts w:ascii="Verdana" w:hAnsi="Verdana" w:cs="Arial"/>
          <w:bCs/>
          <w:szCs w:val="24"/>
          <w:lang w:val="es-ES" w:eastAsia="es-ES_tradnl"/>
        </w:rPr>
        <w:t xml:space="preserve">Por consiguiente, la entidad estatal no puede </w:t>
      </w:r>
      <w:r>
        <w:rPr>
          <w:rFonts w:ascii="Verdana" w:hAnsi="Verdana" w:cs="Arial"/>
          <w:bCs/>
          <w:szCs w:val="24"/>
          <w:lang w:val="es-ES" w:eastAsia="es-ES_tradnl"/>
        </w:rPr>
        <w:t>excluir</w:t>
      </w:r>
      <w:r w:rsidRPr="00955CBA">
        <w:rPr>
          <w:rFonts w:ascii="Verdana" w:hAnsi="Verdana" w:cs="Arial"/>
          <w:bCs/>
          <w:szCs w:val="24"/>
          <w:lang w:val="es-ES" w:eastAsia="es-ES_tradnl"/>
        </w:rPr>
        <w:t xml:space="preserve"> una oferta únicamente porque su menor precio se sustente en un tratamiento tributario </w:t>
      </w:r>
      <w:r w:rsidRPr="00955CBA">
        <w:rPr>
          <w:rFonts w:ascii="Verdana" w:hAnsi="Verdana" w:cs="Arial"/>
          <w:bCs/>
          <w:szCs w:val="24"/>
          <w:lang w:val="es-ES" w:eastAsia="es-ES_tradnl"/>
        </w:rPr>
        <w:lastRenderedPageBreak/>
        <w:t>favorable previsto por</w:t>
      </w:r>
      <w:r>
        <w:rPr>
          <w:rFonts w:ascii="Verdana" w:hAnsi="Verdana" w:cs="Arial"/>
          <w:bCs/>
          <w:szCs w:val="24"/>
          <w:lang w:val="es-ES" w:eastAsia="es-ES_tradnl"/>
        </w:rPr>
        <w:t xml:space="preserve"> el ordenamiento jurídico, ya que ello </w:t>
      </w:r>
      <w:r w:rsidRPr="00955CBA">
        <w:rPr>
          <w:rFonts w:ascii="Verdana" w:hAnsi="Verdana" w:cs="Arial"/>
          <w:bCs/>
          <w:szCs w:val="24"/>
          <w:lang w:val="es-ES" w:eastAsia="es-ES_tradnl"/>
        </w:rPr>
        <w:t>implicaría desconocer una condición legalmente reconocida al proponente</w:t>
      </w:r>
      <w:r>
        <w:rPr>
          <w:rFonts w:ascii="Verdana" w:hAnsi="Verdana" w:cs="Arial"/>
          <w:bCs/>
          <w:szCs w:val="24"/>
          <w:lang w:val="es-ES" w:eastAsia="es-ES_tradnl"/>
        </w:rPr>
        <w:t xml:space="preserve"> y establecer</w:t>
      </w:r>
      <w:r w:rsidRPr="00955CBA">
        <w:rPr>
          <w:rFonts w:ascii="Verdana" w:hAnsi="Verdana" w:cs="Arial"/>
          <w:bCs/>
          <w:szCs w:val="24"/>
          <w:lang w:val="es-ES" w:eastAsia="es-ES_tradnl"/>
        </w:rPr>
        <w:t xml:space="preserve"> una restricción no prevista en la ley</w:t>
      </w:r>
      <w:r>
        <w:rPr>
          <w:rFonts w:ascii="Verdana" w:hAnsi="Verdana" w:cs="Arial"/>
          <w:bCs/>
          <w:szCs w:val="24"/>
          <w:lang w:val="es-ES" w:eastAsia="es-ES_tradnl"/>
        </w:rPr>
        <w:t>.</w:t>
      </w:r>
      <w:r w:rsidRPr="00D92963">
        <w:rPr>
          <w:rFonts w:ascii="Verdana" w:hAnsi="Verdana" w:cs="Arial"/>
          <w:szCs w:val="24"/>
          <w:lang w:val="es-ES" w:eastAsia="es-ES_tradnl"/>
        </w:rPr>
        <w:t xml:space="preserve"> </w:t>
      </w:r>
      <w:r w:rsidRPr="000E0BC1">
        <w:rPr>
          <w:rFonts w:ascii="Verdana" w:hAnsi="Verdana" w:cs="Arial"/>
          <w:color w:val="000000" w:themeColor="text1"/>
          <w:lang w:val="es-MX"/>
        </w:rPr>
        <w:t>(Respuesta a interrogante No. 3)</w:t>
      </w:r>
    </w:p>
    <w:p w14:paraId="6199B9FF" w14:textId="77777777" w:rsidR="0075058F" w:rsidRDefault="0075058F" w:rsidP="0075058F">
      <w:pPr>
        <w:spacing w:after="120" w:line="276" w:lineRule="auto"/>
        <w:ind w:firstLine="708"/>
        <w:jc w:val="both"/>
        <w:rPr>
          <w:rFonts w:ascii="Verdana" w:eastAsia="Arial" w:hAnsi="Verdana" w:cs="Arial"/>
          <w:lang w:val="es-ES" w:eastAsia="es-ES" w:bidi="es-ES"/>
        </w:rPr>
      </w:pPr>
      <w:r>
        <w:rPr>
          <w:rFonts w:ascii="Verdana" w:hAnsi="Verdana" w:cs="Arial"/>
          <w:bCs/>
          <w:szCs w:val="24"/>
          <w:lang w:val="es-ES" w:eastAsia="es-ES_tradnl"/>
        </w:rPr>
        <w:t xml:space="preserve">En todo caso, en el evento en que la entidad evidencie un precio que parezca artificialmente bajo, deberá proceder conforme lo establece el </w:t>
      </w:r>
      <w:r>
        <w:rPr>
          <w:rFonts w:ascii="Verdana" w:eastAsia="Arial" w:hAnsi="Verdana" w:cs="Arial"/>
          <w:lang w:val="es-ES" w:eastAsia="es-ES" w:bidi="es-ES"/>
        </w:rPr>
        <w:t>artículo 2.2.1.1.2.2.4. del Decreto 1082 de 2015, en virtud del cual, la entidad debe requerir al oferente para que explique las razones que sustentan el valor ofrecido</w:t>
      </w:r>
      <w:r>
        <w:rPr>
          <w:rStyle w:val="Refdenotaalpie"/>
          <w:rFonts w:ascii="Verdana" w:eastAsia="Arial" w:hAnsi="Verdana" w:cs="Arial"/>
          <w:lang w:val="es-ES" w:eastAsia="es-ES" w:bidi="es-ES"/>
        </w:rPr>
        <w:footnoteReference w:id="9"/>
      </w:r>
      <w:r>
        <w:rPr>
          <w:rFonts w:ascii="Verdana" w:eastAsia="Arial" w:hAnsi="Verdana" w:cs="Arial"/>
          <w:lang w:val="es-ES" w:eastAsia="es-ES" w:bidi="es-ES"/>
        </w:rPr>
        <w:t xml:space="preserve">. Frente a estas explicaciones le corresponde al comité evaluador analizarlas y recomendar si debe rechazar la oferta o continuar con el análisis de </w:t>
      </w:r>
      <w:proofErr w:type="gramStart"/>
      <w:r>
        <w:rPr>
          <w:rFonts w:ascii="Verdana" w:eastAsia="Arial" w:hAnsi="Verdana" w:cs="Arial"/>
          <w:lang w:val="es-ES" w:eastAsia="es-ES" w:bidi="es-ES"/>
        </w:rPr>
        <w:t>la misma</w:t>
      </w:r>
      <w:proofErr w:type="gramEnd"/>
      <w:r>
        <w:rPr>
          <w:rFonts w:ascii="Verdana" w:eastAsia="Arial" w:hAnsi="Verdana" w:cs="Arial"/>
          <w:lang w:val="es-ES" w:eastAsia="es-ES" w:bidi="es-ES"/>
        </w:rPr>
        <w:t xml:space="preserve"> durante la etapa de evaluación. </w:t>
      </w:r>
    </w:p>
    <w:p w14:paraId="618156A2" w14:textId="77777777" w:rsidR="0075058F" w:rsidRDefault="0075058F" w:rsidP="0075058F">
      <w:pPr>
        <w:spacing w:after="120" w:line="276" w:lineRule="auto"/>
        <w:ind w:firstLine="708"/>
        <w:jc w:val="both"/>
        <w:rPr>
          <w:rFonts w:ascii="Verdana" w:eastAsia="Times New Roman" w:hAnsi="Verdana" w:cs="Arial"/>
          <w:lang w:val="es-ES"/>
        </w:rPr>
      </w:pPr>
      <w:r>
        <w:rPr>
          <w:rFonts w:ascii="Verdana" w:eastAsia="Arial" w:hAnsi="Verdana" w:cs="Arial"/>
          <w:lang w:val="es-ES" w:eastAsia="es-ES" w:bidi="es-ES"/>
        </w:rPr>
        <w:t>C</w:t>
      </w:r>
      <w:r>
        <w:rPr>
          <w:rFonts w:ascii="Verdana" w:eastAsia="Times New Roman" w:hAnsi="Verdana" w:cs="Arial"/>
          <w:lang w:val="es-ES"/>
        </w:rPr>
        <w:t xml:space="preserve">on el objetivo de brindar herramientas que orienten a las Entidades Estatales en este asunto, la Agencia Nacional de Contratación Pública – Colombia Compra Eficiente el 16 de diciembre de 2024, actualizó la “Guía para el manejo de ofertas artificialmente bajas en Procesos de Contratación”, en la que se señalan no sólo las posibles causas y consecuencias de ofertas artificialmente bajas, sino que también se relaciona a modo de sugerencia dos herramientas que podrían aplicar las entidades para identificarlas y manejarlas. Estas son: i) la comparación absoluta y; </w:t>
      </w:r>
      <w:proofErr w:type="spellStart"/>
      <w:r>
        <w:rPr>
          <w:rFonts w:ascii="Verdana" w:eastAsia="Times New Roman" w:hAnsi="Verdana" w:cs="Arial"/>
          <w:lang w:val="es-ES"/>
        </w:rPr>
        <w:t>ii</w:t>
      </w:r>
      <w:proofErr w:type="spellEnd"/>
      <w:r>
        <w:rPr>
          <w:rFonts w:ascii="Verdana" w:eastAsia="Times New Roman" w:hAnsi="Verdana" w:cs="Arial"/>
          <w:lang w:val="es-ES"/>
        </w:rPr>
        <w:t xml:space="preserve">) la comparación relativa. </w:t>
      </w:r>
    </w:p>
    <w:p w14:paraId="39E56D61" w14:textId="77777777" w:rsidR="0075058F" w:rsidRDefault="0075058F" w:rsidP="0075058F">
      <w:pPr>
        <w:spacing w:after="120" w:line="276" w:lineRule="auto"/>
        <w:ind w:firstLine="708"/>
        <w:jc w:val="both"/>
        <w:rPr>
          <w:rFonts w:ascii="Verdana" w:eastAsia="Times New Roman" w:hAnsi="Verdana" w:cs="Arial"/>
          <w:lang w:val="es-ES"/>
        </w:rPr>
      </w:pPr>
      <w:r>
        <w:rPr>
          <w:rFonts w:ascii="Verdana" w:eastAsia="Times New Roman" w:hAnsi="Verdana" w:cs="Arial"/>
          <w:lang w:val="es-ES"/>
        </w:rPr>
        <w:t xml:space="preserve">Es importante precisar </w:t>
      </w:r>
      <w:proofErr w:type="gramStart"/>
      <w:r>
        <w:rPr>
          <w:rFonts w:ascii="Verdana" w:eastAsia="Times New Roman" w:hAnsi="Verdana" w:cs="Arial"/>
          <w:lang w:val="es-ES"/>
        </w:rPr>
        <w:t>que</w:t>
      </w:r>
      <w:proofErr w:type="gramEnd"/>
      <w:r>
        <w:rPr>
          <w:rFonts w:ascii="Verdana" w:eastAsia="Times New Roman" w:hAnsi="Verdana" w:cs="Arial"/>
          <w:lang w:val="es-ES"/>
        </w:rPr>
        <w:t xml:space="preserve"> respecto de esas dos herramientas, la Guía señala que se deben aplicar a todas las ofertas a evaluar, sin excepciones. Pero para identificar la oferta con precios artificialmente bajos no siempre se requieren las demás ofertas, como en la comparación absoluta, donde cada oferta se analiza respecto del valor señalado en el estudio del sector, sin incluir las otras ofertas del procedimiento. Por otra parte, en la comparación relativa, que se sugiere utilizarla cuando se reciben 5 o más ofertas.</w:t>
      </w:r>
    </w:p>
    <w:p w14:paraId="31A1E4A0" w14:textId="77777777" w:rsidR="0075058F" w:rsidRDefault="0075058F" w:rsidP="0075058F">
      <w:pPr>
        <w:spacing w:after="120" w:line="276" w:lineRule="auto"/>
        <w:ind w:firstLine="708"/>
        <w:jc w:val="both"/>
        <w:rPr>
          <w:rFonts w:ascii="Verdana" w:eastAsia="Times New Roman" w:hAnsi="Verdana" w:cs="Arial"/>
          <w:lang w:val="es-ES"/>
        </w:rPr>
      </w:pPr>
      <w:r>
        <w:rPr>
          <w:rFonts w:ascii="Verdana" w:hAnsi="Verdana" w:cs="Arial"/>
          <w:color w:val="000000" w:themeColor="text1"/>
          <w:lang w:val="es-ES"/>
        </w:rPr>
        <w:t xml:space="preserve">Debe advertirse que las aclaraciones que están obligados a dar los proponentes según lo dispuesto en el artículo 2.2.1.1.2.2.4 del Decreto 1082 de </w:t>
      </w:r>
      <w:r>
        <w:rPr>
          <w:rFonts w:ascii="Verdana" w:hAnsi="Verdana" w:cs="Arial"/>
          <w:color w:val="000000" w:themeColor="text1"/>
          <w:lang w:val="es-ES"/>
        </w:rPr>
        <w:lastRenderedPageBreak/>
        <w:t xml:space="preserve">2015, deben cumplir con la carga de claridad suficiente para desvirtuar las razones por las que la Entidad Estatal ha estimado que la oferta es artificialmente baja. Esto implica dar cuenta de las circunstancias objetivas debido a las cuales la oferta es sustentable y competitiva. De acuerdo con lo señalado en la mencionada Guía estas circunstancias pueden estar relacionadas, a modo enunciativo, con: </w:t>
      </w:r>
      <w:r>
        <w:rPr>
          <w:rFonts w:ascii="Verdana" w:hAnsi="Verdana" w:cs="Arial"/>
          <w:color w:val="000000" w:themeColor="text1"/>
        </w:rPr>
        <w:t xml:space="preserve">i) técnicas diferenciadas de producción del bien o provisión del servicio; </w:t>
      </w:r>
      <w:proofErr w:type="spellStart"/>
      <w:r>
        <w:rPr>
          <w:rFonts w:ascii="Verdana" w:hAnsi="Verdana" w:cs="Arial"/>
          <w:color w:val="000000" w:themeColor="text1"/>
        </w:rPr>
        <w:t>ii</w:t>
      </w:r>
      <w:proofErr w:type="spellEnd"/>
      <w:r>
        <w:rPr>
          <w:rFonts w:ascii="Verdana" w:hAnsi="Verdana" w:cs="Arial"/>
          <w:color w:val="000000" w:themeColor="text1"/>
        </w:rPr>
        <w:t xml:space="preserve">) cercanía al lugar de provisión o al lugar de abastecimiento de materias primas; </w:t>
      </w:r>
      <w:proofErr w:type="spellStart"/>
      <w:r>
        <w:rPr>
          <w:rFonts w:ascii="Verdana" w:hAnsi="Verdana" w:cs="Arial"/>
          <w:color w:val="000000" w:themeColor="text1"/>
        </w:rPr>
        <w:t>iii</w:t>
      </w:r>
      <w:proofErr w:type="spellEnd"/>
      <w:r>
        <w:rPr>
          <w:rFonts w:ascii="Verdana" w:hAnsi="Verdana" w:cs="Arial"/>
          <w:color w:val="000000" w:themeColor="text1"/>
        </w:rPr>
        <w:t xml:space="preserve">) mejores condiciones contractuales con los proveedores de insumos; y </w:t>
      </w:r>
      <w:proofErr w:type="spellStart"/>
      <w:r>
        <w:rPr>
          <w:rFonts w:ascii="Verdana" w:hAnsi="Verdana" w:cs="Arial"/>
          <w:color w:val="000000" w:themeColor="text1"/>
        </w:rPr>
        <w:t>iv</w:t>
      </w:r>
      <w:proofErr w:type="spellEnd"/>
      <w:r>
        <w:rPr>
          <w:rFonts w:ascii="Verdana" w:hAnsi="Verdana" w:cs="Arial"/>
          <w:color w:val="000000" w:themeColor="text1"/>
        </w:rPr>
        <w:t>) mayor diversificación de productos o servicios relacionados.</w:t>
      </w:r>
      <w:r>
        <w:rPr>
          <w:rFonts w:ascii="Verdana" w:hAnsi="Verdana" w:cs="Arial"/>
          <w:color w:val="000000" w:themeColor="text1"/>
          <w:lang w:val="es-ES"/>
        </w:rPr>
        <w:t xml:space="preserve"> Lo anterior sin perjuicio de que el contratista indique alguna otra razón distinta por la que la oferta es competitiva, incluyendo aquellas relacionadas con implementación de economías de escala o alcance.</w:t>
      </w:r>
    </w:p>
    <w:p w14:paraId="2ACCA56B" w14:textId="77777777" w:rsidR="0075058F" w:rsidRDefault="0075058F" w:rsidP="0075058F">
      <w:pPr>
        <w:spacing w:before="120" w:after="120" w:line="276" w:lineRule="auto"/>
        <w:ind w:firstLine="709"/>
        <w:jc w:val="both"/>
        <w:rPr>
          <w:rFonts w:ascii="Verdana" w:eastAsia="Calibri" w:hAnsi="Verdana" w:cs="Arial"/>
        </w:rPr>
      </w:pPr>
      <w:r w:rsidRPr="00025145">
        <w:rPr>
          <w:rFonts w:ascii="Verdana" w:eastAsia="Calibri" w:hAnsi="Verdana" w:cs="Arial"/>
        </w:rPr>
        <w:t>En ese contexto, la circunstancia de que un proponente sea beneficiario de exenciones tributarias y, como consecuencia de ello, presente un precio inferior al de los demás oferentes, no convierte automáticamente su oferta en artificialmente baja</w:t>
      </w:r>
      <w:r w:rsidRPr="00981995">
        <w:rPr>
          <w:rFonts w:ascii="Verdana" w:eastAsia="Calibri" w:hAnsi="Verdana" w:cs="Arial"/>
        </w:rPr>
        <w:t xml:space="preserve">. La entidad deberá verificar, </w:t>
      </w:r>
      <w:r>
        <w:rPr>
          <w:rFonts w:ascii="Verdana" w:eastAsia="Calibri" w:hAnsi="Verdana" w:cs="Arial"/>
        </w:rPr>
        <w:t xml:space="preserve">conforme se ha señalado, </w:t>
      </w:r>
      <w:r w:rsidRPr="00981995">
        <w:rPr>
          <w:rFonts w:ascii="Verdana" w:eastAsia="Calibri" w:hAnsi="Verdana" w:cs="Arial"/>
        </w:rPr>
        <w:t>si el proponente demuestra que el precio ofertado resulta suficiente para ejecutar adecuadamente el contrato, atendiendo las explicaciones y soportes que correspondan.</w:t>
      </w:r>
    </w:p>
    <w:p w14:paraId="07F2C4CE" w14:textId="77777777" w:rsidR="0075058F" w:rsidRDefault="0075058F" w:rsidP="0075058F">
      <w:pPr>
        <w:widowControl w:val="0"/>
        <w:autoSpaceDE w:val="0"/>
        <w:autoSpaceDN w:val="0"/>
        <w:spacing w:after="120" w:line="276" w:lineRule="auto"/>
        <w:ind w:firstLine="709"/>
        <w:jc w:val="both"/>
        <w:rPr>
          <w:rFonts w:ascii="Verdana" w:eastAsia="Arial" w:hAnsi="Verdana" w:cs="Arial"/>
          <w:lang w:val="es-ES" w:eastAsia="es-ES" w:bidi="es-ES"/>
        </w:rPr>
      </w:pPr>
      <w:r>
        <w:rPr>
          <w:rFonts w:ascii="Verdana" w:eastAsia="Arial" w:hAnsi="Verdana" w:cs="Arial"/>
          <w:lang w:val="es-ES" w:eastAsia="es-ES" w:bidi="es-ES"/>
        </w:rPr>
        <w:t xml:space="preserve">Por otro lado, es pertinente señalar que, conforme lo ha mencionado esta Agencia, las </w:t>
      </w:r>
      <w:r w:rsidRPr="0009047A">
        <w:rPr>
          <w:rFonts w:ascii="Verdana" w:eastAsia="Arial" w:hAnsi="Verdana" w:cs="Arial"/>
          <w:lang w:val="es-ES" w:eastAsia="es-ES" w:bidi="es-ES"/>
        </w:rPr>
        <w:t>ESAL tienen capacidad para contratar bajo las reglas del EGCAP al ser personas jurídicas consideradas legalmente capaces, en los términos del artículo 6 de la Ley 80 de 1993. En armonía con ello, el Decreto 092 de 2017 reguló un régimen especial de contratación; sin embargo, nada obsta para que las ESAL participen, en términos de igualdad con los demás oferentes, en los diferentes procesos contractuales que regula el EGCAP, siempre que cumplan con los requisitos exigidos en cada proceso, donde competirán con los demás proponentes. En este orden de ideas, las ESAL no solo pueden contratar bajo las reglas establecidas en el Decreto 092 de 2017, sino que también pueden intervenir en procesos de selección regidos por las reglas del EGCAP, caso en el cual participan con las mismas reglas aplicables a los demás oferentes.</w:t>
      </w:r>
    </w:p>
    <w:p w14:paraId="0774B887" w14:textId="77777777" w:rsidR="0075058F" w:rsidRDefault="0075058F" w:rsidP="0075058F">
      <w:pPr>
        <w:widowControl w:val="0"/>
        <w:autoSpaceDE w:val="0"/>
        <w:autoSpaceDN w:val="0"/>
        <w:spacing w:after="120" w:line="276" w:lineRule="auto"/>
        <w:ind w:firstLine="709"/>
        <w:jc w:val="both"/>
      </w:pPr>
      <w:r>
        <w:rPr>
          <w:rFonts w:ascii="Verdana" w:eastAsia="Arial" w:hAnsi="Verdana" w:cs="Arial"/>
          <w:lang w:val="es-ES" w:eastAsia="es-ES" w:bidi="es-ES"/>
        </w:rPr>
        <w:t xml:space="preserve">En este sentido, </w:t>
      </w:r>
      <w:r w:rsidRPr="00E44733">
        <w:rPr>
          <w:rFonts w:ascii="Verdana" w:eastAsia="Arial" w:hAnsi="Verdana" w:cs="Arial"/>
          <w:lang w:val="es-ES" w:eastAsia="es-ES" w:bidi="es-ES"/>
        </w:rPr>
        <w:t xml:space="preserve">las fundaciones y asociaciones sin ánimo de lucro </w:t>
      </w:r>
      <w:r>
        <w:rPr>
          <w:rFonts w:ascii="Verdana" w:eastAsia="Arial" w:hAnsi="Verdana" w:cs="Arial"/>
          <w:lang w:val="es-ES" w:eastAsia="es-ES" w:bidi="es-ES"/>
        </w:rPr>
        <w:t>-</w:t>
      </w:r>
      <w:r w:rsidRPr="00E44733">
        <w:rPr>
          <w:rFonts w:ascii="Verdana" w:eastAsia="Arial" w:hAnsi="Verdana" w:cs="Arial"/>
          <w:lang w:val="es-ES" w:eastAsia="es-ES" w:bidi="es-ES"/>
        </w:rPr>
        <w:t>ESAL</w:t>
      </w:r>
      <w:r>
        <w:rPr>
          <w:rFonts w:ascii="Verdana" w:eastAsia="Arial" w:hAnsi="Verdana" w:cs="Arial"/>
          <w:lang w:val="es-ES" w:eastAsia="es-ES" w:bidi="es-ES"/>
        </w:rPr>
        <w:t>-</w:t>
      </w:r>
      <w:r w:rsidRPr="00E44733">
        <w:rPr>
          <w:rFonts w:ascii="Verdana" w:eastAsia="Arial" w:hAnsi="Verdana" w:cs="Arial"/>
          <w:lang w:val="es-ES" w:eastAsia="es-ES" w:bidi="es-ES"/>
        </w:rPr>
        <w:t xml:space="preserve"> pueden participar en procesos</w:t>
      </w:r>
      <w:r>
        <w:rPr>
          <w:rFonts w:ascii="Verdana" w:eastAsia="Arial" w:hAnsi="Verdana" w:cs="Arial"/>
          <w:lang w:val="es-ES" w:eastAsia="es-ES" w:bidi="es-ES"/>
        </w:rPr>
        <w:t xml:space="preserve"> de contratación</w:t>
      </w:r>
      <w:r w:rsidRPr="00E44733">
        <w:rPr>
          <w:rFonts w:ascii="Verdana" w:eastAsia="Arial" w:hAnsi="Verdana" w:cs="Arial"/>
          <w:lang w:val="es-ES" w:eastAsia="es-ES" w:bidi="es-ES"/>
        </w:rPr>
        <w:t xml:space="preserve">, ya sea de forma individual o bajo modalidades de consorcio o unión temporal, ya que no se encuentran inhabilitadas y dicha actividad no está prohibida en el ordenamiento jurídico </w:t>
      </w:r>
      <w:r w:rsidRPr="00E44733">
        <w:rPr>
          <w:rFonts w:ascii="Verdana" w:eastAsia="Arial" w:hAnsi="Verdana" w:cs="Arial"/>
          <w:lang w:val="es-ES" w:eastAsia="es-ES" w:bidi="es-ES"/>
        </w:rPr>
        <w:lastRenderedPageBreak/>
        <w:t>colombiano</w:t>
      </w:r>
      <w:r>
        <w:rPr>
          <w:rFonts w:ascii="Verdana" w:eastAsia="Arial" w:hAnsi="Verdana" w:cs="Arial"/>
          <w:lang w:val="es-ES" w:eastAsia="es-ES" w:bidi="es-ES"/>
        </w:rPr>
        <w:t xml:space="preserve">. </w:t>
      </w:r>
      <w:r w:rsidRPr="00D62FCB">
        <w:rPr>
          <w:rFonts w:ascii="Verdana" w:eastAsia="Arial" w:hAnsi="Verdana" w:cs="Arial"/>
          <w:lang w:val="es-ES" w:eastAsia="es-ES" w:bidi="es-ES"/>
        </w:rPr>
        <w:t xml:space="preserve">La conformación de estas figuras asociativas responde a la facultad que tienen los particulares de concurrir conjuntamente a los procesos de </w:t>
      </w:r>
      <w:r>
        <w:rPr>
          <w:rFonts w:ascii="Verdana" w:eastAsia="Arial" w:hAnsi="Verdana" w:cs="Arial"/>
          <w:lang w:val="es-ES" w:eastAsia="es-ES" w:bidi="es-ES"/>
        </w:rPr>
        <w:t xml:space="preserve">contratación en los términos establecidos en el artículo 7 de la Ley 80 de 1993. </w:t>
      </w:r>
    </w:p>
    <w:p w14:paraId="23D7D488" w14:textId="77777777" w:rsidR="0075058F" w:rsidRDefault="0075058F" w:rsidP="0075058F">
      <w:pPr>
        <w:widowControl w:val="0"/>
        <w:autoSpaceDE w:val="0"/>
        <w:autoSpaceDN w:val="0"/>
        <w:spacing w:after="120" w:line="276" w:lineRule="auto"/>
        <w:ind w:firstLine="709"/>
        <w:jc w:val="both"/>
        <w:rPr>
          <w:rFonts w:ascii="Verdana" w:eastAsia="Arial" w:hAnsi="Verdana" w:cs="Arial"/>
          <w:lang w:eastAsia="es-ES" w:bidi="es-ES"/>
        </w:rPr>
      </w:pPr>
      <w:r>
        <w:rPr>
          <w:rFonts w:ascii="Verdana" w:eastAsia="Arial" w:hAnsi="Verdana" w:cs="Arial"/>
          <w:lang w:val="es-ES" w:eastAsia="es-ES" w:bidi="es-ES"/>
        </w:rPr>
        <w:t xml:space="preserve">Al respecto, se precisa que </w:t>
      </w:r>
      <w:r w:rsidRPr="00D62FCB">
        <w:rPr>
          <w:rFonts w:ascii="Verdana" w:eastAsia="Arial" w:hAnsi="Verdana" w:cs="Arial"/>
          <w:lang w:val="es-ES" w:eastAsia="es-ES" w:bidi="es-ES"/>
        </w:rPr>
        <w:t>la aplicación y gestión del régimen tributario que corresponda a</w:t>
      </w:r>
      <w:r>
        <w:rPr>
          <w:rFonts w:ascii="Verdana" w:eastAsia="Arial" w:hAnsi="Verdana" w:cs="Arial"/>
          <w:lang w:val="es-ES" w:eastAsia="es-ES" w:bidi="es-ES"/>
        </w:rPr>
        <w:t>l</w:t>
      </w:r>
      <w:r w:rsidRPr="00D62FCB">
        <w:rPr>
          <w:rFonts w:ascii="Verdana" w:eastAsia="Arial" w:hAnsi="Verdana" w:cs="Arial"/>
          <w:lang w:val="es-ES" w:eastAsia="es-ES" w:bidi="es-ES"/>
        </w:rPr>
        <w:t xml:space="preserve"> </w:t>
      </w:r>
      <w:r>
        <w:rPr>
          <w:rFonts w:ascii="Verdana" w:eastAsia="Arial" w:hAnsi="Verdana" w:cs="Arial"/>
          <w:lang w:val="es-ES" w:eastAsia="es-ES" w:bidi="es-ES"/>
        </w:rPr>
        <w:t xml:space="preserve">proponente </w:t>
      </w:r>
      <w:r w:rsidRPr="00D62FCB">
        <w:rPr>
          <w:rFonts w:ascii="Verdana" w:eastAsia="Arial" w:hAnsi="Verdana" w:cs="Arial"/>
          <w:lang w:val="es-ES" w:eastAsia="es-ES" w:bidi="es-ES"/>
        </w:rPr>
        <w:t>constituye un asunto que compete exclusivamente a</w:t>
      </w:r>
      <w:r>
        <w:rPr>
          <w:rFonts w:ascii="Verdana" w:eastAsia="Arial" w:hAnsi="Verdana" w:cs="Arial"/>
          <w:lang w:val="es-ES" w:eastAsia="es-ES" w:bidi="es-ES"/>
        </w:rPr>
        <w:t xml:space="preserve"> este</w:t>
      </w:r>
      <w:r w:rsidRPr="00D62FCB">
        <w:rPr>
          <w:rFonts w:ascii="Verdana" w:eastAsia="Arial" w:hAnsi="Verdana" w:cs="Arial"/>
          <w:lang w:val="es-ES" w:eastAsia="es-ES" w:bidi="es-ES"/>
        </w:rPr>
        <w:t>,</w:t>
      </w:r>
      <w:r>
        <w:rPr>
          <w:rFonts w:ascii="Verdana" w:eastAsia="Arial" w:hAnsi="Verdana" w:cs="Arial"/>
          <w:lang w:val="es-ES" w:eastAsia="es-ES" w:bidi="es-ES"/>
        </w:rPr>
        <w:t xml:space="preserve"> y</w:t>
      </w:r>
      <w:r w:rsidRPr="00D62FCB">
        <w:rPr>
          <w:rFonts w:ascii="Verdana" w:eastAsia="Arial" w:hAnsi="Verdana" w:cs="Arial"/>
          <w:lang w:val="es-ES" w:eastAsia="es-ES" w:bidi="es-ES"/>
        </w:rPr>
        <w:t xml:space="preserve"> en su caso, a las autoridades tributarias </w:t>
      </w:r>
      <w:r>
        <w:rPr>
          <w:rFonts w:ascii="Verdana" w:eastAsia="Arial" w:hAnsi="Verdana" w:cs="Arial"/>
          <w:lang w:val="es-ES" w:eastAsia="es-ES" w:bidi="es-ES"/>
        </w:rPr>
        <w:t>competentes. En consecuencia, l</w:t>
      </w:r>
      <w:r w:rsidRPr="00D62FCB">
        <w:rPr>
          <w:rFonts w:ascii="Verdana" w:eastAsia="Arial" w:hAnsi="Verdana" w:cs="Arial"/>
          <w:lang w:val="es-ES" w:eastAsia="es-ES" w:bidi="es-ES"/>
        </w:rPr>
        <w:t xml:space="preserve">a entidad estatal contratante no tiene competencia para determinar, modificar o desconocer el régimen </w:t>
      </w:r>
      <w:r>
        <w:rPr>
          <w:rFonts w:ascii="Verdana" w:eastAsia="Arial" w:hAnsi="Verdana" w:cs="Arial"/>
          <w:lang w:val="es-ES" w:eastAsia="es-ES" w:bidi="es-ES"/>
        </w:rPr>
        <w:t>tributario</w:t>
      </w:r>
      <w:r w:rsidRPr="00D62FCB">
        <w:rPr>
          <w:rFonts w:ascii="Verdana" w:eastAsia="Arial" w:hAnsi="Verdana" w:cs="Arial"/>
          <w:lang w:val="es-ES" w:eastAsia="es-ES" w:bidi="es-ES"/>
        </w:rPr>
        <w:t xml:space="preserve"> aplicable a los oferentes, ni para exigir condiciones relacionadas con la forma en que estos administran sus obligaciones o beneficios tributarios.</w:t>
      </w:r>
      <w:r>
        <w:rPr>
          <w:rFonts w:ascii="Verdana" w:eastAsia="Arial" w:hAnsi="Verdana" w:cs="Arial"/>
          <w:lang w:eastAsia="es-ES" w:bidi="es-ES"/>
        </w:rPr>
        <w:t xml:space="preserve"> </w:t>
      </w:r>
    </w:p>
    <w:p w14:paraId="2A0135CE" w14:textId="77777777" w:rsidR="0075058F" w:rsidRDefault="0075058F" w:rsidP="0075058F">
      <w:pPr>
        <w:widowControl w:val="0"/>
        <w:autoSpaceDE w:val="0"/>
        <w:autoSpaceDN w:val="0"/>
        <w:spacing w:after="120" w:line="276" w:lineRule="auto"/>
        <w:ind w:firstLine="709"/>
        <w:jc w:val="both"/>
        <w:rPr>
          <w:rFonts w:ascii="Verdana" w:hAnsi="Verdana" w:cs="Arial"/>
          <w:bCs/>
          <w:szCs w:val="24"/>
          <w:lang w:val="es-ES" w:eastAsia="es-ES_tradnl"/>
        </w:rPr>
      </w:pPr>
      <w:r w:rsidRPr="00752354">
        <w:rPr>
          <w:rFonts w:ascii="Verdana" w:hAnsi="Verdana" w:cs="Arial"/>
          <w:bCs/>
          <w:szCs w:val="24"/>
          <w:lang w:val="es-ES" w:eastAsia="es-ES_tradnl"/>
        </w:rPr>
        <w:t>En ese sentido, la sola participación de una entidad sin ánimo de lucro –ESAL– o de una entidad beneficiaria de un régimen tributario especial, ya sea de manera individual o como integrante de un consorcio o unión temporal, no permite concluir que exista un uso abusivo de la forma asociativa</w:t>
      </w:r>
      <w:r>
        <w:rPr>
          <w:rFonts w:ascii="Verdana" w:hAnsi="Verdana" w:cs="Arial"/>
          <w:bCs/>
          <w:szCs w:val="24"/>
          <w:lang w:val="es-ES" w:eastAsia="es-ES_tradnl"/>
        </w:rPr>
        <w:t xml:space="preserve"> o </w:t>
      </w:r>
      <w:r w:rsidRPr="00752354">
        <w:rPr>
          <w:rFonts w:ascii="Verdana" w:hAnsi="Verdana" w:cs="Arial"/>
          <w:bCs/>
          <w:szCs w:val="24"/>
          <w:lang w:val="es-ES" w:eastAsia="es-ES_tradnl"/>
        </w:rPr>
        <w:t xml:space="preserve">una práctica contraria a la libre competencia. </w:t>
      </w:r>
      <w:r w:rsidRPr="00922442">
        <w:rPr>
          <w:rFonts w:ascii="Verdana" w:eastAsia="Arial" w:hAnsi="Verdana" w:cs="Arial"/>
          <w:lang w:eastAsia="es-ES" w:bidi="es-ES"/>
        </w:rPr>
        <w:t xml:space="preserve">Distinto sería que, en un caso concreto, </w:t>
      </w:r>
      <w:r>
        <w:rPr>
          <w:rFonts w:ascii="Verdana" w:eastAsia="Arial" w:hAnsi="Verdana" w:cs="Arial"/>
          <w:lang w:eastAsia="es-ES" w:bidi="es-ES"/>
        </w:rPr>
        <w:t xml:space="preserve">se </w:t>
      </w:r>
      <w:r w:rsidRPr="00922442">
        <w:rPr>
          <w:rFonts w:ascii="Verdana" w:eastAsia="Arial" w:hAnsi="Verdana" w:cs="Arial"/>
          <w:lang w:eastAsia="es-ES" w:bidi="es-ES"/>
        </w:rPr>
        <w:t>evidenci</w:t>
      </w:r>
      <w:r>
        <w:rPr>
          <w:rFonts w:ascii="Verdana" w:eastAsia="Arial" w:hAnsi="Verdana" w:cs="Arial"/>
          <w:lang w:eastAsia="es-ES" w:bidi="es-ES"/>
        </w:rPr>
        <w:t>e</w:t>
      </w:r>
      <w:r w:rsidRPr="00922442">
        <w:rPr>
          <w:rFonts w:ascii="Verdana" w:eastAsia="Arial" w:hAnsi="Verdana" w:cs="Arial"/>
          <w:lang w:eastAsia="es-ES" w:bidi="es-ES"/>
        </w:rPr>
        <w:t xml:space="preserve"> la existencia de fraude, evasión tributaria o prácticas restrictivas de la competencia</w:t>
      </w:r>
      <w:r>
        <w:rPr>
          <w:rFonts w:ascii="Verdana" w:eastAsia="Arial" w:hAnsi="Verdana" w:cs="Arial"/>
          <w:lang w:eastAsia="es-ES" w:bidi="es-ES"/>
        </w:rPr>
        <w:t xml:space="preserve"> relacionadas con estas entidades, caso en el cual </w:t>
      </w:r>
      <w:r w:rsidRPr="007604E0">
        <w:rPr>
          <w:rFonts w:ascii="Verdana" w:eastAsia="Arial" w:hAnsi="Verdana" w:cs="Arial"/>
          <w:lang w:eastAsia="es-ES" w:bidi="es-ES"/>
        </w:rPr>
        <w:t>la determinación de dichas conductas corresponde</w:t>
      </w:r>
      <w:r>
        <w:rPr>
          <w:rFonts w:ascii="Verdana" w:eastAsia="Arial" w:hAnsi="Verdana" w:cs="Arial"/>
          <w:lang w:eastAsia="es-ES" w:bidi="es-ES"/>
        </w:rPr>
        <w:t>rá</w:t>
      </w:r>
      <w:r w:rsidRPr="007604E0">
        <w:rPr>
          <w:rFonts w:ascii="Verdana" w:eastAsia="Arial" w:hAnsi="Verdana" w:cs="Arial"/>
          <w:lang w:eastAsia="es-ES" w:bidi="es-ES"/>
        </w:rPr>
        <w:t xml:space="preserve"> a las autoridades </w:t>
      </w:r>
      <w:r>
        <w:rPr>
          <w:rFonts w:ascii="Verdana" w:eastAsia="Arial" w:hAnsi="Verdana" w:cs="Arial"/>
          <w:lang w:eastAsia="es-ES" w:bidi="es-ES"/>
        </w:rPr>
        <w:t>competentes</w:t>
      </w:r>
      <w:r w:rsidRPr="007604E0">
        <w:rPr>
          <w:rFonts w:ascii="Verdana" w:eastAsia="Arial" w:hAnsi="Verdana" w:cs="Arial"/>
          <w:lang w:eastAsia="es-ES" w:bidi="es-ES"/>
        </w:rPr>
        <w:t>.</w:t>
      </w:r>
      <w:r w:rsidRPr="00CA2A1D">
        <w:rPr>
          <w:rFonts w:ascii="Verdana" w:hAnsi="Verdana" w:cs="Arial"/>
          <w:bCs/>
          <w:szCs w:val="24"/>
          <w:lang w:val="es-ES" w:eastAsia="es-ES_tradnl"/>
        </w:rPr>
        <w:t xml:space="preserve"> </w:t>
      </w:r>
      <w:r>
        <w:rPr>
          <w:rFonts w:ascii="Verdana" w:hAnsi="Verdana" w:cs="Arial"/>
          <w:bCs/>
          <w:szCs w:val="24"/>
          <w:lang w:val="es-ES" w:eastAsia="es-ES_tradnl"/>
        </w:rPr>
        <w:t>De esta manera</w:t>
      </w:r>
      <w:r w:rsidRPr="00752354">
        <w:rPr>
          <w:rFonts w:ascii="Verdana" w:hAnsi="Verdana" w:cs="Arial"/>
          <w:bCs/>
          <w:szCs w:val="24"/>
          <w:lang w:val="es-ES" w:eastAsia="es-ES_tradnl"/>
        </w:rPr>
        <w:t>, si durante el desarrollo de un proceso de contratación se evidencian indicios serios de irregularidades relacionadas con la aplicación indebida de un beneficio tributario, la entidad estatal deberá poner dicha situación en conocimiento de la autoridad tributaria o de la autoridad competente, para que esta adelante las actuaciones que correspondan dentro de su ámbito funcio</w:t>
      </w:r>
      <w:r>
        <w:rPr>
          <w:rFonts w:ascii="Verdana" w:hAnsi="Verdana" w:cs="Arial"/>
          <w:bCs/>
          <w:szCs w:val="24"/>
          <w:lang w:val="es-ES" w:eastAsia="es-ES_tradnl"/>
        </w:rPr>
        <w:t xml:space="preserve">nal. </w:t>
      </w:r>
    </w:p>
    <w:p w14:paraId="0B79F5DB" w14:textId="77777777" w:rsidR="0075058F" w:rsidRPr="00691737" w:rsidRDefault="0075058F" w:rsidP="0075058F">
      <w:pPr>
        <w:widowControl w:val="0"/>
        <w:autoSpaceDE w:val="0"/>
        <w:autoSpaceDN w:val="0"/>
        <w:spacing w:after="120" w:line="276" w:lineRule="auto"/>
        <w:ind w:firstLine="709"/>
        <w:jc w:val="both"/>
        <w:rPr>
          <w:rFonts w:ascii="Verdana" w:hAnsi="Verdana" w:cs="Arial"/>
          <w:bCs/>
          <w:szCs w:val="24"/>
          <w:lang w:val="es-ES" w:eastAsia="es-ES_tradnl"/>
        </w:rPr>
      </w:pPr>
      <w:r w:rsidRPr="000E0BC1">
        <w:rPr>
          <w:rFonts w:ascii="Verdana" w:hAnsi="Verdana" w:cs="Arial"/>
          <w:color w:val="000000" w:themeColor="text1"/>
        </w:rPr>
        <w:t xml:space="preserve">Para estos efectos, la investigación y sanción de las prácticas restrictivas de la competencia corresponde a la Superintendencia de Industria y Comercio, conforme a la Ley 1340 de 2009, sin perjuicio de las competencias de la administración tributaria respecto de la aplicación de los beneficios fiscales y de las autoridades penales frente a los acuerdos restrictivos en los procesos de contratación pública. </w:t>
      </w:r>
      <w:r w:rsidRPr="000E0BC1">
        <w:rPr>
          <w:rFonts w:ascii="Verdana" w:hAnsi="Verdana" w:cs="Arial"/>
          <w:color w:val="000000" w:themeColor="text1"/>
          <w:lang w:val="es-MX"/>
        </w:rPr>
        <w:t>(Respuesta a interrogante No. 4)</w:t>
      </w:r>
    </w:p>
    <w:p w14:paraId="60D99A1D" w14:textId="77777777" w:rsidR="0075058F" w:rsidRPr="001C4083" w:rsidRDefault="0075058F" w:rsidP="0075058F">
      <w:pPr>
        <w:widowControl w:val="0"/>
        <w:autoSpaceDE w:val="0"/>
        <w:autoSpaceDN w:val="0"/>
        <w:spacing w:after="120" w:line="276" w:lineRule="auto"/>
        <w:ind w:firstLine="709"/>
        <w:jc w:val="both"/>
        <w:rPr>
          <w:rFonts w:ascii="Verdana" w:hAnsi="Verdana" w:cs="Arial"/>
          <w:bCs/>
          <w:szCs w:val="24"/>
          <w:lang w:val="es-ES" w:eastAsia="es-ES_tradnl"/>
        </w:rPr>
      </w:pPr>
      <w:r>
        <w:rPr>
          <w:rFonts w:ascii="Verdana" w:hAnsi="Verdana" w:cs="Arial"/>
          <w:bCs/>
          <w:szCs w:val="24"/>
          <w:lang w:val="es-ES" w:eastAsia="es-ES_tradnl"/>
        </w:rPr>
        <w:t>Por último, es importante señalar que</w:t>
      </w:r>
      <w:r w:rsidRPr="00563EA1">
        <w:rPr>
          <w:rFonts w:ascii="Verdana" w:hAnsi="Verdana" w:cs="Arial"/>
          <w:bCs/>
          <w:szCs w:val="24"/>
          <w:lang w:val="es-ES" w:eastAsia="es-ES_tradnl"/>
        </w:rPr>
        <w:t xml:space="preserve"> </w:t>
      </w:r>
      <w:r>
        <w:rPr>
          <w:rFonts w:ascii="Verdana" w:hAnsi="Verdana" w:cs="Arial"/>
          <w:bCs/>
          <w:szCs w:val="24"/>
          <w:lang w:val="es-ES" w:eastAsia="es-ES_tradnl"/>
        </w:rPr>
        <w:t xml:space="preserve">esta Agencia no ha emitido </w:t>
      </w:r>
      <w:r w:rsidRPr="00563EA1">
        <w:rPr>
          <w:rFonts w:ascii="Verdana" w:hAnsi="Verdana" w:cs="Arial"/>
          <w:bCs/>
          <w:szCs w:val="24"/>
          <w:lang w:val="es-ES" w:eastAsia="es-ES_tradnl"/>
        </w:rPr>
        <w:t>lineamiento</w:t>
      </w:r>
      <w:r>
        <w:rPr>
          <w:rFonts w:ascii="Verdana" w:hAnsi="Verdana" w:cs="Arial"/>
          <w:bCs/>
          <w:szCs w:val="24"/>
          <w:lang w:val="es-ES" w:eastAsia="es-ES_tradnl"/>
        </w:rPr>
        <w:t>s</w:t>
      </w:r>
      <w:r w:rsidRPr="00563EA1">
        <w:rPr>
          <w:rFonts w:ascii="Verdana" w:hAnsi="Verdana" w:cs="Arial"/>
          <w:bCs/>
          <w:szCs w:val="24"/>
          <w:lang w:val="es-ES" w:eastAsia="es-ES_tradnl"/>
        </w:rPr>
        <w:t xml:space="preserve"> que recomiende a las entidades estatales </w:t>
      </w:r>
      <w:r>
        <w:rPr>
          <w:rFonts w:ascii="Verdana" w:hAnsi="Verdana" w:cs="Arial"/>
          <w:bCs/>
          <w:szCs w:val="24"/>
          <w:lang w:val="es-ES" w:eastAsia="es-ES_tradnl"/>
        </w:rPr>
        <w:t>“</w:t>
      </w:r>
      <w:r w:rsidRPr="00563EA1">
        <w:rPr>
          <w:rFonts w:ascii="Verdana" w:hAnsi="Verdana" w:cs="Arial"/>
          <w:bCs/>
          <w:szCs w:val="24"/>
          <w:lang w:val="es-ES" w:eastAsia="es-ES_tradnl"/>
        </w:rPr>
        <w:t>neutralizar</w:t>
      </w:r>
      <w:r>
        <w:rPr>
          <w:rFonts w:ascii="Verdana" w:hAnsi="Verdana" w:cs="Arial"/>
          <w:bCs/>
          <w:szCs w:val="24"/>
          <w:lang w:val="es-ES" w:eastAsia="es-ES_tradnl"/>
        </w:rPr>
        <w:t xml:space="preserve"> las asimetrías tributarias”</w:t>
      </w:r>
      <w:r w:rsidRPr="00563EA1">
        <w:rPr>
          <w:rFonts w:ascii="Verdana" w:hAnsi="Verdana" w:cs="Arial"/>
          <w:bCs/>
          <w:szCs w:val="24"/>
          <w:lang w:val="es-ES" w:eastAsia="es-ES_tradnl"/>
        </w:rPr>
        <w:t xml:space="preserve"> mediante mecanismos de evaluación económica</w:t>
      </w:r>
      <w:r>
        <w:rPr>
          <w:rFonts w:ascii="Verdana" w:hAnsi="Verdana" w:cs="Arial"/>
          <w:bCs/>
          <w:szCs w:val="24"/>
          <w:lang w:val="es-ES" w:eastAsia="es-ES_tradnl"/>
        </w:rPr>
        <w:t>. Debe resaltarse que el</w:t>
      </w:r>
      <w:r w:rsidRPr="001C4083">
        <w:rPr>
          <w:rFonts w:ascii="Verdana" w:hAnsi="Verdana" w:cs="Arial"/>
          <w:bCs/>
          <w:szCs w:val="24"/>
          <w:lang w:val="es-ES" w:eastAsia="es-ES_tradnl"/>
        </w:rPr>
        <w:t xml:space="preserve"> pliego de condiciones constituye el instrumento mediante el cual la entidad estatal define las reglas del proceso de selección, los requisitos habilitantes y los criterios de evaluación de las ofertas</w:t>
      </w:r>
      <w:r>
        <w:rPr>
          <w:rFonts w:ascii="Verdana" w:hAnsi="Verdana" w:cs="Arial"/>
          <w:bCs/>
          <w:szCs w:val="24"/>
          <w:lang w:val="es-ES" w:eastAsia="es-ES_tradnl"/>
        </w:rPr>
        <w:t xml:space="preserve">, pero </w:t>
      </w:r>
      <w:r w:rsidRPr="001C4083">
        <w:rPr>
          <w:rFonts w:ascii="Verdana" w:hAnsi="Verdana" w:cs="Arial"/>
          <w:bCs/>
          <w:szCs w:val="24"/>
          <w:lang w:val="es-ES" w:eastAsia="es-ES_tradnl"/>
        </w:rPr>
        <w:t xml:space="preserve">no puede ser </w:t>
      </w:r>
      <w:r w:rsidRPr="001C4083">
        <w:rPr>
          <w:rFonts w:ascii="Verdana" w:hAnsi="Verdana" w:cs="Arial"/>
          <w:bCs/>
          <w:szCs w:val="24"/>
          <w:lang w:val="es-ES" w:eastAsia="es-ES_tradnl"/>
        </w:rPr>
        <w:lastRenderedPageBreak/>
        <w:t xml:space="preserve">utilizado como una herramienta para modificar, corregir o </w:t>
      </w:r>
      <w:r>
        <w:rPr>
          <w:rFonts w:ascii="Verdana" w:hAnsi="Verdana" w:cs="Arial"/>
          <w:bCs/>
          <w:szCs w:val="24"/>
          <w:lang w:val="es-ES" w:eastAsia="es-ES_tradnl"/>
        </w:rPr>
        <w:t>desconocer</w:t>
      </w:r>
      <w:r w:rsidRPr="001C4083">
        <w:rPr>
          <w:rFonts w:ascii="Verdana" w:hAnsi="Verdana" w:cs="Arial"/>
          <w:bCs/>
          <w:szCs w:val="24"/>
          <w:lang w:val="es-ES" w:eastAsia="es-ES_tradnl"/>
        </w:rPr>
        <w:t xml:space="preserve"> los efectos de un régimen tributario establecido por el legislador. Las entidades estatales son destinatarias de las normas tributarias y, en consecuencia, deben aplicarlas y respetarlas en los términos previstos por el ordenamiento jurídico.</w:t>
      </w:r>
      <w:r>
        <w:rPr>
          <w:rFonts w:ascii="Verdana" w:hAnsi="Verdana" w:cs="Arial"/>
          <w:bCs/>
          <w:szCs w:val="24"/>
          <w:lang w:val="es-ES" w:eastAsia="es-ES_tradnl"/>
        </w:rPr>
        <w:t xml:space="preserve"> </w:t>
      </w:r>
      <w:r w:rsidRPr="001C4083">
        <w:rPr>
          <w:rFonts w:ascii="Verdana" w:hAnsi="Verdana" w:cs="Arial"/>
          <w:bCs/>
          <w:szCs w:val="24"/>
          <w:lang w:val="es-ES" w:eastAsia="es-ES_tradnl"/>
        </w:rPr>
        <w:t>Por tanto, cuando determinados proponentes</w:t>
      </w:r>
      <w:r>
        <w:rPr>
          <w:rFonts w:ascii="Verdana" w:hAnsi="Verdana" w:cs="Arial"/>
          <w:bCs/>
          <w:szCs w:val="24"/>
          <w:lang w:val="es-ES" w:eastAsia="es-ES_tradnl"/>
        </w:rPr>
        <w:t xml:space="preserve"> </w:t>
      </w:r>
      <w:r w:rsidRPr="001C4083">
        <w:rPr>
          <w:rFonts w:ascii="Verdana" w:hAnsi="Verdana" w:cs="Arial"/>
          <w:bCs/>
          <w:szCs w:val="24"/>
          <w:lang w:val="es-ES" w:eastAsia="es-ES_tradnl"/>
        </w:rPr>
        <w:t xml:space="preserve">gozan de beneficios, exenciones o tratamientos tributarios especiales reconocidos por la ley, la entidad contratante no puede desconocer tales efectos mediante </w:t>
      </w:r>
      <w:r>
        <w:rPr>
          <w:rFonts w:ascii="Verdana" w:hAnsi="Verdana" w:cs="Arial"/>
          <w:bCs/>
          <w:szCs w:val="24"/>
          <w:lang w:val="es-ES" w:eastAsia="es-ES_tradnl"/>
        </w:rPr>
        <w:t xml:space="preserve">reglas incorporadas en los pliegos de condiciones. </w:t>
      </w:r>
      <w:r w:rsidRPr="000E0BC1">
        <w:rPr>
          <w:rFonts w:ascii="Verdana" w:hAnsi="Verdana" w:cs="Arial"/>
          <w:color w:val="000000" w:themeColor="text1"/>
          <w:lang w:val="es-MX"/>
        </w:rPr>
        <w:t>(Respuesta a interrogante No. 5)</w:t>
      </w:r>
    </w:p>
    <w:p w14:paraId="16FA3649" w14:textId="77777777" w:rsidR="0075058F" w:rsidRDefault="0075058F" w:rsidP="0075058F">
      <w:pPr>
        <w:spacing w:after="120" w:line="276" w:lineRule="auto"/>
        <w:jc w:val="both"/>
        <w:rPr>
          <w:rFonts w:ascii="Verdana" w:eastAsia="Calibri" w:hAnsi="Verdana" w:cs="Arial"/>
        </w:rPr>
      </w:pPr>
      <w:proofErr w:type="spellStart"/>
      <w:r>
        <w:rPr>
          <w:rFonts w:ascii="Verdana" w:eastAsia="Arial" w:hAnsi="Verdana" w:cs="Arial"/>
          <w:lang w:val="es-ES" w:eastAsia="es-ES" w:bidi="es-ES"/>
        </w:rPr>
        <w:t>ii</w:t>
      </w:r>
      <w:proofErr w:type="spellEnd"/>
      <w:r>
        <w:rPr>
          <w:rFonts w:ascii="Verdana" w:eastAsia="Arial" w:hAnsi="Verdana" w:cs="Arial"/>
          <w:lang w:val="es-ES" w:eastAsia="es-ES" w:bidi="es-ES"/>
        </w:rPr>
        <w:t xml:space="preserve">. </w:t>
      </w:r>
      <w:r>
        <w:rPr>
          <w:rFonts w:ascii="Verdana" w:eastAsia="Calibri" w:hAnsi="Verdana" w:cs="Arial"/>
        </w:rPr>
        <w:t xml:space="preserve">Para resolver el problema jurídico planteado sobre la aplicación del Decreto 287 de 2026, esta Agencia considera necesario partir de los antecedentes normativos que explican el origen, la finalidad y el alcance del Sistema Integral de Preferencias establecido por el Decreto 0287 de 2026, pues solo a partir de ese contexto es posible comprender las obligaciones concretas que dicho decreto impone a las entidades estatales y a los demás partícipes de la contratación pública. </w:t>
      </w:r>
    </w:p>
    <w:p w14:paraId="180149A4" w14:textId="77777777" w:rsidR="0075058F" w:rsidRPr="00206556" w:rsidRDefault="0075058F" w:rsidP="0075058F">
      <w:pPr>
        <w:spacing w:after="120" w:line="276" w:lineRule="auto"/>
        <w:ind w:firstLine="709"/>
        <w:jc w:val="both"/>
        <w:rPr>
          <w:rFonts w:ascii="Verdana" w:hAnsi="Verdana"/>
        </w:rPr>
      </w:pPr>
      <w:r w:rsidRPr="00206556">
        <w:rPr>
          <w:rFonts w:ascii="Verdana" w:eastAsia="Times New Roman" w:hAnsi="Verdana" w:cs="Times New Roman"/>
        </w:rPr>
        <w:t>El fundamento del Sistema de Preferencias para P</w:t>
      </w:r>
      <w:r>
        <w:rPr>
          <w:rFonts w:ascii="Verdana" w:eastAsia="Times New Roman" w:hAnsi="Verdana" w:cs="Times New Roman"/>
        </w:rPr>
        <w:t xml:space="preserve">ersonas </w:t>
      </w:r>
      <w:r w:rsidRPr="00206556">
        <w:rPr>
          <w:rFonts w:ascii="Verdana" w:eastAsia="Times New Roman" w:hAnsi="Verdana" w:cs="Times New Roman"/>
        </w:rPr>
        <w:t>c</w:t>
      </w:r>
      <w:r>
        <w:rPr>
          <w:rFonts w:ascii="Verdana" w:eastAsia="Times New Roman" w:hAnsi="Verdana" w:cs="Times New Roman"/>
        </w:rPr>
        <w:t xml:space="preserve">on </w:t>
      </w:r>
      <w:r w:rsidRPr="00206556">
        <w:rPr>
          <w:rFonts w:ascii="Verdana" w:eastAsia="Times New Roman" w:hAnsi="Verdana" w:cs="Times New Roman"/>
        </w:rPr>
        <w:t>D</w:t>
      </w:r>
      <w:r>
        <w:rPr>
          <w:rFonts w:ascii="Verdana" w:eastAsia="Times New Roman" w:hAnsi="Verdana" w:cs="Times New Roman"/>
        </w:rPr>
        <w:t>iscapacidad (</w:t>
      </w:r>
      <w:proofErr w:type="spellStart"/>
      <w:r>
        <w:rPr>
          <w:rFonts w:ascii="Verdana" w:eastAsia="Times New Roman" w:hAnsi="Verdana" w:cs="Times New Roman"/>
        </w:rPr>
        <w:t>PcD</w:t>
      </w:r>
      <w:proofErr w:type="spellEnd"/>
      <w:r>
        <w:rPr>
          <w:rFonts w:ascii="Verdana" w:eastAsia="Times New Roman" w:hAnsi="Verdana" w:cs="Times New Roman"/>
        </w:rPr>
        <w:t>)</w:t>
      </w:r>
      <w:r w:rsidRPr="00206556">
        <w:rPr>
          <w:rFonts w:ascii="Verdana" w:eastAsia="Times New Roman" w:hAnsi="Verdana" w:cs="Times New Roman"/>
        </w:rPr>
        <w:t xml:space="preserve"> en la contratación pública es el principio de igualdad real y efectiva consagrado en el artículo 13 de la Constitución Política de 1991</w:t>
      </w:r>
      <w:r w:rsidRPr="00206556">
        <w:rPr>
          <w:rStyle w:val="Refdenotaalpie"/>
          <w:rFonts w:ascii="Verdana" w:eastAsia="Times New Roman" w:hAnsi="Verdana" w:cs="Times New Roman"/>
        </w:rPr>
        <w:footnoteReference w:id="10"/>
      </w:r>
      <w:r>
        <w:rPr>
          <w:rFonts w:ascii="Verdana" w:eastAsia="Times New Roman" w:hAnsi="Verdana" w:cs="Times New Roman"/>
        </w:rPr>
        <w:t>,</w:t>
      </w:r>
      <w:r w:rsidRPr="00206556">
        <w:rPr>
          <w:rFonts w:ascii="Verdana" w:eastAsia="Times New Roman" w:hAnsi="Verdana" w:cs="Times New Roman"/>
        </w:rPr>
        <w:t xml:space="preserve"> que impone al Estado el deber positivo de adoptar </w:t>
      </w:r>
      <w:r w:rsidRPr="00206556">
        <w:rPr>
          <w:rFonts w:ascii="Verdana" w:eastAsia="Times New Roman" w:hAnsi="Verdana" w:cs="Times New Roman"/>
          <w:i/>
          <w:iCs/>
        </w:rPr>
        <w:t>acciones afirmativas</w:t>
      </w:r>
      <w:r w:rsidRPr="00206556">
        <w:rPr>
          <w:rFonts w:ascii="Verdana" w:eastAsia="Times New Roman" w:hAnsi="Verdana" w:cs="Times New Roman"/>
        </w:rPr>
        <w:t xml:space="preserve">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 Los artículos 47 y 54 de la Carta Política refuerzan este mandato al ordenar políticas de integración social y ubicación laboral para las </w:t>
      </w:r>
      <w:proofErr w:type="spellStart"/>
      <w:r w:rsidRPr="00206556">
        <w:rPr>
          <w:rFonts w:ascii="Verdana" w:eastAsia="Times New Roman" w:hAnsi="Verdana" w:cs="Times New Roman"/>
        </w:rPr>
        <w:t>PcD</w:t>
      </w:r>
      <w:proofErr w:type="spellEnd"/>
      <w:r w:rsidRPr="00206556">
        <w:rPr>
          <w:rStyle w:val="Refdenotaalpie"/>
          <w:rFonts w:ascii="Verdana" w:eastAsia="Times New Roman" w:hAnsi="Verdana" w:cs="Times New Roman"/>
        </w:rPr>
        <w:footnoteReference w:id="11"/>
      </w:r>
      <w:r>
        <w:rPr>
          <w:rFonts w:ascii="Verdana" w:eastAsia="Times New Roman" w:hAnsi="Verdana" w:cs="Times New Roman"/>
        </w:rPr>
        <w:t>.</w:t>
      </w:r>
    </w:p>
    <w:p w14:paraId="0472D81F" w14:textId="77777777" w:rsidR="0075058F" w:rsidRPr="00206556" w:rsidRDefault="0075058F" w:rsidP="0075058F">
      <w:pPr>
        <w:spacing w:after="120" w:line="276" w:lineRule="auto"/>
        <w:ind w:firstLine="708"/>
        <w:jc w:val="both"/>
        <w:rPr>
          <w:rFonts w:ascii="Verdana" w:hAnsi="Verdana"/>
        </w:rPr>
      </w:pPr>
      <w:r w:rsidRPr="00206556">
        <w:rPr>
          <w:rFonts w:ascii="Verdana" w:eastAsia="Times New Roman" w:hAnsi="Verdana" w:cs="Times New Roman"/>
        </w:rPr>
        <w:t>En el plano internacional, Colombia es Estado Parte de instrumentos que conforman el Bloque de Constitucionalidad en virtud del artículo 93 superior. La Convención sobre los Derechos de las Personas con Discapacidad de la ONU</w:t>
      </w:r>
      <w:r w:rsidRPr="00206556">
        <w:rPr>
          <w:rStyle w:val="Refdenotaalpie"/>
          <w:rFonts w:ascii="Verdana" w:eastAsia="Times New Roman" w:hAnsi="Verdana" w:cs="Times New Roman"/>
        </w:rPr>
        <w:footnoteReference w:id="12"/>
      </w:r>
      <w:r w:rsidRPr="00206556">
        <w:rPr>
          <w:rFonts w:ascii="Verdana" w:eastAsia="Times New Roman" w:hAnsi="Verdana" w:cs="Times New Roman"/>
        </w:rPr>
        <w:t xml:space="preserve"> </w:t>
      </w:r>
      <w:r w:rsidRPr="00206556">
        <w:rPr>
          <w:rFonts w:ascii="Verdana" w:eastAsia="Times New Roman" w:hAnsi="Verdana" w:cs="Times New Roman"/>
        </w:rPr>
        <w:lastRenderedPageBreak/>
        <w:t xml:space="preserve">reconoce el derecho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a trabajar en igualdad de condiciones y exige programas de acción afirmativa. La Convención Interamericana para la Eliminación de todas las Formas de Discriminación</w:t>
      </w:r>
      <w:r w:rsidRPr="00206556">
        <w:rPr>
          <w:rStyle w:val="Refdenotaalpie"/>
          <w:rFonts w:ascii="Verdana" w:eastAsia="Times New Roman" w:hAnsi="Verdana" w:cs="Times New Roman"/>
        </w:rPr>
        <w:footnoteReference w:id="13"/>
      </w:r>
      <w:r w:rsidRPr="00206556">
        <w:rPr>
          <w:rFonts w:ascii="Verdana" w:eastAsia="Times New Roman" w:hAnsi="Verdana" w:cs="Times New Roman"/>
        </w:rPr>
        <w:t xml:space="preserve"> ordena eliminar progresivamente la discriminación en la prestación de servicios, incluido el empleo. El Convenio 159 de la OIT</w:t>
      </w:r>
      <w:r w:rsidRPr="00206556">
        <w:rPr>
          <w:rStyle w:val="Refdenotaalpie"/>
          <w:rFonts w:ascii="Verdana" w:eastAsia="Times New Roman" w:hAnsi="Verdana" w:cs="Times New Roman"/>
        </w:rPr>
        <w:footnoteReference w:id="14"/>
      </w:r>
      <w:r w:rsidRPr="00206556">
        <w:rPr>
          <w:rFonts w:ascii="Verdana" w:eastAsia="Times New Roman" w:hAnsi="Verdana" w:cs="Times New Roman"/>
        </w:rPr>
        <w:t xml:space="preserve"> exige medidas orientadas a garantizar la igualdad de oportunidades de todas las categorías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en materia de empleo.</w:t>
      </w:r>
    </w:p>
    <w:p w14:paraId="44D9D1F0" w14:textId="77777777" w:rsidR="0075058F" w:rsidRPr="00206556" w:rsidRDefault="0075058F" w:rsidP="0075058F">
      <w:pPr>
        <w:spacing w:after="120" w:line="276" w:lineRule="auto"/>
        <w:jc w:val="both"/>
        <w:rPr>
          <w:rFonts w:ascii="Verdana" w:hAnsi="Verdana"/>
        </w:rPr>
      </w:pPr>
      <w:r w:rsidRPr="00206556">
        <w:rPr>
          <w:rFonts w:ascii="Verdana" w:eastAsia="Times New Roman" w:hAnsi="Verdana" w:cs="Times New Roman"/>
          <w:b/>
          <w:bCs/>
        </w:rPr>
        <w:t xml:space="preserve">        </w:t>
      </w:r>
      <w:r w:rsidRPr="00206556">
        <w:rPr>
          <w:rFonts w:ascii="Verdana" w:eastAsia="Times New Roman" w:hAnsi="Verdana" w:cs="Times New Roman"/>
        </w:rPr>
        <w:t xml:space="preserve">La Ley 361 de 1997 estableció los primeros mecanismos de integración social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Su artículo 24 introdujo una preferencia en igualdad de condiciones en licitaciones y adjudicaciones de contratos para los empleadores que tuvieran al menos el 10% de su nómina compuesta por </w:t>
      </w:r>
      <w:proofErr w:type="spellStart"/>
      <w:r w:rsidRPr="00206556">
        <w:rPr>
          <w:rFonts w:ascii="Verdana" w:eastAsia="Times New Roman" w:hAnsi="Verdana" w:cs="Times New Roman"/>
        </w:rPr>
        <w:t>PcD</w:t>
      </w:r>
      <w:proofErr w:type="spellEnd"/>
      <w:r w:rsidRPr="00206556">
        <w:rPr>
          <w:rStyle w:val="Refdenotaalpie"/>
          <w:rFonts w:ascii="Verdana" w:eastAsia="Times New Roman" w:hAnsi="Verdana" w:cs="Times New Roman"/>
        </w:rPr>
        <w:footnoteReference w:id="15"/>
      </w:r>
      <w:r>
        <w:rPr>
          <w:rFonts w:ascii="Verdana" w:eastAsia="Times New Roman" w:hAnsi="Verdana" w:cs="Times New Roman"/>
        </w:rPr>
        <w:t>.</w:t>
      </w:r>
      <w:r w:rsidRPr="00206556">
        <w:rPr>
          <w:rFonts w:ascii="Verdana" w:eastAsia="Times New Roman" w:hAnsi="Verdana" w:cs="Times New Roman"/>
        </w:rPr>
        <w:t xml:space="preserve"> Esta norma vinculó por primera vez la contratación pública con la inclusión laboral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pero su alcance era limitado: una preferencia residual aplicable solo en caso de empate, que beneficiaba únicamente a los empleadores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sin considerar a las propias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como proponentes directos.</w:t>
      </w:r>
    </w:p>
    <w:p w14:paraId="7357B243" w14:textId="77777777" w:rsidR="0075058F" w:rsidRPr="00206556" w:rsidRDefault="0075058F" w:rsidP="0075058F">
      <w:pPr>
        <w:spacing w:after="120" w:line="276" w:lineRule="auto"/>
        <w:ind w:firstLine="709"/>
        <w:jc w:val="both"/>
        <w:rPr>
          <w:rFonts w:ascii="Verdana" w:hAnsi="Verdana"/>
        </w:rPr>
      </w:pPr>
      <w:r w:rsidRPr="00206556">
        <w:rPr>
          <w:rFonts w:ascii="Verdana" w:eastAsia="Times New Roman" w:hAnsi="Verdana" w:cs="Times New Roman"/>
        </w:rPr>
        <w:t xml:space="preserve">La Ley Estatutaria 1618 de 2013 representó un salto cualitativo en el marco jurídico de protección de las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al definir a estas como </w:t>
      </w:r>
      <w:r w:rsidRPr="00670DE8">
        <w:rPr>
          <w:rFonts w:ascii="Verdana" w:eastAsia="Times New Roman" w:hAnsi="Verdana" w:cs="Times New Roman"/>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r w:rsidRPr="00206556">
        <w:rPr>
          <w:rStyle w:val="Refdenotaalpie"/>
          <w:rFonts w:ascii="Verdana" w:eastAsia="Times New Roman" w:hAnsi="Verdana" w:cs="Times New Roman"/>
          <w:i/>
          <w:iCs/>
        </w:rPr>
        <w:footnoteReference w:id="16"/>
      </w:r>
      <w:r>
        <w:rPr>
          <w:rFonts w:ascii="Verdana" w:eastAsia="Times New Roman" w:hAnsi="Verdana" w:cs="Times New Roman"/>
          <w:i/>
          <w:iCs/>
        </w:rPr>
        <w:t>.</w:t>
      </w:r>
      <w:r w:rsidRPr="00206556">
        <w:rPr>
          <w:rFonts w:ascii="Verdana" w:eastAsia="Times New Roman" w:hAnsi="Verdana" w:cs="Times New Roman"/>
        </w:rPr>
        <w:t xml:space="preserve"> Su artículo 13, en los numerales 1, 7 y 8, ordenó al Gobierno Nacional reglamentar: una puntuación adicional en licitación pública, concurso de méritos y contratación directa para empresas que vinculen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y para empresas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un sistema de preferencias para empleadores de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en la adjudicación; y un sistema de preferencias en favor </w:t>
      </w:r>
      <w:r w:rsidRPr="00206556">
        <w:rPr>
          <w:rFonts w:ascii="Verdana" w:eastAsia="Times New Roman" w:hAnsi="Verdana" w:cs="Times New Roman"/>
        </w:rPr>
        <w:lastRenderedPageBreak/>
        <w:t xml:space="preserve">de las propias </w:t>
      </w:r>
      <w:proofErr w:type="spellStart"/>
      <w:r w:rsidRPr="00206556">
        <w:rPr>
          <w:rFonts w:ascii="Verdana" w:eastAsia="Times New Roman" w:hAnsi="Verdana" w:cs="Times New Roman"/>
        </w:rPr>
        <w:t>PcD</w:t>
      </w:r>
      <w:proofErr w:type="spellEnd"/>
      <w:r w:rsidRPr="00206556">
        <w:rPr>
          <w:rFonts w:ascii="Verdana" w:eastAsia="Times New Roman" w:hAnsi="Verdana" w:cs="Times New Roman"/>
        </w:rPr>
        <w:t xml:space="preserve"> como contratistas</w:t>
      </w:r>
      <w:r w:rsidRPr="00206556">
        <w:rPr>
          <w:rStyle w:val="Refdenotaalpie"/>
          <w:rFonts w:ascii="Verdana" w:eastAsia="Times New Roman" w:hAnsi="Verdana" w:cs="Times New Roman"/>
        </w:rPr>
        <w:footnoteReference w:id="17"/>
      </w:r>
      <w:r>
        <w:rPr>
          <w:rFonts w:ascii="Verdana" w:eastAsia="Times New Roman" w:hAnsi="Verdana" w:cs="Times New Roman"/>
        </w:rPr>
        <w:t>.</w:t>
      </w:r>
      <w:r w:rsidRPr="00206556">
        <w:rPr>
          <w:rFonts w:ascii="Verdana" w:eastAsia="Times New Roman" w:hAnsi="Verdana" w:cs="Times New Roman"/>
        </w:rPr>
        <w:t xml:space="preserve"> Este último mandato fue especialmente significativo porque introdujo el concepto de </w:t>
      </w:r>
      <w:r w:rsidRPr="00206556">
        <w:rPr>
          <w:rFonts w:ascii="Verdana" w:eastAsia="Times New Roman" w:hAnsi="Verdana" w:cs="Times New Roman"/>
          <w:i/>
          <w:iCs/>
        </w:rPr>
        <w:t>"sistema de preferencias"</w:t>
      </w:r>
      <w:r w:rsidRPr="00206556">
        <w:rPr>
          <w:rFonts w:ascii="Verdana" w:eastAsia="Times New Roman" w:hAnsi="Verdana" w:cs="Times New Roman"/>
        </w:rPr>
        <w:t xml:space="preserve">, que por definición no puede reducirse a una sola </w:t>
      </w:r>
      <w:proofErr w:type="gramStart"/>
      <w:r w:rsidRPr="00206556">
        <w:rPr>
          <w:rFonts w:ascii="Verdana" w:eastAsia="Times New Roman" w:hAnsi="Verdana" w:cs="Times New Roman"/>
        </w:rPr>
        <w:t>medida</w:t>
      </w:r>
      <w:proofErr w:type="gramEnd"/>
      <w:r w:rsidRPr="00206556">
        <w:rPr>
          <w:rFonts w:ascii="Verdana" w:eastAsia="Times New Roman" w:hAnsi="Verdana" w:cs="Times New Roman"/>
        </w:rPr>
        <w:t xml:space="preserve"> sino que implica un conjunto estructurado de instrumentos que actúen en las distintas fases del proceso contractual.</w:t>
      </w:r>
    </w:p>
    <w:p w14:paraId="065E9886" w14:textId="77777777" w:rsidR="0075058F" w:rsidRPr="00E727F0" w:rsidRDefault="0075058F" w:rsidP="0075058F">
      <w:pPr>
        <w:spacing w:after="120" w:line="276" w:lineRule="auto"/>
        <w:ind w:firstLine="709"/>
        <w:jc w:val="both"/>
        <w:rPr>
          <w:rFonts w:ascii="Verdana" w:hAnsi="Verdana"/>
        </w:rPr>
      </w:pPr>
      <w:r w:rsidRPr="00E727F0">
        <w:rPr>
          <w:rFonts w:ascii="Verdana" w:hAnsi="Verdana"/>
        </w:rPr>
        <w:t>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w:t>
      </w:r>
      <w:r>
        <w:rPr>
          <w:rFonts w:ascii="Verdana" w:hAnsi="Verdana"/>
        </w:rPr>
        <w:t>, pues</w:t>
      </w:r>
      <w:r w:rsidRPr="00E727F0">
        <w:rPr>
          <w:rFonts w:ascii="Verdana" w:hAnsi="Verdana"/>
        </w:rPr>
        <w:t xml:space="preserve"> solo contempló el 1% de puntaje para empleadores de </w:t>
      </w:r>
      <w:proofErr w:type="spellStart"/>
      <w:r w:rsidRPr="00E727F0">
        <w:rPr>
          <w:rFonts w:ascii="Verdana" w:hAnsi="Verdana"/>
        </w:rPr>
        <w:t>PcD</w:t>
      </w:r>
      <w:proofErr w:type="spellEnd"/>
      <w:r w:rsidRPr="00E727F0">
        <w:rPr>
          <w:rFonts w:ascii="Verdana" w:hAnsi="Verdana"/>
        </w:rPr>
        <w:t xml:space="preserve">, sin incluir a las empresas de </w:t>
      </w:r>
      <w:proofErr w:type="spellStart"/>
      <w:r w:rsidRPr="00E727F0">
        <w:rPr>
          <w:rFonts w:ascii="Verdana" w:hAnsi="Verdana"/>
        </w:rPr>
        <w:t>PcD</w:t>
      </w:r>
      <w:proofErr w:type="spellEnd"/>
      <w:r>
        <w:rPr>
          <w:rFonts w:ascii="Verdana" w:hAnsi="Verdana"/>
        </w:rPr>
        <w:t>,</w:t>
      </w:r>
      <w:r w:rsidRPr="00E727F0">
        <w:rPr>
          <w:rFonts w:ascii="Verdana" w:hAnsi="Verdana"/>
        </w:rPr>
        <w:t xml:space="preserve"> redujo el "sistema de preferencias" a un único criterio de desempate y no previó medidas en planeación, criterios habilitantes diferenciales, condiciones especiales de ejecución ni abordó la contratación directa como escenario de inclusión.</w:t>
      </w:r>
      <w:r>
        <w:rPr>
          <w:rFonts w:ascii="Verdana" w:hAnsi="Verdana"/>
        </w:rPr>
        <w:t xml:space="preserve"> </w:t>
      </w:r>
      <w:r w:rsidRPr="00A420A9">
        <w:rPr>
          <w:rFonts w:ascii="Verdana" w:hAnsi="Verdana"/>
        </w:rPr>
        <w:t xml:space="preserve">En consecuencia, desde el punto de vista sustantivo, el Decreto 392 de 2018 reglamentó el numeral 1 de manera parcial y el numeral 7, dejando sin reglamentación material el numeral 8, que era precisamente el que ordenaba el sistema de preferencias en favor de las propias </w:t>
      </w:r>
      <w:proofErr w:type="spellStart"/>
      <w:r w:rsidRPr="00A420A9">
        <w:rPr>
          <w:rFonts w:ascii="Verdana" w:hAnsi="Verdana"/>
        </w:rPr>
        <w:t>PcD</w:t>
      </w:r>
      <w:proofErr w:type="spellEnd"/>
      <w:r w:rsidRPr="00A420A9">
        <w:rPr>
          <w:rFonts w:ascii="Verdana" w:hAnsi="Verdana"/>
        </w:rPr>
        <w:t xml:space="preserve"> como contratistas.</w:t>
      </w:r>
    </w:p>
    <w:p w14:paraId="760DFA9C" w14:textId="77777777" w:rsidR="0075058F" w:rsidRPr="00DF1F0B" w:rsidRDefault="0075058F" w:rsidP="0075058F">
      <w:pPr>
        <w:spacing w:after="120" w:line="276" w:lineRule="auto"/>
        <w:ind w:firstLine="709"/>
        <w:jc w:val="both"/>
        <w:rPr>
          <w:rFonts w:ascii="Verdana" w:eastAsia="Aptos" w:hAnsi="Verdana" w:cs="Times New Roman"/>
          <w:kern w:val="2"/>
          <w14:ligatures w14:val="standardContextual"/>
        </w:rPr>
      </w:pPr>
      <w:r w:rsidRPr="00A420A9">
        <w:rPr>
          <w:rFonts w:ascii="Verdana" w:hAnsi="Verdana"/>
        </w:rPr>
        <w:t>L</w:t>
      </w:r>
      <w:r>
        <w:rPr>
          <w:rFonts w:ascii="Verdana" w:hAnsi="Verdana"/>
        </w:rPr>
        <w:t>o anterior fue ratificado por el Consejo de Estado</w:t>
      </w:r>
      <w:r>
        <w:rPr>
          <w:rStyle w:val="Refdenotaalpie"/>
          <w:rFonts w:ascii="Verdana" w:hAnsi="Verdana"/>
        </w:rPr>
        <w:footnoteReference w:id="18"/>
      </w:r>
      <w:r>
        <w:rPr>
          <w:rFonts w:ascii="Verdana" w:hAnsi="Verdana"/>
        </w:rPr>
        <w:t>,</w:t>
      </w:r>
      <w:r w:rsidRPr="008332CA">
        <w:rPr>
          <w:rFonts w:ascii="Verdana" w:eastAsia="Aptos" w:hAnsi="Verdana" w:cs="Times New Roman"/>
          <w:kern w:val="2"/>
          <w14:ligatures w14:val="standardContextual"/>
        </w:rPr>
        <w:t xml:space="preserve"> </w:t>
      </w:r>
      <w:proofErr w:type="gramStart"/>
      <w:r w:rsidRPr="001B3C5D">
        <w:rPr>
          <w:rFonts w:ascii="Verdana" w:eastAsia="Aptos" w:hAnsi="Verdana" w:cs="Times New Roman"/>
          <w:kern w:val="2"/>
          <w14:ligatures w14:val="standardContextual"/>
        </w:rPr>
        <w:t>que</w:t>
      </w:r>
      <w:proofErr w:type="gramEnd"/>
      <w:r w:rsidRPr="001B3C5D">
        <w:rPr>
          <w:rFonts w:ascii="Verdana" w:eastAsia="Aptos" w:hAnsi="Verdana" w:cs="Times New Roman"/>
          <w:kern w:val="2"/>
          <w14:ligatures w14:val="standardContextual"/>
        </w:rPr>
        <w:t xml:space="preserve"> mediante una acción de cumplimiento</w:t>
      </w:r>
      <w:r>
        <w:rPr>
          <w:rFonts w:ascii="Verdana" w:eastAsia="Aptos" w:hAnsi="Verdana" w:cs="Times New Roman"/>
          <w:kern w:val="2"/>
          <w14:ligatures w14:val="standardContextual"/>
        </w:rPr>
        <w:t xml:space="preserve">, </w:t>
      </w:r>
      <w:r w:rsidRPr="00A420A9">
        <w:rPr>
          <w:rFonts w:ascii="Verdana" w:hAnsi="Verdana"/>
        </w:rPr>
        <w:t xml:space="preserve">declaró el incumplimiento </w:t>
      </w:r>
      <w:r w:rsidRPr="001B3C5D">
        <w:rPr>
          <w:rFonts w:ascii="Verdana" w:eastAsia="Aptos" w:hAnsi="Verdana" w:cs="Times New Roman"/>
          <w:kern w:val="2"/>
          <w14:ligatures w14:val="standardContextual"/>
        </w:rPr>
        <w:t>del deber de reglamentar integralmente el artículo 13 de la Ley 1618 de 2013 y ordenó al Gobierno Nacional expedir la regulación necesaria para hacer efectivo el sistema de preferencias en favor de las personas con discapacidad, sus emprendimientos y empresas que las contratan.</w:t>
      </w:r>
      <w:r>
        <w:rPr>
          <w:rFonts w:ascii="Verdana" w:eastAsia="Aptos" w:hAnsi="Verdana" w:cs="Times New Roman"/>
          <w:kern w:val="2"/>
          <w14:ligatures w14:val="standardContextual"/>
        </w:rPr>
        <w:t xml:space="preserve"> </w:t>
      </w:r>
      <w:r w:rsidRPr="00A420A9">
        <w:rPr>
          <w:rFonts w:ascii="Verdana" w:hAnsi="Verdana"/>
        </w:rPr>
        <w:t>La Sala calificó la obligación como imperativa, expresa e inobjetable, señalando que el Gobierno Nacional no contaba con margen de discrecionalidad para decidir si reglamentaba o no el sistema de preferencias</w:t>
      </w:r>
      <w:r>
        <w:rPr>
          <w:rFonts w:ascii="Verdana" w:hAnsi="Verdana"/>
        </w:rPr>
        <w:t>.</w:t>
      </w:r>
    </w:p>
    <w:p w14:paraId="115419C7" w14:textId="77777777" w:rsidR="0075058F" w:rsidRPr="00C42155" w:rsidRDefault="0075058F" w:rsidP="0075058F">
      <w:pPr>
        <w:spacing w:after="120" w:line="276" w:lineRule="auto"/>
        <w:ind w:firstLine="709"/>
        <w:jc w:val="both"/>
        <w:rPr>
          <w:rFonts w:ascii="Verdana" w:hAnsi="Verdana"/>
        </w:rPr>
      </w:pPr>
      <w:r w:rsidRPr="00E727F0">
        <w:rPr>
          <w:rFonts w:ascii="Verdana" w:hAnsi="Verdana"/>
        </w:rPr>
        <w:t>En cumplimiento de esa decisión fue expedido el Decreto 0287 de 2026, el cual</w:t>
      </w:r>
      <w:r>
        <w:rPr>
          <w:rFonts w:ascii="Verdana" w:hAnsi="Verdana"/>
        </w:rPr>
        <w:t xml:space="preserve"> </w:t>
      </w:r>
      <w:r w:rsidRPr="00E727F0">
        <w:rPr>
          <w:rFonts w:ascii="Verdana" w:hAnsi="Verdana"/>
        </w:rPr>
        <w:t>establece un Sistema Integral de Preferencias compuesto por cinco medidas afirmativas que actúan en todas las fases del proceso contractual</w:t>
      </w:r>
      <w:r>
        <w:rPr>
          <w:rFonts w:ascii="Verdana" w:hAnsi="Verdana"/>
        </w:rPr>
        <w:t xml:space="preserve">, </w:t>
      </w:r>
      <w:r w:rsidRPr="00E727F0">
        <w:rPr>
          <w:rFonts w:ascii="Verdana" w:hAnsi="Verdana"/>
        </w:rPr>
        <w:lastRenderedPageBreak/>
        <w:t>planeación, selección, adjudicación y ejecución</w:t>
      </w:r>
      <w:r>
        <w:rPr>
          <w:rFonts w:ascii="Verdana" w:hAnsi="Verdana"/>
        </w:rPr>
        <w:t xml:space="preserve">, </w:t>
      </w:r>
      <w:r w:rsidRPr="00E727F0">
        <w:rPr>
          <w:rFonts w:ascii="Verdana" w:hAnsi="Verdana"/>
        </w:rPr>
        <w:t xml:space="preserve">y que benefician a dos sujetos diferenciados: los emprendimientos y empresas de </w:t>
      </w:r>
      <w:proofErr w:type="spellStart"/>
      <w:r w:rsidRPr="00E727F0">
        <w:rPr>
          <w:rFonts w:ascii="Verdana" w:hAnsi="Verdana"/>
        </w:rPr>
        <w:t>PcD</w:t>
      </w:r>
      <w:proofErr w:type="spellEnd"/>
      <w:r w:rsidRPr="00E727F0">
        <w:rPr>
          <w:rFonts w:ascii="Verdana" w:hAnsi="Verdana"/>
        </w:rPr>
        <w:t xml:space="preserve"> y los empleadores de </w:t>
      </w:r>
      <w:proofErr w:type="spellStart"/>
      <w:r w:rsidRPr="00E727F0">
        <w:rPr>
          <w:rFonts w:ascii="Verdana" w:hAnsi="Verdana"/>
        </w:rPr>
        <w:t>PcD</w:t>
      </w:r>
      <w:proofErr w:type="spellEnd"/>
      <w:r w:rsidRPr="001B3C5D">
        <w:rPr>
          <w:rFonts w:ascii="Verdana" w:eastAsia="Aptos" w:hAnsi="Verdana" w:cs="Times New Roman"/>
          <w:kern w:val="2"/>
          <w14:ligatures w14:val="standardContextual"/>
        </w:rPr>
        <w:t xml:space="preserve">. </w:t>
      </w:r>
      <w:r>
        <w:rPr>
          <w:rFonts w:ascii="Verdana" w:eastAsia="Aptos" w:hAnsi="Verdana" w:cs="Times New Roman"/>
          <w:kern w:val="2"/>
          <w14:ligatures w14:val="standardContextual"/>
        </w:rPr>
        <w:t>M</w:t>
      </w:r>
      <w:r w:rsidRPr="001B3C5D">
        <w:rPr>
          <w:rFonts w:ascii="Verdana" w:eastAsia="Aptos" w:hAnsi="Verdana" w:cs="Times New Roman"/>
          <w:kern w:val="2"/>
          <w14:ligatures w14:val="standardContextual"/>
        </w:rPr>
        <w:t xml:space="preserve">ediante la expedición del mencionado decreto, </w:t>
      </w:r>
      <w:r>
        <w:rPr>
          <w:rFonts w:ascii="Verdana" w:eastAsia="Aptos" w:hAnsi="Verdana" w:cs="Times New Roman"/>
          <w:kern w:val="2"/>
          <w14:ligatures w14:val="standardContextual"/>
        </w:rPr>
        <w:t>se m</w:t>
      </w:r>
      <w:r w:rsidRPr="001B3C5D">
        <w:rPr>
          <w:rFonts w:ascii="Verdana" w:eastAsia="Aptos" w:hAnsi="Verdana" w:cs="Times New Roman"/>
          <w:kern w:val="2"/>
          <w14:ligatures w14:val="standardContextual"/>
        </w:rPr>
        <w:t>odific</w:t>
      </w:r>
      <w:r>
        <w:rPr>
          <w:rFonts w:ascii="Verdana" w:eastAsia="Aptos" w:hAnsi="Verdana" w:cs="Times New Roman"/>
          <w:kern w:val="2"/>
          <w14:ligatures w14:val="standardContextual"/>
        </w:rPr>
        <w:t>aron</w:t>
      </w:r>
      <w:r w:rsidRPr="001B3C5D">
        <w:rPr>
          <w:rFonts w:ascii="Verdana" w:eastAsia="Aptos" w:hAnsi="Verdana" w:cs="Times New Roman"/>
          <w:kern w:val="2"/>
          <w14:ligatures w14:val="standardContextual"/>
        </w:rPr>
        <w:t xml:space="preserve"> los artículos 2.2.1.2.4.2.6, 2.2.1.2.4.2.7. y 2.2.1.2.4.2.8. del Decreto 1082 de 2015</w:t>
      </w:r>
      <w:r>
        <w:rPr>
          <w:rFonts w:ascii="Verdana" w:eastAsia="Aptos" w:hAnsi="Verdana" w:cs="Times New Roman"/>
          <w:kern w:val="2"/>
          <w14:ligatures w14:val="standardContextual"/>
        </w:rPr>
        <w:t xml:space="preserve"> y se adicionan otras normas, cuyos aspectos más relevantes se resaltan a continuación</w:t>
      </w:r>
      <w:r w:rsidRPr="001B3C5D">
        <w:rPr>
          <w:rFonts w:ascii="Verdana" w:eastAsia="Aptos" w:hAnsi="Verdana" w:cs="Times New Roman"/>
          <w:kern w:val="2"/>
          <w14:ligatures w14:val="standardContextual"/>
        </w:rPr>
        <w:t xml:space="preserve">: </w:t>
      </w:r>
    </w:p>
    <w:p w14:paraId="626D985F" w14:textId="77777777" w:rsidR="0075058F" w:rsidRPr="001B3C5D"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1B3C5D">
        <w:rPr>
          <w:rFonts w:ascii="Verdana" w:eastAsia="Aptos" w:hAnsi="Verdana" w:cs="Times New Roman"/>
          <w:kern w:val="2"/>
          <w14:ligatures w14:val="standardContextual"/>
        </w:rPr>
        <w:t xml:space="preserve"> i) </w:t>
      </w:r>
      <w:r>
        <w:rPr>
          <w:rFonts w:ascii="Verdana" w:eastAsia="Aptos" w:hAnsi="Verdana" w:cs="Times New Roman"/>
          <w:kern w:val="2"/>
          <w14:ligatures w14:val="standardContextual"/>
        </w:rPr>
        <w:t xml:space="preserve">Se </w:t>
      </w:r>
      <w:r w:rsidRPr="001B3C5D">
        <w:rPr>
          <w:rFonts w:ascii="Verdana" w:eastAsia="Aptos" w:hAnsi="Verdana" w:cs="Times New Roman"/>
          <w:kern w:val="2"/>
          <w14:ligatures w14:val="standardContextual"/>
        </w:rPr>
        <w:t xml:space="preserve">modifica el artículo 2.2.1.2.4.2.6. </w:t>
      </w:r>
      <w:r>
        <w:rPr>
          <w:rFonts w:ascii="Verdana" w:eastAsia="Aptos" w:hAnsi="Verdana" w:cs="Times New Roman"/>
          <w:kern w:val="2"/>
          <w14:ligatures w14:val="standardContextual"/>
        </w:rPr>
        <w:t>d</w:t>
      </w:r>
      <w:r w:rsidRPr="001B3C5D">
        <w:rPr>
          <w:rFonts w:ascii="Verdana" w:eastAsia="Aptos" w:hAnsi="Verdana" w:cs="Times New Roman"/>
          <w:kern w:val="2"/>
          <w14:ligatures w14:val="standardContextual"/>
        </w:rPr>
        <w:t>el Decreto 1082 de 2015, incorporando la definición de emprendimientos y empresas de personas con discapacidad, con el propósito de adoptar medidas afirmativas que incentiven las personas en condición de discapacidad en el sistema de compras y contratación pública.</w:t>
      </w:r>
    </w:p>
    <w:p w14:paraId="217B4D61" w14:textId="77777777" w:rsidR="0075058F" w:rsidRPr="001B3C5D"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ii</w:t>
      </w:r>
      <w:proofErr w:type="spellEnd"/>
      <w:r w:rsidRPr="001B3C5D">
        <w:rPr>
          <w:rFonts w:ascii="Verdana" w:eastAsia="Aptos" w:hAnsi="Verdana" w:cs="Times New Roman"/>
          <w:kern w:val="2"/>
          <w14:ligatures w14:val="standardContextual"/>
        </w:rPr>
        <w:t xml:space="preserve">) </w:t>
      </w:r>
      <w:r>
        <w:rPr>
          <w:rFonts w:ascii="Verdana" w:eastAsia="Aptos" w:hAnsi="Verdana" w:cs="Times New Roman"/>
          <w:kern w:val="2"/>
          <w14:ligatures w14:val="standardContextual"/>
        </w:rPr>
        <w:t xml:space="preserve">Se </w:t>
      </w:r>
      <w:r w:rsidRPr="001B3C5D">
        <w:rPr>
          <w:rFonts w:ascii="Verdana" w:eastAsia="Aptos" w:hAnsi="Verdana" w:cs="Times New Roman"/>
          <w:kern w:val="2"/>
          <w14:ligatures w14:val="standardContextual"/>
        </w:rPr>
        <w:t xml:space="preserve">modifica el artículo 2.2.1.2.4.2.7. del Decreto 1082 de 2015, estableciendo un Sistema de Preferencias en Favor de las Personas con Discapacidad en el Sistema de Compras y Contratación Pública, mediante medidas afirmativas, que deben adoptar las Entidades Estatales en sus Procesos de Contratación, para promover condiciones efectivas de igualdad para estas personas, corregir barreras estructurales de acceso y fomentar su participación como proponentes, contratistas o integrantes de la cadena de valor. </w:t>
      </w:r>
    </w:p>
    <w:p w14:paraId="1254460D" w14:textId="77777777" w:rsidR="0075058F" w:rsidRPr="001B3C5D"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iii</w:t>
      </w:r>
      <w:proofErr w:type="spellEnd"/>
      <w:r w:rsidRPr="001B3C5D">
        <w:rPr>
          <w:rFonts w:ascii="Verdana" w:eastAsia="Aptos" w:hAnsi="Verdana" w:cs="Times New Roman"/>
          <w:kern w:val="2"/>
          <w14:ligatures w14:val="standardContextual"/>
        </w:rPr>
        <w:t>)</w:t>
      </w:r>
      <w:r>
        <w:rPr>
          <w:rFonts w:ascii="Verdana" w:eastAsia="Aptos" w:hAnsi="Verdana" w:cs="Times New Roman"/>
          <w:kern w:val="2"/>
          <w14:ligatures w14:val="standardContextual"/>
        </w:rPr>
        <w:t xml:space="preserve"> Se incluye</w:t>
      </w:r>
      <w:r w:rsidRPr="001B3C5D">
        <w:rPr>
          <w:rFonts w:ascii="Verdana" w:eastAsia="Aptos" w:hAnsi="Verdana" w:cs="Times New Roman"/>
          <w:kern w:val="2"/>
          <w14:ligatures w14:val="standardContextual"/>
        </w:rPr>
        <w:t xml:space="preserve"> el artículo 2.2.1.2.4.2.7.1. del Decreto 1082 de 2015, disponiendo que todas las entidades que manejen recursos públicos están obligadas a garantizar la accesibilidad para personas con discapacidad en sus procesos de contratación. </w:t>
      </w:r>
    </w:p>
    <w:p w14:paraId="461022F6" w14:textId="77777777" w:rsidR="0075058F" w:rsidRPr="001B3C5D"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Aptos" w:eastAsia="Aptos" w:hAnsi="Aptos" w:cs="Times New Roman"/>
          <w:kern w:val="2"/>
          <w:sz w:val="24"/>
          <w:szCs w:val="24"/>
          <w14:ligatures w14:val="standardContextual"/>
        </w:rPr>
        <w:t>iv</w:t>
      </w:r>
      <w:proofErr w:type="spellEnd"/>
      <w:r w:rsidRPr="001B3C5D">
        <w:rPr>
          <w:rFonts w:ascii="Aptos" w:eastAsia="Aptos" w:hAnsi="Aptos" w:cs="Times New Roman"/>
          <w:kern w:val="2"/>
          <w:sz w:val="24"/>
          <w:szCs w:val="24"/>
          <w14:ligatures w14:val="standardContextual"/>
        </w:rPr>
        <w:t xml:space="preserve">)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w:t>
      </w:r>
      <w:r>
        <w:rPr>
          <w:rFonts w:ascii="Verdana" w:eastAsia="Aptos" w:hAnsi="Verdana" w:cs="Times New Roman"/>
          <w:kern w:val="2"/>
          <w14:ligatures w14:val="standardContextual"/>
        </w:rPr>
        <w:t xml:space="preserve">artículo </w:t>
      </w:r>
      <w:r w:rsidRPr="001B3C5D">
        <w:rPr>
          <w:rFonts w:ascii="Verdana" w:eastAsia="Aptos" w:hAnsi="Verdana" w:cs="Times New Roman"/>
          <w:kern w:val="2"/>
          <w14:ligatures w14:val="standardContextual"/>
        </w:rPr>
        <w:t>2.2.1.2.4.2.7.2. del Decreto 1082 de 2015</w:t>
      </w:r>
      <w:r>
        <w:rPr>
          <w:rFonts w:ascii="Verdana" w:eastAsia="Aptos" w:hAnsi="Verdana" w:cs="Times New Roman"/>
          <w:kern w:val="2"/>
          <w14:ligatures w14:val="standardContextual"/>
        </w:rPr>
        <w:t xml:space="preserve">, en el cual </w:t>
      </w:r>
      <w:r w:rsidRPr="001B3C5D">
        <w:rPr>
          <w:rFonts w:ascii="Verdana" w:eastAsia="Aptos" w:hAnsi="Verdana" w:cs="Times New Roman"/>
          <w:kern w:val="2"/>
          <w14:ligatures w14:val="standardContextual"/>
        </w:rPr>
        <w:t>se consagra que, en la planeación contractual, las Entidades Estatales deben implementar acciones concretas para promover la participación de emprendimientos y empresas de personas con discapacidad, asegurando igualdad de oportunidades en los procesos de contratación pública. Esto implica diseñar mecanismos que eliminen barreras de acceso y fomenten una participación más inclusiva desde las etapas iniciales del proceso.</w:t>
      </w:r>
    </w:p>
    <w:p w14:paraId="741A00B8" w14:textId="77777777" w:rsidR="0075058F" w:rsidRPr="001B3C5D"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1B3C5D">
        <w:rPr>
          <w:rFonts w:ascii="Verdana" w:eastAsia="Aptos" w:hAnsi="Verdana" w:cs="Times New Roman"/>
          <w:kern w:val="2"/>
          <w14:ligatures w14:val="standardContextual"/>
        </w:rPr>
        <w:t xml:space="preserve">v)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2.2.1.2.4.2.7.3. del Decreto 1082 de 2015, incorporando criterios diferenciales en favor de los emprendimientos y empresas de personas con discapacidad en la habilitación, como parte del sistema de preferencias para esta población en la contratación pública que impone reglamentar la Ley 1618 de 2013. Este aspecto considerando que “(…) es </w:t>
      </w:r>
      <w:r w:rsidRPr="001B3C5D">
        <w:rPr>
          <w:rFonts w:ascii="Verdana" w:eastAsia="Aptos" w:hAnsi="Verdana" w:cs="Times New Roman"/>
          <w:kern w:val="2"/>
          <w14:ligatures w14:val="standardContextual"/>
        </w:rPr>
        <w:lastRenderedPageBreak/>
        <w:t>necesario flexibilizar los requisitos habilitantes de los procesos de contratación para facilitar la participación de las personas con discapacidad, debido a que sin esto el puntaje que también regula el presente Decreto (287 de 2026) se vuelve inocuo porque no se podría aplicar si las personas con discapacidad no superan el primer filtro, que resulta de la aplicación de los requisitos habilitantes que pueden resultar un impedimento para la posterior evaluación de su oferta y que pueda tener efectividad el puntaje”</w:t>
      </w:r>
      <w:r w:rsidRPr="001B3C5D">
        <w:rPr>
          <w:rFonts w:ascii="Verdana" w:eastAsia="Aptos" w:hAnsi="Verdana" w:cs="Times New Roman"/>
          <w:kern w:val="2"/>
          <w:vertAlign w:val="superscript"/>
          <w14:ligatures w14:val="standardContextual"/>
        </w:rPr>
        <w:footnoteReference w:id="19"/>
      </w:r>
      <w:r w:rsidRPr="001B3C5D">
        <w:rPr>
          <w:rFonts w:ascii="Verdana" w:eastAsia="Aptos" w:hAnsi="Verdana" w:cs="Times New Roman"/>
          <w:kern w:val="2"/>
          <w14:ligatures w14:val="standardContextual"/>
        </w:rPr>
        <w:t xml:space="preserve">. </w:t>
      </w:r>
    </w:p>
    <w:p w14:paraId="249A8C61" w14:textId="77777777" w:rsidR="0075058F" w:rsidRPr="001B3C5D"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1B3C5D">
        <w:rPr>
          <w:rFonts w:ascii="Verdana" w:eastAsia="Aptos" w:hAnsi="Verdana" w:cs="Times New Roman"/>
          <w:kern w:val="2"/>
          <w14:ligatures w14:val="standardContextual"/>
        </w:rPr>
        <w:t xml:space="preserve">vi)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2.1.2.4.2.7.4 </w:t>
      </w:r>
      <w:r>
        <w:rPr>
          <w:rFonts w:ascii="Verdana" w:eastAsia="Aptos" w:hAnsi="Verdana" w:cs="Times New Roman"/>
          <w:kern w:val="2"/>
          <w14:ligatures w14:val="standardContextual"/>
        </w:rPr>
        <w:t xml:space="preserve">que </w:t>
      </w:r>
      <w:r w:rsidRPr="001B3C5D">
        <w:rPr>
          <w:rFonts w:ascii="Verdana" w:eastAsia="Aptos" w:hAnsi="Verdana" w:cs="Times New Roman"/>
          <w:kern w:val="2"/>
          <w14:ligatures w14:val="standardContextual"/>
        </w:rPr>
        <w:t xml:space="preserve">establece un puntaje adicional en favor de los empleadores de personas con discapacidad y de los emprendimientos y empresas de personas con discapacidad del dos por ciento (2%) del valor total de los puntos establecidos en el pliego de condiciones o documentos equivalentes, para promover la inclusión laboral de personas con discapacidad en los procedimientos de licitación pública y concurso de méritos que adelanten las entidades estatales, cuando se configuren las situaciones previstas en ese artículo. </w:t>
      </w:r>
    </w:p>
    <w:p w14:paraId="580830B1" w14:textId="77777777" w:rsidR="0075058F" w:rsidRPr="001B3C5D"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vii</w:t>
      </w:r>
      <w:proofErr w:type="spellEnd"/>
      <w:r w:rsidRPr="001B3C5D">
        <w:rPr>
          <w:rFonts w:ascii="Verdana" w:eastAsia="Aptos" w:hAnsi="Verdana" w:cs="Times New Roman"/>
          <w:kern w:val="2"/>
          <w14:ligatures w14:val="standardContextual"/>
        </w:rPr>
        <w:t>)</w:t>
      </w:r>
      <w:r>
        <w:rPr>
          <w:rFonts w:ascii="Verdana" w:eastAsia="Aptos" w:hAnsi="Verdana" w:cs="Times New Roman"/>
          <w:kern w:val="2"/>
          <w14:ligatures w14:val="standardContextual"/>
        </w:rPr>
        <w:t xml:space="preserve"> Se incluye</w:t>
      </w:r>
      <w:r w:rsidRPr="001B3C5D">
        <w:rPr>
          <w:rFonts w:ascii="Verdana" w:eastAsia="Aptos" w:hAnsi="Verdana" w:cs="Times New Roman"/>
          <w:kern w:val="2"/>
          <w14:ligatures w14:val="standardContextual"/>
        </w:rPr>
        <w:t xml:space="preserve"> el artículo 2.2.1.2.4.2.7.5. del Decreto 1082 de 2015, indicando condiciones especiales de sujeción en favor de personas con discapacidad, que deberán incluir las entidades estatales como obligación contractual en los documentos del proceso, previo análisis de oportunidad y conveniencia. </w:t>
      </w:r>
    </w:p>
    <w:p w14:paraId="4D40CCC4" w14:textId="77777777" w:rsidR="0075058F" w:rsidRPr="001B3C5D"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viii</w:t>
      </w:r>
      <w:proofErr w:type="spellEnd"/>
      <w:r w:rsidRPr="001B3C5D">
        <w:rPr>
          <w:rFonts w:ascii="Verdana" w:eastAsia="Aptos" w:hAnsi="Verdana" w:cs="Times New Roman"/>
          <w:kern w:val="2"/>
          <w14:ligatures w14:val="standardContextual"/>
        </w:rPr>
        <w:t xml:space="preserve">)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2.2.1.2.4.2.7.6. del Decreto 1082 de 2015, </w:t>
      </w:r>
      <w:r>
        <w:rPr>
          <w:rFonts w:ascii="Verdana" w:eastAsia="Aptos" w:hAnsi="Verdana" w:cs="Times New Roman"/>
          <w:kern w:val="2"/>
          <w14:ligatures w14:val="standardContextual"/>
        </w:rPr>
        <w:t>contemplando</w:t>
      </w:r>
      <w:r w:rsidRPr="001B3C5D">
        <w:rPr>
          <w:rFonts w:ascii="Verdana" w:eastAsia="Aptos" w:hAnsi="Verdana" w:cs="Times New Roman"/>
          <w:kern w:val="2"/>
          <w14:ligatures w14:val="standardContextual"/>
        </w:rPr>
        <w:t xml:space="preserve"> que, las Entidades Estatales propenderán por la contratación de personas con discapacidad mediante la celebración de contratos de prestación de servicios profesionales y/o de apoyo a la gestión, de acuerdo con su planeación contractual, disponibilidad presupuestal y las necesidades del servicio.</w:t>
      </w:r>
    </w:p>
    <w:p w14:paraId="49FC6C92" w14:textId="77777777" w:rsidR="0075058F"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1B3C5D">
        <w:rPr>
          <w:rFonts w:ascii="Verdana" w:eastAsia="Aptos" w:hAnsi="Verdana" w:cs="Times New Roman"/>
          <w:kern w:val="2"/>
          <w14:ligatures w14:val="standardContextual"/>
        </w:rPr>
        <w:t>ix</w:t>
      </w:r>
      <w:proofErr w:type="spellEnd"/>
      <w:r w:rsidRPr="001B3C5D">
        <w:rPr>
          <w:rFonts w:ascii="Verdana" w:eastAsia="Aptos" w:hAnsi="Verdana" w:cs="Times New Roman"/>
          <w:kern w:val="2"/>
          <w14:ligatures w14:val="standardContextual"/>
        </w:rPr>
        <w:t xml:space="preserve">) </w:t>
      </w:r>
      <w:r>
        <w:rPr>
          <w:rFonts w:ascii="Verdana" w:eastAsia="Aptos" w:hAnsi="Verdana" w:cs="Times New Roman"/>
          <w:kern w:val="2"/>
          <w14:ligatures w14:val="standardContextual"/>
        </w:rPr>
        <w:t>Se incluye</w:t>
      </w:r>
      <w:r w:rsidRPr="001B3C5D">
        <w:rPr>
          <w:rFonts w:ascii="Verdana" w:eastAsia="Aptos" w:hAnsi="Verdana" w:cs="Times New Roman"/>
          <w:kern w:val="2"/>
          <w14:ligatures w14:val="standardContextual"/>
        </w:rPr>
        <w:t xml:space="preserve"> el artículo 2.2.1.2.4.2.7.</w:t>
      </w:r>
      <w:r>
        <w:rPr>
          <w:rFonts w:ascii="Verdana" w:eastAsia="Aptos" w:hAnsi="Verdana" w:cs="Times New Roman"/>
          <w:kern w:val="2"/>
          <w14:ligatures w14:val="standardContextual"/>
        </w:rPr>
        <w:t>7</w:t>
      </w:r>
      <w:r w:rsidRPr="001B3C5D">
        <w:rPr>
          <w:rFonts w:ascii="Verdana" w:eastAsia="Aptos" w:hAnsi="Verdana" w:cs="Times New Roman"/>
          <w:kern w:val="2"/>
          <w14:ligatures w14:val="standardContextual"/>
        </w:rPr>
        <w:t>. del Decreto 1082 de 2015, que</w:t>
      </w:r>
      <w:r>
        <w:rPr>
          <w:rFonts w:ascii="Verdana" w:eastAsia="Aptos" w:hAnsi="Verdana" w:cs="Times New Roman"/>
          <w:kern w:val="2"/>
          <w14:ligatures w14:val="standardContextual"/>
        </w:rPr>
        <w:t xml:space="preserve"> incorpora el</w:t>
      </w:r>
      <w:r w:rsidRPr="004B7044">
        <w:t xml:space="preserve"> </w:t>
      </w:r>
      <w:r w:rsidRPr="004B7044">
        <w:rPr>
          <w:rFonts w:ascii="Verdana" w:eastAsia="Aptos" w:hAnsi="Verdana" w:cs="Times New Roman"/>
          <w:kern w:val="2"/>
          <w14:ligatures w14:val="standardContextual"/>
        </w:rPr>
        <w:t>seguimiento a la inclusión de personas con discapacidad a través de contratos de prestación de servicios profesionales y lo de apoyo a la gestión.</w:t>
      </w:r>
    </w:p>
    <w:p w14:paraId="73DDF00F" w14:textId="77777777" w:rsidR="0075058F"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r>
        <w:rPr>
          <w:rFonts w:ascii="Verdana" w:eastAsia="Aptos" w:hAnsi="Verdana" w:cs="Times New Roman"/>
          <w:kern w:val="2"/>
          <w14:ligatures w14:val="standardContextual"/>
        </w:rPr>
        <w:t xml:space="preserve">x) </w:t>
      </w:r>
      <w:r w:rsidRPr="009D75DA">
        <w:rPr>
          <w:rFonts w:ascii="Verdana" w:eastAsia="Aptos" w:hAnsi="Verdana" w:cs="Times New Roman"/>
          <w:kern w:val="2"/>
          <w14:ligatures w14:val="standardContextual"/>
        </w:rPr>
        <w:t>Se incluye el artículo 2.2.1.2.4.2.7.8. del Decreto 1082 de 2015, que dispone que</w:t>
      </w:r>
      <w:r>
        <w:rPr>
          <w:rFonts w:ascii="Verdana" w:eastAsia="Aptos" w:hAnsi="Verdana" w:cs="Times New Roman"/>
          <w:kern w:val="2"/>
          <w14:ligatures w14:val="standardContextual"/>
        </w:rPr>
        <w:t xml:space="preserve">, </w:t>
      </w:r>
      <w:r w:rsidRPr="001B3C5D">
        <w:rPr>
          <w:rFonts w:ascii="Verdana" w:eastAsia="Aptos" w:hAnsi="Verdana" w:cs="Times New Roman"/>
          <w:kern w:val="2"/>
          <w14:ligatures w14:val="standardContextual"/>
        </w:rPr>
        <w:t xml:space="preserve">la Agencia Nacional de Contratación Pública –Colombia Compra Eficiente garantizará la adopción permanente de las acciones necesarias para que las medidas señaladas en favor de las Personas con Discapacidad se </w:t>
      </w:r>
      <w:r w:rsidRPr="001B3C5D">
        <w:rPr>
          <w:rFonts w:ascii="Verdana" w:eastAsia="Aptos" w:hAnsi="Verdana" w:cs="Times New Roman"/>
          <w:kern w:val="2"/>
          <w14:ligatures w14:val="standardContextual"/>
        </w:rPr>
        <w:lastRenderedPageBreak/>
        <w:t xml:space="preserve">incorporen a los documentos e instrumentos que genera. </w:t>
      </w:r>
    </w:p>
    <w:p w14:paraId="244F532E" w14:textId="77777777" w:rsidR="0075058F"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r>
        <w:rPr>
          <w:rFonts w:ascii="Verdana" w:eastAsia="Aptos" w:hAnsi="Verdana" w:cs="Times New Roman"/>
          <w:kern w:val="2"/>
          <w14:ligatures w14:val="standardContextual"/>
        </w:rPr>
        <w:t>xi)</w:t>
      </w:r>
      <w:r w:rsidRPr="007C6E53">
        <w:rPr>
          <w:rFonts w:ascii="Verdana" w:eastAsia="Aptos" w:hAnsi="Verdana" w:cs="Times New Roman"/>
          <w:kern w:val="2"/>
          <w14:ligatures w14:val="standardContextual"/>
        </w:rPr>
        <w:t xml:space="preserve"> </w:t>
      </w:r>
      <w:r>
        <w:rPr>
          <w:rFonts w:ascii="Verdana" w:eastAsia="Aptos" w:hAnsi="Verdana" w:cs="Times New Roman"/>
          <w:color w:val="000000" w:themeColor="text1"/>
          <w:kern w:val="2"/>
          <w14:ligatures w14:val="standardContextual"/>
        </w:rPr>
        <w:t xml:space="preserve">Se </w:t>
      </w:r>
      <w:r w:rsidRPr="0046297E">
        <w:rPr>
          <w:rFonts w:ascii="Verdana" w:eastAsia="Aptos" w:hAnsi="Verdana" w:cs="Times New Roman"/>
          <w:color w:val="000000" w:themeColor="text1"/>
          <w:kern w:val="2"/>
          <w14:ligatures w14:val="standardContextual"/>
        </w:rPr>
        <w:t>incluye el artículo 2.2.1.2.4.2.7.9 del Decreto 1082 de 2015</w:t>
      </w:r>
      <w:r w:rsidRPr="0046297E">
        <w:rPr>
          <w:rFonts w:ascii="Work Sans" w:hAnsi="Work Sans"/>
          <w:b/>
          <w:bCs/>
          <w:color w:val="000000" w:themeColor="text1"/>
          <w:sz w:val="25"/>
          <w:szCs w:val="25"/>
          <w:shd w:val="clear" w:color="auto" w:fill="FFFFFF"/>
        </w:rPr>
        <w:t xml:space="preserve"> </w:t>
      </w:r>
      <w:r w:rsidRPr="0046297E">
        <w:rPr>
          <w:rFonts w:ascii="Verdana" w:hAnsi="Verdana"/>
          <w:color w:val="000000" w:themeColor="text1"/>
          <w:shd w:val="clear" w:color="auto" w:fill="FFFFFF"/>
        </w:rPr>
        <w:t>que establece lo referente al</w:t>
      </w:r>
      <w:r w:rsidRPr="0046297E">
        <w:rPr>
          <w:rFonts w:ascii="Work Sans" w:hAnsi="Work Sans"/>
          <w:b/>
          <w:bCs/>
          <w:color w:val="000000" w:themeColor="text1"/>
          <w:sz w:val="25"/>
          <w:szCs w:val="25"/>
          <w:shd w:val="clear" w:color="auto" w:fill="FFFFFF"/>
        </w:rPr>
        <w:t xml:space="preserve"> </w:t>
      </w:r>
      <w:r w:rsidRPr="0046297E">
        <w:rPr>
          <w:rFonts w:ascii="Verdana" w:eastAsia="Aptos" w:hAnsi="Verdana" w:cs="Times New Roman"/>
          <w:color w:val="000000" w:themeColor="text1"/>
          <w:kern w:val="2"/>
          <w14:ligatures w14:val="standardContextual"/>
        </w:rPr>
        <w:t>acceso y accesibilidad del sistema electrónico de contratación pública - SECOP. </w:t>
      </w:r>
    </w:p>
    <w:p w14:paraId="1236DC90" w14:textId="77777777" w:rsidR="0075058F" w:rsidRPr="007D4CFA" w:rsidRDefault="0075058F" w:rsidP="0075058F">
      <w:pPr>
        <w:widowControl w:val="0"/>
        <w:autoSpaceDE w:val="0"/>
        <w:autoSpaceDN w:val="0"/>
        <w:spacing w:after="120" w:line="276" w:lineRule="auto"/>
        <w:ind w:firstLine="708"/>
        <w:jc w:val="both"/>
        <w:rPr>
          <w:rFonts w:ascii="Verdana" w:eastAsia="Aptos" w:hAnsi="Verdana" w:cs="Times New Roman"/>
          <w:kern w:val="2"/>
          <w14:ligatures w14:val="standardContextual"/>
        </w:rPr>
      </w:pPr>
      <w:r>
        <w:rPr>
          <w:rFonts w:ascii="Verdana" w:eastAsia="Aptos" w:hAnsi="Verdana" w:cs="Times New Roman"/>
          <w:kern w:val="2"/>
          <w14:ligatures w14:val="standardContextual"/>
        </w:rPr>
        <w:t xml:space="preserve">Ahora bien, de acuerdo con las inquietudes planteadas, resulta necesario realizar algunas precisiones en relación con el artículo 2.2.1.2.4.2.7.4 del Decreto 1082 de 2015, adicionado por el Decreto 287 de 2026, el cual contempla </w:t>
      </w:r>
      <w:r>
        <w:rPr>
          <w:rFonts w:ascii="Verdana" w:eastAsia="Times New Roman" w:hAnsi="Verdana" w:cs="Times New Roman"/>
        </w:rPr>
        <w:t>u</w:t>
      </w:r>
      <w:r w:rsidRPr="00E727F0">
        <w:rPr>
          <w:rFonts w:ascii="Verdana" w:eastAsia="Times New Roman" w:hAnsi="Verdana" w:cs="Times New Roman"/>
        </w:rPr>
        <w:t xml:space="preserve">no de los incentivos centrales en favor </w:t>
      </w:r>
      <w:r w:rsidRPr="00916967">
        <w:rPr>
          <w:rFonts w:ascii="Verdana" w:eastAsia="Aptos" w:hAnsi="Verdana" w:cs="Times New Roman"/>
          <w:kern w:val="2"/>
          <w14:ligatures w14:val="standardContextual"/>
        </w:rPr>
        <w:t>de los empleadores de personas con discapacidad y de los emprendimientos y empresas de personas con discapacidad</w:t>
      </w:r>
      <w:r>
        <w:rPr>
          <w:rFonts w:ascii="Verdana" w:eastAsia="Times New Roman" w:hAnsi="Verdana" w:cs="Times New Roman"/>
        </w:rPr>
        <w:t>, referente a</w:t>
      </w:r>
      <w:r w:rsidRPr="00E727F0">
        <w:rPr>
          <w:rFonts w:ascii="Verdana" w:eastAsia="Times New Roman" w:hAnsi="Verdana" w:cs="Times New Roman"/>
        </w:rPr>
        <w:t>l puntaje adicional del 2%</w:t>
      </w:r>
      <w:r>
        <w:rPr>
          <w:rFonts w:ascii="Verdana" w:eastAsia="Times New Roman" w:hAnsi="Verdana" w:cs="Times New Roman"/>
        </w:rPr>
        <w:t xml:space="preserve"> del valor total de los puntos establecidos en los pliegos de condiciones o documento equivalente.</w:t>
      </w:r>
    </w:p>
    <w:p w14:paraId="5DB8336A" w14:textId="77777777" w:rsidR="0075058F" w:rsidRPr="009C6C16" w:rsidRDefault="0075058F" w:rsidP="0075058F">
      <w:pPr>
        <w:widowControl w:val="0"/>
        <w:autoSpaceDE w:val="0"/>
        <w:autoSpaceDN w:val="0"/>
        <w:spacing w:after="120" w:line="276" w:lineRule="auto"/>
        <w:ind w:firstLine="709"/>
        <w:jc w:val="both"/>
        <w:rPr>
          <w:rFonts w:ascii="Verdana" w:eastAsia="Aptos" w:hAnsi="Verdana" w:cs="Times New Roman"/>
          <w:kern w:val="2"/>
          <w14:ligatures w14:val="standardContextual"/>
        </w:rPr>
      </w:pPr>
      <w:r>
        <w:rPr>
          <w:rFonts w:ascii="Verdana" w:eastAsia="Times New Roman" w:hAnsi="Verdana" w:cs="Times New Roman"/>
        </w:rPr>
        <w:t>De conformidad con la norma en mención, e</w:t>
      </w:r>
      <w:r w:rsidRPr="00E727F0">
        <w:rPr>
          <w:rFonts w:ascii="Verdana" w:eastAsia="Times New Roman" w:hAnsi="Verdana" w:cs="Times New Roman"/>
        </w:rPr>
        <w:t>ste puntaje puede obtenerse</w:t>
      </w:r>
      <w:r>
        <w:rPr>
          <w:rFonts w:ascii="Verdana" w:eastAsia="Times New Roman" w:hAnsi="Verdana" w:cs="Times New Roman"/>
        </w:rPr>
        <w:t xml:space="preserve"> en los procesos de licitación pública y de concurso de méritos,</w:t>
      </w:r>
      <w:r w:rsidRPr="00E727F0">
        <w:rPr>
          <w:rFonts w:ascii="Verdana" w:eastAsia="Times New Roman" w:hAnsi="Verdana" w:cs="Times New Roman"/>
        </w:rPr>
        <w:t xml:space="preserve"> acreditando cualquiera de las </w:t>
      </w:r>
      <w:r>
        <w:rPr>
          <w:rFonts w:ascii="Verdana" w:eastAsia="Times New Roman" w:hAnsi="Verdana" w:cs="Times New Roman"/>
        </w:rPr>
        <w:t>siguientes situaciones</w:t>
      </w:r>
      <w:r w:rsidRPr="00E727F0">
        <w:rPr>
          <w:rFonts w:ascii="Verdana" w:eastAsia="Times New Roman" w:hAnsi="Verdana" w:cs="Times New Roman"/>
        </w:rPr>
        <w:t xml:space="preserve">: </w:t>
      </w:r>
      <w:r>
        <w:rPr>
          <w:rFonts w:ascii="Verdana" w:eastAsia="Times New Roman" w:hAnsi="Verdana" w:cs="Times New Roman"/>
        </w:rPr>
        <w:t xml:space="preserve">i) </w:t>
      </w:r>
      <w:r w:rsidRPr="00E727F0">
        <w:rPr>
          <w:rFonts w:ascii="Verdana" w:eastAsia="Times New Roman" w:hAnsi="Verdana" w:cs="Times New Roman"/>
        </w:rPr>
        <w:t xml:space="preserve">ser emprendimiento o empresa de </w:t>
      </w:r>
      <w:proofErr w:type="spellStart"/>
      <w:r w:rsidRPr="00E727F0">
        <w:rPr>
          <w:rFonts w:ascii="Verdana" w:eastAsia="Times New Roman" w:hAnsi="Verdana" w:cs="Times New Roman"/>
        </w:rPr>
        <w:t>PcD</w:t>
      </w:r>
      <w:proofErr w:type="spellEnd"/>
      <w:r w:rsidRPr="00E727F0">
        <w:rPr>
          <w:rFonts w:ascii="Verdana" w:eastAsia="Times New Roman" w:hAnsi="Verdana" w:cs="Times New Roman"/>
        </w:rPr>
        <w:t xml:space="preserve">, conforme a las categorías del artículo 2.2.1.2.4.2.6., o ser </w:t>
      </w:r>
      <w:proofErr w:type="spellStart"/>
      <w:r>
        <w:rPr>
          <w:rFonts w:ascii="Verdana" w:eastAsia="Times New Roman" w:hAnsi="Verdana" w:cs="Times New Roman"/>
        </w:rPr>
        <w:t>ii</w:t>
      </w:r>
      <w:proofErr w:type="spellEnd"/>
      <w:r>
        <w:rPr>
          <w:rFonts w:ascii="Verdana" w:eastAsia="Times New Roman" w:hAnsi="Verdana" w:cs="Times New Roman"/>
        </w:rPr>
        <w:t xml:space="preserve">) </w:t>
      </w:r>
      <w:r w:rsidRPr="00E727F0">
        <w:rPr>
          <w:rFonts w:ascii="Verdana" w:eastAsia="Times New Roman" w:hAnsi="Verdana" w:cs="Times New Roman"/>
        </w:rPr>
        <w:t xml:space="preserve">empleador de </w:t>
      </w:r>
      <w:proofErr w:type="spellStart"/>
      <w:r w:rsidRPr="00E727F0">
        <w:rPr>
          <w:rFonts w:ascii="Verdana" w:eastAsia="Times New Roman" w:hAnsi="Verdana" w:cs="Times New Roman"/>
        </w:rPr>
        <w:t>PcD</w:t>
      </w:r>
      <w:proofErr w:type="spellEnd"/>
      <w:r w:rsidRPr="00E727F0">
        <w:rPr>
          <w:rFonts w:ascii="Verdana" w:eastAsia="Times New Roman" w:hAnsi="Verdana" w:cs="Times New Roman"/>
        </w:rPr>
        <w:t xml:space="preserve"> que supere los mínimos de vinculación exigidos por la Ley 2466 de 2025 (Reforma Laboral)</w:t>
      </w:r>
      <w:r>
        <w:rPr>
          <w:rFonts w:ascii="Verdana" w:eastAsia="Times New Roman" w:hAnsi="Verdana" w:cs="Times New Roman"/>
        </w:rPr>
        <w:t xml:space="preserve"> conforme a la tabla establecida</w:t>
      </w:r>
      <w:r w:rsidRPr="00E727F0">
        <w:rPr>
          <w:rFonts w:ascii="Verdana" w:eastAsia="Times New Roman" w:hAnsi="Verdana" w:cs="Times New Roman"/>
        </w:rPr>
        <w:t>. Sin embargo, el hecho de que ambas condiciones puedan acreditarse simultáneamente no significa que el puntaje sea acumulable. El mismo artículo es explícito al disponer que:</w:t>
      </w:r>
    </w:p>
    <w:p w14:paraId="7E993EB3" w14:textId="77777777" w:rsidR="0075058F" w:rsidRPr="00BA6536" w:rsidRDefault="0075058F" w:rsidP="0075058F">
      <w:pPr>
        <w:spacing w:after="0" w:line="240" w:lineRule="auto"/>
        <w:jc w:val="both"/>
        <w:rPr>
          <w:rFonts w:ascii="Verdana" w:eastAsia="Times New Roman" w:hAnsi="Verdana" w:cs="Times New Roman"/>
        </w:rPr>
      </w:pPr>
    </w:p>
    <w:p w14:paraId="58074705" w14:textId="77777777" w:rsidR="0075058F" w:rsidRPr="00B53264" w:rsidRDefault="0075058F" w:rsidP="0075058F">
      <w:pPr>
        <w:spacing w:after="0" w:line="240" w:lineRule="auto"/>
        <w:ind w:left="720" w:right="720"/>
        <w:jc w:val="both"/>
        <w:rPr>
          <w:rFonts w:ascii="Verdana" w:eastAsia="Times New Roman" w:hAnsi="Verdana" w:cs="Times New Roman"/>
          <w:sz w:val="20"/>
          <w:szCs w:val="20"/>
        </w:rPr>
      </w:pPr>
      <w:r w:rsidRPr="00B53264">
        <w:rPr>
          <w:rFonts w:ascii="Verdana" w:eastAsia="Times New Roman" w:hAnsi="Verdana" w:cs="Times New Roman"/>
          <w:sz w:val="20"/>
          <w:szCs w:val="20"/>
        </w:rPr>
        <w:t>"El proponente podrá acreditar alguna de las situaciones mencionadas, y en todo caso el puntaje adicional total y único a otorgar por este criterio será del dos por ciento (2%), sin que sean acumulables a efecto de la evaluación de la oferta."</w:t>
      </w:r>
    </w:p>
    <w:p w14:paraId="2A3C7D89" w14:textId="77777777" w:rsidR="0075058F" w:rsidRPr="00E727F0" w:rsidRDefault="0075058F" w:rsidP="0075058F">
      <w:pPr>
        <w:spacing w:after="0" w:line="240" w:lineRule="auto"/>
        <w:ind w:left="720" w:right="720"/>
        <w:jc w:val="both"/>
        <w:rPr>
          <w:rFonts w:ascii="Verdana" w:hAnsi="Verdana"/>
          <w:sz w:val="20"/>
          <w:szCs w:val="20"/>
        </w:rPr>
      </w:pPr>
    </w:p>
    <w:p w14:paraId="6DA8A7C4" w14:textId="77777777" w:rsidR="0075058F" w:rsidRPr="00221C61" w:rsidRDefault="0075058F" w:rsidP="0075058F">
      <w:pPr>
        <w:spacing w:after="120" w:line="276" w:lineRule="auto"/>
        <w:ind w:firstLine="709"/>
        <w:jc w:val="both"/>
        <w:rPr>
          <w:rFonts w:ascii="Verdana" w:eastAsia="Times New Roman" w:hAnsi="Verdana" w:cs="Times New Roman"/>
        </w:rPr>
      </w:pPr>
      <w:r w:rsidRPr="00E727F0">
        <w:rPr>
          <w:rFonts w:ascii="Verdana" w:eastAsia="Times New Roman" w:hAnsi="Verdana" w:cs="Times New Roman"/>
        </w:rPr>
        <w:t xml:space="preserve">Esta decisión normativa responde a </w:t>
      </w:r>
      <w:r>
        <w:rPr>
          <w:rFonts w:ascii="Verdana" w:eastAsia="Times New Roman" w:hAnsi="Verdana" w:cs="Times New Roman"/>
        </w:rPr>
        <w:t>que e</w:t>
      </w:r>
      <w:r w:rsidRPr="00E727F0">
        <w:rPr>
          <w:rFonts w:ascii="Verdana" w:eastAsia="Times New Roman" w:hAnsi="Verdana" w:cs="Times New Roman"/>
        </w:rPr>
        <w:t xml:space="preserve">l 2% incorpora el estímulo suficiente para promover la inclusión de </w:t>
      </w:r>
      <w:proofErr w:type="spellStart"/>
      <w:r w:rsidRPr="00E727F0">
        <w:rPr>
          <w:rFonts w:ascii="Verdana" w:eastAsia="Times New Roman" w:hAnsi="Verdana" w:cs="Times New Roman"/>
        </w:rPr>
        <w:t>PcD</w:t>
      </w:r>
      <w:proofErr w:type="spellEnd"/>
      <w:r w:rsidRPr="00E727F0">
        <w:rPr>
          <w:rFonts w:ascii="Verdana" w:eastAsia="Times New Roman" w:hAnsi="Verdana" w:cs="Times New Roman"/>
        </w:rPr>
        <w:t xml:space="preserve"> y permitir su acumulación distorsionaría la evaluación de las ofertas en perjuicio de la pluralidad de oferentes y de la selección objetiva, que son principios rectores de la contratación estatal. Es importante distinguir entre la acreditación de condiciones y el puntaje resultante</w:t>
      </w:r>
      <w:r>
        <w:rPr>
          <w:rFonts w:ascii="Verdana" w:eastAsia="Times New Roman" w:hAnsi="Verdana" w:cs="Times New Roman"/>
        </w:rPr>
        <w:t>, ya que</w:t>
      </w:r>
      <w:r w:rsidRPr="00E727F0">
        <w:rPr>
          <w:rFonts w:ascii="Verdana" w:eastAsia="Times New Roman" w:hAnsi="Verdana" w:cs="Times New Roman"/>
        </w:rPr>
        <w:t xml:space="preserve"> el proponente puede acreditar varias condiciones al mismo tiempo, pero el puntaje que recibe siempre será el 2%, sin variación. En términos prácticos, en una licitación de 1.000 puntos el 2% equivale a 20 puntos adicionales, ventaja que puede ser determinante en escenarios de puntuaciones cercanas.</w:t>
      </w:r>
    </w:p>
    <w:p w14:paraId="7A38F07A" w14:textId="77777777" w:rsidR="0075058F" w:rsidRDefault="0075058F" w:rsidP="0075058F">
      <w:pPr>
        <w:spacing w:after="120" w:line="276" w:lineRule="auto"/>
        <w:ind w:firstLine="709"/>
        <w:jc w:val="both"/>
        <w:rPr>
          <w:rFonts w:ascii="Verdana" w:eastAsia="Times New Roman" w:hAnsi="Verdana" w:cs="Times New Roman"/>
        </w:rPr>
      </w:pPr>
      <w:r w:rsidRPr="00696B3E">
        <w:rPr>
          <w:rFonts w:ascii="Verdana" w:eastAsia="Times New Roman" w:hAnsi="Verdana" w:cs="Times New Roman"/>
        </w:rPr>
        <w:lastRenderedPageBreak/>
        <w:t>Bajo este contexto, debe señalarse que los requisitos exigidos para acceder a este puntaje varían según el sujeto que deba acreditarlos</w:t>
      </w:r>
      <w:r>
        <w:rPr>
          <w:rFonts w:ascii="Verdana" w:eastAsia="Times New Roman" w:hAnsi="Verdana" w:cs="Times New Roman"/>
        </w:rPr>
        <w:t>. Por un lado,</w:t>
      </w:r>
      <w:r w:rsidRPr="007B01BA">
        <w:rPr>
          <w:rFonts w:ascii="Verdana" w:eastAsia="Times New Roman" w:hAnsi="Verdana" w:cs="Times New Roman"/>
        </w:rPr>
        <w:t xml:space="preserve"> cuando se trata de un emprendimiento o empresa de </w:t>
      </w:r>
      <w:proofErr w:type="spellStart"/>
      <w:r w:rsidRPr="007B01BA">
        <w:rPr>
          <w:rFonts w:ascii="Verdana" w:eastAsia="Times New Roman" w:hAnsi="Verdana" w:cs="Times New Roman"/>
        </w:rPr>
        <w:t>PcD</w:t>
      </w:r>
      <w:proofErr w:type="spellEnd"/>
      <w:r>
        <w:rPr>
          <w:rFonts w:ascii="Verdana" w:eastAsia="Times New Roman" w:hAnsi="Verdana" w:cs="Times New Roman"/>
        </w:rPr>
        <w:t xml:space="preserve">, </w:t>
      </w:r>
      <w:r w:rsidRPr="007B01BA">
        <w:rPr>
          <w:rFonts w:ascii="Verdana" w:eastAsia="Times New Roman" w:hAnsi="Verdana" w:cs="Times New Roman"/>
        </w:rPr>
        <w:t>l</w:t>
      </w:r>
      <w:r>
        <w:rPr>
          <w:rFonts w:ascii="Verdana" w:eastAsia="Times New Roman" w:hAnsi="Verdana" w:cs="Times New Roman"/>
        </w:rPr>
        <w:t>o</w:t>
      </w:r>
      <w:r w:rsidRPr="007B01BA">
        <w:rPr>
          <w:rFonts w:ascii="Verdana" w:eastAsia="Times New Roman" w:hAnsi="Verdana" w:cs="Times New Roman"/>
        </w:rPr>
        <w:t>s documentos requeridos son los establecidos en el artículo 2.2.1.2.4.2.6., que varían según la categoría que se acredite</w:t>
      </w:r>
      <w:r>
        <w:rPr>
          <w:rFonts w:ascii="Verdana" w:eastAsia="Times New Roman" w:hAnsi="Verdana" w:cs="Times New Roman"/>
        </w:rPr>
        <w:t xml:space="preserve">. </w:t>
      </w:r>
      <w:r w:rsidRPr="008433AE">
        <w:rPr>
          <w:rFonts w:ascii="Verdana" w:eastAsia="Times New Roman" w:hAnsi="Verdana" w:cs="Times New Roman"/>
        </w:rPr>
        <w:t>En efecto, el numeral 1 de la disposición en comento remite expresamente al artículo 2.2.1.2.4.2.6 del Decreto 287 de 2026, que establece la definición de emprendimientos y empresas de personas con discapacidad</w:t>
      </w:r>
      <w:r>
        <w:rPr>
          <w:rFonts w:ascii="Verdana" w:eastAsia="Times New Roman" w:hAnsi="Verdana" w:cs="Times New Roman"/>
        </w:rPr>
        <w:t xml:space="preserve">, por lo </w:t>
      </w:r>
      <w:proofErr w:type="gramStart"/>
      <w:r>
        <w:rPr>
          <w:rFonts w:ascii="Verdana" w:eastAsia="Times New Roman" w:hAnsi="Verdana" w:cs="Times New Roman"/>
        </w:rPr>
        <w:t>que</w:t>
      </w:r>
      <w:proofErr w:type="gramEnd"/>
      <w:r>
        <w:rPr>
          <w:rFonts w:ascii="Verdana" w:eastAsia="Times New Roman" w:hAnsi="Verdana" w:cs="Times New Roman"/>
        </w:rPr>
        <w:t xml:space="preserve"> </w:t>
      </w:r>
      <w:r w:rsidRPr="008433AE">
        <w:rPr>
          <w:rFonts w:ascii="Verdana" w:eastAsia="Times New Roman" w:hAnsi="Verdana" w:cs="Times New Roman"/>
        </w:rPr>
        <w:t>para acceder al puntaje adicional, el proponente deberá acreditar el cumplimiento de las condiciones allí previstas, de conformidad con la tarifa legal contemplada en cada uno de los numerales de dicha disposición</w:t>
      </w:r>
      <w:r>
        <w:rPr>
          <w:rFonts w:ascii="Verdana" w:eastAsia="Times New Roman" w:hAnsi="Verdana" w:cs="Times New Roman"/>
        </w:rPr>
        <w:t>.</w:t>
      </w:r>
    </w:p>
    <w:p w14:paraId="756E7646" w14:textId="77777777" w:rsidR="0075058F" w:rsidRPr="0068418D" w:rsidRDefault="0075058F" w:rsidP="0075058F">
      <w:pPr>
        <w:spacing w:after="120" w:line="276" w:lineRule="auto"/>
        <w:ind w:firstLine="709"/>
        <w:jc w:val="both"/>
        <w:rPr>
          <w:rFonts w:ascii="Verdana" w:eastAsia="Times New Roman" w:hAnsi="Verdana" w:cs="Times New Roman"/>
        </w:rPr>
      </w:pPr>
      <w:r>
        <w:rPr>
          <w:rFonts w:ascii="Verdana" w:eastAsia="Times New Roman" w:hAnsi="Verdana" w:cs="Times New Roman"/>
        </w:rPr>
        <w:t xml:space="preserve">Por otro lado, conforme lo señala el numeral 2 </w:t>
      </w:r>
      <w:r w:rsidRPr="006262B6">
        <w:rPr>
          <w:rFonts w:ascii="Verdana" w:eastAsia="Times New Roman" w:hAnsi="Verdana" w:cs="Times New Roman"/>
          <w:i/>
          <w:iCs/>
        </w:rPr>
        <w:t>ibidem</w:t>
      </w:r>
      <w:r>
        <w:rPr>
          <w:rFonts w:ascii="Verdana" w:eastAsia="Times New Roman" w:hAnsi="Verdana" w:cs="Times New Roman"/>
        </w:rPr>
        <w:t xml:space="preserve">, </w:t>
      </w:r>
      <w:r w:rsidRPr="007B01BA">
        <w:rPr>
          <w:rFonts w:ascii="Verdana" w:eastAsia="Times New Roman" w:hAnsi="Verdana" w:cs="Times New Roman"/>
        </w:rPr>
        <w:t xml:space="preserve">cuando se trata de un empleador de </w:t>
      </w:r>
      <w:proofErr w:type="spellStart"/>
      <w:r w:rsidRPr="007B01BA">
        <w:rPr>
          <w:rFonts w:ascii="Verdana" w:eastAsia="Times New Roman" w:hAnsi="Verdana" w:cs="Times New Roman"/>
        </w:rPr>
        <w:t>PcD</w:t>
      </w:r>
      <w:proofErr w:type="spellEnd"/>
      <w:r w:rsidRPr="007B01BA">
        <w:rPr>
          <w:rFonts w:ascii="Verdana" w:eastAsia="Times New Roman" w:hAnsi="Verdana" w:cs="Times New Roman"/>
        </w:rPr>
        <w:t xml:space="preserve">, </w:t>
      </w:r>
      <w:r w:rsidRPr="00D22B7C">
        <w:rPr>
          <w:rFonts w:ascii="Verdana" w:eastAsia="Times New Roman" w:hAnsi="Verdana" w:cs="Times New Roman"/>
        </w:rPr>
        <w:t xml:space="preserve">el proponente debe acreditar dentro de su planta de personal la vinculación de personas con discapacidad mediante contrato laboral con dedicación exclusiva, superando los mínimos que exige la Ley 2466 de 2025 (Reforma Laboral). El número mínimo de </w:t>
      </w:r>
      <w:proofErr w:type="spellStart"/>
      <w:r w:rsidRPr="00D22B7C">
        <w:rPr>
          <w:rFonts w:ascii="Verdana" w:eastAsia="Times New Roman" w:hAnsi="Verdana" w:cs="Times New Roman"/>
        </w:rPr>
        <w:t>PcD</w:t>
      </w:r>
      <w:proofErr w:type="spellEnd"/>
      <w:r w:rsidRPr="00D22B7C">
        <w:rPr>
          <w:rFonts w:ascii="Verdana" w:eastAsia="Times New Roman" w:hAnsi="Verdana" w:cs="Times New Roman"/>
        </w:rPr>
        <w:t xml:space="preserve"> requerido varía según el tamaño de la planta de personal del proponente, conforme a la siguiente tabla:</w:t>
      </w:r>
    </w:p>
    <w:p w14:paraId="29BC424F" w14:textId="77777777" w:rsidR="0075058F" w:rsidRPr="00D22B7C" w:rsidRDefault="0075058F" w:rsidP="0075058F">
      <w:pPr>
        <w:spacing w:after="120" w:line="276" w:lineRule="auto"/>
        <w:ind w:firstLine="709"/>
        <w:jc w:val="both"/>
        <w:rPr>
          <w:rFonts w:ascii="Verdana" w:hAnsi="Verdana"/>
        </w:rPr>
      </w:pPr>
    </w:p>
    <w:tbl>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56"/>
        <w:gridCol w:w="3107"/>
      </w:tblGrid>
      <w:tr w:rsidR="0075058F" w:rsidRPr="00D22B7C" w14:paraId="007C1B20" w14:textId="77777777" w:rsidTr="007E09F3">
        <w:trPr>
          <w:jc w:val="center"/>
        </w:trPr>
        <w:tc>
          <w:tcPr>
            <w:tcW w:w="35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6489350"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b/>
                <w:bCs/>
                <w:sz w:val="20"/>
                <w:szCs w:val="20"/>
              </w:rPr>
              <w:t>Número total de trabajadores de la planta de personal del proponente</w:t>
            </w:r>
          </w:p>
        </w:tc>
        <w:tc>
          <w:tcPr>
            <w:tcW w:w="310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94829E6"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b/>
                <w:bCs/>
                <w:sz w:val="20"/>
                <w:szCs w:val="20"/>
              </w:rPr>
              <w:t>Número mínimo de trabajadores con discapacidad requerido</w:t>
            </w:r>
          </w:p>
        </w:tc>
      </w:tr>
      <w:tr w:rsidR="0075058F" w:rsidRPr="00D22B7C" w14:paraId="43D63544" w14:textId="77777777" w:rsidTr="007E09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4294170"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Entre 1 y 30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DC042FA"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2</w:t>
            </w:r>
          </w:p>
        </w:tc>
      </w:tr>
      <w:tr w:rsidR="0075058F" w:rsidRPr="00D22B7C" w14:paraId="1B61B6F3" w14:textId="77777777" w:rsidTr="007E09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BC65BFE"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Entre 31 y 100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3C3D8D1"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3</w:t>
            </w:r>
          </w:p>
        </w:tc>
      </w:tr>
      <w:tr w:rsidR="0075058F" w:rsidRPr="00D22B7C" w14:paraId="1DE2C257" w14:textId="77777777" w:rsidTr="007E09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EB446C5"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Entre 101 y 150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50BB9C6"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4</w:t>
            </w:r>
          </w:p>
        </w:tc>
      </w:tr>
      <w:tr w:rsidR="0075058F" w:rsidRPr="00D22B7C" w14:paraId="06FF6DEE" w14:textId="77777777" w:rsidTr="007E09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F463C2E"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Entre 151 y 200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47F6981"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5</w:t>
            </w:r>
          </w:p>
        </w:tc>
      </w:tr>
      <w:tr w:rsidR="0075058F" w:rsidRPr="00D22B7C" w14:paraId="62402515" w14:textId="77777777" w:rsidTr="007E09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02904CD"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Entre 201 y 300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0A9EEF0"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7</w:t>
            </w:r>
          </w:p>
        </w:tc>
      </w:tr>
      <w:tr w:rsidR="0075058F" w:rsidRPr="00D22B7C" w14:paraId="01A72AE3" w14:textId="77777777" w:rsidTr="007E09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1DB83CC"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Entre 301 y 400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D5C1BE6"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10</w:t>
            </w:r>
          </w:p>
        </w:tc>
      </w:tr>
      <w:tr w:rsidR="0075058F" w:rsidRPr="00D22B7C" w14:paraId="1B01175A" w14:textId="77777777" w:rsidTr="007E09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5250256"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Entre 401 y 500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7D755BC"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12</w:t>
            </w:r>
          </w:p>
        </w:tc>
      </w:tr>
      <w:tr w:rsidR="0075058F" w:rsidRPr="00D22B7C" w14:paraId="6A7957BB" w14:textId="77777777" w:rsidTr="007E09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3E98A46"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Entre 501 y 600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16A6A36"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14</w:t>
            </w:r>
          </w:p>
        </w:tc>
      </w:tr>
      <w:tr w:rsidR="0075058F" w:rsidRPr="00D22B7C" w14:paraId="2F9AC614" w14:textId="77777777" w:rsidTr="007E09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C279107"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lastRenderedPageBreak/>
              <w:t>Entre 601 y 700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4F394A8"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16</w:t>
            </w:r>
          </w:p>
        </w:tc>
      </w:tr>
      <w:tr w:rsidR="0075058F" w:rsidRPr="00D22B7C" w14:paraId="096A5CFB" w14:textId="77777777" w:rsidTr="007E09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FADA6F5"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Más de 700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23EAFFF7" w14:textId="77777777" w:rsidR="0075058F" w:rsidRPr="00854BD3" w:rsidRDefault="0075058F" w:rsidP="007E09F3">
            <w:pPr>
              <w:jc w:val="center"/>
              <w:rPr>
                <w:rFonts w:ascii="Verdana" w:hAnsi="Verdana"/>
                <w:sz w:val="20"/>
                <w:szCs w:val="20"/>
              </w:rPr>
            </w:pPr>
            <w:r w:rsidRPr="00854BD3">
              <w:rPr>
                <w:rFonts w:ascii="Verdana" w:eastAsia="Times New Roman" w:hAnsi="Verdana" w:cs="Times New Roman"/>
                <w:sz w:val="20"/>
                <w:szCs w:val="20"/>
              </w:rPr>
              <w:t>Por cada 100 trabajadores adicionales, se suman 2 trabajadores con discapacidad</w:t>
            </w:r>
          </w:p>
        </w:tc>
      </w:tr>
    </w:tbl>
    <w:p w14:paraId="507DD024" w14:textId="77777777" w:rsidR="0075058F" w:rsidRPr="00D22B7C" w:rsidRDefault="0075058F" w:rsidP="0075058F">
      <w:pPr>
        <w:spacing w:after="120" w:line="276" w:lineRule="auto"/>
        <w:rPr>
          <w:rFonts w:ascii="Verdana" w:hAnsi="Verdana"/>
        </w:rPr>
      </w:pPr>
    </w:p>
    <w:p w14:paraId="05A6CF72" w14:textId="77777777" w:rsidR="0075058F" w:rsidRDefault="0075058F" w:rsidP="0075058F">
      <w:pPr>
        <w:spacing w:after="120" w:line="276" w:lineRule="auto"/>
        <w:ind w:firstLine="708"/>
        <w:jc w:val="both"/>
        <w:rPr>
          <w:rFonts w:ascii="Verdana" w:eastAsia="Times New Roman" w:hAnsi="Verdana" w:cs="Times New Roman"/>
        </w:rPr>
      </w:pPr>
      <w:r>
        <w:rPr>
          <w:rFonts w:ascii="Verdana" w:eastAsia="Times New Roman" w:hAnsi="Verdana" w:cs="Times New Roman"/>
        </w:rPr>
        <w:t>Para efectos de la acreditación de la condición establecida en el numeral 2, se establece que l</w:t>
      </w:r>
      <w:r w:rsidRPr="000237C0">
        <w:rPr>
          <w:rFonts w:ascii="Verdana" w:eastAsia="Times New Roman" w:hAnsi="Verdana" w:cs="Times New Roman"/>
        </w:rPr>
        <w:t xml:space="preserve">a verificación de estas condiciones se realizará por parte de las Entidades Estatales </w:t>
      </w:r>
      <w:r w:rsidRPr="00807681">
        <w:rPr>
          <w:rFonts w:ascii="Verdana" w:eastAsia="Times New Roman" w:hAnsi="Verdana" w:cs="Times New Roman"/>
        </w:rPr>
        <w:t>con base en los siguientes documentos</w:t>
      </w:r>
      <w:r w:rsidRPr="00CA1AF7">
        <w:rPr>
          <w:rFonts w:ascii="Verdana" w:eastAsia="Times New Roman" w:hAnsi="Verdana" w:cs="Times New Roman"/>
          <w:i/>
          <w:iCs/>
        </w:rPr>
        <w:t xml:space="preserve"> </w:t>
      </w:r>
      <w:r w:rsidRPr="000237C0">
        <w:rPr>
          <w:rFonts w:ascii="Verdana" w:eastAsia="Times New Roman" w:hAnsi="Verdana" w:cs="Times New Roman"/>
        </w:rPr>
        <w:t>que el proponente deberá aportar junta con su oferta, de manera física o digital:</w:t>
      </w:r>
    </w:p>
    <w:p w14:paraId="6B70FE23" w14:textId="77777777" w:rsidR="0075058F" w:rsidRPr="000237C0" w:rsidRDefault="0075058F" w:rsidP="0075058F">
      <w:pPr>
        <w:spacing w:after="0" w:line="276" w:lineRule="auto"/>
        <w:ind w:firstLine="709"/>
        <w:jc w:val="both"/>
        <w:rPr>
          <w:rFonts w:ascii="Verdana" w:eastAsia="Times New Roman" w:hAnsi="Verdana" w:cs="Times New Roman"/>
        </w:rPr>
      </w:pPr>
    </w:p>
    <w:p w14:paraId="68D2679E" w14:textId="77777777" w:rsidR="0075058F" w:rsidRDefault="0075058F" w:rsidP="0075058F">
      <w:pPr>
        <w:spacing w:after="0" w:line="240" w:lineRule="auto"/>
        <w:ind w:left="720" w:right="720"/>
        <w:jc w:val="both"/>
        <w:rPr>
          <w:rFonts w:ascii="Verdana" w:eastAsia="Times New Roman" w:hAnsi="Verdana" w:cs="Times New Roman"/>
          <w:sz w:val="20"/>
          <w:szCs w:val="20"/>
        </w:rPr>
      </w:pPr>
      <w:r>
        <w:rPr>
          <w:rFonts w:ascii="Verdana" w:eastAsia="Times New Roman" w:hAnsi="Verdana" w:cs="Times New Roman"/>
          <w:sz w:val="20"/>
          <w:szCs w:val="20"/>
        </w:rPr>
        <w:t>“</w:t>
      </w:r>
      <w:r w:rsidRPr="00EA4983">
        <w:rPr>
          <w:rFonts w:ascii="Verdana" w:eastAsia="Times New Roman" w:hAnsi="Verdana" w:cs="Times New Roman"/>
          <w:sz w:val="20"/>
          <w:szCs w:val="20"/>
        </w:rPr>
        <w:t xml:space="preserve">- Certificación expedida con una antelación no mayor a treinta (30) días calendario respecto a la fecha de presentación de la oferta, suscrita por el representante legal del proponente y el revisor fiscal, cuando exista de acuerdo con los requerimientos de ley, o el contador, en la que conste el número de personas con discapacidad que conforman su planta de personal. La certificación deberá relacionar el nombre completo y el número de documento de identidad de cada una de las personas con discapacidad. </w:t>
      </w:r>
    </w:p>
    <w:p w14:paraId="6ADE0F9B" w14:textId="77777777" w:rsidR="0075058F" w:rsidRDefault="0075058F" w:rsidP="0075058F">
      <w:pPr>
        <w:spacing w:after="0" w:line="240" w:lineRule="auto"/>
        <w:ind w:left="720" w:right="720"/>
        <w:jc w:val="both"/>
        <w:rPr>
          <w:rFonts w:ascii="Verdana" w:eastAsia="Times New Roman" w:hAnsi="Verdana" w:cs="Times New Roman"/>
          <w:sz w:val="20"/>
          <w:szCs w:val="20"/>
        </w:rPr>
      </w:pPr>
    </w:p>
    <w:p w14:paraId="6409AD22" w14:textId="77777777" w:rsidR="0075058F" w:rsidRDefault="0075058F" w:rsidP="0075058F">
      <w:pPr>
        <w:spacing w:after="0" w:line="240" w:lineRule="auto"/>
        <w:ind w:left="720" w:right="720"/>
        <w:jc w:val="both"/>
        <w:rPr>
          <w:rFonts w:ascii="Verdana" w:eastAsia="Times New Roman" w:hAnsi="Verdana" w:cs="Times New Roman"/>
          <w:sz w:val="20"/>
          <w:szCs w:val="20"/>
        </w:rPr>
      </w:pPr>
      <w:r>
        <w:rPr>
          <w:rFonts w:ascii="Verdana" w:eastAsia="Times New Roman" w:hAnsi="Verdana" w:cs="Times New Roman"/>
          <w:sz w:val="20"/>
          <w:szCs w:val="20"/>
        </w:rPr>
        <w:t>-</w:t>
      </w:r>
      <w:r w:rsidRPr="00EA4983">
        <w:rPr>
          <w:rFonts w:ascii="Verdana" w:eastAsia="Times New Roman" w:hAnsi="Verdana" w:cs="Times New Roman"/>
          <w:sz w:val="20"/>
          <w:szCs w:val="20"/>
        </w:rPr>
        <w:t xml:space="preserve">Como soporte, se anexará copia de los respectivos documentos de identidad, copia de los contratos de trabajo o certificación laboral con las funciones, sin que se puedan relacionar contratos de prestación de servicios, </w:t>
      </w:r>
      <w:r w:rsidRPr="00052857">
        <w:rPr>
          <w:rFonts w:ascii="Verdana" w:eastAsia="Times New Roman" w:hAnsi="Verdana" w:cs="Times New Roman"/>
          <w:i/>
          <w:iCs/>
          <w:sz w:val="20"/>
          <w:szCs w:val="20"/>
        </w:rPr>
        <w:t>así como el certificado de aportes a seguridad social de los últimas tres (3) meses en el que se demuestren los pagos realizados por el empleador,</w:t>
      </w:r>
      <w:r w:rsidRPr="00EA4983">
        <w:rPr>
          <w:rFonts w:ascii="Verdana" w:eastAsia="Times New Roman" w:hAnsi="Verdana" w:cs="Times New Roman"/>
          <w:sz w:val="20"/>
          <w:szCs w:val="20"/>
        </w:rPr>
        <w:t xml:space="preserve"> y el certificado de discapacidad expedido conforme a la normativa vigente del Ministerio de Salud y Protección Social.</w:t>
      </w:r>
    </w:p>
    <w:p w14:paraId="6243ED0E" w14:textId="77777777" w:rsidR="0075058F" w:rsidRPr="00EA4983" w:rsidRDefault="0075058F" w:rsidP="0075058F">
      <w:pPr>
        <w:spacing w:after="0" w:line="240" w:lineRule="auto"/>
        <w:ind w:left="720" w:right="720"/>
        <w:jc w:val="both"/>
        <w:rPr>
          <w:rFonts w:ascii="Verdana" w:eastAsia="Times New Roman" w:hAnsi="Verdana" w:cs="Times New Roman"/>
          <w:sz w:val="20"/>
          <w:szCs w:val="20"/>
        </w:rPr>
      </w:pPr>
    </w:p>
    <w:p w14:paraId="62EA2E04" w14:textId="77777777" w:rsidR="0075058F" w:rsidRDefault="0075058F" w:rsidP="0075058F">
      <w:pPr>
        <w:spacing w:after="0" w:line="240" w:lineRule="auto"/>
        <w:ind w:left="720" w:right="720"/>
        <w:jc w:val="both"/>
        <w:rPr>
          <w:rFonts w:ascii="Verdana" w:eastAsia="Times New Roman" w:hAnsi="Verdana" w:cs="Times New Roman"/>
          <w:sz w:val="20"/>
          <w:szCs w:val="20"/>
        </w:rPr>
      </w:pPr>
      <w:r w:rsidRPr="00EA4983">
        <w:rPr>
          <w:rFonts w:ascii="Verdana" w:eastAsia="Times New Roman" w:hAnsi="Verdana" w:cs="Times New Roman"/>
          <w:sz w:val="20"/>
          <w:szCs w:val="20"/>
        </w:rPr>
        <w:t>- También, esta verificación se hará con el certificado que para el efecto expide el Ministerio de Trabajo y la entidad estatal contratante verificará la vigencia de dicha certificación, de conformidad con la normativa aplicable</w:t>
      </w:r>
      <w:r>
        <w:rPr>
          <w:rFonts w:ascii="Verdana" w:eastAsia="Times New Roman" w:hAnsi="Verdana" w:cs="Times New Roman"/>
          <w:sz w:val="20"/>
          <w:szCs w:val="20"/>
        </w:rPr>
        <w:t>”</w:t>
      </w:r>
      <w:r w:rsidRPr="00EA4983">
        <w:rPr>
          <w:rFonts w:ascii="Verdana" w:eastAsia="Times New Roman" w:hAnsi="Verdana" w:cs="Times New Roman"/>
          <w:sz w:val="20"/>
          <w:szCs w:val="20"/>
        </w:rPr>
        <w:t>.</w:t>
      </w:r>
      <w:r>
        <w:rPr>
          <w:rFonts w:ascii="Verdana" w:eastAsia="Times New Roman" w:hAnsi="Verdana" w:cs="Times New Roman"/>
          <w:sz w:val="20"/>
          <w:szCs w:val="20"/>
        </w:rPr>
        <w:t xml:space="preserve"> (Énfasis por fuera de texto)</w:t>
      </w:r>
    </w:p>
    <w:p w14:paraId="4CF439ED" w14:textId="77777777" w:rsidR="0075058F" w:rsidRPr="00EA4983" w:rsidRDefault="0075058F" w:rsidP="0075058F">
      <w:pPr>
        <w:spacing w:after="0" w:line="240" w:lineRule="auto"/>
        <w:ind w:left="720" w:right="720"/>
        <w:jc w:val="both"/>
        <w:rPr>
          <w:rFonts w:ascii="Verdana" w:eastAsia="Times New Roman" w:hAnsi="Verdana" w:cs="Times New Roman"/>
          <w:sz w:val="20"/>
          <w:szCs w:val="20"/>
        </w:rPr>
      </w:pPr>
    </w:p>
    <w:p w14:paraId="505F1735" w14:textId="77777777" w:rsidR="0075058F" w:rsidRDefault="0075058F" w:rsidP="0075058F">
      <w:pPr>
        <w:widowControl w:val="0"/>
        <w:autoSpaceDE w:val="0"/>
        <w:autoSpaceDN w:val="0"/>
        <w:spacing w:after="120" w:line="276" w:lineRule="auto"/>
        <w:ind w:firstLine="708"/>
        <w:jc w:val="both"/>
        <w:rPr>
          <w:rFonts w:ascii="Verdana" w:eastAsia="Times New Roman" w:hAnsi="Verdana" w:cs="Times New Roman"/>
        </w:rPr>
      </w:pPr>
      <w:r>
        <w:rPr>
          <w:rFonts w:ascii="Verdana" w:eastAsia="Times New Roman" w:hAnsi="Verdana" w:cs="Times New Roman"/>
        </w:rPr>
        <w:t xml:space="preserve"> Como se evidencia, </w:t>
      </w:r>
      <w:r>
        <w:rPr>
          <w:rFonts w:ascii="Verdana" w:eastAsia="Arial" w:hAnsi="Verdana" w:cs="Arial"/>
        </w:rPr>
        <w:t>e</w:t>
      </w:r>
      <w:r w:rsidRPr="007E09F3">
        <w:rPr>
          <w:rFonts w:ascii="Verdana" w:eastAsia="Arial" w:hAnsi="Verdana" w:cs="Arial"/>
        </w:rPr>
        <w:t xml:space="preserve">l artículo 2.2.1.2.4.2.7.4 del Decreto 1082 de 2015, adicionado por el Decreto 287 de 2026, exige, dentro de la documentación para verificar la condición de empleador de personas con discapacidad, el certificado de aportes a seguridad social de los tres (3) meses anteriores a la presentación de la oferta respecto de cada persona con discapacidad relacionada, en el que se demuestren los pagos realizados por el empleador. La finalidad del requisito </w:t>
      </w:r>
      <w:r w:rsidRPr="007E09F3">
        <w:rPr>
          <w:rFonts w:ascii="Verdana" w:eastAsia="Arial" w:hAnsi="Verdana" w:cs="Arial"/>
        </w:rPr>
        <w:lastRenderedPageBreak/>
        <w:t>es acreditar que la vinculación es real y verificable, y no meramente instrumental para un proceso de contratación determinado.</w:t>
      </w:r>
      <w:r>
        <w:rPr>
          <w:rFonts w:ascii="Verdana" w:eastAsia="Arial" w:hAnsi="Verdana" w:cs="Arial"/>
        </w:rPr>
        <w:t xml:space="preserve"> </w:t>
      </w:r>
    </w:p>
    <w:p w14:paraId="6B0A2B7C" w14:textId="77777777" w:rsidR="0075058F" w:rsidRPr="00A05FE6" w:rsidRDefault="0075058F" w:rsidP="0075058F">
      <w:pPr>
        <w:spacing w:after="120" w:line="276" w:lineRule="auto"/>
        <w:ind w:firstLine="709"/>
        <w:jc w:val="both"/>
        <w:rPr>
          <w:rFonts w:ascii="Verdana" w:eastAsia="Arial" w:hAnsi="Verdana" w:cs="Arial"/>
        </w:rPr>
      </w:pPr>
      <w:r w:rsidRPr="007E09F3">
        <w:rPr>
          <w:rFonts w:ascii="Verdana" w:eastAsia="Arial" w:hAnsi="Verdana" w:cs="Arial"/>
        </w:rPr>
        <w:t>Para precisar los efectos de este requisito es necesario atender la estructura del incentivo. El puntaje adicional no se asigna de manera individual por cada persona con discapacidad vinculada, sino que corresponde a un porcentaje único del dos por ciento (2%) que se otorga cuando el proponente acredita el número de trabajadores con discapacidad que le corresponde según su planta de personal, conforme a la tabla prevista en el numeral 2 de la disposición. No existe, por tanto, un puntaje proporcional ni fraccionable por persona acreditada.</w:t>
      </w:r>
    </w:p>
    <w:p w14:paraId="00332F15" w14:textId="77777777" w:rsidR="0075058F" w:rsidRPr="00A05FE6" w:rsidRDefault="0075058F" w:rsidP="0075058F">
      <w:pPr>
        <w:spacing w:after="120" w:line="276" w:lineRule="auto"/>
        <w:ind w:firstLine="709"/>
        <w:jc w:val="both"/>
        <w:rPr>
          <w:rFonts w:ascii="Verdana" w:eastAsia="Arial" w:hAnsi="Verdana" w:cs="Arial"/>
        </w:rPr>
      </w:pPr>
      <w:r w:rsidRPr="007E09F3">
        <w:rPr>
          <w:rFonts w:ascii="Verdana" w:eastAsia="Arial" w:hAnsi="Verdana" w:cs="Arial"/>
        </w:rPr>
        <w:t>De lo anterior se sigue que las personas con discapacidad cuyos aportes no cubran los tres (3) meses anteriores a la presentación de la oferta no pueden computarse para efectos de la acreditación, y que la consecuencia depende del resultado de ese cómputo. Si las personas con discapacidad que sí cumplen el requisito temporal alcanzan el número exigido conforme a la tabla, el proponente accede al puntaje adicional en su totalidad. Si no lo alcanzan, no accede al puntaje, sin que resulte jurídicamente posible reconocer una fracción del dos por ciento en proporción a las personas efectivamente acreditadas.</w:t>
      </w:r>
    </w:p>
    <w:p w14:paraId="46A1F5FF" w14:textId="77777777" w:rsidR="0075058F" w:rsidRDefault="0075058F" w:rsidP="0075058F">
      <w:pPr>
        <w:spacing w:after="120" w:line="276" w:lineRule="auto"/>
        <w:ind w:firstLine="708"/>
        <w:jc w:val="both"/>
        <w:rPr>
          <w:rFonts w:ascii="Verdana" w:hAnsi="Verdana" w:cs="Arial"/>
          <w:color w:val="000000" w:themeColor="text1"/>
          <w:lang w:val="es-MX"/>
        </w:rPr>
      </w:pPr>
      <w:r w:rsidRPr="007E09F3">
        <w:rPr>
          <w:rFonts w:ascii="Verdana" w:eastAsia="Arial" w:hAnsi="Verdana" w:cs="Arial"/>
        </w:rPr>
        <w:t>Así, en el supuesto de un proponente con una planta de mil (1.000) trabajadores, al que conforme a la tabla le corresponde acreditar veintidós (22) trabajadores con discapacidad, el hecho de contar con las veintidós vinculaciones al cierre del proceso no resulta suficiente si algunas de ellas no cuentan con los tres (3) meses de aportes: el puntaje se obtiene únicamente si el número de personas con discapacidad que cumplen íntegramente el requisito documental iguala o supera el exigido.</w:t>
      </w:r>
      <w:r w:rsidRPr="000E0BC1">
        <w:rPr>
          <w:rFonts w:ascii="Verdana" w:hAnsi="Verdana" w:cs="Arial"/>
          <w:color w:val="000000" w:themeColor="text1"/>
          <w:lang w:val="es-MX"/>
        </w:rPr>
        <w:t xml:space="preserve"> </w:t>
      </w:r>
      <w:r w:rsidRPr="007E09F3">
        <w:rPr>
          <w:rFonts w:ascii="Verdana" w:hAnsi="Verdana" w:cs="Arial"/>
          <w:color w:val="000000" w:themeColor="text1"/>
          <w:lang w:val="es-MX"/>
        </w:rPr>
        <w:t>(Respuesta a interrogantes Nos. 6, 7 y 8)</w:t>
      </w:r>
      <w:r w:rsidRPr="00D22B7C">
        <w:rPr>
          <w:rFonts w:ascii="Verdana" w:eastAsia="Times New Roman" w:hAnsi="Verdana" w:cs="Times New Roman"/>
        </w:rPr>
        <w:t>.</w:t>
      </w:r>
      <w:r>
        <w:rPr>
          <w:rFonts w:ascii="Verdana" w:eastAsia="Times New Roman" w:hAnsi="Verdana" w:cs="Times New Roman"/>
        </w:rPr>
        <w:t xml:space="preserve"> </w:t>
      </w:r>
    </w:p>
    <w:p w14:paraId="4E670869" w14:textId="77777777" w:rsidR="0075058F" w:rsidRPr="000E0BC1" w:rsidRDefault="0075058F" w:rsidP="0075058F">
      <w:pPr>
        <w:spacing w:after="120" w:line="276" w:lineRule="auto"/>
        <w:ind w:firstLine="709"/>
        <w:jc w:val="both"/>
        <w:rPr>
          <w:rFonts w:ascii="Verdana" w:eastAsia="Arial" w:hAnsi="Verdana" w:cs="Arial"/>
        </w:rPr>
      </w:pPr>
      <w:r w:rsidRPr="007E09F3">
        <w:rPr>
          <w:rFonts w:ascii="Verdana" w:eastAsia="Arial" w:hAnsi="Verdana" w:cs="Arial"/>
        </w:rPr>
        <w:t>En todo caso, el no cumplimiento del requisito no impide la participación en el proceso de contratación ni conduce al rechazo de la oferta, pues se trata de un criterio de asignación de puntaje y no de un requisito habilitante</w:t>
      </w:r>
    </w:p>
    <w:p w14:paraId="61BA8506" w14:textId="77777777" w:rsidR="0075058F" w:rsidRDefault="0075058F" w:rsidP="0075058F">
      <w:pPr>
        <w:spacing w:after="120" w:line="276" w:lineRule="auto"/>
        <w:ind w:firstLine="708"/>
        <w:jc w:val="both"/>
        <w:rPr>
          <w:rFonts w:ascii="Verdana" w:eastAsia="Times New Roman" w:hAnsi="Verdana" w:cs="Times New Roman"/>
          <w:lang w:val="es-ES"/>
        </w:rPr>
      </w:pPr>
      <w:r>
        <w:rPr>
          <w:rFonts w:ascii="Verdana" w:eastAsia="Times New Roman" w:hAnsi="Verdana" w:cs="Times New Roman"/>
        </w:rPr>
        <w:t xml:space="preserve">Por consiguiente, no se está generando una barrera de entrada que pueda </w:t>
      </w:r>
      <w:r w:rsidRPr="00F656FA">
        <w:rPr>
          <w:rFonts w:ascii="Verdana" w:eastAsia="Times New Roman" w:hAnsi="Verdana" w:cs="Times New Roman"/>
        </w:rPr>
        <w:t>reducir la competencia en los procesos que apliquen el puntaje</w:t>
      </w:r>
      <w:r>
        <w:rPr>
          <w:rFonts w:ascii="Verdana" w:eastAsia="Times New Roman" w:hAnsi="Verdana" w:cs="Times New Roman"/>
        </w:rPr>
        <w:t xml:space="preserve">, ya que al tratarse de un requisito que otorga puntaje no determina la participación de los proponentes al proceso de contratación. Como se explicó en la memoria justificativa del Decreto 287 de 2026, </w:t>
      </w:r>
      <w:r>
        <w:rPr>
          <w:rFonts w:ascii="Verdana" w:eastAsia="Times New Roman" w:hAnsi="Verdana" w:cs="Times New Roman"/>
          <w:lang w:val="es-ES"/>
        </w:rPr>
        <w:t>“</w:t>
      </w:r>
      <w:r w:rsidRPr="00212451">
        <w:rPr>
          <w:rFonts w:ascii="Verdana" w:eastAsia="Times New Roman" w:hAnsi="Verdana" w:cs="Times New Roman"/>
          <w:lang w:val="es-ES"/>
        </w:rPr>
        <w:t xml:space="preserve">la vinculación de Personas con Discapacidad constituye un criterio estrictamente opcional dentro del esquema </w:t>
      </w:r>
      <w:r w:rsidRPr="00212451">
        <w:rPr>
          <w:rFonts w:ascii="Verdana" w:eastAsia="Times New Roman" w:hAnsi="Verdana" w:cs="Times New Roman"/>
          <w:lang w:val="es-ES"/>
        </w:rPr>
        <w:lastRenderedPageBreak/>
        <w:t>de evaluación, al igual que otros factores de puntaje diferencial, como el enfoque MIPYME o el de empresas lideradas por mujeres, cuya aplicación depende de la decisión estratégica del proponente frente a su capacidad de generar valor agregado en la oferta. En tal sentido, este criterio no configura una obligación general para todos los participantes del mercado, sino un incentivo voluntario que amplía alternativas competitivas sin imponer cargas desproporcionadas ni afectar la libre concurrencia y competencia</w:t>
      </w:r>
      <w:r>
        <w:rPr>
          <w:rStyle w:val="Refdenotaalpie"/>
          <w:rFonts w:ascii="Verdana" w:eastAsia="Times New Roman" w:hAnsi="Verdana" w:cs="Times New Roman"/>
          <w:lang w:val="es-ES"/>
        </w:rPr>
        <w:footnoteReference w:id="20"/>
      </w:r>
      <w:r>
        <w:rPr>
          <w:rFonts w:ascii="Verdana" w:eastAsia="Times New Roman" w:hAnsi="Verdana" w:cs="Times New Roman"/>
          <w:lang w:val="es-ES"/>
        </w:rPr>
        <w:t>”</w:t>
      </w:r>
      <w:r w:rsidRPr="00212451">
        <w:rPr>
          <w:rFonts w:ascii="Verdana" w:eastAsia="Times New Roman" w:hAnsi="Verdana" w:cs="Times New Roman"/>
          <w:lang w:val="es-ES"/>
        </w:rPr>
        <w:t>.</w:t>
      </w:r>
    </w:p>
    <w:p w14:paraId="4B8E3210" w14:textId="77777777" w:rsidR="0075058F" w:rsidRDefault="0075058F" w:rsidP="0075058F">
      <w:pPr>
        <w:spacing w:after="120" w:line="276" w:lineRule="auto"/>
        <w:ind w:firstLine="708"/>
        <w:jc w:val="both"/>
        <w:rPr>
          <w:rFonts w:ascii="Verdana" w:eastAsia="Times New Roman" w:hAnsi="Verdana" w:cs="Times New Roman"/>
        </w:rPr>
      </w:pPr>
      <w:r w:rsidRPr="00032A56">
        <w:rPr>
          <w:rFonts w:ascii="Verdana" w:eastAsia="Times New Roman" w:hAnsi="Verdana" w:cs="Times New Roman"/>
        </w:rPr>
        <w:t>Vale aclarar que el Decreto 287 de 2026 no estableció períodos de transición ni mecanismo equivalente de vinculación gradual, por lo que para acceder al puntaje adicional del 2% el proponente deberá aportar los documentos descritos, incluidos los certificados de aportes a seguridad social de los tres (3) meses anteriores a la presentación de la oferta, correspondiendo a la entidad estatal su verificación. En este contexto, la Agencia no puede establecer por vía consultiva un régimen de transición que la norma no contempló</w:t>
      </w:r>
      <w:r>
        <w:rPr>
          <w:rFonts w:ascii="Verdana" w:eastAsia="Times New Roman" w:hAnsi="Verdana" w:cs="Times New Roman"/>
        </w:rPr>
        <w:t xml:space="preserve">. </w:t>
      </w:r>
      <w:r w:rsidRPr="000E0BC1">
        <w:rPr>
          <w:rFonts w:ascii="Verdana" w:hAnsi="Verdana" w:cs="Arial"/>
          <w:color w:val="000000" w:themeColor="text1"/>
          <w:lang w:val="es-MX"/>
        </w:rPr>
        <w:t>(Respuesta a interrogante No. 9)</w:t>
      </w:r>
    </w:p>
    <w:p w14:paraId="29236575" w14:textId="77777777" w:rsidR="0075058F" w:rsidRPr="006332FF" w:rsidRDefault="0075058F" w:rsidP="0075058F">
      <w:pPr>
        <w:spacing w:after="120" w:line="276" w:lineRule="auto"/>
        <w:ind w:left="119" w:right="79" w:firstLine="590"/>
        <w:jc w:val="both"/>
        <w:rPr>
          <w:rFonts w:ascii="Verdana" w:eastAsia="Arial" w:hAnsi="Verdana" w:cs="Arial"/>
        </w:rPr>
      </w:pPr>
      <w:r>
        <w:rPr>
          <w:rFonts w:ascii="Verdana" w:eastAsia="Arial" w:hAnsi="Verdana" w:cs="Arial"/>
        </w:rPr>
        <w:t>Finalmente, en relación con el inicio de vigencia del Decreto 287 de 2026</w:t>
      </w:r>
      <w:r w:rsidRPr="001B3C5D">
        <w:rPr>
          <w:rFonts w:ascii="Verdana" w:eastAsia="Aptos" w:hAnsi="Verdana" w:cs="Times New Roman"/>
          <w:kern w:val="2"/>
          <w14:ligatures w14:val="standardContextual"/>
        </w:rPr>
        <w:t>, el artículo 2 establece las vigencias y derogatorias, en los siguiente</w:t>
      </w:r>
      <w:r>
        <w:rPr>
          <w:rFonts w:ascii="Verdana" w:eastAsia="Aptos" w:hAnsi="Verdana" w:cs="Times New Roman"/>
          <w:kern w:val="2"/>
          <w14:ligatures w14:val="standardContextual"/>
        </w:rPr>
        <w:t>s</w:t>
      </w:r>
      <w:r w:rsidRPr="001B3C5D">
        <w:rPr>
          <w:rFonts w:ascii="Verdana" w:eastAsia="Aptos" w:hAnsi="Verdana" w:cs="Times New Roman"/>
          <w:kern w:val="2"/>
          <w14:ligatures w14:val="standardContextual"/>
        </w:rPr>
        <w:t xml:space="preserve"> términos: “El presente Decreto rige a partir del día siguiente a su publicación, modifica los artículos 2.2.1.2.4.2.6., 2.2.1 .2.4.2.7. </w:t>
      </w:r>
      <w:r>
        <w:rPr>
          <w:rFonts w:ascii="Verdana" w:eastAsia="Aptos" w:hAnsi="Verdana" w:cs="Times New Roman"/>
          <w:kern w:val="2"/>
          <w14:ligatures w14:val="standardContextual"/>
        </w:rPr>
        <w:t>y</w:t>
      </w:r>
      <w:r w:rsidRPr="001B3C5D">
        <w:rPr>
          <w:rFonts w:ascii="Verdana" w:eastAsia="Aptos" w:hAnsi="Verdana" w:cs="Times New Roman"/>
          <w:kern w:val="2"/>
          <w14:ligatures w14:val="standardContextual"/>
        </w:rPr>
        <w:t xml:space="preserve"> 2.2.1.2.4.2.8. de la Subsección 2 de la Sección 4 del Capítulo 2 del Título 1 de la Parte 2 del Libro 2 del Decreto 1082 de 2015, Único Reglamentario del Sector Administrativo de Planeación, y deroga todas las disposiciones que le sean contrarias”.</w:t>
      </w:r>
      <w:r>
        <w:rPr>
          <w:rFonts w:ascii="Verdana" w:eastAsia="Aptos" w:hAnsi="Verdana" w:cs="Times New Roman"/>
          <w:kern w:val="2"/>
          <w14:ligatures w14:val="standardContextual"/>
        </w:rPr>
        <w:t xml:space="preserve"> Este decreto fue publicado el 19 de marzo de 2026, por lo que empezó a regir a partir del 20 de marzo.</w:t>
      </w:r>
    </w:p>
    <w:p w14:paraId="4DF80495" w14:textId="77777777" w:rsidR="0075058F" w:rsidRPr="00BD2EF9" w:rsidRDefault="0075058F" w:rsidP="0075058F">
      <w:pPr>
        <w:widowControl w:val="0"/>
        <w:autoSpaceDE w:val="0"/>
        <w:autoSpaceDN w:val="0"/>
        <w:spacing w:after="120" w:line="276" w:lineRule="auto"/>
        <w:ind w:firstLine="743"/>
        <w:jc w:val="both"/>
        <w:rPr>
          <w:rFonts w:ascii="Verdana" w:eastAsia="Aptos" w:hAnsi="Verdana" w:cs="Times New Roman"/>
          <w:kern w:val="2"/>
          <w14:ligatures w14:val="standardContextual"/>
        </w:rPr>
      </w:pPr>
      <w:r w:rsidRPr="003C16EB">
        <w:rPr>
          <w:rFonts w:ascii="Verdana" w:eastAsia="Aptos" w:hAnsi="Verdana" w:cs="Times New Roman"/>
          <w:kern w:val="2"/>
          <w14:ligatures w14:val="standardContextual"/>
        </w:rPr>
        <w:t>Como el decreto no previó un régimen de transición, la determinación de los procesos a los que resulta aplicable se rige por la regla conforme a la cual las condiciones del procedimiento de selección son las vigentes al momento de la expedición del acto administrativo que ordena su apertura, en tanto es el acto con el que la entidad fija de manera definitiva las reglas del proceso. En consecuencia</w:t>
      </w:r>
      <w:r>
        <w:rPr>
          <w:rFonts w:ascii="Verdana" w:eastAsia="Aptos" w:hAnsi="Verdana" w:cs="Times New Roman"/>
          <w:kern w:val="2"/>
          <w14:ligatures w14:val="standardContextual"/>
        </w:rPr>
        <w:t xml:space="preserve">: </w:t>
      </w:r>
      <w:r w:rsidRPr="00BD2EF9">
        <w:rPr>
          <w:rFonts w:ascii="Verdana" w:eastAsia="Aptos" w:hAnsi="Verdana" w:cs="Times New Roman"/>
          <w:kern w:val="2"/>
          <w14:ligatures w14:val="standardContextual"/>
        </w:rPr>
        <w:t xml:space="preserve">i) La resolución de apertura fue expedida el 19 de marzo de 2026 o antes de esta fecha, en este caso el proceso continúa con las reglas originales sin aplicar el Decreto 287 de 2026; y </w:t>
      </w:r>
      <w:proofErr w:type="spellStart"/>
      <w:r w:rsidRPr="00BD2EF9">
        <w:rPr>
          <w:rFonts w:ascii="Verdana" w:eastAsia="Aptos" w:hAnsi="Verdana" w:cs="Times New Roman"/>
          <w:kern w:val="2"/>
          <w14:ligatures w14:val="standardContextual"/>
        </w:rPr>
        <w:t>ii</w:t>
      </w:r>
      <w:proofErr w:type="spellEnd"/>
      <w:r w:rsidRPr="00BD2EF9">
        <w:rPr>
          <w:rFonts w:ascii="Verdana" w:eastAsia="Aptos" w:hAnsi="Verdana" w:cs="Times New Roman"/>
          <w:kern w:val="2"/>
          <w14:ligatures w14:val="standardContextual"/>
        </w:rPr>
        <w:t xml:space="preserve">) La resolución de apertura no existe, o </w:t>
      </w:r>
      <w:r w:rsidRPr="00BD2EF9">
        <w:rPr>
          <w:rFonts w:ascii="Verdana" w:eastAsia="Aptos" w:hAnsi="Verdana" w:cs="Times New Roman"/>
          <w:kern w:val="2"/>
          <w14:ligatures w14:val="standardContextual"/>
        </w:rPr>
        <w:lastRenderedPageBreak/>
        <w:t>fue expedida el 20 de marzo de 2026 o en fecha posterior, por lo que se debe incorporar el Decreto 287 de 2026 al proceso contractual y la entidad debe ajustar sus estudios previos y pliegos de condiciones, incluido el proyecto de pliego, para dar pleno cumplimiento al decreto antes de expedir el acto administrativo de apertura.</w:t>
      </w:r>
    </w:p>
    <w:p w14:paraId="3ED4A21E" w14:textId="77777777" w:rsidR="0075058F" w:rsidRPr="006D0E8A" w:rsidRDefault="0075058F" w:rsidP="0075058F">
      <w:pPr>
        <w:spacing w:after="0" w:line="276" w:lineRule="auto"/>
        <w:jc w:val="both"/>
        <w:rPr>
          <w:rFonts w:ascii="Verdana" w:hAnsi="Verdana"/>
        </w:rPr>
      </w:pPr>
    </w:p>
    <w:p w14:paraId="7E5C3881" w14:textId="77777777" w:rsidR="0075058F" w:rsidRPr="006D0E8A" w:rsidRDefault="0075058F" w:rsidP="0075058F">
      <w:pPr>
        <w:numPr>
          <w:ilvl w:val="0"/>
          <w:numId w:val="18"/>
        </w:numPr>
        <w:tabs>
          <w:tab w:val="left" w:pos="142"/>
          <w:tab w:val="left" w:pos="284"/>
        </w:tabs>
        <w:spacing w:after="0" w:line="276" w:lineRule="auto"/>
        <w:ind w:left="0" w:firstLine="0"/>
        <w:jc w:val="both"/>
        <w:rPr>
          <w:rFonts w:ascii="Verdana" w:eastAsia="Century Gothic" w:hAnsi="Verdana" w:cs="Century Gothic"/>
          <w:b/>
          <w:bCs/>
          <w:lang w:val="es-ES"/>
        </w:rPr>
      </w:pPr>
      <w:r w:rsidRPr="006D0E8A">
        <w:rPr>
          <w:rFonts w:ascii="Verdana" w:eastAsia="Century Gothic" w:hAnsi="Verdana" w:cs="Century Gothic"/>
          <w:b/>
          <w:bCs/>
          <w:lang w:val="es-ES"/>
        </w:rPr>
        <w:t>Referencias normativas</w:t>
      </w:r>
      <w:r>
        <w:rPr>
          <w:rFonts w:ascii="Verdana" w:eastAsia="Century Gothic" w:hAnsi="Verdana" w:cs="Century Gothic"/>
          <w:b/>
          <w:bCs/>
          <w:lang w:val="es-ES"/>
        </w:rPr>
        <w:t xml:space="preserve"> y jurisprudenciales</w:t>
      </w:r>
      <w:r w:rsidRPr="006D0E8A">
        <w:rPr>
          <w:rFonts w:ascii="Verdana" w:eastAsia="Century Gothic" w:hAnsi="Verdana" w:cs="Century Gothic"/>
          <w:b/>
          <w:bCs/>
          <w:lang w:val="es-ES"/>
        </w:rPr>
        <w:t>:</w:t>
      </w:r>
    </w:p>
    <w:p w14:paraId="32F0A460" w14:textId="77777777" w:rsidR="0075058F" w:rsidRPr="006D0E8A" w:rsidRDefault="0075058F" w:rsidP="0075058F">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5058F" w:rsidRPr="006D0E8A" w14:paraId="1404F93E" w14:textId="77777777" w:rsidTr="007E09F3">
        <w:trPr>
          <w:trHeight w:val="870"/>
          <w:jc w:val="center"/>
        </w:trPr>
        <w:tc>
          <w:tcPr>
            <w:tcW w:w="8647" w:type="dxa"/>
          </w:tcPr>
          <w:p w14:paraId="54DEC5EC" w14:textId="77777777" w:rsidR="0075058F" w:rsidRPr="003E737F" w:rsidRDefault="0075058F" w:rsidP="007E09F3">
            <w:pPr>
              <w:widowControl w:val="0"/>
              <w:numPr>
                <w:ilvl w:val="0"/>
                <w:numId w:val="20"/>
              </w:numPr>
              <w:autoSpaceDE w:val="0"/>
              <w:autoSpaceDN w:val="0"/>
              <w:spacing w:line="276" w:lineRule="auto"/>
              <w:contextualSpacing/>
              <w:jc w:val="both"/>
              <w:rPr>
                <w:rFonts w:ascii="Verdana" w:eastAsia="Calibri" w:hAnsi="Verdana" w:cs="Arial"/>
              </w:rPr>
            </w:pPr>
            <w:r w:rsidRPr="003E737F">
              <w:rPr>
                <w:rFonts w:ascii="Verdana" w:eastAsia="Calibri" w:hAnsi="Verdana" w:cs="Arial"/>
              </w:rPr>
              <w:t>Constitución Política de 1991, artículos 13 y 209</w:t>
            </w:r>
          </w:p>
          <w:p w14:paraId="015BE0C8" w14:textId="77777777" w:rsidR="0075058F" w:rsidRPr="003E737F" w:rsidRDefault="0075058F" w:rsidP="007E09F3">
            <w:pPr>
              <w:widowControl w:val="0"/>
              <w:numPr>
                <w:ilvl w:val="0"/>
                <w:numId w:val="20"/>
              </w:numPr>
              <w:autoSpaceDE w:val="0"/>
              <w:autoSpaceDN w:val="0"/>
              <w:spacing w:line="276" w:lineRule="auto"/>
              <w:contextualSpacing/>
              <w:jc w:val="both"/>
              <w:rPr>
                <w:rFonts w:ascii="Verdana" w:eastAsia="Calibri" w:hAnsi="Verdana" w:cs="Arial"/>
              </w:rPr>
            </w:pPr>
            <w:r w:rsidRPr="003E737F">
              <w:rPr>
                <w:rFonts w:ascii="Verdana" w:eastAsia="Calibri" w:hAnsi="Verdana" w:cs="Arial"/>
              </w:rPr>
              <w:t>Ley 80 de 1993, artículos</w:t>
            </w:r>
            <w:r>
              <w:rPr>
                <w:rFonts w:ascii="Verdana" w:eastAsia="Calibri" w:hAnsi="Verdana" w:cs="Arial"/>
              </w:rPr>
              <w:t xml:space="preserve"> 6, 7,</w:t>
            </w:r>
            <w:r w:rsidRPr="003E737F">
              <w:rPr>
                <w:rFonts w:ascii="Verdana" w:eastAsia="Calibri" w:hAnsi="Verdana" w:cs="Arial"/>
              </w:rPr>
              <w:t xml:space="preserve"> 24, 25</w:t>
            </w:r>
            <w:r>
              <w:rPr>
                <w:rFonts w:ascii="Verdana" w:eastAsia="Calibri" w:hAnsi="Verdana" w:cs="Arial"/>
              </w:rPr>
              <w:t xml:space="preserve"> y </w:t>
            </w:r>
            <w:r w:rsidRPr="003E737F">
              <w:rPr>
                <w:rFonts w:ascii="Verdana" w:eastAsia="Calibri" w:hAnsi="Verdana" w:cs="Arial"/>
              </w:rPr>
              <w:t>26</w:t>
            </w:r>
          </w:p>
          <w:p w14:paraId="3CCAF74D" w14:textId="77777777" w:rsidR="0075058F" w:rsidRPr="003E737F" w:rsidRDefault="0075058F" w:rsidP="007E09F3">
            <w:pPr>
              <w:widowControl w:val="0"/>
              <w:numPr>
                <w:ilvl w:val="0"/>
                <w:numId w:val="20"/>
              </w:numPr>
              <w:autoSpaceDE w:val="0"/>
              <w:autoSpaceDN w:val="0"/>
              <w:spacing w:line="276" w:lineRule="auto"/>
              <w:contextualSpacing/>
              <w:jc w:val="both"/>
              <w:rPr>
                <w:rFonts w:ascii="Verdana" w:eastAsia="Calibri" w:hAnsi="Verdana" w:cs="Arial"/>
              </w:rPr>
            </w:pPr>
            <w:r w:rsidRPr="003E737F">
              <w:rPr>
                <w:rFonts w:ascii="Verdana" w:eastAsia="Calibri" w:hAnsi="Verdana" w:cs="Arial"/>
              </w:rPr>
              <w:t xml:space="preserve">Ley 1150 de 2007, artículo </w:t>
            </w:r>
            <w:r>
              <w:rPr>
                <w:rFonts w:ascii="Verdana" w:eastAsia="Calibri" w:hAnsi="Verdana" w:cs="Arial"/>
              </w:rPr>
              <w:t>5</w:t>
            </w:r>
          </w:p>
          <w:p w14:paraId="517E29FA" w14:textId="77777777" w:rsidR="0075058F" w:rsidRPr="00F82E0D" w:rsidRDefault="0075058F" w:rsidP="007E09F3">
            <w:pPr>
              <w:widowControl w:val="0"/>
              <w:numPr>
                <w:ilvl w:val="0"/>
                <w:numId w:val="20"/>
              </w:numPr>
              <w:autoSpaceDE w:val="0"/>
              <w:autoSpaceDN w:val="0"/>
              <w:spacing w:line="276" w:lineRule="auto"/>
              <w:contextualSpacing/>
              <w:jc w:val="both"/>
              <w:rPr>
                <w:rFonts w:ascii="Verdana" w:eastAsia="Calibri" w:hAnsi="Verdana" w:cs="Arial"/>
              </w:rPr>
            </w:pPr>
            <w:r w:rsidRPr="00F82E0D">
              <w:rPr>
                <w:rFonts w:ascii="Verdana" w:eastAsia="Calibri" w:hAnsi="Verdana" w:cs="Arial"/>
              </w:rPr>
              <w:t>Ley 1618 de 2013</w:t>
            </w:r>
          </w:p>
          <w:p w14:paraId="701D3B6D" w14:textId="77777777" w:rsidR="0075058F" w:rsidRPr="003C075E" w:rsidRDefault="0075058F" w:rsidP="007E09F3">
            <w:pPr>
              <w:widowControl w:val="0"/>
              <w:numPr>
                <w:ilvl w:val="0"/>
                <w:numId w:val="19"/>
              </w:numPr>
              <w:autoSpaceDE w:val="0"/>
              <w:autoSpaceDN w:val="0"/>
              <w:spacing w:line="276" w:lineRule="auto"/>
              <w:contextualSpacing/>
              <w:jc w:val="both"/>
              <w:rPr>
                <w:rFonts w:ascii="Verdana" w:eastAsia="Calibri" w:hAnsi="Verdana" w:cs="Arial"/>
              </w:rPr>
            </w:pPr>
            <w:r w:rsidRPr="001B3C5D">
              <w:rPr>
                <w:rFonts w:ascii="Verdana" w:eastAsia="Calibri" w:hAnsi="Verdana" w:cs="Arial"/>
                <w:lang w:val="es-ES_tradnl"/>
              </w:rPr>
              <w:t>Decreto 287 de 2026: Artículo 1 y artículo 2.</w:t>
            </w:r>
          </w:p>
          <w:p w14:paraId="2C7DBC1C" w14:textId="77777777" w:rsidR="0075058F" w:rsidRPr="00662625" w:rsidRDefault="0075058F" w:rsidP="007E09F3">
            <w:pPr>
              <w:widowControl w:val="0"/>
              <w:numPr>
                <w:ilvl w:val="0"/>
                <w:numId w:val="19"/>
              </w:numPr>
              <w:autoSpaceDE w:val="0"/>
              <w:autoSpaceDN w:val="0"/>
              <w:spacing w:line="276" w:lineRule="auto"/>
              <w:contextualSpacing/>
              <w:jc w:val="both"/>
              <w:rPr>
                <w:rFonts w:ascii="Verdana" w:eastAsia="Calibri" w:hAnsi="Verdana" w:cs="Arial"/>
              </w:rPr>
            </w:pPr>
            <w:r>
              <w:rPr>
                <w:rFonts w:ascii="Verdana" w:hAnsi="Verdana" w:cs="Arial"/>
                <w:color w:val="000000" w:themeColor="text1"/>
                <w:lang w:val="es-ES"/>
              </w:rPr>
              <w:t>Decreto 1082 de 2015, artículo 2.2.1.1.2.2.4</w:t>
            </w:r>
          </w:p>
          <w:p w14:paraId="6EA64D38" w14:textId="77777777" w:rsidR="0075058F" w:rsidRPr="00662625" w:rsidRDefault="0075058F" w:rsidP="007E09F3">
            <w:pPr>
              <w:widowControl w:val="0"/>
              <w:numPr>
                <w:ilvl w:val="0"/>
                <w:numId w:val="19"/>
              </w:numPr>
              <w:autoSpaceDE w:val="0"/>
              <w:autoSpaceDN w:val="0"/>
              <w:spacing w:line="276" w:lineRule="auto"/>
              <w:contextualSpacing/>
              <w:jc w:val="both"/>
              <w:rPr>
                <w:rFonts w:ascii="Verdana" w:eastAsia="Calibri" w:hAnsi="Verdana" w:cs="Arial"/>
              </w:rPr>
            </w:pPr>
            <w:r w:rsidRPr="00662625">
              <w:rPr>
                <w:rFonts w:ascii="Verdana" w:eastAsia="Calibri" w:hAnsi="Verdana" w:cs="Arial"/>
              </w:rPr>
              <w:t>Corte Constitucional. Sentencia C-569 de 2004. M.P. Rodrigo Uprimny Yepes.</w:t>
            </w:r>
          </w:p>
          <w:p w14:paraId="7CED4F62" w14:textId="77777777" w:rsidR="0075058F" w:rsidRPr="00F82E0D" w:rsidRDefault="0075058F" w:rsidP="007E09F3">
            <w:pPr>
              <w:widowControl w:val="0"/>
              <w:numPr>
                <w:ilvl w:val="0"/>
                <w:numId w:val="19"/>
              </w:numPr>
              <w:autoSpaceDE w:val="0"/>
              <w:autoSpaceDN w:val="0"/>
              <w:spacing w:line="276" w:lineRule="auto"/>
              <w:contextualSpacing/>
              <w:jc w:val="both"/>
              <w:rPr>
                <w:rFonts w:ascii="Verdana" w:eastAsia="Calibri" w:hAnsi="Verdana" w:cs="Arial"/>
              </w:rPr>
            </w:pPr>
            <w:r w:rsidRPr="00662625">
              <w:rPr>
                <w:rFonts w:ascii="Verdana" w:eastAsia="Calibri" w:hAnsi="Verdana" w:cs="Arial"/>
              </w:rPr>
              <w:t>Consejo de Estado. Sala de Consulta y Servicio Civil. Concepto del 17 de abril de 1996. Rad. No. 811-1996. C.P. Roberto Suárez Franco.</w:t>
            </w:r>
          </w:p>
          <w:p w14:paraId="370B4E20" w14:textId="77777777" w:rsidR="0075058F" w:rsidRPr="003C075E" w:rsidRDefault="0075058F" w:rsidP="007E09F3">
            <w:pPr>
              <w:widowControl w:val="0"/>
              <w:numPr>
                <w:ilvl w:val="0"/>
                <w:numId w:val="19"/>
              </w:numPr>
              <w:autoSpaceDE w:val="0"/>
              <w:autoSpaceDN w:val="0"/>
              <w:spacing w:line="276" w:lineRule="auto"/>
              <w:ind w:left="714" w:hanging="357"/>
              <w:jc w:val="both"/>
              <w:rPr>
                <w:rFonts w:ascii="Verdana" w:hAnsi="Verdana" w:cs="Arial"/>
                <w:lang w:val="es-ES"/>
              </w:rPr>
            </w:pPr>
            <w:r w:rsidRPr="00F82E0D">
              <w:rPr>
                <w:rFonts w:ascii="Verdana" w:eastAsia="Calibri" w:hAnsi="Verdana" w:cs="Arial"/>
              </w:rPr>
              <w:t>Consejo de Estado, Sección Quinta, del 12 de diciembre de 2024 (Rad. 05001-23-33-000-2024-00847-01, M.P. Omar Joaquín Barreto Suárez)</w:t>
            </w:r>
          </w:p>
          <w:p w14:paraId="47C0EE47" w14:textId="77777777" w:rsidR="0075058F" w:rsidRPr="003C075E" w:rsidRDefault="0075058F" w:rsidP="007E09F3">
            <w:pPr>
              <w:widowControl w:val="0"/>
              <w:numPr>
                <w:ilvl w:val="0"/>
                <w:numId w:val="19"/>
              </w:numPr>
              <w:autoSpaceDE w:val="0"/>
              <w:autoSpaceDN w:val="0"/>
              <w:spacing w:line="276" w:lineRule="auto"/>
              <w:jc w:val="both"/>
              <w:rPr>
                <w:rFonts w:ascii="Verdana" w:hAnsi="Verdana" w:cs="Arial"/>
                <w:lang w:val="es-ES"/>
              </w:rPr>
            </w:pPr>
            <w:r w:rsidRPr="003C075E">
              <w:rPr>
                <w:rFonts w:ascii="Verdana" w:hAnsi="Verdana" w:cs="Arial"/>
                <w:lang w:val="es-ES"/>
              </w:rPr>
              <w:t>Consejo de Estado. Sección Tercera. Sentencia del 14 de marzo de 2013. Rad. 44001-23-31-000-1999-00827-01(24059). C.P: Mauricio Fajardo Gómez.</w:t>
            </w:r>
          </w:p>
          <w:p w14:paraId="4F81ECAA" w14:textId="77777777" w:rsidR="0075058F" w:rsidRDefault="0075058F" w:rsidP="007E09F3">
            <w:pPr>
              <w:widowControl w:val="0"/>
              <w:numPr>
                <w:ilvl w:val="0"/>
                <w:numId w:val="19"/>
              </w:numPr>
              <w:autoSpaceDE w:val="0"/>
              <w:autoSpaceDN w:val="0"/>
              <w:spacing w:line="276" w:lineRule="auto"/>
              <w:jc w:val="both"/>
              <w:rPr>
                <w:rFonts w:ascii="Verdana" w:hAnsi="Verdana" w:cs="Arial"/>
                <w:lang w:val="es-ES"/>
              </w:rPr>
            </w:pPr>
            <w:r w:rsidRPr="003C075E">
              <w:rPr>
                <w:rFonts w:ascii="Verdana" w:hAnsi="Verdana" w:cs="Arial"/>
                <w:lang w:val="es-ES"/>
              </w:rPr>
              <w:t>Consejo de Estado, Sección Tercera, sentencia 4 de junio de 2008, radicado No. 17.783, M.P. Myriam Guerrero de Escobar</w:t>
            </w:r>
          </w:p>
          <w:p w14:paraId="46610B8D" w14:textId="77777777" w:rsidR="0075058F" w:rsidRPr="006D0E8A" w:rsidRDefault="0075058F" w:rsidP="007E09F3">
            <w:pPr>
              <w:widowControl w:val="0"/>
              <w:numPr>
                <w:ilvl w:val="0"/>
                <w:numId w:val="19"/>
              </w:numPr>
              <w:autoSpaceDE w:val="0"/>
              <w:autoSpaceDN w:val="0"/>
              <w:spacing w:line="276" w:lineRule="auto"/>
              <w:jc w:val="both"/>
              <w:rPr>
                <w:rFonts w:ascii="Verdana" w:hAnsi="Verdana" w:cs="Arial"/>
                <w:lang w:val="es-ES"/>
              </w:rPr>
            </w:pPr>
            <w:r>
              <w:rPr>
                <w:rFonts w:ascii="Verdana" w:eastAsia="Times New Roman" w:hAnsi="Verdana" w:cs="Arial"/>
                <w:lang w:val="es-ES"/>
              </w:rPr>
              <w:t>“Guía para el manejo de ofertas artificialmente bajas en Procesos de Contratación</w:t>
            </w:r>
            <w:r>
              <w:rPr>
                <w:rFonts w:ascii="Verdana" w:hAnsi="Verdana" w:cs="Arial"/>
                <w:lang w:val="es-ES"/>
              </w:rPr>
              <w:t xml:space="preserve">” disponible en: </w:t>
            </w:r>
            <w:hyperlink r:id="rId14" w:history="1">
              <w:r w:rsidRPr="00D359D7">
                <w:rPr>
                  <w:rStyle w:val="Hipervnculo"/>
                  <w:rFonts w:ascii="Verdana" w:hAnsi="Verdana" w:cs="Arial"/>
                  <w:lang w:val="es-ES"/>
                </w:rPr>
                <w:t>https://www.colombiacompra.gov.co/archivos/manual/guia-para-el-manejo-de-ofertas-artificialmente-bajas-en-procesos-de-contratacion-2</w:t>
              </w:r>
            </w:hyperlink>
            <w:r>
              <w:rPr>
                <w:rFonts w:ascii="Verdana" w:hAnsi="Verdana" w:cs="Arial"/>
                <w:lang w:val="es-ES"/>
              </w:rPr>
              <w:t xml:space="preserve"> </w:t>
            </w:r>
          </w:p>
        </w:tc>
      </w:tr>
    </w:tbl>
    <w:p w14:paraId="1DDA6AE9" w14:textId="77777777" w:rsidR="0075058F" w:rsidRPr="006D0E8A" w:rsidRDefault="0075058F" w:rsidP="0075058F">
      <w:pPr>
        <w:widowControl w:val="0"/>
        <w:autoSpaceDE w:val="0"/>
        <w:autoSpaceDN w:val="0"/>
        <w:spacing w:after="0" w:line="276" w:lineRule="auto"/>
        <w:jc w:val="both"/>
        <w:rPr>
          <w:rFonts w:ascii="Verdana" w:hAnsi="Verdana" w:cs="Arial"/>
        </w:rPr>
      </w:pPr>
    </w:p>
    <w:p w14:paraId="5F4426A3" w14:textId="77777777" w:rsidR="0075058F" w:rsidRPr="006D0E8A" w:rsidRDefault="0075058F" w:rsidP="0075058F">
      <w:pPr>
        <w:numPr>
          <w:ilvl w:val="0"/>
          <w:numId w:val="18"/>
        </w:numPr>
        <w:tabs>
          <w:tab w:val="left" w:pos="142"/>
          <w:tab w:val="left" w:pos="284"/>
        </w:tabs>
        <w:spacing w:after="0" w:line="276" w:lineRule="auto"/>
        <w:ind w:left="0" w:firstLine="0"/>
        <w:jc w:val="both"/>
        <w:rPr>
          <w:rFonts w:ascii="Verdana" w:eastAsia="Century Gothic" w:hAnsi="Verdana" w:cs="Century Gothic"/>
          <w:b/>
          <w:bCs/>
          <w:lang w:val="es-ES"/>
        </w:rPr>
      </w:pPr>
      <w:r w:rsidRPr="006D0E8A">
        <w:rPr>
          <w:rFonts w:ascii="Verdana" w:eastAsia="Century Gothic" w:hAnsi="Verdana" w:cs="Century Gothic"/>
          <w:b/>
          <w:bCs/>
          <w:lang w:val="es-ES"/>
        </w:rPr>
        <w:t>Doctrina de la Agencia Nacional de Contratación Pública:</w:t>
      </w:r>
    </w:p>
    <w:p w14:paraId="548B2BAE" w14:textId="77777777" w:rsidR="0075058F" w:rsidRPr="006D0E8A" w:rsidRDefault="0075058F" w:rsidP="0075058F">
      <w:pPr>
        <w:widowControl w:val="0"/>
        <w:autoSpaceDE w:val="0"/>
        <w:autoSpaceDN w:val="0"/>
        <w:spacing w:after="0" w:line="276" w:lineRule="auto"/>
        <w:jc w:val="both"/>
        <w:rPr>
          <w:rFonts w:ascii="Verdana" w:hAnsi="Verdana" w:cs="Arial"/>
        </w:rPr>
      </w:pPr>
    </w:p>
    <w:p w14:paraId="7A17A4B3" w14:textId="77777777" w:rsidR="0075058F" w:rsidRDefault="0075058F" w:rsidP="0075058F">
      <w:pPr>
        <w:spacing w:after="0" w:line="276" w:lineRule="auto"/>
        <w:jc w:val="both"/>
        <w:rPr>
          <w:rStyle w:val="normaltextrun"/>
          <w:rFonts w:ascii="Verdana" w:hAnsi="Verdana" w:cs="Arial"/>
          <w:shd w:val="clear" w:color="auto" w:fill="FFFFFF"/>
          <w:lang w:val="es-ES"/>
        </w:rPr>
      </w:pPr>
      <w:r w:rsidRPr="00F4700A">
        <w:rPr>
          <w:rFonts w:ascii="Verdana" w:eastAsia="Calibri" w:hAnsi="Verdana" w:cs="Arial"/>
          <w:lang w:val="es-ES"/>
        </w:rPr>
        <w:t>La Agencia Nacional de Contratación Pública – Colombia Compra Eficiente</w:t>
      </w:r>
      <w:r w:rsidRPr="00F4700A">
        <w:rPr>
          <w:rStyle w:val="normaltextrun"/>
          <w:rFonts w:ascii="Verdana" w:hAnsi="Verdana" w:cs="Arial"/>
          <w:shd w:val="clear" w:color="auto" w:fill="FFFFFF"/>
          <w:lang w:val="es-ES"/>
        </w:rPr>
        <w:t xml:space="preserve"> unificó</w:t>
      </w:r>
      <w:r>
        <w:rPr>
          <w:rStyle w:val="normaltextrun"/>
          <w:rFonts w:ascii="Verdana" w:hAnsi="Verdana" w:cs="Arial"/>
          <w:shd w:val="clear" w:color="auto" w:fill="FFFFFF"/>
          <w:lang w:val="es-ES"/>
        </w:rPr>
        <w:t xml:space="preserve"> su postura frente a la inclusión del IVA en el precio de los contratos estatales y </w:t>
      </w:r>
      <w:r>
        <w:rPr>
          <w:rStyle w:val="normaltextrun"/>
          <w:rFonts w:ascii="Verdana" w:hAnsi="Verdana" w:cs="Arial"/>
          <w:shd w:val="clear" w:color="auto" w:fill="FFFFFF"/>
          <w:lang w:val="es-ES"/>
        </w:rPr>
        <w:lastRenderedPageBreak/>
        <w:t xml:space="preserve">en la evaluación de las ofertas económicas en el Concepto CU-182 del 31 de marzo de 2020. Esta tesis se ha retomado en los Conceptos C-204 del 31 de marzo de 2020, C-439 del 27 de septiembre de 2020, C-469 del 27 de septiembre de 2020, C-480 del 16 de septiembre de 2020, C-772 del 13 de enero de 2021, C-059 del 10 de marzo de 2021, C-432 del 27 de septiembre de 2021, C-469 del 6 de septiembre de 2021, C-572 del 12 de octubre de 2021, C-678 del 18 de enero de 2022 y C-440 del 14 de julio de 2022. </w:t>
      </w:r>
    </w:p>
    <w:p w14:paraId="781655D8" w14:textId="77777777" w:rsidR="0075058F" w:rsidRDefault="0075058F" w:rsidP="0075058F">
      <w:pPr>
        <w:spacing w:after="0" w:line="276" w:lineRule="auto"/>
        <w:jc w:val="both"/>
        <w:rPr>
          <w:rStyle w:val="normaltextrun"/>
          <w:rFonts w:ascii="Verdana" w:hAnsi="Verdana" w:cs="Arial"/>
          <w:shd w:val="clear" w:color="auto" w:fill="FFFFFF"/>
          <w:lang w:val="es-ES"/>
        </w:rPr>
      </w:pPr>
    </w:p>
    <w:p w14:paraId="0BE83230" w14:textId="77777777" w:rsidR="0075058F" w:rsidRDefault="0075058F" w:rsidP="0075058F">
      <w:pPr>
        <w:spacing w:after="0" w:line="276" w:lineRule="auto"/>
        <w:jc w:val="both"/>
        <w:rPr>
          <w:rFonts w:ascii="Verdana" w:eastAsia="Calibri" w:hAnsi="Verdana" w:cs="Arial"/>
          <w:shd w:val="clear" w:color="auto" w:fill="FFFFFF"/>
        </w:rPr>
      </w:pPr>
      <w:r>
        <w:rPr>
          <w:rStyle w:val="normaltextrun"/>
          <w:rFonts w:ascii="Verdana" w:hAnsi="Verdana" w:cs="Arial"/>
          <w:shd w:val="clear" w:color="auto" w:fill="FFFFFF"/>
          <w:lang w:val="es-ES"/>
        </w:rPr>
        <w:t xml:space="preserve">Asimismo, </w:t>
      </w:r>
      <w:r>
        <w:rPr>
          <w:rFonts w:ascii="Verdana" w:eastAsia="Calibri" w:hAnsi="Verdana" w:cs="Arial"/>
          <w:shd w:val="clear" w:color="auto" w:fill="FFFFFF"/>
        </w:rPr>
        <w:t>e</w:t>
      </w:r>
      <w:r w:rsidRPr="003775F4">
        <w:rPr>
          <w:rFonts w:ascii="Verdana" w:eastAsia="Calibri" w:hAnsi="Verdana" w:cs="Arial"/>
          <w:shd w:val="clear" w:color="auto" w:fill="FFFFFF"/>
        </w:rPr>
        <w:t>sta Subdirección se ha pronunciado sobre el régimen contractual de las ESAL en los Conceptos 4201912000008310 del 26 de diciembre de 2019, 4201912000007899 del 27 de diciembre de 2019, 4201912000007901 del 27 de diciembre de 2019, C-070 04 de marzo de 2020, C-094 del 04 de marzo de 2020, C-086 del 16 de marzo de 2020, C-101 del 16 de marzo de 2020, C-228 del 17 de marzo de 2020, C-014 del 24 de marzo de 2020, C-215 de 31 de marzo de 2020, C-223 del 29 de abril de 2020, C-416 del 30 junio de 2020, C-447 del 27 de julio de 2020, C-513 del 30 de julio de 2020, C-483 del 06 de agosto de 2020, C-579 del 4 de septiembre de 2020, C-594 del 7 de septiembre de 2020, C-670 del 22 de noviembre de 2020, C-689 del 1 de diciembre de 2020, C-724 de 14 de diciembre de 2020, C-749 del 23 de diciembre de 2020, C-758 del 04 de enero de 2021, C-806 de 8 de febrero de 2021, C-364 de 26 de julio de 2021, C-379 de 20 de julio de 2021, C-537 del 27 de septiembre de 2021,  C-021 del 22 de febrero de 2022, C-236 del 27 de abril de 2022, C-273 del 6 de mayo de 2022, C-274 del 6 de mayo de 2022, C-291 del 18 de mayo de 2022, C-331 del 24 de mayo de 2022, C-477 del 26 de julio de 2022, C-550 del 31 de agosto de 2022, C-560 del 7 de septiembre de 2022, C-624 del 28 de septiembre de 2022, C-771 del 30 de diciembre de 2022, C-853 del 9 de diciembre de 2022, C-351 del 6 de octubre de 2023, C-054 del 24 de abril de 2024, C-064 del 24 de abril de 2024, C-080 del 7 de mayo de 2024, C-281 del 29 de octubre de 2024, C-937 del 9 de diciembre de 2024</w:t>
      </w:r>
      <w:r>
        <w:rPr>
          <w:rFonts w:ascii="Verdana" w:eastAsia="Calibri" w:hAnsi="Verdana" w:cs="Arial"/>
          <w:shd w:val="clear" w:color="auto" w:fill="FFFFFF"/>
        </w:rPr>
        <w:t>,</w:t>
      </w:r>
      <w:r w:rsidRPr="003775F4">
        <w:rPr>
          <w:rFonts w:ascii="Verdana" w:eastAsia="Calibri" w:hAnsi="Verdana" w:cs="Arial"/>
          <w:shd w:val="clear" w:color="auto" w:fill="FFFFFF"/>
        </w:rPr>
        <w:t xml:space="preserve"> C-957 del 17 de diciembre de 2024</w:t>
      </w:r>
      <w:r>
        <w:rPr>
          <w:rFonts w:ascii="Verdana" w:eastAsia="Calibri" w:hAnsi="Verdana" w:cs="Arial"/>
          <w:shd w:val="clear" w:color="auto" w:fill="FFFFFF"/>
        </w:rPr>
        <w:t xml:space="preserve"> y C-967 del 1˚ de agosto de 2025. </w:t>
      </w:r>
    </w:p>
    <w:p w14:paraId="65DA1282" w14:textId="77777777" w:rsidR="0075058F" w:rsidRDefault="0075058F" w:rsidP="0075058F">
      <w:pPr>
        <w:spacing w:after="0" w:line="276" w:lineRule="auto"/>
        <w:jc w:val="both"/>
        <w:rPr>
          <w:rFonts w:ascii="Verdana" w:eastAsia="Calibri" w:hAnsi="Verdana" w:cs="Arial"/>
          <w:shd w:val="clear" w:color="auto" w:fill="FFFFFF"/>
        </w:rPr>
      </w:pPr>
    </w:p>
    <w:p w14:paraId="7A04F278" w14:textId="77777777" w:rsidR="0075058F" w:rsidRDefault="0075058F" w:rsidP="0075058F">
      <w:pPr>
        <w:spacing w:after="0" w:line="276" w:lineRule="auto"/>
        <w:jc w:val="both"/>
        <w:rPr>
          <w:rFonts w:ascii="Verdana" w:hAnsi="Verdana" w:cs="Arial"/>
          <w:bCs/>
          <w:shd w:val="clear" w:color="auto" w:fill="FFFFFF"/>
          <w:lang w:val="es-ES"/>
        </w:rPr>
      </w:pPr>
      <w:r>
        <w:rPr>
          <w:rFonts w:ascii="Verdana" w:eastAsia="Calibri" w:hAnsi="Verdana" w:cs="Arial"/>
          <w:shd w:val="clear" w:color="auto" w:fill="FFFFFF"/>
        </w:rPr>
        <w:t xml:space="preserve">Por su parte, </w:t>
      </w:r>
      <w:r>
        <w:rPr>
          <w:rFonts w:ascii="Verdana" w:eastAsia="Calibri" w:hAnsi="Verdana" w:cs="Arial"/>
          <w:lang w:val="es-ES"/>
        </w:rPr>
        <w:t xml:space="preserve">se ha referido </w:t>
      </w:r>
      <w:r>
        <w:rPr>
          <w:rFonts w:ascii="Verdana" w:hAnsi="Verdana" w:cs="Arial"/>
          <w:shd w:val="clear" w:color="auto" w:fill="FFFFFF"/>
          <w:lang w:val="es-ES"/>
        </w:rPr>
        <w:t xml:space="preserve">sobre </w:t>
      </w:r>
      <w:r>
        <w:rPr>
          <w:rFonts w:ascii="Verdana" w:hAnsi="Verdana" w:cs="Arial"/>
          <w:bCs/>
          <w:shd w:val="clear" w:color="auto" w:fill="FFFFFF"/>
        </w:rPr>
        <w:t>precios artificialmente bajos</w:t>
      </w:r>
      <w:r>
        <w:rPr>
          <w:rFonts w:ascii="Verdana" w:hAnsi="Verdana" w:cs="Arial"/>
          <w:shd w:val="clear" w:color="auto" w:fill="FFFFFF"/>
        </w:rPr>
        <w:t xml:space="preserve"> </w:t>
      </w:r>
      <w:r>
        <w:rPr>
          <w:rFonts w:ascii="Verdana" w:eastAsia="Calibri" w:hAnsi="Verdana" w:cs="Arial"/>
          <w:bCs/>
          <w:shd w:val="clear" w:color="auto" w:fill="FFFFFF"/>
        </w:rPr>
        <w:t xml:space="preserve">en los conceptos </w:t>
      </w:r>
      <w:r>
        <w:rPr>
          <w:rFonts w:ascii="Verdana" w:hAnsi="Verdana" w:cs="Arial"/>
          <w:bCs/>
          <w:shd w:val="clear" w:color="auto" w:fill="FFFFFF"/>
          <w:lang w:val="es-ES"/>
        </w:rPr>
        <w:t xml:space="preserve">C–163 del 31 de marzo de 2020 C-429 del 24 de julio de 2020, C-011 del 17 de febrero de 2021, C-205 del 7 de mayo de 2021, C-304 del 30 de marzo de 2022, C-287 del 11 de mayo de 2022, C-299 del 14 de mayo de 2022, C-403 del 22 de junio de 2022, C-546 del 30 de agosto de 2022, C-952 del 20 de enero de </w:t>
      </w:r>
      <w:r>
        <w:rPr>
          <w:rFonts w:ascii="Verdana" w:hAnsi="Verdana" w:cs="Arial"/>
          <w:bCs/>
          <w:shd w:val="clear" w:color="auto" w:fill="FFFFFF"/>
          <w:lang w:val="es-ES"/>
        </w:rPr>
        <w:lastRenderedPageBreak/>
        <w:t xml:space="preserve">2023, C-220 del 25 de junio del 2024, C-264 del 22 </w:t>
      </w:r>
      <w:proofErr w:type="spellStart"/>
      <w:r>
        <w:rPr>
          <w:rFonts w:ascii="Verdana" w:hAnsi="Verdana" w:cs="Arial"/>
          <w:bCs/>
          <w:shd w:val="clear" w:color="auto" w:fill="FFFFFF"/>
          <w:lang w:val="es-ES"/>
        </w:rPr>
        <w:t>del</w:t>
      </w:r>
      <w:proofErr w:type="spellEnd"/>
      <w:r>
        <w:rPr>
          <w:rFonts w:ascii="Verdana" w:hAnsi="Verdana" w:cs="Arial"/>
          <w:bCs/>
          <w:shd w:val="clear" w:color="auto" w:fill="FFFFFF"/>
          <w:lang w:val="es-ES"/>
        </w:rPr>
        <w:t xml:space="preserve"> julio de 2024, C-507 del 23 de agosto de 2024, C-1031 del 18 de diciembre de 2024, C-329 del 25 de abril de 2025, C-408 del 13 de mayo de 2025, C-573 del 16 de junio de 2025, C-769 de 25 de julio de 2025, C-850 del 08 de agosto de 2025, C-1042 del 28 de julio de 2025, C-1042 del 5 de septiembre de 2025, C-1069 del 12 de septiembre de 2025, C-1237 del 24 de septiembre de 2025, C-1299 del 20 de octubre de 2025, C-1414 del 06 de noviembre de 2025, C-1794 del 31 de diciembre de 2025, C-1846 del 21 </w:t>
      </w:r>
      <w:proofErr w:type="spellStart"/>
      <w:r>
        <w:rPr>
          <w:rFonts w:ascii="Verdana" w:hAnsi="Verdana" w:cs="Arial"/>
          <w:bCs/>
          <w:shd w:val="clear" w:color="auto" w:fill="FFFFFF"/>
          <w:lang w:val="es-ES"/>
        </w:rPr>
        <w:t>del</w:t>
      </w:r>
      <w:proofErr w:type="spellEnd"/>
      <w:r>
        <w:rPr>
          <w:rFonts w:ascii="Verdana" w:hAnsi="Verdana" w:cs="Arial"/>
          <w:bCs/>
          <w:shd w:val="clear" w:color="auto" w:fill="FFFFFF"/>
          <w:lang w:val="es-ES"/>
        </w:rPr>
        <w:t xml:space="preserve"> enero de 2026, C-069 del 18 de febrero de 2026, entre otros. </w:t>
      </w:r>
    </w:p>
    <w:p w14:paraId="2AD6DF5B" w14:textId="77777777" w:rsidR="0075058F" w:rsidRDefault="0075058F" w:rsidP="0075058F">
      <w:pPr>
        <w:spacing w:after="0" w:line="276" w:lineRule="auto"/>
        <w:jc w:val="both"/>
        <w:rPr>
          <w:rFonts w:ascii="Verdana" w:hAnsi="Verdana" w:cs="Arial"/>
          <w:bCs/>
          <w:shd w:val="clear" w:color="auto" w:fill="FFFFFF"/>
          <w:lang w:val="es-ES"/>
        </w:rPr>
      </w:pPr>
    </w:p>
    <w:p w14:paraId="10435FFB" w14:textId="77777777" w:rsidR="0075058F" w:rsidRPr="00F4700A" w:rsidRDefault="0075058F" w:rsidP="0075058F">
      <w:pPr>
        <w:spacing w:after="0" w:line="276" w:lineRule="auto"/>
        <w:jc w:val="both"/>
        <w:rPr>
          <w:rFonts w:ascii="Verdana" w:hAnsi="Verdana" w:cs="Arial"/>
          <w:bCs/>
          <w:shd w:val="clear" w:color="auto" w:fill="FFFFFF"/>
          <w:lang w:val="es-ES"/>
        </w:rPr>
      </w:pPr>
      <w:r>
        <w:rPr>
          <w:rFonts w:ascii="Verdana" w:hAnsi="Verdana" w:cs="Arial"/>
          <w:bCs/>
          <w:shd w:val="clear" w:color="auto" w:fill="FFFFFF"/>
          <w:lang w:val="es-ES"/>
        </w:rPr>
        <w:t xml:space="preserve">De igual manera, </w:t>
      </w:r>
      <w:r w:rsidRPr="00F4700A">
        <w:rPr>
          <w:rFonts w:ascii="Verdana" w:eastAsia="Calibri" w:hAnsi="Verdana" w:cs="Arial"/>
          <w:lang w:val="es-ES"/>
        </w:rPr>
        <w:t>La Agencia se</w:t>
      </w:r>
      <w:r>
        <w:rPr>
          <w:rFonts w:ascii="Verdana" w:eastAsia="Calibri" w:hAnsi="Verdana" w:cs="Arial"/>
          <w:lang w:val="es-ES"/>
        </w:rPr>
        <w:t xml:space="preserve"> ha referido </w:t>
      </w:r>
      <w:r>
        <w:rPr>
          <w:rFonts w:ascii="Verdana" w:hAnsi="Verdana" w:cs="Arial"/>
          <w:shd w:val="clear" w:color="auto" w:fill="FFFFFF"/>
          <w:lang w:val="es-ES"/>
        </w:rPr>
        <w:t>sobre el alcance del Decreto 0287 de 2026 en el concepto C-473 del 7 de mayo de 2026, C-572 del 19 de mayo de 2025, C-629 del 11 de mayo 2026, C-648 del 15 de mayo de 2026, C-775 del 17 de junio de 2026, entre otros</w:t>
      </w:r>
      <w:r w:rsidRPr="006D0E8A">
        <w:rPr>
          <w:rFonts w:ascii="Verdana" w:hAnsi="Verdana" w:cs="Arial"/>
          <w:shd w:val="clear" w:color="auto" w:fill="FFFFFF"/>
        </w:rPr>
        <w:t xml:space="preserve">. Estos </w:t>
      </w:r>
      <w:r>
        <w:rPr>
          <w:rFonts w:ascii="Verdana" w:hAnsi="Verdana" w:cs="Arial"/>
          <w:shd w:val="clear" w:color="auto" w:fill="FFFFFF"/>
        </w:rPr>
        <w:t xml:space="preserve">conceptos </w:t>
      </w:r>
      <w:r w:rsidRPr="006D0E8A">
        <w:rPr>
          <w:rFonts w:ascii="Verdana" w:hAnsi="Verdana" w:cs="Arial"/>
          <w:shd w:val="clear" w:color="auto" w:fill="FFFFFF"/>
        </w:rPr>
        <w:t xml:space="preserve">se encuentran disponibles para consulta en el Sistema de relatoría de la Agencia, al cual puede accederse a través del siguiente enlace: </w:t>
      </w:r>
      <w:hyperlink r:id="rId15" w:history="1">
        <w:r w:rsidRPr="006D0E8A">
          <w:rPr>
            <w:rFonts w:ascii="Verdana" w:hAnsi="Verdana" w:cs="Arial"/>
            <w:color w:val="0000FF"/>
            <w:u w:val="single"/>
            <w:shd w:val="clear" w:color="auto" w:fill="FFFFFF"/>
          </w:rPr>
          <w:t>https://relatoria.colombiacompra.gov.co/busqueda/conceptos</w:t>
        </w:r>
      </w:hyperlink>
      <w:r w:rsidRPr="006D0E8A">
        <w:rPr>
          <w:rFonts w:ascii="Verdana" w:hAnsi="Verdana" w:cs="Arial"/>
          <w:shd w:val="clear" w:color="auto" w:fill="FFFFFF"/>
        </w:rPr>
        <w:t xml:space="preserve">. </w:t>
      </w:r>
      <w:r w:rsidRPr="006D0E8A">
        <w:rPr>
          <w:rFonts w:ascii="Verdana" w:hAnsi="Verdana" w:cs="Arial"/>
          <w:color w:val="FF0000"/>
          <w:shd w:val="clear" w:color="auto" w:fill="FFFFFF"/>
          <w:lang w:val="es-ES"/>
        </w:rPr>
        <w:t xml:space="preserve"> </w:t>
      </w:r>
    </w:p>
    <w:p w14:paraId="03C5E353" w14:textId="77777777" w:rsidR="0075058F" w:rsidRPr="006D0E8A" w:rsidRDefault="0075058F" w:rsidP="0075058F">
      <w:pPr>
        <w:widowControl w:val="0"/>
        <w:autoSpaceDE w:val="0"/>
        <w:autoSpaceDN w:val="0"/>
        <w:spacing w:after="0" w:line="276" w:lineRule="auto"/>
        <w:jc w:val="both"/>
        <w:rPr>
          <w:rFonts w:ascii="Verdana" w:hAnsi="Verdana" w:cs="Arial"/>
          <w:color w:val="000000" w:themeColor="text1"/>
          <w:shd w:val="clear" w:color="auto" w:fill="FFFFFF"/>
        </w:rPr>
      </w:pPr>
    </w:p>
    <w:p w14:paraId="59AE9109" w14:textId="77777777" w:rsidR="0075058F" w:rsidRPr="001B3C5D" w:rsidRDefault="0075058F" w:rsidP="0075058F">
      <w:pPr>
        <w:spacing w:after="0" w:line="276" w:lineRule="auto"/>
        <w:jc w:val="both"/>
        <w:rPr>
          <w:rFonts w:ascii="Verdana" w:eastAsia="Times New Roman" w:hAnsi="Verdana" w:cs="Arial"/>
          <w:lang w:eastAsia="es-MX"/>
        </w:rPr>
      </w:pPr>
      <w:r w:rsidRPr="001B3C5D">
        <w:rPr>
          <w:rFonts w:ascii="Verdana" w:eastAsia="Times New Roman" w:hAnsi="Verdana" w:cs="Arial"/>
          <w:lang w:eastAsia="es-MX"/>
        </w:rPr>
        <w:t xml:space="preserve">La sostenibilidad no es una opción, es una obligación. Por ello, la Agencia Nacional de Contratación Pública –Colombia Compra Eficiente– te invita a realizar el </w:t>
      </w:r>
      <w:r w:rsidRPr="001B3C5D">
        <w:rPr>
          <w:rFonts w:ascii="Verdana" w:eastAsia="Times New Roman" w:hAnsi="Verdana" w:cs="Arial"/>
          <w:b/>
          <w:bCs/>
          <w:lang w:eastAsia="es-MX"/>
        </w:rPr>
        <w:t>Curso de Contratación Pública Sostenible y Socialmente Responsable</w:t>
      </w:r>
      <w:r w:rsidRPr="001B3C5D">
        <w:rPr>
          <w:rFonts w:ascii="Verdana" w:eastAsia="Times New Roman" w:hAnsi="Verdana" w:cs="Arial"/>
          <w:lang w:eastAsia="es-MX"/>
        </w:rPr>
        <w:t>, una herramienta clave para fortalecer las capacidades de todos los compradores públicos, proveedores, servidores públicos y para generar mayor valor público. Accede al curso y aprende como implementar criterios sociales y ambientales en las diferentes etapas del proceso de contratación:</w:t>
      </w:r>
      <w:r w:rsidRPr="001B3C5D">
        <w:rPr>
          <w:rFonts w:ascii="Verdana" w:eastAsia="Times New Roman" w:hAnsi="Verdana" w:cs="Arial"/>
          <w:lang w:eastAsia="es-MX"/>
        </w:rPr>
        <w:br/>
      </w:r>
      <w:hyperlink r:id="rId16" w:tgtFrame="_new" w:history="1">
        <w:r w:rsidRPr="001B3C5D">
          <w:rPr>
            <w:rFonts w:ascii="Verdana" w:eastAsia="Times New Roman" w:hAnsi="Verdana" w:cs="Arial"/>
            <w:color w:val="0000FF"/>
            <w:u w:val="single"/>
            <w:lang w:eastAsia="es-MX"/>
          </w:rPr>
          <w:t>https://formacionvirtual.colombiacompra.gov.co/mod/page/view.php?id=3718</w:t>
        </w:r>
      </w:hyperlink>
    </w:p>
    <w:p w14:paraId="18FEF4B7" w14:textId="77777777" w:rsidR="0075058F" w:rsidRPr="001B3C5D" w:rsidRDefault="0075058F" w:rsidP="0075058F">
      <w:pPr>
        <w:spacing w:after="0" w:line="276" w:lineRule="auto"/>
        <w:jc w:val="both"/>
        <w:rPr>
          <w:rFonts w:ascii="Verdana" w:eastAsia="Times New Roman" w:hAnsi="Verdana" w:cs="Arial"/>
          <w:lang w:eastAsia="es-MX"/>
        </w:rPr>
      </w:pPr>
      <w:r w:rsidRPr="001B3C5D">
        <w:rPr>
          <w:rFonts w:ascii="Verdana" w:eastAsia="Times New Roman" w:hAnsi="Verdana" w:cs="Arial"/>
          <w:lang w:eastAsia="es-MX"/>
        </w:rPr>
        <w:t xml:space="preserve">De otro lado, te contamos que esta Agencia ha da un paso decisivo en la estandarización y modernización del </w:t>
      </w:r>
      <w:r w:rsidRPr="001B3C5D">
        <w:rPr>
          <w:rFonts w:ascii="Verdana" w:eastAsia="Times New Roman" w:hAnsi="Verdana" w:cs="Arial"/>
          <w:b/>
          <w:bCs/>
          <w:lang w:eastAsia="es-MX"/>
        </w:rPr>
        <w:t>sector  social</w:t>
      </w:r>
      <w:r w:rsidRPr="001B3C5D">
        <w:rPr>
          <w:rFonts w:ascii="Verdana" w:eastAsia="Times New Roman" w:hAnsi="Verdana" w:cs="Arial"/>
          <w:lang w:eastAsia="es-MX"/>
        </w:rPr>
        <w:t xml:space="preserve"> con la expedición de las </w:t>
      </w:r>
      <w:r w:rsidRPr="001B3C5D">
        <w:rPr>
          <w:rFonts w:ascii="Verdana" w:eastAsia="Times New Roman" w:hAnsi="Verdana" w:cs="Arial"/>
          <w:b/>
          <w:bCs/>
          <w:lang w:eastAsia="es-MX"/>
        </w:rPr>
        <w:t>Resoluciones 539, 540, 541, 952 y 953 de 2025</w:t>
      </w:r>
      <w:r w:rsidRPr="001B3C5D">
        <w:rPr>
          <w:rFonts w:ascii="Verdana" w:eastAsia="Times New Roman" w:hAnsi="Verdana" w:cs="Arial"/>
          <w:lang w:eastAsia="es-MX"/>
        </w:rPr>
        <w:t xml:space="preserve">, </w:t>
      </w:r>
      <w:r w:rsidRPr="001B3C5D">
        <w:rPr>
          <w:rFonts w:ascii="Verdana" w:eastAsia="Times New Roman" w:hAnsi="Verdana" w:cs="Arial"/>
          <w:b/>
          <w:bCs/>
          <w:lang w:eastAsia="es-MX"/>
        </w:rPr>
        <w:t>mediante las cuales adoptó Documentos Tipo</w:t>
      </w:r>
      <w:r w:rsidRPr="001B3C5D">
        <w:rPr>
          <w:rFonts w:ascii="Verdana" w:eastAsia="Times New Roman" w:hAnsi="Verdana" w:cs="Arial"/>
          <w:lang w:eastAsia="es-MX"/>
        </w:rPr>
        <w:t xml:space="preserve"> para las modalidades de selección de</w:t>
      </w:r>
      <w:r w:rsidRPr="001B3C5D">
        <w:rPr>
          <w:rFonts w:ascii="Verdana" w:eastAsia="Times New Roman" w:hAnsi="Verdana" w:cs="Arial"/>
          <w:b/>
          <w:bCs/>
          <w:lang w:eastAsia="es-MX"/>
        </w:rPr>
        <w:t xml:space="preserve"> licitación pública (versión 2), selección abreviada de menor cuantía, mínima cuantía, consultoría e interventoría</w:t>
      </w:r>
      <w:r w:rsidRPr="001B3C5D">
        <w:rPr>
          <w:rFonts w:ascii="Verdana" w:eastAsia="Times New Roman" w:hAnsi="Verdana" w:cs="Arial"/>
          <w:lang w:eastAsia="es-MX"/>
        </w:rPr>
        <w:t xml:space="preserve">, promoviendo procesos más transparentes, eficientes  competitivos y sostenibles en sectores estratégicos como educación, salud, cultura, recreación, deporte, institucional y vivienda. Consulta y descarga los documentos aquí: </w:t>
      </w:r>
      <w:hyperlink r:id="rId17" w:tgtFrame="_new" w:history="1">
        <w:r w:rsidRPr="001B3C5D">
          <w:rPr>
            <w:rFonts w:ascii="Verdana" w:eastAsia="Times New Roman" w:hAnsi="Verdana" w:cs="Arial"/>
            <w:color w:val="0000FF"/>
            <w:u w:val="single"/>
            <w:lang w:eastAsia="es-MX"/>
          </w:rPr>
          <w:t>https://www.colombiacompra.gov.co/normativa-y-relatoria/documentos-tipo</w:t>
        </w:r>
      </w:hyperlink>
    </w:p>
    <w:p w14:paraId="07FEE048" w14:textId="77777777" w:rsidR="0075058F" w:rsidRPr="001B3C5D" w:rsidRDefault="0075058F" w:rsidP="0075058F">
      <w:pPr>
        <w:spacing w:after="0" w:line="276" w:lineRule="auto"/>
        <w:jc w:val="both"/>
        <w:rPr>
          <w:rFonts w:ascii="Verdana" w:eastAsia="Times New Roman" w:hAnsi="Verdana" w:cs="Arial"/>
          <w:lang w:eastAsia="es-MX"/>
        </w:rPr>
      </w:pPr>
    </w:p>
    <w:p w14:paraId="57EEEECA" w14:textId="77777777" w:rsidR="0075058F" w:rsidRPr="001B3C5D" w:rsidRDefault="0075058F" w:rsidP="0075058F">
      <w:pPr>
        <w:spacing w:after="0" w:line="276" w:lineRule="auto"/>
        <w:jc w:val="both"/>
        <w:rPr>
          <w:rFonts w:ascii="Verdana" w:eastAsia="Times New Roman" w:hAnsi="Verdana" w:cs="Arial"/>
          <w:lang w:eastAsia="es-MX"/>
        </w:rPr>
      </w:pPr>
      <w:r w:rsidRPr="001B3C5D">
        <w:rPr>
          <w:rFonts w:ascii="Verdana" w:eastAsia="Times New Roman" w:hAnsi="Verdana" w:cs="Arial"/>
          <w:lang w:eastAsia="es-MX"/>
        </w:rPr>
        <w:t xml:space="preserve">Si quieres conocer más sobre la aplicación de Documentos Tipo puedes consultar la última versión de la </w:t>
      </w:r>
      <w:r w:rsidRPr="001B3C5D">
        <w:rPr>
          <w:rFonts w:ascii="Verdana" w:eastAsia="Times New Roman" w:hAnsi="Verdana" w:cs="Arial"/>
          <w:b/>
          <w:bCs/>
          <w:lang w:eastAsia="es-MX"/>
        </w:rPr>
        <w:t>Guía para la comprensión e implementación de los Documentos Tipo de obra pública de infraestructura de transporte</w:t>
      </w:r>
      <w:r w:rsidRPr="001B3C5D">
        <w:rPr>
          <w:rFonts w:ascii="Verdana" w:eastAsia="Times New Roman" w:hAnsi="Verdana" w:cs="Arial"/>
          <w:lang w:eastAsia="es-MX"/>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1B3C5D">
        <w:rPr>
          <w:rFonts w:ascii="Verdana" w:eastAsia="Times New Roman" w:hAnsi="Verdana" w:cs="Arial"/>
          <w:lang w:eastAsia="es-MX"/>
        </w:rPr>
        <w:br/>
      </w:r>
      <w:hyperlink r:id="rId18" w:tgtFrame="_new" w:history="1">
        <w:r w:rsidRPr="001B3C5D">
          <w:rPr>
            <w:rFonts w:ascii="Verdana" w:eastAsia="Times New Roman" w:hAnsi="Verdana" w:cs="Arial"/>
            <w:color w:val="0000FF"/>
            <w:u w:val="single"/>
            <w:lang w:eastAsia="es-MX"/>
          </w:rPr>
          <w:t>https://www.colombiacompra.gov.co/archivos/manual/guia-para-la-comprension-e-implementacion-de-los-documentos-tipo-de-obra-publica-de-infraestructura-de-transporte-bajo-las-diferentes-modalidades-de-contratacion-vigentes</w:t>
        </w:r>
      </w:hyperlink>
    </w:p>
    <w:p w14:paraId="044BA3E9" w14:textId="77777777" w:rsidR="0075058F" w:rsidRDefault="0075058F" w:rsidP="0075058F">
      <w:pPr>
        <w:spacing w:after="0" w:line="276" w:lineRule="auto"/>
        <w:jc w:val="both"/>
        <w:rPr>
          <w:rFonts w:ascii="Verdana" w:hAnsi="Verdana"/>
          <w:lang w:val="es-ES"/>
        </w:rPr>
      </w:pPr>
    </w:p>
    <w:p w14:paraId="64DBE407" w14:textId="77777777" w:rsidR="0075058F" w:rsidRPr="00EA47D8" w:rsidRDefault="0075058F" w:rsidP="0075058F">
      <w:pPr>
        <w:spacing w:after="0" w:line="276" w:lineRule="auto"/>
        <w:jc w:val="both"/>
        <w:rPr>
          <w:rFonts w:ascii="Verdana" w:hAnsi="Verdana"/>
          <w:lang w:val="es-ES"/>
        </w:rPr>
      </w:pPr>
      <w:r w:rsidRPr="00EA47D8">
        <w:rPr>
          <w:rFonts w:ascii="Verdana" w:hAnsi="Verdana"/>
          <w:lang w:val="es-ES"/>
        </w:rPr>
        <w:t xml:space="preserve">Por último, lo invitamos a seguirnos en las redes sociales en las cuales se difunde información institucional: </w:t>
      </w:r>
    </w:p>
    <w:p w14:paraId="62C7DE32" w14:textId="77777777" w:rsidR="0075058F" w:rsidRPr="00EA47D8" w:rsidRDefault="0075058F" w:rsidP="0075058F">
      <w:pPr>
        <w:spacing w:after="0" w:line="276" w:lineRule="auto"/>
        <w:jc w:val="both"/>
        <w:rPr>
          <w:rFonts w:ascii="Verdana" w:hAnsi="Verdana"/>
          <w:lang w:val="es-ES"/>
        </w:rPr>
      </w:pPr>
    </w:p>
    <w:p w14:paraId="28A41575" w14:textId="77777777" w:rsidR="0075058F" w:rsidRPr="00EA47D8" w:rsidRDefault="0075058F" w:rsidP="0075058F">
      <w:pPr>
        <w:spacing w:after="0" w:line="276" w:lineRule="auto"/>
        <w:jc w:val="both"/>
        <w:rPr>
          <w:rFonts w:ascii="Verdana" w:hAnsi="Verdana"/>
          <w:lang w:val="es-ES"/>
        </w:rPr>
      </w:pPr>
      <w:r w:rsidRPr="00EA47D8">
        <w:rPr>
          <w:rFonts w:ascii="Verdana" w:hAnsi="Verdana"/>
          <w:lang w:val="es-ES"/>
        </w:rPr>
        <w:t xml:space="preserve">Twitter: </w:t>
      </w:r>
      <w:r w:rsidRPr="00EA47D8">
        <w:rPr>
          <w:rStyle w:val="Hipervnculo"/>
          <w:rFonts w:ascii="Verdana" w:hAnsi="Verdana" w:cs="Arial"/>
          <w:shd w:val="clear" w:color="auto" w:fill="FFFFFF"/>
          <w:lang w:val="es-ES"/>
        </w:rPr>
        <w:t>@colombiacompra</w:t>
      </w:r>
      <w:r w:rsidRPr="00EA47D8">
        <w:rPr>
          <w:rFonts w:ascii="Verdana" w:hAnsi="Verdana"/>
          <w:color w:val="4472C4" w:themeColor="accent1"/>
          <w:lang w:val="es-ES"/>
        </w:rPr>
        <w:t xml:space="preserve"> </w:t>
      </w:r>
    </w:p>
    <w:p w14:paraId="39D7F58F" w14:textId="77777777" w:rsidR="0075058F" w:rsidRPr="00EA47D8" w:rsidRDefault="0075058F" w:rsidP="0075058F">
      <w:pPr>
        <w:spacing w:after="0" w:line="276" w:lineRule="auto"/>
        <w:jc w:val="both"/>
        <w:rPr>
          <w:rFonts w:ascii="Verdana" w:hAnsi="Verdana"/>
          <w:lang w:val="es-ES"/>
        </w:rPr>
      </w:pPr>
      <w:r w:rsidRPr="00EA47D8">
        <w:rPr>
          <w:rFonts w:ascii="Verdana" w:hAnsi="Verdana"/>
          <w:lang w:val="es-ES"/>
        </w:rPr>
        <w:t xml:space="preserve">Facebook: </w:t>
      </w:r>
      <w:proofErr w:type="spellStart"/>
      <w:r w:rsidRPr="00EA47D8">
        <w:rPr>
          <w:rStyle w:val="Hipervnculo"/>
          <w:rFonts w:ascii="Verdana" w:hAnsi="Verdana" w:cs="Arial"/>
          <w:shd w:val="clear" w:color="auto" w:fill="FFFFFF"/>
          <w:lang w:val="es-ES"/>
        </w:rPr>
        <w:t>ColombiaCompraEficiente</w:t>
      </w:r>
      <w:proofErr w:type="spellEnd"/>
    </w:p>
    <w:p w14:paraId="2CF43070" w14:textId="77777777" w:rsidR="0075058F" w:rsidRPr="00EA47D8" w:rsidRDefault="0075058F" w:rsidP="0075058F">
      <w:pPr>
        <w:spacing w:after="0" w:line="276" w:lineRule="auto"/>
        <w:jc w:val="both"/>
        <w:rPr>
          <w:rFonts w:ascii="Verdana" w:hAnsi="Verdana"/>
          <w:lang w:val="es-ES"/>
        </w:rPr>
      </w:pPr>
      <w:r w:rsidRPr="00EA47D8">
        <w:rPr>
          <w:rFonts w:ascii="Verdana" w:hAnsi="Verdana"/>
          <w:lang w:val="es-ES"/>
        </w:rPr>
        <w:t xml:space="preserve">LinkedIn: </w:t>
      </w:r>
      <w:r w:rsidRPr="00EA47D8">
        <w:rPr>
          <w:rStyle w:val="Hipervnculo"/>
          <w:rFonts w:ascii="Verdana" w:hAnsi="Verdana" w:cs="Arial"/>
          <w:shd w:val="clear" w:color="auto" w:fill="FFFFFF"/>
          <w:lang w:val="es-ES"/>
        </w:rPr>
        <w:t xml:space="preserve">Agencia Nacional de Contratación Pública - Colombia Compra Eficiente </w:t>
      </w:r>
      <w:r w:rsidRPr="00EA47D8">
        <w:rPr>
          <w:rFonts w:ascii="Verdana" w:hAnsi="Verdana"/>
          <w:lang w:val="es-ES"/>
        </w:rPr>
        <w:t xml:space="preserve">Instagram: </w:t>
      </w:r>
      <w:r w:rsidRPr="00EA47D8">
        <w:rPr>
          <w:rStyle w:val="Hipervnculo"/>
          <w:rFonts w:ascii="Verdana" w:hAnsi="Verdana" w:cs="Arial"/>
          <w:shd w:val="clear" w:color="auto" w:fill="FFFFFF"/>
          <w:lang w:val="es-ES"/>
        </w:rPr>
        <w:t>@colombiacompraeficiente_cce</w:t>
      </w:r>
    </w:p>
    <w:p w14:paraId="2EF30916" w14:textId="77777777" w:rsidR="0075058F" w:rsidRPr="00EA47D8" w:rsidRDefault="0075058F" w:rsidP="0075058F">
      <w:pPr>
        <w:widowControl w:val="0"/>
        <w:autoSpaceDE w:val="0"/>
        <w:autoSpaceDN w:val="0"/>
        <w:spacing w:after="0" w:line="276" w:lineRule="auto"/>
        <w:jc w:val="both"/>
        <w:rPr>
          <w:rFonts w:ascii="Verdana" w:hAnsi="Verdana" w:cs="Arial"/>
          <w:lang w:val="es-ES"/>
        </w:rPr>
      </w:pPr>
    </w:p>
    <w:p w14:paraId="3CB06703" w14:textId="77777777" w:rsidR="0075058F" w:rsidRPr="00EA47D8" w:rsidRDefault="0075058F" w:rsidP="0075058F">
      <w:pPr>
        <w:widowControl w:val="0"/>
        <w:autoSpaceDE w:val="0"/>
        <w:autoSpaceDN w:val="0"/>
        <w:spacing w:after="0" w:line="276" w:lineRule="auto"/>
        <w:jc w:val="both"/>
        <w:rPr>
          <w:rFonts w:ascii="Verdana" w:hAnsi="Verdana" w:cs="Arial"/>
          <w:lang w:val="es-ES"/>
        </w:rPr>
      </w:pPr>
      <w:r w:rsidRPr="00EA47D8">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566CA5A5" w14:textId="77777777" w:rsidR="0075058F" w:rsidRPr="00EA47D8" w:rsidRDefault="0075058F" w:rsidP="0075058F">
      <w:pPr>
        <w:widowControl w:val="0"/>
        <w:autoSpaceDE w:val="0"/>
        <w:autoSpaceDN w:val="0"/>
        <w:spacing w:after="0" w:line="276" w:lineRule="auto"/>
        <w:jc w:val="both"/>
        <w:rPr>
          <w:rFonts w:ascii="Verdana" w:hAnsi="Verdana" w:cs="Arial"/>
          <w:lang w:val="es-ES"/>
        </w:rPr>
      </w:pPr>
    </w:p>
    <w:p w14:paraId="211B96B1" w14:textId="77777777" w:rsidR="0075058F" w:rsidRPr="00EA47D8" w:rsidRDefault="0075058F" w:rsidP="0075058F">
      <w:pPr>
        <w:spacing w:after="0" w:line="276" w:lineRule="auto"/>
        <w:rPr>
          <w:rFonts w:ascii="Verdana" w:hAnsi="Verdana" w:cs="Arial"/>
          <w:color w:val="000000" w:themeColor="text1"/>
          <w:lang w:val="es-ES" w:eastAsia="es-CO"/>
        </w:rPr>
      </w:pPr>
      <w:r w:rsidRPr="00EA47D8">
        <w:rPr>
          <w:rFonts w:ascii="Verdana" w:eastAsia="Times New Roman" w:hAnsi="Verdana" w:cs="Arial"/>
          <w:color w:val="000000" w:themeColor="text1"/>
          <w:lang w:val="es-ES" w:eastAsia="es-CO"/>
        </w:rPr>
        <w:t>Atentamente,</w:t>
      </w:r>
      <w:r w:rsidRPr="00EA47D8">
        <w:rPr>
          <w:rFonts w:ascii="Verdana" w:hAnsi="Verdana" w:cs="Arial"/>
          <w:color w:val="000000" w:themeColor="text1"/>
          <w:lang w:val="es-ES" w:eastAsia="es-CO"/>
        </w:rPr>
        <w:t xml:space="preserve"> </w:t>
      </w:r>
    </w:p>
    <w:p w14:paraId="3A70BF6B" w14:textId="77777777" w:rsidR="0075058F" w:rsidRPr="00EA47D8" w:rsidRDefault="0075058F" w:rsidP="0075058F">
      <w:pPr>
        <w:spacing w:after="0" w:line="276" w:lineRule="auto"/>
        <w:rPr>
          <w:rFonts w:ascii="Verdana" w:hAnsi="Verdana" w:cs="Arial"/>
          <w:color w:val="000000" w:themeColor="text1"/>
          <w:lang w:val="es-ES" w:eastAsia="es-CO"/>
        </w:rPr>
      </w:pPr>
    </w:p>
    <w:p w14:paraId="126C51C7" w14:textId="154ED8A2" w:rsidR="0075058F" w:rsidRPr="00A27102" w:rsidRDefault="005E1D8C" w:rsidP="0075058F">
      <w:pPr>
        <w:spacing w:line="276" w:lineRule="auto"/>
        <w:jc w:val="center"/>
        <w:rPr>
          <w:rFonts w:ascii="Verdana" w:hAnsi="Verdana" w:cs="Arial"/>
          <w:color w:val="000000"/>
          <w:lang w:val="es-ES_tradnl" w:eastAsia="es-CO"/>
        </w:rPr>
      </w:pPr>
      <w:r>
        <w:rPr>
          <w:noProof/>
        </w:rPr>
        <w:lastRenderedPageBreak/>
        <w:drawing>
          <wp:inline distT="0" distB="0" distL="0" distR="0" wp14:anchorId="0CD97AA6" wp14:editId="0E42E3D6">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9"/>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75058F" w:rsidRPr="00A27102" w14:paraId="07ACE4B2" w14:textId="77777777" w:rsidTr="007E09F3">
        <w:trPr>
          <w:trHeight w:val="315"/>
        </w:trPr>
        <w:tc>
          <w:tcPr>
            <w:tcW w:w="893" w:type="dxa"/>
            <w:vAlign w:val="center"/>
            <w:hideMark/>
          </w:tcPr>
          <w:p w14:paraId="6089F3F7" w14:textId="77777777" w:rsidR="0075058F" w:rsidRPr="00A27102" w:rsidRDefault="0075058F" w:rsidP="007E09F3">
            <w:pPr>
              <w:contextualSpacing/>
              <w:rPr>
                <w:rFonts w:ascii="Verdana" w:hAnsi="Verdana" w:cs="Arial"/>
                <w:sz w:val="16"/>
                <w:szCs w:val="16"/>
                <w:lang w:val="es-ES" w:eastAsia="es-ES"/>
              </w:rPr>
            </w:pPr>
            <w:r w:rsidRPr="00A27102">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7613F2C" w14:textId="77777777" w:rsidR="0075058F" w:rsidRPr="00A27102" w:rsidRDefault="0075058F" w:rsidP="007E09F3">
            <w:pPr>
              <w:contextualSpacing/>
              <w:rPr>
                <w:rFonts w:ascii="Verdana" w:hAnsi="Verdana"/>
                <w:sz w:val="16"/>
                <w:szCs w:val="16"/>
              </w:rPr>
            </w:pPr>
            <w:r w:rsidRPr="00A27102">
              <w:rPr>
                <w:rFonts w:ascii="Verdana" w:hAnsi="Verdana"/>
                <w:sz w:val="16"/>
                <w:szCs w:val="16"/>
              </w:rPr>
              <w:t>Tatiana Baquero Iguarán</w:t>
            </w:r>
          </w:p>
          <w:p w14:paraId="58C138CD" w14:textId="77777777" w:rsidR="0075058F" w:rsidRPr="00A27102" w:rsidRDefault="0075058F" w:rsidP="007E09F3">
            <w:pPr>
              <w:contextualSpacing/>
              <w:rPr>
                <w:rFonts w:ascii="Verdana" w:eastAsia="Arial" w:hAnsi="Verdana" w:cs="Arial"/>
                <w:sz w:val="16"/>
                <w:szCs w:val="16"/>
              </w:rPr>
            </w:pPr>
            <w:r w:rsidRPr="00A27102">
              <w:rPr>
                <w:rFonts w:ascii="Verdana" w:hAnsi="Verdana"/>
                <w:sz w:val="16"/>
                <w:szCs w:val="16"/>
              </w:rPr>
              <w:t>Contratista de la Subdirección de Gestión Contractual</w:t>
            </w:r>
          </w:p>
        </w:tc>
      </w:tr>
      <w:tr w:rsidR="0075058F" w:rsidRPr="00A27102" w14:paraId="77A6B155" w14:textId="77777777" w:rsidTr="007E09F3">
        <w:trPr>
          <w:trHeight w:val="330"/>
        </w:trPr>
        <w:tc>
          <w:tcPr>
            <w:tcW w:w="893" w:type="dxa"/>
            <w:vAlign w:val="center"/>
            <w:hideMark/>
          </w:tcPr>
          <w:p w14:paraId="0ECE3A70" w14:textId="77777777" w:rsidR="0075058F" w:rsidRPr="00A27102" w:rsidRDefault="0075058F" w:rsidP="007E09F3">
            <w:pPr>
              <w:contextualSpacing/>
              <w:rPr>
                <w:rFonts w:ascii="Verdana" w:hAnsi="Verdana" w:cs="Arial"/>
                <w:sz w:val="16"/>
                <w:szCs w:val="16"/>
                <w:lang w:val="es-ES" w:eastAsia="es-ES"/>
              </w:rPr>
            </w:pPr>
            <w:r w:rsidRPr="00A27102">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8A48FE4" w14:textId="77777777" w:rsidR="0075058F" w:rsidRPr="00A27102" w:rsidRDefault="0075058F" w:rsidP="007E09F3">
            <w:pPr>
              <w:spacing w:before="100" w:beforeAutospacing="1" w:afterAutospacing="1"/>
              <w:contextualSpacing/>
              <w:textAlignment w:val="baseline"/>
              <w:rPr>
                <w:rFonts w:ascii="Verdana" w:eastAsia="Times New Roman" w:hAnsi="Verdana" w:cs="Arial"/>
                <w:sz w:val="16"/>
                <w:szCs w:val="16"/>
                <w:lang w:val="es-ES" w:eastAsia="es-ES_tradnl"/>
              </w:rPr>
            </w:pPr>
            <w:r w:rsidRPr="00A27102">
              <w:rPr>
                <w:rFonts w:ascii="Verdana" w:eastAsia="Times New Roman" w:hAnsi="Verdana" w:cs="Arial"/>
                <w:sz w:val="16"/>
                <w:szCs w:val="16"/>
                <w:lang w:val="es-ES" w:eastAsia="es-ES_tradnl"/>
              </w:rPr>
              <w:t>Alejandro Sarmiento Cantillo</w:t>
            </w:r>
          </w:p>
          <w:p w14:paraId="7C30CFF4" w14:textId="77777777" w:rsidR="0075058F" w:rsidRPr="00A27102" w:rsidRDefault="0075058F" w:rsidP="007E09F3">
            <w:pPr>
              <w:contextualSpacing/>
              <w:textAlignment w:val="baseline"/>
              <w:rPr>
                <w:rFonts w:ascii="Verdana" w:eastAsia="Times New Roman" w:hAnsi="Verdana" w:cs="Segoe UI"/>
                <w:sz w:val="16"/>
                <w:szCs w:val="16"/>
                <w:lang w:eastAsia="es-ES_tradnl"/>
              </w:rPr>
            </w:pPr>
            <w:r w:rsidRPr="00A27102">
              <w:rPr>
                <w:rFonts w:ascii="Verdana" w:eastAsia="Times New Roman" w:hAnsi="Verdana" w:cs="Arial"/>
                <w:sz w:val="16"/>
                <w:szCs w:val="16"/>
                <w:lang w:val="es-ES" w:eastAsia="es-ES_tradnl"/>
              </w:rPr>
              <w:t>Gestor T1 ‒ 15 de la Subdirección de Gestión Contractual</w:t>
            </w:r>
            <w:r w:rsidRPr="00A27102">
              <w:rPr>
                <w:rFonts w:ascii="Verdana" w:eastAsia="Times New Roman" w:hAnsi="Verdana" w:cs="Arial"/>
                <w:sz w:val="16"/>
                <w:szCs w:val="16"/>
                <w:lang w:eastAsia="es-ES_tradnl"/>
              </w:rPr>
              <w:t> </w:t>
            </w:r>
          </w:p>
        </w:tc>
      </w:tr>
      <w:tr w:rsidR="0075058F" w:rsidRPr="00A27102" w14:paraId="185CB7CB" w14:textId="77777777" w:rsidTr="007E09F3">
        <w:trPr>
          <w:trHeight w:val="300"/>
        </w:trPr>
        <w:tc>
          <w:tcPr>
            <w:tcW w:w="893" w:type="dxa"/>
            <w:vAlign w:val="center"/>
          </w:tcPr>
          <w:p w14:paraId="50EE0715" w14:textId="77777777" w:rsidR="0075058F" w:rsidRPr="00A27102" w:rsidRDefault="0075058F" w:rsidP="007E09F3">
            <w:pPr>
              <w:contextualSpacing/>
              <w:rPr>
                <w:rFonts w:ascii="Verdana" w:hAnsi="Verdana" w:cs="Arial"/>
                <w:sz w:val="16"/>
                <w:szCs w:val="16"/>
                <w:lang w:val="es-ES" w:eastAsia="es-ES"/>
              </w:rPr>
            </w:pPr>
            <w:r w:rsidRPr="00A27102">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6929E8C" w14:textId="77777777" w:rsidR="0075058F" w:rsidRPr="00A27102" w:rsidRDefault="0075058F" w:rsidP="007E09F3">
            <w:pPr>
              <w:contextualSpacing/>
              <w:rPr>
                <w:rFonts w:ascii="Verdana" w:eastAsia="Calibri" w:hAnsi="Verdana" w:cs="Arial"/>
                <w:sz w:val="16"/>
                <w:szCs w:val="16"/>
                <w:lang w:val="pt-BR" w:eastAsia="es-ES"/>
              </w:rPr>
            </w:pPr>
            <w:r w:rsidRPr="00A27102">
              <w:rPr>
                <w:rFonts w:ascii="Verdana" w:eastAsia="Calibri" w:hAnsi="Verdana" w:cs="Arial"/>
                <w:sz w:val="16"/>
                <w:szCs w:val="16"/>
                <w:lang w:val="pt-BR" w:eastAsia="es-ES"/>
              </w:rPr>
              <w:t xml:space="preserve">Carolina Quintero </w:t>
            </w:r>
            <w:proofErr w:type="spellStart"/>
            <w:r w:rsidRPr="00A27102">
              <w:rPr>
                <w:rFonts w:ascii="Verdana" w:eastAsia="Calibri" w:hAnsi="Verdana" w:cs="Arial"/>
                <w:sz w:val="16"/>
                <w:szCs w:val="16"/>
                <w:lang w:val="pt-BR" w:eastAsia="es-ES"/>
              </w:rPr>
              <w:t>Gacharná</w:t>
            </w:r>
            <w:proofErr w:type="spellEnd"/>
          </w:p>
          <w:p w14:paraId="51D94C9B" w14:textId="77777777" w:rsidR="0075058F" w:rsidRPr="00A27102" w:rsidRDefault="0075058F" w:rsidP="007E09F3">
            <w:pPr>
              <w:contextualSpacing/>
              <w:rPr>
                <w:rFonts w:ascii="Verdana" w:eastAsia="Calibri" w:hAnsi="Verdana" w:cs="Arial"/>
                <w:sz w:val="16"/>
                <w:szCs w:val="16"/>
                <w:lang w:val="pt-BR" w:eastAsia="es-ES"/>
              </w:rPr>
            </w:pPr>
            <w:r w:rsidRPr="00A27102">
              <w:rPr>
                <w:rFonts w:ascii="Verdana" w:eastAsia="Calibri" w:hAnsi="Verdana" w:cs="Arial"/>
                <w:sz w:val="16"/>
                <w:szCs w:val="16"/>
                <w:lang w:eastAsia="es-ES"/>
              </w:rPr>
              <w:t>Subdirectora</w:t>
            </w:r>
            <w:r w:rsidRPr="00A27102">
              <w:rPr>
                <w:rFonts w:ascii="Verdana" w:eastAsia="Calibri" w:hAnsi="Verdana" w:cs="Arial"/>
                <w:sz w:val="16"/>
                <w:szCs w:val="16"/>
                <w:lang w:val="pt-BR" w:eastAsia="es-ES"/>
              </w:rPr>
              <w:t xml:space="preserve"> de Gestión Contratual ANCP – CCE</w:t>
            </w:r>
          </w:p>
        </w:tc>
      </w:tr>
    </w:tbl>
    <w:p w14:paraId="3803A649" w14:textId="77777777" w:rsidR="0075058F" w:rsidRPr="00F16D67" w:rsidRDefault="0075058F" w:rsidP="0075058F">
      <w:pPr>
        <w:spacing w:after="0" w:line="240" w:lineRule="auto"/>
        <w:textAlignment w:val="baseline"/>
        <w:rPr>
          <w:rFonts w:ascii="Verdana" w:eastAsia="Verdana" w:hAnsi="Verdana" w:cs="Verdana"/>
          <w:lang w:eastAsia="es-CO"/>
        </w:rPr>
      </w:pPr>
    </w:p>
    <w:p w14:paraId="7F0F198E" w14:textId="77777777" w:rsidR="0075058F" w:rsidRPr="000E2B93" w:rsidRDefault="0075058F" w:rsidP="0075058F">
      <w:pPr>
        <w:spacing w:after="0" w:line="240" w:lineRule="auto"/>
        <w:jc w:val="both"/>
        <w:textAlignment w:val="baseline"/>
        <w:rPr>
          <w:rFonts w:ascii="Verdana" w:eastAsia="Verdana" w:hAnsi="Verdana" w:cs="Verdana"/>
          <w:lang w:eastAsia="es-CO"/>
        </w:rPr>
      </w:pPr>
    </w:p>
    <w:p w14:paraId="01545107" w14:textId="4405C18A" w:rsidR="0075058F" w:rsidRPr="005E7AE9" w:rsidRDefault="0075058F" w:rsidP="0075058F">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1AB53783" w14:textId="77777777" w:rsidR="0075058F" w:rsidRPr="00AE6E0E" w:rsidRDefault="0075058F" w:rsidP="0075058F"/>
    <w:p w14:paraId="5542018F" w14:textId="77777777" w:rsidR="008D6B17" w:rsidRDefault="008D6B17" w:rsidP="008D6B17">
      <w:pPr>
        <w:spacing w:after="0" w:line="240" w:lineRule="auto"/>
        <w:rPr>
          <w:rFonts w:ascii="Verdana" w:eastAsia="Geomanist Light" w:hAnsi="Verdana" w:cs="Arial"/>
          <w:color w:val="000000" w:themeColor="text1"/>
          <w:lang w:val="es-MX"/>
        </w:rPr>
      </w:pPr>
    </w:p>
    <w:sectPr w:rsidR="008D6B17"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E62E3" w14:textId="77777777" w:rsidR="00CF0C9A" w:rsidRDefault="00CF0C9A" w:rsidP="004A1847">
      <w:pPr>
        <w:spacing w:after="0" w:line="240" w:lineRule="auto"/>
      </w:pPr>
      <w:r>
        <w:separator/>
      </w:r>
    </w:p>
  </w:endnote>
  <w:endnote w:type="continuationSeparator" w:id="0">
    <w:p w14:paraId="6789B480" w14:textId="77777777" w:rsidR="00CF0C9A" w:rsidRDefault="00CF0C9A" w:rsidP="004A1847">
      <w:pPr>
        <w:spacing w:after="0" w:line="240" w:lineRule="auto"/>
      </w:pPr>
      <w:r>
        <w:continuationSeparator/>
      </w:r>
    </w:p>
  </w:endnote>
  <w:endnote w:type="continuationNotice" w:id="1">
    <w:p w14:paraId="7CBD5FEC" w14:textId="77777777" w:rsidR="00CF0C9A" w:rsidRDefault="00CF0C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Work Sans">
    <w:charset w:val="00"/>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8D5AA" w14:textId="77777777" w:rsidR="00CF0C9A" w:rsidRDefault="00CF0C9A" w:rsidP="004A1847">
      <w:pPr>
        <w:spacing w:after="0" w:line="240" w:lineRule="auto"/>
      </w:pPr>
      <w:r>
        <w:separator/>
      </w:r>
    </w:p>
  </w:footnote>
  <w:footnote w:type="continuationSeparator" w:id="0">
    <w:p w14:paraId="765A31AE" w14:textId="77777777" w:rsidR="00CF0C9A" w:rsidRDefault="00CF0C9A" w:rsidP="004A1847">
      <w:pPr>
        <w:spacing w:after="0" w:line="240" w:lineRule="auto"/>
      </w:pPr>
      <w:r>
        <w:continuationSeparator/>
      </w:r>
    </w:p>
  </w:footnote>
  <w:footnote w:type="continuationNotice" w:id="1">
    <w:p w14:paraId="548BD1F2" w14:textId="77777777" w:rsidR="00CF0C9A" w:rsidRDefault="00CF0C9A">
      <w:pPr>
        <w:spacing w:after="0" w:line="240" w:lineRule="auto"/>
      </w:pPr>
    </w:p>
  </w:footnote>
  <w:footnote w:id="2">
    <w:p w14:paraId="79759FE8" w14:textId="77777777" w:rsidR="0075058F" w:rsidRPr="009100BB" w:rsidRDefault="0075058F" w:rsidP="0075058F">
      <w:pPr>
        <w:pStyle w:val="Textonotapie"/>
        <w:ind w:firstLine="708"/>
        <w:jc w:val="both"/>
        <w:rPr>
          <w:rFonts w:ascii="Verdana" w:hAnsi="Verdana"/>
          <w:sz w:val="16"/>
          <w:szCs w:val="16"/>
          <w:lang w:val="es-CO"/>
        </w:rPr>
      </w:pPr>
      <w:r w:rsidRPr="009100BB">
        <w:rPr>
          <w:rStyle w:val="Refdenotaalpie"/>
          <w:rFonts w:ascii="Verdana" w:hAnsi="Verdana"/>
          <w:sz w:val="16"/>
          <w:szCs w:val="16"/>
        </w:rPr>
        <w:footnoteRef/>
      </w:r>
      <w:r w:rsidRPr="009100BB">
        <w:rPr>
          <w:rFonts w:ascii="Verdana" w:hAnsi="Verdana"/>
          <w:sz w:val="16"/>
          <w:szCs w:val="16"/>
        </w:rPr>
        <w:t xml:space="preserve"> MAR</w:t>
      </w:r>
      <w:r>
        <w:rPr>
          <w:rFonts w:ascii="Verdana" w:hAnsi="Verdana"/>
          <w:sz w:val="16"/>
          <w:szCs w:val="16"/>
        </w:rPr>
        <w:t>ÍN CORTÉS, Fabián G. El precio. Medellín: Editorial Jurídica Sánchez R LTDA y Centro de Estudios de Derecho Administrativo, 2012. pp. 59-63.</w:t>
      </w:r>
    </w:p>
  </w:footnote>
  <w:footnote w:id="3">
    <w:p w14:paraId="30847F51" w14:textId="77777777" w:rsidR="0075058F" w:rsidRPr="00D87760" w:rsidRDefault="0075058F" w:rsidP="0075058F">
      <w:pPr>
        <w:pStyle w:val="Textonotapie"/>
        <w:ind w:firstLine="708"/>
        <w:contextualSpacing/>
        <w:jc w:val="both"/>
        <w:rPr>
          <w:rFonts w:ascii="Verdana" w:eastAsia="Times New Roman" w:hAnsi="Verdana" w:cs="Arial"/>
          <w:color w:val="000000" w:themeColor="text1"/>
          <w:sz w:val="16"/>
          <w:szCs w:val="16"/>
          <w:lang w:eastAsia="es-ES_tradnl"/>
        </w:rPr>
      </w:pPr>
      <w:r w:rsidRPr="00D87760">
        <w:rPr>
          <w:rStyle w:val="Refdenotaalpie"/>
          <w:rFonts w:ascii="Verdana" w:hAnsi="Verdana" w:cs="Arial"/>
          <w:color w:val="000000" w:themeColor="text1"/>
          <w:sz w:val="16"/>
          <w:szCs w:val="16"/>
        </w:rPr>
        <w:footnoteRef/>
      </w:r>
      <w:r w:rsidRPr="00D87760">
        <w:rPr>
          <w:rFonts w:ascii="Verdana" w:hAnsi="Verdana" w:cs="Arial"/>
          <w:color w:val="000000" w:themeColor="text1"/>
          <w:sz w:val="16"/>
          <w:szCs w:val="16"/>
        </w:rPr>
        <w:t xml:space="preserve"> </w:t>
      </w:r>
      <w:r>
        <w:rPr>
          <w:rFonts w:ascii="Verdana" w:eastAsia="Times New Roman" w:hAnsi="Verdana" w:cs="Arial"/>
          <w:color w:val="000000" w:themeColor="text1"/>
          <w:sz w:val="16"/>
          <w:szCs w:val="16"/>
          <w:lang w:eastAsia="es-ES_tradnl"/>
        </w:rPr>
        <w:t>“</w:t>
      </w:r>
      <w:r w:rsidRPr="00D87760">
        <w:rPr>
          <w:rFonts w:ascii="Verdana" w:eastAsia="Times New Roman" w:hAnsi="Verdana" w:cs="Arial"/>
          <w:color w:val="000000" w:themeColor="text1"/>
          <w:sz w:val="16"/>
          <w:szCs w:val="16"/>
          <w:lang w:eastAsia="es-ES_tradnl"/>
        </w:rPr>
        <w:t>La igualdad tiene un triple rol en el ordenamiento constitucional: el de valor, el de principio y el de derecho</w:t>
      </w:r>
      <w:bookmarkStart w:id="3" w:name="_ftnref57"/>
      <w:bookmarkEnd w:id="3"/>
      <w:r w:rsidRPr="00D87760">
        <w:rPr>
          <w:rFonts w:ascii="Verdana" w:eastAsia="Times New Roman" w:hAnsi="Verdana" w:cs="Arial"/>
          <w:color w:val="000000" w:themeColor="text1"/>
          <w:sz w:val="16"/>
          <w:szCs w:val="16"/>
          <w:lang w:eastAsia="es-ES_tradnl"/>
        </w:rPr>
        <w:t>. En tanto valor, la igualdad es una norma que establece fines, dirigidos a todas las autoridades creadoras del derecho y en especial al legislador; en tanto principio, la igualdad es una norma que establece un deber ser específico y, por tanto, se trata de una norma de mayor eficacia que debe ser aplicada de manera directa e inmediata por el legislador o por el juez; en tanto derecho, la igualdad es un derecho subjetivo que “se concreta en deberes de abstención como la prohibición de la discriminación y en obligaciones de acción como la consagración de tratos favorables para los grupos que se encuentran en debilidad manifiesta. La correcta aplicación del derecho a la igualdad no sólo supone la igualdad de trato respecto de los privilegios, oportunidades y cargas entre los iguales, sino también el tratamiento desigual entre supuestos disímiles</w:t>
      </w:r>
      <w:r>
        <w:rPr>
          <w:rFonts w:ascii="Verdana" w:eastAsia="Times New Roman" w:hAnsi="Verdana" w:cs="Arial"/>
          <w:color w:val="000000" w:themeColor="text1"/>
          <w:sz w:val="16"/>
          <w:szCs w:val="16"/>
          <w:lang w:eastAsia="es-ES_tradnl"/>
        </w:rPr>
        <w:t>”</w:t>
      </w:r>
      <w:r w:rsidRPr="00D87760">
        <w:rPr>
          <w:rFonts w:ascii="Verdana" w:eastAsia="Times New Roman" w:hAnsi="Verdana" w:cs="Arial"/>
          <w:color w:val="000000" w:themeColor="text1"/>
          <w:sz w:val="16"/>
          <w:szCs w:val="16"/>
          <w:lang w:eastAsia="es-ES_tradnl"/>
        </w:rPr>
        <w:t xml:space="preserve">. Corte Constitucional. Sentencia C-811 de 2014. M.P. Mauricio González Cuervo. </w:t>
      </w:r>
    </w:p>
  </w:footnote>
  <w:footnote w:id="4">
    <w:p w14:paraId="66151FF7" w14:textId="77777777" w:rsidR="0075058F" w:rsidRPr="00D87760" w:rsidRDefault="0075058F" w:rsidP="0075058F">
      <w:pPr>
        <w:pStyle w:val="Textonotapie"/>
        <w:ind w:firstLine="708"/>
        <w:contextualSpacing/>
        <w:jc w:val="both"/>
        <w:rPr>
          <w:rFonts w:ascii="Verdana" w:eastAsia="Times New Roman" w:hAnsi="Verdana" w:cs="Arial"/>
          <w:color w:val="000000" w:themeColor="text1"/>
          <w:sz w:val="16"/>
          <w:szCs w:val="16"/>
          <w:lang w:eastAsia="es-ES_tradnl"/>
        </w:rPr>
      </w:pPr>
      <w:r w:rsidRPr="00D87760">
        <w:rPr>
          <w:rStyle w:val="Refdenotaalpie"/>
          <w:rFonts w:ascii="Verdana" w:hAnsi="Verdana" w:cs="Arial"/>
          <w:color w:val="000000" w:themeColor="text1"/>
          <w:sz w:val="16"/>
          <w:szCs w:val="16"/>
        </w:rPr>
        <w:footnoteRef/>
      </w:r>
      <w:r w:rsidRPr="00D87760">
        <w:rPr>
          <w:rFonts w:ascii="Verdana" w:hAnsi="Verdana" w:cs="Arial"/>
          <w:color w:val="000000" w:themeColor="text1"/>
          <w:sz w:val="16"/>
          <w:szCs w:val="16"/>
        </w:rPr>
        <w:t xml:space="preserve"> </w:t>
      </w:r>
      <w:r w:rsidRPr="00D87760">
        <w:rPr>
          <w:rFonts w:ascii="Verdana" w:eastAsia="Times New Roman" w:hAnsi="Verdana" w:cs="Arial"/>
          <w:color w:val="000000" w:themeColor="text1"/>
          <w:sz w:val="16"/>
          <w:szCs w:val="16"/>
          <w:lang w:eastAsia="es-ES_tradnl"/>
        </w:rPr>
        <w:t xml:space="preserve">Consejo de Estado. Sección Tercera. Sentencia del 19 de julio de 2001. Rad. 1996-3771-01 (12.037). C.P. Alier Eduardo Hernández Enríquez. </w:t>
      </w:r>
    </w:p>
  </w:footnote>
  <w:footnote w:id="5">
    <w:p w14:paraId="537822E4" w14:textId="77777777" w:rsidR="0075058F" w:rsidRPr="007F49A7" w:rsidRDefault="0075058F" w:rsidP="0075058F">
      <w:pPr>
        <w:pStyle w:val="Textonotapie"/>
        <w:ind w:firstLine="709"/>
        <w:rPr>
          <w:lang w:val="es-CO"/>
        </w:rPr>
      </w:pPr>
      <w:r>
        <w:rPr>
          <w:rStyle w:val="Refdenotaalpie"/>
        </w:rPr>
        <w:footnoteRef/>
      </w:r>
      <w:r>
        <w:t xml:space="preserve"> </w:t>
      </w:r>
      <w:r>
        <w:rPr>
          <w:lang w:val="es-CO"/>
        </w:rPr>
        <w:t xml:space="preserve">Para tales efectos se pueden consultar el concepto C-059 del 13 de marzo 2021. </w:t>
      </w:r>
    </w:p>
  </w:footnote>
  <w:footnote w:id="6">
    <w:p w14:paraId="42DF6EB4" w14:textId="77777777" w:rsidR="0075058F" w:rsidRPr="00D87760" w:rsidRDefault="0075058F" w:rsidP="0075058F">
      <w:pPr>
        <w:pStyle w:val="Textonotapie"/>
        <w:ind w:firstLine="708"/>
        <w:contextualSpacing/>
        <w:jc w:val="both"/>
        <w:rPr>
          <w:rFonts w:ascii="Verdana" w:hAnsi="Verdana" w:cs="Arial"/>
          <w:color w:val="000000" w:themeColor="text1"/>
          <w:sz w:val="16"/>
          <w:szCs w:val="16"/>
        </w:rPr>
      </w:pPr>
      <w:r w:rsidRPr="00D87760">
        <w:rPr>
          <w:rStyle w:val="Refdenotaalpie"/>
          <w:rFonts w:ascii="Verdana" w:hAnsi="Verdana" w:cs="Arial"/>
          <w:color w:val="000000" w:themeColor="text1"/>
          <w:sz w:val="16"/>
          <w:szCs w:val="16"/>
        </w:rPr>
        <w:footnoteRef/>
      </w:r>
      <w:r w:rsidRPr="00D87760">
        <w:rPr>
          <w:rFonts w:ascii="Verdana" w:hAnsi="Verdana" w:cs="Arial"/>
          <w:color w:val="000000" w:themeColor="text1"/>
          <w:sz w:val="16"/>
          <w:szCs w:val="16"/>
        </w:rPr>
        <w:t xml:space="preserve"> </w:t>
      </w:r>
      <w:r w:rsidRPr="00D87760">
        <w:rPr>
          <w:rFonts w:ascii="Verdana" w:eastAsia="Times New Roman" w:hAnsi="Verdana" w:cs="Arial"/>
          <w:color w:val="000000" w:themeColor="text1"/>
          <w:sz w:val="16"/>
          <w:szCs w:val="16"/>
          <w:lang w:eastAsia="es-ES_tradnl"/>
        </w:rPr>
        <w:t>Corte Constitucional. Sentencia C-862 de 2008. M.P. Marco Gerardo Monroy Cabra.</w:t>
      </w:r>
      <w:r w:rsidRPr="00D87760">
        <w:rPr>
          <w:rFonts w:ascii="Verdana" w:hAnsi="Verdana" w:cs="Arial"/>
          <w:color w:val="000000" w:themeColor="text1"/>
          <w:sz w:val="16"/>
          <w:szCs w:val="16"/>
        </w:rPr>
        <w:t xml:space="preserve"> </w:t>
      </w:r>
    </w:p>
  </w:footnote>
  <w:footnote w:id="7">
    <w:p w14:paraId="10A6BC1F" w14:textId="77777777" w:rsidR="0075058F" w:rsidRPr="00B61BA1" w:rsidRDefault="0075058F" w:rsidP="0075058F">
      <w:pPr>
        <w:pStyle w:val="Textonotapie"/>
        <w:ind w:firstLine="709"/>
        <w:jc w:val="both"/>
        <w:rPr>
          <w:lang w:val="es-CO"/>
        </w:rPr>
      </w:pPr>
      <w:r>
        <w:rPr>
          <w:rStyle w:val="Refdenotaalpie"/>
        </w:rPr>
        <w:footnoteRef/>
      </w:r>
      <w:r>
        <w:t xml:space="preserve"> </w:t>
      </w:r>
      <w:r w:rsidRPr="00D87760">
        <w:rPr>
          <w:rFonts w:ascii="Verdana" w:eastAsia="Times New Roman" w:hAnsi="Verdana" w:cs="Arial"/>
          <w:color w:val="000000" w:themeColor="text1"/>
          <w:sz w:val="16"/>
          <w:szCs w:val="16"/>
          <w:lang w:eastAsia="es-ES_tradnl"/>
        </w:rPr>
        <w:t>Consejo de Estado. Sección Tercera. Sentencia del 1</w:t>
      </w:r>
      <w:r>
        <w:rPr>
          <w:rFonts w:ascii="Verdana" w:eastAsia="Times New Roman" w:hAnsi="Verdana" w:cs="Arial"/>
          <w:color w:val="000000" w:themeColor="text1"/>
          <w:sz w:val="16"/>
          <w:szCs w:val="16"/>
          <w:lang w:eastAsia="es-ES_tradnl"/>
        </w:rPr>
        <w:t>4</w:t>
      </w:r>
      <w:r w:rsidRPr="00D87760">
        <w:rPr>
          <w:rFonts w:ascii="Verdana" w:eastAsia="Times New Roman" w:hAnsi="Verdana" w:cs="Arial"/>
          <w:color w:val="000000" w:themeColor="text1"/>
          <w:sz w:val="16"/>
          <w:szCs w:val="16"/>
          <w:lang w:eastAsia="es-ES_tradnl"/>
        </w:rPr>
        <w:t xml:space="preserve"> de </w:t>
      </w:r>
      <w:r>
        <w:rPr>
          <w:rFonts w:ascii="Verdana" w:eastAsia="Times New Roman" w:hAnsi="Verdana" w:cs="Arial"/>
          <w:color w:val="000000" w:themeColor="text1"/>
          <w:sz w:val="16"/>
          <w:szCs w:val="16"/>
          <w:lang w:eastAsia="es-ES_tradnl"/>
        </w:rPr>
        <w:t>marzo</w:t>
      </w:r>
      <w:r w:rsidRPr="00D87760">
        <w:rPr>
          <w:rFonts w:ascii="Verdana" w:eastAsia="Times New Roman" w:hAnsi="Verdana" w:cs="Arial"/>
          <w:color w:val="000000" w:themeColor="text1"/>
          <w:sz w:val="16"/>
          <w:szCs w:val="16"/>
          <w:lang w:eastAsia="es-ES_tradnl"/>
        </w:rPr>
        <w:t xml:space="preserve"> de 20</w:t>
      </w:r>
      <w:r>
        <w:rPr>
          <w:rFonts w:ascii="Verdana" w:eastAsia="Times New Roman" w:hAnsi="Verdana" w:cs="Arial"/>
          <w:color w:val="000000" w:themeColor="text1"/>
          <w:sz w:val="16"/>
          <w:szCs w:val="16"/>
          <w:lang w:eastAsia="es-ES_tradnl"/>
        </w:rPr>
        <w:t>13</w:t>
      </w:r>
      <w:r w:rsidRPr="00D87760">
        <w:rPr>
          <w:rFonts w:ascii="Verdana" w:eastAsia="Times New Roman" w:hAnsi="Verdana" w:cs="Arial"/>
          <w:color w:val="000000" w:themeColor="text1"/>
          <w:sz w:val="16"/>
          <w:szCs w:val="16"/>
          <w:lang w:eastAsia="es-ES_tradnl"/>
        </w:rPr>
        <w:t xml:space="preserve">. Rad. </w:t>
      </w:r>
      <w:r w:rsidRPr="000E657C">
        <w:rPr>
          <w:rFonts w:ascii="Verdana" w:eastAsia="Times New Roman" w:hAnsi="Verdana" w:cs="Arial"/>
          <w:color w:val="000000" w:themeColor="text1"/>
          <w:sz w:val="16"/>
          <w:szCs w:val="16"/>
          <w:lang w:val="es-CO" w:eastAsia="es-ES_tradnl"/>
        </w:rPr>
        <w:t>44001-23-31-000-1999-00827-01(24059). C.P: Mauricio Fajardo Gómez</w:t>
      </w:r>
      <w:r>
        <w:rPr>
          <w:rFonts w:ascii="Verdana" w:eastAsia="Times New Roman" w:hAnsi="Verdana" w:cs="Arial"/>
          <w:color w:val="000000" w:themeColor="text1"/>
          <w:sz w:val="16"/>
          <w:szCs w:val="16"/>
          <w:lang w:val="es-CO" w:eastAsia="es-ES_tradnl"/>
        </w:rPr>
        <w:t>.</w:t>
      </w:r>
    </w:p>
  </w:footnote>
  <w:footnote w:id="8">
    <w:p w14:paraId="678BA4BC" w14:textId="77777777" w:rsidR="0075058F" w:rsidRPr="00BF3A72" w:rsidRDefault="0075058F" w:rsidP="0075058F">
      <w:pPr>
        <w:pStyle w:val="Textonotapie"/>
        <w:ind w:firstLine="709"/>
        <w:jc w:val="both"/>
        <w:rPr>
          <w:lang w:val="es-CO"/>
        </w:rPr>
      </w:pPr>
      <w:r>
        <w:rPr>
          <w:rStyle w:val="Refdenotaalpie"/>
        </w:rPr>
        <w:footnoteRef/>
      </w:r>
      <w:r>
        <w:t xml:space="preserve"> </w:t>
      </w:r>
      <w:r w:rsidRPr="00BF3A72">
        <w:rPr>
          <w:rFonts w:ascii="Verdana" w:eastAsia="Arial" w:hAnsi="Verdana" w:cs="Arial"/>
          <w:sz w:val="16"/>
          <w:szCs w:val="16"/>
          <w:lang w:val="es-ES" w:eastAsia="es-ES" w:bidi="es-ES"/>
        </w:rPr>
        <w:t>Consejo de Estado, Sección Tercera, sentencia 4 de junio de 2008, radicado No. 17.783, M.P. Myriam Guerrero de Escobar</w:t>
      </w:r>
    </w:p>
  </w:footnote>
  <w:footnote w:id="9">
    <w:p w14:paraId="733BB854" w14:textId="77777777" w:rsidR="0075058F" w:rsidRPr="008F1CE5" w:rsidRDefault="0075058F" w:rsidP="0075058F">
      <w:pPr>
        <w:pStyle w:val="Textonotapie"/>
        <w:ind w:firstLine="709"/>
        <w:jc w:val="both"/>
        <w:rPr>
          <w:rFonts w:ascii="Verdana" w:hAnsi="Verdana"/>
          <w:sz w:val="16"/>
          <w:szCs w:val="16"/>
          <w:lang w:val="es-CO"/>
        </w:rPr>
      </w:pPr>
      <w:r>
        <w:rPr>
          <w:rStyle w:val="Refdenotaalpie"/>
        </w:rPr>
        <w:footnoteRef/>
      </w:r>
      <w:r>
        <w:t xml:space="preserve"> </w:t>
      </w:r>
      <w:r w:rsidRPr="008F1CE5">
        <w:rPr>
          <w:rFonts w:ascii="Verdana" w:hAnsi="Verdana"/>
          <w:bCs/>
          <w:sz w:val="16"/>
          <w:szCs w:val="16"/>
          <w:lang w:val="es-CO"/>
        </w:rPr>
        <w:t>“Artículo 2.2.1.1.2.2.4. </w:t>
      </w:r>
      <w:r w:rsidRPr="008F1CE5">
        <w:rPr>
          <w:rFonts w:ascii="Verdana" w:hAnsi="Verdana"/>
          <w:bCs/>
          <w:i/>
          <w:iCs/>
          <w:sz w:val="16"/>
          <w:szCs w:val="16"/>
          <w:lang w:val="es-CO"/>
        </w:rPr>
        <w:t>Oferta con valor artificialmente bajo.</w:t>
      </w:r>
      <w:r w:rsidRPr="008F1CE5">
        <w:rPr>
          <w:rFonts w:ascii="Verdana" w:hAnsi="Verdana"/>
          <w:i/>
          <w:iCs/>
          <w:sz w:val="16"/>
          <w:szCs w:val="16"/>
          <w:lang w:val="es-CO"/>
        </w:rPr>
        <w:t> </w:t>
      </w:r>
      <w:r w:rsidRPr="008F1CE5">
        <w:rPr>
          <w:rFonts w:ascii="Verdana" w:hAnsi="Verdana"/>
          <w:sz w:val="16"/>
          <w:szCs w:val="16"/>
          <w:lang w:val="es-CO"/>
        </w:rPr>
        <w:t xml:space="preserve">Si de acuerdo con la información obtenida por la Entidad Estatal en su deber de análisis de que trata el artículo 2.2.1.1.1.6.1 del presente decreto, el valor de una oferta parece artificialmente bajo, la Entidad Estatal debe requerir al oferente para que explique las razones que sustentan el valor ofrecido. Analizadas las explicaciones, el comité evaluador de que trata el artículo anterior, o quien haga la evaluación de las ofertas, debe recomendar rechazar la oferta o continuar con el análisis de </w:t>
      </w:r>
      <w:proofErr w:type="gramStart"/>
      <w:r w:rsidRPr="008F1CE5">
        <w:rPr>
          <w:rFonts w:ascii="Verdana" w:hAnsi="Verdana"/>
          <w:sz w:val="16"/>
          <w:szCs w:val="16"/>
          <w:lang w:val="es-CO"/>
        </w:rPr>
        <w:t>la misma</w:t>
      </w:r>
      <w:proofErr w:type="gramEnd"/>
      <w:r w:rsidRPr="008F1CE5">
        <w:rPr>
          <w:rFonts w:ascii="Verdana" w:hAnsi="Verdana"/>
          <w:sz w:val="16"/>
          <w:szCs w:val="16"/>
          <w:lang w:val="es-CO"/>
        </w:rPr>
        <w:t xml:space="preserve"> en la evaluación de las ofertas.</w:t>
      </w:r>
    </w:p>
    <w:p w14:paraId="551B6E44" w14:textId="77777777" w:rsidR="0075058F" w:rsidRPr="008F1CE5" w:rsidRDefault="0075058F" w:rsidP="0075058F">
      <w:pPr>
        <w:pStyle w:val="Textonotapie"/>
        <w:ind w:firstLine="709"/>
        <w:jc w:val="both"/>
        <w:rPr>
          <w:rFonts w:ascii="Verdana" w:hAnsi="Verdana"/>
          <w:sz w:val="16"/>
          <w:szCs w:val="16"/>
          <w:lang w:val="es-CO"/>
        </w:rPr>
      </w:pPr>
      <w:r w:rsidRPr="008F1CE5">
        <w:rPr>
          <w:rFonts w:ascii="Verdana" w:hAnsi="Verdana"/>
          <w:sz w:val="16"/>
          <w:szCs w:val="16"/>
          <w:lang w:val="es-CO"/>
        </w:rPr>
        <w:t xml:space="preserve">Cuando el valor de la oferta sobre la cual la Entidad Estatal tuvo dudas sobre su </w:t>
      </w:r>
      <w:proofErr w:type="gramStart"/>
      <w:r w:rsidRPr="008F1CE5">
        <w:rPr>
          <w:rFonts w:ascii="Verdana" w:hAnsi="Verdana"/>
          <w:sz w:val="16"/>
          <w:szCs w:val="16"/>
          <w:lang w:val="es-CO"/>
        </w:rPr>
        <w:t>valor,</w:t>
      </w:r>
      <w:proofErr w:type="gramEnd"/>
      <w:r w:rsidRPr="008F1CE5">
        <w:rPr>
          <w:rFonts w:ascii="Verdana" w:hAnsi="Verdana"/>
          <w:sz w:val="16"/>
          <w:szCs w:val="16"/>
          <w:lang w:val="es-CO"/>
        </w:rPr>
        <w:t xml:space="preserve"> responde a circunstancias objetivas del oferente y de su oferta que no ponen en riesgo el cumplimiento del contrato si este es adjudicado a tal oferta, la Entidad Estatal debe continuar con su análisis en el proceso de evaluación de ofertas.</w:t>
      </w:r>
    </w:p>
    <w:p w14:paraId="18621B5F" w14:textId="77777777" w:rsidR="0075058F" w:rsidRPr="002209E3" w:rsidRDefault="0075058F" w:rsidP="0075058F">
      <w:pPr>
        <w:pStyle w:val="Textonotapie"/>
        <w:ind w:firstLine="709"/>
        <w:jc w:val="both"/>
        <w:rPr>
          <w:rFonts w:ascii="Verdana" w:hAnsi="Verdana"/>
          <w:sz w:val="16"/>
          <w:szCs w:val="16"/>
          <w:lang w:val="es-CO"/>
        </w:rPr>
      </w:pPr>
      <w:r w:rsidRPr="008F1CE5">
        <w:rPr>
          <w:rFonts w:ascii="Verdana" w:hAnsi="Verdana"/>
          <w:sz w:val="16"/>
          <w:szCs w:val="16"/>
          <w:lang w:val="es-CO"/>
        </w:rPr>
        <w:t xml:space="preserve">En la subasta inversa esta disposición es aplicable sobre el precio obtenido al final de </w:t>
      </w:r>
      <w:proofErr w:type="gramStart"/>
      <w:r w:rsidRPr="008F1CE5">
        <w:rPr>
          <w:rFonts w:ascii="Verdana" w:hAnsi="Verdana"/>
          <w:sz w:val="16"/>
          <w:szCs w:val="16"/>
          <w:lang w:val="es-CO"/>
        </w:rPr>
        <w:t>la misma</w:t>
      </w:r>
      <w:proofErr w:type="gramEnd"/>
      <w:r w:rsidRPr="008F1CE5">
        <w:rPr>
          <w:rFonts w:ascii="Verdana" w:hAnsi="Verdana"/>
          <w:sz w:val="16"/>
          <w:szCs w:val="16"/>
          <w:lang w:val="es-CO"/>
        </w:rPr>
        <w:t>”.</w:t>
      </w:r>
    </w:p>
  </w:footnote>
  <w:footnote w:id="10">
    <w:p w14:paraId="06C0B7E0" w14:textId="77777777" w:rsidR="0075058F" w:rsidRPr="00662625" w:rsidRDefault="0075058F" w:rsidP="0075058F">
      <w:pPr>
        <w:spacing w:after="80" w:line="240" w:lineRule="auto"/>
        <w:ind w:firstLine="708"/>
        <w:jc w:val="both"/>
        <w:rPr>
          <w:rFonts w:ascii="Verdana" w:eastAsia="Times New Roman" w:hAnsi="Verdana" w:cs="Times New Roman"/>
          <w:sz w:val="16"/>
          <w:szCs w:val="16"/>
        </w:rPr>
      </w:pPr>
      <w:r w:rsidRPr="00662625">
        <w:rPr>
          <w:rStyle w:val="Refdenotaalpie"/>
          <w:rFonts w:ascii="Verdana" w:hAnsi="Verdana"/>
          <w:sz w:val="16"/>
          <w:szCs w:val="16"/>
        </w:rPr>
        <w:footnoteRef/>
      </w:r>
      <w:r w:rsidRPr="00662625">
        <w:rPr>
          <w:rFonts w:ascii="Verdana" w:hAnsi="Verdana"/>
          <w:sz w:val="16"/>
          <w:szCs w:val="16"/>
        </w:rPr>
        <w:t xml:space="preserve"> </w:t>
      </w:r>
      <w:r w:rsidRPr="00662625">
        <w:rPr>
          <w:rFonts w:ascii="Verdana" w:eastAsia="Times New Roman" w:hAnsi="Verdana" w:cs="Times New Roman"/>
          <w:sz w:val="16"/>
          <w:szCs w:val="16"/>
        </w:rPr>
        <w:t xml:space="preserve">Colombia. Asamblea Nacional Constituyente. (1991). Constitución Política de Colombia. Artículo 13. </w:t>
      </w:r>
    </w:p>
    <w:p w14:paraId="2A5AADDF" w14:textId="77777777" w:rsidR="0075058F" w:rsidRPr="00662625" w:rsidRDefault="0075058F" w:rsidP="0075058F">
      <w:pPr>
        <w:spacing w:after="80" w:line="240" w:lineRule="auto"/>
        <w:ind w:firstLine="708"/>
        <w:jc w:val="both"/>
        <w:rPr>
          <w:rFonts w:ascii="Verdana" w:hAnsi="Verdana"/>
          <w:sz w:val="16"/>
          <w:szCs w:val="16"/>
        </w:rPr>
      </w:pPr>
    </w:p>
  </w:footnote>
  <w:footnote w:id="11">
    <w:p w14:paraId="73CCFEE7" w14:textId="77777777" w:rsidR="0075058F" w:rsidRPr="00662625" w:rsidRDefault="0075058F" w:rsidP="0075058F">
      <w:pPr>
        <w:pStyle w:val="Textonotapie"/>
        <w:ind w:firstLine="708"/>
        <w:jc w:val="both"/>
        <w:rPr>
          <w:rFonts w:ascii="Verdana" w:eastAsia="Times New Roman" w:hAnsi="Verdana" w:cs="Times New Roman"/>
          <w:sz w:val="16"/>
          <w:szCs w:val="16"/>
        </w:rPr>
      </w:pPr>
      <w:r w:rsidRPr="00662625">
        <w:rPr>
          <w:rStyle w:val="Refdenotaalpie"/>
          <w:rFonts w:ascii="Verdana" w:hAnsi="Verdana"/>
          <w:sz w:val="16"/>
          <w:szCs w:val="16"/>
        </w:rPr>
        <w:footnoteRef/>
      </w:r>
      <w:r w:rsidRPr="00662625">
        <w:rPr>
          <w:rFonts w:ascii="Verdana" w:hAnsi="Verdana"/>
          <w:sz w:val="16"/>
          <w:szCs w:val="16"/>
        </w:rPr>
        <w:t xml:space="preserve"> </w:t>
      </w:r>
      <w:r w:rsidRPr="00662625">
        <w:rPr>
          <w:rFonts w:ascii="Verdana" w:eastAsia="Times New Roman" w:hAnsi="Verdana" w:cs="Times New Roman"/>
          <w:sz w:val="16"/>
          <w:szCs w:val="16"/>
        </w:rPr>
        <w:t xml:space="preserve">Colombia. Asamblea Nacional Constituyente. (1991). Constitución Política de Colombia. Artículos 47 y 54. </w:t>
      </w:r>
    </w:p>
    <w:p w14:paraId="1A5BDB48" w14:textId="77777777" w:rsidR="0075058F" w:rsidRPr="00662625" w:rsidRDefault="0075058F" w:rsidP="0075058F">
      <w:pPr>
        <w:pStyle w:val="Textonotapie"/>
        <w:ind w:firstLine="708"/>
        <w:jc w:val="both"/>
        <w:rPr>
          <w:rFonts w:ascii="Verdana" w:hAnsi="Verdana"/>
          <w:sz w:val="16"/>
          <w:szCs w:val="16"/>
          <w:lang w:val="es-ES"/>
        </w:rPr>
      </w:pPr>
    </w:p>
  </w:footnote>
  <w:footnote w:id="12">
    <w:p w14:paraId="50F81A45" w14:textId="77777777" w:rsidR="0075058F" w:rsidRPr="00317FD8" w:rsidRDefault="0075058F" w:rsidP="0075058F">
      <w:pPr>
        <w:spacing w:after="80" w:line="240" w:lineRule="auto"/>
        <w:ind w:firstLine="708"/>
        <w:jc w:val="both"/>
        <w:rPr>
          <w:rFonts w:ascii="Verdana" w:eastAsia="Times New Roman" w:hAnsi="Verdana" w:cs="Times New Roman"/>
          <w:sz w:val="16"/>
          <w:szCs w:val="16"/>
        </w:rPr>
      </w:pPr>
      <w:r w:rsidRPr="00662625">
        <w:rPr>
          <w:rStyle w:val="Refdenotaalpie"/>
          <w:rFonts w:ascii="Verdana" w:hAnsi="Verdana"/>
          <w:sz w:val="16"/>
          <w:szCs w:val="16"/>
        </w:rPr>
        <w:footnoteRef/>
      </w:r>
      <w:r w:rsidRPr="00662625">
        <w:rPr>
          <w:rFonts w:ascii="Verdana" w:hAnsi="Verdana"/>
          <w:sz w:val="16"/>
          <w:szCs w:val="16"/>
        </w:rPr>
        <w:t xml:space="preserve"> </w:t>
      </w:r>
      <w:r w:rsidRPr="00662625">
        <w:rPr>
          <w:rFonts w:ascii="Verdana" w:eastAsia="Times New Roman" w:hAnsi="Verdana" w:cs="Times New Roman"/>
          <w:sz w:val="16"/>
          <w:szCs w:val="16"/>
        </w:rPr>
        <w:t>Organización de las Naciones Unidas. (2006). Convención sobre los Derechos de las Personas con Discapacidad. Nueva York: ONU. Aprobada en Colombia mediante: Colombia. Congreso de la República. (31 de julio de 2009). Ley 1346 de 2009. Diario Oficial 47427.</w:t>
      </w:r>
    </w:p>
  </w:footnote>
  <w:footnote w:id="13">
    <w:p w14:paraId="59149CFC" w14:textId="77777777" w:rsidR="0075058F" w:rsidRPr="00662625" w:rsidRDefault="0075058F" w:rsidP="0075058F">
      <w:pPr>
        <w:pStyle w:val="Textonotapie"/>
        <w:ind w:firstLine="708"/>
        <w:jc w:val="both"/>
        <w:rPr>
          <w:rFonts w:ascii="Verdana" w:eastAsia="Times New Roman" w:hAnsi="Verdana" w:cs="Times New Roman"/>
          <w:sz w:val="16"/>
          <w:szCs w:val="16"/>
        </w:rPr>
      </w:pPr>
      <w:r w:rsidRPr="00662625">
        <w:rPr>
          <w:rStyle w:val="Refdenotaalpie"/>
          <w:rFonts w:ascii="Verdana" w:hAnsi="Verdana"/>
          <w:sz w:val="16"/>
          <w:szCs w:val="16"/>
        </w:rPr>
        <w:footnoteRef/>
      </w:r>
      <w:r w:rsidRPr="00662625">
        <w:rPr>
          <w:rFonts w:ascii="Verdana" w:hAnsi="Verdana"/>
          <w:sz w:val="16"/>
          <w:szCs w:val="16"/>
        </w:rPr>
        <w:t xml:space="preserve"> </w:t>
      </w:r>
      <w:r w:rsidRPr="00662625">
        <w:rPr>
          <w:rFonts w:ascii="Verdana" w:eastAsia="Times New Roman" w:hAnsi="Verdana" w:cs="Times New Roman"/>
          <w:sz w:val="16"/>
          <w:szCs w:val="16"/>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06D75A2C" w14:textId="77777777" w:rsidR="0075058F" w:rsidRPr="00662625" w:rsidRDefault="0075058F" w:rsidP="0075058F">
      <w:pPr>
        <w:pStyle w:val="Textonotapie"/>
        <w:ind w:firstLine="708"/>
        <w:jc w:val="both"/>
        <w:rPr>
          <w:rFonts w:ascii="Verdana" w:hAnsi="Verdana"/>
          <w:sz w:val="16"/>
          <w:szCs w:val="16"/>
          <w:lang w:val="es-ES"/>
        </w:rPr>
      </w:pPr>
    </w:p>
  </w:footnote>
  <w:footnote w:id="14">
    <w:p w14:paraId="0EAB0FAC" w14:textId="77777777" w:rsidR="0075058F" w:rsidRPr="00662625" w:rsidRDefault="0075058F" w:rsidP="0075058F">
      <w:pPr>
        <w:pStyle w:val="Textonotapie"/>
        <w:ind w:firstLine="708"/>
        <w:jc w:val="both"/>
        <w:rPr>
          <w:rFonts w:ascii="Verdana" w:hAnsi="Verdana"/>
          <w:sz w:val="16"/>
          <w:szCs w:val="16"/>
        </w:rPr>
      </w:pPr>
      <w:r w:rsidRPr="00662625">
        <w:rPr>
          <w:rStyle w:val="Refdenotaalpie"/>
          <w:rFonts w:ascii="Verdana" w:hAnsi="Verdana"/>
          <w:sz w:val="16"/>
          <w:szCs w:val="16"/>
        </w:rPr>
        <w:footnoteRef/>
      </w:r>
      <w:r w:rsidRPr="00662625">
        <w:rPr>
          <w:rFonts w:ascii="Verdana" w:hAnsi="Verdana"/>
          <w:sz w:val="16"/>
          <w:szCs w:val="16"/>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5384EA1D" w14:textId="77777777" w:rsidR="0075058F" w:rsidRPr="00662625" w:rsidRDefault="0075058F" w:rsidP="0075058F">
      <w:pPr>
        <w:pStyle w:val="Textonotapie"/>
        <w:ind w:firstLine="708"/>
        <w:jc w:val="both"/>
        <w:rPr>
          <w:rFonts w:ascii="Verdana" w:hAnsi="Verdana"/>
          <w:sz w:val="16"/>
          <w:szCs w:val="16"/>
          <w:lang w:val="es-ES"/>
        </w:rPr>
      </w:pPr>
    </w:p>
  </w:footnote>
  <w:footnote w:id="15">
    <w:p w14:paraId="2D162FF4" w14:textId="77777777" w:rsidR="0075058F" w:rsidRPr="00662625" w:rsidRDefault="0075058F" w:rsidP="0075058F">
      <w:pPr>
        <w:pStyle w:val="Textonotapie"/>
        <w:ind w:firstLine="708"/>
        <w:rPr>
          <w:rFonts w:ascii="Verdana" w:hAnsi="Verdana"/>
          <w:sz w:val="16"/>
          <w:szCs w:val="16"/>
        </w:rPr>
      </w:pPr>
      <w:r w:rsidRPr="00662625">
        <w:rPr>
          <w:rStyle w:val="Refdenotaalpie"/>
          <w:rFonts w:ascii="Verdana" w:hAnsi="Verdana"/>
          <w:sz w:val="16"/>
          <w:szCs w:val="16"/>
        </w:rPr>
        <w:footnoteRef/>
      </w:r>
      <w:r w:rsidRPr="00662625">
        <w:rPr>
          <w:rFonts w:ascii="Verdana" w:hAnsi="Verdana"/>
          <w:sz w:val="16"/>
          <w:szCs w:val="16"/>
        </w:rPr>
        <w:t xml:space="preserve"> Colombia. Congreso de la República. (7 de febrero de 1997). Ley 361 de 1997, por la cual se establecen mecanismos de integración social de las personas con limitación y se dictan otras disposiciones. Artículo 24. Diario Oficial 42978.</w:t>
      </w:r>
    </w:p>
    <w:p w14:paraId="473A802D" w14:textId="77777777" w:rsidR="0075058F" w:rsidRPr="00662625" w:rsidRDefault="0075058F" w:rsidP="0075058F">
      <w:pPr>
        <w:pStyle w:val="Textonotapie"/>
        <w:ind w:firstLine="708"/>
        <w:rPr>
          <w:rFonts w:ascii="Verdana" w:hAnsi="Verdana"/>
          <w:sz w:val="16"/>
          <w:szCs w:val="16"/>
          <w:lang w:val="es-ES"/>
        </w:rPr>
      </w:pPr>
    </w:p>
  </w:footnote>
  <w:footnote w:id="16">
    <w:p w14:paraId="2A5424B4" w14:textId="77777777" w:rsidR="0075058F" w:rsidRPr="00662625" w:rsidRDefault="0075058F" w:rsidP="0075058F">
      <w:pPr>
        <w:pStyle w:val="Textonotapie"/>
        <w:ind w:firstLine="708"/>
        <w:rPr>
          <w:rFonts w:ascii="Verdana" w:hAnsi="Verdana"/>
          <w:sz w:val="16"/>
          <w:szCs w:val="16"/>
        </w:rPr>
      </w:pPr>
      <w:r w:rsidRPr="00662625">
        <w:rPr>
          <w:rStyle w:val="Refdenotaalpie"/>
          <w:rFonts w:ascii="Verdana" w:hAnsi="Verdana"/>
          <w:sz w:val="16"/>
          <w:szCs w:val="16"/>
        </w:rPr>
        <w:footnoteRef/>
      </w:r>
      <w:r w:rsidRPr="00662625">
        <w:rPr>
          <w:rFonts w:ascii="Verdana" w:hAnsi="Verdana"/>
          <w:sz w:val="16"/>
          <w:szCs w:val="16"/>
        </w:rPr>
        <w:t xml:space="preserve"> Colombia. Congreso de la República. (27 de febrero de 2013). Ley Estatutaria 1618 de 2013. Artículo 2, numeral 1. Diario Oficial 48717.</w:t>
      </w:r>
    </w:p>
    <w:p w14:paraId="7910C582" w14:textId="77777777" w:rsidR="0075058F" w:rsidRPr="00662625" w:rsidRDefault="0075058F" w:rsidP="0075058F">
      <w:pPr>
        <w:pStyle w:val="Textonotapie"/>
        <w:ind w:firstLine="708"/>
        <w:rPr>
          <w:rFonts w:ascii="Verdana" w:hAnsi="Verdana"/>
          <w:sz w:val="16"/>
          <w:szCs w:val="16"/>
          <w:lang w:val="es-ES"/>
        </w:rPr>
      </w:pPr>
    </w:p>
  </w:footnote>
  <w:footnote w:id="17">
    <w:p w14:paraId="13760E4E" w14:textId="77777777" w:rsidR="0075058F" w:rsidRPr="00662625" w:rsidRDefault="0075058F" w:rsidP="0075058F">
      <w:pPr>
        <w:pStyle w:val="Textonotapie"/>
        <w:ind w:firstLine="708"/>
        <w:rPr>
          <w:rFonts w:ascii="Verdana" w:hAnsi="Verdana"/>
          <w:sz w:val="16"/>
          <w:szCs w:val="16"/>
          <w:lang w:val="es-ES"/>
        </w:rPr>
      </w:pPr>
      <w:r w:rsidRPr="00662625">
        <w:rPr>
          <w:rStyle w:val="Refdenotaalpie"/>
          <w:rFonts w:ascii="Verdana" w:hAnsi="Verdana"/>
          <w:sz w:val="16"/>
          <w:szCs w:val="16"/>
        </w:rPr>
        <w:footnoteRef/>
      </w:r>
      <w:r w:rsidRPr="00662625">
        <w:rPr>
          <w:rFonts w:ascii="Verdana" w:hAnsi="Verdana"/>
          <w:sz w:val="16"/>
          <w:szCs w:val="16"/>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 w:id="18">
    <w:p w14:paraId="330F8667" w14:textId="77777777" w:rsidR="0075058F" w:rsidRPr="00662625" w:rsidRDefault="0075058F" w:rsidP="0075058F">
      <w:pPr>
        <w:pStyle w:val="Textonotapie"/>
        <w:ind w:firstLine="708"/>
        <w:jc w:val="both"/>
        <w:rPr>
          <w:rFonts w:ascii="Verdana" w:hAnsi="Verdana"/>
          <w:sz w:val="16"/>
          <w:szCs w:val="16"/>
        </w:rPr>
      </w:pPr>
      <w:r w:rsidRPr="00662625">
        <w:rPr>
          <w:rStyle w:val="Refdenotaalpie"/>
          <w:rFonts w:ascii="Verdana" w:hAnsi="Verdana"/>
          <w:sz w:val="16"/>
          <w:szCs w:val="16"/>
        </w:rPr>
        <w:footnoteRef/>
      </w:r>
      <w:r w:rsidRPr="00662625">
        <w:rPr>
          <w:rFonts w:ascii="Verdana" w:hAnsi="Verdana"/>
          <w:sz w:val="16"/>
          <w:szCs w:val="16"/>
        </w:rPr>
        <w:t xml:space="preserve"> Consejo de Estado, Sección Quinta, del 12 de diciembre de 2024 (Rad. 05001-23-33-000-2024-00847-01, M.P. Omar Joaquín Barreto Suárez)</w:t>
      </w:r>
    </w:p>
    <w:p w14:paraId="75A3DC81" w14:textId="77777777" w:rsidR="0075058F" w:rsidRPr="00662625" w:rsidRDefault="0075058F" w:rsidP="0075058F">
      <w:pPr>
        <w:pStyle w:val="Textonotapie"/>
        <w:rPr>
          <w:rFonts w:ascii="Verdana" w:hAnsi="Verdana"/>
          <w:sz w:val="16"/>
          <w:szCs w:val="16"/>
          <w:lang w:val="es-CO"/>
        </w:rPr>
      </w:pPr>
    </w:p>
  </w:footnote>
  <w:footnote w:id="19">
    <w:p w14:paraId="2A4F3ED2" w14:textId="77777777" w:rsidR="0075058F" w:rsidRPr="00662625" w:rsidRDefault="0075058F" w:rsidP="0075058F">
      <w:pPr>
        <w:pStyle w:val="Textonotapie"/>
        <w:ind w:firstLine="708"/>
        <w:jc w:val="both"/>
        <w:rPr>
          <w:rFonts w:ascii="Verdana" w:hAnsi="Verdana"/>
          <w:sz w:val="16"/>
          <w:szCs w:val="16"/>
          <w:lang w:val="es-ES_tradnl"/>
        </w:rPr>
      </w:pPr>
      <w:r w:rsidRPr="00662625">
        <w:rPr>
          <w:rStyle w:val="Refdenotaalpie"/>
          <w:rFonts w:ascii="Verdana" w:hAnsi="Verdana"/>
          <w:sz w:val="16"/>
          <w:szCs w:val="16"/>
        </w:rPr>
        <w:footnoteRef/>
      </w:r>
      <w:r w:rsidRPr="00662625">
        <w:rPr>
          <w:rFonts w:ascii="Verdana" w:hAnsi="Verdana"/>
          <w:sz w:val="16"/>
          <w:szCs w:val="16"/>
        </w:rPr>
        <w:t xml:space="preserve"> Parte considerativa del Decreto 287 de 2026.</w:t>
      </w:r>
    </w:p>
  </w:footnote>
  <w:footnote w:id="20">
    <w:p w14:paraId="3D29BECE" w14:textId="77777777" w:rsidR="0075058F" w:rsidRPr="00D518B6" w:rsidRDefault="0075058F" w:rsidP="0075058F">
      <w:pPr>
        <w:pStyle w:val="Textonotapie"/>
        <w:ind w:firstLine="709"/>
        <w:jc w:val="both"/>
        <w:rPr>
          <w:rFonts w:ascii="Verdana" w:hAnsi="Verdana"/>
          <w:sz w:val="16"/>
          <w:szCs w:val="16"/>
          <w:lang w:val="es-CO"/>
        </w:rPr>
      </w:pPr>
      <w:r w:rsidRPr="00D518B6">
        <w:rPr>
          <w:rStyle w:val="Refdenotaalpie"/>
          <w:rFonts w:ascii="Verdana" w:hAnsi="Verdana"/>
          <w:sz w:val="16"/>
          <w:szCs w:val="16"/>
        </w:rPr>
        <w:footnoteRef/>
      </w:r>
      <w:r w:rsidRPr="00D518B6">
        <w:rPr>
          <w:rFonts w:ascii="Verdana" w:hAnsi="Verdana"/>
          <w:sz w:val="16"/>
          <w:szCs w:val="16"/>
        </w:rPr>
        <w:t xml:space="preserve"> </w:t>
      </w:r>
      <w:r w:rsidRPr="00D518B6">
        <w:rPr>
          <w:rFonts w:ascii="Verdana" w:hAnsi="Verdana"/>
          <w:sz w:val="16"/>
          <w:szCs w:val="16"/>
          <w:lang w:val="es-CO"/>
        </w:rPr>
        <w:t xml:space="preserve">Disponible en: </w:t>
      </w:r>
      <w:hyperlink r:id="rId1" w:history="1">
        <w:r w:rsidRPr="00D518B6">
          <w:rPr>
            <w:rStyle w:val="Hipervnculo"/>
            <w:rFonts w:ascii="Verdana" w:hAnsi="Verdana"/>
            <w:sz w:val="16"/>
            <w:szCs w:val="16"/>
            <w:lang w:val="es-CO"/>
          </w:rPr>
          <w:t>https://www.colombiacompra.gov.co/archivos/transparencia/decreto-0287-de-2026-por-el-cual-se-modifican-los-articulos-2-2-1-2-4-2-6-2-2-1-2-4-2-7-y-2-2-1-2-4-2-8-del-decreto-1082-de-2015-unico-reglamentario-del-sector-administrativo-de-planeacion-en</w:t>
        </w:r>
      </w:hyperlink>
      <w:r w:rsidRPr="00D518B6">
        <w:rPr>
          <w:rFonts w:ascii="Verdana" w:hAnsi="Verdana"/>
          <w:sz w:val="16"/>
          <w:szCs w:val="16"/>
          <w:lang w:val="es-C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bullet="t">
        <v:imagedata r:id="rId1" o:title="mso1B13"/>
      </v:shape>
    </w:pict>
  </w:numPicBullet>
  <w:abstractNum w:abstractNumId="0" w15:restartNumberingAfterBreak="0">
    <w:nsid w:val="01C06310"/>
    <w:multiLevelType w:val="multilevel"/>
    <w:tmpl w:val="04207A36"/>
    <w:lvl w:ilvl="0">
      <w:start w:val="1"/>
      <w:numFmt w:val="decimal"/>
      <w:lvlText w:val="%1."/>
      <w:lvlJc w:val="lef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C0E2B29"/>
    <w:multiLevelType w:val="multilevel"/>
    <w:tmpl w:val="F6B411A0"/>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97E2709"/>
    <w:multiLevelType w:val="hybridMultilevel"/>
    <w:tmpl w:val="527A8C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AE7336F"/>
    <w:multiLevelType w:val="hybridMultilevel"/>
    <w:tmpl w:val="0C4E6BF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7"/>
  </w:num>
  <w:num w:numId="7" w16cid:durableId="1946422806">
    <w:abstractNumId w:val="5"/>
  </w:num>
  <w:num w:numId="8" w16cid:durableId="152644682">
    <w:abstractNumId w:val="16"/>
  </w:num>
  <w:num w:numId="9" w16cid:durableId="1317221377">
    <w:abstractNumId w:val="7"/>
  </w:num>
  <w:num w:numId="10" w16cid:durableId="1471245386">
    <w:abstractNumId w:val="15"/>
  </w:num>
  <w:num w:numId="11" w16cid:durableId="289172385">
    <w:abstractNumId w:val="8"/>
  </w:num>
  <w:num w:numId="12" w16cid:durableId="1470781324">
    <w:abstractNumId w:val="1"/>
  </w:num>
  <w:num w:numId="13" w16cid:durableId="1512908409">
    <w:abstractNumId w:val="3"/>
  </w:num>
  <w:num w:numId="14" w16cid:durableId="895897244">
    <w:abstractNumId w:val="18"/>
  </w:num>
  <w:num w:numId="15" w16cid:durableId="390349800">
    <w:abstractNumId w:val="14"/>
  </w:num>
  <w:num w:numId="16" w16cid:durableId="153255849">
    <w:abstractNumId w:val="11"/>
  </w:num>
  <w:num w:numId="17" w16cid:durableId="1337683695">
    <w:abstractNumId w:val="12"/>
  </w:num>
  <w:num w:numId="18" w16cid:durableId="1330140246">
    <w:abstractNumId w:val="0"/>
  </w:num>
  <w:num w:numId="19" w16cid:durableId="679089576">
    <w:abstractNumId w:val="9"/>
  </w:num>
  <w:num w:numId="20" w16cid:durableId="1300108123">
    <w:abstractNumId w:val="13"/>
  </w:num>
  <w:num w:numId="21" w16cid:durableId="992828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87C"/>
    <w:rsid w:val="00003467"/>
    <w:rsid w:val="0000593C"/>
    <w:rsid w:val="0000795F"/>
    <w:rsid w:val="00013834"/>
    <w:rsid w:val="00015DB2"/>
    <w:rsid w:val="00016F78"/>
    <w:rsid w:val="00023A10"/>
    <w:rsid w:val="00024C1C"/>
    <w:rsid w:val="00025145"/>
    <w:rsid w:val="00027FBA"/>
    <w:rsid w:val="000345C1"/>
    <w:rsid w:val="00036AA7"/>
    <w:rsid w:val="00046945"/>
    <w:rsid w:val="0004761A"/>
    <w:rsid w:val="00052857"/>
    <w:rsid w:val="00061B2A"/>
    <w:rsid w:val="00063615"/>
    <w:rsid w:val="000670A6"/>
    <w:rsid w:val="00070063"/>
    <w:rsid w:val="00074C5E"/>
    <w:rsid w:val="00082362"/>
    <w:rsid w:val="00086D8D"/>
    <w:rsid w:val="0009047A"/>
    <w:rsid w:val="000A0CC2"/>
    <w:rsid w:val="000A28CE"/>
    <w:rsid w:val="000A683E"/>
    <w:rsid w:val="000B19B9"/>
    <w:rsid w:val="000B3855"/>
    <w:rsid w:val="000C531C"/>
    <w:rsid w:val="000C59AE"/>
    <w:rsid w:val="000C658E"/>
    <w:rsid w:val="000D0334"/>
    <w:rsid w:val="000D0AE6"/>
    <w:rsid w:val="000D0FC9"/>
    <w:rsid w:val="000D5483"/>
    <w:rsid w:val="000D5DA7"/>
    <w:rsid w:val="000D6EBE"/>
    <w:rsid w:val="000E568A"/>
    <w:rsid w:val="000E657C"/>
    <w:rsid w:val="000F2EB8"/>
    <w:rsid w:val="000F6486"/>
    <w:rsid w:val="000F698C"/>
    <w:rsid w:val="001002AD"/>
    <w:rsid w:val="00104FA1"/>
    <w:rsid w:val="0010639C"/>
    <w:rsid w:val="00112840"/>
    <w:rsid w:val="0011406B"/>
    <w:rsid w:val="00116940"/>
    <w:rsid w:val="00117864"/>
    <w:rsid w:val="0012230A"/>
    <w:rsid w:val="00125105"/>
    <w:rsid w:val="00125E5D"/>
    <w:rsid w:val="001264CA"/>
    <w:rsid w:val="00127233"/>
    <w:rsid w:val="0012779F"/>
    <w:rsid w:val="00130E4B"/>
    <w:rsid w:val="00133F43"/>
    <w:rsid w:val="00135C72"/>
    <w:rsid w:val="00136711"/>
    <w:rsid w:val="001367AB"/>
    <w:rsid w:val="00136A45"/>
    <w:rsid w:val="00140F1A"/>
    <w:rsid w:val="00142DDD"/>
    <w:rsid w:val="00146030"/>
    <w:rsid w:val="0014754D"/>
    <w:rsid w:val="00151AD2"/>
    <w:rsid w:val="00153DCC"/>
    <w:rsid w:val="00155A89"/>
    <w:rsid w:val="0015699B"/>
    <w:rsid w:val="00162582"/>
    <w:rsid w:val="00163105"/>
    <w:rsid w:val="0016317A"/>
    <w:rsid w:val="001651E8"/>
    <w:rsid w:val="00165408"/>
    <w:rsid w:val="0016549D"/>
    <w:rsid w:val="001703E0"/>
    <w:rsid w:val="00172273"/>
    <w:rsid w:val="00175FAF"/>
    <w:rsid w:val="00184C33"/>
    <w:rsid w:val="00190628"/>
    <w:rsid w:val="00191F69"/>
    <w:rsid w:val="001936B6"/>
    <w:rsid w:val="00194DC4"/>
    <w:rsid w:val="00196129"/>
    <w:rsid w:val="001A0649"/>
    <w:rsid w:val="001A292F"/>
    <w:rsid w:val="001A33BF"/>
    <w:rsid w:val="001A6E19"/>
    <w:rsid w:val="001C05C1"/>
    <w:rsid w:val="001C108D"/>
    <w:rsid w:val="001C35C1"/>
    <w:rsid w:val="001C4083"/>
    <w:rsid w:val="001C5C1A"/>
    <w:rsid w:val="001D015D"/>
    <w:rsid w:val="001D4B82"/>
    <w:rsid w:val="001D5DE8"/>
    <w:rsid w:val="001E0B4E"/>
    <w:rsid w:val="001E4177"/>
    <w:rsid w:val="001F05BA"/>
    <w:rsid w:val="001F0B24"/>
    <w:rsid w:val="001F5C8D"/>
    <w:rsid w:val="001F7DC6"/>
    <w:rsid w:val="00203934"/>
    <w:rsid w:val="00203FA0"/>
    <w:rsid w:val="00210865"/>
    <w:rsid w:val="0021327D"/>
    <w:rsid w:val="002176AB"/>
    <w:rsid w:val="002209E3"/>
    <w:rsid w:val="0022400B"/>
    <w:rsid w:val="00237851"/>
    <w:rsid w:val="00241B7F"/>
    <w:rsid w:val="002421BB"/>
    <w:rsid w:val="00244FF0"/>
    <w:rsid w:val="002462E4"/>
    <w:rsid w:val="00246DE1"/>
    <w:rsid w:val="0025249D"/>
    <w:rsid w:val="00257061"/>
    <w:rsid w:val="0025796E"/>
    <w:rsid w:val="00263FF6"/>
    <w:rsid w:val="00267BE9"/>
    <w:rsid w:val="002707A2"/>
    <w:rsid w:val="002758C3"/>
    <w:rsid w:val="002765B8"/>
    <w:rsid w:val="00277169"/>
    <w:rsid w:val="002811B8"/>
    <w:rsid w:val="0028259E"/>
    <w:rsid w:val="0028783B"/>
    <w:rsid w:val="002950E4"/>
    <w:rsid w:val="002951A0"/>
    <w:rsid w:val="002962BC"/>
    <w:rsid w:val="002A093D"/>
    <w:rsid w:val="002A0DD0"/>
    <w:rsid w:val="002A49AC"/>
    <w:rsid w:val="002A64FD"/>
    <w:rsid w:val="002B4931"/>
    <w:rsid w:val="002C43AF"/>
    <w:rsid w:val="002C4BAD"/>
    <w:rsid w:val="002C51D2"/>
    <w:rsid w:val="002C6AD0"/>
    <w:rsid w:val="002C7A84"/>
    <w:rsid w:val="002D4B52"/>
    <w:rsid w:val="002D7090"/>
    <w:rsid w:val="002E2BF8"/>
    <w:rsid w:val="002E414E"/>
    <w:rsid w:val="002E4FD9"/>
    <w:rsid w:val="002E641B"/>
    <w:rsid w:val="002E7260"/>
    <w:rsid w:val="002F4E77"/>
    <w:rsid w:val="003021F3"/>
    <w:rsid w:val="0030657A"/>
    <w:rsid w:val="00310BBF"/>
    <w:rsid w:val="00314F44"/>
    <w:rsid w:val="00317BC5"/>
    <w:rsid w:val="00317FD8"/>
    <w:rsid w:val="00322A85"/>
    <w:rsid w:val="00324168"/>
    <w:rsid w:val="00330834"/>
    <w:rsid w:val="003423EC"/>
    <w:rsid w:val="003448F4"/>
    <w:rsid w:val="003513CE"/>
    <w:rsid w:val="00353B5E"/>
    <w:rsid w:val="00371FE9"/>
    <w:rsid w:val="00374F5E"/>
    <w:rsid w:val="00375128"/>
    <w:rsid w:val="00377292"/>
    <w:rsid w:val="00377E3E"/>
    <w:rsid w:val="00395916"/>
    <w:rsid w:val="0039693E"/>
    <w:rsid w:val="003A1640"/>
    <w:rsid w:val="003A35E3"/>
    <w:rsid w:val="003A39D6"/>
    <w:rsid w:val="003A779E"/>
    <w:rsid w:val="003C075E"/>
    <w:rsid w:val="003C0C02"/>
    <w:rsid w:val="003C3993"/>
    <w:rsid w:val="003D0F4D"/>
    <w:rsid w:val="003D5B0D"/>
    <w:rsid w:val="003E0499"/>
    <w:rsid w:val="003E4F80"/>
    <w:rsid w:val="003E6439"/>
    <w:rsid w:val="003E6708"/>
    <w:rsid w:val="003E737F"/>
    <w:rsid w:val="003F3941"/>
    <w:rsid w:val="00403098"/>
    <w:rsid w:val="0040343A"/>
    <w:rsid w:val="00405551"/>
    <w:rsid w:val="00406305"/>
    <w:rsid w:val="00406575"/>
    <w:rsid w:val="00411462"/>
    <w:rsid w:val="00414C74"/>
    <w:rsid w:val="0041563E"/>
    <w:rsid w:val="0041570A"/>
    <w:rsid w:val="004169F9"/>
    <w:rsid w:val="00417CBA"/>
    <w:rsid w:val="00420B40"/>
    <w:rsid w:val="0042722E"/>
    <w:rsid w:val="0043057E"/>
    <w:rsid w:val="0044528D"/>
    <w:rsid w:val="00446D00"/>
    <w:rsid w:val="004500A6"/>
    <w:rsid w:val="00455AD9"/>
    <w:rsid w:val="00455B84"/>
    <w:rsid w:val="00461B5C"/>
    <w:rsid w:val="004668C3"/>
    <w:rsid w:val="00466E39"/>
    <w:rsid w:val="00473127"/>
    <w:rsid w:val="00481670"/>
    <w:rsid w:val="00484955"/>
    <w:rsid w:val="004915F3"/>
    <w:rsid w:val="00495896"/>
    <w:rsid w:val="004958E4"/>
    <w:rsid w:val="004A1440"/>
    <w:rsid w:val="004A1847"/>
    <w:rsid w:val="004A305D"/>
    <w:rsid w:val="004A7F0E"/>
    <w:rsid w:val="004B18C3"/>
    <w:rsid w:val="004B4114"/>
    <w:rsid w:val="004B4FC5"/>
    <w:rsid w:val="004B56D9"/>
    <w:rsid w:val="004D5C1D"/>
    <w:rsid w:val="004E1C4E"/>
    <w:rsid w:val="004F21C4"/>
    <w:rsid w:val="004F3368"/>
    <w:rsid w:val="004F685F"/>
    <w:rsid w:val="004F7642"/>
    <w:rsid w:val="005064F3"/>
    <w:rsid w:val="00514CA0"/>
    <w:rsid w:val="00515F5A"/>
    <w:rsid w:val="00523493"/>
    <w:rsid w:val="005305F6"/>
    <w:rsid w:val="005349D4"/>
    <w:rsid w:val="00535061"/>
    <w:rsid w:val="005356A3"/>
    <w:rsid w:val="00540DE8"/>
    <w:rsid w:val="00541E80"/>
    <w:rsid w:val="00541FAB"/>
    <w:rsid w:val="005566E8"/>
    <w:rsid w:val="00560240"/>
    <w:rsid w:val="00563EA1"/>
    <w:rsid w:val="0056534E"/>
    <w:rsid w:val="0057010E"/>
    <w:rsid w:val="00574867"/>
    <w:rsid w:val="00583C10"/>
    <w:rsid w:val="00584E19"/>
    <w:rsid w:val="00586CF1"/>
    <w:rsid w:val="00591460"/>
    <w:rsid w:val="00591C10"/>
    <w:rsid w:val="00592FAE"/>
    <w:rsid w:val="0059604C"/>
    <w:rsid w:val="005A207D"/>
    <w:rsid w:val="005A65E0"/>
    <w:rsid w:val="005A6EAA"/>
    <w:rsid w:val="005B556C"/>
    <w:rsid w:val="005C04C5"/>
    <w:rsid w:val="005C11A4"/>
    <w:rsid w:val="005C3777"/>
    <w:rsid w:val="005C450C"/>
    <w:rsid w:val="005C5CDC"/>
    <w:rsid w:val="005D01D1"/>
    <w:rsid w:val="005D3474"/>
    <w:rsid w:val="005D476C"/>
    <w:rsid w:val="005E1D8C"/>
    <w:rsid w:val="005E216E"/>
    <w:rsid w:val="005E3EF6"/>
    <w:rsid w:val="005F2A9F"/>
    <w:rsid w:val="005F6CAA"/>
    <w:rsid w:val="00602DDB"/>
    <w:rsid w:val="006123BB"/>
    <w:rsid w:val="006140E5"/>
    <w:rsid w:val="006200BF"/>
    <w:rsid w:val="006219F8"/>
    <w:rsid w:val="006302F7"/>
    <w:rsid w:val="006324A6"/>
    <w:rsid w:val="006341AC"/>
    <w:rsid w:val="006415EB"/>
    <w:rsid w:val="006416ED"/>
    <w:rsid w:val="006425F1"/>
    <w:rsid w:val="00646B9F"/>
    <w:rsid w:val="00651A05"/>
    <w:rsid w:val="0065207A"/>
    <w:rsid w:val="00656C5A"/>
    <w:rsid w:val="00660BA9"/>
    <w:rsid w:val="00663ABD"/>
    <w:rsid w:val="00663C1C"/>
    <w:rsid w:val="00665D70"/>
    <w:rsid w:val="00666CA8"/>
    <w:rsid w:val="00670958"/>
    <w:rsid w:val="00673A00"/>
    <w:rsid w:val="00680FA2"/>
    <w:rsid w:val="00681EB8"/>
    <w:rsid w:val="00687B50"/>
    <w:rsid w:val="006900D9"/>
    <w:rsid w:val="00691737"/>
    <w:rsid w:val="00694FFA"/>
    <w:rsid w:val="006A39FE"/>
    <w:rsid w:val="006A68AA"/>
    <w:rsid w:val="006A72EA"/>
    <w:rsid w:val="006B002F"/>
    <w:rsid w:val="006C10F6"/>
    <w:rsid w:val="006C518E"/>
    <w:rsid w:val="006C635A"/>
    <w:rsid w:val="006C696D"/>
    <w:rsid w:val="006C6D09"/>
    <w:rsid w:val="006C76A4"/>
    <w:rsid w:val="006D032B"/>
    <w:rsid w:val="006D0E8A"/>
    <w:rsid w:val="006D3F0D"/>
    <w:rsid w:val="006D7ADD"/>
    <w:rsid w:val="006E4F7E"/>
    <w:rsid w:val="006E6CA1"/>
    <w:rsid w:val="006F145D"/>
    <w:rsid w:val="007000A5"/>
    <w:rsid w:val="00702552"/>
    <w:rsid w:val="00702DEE"/>
    <w:rsid w:val="00706C16"/>
    <w:rsid w:val="0071081F"/>
    <w:rsid w:val="00710915"/>
    <w:rsid w:val="00721F75"/>
    <w:rsid w:val="00723B06"/>
    <w:rsid w:val="00726E1F"/>
    <w:rsid w:val="00731381"/>
    <w:rsid w:val="007340C3"/>
    <w:rsid w:val="007450CF"/>
    <w:rsid w:val="007458E9"/>
    <w:rsid w:val="007501FA"/>
    <w:rsid w:val="0075058F"/>
    <w:rsid w:val="00750813"/>
    <w:rsid w:val="00752354"/>
    <w:rsid w:val="0075235A"/>
    <w:rsid w:val="00754FB8"/>
    <w:rsid w:val="00754FEF"/>
    <w:rsid w:val="007555B0"/>
    <w:rsid w:val="00756841"/>
    <w:rsid w:val="007604E0"/>
    <w:rsid w:val="00761338"/>
    <w:rsid w:val="0076133E"/>
    <w:rsid w:val="00761B27"/>
    <w:rsid w:val="00762955"/>
    <w:rsid w:val="007649AB"/>
    <w:rsid w:val="00770354"/>
    <w:rsid w:val="00771D0C"/>
    <w:rsid w:val="0077546D"/>
    <w:rsid w:val="00777EFC"/>
    <w:rsid w:val="00780974"/>
    <w:rsid w:val="00782D77"/>
    <w:rsid w:val="007833AC"/>
    <w:rsid w:val="00787494"/>
    <w:rsid w:val="00791B47"/>
    <w:rsid w:val="007951C8"/>
    <w:rsid w:val="007A1324"/>
    <w:rsid w:val="007A15D6"/>
    <w:rsid w:val="007A1892"/>
    <w:rsid w:val="007A2C05"/>
    <w:rsid w:val="007A7747"/>
    <w:rsid w:val="007B268C"/>
    <w:rsid w:val="007B2A07"/>
    <w:rsid w:val="007B46A0"/>
    <w:rsid w:val="007B7171"/>
    <w:rsid w:val="007C0A2B"/>
    <w:rsid w:val="007C0C0F"/>
    <w:rsid w:val="007C3DC2"/>
    <w:rsid w:val="007C725D"/>
    <w:rsid w:val="007D308D"/>
    <w:rsid w:val="007D4CFA"/>
    <w:rsid w:val="007D535E"/>
    <w:rsid w:val="007D5FE8"/>
    <w:rsid w:val="007E5497"/>
    <w:rsid w:val="007E6D80"/>
    <w:rsid w:val="007F3BED"/>
    <w:rsid w:val="007F49A7"/>
    <w:rsid w:val="007F7D8D"/>
    <w:rsid w:val="00801DCF"/>
    <w:rsid w:val="00801ED8"/>
    <w:rsid w:val="00804B8A"/>
    <w:rsid w:val="008053F4"/>
    <w:rsid w:val="0080600A"/>
    <w:rsid w:val="00806C4F"/>
    <w:rsid w:val="00806F5F"/>
    <w:rsid w:val="00814FC2"/>
    <w:rsid w:val="00815097"/>
    <w:rsid w:val="00820278"/>
    <w:rsid w:val="00820DD8"/>
    <w:rsid w:val="008258C9"/>
    <w:rsid w:val="00825B8D"/>
    <w:rsid w:val="00826BEE"/>
    <w:rsid w:val="00827C62"/>
    <w:rsid w:val="00835D30"/>
    <w:rsid w:val="00836CA4"/>
    <w:rsid w:val="00837DBF"/>
    <w:rsid w:val="00844AE9"/>
    <w:rsid w:val="00850DED"/>
    <w:rsid w:val="00852714"/>
    <w:rsid w:val="00853CD8"/>
    <w:rsid w:val="0086587B"/>
    <w:rsid w:val="008663DC"/>
    <w:rsid w:val="00867F95"/>
    <w:rsid w:val="008711E4"/>
    <w:rsid w:val="00871875"/>
    <w:rsid w:val="00874416"/>
    <w:rsid w:val="008843B6"/>
    <w:rsid w:val="00886318"/>
    <w:rsid w:val="00886C81"/>
    <w:rsid w:val="008878CB"/>
    <w:rsid w:val="00887F5A"/>
    <w:rsid w:val="00891928"/>
    <w:rsid w:val="008A0E0E"/>
    <w:rsid w:val="008A446D"/>
    <w:rsid w:val="008A67EA"/>
    <w:rsid w:val="008B25F1"/>
    <w:rsid w:val="008C2804"/>
    <w:rsid w:val="008C6D9B"/>
    <w:rsid w:val="008D05BE"/>
    <w:rsid w:val="008D0668"/>
    <w:rsid w:val="008D180B"/>
    <w:rsid w:val="008D5B36"/>
    <w:rsid w:val="008D69F8"/>
    <w:rsid w:val="008D6B17"/>
    <w:rsid w:val="008E08C5"/>
    <w:rsid w:val="008E3DBE"/>
    <w:rsid w:val="008F0EA7"/>
    <w:rsid w:val="008F1CE5"/>
    <w:rsid w:val="008F44BE"/>
    <w:rsid w:val="009025D4"/>
    <w:rsid w:val="00903122"/>
    <w:rsid w:val="00913A83"/>
    <w:rsid w:val="00914EC6"/>
    <w:rsid w:val="0091710D"/>
    <w:rsid w:val="00922442"/>
    <w:rsid w:val="00923EEF"/>
    <w:rsid w:val="00931BDF"/>
    <w:rsid w:val="00937E90"/>
    <w:rsid w:val="009419F9"/>
    <w:rsid w:val="009463AE"/>
    <w:rsid w:val="00947923"/>
    <w:rsid w:val="00955CBA"/>
    <w:rsid w:val="0095685E"/>
    <w:rsid w:val="009619AC"/>
    <w:rsid w:val="00961B09"/>
    <w:rsid w:val="009637B6"/>
    <w:rsid w:val="00965334"/>
    <w:rsid w:val="0097093E"/>
    <w:rsid w:val="009735E1"/>
    <w:rsid w:val="009749E9"/>
    <w:rsid w:val="00980A56"/>
    <w:rsid w:val="00981995"/>
    <w:rsid w:val="009875A6"/>
    <w:rsid w:val="00991E71"/>
    <w:rsid w:val="009923D5"/>
    <w:rsid w:val="00993A1C"/>
    <w:rsid w:val="009A078B"/>
    <w:rsid w:val="009A0DFA"/>
    <w:rsid w:val="009A1074"/>
    <w:rsid w:val="009A1C6F"/>
    <w:rsid w:val="009A69AD"/>
    <w:rsid w:val="009B1715"/>
    <w:rsid w:val="009B2D26"/>
    <w:rsid w:val="009B6C08"/>
    <w:rsid w:val="009C0C7A"/>
    <w:rsid w:val="009C1FE1"/>
    <w:rsid w:val="009C52EA"/>
    <w:rsid w:val="009C531E"/>
    <w:rsid w:val="009C71FA"/>
    <w:rsid w:val="009C72E7"/>
    <w:rsid w:val="009C7F7E"/>
    <w:rsid w:val="009D3058"/>
    <w:rsid w:val="009D7052"/>
    <w:rsid w:val="009E27D4"/>
    <w:rsid w:val="009E4AEC"/>
    <w:rsid w:val="009E637B"/>
    <w:rsid w:val="009E66C1"/>
    <w:rsid w:val="009F3A13"/>
    <w:rsid w:val="00A00A3A"/>
    <w:rsid w:val="00A00BC3"/>
    <w:rsid w:val="00A03198"/>
    <w:rsid w:val="00A03859"/>
    <w:rsid w:val="00A047AA"/>
    <w:rsid w:val="00A05C9C"/>
    <w:rsid w:val="00A05FCC"/>
    <w:rsid w:val="00A113F8"/>
    <w:rsid w:val="00A122D3"/>
    <w:rsid w:val="00A138A0"/>
    <w:rsid w:val="00A14468"/>
    <w:rsid w:val="00A17F13"/>
    <w:rsid w:val="00A20739"/>
    <w:rsid w:val="00A23A49"/>
    <w:rsid w:val="00A23AF9"/>
    <w:rsid w:val="00A262DE"/>
    <w:rsid w:val="00A26F29"/>
    <w:rsid w:val="00A30E20"/>
    <w:rsid w:val="00A33522"/>
    <w:rsid w:val="00A33C78"/>
    <w:rsid w:val="00A5471E"/>
    <w:rsid w:val="00A55092"/>
    <w:rsid w:val="00A5679D"/>
    <w:rsid w:val="00A63061"/>
    <w:rsid w:val="00A639C8"/>
    <w:rsid w:val="00A75CE6"/>
    <w:rsid w:val="00A81F70"/>
    <w:rsid w:val="00A85412"/>
    <w:rsid w:val="00A86538"/>
    <w:rsid w:val="00A87787"/>
    <w:rsid w:val="00A93BC9"/>
    <w:rsid w:val="00A97092"/>
    <w:rsid w:val="00AA2120"/>
    <w:rsid w:val="00AA48B9"/>
    <w:rsid w:val="00AA7BB8"/>
    <w:rsid w:val="00AB016F"/>
    <w:rsid w:val="00AB0923"/>
    <w:rsid w:val="00AB0ADB"/>
    <w:rsid w:val="00AB3BC5"/>
    <w:rsid w:val="00AB5338"/>
    <w:rsid w:val="00AC0871"/>
    <w:rsid w:val="00AC13BE"/>
    <w:rsid w:val="00AC3EFB"/>
    <w:rsid w:val="00AC6459"/>
    <w:rsid w:val="00AD37CF"/>
    <w:rsid w:val="00AD3B73"/>
    <w:rsid w:val="00AE2D2C"/>
    <w:rsid w:val="00AE50A5"/>
    <w:rsid w:val="00AE6AB2"/>
    <w:rsid w:val="00AE6E0E"/>
    <w:rsid w:val="00AF0008"/>
    <w:rsid w:val="00AF233C"/>
    <w:rsid w:val="00AF426F"/>
    <w:rsid w:val="00AF4881"/>
    <w:rsid w:val="00AF6CB8"/>
    <w:rsid w:val="00AF744C"/>
    <w:rsid w:val="00B00C0E"/>
    <w:rsid w:val="00B01905"/>
    <w:rsid w:val="00B01B1A"/>
    <w:rsid w:val="00B034F7"/>
    <w:rsid w:val="00B0381D"/>
    <w:rsid w:val="00B258BA"/>
    <w:rsid w:val="00B44A47"/>
    <w:rsid w:val="00B452B2"/>
    <w:rsid w:val="00B50C95"/>
    <w:rsid w:val="00B554D3"/>
    <w:rsid w:val="00B61BA1"/>
    <w:rsid w:val="00B72CD3"/>
    <w:rsid w:val="00B72FFF"/>
    <w:rsid w:val="00B85924"/>
    <w:rsid w:val="00B869CD"/>
    <w:rsid w:val="00B9394F"/>
    <w:rsid w:val="00B9463F"/>
    <w:rsid w:val="00B97470"/>
    <w:rsid w:val="00B975D0"/>
    <w:rsid w:val="00BA2AE4"/>
    <w:rsid w:val="00BA7E80"/>
    <w:rsid w:val="00BB4273"/>
    <w:rsid w:val="00BC3D36"/>
    <w:rsid w:val="00BD54A6"/>
    <w:rsid w:val="00BD7CB5"/>
    <w:rsid w:val="00BD7F72"/>
    <w:rsid w:val="00BF0FA1"/>
    <w:rsid w:val="00BF3A72"/>
    <w:rsid w:val="00BF73A6"/>
    <w:rsid w:val="00BF7425"/>
    <w:rsid w:val="00C00996"/>
    <w:rsid w:val="00C04FB3"/>
    <w:rsid w:val="00C10EED"/>
    <w:rsid w:val="00C11354"/>
    <w:rsid w:val="00C11D8B"/>
    <w:rsid w:val="00C15139"/>
    <w:rsid w:val="00C16BEE"/>
    <w:rsid w:val="00C16CC7"/>
    <w:rsid w:val="00C21ADE"/>
    <w:rsid w:val="00C22B4A"/>
    <w:rsid w:val="00C26D9F"/>
    <w:rsid w:val="00C27C70"/>
    <w:rsid w:val="00C330EB"/>
    <w:rsid w:val="00C33B4F"/>
    <w:rsid w:val="00C375E8"/>
    <w:rsid w:val="00C41F9F"/>
    <w:rsid w:val="00C42AFF"/>
    <w:rsid w:val="00C43CF9"/>
    <w:rsid w:val="00C465BB"/>
    <w:rsid w:val="00C50D69"/>
    <w:rsid w:val="00C5365C"/>
    <w:rsid w:val="00C5379E"/>
    <w:rsid w:val="00C54759"/>
    <w:rsid w:val="00C55D75"/>
    <w:rsid w:val="00C56BB6"/>
    <w:rsid w:val="00C578D9"/>
    <w:rsid w:val="00C602B1"/>
    <w:rsid w:val="00C60EED"/>
    <w:rsid w:val="00C6180C"/>
    <w:rsid w:val="00C632DE"/>
    <w:rsid w:val="00C73472"/>
    <w:rsid w:val="00C74891"/>
    <w:rsid w:val="00C754BE"/>
    <w:rsid w:val="00C76B1C"/>
    <w:rsid w:val="00C77C34"/>
    <w:rsid w:val="00C832A2"/>
    <w:rsid w:val="00C864BD"/>
    <w:rsid w:val="00C92378"/>
    <w:rsid w:val="00C925AC"/>
    <w:rsid w:val="00C9428F"/>
    <w:rsid w:val="00CA2A1D"/>
    <w:rsid w:val="00CA564E"/>
    <w:rsid w:val="00CB0D8A"/>
    <w:rsid w:val="00CB6357"/>
    <w:rsid w:val="00CB74D4"/>
    <w:rsid w:val="00CC1B26"/>
    <w:rsid w:val="00CC3990"/>
    <w:rsid w:val="00CC5569"/>
    <w:rsid w:val="00CC7966"/>
    <w:rsid w:val="00CD39B3"/>
    <w:rsid w:val="00CD5C26"/>
    <w:rsid w:val="00CE4322"/>
    <w:rsid w:val="00CF0C9A"/>
    <w:rsid w:val="00CF1842"/>
    <w:rsid w:val="00CF5E49"/>
    <w:rsid w:val="00CF78AF"/>
    <w:rsid w:val="00D00D10"/>
    <w:rsid w:val="00D146D4"/>
    <w:rsid w:val="00D22DC0"/>
    <w:rsid w:val="00D25368"/>
    <w:rsid w:val="00D321A6"/>
    <w:rsid w:val="00D33C09"/>
    <w:rsid w:val="00D34958"/>
    <w:rsid w:val="00D35152"/>
    <w:rsid w:val="00D361FD"/>
    <w:rsid w:val="00D36A4E"/>
    <w:rsid w:val="00D40A09"/>
    <w:rsid w:val="00D423A2"/>
    <w:rsid w:val="00D4350D"/>
    <w:rsid w:val="00D4355C"/>
    <w:rsid w:val="00D44E26"/>
    <w:rsid w:val="00D520D8"/>
    <w:rsid w:val="00D53A3C"/>
    <w:rsid w:val="00D60368"/>
    <w:rsid w:val="00D61165"/>
    <w:rsid w:val="00D61978"/>
    <w:rsid w:val="00D62FCB"/>
    <w:rsid w:val="00D634EE"/>
    <w:rsid w:val="00D63AC2"/>
    <w:rsid w:val="00D64BD9"/>
    <w:rsid w:val="00D7383B"/>
    <w:rsid w:val="00D7473A"/>
    <w:rsid w:val="00D7788A"/>
    <w:rsid w:val="00D808CE"/>
    <w:rsid w:val="00D85788"/>
    <w:rsid w:val="00D91D4F"/>
    <w:rsid w:val="00D92BA6"/>
    <w:rsid w:val="00DA04F3"/>
    <w:rsid w:val="00DA231B"/>
    <w:rsid w:val="00DA3530"/>
    <w:rsid w:val="00DA5DE4"/>
    <w:rsid w:val="00DB21DD"/>
    <w:rsid w:val="00DB4ABE"/>
    <w:rsid w:val="00DC30DD"/>
    <w:rsid w:val="00DC39FC"/>
    <w:rsid w:val="00DC4276"/>
    <w:rsid w:val="00DC7242"/>
    <w:rsid w:val="00DD7048"/>
    <w:rsid w:val="00DE0ED7"/>
    <w:rsid w:val="00DE1BA8"/>
    <w:rsid w:val="00DE1EFF"/>
    <w:rsid w:val="00DF3CE1"/>
    <w:rsid w:val="00DF5254"/>
    <w:rsid w:val="00DF7FB0"/>
    <w:rsid w:val="00E02524"/>
    <w:rsid w:val="00E073BC"/>
    <w:rsid w:val="00E11A51"/>
    <w:rsid w:val="00E16408"/>
    <w:rsid w:val="00E16E6D"/>
    <w:rsid w:val="00E20894"/>
    <w:rsid w:val="00E20F22"/>
    <w:rsid w:val="00E245AB"/>
    <w:rsid w:val="00E25F3A"/>
    <w:rsid w:val="00E2764C"/>
    <w:rsid w:val="00E27F2E"/>
    <w:rsid w:val="00E30CE7"/>
    <w:rsid w:val="00E314D2"/>
    <w:rsid w:val="00E32F7E"/>
    <w:rsid w:val="00E40E2D"/>
    <w:rsid w:val="00E43D38"/>
    <w:rsid w:val="00E44733"/>
    <w:rsid w:val="00E50AFE"/>
    <w:rsid w:val="00E554A1"/>
    <w:rsid w:val="00E67D6D"/>
    <w:rsid w:val="00E75C92"/>
    <w:rsid w:val="00E771DC"/>
    <w:rsid w:val="00E8597A"/>
    <w:rsid w:val="00E8772A"/>
    <w:rsid w:val="00E905E2"/>
    <w:rsid w:val="00E90F6B"/>
    <w:rsid w:val="00E92C27"/>
    <w:rsid w:val="00EA0DCB"/>
    <w:rsid w:val="00EA0E3D"/>
    <w:rsid w:val="00EA1650"/>
    <w:rsid w:val="00EA2C69"/>
    <w:rsid w:val="00EA65DE"/>
    <w:rsid w:val="00EB26A2"/>
    <w:rsid w:val="00EB28FA"/>
    <w:rsid w:val="00EC2096"/>
    <w:rsid w:val="00EC38A7"/>
    <w:rsid w:val="00EC79A2"/>
    <w:rsid w:val="00ED22C7"/>
    <w:rsid w:val="00ED300E"/>
    <w:rsid w:val="00EE1AA8"/>
    <w:rsid w:val="00EE1AE6"/>
    <w:rsid w:val="00EE3E0F"/>
    <w:rsid w:val="00EE40BC"/>
    <w:rsid w:val="00EF0FBF"/>
    <w:rsid w:val="00EF437B"/>
    <w:rsid w:val="00F033F3"/>
    <w:rsid w:val="00F03C66"/>
    <w:rsid w:val="00F070D7"/>
    <w:rsid w:val="00F133E0"/>
    <w:rsid w:val="00F15EA5"/>
    <w:rsid w:val="00F17C48"/>
    <w:rsid w:val="00F207E2"/>
    <w:rsid w:val="00F21A9D"/>
    <w:rsid w:val="00F23FEA"/>
    <w:rsid w:val="00F31EDC"/>
    <w:rsid w:val="00F32FEC"/>
    <w:rsid w:val="00F34B7E"/>
    <w:rsid w:val="00F37728"/>
    <w:rsid w:val="00F37ADE"/>
    <w:rsid w:val="00F42A4A"/>
    <w:rsid w:val="00F446E3"/>
    <w:rsid w:val="00F44936"/>
    <w:rsid w:val="00F462B3"/>
    <w:rsid w:val="00F4700A"/>
    <w:rsid w:val="00F5188A"/>
    <w:rsid w:val="00F52600"/>
    <w:rsid w:val="00F54D53"/>
    <w:rsid w:val="00F5664F"/>
    <w:rsid w:val="00F56851"/>
    <w:rsid w:val="00F578BA"/>
    <w:rsid w:val="00F62223"/>
    <w:rsid w:val="00F666C4"/>
    <w:rsid w:val="00F76AFC"/>
    <w:rsid w:val="00F80A26"/>
    <w:rsid w:val="00F84E1D"/>
    <w:rsid w:val="00F87489"/>
    <w:rsid w:val="00F90306"/>
    <w:rsid w:val="00F93473"/>
    <w:rsid w:val="00F97C59"/>
    <w:rsid w:val="00FA47C0"/>
    <w:rsid w:val="00FB2EB2"/>
    <w:rsid w:val="00FB560F"/>
    <w:rsid w:val="00FB59D7"/>
    <w:rsid w:val="00FB5DD1"/>
    <w:rsid w:val="00FB7E3A"/>
    <w:rsid w:val="00FC2B5D"/>
    <w:rsid w:val="00FC6DA1"/>
    <w:rsid w:val="00FC7076"/>
    <w:rsid w:val="00FC76C0"/>
    <w:rsid w:val="00FD002B"/>
    <w:rsid w:val="00FD1E41"/>
    <w:rsid w:val="00FD20EF"/>
    <w:rsid w:val="00FD3E16"/>
    <w:rsid w:val="00FE0A8B"/>
    <w:rsid w:val="00FE3E7C"/>
    <w:rsid w:val="00FF1449"/>
    <w:rsid w:val="00FF2108"/>
    <w:rsid w:val="00FF3652"/>
    <w:rsid w:val="00FF4119"/>
    <w:rsid w:val="00FF745C"/>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E670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E6708"/>
    <w:rPr>
      <w:rFonts w:ascii="Geomanist Light" w:hAnsi="Geomanist Light"/>
      <w:lang w:val="es-ES"/>
    </w:rPr>
  </w:style>
  <w:style w:type="character" w:customStyle="1" w:styleId="NormalWebCar">
    <w:name w:val="Normal (Web) Car"/>
    <w:link w:val="NormalWeb"/>
    <w:uiPriority w:val="99"/>
    <w:rsid w:val="003E6708"/>
    <w:rPr>
      <w:rFonts w:ascii="Times New Roman" w:eastAsia="Times New Roman" w:hAnsi="Times New Roman" w:cs="Times New Roman"/>
      <w:sz w:val="24"/>
      <w:szCs w:val="24"/>
      <w:lang w:eastAsia="es-CO"/>
    </w:rPr>
  </w:style>
  <w:style w:type="paragraph" w:styleId="Sinespaciado">
    <w:name w:val="No Spacing"/>
    <w:aliases w:val="No Indent"/>
    <w:uiPriority w:val="3"/>
    <w:qFormat/>
    <w:rsid w:val="003E6708"/>
    <w:pPr>
      <w:spacing w:after="0" w:line="240" w:lineRule="auto"/>
    </w:pPr>
    <w:rPr>
      <w:sz w:val="24"/>
      <w:lang w:val="es-MX"/>
    </w:rPr>
  </w:style>
  <w:style w:type="character" w:customStyle="1" w:styleId="grame">
    <w:name w:val="grame"/>
    <w:basedOn w:val="Fuentedeprrafopredeter"/>
    <w:rsid w:val="00FF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caldiabogota.gov.co/sisjur/normas/Norma1.jsp?dt=S&amp;i=304" TargetMode="External"/><Relationship Id="rId18"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laragoenaga@delaespriellalawyers.com" TargetMode="External"/><Relationship Id="rId17" Type="http://schemas.openxmlformats.org/officeDocument/2006/relationships/hyperlink" Target="https://www.colombiacompra.gov.co/normativa-y-relatoria/documentos-tipo" TargetMode="External"/><Relationship Id="rId2" Type="http://schemas.openxmlformats.org/officeDocument/2006/relationships/customXml" Target="../customXml/item2.xml"/><Relationship Id="rId16" Type="http://schemas.openxmlformats.org/officeDocument/2006/relationships/hyperlink" Target="https://formacionvirtual.colombiacompra.gov.co/mod/page/view.php?id=371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relatoria.colombiacompra.gov.co/busqueda/concepto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archivos/manual/guia-para-el-manejo-de-ofertas-artificialmente-bajas-en-procesos-de-contratacion-2"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archivos/transparencia/decreto-0287-de-2026-por-el-cual-se-modifican-los-articulos-2-2-1-2-4-2-6-2-2-1-2-4-2-7-y-2-2-1-2-4-2-8-del-decreto-1082-de-2015-unico-reglamentario-del-sector-administrativo-de-planeacion-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93531D-73E5-46E8-8A49-6F98E2DD0E9B}">
  <ds:schemaRefs>
    <ds:schemaRef ds:uri="http://schemas.openxmlformats.org/officeDocument/2006/bibliography"/>
  </ds:schemaRefs>
</ds:datastoreItem>
</file>

<file path=customXml/itemProps2.xml><?xml version="1.0" encoding="utf-8"?>
<ds:datastoreItem xmlns:ds="http://schemas.openxmlformats.org/officeDocument/2006/customXml" ds:itemID="{071E7D08-3269-42AA-8FF0-5528D4BB2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17</TotalTime>
  <Pages>36</Pages>
  <Words>12475</Words>
  <Characters>68613</Characters>
  <Application>Microsoft Office Word</Application>
  <DocSecurity>0</DocSecurity>
  <Lines>571</Lines>
  <Paragraphs>161</Paragraphs>
  <ScaleCrop>false</ScaleCrop>
  <Company/>
  <LinksUpToDate>false</LinksUpToDate>
  <CharactersWithSpaces>80927</CharactersWithSpaces>
  <SharedDoc>false</SharedDoc>
  <HLinks>
    <vt:vector size="6" baseType="variant">
      <vt:variant>
        <vt:i4>7209021</vt:i4>
      </vt:variant>
      <vt:variant>
        <vt:i4>0</vt:i4>
      </vt:variant>
      <vt:variant>
        <vt:i4>0</vt:i4>
      </vt:variant>
      <vt:variant>
        <vt:i4>5</vt:i4>
      </vt:variant>
      <vt:variant>
        <vt:lpwstr>https://relatoria.colombiacompra.gov.co/busqueda/concept 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13</cp:revision>
  <cp:lastPrinted>2023-01-10T21:18:00Z</cp:lastPrinted>
  <dcterms:created xsi:type="dcterms:W3CDTF">2026-07-27T14:08:00Z</dcterms:created>
  <dcterms:modified xsi:type="dcterms:W3CDTF">2026-07-28T13:49:00Z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