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06AD4" w14:textId="77777777" w:rsidR="005F5714" w:rsidRPr="00760536" w:rsidRDefault="005F5714" w:rsidP="005F5714">
      <w:pPr>
        <w:spacing w:after="0" w:line="240" w:lineRule="auto"/>
        <w:jc w:val="both"/>
        <w:rPr>
          <w:rFonts w:ascii="Verdana" w:hAnsi="Verdana" w:cs="Arial"/>
          <w:bCs/>
          <w:sz w:val="20"/>
          <w:szCs w:val="20"/>
        </w:rPr>
      </w:pPr>
    </w:p>
    <w:p w14:paraId="3A4F2ECB" w14:textId="77777777" w:rsidR="005F5714" w:rsidRPr="00760536" w:rsidRDefault="005F5714" w:rsidP="005F5714">
      <w:pPr>
        <w:spacing w:after="0" w:line="240" w:lineRule="auto"/>
        <w:jc w:val="both"/>
        <w:rPr>
          <w:rFonts w:ascii="Verdana" w:hAnsi="Verdana" w:cs="Arial"/>
          <w:b/>
        </w:rPr>
      </w:pPr>
      <w:r>
        <w:rPr>
          <w:rFonts w:ascii="Verdana" w:hAnsi="Verdana" w:cs="Arial"/>
          <w:b/>
        </w:rPr>
        <w:t>SUSPENSIÓN DE CONTRATO</w:t>
      </w:r>
      <w:r w:rsidRPr="00760536">
        <w:rPr>
          <w:rFonts w:ascii="Verdana" w:hAnsi="Verdana" w:cs="Arial"/>
          <w:b/>
        </w:rPr>
        <w:t xml:space="preserve"> – </w:t>
      </w:r>
      <w:r>
        <w:rPr>
          <w:rFonts w:ascii="Verdana" w:hAnsi="Verdana" w:cs="Arial"/>
          <w:b/>
        </w:rPr>
        <w:t>Causas – Efectos</w:t>
      </w:r>
      <w:r w:rsidRPr="00760536">
        <w:rPr>
          <w:rFonts w:ascii="Verdana" w:hAnsi="Verdana" w:cs="Arial"/>
          <w:b/>
        </w:rPr>
        <w:t xml:space="preserve"> </w:t>
      </w:r>
    </w:p>
    <w:p w14:paraId="0AC2EB2E" w14:textId="77777777" w:rsidR="005F5714" w:rsidRPr="00760536" w:rsidRDefault="005F5714" w:rsidP="005F5714">
      <w:pPr>
        <w:spacing w:after="0" w:line="240" w:lineRule="auto"/>
        <w:jc w:val="both"/>
        <w:rPr>
          <w:rFonts w:ascii="Verdana" w:hAnsi="Verdana" w:cs="Arial"/>
          <w:b/>
          <w:sz w:val="20"/>
          <w:szCs w:val="20"/>
        </w:rPr>
      </w:pPr>
    </w:p>
    <w:p w14:paraId="72C4F77C" w14:textId="77777777" w:rsidR="005F5714" w:rsidRDefault="005F5714" w:rsidP="005F5714">
      <w:pPr>
        <w:spacing w:after="0" w:line="240" w:lineRule="auto"/>
        <w:jc w:val="both"/>
        <w:textAlignment w:val="baseline"/>
        <w:rPr>
          <w:rFonts w:ascii="Verdana" w:hAnsi="Verdana" w:cs="Arial"/>
          <w:sz w:val="20"/>
          <w:szCs w:val="20"/>
          <w:lang w:val="es-ES_tradnl" w:eastAsia="es-CO"/>
        </w:rPr>
      </w:pPr>
      <w:r w:rsidRPr="00082CE7">
        <w:rPr>
          <w:rFonts w:ascii="Verdana" w:hAnsi="Verdana" w:cs="Arial"/>
          <w:sz w:val="20"/>
          <w:szCs w:val="20"/>
          <w:lang w:val="es-ES_tradnl" w:eastAsia="es-CO"/>
        </w:rPr>
        <w:t xml:space="preserve">La </w:t>
      </w:r>
      <w:r w:rsidRPr="00082CE7">
        <w:rPr>
          <w:rFonts w:ascii="Verdana" w:hAnsi="Verdana" w:cs="Arial"/>
          <w:i/>
          <w:iCs/>
          <w:sz w:val="20"/>
          <w:szCs w:val="20"/>
          <w:lang w:val="es-ES_tradnl" w:eastAsia="es-CO"/>
        </w:rPr>
        <w:t>suspensión</w:t>
      </w:r>
      <w:r w:rsidRPr="00082CE7">
        <w:rPr>
          <w:rFonts w:ascii="Verdana" w:hAnsi="Verdana" w:cs="Arial"/>
          <w:sz w:val="20"/>
          <w:szCs w:val="20"/>
          <w:lang w:val="es-ES_tradnl" w:eastAsia="es-CO"/>
        </w:rPr>
        <w:t xml:space="preserve"> es la medida por la cual se acuerda el cese provisional de la ejecución del contrato, por la ocurrencia de circunstancias que lo impiden o lo dificultan. Las razones de aquella pueden ser de orden técnico, jurídico o económico. En la medida de lo posible, las entidades estatales, durante la fase de planeación debe precaver los riesgos que pueden afectar la ejecución normal del contrato, pero esto no elimina la probabilidad de que ocurran sucesos posteriores y extraordinarios que lleven a las partes a acordar la suspensión o que paralicen el contrato </w:t>
      </w:r>
      <w:r w:rsidRPr="00082CE7">
        <w:rPr>
          <w:rFonts w:ascii="Verdana" w:hAnsi="Verdana" w:cs="Arial"/>
          <w:i/>
          <w:iCs/>
          <w:sz w:val="20"/>
          <w:szCs w:val="20"/>
          <w:lang w:val="es-ES_tradnl" w:eastAsia="es-CO"/>
        </w:rPr>
        <w:t>de facto</w:t>
      </w:r>
      <w:r w:rsidRPr="00082CE7">
        <w:rPr>
          <w:rFonts w:ascii="Verdana" w:hAnsi="Verdana" w:cs="Arial"/>
          <w:sz w:val="20"/>
          <w:szCs w:val="20"/>
          <w:lang w:val="es-ES_tradnl" w:eastAsia="es-CO"/>
        </w:rPr>
        <w:t>, mientras se resuelven las situaciones que están incidiendo negativamente en el desarrollo del negocio o que lo están tornando imposible. Esto quiere decir que la suspensión puede ser acordada por las partes –como usualmente sucede y es lo más recomendable, siempre que existan motivos fundados para ello– o darse por la fuerza de los hechos, es decir, por la configuración de eventos externos e irresistibles que hagan imposible la ejecución del contrato durante un tiempo; es decir, por factores que constituyan razones de fuerza mayor o caso fortuito</w:t>
      </w:r>
      <w:r>
        <w:rPr>
          <w:rFonts w:ascii="Verdana" w:hAnsi="Verdana" w:cs="Arial"/>
          <w:sz w:val="20"/>
          <w:szCs w:val="20"/>
          <w:lang w:val="es-ES_tradnl" w:eastAsia="es-CO"/>
        </w:rPr>
        <w:t>.</w:t>
      </w:r>
    </w:p>
    <w:p w14:paraId="09573D98" w14:textId="77777777" w:rsidR="005F5714" w:rsidRPr="00082CE7" w:rsidRDefault="005F5714" w:rsidP="005F5714">
      <w:pPr>
        <w:spacing w:after="0" w:line="240" w:lineRule="auto"/>
        <w:jc w:val="both"/>
        <w:textAlignment w:val="baseline"/>
        <w:rPr>
          <w:rFonts w:ascii="Verdana" w:hAnsi="Verdana" w:cs="Arial"/>
          <w:sz w:val="20"/>
          <w:szCs w:val="20"/>
          <w:lang w:eastAsia="es-CO"/>
        </w:rPr>
      </w:pPr>
    </w:p>
    <w:p w14:paraId="72E2B91F" w14:textId="77777777" w:rsidR="005F5714" w:rsidRPr="00082CE7" w:rsidRDefault="005F5714" w:rsidP="005F5714">
      <w:pPr>
        <w:spacing w:after="0" w:line="240" w:lineRule="auto"/>
        <w:jc w:val="both"/>
        <w:textAlignment w:val="baseline"/>
        <w:rPr>
          <w:rFonts w:ascii="Verdana" w:hAnsi="Verdana" w:cs="Arial"/>
          <w:sz w:val="20"/>
          <w:szCs w:val="20"/>
          <w:lang w:val="es-ES_tradnl" w:eastAsia="es-CO"/>
        </w:rPr>
      </w:pPr>
      <w:r w:rsidRPr="00082CE7">
        <w:rPr>
          <w:rFonts w:ascii="Verdana" w:hAnsi="Verdana" w:cs="Arial"/>
          <w:sz w:val="20"/>
          <w:szCs w:val="20"/>
          <w:lang w:val="es-ES_tradnl" w:eastAsia="es-CO"/>
        </w:rPr>
        <w:t>Mientras el contrato no se haya reiniciado, la suspensión genera tanto el congelamiento de las obligaciones principales como la neutralización del cómputo del plazo. De esta manera, “[…] se interrumpe temporalmente la ejecución, sin que ello extinga las obligaciones asumidas ni suponga terminación anticipada; durante ese período no se generan obligaciones de ejecución para las partes respecto de las prestaciones suspendidas y no corren los plazos de ejecución […]”</w:t>
      </w:r>
      <w:r>
        <w:rPr>
          <w:rFonts w:ascii="Verdana" w:hAnsi="Verdana" w:cs="Arial"/>
          <w:sz w:val="20"/>
          <w:szCs w:val="20"/>
          <w:lang w:val="es-ES_tradnl" w:eastAsia="es-CO"/>
        </w:rPr>
        <w:t>.</w:t>
      </w:r>
    </w:p>
    <w:p w14:paraId="7EE4D058" w14:textId="77777777" w:rsidR="005F5714" w:rsidRPr="00760536" w:rsidRDefault="005F5714" w:rsidP="005F5714">
      <w:pPr>
        <w:spacing w:after="0" w:line="240" w:lineRule="auto"/>
        <w:jc w:val="both"/>
        <w:textAlignment w:val="baseline"/>
        <w:rPr>
          <w:rFonts w:ascii="Verdana" w:hAnsi="Verdana" w:cs="Arial"/>
          <w:sz w:val="20"/>
          <w:szCs w:val="20"/>
          <w:lang w:val="es-ES" w:eastAsia="es-CO"/>
        </w:rPr>
      </w:pPr>
    </w:p>
    <w:p w14:paraId="2B19CA5D" w14:textId="77777777" w:rsidR="005F5714" w:rsidRPr="00760536" w:rsidRDefault="005F5714" w:rsidP="005F5714">
      <w:pPr>
        <w:spacing w:after="0" w:line="240" w:lineRule="auto"/>
        <w:jc w:val="both"/>
        <w:rPr>
          <w:rFonts w:ascii="Verdana" w:hAnsi="Verdana" w:cs="Arial"/>
          <w:b/>
          <w:lang w:val="es-ES"/>
        </w:rPr>
      </w:pPr>
      <w:r>
        <w:rPr>
          <w:rFonts w:ascii="Verdana" w:hAnsi="Verdana" w:cs="Arial"/>
          <w:b/>
          <w:lang w:val="es-ES"/>
        </w:rPr>
        <w:t>LIQUIDACIÓN</w:t>
      </w:r>
      <w:r w:rsidRPr="00760536">
        <w:rPr>
          <w:rFonts w:ascii="Verdana" w:hAnsi="Verdana" w:cs="Arial"/>
          <w:b/>
          <w:lang w:val="es-ES"/>
        </w:rPr>
        <w:t xml:space="preserve"> – </w:t>
      </w:r>
      <w:r>
        <w:rPr>
          <w:rFonts w:ascii="Verdana" w:hAnsi="Verdana" w:cs="Arial"/>
          <w:b/>
          <w:lang w:val="es-ES"/>
        </w:rPr>
        <w:t xml:space="preserve">Terminación del contrato </w:t>
      </w:r>
    </w:p>
    <w:p w14:paraId="17751825" w14:textId="77777777" w:rsidR="005F5714" w:rsidRPr="00760536" w:rsidRDefault="005F5714" w:rsidP="005F5714">
      <w:pPr>
        <w:spacing w:after="0" w:line="240" w:lineRule="auto"/>
        <w:jc w:val="both"/>
        <w:rPr>
          <w:rFonts w:ascii="Verdana" w:hAnsi="Verdana" w:cs="Arial"/>
          <w:b/>
          <w:sz w:val="20"/>
          <w:szCs w:val="20"/>
          <w:lang w:val="es-ES"/>
        </w:rPr>
      </w:pPr>
    </w:p>
    <w:p w14:paraId="022C0C6D" w14:textId="77777777" w:rsidR="005F5714" w:rsidRDefault="005F5714" w:rsidP="005F5714">
      <w:pPr>
        <w:spacing w:after="0" w:line="240" w:lineRule="auto"/>
        <w:jc w:val="both"/>
        <w:textAlignment w:val="baseline"/>
        <w:rPr>
          <w:rFonts w:ascii="Verdana" w:hAnsi="Verdana" w:cs="Arial"/>
          <w:bCs/>
          <w:sz w:val="20"/>
          <w:szCs w:val="20"/>
          <w:lang w:val="es-ES" w:eastAsia="es-CO"/>
        </w:rPr>
      </w:pPr>
      <w:r w:rsidRPr="00082CE7">
        <w:rPr>
          <w:rFonts w:ascii="Verdana" w:hAnsi="Verdana" w:cs="Arial"/>
          <w:bCs/>
          <w:sz w:val="20"/>
          <w:szCs w:val="20"/>
          <w:lang w:val="es-ES" w:eastAsia="es-CO"/>
        </w:rPr>
        <w:t xml:space="preserve">El artículo 11 de la Ley 1150 de 2007 contiene las reglas de tipo procedimental para liquidar los contratos estatales. Para estos efectos, en ejercicio de la autonomía de la voluntad y de conformidad con los criterios de la naturaleza, objeto y plazo del contrato, la entidad puede definir en el pliego de condiciones o en el contrato el plazo para efectuar la liquidación de mutuo acuerdo. En ausencia de pacto contractual, el artículo 11 de la Ley 1150 de 2007 prevé un término supletivo de 4 meses contados desde: i) el vencimiento del plazo previsto para la ejecución del contrato; </w:t>
      </w:r>
      <w:proofErr w:type="spellStart"/>
      <w:r w:rsidRPr="00082CE7">
        <w:rPr>
          <w:rFonts w:ascii="Verdana" w:hAnsi="Verdana" w:cs="Arial"/>
          <w:bCs/>
          <w:sz w:val="20"/>
          <w:szCs w:val="20"/>
          <w:lang w:val="es-ES" w:eastAsia="es-CO"/>
        </w:rPr>
        <w:t>ii</w:t>
      </w:r>
      <w:proofErr w:type="spellEnd"/>
      <w:r w:rsidRPr="00082CE7">
        <w:rPr>
          <w:rFonts w:ascii="Verdana" w:hAnsi="Verdana" w:cs="Arial"/>
          <w:bCs/>
          <w:sz w:val="20"/>
          <w:szCs w:val="20"/>
          <w:lang w:val="es-ES" w:eastAsia="es-CO"/>
        </w:rPr>
        <w:t xml:space="preserve">) la expedición del acto administrativo que ordene la terminación del contrato; o, </w:t>
      </w:r>
      <w:proofErr w:type="spellStart"/>
      <w:r w:rsidRPr="00082CE7">
        <w:rPr>
          <w:rFonts w:ascii="Verdana" w:hAnsi="Verdana" w:cs="Arial"/>
          <w:bCs/>
          <w:sz w:val="20"/>
          <w:szCs w:val="20"/>
          <w:lang w:val="es-ES" w:eastAsia="es-CO"/>
        </w:rPr>
        <w:t>iii</w:t>
      </w:r>
      <w:proofErr w:type="spellEnd"/>
      <w:r w:rsidRPr="00082CE7">
        <w:rPr>
          <w:rFonts w:ascii="Verdana" w:hAnsi="Verdana" w:cs="Arial"/>
          <w:bCs/>
          <w:sz w:val="20"/>
          <w:szCs w:val="20"/>
          <w:lang w:val="es-ES" w:eastAsia="es-CO"/>
        </w:rPr>
        <w:t xml:space="preserve">) la fecha del acuerdo que disponga la terminación del contrato. </w:t>
      </w:r>
    </w:p>
    <w:p w14:paraId="6EE561ED" w14:textId="77777777" w:rsidR="005F5714" w:rsidRPr="00082CE7" w:rsidRDefault="005F5714" w:rsidP="005F5714">
      <w:pPr>
        <w:spacing w:after="0" w:line="240" w:lineRule="auto"/>
        <w:jc w:val="both"/>
        <w:textAlignment w:val="baseline"/>
        <w:rPr>
          <w:rFonts w:ascii="Verdana" w:hAnsi="Verdana" w:cs="Arial"/>
          <w:bCs/>
          <w:sz w:val="20"/>
          <w:szCs w:val="20"/>
          <w:lang w:val="es-ES" w:eastAsia="es-CO"/>
        </w:rPr>
      </w:pPr>
    </w:p>
    <w:p w14:paraId="70EAA101" w14:textId="77777777" w:rsidR="005F5714" w:rsidRPr="00082CE7" w:rsidRDefault="005F5714" w:rsidP="005F5714">
      <w:pPr>
        <w:spacing w:after="0" w:line="240" w:lineRule="auto"/>
        <w:jc w:val="both"/>
        <w:textAlignment w:val="baseline"/>
        <w:rPr>
          <w:rFonts w:ascii="Verdana" w:hAnsi="Verdana" w:cs="Arial"/>
          <w:bCs/>
          <w:sz w:val="20"/>
          <w:szCs w:val="20"/>
          <w:lang w:val="es-ES" w:eastAsia="es-CO"/>
        </w:rPr>
      </w:pPr>
      <w:r w:rsidRPr="00082CE7">
        <w:rPr>
          <w:rFonts w:ascii="Verdana" w:hAnsi="Verdana" w:cs="Arial"/>
          <w:bCs/>
          <w:sz w:val="20"/>
          <w:szCs w:val="20"/>
          <w:lang w:val="es-ES" w:eastAsia="es-CO"/>
        </w:rPr>
        <w:t>Por tanto, la suspensión del contrato impide la liquidación de este. Como aquella no implica terminación anticipada, la suspensión interrupte el vencimiento del plazo previsto para ejecutar las obligaciones pactadas. Luego, la competencia para liquidar supone alguno de los tres (3) eventos indicados en el párrafo precedente. Sin el cumplimiento de uno de estos presupuestos, no es posible la liquidación bilateral, unilateral o judicial del contrato, ya que el cruce de cuentas para precisar si las partes están a paz y salvo en el cumplimiento de sus obligaciones se realiza después la terminación del contracto.</w:t>
      </w:r>
      <w:r w:rsidRPr="002C0402">
        <w:rPr>
          <w:rFonts w:ascii="Verdana" w:hAnsi="Verdana" w:cs="Arial"/>
          <w:bCs/>
          <w:sz w:val="20"/>
          <w:szCs w:val="20"/>
          <w:lang w:val="es-ES_tradnl" w:eastAsia="es-CO"/>
        </w:rPr>
        <w:t xml:space="preserve"> </w:t>
      </w:r>
    </w:p>
    <w:p w14:paraId="742FA74F" w14:textId="77777777" w:rsidR="005F5714" w:rsidRPr="00760536" w:rsidRDefault="005F5714" w:rsidP="005F5714">
      <w:pPr>
        <w:spacing w:after="0" w:line="240" w:lineRule="auto"/>
        <w:jc w:val="both"/>
        <w:textAlignment w:val="baseline"/>
        <w:rPr>
          <w:rFonts w:ascii="Verdana" w:hAnsi="Verdana" w:cs="Arial"/>
          <w:sz w:val="20"/>
          <w:szCs w:val="20"/>
          <w:lang w:val="es-ES" w:eastAsia="es-CO"/>
        </w:rPr>
      </w:pPr>
    </w:p>
    <w:p w14:paraId="63327CF4" w14:textId="77777777" w:rsidR="005F5714" w:rsidRPr="00760536" w:rsidRDefault="005F5714" w:rsidP="005F5714">
      <w:pPr>
        <w:spacing w:after="0" w:line="240" w:lineRule="auto"/>
        <w:jc w:val="both"/>
        <w:rPr>
          <w:rFonts w:ascii="Verdana" w:hAnsi="Verdana" w:cs="Arial"/>
          <w:b/>
          <w:lang w:val="es-ES"/>
        </w:rPr>
      </w:pPr>
      <w:r>
        <w:rPr>
          <w:rFonts w:ascii="Verdana" w:hAnsi="Verdana" w:cs="Arial"/>
          <w:b/>
          <w:lang w:val="es-ES"/>
        </w:rPr>
        <w:lastRenderedPageBreak/>
        <w:t>APROBACIÓN DE LA GARANTÍA</w:t>
      </w:r>
      <w:r w:rsidRPr="00760536">
        <w:rPr>
          <w:rFonts w:ascii="Verdana" w:hAnsi="Verdana" w:cs="Arial"/>
          <w:b/>
          <w:lang w:val="es-ES"/>
        </w:rPr>
        <w:t xml:space="preserve"> – </w:t>
      </w:r>
      <w:r>
        <w:rPr>
          <w:rFonts w:ascii="Verdana" w:hAnsi="Verdana" w:cs="Arial"/>
          <w:b/>
          <w:lang w:val="es-ES"/>
        </w:rPr>
        <w:t xml:space="preserve">Suspensión – Actualización de coberturas </w:t>
      </w:r>
    </w:p>
    <w:p w14:paraId="22F09534" w14:textId="77777777" w:rsidR="005F5714" w:rsidRPr="00760536" w:rsidRDefault="005F5714" w:rsidP="005F5714">
      <w:pPr>
        <w:spacing w:after="0" w:line="240" w:lineRule="auto"/>
        <w:jc w:val="both"/>
        <w:rPr>
          <w:rFonts w:ascii="Verdana" w:hAnsi="Verdana" w:cs="Arial"/>
          <w:b/>
          <w:sz w:val="20"/>
          <w:szCs w:val="20"/>
          <w:lang w:val="es-ES"/>
        </w:rPr>
      </w:pPr>
    </w:p>
    <w:p w14:paraId="0298A956" w14:textId="77777777" w:rsidR="005F5714" w:rsidRDefault="005F5714" w:rsidP="005F5714">
      <w:pPr>
        <w:spacing w:after="0" w:line="240" w:lineRule="auto"/>
        <w:jc w:val="both"/>
        <w:textAlignment w:val="baseline"/>
        <w:rPr>
          <w:rFonts w:ascii="Verdana" w:hAnsi="Verdana" w:cs="Arial"/>
          <w:bCs/>
          <w:sz w:val="20"/>
          <w:szCs w:val="20"/>
          <w:lang w:eastAsia="es-CO"/>
        </w:rPr>
      </w:pPr>
      <w:r>
        <w:rPr>
          <w:rFonts w:ascii="Verdana" w:hAnsi="Verdana" w:cs="Arial"/>
          <w:bCs/>
          <w:sz w:val="20"/>
          <w:szCs w:val="20"/>
          <w:lang w:val="es-ES_tradnl" w:eastAsia="es-CO"/>
        </w:rPr>
        <w:t>E</w:t>
      </w:r>
      <w:r w:rsidRPr="00082CE7">
        <w:rPr>
          <w:rFonts w:ascii="Verdana" w:hAnsi="Verdana" w:cs="Arial"/>
          <w:bCs/>
          <w:sz w:val="20"/>
          <w:szCs w:val="20"/>
          <w:lang w:val="es-ES_tradnl" w:eastAsia="es-CO"/>
        </w:rPr>
        <w:t xml:space="preserve">l artículo 41 de la Ley 80 de 1993 </w:t>
      </w:r>
      <w:r w:rsidRPr="00082CE7">
        <w:rPr>
          <w:rFonts w:ascii="Verdana" w:hAnsi="Verdana" w:cs="Arial"/>
          <w:bCs/>
          <w:sz w:val="20"/>
          <w:szCs w:val="20"/>
          <w:lang w:val="es-MX" w:eastAsia="es-CO"/>
        </w:rPr>
        <w:t>prescribe en su inciso primero que los contratos estatales se perfeccionan “</w:t>
      </w:r>
      <w:r w:rsidRPr="00082CE7">
        <w:rPr>
          <w:rFonts w:ascii="Verdana" w:hAnsi="Verdana" w:cs="Arial"/>
          <w:bCs/>
          <w:sz w:val="20"/>
          <w:szCs w:val="20"/>
          <w:lang w:eastAsia="es-CO"/>
        </w:rPr>
        <w:t>cuando se logre acuerdo sobre el objeto y la contraprestación y éste se eleve a escrito</w:t>
      </w:r>
      <w:r w:rsidRPr="00082CE7">
        <w:rPr>
          <w:rFonts w:ascii="Verdana" w:hAnsi="Verdana" w:cs="Arial"/>
          <w:bCs/>
          <w:sz w:val="20"/>
          <w:szCs w:val="20"/>
          <w:lang w:val="es-MX" w:eastAsia="es-CO"/>
        </w:rPr>
        <w:t>”. Por su parte el inciso segundo establece que “P</w:t>
      </w:r>
      <w:r w:rsidRPr="00082CE7">
        <w:rPr>
          <w:rFonts w:ascii="Verdana" w:hAnsi="Verdana" w:cs="Arial"/>
          <w:bCs/>
          <w:sz w:val="20"/>
          <w:szCs w:val="20"/>
          <w:lang w:eastAsia="es-CO"/>
        </w:rPr>
        <w:t>ara la ejecución se requerirá de la aprobación de la garantía”, lo que se traduce en que, sin perjuicio del perfeccionamiento del contrato, no podrá ejecutarse sin que se hayan aprobado las garantías por parte de la entidad estatal contratante.</w:t>
      </w:r>
    </w:p>
    <w:p w14:paraId="35A4F99F" w14:textId="77777777" w:rsidR="005F5714" w:rsidRPr="00082CE7" w:rsidRDefault="005F5714" w:rsidP="005F5714">
      <w:pPr>
        <w:spacing w:after="0" w:line="240" w:lineRule="auto"/>
        <w:jc w:val="both"/>
        <w:textAlignment w:val="baseline"/>
        <w:rPr>
          <w:rFonts w:ascii="Verdana" w:hAnsi="Verdana" w:cs="Arial"/>
          <w:bCs/>
          <w:sz w:val="20"/>
          <w:szCs w:val="20"/>
          <w:lang w:val="es-ES_tradnl" w:eastAsia="es-CO"/>
        </w:rPr>
      </w:pPr>
    </w:p>
    <w:p w14:paraId="15091724" w14:textId="77777777" w:rsidR="005F5714" w:rsidRDefault="005F5714" w:rsidP="005F5714">
      <w:pPr>
        <w:spacing w:after="0" w:line="240" w:lineRule="auto"/>
        <w:jc w:val="both"/>
        <w:textAlignment w:val="baseline"/>
        <w:rPr>
          <w:rFonts w:ascii="Verdana" w:hAnsi="Verdana" w:cs="Arial"/>
          <w:bCs/>
          <w:sz w:val="20"/>
          <w:szCs w:val="20"/>
          <w:lang w:val="es-ES" w:eastAsia="es-CO"/>
        </w:rPr>
      </w:pPr>
      <w:r w:rsidRPr="00082CE7">
        <w:rPr>
          <w:rFonts w:ascii="Verdana" w:hAnsi="Verdana" w:cs="Arial"/>
          <w:bCs/>
          <w:sz w:val="20"/>
          <w:szCs w:val="20"/>
          <w:lang w:eastAsia="es-CO"/>
        </w:rPr>
        <w:t xml:space="preserve">Para ejecutar el contrato después de suspendido, el contratista debe cumplir con la obligación de actualizar las coberturas, para lo cual deberá presentar el respectivo instrumento para la verificación por parte de la entidad estatal, quien procederá a su aprobación siempre que se cumplan con las condiciones pactadas en el contrato. Cabe aclarar que las garantías que debe presentar el contratista para aprobación de la entidad en el marco del artículo 41 de la ley 80 de 1993, corresponden a las garantías contractuales </w:t>
      </w:r>
      <w:r w:rsidRPr="00082CE7">
        <w:rPr>
          <w:rFonts w:ascii="Verdana" w:hAnsi="Verdana" w:cs="Arial"/>
          <w:bCs/>
          <w:sz w:val="20"/>
          <w:szCs w:val="20"/>
          <w:lang w:val="es-ES_tradnl" w:eastAsia="es-CO"/>
        </w:rPr>
        <w:t>que cubren los riesgos asociados al contrato celebrado y a las obligaciones posteriores a su ejecución, esto es, la garantía única de cumplimiento –con sus respectivos amparos– y la garantía de responsabilidad civil extracontractual</w:t>
      </w:r>
      <w:r w:rsidRPr="00082CE7">
        <w:rPr>
          <w:rFonts w:ascii="Verdana" w:hAnsi="Verdana" w:cs="Arial"/>
          <w:bCs/>
          <w:sz w:val="20"/>
          <w:szCs w:val="20"/>
          <w:lang w:val="es-ES" w:eastAsia="es-CO"/>
        </w:rPr>
        <w:t xml:space="preserve">. </w:t>
      </w:r>
    </w:p>
    <w:p w14:paraId="18C98A69" w14:textId="77777777" w:rsidR="005F5714" w:rsidRPr="00082CE7" w:rsidRDefault="005F5714" w:rsidP="005F5714">
      <w:pPr>
        <w:spacing w:after="0" w:line="240" w:lineRule="auto"/>
        <w:jc w:val="both"/>
        <w:textAlignment w:val="baseline"/>
        <w:rPr>
          <w:rFonts w:ascii="Verdana" w:hAnsi="Verdana" w:cs="Arial"/>
          <w:bCs/>
          <w:sz w:val="20"/>
          <w:szCs w:val="20"/>
          <w:lang w:val="es-ES" w:eastAsia="es-CO"/>
        </w:rPr>
      </w:pPr>
    </w:p>
    <w:p w14:paraId="06CF98D1" w14:textId="77777777" w:rsidR="005F5714" w:rsidRDefault="005F5714" w:rsidP="005F5714">
      <w:pPr>
        <w:spacing w:after="0" w:line="240" w:lineRule="auto"/>
        <w:rPr>
          <w:rFonts w:ascii="Verdana" w:eastAsia="Calibri" w:hAnsi="Verdana" w:cs="Arial"/>
          <w:b/>
          <w:color w:val="000000" w:themeColor="text1"/>
          <w:lang w:val="es-ES"/>
        </w:rPr>
      </w:pPr>
    </w:p>
    <w:p w14:paraId="65264604" w14:textId="77777777" w:rsidR="005F5714" w:rsidRDefault="005F5714" w:rsidP="005F5714">
      <w:pPr>
        <w:spacing w:after="0" w:line="240" w:lineRule="auto"/>
        <w:rPr>
          <w:rFonts w:ascii="Verdana" w:eastAsia="Calibri" w:hAnsi="Verdana" w:cs="Arial"/>
          <w:b/>
          <w:color w:val="000000" w:themeColor="text1"/>
          <w:lang w:val="es-ES"/>
        </w:rPr>
      </w:pPr>
    </w:p>
    <w:p w14:paraId="0858FB39" w14:textId="77777777" w:rsidR="005F5714" w:rsidRDefault="005F5714" w:rsidP="005F5714">
      <w:pPr>
        <w:spacing w:after="0" w:line="240" w:lineRule="auto"/>
        <w:rPr>
          <w:rFonts w:ascii="Verdana" w:eastAsia="Calibri" w:hAnsi="Verdana" w:cs="Arial"/>
          <w:b/>
          <w:color w:val="000000" w:themeColor="text1"/>
          <w:lang w:val="es-ES"/>
        </w:rPr>
      </w:pPr>
    </w:p>
    <w:p w14:paraId="58AA5F2C" w14:textId="77777777" w:rsidR="005F5714" w:rsidRDefault="005F5714" w:rsidP="005F5714">
      <w:pPr>
        <w:spacing w:after="0" w:line="240" w:lineRule="auto"/>
        <w:rPr>
          <w:rFonts w:ascii="Verdana" w:eastAsia="Calibri" w:hAnsi="Verdana" w:cs="Arial"/>
          <w:b/>
          <w:color w:val="000000" w:themeColor="text1"/>
          <w:lang w:val="es-ES"/>
        </w:rPr>
      </w:pPr>
    </w:p>
    <w:p w14:paraId="1B11EDEF" w14:textId="77777777" w:rsidR="005F5714" w:rsidRDefault="005F5714" w:rsidP="005F5714">
      <w:pPr>
        <w:spacing w:after="0" w:line="240" w:lineRule="auto"/>
        <w:rPr>
          <w:rFonts w:ascii="Verdana" w:eastAsia="Calibri" w:hAnsi="Verdana" w:cs="Arial"/>
          <w:b/>
          <w:color w:val="000000" w:themeColor="text1"/>
          <w:lang w:val="es-ES"/>
        </w:rPr>
      </w:pPr>
    </w:p>
    <w:p w14:paraId="19E1A03A" w14:textId="77777777" w:rsidR="005F5714" w:rsidRDefault="005F5714" w:rsidP="005F5714">
      <w:pPr>
        <w:spacing w:after="0" w:line="240" w:lineRule="auto"/>
        <w:rPr>
          <w:rFonts w:ascii="Verdana" w:eastAsia="Calibri" w:hAnsi="Verdana" w:cs="Arial"/>
          <w:b/>
          <w:color w:val="000000" w:themeColor="text1"/>
          <w:lang w:val="es-ES"/>
        </w:rPr>
      </w:pPr>
    </w:p>
    <w:p w14:paraId="7FCC7F99" w14:textId="77777777" w:rsidR="005F5714" w:rsidRDefault="005F5714" w:rsidP="005F5714">
      <w:pPr>
        <w:spacing w:after="0" w:line="240" w:lineRule="auto"/>
        <w:rPr>
          <w:rFonts w:ascii="Verdana" w:eastAsia="Calibri" w:hAnsi="Verdana" w:cs="Arial"/>
          <w:b/>
          <w:color w:val="000000" w:themeColor="text1"/>
          <w:lang w:val="es-ES"/>
        </w:rPr>
      </w:pPr>
    </w:p>
    <w:p w14:paraId="63480911" w14:textId="77777777" w:rsidR="005F5714" w:rsidRDefault="005F5714" w:rsidP="005F5714">
      <w:pPr>
        <w:spacing w:after="0" w:line="240" w:lineRule="auto"/>
        <w:rPr>
          <w:rFonts w:ascii="Verdana" w:eastAsia="Calibri" w:hAnsi="Verdana" w:cs="Arial"/>
          <w:b/>
          <w:color w:val="000000" w:themeColor="text1"/>
          <w:lang w:val="es-ES"/>
        </w:rPr>
      </w:pPr>
    </w:p>
    <w:p w14:paraId="5D90AE03" w14:textId="77777777" w:rsidR="005F5714" w:rsidRDefault="005F5714" w:rsidP="005F5714">
      <w:pPr>
        <w:spacing w:after="0" w:line="240" w:lineRule="auto"/>
        <w:rPr>
          <w:rFonts w:ascii="Verdana" w:eastAsia="Calibri" w:hAnsi="Verdana" w:cs="Arial"/>
          <w:b/>
          <w:color w:val="000000" w:themeColor="text1"/>
          <w:lang w:val="es-ES"/>
        </w:rPr>
      </w:pPr>
    </w:p>
    <w:p w14:paraId="127084F4" w14:textId="77777777" w:rsidR="005F5714" w:rsidRDefault="005F5714" w:rsidP="005F5714">
      <w:pPr>
        <w:spacing w:after="0" w:line="240" w:lineRule="auto"/>
        <w:rPr>
          <w:rFonts w:ascii="Verdana" w:eastAsia="Calibri" w:hAnsi="Verdana" w:cs="Arial"/>
          <w:b/>
          <w:color w:val="000000" w:themeColor="text1"/>
          <w:lang w:val="es-ES"/>
        </w:rPr>
      </w:pPr>
    </w:p>
    <w:p w14:paraId="01A952A5" w14:textId="77777777" w:rsidR="005F5714" w:rsidRDefault="005F5714" w:rsidP="005F5714">
      <w:pPr>
        <w:spacing w:after="0" w:line="240" w:lineRule="auto"/>
        <w:rPr>
          <w:rFonts w:ascii="Verdana" w:eastAsia="Calibri" w:hAnsi="Verdana" w:cs="Arial"/>
          <w:b/>
          <w:color w:val="000000" w:themeColor="text1"/>
          <w:lang w:val="es-ES"/>
        </w:rPr>
      </w:pPr>
    </w:p>
    <w:p w14:paraId="57D43ACA" w14:textId="77777777" w:rsidR="005F5714" w:rsidRDefault="005F5714" w:rsidP="005F5714">
      <w:pPr>
        <w:spacing w:after="0" w:line="240" w:lineRule="auto"/>
        <w:rPr>
          <w:rFonts w:ascii="Verdana" w:eastAsia="Calibri" w:hAnsi="Verdana" w:cs="Arial"/>
          <w:b/>
          <w:color w:val="000000" w:themeColor="text1"/>
          <w:lang w:val="es-ES"/>
        </w:rPr>
      </w:pPr>
    </w:p>
    <w:p w14:paraId="03E02FBA" w14:textId="77777777" w:rsidR="005F5714" w:rsidRDefault="005F5714" w:rsidP="005F5714">
      <w:pPr>
        <w:spacing w:after="0" w:line="240" w:lineRule="auto"/>
        <w:rPr>
          <w:rFonts w:ascii="Verdana" w:eastAsia="Calibri" w:hAnsi="Verdana" w:cs="Arial"/>
          <w:b/>
          <w:color w:val="000000" w:themeColor="text1"/>
          <w:lang w:val="es-ES"/>
        </w:rPr>
      </w:pPr>
    </w:p>
    <w:p w14:paraId="4A93B76E" w14:textId="77777777" w:rsidR="005F5714" w:rsidRDefault="005F5714" w:rsidP="005F5714">
      <w:pPr>
        <w:spacing w:after="0" w:line="240" w:lineRule="auto"/>
        <w:rPr>
          <w:rFonts w:ascii="Verdana" w:eastAsia="Calibri" w:hAnsi="Verdana" w:cs="Arial"/>
          <w:b/>
          <w:color w:val="000000" w:themeColor="text1"/>
          <w:lang w:val="es-ES"/>
        </w:rPr>
      </w:pPr>
    </w:p>
    <w:p w14:paraId="1FF0CE08" w14:textId="77777777" w:rsidR="005F5714" w:rsidRDefault="005F5714" w:rsidP="005F5714">
      <w:pPr>
        <w:spacing w:after="0" w:line="240" w:lineRule="auto"/>
        <w:rPr>
          <w:rFonts w:ascii="Verdana" w:eastAsia="Calibri" w:hAnsi="Verdana" w:cs="Arial"/>
          <w:b/>
          <w:color w:val="000000" w:themeColor="text1"/>
          <w:lang w:val="es-ES"/>
        </w:rPr>
      </w:pPr>
    </w:p>
    <w:p w14:paraId="741CBEED" w14:textId="77777777" w:rsidR="005F5714" w:rsidRDefault="005F5714" w:rsidP="005F5714">
      <w:pPr>
        <w:spacing w:after="0" w:line="240" w:lineRule="auto"/>
        <w:rPr>
          <w:rFonts w:ascii="Verdana" w:eastAsia="Calibri" w:hAnsi="Verdana" w:cs="Arial"/>
          <w:b/>
          <w:color w:val="000000" w:themeColor="text1"/>
          <w:lang w:val="es-ES"/>
        </w:rPr>
      </w:pPr>
    </w:p>
    <w:p w14:paraId="0DD588E1" w14:textId="77777777" w:rsidR="005F5714" w:rsidRDefault="005F5714" w:rsidP="005F5714">
      <w:pPr>
        <w:spacing w:after="0" w:line="240" w:lineRule="auto"/>
        <w:rPr>
          <w:rFonts w:ascii="Verdana" w:eastAsia="Calibri" w:hAnsi="Verdana" w:cs="Arial"/>
          <w:b/>
          <w:color w:val="000000" w:themeColor="text1"/>
          <w:lang w:val="es-ES"/>
        </w:rPr>
      </w:pPr>
    </w:p>
    <w:p w14:paraId="53F0E01A" w14:textId="77777777" w:rsidR="005F5714" w:rsidRDefault="005F5714" w:rsidP="005F5714">
      <w:pPr>
        <w:spacing w:after="0" w:line="240" w:lineRule="auto"/>
        <w:rPr>
          <w:rFonts w:ascii="Verdana" w:eastAsia="Calibri" w:hAnsi="Verdana" w:cs="Arial"/>
          <w:b/>
          <w:color w:val="000000" w:themeColor="text1"/>
          <w:lang w:val="es-ES"/>
        </w:rPr>
      </w:pPr>
    </w:p>
    <w:p w14:paraId="5AD22068" w14:textId="77777777" w:rsidR="005F5714" w:rsidRDefault="005F5714" w:rsidP="005F5714">
      <w:pPr>
        <w:spacing w:after="0" w:line="240" w:lineRule="auto"/>
        <w:rPr>
          <w:rFonts w:ascii="Verdana" w:eastAsia="Calibri" w:hAnsi="Verdana" w:cs="Arial"/>
          <w:b/>
          <w:color w:val="000000" w:themeColor="text1"/>
          <w:lang w:val="es-ES"/>
        </w:rPr>
      </w:pPr>
    </w:p>
    <w:p w14:paraId="4A322340" w14:textId="77777777" w:rsidR="005F5714" w:rsidRDefault="005F5714" w:rsidP="005F5714">
      <w:pPr>
        <w:spacing w:after="0" w:line="240" w:lineRule="auto"/>
        <w:rPr>
          <w:rFonts w:ascii="Verdana" w:eastAsia="Calibri" w:hAnsi="Verdana" w:cs="Arial"/>
          <w:b/>
          <w:color w:val="000000" w:themeColor="text1"/>
          <w:lang w:val="es-ES"/>
        </w:rPr>
      </w:pPr>
    </w:p>
    <w:p w14:paraId="4281C884" w14:textId="77777777" w:rsidR="005F5714" w:rsidRDefault="005F5714" w:rsidP="00ED11A5">
      <w:pPr>
        <w:spacing w:after="0" w:line="240" w:lineRule="auto"/>
        <w:rPr>
          <w:rFonts w:ascii="Verdana" w:eastAsia="Calibri" w:hAnsi="Verdana" w:cs="Arial"/>
          <w:b/>
          <w:color w:val="000000" w:themeColor="text1"/>
          <w:lang w:val="es-ES"/>
        </w:rPr>
      </w:pPr>
    </w:p>
    <w:p w14:paraId="7B14AF60" w14:textId="77777777" w:rsidR="005F5714" w:rsidRPr="005F5714" w:rsidRDefault="005F5714" w:rsidP="00ED11A5">
      <w:pPr>
        <w:spacing w:after="0" w:line="240" w:lineRule="auto"/>
        <w:rPr>
          <w:rFonts w:ascii="Verdana" w:eastAsia="Geomanist Light" w:hAnsi="Verdana" w:cs="Arial"/>
          <w:color w:val="000000" w:themeColor="text1"/>
          <w:lang w:val="es-ES"/>
        </w:rPr>
      </w:pPr>
    </w:p>
    <w:p w14:paraId="0DEA08E3" w14:textId="77777777" w:rsidR="005F5714" w:rsidRDefault="005F5714" w:rsidP="00ED11A5">
      <w:pPr>
        <w:spacing w:after="0" w:line="240" w:lineRule="auto"/>
        <w:rPr>
          <w:rFonts w:ascii="Verdana" w:eastAsia="Geomanist Light" w:hAnsi="Verdana" w:cs="Arial"/>
          <w:color w:val="000000" w:themeColor="text1"/>
          <w:lang w:val="es-MX"/>
        </w:rPr>
      </w:pPr>
    </w:p>
    <w:p w14:paraId="44B312AC" w14:textId="07F6460D" w:rsidR="00ED11A5" w:rsidRPr="00593A5F" w:rsidRDefault="00ED11A5" w:rsidP="00ED11A5">
      <w:pPr>
        <w:spacing w:after="0" w:line="240" w:lineRule="auto"/>
        <w:rPr>
          <w:rFonts w:ascii="Verdana" w:eastAsia="Geomanist Light" w:hAnsi="Verdana" w:cs="Arial"/>
          <w:color w:val="201F1E"/>
          <w:lang w:val="es-MX"/>
        </w:rPr>
      </w:pPr>
      <w:r w:rsidRPr="00593A5F">
        <w:rPr>
          <w:rFonts w:ascii="Verdana" w:eastAsia="Geomanist Light" w:hAnsi="Verdana" w:cs="Arial"/>
          <w:color w:val="000000" w:themeColor="text1"/>
          <w:lang w:val="es-MX"/>
        </w:rPr>
        <w:lastRenderedPageBreak/>
        <w:t>Bogotá D.C., </w:t>
      </w:r>
      <w:r w:rsidR="006214E4" w:rsidRPr="006214E4">
        <w:rPr>
          <w:rFonts w:ascii="Verdana" w:eastAsia="Geomanist Light" w:hAnsi="Verdana" w:cs="Arial"/>
          <w:color w:val="000000" w:themeColor="text1"/>
          <w:lang w:val="es-MX"/>
        </w:rPr>
        <w:t>15 de Julio de 2026</w:t>
      </w:r>
    </w:p>
    <w:p w14:paraId="24E01AAA" w14:textId="77777777" w:rsidR="00ED11A5" w:rsidRDefault="00ED11A5" w:rsidP="00ED11A5">
      <w:pPr>
        <w:spacing w:after="0" w:line="240" w:lineRule="auto"/>
        <w:jc w:val="both"/>
        <w:rPr>
          <w:rFonts w:ascii="Verdana" w:eastAsia="Calibri" w:hAnsi="Verdana" w:cs="Arial"/>
          <w:color w:val="000000"/>
          <w:lang w:val="es-ES"/>
        </w:rPr>
      </w:pPr>
    </w:p>
    <w:p w14:paraId="446BBEDA" w14:textId="278376B5" w:rsidR="00ED11A5" w:rsidRDefault="006214E4" w:rsidP="006214E4">
      <w:pPr>
        <w:spacing w:after="0" w:line="240" w:lineRule="auto"/>
        <w:jc w:val="right"/>
        <w:rPr>
          <w:rFonts w:ascii="Verdana" w:eastAsia="Calibri" w:hAnsi="Verdana" w:cs="Arial"/>
          <w:color w:val="000000"/>
          <w:lang w:val="es-ES"/>
        </w:rPr>
      </w:pPr>
      <w:r w:rsidRPr="006214E4">
        <w:rPr>
          <w:rFonts w:ascii="Verdana" w:eastAsia="Calibri" w:hAnsi="Verdana" w:cs="Arial"/>
          <w:noProof/>
          <w:color w:val="000000"/>
          <w:lang w:val="es-ES"/>
        </w:rPr>
        <w:drawing>
          <wp:anchor distT="0" distB="0" distL="114300" distR="114300" simplePos="0" relativeHeight="251658240" behindDoc="0" locked="0" layoutInCell="1" allowOverlap="1" wp14:anchorId="796DC7B4" wp14:editId="40936ADC">
            <wp:simplePos x="0" y="0"/>
            <wp:positionH relativeFrom="margin">
              <wp:align>right</wp:align>
            </wp:positionH>
            <wp:positionV relativeFrom="paragraph">
              <wp:posOffset>11761</wp:posOffset>
            </wp:positionV>
            <wp:extent cx="2400300" cy="770890"/>
            <wp:effectExtent l="0" t="0" r="0" b="0"/>
            <wp:wrapSquare wrapText="bothSides"/>
            <wp:docPr id="5763405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340563" name=""/>
                    <pic:cNvPicPr/>
                  </pic:nvPicPr>
                  <pic:blipFill>
                    <a:blip r:embed="rId10">
                      <a:extLst>
                        <a:ext uri="{28A0092B-C50C-407E-A947-70E740481C1C}">
                          <a14:useLocalDpi xmlns:a14="http://schemas.microsoft.com/office/drawing/2010/main" val="0"/>
                        </a:ext>
                      </a:extLst>
                    </a:blip>
                    <a:stretch>
                      <a:fillRect/>
                    </a:stretch>
                  </pic:blipFill>
                  <pic:spPr>
                    <a:xfrm>
                      <a:off x="0" y="0"/>
                      <a:ext cx="2405702" cy="773013"/>
                    </a:xfrm>
                    <a:prstGeom prst="rect">
                      <a:avLst/>
                    </a:prstGeom>
                  </pic:spPr>
                </pic:pic>
              </a:graphicData>
            </a:graphic>
            <wp14:sizeRelV relativeFrom="margin">
              <wp14:pctHeight>0</wp14:pctHeight>
            </wp14:sizeRelV>
          </wp:anchor>
        </w:drawing>
      </w:r>
    </w:p>
    <w:p w14:paraId="2E16F8F4" w14:textId="77777777" w:rsidR="006214E4" w:rsidRPr="00593A5F" w:rsidRDefault="006214E4" w:rsidP="00ED11A5">
      <w:pPr>
        <w:spacing w:after="0" w:line="240" w:lineRule="auto"/>
        <w:jc w:val="both"/>
        <w:rPr>
          <w:rFonts w:ascii="Verdana" w:eastAsia="Calibri" w:hAnsi="Verdana" w:cs="Arial"/>
          <w:color w:val="000000"/>
          <w:lang w:val="es-ES"/>
        </w:rPr>
      </w:pPr>
    </w:p>
    <w:p w14:paraId="74859BE4" w14:textId="77777777" w:rsidR="00ED11A5" w:rsidRPr="00B96799" w:rsidRDefault="00ED11A5" w:rsidP="00ED11A5">
      <w:pPr>
        <w:spacing w:after="0" w:line="240" w:lineRule="auto"/>
        <w:jc w:val="both"/>
        <w:rPr>
          <w:rFonts w:ascii="Verdana" w:eastAsia="Calibri" w:hAnsi="Verdana" w:cs="Arial"/>
          <w:lang w:val="es-ES" w:eastAsia="es-ES"/>
        </w:rPr>
      </w:pPr>
      <w:r>
        <w:rPr>
          <w:rFonts w:ascii="Verdana" w:eastAsia="Calibri" w:hAnsi="Verdana" w:cs="Arial"/>
          <w:lang w:val="es-ES" w:eastAsia="es-ES"/>
        </w:rPr>
        <w:t>Señora</w:t>
      </w:r>
    </w:p>
    <w:p w14:paraId="44BA6CD8" w14:textId="77777777" w:rsidR="00ED11A5" w:rsidRDefault="00ED11A5" w:rsidP="00ED11A5">
      <w:pPr>
        <w:spacing w:after="0" w:line="240" w:lineRule="auto"/>
        <w:rPr>
          <w:rFonts w:ascii="Verdana" w:eastAsia="Calibri" w:hAnsi="Verdana" w:cs="Arial"/>
          <w:b/>
          <w:lang w:val="es-ES_tradnl" w:eastAsia="es-ES_tradnl"/>
        </w:rPr>
      </w:pPr>
      <w:r w:rsidRPr="000D2397">
        <w:rPr>
          <w:rFonts w:ascii="Verdana" w:eastAsia="Calibri" w:hAnsi="Verdana" w:cs="Arial"/>
          <w:b/>
          <w:lang w:val="es-ES_tradnl" w:eastAsia="es-ES_tradnl"/>
        </w:rPr>
        <w:t>María Alejandra Escobar Guzmán</w:t>
      </w:r>
      <w:r w:rsidRPr="008777D5">
        <w:rPr>
          <w:rFonts w:ascii="Verdana" w:eastAsia="Calibri" w:hAnsi="Verdana" w:cs="Arial"/>
          <w:b/>
          <w:lang w:val="es-ES_tradnl" w:eastAsia="es-ES_tradnl"/>
        </w:rPr>
        <w:t xml:space="preserve"> </w:t>
      </w:r>
    </w:p>
    <w:p w14:paraId="3EEE6D6A" w14:textId="77777777" w:rsidR="00ED11A5" w:rsidRPr="000D2397" w:rsidRDefault="00ED11A5" w:rsidP="00ED11A5">
      <w:pPr>
        <w:spacing w:after="0" w:line="240" w:lineRule="auto"/>
        <w:rPr>
          <w:rFonts w:ascii="Verdana" w:eastAsia="Calibri" w:hAnsi="Verdana" w:cs="Arial"/>
          <w:lang w:val="es-ES" w:eastAsia="es-ES"/>
        </w:rPr>
      </w:pPr>
      <w:hyperlink r:id="rId11" w:history="1">
        <w:r w:rsidRPr="00622576">
          <w:rPr>
            <w:rStyle w:val="Hipervnculo"/>
            <w:rFonts w:ascii="Verdana" w:hAnsi="Verdana"/>
          </w:rPr>
          <w:t>juridica@eticnar.gov.co</w:t>
        </w:r>
      </w:hyperlink>
      <w:r>
        <w:rPr>
          <w:rFonts w:ascii="Verdana" w:hAnsi="Verdana"/>
        </w:rPr>
        <w:t xml:space="preserve"> </w:t>
      </w:r>
      <w:r w:rsidRPr="000D2397">
        <w:rPr>
          <w:rFonts w:ascii="Verdana" w:hAnsi="Verdana"/>
        </w:rPr>
        <w:t xml:space="preserve">                    </w:t>
      </w:r>
      <w:r w:rsidRPr="000D2397">
        <w:rPr>
          <w:rFonts w:ascii="Verdana" w:eastAsia="Calibri" w:hAnsi="Verdana" w:cs="Arial"/>
          <w:lang w:val="es-ES" w:eastAsia="es-ES"/>
        </w:rPr>
        <w:t xml:space="preserve">    </w:t>
      </w:r>
    </w:p>
    <w:p w14:paraId="5BE85845" w14:textId="77777777" w:rsidR="00ED11A5" w:rsidRDefault="00ED11A5" w:rsidP="00ED11A5">
      <w:pPr>
        <w:spacing w:after="0" w:line="240" w:lineRule="auto"/>
        <w:rPr>
          <w:rFonts w:ascii="Verdana" w:eastAsia="Calibri" w:hAnsi="Verdana" w:cs="Arial"/>
          <w:lang w:val="es-ES" w:eastAsia="es-ES"/>
        </w:rPr>
      </w:pPr>
      <w:r>
        <w:rPr>
          <w:rFonts w:ascii="Verdana" w:eastAsia="Calibri" w:hAnsi="Verdana" w:cs="Arial"/>
          <w:lang w:val="es-ES" w:eastAsia="es-ES"/>
        </w:rPr>
        <w:t>San Juan de Pasto</w:t>
      </w:r>
      <w:r w:rsidRPr="004513BB">
        <w:rPr>
          <w:rFonts w:ascii="Verdana" w:eastAsia="Calibri" w:hAnsi="Verdana" w:cs="Arial"/>
          <w:lang w:val="es-ES" w:eastAsia="es-ES"/>
        </w:rPr>
        <w:t xml:space="preserve">, </w:t>
      </w:r>
      <w:r>
        <w:rPr>
          <w:rFonts w:ascii="Verdana" w:eastAsia="Calibri" w:hAnsi="Verdana" w:cs="Arial"/>
          <w:lang w:val="es-ES" w:eastAsia="es-ES"/>
        </w:rPr>
        <w:t xml:space="preserve">Nariño </w:t>
      </w:r>
    </w:p>
    <w:p w14:paraId="7B8F23F5" w14:textId="77777777" w:rsidR="00ED11A5" w:rsidRPr="00593A5F" w:rsidRDefault="00ED11A5" w:rsidP="00ED11A5">
      <w:pPr>
        <w:spacing w:after="0" w:line="240" w:lineRule="auto"/>
        <w:rPr>
          <w:rFonts w:ascii="Verdana" w:eastAsia="Calibri" w:hAnsi="Verdana" w:cs="Arial"/>
          <w:b/>
          <w:bCs/>
          <w:color w:val="000000"/>
          <w:lang w:val="es-ES_tradnl" w:eastAsia="es-ES_tradnl"/>
        </w:rPr>
      </w:pPr>
    </w:p>
    <w:p w14:paraId="3D63667D" w14:textId="77777777" w:rsidR="00ED11A5" w:rsidRPr="00593A5F" w:rsidRDefault="00ED11A5" w:rsidP="00ED11A5">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ED11A5" w:rsidRPr="00593A5F" w14:paraId="353285C0" w14:textId="77777777" w:rsidTr="00644A5F">
        <w:trPr>
          <w:trHeight w:val="884"/>
        </w:trPr>
        <w:tc>
          <w:tcPr>
            <w:tcW w:w="2689" w:type="dxa"/>
          </w:tcPr>
          <w:p w14:paraId="295FA63F" w14:textId="77777777" w:rsidR="00ED11A5" w:rsidRPr="00C00976" w:rsidRDefault="00ED11A5" w:rsidP="00644A5F">
            <w:pPr>
              <w:jc w:val="both"/>
              <w:rPr>
                <w:rFonts w:ascii="Verdana" w:eastAsia="Calibri" w:hAnsi="Verdana" w:cs="Arial"/>
                <w:b/>
                <w:bCs/>
                <w:color w:val="7030A0"/>
                <w:lang w:val="es-ES_tradnl" w:eastAsia="es-ES_tradnl"/>
              </w:rPr>
            </w:pPr>
          </w:p>
        </w:tc>
        <w:tc>
          <w:tcPr>
            <w:tcW w:w="6100" w:type="dxa"/>
          </w:tcPr>
          <w:p w14:paraId="55799ABF" w14:textId="77777777" w:rsidR="00ED11A5" w:rsidRPr="00C00976" w:rsidRDefault="00ED11A5" w:rsidP="00644A5F">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 xml:space="preserve">Concepto C – </w:t>
            </w:r>
            <w:r>
              <w:rPr>
                <w:rFonts w:ascii="Verdana" w:eastAsia="Calibri" w:hAnsi="Verdana" w:cs="Arial"/>
                <w:b/>
                <w:bCs/>
                <w:lang w:val="es-ES" w:eastAsia="es-ES"/>
              </w:rPr>
              <w:t xml:space="preserve">1049 </w:t>
            </w:r>
            <w:r w:rsidRPr="008E6AD9">
              <w:rPr>
                <w:rFonts w:ascii="Verdana" w:eastAsia="Calibri" w:hAnsi="Verdana" w:cs="Arial"/>
                <w:b/>
                <w:bCs/>
                <w:lang w:val="es-ES" w:eastAsia="es-ES"/>
              </w:rPr>
              <w:t>de 202</w:t>
            </w:r>
            <w:r>
              <w:rPr>
                <w:rFonts w:ascii="Verdana" w:eastAsia="Calibri" w:hAnsi="Verdana" w:cs="Arial"/>
                <w:b/>
                <w:bCs/>
                <w:lang w:val="es-ES" w:eastAsia="es-ES"/>
              </w:rPr>
              <w:t>6</w:t>
            </w:r>
          </w:p>
        </w:tc>
      </w:tr>
      <w:tr w:rsidR="00ED11A5" w:rsidRPr="00593A5F" w14:paraId="764EDF9E" w14:textId="77777777" w:rsidTr="00644A5F">
        <w:trPr>
          <w:trHeight w:val="884"/>
        </w:trPr>
        <w:tc>
          <w:tcPr>
            <w:tcW w:w="2689" w:type="dxa"/>
          </w:tcPr>
          <w:p w14:paraId="6E41F3F5" w14:textId="77777777" w:rsidR="00ED11A5" w:rsidRPr="00593A5F" w:rsidRDefault="00ED11A5" w:rsidP="00644A5F">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7338FCB4" w14:textId="77777777" w:rsidR="00ED11A5" w:rsidRPr="00A11406" w:rsidRDefault="00ED11A5" w:rsidP="00644A5F">
            <w:pPr>
              <w:spacing w:line="276" w:lineRule="auto"/>
              <w:jc w:val="both"/>
              <w:rPr>
                <w:rFonts w:ascii="Verdana" w:eastAsia="Calibri" w:hAnsi="Verdana" w:cs="Arial"/>
                <w:lang w:val="es-ES" w:eastAsia="es-ES"/>
              </w:rPr>
            </w:pPr>
            <w:r w:rsidRPr="00082CE7">
              <w:rPr>
                <w:rFonts w:ascii="Verdana" w:eastAsia="Calibri" w:hAnsi="Verdana" w:cs="Arial"/>
                <w:lang w:val="es-ES" w:eastAsia="es-ES"/>
              </w:rPr>
              <w:t>SUSPENSIÓN DE CONTRATO – Causas – Efectos</w:t>
            </w:r>
            <w:r>
              <w:rPr>
                <w:rFonts w:ascii="Verdana" w:eastAsia="Calibri" w:hAnsi="Verdana" w:cs="Arial"/>
                <w:lang w:val="es-ES" w:eastAsia="es-ES"/>
              </w:rPr>
              <w:t xml:space="preserve"> / </w:t>
            </w:r>
            <w:r w:rsidRPr="00082CE7">
              <w:rPr>
                <w:rFonts w:ascii="Verdana" w:eastAsia="Calibri" w:hAnsi="Verdana" w:cs="Arial"/>
                <w:lang w:val="es-ES" w:eastAsia="es-ES"/>
              </w:rPr>
              <w:t>LIQUIDACIÓN – Terminación del contrato</w:t>
            </w:r>
            <w:r>
              <w:rPr>
                <w:rFonts w:ascii="Verdana" w:eastAsia="Calibri" w:hAnsi="Verdana" w:cs="Arial"/>
                <w:lang w:val="es-ES" w:eastAsia="es-ES"/>
              </w:rPr>
              <w:t xml:space="preserve"> / </w:t>
            </w:r>
            <w:r w:rsidRPr="00082CE7">
              <w:rPr>
                <w:rFonts w:ascii="Verdana" w:eastAsia="Calibri" w:hAnsi="Verdana" w:cs="Arial"/>
                <w:lang w:val="es-ES" w:eastAsia="es-ES"/>
              </w:rPr>
              <w:t xml:space="preserve">APROBACIÓN DE LA GARANTÍA – Suspensión – Actualización de coberturas </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6C438B96" w14:textId="77777777" w:rsidR="00ED11A5" w:rsidRPr="00593A5F" w:rsidRDefault="00ED11A5" w:rsidP="00644A5F">
            <w:pPr>
              <w:spacing w:line="276" w:lineRule="auto"/>
              <w:jc w:val="both"/>
              <w:rPr>
                <w:rFonts w:ascii="Verdana" w:eastAsia="Calibri" w:hAnsi="Verdana" w:cs="Arial"/>
                <w:lang w:val="es-ES" w:eastAsia="es-ES"/>
              </w:rPr>
            </w:pPr>
            <w:r w:rsidRPr="00A11406">
              <w:rPr>
                <w:rFonts w:ascii="Verdana" w:eastAsia="Calibri" w:hAnsi="Verdana" w:cs="Arial"/>
                <w:lang w:val="es-ES" w:eastAsia="es-ES"/>
              </w:rPr>
              <w:t xml:space="preserve"> </w:t>
            </w:r>
            <w:r w:rsidRPr="00D1484F">
              <w:rPr>
                <w:rFonts w:ascii="Verdana" w:eastAsia="Calibri" w:hAnsi="Verdana" w:cs="Arial"/>
                <w:lang w:val="es-ES" w:eastAsia="es-ES"/>
              </w:rPr>
              <w:t xml:space="preserve"> </w:t>
            </w:r>
          </w:p>
        </w:tc>
      </w:tr>
      <w:tr w:rsidR="00ED11A5" w:rsidRPr="008E6AD9" w14:paraId="710D6F46" w14:textId="77777777" w:rsidTr="00644A5F">
        <w:tc>
          <w:tcPr>
            <w:tcW w:w="2689" w:type="dxa"/>
          </w:tcPr>
          <w:p w14:paraId="4AE5A06A" w14:textId="77777777" w:rsidR="00ED11A5" w:rsidRPr="008E6AD9" w:rsidRDefault="00ED11A5" w:rsidP="00644A5F">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6647F1A0" w14:textId="77777777" w:rsidR="00ED11A5" w:rsidRPr="00B92340" w:rsidRDefault="00ED11A5" w:rsidP="00644A5F">
            <w:pPr>
              <w:spacing w:line="276" w:lineRule="auto"/>
              <w:jc w:val="both"/>
              <w:rPr>
                <w:rFonts w:ascii="Verdana" w:eastAsia="Calibri" w:hAnsi="Verdana" w:cs="Arial"/>
                <w:lang w:val="es-ES_tradnl" w:eastAsia="es-ES_tradnl"/>
              </w:rPr>
            </w:pPr>
            <w:r w:rsidRPr="008E6AD9">
              <w:rPr>
                <w:rFonts w:ascii="Verdana" w:eastAsia="Calibri" w:hAnsi="Verdana" w:cs="Arial"/>
                <w:lang w:val="es-ES_tradnl" w:eastAsia="es-ES_tradnl"/>
              </w:rPr>
              <w:t xml:space="preserve">Respuesta a </w:t>
            </w:r>
            <w:r>
              <w:rPr>
                <w:rFonts w:ascii="Verdana" w:eastAsia="Calibri" w:hAnsi="Verdana" w:cs="Arial"/>
                <w:lang w:val="es-ES_tradnl" w:eastAsia="es-ES_tradnl"/>
              </w:rPr>
              <w:t xml:space="preserve">la </w:t>
            </w:r>
            <w:r w:rsidRPr="008E6AD9">
              <w:rPr>
                <w:rFonts w:ascii="Verdana" w:eastAsia="Calibri" w:hAnsi="Verdana" w:cs="Arial"/>
                <w:lang w:val="es-ES_tradnl" w:eastAsia="es-ES_tradnl"/>
              </w:rPr>
              <w:t>consulta con radicado No.</w:t>
            </w:r>
            <w:r>
              <w:rPr>
                <w:rFonts w:ascii="Verdana" w:eastAsia="Calibri" w:hAnsi="Verdana" w:cs="Arial"/>
                <w:lang w:val="es-ES_tradnl" w:eastAsia="es-ES_tradnl"/>
              </w:rPr>
              <w:t xml:space="preserve"> </w:t>
            </w:r>
            <w:r w:rsidRPr="00543A69">
              <w:rPr>
                <w:rFonts w:ascii="Verdana" w:eastAsia="Calibri" w:hAnsi="Verdana" w:cs="Arial"/>
                <w:lang w:val="es-ES_tradnl" w:eastAsia="es-ES_tradnl"/>
              </w:rPr>
              <w:t>1_2026_06_26_008630</w:t>
            </w:r>
            <w:r w:rsidRPr="008E6AD9">
              <w:rPr>
                <w:rFonts w:ascii="Verdana" w:eastAsia="Calibri" w:hAnsi="Verdana" w:cs="Arial"/>
                <w:lang w:val="es-ES_tradnl" w:eastAsia="es-ES_tradnl"/>
              </w:rPr>
              <w:t xml:space="preserve"> </w:t>
            </w:r>
            <w:r>
              <w:rPr>
                <w:rFonts w:ascii="Verdana" w:eastAsia="Calibri" w:hAnsi="Verdana" w:cs="Arial"/>
                <w:lang w:val="es-ES_tradnl" w:eastAsia="es-ES_tradnl"/>
              </w:rPr>
              <w:t xml:space="preserve">                                   </w:t>
            </w:r>
          </w:p>
        </w:tc>
      </w:tr>
    </w:tbl>
    <w:p w14:paraId="2B72BCB4" w14:textId="77777777" w:rsidR="00ED11A5" w:rsidRPr="00593A5F" w:rsidRDefault="00ED11A5" w:rsidP="00ED11A5">
      <w:pPr>
        <w:spacing w:after="0" w:line="240" w:lineRule="auto"/>
        <w:jc w:val="both"/>
        <w:rPr>
          <w:rFonts w:ascii="Verdana" w:eastAsia="Calibri" w:hAnsi="Verdana" w:cs="Arial"/>
          <w:color w:val="000000"/>
          <w:lang w:val="es-ES_tradnl" w:eastAsia="es-ES_tradnl"/>
        </w:rPr>
      </w:pPr>
    </w:p>
    <w:p w14:paraId="6BBE0AFF" w14:textId="77777777" w:rsidR="00ED11A5" w:rsidRPr="00593A5F" w:rsidRDefault="00ED11A5" w:rsidP="00ED11A5">
      <w:pPr>
        <w:spacing w:after="0" w:line="240" w:lineRule="auto"/>
        <w:jc w:val="both"/>
        <w:rPr>
          <w:rFonts w:ascii="Verdana" w:eastAsia="Calibri" w:hAnsi="Verdana" w:cs="Arial"/>
          <w:color w:val="000000"/>
          <w:lang w:val="es-ES_tradnl" w:eastAsia="es-ES_tradnl"/>
        </w:rPr>
      </w:pPr>
    </w:p>
    <w:p w14:paraId="74B8CF05" w14:textId="77777777" w:rsidR="00ED11A5" w:rsidRPr="008E6AD9" w:rsidRDefault="00ED11A5" w:rsidP="00ED11A5">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a</w:t>
      </w:r>
      <w:r w:rsidRPr="008E6AD9">
        <w:rPr>
          <w:rFonts w:ascii="Verdana" w:eastAsia="Calibri" w:hAnsi="Verdana" w:cs="Arial"/>
          <w:lang w:val="es-ES" w:eastAsia="es-ES"/>
        </w:rPr>
        <w:t xml:space="preserve"> </w:t>
      </w:r>
      <w:r>
        <w:rPr>
          <w:rFonts w:ascii="Verdana" w:eastAsia="Calibri" w:hAnsi="Verdana" w:cs="Arial"/>
          <w:lang w:val="es-ES" w:eastAsia="es-ES"/>
        </w:rPr>
        <w:t xml:space="preserve">señora </w:t>
      </w:r>
      <w:r w:rsidRPr="00F42B76">
        <w:rPr>
          <w:rFonts w:ascii="Verdana" w:eastAsia="Calibri" w:hAnsi="Verdana" w:cs="Arial"/>
          <w:lang w:val="es-ES" w:eastAsia="es-ES"/>
        </w:rPr>
        <w:t>Escobar Guzmán</w:t>
      </w:r>
      <w:r w:rsidRPr="008E6AD9">
        <w:rPr>
          <w:rFonts w:ascii="Verdana" w:eastAsia="Calibri" w:hAnsi="Verdana" w:cs="Arial"/>
          <w:lang w:val="es-ES" w:eastAsia="es-ES"/>
        </w:rPr>
        <w:t xml:space="preserve">: </w:t>
      </w:r>
    </w:p>
    <w:p w14:paraId="70EAF2B7" w14:textId="77777777" w:rsidR="00ED11A5" w:rsidRDefault="00ED11A5" w:rsidP="00ED11A5">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006E5916" w14:textId="77777777" w:rsidR="00ED11A5" w:rsidRDefault="00ED11A5" w:rsidP="00ED11A5">
      <w:pPr>
        <w:spacing w:after="0" w:line="276" w:lineRule="auto"/>
        <w:jc w:val="both"/>
        <w:rPr>
          <w:rFonts w:ascii="Verdana" w:eastAsia="Calibri" w:hAnsi="Verdana" w:cs="Arial"/>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3B6F24">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la Agencia Nacional de Contratación Pública – Colombia Compra Eficiente responde su solicitud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fecha</w:t>
      </w:r>
      <w:r>
        <w:rPr>
          <w:rFonts w:ascii="Verdana" w:eastAsia="Calibri" w:hAnsi="Verdana" w:cs="Arial"/>
          <w:lang w:val="es-ES" w:eastAsia="es-ES"/>
        </w:rPr>
        <w:t xml:space="preserve"> 26 de junio de 2026, donde –de forma particular y concreta– expone que:</w:t>
      </w:r>
    </w:p>
    <w:p w14:paraId="245C452F" w14:textId="77777777" w:rsidR="00ED11A5" w:rsidRDefault="00ED11A5" w:rsidP="00ED11A5">
      <w:pPr>
        <w:spacing w:after="0" w:line="276" w:lineRule="auto"/>
        <w:jc w:val="both"/>
        <w:rPr>
          <w:rFonts w:ascii="Verdana" w:eastAsia="Calibri" w:hAnsi="Verdana" w:cs="Arial"/>
          <w:lang w:val="es-ES" w:eastAsia="es-ES"/>
        </w:rPr>
      </w:pPr>
    </w:p>
    <w:p w14:paraId="02D6EBA7" w14:textId="77777777" w:rsidR="00ED11A5" w:rsidRPr="00B77FB3" w:rsidRDefault="00ED11A5" w:rsidP="00ED11A5">
      <w:pPr>
        <w:spacing w:after="120" w:line="240" w:lineRule="auto"/>
        <w:ind w:left="709" w:right="709"/>
        <w:jc w:val="both"/>
        <w:rPr>
          <w:rFonts w:ascii="Verdana" w:eastAsia="Calibri" w:hAnsi="Verdana" w:cs="Arial"/>
          <w:sz w:val="20"/>
          <w:szCs w:val="20"/>
          <w:lang w:val="es-ES" w:eastAsia="es-ES"/>
        </w:rPr>
      </w:pPr>
      <w:r w:rsidRPr="00B77FB3">
        <w:rPr>
          <w:rFonts w:ascii="Verdana" w:eastAsia="Calibri" w:hAnsi="Verdana" w:cs="Arial"/>
          <w:sz w:val="20"/>
          <w:szCs w:val="20"/>
          <w:lang w:val="es-ES" w:eastAsia="es-ES"/>
        </w:rPr>
        <w:t xml:space="preserve">“Por medio del presente escrito se solicita de manera respetuosa concepto jurídico sobre la situación que se expone a continuación, en relación con el contrato interadministrativo GN3406-2023 suscrito entre la Gobernación de Nariño y ETICNAR, cuyo objeto es </w:t>
      </w:r>
      <w:r>
        <w:rPr>
          <w:rFonts w:ascii="Verdana" w:eastAsia="Calibri" w:hAnsi="Verdana" w:cs="Arial"/>
          <w:sz w:val="20"/>
          <w:szCs w:val="20"/>
          <w:lang w:val="es-ES" w:eastAsia="es-ES"/>
        </w:rPr>
        <w:t>‘</w:t>
      </w:r>
      <w:r w:rsidRPr="00B77FB3">
        <w:rPr>
          <w:rFonts w:ascii="Verdana" w:eastAsia="Calibri" w:hAnsi="Verdana" w:cs="Arial"/>
          <w:sz w:val="20"/>
          <w:szCs w:val="20"/>
          <w:lang w:val="es-ES" w:eastAsia="es-ES"/>
        </w:rPr>
        <w:t>La Empresa de Tecnología, Imprenta y Comunicaciones de Nariño - ETICNAR se compromete a prestar el servicio de mantenimiento y parametrización del sistema de control de acceso en el edificio central de la Gobernación de Nariño, de acuerdo con las características técnicas establecidas en la propuesta</w:t>
      </w:r>
      <w:r>
        <w:rPr>
          <w:rFonts w:ascii="Verdana" w:eastAsia="Calibri" w:hAnsi="Verdana" w:cs="Arial"/>
          <w:sz w:val="20"/>
          <w:szCs w:val="20"/>
          <w:lang w:val="es-ES" w:eastAsia="es-ES"/>
        </w:rPr>
        <w:t>’</w:t>
      </w:r>
      <w:r w:rsidRPr="00B77FB3">
        <w:rPr>
          <w:rFonts w:ascii="Verdana" w:eastAsia="Calibri" w:hAnsi="Verdana" w:cs="Arial"/>
          <w:sz w:val="20"/>
          <w:szCs w:val="20"/>
          <w:lang w:val="es-ES" w:eastAsia="es-ES"/>
        </w:rPr>
        <w:t>.</w:t>
      </w:r>
    </w:p>
    <w:p w14:paraId="0A1B20E7" w14:textId="77777777" w:rsidR="00ED11A5" w:rsidRPr="00B77FB3" w:rsidRDefault="00ED11A5" w:rsidP="00ED11A5">
      <w:pPr>
        <w:spacing w:after="120" w:line="240" w:lineRule="auto"/>
        <w:ind w:left="709" w:right="709"/>
        <w:jc w:val="both"/>
        <w:rPr>
          <w:rFonts w:ascii="Verdana" w:eastAsia="Calibri" w:hAnsi="Verdana" w:cs="Arial"/>
          <w:b/>
          <w:bCs/>
          <w:sz w:val="20"/>
          <w:szCs w:val="20"/>
          <w:lang w:val="es-ES" w:eastAsia="es-ES"/>
        </w:rPr>
      </w:pPr>
      <w:r w:rsidRPr="00B77FB3">
        <w:rPr>
          <w:rFonts w:ascii="Verdana" w:eastAsia="Calibri" w:hAnsi="Verdana" w:cs="Arial"/>
          <w:b/>
          <w:bCs/>
          <w:sz w:val="20"/>
          <w:szCs w:val="20"/>
          <w:lang w:val="es-ES" w:eastAsia="es-ES"/>
        </w:rPr>
        <w:lastRenderedPageBreak/>
        <w:t>1. Hechos relevantes</w:t>
      </w:r>
    </w:p>
    <w:p w14:paraId="4DC9F4BB" w14:textId="77777777" w:rsidR="00ED11A5" w:rsidRPr="00B77FB3" w:rsidRDefault="00ED11A5" w:rsidP="00ED11A5">
      <w:pPr>
        <w:spacing w:after="120" w:line="240" w:lineRule="auto"/>
        <w:ind w:left="709" w:right="709"/>
        <w:jc w:val="both"/>
        <w:rPr>
          <w:rFonts w:ascii="Verdana" w:eastAsia="Calibri" w:hAnsi="Verdana" w:cs="Arial"/>
          <w:sz w:val="20"/>
          <w:szCs w:val="20"/>
          <w:lang w:val="es-ES" w:eastAsia="es-ES"/>
        </w:rPr>
      </w:pPr>
      <w:r w:rsidRPr="00B77FB3">
        <w:rPr>
          <w:rFonts w:ascii="Verdana" w:eastAsia="Calibri" w:hAnsi="Verdana" w:cs="Arial"/>
          <w:sz w:val="20"/>
          <w:szCs w:val="20"/>
          <w:lang w:val="es-ES" w:eastAsia="es-ES"/>
        </w:rPr>
        <w:t>1</w:t>
      </w:r>
      <w:r>
        <w:rPr>
          <w:rFonts w:ascii="Verdana" w:eastAsia="Calibri" w:hAnsi="Verdana" w:cs="Arial"/>
          <w:sz w:val="20"/>
          <w:szCs w:val="20"/>
          <w:lang w:val="es-ES" w:eastAsia="es-ES"/>
        </w:rPr>
        <w:t xml:space="preserve">. </w:t>
      </w:r>
      <w:r w:rsidRPr="00B77FB3">
        <w:rPr>
          <w:rFonts w:ascii="Verdana" w:eastAsia="Calibri" w:hAnsi="Verdana" w:cs="Arial"/>
          <w:sz w:val="20"/>
          <w:szCs w:val="20"/>
          <w:lang w:val="es-ES" w:eastAsia="es-ES"/>
        </w:rPr>
        <w:t>El contrato interadministrativo antes referido inició el 1 de agosto de 2023 y tenía como fecha de finalización el 31 de diciembre de 2023.</w:t>
      </w:r>
    </w:p>
    <w:p w14:paraId="57BE829A" w14:textId="77777777" w:rsidR="00ED11A5" w:rsidRPr="00B77FB3" w:rsidRDefault="00ED11A5" w:rsidP="00ED11A5">
      <w:pPr>
        <w:spacing w:after="120" w:line="240" w:lineRule="auto"/>
        <w:ind w:left="709" w:right="709"/>
        <w:jc w:val="both"/>
        <w:rPr>
          <w:rFonts w:ascii="Verdana" w:eastAsia="Calibri" w:hAnsi="Verdana" w:cs="Arial"/>
          <w:sz w:val="20"/>
          <w:szCs w:val="20"/>
          <w:lang w:val="es-ES" w:eastAsia="es-ES"/>
        </w:rPr>
      </w:pPr>
      <w:r w:rsidRPr="00B77FB3">
        <w:rPr>
          <w:rFonts w:ascii="Verdana" w:eastAsia="Calibri" w:hAnsi="Verdana" w:cs="Arial"/>
          <w:sz w:val="20"/>
          <w:szCs w:val="20"/>
          <w:lang w:val="es-ES" w:eastAsia="es-ES"/>
        </w:rPr>
        <w:t>2. El 29 de diciembre de 2023 se suscribió y publicó en SECOP II un acta de suspensión del contrato.</w:t>
      </w:r>
    </w:p>
    <w:p w14:paraId="42A52AA2" w14:textId="77777777" w:rsidR="00ED11A5" w:rsidRPr="00B77FB3" w:rsidRDefault="00ED11A5" w:rsidP="00ED11A5">
      <w:pPr>
        <w:spacing w:after="120" w:line="240" w:lineRule="auto"/>
        <w:ind w:left="709" w:right="709"/>
        <w:jc w:val="both"/>
        <w:rPr>
          <w:rFonts w:ascii="Verdana" w:eastAsia="Calibri" w:hAnsi="Verdana" w:cs="Arial"/>
          <w:sz w:val="20"/>
          <w:szCs w:val="20"/>
          <w:lang w:val="es-ES" w:eastAsia="es-ES"/>
        </w:rPr>
      </w:pPr>
      <w:r w:rsidRPr="00B77FB3">
        <w:rPr>
          <w:rFonts w:ascii="Verdana" w:eastAsia="Calibri" w:hAnsi="Verdana" w:cs="Arial"/>
          <w:sz w:val="20"/>
          <w:szCs w:val="20"/>
          <w:lang w:val="es-ES" w:eastAsia="es-ES"/>
        </w:rPr>
        <w:t>3. Antes de la suspensión se ejecutaron actividades propias del objeto contractual, por lo cual existe prestación efectiva del servicio.</w:t>
      </w:r>
    </w:p>
    <w:p w14:paraId="556156C7" w14:textId="77777777" w:rsidR="00ED11A5" w:rsidRPr="00B77FB3" w:rsidRDefault="00ED11A5" w:rsidP="00ED11A5">
      <w:pPr>
        <w:spacing w:after="120" w:line="240" w:lineRule="auto"/>
        <w:ind w:left="709" w:right="709"/>
        <w:jc w:val="both"/>
        <w:rPr>
          <w:rFonts w:ascii="Verdana" w:eastAsia="Calibri" w:hAnsi="Verdana" w:cs="Arial"/>
          <w:sz w:val="20"/>
          <w:szCs w:val="20"/>
          <w:lang w:val="es-ES" w:eastAsia="es-ES"/>
        </w:rPr>
      </w:pPr>
      <w:r w:rsidRPr="00B77FB3">
        <w:rPr>
          <w:rFonts w:ascii="Verdana" w:eastAsia="Calibri" w:hAnsi="Verdana" w:cs="Arial"/>
          <w:sz w:val="20"/>
          <w:szCs w:val="20"/>
          <w:lang w:val="es-ES" w:eastAsia="es-ES"/>
        </w:rPr>
        <w:t>4. Por error del contratista, la suspensión no fue informada oportunamente a la aseguradora para la actualización de las garantías.</w:t>
      </w:r>
    </w:p>
    <w:p w14:paraId="124AE68A" w14:textId="77777777" w:rsidR="00ED11A5" w:rsidRPr="00B77FB3" w:rsidRDefault="00ED11A5" w:rsidP="00ED11A5">
      <w:pPr>
        <w:spacing w:after="120" w:line="240" w:lineRule="auto"/>
        <w:ind w:left="709" w:right="709"/>
        <w:jc w:val="both"/>
        <w:rPr>
          <w:rFonts w:ascii="Verdana" w:eastAsia="Calibri" w:hAnsi="Verdana" w:cs="Arial"/>
          <w:sz w:val="20"/>
          <w:szCs w:val="20"/>
          <w:lang w:val="es-ES" w:eastAsia="es-ES"/>
        </w:rPr>
      </w:pPr>
      <w:r w:rsidRPr="00B77FB3">
        <w:rPr>
          <w:rFonts w:ascii="Verdana" w:eastAsia="Calibri" w:hAnsi="Verdana" w:cs="Arial"/>
          <w:sz w:val="20"/>
          <w:szCs w:val="20"/>
          <w:lang w:val="es-ES" w:eastAsia="es-ES"/>
        </w:rPr>
        <w:t>5. Posteriormente se solicitó la expedición de una nueva póliza o la reactivación de las garantías, pero la aseguradora negó expresamente dicha posibilidad dado que las mismas se encontraban vencidas</w:t>
      </w:r>
    </w:p>
    <w:p w14:paraId="5E7AF23B" w14:textId="77777777" w:rsidR="00ED11A5" w:rsidRPr="00B77FB3" w:rsidRDefault="00ED11A5" w:rsidP="00ED11A5">
      <w:pPr>
        <w:spacing w:after="120" w:line="240" w:lineRule="auto"/>
        <w:ind w:left="709" w:right="709"/>
        <w:jc w:val="both"/>
        <w:rPr>
          <w:rFonts w:ascii="Verdana" w:eastAsia="Calibri" w:hAnsi="Verdana" w:cs="Arial"/>
          <w:sz w:val="20"/>
          <w:szCs w:val="20"/>
          <w:lang w:val="es-ES" w:eastAsia="es-ES"/>
        </w:rPr>
      </w:pPr>
      <w:r w:rsidRPr="00B77FB3">
        <w:rPr>
          <w:rFonts w:ascii="Verdana" w:eastAsia="Calibri" w:hAnsi="Verdana" w:cs="Arial"/>
          <w:sz w:val="20"/>
          <w:szCs w:val="20"/>
          <w:lang w:val="es-ES" w:eastAsia="es-ES"/>
        </w:rPr>
        <w:t>6. En la actualidad se presenta una dificultad práctica y jurídica para reiniciar el contrato y para avanzar en su liquidación, pues se ha sostenido que mientras el contrato continúe en estado de suspensión no puede liquidarse ni reconocerse el pago de las actividades ejecutadas.</w:t>
      </w:r>
    </w:p>
    <w:p w14:paraId="2DABA0D2" w14:textId="77777777" w:rsidR="00ED11A5" w:rsidRDefault="00ED11A5" w:rsidP="00ED11A5">
      <w:pPr>
        <w:spacing w:after="0" w:line="240" w:lineRule="auto"/>
        <w:ind w:left="709" w:right="709"/>
        <w:jc w:val="both"/>
        <w:rPr>
          <w:rFonts w:ascii="Verdana" w:eastAsia="Calibri" w:hAnsi="Verdana" w:cs="Arial"/>
          <w:lang w:val="es-ES" w:eastAsia="es-ES"/>
        </w:rPr>
      </w:pPr>
      <w:r w:rsidRPr="00B77FB3">
        <w:rPr>
          <w:rFonts w:ascii="Verdana" w:eastAsia="Calibri" w:hAnsi="Verdana" w:cs="Arial"/>
          <w:sz w:val="20"/>
          <w:szCs w:val="20"/>
          <w:lang w:val="es-ES" w:eastAsia="es-ES"/>
        </w:rPr>
        <w:t>7. Adicionalmente, si se parte de la hipótesis de que el contrato habría debido ejecutarse hasta el 31 de diciembre de 2023, se advierte que la entidad se encuentra próxima a perder competencia temporal para liquidarlo, lo que hace aún más urgente definir la ruta jurídica procedente”.</w:t>
      </w:r>
    </w:p>
    <w:p w14:paraId="2C455488" w14:textId="77777777" w:rsidR="00ED11A5" w:rsidRDefault="00ED11A5" w:rsidP="00ED11A5">
      <w:pPr>
        <w:spacing w:after="0" w:line="276" w:lineRule="auto"/>
        <w:jc w:val="both"/>
        <w:rPr>
          <w:rFonts w:ascii="Verdana" w:eastAsia="Calibri" w:hAnsi="Verdana" w:cs="Arial"/>
          <w:lang w:val="es-ES" w:eastAsia="es-ES"/>
        </w:rPr>
      </w:pPr>
    </w:p>
    <w:p w14:paraId="7AC8C0BE" w14:textId="77777777" w:rsidR="00ED11A5" w:rsidRPr="006869A9" w:rsidRDefault="00ED11A5" w:rsidP="00ED11A5">
      <w:pPr>
        <w:spacing w:after="0" w:line="276" w:lineRule="auto"/>
        <w:ind w:firstLine="709"/>
        <w:jc w:val="both"/>
        <w:rPr>
          <w:rFonts w:ascii="Verdana" w:eastAsia="Calibri" w:hAnsi="Verdana" w:cs="Arial"/>
          <w:lang w:val="es-ES" w:eastAsia="es-ES"/>
        </w:rPr>
      </w:pPr>
      <w:r>
        <w:rPr>
          <w:rFonts w:ascii="Verdana" w:eastAsia="Calibri" w:hAnsi="Verdana" w:cs="Arial"/>
          <w:lang w:val="es-ES" w:eastAsia="es-ES"/>
        </w:rPr>
        <w:t>Por tanto, solicita conceptuar sobre los siguientes aspectos</w:t>
      </w:r>
      <w:r w:rsidRPr="008E6AD9">
        <w:rPr>
          <w:rFonts w:ascii="Verdana" w:eastAsia="Calibri" w:hAnsi="Verdana" w:cs="Arial"/>
          <w:lang w:val="es-ES" w:eastAsia="es-ES"/>
        </w:rPr>
        <w:t xml:space="preserve">: </w:t>
      </w:r>
    </w:p>
    <w:p w14:paraId="029722FA" w14:textId="77777777" w:rsidR="00ED11A5" w:rsidRPr="00272A7B" w:rsidRDefault="00ED11A5" w:rsidP="00ED11A5">
      <w:pPr>
        <w:pStyle w:val="Prrafodelista"/>
        <w:tabs>
          <w:tab w:val="left" w:pos="142"/>
          <w:tab w:val="left" w:pos="284"/>
        </w:tabs>
        <w:spacing w:after="0" w:line="276" w:lineRule="auto"/>
        <w:ind w:left="0"/>
        <w:jc w:val="both"/>
        <w:rPr>
          <w:rFonts w:ascii="Verdana" w:eastAsia="Century Gothic" w:hAnsi="Verdana" w:cs="Century Gothic"/>
          <w:b/>
          <w:bCs/>
        </w:rPr>
      </w:pPr>
    </w:p>
    <w:p w14:paraId="7B257E26" w14:textId="77777777" w:rsidR="00ED11A5" w:rsidRDefault="00ED11A5" w:rsidP="00ED11A5">
      <w:pPr>
        <w:spacing w:after="120" w:line="240" w:lineRule="auto"/>
        <w:ind w:left="709" w:right="709"/>
        <w:jc w:val="both"/>
        <w:rPr>
          <w:rFonts w:ascii="Verdana" w:eastAsia="Century Gothic" w:hAnsi="Verdana" w:cs="Century Gothic"/>
          <w:sz w:val="20"/>
          <w:szCs w:val="20"/>
          <w:lang w:val="es-ES"/>
        </w:rPr>
      </w:pPr>
      <w:bookmarkStart w:id="0" w:name="_Hlk95313578"/>
      <w:r w:rsidRPr="001904AF">
        <w:rPr>
          <w:rFonts w:ascii="Verdana" w:eastAsia="Century Gothic" w:hAnsi="Verdana" w:cs="Century Gothic"/>
          <w:sz w:val="20"/>
          <w:szCs w:val="20"/>
          <w:lang w:val="es-ES"/>
        </w:rPr>
        <w:t>“</w:t>
      </w:r>
      <w:bookmarkEnd w:id="0"/>
      <w:r w:rsidRPr="00F42B76">
        <w:rPr>
          <w:rFonts w:ascii="Verdana" w:eastAsia="Century Gothic" w:hAnsi="Verdana" w:cs="Century Gothic"/>
          <w:sz w:val="20"/>
          <w:szCs w:val="20"/>
          <w:lang w:val="es-ES"/>
        </w:rPr>
        <w:t xml:space="preserve">1. En un contrato interadministrativo suscrito entre la Gobernación de Nariño y ETICNAR, suspendido en SECOP II el 29 de diciembre de 2023, cuyo plazo inicial iba hasta el 31 de diciembre de 2023, ¿puede la entidad estatal proceder a su terminación y liquidación cuando no fue posible reactivar o expedir nuevas garantías por negativa expresa de la aseguradora? </w:t>
      </w:r>
    </w:p>
    <w:p w14:paraId="686573E3" w14:textId="77777777" w:rsidR="00ED11A5" w:rsidRPr="00F42B76" w:rsidRDefault="00ED11A5" w:rsidP="00ED11A5">
      <w:pPr>
        <w:spacing w:after="120" w:line="240" w:lineRule="auto"/>
        <w:ind w:left="709" w:right="709"/>
        <w:jc w:val="both"/>
        <w:rPr>
          <w:rFonts w:ascii="Verdana" w:eastAsia="Century Gothic" w:hAnsi="Verdana" w:cs="Century Gothic"/>
          <w:sz w:val="20"/>
          <w:szCs w:val="20"/>
          <w:lang w:val="es-ES"/>
        </w:rPr>
      </w:pPr>
      <w:r w:rsidRPr="00F42B76">
        <w:rPr>
          <w:rFonts w:ascii="Verdana" w:eastAsia="Century Gothic" w:hAnsi="Verdana" w:cs="Century Gothic"/>
          <w:sz w:val="20"/>
          <w:szCs w:val="20"/>
          <w:lang w:val="es-ES"/>
        </w:rPr>
        <w:t>2. ¿La permanencia del contrato en estado de suspensión dentro de SECOP II impide jurídicamente su liquidación, o la entidad debe adoptar un acto de definición contractual que permita su cierre?</w:t>
      </w:r>
    </w:p>
    <w:p w14:paraId="171BB471" w14:textId="77777777" w:rsidR="00ED11A5" w:rsidRPr="00F42B76" w:rsidRDefault="00ED11A5" w:rsidP="00ED11A5">
      <w:pPr>
        <w:spacing w:after="120" w:line="240" w:lineRule="auto"/>
        <w:ind w:left="709" w:right="709"/>
        <w:jc w:val="both"/>
        <w:rPr>
          <w:rFonts w:ascii="Verdana" w:eastAsia="Century Gothic" w:hAnsi="Verdana" w:cs="Century Gothic"/>
          <w:sz w:val="20"/>
          <w:szCs w:val="20"/>
          <w:lang w:val="es-ES"/>
        </w:rPr>
      </w:pPr>
      <w:r w:rsidRPr="00F42B76">
        <w:rPr>
          <w:rFonts w:ascii="Verdana" w:eastAsia="Century Gothic" w:hAnsi="Verdana" w:cs="Century Gothic"/>
          <w:sz w:val="20"/>
          <w:szCs w:val="20"/>
          <w:lang w:val="es-ES"/>
        </w:rPr>
        <w:t>3. ¿Es procedente reconocer y pagar las actividades efectivamente ejecutadas antes de la suspensión, siempre que se encuentren debidamente soportadas y acreditadas?</w:t>
      </w:r>
    </w:p>
    <w:p w14:paraId="1CE618E3" w14:textId="77777777" w:rsidR="00ED11A5" w:rsidRPr="00F42B76" w:rsidRDefault="00ED11A5" w:rsidP="00ED11A5">
      <w:pPr>
        <w:spacing w:after="120" w:line="240" w:lineRule="auto"/>
        <w:ind w:left="709" w:right="709"/>
        <w:jc w:val="both"/>
        <w:rPr>
          <w:rFonts w:ascii="Verdana" w:eastAsia="Century Gothic" w:hAnsi="Verdana" w:cs="Century Gothic"/>
          <w:sz w:val="20"/>
          <w:szCs w:val="20"/>
          <w:lang w:val="es-ES"/>
        </w:rPr>
      </w:pPr>
      <w:r w:rsidRPr="00F42B76">
        <w:rPr>
          <w:rFonts w:ascii="Verdana" w:eastAsia="Century Gothic" w:hAnsi="Verdana" w:cs="Century Gothic"/>
          <w:sz w:val="20"/>
          <w:szCs w:val="20"/>
          <w:lang w:val="es-ES"/>
        </w:rPr>
        <w:t>4. Si se considera que el contrato, de no haberse suspendido, habría terminado el 31 de diciembre de 2023, ¿cuál es el criterio para contabilizar la competencia temporal de la entidad para liquidarlo?</w:t>
      </w:r>
    </w:p>
    <w:p w14:paraId="42557B08" w14:textId="77777777" w:rsidR="00ED11A5" w:rsidRPr="00F42B76" w:rsidRDefault="00ED11A5" w:rsidP="00ED11A5">
      <w:pPr>
        <w:spacing w:after="120" w:line="240" w:lineRule="auto"/>
        <w:ind w:left="709" w:right="709"/>
        <w:jc w:val="both"/>
        <w:rPr>
          <w:rFonts w:ascii="Verdana" w:eastAsia="Century Gothic" w:hAnsi="Verdana" w:cs="Century Gothic"/>
          <w:sz w:val="20"/>
          <w:szCs w:val="20"/>
          <w:lang w:val="es-ES"/>
        </w:rPr>
      </w:pPr>
      <w:r w:rsidRPr="00F42B76">
        <w:rPr>
          <w:rFonts w:ascii="Verdana" w:eastAsia="Century Gothic" w:hAnsi="Verdana" w:cs="Century Gothic"/>
          <w:sz w:val="20"/>
          <w:szCs w:val="20"/>
          <w:lang w:val="es-ES"/>
        </w:rPr>
        <w:t xml:space="preserve">5. ¿La suspensión contractual impide el conteo del término de competencia para liquidar, o dicho término debe analizarse a partir del vencimiento del </w:t>
      </w:r>
      <w:r w:rsidRPr="00F42B76">
        <w:rPr>
          <w:rFonts w:ascii="Verdana" w:eastAsia="Century Gothic" w:hAnsi="Verdana" w:cs="Century Gothic"/>
          <w:sz w:val="20"/>
          <w:szCs w:val="20"/>
          <w:lang w:val="es-ES"/>
        </w:rPr>
        <w:lastRenderedPageBreak/>
        <w:t>plazo inicialmente pactado, en especial cuando no hubo reinicio y no fue posible recomponer las garantías?</w:t>
      </w:r>
    </w:p>
    <w:p w14:paraId="645DAF15" w14:textId="77777777" w:rsidR="00ED11A5" w:rsidRPr="008E6AD9" w:rsidRDefault="00ED11A5" w:rsidP="00ED11A5">
      <w:pPr>
        <w:spacing w:after="0" w:line="240" w:lineRule="auto"/>
        <w:ind w:left="709" w:right="709"/>
        <w:jc w:val="both"/>
        <w:rPr>
          <w:rFonts w:ascii="Verdana" w:eastAsia="Century Gothic" w:hAnsi="Verdana" w:cs="Century Gothic"/>
          <w:b/>
          <w:bCs/>
        </w:rPr>
      </w:pPr>
      <w:r w:rsidRPr="00F42B76">
        <w:rPr>
          <w:rFonts w:ascii="Verdana" w:eastAsia="Century Gothic" w:hAnsi="Verdana" w:cs="Century Gothic"/>
          <w:sz w:val="20"/>
          <w:szCs w:val="20"/>
          <w:lang w:val="es-ES"/>
        </w:rPr>
        <w:t>6. ¿Cuál sería la actuación correcta en SECOP II para que el estado de suspensión no se convierta en una barrera indefinida para el cierre del expediente contractual?</w:t>
      </w:r>
      <w:r>
        <w:rPr>
          <w:rFonts w:ascii="Verdana" w:eastAsia="Century Gothic" w:hAnsi="Verdana" w:cs="Century Gothic"/>
          <w:sz w:val="20"/>
          <w:szCs w:val="20"/>
          <w:lang w:val="es-ES"/>
        </w:rPr>
        <w:t>”.</w:t>
      </w:r>
    </w:p>
    <w:p w14:paraId="791295E9" w14:textId="77777777" w:rsidR="00ED11A5" w:rsidRDefault="00ED11A5" w:rsidP="00ED11A5">
      <w:pPr>
        <w:spacing w:after="0" w:line="276" w:lineRule="auto"/>
        <w:ind w:firstLine="709"/>
        <w:jc w:val="both"/>
        <w:rPr>
          <w:rFonts w:ascii="Verdana" w:eastAsia="Calibri" w:hAnsi="Verdana" w:cs="Arial"/>
          <w:color w:val="000000"/>
          <w:lang w:val="es-ES" w:eastAsia="es-ES"/>
        </w:rPr>
      </w:pPr>
    </w:p>
    <w:p w14:paraId="590E1151" w14:textId="77777777" w:rsidR="00ED11A5" w:rsidRDefault="00ED11A5" w:rsidP="00ED11A5">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0BBB2C11" w14:textId="77777777" w:rsidR="00ED11A5" w:rsidRPr="00A652FF" w:rsidRDefault="00ED11A5" w:rsidP="00ED11A5">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szCs w:val="24"/>
          <w:lang w:val="es-ES_tradnl" w:eastAsia="es-ES_tradnl"/>
        </w:rPr>
        <w:t>Por tanto</w:t>
      </w:r>
      <w:r w:rsidRPr="006659F2">
        <w:rPr>
          <w:rFonts w:ascii="Verdana" w:eastAsia="Calibri" w:hAnsi="Verdana" w:cs="Arial"/>
          <w:color w:val="000000"/>
          <w:szCs w:val="24"/>
          <w:lang w:val="es-ES_tradnl" w:eastAsia="es-ES_tradnl"/>
        </w:rPr>
        <w:t xml:space="preserve">, las afirmaciones </w:t>
      </w:r>
      <w:r>
        <w:rPr>
          <w:rFonts w:ascii="Verdana" w:eastAsia="Calibri" w:hAnsi="Verdana" w:cs="Arial"/>
          <w:color w:val="000000"/>
          <w:szCs w:val="24"/>
          <w:lang w:val="es-ES_tradnl" w:eastAsia="es-ES_tradnl"/>
        </w:rPr>
        <w:t>que se realicen en el presente oficio no</w:t>
      </w:r>
      <w:r w:rsidRPr="006659F2">
        <w:rPr>
          <w:rFonts w:ascii="Verdana" w:eastAsia="Calibri" w:hAnsi="Verdana" w:cs="Arial"/>
          <w:color w:val="000000"/>
          <w:szCs w:val="24"/>
          <w:lang w:val="es-ES_tradnl" w:eastAsia="es-ES_tradnl"/>
        </w:rPr>
        <w:t xml:space="preserve"> pueden interpreta</w:t>
      </w:r>
      <w:r>
        <w:rPr>
          <w:rFonts w:ascii="Verdana" w:eastAsia="Calibri" w:hAnsi="Verdana" w:cs="Arial"/>
          <w:color w:val="000000"/>
          <w:szCs w:val="24"/>
          <w:lang w:val="es-ES_tradnl" w:eastAsia="es-ES_tradnl"/>
        </w:rPr>
        <w:t>rse</w:t>
      </w:r>
      <w:r w:rsidRPr="006659F2">
        <w:rPr>
          <w:rFonts w:ascii="Verdana" w:eastAsia="Calibri" w:hAnsi="Verdana" w:cs="Arial"/>
          <w:color w:val="000000"/>
          <w:szCs w:val="24"/>
          <w:lang w:val="es-ES_tradnl" w:eastAsia="es-ES_tradnl"/>
        </w:rPr>
        <w:t xml:space="preserve"> como juicios de valor sobre circunstancias concretas relacionadas con los hechos que motivan la consulta. </w:t>
      </w:r>
      <w:r>
        <w:rPr>
          <w:rFonts w:ascii="Verdana" w:eastAsia="Calibri" w:hAnsi="Verdana" w:cs="Arial"/>
          <w:color w:val="000000"/>
          <w:szCs w:val="24"/>
          <w:lang w:val="es-ES_tradnl" w:eastAsia="es-ES_tradnl"/>
        </w:rPr>
        <w:t>Es decir</w:t>
      </w:r>
      <w:r w:rsidRPr="006659F2">
        <w:rPr>
          <w:rFonts w:ascii="Verdana" w:eastAsia="Calibri" w:hAnsi="Verdana" w:cs="Arial"/>
          <w:color w:val="000000"/>
          <w:szCs w:val="24"/>
          <w:lang w:val="es-ES_tradnl" w:eastAsia="es-ES_tradnl"/>
        </w:rPr>
        <w:t>, previo concepto de sus asesores, la solución de situaciones particulares corresponde a los interesados adoptar la decisión correspondiente y, en caso de conflicto, a las autoridades judiciales, fiscales y disciplinarias.</w:t>
      </w:r>
      <w:r w:rsidRPr="00593A5F">
        <w:rPr>
          <w:rFonts w:ascii="Verdana" w:eastAsia="Calibri" w:hAnsi="Verdana" w:cs="Arial"/>
          <w:color w:val="000000"/>
          <w:szCs w:val="24"/>
          <w:lang w:val="es-ES_tradnl" w:eastAsia="es-ES_tradnl"/>
        </w:rPr>
        <w:tab/>
      </w:r>
    </w:p>
    <w:p w14:paraId="26964146" w14:textId="77777777" w:rsidR="00ED11A5" w:rsidRDefault="00ED11A5" w:rsidP="00ED11A5">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w:t>
      </w:r>
      <w:r>
        <w:rPr>
          <w:rFonts w:ascii="Verdana" w:eastAsia="Calibri" w:hAnsi="Verdana" w:cs="Arial"/>
          <w:color w:val="000000"/>
          <w:lang w:val="es-ES" w:eastAsia="es-ES"/>
        </w:rPr>
        <w:t>específicas que la hayan motivado</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6D52DDA3" w14:textId="77777777" w:rsidR="00ED11A5" w:rsidRPr="00593A5F" w:rsidRDefault="00ED11A5" w:rsidP="00ED11A5">
      <w:pPr>
        <w:spacing w:after="0" w:line="276" w:lineRule="auto"/>
        <w:ind w:firstLine="709"/>
        <w:jc w:val="both"/>
        <w:rPr>
          <w:rFonts w:ascii="Verdana" w:eastAsia="Calibri" w:hAnsi="Verdana" w:cs="Arial"/>
          <w:color w:val="000000"/>
          <w:lang w:val="es-ES" w:eastAsia="es-ES"/>
        </w:rPr>
      </w:pPr>
    </w:p>
    <w:p w14:paraId="1F0DB3CC" w14:textId="77777777" w:rsidR="00ED11A5" w:rsidRPr="00593A5F" w:rsidRDefault="00ED11A5" w:rsidP="00ED11A5">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w:t>
      </w:r>
      <w:r>
        <w:rPr>
          <w:rFonts w:ascii="Verdana" w:eastAsia="Century Gothic" w:hAnsi="Verdana" w:cs="Century Gothic"/>
          <w:b/>
          <w:bCs/>
        </w:rPr>
        <w:t>s</w:t>
      </w:r>
      <w:r w:rsidRPr="00593A5F">
        <w:rPr>
          <w:rFonts w:ascii="Verdana" w:eastAsia="Century Gothic" w:hAnsi="Verdana" w:cs="Century Gothic"/>
          <w:b/>
          <w:bCs/>
        </w:rPr>
        <w:t xml:space="preserve"> planteado</w:t>
      </w:r>
      <w:r>
        <w:rPr>
          <w:rFonts w:ascii="Verdana" w:eastAsia="Century Gothic" w:hAnsi="Verdana" w:cs="Century Gothic"/>
          <w:b/>
          <w:bCs/>
        </w:rPr>
        <w:t>s</w:t>
      </w:r>
      <w:r w:rsidRPr="00593A5F">
        <w:rPr>
          <w:rFonts w:ascii="Verdana" w:eastAsia="Century Gothic" w:hAnsi="Verdana" w:cs="Century Gothic"/>
          <w:b/>
          <w:bCs/>
        </w:rPr>
        <w:t>:</w:t>
      </w:r>
    </w:p>
    <w:p w14:paraId="6BB75D11" w14:textId="77777777" w:rsidR="00ED11A5" w:rsidRPr="00593A5F" w:rsidRDefault="00ED11A5" w:rsidP="00ED11A5">
      <w:pPr>
        <w:tabs>
          <w:tab w:val="left" w:pos="426"/>
        </w:tabs>
        <w:spacing w:after="0" w:line="276" w:lineRule="auto"/>
        <w:jc w:val="both"/>
        <w:rPr>
          <w:rFonts w:ascii="Verdana" w:eastAsia="Century Gothic" w:hAnsi="Verdana" w:cs="Century Gothic"/>
          <w:lang w:val="es-ES"/>
        </w:rPr>
      </w:pPr>
    </w:p>
    <w:p w14:paraId="747A4BB6" w14:textId="77777777" w:rsidR="00ED11A5" w:rsidRPr="00593A5F" w:rsidRDefault="00ED11A5" w:rsidP="00ED11A5">
      <w:pPr>
        <w:spacing w:after="0" w:line="276" w:lineRule="auto"/>
        <w:jc w:val="both"/>
        <w:rPr>
          <w:rFonts w:ascii="Verdana" w:eastAsia="Century Gothic" w:hAnsi="Verdana" w:cs="Century Gothic"/>
        </w:rPr>
      </w:pPr>
      <w:r w:rsidRPr="00906BE9">
        <w:rPr>
          <w:rFonts w:ascii="Verdana" w:eastAsia="Century Gothic" w:hAnsi="Verdana" w:cs="Century Gothic"/>
        </w:rPr>
        <w:t xml:space="preserve">De acuerdo con el contenido de su solicitud, esta Agencia resolverá </w:t>
      </w:r>
      <w:r>
        <w:rPr>
          <w:rFonts w:ascii="Verdana" w:eastAsia="Century Gothic" w:hAnsi="Verdana" w:cs="Century Gothic"/>
        </w:rPr>
        <w:t>los</w:t>
      </w:r>
      <w:r w:rsidRPr="00906BE9">
        <w:rPr>
          <w:rFonts w:ascii="Verdana" w:eastAsia="Century Gothic" w:hAnsi="Verdana" w:cs="Century Gothic"/>
        </w:rPr>
        <w:t xml:space="preserve"> siguiente</w:t>
      </w:r>
      <w:r>
        <w:rPr>
          <w:rFonts w:ascii="Verdana" w:eastAsia="Century Gothic" w:hAnsi="Verdana" w:cs="Century Gothic"/>
        </w:rPr>
        <w:t xml:space="preserve">s </w:t>
      </w:r>
      <w:r w:rsidRPr="00906BE9">
        <w:rPr>
          <w:rFonts w:ascii="Verdana" w:eastAsia="Century Gothic" w:hAnsi="Verdana" w:cs="Century Gothic"/>
        </w:rPr>
        <w:t>problema</w:t>
      </w:r>
      <w:r>
        <w:rPr>
          <w:rFonts w:ascii="Verdana" w:eastAsia="Century Gothic" w:hAnsi="Verdana" w:cs="Century Gothic"/>
        </w:rPr>
        <w:t>s</w:t>
      </w:r>
      <w:r w:rsidRPr="00906BE9">
        <w:rPr>
          <w:rFonts w:ascii="Verdana" w:eastAsia="Century Gothic" w:hAnsi="Verdana" w:cs="Century Gothic"/>
        </w:rPr>
        <w:t xml:space="preserve"> jurídico</w:t>
      </w:r>
      <w:r>
        <w:rPr>
          <w:rFonts w:ascii="Verdana" w:eastAsia="Century Gothic" w:hAnsi="Verdana" w:cs="Century Gothic"/>
        </w:rPr>
        <w:t>s</w:t>
      </w:r>
      <w:r w:rsidRPr="00906BE9">
        <w:rPr>
          <w:rFonts w:ascii="Verdana" w:eastAsia="Century Gothic" w:hAnsi="Verdana" w:cs="Century Gothic"/>
        </w:rPr>
        <w:t>:</w:t>
      </w:r>
      <w:r>
        <w:rPr>
          <w:rFonts w:ascii="Verdana" w:eastAsia="Century Gothic" w:hAnsi="Verdana" w:cs="Century Gothic"/>
        </w:rPr>
        <w:t xml:space="preserve"> i) </w:t>
      </w:r>
      <w:r w:rsidRPr="008062DE">
        <w:rPr>
          <w:rFonts w:ascii="Verdana" w:eastAsia="Century Gothic" w:hAnsi="Verdana" w:cs="Century Gothic"/>
        </w:rPr>
        <w:t>¿</w:t>
      </w:r>
      <w:r>
        <w:rPr>
          <w:rFonts w:ascii="Verdana" w:eastAsia="Century Gothic" w:hAnsi="Verdana" w:cs="Century Gothic"/>
        </w:rPr>
        <w:t>procede la liquidación mientras el contrato está suspendido</w:t>
      </w:r>
      <w:r w:rsidRPr="008062DE">
        <w:rPr>
          <w:rFonts w:ascii="Verdana" w:eastAsia="Century Gothic" w:hAnsi="Verdana" w:cs="Century Gothic"/>
        </w:rPr>
        <w:t>?</w:t>
      </w:r>
      <w:r>
        <w:rPr>
          <w:rFonts w:ascii="Verdana" w:eastAsia="Century Gothic" w:hAnsi="Verdana" w:cs="Century Gothic"/>
        </w:rPr>
        <w:t xml:space="preserve">, </w:t>
      </w:r>
      <w:proofErr w:type="spellStart"/>
      <w:r>
        <w:rPr>
          <w:rFonts w:ascii="Verdana" w:eastAsia="Century Gothic" w:hAnsi="Verdana" w:cs="Century Gothic"/>
        </w:rPr>
        <w:t>ii</w:t>
      </w:r>
      <w:proofErr w:type="spellEnd"/>
      <w:r>
        <w:rPr>
          <w:rFonts w:ascii="Verdana" w:eastAsia="Century Gothic" w:hAnsi="Verdana" w:cs="Century Gothic"/>
        </w:rPr>
        <w:t xml:space="preserve">) ¿es posible hacer reconocimientos económicos de lo ejecutado </w:t>
      </w:r>
      <w:r>
        <w:rPr>
          <w:rFonts w:ascii="Verdana" w:eastAsia="Century Gothic" w:hAnsi="Verdana" w:cs="Century Gothic"/>
        </w:rPr>
        <w:lastRenderedPageBreak/>
        <w:t xml:space="preserve">antes de la suspensión? y </w:t>
      </w:r>
      <w:proofErr w:type="spellStart"/>
      <w:r>
        <w:rPr>
          <w:rFonts w:ascii="Verdana" w:eastAsia="Century Gothic" w:hAnsi="Verdana" w:cs="Century Gothic"/>
        </w:rPr>
        <w:t>iii</w:t>
      </w:r>
      <w:proofErr w:type="spellEnd"/>
      <w:r>
        <w:rPr>
          <w:rFonts w:ascii="Verdana" w:eastAsia="Century Gothic" w:hAnsi="Verdana" w:cs="Century Gothic"/>
        </w:rPr>
        <w:t xml:space="preserve">) ¿es posible reiniciar la ejecución del contrato sin la actualización de las coberturas de la garantía única de cumplimiento? </w:t>
      </w:r>
    </w:p>
    <w:p w14:paraId="12B76C99" w14:textId="77777777" w:rsidR="00ED11A5" w:rsidRPr="004B140F" w:rsidRDefault="00ED11A5" w:rsidP="00ED11A5">
      <w:pPr>
        <w:spacing w:after="0" w:line="276" w:lineRule="auto"/>
        <w:jc w:val="both"/>
        <w:rPr>
          <w:rFonts w:ascii="Verdana" w:eastAsia="Calibri" w:hAnsi="Verdana" w:cs="Arial"/>
          <w:color w:val="7030A0"/>
        </w:rPr>
      </w:pPr>
    </w:p>
    <w:p w14:paraId="21CDD737" w14:textId="77777777" w:rsidR="00ED11A5" w:rsidRPr="00593A5F" w:rsidRDefault="00ED11A5" w:rsidP="00ED11A5">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r>
        <w:rPr>
          <w:rFonts w:ascii="Verdana" w:eastAsia="Century Gothic" w:hAnsi="Verdana" w:cs="Century Gothic"/>
          <w:b/>
          <w:bCs/>
        </w:rPr>
        <w:t>s</w:t>
      </w:r>
      <w:r w:rsidRPr="00593A5F">
        <w:rPr>
          <w:rFonts w:ascii="Verdana" w:eastAsia="Century Gothic" w:hAnsi="Verdana" w:cs="Century Gothic"/>
          <w:b/>
          <w:bCs/>
        </w:rPr>
        <w:t>:</w:t>
      </w:r>
    </w:p>
    <w:p w14:paraId="70C62435" w14:textId="77777777" w:rsidR="00ED11A5" w:rsidRPr="00593A5F" w:rsidRDefault="00ED11A5" w:rsidP="00ED11A5">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ED11A5" w:rsidRPr="00593A5F" w14:paraId="634BE2FA" w14:textId="77777777" w:rsidTr="00644A5F">
        <w:trPr>
          <w:jc w:val="center"/>
        </w:trPr>
        <w:tc>
          <w:tcPr>
            <w:tcW w:w="8828" w:type="dxa"/>
          </w:tcPr>
          <w:p w14:paraId="7C67ED2D" w14:textId="77777777" w:rsidR="00ED11A5" w:rsidRDefault="00ED11A5" w:rsidP="00644A5F">
            <w:pPr>
              <w:tabs>
                <w:tab w:val="left" w:pos="426"/>
              </w:tabs>
              <w:spacing w:after="120" w:line="276" w:lineRule="auto"/>
              <w:jc w:val="both"/>
              <w:rPr>
                <w:rFonts w:ascii="Verdana" w:eastAsia="Calibri" w:hAnsi="Verdana" w:cs="Arial"/>
                <w:bCs/>
                <w:color w:val="000000" w:themeColor="text1"/>
                <w:lang w:val="es-ES_tradnl"/>
              </w:rPr>
            </w:pPr>
            <w:bookmarkStart w:id="1" w:name="_Hlk171694685"/>
            <w:r w:rsidRPr="000955E3">
              <w:rPr>
                <w:rFonts w:ascii="Verdana" w:eastAsia="Calibri" w:hAnsi="Verdana" w:cs="Arial"/>
                <w:bCs/>
                <w:color w:val="000000" w:themeColor="text1"/>
              </w:rPr>
              <w:t>Conforme a la interpretación general de las normas del sistema de compras públicas</w:t>
            </w:r>
            <w:r w:rsidRPr="000955E3">
              <w:rPr>
                <w:rFonts w:ascii="Verdana" w:eastAsia="Arial" w:hAnsi="Verdana" w:cs="Arial"/>
                <w:lang w:val="es-MX" w:eastAsia="es-ES" w:bidi="es-ES"/>
              </w:rPr>
              <w:t>,</w:t>
            </w:r>
            <w:r>
              <w:rPr>
                <w:rFonts w:ascii="Verdana" w:eastAsia="Arial" w:hAnsi="Verdana" w:cs="Arial"/>
                <w:lang w:val="es-MX" w:eastAsia="es-ES" w:bidi="es-ES"/>
              </w:rPr>
              <w:t xml:space="preserve"> l</w:t>
            </w:r>
            <w:r w:rsidRPr="00575236">
              <w:rPr>
                <w:rFonts w:ascii="Verdana" w:eastAsia="Times New Roman" w:hAnsi="Verdana" w:cs="Arial"/>
                <w:color w:val="000000"/>
                <w:lang w:val="es-ES_tradnl" w:eastAsia="es-ES_tradnl"/>
              </w:rPr>
              <w:t xml:space="preserve">a </w:t>
            </w:r>
            <w:r w:rsidRPr="00575236">
              <w:rPr>
                <w:rFonts w:ascii="Verdana" w:eastAsia="Times New Roman" w:hAnsi="Verdana" w:cs="Arial"/>
                <w:i/>
                <w:iCs/>
                <w:color w:val="000000"/>
                <w:lang w:val="es-ES_tradnl" w:eastAsia="es-ES_tradnl"/>
              </w:rPr>
              <w:t>suspensión</w:t>
            </w:r>
            <w:r w:rsidRPr="00575236">
              <w:rPr>
                <w:rFonts w:ascii="Verdana" w:eastAsia="Times New Roman" w:hAnsi="Verdana" w:cs="Arial"/>
                <w:color w:val="000000"/>
                <w:lang w:val="es-ES_tradnl" w:eastAsia="es-ES_tradnl"/>
              </w:rPr>
              <w:t xml:space="preserve"> es la medida por la cual se acuerda el cese provisional de la ejecución del contrato, por la ocurrencia de circunstancias que lo impiden o lo dificultan</w:t>
            </w:r>
            <w:r>
              <w:rPr>
                <w:rFonts w:ascii="Verdana" w:eastAsia="Times New Roman" w:hAnsi="Verdana" w:cs="Arial"/>
                <w:color w:val="000000"/>
                <w:lang w:val="es-ES_tradnl" w:eastAsia="es-ES_tradnl"/>
              </w:rPr>
              <w:t>. A</w:t>
            </w:r>
            <w:r w:rsidRPr="00575236">
              <w:rPr>
                <w:rFonts w:ascii="Verdana" w:eastAsia="Times New Roman" w:hAnsi="Verdana" w:cs="Arial"/>
                <w:color w:val="000000"/>
                <w:lang w:val="es-ES_tradnl" w:eastAsia="es-ES_tradnl"/>
              </w:rPr>
              <w:t>un cuando un contrato se suspenda, conserva vigencia, pues su plazo no ha vencido, precisamente uno de los efectos de la suspensión es que se detiene provisionalmente el cómputo del plazo y, además las obligaciones de las partes están pendientes de cumplimiento a cabalidad</w:t>
            </w:r>
            <w:r>
              <w:rPr>
                <w:rFonts w:ascii="Verdana" w:eastAsia="Times New Roman" w:hAnsi="Verdana" w:cs="Arial"/>
                <w:color w:val="000000"/>
                <w:lang w:val="es-ES_tradnl" w:eastAsia="es-ES_tradnl"/>
              </w:rPr>
              <w:t xml:space="preserve">. </w:t>
            </w:r>
            <w:r w:rsidRPr="00D335EF">
              <w:rPr>
                <w:rFonts w:ascii="Verdana" w:eastAsia="Calibri" w:hAnsi="Verdana" w:cs="Arial"/>
                <w:bCs/>
                <w:color w:val="000000" w:themeColor="text1"/>
                <w:lang w:val="es-ES_tradnl"/>
              </w:rPr>
              <w:t xml:space="preserve">Mientras el contrato no se haya reiniciado, </w:t>
            </w:r>
            <w:r>
              <w:rPr>
                <w:rFonts w:ascii="Verdana" w:eastAsia="Calibri" w:hAnsi="Verdana" w:cs="Arial"/>
                <w:bCs/>
                <w:color w:val="000000" w:themeColor="text1"/>
                <w:lang w:val="es-ES_tradnl"/>
              </w:rPr>
              <w:t>dicha medida</w:t>
            </w:r>
            <w:r w:rsidRPr="00D335EF">
              <w:rPr>
                <w:rFonts w:ascii="Verdana" w:eastAsia="Calibri" w:hAnsi="Verdana" w:cs="Arial"/>
                <w:bCs/>
                <w:color w:val="000000" w:themeColor="text1"/>
                <w:lang w:val="es-ES_tradnl"/>
              </w:rPr>
              <w:t xml:space="preserve"> genera tanto el congelamiento de las obligaciones principales como la neutralización del cómputo del plazo</w:t>
            </w:r>
            <w:r>
              <w:rPr>
                <w:rFonts w:ascii="Verdana" w:eastAsia="Calibri" w:hAnsi="Verdana" w:cs="Arial"/>
                <w:bCs/>
                <w:color w:val="000000" w:themeColor="text1"/>
                <w:lang w:val="es-ES_tradnl"/>
              </w:rPr>
              <w:t xml:space="preserve">. </w:t>
            </w:r>
            <w:r w:rsidRPr="00D335EF">
              <w:rPr>
                <w:rFonts w:ascii="Verdana" w:eastAsia="Calibri" w:hAnsi="Verdana" w:cs="Arial"/>
                <w:bCs/>
                <w:color w:val="000000" w:themeColor="text1"/>
                <w:lang w:val="es-ES_tradnl"/>
              </w:rPr>
              <w:t xml:space="preserve">Luego, si </w:t>
            </w:r>
            <w:r>
              <w:rPr>
                <w:rFonts w:ascii="Verdana" w:eastAsia="Calibri" w:hAnsi="Verdana" w:cs="Arial"/>
                <w:bCs/>
                <w:color w:val="000000" w:themeColor="text1"/>
                <w:lang w:val="es-ES_tradnl"/>
              </w:rPr>
              <w:t>ésta</w:t>
            </w:r>
            <w:r w:rsidRPr="00D335EF">
              <w:rPr>
                <w:rFonts w:ascii="Verdana" w:eastAsia="Calibri" w:hAnsi="Verdana" w:cs="Arial"/>
                <w:bCs/>
                <w:color w:val="000000" w:themeColor="text1"/>
                <w:lang w:val="es-ES_tradnl"/>
              </w:rPr>
              <w:t xml:space="preserve"> interrumpe el plazo contractual, durante la misma no es posible liquidar el contrato, ya que esta última supone su vencimiento.</w:t>
            </w:r>
          </w:p>
          <w:p w14:paraId="3A02D527" w14:textId="77777777" w:rsidR="00ED11A5" w:rsidRDefault="00ED11A5" w:rsidP="00644A5F">
            <w:pPr>
              <w:spacing w:after="120" w:line="276" w:lineRule="auto"/>
              <w:ind w:firstLine="708"/>
              <w:jc w:val="both"/>
              <w:rPr>
                <w:rFonts w:ascii="Verdana" w:eastAsia="Calibri" w:hAnsi="Verdana" w:cs="Arial"/>
                <w:color w:val="000000"/>
                <w:lang w:val="es-ES"/>
              </w:rPr>
            </w:pPr>
            <w:r>
              <w:rPr>
                <w:rFonts w:ascii="Verdana" w:eastAsia="Calibri" w:hAnsi="Verdana" w:cs="Arial"/>
                <w:color w:val="000000"/>
                <w:lang w:val="es-ES"/>
              </w:rPr>
              <w:t>E</w:t>
            </w:r>
            <w:r w:rsidRPr="64F094BD">
              <w:rPr>
                <w:rFonts w:ascii="Verdana" w:eastAsia="Calibri" w:hAnsi="Verdana" w:cs="Arial"/>
                <w:color w:val="000000"/>
                <w:lang w:val="es-ES"/>
              </w:rPr>
              <w:t>l artículo 11 de la Ley 1150 de 2007 contiene las reglas de tipo procedimental para liquidar los contratos estatales</w:t>
            </w:r>
            <w:r>
              <w:rPr>
                <w:rFonts w:ascii="Verdana" w:eastAsia="Calibri" w:hAnsi="Verdana" w:cs="Arial"/>
                <w:color w:val="000000"/>
                <w:lang w:val="es-ES"/>
              </w:rPr>
              <w:t xml:space="preserve">. Para estos efectos, </w:t>
            </w:r>
            <w:r w:rsidRPr="64F094BD">
              <w:rPr>
                <w:rFonts w:ascii="Verdana" w:eastAsia="Calibri" w:hAnsi="Verdana" w:cs="Arial"/>
                <w:color w:val="000000"/>
                <w:lang w:val="es-ES"/>
              </w:rPr>
              <w:t xml:space="preserve">en ejercicio de la autonomía de la voluntad y de conformidad con los criterios de la naturaleza, objeto y plazo del contrato, la entidad puede definir en el pliego de condiciones o en el contrato el plazo para efectuar la liquidación de mutuo acuerdo. En ausencia de pacto contractual, el artículo 11 de la Ley 1150 de 2007 prevé un término supletivo de 4 meses contados desde: i) el vencimiento del plazo previsto para la ejecución del contrato; </w:t>
            </w:r>
            <w:proofErr w:type="spellStart"/>
            <w:r w:rsidRPr="64F094BD">
              <w:rPr>
                <w:rFonts w:ascii="Verdana" w:eastAsia="Calibri" w:hAnsi="Verdana" w:cs="Arial"/>
                <w:color w:val="000000"/>
                <w:lang w:val="es-ES"/>
              </w:rPr>
              <w:t>ii</w:t>
            </w:r>
            <w:proofErr w:type="spellEnd"/>
            <w:r w:rsidRPr="64F094BD">
              <w:rPr>
                <w:rFonts w:ascii="Verdana" w:eastAsia="Calibri" w:hAnsi="Verdana" w:cs="Arial"/>
                <w:color w:val="000000"/>
                <w:lang w:val="es-ES"/>
              </w:rPr>
              <w:t xml:space="preserve">) la expedición del acto administrativo que ordene la terminación del contrato; o, </w:t>
            </w:r>
            <w:proofErr w:type="spellStart"/>
            <w:r w:rsidRPr="64F094BD">
              <w:rPr>
                <w:rFonts w:ascii="Verdana" w:eastAsia="Calibri" w:hAnsi="Verdana" w:cs="Arial"/>
                <w:color w:val="000000"/>
                <w:lang w:val="es-ES"/>
              </w:rPr>
              <w:t>iii</w:t>
            </w:r>
            <w:proofErr w:type="spellEnd"/>
            <w:r w:rsidRPr="64F094BD">
              <w:rPr>
                <w:rFonts w:ascii="Verdana" w:eastAsia="Calibri" w:hAnsi="Verdana" w:cs="Arial"/>
                <w:color w:val="000000"/>
                <w:lang w:val="es-ES"/>
              </w:rPr>
              <w:t>) la fecha del acuerdo que disponga la terminación del contrato.</w:t>
            </w:r>
            <w:r>
              <w:rPr>
                <w:rFonts w:ascii="Verdana" w:eastAsia="Calibri" w:hAnsi="Verdana" w:cs="Arial"/>
                <w:color w:val="000000"/>
                <w:lang w:val="es-ES"/>
              </w:rPr>
              <w:t xml:space="preserve"> </w:t>
            </w:r>
          </w:p>
          <w:p w14:paraId="19B8121C" w14:textId="77777777" w:rsidR="00ED11A5" w:rsidRDefault="00ED11A5" w:rsidP="00644A5F">
            <w:pPr>
              <w:spacing w:after="120" w:line="276" w:lineRule="auto"/>
              <w:ind w:firstLine="708"/>
              <w:jc w:val="both"/>
              <w:rPr>
                <w:rFonts w:ascii="Verdana" w:eastAsia="Calibri" w:hAnsi="Verdana" w:cs="Arial"/>
                <w:color w:val="000000"/>
                <w:lang w:val="es-ES"/>
              </w:rPr>
            </w:pPr>
            <w:r>
              <w:rPr>
                <w:rFonts w:ascii="Verdana" w:eastAsia="Calibri" w:hAnsi="Verdana" w:cs="Arial"/>
                <w:color w:val="000000"/>
                <w:lang w:val="es-ES"/>
              </w:rPr>
              <w:t xml:space="preserve">Por tanto, la suspensión del contrato impide la liquidación de este. Como aquella no implica terminación anticipada, la suspensión interrupte el vencimiento del plazo previsto para ejecutar las obligaciones pactadas. Luego, la competencia para liquidar supone alguno de los tres (3) eventos indicados en el párrafo precedente. Sin el cumplimiento de uno de estos presupuestos, no es posible la liquidación bilateral, unilateral o judicial del contrato, ya que el cruce de cuentas para precisar si las partes están a paz y salvo en el </w:t>
            </w:r>
            <w:r>
              <w:rPr>
                <w:rFonts w:ascii="Verdana" w:eastAsia="Calibri" w:hAnsi="Verdana" w:cs="Arial"/>
                <w:color w:val="000000"/>
                <w:lang w:val="es-ES"/>
              </w:rPr>
              <w:lastRenderedPageBreak/>
              <w:t>cumplimiento de sus obligaciones se realiza después la terminación del contracto. (Respuesta a las preguntas 2, 4 y 5)</w:t>
            </w:r>
          </w:p>
          <w:p w14:paraId="459B86F3" w14:textId="77777777" w:rsidR="00ED11A5" w:rsidRDefault="00ED11A5" w:rsidP="00644A5F">
            <w:pPr>
              <w:tabs>
                <w:tab w:val="left" w:pos="426"/>
              </w:tabs>
              <w:spacing w:after="120" w:line="276" w:lineRule="auto"/>
              <w:ind w:firstLine="737"/>
              <w:jc w:val="both"/>
              <w:rPr>
                <w:rFonts w:ascii="Verdana" w:eastAsia="Calibri" w:hAnsi="Verdana" w:cs="Arial"/>
                <w:color w:val="000000" w:themeColor="text1"/>
                <w:lang w:val="es-ES"/>
              </w:rPr>
            </w:pPr>
            <w:r w:rsidRPr="0756F27C">
              <w:rPr>
                <w:rFonts w:ascii="Verdana" w:eastAsia="Calibri" w:hAnsi="Verdana" w:cs="Arial"/>
                <w:color w:val="000000" w:themeColor="text1"/>
                <w:lang w:val="es-ES"/>
              </w:rPr>
              <w:t xml:space="preserve">Asimismo, en la medida que la entidad adopte una decisión sobre la terminación del contrato para efectos de su liquidación, es necesario tener en cuenta que en esta última –conforme a los incisos segundo y tercero del artículo 60 del EGCAP– “[…] las partes acordarán los ajustes, revisiones y reconocimientos a que haya lugar” y en ella “[…] constarán los acuerdos, conciliaciones y transacciones a que llegaren las partes para poner fin a las divergencias presentadas y poder declararse a paz y salvo”. Es decir, siempre que se cumpla con la carga de soporte y acreditación, las entidades pueden hacer los reconocimientos que estimen adecuados (Respuesta a la pregunta 3).  </w:t>
            </w:r>
          </w:p>
          <w:p w14:paraId="7A94FCC1" w14:textId="77777777" w:rsidR="00ED11A5" w:rsidRPr="00AD7E4A" w:rsidRDefault="00ED11A5" w:rsidP="00644A5F">
            <w:pPr>
              <w:spacing w:before="120" w:line="276" w:lineRule="auto"/>
              <w:ind w:firstLine="708"/>
              <w:jc w:val="both"/>
              <w:rPr>
                <w:rFonts w:ascii="Verdana" w:hAnsi="Verdana" w:cs="Arial"/>
                <w:color w:val="000000" w:themeColor="text1"/>
                <w:lang w:val="es-ES_tradnl"/>
              </w:rPr>
            </w:pPr>
            <w:r>
              <w:rPr>
                <w:rFonts w:ascii="Verdana" w:eastAsia="Times New Roman" w:hAnsi="Verdana" w:cs="Arial"/>
                <w:color w:val="000000"/>
                <w:szCs w:val="24"/>
                <w:lang w:val="es-ES_tradnl" w:eastAsia="es-ES_tradnl"/>
              </w:rPr>
              <w:t xml:space="preserve">Finalmente, el artículo 41 de la Ley 80 de 1993 </w:t>
            </w:r>
            <w:r>
              <w:rPr>
                <w:rFonts w:ascii="Verdana" w:hAnsi="Verdana" w:cs="Arial"/>
                <w:color w:val="000000" w:themeColor="text1"/>
                <w:lang w:val="es-MX"/>
              </w:rPr>
              <w:t>prescribe</w:t>
            </w:r>
            <w:r w:rsidRPr="00AD7E4A">
              <w:rPr>
                <w:rFonts w:ascii="Verdana" w:hAnsi="Verdana" w:cs="Arial"/>
                <w:color w:val="000000" w:themeColor="text1"/>
                <w:lang w:val="es-MX"/>
              </w:rPr>
              <w:t xml:space="preserve"> en su inciso segundo que “P</w:t>
            </w:r>
            <w:r w:rsidRPr="00AD7E4A">
              <w:rPr>
                <w:rFonts w:ascii="Verdana" w:hAnsi="Verdana" w:cs="Arial"/>
                <w:color w:val="000000" w:themeColor="text1"/>
                <w:lang w:eastAsia="es-CO"/>
              </w:rPr>
              <w:t>ara la ejecución se requerirá de la aprobación de la garantía”, lo que se traduce en que, sin perjuicio del perfeccionamiento del contrato, no podrá ejecutarse sin que se hayan aprobado las garantías por parte de la entidad estatal contratante.</w:t>
            </w:r>
            <w:r>
              <w:rPr>
                <w:rFonts w:ascii="Verdana" w:hAnsi="Verdana" w:cs="Arial"/>
                <w:color w:val="000000" w:themeColor="text1"/>
                <w:lang w:eastAsia="es-CO"/>
              </w:rPr>
              <w:t xml:space="preserve"> Para</w:t>
            </w:r>
            <w:r w:rsidRPr="00AD7E4A">
              <w:rPr>
                <w:rFonts w:ascii="Verdana" w:hAnsi="Verdana" w:cs="Arial"/>
                <w:color w:val="000000" w:themeColor="text1"/>
                <w:lang w:eastAsia="es-CO"/>
              </w:rPr>
              <w:t xml:space="preserve"> ejecu</w:t>
            </w:r>
            <w:r>
              <w:rPr>
                <w:rFonts w:ascii="Verdana" w:hAnsi="Verdana" w:cs="Arial"/>
                <w:color w:val="000000" w:themeColor="text1"/>
                <w:lang w:eastAsia="es-CO"/>
              </w:rPr>
              <w:t xml:space="preserve">tar </w:t>
            </w:r>
            <w:r w:rsidRPr="00AD7E4A">
              <w:rPr>
                <w:rFonts w:ascii="Verdana" w:hAnsi="Verdana" w:cs="Arial"/>
                <w:color w:val="000000" w:themeColor="text1"/>
                <w:lang w:eastAsia="es-CO"/>
              </w:rPr>
              <w:t>el contrato</w:t>
            </w:r>
            <w:r>
              <w:rPr>
                <w:rFonts w:ascii="Verdana" w:hAnsi="Verdana" w:cs="Arial"/>
                <w:color w:val="000000" w:themeColor="text1"/>
                <w:lang w:eastAsia="es-CO"/>
              </w:rPr>
              <w:t xml:space="preserve"> después de suspendido</w:t>
            </w:r>
            <w:r w:rsidRPr="00AD7E4A">
              <w:rPr>
                <w:rFonts w:ascii="Verdana" w:hAnsi="Verdana" w:cs="Arial"/>
                <w:color w:val="000000" w:themeColor="text1"/>
                <w:lang w:eastAsia="es-CO"/>
              </w:rPr>
              <w:t xml:space="preserve">, el contratista debe cumplir con la obligación de </w:t>
            </w:r>
            <w:r>
              <w:rPr>
                <w:rFonts w:ascii="Verdana" w:hAnsi="Verdana" w:cs="Arial"/>
                <w:color w:val="000000" w:themeColor="text1"/>
                <w:lang w:eastAsia="es-CO"/>
              </w:rPr>
              <w:t>actualizar</w:t>
            </w:r>
            <w:r w:rsidRPr="00AD7E4A">
              <w:rPr>
                <w:rFonts w:ascii="Verdana" w:hAnsi="Verdana" w:cs="Arial"/>
                <w:color w:val="000000" w:themeColor="text1"/>
                <w:lang w:eastAsia="es-CO"/>
              </w:rPr>
              <w:t xml:space="preserve"> </w:t>
            </w:r>
            <w:r>
              <w:rPr>
                <w:rFonts w:ascii="Verdana" w:hAnsi="Verdana" w:cs="Arial"/>
                <w:color w:val="000000" w:themeColor="text1"/>
                <w:lang w:eastAsia="es-CO"/>
              </w:rPr>
              <w:t>las coberturas</w:t>
            </w:r>
            <w:r w:rsidRPr="00AD7E4A">
              <w:rPr>
                <w:rFonts w:ascii="Verdana" w:hAnsi="Verdana" w:cs="Arial"/>
                <w:color w:val="000000" w:themeColor="text1"/>
                <w:lang w:eastAsia="es-CO"/>
              </w:rPr>
              <w:t>, para lo cual deberá presentar el respectivo instrumento para la verificación por parte de la entidad estatal, quien procederá a su aprobación siempre que se cumplan con las condiciones pactadas en el contrato</w:t>
            </w:r>
            <w:r>
              <w:rPr>
                <w:rFonts w:ascii="Verdana" w:hAnsi="Verdana" w:cs="Arial"/>
                <w:color w:val="000000" w:themeColor="text1"/>
                <w:lang w:eastAsia="es-CO"/>
              </w:rPr>
              <w:t xml:space="preserve">. </w:t>
            </w:r>
            <w:r w:rsidRPr="00AD7E4A">
              <w:rPr>
                <w:rFonts w:ascii="Verdana" w:hAnsi="Verdana" w:cs="Arial"/>
                <w:color w:val="000000" w:themeColor="text1"/>
                <w:lang w:val="es-MX"/>
              </w:rPr>
              <w:t xml:space="preserve">De este modo, </w:t>
            </w:r>
            <w:r w:rsidRPr="00AD7E4A">
              <w:rPr>
                <w:rFonts w:ascii="Verdana" w:hAnsi="Verdana" w:cs="Arial"/>
                <w:color w:val="000000" w:themeColor="text1"/>
                <w:lang w:val="es-ES_tradnl"/>
              </w:rPr>
              <w:t xml:space="preserve">con la aprobación de las garantías la entidad estatal </w:t>
            </w:r>
            <w:r w:rsidRPr="00AD7E4A">
              <w:rPr>
                <w:rFonts w:ascii="Verdana" w:hAnsi="Verdana" w:cs="Arial"/>
                <w:color w:val="000000" w:themeColor="text1"/>
                <w:lang w:eastAsia="es-CO"/>
              </w:rPr>
              <w:t xml:space="preserve">estará acreditando el cumplimiento de la obligación del artículo 7 de la Ley 1150 de 2007, </w:t>
            </w:r>
            <w:r w:rsidRPr="00AD7E4A">
              <w:rPr>
                <w:rFonts w:ascii="Verdana" w:hAnsi="Verdana" w:cs="Arial"/>
                <w:color w:val="000000" w:themeColor="text1"/>
                <w:lang w:val="es-ES_tradnl"/>
              </w:rPr>
              <w:t>y entonces el contrato</w:t>
            </w:r>
            <w:r>
              <w:rPr>
                <w:rFonts w:ascii="Verdana" w:hAnsi="Verdana" w:cs="Arial"/>
                <w:color w:val="000000" w:themeColor="text1"/>
                <w:lang w:val="es-ES_tradnl"/>
              </w:rPr>
              <w:t xml:space="preserve"> después de la suspensión</w:t>
            </w:r>
            <w:r w:rsidRPr="00AD7E4A">
              <w:rPr>
                <w:rFonts w:ascii="Verdana" w:hAnsi="Verdana" w:cs="Arial"/>
                <w:color w:val="000000" w:themeColor="text1"/>
                <w:lang w:val="es-ES_tradnl"/>
              </w:rPr>
              <w:t xml:space="preserve"> podrá ejecutarse, siempre que se cumplan los demás requisitos establece el artículo 41 de la Ley 80 de 1993. </w:t>
            </w:r>
          </w:p>
          <w:p w14:paraId="40B16835" w14:textId="77777777" w:rsidR="00ED11A5" w:rsidRPr="00AD7E4A" w:rsidRDefault="00ED11A5" w:rsidP="00644A5F">
            <w:pPr>
              <w:spacing w:before="120" w:after="120" w:line="276" w:lineRule="auto"/>
              <w:ind w:firstLine="709"/>
              <w:jc w:val="both"/>
              <w:rPr>
                <w:rFonts w:ascii="Verdana" w:eastAsia="Calibri" w:hAnsi="Verdana" w:cs="Arial"/>
                <w:lang w:val="es-ES"/>
              </w:rPr>
            </w:pPr>
            <w:r w:rsidRPr="00AD7E4A">
              <w:rPr>
                <w:rFonts w:ascii="Verdana" w:eastAsia="Calibri" w:hAnsi="Verdana" w:cs="Arial"/>
                <w:lang w:val="es-ES_tradnl"/>
              </w:rPr>
              <w:t>Este marco normativo explica el alcance de las garantías en la etapa contractual</w:t>
            </w:r>
            <w:r w:rsidRPr="00AD7E4A">
              <w:rPr>
                <w:rFonts w:ascii="Verdana" w:eastAsia="Calibri" w:hAnsi="Verdana" w:cs="Arial"/>
                <w:lang w:val="es-ES_tradnl" w:eastAsia="es-ES"/>
              </w:rPr>
              <w:t xml:space="preserve"> y, d</w:t>
            </w:r>
            <w:r w:rsidRPr="00AD7E4A">
              <w:rPr>
                <w:rFonts w:ascii="Verdana" w:eastAsia="Calibri" w:hAnsi="Verdana" w:cs="Arial"/>
                <w:lang w:val="es-ES" w:eastAsia="es-ES"/>
              </w:rPr>
              <w:t>entro del mismo</w:t>
            </w:r>
            <w:r w:rsidRPr="00AD7E4A">
              <w:rPr>
                <w:rFonts w:ascii="Verdana" w:eastAsia="Calibri" w:hAnsi="Verdana" w:cs="Arial"/>
                <w:lang w:val="es-ES"/>
              </w:rPr>
              <w:t>, los interesados adoptarán las decisiones que estimen pertinentes. Dado que no existe fundamento legal expreso para permitir que las obligaciones sean ejecutadas sin el cumplimiento de los requisitos del inciso segundo del artículo 41 de la Ley 80 de 1993, corresponde a los interesados y a sus asesores defender la gestión que decidan emprender, pues Colombia Compra Eficiente no es un órgano jurisdiccional ni de control.</w:t>
            </w:r>
            <w:r>
              <w:rPr>
                <w:rFonts w:ascii="Verdana" w:eastAsia="Calibri" w:hAnsi="Verdana" w:cs="Arial"/>
                <w:lang w:val="es-ES"/>
              </w:rPr>
              <w:t xml:space="preserve"> (Respuesta a la pregunta 1)</w:t>
            </w:r>
          </w:p>
          <w:p w14:paraId="70F788E6" w14:textId="77777777" w:rsidR="00ED11A5" w:rsidRPr="008062DE" w:rsidRDefault="00ED11A5" w:rsidP="00644A5F">
            <w:pPr>
              <w:tabs>
                <w:tab w:val="left" w:pos="426"/>
              </w:tabs>
              <w:spacing w:line="276" w:lineRule="auto"/>
              <w:jc w:val="both"/>
              <w:rPr>
                <w:rFonts w:ascii="Verdana" w:eastAsia="Times New Roman" w:hAnsi="Verdana" w:cs="Arial"/>
                <w:color w:val="000000"/>
                <w:szCs w:val="24"/>
                <w:lang w:val="es-ES" w:eastAsia="es-ES_tradnl"/>
              </w:rPr>
            </w:pPr>
            <w:r>
              <w:rPr>
                <w:rFonts w:ascii="Verdana" w:eastAsia="Calibri" w:hAnsi="Verdana" w:cs="Arial"/>
                <w:lang w:val="es-ES"/>
              </w:rPr>
              <w:tab/>
            </w:r>
            <w:r>
              <w:rPr>
                <w:rFonts w:ascii="Verdana" w:eastAsia="Calibri" w:hAnsi="Verdana" w:cs="Arial"/>
                <w:lang w:val="es-ES"/>
              </w:rPr>
              <w:tab/>
            </w:r>
            <w:r w:rsidRPr="00AD7E4A">
              <w:rPr>
                <w:rFonts w:ascii="Verdana" w:eastAsia="Calibri" w:hAnsi="Verdana" w:cs="Arial"/>
                <w:lang w:val="es-ES"/>
              </w:rPr>
              <w:t xml:space="preserve">En consecuencia, al tratarse de un análisis que debe realizarse en cada procedimiento contractual específico, la Agencia no puede definir un criterio </w:t>
            </w:r>
            <w:r w:rsidRPr="00AD7E4A">
              <w:rPr>
                <w:rFonts w:ascii="Verdana" w:eastAsia="Calibri" w:hAnsi="Verdana" w:cs="Arial"/>
                <w:lang w:val="es-ES"/>
              </w:rPr>
              <w:lastRenderedPageBreak/>
              <w:t>universal y absoluto sobre el objeto de la consulta, sino que brinda elementos de carácter general para que los partícipes del sistema de compras y contratación pública adopten la decisión que corresponda, lo cual es acorde con el principio de juridicidad. De esta manera, cada uno de ellos definirá la forma de adelantar su gestión contractual, sin que sea atribución de Colombia Compra Eficiente validar sus actuaciones</w:t>
            </w:r>
            <w:r>
              <w:rPr>
                <w:rFonts w:ascii="Verdana" w:eastAsia="Calibri" w:hAnsi="Verdana" w:cs="Arial"/>
                <w:lang w:val="es-ES"/>
              </w:rPr>
              <w:t>. (Respuesta a la pregunta 6)</w:t>
            </w:r>
          </w:p>
        </w:tc>
      </w:tr>
    </w:tbl>
    <w:p w14:paraId="714F8196" w14:textId="77777777" w:rsidR="00ED11A5" w:rsidRPr="00593A5F" w:rsidRDefault="00ED11A5" w:rsidP="00ED11A5">
      <w:pPr>
        <w:tabs>
          <w:tab w:val="left" w:pos="142"/>
          <w:tab w:val="left" w:pos="284"/>
        </w:tabs>
        <w:spacing w:after="0" w:line="276" w:lineRule="auto"/>
        <w:jc w:val="both"/>
        <w:rPr>
          <w:rFonts w:ascii="Verdana" w:eastAsia="Century Gothic" w:hAnsi="Verdana" w:cs="Century Gothic"/>
          <w:b/>
          <w:bCs/>
          <w:lang w:val="es-ES"/>
        </w:rPr>
      </w:pPr>
    </w:p>
    <w:bookmarkEnd w:id="1"/>
    <w:p w14:paraId="122B3F7F" w14:textId="77777777" w:rsidR="00ED11A5" w:rsidRPr="00593A5F" w:rsidRDefault="00ED11A5" w:rsidP="00ED11A5">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w:t>
      </w:r>
      <w:r>
        <w:rPr>
          <w:rFonts w:ascii="Verdana" w:eastAsia="Century Gothic" w:hAnsi="Verdana" w:cs="Century Gothic"/>
          <w:b/>
          <w:bCs/>
        </w:rPr>
        <w:t>s</w:t>
      </w:r>
      <w:r w:rsidRPr="00593A5F">
        <w:rPr>
          <w:rFonts w:ascii="Verdana" w:eastAsia="Century Gothic" w:hAnsi="Verdana" w:cs="Century Gothic"/>
          <w:b/>
          <w:bCs/>
        </w:rPr>
        <w:t xml:space="preserve"> respuesta</w:t>
      </w:r>
      <w:r>
        <w:rPr>
          <w:rFonts w:ascii="Verdana" w:eastAsia="Century Gothic" w:hAnsi="Verdana" w:cs="Century Gothic"/>
          <w:b/>
          <w:bCs/>
        </w:rPr>
        <w:t>s</w:t>
      </w:r>
      <w:r w:rsidRPr="00593A5F">
        <w:rPr>
          <w:rFonts w:ascii="Verdana" w:eastAsia="Century Gothic" w:hAnsi="Verdana" w:cs="Century Gothic"/>
          <w:b/>
          <w:bCs/>
        </w:rPr>
        <w:t>:</w:t>
      </w:r>
    </w:p>
    <w:p w14:paraId="202FA31C" w14:textId="77777777" w:rsidR="00ED11A5" w:rsidRPr="00593A5F" w:rsidRDefault="00ED11A5" w:rsidP="00ED11A5">
      <w:pPr>
        <w:spacing w:after="0" w:line="276" w:lineRule="auto"/>
        <w:jc w:val="both"/>
        <w:rPr>
          <w:rFonts w:ascii="Verdana" w:eastAsia="Calibri" w:hAnsi="Verdana" w:cs="Arial"/>
          <w:color w:val="7030A0"/>
          <w:lang w:val="es-ES"/>
        </w:rPr>
      </w:pPr>
    </w:p>
    <w:p w14:paraId="5E9136F2" w14:textId="77777777" w:rsidR="00ED11A5" w:rsidRDefault="00ED11A5" w:rsidP="00ED11A5">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03F5D096" w14:textId="77777777" w:rsidR="00ED11A5" w:rsidRPr="00415608" w:rsidRDefault="00ED11A5" w:rsidP="00ED11A5">
      <w:pPr>
        <w:spacing w:after="0" w:line="276" w:lineRule="auto"/>
        <w:jc w:val="both"/>
        <w:rPr>
          <w:rFonts w:ascii="Verdana" w:eastAsia="Calibri" w:hAnsi="Verdana" w:cs="Arial"/>
          <w:lang w:val="es-ES"/>
        </w:rPr>
      </w:pPr>
    </w:p>
    <w:p w14:paraId="084FC8D6" w14:textId="77777777" w:rsidR="00ED11A5" w:rsidRDefault="00ED11A5" w:rsidP="00ED11A5">
      <w:pPr>
        <w:spacing w:after="0" w:line="276" w:lineRule="auto"/>
        <w:jc w:val="both"/>
        <w:rPr>
          <w:rFonts w:ascii="Verdana" w:eastAsia="Times New Roman" w:hAnsi="Verdana" w:cs="Arial"/>
          <w:color w:val="000000"/>
          <w:lang w:val="es-ES_tradnl" w:eastAsia="es-ES_tradnl"/>
        </w:rPr>
      </w:pPr>
      <w:r>
        <w:rPr>
          <w:rFonts w:ascii="Verdana" w:eastAsia="Times New Roman" w:hAnsi="Verdana" w:cs="Arial"/>
          <w:color w:val="000000"/>
          <w:lang w:val="es-ES_tradnl" w:eastAsia="es-ES_tradnl"/>
        </w:rPr>
        <w:t>L</w:t>
      </w:r>
      <w:r w:rsidRPr="00575236">
        <w:rPr>
          <w:rFonts w:ascii="Verdana" w:eastAsia="Times New Roman" w:hAnsi="Verdana" w:cs="Arial"/>
          <w:color w:val="000000"/>
          <w:lang w:val="es-ES_tradnl" w:eastAsia="es-ES_tradnl"/>
        </w:rPr>
        <w:t xml:space="preserve">a </w:t>
      </w:r>
      <w:r w:rsidRPr="00575236">
        <w:rPr>
          <w:rFonts w:ascii="Verdana" w:eastAsia="Times New Roman" w:hAnsi="Verdana" w:cs="Arial"/>
          <w:i/>
          <w:iCs/>
          <w:color w:val="000000"/>
          <w:lang w:val="es-ES_tradnl" w:eastAsia="es-ES_tradnl"/>
        </w:rPr>
        <w:t>suspensión</w:t>
      </w:r>
      <w:r w:rsidRPr="00575236">
        <w:rPr>
          <w:rFonts w:ascii="Verdana" w:eastAsia="Times New Roman" w:hAnsi="Verdana" w:cs="Arial"/>
          <w:color w:val="000000"/>
          <w:lang w:val="es-ES_tradnl" w:eastAsia="es-ES_tradnl"/>
        </w:rPr>
        <w:t xml:space="preserve"> es la medida por la cual se acuerda el cese provisional de la ejecución del contrato, por la ocurrencia de circunstancias que lo impiden o lo dificultan</w:t>
      </w:r>
      <w:r w:rsidRPr="00575236">
        <w:rPr>
          <w:rStyle w:val="Refdenotaalpie"/>
          <w:rFonts w:ascii="Verdana" w:hAnsi="Verdana" w:cs="Arial"/>
        </w:rPr>
        <w:footnoteReference w:id="1"/>
      </w:r>
      <w:r w:rsidRPr="00575236">
        <w:rPr>
          <w:rFonts w:ascii="Verdana" w:eastAsia="Times New Roman" w:hAnsi="Verdana" w:cs="Arial"/>
          <w:color w:val="000000"/>
          <w:lang w:val="es-ES_tradnl" w:eastAsia="es-ES_tradnl"/>
        </w:rPr>
        <w:t xml:space="preserve">. Las razones de aquella pueden ser de orden técnico, jurídico o económico. En la medida de lo posible, las entidades estatales, durante la fase de planeación debe precaver los riesgos que pueden afectar la ejecución normal del contrato, pero esto no elimina la probabilidad de que ocurran sucesos posteriores y extraordinarios que lleven a las partes a acordar la suspensión o que paralicen el contrato </w:t>
      </w:r>
      <w:r w:rsidRPr="00575236">
        <w:rPr>
          <w:rFonts w:ascii="Verdana" w:eastAsia="Times New Roman" w:hAnsi="Verdana" w:cs="Arial"/>
          <w:i/>
          <w:iCs/>
          <w:color w:val="000000"/>
          <w:lang w:val="es-ES_tradnl" w:eastAsia="es-ES_tradnl"/>
        </w:rPr>
        <w:t>de facto</w:t>
      </w:r>
      <w:r w:rsidRPr="00575236">
        <w:rPr>
          <w:rFonts w:ascii="Verdana" w:eastAsia="Times New Roman" w:hAnsi="Verdana" w:cs="Arial"/>
          <w:color w:val="000000"/>
          <w:lang w:val="es-ES_tradnl" w:eastAsia="es-ES_tradnl"/>
        </w:rPr>
        <w:t>, mientras se resuelven las situaciones que están incidiendo negativamente en el desarrollo del negocio o que lo están tornando imposible. Esto quiere decir que la suspensión puede ser acordada por las partes –como usualmente sucede y es lo más recomendable, siempre que existan motivos fundados para ello– o darse por la fuerza de los hechos, es decir, por la configuración de eventos externos e irresistibles que hagan imposible la ejecución del contrato durante un tiempo</w:t>
      </w:r>
      <w:r w:rsidRPr="00575236">
        <w:rPr>
          <w:rStyle w:val="Refdenotaalpie"/>
          <w:rFonts w:ascii="Verdana" w:hAnsi="Verdana" w:cs="Arial"/>
        </w:rPr>
        <w:footnoteReference w:id="2"/>
      </w:r>
      <w:r w:rsidRPr="00575236">
        <w:rPr>
          <w:rFonts w:ascii="Verdana" w:eastAsia="Times New Roman" w:hAnsi="Verdana" w:cs="Arial"/>
          <w:color w:val="000000"/>
          <w:lang w:val="es-ES_tradnl" w:eastAsia="es-ES_tradnl"/>
        </w:rPr>
        <w:t>; es decir, por factores que constituyan razones de fuerza mayor o caso fortuito</w:t>
      </w:r>
      <w:r w:rsidRPr="00575236">
        <w:rPr>
          <w:rStyle w:val="Refdenotaalpie"/>
          <w:rFonts w:ascii="Verdana" w:hAnsi="Verdana" w:cs="Arial"/>
        </w:rPr>
        <w:footnoteReference w:id="3"/>
      </w:r>
      <w:r w:rsidRPr="00575236">
        <w:rPr>
          <w:rFonts w:ascii="Verdana" w:eastAsia="Times New Roman" w:hAnsi="Verdana" w:cs="Arial"/>
          <w:color w:val="000000"/>
          <w:lang w:val="es-ES_tradnl" w:eastAsia="es-ES_tradnl"/>
        </w:rPr>
        <w:t>.</w:t>
      </w:r>
      <w:r>
        <w:rPr>
          <w:rFonts w:ascii="Verdana" w:eastAsia="Times New Roman" w:hAnsi="Verdana" w:cs="Arial"/>
          <w:color w:val="000000"/>
          <w:lang w:val="es-ES_tradnl" w:eastAsia="es-ES_tradnl"/>
        </w:rPr>
        <w:t xml:space="preserve"> Como explica la doctrina:</w:t>
      </w:r>
    </w:p>
    <w:p w14:paraId="77D87203" w14:textId="77777777" w:rsidR="00ED11A5" w:rsidRDefault="00ED11A5" w:rsidP="00ED11A5">
      <w:pPr>
        <w:spacing w:after="0" w:line="276" w:lineRule="auto"/>
        <w:jc w:val="both"/>
        <w:rPr>
          <w:rFonts w:ascii="Verdana" w:eastAsia="Times New Roman" w:hAnsi="Verdana" w:cs="Arial"/>
          <w:color w:val="000000"/>
          <w:lang w:val="es-ES_tradnl" w:eastAsia="es-ES_tradnl"/>
        </w:rPr>
      </w:pPr>
    </w:p>
    <w:p w14:paraId="459AC6BD" w14:textId="77777777" w:rsidR="00ED11A5" w:rsidRPr="001C4045" w:rsidRDefault="00ED11A5" w:rsidP="00ED11A5">
      <w:pPr>
        <w:spacing w:after="120" w:line="240" w:lineRule="auto"/>
        <w:ind w:left="709" w:right="709"/>
        <w:jc w:val="both"/>
        <w:rPr>
          <w:rFonts w:ascii="Verdana" w:eastAsia="Times New Roman" w:hAnsi="Verdana" w:cs="Arial"/>
          <w:color w:val="000000"/>
          <w:sz w:val="20"/>
          <w:szCs w:val="20"/>
          <w:lang w:val="es-ES" w:eastAsia="es-ES"/>
        </w:rPr>
      </w:pPr>
      <w:r w:rsidRPr="439A9752">
        <w:rPr>
          <w:rFonts w:ascii="Verdana" w:eastAsia="Times New Roman" w:hAnsi="Verdana" w:cs="Arial"/>
          <w:color w:val="000000" w:themeColor="text1"/>
          <w:sz w:val="20"/>
          <w:szCs w:val="20"/>
          <w:lang w:val="es-ES" w:eastAsia="es-ES"/>
        </w:rPr>
        <w:t xml:space="preserve">“[…] la suspensión como parálisis transitoria del contrato, es provechosa para los intereses públicos cuando no siendo posible continuar con su ejecución por circunstancias imputables a la Administración o por hechos externos, se erige en la medida salvadora para detener el taxímetro </w:t>
      </w:r>
      <w:r w:rsidRPr="439A9752">
        <w:rPr>
          <w:rFonts w:ascii="Verdana" w:eastAsia="Times New Roman" w:hAnsi="Verdana" w:cs="Arial"/>
          <w:color w:val="000000" w:themeColor="text1"/>
          <w:sz w:val="20"/>
          <w:szCs w:val="20"/>
          <w:lang w:val="es-ES" w:eastAsia="es-ES"/>
        </w:rPr>
        <w:lastRenderedPageBreak/>
        <w:t xml:space="preserve">creciente que en ciertos contratos implica la permanencia de personal o uso de maquinaria o la existencia de condiciones de ejecución dispuestas por el contratista. Frente a la imposibilidad inmediata de acometer el contrato, muchas veces puede ser conveniente suspenderlo para que el contratista tome las medidas del caso en procura de evitar costos innecesarios para el erario. </w:t>
      </w:r>
    </w:p>
    <w:p w14:paraId="5DC71ED8" w14:textId="77777777" w:rsidR="00ED11A5" w:rsidRPr="001C4045" w:rsidRDefault="00ED11A5" w:rsidP="00ED11A5">
      <w:pPr>
        <w:spacing w:after="120" w:line="240" w:lineRule="auto"/>
        <w:ind w:left="709" w:right="709"/>
        <w:jc w:val="both"/>
        <w:rPr>
          <w:rFonts w:ascii="Verdana" w:eastAsia="Times New Roman" w:hAnsi="Verdana" w:cs="Arial"/>
          <w:color w:val="000000"/>
          <w:sz w:val="20"/>
          <w:szCs w:val="20"/>
          <w:lang w:val="es-ES_tradnl" w:eastAsia="es-ES_tradnl"/>
        </w:rPr>
      </w:pPr>
      <w:r w:rsidRPr="001C4045">
        <w:rPr>
          <w:rFonts w:ascii="Verdana" w:eastAsia="Times New Roman" w:hAnsi="Verdana" w:cs="Arial"/>
          <w:color w:val="000000"/>
          <w:sz w:val="20"/>
          <w:szCs w:val="20"/>
          <w:lang w:val="es-ES_tradnl" w:eastAsia="es-ES_tradnl"/>
        </w:rPr>
        <w:t xml:space="preserve">Hemos dicho que causas atribuibles a la entidad podrían propiciar la suspensión por cuanto muchas veces el incumplimiento de estrictos deberes de conducta a desarrollarse durante la fase preparatoria y de planeación, afectan la ejecución por ausencia de requisitos indispensables, como serían licencias y permisos ambientales o de construcción o la falta de los terrenos indispensables para las obras por demoras en su adquisición. Claro está que la imputación de responsabilidad para la entidad genera derechos pecuniarios resarcibles para el contratista que no pueden eliminarse ni negarse, pero si reducirse mediante la suspensión del contrato. </w:t>
      </w:r>
    </w:p>
    <w:p w14:paraId="3AF72AAC" w14:textId="77777777" w:rsidR="00ED11A5" w:rsidRPr="001C4045" w:rsidRDefault="00ED11A5" w:rsidP="00ED11A5">
      <w:pPr>
        <w:spacing w:after="120" w:line="240" w:lineRule="auto"/>
        <w:ind w:left="709" w:right="709"/>
        <w:jc w:val="both"/>
        <w:rPr>
          <w:rFonts w:ascii="Verdana" w:eastAsia="Times New Roman" w:hAnsi="Verdana" w:cs="Arial"/>
          <w:color w:val="000000"/>
          <w:sz w:val="20"/>
          <w:szCs w:val="20"/>
          <w:lang w:val="es-ES_tradnl" w:eastAsia="es-ES_tradnl"/>
        </w:rPr>
      </w:pPr>
      <w:r w:rsidRPr="001C4045">
        <w:rPr>
          <w:rFonts w:ascii="Verdana" w:eastAsia="Times New Roman" w:hAnsi="Verdana" w:cs="Arial"/>
          <w:color w:val="000000"/>
          <w:sz w:val="20"/>
          <w:szCs w:val="20"/>
          <w:lang w:val="es-ES_tradnl" w:eastAsia="es-ES_tradnl"/>
        </w:rPr>
        <w:t xml:space="preserve">También hechos ajenos a las partes como podrían ser fenómenos de la naturaleza o acciones del hombre pueden alterar el desarrollo del contrato, incluso impidiendo la ejecución de manera por lo menos, dentro de una previsión normal, transitoria. </w:t>
      </w:r>
    </w:p>
    <w:p w14:paraId="372CD908" w14:textId="77777777" w:rsidR="00ED11A5" w:rsidRDefault="00ED11A5" w:rsidP="00ED11A5">
      <w:pPr>
        <w:spacing w:after="0" w:line="240" w:lineRule="auto"/>
        <w:ind w:left="709" w:right="709"/>
        <w:jc w:val="both"/>
        <w:rPr>
          <w:rFonts w:ascii="Verdana" w:eastAsia="Times New Roman" w:hAnsi="Verdana" w:cs="Arial"/>
          <w:color w:val="000000"/>
          <w:lang w:val="es-ES_tradnl" w:eastAsia="es-ES_tradnl"/>
        </w:rPr>
      </w:pPr>
      <w:r w:rsidRPr="001C4045">
        <w:rPr>
          <w:rFonts w:ascii="Verdana" w:eastAsia="Times New Roman" w:hAnsi="Verdana" w:cs="Arial"/>
          <w:color w:val="000000"/>
          <w:sz w:val="20"/>
          <w:szCs w:val="20"/>
          <w:lang w:val="es-ES_tradnl" w:eastAsia="es-ES_tradnl"/>
        </w:rPr>
        <w:t>Bajo las condiciones expuestas, la suspensión del contrato debe hacerse de común acuerdo entre las partes. El convenio que la contenga debe consignar las razones que la fundamentan y las medidas que se van a adoptar para hacerla viable, así como las condiciones indispensables para reiniciar la ejecución del contrato. Como acuerdo que es, implica la necesaria concurrencia de la voluntad del contratista. No se vería razón para la negativa de este siendo que la imposibilidad de ejecución y la ausencia de una medida semejante, irían en contra de sus intereses por el acortamiento del plazo contractual […]”</w:t>
      </w:r>
      <w:r>
        <w:rPr>
          <w:rStyle w:val="Refdenotaalpie"/>
          <w:rFonts w:ascii="Verdana" w:eastAsia="Times New Roman" w:hAnsi="Verdana" w:cs="Arial"/>
          <w:color w:val="000000"/>
          <w:sz w:val="20"/>
          <w:szCs w:val="20"/>
          <w:lang w:val="es-ES_tradnl" w:eastAsia="es-ES_tradnl"/>
        </w:rPr>
        <w:footnoteReference w:id="4"/>
      </w:r>
      <w:r w:rsidRPr="001C4045">
        <w:rPr>
          <w:rFonts w:ascii="Verdana" w:eastAsia="Times New Roman" w:hAnsi="Verdana" w:cs="Arial"/>
          <w:color w:val="000000"/>
          <w:sz w:val="20"/>
          <w:szCs w:val="20"/>
          <w:lang w:val="es-ES_tradnl" w:eastAsia="es-ES_tradnl"/>
        </w:rPr>
        <w:t>.</w:t>
      </w:r>
    </w:p>
    <w:p w14:paraId="4E8EEBDC" w14:textId="77777777" w:rsidR="00ED11A5" w:rsidRPr="00575236" w:rsidRDefault="00ED11A5" w:rsidP="00ED11A5">
      <w:pPr>
        <w:spacing w:after="0" w:line="276" w:lineRule="auto"/>
        <w:jc w:val="both"/>
        <w:rPr>
          <w:rFonts w:ascii="Verdana" w:eastAsia="Times New Roman" w:hAnsi="Verdana" w:cs="Arial"/>
          <w:color w:val="000000"/>
          <w:lang w:val="es-ES_tradnl" w:eastAsia="es-ES_tradnl"/>
        </w:rPr>
      </w:pPr>
    </w:p>
    <w:p w14:paraId="5BFB3C99" w14:textId="77777777" w:rsidR="00ED11A5" w:rsidRPr="00575236" w:rsidRDefault="00ED11A5" w:rsidP="00ED11A5">
      <w:pPr>
        <w:spacing w:after="120" w:line="276" w:lineRule="auto"/>
        <w:ind w:firstLine="709"/>
        <w:jc w:val="both"/>
        <w:rPr>
          <w:rFonts w:ascii="Verdana" w:eastAsia="Times New Roman" w:hAnsi="Verdana" w:cs="Arial"/>
          <w:color w:val="000000"/>
          <w:lang w:val="es-ES_tradnl" w:eastAsia="es-ES_tradnl"/>
        </w:rPr>
      </w:pPr>
      <w:r w:rsidRPr="00575236">
        <w:rPr>
          <w:rFonts w:ascii="Verdana" w:eastAsia="Times New Roman" w:hAnsi="Verdana" w:cs="Arial"/>
          <w:color w:val="000000"/>
          <w:lang w:val="es-ES_tradnl" w:eastAsia="es-ES_tradnl"/>
        </w:rPr>
        <w:t>Por lo tanto, aun cuando un contrato se suspenda, conserva vigencia, pues su plazo no ha vencido, precisamente uno de los efectos de la suspensión es que se detiene provisionalmente el cómputo del plazo y, además las obligaciones de las partes están pendientes de cumplimiento a cabalidad</w:t>
      </w:r>
      <w:r w:rsidRPr="00575236">
        <w:rPr>
          <w:rStyle w:val="Refdenotaalpie"/>
          <w:rFonts w:ascii="Verdana" w:hAnsi="Verdana" w:cs="Arial"/>
        </w:rPr>
        <w:footnoteReference w:id="5"/>
      </w:r>
      <w:r w:rsidRPr="00575236">
        <w:rPr>
          <w:rFonts w:ascii="Verdana" w:eastAsia="Times New Roman" w:hAnsi="Verdana" w:cs="Arial"/>
          <w:color w:val="000000"/>
          <w:lang w:val="es-ES_tradnl" w:eastAsia="es-ES_tradnl"/>
        </w:rPr>
        <w:t xml:space="preserve">. </w:t>
      </w:r>
    </w:p>
    <w:p w14:paraId="5050A614" w14:textId="77777777" w:rsidR="00ED11A5" w:rsidRDefault="00ED11A5" w:rsidP="00ED11A5">
      <w:pPr>
        <w:spacing w:before="120" w:after="120" w:line="276" w:lineRule="auto"/>
        <w:ind w:firstLine="709"/>
        <w:jc w:val="both"/>
        <w:rPr>
          <w:rFonts w:ascii="Verdana" w:eastAsia="Times New Roman" w:hAnsi="Verdana" w:cs="Arial"/>
          <w:color w:val="000000"/>
          <w:lang w:val="es-ES_tradnl" w:eastAsia="es-ES_tradnl"/>
        </w:rPr>
      </w:pPr>
      <w:r w:rsidRPr="00575236">
        <w:rPr>
          <w:rFonts w:ascii="Verdana" w:eastAsia="Times New Roman" w:hAnsi="Verdana" w:cs="Arial"/>
          <w:color w:val="000000"/>
          <w:lang w:val="es-ES_tradnl" w:eastAsia="es-ES_tradnl"/>
        </w:rPr>
        <w:lastRenderedPageBreak/>
        <w:t xml:space="preserve">Ahora bien, cuando se suscribe un </w:t>
      </w:r>
      <w:r w:rsidRPr="00575236">
        <w:rPr>
          <w:rFonts w:ascii="Verdana" w:eastAsia="Times New Roman" w:hAnsi="Verdana" w:cs="Arial"/>
          <w:i/>
          <w:iCs/>
          <w:color w:val="000000"/>
          <w:lang w:val="es-ES_tradnl" w:eastAsia="es-ES_tradnl"/>
        </w:rPr>
        <w:t>acta de suspensión</w:t>
      </w:r>
      <w:r w:rsidRPr="00575236">
        <w:rPr>
          <w:rFonts w:ascii="Verdana" w:eastAsia="Times New Roman" w:hAnsi="Verdana" w:cs="Arial"/>
          <w:color w:val="000000"/>
          <w:lang w:val="es-ES_tradnl" w:eastAsia="es-ES_tradnl"/>
        </w:rPr>
        <w:t xml:space="preserve"> puede establecerse, en ejercicio de la autonomía de la voluntad, que el plazo del contrato se reactivará una vez se firme el </w:t>
      </w:r>
      <w:r w:rsidRPr="00575236">
        <w:rPr>
          <w:rFonts w:ascii="Verdana" w:eastAsia="Times New Roman" w:hAnsi="Verdana" w:cs="Arial"/>
          <w:i/>
          <w:iCs/>
          <w:color w:val="000000"/>
          <w:lang w:val="es-ES_tradnl" w:eastAsia="es-ES_tradnl"/>
        </w:rPr>
        <w:t>acta de reinicio</w:t>
      </w:r>
      <w:r w:rsidRPr="00575236">
        <w:rPr>
          <w:rFonts w:ascii="Verdana" w:eastAsia="Times New Roman" w:hAnsi="Verdana" w:cs="Arial"/>
          <w:color w:val="000000"/>
          <w:lang w:val="es-ES_tradnl" w:eastAsia="es-ES_tradnl"/>
        </w:rPr>
        <w:t xml:space="preserve"> correspondiente. La firma de estos documentos corresponde principalmente a las partes del contrato inicial. En esta medida, por ejemplo, no corresponde a los supervisores ni a los interventores acordar con el contratista la suspensión o el reinicio de las actividades. Esta facultad recae sobre el jefe de la entidad contratante –o su delegado– y el contratista. Esto sin perjuicio de que, conforme a la misma autonomía de la voluntad y en consideración a las razones que han motivado el cese provisional de la ejecución del contrato, otra metodología que pueden emplear las partes para elaborar el acta de suspensión es indicar en ella que la ejecución se reactivará cuando se cumpla un determinado plazo o condición, de manera automática, sin necesidad de suscribir un acta de reinicio. </w:t>
      </w:r>
    </w:p>
    <w:p w14:paraId="410027B4" w14:textId="77777777" w:rsidR="00ED11A5" w:rsidRDefault="00ED11A5" w:rsidP="00ED11A5">
      <w:pPr>
        <w:spacing w:before="120" w:after="120" w:line="276" w:lineRule="auto"/>
        <w:ind w:firstLine="709"/>
        <w:jc w:val="both"/>
        <w:rPr>
          <w:rFonts w:ascii="Verdana" w:eastAsia="Times New Roman" w:hAnsi="Verdana" w:cs="Arial"/>
          <w:color w:val="000000"/>
          <w:lang w:val="es-ES_tradnl" w:eastAsia="es-ES_tradnl"/>
        </w:rPr>
      </w:pPr>
      <w:r>
        <w:rPr>
          <w:rFonts w:ascii="Verdana" w:eastAsia="Times New Roman" w:hAnsi="Verdana" w:cs="Arial"/>
          <w:color w:val="000000"/>
          <w:lang w:val="es-ES_tradnl" w:eastAsia="es-ES_tradnl"/>
        </w:rPr>
        <w:t>Mientras el contrato no se haya reiniciado, la suspensión genera tanto el congelamiento de las obligaciones principales como la neutralización del cómputo del plazo. De esta manera, “</w:t>
      </w:r>
      <w:r w:rsidRPr="00384CC6">
        <w:rPr>
          <w:rFonts w:ascii="Verdana" w:eastAsia="Times New Roman" w:hAnsi="Verdana" w:cs="Arial"/>
          <w:color w:val="000000"/>
          <w:lang w:val="es-ES_tradnl" w:eastAsia="es-ES_tradnl"/>
        </w:rPr>
        <w:t>[…] se interrumpe temporalmente la ejecución, sin que ello extinga las obligaciones asumidas ni suponga terminación anticipada; durante ese período no se generan obligaciones de ejecución para las partes respecto de las prestaciones suspendidas y no corren los plazos de ejecución […]”</w:t>
      </w:r>
      <w:r>
        <w:rPr>
          <w:rStyle w:val="Refdenotaalpie"/>
          <w:rFonts w:ascii="Verdana" w:eastAsia="Times New Roman" w:hAnsi="Verdana" w:cs="Arial"/>
          <w:color w:val="000000"/>
          <w:lang w:val="es-ES_tradnl" w:eastAsia="es-ES_tradnl"/>
        </w:rPr>
        <w:footnoteReference w:id="6"/>
      </w:r>
      <w:r>
        <w:rPr>
          <w:rFonts w:ascii="Verdana" w:eastAsia="Times New Roman" w:hAnsi="Verdana" w:cs="Arial"/>
          <w:color w:val="000000"/>
          <w:lang w:val="es-ES_tradnl" w:eastAsia="es-ES_tradnl"/>
        </w:rPr>
        <w:t>. Luego, si la suspensión interrumpe el plazo contractual, durante la misma no es posible liquidar el contrato, ya que esta última supone su vencimiento.</w:t>
      </w:r>
    </w:p>
    <w:p w14:paraId="3E000772" w14:textId="77777777" w:rsidR="00ED11A5" w:rsidRDefault="00ED11A5" w:rsidP="00ED11A5">
      <w:pPr>
        <w:spacing w:after="120" w:line="276" w:lineRule="auto"/>
        <w:ind w:firstLine="708"/>
        <w:jc w:val="both"/>
        <w:rPr>
          <w:rFonts w:ascii="Verdana" w:eastAsia="Calibri" w:hAnsi="Verdana" w:cs="Arial"/>
          <w:color w:val="000000"/>
          <w:lang w:val="es-ES"/>
        </w:rPr>
      </w:pPr>
      <w:r>
        <w:rPr>
          <w:rFonts w:ascii="Verdana" w:eastAsia="Calibri" w:hAnsi="Verdana" w:cs="Arial"/>
          <w:color w:val="000000"/>
          <w:lang w:val="es-ES"/>
        </w:rPr>
        <w:t>E</w:t>
      </w:r>
      <w:r w:rsidRPr="64F094BD">
        <w:rPr>
          <w:rFonts w:ascii="Verdana" w:eastAsia="Calibri" w:hAnsi="Verdana" w:cs="Arial"/>
          <w:color w:val="000000"/>
          <w:lang w:val="es-ES"/>
        </w:rPr>
        <w:t>l artículo 11 de la Ley 1150 de 2007 contiene las reglas de tipo procedimental para liquidar los contratos estatales</w:t>
      </w:r>
      <w:r>
        <w:rPr>
          <w:rFonts w:ascii="Verdana" w:eastAsia="Calibri" w:hAnsi="Verdana" w:cs="Arial"/>
          <w:color w:val="000000"/>
          <w:lang w:val="es-ES"/>
        </w:rPr>
        <w:t xml:space="preserve">. Para estos efectos, </w:t>
      </w:r>
      <w:r w:rsidRPr="64F094BD">
        <w:rPr>
          <w:rFonts w:ascii="Verdana" w:eastAsia="Calibri" w:hAnsi="Verdana" w:cs="Arial"/>
          <w:color w:val="000000"/>
          <w:lang w:val="es-ES"/>
        </w:rPr>
        <w:t xml:space="preserve">en ejercicio de la autonomía de la voluntad y de conformidad con los criterios de la naturaleza, objeto y plazo del contrato, la entidad puede definir en el pliego de condiciones o en el contrato el plazo para efectuar la liquidación de mutuo acuerdo. En ausencia de pacto contractual, el artículo 11 de la Ley 1150 de 2007 prevé un término supletivo de 4 meses contados desde: i) el vencimiento del plazo previsto para la ejecución del contrato; </w:t>
      </w:r>
      <w:proofErr w:type="spellStart"/>
      <w:r w:rsidRPr="64F094BD">
        <w:rPr>
          <w:rFonts w:ascii="Verdana" w:eastAsia="Calibri" w:hAnsi="Verdana" w:cs="Arial"/>
          <w:color w:val="000000"/>
          <w:lang w:val="es-ES"/>
        </w:rPr>
        <w:t>ii</w:t>
      </w:r>
      <w:proofErr w:type="spellEnd"/>
      <w:r w:rsidRPr="64F094BD">
        <w:rPr>
          <w:rFonts w:ascii="Verdana" w:eastAsia="Calibri" w:hAnsi="Verdana" w:cs="Arial"/>
          <w:color w:val="000000"/>
          <w:lang w:val="es-ES"/>
        </w:rPr>
        <w:t xml:space="preserve">) la expedición del acto </w:t>
      </w:r>
      <w:r w:rsidRPr="64F094BD">
        <w:rPr>
          <w:rFonts w:ascii="Verdana" w:eastAsia="Calibri" w:hAnsi="Verdana" w:cs="Arial"/>
          <w:color w:val="000000"/>
          <w:lang w:val="es-ES"/>
        </w:rPr>
        <w:lastRenderedPageBreak/>
        <w:t xml:space="preserve">administrativo que ordene la terminación del contrato; o, </w:t>
      </w:r>
      <w:proofErr w:type="spellStart"/>
      <w:r w:rsidRPr="64F094BD">
        <w:rPr>
          <w:rFonts w:ascii="Verdana" w:eastAsia="Calibri" w:hAnsi="Verdana" w:cs="Arial"/>
          <w:color w:val="000000"/>
          <w:lang w:val="es-ES"/>
        </w:rPr>
        <w:t>iii</w:t>
      </w:r>
      <w:proofErr w:type="spellEnd"/>
      <w:r w:rsidRPr="64F094BD">
        <w:rPr>
          <w:rFonts w:ascii="Verdana" w:eastAsia="Calibri" w:hAnsi="Verdana" w:cs="Arial"/>
          <w:color w:val="000000"/>
          <w:lang w:val="es-ES"/>
        </w:rPr>
        <w:t>) la fecha del acuerdo que disponga la terminación del contrato.</w:t>
      </w:r>
      <w:r>
        <w:rPr>
          <w:rFonts w:ascii="Verdana" w:eastAsia="Calibri" w:hAnsi="Verdana" w:cs="Arial"/>
          <w:color w:val="000000"/>
          <w:lang w:val="es-ES"/>
        </w:rPr>
        <w:t xml:space="preserve"> </w:t>
      </w:r>
    </w:p>
    <w:p w14:paraId="222A7F33" w14:textId="77777777" w:rsidR="00ED11A5" w:rsidRDefault="00ED11A5" w:rsidP="00ED11A5">
      <w:pPr>
        <w:spacing w:after="120" w:line="276" w:lineRule="auto"/>
        <w:ind w:firstLine="708"/>
        <w:jc w:val="both"/>
        <w:rPr>
          <w:rFonts w:ascii="Verdana" w:eastAsia="Calibri" w:hAnsi="Verdana" w:cs="Arial"/>
          <w:color w:val="000000"/>
          <w:lang w:val="es-ES"/>
        </w:rPr>
      </w:pPr>
      <w:r>
        <w:rPr>
          <w:rFonts w:ascii="Verdana" w:eastAsia="Calibri" w:hAnsi="Verdana" w:cs="Arial"/>
          <w:color w:val="000000"/>
          <w:lang w:val="es-ES"/>
        </w:rPr>
        <w:t>Por tanto, la suspensión del contrato impide la liquidación de este. Como aquella no implica terminación anticipada, la suspensión interrupte el vencimiento del plazo previsto para ejecutar las obligaciones pactadas. Luego, la competencia para liquidar supone alguno de los tres (3) eventos indicados en el párrafo precedente. Sin el cumplimiento de uno de estos presupuestos, no es posible la liquidación bilateral, unilateral o judicial del contrato, ya que el cruce de cuentas para precisar si las partes están a paz y salvo en el cumplimiento de sus obligaciones se realiza después la terminación del contracto.</w:t>
      </w:r>
    </w:p>
    <w:p w14:paraId="535E98C0" w14:textId="77777777" w:rsidR="00ED11A5" w:rsidRPr="00404109" w:rsidRDefault="00ED11A5" w:rsidP="00ED11A5">
      <w:pPr>
        <w:tabs>
          <w:tab w:val="left" w:pos="426"/>
        </w:tabs>
        <w:spacing w:after="120" w:line="276" w:lineRule="auto"/>
        <w:jc w:val="both"/>
        <w:rPr>
          <w:rFonts w:ascii="Verdana" w:eastAsia="Times New Roman" w:hAnsi="Verdana" w:cs="Arial"/>
          <w:color w:val="000000"/>
          <w:szCs w:val="24"/>
          <w:lang w:val="es-ES_tradnl" w:eastAsia="es-ES_tradnl"/>
        </w:rPr>
      </w:pPr>
      <w:r>
        <w:rPr>
          <w:rFonts w:ascii="Verdana" w:eastAsia="Calibri" w:hAnsi="Verdana" w:cs="Arial"/>
          <w:color w:val="000000" w:themeColor="text1"/>
          <w:lang w:eastAsia="es-ES"/>
        </w:rPr>
        <w:tab/>
      </w:r>
      <w:r>
        <w:rPr>
          <w:rFonts w:ascii="Verdana" w:eastAsia="Calibri" w:hAnsi="Verdana" w:cs="Arial"/>
          <w:color w:val="000000" w:themeColor="text1"/>
          <w:lang w:eastAsia="es-ES"/>
        </w:rPr>
        <w:tab/>
        <w:t xml:space="preserve">Lo anterior en la medida que la liquidación </w:t>
      </w:r>
      <w:r>
        <w:rPr>
          <w:rFonts w:ascii="Verdana" w:eastAsia="Calibri" w:hAnsi="Verdana" w:cs="Arial"/>
          <w:color w:val="000000"/>
          <w:lang w:val="es-ES_tradnl"/>
        </w:rPr>
        <w:t>corresponde</w:t>
      </w:r>
      <w:r w:rsidRPr="00FB5FC4">
        <w:rPr>
          <w:rFonts w:ascii="Verdana" w:eastAsia="Calibri" w:hAnsi="Verdana" w:cs="Arial"/>
          <w:color w:val="000000"/>
          <w:lang w:val="es-ES_tradnl"/>
        </w:rPr>
        <w:t xml:space="preserve"> </w:t>
      </w:r>
      <w:r>
        <w:rPr>
          <w:rFonts w:ascii="Verdana" w:eastAsia="Calibri" w:hAnsi="Verdana" w:cs="Arial"/>
          <w:color w:val="000000"/>
          <w:lang w:val="es-ES_tradnl"/>
        </w:rPr>
        <w:t>a</w:t>
      </w:r>
      <w:r w:rsidRPr="00FB5FC4">
        <w:rPr>
          <w:rFonts w:ascii="Verdana" w:eastAsia="Calibri" w:hAnsi="Verdana" w:cs="Arial"/>
          <w:color w:val="000000"/>
          <w:lang w:val="es-ES_tradnl"/>
        </w:rPr>
        <w:t>l momento en el cual, una vez concluido el contrato estatal, las partes cruzan cuentas respecto de sus obligaciones</w:t>
      </w:r>
      <w:r>
        <w:rPr>
          <w:rFonts w:ascii="Verdana" w:eastAsia="Calibri" w:hAnsi="Verdana" w:cs="Arial"/>
          <w:color w:val="000000"/>
          <w:lang w:val="es-ES_tradnl"/>
        </w:rPr>
        <w:t>.</w:t>
      </w:r>
      <w:r w:rsidRPr="00FB5FC4">
        <w:rPr>
          <w:rFonts w:ascii="Verdana" w:eastAsia="Calibri" w:hAnsi="Verdana" w:cs="Arial"/>
          <w:color w:val="000000"/>
          <w:lang w:val="es-ES_tradnl"/>
        </w:rPr>
        <w:t xml:space="preserve"> </w:t>
      </w:r>
      <w:r>
        <w:rPr>
          <w:rFonts w:ascii="Verdana" w:eastAsia="Calibri" w:hAnsi="Verdana" w:cs="Arial"/>
          <w:color w:val="000000"/>
          <w:lang w:val="es-ES_tradnl"/>
        </w:rPr>
        <w:t>P</w:t>
      </w:r>
      <w:r w:rsidRPr="00FB5FC4">
        <w:rPr>
          <w:rFonts w:ascii="Verdana" w:eastAsia="Calibri" w:hAnsi="Verdana" w:cs="Arial"/>
          <w:color w:val="000000"/>
          <w:lang w:val="es-ES_tradnl"/>
        </w:rPr>
        <w:t xml:space="preserve">or tanto, su objetivo es determinar si pueden declararse a paz y salvo mutuo o si, por el contrario, existen aún obligaciones por cumplir, para acordar la forma en que deben ser </w:t>
      </w:r>
      <w:r>
        <w:rPr>
          <w:rFonts w:ascii="Verdana" w:eastAsia="Calibri" w:hAnsi="Verdana" w:cs="Arial"/>
          <w:color w:val="000000"/>
          <w:lang w:val="es-ES_tradnl"/>
        </w:rPr>
        <w:t>finalizadas</w:t>
      </w:r>
      <w:r w:rsidRPr="00FB5FC4">
        <w:rPr>
          <w:rFonts w:ascii="Verdana" w:eastAsia="Calibri" w:hAnsi="Verdana" w:cs="Arial"/>
          <w:color w:val="000000"/>
          <w:vertAlign w:val="superscript"/>
          <w:lang w:val="es-ES_tradnl"/>
        </w:rPr>
        <w:footnoteReference w:id="7"/>
      </w:r>
      <w:r w:rsidRPr="00FB5FC4">
        <w:rPr>
          <w:rFonts w:ascii="Verdana" w:eastAsia="Calibri" w:hAnsi="Verdana" w:cs="Arial"/>
          <w:color w:val="000000"/>
          <w:lang w:val="es-ES_tradnl"/>
        </w:rPr>
        <w:t>.</w:t>
      </w:r>
      <w:r>
        <w:rPr>
          <w:rFonts w:ascii="Verdana" w:eastAsia="Calibri" w:hAnsi="Verdana" w:cs="Arial"/>
          <w:color w:val="000000" w:themeColor="text1"/>
          <w:lang w:eastAsia="es-ES"/>
        </w:rPr>
        <w:t xml:space="preserve"> </w:t>
      </w:r>
      <w:r>
        <w:rPr>
          <w:rFonts w:ascii="Verdana" w:eastAsia="Times New Roman" w:hAnsi="Verdana" w:cs="Arial"/>
          <w:color w:val="000000"/>
          <w:szCs w:val="24"/>
          <w:lang w:val="es-ES_tradnl" w:eastAsia="es-ES_tradnl"/>
        </w:rPr>
        <w:t>S</w:t>
      </w:r>
      <w:r w:rsidRPr="00FB5FC4">
        <w:rPr>
          <w:rFonts w:ascii="Verdana" w:eastAsia="Times New Roman" w:hAnsi="Verdana" w:cs="Arial"/>
          <w:color w:val="000000"/>
          <w:szCs w:val="24"/>
          <w:lang w:val="es-ES_tradnl" w:eastAsia="es-ES_tradnl"/>
        </w:rPr>
        <w:t xml:space="preserve">egún la jurisprudencia, la liquidación es el ajuste de cuentas donde las partes hacen un balance económico, técnico y jurídico del cumplimiento de las obligaciones que tienen a su cargo. Así lo manifestó el Consejo de Estado en la </w:t>
      </w:r>
      <w:r>
        <w:rPr>
          <w:rFonts w:ascii="Verdana" w:eastAsia="Times New Roman" w:hAnsi="Verdana" w:cs="Arial"/>
          <w:color w:val="000000"/>
          <w:szCs w:val="24"/>
          <w:lang w:val="es-ES_tradnl" w:eastAsia="es-ES_tradnl"/>
        </w:rPr>
        <w:t>S</w:t>
      </w:r>
      <w:r w:rsidRPr="00FB5FC4">
        <w:rPr>
          <w:rFonts w:ascii="Verdana" w:eastAsia="Times New Roman" w:hAnsi="Verdana" w:cs="Arial"/>
          <w:color w:val="000000"/>
          <w:szCs w:val="24"/>
          <w:lang w:val="es-ES_tradnl" w:eastAsia="es-ES_tradnl"/>
        </w:rPr>
        <w:t xml:space="preserve">entencia del 20 de octubre de 2014, en la que consideró, por un lado, que </w:t>
      </w:r>
      <w:r w:rsidRPr="00FB5FC4">
        <w:rPr>
          <w:rFonts w:ascii="Verdana" w:eastAsia="Times New Roman" w:hAnsi="Verdana" w:cs="Arial"/>
          <w:i/>
          <w:iCs/>
          <w:color w:val="000000"/>
          <w:szCs w:val="24"/>
          <w:lang w:val="es-ES_tradnl" w:eastAsia="es-ES_tradnl"/>
        </w:rPr>
        <w:t>liquidar</w:t>
      </w:r>
      <w:r w:rsidRPr="00FB5FC4">
        <w:rPr>
          <w:rFonts w:ascii="Verdana" w:eastAsia="Times New Roman" w:hAnsi="Verdana" w:cs="Arial"/>
          <w:color w:val="000000"/>
          <w:szCs w:val="24"/>
          <w:lang w:val="es-ES_tradnl" w:eastAsia="es-ES_tradnl"/>
        </w:rPr>
        <w:t xml:space="preserve"> supone un ajuste en relación con las cuentas y el estado de cumplimiento del contrato estatal y, por el otro, que la </w:t>
      </w:r>
      <w:r w:rsidRPr="00FB5FC4">
        <w:rPr>
          <w:rFonts w:ascii="Verdana" w:eastAsia="Times New Roman" w:hAnsi="Verdana" w:cs="Arial"/>
          <w:i/>
          <w:iCs/>
          <w:color w:val="000000"/>
          <w:szCs w:val="24"/>
          <w:lang w:val="es-ES_tradnl" w:eastAsia="es-ES_tradnl"/>
        </w:rPr>
        <w:t>liquidación</w:t>
      </w:r>
      <w:r w:rsidRPr="00FB5FC4">
        <w:rPr>
          <w:rFonts w:ascii="Verdana" w:eastAsia="Times New Roman" w:hAnsi="Verdana" w:cs="Arial"/>
          <w:color w:val="000000"/>
          <w:szCs w:val="24"/>
          <w:lang w:val="es-ES_tradnl" w:eastAsia="es-ES_tradnl"/>
        </w:rPr>
        <w:t xml:space="preserve"> debe incluir el análisis de las condiciones de calidad y oportunidad en la entrega de los bienes, obras o servicios, así como el balance económico y el comportamiento financiero del negocio</w:t>
      </w:r>
      <w:r w:rsidRPr="00FB5FC4">
        <w:rPr>
          <w:rFonts w:ascii="Verdana" w:eastAsia="Times New Roman" w:hAnsi="Verdana" w:cs="Arial"/>
          <w:color w:val="000000"/>
          <w:szCs w:val="24"/>
          <w:vertAlign w:val="superscript"/>
          <w:lang w:val="es-ES_tradnl" w:eastAsia="es-ES_tradnl"/>
        </w:rPr>
        <w:footnoteReference w:id="8"/>
      </w:r>
      <w:r w:rsidRPr="00FB5FC4">
        <w:rPr>
          <w:rFonts w:ascii="Verdana" w:eastAsia="Times New Roman" w:hAnsi="Verdana" w:cs="Arial"/>
          <w:color w:val="000000"/>
          <w:szCs w:val="24"/>
          <w:lang w:val="es-ES_tradnl" w:eastAsia="es-ES_tradnl"/>
        </w:rPr>
        <w:t xml:space="preserve">. </w:t>
      </w:r>
    </w:p>
    <w:p w14:paraId="6F16D3B1" w14:textId="77777777" w:rsidR="00ED11A5" w:rsidRDefault="00ED11A5" w:rsidP="00ED11A5">
      <w:pPr>
        <w:tabs>
          <w:tab w:val="left" w:pos="426"/>
        </w:tabs>
        <w:spacing w:after="120" w:line="276" w:lineRule="auto"/>
        <w:jc w:val="both"/>
        <w:rPr>
          <w:rFonts w:ascii="Verdana" w:eastAsia="Times New Roman" w:hAnsi="Verdana" w:cs="Arial"/>
          <w:color w:val="000000"/>
          <w:szCs w:val="24"/>
          <w:lang w:val="es-ES_tradnl" w:eastAsia="es-ES_tradnl"/>
        </w:rPr>
      </w:pPr>
      <w:r>
        <w:rPr>
          <w:rFonts w:ascii="Verdana" w:eastAsia="Calibri" w:hAnsi="Verdana" w:cs="Arial"/>
          <w:color w:val="000000"/>
          <w:lang w:val="es-ES"/>
        </w:rPr>
        <w:lastRenderedPageBreak/>
        <w:tab/>
      </w:r>
      <w:r>
        <w:rPr>
          <w:rFonts w:ascii="Verdana" w:eastAsia="Calibri" w:hAnsi="Verdana" w:cs="Arial"/>
          <w:color w:val="000000"/>
          <w:lang w:val="es-ES"/>
        </w:rPr>
        <w:tab/>
        <w:t>Asimismo, en la medida que la entidad adopte una decisión sobre la terminación del contrato para efectos de su liquidación, es necesario tener en cuenta que en esta última</w:t>
      </w:r>
      <w:r w:rsidRPr="00D67E0C">
        <w:rPr>
          <w:rFonts w:ascii="Verdana" w:eastAsia="Times New Roman" w:hAnsi="Verdana" w:cs="Arial"/>
          <w:color w:val="000000"/>
          <w:szCs w:val="24"/>
          <w:lang w:val="es-ES_tradnl" w:eastAsia="es-ES_tradnl"/>
        </w:rPr>
        <w:t xml:space="preserve"> </w:t>
      </w:r>
      <w:r>
        <w:rPr>
          <w:rFonts w:ascii="Verdana" w:eastAsia="Times New Roman" w:hAnsi="Verdana" w:cs="Arial"/>
          <w:color w:val="000000"/>
          <w:szCs w:val="24"/>
          <w:lang w:val="es-ES_tradnl" w:eastAsia="es-ES_tradnl"/>
        </w:rPr>
        <w:t>–</w:t>
      </w:r>
      <w:r w:rsidRPr="00D67E0C">
        <w:rPr>
          <w:rFonts w:ascii="Verdana" w:eastAsia="Times New Roman" w:hAnsi="Verdana" w:cs="Arial"/>
          <w:color w:val="000000"/>
          <w:szCs w:val="24"/>
          <w:lang w:val="es-ES_tradnl" w:eastAsia="es-ES_tradnl"/>
        </w:rPr>
        <w:t>conforme a los incisos segundo y tercero del artículo 60 del EGCAP</w:t>
      </w:r>
      <w:r>
        <w:rPr>
          <w:rFonts w:ascii="Verdana" w:eastAsia="Times New Roman" w:hAnsi="Verdana" w:cs="Arial"/>
          <w:color w:val="000000"/>
          <w:szCs w:val="24"/>
          <w:lang w:val="es-ES_tradnl" w:eastAsia="es-ES_tradnl"/>
        </w:rPr>
        <w:t>–</w:t>
      </w:r>
      <w:r w:rsidRPr="00D67E0C">
        <w:rPr>
          <w:rFonts w:ascii="Verdana" w:eastAsia="Times New Roman" w:hAnsi="Verdana" w:cs="Arial"/>
          <w:color w:val="000000"/>
          <w:szCs w:val="24"/>
          <w:lang w:val="es-ES_tradnl" w:eastAsia="es-ES_tradnl"/>
        </w:rPr>
        <w:t xml:space="preserve"> “[…] las partes acordarán los ajustes, revisiones y reconocimientos a que haya lugar” y en ella “[…] constarán los acuerdos, conciliaciones y transacciones a que llegaren las partes para poner fin a las divergencias presentadas y poder declararse a paz y salvo”. Esto hace que la liquidación no sólo sea un medio para resolver asuntos relacionados con el desequilibrio económico del contrato</w:t>
      </w:r>
      <w:r>
        <w:rPr>
          <w:rFonts w:ascii="Verdana" w:eastAsia="Times New Roman" w:hAnsi="Verdana" w:cs="Arial"/>
          <w:color w:val="000000"/>
          <w:szCs w:val="24"/>
          <w:lang w:val="es-ES_tradnl" w:eastAsia="es-ES_tradnl"/>
        </w:rPr>
        <w:t xml:space="preserve">, sino también </w:t>
      </w:r>
      <w:r w:rsidRPr="00D67E0C">
        <w:rPr>
          <w:rFonts w:ascii="Verdana" w:eastAsia="Times New Roman" w:hAnsi="Verdana" w:cs="Arial"/>
          <w:color w:val="000000"/>
          <w:szCs w:val="24"/>
          <w:lang w:val="es-ES_tradnl" w:eastAsia="es-ES_tradnl"/>
        </w:rPr>
        <w:t>un mecanismo alternativo de solución de conflictos</w:t>
      </w:r>
      <w:r>
        <w:rPr>
          <w:rFonts w:ascii="Verdana" w:eastAsia="Times New Roman" w:hAnsi="Verdana" w:cs="Arial"/>
          <w:color w:val="000000"/>
          <w:szCs w:val="24"/>
          <w:lang w:val="es-ES_tradnl" w:eastAsia="es-ES_tradnl"/>
        </w:rPr>
        <w:t xml:space="preserve">. </w:t>
      </w:r>
    </w:p>
    <w:p w14:paraId="59C41440" w14:textId="77777777" w:rsidR="00ED11A5" w:rsidRDefault="00ED11A5" w:rsidP="00ED11A5">
      <w:pPr>
        <w:tabs>
          <w:tab w:val="left" w:pos="426"/>
        </w:tabs>
        <w:spacing w:after="120" w:line="276" w:lineRule="auto"/>
        <w:jc w:val="both"/>
        <w:rPr>
          <w:rFonts w:ascii="Verdana" w:eastAsia="Times New Roman" w:hAnsi="Verdana" w:cs="Arial"/>
          <w:color w:val="000000"/>
          <w:lang w:val="es-ES" w:eastAsia="es-ES"/>
        </w:rPr>
      </w:pPr>
      <w:r>
        <w:rPr>
          <w:rFonts w:ascii="Verdana" w:eastAsia="Times New Roman" w:hAnsi="Verdana" w:cs="Arial"/>
          <w:color w:val="000000"/>
          <w:szCs w:val="24"/>
          <w:lang w:val="es-ES_tradnl" w:eastAsia="es-ES_tradnl"/>
        </w:rPr>
        <w:tab/>
      </w:r>
      <w:r>
        <w:rPr>
          <w:rFonts w:ascii="Verdana" w:eastAsia="Times New Roman" w:hAnsi="Verdana" w:cs="Arial"/>
          <w:color w:val="000000"/>
          <w:szCs w:val="24"/>
          <w:lang w:val="es-ES_tradnl" w:eastAsia="es-ES_tradnl"/>
        </w:rPr>
        <w:tab/>
      </w:r>
      <w:r w:rsidRPr="0756F27C">
        <w:rPr>
          <w:rFonts w:ascii="Verdana" w:eastAsia="Times New Roman" w:hAnsi="Verdana" w:cs="Arial"/>
          <w:color w:val="000000"/>
          <w:lang w:val="es-ES" w:eastAsia="es-ES"/>
        </w:rPr>
        <w:t>En esta última faceta, las liquidaciones corresponden a negocios de fijación, esto es, “[…] declaraciones de voluntad, unilaterales o bilaterales, emitidas por aquéllos que estando ya vinculados en virtud de una relación jurídica previa incierta que todavía no se ha extinguido, decide o deciden dotarla de certidumbre y seguridad asumiendo una obligación: la de pasar y estar a las consecuencias derivadas de la admisión de la relación jurídica fijada […]”</w:t>
      </w:r>
      <w:r w:rsidRPr="439A9752">
        <w:rPr>
          <w:rStyle w:val="Refdenotaalpie"/>
          <w:rFonts w:ascii="Verdana" w:eastAsia="Times New Roman" w:hAnsi="Verdana" w:cs="Arial"/>
          <w:color w:val="000000" w:themeColor="text1"/>
          <w:lang w:val="es-ES" w:eastAsia="es-ES"/>
        </w:rPr>
        <w:footnoteReference w:id="9"/>
      </w:r>
      <w:r w:rsidRPr="0756F27C">
        <w:rPr>
          <w:rFonts w:ascii="Verdana" w:eastAsia="Times New Roman" w:hAnsi="Verdana" w:cs="Arial"/>
          <w:color w:val="000000"/>
          <w:lang w:val="es-ES" w:eastAsia="es-ES"/>
        </w:rPr>
        <w:t>. Es decir, siempre que se cumpla con la carga de soporte y acreditación, las entidades pueden hacer los reconocimientos que estimen adecuados.</w:t>
      </w:r>
    </w:p>
    <w:p w14:paraId="5249CB1E" w14:textId="77777777" w:rsidR="00ED11A5" w:rsidRPr="00AD7E4A" w:rsidRDefault="00ED11A5" w:rsidP="00ED11A5">
      <w:pPr>
        <w:spacing w:before="120" w:line="276" w:lineRule="auto"/>
        <w:ind w:firstLine="708"/>
        <w:jc w:val="both"/>
        <w:rPr>
          <w:rFonts w:ascii="Verdana" w:hAnsi="Verdana" w:cs="Arial"/>
          <w:color w:val="000000" w:themeColor="text1"/>
          <w:lang w:val="es-ES_tradnl"/>
        </w:rPr>
      </w:pPr>
      <w:r>
        <w:rPr>
          <w:rFonts w:ascii="Verdana" w:eastAsia="Times New Roman" w:hAnsi="Verdana" w:cs="Arial"/>
          <w:color w:val="000000"/>
          <w:szCs w:val="24"/>
          <w:lang w:val="es-ES_tradnl" w:eastAsia="es-ES_tradnl"/>
        </w:rPr>
        <w:t xml:space="preserve">Finalmente, el artículo 41 de la Ley 80 de 1993 </w:t>
      </w:r>
      <w:r>
        <w:rPr>
          <w:rFonts w:ascii="Verdana" w:hAnsi="Verdana" w:cs="Arial"/>
          <w:color w:val="000000" w:themeColor="text1"/>
          <w:lang w:val="es-MX"/>
        </w:rPr>
        <w:t>prescribe</w:t>
      </w:r>
      <w:r w:rsidRPr="00AD7E4A">
        <w:rPr>
          <w:rFonts w:ascii="Verdana" w:hAnsi="Verdana" w:cs="Arial"/>
          <w:color w:val="000000" w:themeColor="text1"/>
          <w:lang w:val="es-MX"/>
        </w:rPr>
        <w:t xml:space="preserve"> en su inciso primero que los contratos estatales se perfeccionan “</w:t>
      </w:r>
      <w:r w:rsidRPr="00AD7E4A">
        <w:rPr>
          <w:rFonts w:ascii="Verdana" w:hAnsi="Verdana" w:cs="Arial"/>
          <w:color w:val="000000" w:themeColor="text1"/>
          <w:lang w:eastAsia="es-CO"/>
        </w:rPr>
        <w:t>cuando se logre acuerdo sobre el objeto y la contraprestación y éste se eleve a escrito</w:t>
      </w:r>
      <w:r w:rsidRPr="00AD7E4A">
        <w:rPr>
          <w:rFonts w:ascii="Verdana" w:hAnsi="Verdana" w:cs="Arial"/>
          <w:color w:val="000000" w:themeColor="text1"/>
          <w:lang w:val="es-MX"/>
        </w:rPr>
        <w:t>”. Por su parte el inciso segundo establece que “P</w:t>
      </w:r>
      <w:r w:rsidRPr="00AD7E4A">
        <w:rPr>
          <w:rFonts w:ascii="Verdana" w:hAnsi="Verdana" w:cs="Arial"/>
          <w:color w:val="000000" w:themeColor="text1"/>
          <w:lang w:eastAsia="es-CO"/>
        </w:rPr>
        <w:t>ara la ejecución se requerirá de la aprobación de la garantía”, lo que se traduce en que, sin perjuicio del perfeccionamiento del contrato, no podrá ejecutarse sin que se hayan aprobado las garantías por parte de la entidad estatal contratante.</w:t>
      </w:r>
    </w:p>
    <w:p w14:paraId="74021F01" w14:textId="77777777" w:rsidR="00ED11A5" w:rsidRPr="00AD7E4A" w:rsidRDefault="00ED11A5" w:rsidP="00ED11A5">
      <w:pPr>
        <w:spacing w:line="276" w:lineRule="auto"/>
        <w:ind w:firstLine="709"/>
        <w:jc w:val="both"/>
        <w:rPr>
          <w:rFonts w:ascii="Verdana" w:hAnsi="Verdana" w:cs="Arial"/>
          <w:color w:val="000000" w:themeColor="text1"/>
          <w:lang w:eastAsia="es-CO"/>
        </w:rPr>
      </w:pPr>
      <w:r>
        <w:rPr>
          <w:rFonts w:ascii="Verdana" w:hAnsi="Verdana" w:cs="Arial"/>
          <w:color w:val="000000" w:themeColor="text1"/>
          <w:lang w:eastAsia="es-CO"/>
        </w:rPr>
        <w:t>Para</w:t>
      </w:r>
      <w:r w:rsidRPr="00AD7E4A">
        <w:rPr>
          <w:rFonts w:ascii="Verdana" w:hAnsi="Verdana" w:cs="Arial"/>
          <w:color w:val="000000" w:themeColor="text1"/>
          <w:lang w:eastAsia="es-CO"/>
        </w:rPr>
        <w:t xml:space="preserve"> ejecu</w:t>
      </w:r>
      <w:r>
        <w:rPr>
          <w:rFonts w:ascii="Verdana" w:hAnsi="Verdana" w:cs="Arial"/>
          <w:color w:val="000000" w:themeColor="text1"/>
          <w:lang w:eastAsia="es-CO"/>
        </w:rPr>
        <w:t xml:space="preserve">tar </w:t>
      </w:r>
      <w:r w:rsidRPr="00AD7E4A">
        <w:rPr>
          <w:rFonts w:ascii="Verdana" w:hAnsi="Verdana" w:cs="Arial"/>
          <w:color w:val="000000" w:themeColor="text1"/>
          <w:lang w:eastAsia="es-CO"/>
        </w:rPr>
        <w:t>el contrato</w:t>
      </w:r>
      <w:r>
        <w:rPr>
          <w:rFonts w:ascii="Verdana" w:hAnsi="Verdana" w:cs="Arial"/>
          <w:color w:val="000000" w:themeColor="text1"/>
          <w:lang w:eastAsia="es-CO"/>
        </w:rPr>
        <w:t xml:space="preserve"> después de suspendido</w:t>
      </w:r>
      <w:r w:rsidRPr="00AD7E4A">
        <w:rPr>
          <w:rFonts w:ascii="Verdana" w:hAnsi="Verdana" w:cs="Arial"/>
          <w:color w:val="000000" w:themeColor="text1"/>
          <w:lang w:eastAsia="es-CO"/>
        </w:rPr>
        <w:t xml:space="preserve">, el contratista debe cumplir con la obligación de </w:t>
      </w:r>
      <w:r>
        <w:rPr>
          <w:rFonts w:ascii="Verdana" w:hAnsi="Verdana" w:cs="Arial"/>
          <w:color w:val="000000" w:themeColor="text1"/>
          <w:lang w:eastAsia="es-CO"/>
        </w:rPr>
        <w:t>actualizar</w:t>
      </w:r>
      <w:r w:rsidRPr="00AD7E4A">
        <w:rPr>
          <w:rFonts w:ascii="Verdana" w:hAnsi="Verdana" w:cs="Arial"/>
          <w:color w:val="000000" w:themeColor="text1"/>
          <w:lang w:eastAsia="es-CO"/>
        </w:rPr>
        <w:t xml:space="preserve"> </w:t>
      </w:r>
      <w:r>
        <w:rPr>
          <w:rFonts w:ascii="Verdana" w:hAnsi="Verdana" w:cs="Arial"/>
          <w:color w:val="000000" w:themeColor="text1"/>
          <w:lang w:eastAsia="es-CO"/>
        </w:rPr>
        <w:t>las coberturas</w:t>
      </w:r>
      <w:r w:rsidRPr="00AD7E4A">
        <w:rPr>
          <w:rFonts w:ascii="Verdana" w:hAnsi="Verdana" w:cs="Arial"/>
          <w:color w:val="000000" w:themeColor="text1"/>
          <w:lang w:eastAsia="es-CO"/>
        </w:rPr>
        <w:t xml:space="preserve">, para lo cual deberá presentar el respectivo instrumento para la verificación por parte de la entidad </w:t>
      </w:r>
      <w:r w:rsidRPr="00AD7E4A">
        <w:rPr>
          <w:rFonts w:ascii="Verdana" w:hAnsi="Verdana" w:cs="Arial"/>
          <w:color w:val="000000" w:themeColor="text1"/>
          <w:lang w:eastAsia="es-CO"/>
        </w:rPr>
        <w:lastRenderedPageBreak/>
        <w:t xml:space="preserve">estatal, quien procederá a su aprobación siempre que se cumplan con las condiciones pactadas en el contrato. Cabe aclarar que las garantías que debe presentar el contratista para aprobación de la entidad en el marco del artículo 41 de la ley 80 de 1993, corresponden a las garantías contractuales </w:t>
      </w:r>
      <w:r w:rsidRPr="00AD7E4A">
        <w:rPr>
          <w:rFonts w:ascii="Verdana" w:hAnsi="Verdana" w:cs="Arial"/>
          <w:color w:val="000000" w:themeColor="text1"/>
          <w:lang w:val="es-ES_tradnl" w:eastAsia="es-CO"/>
        </w:rPr>
        <w:t>que cubren los riesgos asociados al contrato celebrado y a las obligaciones posteriores a su ejecución, esto es, la garantía única de cumplimiento –con sus respectivos amparos– y la garantía de responsabilidad civil extracontractual</w:t>
      </w:r>
      <w:r w:rsidRPr="00AD7E4A">
        <w:rPr>
          <w:rStyle w:val="Refdenotaalpie"/>
          <w:rFonts w:ascii="Verdana" w:hAnsi="Verdana" w:cs="Arial"/>
          <w:color w:val="000000" w:themeColor="text1"/>
          <w:lang w:val="es-ES_tradnl" w:eastAsia="es-CO"/>
        </w:rPr>
        <w:footnoteReference w:id="10"/>
      </w:r>
      <w:r w:rsidRPr="00AD7E4A">
        <w:rPr>
          <w:rFonts w:ascii="Verdana" w:hAnsi="Verdana" w:cs="Arial"/>
          <w:color w:val="000000" w:themeColor="text1"/>
          <w:lang w:val="es-ES_tradnl" w:eastAsia="es-CO"/>
        </w:rPr>
        <w:t>.</w:t>
      </w:r>
    </w:p>
    <w:p w14:paraId="106C52CA" w14:textId="77777777" w:rsidR="00ED11A5" w:rsidRPr="00AD7E4A" w:rsidRDefault="00ED11A5" w:rsidP="00ED11A5">
      <w:pPr>
        <w:spacing w:before="120" w:line="276" w:lineRule="auto"/>
        <w:ind w:firstLine="709"/>
        <w:jc w:val="both"/>
        <w:rPr>
          <w:rFonts w:ascii="Verdana" w:hAnsi="Verdana" w:cs="Arial"/>
          <w:color w:val="000000" w:themeColor="text1"/>
          <w:lang w:val="es-ES"/>
        </w:rPr>
      </w:pPr>
      <w:r w:rsidRPr="00AD7E4A">
        <w:rPr>
          <w:rFonts w:ascii="Verdana" w:eastAsia="Calibri" w:hAnsi="Verdana" w:cs="Arial"/>
          <w:color w:val="000000"/>
          <w:lang w:eastAsia="en-GB"/>
        </w:rPr>
        <w:t xml:space="preserve">En este contexto, la obligación de constituir las garantías contractuales y su aprobación tiene como propósito cumplir con el requisito de ejecución, pues estas se erigen como un </w:t>
      </w:r>
      <w:r w:rsidRPr="00AD7E4A">
        <w:rPr>
          <w:rFonts w:ascii="Verdana" w:hAnsi="Verdana" w:cs="Arial"/>
          <w:color w:val="000000" w:themeColor="text1"/>
          <w:lang w:val="es-MX"/>
        </w:rPr>
        <w:t>“</w:t>
      </w:r>
      <w:r w:rsidRPr="00AD7E4A">
        <w:rPr>
          <w:rFonts w:ascii="Verdana" w:eastAsia="Calibri" w:hAnsi="Verdana" w:cs="Arial"/>
          <w:color w:val="000000"/>
          <w:lang w:eastAsia="en-GB"/>
        </w:rPr>
        <w:t>instrumento para salvaguardar intereses de carácter general, garantizar el adecuado cumplimiento del objeto contractual y proteger el patrimonio público de los detrimentos que se puedan causar con ocasión de eventuales incumplimientos en que incurra el contratista”</w:t>
      </w:r>
      <w:r w:rsidRPr="00AD7E4A">
        <w:rPr>
          <w:rStyle w:val="Refdenotaalpie"/>
          <w:rFonts w:ascii="Verdana" w:eastAsia="Calibri" w:hAnsi="Verdana" w:cs="Arial"/>
          <w:color w:val="000000"/>
          <w:lang w:eastAsia="en-GB"/>
        </w:rPr>
        <w:footnoteReference w:id="11"/>
      </w:r>
      <w:r w:rsidRPr="00AD7E4A">
        <w:rPr>
          <w:rFonts w:ascii="Verdana" w:hAnsi="Verdana" w:cs="Arial"/>
          <w:color w:val="000000" w:themeColor="text1"/>
          <w:lang w:eastAsia="es-CO"/>
        </w:rPr>
        <w:t>.</w:t>
      </w:r>
      <w:r w:rsidRPr="00AD7E4A">
        <w:rPr>
          <w:rFonts w:ascii="Verdana" w:hAnsi="Verdana" w:cs="Arial"/>
          <w:color w:val="000000" w:themeColor="text1"/>
          <w:lang w:val="es-MX"/>
        </w:rPr>
        <w:t xml:space="preserve"> En este sentido, previo a l</w:t>
      </w:r>
      <w:r w:rsidRPr="00AD7E4A">
        <w:rPr>
          <w:rFonts w:ascii="Verdana" w:hAnsi="Verdana" w:cs="Arial"/>
          <w:color w:val="000000" w:themeColor="text1"/>
          <w:lang w:val="es-ES_tradnl"/>
        </w:rPr>
        <w:t>a aprobación de las garantías pactadas en el contrato, la entidad debe realizar la respectiva verificación de los amparos y suficiencia de las garantías exigidas, con la finalidad de</w:t>
      </w:r>
      <w:r w:rsidRPr="00AD7E4A">
        <w:rPr>
          <w:rFonts w:ascii="Verdana" w:hAnsi="Verdana" w:cs="Arial"/>
          <w:color w:val="000000" w:themeColor="text1"/>
        </w:rPr>
        <w:t xml:space="preserve"> asegurar que estas </w:t>
      </w:r>
      <w:r w:rsidRPr="00AD7E4A">
        <w:rPr>
          <w:rFonts w:ascii="Verdana" w:hAnsi="Verdana" w:cs="Arial"/>
          <w:color w:val="000000" w:themeColor="text1"/>
          <w:lang w:val="es-ES"/>
        </w:rPr>
        <w:t xml:space="preserve">protejan el patrimonio del Estado de los perjuicios que eventualmente se derivarían de la materialización de los riesgos amparados. </w:t>
      </w:r>
    </w:p>
    <w:p w14:paraId="26B0D8BD" w14:textId="77777777" w:rsidR="00ED11A5" w:rsidRPr="00AD7E4A" w:rsidRDefault="00ED11A5" w:rsidP="00ED11A5">
      <w:pPr>
        <w:spacing w:before="120" w:line="276" w:lineRule="auto"/>
        <w:ind w:firstLine="709"/>
        <w:jc w:val="both"/>
        <w:rPr>
          <w:rFonts w:ascii="Verdana" w:hAnsi="Verdana" w:cs="Arial"/>
          <w:color w:val="000000" w:themeColor="text1"/>
          <w:lang w:val="es-ES_tradnl"/>
        </w:rPr>
      </w:pPr>
      <w:r w:rsidRPr="00AD7E4A">
        <w:rPr>
          <w:rFonts w:ascii="Verdana" w:hAnsi="Verdana" w:cs="Arial"/>
          <w:color w:val="000000" w:themeColor="text1"/>
          <w:lang w:val="es-ES_tradnl"/>
        </w:rPr>
        <w:t xml:space="preserve">Esta labor de verificación por parte de la entidad implica validar el origen de las garantías y revisar </w:t>
      </w:r>
      <w:r w:rsidRPr="00AD7E4A">
        <w:rPr>
          <w:rFonts w:ascii="Verdana" w:hAnsi="Verdana" w:cs="Arial"/>
          <w:color w:val="000000" w:themeColor="text1"/>
          <w:lang w:val="es-MX"/>
        </w:rPr>
        <w:t>“</w:t>
      </w:r>
      <w:r w:rsidRPr="00AD7E4A">
        <w:rPr>
          <w:rFonts w:ascii="Verdana" w:eastAsia="Calibri" w:hAnsi="Verdana" w:cs="Arial"/>
        </w:rPr>
        <w:t>que los valores asegurados coincidan con los que se exigieron en el contrato, así como su vigencia; verificar que estén identificados plenamente el tomador y el beneficiario, y que vengan adjuntas las condiciones generales de la póliza. Sólo con la certeza que brinda este análisis, se puede tener la seguridad que no se causarán perjuicios al ente estatal. De tal manera, una vez revisada la póliza, sus anexos (condiciones generales) y su contenido y si está de acuerdo con lo exigido, se impartirá la aprobación correspondiente”</w:t>
      </w:r>
      <w:r w:rsidRPr="00AD7E4A">
        <w:rPr>
          <w:rStyle w:val="Refdenotaalpie"/>
          <w:rFonts w:ascii="Verdana" w:eastAsia="Calibri" w:hAnsi="Verdana" w:cs="Arial"/>
        </w:rPr>
        <w:footnoteReference w:id="12"/>
      </w:r>
      <w:r w:rsidRPr="00AD7E4A">
        <w:rPr>
          <w:rFonts w:ascii="Verdana" w:hAnsi="Verdana" w:cs="Arial"/>
          <w:color w:val="000000" w:themeColor="text1"/>
          <w:lang w:val="es-MX"/>
        </w:rPr>
        <w:t>.</w:t>
      </w:r>
      <w:r w:rsidRPr="00AD7E4A">
        <w:rPr>
          <w:rFonts w:ascii="Verdana" w:hAnsi="Verdana" w:cs="Arial"/>
          <w:color w:val="000000" w:themeColor="text1"/>
          <w:lang w:val="es-ES"/>
        </w:rPr>
        <w:t xml:space="preserve"> </w:t>
      </w:r>
      <w:r w:rsidRPr="00AD7E4A">
        <w:rPr>
          <w:rFonts w:ascii="Verdana" w:hAnsi="Verdana" w:cs="Arial"/>
          <w:color w:val="000000" w:themeColor="text1"/>
          <w:lang w:val="es-MX"/>
        </w:rPr>
        <w:t xml:space="preserve">De este modo, </w:t>
      </w:r>
      <w:r w:rsidRPr="00AD7E4A">
        <w:rPr>
          <w:rFonts w:ascii="Verdana" w:hAnsi="Verdana" w:cs="Arial"/>
          <w:color w:val="000000" w:themeColor="text1"/>
          <w:lang w:val="es-ES_tradnl"/>
        </w:rPr>
        <w:t xml:space="preserve">con la aprobación de las garantías la entidad estatal </w:t>
      </w:r>
      <w:r w:rsidRPr="00AD7E4A">
        <w:rPr>
          <w:rFonts w:ascii="Verdana" w:hAnsi="Verdana" w:cs="Arial"/>
          <w:color w:val="000000" w:themeColor="text1"/>
          <w:lang w:eastAsia="es-CO"/>
        </w:rPr>
        <w:t xml:space="preserve">estará acreditando el cumplimiento de la obligación del artículo 7 de la Ley 1150 de 2007, </w:t>
      </w:r>
      <w:r w:rsidRPr="00AD7E4A">
        <w:rPr>
          <w:rFonts w:ascii="Verdana" w:hAnsi="Verdana" w:cs="Arial"/>
          <w:color w:val="000000" w:themeColor="text1"/>
          <w:lang w:val="es-ES_tradnl"/>
        </w:rPr>
        <w:t>y entonces el contrato</w:t>
      </w:r>
      <w:r>
        <w:rPr>
          <w:rFonts w:ascii="Verdana" w:hAnsi="Verdana" w:cs="Arial"/>
          <w:color w:val="000000" w:themeColor="text1"/>
          <w:lang w:val="es-ES_tradnl"/>
        </w:rPr>
        <w:t xml:space="preserve"> después de la suspensión</w:t>
      </w:r>
      <w:r w:rsidRPr="00AD7E4A">
        <w:rPr>
          <w:rFonts w:ascii="Verdana" w:hAnsi="Verdana" w:cs="Arial"/>
          <w:color w:val="000000" w:themeColor="text1"/>
          <w:lang w:val="es-ES_tradnl"/>
        </w:rPr>
        <w:t xml:space="preserve"> podrá ejecutarse, </w:t>
      </w:r>
      <w:r w:rsidRPr="00AD7E4A">
        <w:rPr>
          <w:rFonts w:ascii="Verdana" w:hAnsi="Verdana" w:cs="Arial"/>
          <w:color w:val="000000" w:themeColor="text1"/>
          <w:lang w:val="es-ES_tradnl"/>
        </w:rPr>
        <w:lastRenderedPageBreak/>
        <w:t xml:space="preserve">siempre que se cumplan los demás requisitos establece el artículo 41 de la Ley 80 de 1993. </w:t>
      </w:r>
    </w:p>
    <w:p w14:paraId="69779DD4" w14:textId="77777777" w:rsidR="00ED11A5" w:rsidRPr="00AD7E4A" w:rsidRDefault="00ED11A5" w:rsidP="00ED11A5">
      <w:pPr>
        <w:spacing w:before="120" w:line="276" w:lineRule="auto"/>
        <w:ind w:firstLine="709"/>
        <w:jc w:val="both"/>
        <w:rPr>
          <w:rFonts w:ascii="Verdana" w:eastAsia="Calibri" w:hAnsi="Verdana" w:cs="Arial"/>
          <w:lang w:val="es-ES"/>
        </w:rPr>
      </w:pPr>
      <w:r w:rsidRPr="00AD7E4A">
        <w:rPr>
          <w:rFonts w:ascii="Verdana" w:eastAsia="Calibri" w:hAnsi="Verdana" w:cs="Arial"/>
          <w:lang w:val="es-ES_tradnl"/>
        </w:rPr>
        <w:t>Este marco normativo explica el alcance de las garantías en la etapa contractual</w:t>
      </w:r>
      <w:r w:rsidRPr="00AD7E4A">
        <w:rPr>
          <w:rFonts w:ascii="Verdana" w:eastAsia="Calibri" w:hAnsi="Verdana" w:cs="Arial"/>
          <w:lang w:val="es-ES_tradnl" w:eastAsia="es-ES"/>
        </w:rPr>
        <w:t xml:space="preserve"> y, d</w:t>
      </w:r>
      <w:r w:rsidRPr="00AD7E4A">
        <w:rPr>
          <w:rFonts w:ascii="Verdana" w:eastAsia="Calibri" w:hAnsi="Verdana" w:cs="Arial"/>
          <w:lang w:val="es-ES" w:eastAsia="es-ES"/>
        </w:rPr>
        <w:t>entro del mismo</w:t>
      </w:r>
      <w:r w:rsidRPr="00AD7E4A">
        <w:rPr>
          <w:rFonts w:ascii="Verdana" w:eastAsia="Calibri" w:hAnsi="Verdana" w:cs="Arial"/>
          <w:lang w:val="es-ES"/>
        </w:rPr>
        <w:t>, los interesados adoptarán las decisiones que estimen pertinentes. Dado que no existe fundamento legal expreso para permitir que las obligaciones sean ejecutadas sin el cumplimiento de los requisitos del inciso segundo del artículo 41 de la Ley 80 de 1993, corresponde a los interesados y a sus asesores defender la gestión que decidan emprender, pues Colombia Compra Eficiente no es un órgano jurisdiccional ni de control.</w:t>
      </w:r>
      <w:r>
        <w:rPr>
          <w:rFonts w:ascii="Verdana" w:eastAsia="Calibri" w:hAnsi="Verdana" w:cs="Arial"/>
          <w:lang w:val="es-ES"/>
        </w:rPr>
        <w:t xml:space="preserve"> </w:t>
      </w:r>
    </w:p>
    <w:p w14:paraId="2CEEBFAF" w14:textId="77777777" w:rsidR="00ED11A5" w:rsidRPr="00AD7E4A" w:rsidRDefault="00ED11A5" w:rsidP="00ED11A5">
      <w:pPr>
        <w:tabs>
          <w:tab w:val="left" w:pos="426"/>
        </w:tabs>
        <w:spacing w:after="0" w:line="276" w:lineRule="auto"/>
        <w:jc w:val="both"/>
        <w:rPr>
          <w:rFonts w:ascii="Verdana" w:eastAsia="Times New Roman" w:hAnsi="Verdana" w:cs="Arial"/>
          <w:color w:val="000000"/>
          <w:szCs w:val="24"/>
          <w:lang w:val="es-ES_tradnl" w:eastAsia="es-ES_tradnl"/>
        </w:rPr>
      </w:pPr>
      <w:r>
        <w:rPr>
          <w:rFonts w:ascii="Verdana" w:eastAsia="Calibri" w:hAnsi="Verdana" w:cs="Arial"/>
          <w:lang w:val="es-ES"/>
        </w:rPr>
        <w:tab/>
      </w:r>
      <w:r>
        <w:rPr>
          <w:rFonts w:ascii="Verdana" w:eastAsia="Calibri" w:hAnsi="Verdana" w:cs="Arial"/>
          <w:lang w:val="es-ES"/>
        </w:rPr>
        <w:tab/>
      </w:r>
      <w:r w:rsidRPr="00AD7E4A">
        <w:rPr>
          <w:rFonts w:ascii="Verdana" w:eastAsia="Calibri" w:hAnsi="Verdana" w:cs="Arial"/>
          <w:lang w:val="es-ES"/>
        </w:rPr>
        <w:t>En consecuencia, al tratarse de un análisis que debe realizarse en cada procedimiento contractual específico, la Agencia no puede definir un criterio universal y absoluto sobre el objeto de la consulta, sino que brinda elementos de carácter general para que los partícipes del sistema de compras y contratación pública adopten la decisión que corresponda, lo cual es acorde con el principio de juridicidad. De esta manera, cada uno de ellos definirá la forma de adelantar su gestión contractual, sin que sea atribución de Colombia Compra Eficiente validar sus actuaciones.</w:t>
      </w:r>
    </w:p>
    <w:p w14:paraId="5E3C651A" w14:textId="77777777" w:rsidR="00ED11A5" w:rsidRPr="006869A9" w:rsidRDefault="00ED11A5" w:rsidP="00ED11A5">
      <w:pPr>
        <w:spacing w:after="0" w:line="276" w:lineRule="auto"/>
        <w:ind w:firstLine="708"/>
        <w:jc w:val="both"/>
        <w:rPr>
          <w:rFonts w:ascii="Verdana" w:eastAsia="Calibri" w:hAnsi="Verdana" w:cs="Arial"/>
          <w:color w:val="000000"/>
          <w:lang w:val="es-ES"/>
        </w:rPr>
      </w:pPr>
      <w:r>
        <w:rPr>
          <w:rFonts w:ascii="Verdana" w:eastAsia="Calibri" w:hAnsi="Verdana" w:cs="Arial"/>
          <w:color w:val="000000"/>
          <w:lang w:val="es-ES"/>
        </w:rPr>
        <w:t xml:space="preserve">     </w:t>
      </w:r>
      <w:r>
        <w:rPr>
          <w:rFonts w:ascii="Verdana" w:eastAsia="Times New Roman" w:hAnsi="Verdana" w:cs="Arial"/>
          <w:color w:val="000000"/>
          <w:lang w:val="es-ES_tradnl" w:eastAsia="es-ES_tradnl"/>
        </w:rPr>
        <w:t xml:space="preserve">  </w:t>
      </w:r>
    </w:p>
    <w:p w14:paraId="4DFF900E" w14:textId="77777777" w:rsidR="00ED11A5" w:rsidRPr="00593A5F" w:rsidRDefault="00ED11A5" w:rsidP="00ED11A5">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60463B5B" w14:textId="77777777" w:rsidR="00ED11A5" w:rsidRPr="00593A5F" w:rsidRDefault="00ED11A5" w:rsidP="00ED11A5">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ED11A5" w:rsidRPr="002407CE" w14:paraId="14110DC1" w14:textId="77777777" w:rsidTr="00644A5F">
        <w:trPr>
          <w:trHeight w:val="56"/>
          <w:jc w:val="center"/>
        </w:trPr>
        <w:tc>
          <w:tcPr>
            <w:tcW w:w="8647" w:type="dxa"/>
          </w:tcPr>
          <w:p w14:paraId="015FFCD6" w14:textId="77777777" w:rsidR="00ED11A5" w:rsidRDefault="00ED11A5" w:rsidP="00644A5F">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80 de 1993, artículos 41 y 60.</w:t>
            </w:r>
          </w:p>
          <w:p w14:paraId="5A734AFF" w14:textId="77777777" w:rsidR="00ED11A5" w:rsidRPr="0033279D" w:rsidRDefault="00ED11A5" w:rsidP="00644A5F">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Pr>
                <w:rFonts w:ascii="Verdana" w:hAnsi="Verdana" w:cs="Arial"/>
              </w:rPr>
              <w:t>Ley 1150 de 2007, artículos 7 y 11.</w:t>
            </w:r>
            <w:r w:rsidRPr="00B87E7A">
              <w:rPr>
                <w:rFonts w:ascii="Verdana" w:hAnsi="Verdana" w:cs="Arial"/>
              </w:rPr>
              <w:t xml:space="preserve"> </w:t>
            </w:r>
            <w:r w:rsidRPr="0033279D">
              <w:rPr>
                <w:rFonts w:ascii="Verdana" w:hAnsi="Verdana" w:cs="Arial"/>
              </w:rPr>
              <w:t xml:space="preserve"> </w:t>
            </w:r>
          </w:p>
        </w:tc>
      </w:tr>
    </w:tbl>
    <w:p w14:paraId="6D496061" w14:textId="77777777" w:rsidR="00ED11A5" w:rsidRPr="002407CE" w:rsidRDefault="00ED11A5" w:rsidP="00ED11A5">
      <w:pPr>
        <w:widowControl w:val="0"/>
        <w:autoSpaceDE w:val="0"/>
        <w:autoSpaceDN w:val="0"/>
        <w:spacing w:after="0" w:line="276" w:lineRule="auto"/>
        <w:jc w:val="both"/>
        <w:rPr>
          <w:rFonts w:ascii="Verdana" w:hAnsi="Verdana" w:cs="Arial"/>
        </w:rPr>
      </w:pPr>
    </w:p>
    <w:p w14:paraId="33035D14" w14:textId="77777777" w:rsidR="00ED11A5" w:rsidRPr="00593A5F" w:rsidRDefault="00ED11A5" w:rsidP="00ED11A5">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23169B10" w14:textId="77777777" w:rsidR="00ED11A5" w:rsidRPr="00593A5F" w:rsidRDefault="00ED11A5" w:rsidP="00ED11A5">
      <w:pPr>
        <w:widowControl w:val="0"/>
        <w:autoSpaceDE w:val="0"/>
        <w:autoSpaceDN w:val="0"/>
        <w:spacing w:after="0" w:line="276" w:lineRule="auto"/>
        <w:jc w:val="both"/>
        <w:rPr>
          <w:rFonts w:ascii="Verdana" w:hAnsi="Verdana" w:cs="Arial"/>
        </w:rPr>
      </w:pPr>
    </w:p>
    <w:p w14:paraId="354783A3" w14:textId="77777777" w:rsidR="00ED11A5" w:rsidRPr="00ED0098" w:rsidRDefault="00ED11A5" w:rsidP="00ED11A5">
      <w:pPr>
        <w:widowControl w:val="0"/>
        <w:autoSpaceDE w:val="0"/>
        <w:autoSpaceDN w:val="0"/>
        <w:spacing w:after="0" w:line="276" w:lineRule="auto"/>
        <w:jc w:val="both"/>
        <w:rPr>
          <w:rStyle w:val="normaltextrun"/>
          <w:rFonts w:ascii="Verdana" w:hAnsi="Verdana" w:cs="Arial"/>
          <w:shd w:val="clear" w:color="auto" w:fill="FFFFFF"/>
        </w:rPr>
      </w:pPr>
      <w:r>
        <w:rPr>
          <w:rFonts w:ascii="Verdana" w:hAnsi="Verdana" w:cs="Arial"/>
          <w:shd w:val="clear" w:color="auto" w:fill="FFFFFF"/>
        </w:rPr>
        <w:t>E</w:t>
      </w:r>
      <w:r w:rsidRPr="00E278D2">
        <w:rPr>
          <w:rStyle w:val="normaltextrun"/>
          <w:rFonts w:ascii="Verdana" w:hAnsi="Verdana" w:cs="Arial"/>
          <w:shd w:val="clear" w:color="auto" w:fill="FFFFFF"/>
        </w:rPr>
        <w:t>st</w:t>
      </w:r>
      <w:r>
        <w:rPr>
          <w:rStyle w:val="normaltextrun"/>
          <w:rFonts w:ascii="Verdana" w:hAnsi="Verdana" w:cs="Arial"/>
          <w:shd w:val="clear" w:color="auto" w:fill="FFFFFF"/>
        </w:rPr>
        <w:t>e</w:t>
      </w:r>
      <w:r w:rsidRPr="00E278D2">
        <w:rPr>
          <w:rStyle w:val="normaltextrun"/>
          <w:rFonts w:ascii="Verdana" w:hAnsi="Verdana" w:cs="Arial"/>
          <w:shd w:val="clear" w:color="auto" w:fill="FFFFFF"/>
        </w:rPr>
        <w:t xml:space="preserve"> y otros conceptos</w:t>
      </w:r>
      <w:r>
        <w:rPr>
          <w:rStyle w:val="normaltextrun"/>
          <w:rFonts w:ascii="Verdana" w:hAnsi="Verdana" w:cs="Arial"/>
          <w:shd w:val="clear" w:color="auto" w:fill="FFFFFF"/>
        </w:rPr>
        <w:t xml:space="preserve"> de la Subdirección</w:t>
      </w:r>
      <w:r w:rsidRPr="00E278D2">
        <w:rPr>
          <w:rStyle w:val="normaltextrun"/>
          <w:rFonts w:ascii="Verdana" w:hAnsi="Verdana" w:cs="Arial"/>
          <w:shd w:val="clear" w:color="auto" w:fill="FFFFFF"/>
        </w:rPr>
        <w:t xml:space="preserve"> 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2"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1391E15B" w14:textId="77777777" w:rsidR="00ED11A5" w:rsidRPr="00096788" w:rsidRDefault="00ED11A5" w:rsidP="00ED11A5">
      <w:pPr>
        <w:widowControl w:val="0"/>
        <w:autoSpaceDE w:val="0"/>
        <w:autoSpaceDN w:val="0"/>
        <w:spacing w:after="0" w:line="276" w:lineRule="auto"/>
        <w:jc w:val="both"/>
        <w:rPr>
          <w:rFonts w:ascii="Verdana" w:hAnsi="Verdana" w:cs="Arial"/>
          <w:color w:val="000000" w:themeColor="text1"/>
          <w:shd w:val="clear" w:color="auto" w:fill="FFFFFF"/>
        </w:rPr>
      </w:pPr>
    </w:p>
    <w:p w14:paraId="5E7F0B11" w14:textId="77777777" w:rsidR="00ED11A5" w:rsidRDefault="00ED11A5" w:rsidP="00ED11A5">
      <w:pPr>
        <w:spacing w:after="0"/>
        <w:jc w:val="both"/>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 xml:space="preserve">generar </w:t>
      </w:r>
      <w:r w:rsidRPr="009A385A">
        <w:rPr>
          <w:rFonts w:ascii="Verdana" w:hAnsi="Verdana"/>
        </w:rPr>
        <w:lastRenderedPageBreak/>
        <w:t>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9A385A">
          <w:rPr>
            <w:rStyle w:val="Hipervnculo"/>
            <w:rFonts w:ascii="Verdana" w:hAnsi="Verdana"/>
          </w:rPr>
          <w:t>https://formacionvirtual.colombiacompra.gov.co/mod/page/view.php?id=3718</w:t>
        </w:r>
      </w:hyperlink>
    </w:p>
    <w:p w14:paraId="4AD86F0E" w14:textId="77777777" w:rsidR="00ED11A5" w:rsidRPr="009A385A" w:rsidRDefault="00ED11A5" w:rsidP="00ED11A5">
      <w:pPr>
        <w:spacing w:after="0"/>
        <w:jc w:val="both"/>
        <w:rPr>
          <w:rFonts w:ascii="Verdana" w:hAnsi="Verdana"/>
        </w:rPr>
      </w:pPr>
    </w:p>
    <w:p w14:paraId="6C294ACB" w14:textId="77777777" w:rsidR="00ED11A5" w:rsidRDefault="00ED11A5" w:rsidP="00ED11A5">
      <w:pPr>
        <w:spacing w:after="0"/>
        <w:jc w:val="both"/>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4" w:tgtFrame="_new" w:history="1">
        <w:r w:rsidRPr="00635F16">
          <w:rPr>
            <w:rStyle w:val="Hipervnculo"/>
            <w:rFonts w:ascii="Verdana" w:hAnsi="Verdana"/>
          </w:rPr>
          <w:t>https://www.colombiacompra.gov.co/normativa-y-relatoria/documentos-tipo</w:t>
        </w:r>
      </w:hyperlink>
    </w:p>
    <w:p w14:paraId="07273E5E" w14:textId="77777777" w:rsidR="00ED11A5" w:rsidRDefault="00ED11A5" w:rsidP="00ED11A5">
      <w:pPr>
        <w:spacing w:after="0"/>
        <w:jc w:val="both"/>
        <w:rPr>
          <w:rFonts w:ascii="Verdana" w:hAnsi="Verdana"/>
        </w:rPr>
      </w:pPr>
    </w:p>
    <w:p w14:paraId="07904FED" w14:textId="77777777" w:rsidR="00ED11A5" w:rsidRPr="008E1CD7" w:rsidRDefault="00ED11A5" w:rsidP="00ED11A5">
      <w:pPr>
        <w:spacing w:after="0"/>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5"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4656FE48" w14:textId="77777777" w:rsidR="00ED11A5" w:rsidRDefault="00ED11A5" w:rsidP="00ED11A5">
      <w:pPr>
        <w:shd w:val="clear" w:color="auto" w:fill="FFFFFF"/>
        <w:spacing w:after="0" w:line="276" w:lineRule="auto"/>
        <w:jc w:val="both"/>
        <w:rPr>
          <w:rFonts w:ascii="Verdana" w:hAnsi="Verdana"/>
          <w:color w:val="000000"/>
          <w:u w:val="single"/>
        </w:rPr>
      </w:pPr>
    </w:p>
    <w:p w14:paraId="1265D911" w14:textId="77777777" w:rsidR="00ED11A5" w:rsidRPr="00116940" w:rsidRDefault="00ED11A5" w:rsidP="00ED11A5">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68450A89" w14:textId="77777777" w:rsidR="00ED11A5" w:rsidRPr="00116940" w:rsidRDefault="00ED11A5" w:rsidP="00ED11A5">
      <w:pPr>
        <w:spacing w:after="0"/>
        <w:jc w:val="both"/>
        <w:rPr>
          <w:rFonts w:ascii="Verdana" w:hAnsi="Verdana"/>
        </w:rPr>
      </w:pPr>
    </w:p>
    <w:p w14:paraId="3BB20DCD" w14:textId="77777777" w:rsidR="00ED11A5" w:rsidRPr="00116940" w:rsidRDefault="00ED11A5" w:rsidP="00ED11A5">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38C837C2" w14:textId="77777777" w:rsidR="00ED11A5" w:rsidRPr="00116940" w:rsidRDefault="00ED11A5" w:rsidP="00ED11A5">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740FCF7C" w14:textId="77777777" w:rsidR="00ED11A5" w:rsidRPr="00116940" w:rsidRDefault="00ED11A5" w:rsidP="00ED11A5">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lastRenderedPageBreak/>
        <w:t xml:space="preserve">Correo de radicación de correspondencia: </w:t>
      </w:r>
      <w:hyperlink r:id="rId16">
        <w:r w:rsidRPr="00116940">
          <w:rPr>
            <w:rStyle w:val="Hipervnculo"/>
            <w:rFonts w:ascii="Verdana" w:eastAsia="Verdana" w:hAnsi="Verdana" w:cs="Verdana"/>
            <w:lang w:val="es-MX"/>
          </w:rPr>
          <w:t>ventanilladeradicacion@colombiacompra.gov.co</w:t>
        </w:r>
      </w:hyperlink>
    </w:p>
    <w:p w14:paraId="1D97C93A" w14:textId="77777777" w:rsidR="00ED11A5" w:rsidRPr="00116940" w:rsidRDefault="00ED11A5" w:rsidP="00ED11A5">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7">
        <w:r w:rsidRPr="00116940">
          <w:rPr>
            <w:rStyle w:val="Hipervnculo"/>
            <w:rFonts w:ascii="Verdana" w:eastAsia="Verdana" w:hAnsi="Verdana" w:cs="Verdana"/>
            <w:lang w:val="es-MX"/>
          </w:rPr>
          <w:t>https://www.colombiacompra.gov.co/pqrsd/informacion-importante-antes-de-formular-una-pqrsd</w:t>
        </w:r>
      </w:hyperlink>
    </w:p>
    <w:p w14:paraId="630F6F3D" w14:textId="77777777" w:rsidR="00ED11A5" w:rsidRPr="00116940" w:rsidRDefault="00ED11A5" w:rsidP="00ED11A5">
      <w:pPr>
        <w:spacing w:after="0" w:line="240" w:lineRule="auto"/>
        <w:ind w:left="720"/>
        <w:jc w:val="both"/>
        <w:rPr>
          <w:rFonts w:ascii="Verdana" w:hAnsi="Verdana"/>
        </w:rPr>
      </w:pPr>
    </w:p>
    <w:p w14:paraId="622B67B3" w14:textId="77777777" w:rsidR="00ED11A5" w:rsidRPr="00116940" w:rsidRDefault="00ED11A5" w:rsidP="00ED11A5">
      <w:pPr>
        <w:spacing w:after="0" w:line="240" w:lineRule="auto"/>
        <w:rPr>
          <w:rFonts w:ascii="Verdana" w:hAnsi="Verdana"/>
        </w:rPr>
      </w:pPr>
      <w:r w:rsidRPr="00116940">
        <w:rPr>
          <w:rFonts w:ascii="Verdana" w:hAnsi="Verdana"/>
        </w:rPr>
        <w:t>Evalúa el servicio que ofrece la Agencia por el canal de atención de PQRSD en el siguiente enlace :</w:t>
      </w:r>
      <w:hyperlink r:id="rId18"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3636377D" w14:textId="77777777" w:rsidR="00ED11A5" w:rsidRPr="00116940" w:rsidRDefault="00ED11A5" w:rsidP="00ED11A5">
      <w:pPr>
        <w:spacing w:after="0" w:line="240" w:lineRule="auto"/>
        <w:rPr>
          <w:rFonts w:ascii="Verdana" w:hAnsi="Verdana"/>
        </w:rPr>
      </w:pPr>
    </w:p>
    <w:p w14:paraId="58FB7ABE" w14:textId="77777777" w:rsidR="00ED11A5" w:rsidRPr="00116940" w:rsidRDefault="00ED11A5" w:rsidP="00ED11A5">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42A0BE0A" w14:textId="77777777" w:rsidR="00ED11A5" w:rsidRPr="00116940" w:rsidRDefault="00ED11A5" w:rsidP="00ED11A5">
      <w:pPr>
        <w:spacing w:after="0" w:line="240" w:lineRule="auto"/>
        <w:jc w:val="both"/>
        <w:rPr>
          <w:rFonts w:ascii="Verdana" w:hAnsi="Verdana"/>
        </w:rPr>
      </w:pPr>
    </w:p>
    <w:p w14:paraId="2BA75881" w14:textId="77777777" w:rsidR="00ED11A5" w:rsidRPr="00116940" w:rsidRDefault="00ED11A5" w:rsidP="00ED11A5">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4DFB22A8" w14:textId="77777777" w:rsidR="00ED11A5" w:rsidRPr="00116940" w:rsidRDefault="00ED11A5" w:rsidP="00ED11A5">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366D600C" w14:textId="77777777" w:rsidR="00ED11A5" w:rsidRPr="00116940" w:rsidRDefault="00ED11A5" w:rsidP="00ED11A5">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1D0A7E1C" w14:textId="77777777" w:rsidR="00ED11A5" w:rsidRPr="009C4035" w:rsidRDefault="00ED11A5" w:rsidP="00ED11A5">
      <w:pPr>
        <w:widowControl w:val="0"/>
        <w:autoSpaceDE w:val="0"/>
        <w:autoSpaceDN w:val="0"/>
        <w:spacing w:after="12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t xml:space="preserve">        </w:t>
      </w:r>
    </w:p>
    <w:p w14:paraId="3694B22B" w14:textId="77777777" w:rsidR="00ED11A5" w:rsidRPr="00593A5F" w:rsidRDefault="00ED11A5" w:rsidP="00ED11A5">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0183E5BB" w14:textId="77777777" w:rsidR="00ED11A5" w:rsidRPr="00593A5F" w:rsidRDefault="00ED11A5" w:rsidP="00ED11A5">
      <w:pPr>
        <w:widowControl w:val="0"/>
        <w:autoSpaceDE w:val="0"/>
        <w:autoSpaceDN w:val="0"/>
        <w:spacing w:after="0" w:line="276" w:lineRule="auto"/>
        <w:jc w:val="both"/>
        <w:rPr>
          <w:rFonts w:ascii="Verdana" w:hAnsi="Verdana" w:cs="Arial"/>
        </w:rPr>
      </w:pPr>
    </w:p>
    <w:p w14:paraId="3C10DCB3" w14:textId="77777777" w:rsidR="00ED11A5" w:rsidRPr="00593A5F" w:rsidRDefault="00ED11A5" w:rsidP="00ED11A5">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6DEF877B" w14:textId="57C48159" w:rsidR="00ED11A5" w:rsidRPr="00593A5F" w:rsidRDefault="00686EE0" w:rsidP="00ED11A5">
      <w:pPr>
        <w:spacing w:line="276" w:lineRule="auto"/>
        <w:jc w:val="center"/>
        <w:rPr>
          <w:rFonts w:ascii="Verdana" w:hAnsi="Verdana" w:cs="Arial"/>
          <w:color w:val="000000"/>
          <w:lang w:val="es-ES_tradnl" w:eastAsia="es-CO"/>
        </w:rPr>
      </w:pPr>
      <w:r>
        <w:rPr>
          <w:noProof/>
        </w:rPr>
        <w:drawing>
          <wp:inline distT="0" distB="0" distL="0" distR="0" wp14:anchorId="28A31484" wp14:editId="1356D5FC">
            <wp:extent cx="3771900" cy="1400175"/>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19"/>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ED11A5" w:rsidRPr="00593A5F" w14:paraId="07509941" w14:textId="77777777" w:rsidTr="00644A5F">
        <w:trPr>
          <w:trHeight w:val="315"/>
        </w:trPr>
        <w:tc>
          <w:tcPr>
            <w:tcW w:w="893" w:type="dxa"/>
            <w:vAlign w:val="center"/>
            <w:hideMark/>
          </w:tcPr>
          <w:p w14:paraId="192D77CA" w14:textId="77777777" w:rsidR="00ED11A5" w:rsidRPr="003751C7" w:rsidRDefault="00ED11A5" w:rsidP="00644A5F">
            <w:pPr>
              <w:contextualSpacing/>
              <w:rPr>
                <w:rFonts w:ascii="Verdana" w:hAnsi="Verdana" w:cs="Arial"/>
                <w:sz w:val="16"/>
                <w:szCs w:val="16"/>
                <w:lang w:val="es-ES" w:eastAsia="es-ES"/>
              </w:rPr>
            </w:pPr>
            <w:r w:rsidRPr="003751C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00594ED6" w14:textId="77777777" w:rsidR="00ED11A5" w:rsidRPr="00254A7A" w:rsidRDefault="00ED11A5" w:rsidP="00644A5F">
            <w:pPr>
              <w:contextualSpacing/>
              <w:rPr>
                <w:rStyle w:val="normaltextrun"/>
                <w:rFonts w:ascii="Verdana" w:hAnsi="Verdana"/>
                <w:sz w:val="16"/>
                <w:szCs w:val="16"/>
              </w:rPr>
            </w:pPr>
            <w:r w:rsidRPr="00254A7A">
              <w:rPr>
                <w:rStyle w:val="normaltextrun"/>
                <w:rFonts w:ascii="Verdana" w:hAnsi="Verdana"/>
                <w:sz w:val="16"/>
                <w:szCs w:val="16"/>
              </w:rPr>
              <w:t>Juan David Montoya Penagos</w:t>
            </w:r>
          </w:p>
          <w:p w14:paraId="7D322208" w14:textId="77777777" w:rsidR="00ED11A5" w:rsidRPr="00254A7A" w:rsidRDefault="00ED11A5" w:rsidP="00644A5F">
            <w:pPr>
              <w:contextualSpacing/>
              <w:rPr>
                <w:rFonts w:ascii="Verdana" w:eastAsia="Arial" w:hAnsi="Verdana" w:cs="Arial"/>
                <w:sz w:val="16"/>
                <w:szCs w:val="16"/>
              </w:rPr>
            </w:pPr>
            <w:r w:rsidRPr="00254A7A">
              <w:rPr>
                <w:rStyle w:val="normaltextrun"/>
                <w:rFonts w:ascii="Verdana" w:hAnsi="Verdana"/>
                <w:sz w:val="16"/>
                <w:szCs w:val="16"/>
              </w:rPr>
              <w:t>Contratista de la Subdirección de Gestión Contractual</w:t>
            </w:r>
          </w:p>
        </w:tc>
      </w:tr>
      <w:tr w:rsidR="00ED11A5" w:rsidRPr="00593A5F" w14:paraId="7B15E70F" w14:textId="77777777" w:rsidTr="00644A5F">
        <w:trPr>
          <w:trHeight w:val="330"/>
        </w:trPr>
        <w:tc>
          <w:tcPr>
            <w:tcW w:w="893" w:type="dxa"/>
            <w:vAlign w:val="center"/>
            <w:hideMark/>
          </w:tcPr>
          <w:p w14:paraId="3A13F634" w14:textId="77777777" w:rsidR="00ED11A5" w:rsidRPr="003751C7" w:rsidRDefault="00ED11A5" w:rsidP="00644A5F">
            <w:pPr>
              <w:contextualSpacing/>
              <w:rPr>
                <w:rFonts w:ascii="Verdana" w:hAnsi="Verdana" w:cs="Arial"/>
                <w:sz w:val="16"/>
                <w:szCs w:val="16"/>
                <w:lang w:val="es-ES" w:eastAsia="es-ES"/>
              </w:rPr>
            </w:pPr>
            <w:r w:rsidRPr="003751C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2AD90D72" w14:textId="77777777" w:rsidR="00ED11A5" w:rsidRPr="00A915F7" w:rsidRDefault="00ED11A5" w:rsidP="00644A5F">
            <w:pPr>
              <w:pStyle w:val="paragraph"/>
              <w:spacing w:after="0"/>
              <w:contextualSpacing/>
              <w:textAlignment w:val="baseline"/>
              <w:rPr>
                <w:rStyle w:val="normaltextrun"/>
                <w:rFonts w:ascii="Verdana" w:hAnsi="Verdana" w:cs="Arial"/>
                <w:sz w:val="16"/>
                <w:szCs w:val="16"/>
                <w:lang w:val="es-ES_tradnl"/>
              </w:rPr>
            </w:pPr>
            <w:r w:rsidRPr="00A915F7">
              <w:rPr>
                <w:rStyle w:val="normaltextrun"/>
                <w:rFonts w:ascii="Verdana" w:hAnsi="Verdana" w:cs="Arial"/>
                <w:sz w:val="16"/>
                <w:szCs w:val="16"/>
                <w:lang w:val="es-ES_tradnl"/>
              </w:rPr>
              <w:t>Alejandro Sarmiento Cantillo</w:t>
            </w:r>
          </w:p>
          <w:p w14:paraId="63E59F1C" w14:textId="77777777" w:rsidR="00ED11A5" w:rsidRPr="00A40FD0" w:rsidRDefault="00ED11A5" w:rsidP="00644A5F">
            <w:pPr>
              <w:pStyle w:val="paragraph"/>
              <w:spacing w:before="0" w:beforeAutospacing="0" w:after="0" w:afterAutospacing="0"/>
              <w:contextualSpacing/>
              <w:textAlignment w:val="baseline"/>
              <w:rPr>
                <w:rFonts w:ascii="Verdana" w:hAnsi="Verdana" w:cs="Segoe UI"/>
                <w:sz w:val="16"/>
                <w:szCs w:val="16"/>
              </w:rPr>
            </w:pPr>
            <w:r w:rsidRPr="00A915F7">
              <w:rPr>
                <w:rStyle w:val="normaltextrun"/>
                <w:rFonts w:ascii="Verdana" w:hAnsi="Verdana" w:cs="Arial"/>
                <w:sz w:val="16"/>
                <w:szCs w:val="16"/>
                <w:lang w:val="es-ES_tradnl"/>
              </w:rPr>
              <w:t>Gestor T1 ‒ 15 de la Subdirección de Gestión Contractual</w:t>
            </w:r>
          </w:p>
        </w:tc>
      </w:tr>
      <w:tr w:rsidR="00ED11A5" w:rsidRPr="00593A5F" w14:paraId="4B40FC7C" w14:textId="77777777" w:rsidTr="00644A5F">
        <w:trPr>
          <w:trHeight w:val="300"/>
        </w:trPr>
        <w:tc>
          <w:tcPr>
            <w:tcW w:w="893" w:type="dxa"/>
            <w:vAlign w:val="center"/>
          </w:tcPr>
          <w:p w14:paraId="124E2E40" w14:textId="77777777" w:rsidR="00ED11A5" w:rsidRPr="003751C7" w:rsidRDefault="00ED11A5" w:rsidP="00644A5F">
            <w:pPr>
              <w:contextualSpacing/>
              <w:rPr>
                <w:rFonts w:ascii="Verdana" w:hAnsi="Verdana" w:cs="Arial"/>
                <w:sz w:val="16"/>
                <w:szCs w:val="16"/>
                <w:lang w:val="es-ES" w:eastAsia="es-ES"/>
              </w:rPr>
            </w:pPr>
            <w:r w:rsidRPr="003751C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5C511435" w14:textId="77777777" w:rsidR="00ED11A5" w:rsidRPr="00FE00BE" w:rsidRDefault="00ED11A5" w:rsidP="00644A5F">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Carolina Quintero Gacharná</w:t>
            </w:r>
          </w:p>
          <w:p w14:paraId="2D810F9E" w14:textId="77777777" w:rsidR="00ED11A5" w:rsidRPr="00FE00BE" w:rsidRDefault="00ED11A5" w:rsidP="00644A5F">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Subdirectora de Gestión Contractual ANCP – CCE</w:t>
            </w:r>
          </w:p>
        </w:tc>
      </w:tr>
    </w:tbl>
    <w:p w14:paraId="172303F4" w14:textId="77777777" w:rsidR="00ED11A5" w:rsidRDefault="00ED11A5" w:rsidP="00ED11A5"/>
    <w:p w14:paraId="0F293BF4" w14:textId="78B1B3BE" w:rsidR="00127233" w:rsidRPr="006C0A8D" w:rsidRDefault="00127233" w:rsidP="006C0A8D"/>
    <w:sectPr w:rsidR="00127233" w:rsidRPr="006C0A8D"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B9165" w14:textId="77777777" w:rsidR="00225D52" w:rsidRDefault="00225D52" w:rsidP="004A1847">
      <w:pPr>
        <w:spacing w:after="0" w:line="240" w:lineRule="auto"/>
      </w:pPr>
      <w:r>
        <w:separator/>
      </w:r>
    </w:p>
  </w:endnote>
  <w:endnote w:type="continuationSeparator" w:id="0">
    <w:p w14:paraId="1C09D222" w14:textId="77777777" w:rsidR="00225D52" w:rsidRDefault="00225D52"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91533" w14:textId="77777777" w:rsidR="00225D52" w:rsidRDefault="00225D52" w:rsidP="004A1847">
      <w:pPr>
        <w:spacing w:after="0" w:line="240" w:lineRule="auto"/>
      </w:pPr>
      <w:r>
        <w:separator/>
      </w:r>
    </w:p>
  </w:footnote>
  <w:footnote w:type="continuationSeparator" w:id="0">
    <w:p w14:paraId="2987D0B3" w14:textId="77777777" w:rsidR="00225D52" w:rsidRDefault="00225D52" w:rsidP="004A1847">
      <w:pPr>
        <w:spacing w:after="0" w:line="240" w:lineRule="auto"/>
      </w:pPr>
      <w:r>
        <w:continuationSeparator/>
      </w:r>
    </w:p>
  </w:footnote>
  <w:footnote w:id="1">
    <w:p w14:paraId="42D3CB1A" w14:textId="77777777" w:rsidR="00ED11A5" w:rsidRPr="006869A9" w:rsidRDefault="00ED11A5" w:rsidP="00ED11A5">
      <w:pPr>
        <w:pStyle w:val="Textonotapie"/>
        <w:ind w:firstLine="709"/>
        <w:jc w:val="both"/>
        <w:rPr>
          <w:rFonts w:ascii="Verdana" w:hAnsi="Verdana" w:cs="Arial"/>
          <w:sz w:val="16"/>
          <w:szCs w:val="16"/>
        </w:rPr>
      </w:pPr>
      <w:r w:rsidRPr="006869A9">
        <w:rPr>
          <w:rStyle w:val="Refdenotaalpie"/>
          <w:rFonts w:ascii="Verdana" w:hAnsi="Verdana"/>
          <w:sz w:val="16"/>
          <w:szCs w:val="16"/>
        </w:rPr>
        <w:footnoteRef/>
      </w:r>
      <w:r w:rsidRPr="006869A9">
        <w:rPr>
          <w:rFonts w:ascii="Verdana" w:hAnsi="Verdana" w:cs="Arial"/>
          <w:sz w:val="16"/>
          <w:szCs w:val="16"/>
        </w:rPr>
        <w:t xml:space="preserve"> Consejo de Estado. Sección Tercera. Sentencia del 1 de octubre de 2018. Consejera Ponente: Marta Nubia Velásquez Rico. Expediente: 57.897.</w:t>
      </w:r>
    </w:p>
  </w:footnote>
  <w:footnote w:id="2">
    <w:p w14:paraId="52238AB9" w14:textId="77777777" w:rsidR="00ED11A5" w:rsidRPr="006869A9" w:rsidRDefault="00ED11A5" w:rsidP="00ED11A5">
      <w:pPr>
        <w:pStyle w:val="Textonotapie"/>
        <w:ind w:firstLine="709"/>
        <w:jc w:val="both"/>
        <w:rPr>
          <w:rFonts w:ascii="Verdana" w:hAnsi="Verdana" w:cs="Arial"/>
          <w:sz w:val="16"/>
          <w:szCs w:val="16"/>
        </w:rPr>
      </w:pPr>
      <w:r w:rsidRPr="006869A9">
        <w:rPr>
          <w:rStyle w:val="Refdenotaalpie"/>
          <w:rFonts w:ascii="Verdana" w:hAnsi="Verdana"/>
          <w:sz w:val="16"/>
          <w:szCs w:val="16"/>
        </w:rPr>
        <w:footnoteRef/>
      </w:r>
      <w:r w:rsidRPr="006869A9">
        <w:rPr>
          <w:rFonts w:ascii="Verdana" w:hAnsi="Verdana" w:cs="Arial"/>
          <w:sz w:val="16"/>
          <w:szCs w:val="16"/>
        </w:rPr>
        <w:t xml:space="preserve"> Cfr. Consejo de Estado. Sección Tercera. Sentencia del 1 de junio de 2017. Consejero Ponente: Ramiro Pazos Guerrero. Expediente: 36.117, en la cual se analizó la suspensión de un contrato estatal debido a un paro armado promovido por grupos al margen de la ley en el sitio de ejecución de la obra.</w:t>
      </w:r>
    </w:p>
  </w:footnote>
  <w:footnote w:id="3">
    <w:p w14:paraId="388DB2B9" w14:textId="77777777" w:rsidR="00ED11A5" w:rsidRPr="006869A9" w:rsidRDefault="00ED11A5" w:rsidP="00ED11A5">
      <w:pPr>
        <w:pStyle w:val="Textonotapie"/>
        <w:ind w:firstLine="709"/>
        <w:jc w:val="both"/>
        <w:rPr>
          <w:rFonts w:ascii="Verdana" w:hAnsi="Verdana" w:cs="Arial"/>
          <w:sz w:val="16"/>
          <w:szCs w:val="16"/>
          <w:lang w:val="es-ES"/>
        </w:rPr>
      </w:pPr>
      <w:r w:rsidRPr="006869A9">
        <w:rPr>
          <w:rStyle w:val="Refdenotaalpie"/>
          <w:rFonts w:ascii="Verdana" w:hAnsi="Verdana"/>
          <w:sz w:val="16"/>
          <w:szCs w:val="16"/>
        </w:rPr>
        <w:footnoteRef/>
      </w:r>
      <w:r w:rsidRPr="006869A9">
        <w:rPr>
          <w:rFonts w:ascii="Verdana" w:hAnsi="Verdana" w:cs="Arial"/>
          <w:sz w:val="16"/>
          <w:szCs w:val="16"/>
        </w:rPr>
        <w:t xml:space="preserve"> </w:t>
      </w:r>
      <w:r w:rsidRPr="006869A9">
        <w:rPr>
          <w:rFonts w:ascii="Verdana" w:hAnsi="Verdana" w:cs="Arial"/>
          <w:sz w:val="16"/>
          <w:szCs w:val="16"/>
          <w:lang w:val="es-ES"/>
        </w:rPr>
        <w:t>El artículo 64 del Código Civil define la fuerza mayor o caso fortuito como “el imprevisto o que no es posible resistir, como un naufragio, un terremoto, el apresamiento de enemigos, los actos de autoridad ejercidos por un funcionario público, etc”.</w:t>
      </w:r>
    </w:p>
  </w:footnote>
  <w:footnote w:id="4">
    <w:p w14:paraId="2F0E430B" w14:textId="77777777" w:rsidR="00ED11A5" w:rsidRPr="006869A9" w:rsidRDefault="00ED11A5" w:rsidP="00ED11A5">
      <w:pPr>
        <w:pStyle w:val="Textonotapie"/>
        <w:ind w:firstLine="708"/>
        <w:jc w:val="both"/>
        <w:rPr>
          <w:rFonts w:ascii="Verdana" w:hAnsi="Verdana"/>
          <w:sz w:val="16"/>
          <w:szCs w:val="16"/>
        </w:rPr>
      </w:pPr>
      <w:r w:rsidRPr="006869A9">
        <w:rPr>
          <w:rStyle w:val="Refdenotaalpie"/>
          <w:rFonts w:ascii="Verdana" w:hAnsi="Verdana"/>
          <w:sz w:val="16"/>
          <w:szCs w:val="16"/>
        </w:rPr>
        <w:footnoteRef/>
      </w:r>
      <w:r w:rsidRPr="006869A9">
        <w:rPr>
          <w:rFonts w:ascii="Verdana" w:hAnsi="Verdana"/>
          <w:sz w:val="16"/>
          <w:szCs w:val="16"/>
        </w:rPr>
        <w:t xml:space="preserve"> DÁVILA VINUEZA, Luis Guillermo. Regímen jurídico de la contratación estatal. Cuarta edición. Bogotá: Tirant lo Blanch, 2026. pp. 745-746. </w:t>
      </w:r>
    </w:p>
  </w:footnote>
  <w:footnote w:id="5">
    <w:p w14:paraId="512EBCAF" w14:textId="77777777" w:rsidR="00ED11A5" w:rsidRPr="006869A9" w:rsidRDefault="00ED11A5" w:rsidP="00ED11A5">
      <w:pPr>
        <w:pStyle w:val="Textonotapie"/>
        <w:ind w:firstLine="709"/>
        <w:jc w:val="both"/>
        <w:rPr>
          <w:rFonts w:ascii="Verdana" w:hAnsi="Verdana" w:cs="Arial"/>
          <w:sz w:val="16"/>
          <w:szCs w:val="16"/>
        </w:rPr>
      </w:pPr>
      <w:r w:rsidRPr="006869A9">
        <w:rPr>
          <w:rStyle w:val="Refdenotaalpie"/>
          <w:rFonts w:ascii="Verdana" w:hAnsi="Verdana"/>
          <w:sz w:val="16"/>
          <w:szCs w:val="16"/>
        </w:rPr>
        <w:footnoteRef/>
      </w:r>
      <w:r w:rsidRPr="006869A9">
        <w:rPr>
          <w:rFonts w:ascii="Verdana" w:hAnsi="Verdana" w:cs="Arial"/>
          <w:sz w:val="16"/>
          <w:szCs w:val="16"/>
        </w:rPr>
        <w:t xml:space="preserve"> “[…] en pronunciamiento del año 2012, la Sala de esta Subsección señaló que la suspensión del contrato, más estrictamente de la ejecución del contrato, como medida excepcional procede, por regla general, de consuno entre las partes, cuando situaciones de fuerza mayor, caso fortuito o de interés público impidan, temporalmente, cumplir el objeto de las obligaciones a cargo de las partes contratantes, de modo que el principal efecto que se desprende de la suspensión es que las obligaciones convenidas no pueden hacerse exigibles mientras perdure la medida y, por lo mismo, el término o plazo pactado del contrato (de ejecución o extintivo) no corre mientras permanezca suspendido. Por esa misma razón, la suspensión debe estar sujeta a un modo específico, plazo o condición, pactado con criterios de razonabilidad y proporcionalidad, acorde con la situación que se presente en cada caso, pero no puede permanecer indefinida en el tiempo” (Consejo de Estado. Sección Tercera. Sentencia del 16 de julio de 2015. Consejero Ponente: Carlos Alberto Zambrano Barrera. Expediente: 31.634).</w:t>
      </w:r>
    </w:p>
  </w:footnote>
  <w:footnote w:id="6">
    <w:p w14:paraId="09096E8D" w14:textId="77777777" w:rsidR="00ED11A5" w:rsidRPr="006869A9" w:rsidRDefault="00ED11A5" w:rsidP="00ED11A5">
      <w:pPr>
        <w:pStyle w:val="Textonotapie"/>
        <w:ind w:firstLine="708"/>
        <w:jc w:val="both"/>
        <w:rPr>
          <w:rFonts w:ascii="Verdana" w:hAnsi="Verdana"/>
          <w:sz w:val="16"/>
          <w:szCs w:val="16"/>
        </w:rPr>
      </w:pPr>
      <w:r w:rsidRPr="006869A9">
        <w:rPr>
          <w:rStyle w:val="Refdenotaalpie"/>
          <w:rFonts w:ascii="Verdana" w:hAnsi="Verdana"/>
          <w:sz w:val="16"/>
          <w:szCs w:val="16"/>
        </w:rPr>
        <w:footnoteRef/>
      </w:r>
      <w:r w:rsidRPr="006869A9">
        <w:rPr>
          <w:rFonts w:ascii="Verdana" w:hAnsi="Verdana"/>
          <w:sz w:val="16"/>
          <w:szCs w:val="16"/>
        </w:rPr>
        <w:t xml:space="preserve"> CHAMIÉ GANDUR, José Félix. Mecanismos de adaptación y conservación del contrato estatal. En: Las actuaciones y los procedimientos en la contratación estatal. Bogotá: Universidad Externando de Colombia, 2026. pp. 376.</w:t>
      </w:r>
    </w:p>
  </w:footnote>
  <w:footnote w:id="7">
    <w:p w14:paraId="49E2DD0E" w14:textId="77777777" w:rsidR="00ED11A5" w:rsidRPr="004438B9" w:rsidRDefault="00ED11A5" w:rsidP="00ED11A5">
      <w:pPr>
        <w:pStyle w:val="Textonotapie"/>
        <w:ind w:firstLine="708"/>
        <w:jc w:val="both"/>
        <w:rPr>
          <w:rFonts w:ascii="Verdana" w:hAnsi="Verdana" w:cs="Arial"/>
          <w:color w:val="000000"/>
          <w:sz w:val="16"/>
          <w:szCs w:val="16"/>
        </w:rPr>
      </w:pPr>
      <w:r w:rsidRPr="004438B9">
        <w:rPr>
          <w:rStyle w:val="Refdenotaalpie"/>
          <w:rFonts w:ascii="Verdana" w:hAnsi="Verdana" w:cs="Arial"/>
          <w:color w:val="000000"/>
          <w:sz w:val="16"/>
          <w:szCs w:val="16"/>
        </w:rPr>
        <w:footnoteRef/>
      </w:r>
      <w:r w:rsidRPr="004438B9">
        <w:rPr>
          <w:rFonts w:ascii="Verdana" w:hAnsi="Verdana" w:cs="Arial"/>
          <w:color w:val="000000"/>
          <w:sz w:val="16"/>
          <w:szCs w:val="16"/>
        </w:rPr>
        <w:t xml:space="preserve"> “La última formalidad que deben cumplir los contratos de la Administración dentro del marco jurídico de la contratación estatal se refiere a la liquidación, definida, en principio, como un negocio jurídico bilateral cuyo objeto es la realización del corte de cuentas entre las partes contratantes, en el cual queda establecida la relación directa entre las prestaciones ejecutaras, el valor cobrado por las mismas y su cancelación por parte del deudor de estas, sin perjuicio de los descuentos económicos a que haya lugar con motivo de la aplicación de estipulaciones contractuales específicas</w:t>
      </w:r>
      <w:r w:rsidRPr="004438B9">
        <w:rPr>
          <w:rFonts w:ascii="Verdana" w:hAnsi="Verdana" w:cs="Arial"/>
          <w:color w:val="000000"/>
          <w:sz w:val="16"/>
          <w:szCs w:val="16"/>
          <w:shd w:val="clear" w:color="auto" w:fill="FFFFFF"/>
        </w:rPr>
        <w:t>” (</w:t>
      </w:r>
      <w:r w:rsidRPr="004438B9">
        <w:rPr>
          <w:rFonts w:ascii="Verdana" w:hAnsi="Verdana" w:cs="Arial"/>
          <w:color w:val="000000"/>
          <w:sz w:val="16"/>
          <w:szCs w:val="16"/>
        </w:rPr>
        <w:t>EXPOSITO, Juan Carlos. Forma y contenido del contrato estatal. Bogotá: Universidad Externado de Colombia, p. 89 y 90).</w:t>
      </w:r>
    </w:p>
  </w:footnote>
  <w:footnote w:id="8">
    <w:p w14:paraId="1F474704" w14:textId="77777777" w:rsidR="00ED11A5" w:rsidRPr="004438B9" w:rsidRDefault="00ED11A5" w:rsidP="00ED11A5">
      <w:pPr>
        <w:spacing w:after="0"/>
        <w:ind w:firstLine="708"/>
        <w:jc w:val="both"/>
        <w:rPr>
          <w:rFonts w:ascii="Verdana" w:hAnsi="Verdana" w:cs="Arial"/>
          <w:color w:val="000000"/>
          <w:sz w:val="16"/>
          <w:szCs w:val="16"/>
          <w:lang w:val="es-ES"/>
        </w:rPr>
      </w:pPr>
      <w:r w:rsidRPr="004438B9">
        <w:rPr>
          <w:rStyle w:val="Refdenotaalpie"/>
          <w:rFonts w:ascii="Verdana" w:hAnsi="Verdana" w:cs="Arial"/>
          <w:color w:val="000000"/>
          <w:sz w:val="16"/>
          <w:szCs w:val="16"/>
        </w:rPr>
        <w:footnoteRef/>
      </w:r>
      <w:r w:rsidRPr="004438B9">
        <w:rPr>
          <w:rFonts w:ascii="Verdana" w:hAnsi="Verdana" w:cs="Arial"/>
          <w:color w:val="000000"/>
          <w:sz w:val="16"/>
          <w:szCs w:val="16"/>
        </w:rPr>
        <w:t xml:space="preserve"> Consejo de Estado. Sección Tercera. Subsección C. 20 de octubre de 2014, M.P: Enrique Gil Botero. Exp. 27.777. Allí se dijo: “[…] liquidar supone un ajuste expreso y claro sobre las cuentas y el estado de cumplimiento de un contrato, de tal manera que conste el balance tanto técnico como económico de las obligaciones que estuvieron a cargo de las partes. En cuanto a lo primero, la liquidación debe incluir un análisis detallado de las condiciones de calidad y oportunidad en la entrega de los bienes, obras o servicios, y el balance económico dará cuenta del comportamiento financiero del negocio: recursos recibidos, pagos efectuados, estado del crédito o de la deuda de cada parte, entre otros detalles mínimos y necesarios para finiquitar una relación jurídica contractual”.</w:t>
      </w:r>
    </w:p>
  </w:footnote>
  <w:footnote w:id="9">
    <w:p w14:paraId="0C7C31A2" w14:textId="77777777" w:rsidR="00ED11A5" w:rsidRPr="006869A9" w:rsidRDefault="00ED11A5" w:rsidP="00ED11A5">
      <w:pPr>
        <w:pStyle w:val="Textonotapie"/>
        <w:ind w:firstLine="708"/>
        <w:jc w:val="both"/>
        <w:rPr>
          <w:rFonts w:ascii="Verdana" w:hAnsi="Verdana"/>
          <w:sz w:val="16"/>
          <w:szCs w:val="16"/>
        </w:rPr>
      </w:pPr>
      <w:r w:rsidRPr="006869A9">
        <w:rPr>
          <w:rStyle w:val="Refdenotaalpie"/>
          <w:rFonts w:ascii="Verdana" w:hAnsi="Verdana"/>
          <w:sz w:val="16"/>
          <w:szCs w:val="16"/>
        </w:rPr>
        <w:footnoteRef/>
      </w:r>
      <w:r w:rsidRPr="006869A9">
        <w:rPr>
          <w:rFonts w:ascii="Verdana" w:hAnsi="Verdana"/>
          <w:sz w:val="16"/>
          <w:szCs w:val="16"/>
        </w:rPr>
        <w:t xml:space="preserve"> SÁNCHEZ HERNÁNDEZ, Carmen. Los negocios de fijación. Valencia: Tirant lo Blach, 2003 pp. 214-215. Para la autora, “[…] En la medida en que mediante los negocios de fijación, los interesados deciden sustituir el conocimiento jurisdiccional del asunto controvertido por la autocomposición negocial del conflicto, desde un punto de vista procesal, aparecen en la que llamamos fase previa, evitando, en su caso, la celebración de un juicio” (</w:t>
      </w:r>
      <w:r w:rsidRPr="006869A9">
        <w:rPr>
          <w:rFonts w:ascii="Verdana" w:hAnsi="Verdana"/>
          <w:i/>
          <w:iCs/>
          <w:sz w:val="16"/>
          <w:szCs w:val="16"/>
        </w:rPr>
        <w:t>Ibidem</w:t>
      </w:r>
      <w:r w:rsidRPr="006869A9">
        <w:rPr>
          <w:rFonts w:ascii="Verdana" w:hAnsi="Verdana"/>
          <w:sz w:val="16"/>
          <w:szCs w:val="16"/>
        </w:rPr>
        <w:t xml:space="preserve">, p. 216). En un sentido similar, JARAMILLO, Carlos Ignacio. El 'iter'contractual y la liquidación del contrato. Aproximacion a los actos, o negocios jurídicos de fijación y a las declaraciones constitutivas de un “paz y salvo”, “corte de cuentas”, o un “finiquito”: aplicación de la regla </w:t>
      </w:r>
      <w:r w:rsidRPr="006869A9">
        <w:rPr>
          <w:rFonts w:ascii="Verdana" w:hAnsi="Verdana"/>
          <w:i/>
          <w:iCs/>
          <w:sz w:val="16"/>
          <w:szCs w:val="16"/>
        </w:rPr>
        <w:t>venire contra factum proprium non valet</w:t>
      </w:r>
      <w:r w:rsidRPr="006869A9">
        <w:rPr>
          <w:rFonts w:ascii="Verdana" w:hAnsi="Verdana"/>
          <w:sz w:val="16"/>
          <w:szCs w:val="16"/>
        </w:rPr>
        <w:t xml:space="preserve"> y de la doctrina de los actos propios. En: Derecho privado: estudios y escritos de derecho patrimonial. Tomo III. Volumen 5. Bogotá: Grupo Editorial Ibañez – Universidad Pontificia Javeriana – Centro de Estudios de Derecho Privado, 2025. pp. 3089-3105.  </w:t>
      </w:r>
    </w:p>
  </w:footnote>
  <w:footnote w:id="10">
    <w:p w14:paraId="1388CAC7" w14:textId="77777777" w:rsidR="00ED11A5" w:rsidRPr="006869A9" w:rsidRDefault="00ED11A5" w:rsidP="00ED11A5">
      <w:pPr>
        <w:pStyle w:val="Textonotapie"/>
        <w:ind w:firstLine="708"/>
        <w:jc w:val="both"/>
        <w:rPr>
          <w:rFonts w:ascii="Verdana" w:hAnsi="Verdana" w:cs="Arial"/>
          <w:sz w:val="16"/>
          <w:szCs w:val="16"/>
          <w:shd w:val="clear" w:color="auto" w:fill="FFFFFF"/>
        </w:rPr>
      </w:pPr>
      <w:r w:rsidRPr="006869A9">
        <w:rPr>
          <w:rStyle w:val="Refdenotaalpie"/>
          <w:rFonts w:ascii="Verdana" w:hAnsi="Verdana" w:cs="Arial"/>
          <w:sz w:val="16"/>
          <w:szCs w:val="16"/>
        </w:rPr>
        <w:footnoteRef/>
      </w:r>
      <w:r w:rsidRPr="006869A9">
        <w:rPr>
          <w:rFonts w:ascii="Verdana" w:hAnsi="Verdana" w:cs="Arial"/>
          <w:sz w:val="16"/>
          <w:szCs w:val="16"/>
        </w:rPr>
        <w:t xml:space="preserve"> De conformidad con el artículo </w:t>
      </w:r>
      <w:r w:rsidRPr="006869A9">
        <w:rPr>
          <w:rStyle w:val="Fuerte"/>
          <w:rFonts w:ascii="Verdana" w:hAnsi="Verdana" w:cs="Arial"/>
          <w:b w:val="0"/>
          <w:bCs w:val="0"/>
          <w:sz w:val="16"/>
          <w:szCs w:val="16"/>
          <w:shd w:val="clear" w:color="auto" w:fill="FFFFFF"/>
        </w:rPr>
        <w:t>2.2.1.2.3.1.5</w:t>
      </w:r>
      <w:r w:rsidRPr="006869A9">
        <w:rPr>
          <w:rFonts w:ascii="Verdana" w:hAnsi="Verdana" w:cs="Arial"/>
          <w:sz w:val="16"/>
          <w:szCs w:val="16"/>
          <w:shd w:val="clear" w:color="auto" w:fill="FFFFFF"/>
        </w:rPr>
        <w:t xml:space="preserve"> del Decreto 1082 de 2015, </w:t>
      </w:r>
      <w:r w:rsidRPr="006869A9">
        <w:rPr>
          <w:rFonts w:ascii="Verdana" w:hAnsi="Verdana" w:cs="Arial"/>
          <w:sz w:val="16"/>
          <w:szCs w:val="16"/>
        </w:rPr>
        <w:t>“</w:t>
      </w:r>
      <w:r w:rsidRPr="006869A9">
        <w:rPr>
          <w:rFonts w:ascii="Verdana" w:hAnsi="Verdana" w:cs="Arial"/>
          <w:sz w:val="16"/>
          <w:szCs w:val="16"/>
          <w:shd w:val="clear" w:color="auto" w:fill="FFFFFF"/>
        </w:rPr>
        <w:t>La responsabilidad extracontractual de la administración derivada de las actuaciones, hechos u omisiones de sus contratistas o subcontratistas solamente puede ser amparada con un contrato de seguro</w:t>
      </w:r>
      <w:r w:rsidRPr="006869A9">
        <w:rPr>
          <w:rFonts w:ascii="Verdana" w:hAnsi="Verdana" w:cs="Arial"/>
          <w:sz w:val="16"/>
          <w:szCs w:val="16"/>
        </w:rPr>
        <w:t>”</w:t>
      </w:r>
      <w:r w:rsidRPr="006869A9">
        <w:rPr>
          <w:rFonts w:ascii="Verdana" w:hAnsi="Verdana" w:cs="Arial"/>
          <w:sz w:val="16"/>
          <w:szCs w:val="16"/>
          <w:shd w:val="clear" w:color="auto" w:fill="FFFFFF"/>
        </w:rPr>
        <w:t>.</w:t>
      </w:r>
    </w:p>
  </w:footnote>
  <w:footnote w:id="11">
    <w:p w14:paraId="01D7ED3E" w14:textId="77777777" w:rsidR="00ED11A5" w:rsidRPr="006869A9" w:rsidRDefault="00ED11A5" w:rsidP="00ED11A5">
      <w:pPr>
        <w:pStyle w:val="Textonotapie"/>
        <w:ind w:firstLine="709"/>
        <w:jc w:val="both"/>
        <w:rPr>
          <w:rFonts w:ascii="Verdana" w:hAnsi="Verdana" w:cs="Arial"/>
          <w:sz w:val="16"/>
          <w:szCs w:val="16"/>
        </w:rPr>
      </w:pPr>
      <w:r w:rsidRPr="006869A9">
        <w:rPr>
          <w:rStyle w:val="Refdenotaalpie"/>
          <w:rFonts w:ascii="Verdana" w:hAnsi="Verdana" w:cs="Arial"/>
          <w:sz w:val="16"/>
          <w:szCs w:val="16"/>
        </w:rPr>
        <w:footnoteRef/>
      </w:r>
      <w:r w:rsidRPr="006869A9">
        <w:rPr>
          <w:rFonts w:ascii="Verdana" w:hAnsi="Verdana" w:cs="Arial"/>
          <w:sz w:val="16"/>
          <w:szCs w:val="16"/>
        </w:rPr>
        <w:t xml:space="preserve"> Consejo de Estado, Sección Tercera, Subsección A. Sentencia del 14 de junio del 2019. Radicación número: 11001 03 26 000 2009 00047 00 (36860)</w:t>
      </w:r>
      <w:r w:rsidRPr="006869A9">
        <w:rPr>
          <w:rFonts w:ascii="Verdana" w:hAnsi="Verdana" w:cs="Arial"/>
          <w:bCs/>
          <w:sz w:val="16"/>
          <w:szCs w:val="16"/>
          <w:lang w:val="es-CO"/>
        </w:rPr>
        <w:t xml:space="preserve">. </w:t>
      </w:r>
      <w:r w:rsidRPr="006869A9">
        <w:rPr>
          <w:rFonts w:ascii="Verdana" w:hAnsi="Verdana" w:cs="Arial"/>
          <w:sz w:val="16"/>
          <w:szCs w:val="16"/>
        </w:rPr>
        <w:t>C.P: Carlos Alberto Zambrano Barrera.</w:t>
      </w:r>
    </w:p>
  </w:footnote>
  <w:footnote w:id="12">
    <w:p w14:paraId="53B518CC" w14:textId="77777777" w:rsidR="00ED11A5" w:rsidRPr="006869A9" w:rsidRDefault="00ED11A5" w:rsidP="00ED11A5">
      <w:pPr>
        <w:pStyle w:val="Textonotapie"/>
        <w:ind w:firstLine="709"/>
        <w:jc w:val="both"/>
        <w:rPr>
          <w:rFonts w:ascii="Verdana" w:hAnsi="Verdana" w:cs="Arial"/>
          <w:sz w:val="16"/>
          <w:szCs w:val="16"/>
          <w:lang w:val="es-CO"/>
        </w:rPr>
      </w:pPr>
      <w:r w:rsidRPr="006869A9">
        <w:rPr>
          <w:rStyle w:val="Refdenotaalpie"/>
          <w:rFonts w:ascii="Verdana" w:hAnsi="Verdana" w:cs="Arial"/>
          <w:sz w:val="16"/>
          <w:szCs w:val="16"/>
        </w:rPr>
        <w:footnoteRef/>
      </w:r>
      <w:r w:rsidRPr="006869A9">
        <w:rPr>
          <w:rFonts w:ascii="Verdana" w:hAnsi="Verdana" w:cs="Arial"/>
          <w:sz w:val="16"/>
          <w:szCs w:val="16"/>
        </w:rPr>
        <w:t xml:space="preserve"> Consejo de Estado, Sección Segunda, Subsección A. Sentencia del 25 de enero del 2018. Radicación número: </w:t>
      </w:r>
      <w:r w:rsidRPr="006869A9">
        <w:rPr>
          <w:rFonts w:ascii="Verdana" w:hAnsi="Verdana" w:cs="Arial"/>
          <w:bCs/>
          <w:sz w:val="16"/>
          <w:szCs w:val="16"/>
          <w:lang w:val="es-CO"/>
        </w:rPr>
        <w:t>11001-03-25-000-2011-00489-00(1924-11).</w:t>
      </w:r>
      <w:r w:rsidRPr="006869A9">
        <w:rPr>
          <w:rFonts w:ascii="Verdana" w:hAnsi="Verdana" w:cs="Arial"/>
          <w:b/>
          <w:sz w:val="16"/>
          <w:szCs w:val="16"/>
          <w:lang w:val="es-CO"/>
        </w:rPr>
        <w:t xml:space="preserve"> </w:t>
      </w:r>
      <w:r w:rsidRPr="006869A9">
        <w:rPr>
          <w:rFonts w:ascii="Verdana" w:hAnsi="Verdana" w:cs="Arial"/>
          <w:sz w:val="16"/>
          <w:szCs w:val="16"/>
        </w:rPr>
        <w:t>C.P: Gabriel Valbuena Hernández.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5pt;height:13.15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330140246">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94050"/>
    <w:rsid w:val="000A683E"/>
    <w:rsid w:val="000B19B9"/>
    <w:rsid w:val="000B673C"/>
    <w:rsid w:val="000D0334"/>
    <w:rsid w:val="000D5DA7"/>
    <w:rsid w:val="000F6486"/>
    <w:rsid w:val="00116940"/>
    <w:rsid w:val="00125105"/>
    <w:rsid w:val="00127233"/>
    <w:rsid w:val="0015699B"/>
    <w:rsid w:val="001A33BF"/>
    <w:rsid w:val="001E4177"/>
    <w:rsid w:val="001F0B24"/>
    <w:rsid w:val="001F7DC6"/>
    <w:rsid w:val="0022400B"/>
    <w:rsid w:val="00225D52"/>
    <w:rsid w:val="002421BB"/>
    <w:rsid w:val="0025796E"/>
    <w:rsid w:val="002707A2"/>
    <w:rsid w:val="00274D8C"/>
    <w:rsid w:val="002951A0"/>
    <w:rsid w:val="002962BC"/>
    <w:rsid w:val="002A093D"/>
    <w:rsid w:val="002A0DD0"/>
    <w:rsid w:val="002A49AC"/>
    <w:rsid w:val="002A64FD"/>
    <w:rsid w:val="002C7A84"/>
    <w:rsid w:val="002E2BF8"/>
    <w:rsid w:val="002E4FD9"/>
    <w:rsid w:val="0030657A"/>
    <w:rsid w:val="00322A85"/>
    <w:rsid w:val="00322CAD"/>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C5497"/>
    <w:rsid w:val="004F21C4"/>
    <w:rsid w:val="004F685F"/>
    <w:rsid w:val="005566E8"/>
    <w:rsid w:val="00574867"/>
    <w:rsid w:val="00591460"/>
    <w:rsid w:val="005A65E0"/>
    <w:rsid w:val="005C3777"/>
    <w:rsid w:val="005C5CDC"/>
    <w:rsid w:val="005D476C"/>
    <w:rsid w:val="005F5714"/>
    <w:rsid w:val="006200BF"/>
    <w:rsid w:val="006214E4"/>
    <w:rsid w:val="006219F8"/>
    <w:rsid w:val="006302F7"/>
    <w:rsid w:val="0063567C"/>
    <w:rsid w:val="00646B9F"/>
    <w:rsid w:val="00665D70"/>
    <w:rsid w:val="00686EE0"/>
    <w:rsid w:val="006900D9"/>
    <w:rsid w:val="006C0A8D"/>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4C37"/>
    <w:rsid w:val="00867F95"/>
    <w:rsid w:val="008843B6"/>
    <w:rsid w:val="00891928"/>
    <w:rsid w:val="008A446D"/>
    <w:rsid w:val="008B25F1"/>
    <w:rsid w:val="008D180B"/>
    <w:rsid w:val="008F0EA7"/>
    <w:rsid w:val="00923EEF"/>
    <w:rsid w:val="009419F9"/>
    <w:rsid w:val="0095685E"/>
    <w:rsid w:val="00961B09"/>
    <w:rsid w:val="00965334"/>
    <w:rsid w:val="0097093E"/>
    <w:rsid w:val="0097129B"/>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157C6"/>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361FD"/>
    <w:rsid w:val="00D423A2"/>
    <w:rsid w:val="00D44E26"/>
    <w:rsid w:val="00D520D8"/>
    <w:rsid w:val="00D63AC2"/>
    <w:rsid w:val="00D7383B"/>
    <w:rsid w:val="00D76D65"/>
    <w:rsid w:val="00D7788A"/>
    <w:rsid w:val="00DA231B"/>
    <w:rsid w:val="00DC39FC"/>
    <w:rsid w:val="00DC4832"/>
    <w:rsid w:val="00DF5254"/>
    <w:rsid w:val="00E00500"/>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D11A5"/>
    <w:rsid w:val="00EE1AA8"/>
    <w:rsid w:val="00F145BD"/>
    <w:rsid w:val="00F23FEA"/>
    <w:rsid w:val="00F31EDC"/>
    <w:rsid w:val="00F462B3"/>
    <w:rsid w:val="00F5664F"/>
    <w:rsid w:val="00F666C4"/>
    <w:rsid w:val="00F76AFC"/>
    <w:rsid w:val="00FA47C0"/>
    <w:rsid w:val="00FB5DD1"/>
    <w:rsid w:val="00FC2B5D"/>
    <w:rsid w:val="00FC64AB"/>
    <w:rsid w:val="00FF1449"/>
    <w:rsid w:val="00FF7963"/>
    <w:rsid w:val="071B8F93"/>
    <w:rsid w:val="0756F27C"/>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439A9752"/>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ED11A5"/>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ED11A5"/>
    <w:rPr>
      <w:rFonts w:ascii="Geomanist Light" w:hAnsi="Geomanist Light"/>
      <w:lang w:val="es-ES"/>
    </w:rPr>
  </w:style>
  <w:style w:type="character" w:styleId="Fuerte">
    <w:name w:val="Strong"/>
    <w:basedOn w:val="Fuentedeprrafopredeter"/>
    <w:uiPriority w:val="22"/>
    <w:qFormat/>
    <w:rsid w:val="00ED11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uridica@eticnar.gov.co"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25A651F9-79C8-45EC-9633-E4A684741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4</TotalTime>
  <Pages>16</Pages>
  <Words>5243</Words>
  <Characters>28841</Characters>
  <Application>Microsoft Office Word</Application>
  <DocSecurity>0</DocSecurity>
  <Lines>240</Lines>
  <Paragraphs>68</Paragraphs>
  <ScaleCrop>false</ScaleCrop>
  <Company/>
  <LinksUpToDate>false</LinksUpToDate>
  <CharactersWithSpaces>34016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2023-01-10T21:18:00Z</cp:lastPrinted>
  <dcterms:created xsi:type="dcterms:W3CDTF">2026-07-15T01:53:00Z</dcterms:created>
  <dcterms:modified xsi:type="dcterms:W3CDTF">2026-07-16T01:29:00Z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