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1967" w14:textId="77777777" w:rsidR="00385AE8" w:rsidRPr="007D0816" w:rsidRDefault="00385AE8" w:rsidP="00385AE8">
      <w:pPr>
        <w:spacing w:after="0" w:line="240" w:lineRule="auto"/>
        <w:rPr>
          <w:rFonts w:ascii="Verdana" w:eastAsia="Calibri" w:hAnsi="Verdana" w:cs="Arial"/>
          <w:b/>
          <w:lang w:val="es-ES_tradnl" w:eastAsia="es-ES_tradnl"/>
        </w:rPr>
      </w:pPr>
      <w:r w:rsidRPr="007D0816">
        <w:rPr>
          <w:rFonts w:ascii="Verdana" w:eastAsia="Calibri" w:hAnsi="Verdana" w:cs="Arial"/>
          <w:b/>
          <w:lang w:val="es-ES_tradnl" w:eastAsia="es-ES_tradnl"/>
        </w:rPr>
        <w:t xml:space="preserve">CESIÓN DEL CONTRATO ESTATAL – Noción </w:t>
      </w:r>
    </w:p>
    <w:p w14:paraId="32583007" w14:textId="77777777" w:rsidR="00385AE8" w:rsidRPr="00DE2AC7" w:rsidRDefault="00385AE8" w:rsidP="00385AE8">
      <w:pPr>
        <w:spacing w:after="0" w:line="240" w:lineRule="auto"/>
        <w:rPr>
          <w:rFonts w:ascii="Verdana" w:eastAsia="Calibri" w:hAnsi="Verdana" w:cs="Arial"/>
          <w:bCs/>
          <w:sz w:val="20"/>
          <w:szCs w:val="20"/>
          <w:lang w:val="es-ES_tradnl" w:eastAsia="es-ES_tradnl"/>
        </w:rPr>
      </w:pPr>
    </w:p>
    <w:p w14:paraId="7C374B70"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r w:rsidRPr="00DE2AC7">
        <w:rPr>
          <w:rFonts w:ascii="Verdana" w:eastAsia="Calibri" w:hAnsi="Verdana" w:cs="Arial"/>
          <w:color w:val="000000" w:themeColor="text1"/>
          <w:sz w:val="20"/>
          <w:szCs w:val="20"/>
        </w:rPr>
        <w:t xml:space="preserve">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DE2AC7">
        <w:rPr>
          <w:rFonts w:ascii="Verdana" w:eastAsia="Calibri" w:hAnsi="Verdana" w:cs="Arial"/>
          <w:color w:val="000000" w:themeColor="text1"/>
          <w:sz w:val="20"/>
          <w:szCs w:val="20"/>
        </w:rPr>
        <w:t>subentra</w:t>
      </w:r>
      <w:proofErr w:type="spellEnd"/>
      <w:r w:rsidRPr="00DE2AC7">
        <w:rPr>
          <w:rFonts w:ascii="Verdana" w:eastAsia="Calibri" w:hAnsi="Verdana" w:cs="Arial"/>
          <w:color w:val="000000" w:themeColor="text1"/>
          <w:sz w:val="20"/>
          <w:szCs w:val="20"/>
        </w:rPr>
        <w:t xml:space="preserve"> en la relación con el cedido […]”. Por otro, “[…] es la transferencia de la posición contractual de un contratante a otro sujeto, que le </w:t>
      </w:r>
      <w:proofErr w:type="spellStart"/>
      <w:r w:rsidRPr="00DE2AC7">
        <w:rPr>
          <w:rFonts w:ascii="Verdana" w:eastAsia="Calibri" w:hAnsi="Verdana" w:cs="Arial"/>
          <w:color w:val="000000" w:themeColor="text1"/>
          <w:sz w:val="20"/>
          <w:szCs w:val="20"/>
        </w:rPr>
        <w:t>subentra</w:t>
      </w:r>
      <w:proofErr w:type="spellEnd"/>
      <w:r w:rsidRPr="00DE2AC7">
        <w:rPr>
          <w:rFonts w:ascii="Verdana" w:eastAsia="Calibri" w:hAnsi="Verdana" w:cs="Arial"/>
          <w:color w:val="000000" w:themeColor="text1"/>
          <w:sz w:val="20"/>
          <w:szCs w:val="20"/>
        </w:rPr>
        <w:t xml:space="preserve"> en la relación con la contraparte […]”. De esta manera, </w:t>
      </w:r>
      <w:r w:rsidRPr="00DE2AC7">
        <w:rPr>
          <w:rFonts w:ascii="Verdana" w:hAnsi="Verdana" w:cs="Arial"/>
          <w:color w:val="000000" w:themeColor="text1"/>
          <w:sz w:val="20"/>
          <w:szCs w:val="20"/>
        </w:rPr>
        <w:t xml:space="preserve">concurren tres (3) sujetos: i) el cedente, esto es, el contratista inicial; </w:t>
      </w:r>
      <w:proofErr w:type="spellStart"/>
      <w:r w:rsidRPr="00DE2AC7">
        <w:rPr>
          <w:rFonts w:ascii="Verdana" w:hAnsi="Verdana" w:cs="Arial"/>
          <w:color w:val="000000" w:themeColor="text1"/>
          <w:sz w:val="20"/>
          <w:szCs w:val="20"/>
        </w:rPr>
        <w:t>ii</w:t>
      </w:r>
      <w:proofErr w:type="spellEnd"/>
      <w:r w:rsidRPr="00DE2AC7">
        <w:rPr>
          <w:rFonts w:ascii="Verdana" w:hAnsi="Verdana" w:cs="Arial"/>
          <w:color w:val="000000" w:themeColor="text1"/>
          <w:sz w:val="20"/>
          <w:szCs w:val="20"/>
        </w:rPr>
        <w:t xml:space="preserve">) el cesionario, es decir, quien asume total o parcialmente los derechos y obligaciones de este último; y </w:t>
      </w:r>
      <w:proofErr w:type="spellStart"/>
      <w:r w:rsidRPr="00DE2AC7">
        <w:rPr>
          <w:rFonts w:ascii="Verdana" w:hAnsi="Verdana" w:cs="Arial"/>
          <w:color w:val="000000" w:themeColor="text1"/>
          <w:sz w:val="20"/>
          <w:szCs w:val="20"/>
        </w:rPr>
        <w:t>iii</w:t>
      </w:r>
      <w:proofErr w:type="spellEnd"/>
      <w:r w:rsidRPr="00DE2AC7">
        <w:rPr>
          <w:rFonts w:ascii="Verdana" w:hAnsi="Verdana" w:cs="Arial"/>
          <w:color w:val="000000" w:themeColor="text1"/>
          <w:sz w:val="20"/>
          <w:szCs w:val="20"/>
        </w:rPr>
        <w:t xml:space="preserve">) el cedido que, en el caso de los contratos estatales, sería la entidad que suscribió el contrato. </w:t>
      </w:r>
      <w:r w:rsidRPr="00DE2AC7">
        <w:rPr>
          <w:rFonts w:ascii="Verdana" w:eastAsia="Calibri" w:hAnsi="Verdana" w:cs="Arial"/>
          <w:color w:val="000000" w:themeColor="text1"/>
          <w:sz w:val="20"/>
          <w:szCs w:val="20"/>
        </w:rPr>
        <w:t>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w:t>
      </w:r>
    </w:p>
    <w:p w14:paraId="70561227"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p>
    <w:p w14:paraId="310355C9" w14:textId="77777777" w:rsidR="00385AE8" w:rsidRPr="007D0816" w:rsidRDefault="00385AE8" w:rsidP="00385AE8">
      <w:pPr>
        <w:spacing w:after="0" w:line="240" w:lineRule="auto"/>
        <w:jc w:val="both"/>
        <w:rPr>
          <w:rFonts w:ascii="Verdana" w:eastAsia="Calibri" w:hAnsi="Verdana" w:cs="Arial"/>
          <w:b/>
          <w:lang w:val="es-ES_tradnl" w:eastAsia="es-ES_tradnl"/>
        </w:rPr>
      </w:pPr>
      <w:r w:rsidRPr="007D0816">
        <w:rPr>
          <w:rFonts w:ascii="Verdana" w:eastAsia="Calibri" w:hAnsi="Verdana" w:cs="Arial"/>
          <w:b/>
          <w:lang w:val="es-ES_tradnl" w:eastAsia="es-ES_tradnl"/>
        </w:rPr>
        <w:t xml:space="preserve">CESIÓN DEL CONTRATO ESTATAL – Régimen jurídico aplicable – EGCAP – Código de </w:t>
      </w:r>
      <w:r>
        <w:rPr>
          <w:rFonts w:ascii="Verdana" w:eastAsia="Calibri" w:hAnsi="Verdana" w:cs="Arial"/>
          <w:b/>
          <w:lang w:val="es-ES_tradnl" w:eastAsia="es-ES_tradnl"/>
        </w:rPr>
        <w:t>C</w:t>
      </w:r>
      <w:r w:rsidRPr="007D0816">
        <w:rPr>
          <w:rFonts w:ascii="Verdana" w:eastAsia="Calibri" w:hAnsi="Verdana" w:cs="Arial"/>
          <w:b/>
          <w:lang w:val="es-ES_tradnl" w:eastAsia="es-ES_tradnl"/>
        </w:rPr>
        <w:t>omercio</w:t>
      </w:r>
    </w:p>
    <w:p w14:paraId="67FEBDFC" w14:textId="77777777" w:rsidR="00385AE8" w:rsidRPr="00DE2AC7" w:rsidRDefault="00385AE8" w:rsidP="00385AE8">
      <w:pPr>
        <w:spacing w:after="0" w:line="240" w:lineRule="auto"/>
        <w:jc w:val="both"/>
        <w:rPr>
          <w:rFonts w:ascii="Verdana" w:eastAsia="Calibri" w:hAnsi="Verdana" w:cs="Arial"/>
          <w:bCs/>
          <w:sz w:val="20"/>
          <w:szCs w:val="20"/>
          <w:lang w:val="es-ES_tradnl" w:eastAsia="es-ES_tradnl"/>
        </w:rPr>
      </w:pPr>
    </w:p>
    <w:p w14:paraId="32CB4EB4"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r w:rsidRPr="00DE2AC7">
        <w:rPr>
          <w:rFonts w:ascii="Verdana" w:eastAsia="Calibri" w:hAnsi="Verdana" w:cs="Arial"/>
          <w:color w:val="000000" w:themeColor="text1"/>
          <w:sz w:val="20"/>
          <w:szCs w:val="20"/>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deben observarse en primer término las disposiciones establecidas en el EGCAP; </w:t>
      </w:r>
      <w:proofErr w:type="spellStart"/>
      <w:r w:rsidRPr="00DE2AC7">
        <w:rPr>
          <w:rFonts w:ascii="Verdana" w:eastAsia="Calibri" w:hAnsi="Verdana" w:cs="Arial"/>
          <w:color w:val="000000" w:themeColor="text1"/>
          <w:sz w:val="20"/>
          <w:szCs w:val="20"/>
        </w:rPr>
        <w:t>ii</w:t>
      </w:r>
      <w:proofErr w:type="spellEnd"/>
      <w:r w:rsidRPr="00DE2AC7">
        <w:rPr>
          <w:rFonts w:ascii="Verdana" w:eastAsia="Calibri" w:hAnsi="Verdana" w:cs="Arial"/>
          <w:color w:val="000000" w:themeColor="text1"/>
          <w:sz w:val="20"/>
          <w:szCs w:val="20"/>
        </w:rPr>
        <w:t xml:space="preserve">) corresponderán como actos jurídicos bilaterales generadores de obligaciones, entre otros, a los previstos en el derecho privado, en los términos del artículo 32 </w:t>
      </w:r>
      <w:r w:rsidRPr="00DE2AC7">
        <w:rPr>
          <w:rFonts w:ascii="Verdana" w:eastAsia="Calibri" w:hAnsi="Verdana" w:cs="Arial"/>
          <w:i/>
          <w:iCs/>
          <w:color w:val="000000" w:themeColor="text1"/>
          <w:sz w:val="20"/>
          <w:szCs w:val="20"/>
        </w:rPr>
        <w:t>ibidem</w:t>
      </w:r>
      <w:r w:rsidRPr="00DE2AC7">
        <w:rPr>
          <w:rFonts w:ascii="Verdana" w:eastAsia="Calibri" w:hAnsi="Verdana" w:cs="Arial"/>
          <w:color w:val="000000" w:themeColor="text1"/>
          <w:sz w:val="20"/>
          <w:szCs w:val="20"/>
        </w:rPr>
        <w:t xml:space="preserve">; y </w:t>
      </w:r>
      <w:proofErr w:type="spellStart"/>
      <w:r w:rsidRPr="00DE2AC7">
        <w:rPr>
          <w:rFonts w:ascii="Verdana" w:eastAsia="Calibri" w:hAnsi="Verdana" w:cs="Arial"/>
          <w:color w:val="000000" w:themeColor="text1"/>
          <w:sz w:val="20"/>
          <w:szCs w:val="20"/>
        </w:rPr>
        <w:t>iii</w:t>
      </w:r>
      <w:proofErr w:type="spellEnd"/>
      <w:r w:rsidRPr="00DE2AC7">
        <w:rPr>
          <w:rFonts w:ascii="Verdana" w:eastAsia="Calibri" w:hAnsi="Verdana" w:cs="Arial"/>
          <w:color w:val="000000" w:themeColor="text1"/>
          <w:sz w:val="20"/>
          <w:szCs w:val="20"/>
        </w:rPr>
        <w:t xml:space="preserve">) contendrán las estipulaciones que, de acuerdo con las normas civiles, comerciales y las previstas en esta ley, correspondan a su esencia y naturaleza, conforme a lo dispuesto por el artículo 40 </w:t>
      </w:r>
      <w:r w:rsidRPr="00DE2AC7">
        <w:rPr>
          <w:rFonts w:ascii="Verdana" w:eastAsia="Calibri" w:hAnsi="Verdana" w:cs="Arial"/>
          <w:i/>
          <w:iCs/>
          <w:color w:val="000000" w:themeColor="text1"/>
          <w:sz w:val="20"/>
          <w:szCs w:val="20"/>
        </w:rPr>
        <w:t>ibidem</w:t>
      </w:r>
      <w:r w:rsidRPr="00DE2AC7">
        <w:rPr>
          <w:rFonts w:ascii="Verdana" w:eastAsia="Calibri" w:hAnsi="Verdana" w:cs="Arial"/>
          <w:color w:val="000000" w:themeColor="text1"/>
          <w:sz w:val="20"/>
          <w:szCs w:val="20"/>
        </w:rPr>
        <w:t xml:space="preserve">. </w:t>
      </w:r>
    </w:p>
    <w:p w14:paraId="3C972748"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p>
    <w:p w14:paraId="0DCAD179" w14:textId="77777777" w:rsidR="00385AE8" w:rsidRPr="007D0816" w:rsidRDefault="00385AE8" w:rsidP="00385AE8">
      <w:pPr>
        <w:spacing w:after="0" w:line="240" w:lineRule="auto"/>
        <w:jc w:val="both"/>
        <w:rPr>
          <w:rFonts w:ascii="Verdana" w:eastAsia="Calibri" w:hAnsi="Verdana" w:cs="Arial"/>
          <w:b/>
          <w:lang w:val="es-ES_tradnl" w:eastAsia="es-ES_tradnl"/>
        </w:rPr>
      </w:pPr>
      <w:r w:rsidRPr="007D0816">
        <w:rPr>
          <w:rFonts w:ascii="Verdana" w:eastAsia="Calibri" w:hAnsi="Verdana" w:cs="Arial"/>
          <w:b/>
          <w:lang w:val="es-ES_tradnl" w:eastAsia="es-ES_tradnl"/>
        </w:rPr>
        <w:t>CESIÓN DEL CONTRATO ESTATAL – Requisitos – Restricciones</w:t>
      </w:r>
    </w:p>
    <w:p w14:paraId="38D2BA0B"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p>
    <w:p w14:paraId="0737FC7C" w14:textId="77777777" w:rsidR="00385AE8" w:rsidRPr="00DE2AC7" w:rsidRDefault="00385AE8" w:rsidP="00385AE8">
      <w:pPr>
        <w:tabs>
          <w:tab w:val="left" w:pos="709"/>
        </w:tabs>
        <w:spacing w:after="0" w:line="240" w:lineRule="auto"/>
        <w:jc w:val="both"/>
        <w:rPr>
          <w:rFonts w:ascii="Verdana" w:eastAsia="Calibri" w:hAnsi="Verdana" w:cs="Arial"/>
          <w:color w:val="000000" w:themeColor="text1"/>
          <w:sz w:val="20"/>
          <w:szCs w:val="20"/>
        </w:rPr>
      </w:pPr>
      <w:r w:rsidRPr="00DE2AC7">
        <w:rPr>
          <w:rFonts w:ascii="Verdana" w:eastAsia="Calibri" w:hAnsi="Verdana" w:cs="Arial"/>
          <w:color w:val="000000" w:themeColor="text1"/>
          <w:sz w:val="20"/>
          <w:szCs w:val="20"/>
        </w:rPr>
        <w:t xml:space="preserve">[…] el Consejo de Estado ha precisado como requisitos de la cesión del contrato estatal los siguientes: i) debe recaer en un tercero; </w:t>
      </w:r>
      <w:proofErr w:type="spellStart"/>
      <w:r w:rsidRPr="00DE2AC7">
        <w:rPr>
          <w:rFonts w:ascii="Verdana" w:eastAsia="Calibri" w:hAnsi="Verdana" w:cs="Arial"/>
          <w:color w:val="000000" w:themeColor="text1"/>
          <w:sz w:val="20"/>
          <w:szCs w:val="20"/>
        </w:rPr>
        <w:t>ii</w:t>
      </w:r>
      <w:proofErr w:type="spellEnd"/>
      <w:r w:rsidRPr="00DE2AC7">
        <w:rPr>
          <w:rFonts w:ascii="Verdana" w:eastAsia="Calibri" w:hAnsi="Verdana" w:cs="Arial"/>
          <w:color w:val="000000" w:themeColor="text1"/>
          <w:sz w:val="20"/>
          <w:szCs w:val="20"/>
        </w:rPr>
        <w:t xml:space="preserve">) el cesionario debe tener capacidad jurídica para continuar con la ejecución del objeto contractual y no estar incurso en causales de inhabilidad e incompatibilidad para contratar; y </w:t>
      </w:r>
      <w:proofErr w:type="spellStart"/>
      <w:r w:rsidRPr="00DE2AC7">
        <w:rPr>
          <w:rFonts w:ascii="Verdana" w:eastAsia="Calibri" w:hAnsi="Verdana" w:cs="Arial"/>
          <w:color w:val="000000" w:themeColor="text1"/>
          <w:sz w:val="20"/>
          <w:szCs w:val="20"/>
        </w:rPr>
        <w:t>iii</w:t>
      </w:r>
      <w:proofErr w:type="spellEnd"/>
      <w:r w:rsidRPr="00DE2AC7">
        <w:rPr>
          <w:rFonts w:ascii="Verdana" w:eastAsia="Calibri" w:hAnsi="Verdana" w:cs="Arial"/>
          <w:color w:val="000000" w:themeColor="text1"/>
          <w:sz w:val="20"/>
          <w:szCs w:val="20"/>
        </w:rPr>
        <w:t xml:space="preserve">)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 ya que “[…] el proceso cesión del contrato y las exigencias que se le impongan al tercero, no pueden alterar ni burlar los procedimientos de selección del </w:t>
      </w:r>
      <w:r w:rsidRPr="00DE2AC7">
        <w:rPr>
          <w:rFonts w:ascii="Verdana" w:eastAsia="Calibri" w:hAnsi="Verdana" w:cs="Arial"/>
          <w:color w:val="000000" w:themeColor="text1"/>
          <w:sz w:val="20"/>
          <w:szCs w:val="20"/>
        </w:rPr>
        <w:lastRenderedPageBreak/>
        <w:t>contratista, en otras palabras, la figura de la cesión de contrato no puede servir como instrumento para desviar las obligaciones que tiene la entidad contratante de cumplimiento de los parámetros de la selección objetiva”.</w:t>
      </w:r>
    </w:p>
    <w:p w14:paraId="5A53EC9C" w14:textId="77777777" w:rsidR="00706418" w:rsidRDefault="00706418" w:rsidP="00385AE8">
      <w:pPr>
        <w:tabs>
          <w:tab w:val="left" w:pos="709"/>
        </w:tabs>
        <w:spacing w:after="0" w:line="240" w:lineRule="auto"/>
        <w:jc w:val="both"/>
        <w:rPr>
          <w:rFonts w:ascii="Verdana" w:eastAsia="Calibri" w:hAnsi="Verdana" w:cs="Arial"/>
          <w:color w:val="000000" w:themeColor="text1"/>
          <w:sz w:val="20"/>
          <w:szCs w:val="20"/>
        </w:rPr>
      </w:pPr>
    </w:p>
    <w:p w14:paraId="09DDD547" w14:textId="6FB05258" w:rsidR="00385AE8" w:rsidRPr="00DE2AC7" w:rsidRDefault="00385AE8" w:rsidP="00385AE8">
      <w:pPr>
        <w:tabs>
          <w:tab w:val="left" w:pos="709"/>
        </w:tabs>
        <w:spacing w:after="0" w:line="240" w:lineRule="auto"/>
        <w:jc w:val="both"/>
        <w:rPr>
          <w:rFonts w:ascii="Verdana" w:eastAsia="Calibri" w:hAnsi="Verdana" w:cs="Arial"/>
          <w:color w:val="000000" w:themeColor="text1"/>
          <w:sz w:val="20"/>
          <w:szCs w:val="20"/>
        </w:rPr>
      </w:pPr>
      <w:r w:rsidRPr="00DE2AC7">
        <w:rPr>
          <w:rFonts w:ascii="Verdana" w:eastAsia="Calibri" w:hAnsi="Verdana" w:cs="Arial"/>
          <w:color w:val="000000" w:themeColor="text1"/>
          <w:sz w:val="20"/>
          <w:szCs w:val="20"/>
        </w:rPr>
        <w:t>[…]</w:t>
      </w:r>
    </w:p>
    <w:p w14:paraId="1E4BA910" w14:textId="77777777" w:rsidR="00385AE8" w:rsidRPr="00DE2AC7" w:rsidRDefault="00385AE8" w:rsidP="00385AE8">
      <w:pPr>
        <w:tabs>
          <w:tab w:val="left" w:pos="709"/>
        </w:tabs>
        <w:spacing w:after="0" w:line="240" w:lineRule="auto"/>
        <w:jc w:val="both"/>
        <w:rPr>
          <w:rFonts w:ascii="Verdana" w:eastAsia="Calibri" w:hAnsi="Verdana" w:cs="Arial"/>
          <w:color w:val="000000" w:themeColor="text1"/>
          <w:sz w:val="20"/>
          <w:szCs w:val="20"/>
        </w:rPr>
      </w:pPr>
    </w:p>
    <w:p w14:paraId="57A17AFE" w14:textId="77777777" w:rsidR="00385AE8" w:rsidRPr="00DE2AC7" w:rsidRDefault="00385AE8" w:rsidP="00385AE8">
      <w:pPr>
        <w:tabs>
          <w:tab w:val="left" w:pos="709"/>
        </w:tabs>
        <w:spacing w:after="0" w:line="240" w:lineRule="auto"/>
        <w:jc w:val="both"/>
        <w:rPr>
          <w:rFonts w:ascii="Verdana" w:eastAsia="Calibri" w:hAnsi="Verdana" w:cs="Arial"/>
          <w:color w:val="000000" w:themeColor="text1"/>
          <w:sz w:val="20"/>
          <w:szCs w:val="20"/>
        </w:rPr>
      </w:pPr>
      <w:r w:rsidRPr="00DE2AC7">
        <w:rPr>
          <w:rFonts w:ascii="Verdana" w:eastAsia="Calibri" w:hAnsi="Verdana" w:cs="Arial"/>
          <w:color w:val="000000" w:themeColor="text1"/>
          <w:sz w:val="20"/>
          <w:szCs w:val="20"/>
        </w:rPr>
        <w:t xml:space="preserve">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w:t>
      </w:r>
    </w:p>
    <w:p w14:paraId="68F8343E" w14:textId="77777777" w:rsidR="00385AE8" w:rsidRPr="00DE2AC7" w:rsidRDefault="00385AE8" w:rsidP="00385AE8">
      <w:pPr>
        <w:spacing w:after="0" w:line="240" w:lineRule="auto"/>
        <w:jc w:val="both"/>
        <w:rPr>
          <w:rFonts w:ascii="Verdana" w:eastAsia="Calibri" w:hAnsi="Verdana" w:cs="Arial"/>
          <w:color w:val="000000" w:themeColor="text1"/>
          <w:sz w:val="20"/>
          <w:szCs w:val="20"/>
        </w:rPr>
      </w:pPr>
    </w:p>
    <w:p w14:paraId="14F923CA" w14:textId="77777777" w:rsidR="00385AE8" w:rsidRDefault="00385AE8" w:rsidP="00385AE8">
      <w:pPr>
        <w:spacing w:after="0" w:line="240" w:lineRule="auto"/>
        <w:rPr>
          <w:rFonts w:ascii="Verdana" w:hAnsi="Verdana" w:cs="Arial"/>
          <w:b/>
          <w:lang w:val="es-ES"/>
        </w:rPr>
      </w:pPr>
    </w:p>
    <w:p w14:paraId="34DEBA20" w14:textId="77777777" w:rsidR="00385AE8" w:rsidRDefault="00385AE8" w:rsidP="00385AE8">
      <w:pPr>
        <w:spacing w:after="0" w:line="240" w:lineRule="auto"/>
        <w:rPr>
          <w:rFonts w:ascii="Verdana" w:hAnsi="Verdana" w:cs="Arial"/>
          <w:b/>
          <w:lang w:val="es-ES"/>
        </w:rPr>
      </w:pPr>
    </w:p>
    <w:p w14:paraId="5F972AE0" w14:textId="77777777" w:rsidR="00385AE8" w:rsidRDefault="00385AE8" w:rsidP="00385AE8">
      <w:pPr>
        <w:spacing w:after="0" w:line="240" w:lineRule="auto"/>
        <w:rPr>
          <w:rFonts w:ascii="Verdana" w:hAnsi="Verdana" w:cs="Arial"/>
          <w:b/>
          <w:lang w:val="es-ES"/>
        </w:rPr>
      </w:pPr>
    </w:p>
    <w:p w14:paraId="4554B7A1" w14:textId="77777777" w:rsidR="00385AE8" w:rsidRDefault="00385AE8" w:rsidP="00385AE8">
      <w:pPr>
        <w:spacing w:after="0" w:line="240" w:lineRule="auto"/>
        <w:rPr>
          <w:rFonts w:ascii="Verdana" w:hAnsi="Verdana" w:cs="Arial"/>
          <w:b/>
          <w:lang w:val="es-ES"/>
        </w:rPr>
      </w:pPr>
    </w:p>
    <w:p w14:paraId="5E1576AD" w14:textId="77777777" w:rsidR="00385AE8" w:rsidRDefault="00385AE8" w:rsidP="00385AE8">
      <w:pPr>
        <w:spacing w:after="0" w:line="240" w:lineRule="auto"/>
        <w:rPr>
          <w:rFonts w:ascii="Verdana" w:hAnsi="Verdana" w:cs="Arial"/>
          <w:b/>
          <w:lang w:val="es-ES"/>
        </w:rPr>
      </w:pPr>
    </w:p>
    <w:p w14:paraId="7876A6DB" w14:textId="77777777" w:rsidR="00385AE8" w:rsidRDefault="00385AE8" w:rsidP="00385AE8">
      <w:pPr>
        <w:spacing w:after="0" w:line="240" w:lineRule="auto"/>
        <w:rPr>
          <w:rFonts w:ascii="Verdana" w:hAnsi="Verdana" w:cs="Arial"/>
          <w:b/>
          <w:lang w:val="es-ES"/>
        </w:rPr>
      </w:pPr>
    </w:p>
    <w:p w14:paraId="7AEC21DB" w14:textId="77777777" w:rsidR="00385AE8" w:rsidRDefault="00385AE8" w:rsidP="00385AE8">
      <w:pPr>
        <w:spacing w:after="0" w:line="240" w:lineRule="auto"/>
        <w:rPr>
          <w:rFonts w:ascii="Verdana" w:hAnsi="Verdana" w:cs="Arial"/>
          <w:b/>
          <w:lang w:val="es-ES"/>
        </w:rPr>
      </w:pPr>
    </w:p>
    <w:p w14:paraId="4FDBC9F7" w14:textId="77777777" w:rsidR="00385AE8" w:rsidRDefault="00385AE8" w:rsidP="00385AE8">
      <w:pPr>
        <w:spacing w:after="0" w:line="240" w:lineRule="auto"/>
        <w:rPr>
          <w:rFonts w:ascii="Verdana" w:hAnsi="Verdana" w:cs="Arial"/>
          <w:b/>
          <w:lang w:val="es-ES"/>
        </w:rPr>
      </w:pPr>
    </w:p>
    <w:p w14:paraId="3DDFE8DD" w14:textId="77777777" w:rsidR="00385AE8" w:rsidRDefault="00385AE8" w:rsidP="00385AE8">
      <w:pPr>
        <w:spacing w:after="0" w:line="240" w:lineRule="auto"/>
        <w:rPr>
          <w:rFonts w:ascii="Verdana" w:hAnsi="Verdana" w:cs="Arial"/>
          <w:b/>
          <w:lang w:val="es-ES"/>
        </w:rPr>
      </w:pPr>
    </w:p>
    <w:p w14:paraId="51F541D9" w14:textId="77777777" w:rsidR="00385AE8" w:rsidRDefault="00385AE8" w:rsidP="00385AE8">
      <w:pPr>
        <w:spacing w:after="0" w:line="240" w:lineRule="auto"/>
        <w:rPr>
          <w:rFonts w:ascii="Verdana" w:hAnsi="Verdana" w:cs="Arial"/>
          <w:b/>
          <w:lang w:val="es-ES"/>
        </w:rPr>
      </w:pPr>
    </w:p>
    <w:p w14:paraId="48EBFA52" w14:textId="77777777" w:rsidR="00385AE8" w:rsidRDefault="00385AE8" w:rsidP="00385AE8">
      <w:pPr>
        <w:spacing w:after="0" w:line="240" w:lineRule="auto"/>
        <w:rPr>
          <w:rFonts w:ascii="Verdana" w:hAnsi="Verdana" w:cs="Arial"/>
          <w:b/>
          <w:lang w:val="es-ES"/>
        </w:rPr>
      </w:pPr>
    </w:p>
    <w:p w14:paraId="1FEF097D" w14:textId="77777777" w:rsidR="00385AE8" w:rsidRDefault="00385AE8" w:rsidP="00385AE8">
      <w:pPr>
        <w:spacing w:after="0" w:line="240" w:lineRule="auto"/>
        <w:rPr>
          <w:rFonts w:ascii="Verdana" w:hAnsi="Verdana" w:cs="Arial"/>
          <w:b/>
          <w:lang w:val="es-ES"/>
        </w:rPr>
      </w:pPr>
    </w:p>
    <w:p w14:paraId="304BB0E4" w14:textId="77777777" w:rsidR="00385AE8" w:rsidRDefault="00385AE8" w:rsidP="00385AE8">
      <w:pPr>
        <w:spacing w:after="0" w:line="240" w:lineRule="auto"/>
        <w:rPr>
          <w:rFonts w:ascii="Verdana" w:hAnsi="Verdana" w:cs="Arial"/>
          <w:b/>
          <w:lang w:val="es-ES"/>
        </w:rPr>
      </w:pPr>
    </w:p>
    <w:p w14:paraId="62CDE24F" w14:textId="77777777" w:rsidR="00385AE8" w:rsidRDefault="00385AE8" w:rsidP="00385AE8">
      <w:pPr>
        <w:spacing w:after="0" w:line="240" w:lineRule="auto"/>
        <w:rPr>
          <w:rFonts w:ascii="Verdana" w:hAnsi="Verdana" w:cs="Arial"/>
          <w:b/>
          <w:lang w:val="es-ES"/>
        </w:rPr>
      </w:pPr>
    </w:p>
    <w:p w14:paraId="0F6FD57B" w14:textId="77777777" w:rsidR="00385AE8" w:rsidRDefault="00385AE8" w:rsidP="00385AE8">
      <w:pPr>
        <w:spacing w:after="0" w:line="240" w:lineRule="auto"/>
        <w:rPr>
          <w:rFonts w:ascii="Verdana" w:hAnsi="Verdana" w:cs="Arial"/>
          <w:b/>
          <w:lang w:val="es-ES"/>
        </w:rPr>
      </w:pPr>
    </w:p>
    <w:p w14:paraId="505D8EEC" w14:textId="77777777" w:rsidR="00385AE8" w:rsidRDefault="00385AE8" w:rsidP="00385AE8">
      <w:pPr>
        <w:spacing w:after="0" w:line="240" w:lineRule="auto"/>
        <w:rPr>
          <w:rFonts w:ascii="Verdana" w:hAnsi="Verdana" w:cs="Arial"/>
          <w:b/>
          <w:lang w:val="es-ES"/>
        </w:rPr>
      </w:pPr>
    </w:p>
    <w:p w14:paraId="3040D943" w14:textId="77777777" w:rsidR="00385AE8" w:rsidRDefault="00385AE8" w:rsidP="00385AE8">
      <w:pPr>
        <w:spacing w:after="0" w:line="240" w:lineRule="auto"/>
        <w:rPr>
          <w:rFonts w:ascii="Verdana" w:hAnsi="Verdana" w:cs="Arial"/>
          <w:b/>
          <w:lang w:val="es-ES"/>
        </w:rPr>
      </w:pPr>
    </w:p>
    <w:p w14:paraId="42DBBDE6" w14:textId="77777777" w:rsidR="00385AE8" w:rsidRDefault="00385AE8" w:rsidP="00385AE8">
      <w:pPr>
        <w:spacing w:after="0" w:line="240" w:lineRule="auto"/>
        <w:rPr>
          <w:rFonts w:ascii="Verdana" w:hAnsi="Verdana" w:cs="Arial"/>
          <w:b/>
          <w:lang w:val="es-ES"/>
        </w:rPr>
      </w:pPr>
    </w:p>
    <w:p w14:paraId="0311033D" w14:textId="77777777" w:rsidR="00385AE8" w:rsidRDefault="00385AE8" w:rsidP="00385AE8">
      <w:pPr>
        <w:spacing w:after="0" w:line="240" w:lineRule="auto"/>
        <w:rPr>
          <w:rFonts w:ascii="Verdana" w:hAnsi="Verdana" w:cs="Arial"/>
          <w:b/>
          <w:lang w:val="es-ES"/>
        </w:rPr>
      </w:pPr>
    </w:p>
    <w:p w14:paraId="3EB5F71A" w14:textId="77777777" w:rsidR="00385AE8" w:rsidRDefault="00385AE8" w:rsidP="00385AE8">
      <w:pPr>
        <w:spacing w:after="0" w:line="240" w:lineRule="auto"/>
        <w:rPr>
          <w:rFonts w:ascii="Verdana" w:eastAsia="Calibri" w:hAnsi="Verdana" w:cs="Arial"/>
          <w:b/>
          <w:color w:val="000000" w:themeColor="text1"/>
          <w:lang w:val="es-ES"/>
        </w:rPr>
      </w:pPr>
    </w:p>
    <w:p w14:paraId="65D58646" w14:textId="77777777" w:rsidR="00385AE8" w:rsidRDefault="00385AE8" w:rsidP="00385AE8">
      <w:pPr>
        <w:spacing w:after="0" w:line="240" w:lineRule="auto"/>
        <w:rPr>
          <w:rFonts w:ascii="Verdana" w:eastAsia="Calibri" w:hAnsi="Verdana" w:cs="Arial"/>
          <w:b/>
          <w:color w:val="000000" w:themeColor="text1"/>
          <w:lang w:val="es-ES"/>
        </w:rPr>
      </w:pPr>
    </w:p>
    <w:p w14:paraId="4588ABA2" w14:textId="77777777" w:rsidR="00385AE8" w:rsidRDefault="00385AE8" w:rsidP="00974C69">
      <w:pPr>
        <w:spacing w:after="0" w:line="240" w:lineRule="auto"/>
        <w:rPr>
          <w:rFonts w:ascii="Verdana" w:eastAsia="Calibri" w:hAnsi="Verdana" w:cs="Arial"/>
          <w:b/>
          <w:color w:val="000000" w:themeColor="text1"/>
          <w:lang w:val="es-ES"/>
        </w:rPr>
      </w:pPr>
    </w:p>
    <w:p w14:paraId="55CCC2E2" w14:textId="77777777" w:rsidR="00385AE8" w:rsidRDefault="00385AE8" w:rsidP="00974C69">
      <w:pPr>
        <w:spacing w:after="0" w:line="240" w:lineRule="auto"/>
        <w:rPr>
          <w:rFonts w:ascii="Verdana" w:eastAsia="Calibri" w:hAnsi="Verdana" w:cs="Arial"/>
          <w:b/>
          <w:color w:val="000000" w:themeColor="text1"/>
          <w:lang w:val="es-ES"/>
        </w:rPr>
      </w:pPr>
    </w:p>
    <w:p w14:paraId="31DBB604" w14:textId="77777777" w:rsidR="00385AE8" w:rsidRPr="00385AE8" w:rsidRDefault="00385AE8" w:rsidP="00974C69">
      <w:pPr>
        <w:spacing w:after="0" w:line="240" w:lineRule="auto"/>
        <w:rPr>
          <w:rFonts w:ascii="Verdana" w:eastAsia="Geomanist Light" w:hAnsi="Verdana" w:cs="Arial"/>
          <w:color w:val="000000" w:themeColor="text1"/>
          <w:lang w:val="es-ES"/>
        </w:rPr>
      </w:pPr>
    </w:p>
    <w:p w14:paraId="0D058595" w14:textId="77777777" w:rsidR="00385AE8" w:rsidRDefault="00385AE8" w:rsidP="00974C69">
      <w:pPr>
        <w:spacing w:after="0" w:line="240" w:lineRule="auto"/>
        <w:rPr>
          <w:rFonts w:ascii="Verdana" w:eastAsia="Geomanist Light" w:hAnsi="Verdana" w:cs="Arial"/>
          <w:color w:val="000000" w:themeColor="text1"/>
          <w:lang w:val="es-MX"/>
        </w:rPr>
      </w:pPr>
    </w:p>
    <w:p w14:paraId="3043116E" w14:textId="77777777" w:rsidR="00385AE8" w:rsidRDefault="00385AE8" w:rsidP="00974C69">
      <w:pPr>
        <w:spacing w:after="0" w:line="240" w:lineRule="auto"/>
        <w:rPr>
          <w:rFonts w:ascii="Verdana" w:eastAsia="Geomanist Light" w:hAnsi="Verdana" w:cs="Arial"/>
          <w:color w:val="000000" w:themeColor="text1"/>
          <w:lang w:val="es-MX"/>
        </w:rPr>
      </w:pPr>
    </w:p>
    <w:p w14:paraId="2E438337" w14:textId="27E250D0" w:rsidR="00974C69" w:rsidRPr="00593A5F" w:rsidRDefault="00974C69" w:rsidP="00974C69">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CB5DE9" w:rsidRPr="00CB5DE9">
        <w:rPr>
          <w:rFonts w:ascii="Verdana" w:eastAsia="Geomanist Light" w:hAnsi="Verdana" w:cs="Arial"/>
          <w:color w:val="000000" w:themeColor="text1"/>
          <w:lang w:val="es-MX"/>
        </w:rPr>
        <w:t>15 de Julio de 2026</w:t>
      </w:r>
    </w:p>
    <w:p w14:paraId="6F0D9D82" w14:textId="177FF021" w:rsidR="00974C69" w:rsidRDefault="00974C69" w:rsidP="00974C69">
      <w:pPr>
        <w:spacing w:after="0" w:line="240" w:lineRule="auto"/>
        <w:jc w:val="both"/>
        <w:rPr>
          <w:rFonts w:ascii="Verdana" w:eastAsia="Calibri" w:hAnsi="Verdana" w:cs="Arial"/>
          <w:color w:val="000000"/>
          <w:lang w:val="es-ES"/>
        </w:rPr>
      </w:pPr>
    </w:p>
    <w:p w14:paraId="41023EE0" w14:textId="22B9D892" w:rsidR="00CB5DE9" w:rsidRDefault="00CB5DE9" w:rsidP="00CB5DE9">
      <w:pPr>
        <w:spacing w:after="0" w:line="240" w:lineRule="auto"/>
        <w:jc w:val="right"/>
        <w:rPr>
          <w:rFonts w:ascii="Verdana" w:eastAsia="Calibri" w:hAnsi="Verdana" w:cs="Arial"/>
          <w:color w:val="000000"/>
          <w:lang w:val="es-ES"/>
        </w:rPr>
      </w:pPr>
    </w:p>
    <w:p w14:paraId="78607DD5" w14:textId="222BE20E" w:rsidR="00974C69" w:rsidRPr="00593A5F" w:rsidRDefault="00706418" w:rsidP="00974C69">
      <w:pPr>
        <w:spacing w:after="0" w:line="240" w:lineRule="auto"/>
        <w:jc w:val="both"/>
        <w:rPr>
          <w:rFonts w:ascii="Verdana" w:eastAsia="Calibri" w:hAnsi="Verdana" w:cs="Arial"/>
          <w:color w:val="000000"/>
          <w:lang w:val="es-ES"/>
        </w:rPr>
      </w:pPr>
      <w:r w:rsidRPr="00CB5DE9">
        <w:rPr>
          <w:rFonts w:ascii="Verdana" w:eastAsia="Calibri" w:hAnsi="Verdana" w:cs="Arial"/>
          <w:noProof/>
          <w:color w:val="000000"/>
          <w:lang w:val="es-ES"/>
        </w:rPr>
        <w:drawing>
          <wp:anchor distT="0" distB="0" distL="114300" distR="114300" simplePos="0" relativeHeight="251658240" behindDoc="0" locked="0" layoutInCell="1" allowOverlap="1" wp14:anchorId="33B5139C" wp14:editId="088BF22E">
            <wp:simplePos x="0" y="0"/>
            <wp:positionH relativeFrom="margin">
              <wp:align>right</wp:align>
            </wp:positionH>
            <wp:positionV relativeFrom="paragraph">
              <wp:posOffset>8255</wp:posOffset>
            </wp:positionV>
            <wp:extent cx="2400300" cy="747395"/>
            <wp:effectExtent l="0" t="0" r="0" b="0"/>
            <wp:wrapSquare wrapText="bothSides"/>
            <wp:docPr id="1658805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05020"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747395"/>
                    </a:xfrm>
                    <a:prstGeom prst="rect">
                      <a:avLst/>
                    </a:prstGeom>
                  </pic:spPr>
                </pic:pic>
              </a:graphicData>
            </a:graphic>
            <wp14:sizeRelV relativeFrom="margin">
              <wp14:pctHeight>0</wp14:pctHeight>
            </wp14:sizeRelV>
          </wp:anchor>
        </w:drawing>
      </w:r>
    </w:p>
    <w:p w14:paraId="28C84D17" w14:textId="77777777" w:rsidR="00974C69" w:rsidRPr="00B96799" w:rsidRDefault="00974C69" w:rsidP="00974C69">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274236CF" w14:textId="77777777" w:rsidR="00974C69" w:rsidRDefault="00974C69" w:rsidP="00974C69">
      <w:pPr>
        <w:spacing w:after="0" w:line="240" w:lineRule="auto"/>
        <w:rPr>
          <w:rFonts w:ascii="Verdana" w:eastAsia="Calibri" w:hAnsi="Verdana" w:cs="Arial"/>
          <w:b/>
          <w:lang w:val="es-ES_tradnl" w:eastAsia="es-ES_tradnl"/>
        </w:rPr>
      </w:pPr>
      <w:r w:rsidRPr="00E41EE1">
        <w:rPr>
          <w:rFonts w:ascii="Verdana" w:eastAsia="Calibri" w:hAnsi="Verdana" w:cs="Arial"/>
          <w:b/>
          <w:lang w:val="es-ES_tradnl" w:eastAsia="es-ES_tradnl"/>
        </w:rPr>
        <w:t>Carlos Mario Ordosgoitia Liñan</w:t>
      </w:r>
      <w:r w:rsidRPr="008777D5">
        <w:rPr>
          <w:rFonts w:ascii="Verdana" w:eastAsia="Calibri" w:hAnsi="Verdana" w:cs="Arial"/>
          <w:b/>
          <w:lang w:val="es-ES_tradnl" w:eastAsia="es-ES_tradnl"/>
        </w:rPr>
        <w:t xml:space="preserve"> </w:t>
      </w:r>
    </w:p>
    <w:p w14:paraId="323D79AB" w14:textId="77777777" w:rsidR="00974C69" w:rsidRPr="00E41EE1" w:rsidRDefault="00974C69" w:rsidP="00974C69">
      <w:pPr>
        <w:spacing w:after="0" w:line="240" w:lineRule="auto"/>
        <w:rPr>
          <w:rFonts w:ascii="Verdana" w:eastAsia="Calibri" w:hAnsi="Verdana" w:cs="Arial"/>
          <w:lang w:val="es-ES" w:eastAsia="es-ES"/>
        </w:rPr>
      </w:pPr>
      <w:hyperlink r:id="rId11" w:history="1">
        <w:r w:rsidRPr="00E97A8C">
          <w:rPr>
            <w:rStyle w:val="Hipervnculo"/>
            <w:rFonts w:ascii="Verdana" w:hAnsi="Verdana"/>
          </w:rPr>
          <w:t>c.ordosgoitia@hotmail.com</w:t>
        </w:r>
      </w:hyperlink>
      <w:r>
        <w:rPr>
          <w:rFonts w:ascii="Verdana" w:hAnsi="Verdana"/>
        </w:rPr>
        <w:t xml:space="preserve"> </w:t>
      </w:r>
      <w:r w:rsidRPr="00E41EE1">
        <w:rPr>
          <w:rFonts w:ascii="Verdana" w:hAnsi="Verdana"/>
        </w:rPr>
        <w:t xml:space="preserve">                    </w:t>
      </w:r>
      <w:r w:rsidRPr="00E41EE1">
        <w:rPr>
          <w:rFonts w:ascii="Verdana" w:eastAsia="Calibri" w:hAnsi="Verdana" w:cs="Arial"/>
          <w:lang w:val="es-ES" w:eastAsia="es-ES"/>
        </w:rPr>
        <w:t xml:space="preserve">    </w:t>
      </w:r>
    </w:p>
    <w:p w14:paraId="7B71601F" w14:textId="77777777" w:rsidR="00974C69" w:rsidRDefault="00974C69" w:rsidP="00974C69">
      <w:pPr>
        <w:spacing w:after="0" w:line="240" w:lineRule="auto"/>
        <w:rPr>
          <w:rFonts w:ascii="Verdana" w:eastAsia="Calibri" w:hAnsi="Verdana" w:cs="Arial"/>
          <w:lang w:val="es-ES" w:eastAsia="es-ES"/>
        </w:rPr>
      </w:pPr>
      <w:r w:rsidRPr="00E41EE1">
        <w:rPr>
          <w:rFonts w:ascii="Verdana" w:eastAsia="Calibri" w:hAnsi="Verdana" w:cs="Arial"/>
          <w:lang w:val="es-ES" w:eastAsia="es-ES"/>
        </w:rPr>
        <w:t>Cartagena de Indias D.T.C</w:t>
      </w:r>
      <w:r w:rsidRPr="004513BB">
        <w:rPr>
          <w:rFonts w:ascii="Verdana" w:eastAsia="Calibri" w:hAnsi="Verdana" w:cs="Arial"/>
          <w:lang w:val="es-ES" w:eastAsia="es-ES"/>
        </w:rPr>
        <w:t xml:space="preserve">, </w:t>
      </w:r>
      <w:r w:rsidRPr="00E41EE1">
        <w:rPr>
          <w:rFonts w:ascii="Verdana" w:eastAsia="Calibri" w:hAnsi="Verdana" w:cs="Arial"/>
          <w:lang w:val="es-ES" w:eastAsia="es-ES"/>
        </w:rPr>
        <w:t>Bolívar</w:t>
      </w:r>
      <w:r>
        <w:rPr>
          <w:rFonts w:ascii="Verdana" w:eastAsia="Calibri" w:hAnsi="Verdana" w:cs="Arial"/>
          <w:lang w:val="es-ES" w:eastAsia="es-ES"/>
        </w:rPr>
        <w:t xml:space="preserve"> </w:t>
      </w:r>
    </w:p>
    <w:p w14:paraId="47817EA5" w14:textId="77777777" w:rsidR="00974C69" w:rsidRPr="00593A5F" w:rsidRDefault="00974C69" w:rsidP="00974C69">
      <w:pPr>
        <w:spacing w:after="0" w:line="240" w:lineRule="auto"/>
        <w:rPr>
          <w:rFonts w:ascii="Verdana" w:eastAsia="Calibri" w:hAnsi="Verdana" w:cs="Arial"/>
          <w:b/>
          <w:bCs/>
          <w:color w:val="000000"/>
          <w:lang w:val="es-ES_tradnl" w:eastAsia="es-ES_tradnl"/>
        </w:rPr>
      </w:pPr>
    </w:p>
    <w:p w14:paraId="4DE463AC" w14:textId="77777777" w:rsidR="00974C69" w:rsidRPr="00593A5F" w:rsidRDefault="00974C69" w:rsidP="00974C69">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74C69" w:rsidRPr="00593A5F" w14:paraId="54F89745" w14:textId="77777777" w:rsidTr="00D6567B">
        <w:trPr>
          <w:trHeight w:val="884"/>
        </w:trPr>
        <w:tc>
          <w:tcPr>
            <w:tcW w:w="2689" w:type="dxa"/>
          </w:tcPr>
          <w:p w14:paraId="4DD08E42" w14:textId="77777777" w:rsidR="00974C69" w:rsidRPr="00C00976" w:rsidRDefault="00974C69" w:rsidP="00D6567B">
            <w:pPr>
              <w:jc w:val="both"/>
              <w:rPr>
                <w:rFonts w:ascii="Verdana" w:eastAsia="Calibri" w:hAnsi="Verdana" w:cs="Arial"/>
                <w:b/>
                <w:bCs/>
                <w:color w:val="7030A0"/>
                <w:lang w:val="es-ES_tradnl" w:eastAsia="es-ES_tradnl"/>
              </w:rPr>
            </w:pPr>
          </w:p>
        </w:tc>
        <w:tc>
          <w:tcPr>
            <w:tcW w:w="6100" w:type="dxa"/>
          </w:tcPr>
          <w:p w14:paraId="54EE4C79" w14:textId="3E1E77B1" w:rsidR="00974C69" w:rsidRPr="00C00976" w:rsidRDefault="00974C69" w:rsidP="00D6567B">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706418">
              <w:rPr>
                <w:rFonts w:ascii="Verdana" w:eastAsia="Calibri" w:hAnsi="Verdana" w:cs="Arial"/>
                <w:b/>
                <w:bCs/>
                <w:lang w:val="es-ES" w:eastAsia="es-ES"/>
              </w:rPr>
              <w:t>-</w:t>
            </w:r>
            <w:r>
              <w:rPr>
                <w:rFonts w:ascii="Verdana" w:eastAsia="Calibri" w:hAnsi="Verdana" w:cs="Arial"/>
                <w:b/>
                <w:bCs/>
                <w:lang w:val="es-ES" w:eastAsia="es-ES"/>
              </w:rPr>
              <w:t xml:space="preserve">1051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974C69" w:rsidRPr="00593A5F" w14:paraId="55756CA9" w14:textId="77777777" w:rsidTr="00D6567B">
        <w:trPr>
          <w:trHeight w:val="884"/>
        </w:trPr>
        <w:tc>
          <w:tcPr>
            <w:tcW w:w="2689" w:type="dxa"/>
          </w:tcPr>
          <w:p w14:paraId="5FD01FAF" w14:textId="77777777" w:rsidR="00974C69" w:rsidRPr="00593A5F" w:rsidRDefault="00974C69" w:rsidP="00D6567B">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E5C72CF" w14:textId="77777777" w:rsidR="00974C69" w:rsidRPr="00A11406" w:rsidRDefault="00974C69" w:rsidP="00D6567B">
            <w:pPr>
              <w:spacing w:line="276" w:lineRule="auto"/>
              <w:jc w:val="both"/>
              <w:rPr>
                <w:rFonts w:ascii="Verdana" w:eastAsia="Calibri" w:hAnsi="Verdana" w:cs="Arial"/>
                <w:lang w:val="es-ES" w:eastAsia="es-ES"/>
              </w:rPr>
            </w:pPr>
            <w:r w:rsidRPr="00206E87">
              <w:rPr>
                <w:rFonts w:ascii="Verdana" w:eastAsia="Calibri" w:hAnsi="Verdana" w:cs="Arial"/>
                <w:lang w:val="es-ES" w:eastAsia="es-ES"/>
              </w:rPr>
              <w:t>CESIÓN DEL CONTRATO ESTATAL – Noción / CESIÓN DEL CONTRATO ESTATAL – Régimen jurídico aplicable – EGCAP – Código de comercio / CESIÓN DEL CONTRATO ESTATAL – Requisitos – Restricciones</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4BAD612A" w14:textId="77777777" w:rsidR="00974C69" w:rsidRPr="00593A5F" w:rsidRDefault="00974C69" w:rsidP="00D6567B">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974C69" w:rsidRPr="008E6AD9" w14:paraId="0DBEDAAF" w14:textId="77777777" w:rsidTr="00D6567B">
        <w:tc>
          <w:tcPr>
            <w:tcW w:w="2689" w:type="dxa"/>
          </w:tcPr>
          <w:p w14:paraId="14D67886" w14:textId="77777777" w:rsidR="00974C69" w:rsidRPr="008E6AD9" w:rsidRDefault="00974C69" w:rsidP="00D6567B">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02DA5A17" w14:textId="77777777" w:rsidR="00974C69" w:rsidRPr="00B92340" w:rsidRDefault="00974C69" w:rsidP="00D6567B">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t xml:space="preserve"> </w:t>
            </w:r>
            <w:r w:rsidRPr="00B17529">
              <w:rPr>
                <w:rFonts w:ascii="Verdana" w:eastAsia="Calibri" w:hAnsi="Verdana" w:cs="Arial"/>
                <w:lang w:val="es-ES_tradnl" w:eastAsia="es-ES_tradnl"/>
              </w:rPr>
              <w:t>1_2026_07_02_008804</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6DD81323" w14:textId="77777777" w:rsidR="00974C69" w:rsidRPr="00593A5F" w:rsidRDefault="00974C69" w:rsidP="00974C69">
      <w:pPr>
        <w:spacing w:after="0" w:line="240" w:lineRule="auto"/>
        <w:jc w:val="both"/>
        <w:rPr>
          <w:rFonts w:ascii="Verdana" w:eastAsia="Calibri" w:hAnsi="Verdana" w:cs="Arial"/>
          <w:color w:val="000000"/>
          <w:lang w:val="es-ES_tradnl" w:eastAsia="es-ES_tradnl"/>
        </w:rPr>
      </w:pPr>
    </w:p>
    <w:p w14:paraId="156312F7" w14:textId="77777777" w:rsidR="00974C69" w:rsidRPr="00593A5F" w:rsidRDefault="00974C69" w:rsidP="00974C69">
      <w:pPr>
        <w:spacing w:after="0" w:line="240" w:lineRule="auto"/>
        <w:jc w:val="both"/>
        <w:rPr>
          <w:rFonts w:ascii="Verdana" w:eastAsia="Calibri" w:hAnsi="Verdana" w:cs="Arial"/>
          <w:color w:val="000000"/>
          <w:lang w:val="es-ES_tradnl" w:eastAsia="es-ES_tradnl"/>
        </w:rPr>
      </w:pPr>
    </w:p>
    <w:p w14:paraId="14DB3AC4" w14:textId="77777777" w:rsidR="00974C69" w:rsidRPr="008E6AD9" w:rsidRDefault="00974C69" w:rsidP="00974C69">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proofErr w:type="spellStart"/>
      <w:r w:rsidRPr="003C0416">
        <w:rPr>
          <w:rFonts w:ascii="Verdana" w:eastAsia="Calibri" w:hAnsi="Verdana" w:cs="Arial"/>
          <w:lang w:val="es-ES" w:eastAsia="es-ES"/>
        </w:rPr>
        <w:t>Ordosgoitia</w:t>
      </w:r>
      <w:proofErr w:type="spellEnd"/>
      <w:r w:rsidRPr="003C0416">
        <w:rPr>
          <w:rFonts w:ascii="Verdana" w:eastAsia="Calibri" w:hAnsi="Verdana" w:cs="Arial"/>
          <w:lang w:val="es-ES" w:eastAsia="es-ES"/>
        </w:rPr>
        <w:t xml:space="preserve"> </w:t>
      </w:r>
      <w:proofErr w:type="spellStart"/>
      <w:r w:rsidRPr="003C0416">
        <w:rPr>
          <w:rFonts w:ascii="Verdana" w:eastAsia="Calibri" w:hAnsi="Verdana" w:cs="Arial"/>
          <w:lang w:val="es-ES" w:eastAsia="es-ES"/>
        </w:rPr>
        <w:t>Liñan</w:t>
      </w:r>
      <w:proofErr w:type="spellEnd"/>
      <w:r w:rsidRPr="008E6AD9">
        <w:rPr>
          <w:rFonts w:ascii="Verdana" w:eastAsia="Calibri" w:hAnsi="Verdana" w:cs="Arial"/>
          <w:lang w:val="es-ES" w:eastAsia="es-ES"/>
        </w:rPr>
        <w:t xml:space="preserve">: </w:t>
      </w:r>
    </w:p>
    <w:p w14:paraId="396A2B0C" w14:textId="77777777" w:rsidR="00974C69" w:rsidRDefault="00974C69" w:rsidP="00974C69">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9024DE4" w14:textId="5D9A436C" w:rsidR="00974C69" w:rsidRPr="00593A5F" w:rsidRDefault="00974C69" w:rsidP="00974C69">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w:t>
      </w:r>
      <w:r w:rsidR="00706418">
        <w:rPr>
          <w:rFonts w:ascii="Verdana" w:eastAsia="Calibri" w:hAnsi="Verdana" w:cs="Arial"/>
          <w:lang w:val="es-ES" w:eastAsia="es-ES"/>
        </w:rPr>
        <w:t>2</w:t>
      </w:r>
      <w:r>
        <w:rPr>
          <w:rFonts w:ascii="Verdana" w:eastAsia="Calibri" w:hAnsi="Verdana" w:cs="Arial"/>
          <w:lang w:val="es-ES" w:eastAsia="es-ES"/>
        </w:rPr>
        <w:t xml:space="preserve"> de julio de 2026, donde solicita conceptuar sobre el siguiente aspecto</w:t>
      </w:r>
      <w:r w:rsidRPr="008E6AD9">
        <w:rPr>
          <w:rFonts w:ascii="Verdana" w:eastAsia="Calibri" w:hAnsi="Verdana" w:cs="Arial"/>
          <w:lang w:val="es-ES" w:eastAsia="es-ES"/>
        </w:rPr>
        <w:t xml:space="preserve">: </w:t>
      </w:r>
    </w:p>
    <w:p w14:paraId="2872F833" w14:textId="77777777" w:rsidR="00974C69" w:rsidRPr="00272A7B" w:rsidRDefault="00974C69" w:rsidP="00974C69">
      <w:pPr>
        <w:pStyle w:val="Prrafodelista"/>
        <w:tabs>
          <w:tab w:val="left" w:pos="142"/>
          <w:tab w:val="left" w:pos="284"/>
        </w:tabs>
        <w:spacing w:after="0" w:line="276" w:lineRule="auto"/>
        <w:ind w:left="0"/>
        <w:jc w:val="both"/>
        <w:rPr>
          <w:rFonts w:ascii="Verdana" w:eastAsia="Century Gothic" w:hAnsi="Verdana" w:cs="Century Gothic"/>
          <w:b/>
          <w:bCs/>
        </w:rPr>
      </w:pPr>
    </w:p>
    <w:p w14:paraId="5DA8843B" w14:textId="77777777" w:rsidR="00974C69" w:rsidRPr="008E6AD9" w:rsidRDefault="00974C69" w:rsidP="00974C69">
      <w:pPr>
        <w:spacing w:after="0" w:line="240" w:lineRule="auto"/>
        <w:ind w:left="709" w:right="709"/>
        <w:jc w:val="both"/>
        <w:rPr>
          <w:rFonts w:ascii="Verdana" w:eastAsia="Century Gothic" w:hAnsi="Verdana" w:cs="Century Gothic"/>
          <w:b/>
          <w:bCs/>
        </w:rPr>
      </w:pPr>
      <w:bookmarkStart w:id="0" w:name="_Hlk95313578"/>
      <w:r w:rsidRPr="001904AF">
        <w:rPr>
          <w:rFonts w:ascii="Verdana" w:eastAsia="Century Gothic" w:hAnsi="Verdana" w:cs="Century Gothic"/>
          <w:sz w:val="20"/>
          <w:szCs w:val="20"/>
          <w:lang w:val="es-ES"/>
        </w:rPr>
        <w:t>“</w:t>
      </w:r>
      <w:bookmarkEnd w:id="0"/>
      <w:r>
        <w:rPr>
          <w:rFonts w:ascii="Verdana" w:eastAsia="Century Gothic" w:hAnsi="Verdana" w:cs="Century Gothic"/>
          <w:sz w:val="20"/>
          <w:szCs w:val="20"/>
          <w:lang w:val="es-ES"/>
        </w:rPr>
        <w:t xml:space="preserve">[…] </w:t>
      </w:r>
      <w:r w:rsidRPr="003C0416">
        <w:rPr>
          <w:rFonts w:ascii="Verdana" w:eastAsia="Century Gothic" w:hAnsi="Verdana" w:cs="Century Gothic"/>
          <w:sz w:val="20"/>
          <w:szCs w:val="20"/>
          <w:lang w:val="es-ES"/>
        </w:rPr>
        <w:t>si la inhabilidad contemplada en el literal B del numeral 1 del artículo 8 de la Ley 80 de 1993, comprende los eventos en el que se autorice cesión de la posición contractual del extremo contratista, estando este o alguno de sus integrantes nuevos inhabilitado para celebrar contratos con el estado</w:t>
      </w:r>
      <w:r>
        <w:rPr>
          <w:rFonts w:ascii="Verdana" w:eastAsia="Century Gothic" w:hAnsi="Verdana" w:cs="Century Gothic"/>
          <w:sz w:val="20"/>
          <w:szCs w:val="20"/>
          <w:lang w:val="es-ES"/>
        </w:rPr>
        <w:t>”.</w:t>
      </w:r>
    </w:p>
    <w:p w14:paraId="24E5C51E" w14:textId="77777777" w:rsidR="00974C69" w:rsidRDefault="00974C69" w:rsidP="00974C69">
      <w:pPr>
        <w:spacing w:after="0" w:line="276" w:lineRule="auto"/>
        <w:ind w:firstLine="709"/>
        <w:jc w:val="both"/>
        <w:rPr>
          <w:rFonts w:ascii="Verdana" w:eastAsia="Calibri" w:hAnsi="Verdana" w:cs="Arial"/>
          <w:color w:val="000000"/>
          <w:lang w:val="es-ES" w:eastAsia="es-ES"/>
        </w:rPr>
      </w:pPr>
    </w:p>
    <w:p w14:paraId="1DC7E924" w14:textId="77777777" w:rsidR="00974C69" w:rsidRPr="00A652FF" w:rsidRDefault="00974C69" w:rsidP="00974C69">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w:t>
      </w:r>
      <w:r w:rsidRPr="00593A5F">
        <w:rPr>
          <w:rFonts w:ascii="Verdana" w:eastAsia="Calibri" w:hAnsi="Verdana" w:cs="Arial"/>
          <w:color w:val="000000"/>
          <w:lang w:val="es-ES" w:eastAsia="es-ES"/>
        </w:rPr>
        <w:lastRenderedPageBreak/>
        <w:t xml:space="preserve">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1947CA5F" w14:textId="77777777" w:rsidR="00974C69" w:rsidRDefault="00974C69" w:rsidP="00974C69">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722B4C24" w14:textId="77777777" w:rsidR="00974C69" w:rsidRPr="00593A5F" w:rsidRDefault="00974C69" w:rsidP="00974C69">
      <w:pPr>
        <w:spacing w:after="0" w:line="276" w:lineRule="auto"/>
        <w:ind w:firstLine="709"/>
        <w:jc w:val="both"/>
        <w:rPr>
          <w:rFonts w:ascii="Verdana" w:eastAsia="Calibri" w:hAnsi="Verdana" w:cs="Arial"/>
          <w:color w:val="000000"/>
          <w:lang w:val="es-ES" w:eastAsia="es-ES"/>
        </w:rPr>
      </w:pPr>
    </w:p>
    <w:p w14:paraId="0214F2AC" w14:textId="77777777" w:rsidR="00974C69" w:rsidRPr="00593A5F" w:rsidRDefault="00974C69" w:rsidP="00974C69">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78AE720B" w14:textId="77777777" w:rsidR="00974C69" w:rsidRPr="00593A5F" w:rsidRDefault="00974C69" w:rsidP="00974C69">
      <w:pPr>
        <w:tabs>
          <w:tab w:val="left" w:pos="426"/>
        </w:tabs>
        <w:spacing w:after="0" w:line="276" w:lineRule="auto"/>
        <w:jc w:val="both"/>
        <w:rPr>
          <w:rFonts w:ascii="Verdana" w:eastAsia="Century Gothic" w:hAnsi="Verdana" w:cs="Century Gothic"/>
          <w:lang w:val="es-ES"/>
        </w:rPr>
      </w:pPr>
    </w:p>
    <w:p w14:paraId="575A0DBA" w14:textId="77777777" w:rsidR="00974C69" w:rsidRPr="00593A5F" w:rsidRDefault="00974C69" w:rsidP="00974C69">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906BE9">
        <w:rPr>
          <w:rFonts w:ascii="Verdana" w:eastAsia="Century Gothic" w:hAnsi="Verdana" w:cs="Century Gothic"/>
        </w:rPr>
        <w:t xml:space="preserve"> siguiente</w:t>
      </w:r>
      <w:r>
        <w:rPr>
          <w:rFonts w:ascii="Verdana" w:eastAsia="Century Gothic" w:hAnsi="Verdana" w:cs="Century Gothic"/>
        </w:rPr>
        <w:t xml:space="preserve">s </w:t>
      </w:r>
      <w:r w:rsidRPr="00906BE9">
        <w:rPr>
          <w:rFonts w:ascii="Verdana" w:eastAsia="Century Gothic" w:hAnsi="Verdana" w:cs="Century Gothic"/>
        </w:rPr>
        <w:t>problema</w:t>
      </w:r>
      <w:r>
        <w:rPr>
          <w:rFonts w:ascii="Verdana" w:eastAsia="Century Gothic" w:hAnsi="Verdana" w:cs="Century Gothic"/>
        </w:rPr>
        <w:t>s</w:t>
      </w:r>
      <w:r w:rsidRPr="00906BE9">
        <w:rPr>
          <w:rFonts w:ascii="Verdana" w:eastAsia="Century Gothic" w:hAnsi="Verdana" w:cs="Century Gothic"/>
        </w:rPr>
        <w:t xml:space="preserve"> jurídico</w:t>
      </w:r>
      <w:r>
        <w:rPr>
          <w:rFonts w:ascii="Verdana" w:eastAsia="Century Gothic" w:hAnsi="Verdana" w:cs="Century Gothic"/>
        </w:rPr>
        <w:t>s</w:t>
      </w:r>
      <w:r w:rsidRPr="00906BE9">
        <w:rPr>
          <w:rFonts w:ascii="Verdana" w:eastAsia="Century Gothic" w:hAnsi="Verdana" w:cs="Century Gothic"/>
        </w:rPr>
        <w:t>:</w:t>
      </w:r>
      <w:r>
        <w:rPr>
          <w:rFonts w:ascii="Verdana" w:eastAsia="Century Gothic" w:hAnsi="Verdana" w:cs="Century Gothic"/>
        </w:rPr>
        <w:t xml:space="preserve"> i) </w:t>
      </w:r>
      <w:r w:rsidRPr="001D6D04">
        <w:rPr>
          <w:rFonts w:ascii="Verdana" w:eastAsia="Century Gothic" w:hAnsi="Verdana" w:cs="Century Gothic"/>
        </w:rPr>
        <w:t>¿</w:t>
      </w:r>
      <w:r>
        <w:rPr>
          <w:rFonts w:ascii="Verdana" w:eastAsia="Century Gothic" w:hAnsi="Verdana" w:cs="Century Gothic"/>
        </w:rPr>
        <w:t>debe verificarse la capacidad jurídica del cesionario</w:t>
      </w:r>
      <w:r w:rsidRPr="001D6D04">
        <w:rPr>
          <w:rFonts w:ascii="Verdana" w:eastAsia="Century Gothic" w:hAnsi="Verdana" w:cs="Century Gothic"/>
        </w:rPr>
        <w:t>?</w:t>
      </w:r>
      <w:r>
        <w:rPr>
          <w:rFonts w:ascii="Verdana" w:eastAsia="Century Gothic" w:hAnsi="Verdana" w:cs="Century Gothic"/>
        </w:rPr>
        <w:t xml:space="preserve"> y </w:t>
      </w:r>
      <w:proofErr w:type="spellStart"/>
      <w:r>
        <w:rPr>
          <w:rFonts w:ascii="Verdana" w:eastAsia="Century Gothic" w:hAnsi="Verdana" w:cs="Century Gothic"/>
        </w:rPr>
        <w:t>ii</w:t>
      </w:r>
      <w:proofErr w:type="spellEnd"/>
      <w:r>
        <w:rPr>
          <w:rFonts w:ascii="Verdana" w:eastAsia="Century Gothic" w:hAnsi="Verdana" w:cs="Century Gothic"/>
        </w:rPr>
        <w:t xml:space="preserve">) ¿cuál es la consecuencia jurídica para un cesionario que, estando inhabilitado, se subroga en la posición del cedente?  </w:t>
      </w:r>
    </w:p>
    <w:p w14:paraId="34CD8165" w14:textId="77777777" w:rsidR="00974C69" w:rsidRPr="004B140F" w:rsidRDefault="00974C69" w:rsidP="00974C69">
      <w:pPr>
        <w:spacing w:after="0" w:line="276" w:lineRule="auto"/>
        <w:jc w:val="both"/>
        <w:rPr>
          <w:rFonts w:ascii="Verdana" w:eastAsia="Calibri" w:hAnsi="Verdana" w:cs="Arial"/>
          <w:color w:val="7030A0"/>
        </w:rPr>
      </w:pPr>
    </w:p>
    <w:p w14:paraId="4AE9DDF3" w14:textId="77777777" w:rsidR="00974C69" w:rsidRPr="00593A5F" w:rsidRDefault="00974C69" w:rsidP="00974C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08F4A074" w14:textId="77777777" w:rsidR="00974C69" w:rsidRPr="00593A5F" w:rsidRDefault="00974C69" w:rsidP="00974C6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74C69" w:rsidRPr="00593A5F" w14:paraId="01DCD808" w14:textId="77777777" w:rsidTr="00D6567B">
        <w:trPr>
          <w:jc w:val="center"/>
        </w:trPr>
        <w:tc>
          <w:tcPr>
            <w:tcW w:w="8828" w:type="dxa"/>
          </w:tcPr>
          <w:p w14:paraId="2BBC2835" w14:textId="77777777" w:rsidR="00974C69" w:rsidRDefault="00974C69" w:rsidP="00D6567B">
            <w:pPr>
              <w:tabs>
                <w:tab w:val="left" w:pos="426"/>
              </w:tabs>
              <w:spacing w:after="120" w:line="276" w:lineRule="auto"/>
              <w:jc w:val="both"/>
              <w:rPr>
                <w:rFonts w:ascii="Verdana" w:eastAsia="Calibri" w:hAnsi="Verdana" w:cs="Arial"/>
                <w:bCs/>
                <w:color w:val="000000" w:themeColor="text1"/>
                <w:lang w:val="es-ES_tradnl"/>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270CF3">
              <w:rPr>
                <w:rFonts w:ascii="Verdana" w:eastAsia="Arial" w:hAnsi="Verdana" w:cs="Arial"/>
                <w:lang w:val="es-MX" w:eastAsia="es-ES" w:bidi="es-ES"/>
              </w:rPr>
              <w:t>,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Por tanto, si dicho tercero cumple los requisitos de capacidad jurídica, no está incurso en causales de inhabilidad o incompatibilidad y, de acuerdo con los criterios previstos en el pliego de condiciones, es idóneo desde el punto de vista técnico, económico y financiero para cumplir con las obligaciones, la entidad podrá analizar la posibilidad de autorizar la cesión conforme al artículo 41 de la Ley 80 de 1993.</w:t>
            </w:r>
          </w:p>
          <w:p w14:paraId="6C5F3738" w14:textId="77777777" w:rsidR="00974C69" w:rsidRDefault="00974C69" w:rsidP="00D6567B">
            <w:pPr>
              <w:tabs>
                <w:tab w:val="left" w:pos="709"/>
              </w:tabs>
              <w:spacing w:after="120" w:line="276" w:lineRule="auto"/>
              <w:ind w:firstLine="737"/>
              <w:jc w:val="both"/>
              <w:rPr>
                <w:rFonts w:ascii="Verdana" w:eastAsia="Calibri" w:hAnsi="Verdana" w:cs="Arial"/>
                <w:color w:val="000000" w:themeColor="text1"/>
              </w:rPr>
            </w:pPr>
            <w:r>
              <w:rPr>
                <w:rFonts w:ascii="Verdana" w:eastAsia="Calibri" w:hAnsi="Verdana" w:cs="Arial"/>
                <w:color w:val="000000" w:themeColor="text1"/>
              </w:rPr>
              <w:lastRenderedPageBreak/>
              <w:t>En este contexto, al igual que el cedente al momento de firmar el contrato con la entidad estatal, el cesionario debe estar libre de inhabilidades e incompatibilidades para reemplazar al primero en la ejecución de las obligaciones. Como la cesión implica una subrogación personal del contratista en los negocios que este último suscriba con el Estado, el cesionario que asume dicho rol estando inhabilitado es destinatario del literal b) del artículo 8.1 de la Ley 80 de 1993, en la medida que “</w:t>
            </w:r>
            <w:r w:rsidRPr="00EA7347">
              <w:rPr>
                <w:rFonts w:ascii="Verdana" w:eastAsia="Calibri" w:hAnsi="Verdana" w:cs="Arial"/>
                <w:color w:val="000000" w:themeColor="text1"/>
              </w:rPr>
              <w:t xml:space="preserve">Quienes </w:t>
            </w:r>
            <w:r>
              <w:rPr>
                <w:rFonts w:ascii="Verdana" w:eastAsia="Calibri" w:hAnsi="Verdana" w:cs="Arial"/>
                <w:color w:val="000000" w:themeColor="text1"/>
              </w:rPr>
              <w:t>[…]</w:t>
            </w:r>
            <w:r w:rsidRPr="00EA7347">
              <w:rPr>
                <w:rFonts w:ascii="Verdana" w:eastAsia="Calibri" w:hAnsi="Verdana" w:cs="Arial"/>
                <w:color w:val="000000" w:themeColor="text1"/>
              </w:rPr>
              <w:t xml:space="preserve"> celebraron los contratos </w:t>
            </w:r>
            <w:r>
              <w:rPr>
                <w:rFonts w:ascii="Verdana" w:eastAsia="Calibri" w:hAnsi="Verdana" w:cs="Arial"/>
                <w:color w:val="000000" w:themeColor="text1"/>
              </w:rPr>
              <w:t>[…]</w:t>
            </w:r>
            <w:r w:rsidRPr="00EA7347">
              <w:rPr>
                <w:rFonts w:ascii="Verdana" w:eastAsia="Calibri" w:hAnsi="Verdana" w:cs="Arial"/>
                <w:color w:val="000000" w:themeColor="text1"/>
              </w:rPr>
              <w:t xml:space="preserve"> estando inhabilitados</w:t>
            </w:r>
            <w:r>
              <w:rPr>
                <w:rFonts w:ascii="Verdana" w:eastAsia="Calibri" w:hAnsi="Verdana" w:cs="Arial"/>
                <w:color w:val="000000" w:themeColor="text1"/>
              </w:rPr>
              <w:t>” tienen una restricción de cinco (5) años para participar en procesos de selección o suscribir contratos.</w:t>
            </w:r>
          </w:p>
          <w:p w14:paraId="1BD64181" w14:textId="77777777" w:rsidR="00974C69" w:rsidRPr="004C544B" w:rsidRDefault="00974C69" w:rsidP="00D6567B">
            <w:pPr>
              <w:tabs>
                <w:tab w:val="left" w:pos="709"/>
              </w:tabs>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ab/>
              <w:t>Ello significa que, a la inhabilidad que tenía el cesionario antes de la cesión, se suma una nueva por subrogarse en la posición del cedente, pues aquel carece de la capacidad jurídica para suscribir contratos estatales</w:t>
            </w:r>
            <w:r w:rsidRPr="00A01000">
              <w:rPr>
                <w:rFonts w:ascii="Verdana" w:eastAsia="Calibri" w:hAnsi="Verdana" w:cs="Arial"/>
                <w:color w:val="000000" w:themeColor="text1"/>
              </w:rPr>
              <w:t xml:space="preserve"> </w:t>
            </w:r>
            <w:r>
              <w:rPr>
                <w:rFonts w:ascii="Verdana" w:eastAsia="Calibri" w:hAnsi="Verdana" w:cs="Arial"/>
                <w:color w:val="000000" w:themeColor="text1"/>
              </w:rPr>
              <w:t xml:space="preserve">frente a la entidad cedida. Lo anterior sin perjuicio de la responsabilidad personal de quien autorice la cesión en esta circunstancia, por falta la de la diligencia debida en la verificación de las calidades del cesionario.     </w:t>
            </w:r>
          </w:p>
          <w:p w14:paraId="059BA365" w14:textId="77777777" w:rsidR="00974C69" w:rsidRPr="00270CF3" w:rsidRDefault="00974C69" w:rsidP="00D6567B">
            <w:pPr>
              <w:tabs>
                <w:tab w:val="left" w:pos="709"/>
              </w:tabs>
              <w:spacing w:after="120" w:line="276" w:lineRule="auto"/>
              <w:ind w:firstLine="709"/>
              <w:jc w:val="both"/>
              <w:rPr>
                <w:rFonts w:ascii="Verdana" w:eastAsia="Calibri" w:hAnsi="Verdana" w:cs="Arial"/>
                <w:color w:val="000000" w:themeColor="text1"/>
              </w:rPr>
            </w:pPr>
            <w:r w:rsidRPr="004C544B">
              <w:rPr>
                <w:rFonts w:ascii="Verdana" w:eastAsia="Calibri" w:hAnsi="Verdana" w:cs="Arial"/>
                <w:color w:val="000000" w:themeColor="text1"/>
              </w:rPr>
              <w:t>Por lo tanto, la entidad estatal en el trámite de autorización de una cesión de posición contractual está obligada a respetar y dar cabal cumplimiento a los principios y normas rectoras de la contratación pública que resulten aplicables al proceso de contratación, entre otros, los principios de transparencia, selección objetiva e igualdad. En otros términos, so pretexto de una cesión contractual, no pueden vulnerarse las reglas y principios de la contratación estatal.</w:t>
            </w:r>
            <w:r>
              <w:rPr>
                <w:rFonts w:ascii="Verdana" w:eastAsia="Calibri" w:hAnsi="Verdana" w:cs="Arial"/>
                <w:bCs/>
                <w:color w:val="000000" w:themeColor="text1"/>
                <w:lang w:val="es-ES_tradnl"/>
              </w:rPr>
              <w:t xml:space="preserve">  </w:t>
            </w:r>
          </w:p>
          <w:p w14:paraId="3ED80FA4" w14:textId="77777777" w:rsidR="00974C69" w:rsidRPr="001941FD" w:rsidRDefault="00974C69" w:rsidP="00D6567B">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0584908" w14:textId="77777777" w:rsidR="00974C69" w:rsidRPr="00593A5F" w:rsidRDefault="00974C69" w:rsidP="00974C69">
      <w:pPr>
        <w:tabs>
          <w:tab w:val="left" w:pos="142"/>
          <w:tab w:val="left" w:pos="284"/>
        </w:tabs>
        <w:spacing w:after="0" w:line="276" w:lineRule="auto"/>
        <w:jc w:val="both"/>
        <w:rPr>
          <w:rFonts w:ascii="Verdana" w:eastAsia="Century Gothic" w:hAnsi="Verdana" w:cs="Century Gothic"/>
          <w:b/>
          <w:bCs/>
          <w:lang w:val="es-ES"/>
        </w:rPr>
      </w:pPr>
    </w:p>
    <w:bookmarkEnd w:id="1"/>
    <w:p w14:paraId="25F66C23" w14:textId="77777777" w:rsidR="00974C69" w:rsidRPr="00593A5F" w:rsidRDefault="00974C69" w:rsidP="00974C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799F35FB" w14:textId="77777777" w:rsidR="00974C69" w:rsidRPr="00593A5F" w:rsidRDefault="00974C69" w:rsidP="00974C69">
      <w:pPr>
        <w:spacing w:after="0" w:line="276" w:lineRule="auto"/>
        <w:jc w:val="both"/>
        <w:rPr>
          <w:rFonts w:ascii="Verdana" w:eastAsia="Calibri" w:hAnsi="Verdana" w:cs="Arial"/>
          <w:color w:val="7030A0"/>
          <w:lang w:val="es-ES"/>
        </w:rPr>
      </w:pPr>
    </w:p>
    <w:p w14:paraId="6BE6D205" w14:textId="77777777" w:rsidR="00974C69" w:rsidRDefault="00974C69" w:rsidP="00974C69">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111402FB" w14:textId="77777777" w:rsidR="00974C69" w:rsidRPr="00415608" w:rsidRDefault="00974C69" w:rsidP="00974C69">
      <w:pPr>
        <w:spacing w:after="0" w:line="276" w:lineRule="auto"/>
        <w:jc w:val="both"/>
        <w:rPr>
          <w:rFonts w:ascii="Verdana" w:eastAsia="Calibri" w:hAnsi="Verdana" w:cs="Arial"/>
          <w:lang w:val="es-ES"/>
        </w:rPr>
      </w:pPr>
    </w:p>
    <w:p w14:paraId="47C2FFB8" w14:textId="77777777" w:rsidR="00974C69" w:rsidRPr="004C544B" w:rsidRDefault="00974C69" w:rsidP="00974C69">
      <w:pPr>
        <w:spacing w:after="0" w:line="276" w:lineRule="auto"/>
        <w:jc w:val="both"/>
        <w:rPr>
          <w:rFonts w:ascii="Verdana" w:hAnsi="Verdana" w:cs="Arial"/>
        </w:rPr>
      </w:pPr>
      <w:r w:rsidRPr="004C544B">
        <w:rPr>
          <w:rFonts w:ascii="Verdana" w:eastAsia="Calibri" w:hAnsi="Verdana" w:cs="Arial"/>
          <w:bCs/>
          <w:color w:val="000000" w:themeColor="text1"/>
        </w:rPr>
        <w:t>Conforme a los artículos 887 y siguientes del Código de Comercio, la cesión de los contratos juega un papel importante en la gestión de los intereses patrimoniales de los sujetos de derecho privado, ya que –a diferencia de la regulada en los artículos 1959 y siguientes del Código Civil– facilita el tráfico jurídico tanto de los derechos como de las obligaciones surgidos con ocasión del acuerdo de voluntades, lo que permite su transferencia total o parcial a terceros como negocio generador de riqueza</w:t>
      </w:r>
      <w:r w:rsidRPr="004C544B">
        <w:rPr>
          <w:rStyle w:val="Refdenotaalpie"/>
          <w:rFonts w:ascii="Verdana" w:eastAsia="Calibri" w:hAnsi="Verdana" w:cs="Arial"/>
          <w:bCs/>
          <w:color w:val="000000" w:themeColor="text1"/>
        </w:rPr>
        <w:footnoteReference w:id="1"/>
      </w:r>
      <w:r w:rsidRPr="004C544B">
        <w:rPr>
          <w:rFonts w:ascii="Verdana" w:eastAsia="Calibri" w:hAnsi="Verdana" w:cs="Arial"/>
          <w:bCs/>
          <w:color w:val="000000" w:themeColor="text1"/>
        </w:rPr>
        <w:t>.</w:t>
      </w:r>
      <w:r w:rsidRPr="004C544B">
        <w:rPr>
          <w:rFonts w:ascii="Verdana" w:eastAsia="Calibri" w:hAnsi="Verdana" w:cs="Arial"/>
          <w:color w:val="000000" w:themeColor="text1"/>
        </w:rPr>
        <w:t xml:space="preserve"> </w:t>
      </w:r>
      <w:r w:rsidRPr="004C544B">
        <w:rPr>
          <w:rFonts w:ascii="Verdana" w:hAnsi="Verdana" w:cs="Arial"/>
        </w:rPr>
        <w:t>Para la doctrina:</w:t>
      </w:r>
    </w:p>
    <w:p w14:paraId="1ED919F3" w14:textId="77777777" w:rsidR="00974C69" w:rsidRPr="004C544B" w:rsidRDefault="00974C69" w:rsidP="00974C69">
      <w:pPr>
        <w:spacing w:after="0" w:line="276" w:lineRule="auto"/>
        <w:ind w:firstLine="708"/>
        <w:jc w:val="both"/>
        <w:rPr>
          <w:rFonts w:ascii="Verdana" w:hAnsi="Verdana" w:cs="Arial"/>
        </w:rPr>
      </w:pPr>
    </w:p>
    <w:p w14:paraId="09C54C88" w14:textId="77777777" w:rsidR="00974C69" w:rsidRPr="004C4E62" w:rsidRDefault="00974C69" w:rsidP="00974C69">
      <w:pPr>
        <w:spacing w:after="120" w:line="240" w:lineRule="auto"/>
        <w:ind w:left="709" w:right="709"/>
        <w:jc w:val="both"/>
        <w:rPr>
          <w:rFonts w:ascii="Verdana" w:eastAsia="Calibri" w:hAnsi="Verdana" w:cs="Arial"/>
          <w:color w:val="000000" w:themeColor="text1"/>
          <w:sz w:val="20"/>
          <w:szCs w:val="20"/>
        </w:rPr>
      </w:pPr>
      <w:r w:rsidRPr="004C4E62">
        <w:rPr>
          <w:rFonts w:ascii="Verdana" w:hAnsi="Verdana" w:cs="Arial"/>
          <w:sz w:val="20"/>
          <w:szCs w:val="20"/>
        </w:rPr>
        <w:t xml:space="preserve">“La cesión de contrato (presupuesto éste último como </w:t>
      </w:r>
      <w:r w:rsidRPr="004C4E62">
        <w:rPr>
          <w:rFonts w:ascii="Verdana" w:hAnsi="Verdana" w:cs="Arial"/>
          <w:i/>
          <w:iCs/>
          <w:sz w:val="20"/>
          <w:szCs w:val="20"/>
        </w:rPr>
        <w:t>bilateral</w:t>
      </w:r>
      <w:r w:rsidRPr="004C4E62">
        <w:rPr>
          <w:rFonts w:ascii="Verdana" w:hAnsi="Verdana" w:cs="Arial"/>
          <w:sz w:val="20"/>
          <w:szCs w:val="20"/>
        </w:rPr>
        <w:t xml:space="preserve">, al menos en la configuración típica de la institución) es el instrumento que permite realizar la llamada </w:t>
      </w:r>
      <w:r w:rsidRPr="004C4E62">
        <w:rPr>
          <w:rFonts w:ascii="Verdana" w:hAnsi="Verdana" w:cs="Arial"/>
          <w:i/>
          <w:iCs/>
          <w:sz w:val="20"/>
          <w:szCs w:val="20"/>
        </w:rPr>
        <w:t>circulación del contrato</w:t>
      </w:r>
      <w:r w:rsidRPr="004C4E62">
        <w:rPr>
          <w:rFonts w:ascii="Verdana" w:hAnsi="Verdana" w:cs="Arial"/>
          <w:sz w:val="20"/>
          <w:szCs w:val="20"/>
        </w:rPr>
        <w:t xml:space="preserve">, es decir, la transferencia negocial a un tercero (llamado </w:t>
      </w:r>
      <w:r w:rsidRPr="004C4E62">
        <w:rPr>
          <w:rFonts w:ascii="Verdana" w:hAnsi="Verdana" w:cs="Arial"/>
          <w:i/>
          <w:iCs/>
          <w:sz w:val="20"/>
          <w:szCs w:val="20"/>
        </w:rPr>
        <w:t>cesionario</w:t>
      </w:r>
      <w:r w:rsidRPr="004C4E62">
        <w:rPr>
          <w:rFonts w:ascii="Verdana" w:hAnsi="Verdana" w:cs="Arial"/>
          <w:sz w:val="20"/>
          <w:szCs w:val="20"/>
        </w:rPr>
        <w:t xml:space="preserve">) del conjunto de posiciones contractuales (entendido como resultante unitario de derechos y obligaciones orgánicamente interdependientes), constituida en la persona de uno de los originarios contratantes (llamado </w:t>
      </w:r>
      <w:r w:rsidRPr="004C4E62">
        <w:rPr>
          <w:rFonts w:ascii="Verdana" w:hAnsi="Verdana" w:cs="Arial"/>
          <w:i/>
          <w:iCs/>
          <w:sz w:val="20"/>
          <w:szCs w:val="20"/>
        </w:rPr>
        <w:t>cedente</w:t>
      </w:r>
      <w:r w:rsidRPr="004C4E62">
        <w:rPr>
          <w:rFonts w:ascii="Verdana" w:hAnsi="Verdana" w:cs="Arial"/>
          <w:sz w:val="20"/>
          <w:szCs w:val="20"/>
        </w:rPr>
        <w:t xml:space="preserve">); de tal forma que, a través de esa sustitución </w:t>
      </w:r>
      <w:r w:rsidRPr="004C4E62">
        <w:rPr>
          <w:rFonts w:ascii="Verdana" w:hAnsi="Verdana" w:cs="Arial"/>
          <w:i/>
          <w:iCs/>
          <w:sz w:val="20"/>
          <w:szCs w:val="20"/>
        </w:rPr>
        <w:t>negocial</w:t>
      </w:r>
      <w:r w:rsidRPr="004C4E62">
        <w:rPr>
          <w:rFonts w:ascii="Verdana" w:hAnsi="Verdana" w:cs="Arial"/>
          <w:sz w:val="20"/>
          <w:szCs w:val="20"/>
        </w:rPr>
        <w:t xml:space="preserve"> del tercero en la posición de ‘parte’ del contrato, en lugar del cedente, dicho tercero </w:t>
      </w:r>
      <w:proofErr w:type="spellStart"/>
      <w:r w:rsidRPr="004C4E62">
        <w:rPr>
          <w:rFonts w:ascii="Verdana" w:hAnsi="Verdana" w:cs="Arial"/>
          <w:sz w:val="20"/>
          <w:szCs w:val="20"/>
        </w:rPr>
        <w:t>subentra</w:t>
      </w:r>
      <w:proofErr w:type="spellEnd"/>
      <w:r w:rsidRPr="004C4E62">
        <w:rPr>
          <w:rFonts w:ascii="Verdana" w:hAnsi="Verdana" w:cs="Arial"/>
          <w:sz w:val="20"/>
          <w:szCs w:val="20"/>
        </w:rPr>
        <w:t xml:space="preserve"> en la totalidad de los derechos y obligaciones que en su orgánica interdependencia se derivan del contrato estipulado por el cedente.</w:t>
      </w:r>
    </w:p>
    <w:p w14:paraId="7115BB4B" w14:textId="77777777" w:rsidR="00974C69" w:rsidRPr="004C544B" w:rsidRDefault="00974C69" w:rsidP="00974C69">
      <w:pPr>
        <w:spacing w:after="0" w:line="240" w:lineRule="auto"/>
        <w:ind w:left="709" w:right="709"/>
        <w:jc w:val="both"/>
        <w:rPr>
          <w:rFonts w:ascii="Verdana" w:hAnsi="Verdana" w:cs="Arial"/>
          <w:sz w:val="21"/>
          <w:szCs w:val="21"/>
        </w:rPr>
      </w:pPr>
      <w:r w:rsidRPr="004C4E62">
        <w:rPr>
          <w:rFonts w:ascii="Verdana" w:hAnsi="Verdana" w:cs="Arial"/>
          <w:sz w:val="20"/>
          <w:szCs w:val="20"/>
        </w:rPr>
        <w:t xml:space="preserve">A este respecto justamente se ha notado que el tráfico considera aquí los contratos sobre todo como </w:t>
      </w:r>
      <w:r w:rsidRPr="004C4E62">
        <w:rPr>
          <w:rFonts w:ascii="Verdana" w:hAnsi="Verdana" w:cs="Arial"/>
          <w:i/>
          <w:iCs/>
          <w:sz w:val="20"/>
          <w:szCs w:val="20"/>
        </w:rPr>
        <w:t>valores económicos</w:t>
      </w:r>
      <w:r w:rsidRPr="004C4E62">
        <w:rPr>
          <w:rFonts w:ascii="Verdana" w:hAnsi="Verdana" w:cs="Arial"/>
          <w:sz w:val="20"/>
          <w:szCs w:val="20"/>
        </w:rPr>
        <w:t xml:space="preserve">, idóneos como tales para una determinada forma de circulación: en consideración a la utilidad futura a que el contrato está encaminado a procurar, la práctica atribuye al mismo contrato un valor económico actual, considerándolo, por tanto, como un bien capaz de circular. Ahora bien; el Derecho apresta, precisamente, el instrumento para tal circulación en cuanto admite que uno de los originarios contratantes pueda transferir a un tercero, con el consentimiento imprescindible del otro contratante original (llamado </w:t>
      </w:r>
      <w:r w:rsidRPr="004C4E62">
        <w:rPr>
          <w:rFonts w:ascii="Verdana" w:hAnsi="Verdana" w:cs="Arial"/>
          <w:i/>
          <w:iCs/>
          <w:sz w:val="20"/>
          <w:szCs w:val="20"/>
        </w:rPr>
        <w:t>contratante cedido</w:t>
      </w:r>
      <w:r w:rsidRPr="004C4E62">
        <w:rPr>
          <w:rFonts w:ascii="Verdana" w:hAnsi="Verdana" w:cs="Arial"/>
          <w:sz w:val="20"/>
          <w:szCs w:val="20"/>
        </w:rPr>
        <w:t xml:space="preserve">), la relación contractual entera, como conjunto de </w:t>
      </w:r>
      <w:r w:rsidRPr="004C4E62">
        <w:rPr>
          <w:rFonts w:ascii="Verdana" w:hAnsi="Verdana" w:cs="Arial"/>
          <w:sz w:val="20"/>
          <w:szCs w:val="20"/>
        </w:rPr>
        <w:lastRenderedPageBreak/>
        <w:t>derecho y obligaciones, como única resultante de elementos activos y pasivos […]”</w:t>
      </w:r>
      <w:r w:rsidRPr="004C4E62">
        <w:rPr>
          <w:rStyle w:val="Refdenotaalpie"/>
          <w:rFonts w:ascii="Verdana" w:hAnsi="Verdana" w:cs="Arial"/>
          <w:color w:val="000000" w:themeColor="text1"/>
          <w:sz w:val="20"/>
          <w:szCs w:val="20"/>
        </w:rPr>
        <w:footnoteReference w:id="2"/>
      </w:r>
      <w:r w:rsidRPr="004C4E62">
        <w:rPr>
          <w:rFonts w:ascii="Verdana" w:hAnsi="Verdana" w:cs="Arial"/>
          <w:sz w:val="20"/>
          <w:szCs w:val="20"/>
        </w:rPr>
        <w:t>.</w:t>
      </w:r>
    </w:p>
    <w:p w14:paraId="69BF2DCB" w14:textId="77777777" w:rsidR="00974C69" w:rsidRPr="004C544B" w:rsidRDefault="00974C69" w:rsidP="00974C69">
      <w:pPr>
        <w:spacing w:after="0" w:line="276" w:lineRule="auto"/>
        <w:ind w:left="709" w:right="709"/>
        <w:jc w:val="both"/>
        <w:rPr>
          <w:rFonts w:ascii="Verdana" w:eastAsia="Calibri" w:hAnsi="Verdana" w:cs="Arial"/>
          <w:color w:val="000000" w:themeColor="text1"/>
        </w:rPr>
      </w:pPr>
    </w:p>
    <w:p w14:paraId="664CC732" w14:textId="77777777" w:rsidR="00974C69" w:rsidRPr="004C544B" w:rsidRDefault="00974C69" w:rsidP="00974C69">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relación con el cedido […]”</w:t>
      </w:r>
      <w:r w:rsidRPr="004C544B">
        <w:rPr>
          <w:rStyle w:val="Refdenotaalpie"/>
          <w:rFonts w:ascii="Verdana" w:eastAsia="Calibri" w:hAnsi="Verdana" w:cs="Arial"/>
          <w:color w:val="000000" w:themeColor="text1"/>
        </w:rPr>
        <w:footnoteReference w:id="3"/>
      </w:r>
      <w:r w:rsidRPr="004C544B">
        <w:rPr>
          <w:rFonts w:ascii="Verdana" w:eastAsia="Calibri" w:hAnsi="Verdana" w:cs="Arial"/>
          <w:color w:val="000000" w:themeColor="text1"/>
        </w:rPr>
        <w:t xml:space="preserve">. Por otro, “[…] es la transferencia de la posición contractual de un contratante a otro sujeto, que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relación con la contraparte […]”</w:t>
      </w:r>
      <w:r w:rsidRPr="004C544B">
        <w:rPr>
          <w:rStyle w:val="Refdenotaalpie"/>
          <w:rFonts w:ascii="Verdana" w:eastAsia="Calibri" w:hAnsi="Verdana" w:cs="Arial"/>
          <w:color w:val="000000" w:themeColor="text1"/>
        </w:rPr>
        <w:footnoteReference w:id="4"/>
      </w:r>
      <w:r w:rsidRPr="004C544B">
        <w:rPr>
          <w:rFonts w:ascii="Verdana" w:eastAsia="Calibri" w:hAnsi="Verdana" w:cs="Arial"/>
          <w:color w:val="000000" w:themeColor="text1"/>
        </w:rPr>
        <w:t xml:space="preserve">. De esta manera, </w:t>
      </w:r>
      <w:r w:rsidRPr="004C544B">
        <w:rPr>
          <w:rFonts w:ascii="Verdana" w:hAnsi="Verdana" w:cs="Arial"/>
          <w:color w:val="000000" w:themeColor="text1"/>
        </w:rPr>
        <w:t xml:space="preserve">concurren tres (3) sujetos: i) el cedente, esto es, el contratista inicial; </w:t>
      </w:r>
      <w:proofErr w:type="spellStart"/>
      <w:r w:rsidRPr="004C544B">
        <w:rPr>
          <w:rFonts w:ascii="Verdana" w:hAnsi="Verdana" w:cs="Arial"/>
          <w:color w:val="000000" w:themeColor="text1"/>
        </w:rPr>
        <w:t>ii</w:t>
      </w:r>
      <w:proofErr w:type="spellEnd"/>
      <w:r w:rsidRPr="004C544B">
        <w:rPr>
          <w:rFonts w:ascii="Verdana" w:hAnsi="Verdana" w:cs="Arial"/>
          <w:color w:val="000000" w:themeColor="text1"/>
        </w:rPr>
        <w:t xml:space="preserve">) el cesionario, es decir, quien asume total o parcialmente los derechos y obligaciones de este último; y </w:t>
      </w:r>
      <w:proofErr w:type="spellStart"/>
      <w:r w:rsidRPr="004C544B">
        <w:rPr>
          <w:rFonts w:ascii="Verdana" w:hAnsi="Verdana" w:cs="Arial"/>
          <w:color w:val="000000" w:themeColor="text1"/>
        </w:rPr>
        <w:t>iii</w:t>
      </w:r>
      <w:proofErr w:type="spellEnd"/>
      <w:r w:rsidRPr="004C544B">
        <w:rPr>
          <w:rFonts w:ascii="Verdana" w:hAnsi="Verdana" w:cs="Arial"/>
          <w:color w:val="000000" w:themeColor="text1"/>
        </w:rPr>
        <w:t xml:space="preserve">) el cedido que, en el caso de los contratos estatales, sería la entidad que suscribió el contrato. </w:t>
      </w:r>
      <w:r w:rsidRPr="004C544B">
        <w:rPr>
          <w:rFonts w:ascii="Verdana" w:eastAsia="Calibri" w:hAnsi="Verdana" w:cs="Arial"/>
          <w:color w:val="000000" w:themeColor="text1"/>
        </w:rPr>
        <w:t>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2A82AC12" w14:textId="77777777" w:rsidR="00974C69" w:rsidRPr="004C544B" w:rsidRDefault="00974C69" w:rsidP="00974C69">
      <w:pPr>
        <w:spacing w:after="0" w:line="276" w:lineRule="auto"/>
        <w:ind w:firstLine="708"/>
        <w:jc w:val="both"/>
        <w:rPr>
          <w:rFonts w:ascii="Verdana" w:hAnsi="Verdana" w:cs="Arial"/>
          <w:color w:val="000000" w:themeColor="text1"/>
        </w:rPr>
      </w:pPr>
    </w:p>
    <w:p w14:paraId="720FFF62" w14:textId="77777777" w:rsidR="00974C69" w:rsidRPr="004C4E62" w:rsidRDefault="00974C69" w:rsidP="00974C69">
      <w:pPr>
        <w:tabs>
          <w:tab w:val="left" w:pos="709"/>
        </w:tabs>
        <w:spacing w:after="0" w:line="240" w:lineRule="auto"/>
        <w:ind w:left="709" w:right="709"/>
        <w:jc w:val="both"/>
        <w:rPr>
          <w:rFonts w:ascii="Verdana" w:eastAsia="Calibri" w:hAnsi="Verdana" w:cs="Arial"/>
          <w:color w:val="000000" w:themeColor="text1"/>
          <w:sz w:val="20"/>
          <w:szCs w:val="20"/>
        </w:rPr>
      </w:pPr>
      <w:r w:rsidRPr="004C4E62">
        <w:rPr>
          <w:rFonts w:ascii="Verdana" w:eastAsia="Calibri" w:hAnsi="Verdana" w:cs="Arial"/>
          <w:color w:val="000000" w:themeColor="text1"/>
          <w:sz w:val="20"/>
          <w:szCs w:val="20"/>
        </w:rPr>
        <w:t>“[…] cuando lo que se cede (o asume) es un contrato, el punto de partida es la presencia de uno o varios créditos y otras tantas obligaciones, 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4C4E62">
        <w:rPr>
          <w:rStyle w:val="Refdenotaalpie"/>
          <w:rFonts w:ascii="Verdana" w:eastAsia="Calibri" w:hAnsi="Verdana" w:cs="Arial"/>
          <w:color w:val="000000" w:themeColor="text1"/>
          <w:sz w:val="20"/>
          <w:szCs w:val="20"/>
        </w:rPr>
        <w:footnoteReference w:id="5"/>
      </w:r>
      <w:r w:rsidRPr="004C4E62">
        <w:rPr>
          <w:rFonts w:ascii="Verdana" w:eastAsia="Calibri" w:hAnsi="Verdana" w:cs="Arial"/>
          <w:color w:val="000000" w:themeColor="text1"/>
          <w:sz w:val="20"/>
          <w:szCs w:val="20"/>
        </w:rPr>
        <w:t>.</w:t>
      </w:r>
    </w:p>
    <w:p w14:paraId="6AC5526D" w14:textId="77777777" w:rsidR="00974C69" w:rsidRPr="004C544B" w:rsidRDefault="00974C69" w:rsidP="00974C69">
      <w:pPr>
        <w:tabs>
          <w:tab w:val="left" w:pos="709"/>
        </w:tabs>
        <w:spacing w:after="0" w:line="276" w:lineRule="auto"/>
        <w:ind w:left="709" w:right="709"/>
        <w:jc w:val="both"/>
        <w:rPr>
          <w:rFonts w:ascii="Verdana" w:eastAsia="Calibri" w:hAnsi="Verdana" w:cs="Arial"/>
          <w:color w:val="000000" w:themeColor="text1"/>
        </w:rPr>
      </w:pPr>
    </w:p>
    <w:p w14:paraId="2EF81B28" w14:textId="77777777" w:rsidR="00974C69" w:rsidRPr="004C544B" w:rsidRDefault="00974C69" w:rsidP="00974C69">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deben observarse en primer término las disposiciones establecidas en el EGCAP;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corresponderán como actos jurídicos bilaterales generadores de obligaciones, entre otros, a los previstos en el derecho privado, en los términos del artículo 32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xml:space="preserve">) contendrán las estipulaciones que, de acuerdo con las normas civiles, comerciales y las previstas en esta ley, correspondan a su esencia y naturaleza, conforme a lo dispuesto por el artículo 40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w:t>
      </w:r>
    </w:p>
    <w:p w14:paraId="7F36953C" w14:textId="77777777" w:rsidR="00974C69" w:rsidRPr="004C544B" w:rsidRDefault="00974C69" w:rsidP="00974C69">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En este sentido, el Estatuto General de Contratación de la Administración Pública establece disposiciones específicas relativas a la figura de la cesión contractual. En principio, si bien rigen las normas relativas a la cesión del contrato contenidas en sus artículos 887 y siguientes del Código de Comercio, su aplicación procede ante la ausencia de norma que de manera particular regule el asunto frente a la categoría especial del contrato estatal.</w:t>
      </w:r>
    </w:p>
    <w:p w14:paraId="6C08187A" w14:textId="77777777" w:rsidR="00974C69" w:rsidRPr="004C544B" w:rsidRDefault="00974C69" w:rsidP="00974C69">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Por ello, es pertinente indicar que el Decreto Ley 410 de 1971 contempla ciertas disposiciones que no se encuentran en la Ley 80 de 1993, lo que conlleva su aplicación en materia de contratos estatales. Por ejemplo, el artículo 890 establece lo relativo a la responsabilidad del cedente frente al cesionario y en torno a la existencia, validez y garantías del contrato cedido</w:t>
      </w:r>
      <w:r w:rsidRPr="004C544B">
        <w:rPr>
          <w:rStyle w:val="Refdenotaalpie"/>
          <w:rFonts w:ascii="Verdana" w:eastAsia="Calibri" w:hAnsi="Verdana" w:cs="Arial"/>
          <w:color w:val="000000" w:themeColor="text1"/>
        </w:rPr>
        <w:footnoteReference w:id="6"/>
      </w:r>
      <w:r w:rsidRPr="004C544B">
        <w:rPr>
          <w:rFonts w:ascii="Verdana" w:eastAsia="Calibri" w:hAnsi="Verdana" w:cs="Arial"/>
          <w:color w:val="000000" w:themeColor="text1"/>
        </w:rPr>
        <w:t>. Por otra parte, el artículo 891 obliga al cesionario a avisar al cedente de la mora o el incumplimiento dentro de los 10 días siguientes, siempre y cuando este se haya obligado a garantizar el cumplimiento por parte del contratante cedido</w:t>
      </w:r>
      <w:r w:rsidRPr="004C544B">
        <w:rPr>
          <w:rStyle w:val="Refdenotaalpie"/>
          <w:rFonts w:ascii="Verdana" w:eastAsia="Calibri" w:hAnsi="Verdana" w:cs="Arial"/>
          <w:color w:val="000000" w:themeColor="text1"/>
        </w:rPr>
        <w:footnoteReference w:id="7"/>
      </w:r>
      <w:r w:rsidRPr="004C544B">
        <w:rPr>
          <w:rFonts w:ascii="Verdana" w:eastAsia="Calibri" w:hAnsi="Verdana" w:cs="Arial"/>
          <w:color w:val="000000" w:themeColor="text1"/>
        </w:rPr>
        <w:t xml:space="preserve">. Asimismo, los artículos 895 y 896 disponen que la cesión de un contrato implica la transferencia de las acciones, privilegios y beneficios legales inherentes a la </w:t>
      </w:r>
      <w:r w:rsidRPr="004C544B">
        <w:rPr>
          <w:rFonts w:ascii="Verdana" w:eastAsia="Calibri" w:hAnsi="Verdana" w:cs="Arial"/>
          <w:color w:val="000000" w:themeColor="text1"/>
        </w:rPr>
        <w:lastRenderedPageBreak/>
        <w:t>naturaleza y condiciones del contrato, excluyendo a aquellas que sean extrañas al mismo o que se funden en el estado o calidad particular de las partes, pudiendo, el contratante cedido, oponer contra el cesionario todas las excepciones que se deriven del contrato</w:t>
      </w:r>
      <w:r w:rsidRPr="004C544B">
        <w:rPr>
          <w:rStyle w:val="Refdenotaalpie"/>
          <w:rFonts w:ascii="Verdana" w:eastAsia="Calibri" w:hAnsi="Verdana" w:cs="Arial"/>
          <w:color w:val="000000" w:themeColor="text1"/>
        </w:rPr>
        <w:footnoteReference w:id="8"/>
      </w:r>
      <w:r w:rsidRPr="004C544B">
        <w:rPr>
          <w:rFonts w:ascii="Verdana" w:eastAsia="Calibri" w:hAnsi="Verdana" w:cs="Arial"/>
          <w:color w:val="000000" w:themeColor="text1"/>
        </w:rPr>
        <w:t xml:space="preserve">. </w:t>
      </w:r>
    </w:p>
    <w:p w14:paraId="0D9FFFED" w14:textId="77777777" w:rsidR="00974C69" w:rsidRPr="004C544B" w:rsidRDefault="00974C69" w:rsidP="00974C69">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 xml:space="preserve">Al margen de estas y otras disposiciones que de manera particular consagra el Código de Comercio sobre la cesión del contrato, esta figura cuenta con algunas normas especiales en la Ley 80 de 1993. Por ejemplo, </w:t>
      </w:r>
      <w:bookmarkStart w:id="2" w:name="_Hlk79822251"/>
      <w:r w:rsidRPr="004C544B">
        <w:rPr>
          <w:rFonts w:ascii="Verdana" w:eastAsia="Calibri" w:hAnsi="Verdana" w:cs="Arial"/>
          <w:color w:val="000000" w:themeColor="text1"/>
        </w:rPr>
        <w:t>el artículo 41, inciso tercero</w:t>
      </w:r>
      <w:bookmarkEnd w:id="2"/>
      <w:r w:rsidRPr="004C544B">
        <w:rPr>
          <w:rFonts w:ascii="Verdana" w:eastAsia="Calibri" w:hAnsi="Verdana" w:cs="Arial"/>
          <w:color w:val="000000" w:themeColor="text1"/>
        </w:rPr>
        <w:t xml:space="preserve">, del EGCAP prescribe que “Los contratos estatales son </w:t>
      </w:r>
      <w:r w:rsidRPr="004C544B">
        <w:rPr>
          <w:rFonts w:ascii="Verdana" w:eastAsia="Calibri" w:hAnsi="Verdana" w:cs="Arial"/>
          <w:i/>
          <w:iCs/>
          <w:color w:val="000000" w:themeColor="text1"/>
        </w:rPr>
        <w:t xml:space="preserve">intuito </w:t>
      </w:r>
      <w:proofErr w:type="spellStart"/>
      <w:r w:rsidRPr="004C544B">
        <w:rPr>
          <w:rFonts w:ascii="Verdana" w:eastAsia="Calibri" w:hAnsi="Verdana" w:cs="Arial"/>
          <w:i/>
          <w:iCs/>
          <w:color w:val="000000" w:themeColor="text1"/>
        </w:rPr>
        <w:t>personae</w:t>
      </w:r>
      <w:proofErr w:type="spellEnd"/>
      <w:r w:rsidRPr="004C544B">
        <w:rPr>
          <w:rFonts w:ascii="Verdana" w:eastAsia="Calibri" w:hAnsi="Verdana" w:cs="Arial"/>
          <w:color w:val="000000" w:themeColor="text1"/>
        </w:rPr>
        <w:t xml:space="preserve"> y, en consecuencia, una vez celebrados no podrán cederse sin previa autorización escrita de la entidad contratante”. Esta norma contiene una prohibición general –</w:t>
      </w:r>
      <w:r w:rsidRPr="004C544B">
        <w:rPr>
          <w:rFonts w:ascii="Verdana" w:eastAsia="Calibri" w:hAnsi="Verdana" w:cs="Arial"/>
          <w:i/>
          <w:iCs/>
          <w:color w:val="000000" w:themeColor="text1"/>
        </w:rPr>
        <w:t>faceta negativa</w:t>
      </w:r>
      <w:r w:rsidRPr="004C544B">
        <w:rPr>
          <w:rFonts w:ascii="Verdana" w:eastAsia="Calibri" w:hAnsi="Verdana" w:cs="Arial"/>
          <w:color w:val="000000" w:themeColor="text1"/>
        </w:rPr>
        <w:t>– y una autorización excepcional –</w:t>
      </w:r>
      <w:r w:rsidRPr="004C544B">
        <w:rPr>
          <w:rFonts w:ascii="Verdana" w:eastAsia="Calibri" w:hAnsi="Verdana" w:cs="Arial"/>
          <w:i/>
          <w:iCs/>
          <w:color w:val="000000" w:themeColor="text1"/>
        </w:rPr>
        <w:t>faceta positiva</w:t>
      </w:r>
      <w:r w:rsidRPr="004C544B">
        <w:rPr>
          <w:rFonts w:ascii="Verdana" w:eastAsia="Calibri" w:hAnsi="Verdana" w:cs="Arial"/>
          <w:color w:val="000000" w:themeColor="text1"/>
        </w:rPr>
        <w:t>–.</w:t>
      </w:r>
    </w:p>
    <w:p w14:paraId="4E29E776" w14:textId="77777777" w:rsidR="00974C69" w:rsidRPr="004C544B" w:rsidRDefault="00974C69" w:rsidP="00974C69">
      <w:pPr>
        <w:tabs>
          <w:tab w:val="left" w:pos="709"/>
        </w:tabs>
        <w:spacing w:after="120" w:line="276" w:lineRule="auto"/>
        <w:jc w:val="both"/>
        <w:rPr>
          <w:rFonts w:ascii="Verdana" w:eastAsia="Calibri" w:hAnsi="Verdana" w:cs="Arial"/>
          <w:bCs/>
          <w:color w:val="000000" w:themeColor="text1"/>
        </w:rPr>
      </w:pPr>
      <w:r w:rsidRPr="004C544B">
        <w:rPr>
          <w:rFonts w:ascii="Verdana" w:eastAsia="Calibri" w:hAnsi="Verdana" w:cs="Arial"/>
          <w:bCs/>
          <w:color w:val="000000" w:themeColor="text1"/>
        </w:rPr>
        <w:tab/>
        <w:t xml:space="preserve">En lo que respecta a la </w:t>
      </w:r>
      <w:r w:rsidRPr="004C544B">
        <w:rPr>
          <w:rFonts w:ascii="Verdana" w:eastAsia="Calibri" w:hAnsi="Verdana" w:cs="Arial"/>
          <w:bCs/>
          <w:i/>
          <w:iCs/>
          <w:color w:val="000000" w:themeColor="text1"/>
        </w:rPr>
        <w:t>faceta negativa</w:t>
      </w:r>
      <w:r w:rsidRPr="004C544B">
        <w:rPr>
          <w:rFonts w:ascii="Verdana" w:eastAsia="Calibri" w:hAnsi="Verdana" w:cs="Arial"/>
          <w:bCs/>
          <w:color w:val="000000" w:themeColor="text1"/>
        </w:rPr>
        <w:t>,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que no siendo esenciales en él, se entienden pertenecerle, sin necesidad de una cláusula especial […]”</w:t>
      </w:r>
      <w:r w:rsidRPr="004C544B">
        <w:rPr>
          <w:rStyle w:val="Refdenotaalpie"/>
          <w:rFonts w:ascii="Verdana" w:eastAsia="Calibri" w:hAnsi="Verdana" w:cs="Arial"/>
          <w:bCs/>
          <w:color w:val="000000" w:themeColor="text1"/>
        </w:rPr>
        <w:footnoteReference w:id="9"/>
      </w:r>
      <w:r w:rsidRPr="004C544B">
        <w:rPr>
          <w:rFonts w:ascii="Verdana" w:eastAsia="Calibri" w:hAnsi="Verdana" w:cs="Arial"/>
          <w:bCs/>
          <w:color w:val="000000" w:themeColor="text1"/>
        </w:rPr>
        <w:t xml:space="preserve">.  </w:t>
      </w:r>
    </w:p>
    <w:p w14:paraId="38A174D5" w14:textId="77777777" w:rsidR="00974C69" w:rsidRPr="004C544B" w:rsidRDefault="00974C69" w:rsidP="00974C69">
      <w:pPr>
        <w:spacing w:after="0" w:line="276" w:lineRule="auto"/>
        <w:ind w:firstLine="708"/>
        <w:jc w:val="both"/>
        <w:rPr>
          <w:rFonts w:ascii="Verdana" w:eastAsia="Calibri" w:hAnsi="Verdana" w:cs="Arial"/>
          <w:bCs/>
          <w:color w:val="000000" w:themeColor="text1"/>
        </w:rPr>
      </w:pPr>
      <w:r w:rsidRPr="004C544B">
        <w:rPr>
          <w:rFonts w:ascii="Verdana" w:eastAsia="Calibri" w:hAnsi="Verdana" w:cs="Arial"/>
          <w:bCs/>
          <w:color w:val="000000" w:themeColor="text1"/>
        </w:rPr>
        <w:t xml:space="preserve">En su </w:t>
      </w:r>
      <w:r w:rsidRPr="004C544B">
        <w:rPr>
          <w:rFonts w:ascii="Verdana" w:eastAsia="Calibri" w:hAnsi="Verdana" w:cs="Arial"/>
          <w:bCs/>
          <w:i/>
          <w:iCs/>
          <w:color w:val="000000" w:themeColor="text1"/>
        </w:rPr>
        <w:t>faceta positiva</w:t>
      </w:r>
      <w:r w:rsidRPr="004C544B">
        <w:rPr>
          <w:rFonts w:ascii="Verdana" w:eastAsia="Calibri" w:hAnsi="Verdana" w:cs="Arial"/>
          <w:bCs/>
          <w:color w:val="000000" w:themeColor="text1"/>
        </w:rPr>
        <w:t xml:space="preserve">, la Ley 80 de 1993 permite excepcionalmente la cesión del contrato estatal siempre que exista autorización previa escrita de la entidad contratante. Por ello, “[…] El cocontratante que </w:t>
      </w:r>
      <w:r w:rsidRPr="00DE5DE4">
        <w:rPr>
          <w:rFonts w:ascii="Verdana" w:eastAsia="Calibri" w:hAnsi="Verdana" w:cs="Arial"/>
          <w:bCs/>
          <w:color w:val="000000" w:themeColor="text1"/>
          <w:sz w:val="24"/>
          <w:szCs w:val="24"/>
        </w:rPr>
        <w:t>‘</w:t>
      </w:r>
      <w:r w:rsidRPr="004C544B">
        <w:rPr>
          <w:rFonts w:ascii="Verdana" w:eastAsia="Calibri" w:hAnsi="Verdana" w:cs="Arial"/>
          <w:bCs/>
          <w:i/>
          <w:iCs/>
          <w:color w:val="000000" w:themeColor="text1"/>
        </w:rPr>
        <w:t>ceda</w:t>
      </w:r>
      <w:r w:rsidRPr="00DE5DE4">
        <w:rPr>
          <w:rFonts w:ascii="Verdana" w:eastAsia="Calibri" w:hAnsi="Verdana" w:cs="Arial"/>
          <w:bCs/>
          <w:color w:val="000000" w:themeColor="text1"/>
        </w:rPr>
        <w:t>’</w:t>
      </w:r>
      <w:r w:rsidRPr="004C544B">
        <w:rPr>
          <w:rFonts w:ascii="Verdana" w:eastAsia="Calibri" w:hAnsi="Verdana" w:cs="Arial"/>
          <w:bCs/>
          <w:color w:val="000000" w:themeColor="text1"/>
        </w:rPr>
        <w:t xml:space="preserve"> el contrato sin estar autorizado para ello incurre en grave responsabilidad: su actitud implica </w:t>
      </w:r>
      <w:r>
        <w:rPr>
          <w:rFonts w:ascii="Verdana" w:eastAsia="Calibri" w:hAnsi="Verdana" w:cs="Arial"/>
          <w:bCs/>
          <w:color w:val="000000" w:themeColor="text1"/>
        </w:rPr>
        <w:lastRenderedPageBreak/>
        <w:t>‘</w:t>
      </w:r>
      <w:r w:rsidRPr="004C544B">
        <w:rPr>
          <w:rFonts w:ascii="Verdana" w:eastAsia="Calibri" w:hAnsi="Verdana" w:cs="Arial"/>
          <w:bCs/>
          <w:i/>
          <w:iCs/>
          <w:color w:val="000000" w:themeColor="text1"/>
        </w:rPr>
        <w:t>incumplimiento</w:t>
      </w:r>
      <w:r>
        <w:rPr>
          <w:rFonts w:ascii="Verdana" w:eastAsia="Calibri" w:hAnsi="Verdana" w:cs="Arial"/>
          <w:bCs/>
          <w:color w:val="000000" w:themeColor="text1"/>
        </w:rPr>
        <w:t>’</w:t>
      </w:r>
      <w:r w:rsidRPr="004C544B">
        <w:rPr>
          <w:rFonts w:ascii="Verdana" w:eastAsia="Calibri" w:hAnsi="Verdana" w:cs="Arial"/>
          <w:bCs/>
          <w:color w:val="000000" w:themeColor="text1"/>
        </w:rPr>
        <w:t xml:space="preserve"> del contrato; de ahí que esa cesión ilícita no resulte oponible a la Administración Pública […]”</w:t>
      </w:r>
      <w:r w:rsidRPr="004C544B">
        <w:rPr>
          <w:rStyle w:val="Refdenotaalpie"/>
          <w:rFonts w:ascii="Verdana" w:eastAsia="Calibri" w:hAnsi="Verdana" w:cs="Arial"/>
          <w:bCs/>
          <w:color w:val="000000" w:themeColor="text1"/>
        </w:rPr>
        <w:footnoteReference w:id="10"/>
      </w:r>
      <w:r w:rsidRPr="004C544B">
        <w:rPr>
          <w:rFonts w:ascii="Verdana" w:eastAsia="Calibri" w:hAnsi="Verdana" w:cs="Arial"/>
          <w:bCs/>
          <w:color w:val="000000" w:themeColor="text1"/>
        </w:rPr>
        <w:t xml:space="preserve">. Este requisito introduce un elemento especial que no está previsto en el Código de Comercio, pues en el derecho privado –salvo las excepciones previstas en la ley– la cesión requiere el acuerdo de voluntades entre el cedente y el cesionario, sin que medie la aceptación del contratante cedido. </w:t>
      </w:r>
      <w:r w:rsidRPr="004C544B">
        <w:rPr>
          <w:rFonts w:ascii="Verdana" w:eastAsia="Calibri" w:hAnsi="Verdana" w:cs="Arial"/>
          <w:color w:val="000000" w:themeColor="text1"/>
        </w:rPr>
        <w:t>En relación con lo anterior la doctrina define la cesión en los contratos estatales de la siguiente manera:</w:t>
      </w:r>
    </w:p>
    <w:p w14:paraId="250BD67D" w14:textId="77777777" w:rsidR="00974C69" w:rsidRPr="004C544B" w:rsidRDefault="00974C69" w:rsidP="00974C69">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 </w:t>
      </w:r>
    </w:p>
    <w:p w14:paraId="52303B59" w14:textId="77777777" w:rsidR="00974C69" w:rsidRPr="004C4E62" w:rsidRDefault="00974C69" w:rsidP="00974C69">
      <w:pPr>
        <w:spacing w:after="0" w:line="240" w:lineRule="auto"/>
        <w:ind w:left="709" w:right="709"/>
        <w:jc w:val="both"/>
        <w:rPr>
          <w:rFonts w:ascii="Verdana" w:eastAsia="Calibri" w:hAnsi="Verdana" w:cs="Arial"/>
          <w:color w:val="000000" w:themeColor="text1"/>
          <w:sz w:val="20"/>
          <w:szCs w:val="20"/>
        </w:rPr>
      </w:pPr>
      <w:r w:rsidRPr="004C4E62">
        <w:rPr>
          <w:rFonts w:ascii="Verdana" w:eastAsia="Calibri" w:hAnsi="Verdana" w:cs="Arial"/>
          <w:color w:val="000000" w:themeColor="text1"/>
          <w:sz w:val="20"/>
          <w:szCs w:val="20"/>
        </w:rPr>
        <w:t xml:space="preserve">“La cesión en la contratación estatal supone, previa autorización de la entidad contratante, la sustitución </w:t>
      </w:r>
      <w:r w:rsidRPr="004C4E62">
        <w:rPr>
          <w:rFonts w:ascii="Verdana" w:eastAsia="Calibri" w:hAnsi="Verdana" w:cs="Arial"/>
          <w:i/>
          <w:iCs/>
          <w:color w:val="000000" w:themeColor="text1"/>
          <w:sz w:val="20"/>
          <w:szCs w:val="20"/>
        </w:rPr>
        <w:t>in genere</w:t>
      </w:r>
      <w:r w:rsidRPr="004C4E62">
        <w:rPr>
          <w:rFonts w:ascii="Verdana" w:eastAsia="Calibri" w:hAnsi="Verdana" w:cs="Arial"/>
          <w:color w:val="000000" w:themeColor="text1"/>
          <w:sz w:val="20"/>
          <w:szCs w:val="20"/>
        </w:rPr>
        <w:t>, total o parcial, de una de las partes de la relación jurídica (contratante o contratista) por un tercero, 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4C4E62">
        <w:rPr>
          <w:rStyle w:val="Refdenotaalpie"/>
          <w:rFonts w:ascii="Verdana" w:hAnsi="Verdana" w:cs="Arial"/>
          <w:color w:val="000000" w:themeColor="text1"/>
          <w:sz w:val="20"/>
          <w:szCs w:val="20"/>
        </w:rPr>
        <w:footnoteReference w:id="11"/>
      </w:r>
      <w:r w:rsidRPr="004C4E62">
        <w:rPr>
          <w:rFonts w:ascii="Verdana" w:eastAsia="Calibri" w:hAnsi="Verdana" w:cs="Arial"/>
          <w:color w:val="000000" w:themeColor="text1"/>
          <w:sz w:val="20"/>
          <w:szCs w:val="20"/>
        </w:rPr>
        <w:t>.</w:t>
      </w:r>
    </w:p>
    <w:p w14:paraId="1F61992E" w14:textId="77777777" w:rsidR="00974C69" w:rsidRPr="004C544B" w:rsidRDefault="00974C69" w:rsidP="00974C69">
      <w:pPr>
        <w:spacing w:after="0" w:line="276" w:lineRule="auto"/>
        <w:jc w:val="both"/>
        <w:rPr>
          <w:rFonts w:ascii="Verdana" w:eastAsia="Calibri" w:hAnsi="Verdana" w:cs="Arial"/>
          <w:color w:val="000000" w:themeColor="text1"/>
        </w:rPr>
      </w:pPr>
    </w:p>
    <w:p w14:paraId="7E3E3700" w14:textId="77777777" w:rsidR="00974C69" w:rsidRPr="004C544B" w:rsidRDefault="00974C69" w:rsidP="00974C69">
      <w:pPr>
        <w:spacing w:after="120" w:line="276" w:lineRule="auto"/>
        <w:ind w:firstLine="709"/>
        <w:jc w:val="both"/>
        <w:rPr>
          <w:rFonts w:ascii="Verdana" w:eastAsia="Calibri" w:hAnsi="Verdana" w:cs="Arial"/>
          <w:bCs/>
          <w:color w:val="000000" w:themeColor="text1"/>
        </w:rPr>
      </w:pPr>
      <w:r w:rsidRPr="004C544B">
        <w:rPr>
          <w:rFonts w:ascii="Verdana" w:eastAsia="Calibri" w:hAnsi="Verdana" w:cs="Arial"/>
          <w:bCs/>
          <w:color w:val="000000" w:themeColor="text1"/>
        </w:rPr>
        <w:t>Autorizada previamente por la entidad cedida, esta forma de cesión requiere la suscripción de un contrato entre el cedente y el cesionario, por lo que es bilateral en la medida en que requiere un acuerdo voluntades. Con fundamento en el mismo, el cesionario reemplaza –en todo o en parte– al contratista cedente en la ejecución del contrato estatal, respondiendo por el cumplimiento de las obligaciones frente a la Administración.</w:t>
      </w:r>
      <w:r w:rsidRPr="004C544B">
        <w:rPr>
          <w:rFonts w:ascii="Verdana" w:hAnsi="Verdana"/>
        </w:rPr>
        <w:t xml:space="preserve"> </w:t>
      </w:r>
      <w:r w:rsidRPr="004C544B">
        <w:rPr>
          <w:rFonts w:ascii="Verdana" w:eastAsia="Calibri" w:hAnsi="Verdana" w:cs="Arial"/>
          <w:bCs/>
          <w:color w:val="000000" w:themeColor="text1"/>
        </w:rPr>
        <w:t>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w:t>
      </w:r>
      <w:r w:rsidRPr="004C544B">
        <w:rPr>
          <w:rFonts w:ascii="Verdana" w:eastAsia="Calibri" w:hAnsi="Verdana" w:cs="Arial"/>
          <w:color w:val="000000" w:themeColor="text1"/>
        </w:rPr>
        <w:t xml:space="preserve">. </w:t>
      </w:r>
    </w:p>
    <w:p w14:paraId="33D0EB2B" w14:textId="77777777" w:rsidR="00974C69" w:rsidRDefault="00974C69" w:rsidP="00974C69">
      <w:pPr>
        <w:tabs>
          <w:tab w:val="left" w:pos="709"/>
        </w:tabs>
        <w:spacing w:after="120" w:line="276" w:lineRule="auto"/>
        <w:jc w:val="both"/>
        <w:rPr>
          <w:rFonts w:ascii="Verdana" w:eastAsia="Calibri" w:hAnsi="Verdana" w:cs="Arial"/>
          <w:color w:val="000000" w:themeColor="text1"/>
        </w:rPr>
      </w:pPr>
      <w:bookmarkStart w:id="3" w:name="_Hlk80369799"/>
      <w:r w:rsidRPr="004C544B">
        <w:rPr>
          <w:rFonts w:ascii="Verdana" w:eastAsia="Calibri" w:hAnsi="Verdana" w:cs="Arial"/>
          <w:color w:val="000000" w:themeColor="text1"/>
        </w:rPr>
        <w:tab/>
        <w:t xml:space="preserve">Por lo demás, el Consejo de Estado ha precisado como requisitos de la cesión del contrato estatal los siguientes: i) debe recaer en un tercero;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el cesionario debe tener capacidad jurídica para continuar con la ejecución del objeto contractual y no estar incurso en causales de inhabilidad e incompatibilidad para contratar;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xml:space="preserve">) el cesionario debe contar con capacidad técnica, económica y financiera suficientes para el cumplimiento de las obligaciones emanadas del contrato cedido. Al respecto, la Sección Tercera del </w:t>
      </w:r>
      <w:r w:rsidRPr="004C544B">
        <w:rPr>
          <w:rFonts w:ascii="Verdana" w:eastAsia="Calibri" w:hAnsi="Verdana" w:cs="Arial"/>
          <w:color w:val="000000" w:themeColor="text1"/>
        </w:rPr>
        <w:lastRenderedPageBreak/>
        <w:t>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w:t>
      </w:r>
      <w:bookmarkStart w:id="4" w:name="_Hlk80369829"/>
      <w:bookmarkEnd w:id="3"/>
      <w:r w:rsidRPr="004C544B">
        <w:rPr>
          <w:rFonts w:ascii="Verdana" w:eastAsia="Calibri" w:hAnsi="Verdana" w:cs="Arial"/>
          <w:color w:val="000000" w:themeColor="text1"/>
        </w:rPr>
        <w:t>, ya que “[…] el 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bookmarkEnd w:id="4"/>
      <w:r w:rsidRPr="004C544B">
        <w:rPr>
          <w:rFonts w:ascii="Verdana" w:eastAsia="Calibri" w:hAnsi="Verdana" w:cs="Arial"/>
          <w:color w:val="000000" w:themeColor="text1"/>
        </w:rPr>
        <w:t>”</w:t>
      </w:r>
      <w:r w:rsidRPr="004C544B">
        <w:rPr>
          <w:rStyle w:val="Refdenotaalpie"/>
          <w:rFonts w:ascii="Verdana" w:eastAsia="Calibri" w:hAnsi="Verdana" w:cs="Arial"/>
          <w:color w:val="000000" w:themeColor="text1"/>
        </w:rPr>
        <w:footnoteReference w:id="12"/>
      </w:r>
      <w:r w:rsidRPr="004C544B">
        <w:rPr>
          <w:rFonts w:ascii="Verdana" w:eastAsia="Calibri" w:hAnsi="Verdana" w:cs="Arial"/>
          <w:color w:val="000000" w:themeColor="text1"/>
        </w:rPr>
        <w:t>.</w:t>
      </w:r>
    </w:p>
    <w:p w14:paraId="70DAA74F" w14:textId="77777777" w:rsidR="00974C69" w:rsidRDefault="00974C69" w:rsidP="00974C69">
      <w:pPr>
        <w:tabs>
          <w:tab w:val="left" w:pos="709"/>
        </w:tabs>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ab/>
        <w:t>En este contexto, al igual que el cedente al momento de firmar el contrato con la entidad estatal, el cesionario debe estar libre de inhabilidades e incompatibilidades para reemplazar al primero en la ejecución de las obligaciones. Como la cesión implica una subrogación personal del contratista en los negocios que este último suscriba con el Estado, el cesionario que asume dicho rol estando inhabilitado es destinatario del literal b) del artículo 8.1 de la Ley 80 de 1993, en la medida que “</w:t>
      </w:r>
      <w:r w:rsidRPr="00EA7347">
        <w:rPr>
          <w:rFonts w:ascii="Verdana" w:eastAsia="Calibri" w:hAnsi="Verdana" w:cs="Arial"/>
          <w:color w:val="000000" w:themeColor="text1"/>
        </w:rPr>
        <w:t xml:space="preserve">Quienes </w:t>
      </w:r>
      <w:r>
        <w:rPr>
          <w:rFonts w:ascii="Verdana" w:eastAsia="Calibri" w:hAnsi="Verdana" w:cs="Arial"/>
          <w:color w:val="000000" w:themeColor="text1"/>
        </w:rPr>
        <w:t>[…]</w:t>
      </w:r>
      <w:r w:rsidRPr="00EA7347">
        <w:rPr>
          <w:rFonts w:ascii="Verdana" w:eastAsia="Calibri" w:hAnsi="Verdana" w:cs="Arial"/>
          <w:color w:val="000000" w:themeColor="text1"/>
        </w:rPr>
        <w:t xml:space="preserve"> celebraron los contratos </w:t>
      </w:r>
      <w:r>
        <w:rPr>
          <w:rFonts w:ascii="Verdana" w:eastAsia="Calibri" w:hAnsi="Verdana" w:cs="Arial"/>
          <w:color w:val="000000" w:themeColor="text1"/>
        </w:rPr>
        <w:t>[…]</w:t>
      </w:r>
      <w:r w:rsidRPr="00EA7347">
        <w:rPr>
          <w:rFonts w:ascii="Verdana" w:eastAsia="Calibri" w:hAnsi="Verdana" w:cs="Arial"/>
          <w:color w:val="000000" w:themeColor="text1"/>
        </w:rPr>
        <w:t xml:space="preserve"> estando inhabilitados</w:t>
      </w:r>
      <w:r>
        <w:rPr>
          <w:rFonts w:ascii="Verdana" w:eastAsia="Calibri" w:hAnsi="Verdana" w:cs="Arial"/>
          <w:color w:val="000000" w:themeColor="text1"/>
        </w:rPr>
        <w:t>” tienen una restricción de cinco (5) años para participar en procesos de selección o suscribir contratos.</w:t>
      </w:r>
    </w:p>
    <w:p w14:paraId="0F5187F9" w14:textId="77777777" w:rsidR="00974C69" w:rsidRPr="004C544B" w:rsidRDefault="00974C69" w:rsidP="00974C69">
      <w:pPr>
        <w:tabs>
          <w:tab w:val="left" w:pos="709"/>
        </w:tabs>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ab/>
        <w:t>Ello significa que, a la inhabilidad que tenía el cesionario antes de la cesión, se suma una nueva por subrogarse en la posición del cedente, pues aquel carece de la capacidad jurídica para suscribir contratos estatales</w:t>
      </w:r>
      <w:r w:rsidRPr="00A01000">
        <w:rPr>
          <w:rFonts w:ascii="Verdana" w:eastAsia="Calibri" w:hAnsi="Verdana" w:cs="Arial"/>
          <w:color w:val="000000" w:themeColor="text1"/>
        </w:rPr>
        <w:t xml:space="preserve"> </w:t>
      </w:r>
      <w:r>
        <w:rPr>
          <w:rFonts w:ascii="Verdana" w:eastAsia="Calibri" w:hAnsi="Verdana" w:cs="Arial"/>
          <w:color w:val="000000" w:themeColor="text1"/>
        </w:rPr>
        <w:t xml:space="preserve">frente a la entidad cedida. Lo anterior sin perjuicio de la responsabilidad personal de quien autorice la cesión en esta circunstancia, por falta la de la diligencia debida en la verificación de las calidades del cesionario.     </w:t>
      </w:r>
    </w:p>
    <w:p w14:paraId="45DA221D" w14:textId="77777777" w:rsidR="00974C69" w:rsidRPr="004C544B" w:rsidRDefault="00974C69" w:rsidP="00974C69">
      <w:pPr>
        <w:tabs>
          <w:tab w:val="left" w:pos="709"/>
        </w:tabs>
        <w:spacing w:after="120" w:line="276" w:lineRule="auto"/>
        <w:ind w:firstLine="709"/>
        <w:jc w:val="both"/>
        <w:rPr>
          <w:rFonts w:ascii="Verdana" w:eastAsia="Calibri" w:hAnsi="Verdana" w:cs="Arial"/>
          <w:color w:val="000000" w:themeColor="text1"/>
        </w:rPr>
      </w:pPr>
      <w:bookmarkStart w:id="5" w:name="_Hlk80369857"/>
      <w:r w:rsidRPr="004C544B">
        <w:rPr>
          <w:rFonts w:ascii="Verdana" w:eastAsia="Calibri" w:hAnsi="Verdana" w:cs="Arial"/>
          <w:color w:val="000000" w:themeColor="text1"/>
        </w:rPr>
        <w:t>Por lo tanto, la entidad estatal en el trámite de autorización de una cesión de posición contractual está obligada a respetar y dar cabal cumplimiento a los principios y normas rectoras de la contratación pública que resulten aplicables al proceso de contratación, entre otros, los principios de transparencia, selección objetiva e igualdad. En otros términos, so pretexto de una cesión contractual, no pueden vulnerarse las reglas y principios de la contratación estatal.</w:t>
      </w:r>
    </w:p>
    <w:bookmarkEnd w:id="5"/>
    <w:p w14:paraId="5C5B9763" w14:textId="77777777" w:rsidR="00974C69" w:rsidRDefault="00974C69" w:rsidP="00974C69">
      <w:pPr>
        <w:tabs>
          <w:tab w:val="left" w:pos="709"/>
        </w:tabs>
        <w:spacing w:after="120" w:line="276" w:lineRule="auto"/>
        <w:ind w:firstLine="709"/>
        <w:jc w:val="both"/>
        <w:rPr>
          <w:rFonts w:ascii="Verdana" w:eastAsia="Calibri" w:hAnsi="Verdana" w:cs="Arial"/>
          <w:color w:val="000000" w:themeColor="text1"/>
        </w:rPr>
      </w:pPr>
      <w:r w:rsidRPr="004C544B">
        <w:rPr>
          <w:rFonts w:ascii="Verdana" w:eastAsia="Calibri" w:hAnsi="Verdana" w:cs="Arial"/>
          <w:color w:val="000000" w:themeColor="text1"/>
        </w:rPr>
        <w:lastRenderedPageBreak/>
        <w:t>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w:t>
      </w:r>
    </w:p>
    <w:p w14:paraId="40CB9D89" w14:textId="77777777" w:rsidR="00974C69" w:rsidRPr="00272F92" w:rsidRDefault="00974C69" w:rsidP="00974C69">
      <w:pPr>
        <w:tabs>
          <w:tab w:val="left" w:pos="709"/>
        </w:tabs>
        <w:spacing w:after="120" w:line="276" w:lineRule="auto"/>
        <w:ind w:firstLine="709"/>
        <w:jc w:val="both"/>
        <w:rPr>
          <w:rFonts w:ascii="Verdana" w:eastAsia="Calibri" w:hAnsi="Verdana" w:cs="Arial"/>
          <w:color w:val="000000" w:themeColor="text1"/>
        </w:rPr>
      </w:pP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E67722D" w14:textId="77777777" w:rsidR="00974C69" w:rsidRPr="00185EE9" w:rsidRDefault="00974C69" w:rsidP="00974C69">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41940748" w14:textId="77777777" w:rsidR="00974C69" w:rsidRPr="00182C89" w:rsidRDefault="00974C69" w:rsidP="00974C69">
      <w:pPr>
        <w:tabs>
          <w:tab w:val="left" w:pos="709"/>
        </w:tabs>
        <w:spacing w:after="0" w:line="276" w:lineRule="auto"/>
        <w:jc w:val="both"/>
        <w:rPr>
          <w:rFonts w:ascii="Verdana" w:eastAsia="Calibri" w:hAnsi="Verdana" w:cs="Arial"/>
          <w:color w:val="000000" w:themeColor="text1"/>
        </w:rPr>
      </w:pPr>
    </w:p>
    <w:p w14:paraId="66E83450" w14:textId="77777777" w:rsidR="00974C69" w:rsidRPr="00593A5F" w:rsidRDefault="00974C69" w:rsidP="00974C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52BD520" w14:textId="77777777" w:rsidR="00974C69" w:rsidRPr="00593A5F" w:rsidRDefault="00974C69" w:rsidP="00974C69">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74C69" w:rsidRPr="002407CE" w14:paraId="6981496F" w14:textId="77777777" w:rsidTr="00D6567B">
        <w:trPr>
          <w:trHeight w:val="56"/>
          <w:jc w:val="center"/>
        </w:trPr>
        <w:tc>
          <w:tcPr>
            <w:tcW w:w="8647" w:type="dxa"/>
          </w:tcPr>
          <w:p w14:paraId="2D9C1454" w14:textId="79ACA74A" w:rsidR="00974C69" w:rsidRPr="00185EE9" w:rsidRDefault="00974C69" w:rsidP="00974C6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80 de 1993, artículos </w:t>
            </w:r>
            <w:r w:rsidR="00A04C70">
              <w:rPr>
                <w:rFonts w:ascii="Verdana" w:hAnsi="Verdana" w:cs="Arial"/>
              </w:rPr>
              <w:t xml:space="preserve">8, </w:t>
            </w:r>
            <w:r>
              <w:rPr>
                <w:rFonts w:ascii="Verdana" w:hAnsi="Verdana" w:cs="Arial"/>
              </w:rPr>
              <w:t>13, 32, 40 y 41.</w:t>
            </w:r>
          </w:p>
          <w:p w14:paraId="57C49CFA" w14:textId="77777777" w:rsidR="00974C69" w:rsidRPr="004923A3" w:rsidRDefault="00974C69" w:rsidP="00974C6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color w:val="000000" w:themeColor="text1"/>
                <w:lang w:val="es-ES_tradnl"/>
              </w:rPr>
            </w:pPr>
            <w:r w:rsidRPr="00185EE9">
              <w:rPr>
                <w:rFonts w:ascii="Verdana" w:hAnsi="Verdana" w:cs="Arial"/>
              </w:rPr>
              <w:t xml:space="preserve">Código Civil, artículos </w:t>
            </w:r>
            <w:r>
              <w:rPr>
                <w:rFonts w:ascii="Verdana" w:hAnsi="Verdana" w:cs="Arial"/>
              </w:rPr>
              <w:t>1501, 1959 y ss</w:t>
            </w:r>
            <w:r w:rsidRPr="00185EE9">
              <w:rPr>
                <w:rFonts w:ascii="Verdana" w:hAnsi="Verdana" w:cs="Arial"/>
              </w:rPr>
              <w:t>.</w:t>
            </w:r>
          </w:p>
          <w:p w14:paraId="2CC70115" w14:textId="77777777" w:rsidR="00974C69" w:rsidRPr="00B87E7A" w:rsidRDefault="00974C69" w:rsidP="00974C69">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color w:val="000000" w:themeColor="text1"/>
                <w:lang w:val="es-ES_tradnl"/>
              </w:rPr>
              <w:lastRenderedPageBreak/>
              <w:t>Código de Comercio, artículos 887 y ss.</w:t>
            </w:r>
            <w:r>
              <w:rPr>
                <w:rFonts w:ascii="Verdana" w:hAnsi="Verdana" w:cs="Arial"/>
              </w:rPr>
              <w:t xml:space="preserve"> </w:t>
            </w:r>
          </w:p>
        </w:tc>
      </w:tr>
    </w:tbl>
    <w:p w14:paraId="1FEB1A1E" w14:textId="77777777" w:rsidR="00974C69" w:rsidRPr="002407CE" w:rsidRDefault="00974C69" w:rsidP="00974C69">
      <w:pPr>
        <w:widowControl w:val="0"/>
        <w:autoSpaceDE w:val="0"/>
        <w:autoSpaceDN w:val="0"/>
        <w:spacing w:after="0" w:line="276" w:lineRule="auto"/>
        <w:jc w:val="both"/>
        <w:rPr>
          <w:rFonts w:ascii="Verdana" w:hAnsi="Verdana" w:cs="Arial"/>
        </w:rPr>
      </w:pPr>
    </w:p>
    <w:p w14:paraId="1955AEDE" w14:textId="77777777" w:rsidR="00974C69" w:rsidRPr="00593A5F" w:rsidRDefault="00974C69" w:rsidP="00974C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07223672" w14:textId="77777777" w:rsidR="00974C69" w:rsidRPr="00593A5F" w:rsidRDefault="00974C69" w:rsidP="00974C69">
      <w:pPr>
        <w:widowControl w:val="0"/>
        <w:autoSpaceDE w:val="0"/>
        <w:autoSpaceDN w:val="0"/>
        <w:spacing w:after="0" w:line="276" w:lineRule="auto"/>
        <w:jc w:val="both"/>
        <w:rPr>
          <w:rFonts w:ascii="Verdana" w:hAnsi="Verdana" w:cs="Arial"/>
        </w:rPr>
      </w:pPr>
    </w:p>
    <w:p w14:paraId="468F64F1" w14:textId="77777777" w:rsidR="00974C69" w:rsidRPr="00ED0098" w:rsidRDefault="00974C69" w:rsidP="00974C69">
      <w:pPr>
        <w:widowControl w:val="0"/>
        <w:autoSpaceDE w:val="0"/>
        <w:autoSpaceDN w:val="0"/>
        <w:spacing w:after="0" w:line="276" w:lineRule="auto"/>
        <w:jc w:val="both"/>
        <w:rPr>
          <w:rStyle w:val="normaltextrun"/>
          <w:rFonts w:ascii="Verdana" w:hAnsi="Verdana" w:cs="Arial"/>
          <w:shd w:val="clear" w:color="auto" w:fill="FFFFFF"/>
        </w:rPr>
      </w:pPr>
      <w:r w:rsidRPr="00010325">
        <w:rPr>
          <w:rFonts w:ascii="Verdana" w:hAnsi="Verdana" w:cs="Arial"/>
          <w:shd w:val="clear" w:color="auto" w:fill="FFFFFF"/>
        </w:rPr>
        <w:t>Esta Subdirección se ha pronunciado sobre</w:t>
      </w:r>
      <w:r>
        <w:rPr>
          <w:rFonts w:ascii="Verdana" w:hAnsi="Verdana" w:cs="Arial"/>
          <w:shd w:val="clear" w:color="auto" w:fill="FFFFFF"/>
        </w:rPr>
        <w:t xml:space="preserve"> la cesión de contratos en los Conceptos </w:t>
      </w:r>
      <w:r w:rsidRPr="00DE2AC7">
        <w:rPr>
          <w:rFonts w:ascii="Verdana" w:hAnsi="Verdana" w:cs="Arial"/>
          <w:shd w:val="clear" w:color="auto" w:fill="FFFFFF"/>
        </w:rPr>
        <w:t>4201913000007643 y 4201913000007669 del 26 de diciembre de 2019, así como en los Conceptos C-551 del 24 de septiembre de 2020, C-572 del 27 de agosto de 2020, C-582 del 28 de agosto de 2020, C-385 del 20 de agosto de 2021, C-069 del 24 de abril de 2023</w:t>
      </w:r>
      <w:r>
        <w:rPr>
          <w:rFonts w:ascii="Verdana" w:hAnsi="Verdana" w:cs="Arial"/>
          <w:shd w:val="clear" w:color="auto" w:fill="FFFFFF"/>
        </w:rPr>
        <w:t>,</w:t>
      </w:r>
      <w:r w:rsidRPr="00DE2AC7">
        <w:rPr>
          <w:rFonts w:ascii="Verdana" w:hAnsi="Verdana" w:cs="Arial"/>
          <w:shd w:val="clear" w:color="auto" w:fill="FFFFFF"/>
        </w:rPr>
        <w:t xml:space="preserve"> C-868 del 20 de diciembre de 2024</w:t>
      </w:r>
      <w:r>
        <w:rPr>
          <w:rFonts w:ascii="Verdana" w:hAnsi="Verdana" w:cs="Arial"/>
          <w:shd w:val="clear" w:color="auto" w:fill="FFFFFF"/>
        </w:rPr>
        <w:t>, C-880 del 30 de diciembre de 2024, C-214 del 25 de marzo de 2025 y C-675 del 4 de junio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06204DDE" w14:textId="77777777" w:rsidR="00974C69" w:rsidRPr="00096788" w:rsidRDefault="00974C69" w:rsidP="00974C69">
      <w:pPr>
        <w:widowControl w:val="0"/>
        <w:autoSpaceDE w:val="0"/>
        <w:autoSpaceDN w:val="0"/>
        <w:spacing w:after="0" w:line="276" w:lineRule="auto"/>
        <w:jc w:val="both"/>
        <w:rPr>
          <w:rFonts w:ascii="Verdana" w:hAnsi="Verdana" w:cs="Arial"/>
          <w:color w:val="000000" w:themeColor="text1"/>
          <w:shd w:val="clear" w:color="auto" w:fill="FFFFFF"/>
        </w:rPr>
      </w:pPr>
    </w:p>
    <w:p w14:paraId="2057E8BC" w14:textId="77777777" w:rsidR="00974C69" w:rsidRDefault="00974C69" w:rsidP="00974C69">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678838C7" w14:textId="77777777" w:rsidR="00974C69" w:rsidRPr="009A385A" w:rsidRDefault="00974C69" w:rsidP="00974C69">
      <w:pPr>
        <w:spacing w:after="0"/>
        <w:jc w:val="both"/>
        <w:rPr>
          <w:rFonts w:ascii="Verdana" w:hAnsi="Verdana"/>
        </w:rPr>
      </w:pPr>
    </w:p>
    <w:p w14:paraId="6FF72B3E" w14:textId="77777777" w:rsidR="00974C69" w:rsidRDefault="00974C69" w:rsidP="00974C69">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7842DA83" w14:textId="77777777" w:rsidR="00974C69" w:rsidRDefault="00974C69" w:rsidP="00974C69">
      <w:pPr>
        <w:spacing w:after="0"/>
        <w:jc w:val="both"/>
        <w:rPr>
          <w:rFonts w:ascii="Verdana" w:hAnsi="Verdana"/>
        </w:rPr>
      </w:pPr>
    </w:p>
    <w:p w14:paraId="37C5D07F" w14:textId="77777777" w:rsidR="00974C69" w:rsidRPr="008E1CD7" w:rsidRDefault="00974C69" w:rsidP="00974C69">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lastRenderedPageBreak/>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ADC6A2F" w14:textId="77777777" w:rsidR="00974C69" w:rsidRDefault="00974C69" w:rsidP="00974C69">
      <w:pPr>
        <w:shd w:val="clear" w:color="auto" w:fill="FFFFFF"/>
        <w:spacing w:after="0" w:line="276" w:lineRule="auto"/>
        <w:jc w:val="both"/>
        <w:rPr>
          <w:rFonts w:ascii="Verdana" w:hAnsi="Verdana"/>
          <w:color w:val="000000"/>
          <w:u w:val="single"/>
        </w:rPr>
      </w:pPr>
    </w:p>
    <w:p w14:paraId="34E262F1" w14:textId="77777777" w:rsidR="00974C69" w:rsidRPr="00116940" w:rsidRDefault="00974C69" w:rsidP="00974C69">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6BFA9788" w14:textId="77777777" w:rsidR="00974C69" w:rsidRPr="00116940" w:rsidRDefault="00974C69" w:rsidP="00974C69">
      <w:pPr>
        <w:spacing w:after="0"/>
        <w:jc w:val="both"/>
        <w:rPr>
          <w:rFonts w:ascii="Verdana" w:hAnsi="Verdana"/>
        </w:rPr>
      </w:pPr>
    </w:p>
    <w:p w14:paraId="07943066" w14:textId="77777777" w:rsidR="00974C69" w:rsidRPr="00116940" w:rsidRDefault="00974C69" w:rsidP="00974C69">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B11736C" w14:textId="77777777" w:rsidR="00974C69" w:rsidRPr="00116940" w:rsidRDefault="00974C69" w:rsidP="00974C69">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4785E32E" w14:textId="77777777" w:rsidR="00974C69" w:rsidRPr="00116940" w:rsidRDefault="00974C69" w:rsidP="00974C6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76693998" w14:textId="77777777" w:rsidR="00974C69" w:rsidRPr="00116940" w:rsidRDefault="00974C69" w:rsidP="00974C6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3DD36CE9" w14:textId="77777777" w:rsidR="00974C69" w:rsidRPr="00116940" w:rsidRDefault="00974C69" w:rsidP="00974C69">
      <w:pPr>
        <w:spacing w:after="0" w:line="240" w:lineRule="auto"/>
        <w:ind w:left="720"/>
        <w:jc w:val="both"/>
        <w:rPr>
          <w:rFonts w:ascii="Verdana" w:hAnsi="Verdana"/>
        </w:rPr>
      </w:pPr>
    </w:p>
    <w:p w14:paraId="730607AD" w14:textId="77777777" w:rsidR="00974C69" w:rsidRPr="00116940" w:rsidRDefault="00974C69" w:rsidP="00974C69">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49615A4E" w14:textId="77777777" w:rsidR="00974C69" w:rsidRPr="00116940" w:rsidRDefault="00974C69" w:rsidP="00974C69">
      <w:pPr>
        <w:spacing w:after="0" w:line="240" w:lineRule="auto"/>
        <w:rPr>
          <w:rFonts w:ascii="Verdana" w:hAnsi="Verdana"/>
        </w:rPr>
      </w:pPr>
    </w:p>
    <w:p w14:paraId="36D22FBD" w14:textId="77777777" w:rsidR="00974C69" w:rsidRPr="00116940" w:rsidRDefault="00974C69" w:rsidP="00974C69">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87E317D" w14:textId="77777777" w:rsidR="00974C69" w:rsidRPr="00116940" w:rsidRDefault="00974C69" w:rsidP="00974C69">
      <w:pPr>
        <w:spacing w:after="0" w:line="240" w:lineRule="auto"/>
        <w:jc w:val="both"/>
        <w:rPr>
          <w:rFonts w:ascii="Verdana" w:hAnsi="Verdana"/>
        </w:rPr>
      </w:pPr>
    </w:p>
    <w:p w14:paraId="5C3D5B5B" w14:textId="77777777" w:rsidR="00974C69" w:rsidRPr="00116940" w:rsidRDefault="00974C69" w:rsidP="00974C69">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8E68ED2" w14:textId="77777777" w:rsidR="00974C69" w:rsidRPr="00116940" w:rsidRDefault="00974C69" w:rsidP="00974C69">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001E330" w14:textId="77777777" w:rsidR="00974C69" w:rsidRPr="00116940" w:rsidRDefault="00974C69" w:rsidP="00974C69">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63755432" w14:textId="77777777" w:rsidR="00974C69" w:rsidRPr="009C4035" w:rsidRDefault="00974C69" w:rsidP="00974C69">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72BDF01" w14:textId="77777777" w:rsidR="00974C69" w:rsidRPr="00593A5F" w:rsidRDefault="00974C69" w:rsidP="00974C69">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w:t>
      </w:r>
      <w:r w:rsidRPr="00593A5F">
        <w:rPr>
          <w:rFonts w:ascii="Verdana" w:hAnsi="Verdana" w:cs="Arial"/>
        </w:rPr>
        <w:lastRenderedPageBreak/>
        <w:t xml:space="preserve">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5916ECB9" w14:textId="77777777" w:rsidR="00974C69" w:rsidRPr="00593A5F" w:rsidRDefault="00974C69" w:rsidP="00974C69">
      <w:pPr>
        <w:widowControl w:val="0"/>
        <w:autoSpaceDE w:val="0"/>
        <w:autoSpaceDN w:val="0"/>
        <w:spacing w:after="0" w:line="276" w:lineRule="auto"/>
        <w:jc w:val="both"/>
        <w:rPr>
          <w:rFonts w:ascii="Verdana" w:hAnsi="Verdana" w:cs="Arial"/>
        </w:rPr>
      </w:pPr>
    </w:p>
    <w:p w14:paraId="5F845A5C" w14:textId="77777777" w:rsidR="00974C69" w:rsidRPr="00593A5F" w:rsidRDefault="00974C69" w:rsidP="00974C69">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738B5D80" w14:textId="395948DC" w:rsidR="00974C69" w:rsidRPr="00593A5F" w:rsidRDefault="001E682E" w:rsidP="00974C69">
      <w:pPr>
        <w:spacing w:line="276" w:lineRule="auto"/>
        <w:jc w:val="center"/>
        <w:rPr>
          <w:rFonts w:ascii="Verdana" w:hAnsi="Verdana" w:cs="Arial"/>
          <w:color w:val="000000"/>
          <w:lang w:val="es-ES_tradnl" w:eastAsia="es-CO"/>
        </w:rPr>
      </w:pPr>
      <w:r>
        <w:rPr>
          <w:noProof/>
        </w:rPr>
        <w:drawing>
          <wp:inline distT="0" distB="0" distL="0" distR="0" wp14:anchorId="314CEF92" wp14:editId="6F8F9119">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74C69" w:rsidRPr="00593A5F" w14:paraId="6F5F69FC" w14:textId="77777777" w:rsidTr="00D6567B">
        <w:trPr>
          <w:trHeight w:val="315"/>
        </w:trPr>
        <w:tc>
          <w:tcPr>
            <w:tcW w:w="893" w:type="dxa"/>
            <w:vAlign w:val="center"/>
            <w:hideMark/>
          </w:tcPr>
          <w:p w14:paraId="448EEEC9" w14:textId="77777777" w:rsidR="00974C69" w:rsidRPr="003751C7" w:rsidRDefault="00974C69" w:rsidP="00D6567B">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A6B7574" w14:textId="77777777" w:rsidR="00974C69" w:rsidRPr="00254A7A" w:rsidRDefault="00974C69" w:rsidP="00D6567B">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4785B437" w14:textId="77777777" w:rsidR="00974C69" w:rsidRPr="00254A7A" w:rsidRDefault="00974C69" w:rsidP="00D6567B">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974C69" w:rsidRPr="00593A5F" w14:paraId="61D1A952" w14:textId="77777777" w:rsidTr="00D6567B">
        <w:trPr>
          <w:trHeight w:val="330"/>
        </w:trPr>
        <w:tc>
          <w:tcPr>
            <w:tcW w:w="893" w:type="dxa"/>
            <w:vAlign w:val="center"/>
            <w:hideMark/>
          </w:tcPr>
          <w:p w14:paraId="3A71D7BE" w14:textId="77777777" w:rsidR="00974C69" w:rsidRPr="003751C7" w:rsidRDefault="00974C69" w:rsidP="00D6567B">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C6E5CC8" w14:textId="77777777" w:rsidR="00974C69" w:rsidRPr="00CB4A40" w:rsidRDefault="00974C69" w:rsidP="00D6567B">
            <w:pPr>
              <w:pStyle w:val="paragraph"/>
              <w:spacing w:after="0"/>
              <w:contextualSpacing/>
              <w:textAlignment w:val="baseline"/>
              <w:rPr>
                <w:rStyle w:val="normaltextrun"/>
                <w:rFonts w:ascii="Verdana" w:hAnsi="Verdana" w:cs="Arial"/>
                <w:sz w:val="16"/>
                <w:szCs w:val="16"/>
                <w:lang w:val="es-ES_tradnl"/>
              </w:rPr>
            </w:pPr>
            <w:r w:rsidRPr="00CB4A40">
              <w:rPr>
                <w:rStyle w:val="normaltextrun"/>
                <w:rFonts w:ascii="Verdana" w:hAnsi="Verdana" w:cs="Arial"/>
                <w:sz w:val="16"/>
                <w:szCs w:val="16"/>
                <w:lang w:val="es-ES_tradnl"/>
              </w:rPr>
              <w:t>Alejandro Sarmiento Cantillo</w:t>
            </w:r>
          </w:p>
          <w:p w14:paraId="70EA2671" w14:textId="77777777" w:rsidR="00974C69" w:rsidRPr="00A40FD0" w:rsidRDefault="00974C69" w:rsidP="00D6567B">
            <w:pPr>
              <w:pStyle w:val="paragraph"/>
              <w:spacing w:before="0" w:beforeAutospacing="0" w:after="0" w:afterAutospacing="0"/>
              <w:contextualSpacing/>
              <w:textAlignment w:val="baseline"/>
              <w:rPr>
                <w:rFonts w:ascii="Verdana" w:hAnsi="Verdana" w:cs="Segoe UI"/>
                <w:sz w:val="16"/>
                <w:szCs w:val="16"/>
              </w:rPr>
            </w:pPr>
            <w:r w:rsidRPr="00CB4A40">
              <w:rPr>
                <w:rStyle w:val="normaltextrun"/>
                <w:rFonts w:ascii="Verdana" w:hAnsi="Verdana" w:cs="Arial"/>
                <w:sz w:val="16"/>
                <w:szCs w:val="16"/>
                <w:lang w:val="es-ES_tradnl"/>
              </w:rPr>
              <w:t>Gestor T1 ‒ 15 de la Subdirección de Gestión Contractual</w:t>
            </w:r>
          </w:p>
        </w:tc>
      </w:tr>
      <w:tr w:rsidR="00974C69" w:rsidRPr="00593A5F" w14:paraId="60817FD0" w14:textId="77777777" w:rsidTr="00D6567B">
        <w:trPr>
          <w:trHeight w:val="300"/>
        </w:trPr>
        <w:tc>
          <w:tcPr>
            <w:tcW w:w="893" w:type="dxa"/>
            <w:vAlign w:val="center"/>
          </w:tcPr>
          <w:p w14:paraId="43599AC3" w14:textId="77777777" w:rsidR="00974C69" w:rsidRPr="003751C7" w:rsidRDefault="00974C69" w:rsidP="00D6567B">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F92FADD" w14:textId="77777777" w:rsidR="00974C69" w:rsidRPr="00FE00BE" w:rsidRDefault="00974C69" w:rsidP="00D6567B">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4AEC9D4" w14:textId="77777777" w:rsidR="00974C69" w:rsidRPr="00FE00BE" w:rsidRDefault="00974C69" w:rsidP="00D6567B">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6311386F" w14:textId="77777777" w:rsidR="00974C69" w:rsidRDefault="00974C69" w:rsidP="00974C69"/>
    <w:p w14:paraId="26AEED6A" w14:textId="06539C55" w:rsidR="00974C69" w:rsidRPr="00543BFE" w:rsidRDefault="00974C69" w:rsidP="00974C69"/>
    <w:p w14:paraId="4941204B" w14:textId="77777777" w:rsidR="0073731A" w:rsidRPr="0073731A" w:rsidRDefault="0073731A" w:rsidP="0073731A"/>
    <w:sectPr w:rsidR="0073731A" w:rsidRPr="0073731A"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61C1" w14:textId="77777777" w:rsidR="00791E36" w:rsidRDefault="00791E36" w:rsidP="004A1847">
      <w:pPr>
        <w:spacing w:after="0" w:line="240" w:lineRule="auto"/>
      </w:pPr>
      <w:r>
        <w:separator/>
      </w:r>
    </w:p>
  </w:endnote>
  <w:endnote w:type="continuationSeparator" w:id="0">
    <w:p w14:paraId="16E86904" w14:textId="77777777" w:rsidR="00791E36" w:rsidRDefault="00791E3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7F238" w14:textId="77777777" w:rsidR="00791E36" w:rsidRDefault="00791E36" w:rsidP="004A1847">
      <w:pPr>
        <w:spacing w:after="0" w:line="240" w:lineRule="auto"/>
      </w:pPr>
      <w:r>
        <w:separator/>
      </w:r>
    </w:p>
  </w:footnote>
  <w:footnote w:type="continuationSeparator" w:id="0">
    <w:p w14:paraId="014AF5D2" w14:textId="77777777" w:rsidR="00791E36" w:rsidRDefault="00791E36" w:rsidP="004A1847">
      <w:pPr>
        <w:spacing w:after="0" w:line="240" w:lineRule="auto"/>
      </w:pPr>
      <w:r>
        <w:continuationSeparator/>
      </w:r>
    </w:p>
  </w:footnote>
  <w:footnote w:id="1">
    <w:p w14:paraId="3E2F4B5C" w14:textId="77777777" w:rsidR="00974C69" w:rsidRPr="004C544B" w:rsidRDefault="00974C69" w:rsidP="00974C69">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Al respecto, el artículo 887 del Código de Comercio dispone lo siguiente: “En los contratos mercantiles de ejecución periódica o sucesiva cada una de las partes podrá hacerse sustituir por un tercero, en la totalidad o en parte de las relaciones derivadas del contrato, sin necesidad de aceptación expresa del contratante cedido, si por la ley o por estipulación de las mismas partes no se ha prohibido o limitado dicha sustitución.</w:t>
      </w:r>
    </w:p>
    <w:p w14:paraId="376AD466" w14:textId="77777777" w:rsidR="00974C69" w:rsidRPr="004C544B" w:rsidRDefault="00974C69" w:rsidP="00974C69">
      <w:pPr>
        <w:pStyle w:val="Textonotapie"/>
        <w:ind w:firstLine="708"/>
        <w:jc w:val="both"/>
        <w:rPr>
          <w:rFonts w:ascii="Verdana" w:hAnsi="Verdana" w:cs="Arial"/>
          <w:sz w:val="16"/>
          <w:szCs w:val="16"/>
        </w:rPr>
      </w:pPr>
      <w:r w:rsidRPr="004C544B">
        <w:rPr>
          <w:rFonts w:ascii="Verdana" w:hAnsi="Verdana" w:cs="Arial"/>
          <w:sz w:val="16"/>
          <w:szCs w:val="16"/>
        </w:rPr>
        <w:t xml:space="preserve">La misma sustitución podrá hacerse en los contratos mercantiles de ejecución instantánea que aún no hayan sido cumplidos en todo o en parte, y en los celebrados </w:t>
      </w:r>
      <w:r w:rsidRPr="004C544B">
        <w:rPr>
          <w:rFonts w:ascii="Verdana" w:hAnsi="Verdana" w:cs="Arial"/>
          <w:i/>
          <w:iCs/>
          <w:sz w:val="16"/>
          <w:szCs w:val="16"/>
        </w:rPr>
        <w:t>intuitu personae</w:t>
      </w:r>
      <w:r w:rsidRPr="004C544B">
        <w:rPr>
          <w:rFonts w:ascii="Verdana" w:hAnsi="Verdana" w:cs="Arial"/>
          <w:sz w:val="16"/>
          <w:szCs w:val="16"/>
        </w:rPr>
        <w:t>, pero en estos casos será necesaria la aceptación del contratante cedido”.</w:t>
      </w:r>
    </w:p>
    <w:p w14:paraId="18632DF1" w14:textId="77777777" w:rsidR="00974C69" w:rsidRPr="004C544B" w:rsidRDefault="00974C69" w:rsidP="00974C69">
      <w:pPr>
        <w:pStyle w:val="Textonotapie"/>
        <w:ind w:firstLine="708"/>
        <w:jc w:val="both"/>
        <w:rPr>
          <w:rFonts w:ascii="Verdana" w:hAnsi="Verdana" w:cs="Arial"/>
          <w:sz w:val="16"/>
          <w:szCs w:val="16"/>
        </w:rPr>
      </w:pPr>
      <w:r w:rsidRPr="004C544B">
        <w:rPr>
          <w:rFonts w:ascii="Verdana" w:hAnsi="Verdana" w:cs="Arial"/>
          <w:sz w:val="16"/>
          <w:szCs w:val="16"/>
        </w:rPr>
        <w:t>En contraste, el artículo 1959 del Código Civil prescribe que “La cesión de un crédito, a cualquier título que se haga, no tendrá efecto entre el cedente y el cesionario sino en virtud de la entrega del título. Pero si el crédito que se cede no consta en documento, la cesión puede hacerse otorgándose uno por el cedente al cesionario, y en este caso la notificación de que trata el artículo 1961 debe hacerse con exhibición de dicho documento”.</w:t>
      </w:r>
    </w:p>
  </w:footnote>
  <w:footnote w:id="2">
    <w:p w14:paraId="2FE624B5" w14:textId="77777777" w:rsidR="00974C69" w:rsidRPr="004C544B" w:rsidRDefault="00974C69" w:rsidP="00974C69">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ANDREOLI, Marcello. La cesión del contrato. Santiago: Ediciones Olejnik, 2019. p. 12. Énfasis dentro del texto. En este contexto, “La cesión del contrato sirve para hacer posible la </w:t>
      </w:r>
      <w:r w:rsidRPr="004C544B">
        <w:rPr>
          <w:rFonts w:ascii="Verdana" w:hAnsi="Verdana" w:cs="Arial"/>
          <w:i/>
          <w:iCs/>
          <w:sz w:val="16"/>
          <w:szCs w:val="16"/>
        </w:rPr>
        <w:t>circulación del contrato en su integridad</w:t>
      </w:r>
      <w:r w:rsidRPr="004C544B">
        <w:rPr>
          <w:rFonts w:ascii="Verdana" w:hAnsi="Verdana" w:cs="Arial"/>
          <w:sz w:val="16"/>
          <w:szCs w:val="16"/>
        </w:rPr>
        <w:t xml:space="preserve">, es decir, para hacer </w:t>
      </w:r>
      <w:r w:rsidRPr="004C544B">
        <w:rPr>
          <w:rFonts w:ascii="Verdana" w:hAnsi="Verdana" w:cs="Arial"/>
          <w:i/>
          <w:iCs/>
          <w:sz w:val="16"/>
          <w:szCs w:val="16"/>
        </w:rPr>
        <w:t>subintrar</w:t>
      </w:r>
      <w:r w:rsidRPr="004C544B">
        <w:rPr>
          <w:rFonts w:ascii="Verdana" w:hAnsi="Verdana" w:cs="Arial"/>
          <w:sz w:val="16"/>
          <w:szCs w:val="16"/>
        </w:rPr>
        <w:t xml:space="preserve"> un extraño en la categoría de </w:t>
      </w:r>
      <w:r w:rsidRPr="004C544B">
        <w:rPr>
          <w:rFonts w:ascii="Verdana" w:hAnsi="Verdana" w:cs="Arial"/>
          <w:i/>
          <w:iCs/>
          <w:sz w:val="16"/>
          <w:szCs w:val="16"/>
        </w:rPr>
        <w:t>parte</w:t>
      </w:r>
      <w:r w:rsidRPr="004C544B">
        <w:rPr>
          <w:rFonts w:ascii="Verdana" w:hAnsi="Verdana" w:cs="Arial"/>
          <w:sz w:val="16"/>
          <w:szCs w:val="16"/>
        </w:rPr>
        <w:t xml:space="preserve"> contractual, </w:t>
      </w:r>
      <w:r w:rsidRPr="004C544B">
        <w:rPr>
          <w:rFonts w:ascii="Verdana" w:hAnsi="Verdana" w:cs="Arial"/>
          <w:i/>
          <w:iCs/>
          <w:sz w:val="16"/>
          <w:szCs w:val="16"/>
        </w:rPr>
        <w:t>en lugar</w:t>
      </w:r>
      <w:r w:rsidRPr="004C544B">
        <w:rPr>
          <w:rFonts w:ascii="Verdana" w:hAnsi="Verdana" w:cs="Arial"/>
          <w:sz w:val="16"/>
          <w:szCs w:val="16"/>
        </w:rPr>
        <w:t xml:space="preserve"> de uno de los contratantes originarios” (MESSINEO, Francesco. Doctrina general del contrato. Santiago: Olejnik, 2018. p. 633. Énfasis dentro del texto).</w:t>
      </w:r>
    </w:p>
  </w:footnote>
  <w:footnote w:id="3">
    <w:p w14:paraId="2B1B0966" w14:textId="77777777" w:rsidR="00974C69" w:rsidRPr="004C544B" w:rsidRDefault="00974C69" w:rsidP="00974C69">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ROPPO, Vincenzo. El contrato. Lima: Gaceta Jurídica, 2009. p. 547.</w:t>
      </w:r>
    </w:p>
  </w:footnote>
  <w:footnote w:id="4">
    <w:p w14:paraId="47445922" w14:textId="77777777" w:rsidR="00974C69" w:rsidRPr="004C544B" w:rsidRDefault="00974C69" w:rsidP="00974C69">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i/>
          <w:iCs/>
          <w:sz w:val="16"/>
          <w:szCs w:val="16"/>
        </w:rPr>
        <w:t>Ibidem</w:t>
      </w:r>
      <w:r w:rsidRPr="004C544B">
        <w:rPr>
          <w:rFonts w:ascii="Verdana" w:hAnsi="Verdana" w:cs="Arial"/>
          <w:sz w:val="16"/>
          <w:szCs w:val="16"/>
        </w:rPr>
        <w:t>.</w:t>
      </w:r>
    </w:p>
  </w:footnote>
  <w:footnote w:id="5">
    <w:p w14:paraId="241C4758" w14:textId="77777777" w:rsidR="00974C69" w:rsidRPr="004C544B" w:rsidRDefault="00974C69" w:rsidP="00974C69">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   </w:t>
      </w:r>
    </w:p>
  </w:footnote>
  <w:footnote w:id="6">
    <w:p w14:paraId="6BE9B436" w14:textId="77777777" w:rsidR="00974C69" w:rsidRPr="004C544B" w:rsidRDefault="00974C69" w:rsidP="00974C69">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890. El que cede un contrato se obliga a responder de la existencia y validez del mismo y de sus garantías, pero, salvo estipulación expresa en contrario, no responderá de su cumplimiento por parte del otro contratante y de los garantes”.</w:t>
      </w:r>
    </w:p>
  </w:footnote>
  <w:footnote w:id="7">
    <w:p w14:paraId="7FB37320" w14:textId="77777777" w:rsidR="00974C69" w:rsidRPr="004C544B" w:rsidRDefault="00974C69" w:rsidP="00974C69">
      <w:pPr>
        <w:pStyle w:val="Textonotapie"/>
        <w:ind w:firstLine="709"/>
        <w:jc w:val="both"/>
        <w:rPr>
          <w:rFonts w:ascii="Verdana" w:hAnsi="Verdana" w:cs="Arial"/>
          <w:sz w:val="16"/>
          <w:szCs w:val="16"/>
          <w:lang w:val="es-CO"/>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891: Cuando el cedente se obliga a responder del cumplimiento del contrato por parte del contratante cedido, el cesionario deberá darle aviso dentro de los diez días siguientes a la mora o al incumplimiento, so pena de ser exonerado el cedente de la obligación de la garantía contraída con el cesionario”.</w:t>
      </w:r>
    </w:p>
  </w:footnote>
  <w:footnote w:id="8">
    <w:p w14:paraId="2254880A" w14:textId="77777777" w:rsidR="00974C69" w:rsidRPr="004C544B" w:rsidRDefault="00974C69" w:rsidP="00974C69">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895. La cesión de un contrato implica la de las acciones, privilegios y beneficios legales inherentes a la naturaleza y condiciones del contrato; pero no transfiere los que se funden en causas ajenas al mismo, o en la calidad o estado de la persona de los contratantes”.</w:t>
      </w:r>
    </w:p>
    <w:p w14:paraId="1FF3B363" w14:textId="77777777" w:rsidR="00974C69" w:rsidRPr="004C544B" w:rsidRDefault="00974C69" w:rsidP="00974C69">
      <w:pPr>
        <w:pStyle w:val="Textonotapie"/>
        <w:ind w:firstLine="709"/>
        <w:jc w:val="both"/>
        <w:rPr>
          <w:rFonts w:ascii="Verdana" w:hAnsi="Verdana" w:cs="Arial"/>
          <w:sz w:val="16"/>
          <w:szCs w:val="16"/>
        </w:rPr>
      </w:pPr>
      <w:r w:rsidRPr="004C544B">
        <w:rPr>
          <w:rFonts w:ascii="Verdana" w:hAnsi="Verdana" w:cs="Arial"/>
          <w:sz w:val="16"/>
          <w:szCs w:val="16"/>
        </w:rPr>
        <w:t>“Artículo 896. El contratante cedido podrá oponer al cesionario todas las excepciones que se deriven del contrato. Podrá también oponer aquellas que se funden sobre otras relaciones con el cedente, respecto de las cuales haya hecho expresa reserva al momento de notificársele o aceptar la cesión”.</w:t>
      </w:r>
    </w:p>
  </w:footnote>
  <w:footnote w:id="9">
    <w:p w14:paraId="6335A8F1" w14:textId="77777777" w:rsidR="00974C69" w:rsidRPr="004C544B" w:rsidRDefault="00974C69" w:rsidP="00974C69">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1C9F0670" w14:textId="77777777" w:rsidR="00974C69" w:rsidRPr="004C544B" w:rsidRDefault="00974C69" w:rsidP="00974C69">
      <w:pPr>
        <w:pStyle w:val="Textonotapie"/>
        <w:ind w:firstLine="708"/>
        <w:jc w:val="both"/>
        <w:rPr>
          <w:rFonts w:ascii="Verdana" w:hAnsi="Verdana" w:cs="Arial"/>
          <w:sz w:val="16"/>
          <w:szCs w:val="16"/>
        </w:rPr>
      </w:pPr>
      <w:r w:rsidRPr="004C544B">
        <w:rPr>
          <w:rFonts w:ascii="Verdana" w:hAnsi="Verdana" w:cs="Arial"/>
          <w:sz w:val="16"/>
          <w:szCs w:val="16"/>
        </w:rPr>
        <w:t>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trasferencia del contrato o la subcontratación” (ESCOLA, Jorge. Tratado integral de los contratos administrativos. Volumen I. Buenos Aires: Depalma, 2012. p. 424).</w:t>
      </w:r>
    </w:p>
  </w:footnote>
  <w:footnote w:id="10">
    <w:p w14:paraId="1BC6A4D9" w14:textId="77777777" w:rsidR="00974C69" w:rsidRPr="004C544B" w:rsidRDefault="00974C69" w:rsidP="00974C69">
      <w:pPr>
        <w:pStyle w:val="Textonotapie"/>
        <w:ind w:firstLine="708"/>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MARIENHOFF, Miguel S. Tratado de derecho administrativo. Tomo IIIA. Cuarta Edición. Buenos Aires: Abeledo Perrot, 1998. p. 318. Énfasis dentro del texto.</w:t>
      </w:r>
    </w:p>
  </w:footnote>
  <w:footnote w:id="11">
    <w:p w14:paraId="2EAEC81D" w14:textId="77777777" w:rsidR="00974C69" w:rsidRPr="004C544B" w:rsidRDefault="00974C69" w:rsidP="00974C69">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RAMÍREZ GRISALES, Richard. La cesión. Serie: Las cláusulas del contrato estatal. Medellín: Centro de Estudios de Derecho Administrativo –CEDA– y Librería Jurídica Sánchez R., 2014. pp. 71-72.</w:t>
      </w:r>
    </w:p>
  </w:footnote>
  <w:footnote w:id="12">
    <w:p w14:paraId="023FCB9E" w14:textId="77777777" w:rsidR="00974C69" w:rsidRPr="004C544B" w:rsidRDefault="00974C69" w:rsidP="00974C69">
      <w:pPr>
        <w:pStyle w:val="Textonotapie"/>
        <w:ind w:firstLine="709"/>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sz w:val="16"/>
          <w:szCs w:val="16"/>
          <w:lang w:val="es-ES"/>
        </w:rPr>
        <w:t>CONSEJO DE ESTADO</w:t>
      </w:r>
      <w:r>
        <w:rPr>
          <w:rFonts w:ascii="Verdana" w:hAnsi="Verdana" w:cs="Arial"/>
          <w:sz w:val="16"/>
          <w:szCs w:val="16"/>
          <w:lang w:val="es-ES"/>
        </w:rPr>
        <w:t>.</w:t>
      </w:r>
      <w:r w:rsidRPr="004C544B">
        <w:rPr>
          <w:rFonts w:ascii="Verdana" w:hAnsi="Verdana" w:cs="Arial"/>
          <w:sz w:val="16"/>
          <w:szCs w:val="16"/>
          <w:lang w:val="es-ES"/>
        </w:rPr>
        <w:t xml:space="preserve"> Sección Tercera</w:t>
      </w:r>
      <w:r>
        <w:rPr>
          <w:rFonts w:ascii="Verdana" w:hAnsi="Verdana" w:cs="Arial"/>
          <w:sz w:val="16"/>
          <w:szCs w:val="16"/>
          <w:lang w:val="es-ES"/>
        </w:rPr>
        <w:t>.</w:t>
      </w:r>
      <w:r w:rsidRPr="004C544B">
        <w:rPr>
          <w:rFonts w:ascii="Verdana" w:hAnsi="Verdana" w:cs="Arial"/>
          <w:sz w:val="16"/>
          <w:szCs w:val="16"/>
          <w:lang w:val="es-ES"/>
        </w:rPr>
        <w:t xml:space="preserve"> Sentencia del 16 de marzo de 2015</w:t>
      </w:r>
      <w:r>
        <w:rPr>
          <w:rFonts w:ascii="Verdana" w:hAnsi="Verdana" w:cs="Arial"/>
          <w:sz w:val="16"/>
          <w:szCs w:val="16"/>
          <w:lang w:val="es-ES"/>
        </w:rPr>
        <w:t>.</w:t>
      </w:r>
      <w:r w:rsidRPr="004C544B">
        <w:rPr>
          <w:rFonts w:ascii="Verdana" w:hAnsi="Verdana" w:cs="Arial"/>
          <w:sz w:val="16"/>
          <w:szCs w:val="16"/>
          <w:lang w:val="es-ES"/>
        </w:rPr>
        <w:t xml:space="preserve"> Rad. 1999-03028, M.P. Jaime Orlando Santofimio Gamboa.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21B3"/>
    <w:rsid w:val="00061B2A"/>
    <w:rsid w:val="00082362"/>
    <w:rsid w:val="000A683E"/>
    <w:rsid w:val="000B19B9"/>
    <w:rsid w:val="000D0334"/>
    <w:rsid w:val="000D5DA7"/>
    <w:rsid w:val="000E0328"/>
    <w:rsid w:val="000F6486"/>
    <w:rsid w:val="00116940"/>
    <w:rsid w:val="00125105"/>
    <w:rsid w:val="00127233"/>
    <w:rsid w:val="0015699B"/>
    <w:rsid w:val="001A33BF"/>
    <w:rsid w:val="001E4177"/>
    <w:rsid w:val="001E682E"/>
    <w:rsid w:val="001F0B24"/>
    <w:rsid w:val="001F7DC6"/>
    <w:rsid w:val="0022400B"/>
    <w:rsid w:val="002421BB"/>
    <w:rsid w:val="0025796E"/>
    <w:rsid w:val="002707A2"/>
    <w:rsid w:val="00274D8C"/>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85AE8"/>
    <w:rsid w:val="003A779E"/>
    <w:rsid w:val="003D0F4D"/>
    <w:rsid w:val="003D5B0D"/>
    <w:rsid w:val="003E0499"/>
    <w:rsid w:val="003E4F80"/>
    <w:rsid w:val="003E6439"/>
    <w:rsid w:val="003F3941"/>
    <w:rsid w:val="00406575"/>
    <w:rsid w:val="00414C74"/>
    <w:rsid w:val="0042722E"/>
    <w:rsid w:val="0044528D"/>
    <w:rsid w:val="00466E39"/>
    <w:rsid w:val="004734E4"/>
    <w:rsid w:val="004A1847"/>
    <w:rsid w:val="004A305D"/>
    <w:rsid w:val="004F21C4"/>
    <w:rsid w:val="004F685F"/>
    <w:rsid w:val="005566E8"/>
    <w:rsid w:val="00574867"/>
    <w:rsid w:val="00591460"/>
    <w:rsid w:val="005A65E0"/>
    <w:rsid w:val="005B1550"/>
    <w:rsid w:val="005C3777"/>
    <w:rsid w:val="005C5CDC"/>
    <w:rsid w:val="005D1D65"/>
    <w:rsid w:val="005D476C"/>
    <w:rsid w:val="006200BF"/>
    <w:rsid w:val="006219F8"/>
    <w:rsid w:val="006302F7"/>
    <w:rsid w:val="00646B9F"/>
    <w:rsid w:val="00665D70"/>
    <w:rsid w:val="006900D9"/>
    <w:rsid w:val="00706418"/>
    <w:rsid w:val="00706C16"/>
    <w:rsid w:val="007340C3"/>
    <w:rsid w:val="0073731A"/>
    <w:rsid w:val="0075235A"/>
    <w:rsid w:val="00756841"/>
    <w:rsid w:val="007649AB"/>
    <w:rsid w:val="00771D0C"/>
    <w:rsid w:val="0077584D"/>
    <w:rsid w:val="007833AC"/>
    <w:rsid w:val="00791E36"/>
    <w:rsid w:val="007B268C"/>
    <w:rsid w:val="007B7171"/>
    <w:rsid w:val="007C0C0F"/>
    <w:rsid w:val="007C3DC2"/>
    <w:rsid w:val="007E5497"/>
    <w:rsid w:val="00806F5F"/>
    <w:rsid w:val="00820278"/>
    <w:rsid w:val="008258C9"/>
    <w:rsid w:val="00844AE9"/>
    <w:rsid w:val="0085745C"/>
    <w:rsid w:val="00867F95"/>
    <w:rsid w:val="008843B6"/>
    <w:rsid w:val="00891928"/>
    <w:rsid w:val="008A446D"/>
    <w:rsid w:val="008B25F1"/>
    <w:rsid w:val="008D180B"/>
    <w:rsid w:val="008F0EA7"/>
    <w:rsid w:val="00923EEF"/>
    <w:rsid w:val="009419F9"/>
    <w:rsid w:val="0095685E"/>
    <w:rsid w:val="00961B09"/>
    <w:rsid w:val="00965334"/>
    <w:rsid w:val="0097093E"/>
    <w:rsid w:val="0097129B"/>
    <w:rsid w:val="00974C69"/>
    <w:rsid w:val="009A0DFA"/>
    <w:rsid w:val="009A1C6F"/>
    <w:rsid w:val="009B0E84"/>
    <w:rsid w:val="009B2D26"/>
    <w:rsid w:val="009B3A1B"/>
    <w:rsid w:val="009C71FA"/>
    <w:rsid w:val="009C72E7"/>
    <w:rsid w:val="009C7F7E"/>
    <w:rsid w:val="009D3058"/>
    <w:rsid w:val="009F3A13"/>
    <w:rsid w:val="00A04C70"/>
    <w:rsid w:val="00A122D3"/>
    <w:rsid w:val="00A14468"/>
    <w:rsid w:val="00A17F13"/>
    <w:rsid w:val="00A20739"/>
    <w:rsid w:val="00A23AF9"/>
    <w:rsid w:val="00A33C78"/>
    <w:rsid w:val="00A421F2"/>
    <w:rsid w:val="00AB0ADB"/>
    <w:rsid w:val="00B00C0E"/>
    <w:rsid w:val="00B01B1A"/>
    <w:rsid w:val="00B0381D"/>
    <w:rsid w:val="00B30E5E"/>
    <w:rsid w:val="00B44A47"/>
    <w:rsid w:val="00B72CD3"/>
    <w:rsid w:val="00B72FFF"/>
    <w:rsid w:val="00BC13B0"/>
    <w:rsid w:val="00BC3D36"/>
    <w:rsid w:val="00BD54A6"/>
    <w:rsid w:val="00BD7F72"/>
    <w:rsid w:val="00BF7425"/>
    <w:rsid w:val="00C02127"/>
    <w:rsid w:val="00C04FB3"/>
    <w:rsid w:val="00C11D8B"/>
    <w:rsid w:val="00C15139"/>
    <w:rsid w:val="00C330EB"/>
    <w:rsid w:val="00C50D69"/>
    <w:rsid w:val="00C5365C"/>
    <w:rsid w:val="00C754BE"/>
    <w:rsid w:val="00C76B1C"/>
    <w:rsid w:val="00C925AC"/>
    <w:rsid w:val="00CB5DE9"/>
    <w:rsid w:val="00CB6357"/>
    <w:rsid w:val="00CC1B26"/>
    <w:rsid w:val="00CC3910"/>
    <w:rsid w:val="00D361FD"/>
    <w:rsid w:val="00D423A2"/>
    <w:rsid w:val="00D44E26"/>
    <w:rsid w:val="00D520D8"/>
    <w:rsid w:val="00D63AC2"/>
    <w:rsid w:val="00D6567B"/>
    <w:rsid w:val="00D7383B"/>
    <w:rsid w:val="00D7788A"/>
    <w:rsid w:val="00DA231B"/>
    <w:rsid w:val="00DC39FC"/>
    <w:rsid w:val="00DF5254"/>
    <w:rsid w:val="00E02524"/>
    <w:rsid w:val="00E16408"/>
    <w:rsid w:val="00E20894"/>
    <w:rsid w:val="00E236D2"/>
    <w:rsid w:val="00E245AB"/>
    <w:rsid w:val="00E2764C"/>
    <w:rsid w:val="00E27F2E"/>
    <w:rsid w:val="00E50AFE"/>
    <w:rsid w:val="00E747D9"/>
    <w:rsid w:val="00E75C92"/>
    <w:rsid w:val="00E771DC"/>
    <w:rsid w:val="00E8772A"/>
    <w:rsid w:val="00E90F6B"/>
    <w:rsid w:val="00E92C27"/>
    <w:rsid w:val="00EA0E3D"/>
    <w:rsid w:val="00EC2ECD"/>
    <w:rsid w:val="00EC38A7"/>
    <w:rsid w:val="00EE1AA8"/>
    <w:rsid w:val="00F16561"/>
    <w:rsid w:val="00F223C4"/>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5DF5D7A-B370-7049-93EC-976FF588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74C6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974C69"/>
    <w:rPr>
      <w:rFonts w:ascii="Geomanist Light" w:hAnsi="Geomanist Light"/>
      <w:lang w:val="es-ES"/>
    </w:rPr>
  </w:style>
  <w:style w:type="character" w:customStyle="1" w:styleId="s15">
    <w:name w:val="s15"/>
    <w:basedOn w:val="Fuentedeprrafopredeter"/>
    <w:rsid w:val="00974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rdosgoitia@hot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8FE2D43B-5F35-4695-9E52-50A14E23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4719</Words>
  <Characters>25958</Characters>
  <Application>Microsoft Office Word</Application>
  <DocSecurity>0</DocSecurity>
  <Lines>216</Lines>
  <Paragraphs>61</Paragraphs>
  <ScaleCrop>false</ScaleCrop>
  <Company/>
  <LinksUpToDate>false</LinksUpToDate>
  <CharactersWithSpaces>30616</CharactersWithSpaces>
  <SharedDoc>false</SharedDoc>
  <HLinks>
    <vt:vector size="48"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1835124</vt:i4>
      </vt:variant>
      <vt:variant>
        <vt:i4>0</vt:i4>
      </vt:variant>
      <vt:variant>
        <vt:i4>0</vt:i4>
      </vt:variant>
      <vt:variant>
        <vt:i4>5</vt:i4>
      </vt:variant>
      <vt:variant>
        <vt:lpwstr>mailto:c.ordosgoitia@hotmail.com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2026-07-15T01:57:00Z</dcterms:created>
  <dcterms:modified xsi:type="dcterms:W3CDTF">2026-07-16T01:38:00Z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