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40DA" w14:textId="544BF4FA" w:rsidR="00D55F7B" w:rsidRDefault="00D55F7B" w:rsidP="00D55F7B">
      <w:pPr>
        <w:jc w:val="both"/>
        <w:rPr>
          <w:rFonts w:ascii="Verdana" w:hAnsi="Verdana"/>
          <w:b/>
          <w:bCs/>
        </w:rPr>
      </w:pPr>
      <w:bookmarkStart w:id="0" w:name="_Hlk202875225"/>
      <w:bookmarkStart w:id="1" w:name="_Hlk203032812"/>
      <w:bookmarkStart w:id="2" w:name="_Hlk204367265"/>
      <w:bookmarkStart w:id="3" w:name="_Hlk143780582"/>
      <w:r w:rsidRPr="004F56A2">
        <w:rPr>
          <w:rFonts w:ascii="Verdana" w:hAnsi="Verdana"/>
          <w:b/>
          <w:bCs/>
        </w:rPr>
        <w:t>MIPYME</w:t>
      </w:r>
      <w:r w:rsidR="004D541C">
        <w:rPr>
          <w:rFonts w:ascii="Verdana" w:hAnsi="Verdana"/>
          <w:b/>
          <w:bCs/>
        </w:rPr>
        <w:t xml:space="preserve"> </w:t>
      </w:r>
      <w:r w:rsidRPr="004F56A2">
        <w:rPr>
          <w:rFonts w:ascii="Verdana" w:hAnsi="Verdana"/>
          <w:b/>
          <w:bCs/>
        </w:rPr>
        <w:t xml:space="preserve">– Convocatoria limitada – Acreditación – Persona natural – Registro Mercantil </w:t>
      </w:r>
    </w:p>
    <w:p w14:paraId="5177B8F8" w14:textId="77777777" w:rsidR="00D55F7B" w:rsidRDefault="00D55F7B" w:rsidP="00947181">
      <w:pPr>
        <w:spacing w:after="0" w:line="240" w:lineRule="auto"/>
        <w:jc w:val="both"/>
        <w:rPr>
          <w:rFonts w:ascii="Verdana" w:eastAsia="Calibri" w:hAnsi="Verdana" w:cs="Arial"/>
          <w:sz w:val="20"/>
          <w:szCs w:val="20"/>
          <w:lang w:val="es-ES" w:eastAsia="es-ES"/>
        </w:rPr>
      </w:pPr>
      <w:r w:rsidRPr="004F56A2">
        <w:rPr>
          <w:rFonts w:ascii="Verdana" w:eastAsia="Calibri" w:hAnsi="Verdana" w:cs="Arial"/>
          <w:sz w:val="20"/>
          <w:szCs w:val="20"/>
          <w:lang w:val="es-ES" w:eastAsia="es-ES"/>
        </w:rPr>
        <w:t xml:space="preserve">Bajo estas consideraciones, y de conformidad con el marco normativo expuesto, se tiene que, tratándose de personas naturales, la condición de </w:t>
      </w:r>
      <w:proofErr w:type="spellStart"/>
      <w:r w:rsidRPr="004F56A2">
        <w:rPr>
          <w:rFonts w:ascii="Verdana" w:eastAsia="Calibri" w:hAnsi="Verdana" w:cs="Arial"/>
          <w:sz w:val="20"/>
          <w:szCs w:val="20"/>
          <w:lang w:val="es-ES" w:eastAsia="es-ES"/>
        </w:rPr>
        <w:t>Mipyme</w:t>
      </w:r>
      <w:proofErr w:type="spellEnd"/>
      <w:r w:rsidRPr="004F56A2">
        <w:rPr>
          <w:rFonts w:ascii="Verdana" w:eastAsia="Calibri" w:hAnsi="Verdana" w:cs="Arial"/>
          <w:sz w:val="20"/>
          <w:szCs w:val="20"/>
          <w:lang w:val="es-ES" w:eastAsia="es-ES"/>
        </w:rPr>
        <w:t xml:space="preserve"> debe acreditarse mediante el registro mercantil o, alternativamente, a través del RUP, en los términos previstos en el artículo 2.2.1.2.4.2.4 del Decreto 1082 de 2015, lo cual resulta aplicable con independencia de que la persona natural tenga la calidad de comerciante o ejerza una profesión liberal, toda vez que la disposición reglamentaria no establece diferenciación alguna entre estos sujetos.</w:t>
      </w:r>
    </w:p>
    <w:p w14:paraId="16292361" w14:textId="77777777" w:rsidR="00947181" w:rsidRDefault="00947181" w:rsidP="00947181">
      <w:pPr>
        <w:spacing w:after="0" w:line="240" w:lineRule="auto"/>
        <w:jc w:val="both"/>
        <w:rPr>
          <w:rFonts w:ascii="Verdana" w:eastAsia="Calibri" w:hAnsi="Verdana" w:cs="Arial"/>
          <w:sz w:val="20"/>
          <w:szCs w:val="20"/>
          <w:lang w:val="es-ES" w:eastAsia="es-ES"/>
        </w:rPr>
      </w:pPr>
    </w:p>
    <w:p w14:paraId="78FFF0C2" w14:textId="77777777" w:rsidR="00D55F7B" w:rsidRPr="004F56A2" w:rsidRDefault="00D55F7B" w:rsidP="00947181">
      <w:pPr>
        <w:spacing w:after="0" w:line="240" w:lineRule="auto"/>
        <w:jc w:val="both"/>
        <w:rPr>
          <w:rFonts w:ascii="Verdana" w:eastAsia="Calibri" w:hAnsi="Verdana" w:cs="Arial"/>
          <w:sz w:val="20"/>
          <w:szCs w:val="20"/>
          <w:lang w:val="es-ES" w:eastAsia="es-ES"/>
        </w:rPr>
      </w:pPr>
      <w:r w:rsidRPr="004F56A2">
        <w:rPr>
          <w:rFonts w:ascii="Verdana" w:eastAsia="Calibri" w:hAnsi="Verdana" w:cs="Arial"/>
          <w:sz w:val="20"/>
          <w:szCs w:val="20"/>
          <w:lang w:val="es-ES" w:eastAsia="es-ES"/>
        </w:rPr>
        <w:t xml:space="preserve">Es importante precisar que el artículo 2.2.1.2.4.2.4 del Decreto 1082 de 2015 no se limita a exigir la condición de </w:t>
      </w:r>
      <w:proofErr w:type="spellStart"/>
      <w:r w:rsidRPr="004F56A2">
        <w:rPr>
          <w:rFonts w:ascii="Verdana" w:eastAsia="Calibri" w:hAnsi="Verdana" w:cs="Arial"/>
          <w:sz w:val="20"/>
          <w:szCs w:val="20"/>
          <w:lang w:val="es-ES" w:eastAsia="es-ES"/>
        </w:rPr>
        <w:t>Mipyme</w:t>
      </w:r>
      <w:proofErr w:type="spellEnd"/>
      <w:r w:rsidRPr="004F56A2">
        <w:rPr>
          <w:rFonts w:ascii="Verdana" w:eastAsia="Calibri" w:hAnsi="Verdana" w:cs="Arial"/>
          <w:sz w:val="20"/>
          <w:szCs w:val="20"/>
          <w:lang w:val="es-ES" w:eastAsia="es-ES"/>
        </w:rPr>
        <w:t xml:space="preserve"> conforme a la Ley 590 de 2000 y al Decreto 957 de 2019, sino que también regula de manera expresa los medios a través de los cuales dicha condición debe acreditarse dentro del procedimiento de selección, contemplando unos medios probatorios específico para las personas naturales. En ese contexto, a juicio de esta Agencia, la circunstancia de que determinadas personas naturales, como aquellas que ejercen profesiones liberales, no se encuentren legalmente obligadas a inscribirse en el registro mercantil, no tiene la virtualidad de modificar el régimen de acreditación previsto por el reglamento, máxime cuando dicha norma previó una alternativa de acreditación consistente en la presentación del RUP.</w:t>
      </w:r>
    </w:p>
    <w:p w14:paraId="63154E43" w14:textId="77777777" w:rsidR="00947181" w:rsidRDefault="00947181" w:rsidP="00947181">
      <w:pPr>
        <w:spacing w:after="0" w:line="240" w:lineRule="auto"/>
        <w:jc w:val="both"/>
        <w:rPr>
          <w:rFonts w:ascii="Verdana" w:hAnsi="Verdana"/>
          <w:b/>
          <w:bCs/>
        </w:rPr>
      </w:pPr>
    </w:p>
    <w:p w14:paraId="0DC44D8C" w14:textId="3FCD43C1" w:rsidR="00D55F7B" w:rsidRDefault="00D55F7B" w:rsidP="00D55F7B">
      <w:pPr>
        <w:jc w:val="both"/>
        <w:rPr>
          <w:rFonts w:ascii="Verdana" w:hAnsi="Verdana"/>
          <w:b/>
          <w:bCs/>
        </w:rPr>
      </w:pPr>
      <w:r>
        <w:rPr>
          <w:rFonts w:ascii="Verdana" w:hAnsi="Verdana"/>
          <w:b/>
          <w:bCs/>
        </w:rPr>
        <w:t>ESAL</w:t>
      </w:r>
      <w:r w:rsidR="004D541C">
        <w:rPr>
          <w:rFonts w:ascii="Verdana" w:hAnsi="Verdana"/>
          <w:b/>
          <w:bCs/>
        </w:rPr>
        <w:t xml:space="preserve"> </w:t>
      </w:r>
      <w:r>
        <w:rPr>
          <w:rFonts w:ascii="Verdana" w:hAnsi="Verdana"/>
          <w:b/>
          <w:bCs/>
        </w:rPr>
        <w:t>–</w:t>
      </w:r>
      <w:r>
        <w:rPr>
          <w:rFonts w:ascii="Verdana" w:hAnsi="Verdana"/>
          <w:b/>
          <w:bCs/>
          <w:spacing w:val="37"/>
        </w:rPr>
        <w:t xml:space="preserve"> </w:t>
      </w:r>
      <w:proofErr w:type="spellStart"/>
      <w:r>
        <w:rPr>
          <w:rFonts w:ascii="Verdana" w:hAnsi="Verdana"/>
          <w:b/>
          <w:bCs/>
        </w:rPr>
        <w:t>Mipymes</w:t>
      </w:r>
      <w:proofErr w:type="spellEnd"/>
      <w:r>
        <w:rPr>
          <w:rFonts w:ascii="Verdana" w:hAnsi="Verdana"/>
          <w:b/>
          <w:bCs/>
          <w:spacing w:val="37"/>
        </w:rPr>
        <w:t xml:space="preserve"> </w:t>
      </w:r>
      <w:r>
        <w:rPr>
          <w:rFonts w:ascii="Verdana" w:hAnsi="Verdana"/>
          <w:b/>
          <w:bCs/>
        </w:rPr>
        <w:t>–</w:t>
      </w:r>
      <w:r>
        <w:rPr>
          <w:rFonts w:ascii="Verdana" w:hAnsi="Verdana"/>
          <w:b/>
          <w:bCs/>
          <w:spacing w:val="37"/>
        </w:rPr>
        <w:t xml:space="preserve"> </w:t>
      </w:r>
      <w:r>
        <w:rPr>
          <w:rFonts w:ascii="Verdana" w:hAnsi="Verdana"/>
          <w:b/>
          <w:bCs/>
        </w:rPr>
        <w:t>Distinción</w:t>
      </w:r>
    </w:p>
    <w:p w14:paraId="3EDFAC22" w14:textId="77777777" w:rsidR="00D55F7B" w:rsidRDefault="00D55F7B" w:rsidP="00D55F7B">
      <w:pPr>
        <w:spacing w:before="120" w:after="0" w:line="240" w:lineRule="auto"/>
        <w:jc w:val="both"/>
        <w:rPr>
          <w:rFonts w:ascii="Verdana" w:eastAsia="Calibri" w:hAnsi="Verdana" w:cs="Arial"/>
          <w:sz w:val="20"/>
          <w:szCs w:val="20"/>
          <w:lang w:val="es-ES" w:eastAsia="es-ES"/>
        </w:rPr>
      </w:pPr>
      <w:r>
        <w:rPr>
          <w:rFonts w:ascii="Verdana" w:eastAsia="Calibri" w:hAnsi="Verdana" w:cs="Arial"/>
          <w:sz w:val="20"/>
          <w:szCs w:val="20"/>
          <w:lang w:val="es-ES" w:eastAsia="es-ES"/>
        </w:rPr>
        <w:t>De conformidad con lo anterior, una “asociación o corporación” constituidas en los términos del Código Civil, no puede asimilarse o identificarse con una “sociedad comercial”, como uniformemente lo considera la doctrina y la jurisprudencia civil y comercial. Lo anterior, en la medida en que las sociedades comerciales se crean con la finalidad de que sus socios repartan las utilidades obtenidas en desarrollo de la empresa o actividad social. Por el contrario, las corporaciones, fundaciones o asociaciones destinan su patrimonio a la consecución de un interés general y no perciben lucro, pues los excedentes monetarios que se presenten deben ser reinvertidos en la ESAL y no es viable repartirlos entre los asociados.</w:t>
      </w:r>
    </w:p>
    <w:p w14:paraId="25DB57A4" w14:textId="77777777" w:rsidR="00D55F7B" w:rsidRDefault="00D55F7B" w:rsidP="00D55F7B">
      <w:pPr>
        <w:spacing w:before="120" w:after="0" w:line="240" w:lineRule="auto"/>
        <w:jc w:val="both"/>
        <w:rPr>
          <w:rFonts w:ascii="Verdana" w:eastAsia="Calibri" w:hAnsi="Verdana" w:cs="Arial"/>
          <w:sz w:val="20"/>
          <w:szCs w:val="20"/>
          <w:lang w:val="es-ES" w:eastAsia="es-ES"/>
        </w:rPr>
      </w:pPr>
    </w:p>
    <w:p w14:paraId="6ABDE666" w14:textId="77777777" w:rsidR="00D55F7B" w:rsidRDefault="00D55F7B" w:rsidP="00D55F7B">
      <w:pPr>
        <w:jc w:val="both"/>
        <w:rPr>
          <w:rFonts w:ascii="Verdana" w:hAnsi="Verdana"/>
          <w:b/>
          <w:bCs/>
        </w:rPr>
      </w:pPr>
      <w:r>
        <w:rPr>
          <w:rFonts w:ascii="Verdana" w:hAnsi="Verdana"/>
          <w:b/>
          <w:bCs/>
        </w:rPr>
        <w:t>ENTIDADES</w:t>
      </w:r>
      <w:r>
        <w:rPr>
          <w:rFonts w:ascii="Verdana" w:hAnsi="Verdana"/>
          <w:b/>
          <w:bCs/>
          <w:spacing w:val="14"/>
        </w:rPr>
        <w:t xml:space="preserve"> </w:t>
      </w:r>
      <w:r>
        <w:rPr>
          <w:rFonts w:ascii="Verdana" w:hAnsi="Verdana"/>
          <w:b/>
          <w:bCs/>
        </w:rPr>
        <w:t>DE ECONOMÍA SOLIDARIA</w:t>
      </w:r>
      <w:r>
        <w:rPr>
          <w:rFonts w:ascii="Verdana" w:hAnsi="Verdana"/>
          <w:b/>
          <w:bCs/>
        </w:rPr>
        <w:tab/>
        <w:t xml:space="preserve">–Asimilación a </w:t>
      </w:r>
      <w:proofErr w:type="spellStart"/>
      <w:r>
        <w:rPr>
          <w:rFonts w:ascii="Verdana" w:hAnsi="Verdana"/>
          <w:b/>
          <w:bCs/>
        </w:rPr>
        <w:t>Mipymes</w:t>
      </w:r>
      <w:proofErr w:type="spellEnd"/>
      <w:r>
        <w:rPr>
          <w:rFonts w:ascii="Verdana" w:hAnsi="Verdana"/>
          <w:b/>
          <w:bCs/>
        </w:rPr>
        <w:t xml:space="preserve"> – Cooperativas</w:t>
      </w:r>
      <w:r>
        <w:rPr>
          <w:rFonts w:ascii="Verdana" w:hAnsi="Verdana"/>
          <w:b/>
          <w:bCs/>
          <w:spacing w:val="-10"/>
        </w:rPr>
        <w:t xml:space="preserve"> </w:t>
      </w:r>
      <w:r>
        <w:rPr>
          <w:rFonts w:ascii="Verdana" w:hAnsi="Verdana"/>
          <w:b/>
          <w:bCs/>
        </w:rPr>
        <w:t>–</w:t>
      </w:r>
      <w:r>
        <w:rPr>
          <w:rFonts w:ascii="Verdana" w:hAnsi="Verdana"/>
          <w:b/>
          <w:bCs/>
          <w:spacing w:val="-11"/>
        </w:rPr>
        <w:t xml:space="preserve"> </w:t>
      </w:r>
      <w:r>
        <w:rPr>
          <w:rFonts w:ascii="Verdana" w:hAnsi="Verdana"/>
          <w:b/>
          <w:bCs/>
        </w:rPr>
        <w:t>Asociaciones</w:t>
      </w:r>
      <w:r>
        <w:rPr>
          <w:rFonts w:ascii="Verdana" w:hAnsi="Verdana"/>
          <w:b/>
          <w:bCs/>
          <w:spacing w:val="-8"/>
        </w:rPr>
        <w:t xml:space="preserve"> </w:t>
      </w:r>
      <w:r>
        <w:rPr>
          <w:rFonts w:ascii="Verdana" w:hAnsi="Verdana"/>
          <w:b/>
          <w:bCs/>
        </w:rPr>
        <w:t>mutualistas</w:t>
      </w:r>
      <w:r>
        <w:rPr>
          <w:rFonts w:ascii="Verdana" w:hAnsi="Verdana"/>
          <w:b/>
          <w:bCs/>
          <w:spacing w:val="-10"/>
        </w:rPr>
        <w:t xml:space="preserve"> </w:t>
      </w:r>
      <w:r>
        <w:rPr>
          <w:rFonts w:ascii="Verdana" w:hAnsi="Verdana"/>
          <w:b/>
          <w:bCs/>
        </w:rPr>
        <w:t>–</w:t>
      </w:r>
      <w:r>
        <w:rPr>
          <w:rFonts w:ascii="Verdana" w:hAnsi="Verdana"/>
          <w:b/>
          <w:bCs/>
          <w:spacing w:val="-11"/>
        </w:rPr>
        <w:t xml:space="preserve"> </w:t>
      </w:r>
      <w:r>
        <w:rPr>
          <w:rFonts w:ascii="Verdana" w:hAnsi="Verdana"/>
          <w:b/>
          <w:bCs/>
        </w:rPr>
        <w:t>Demás</w:t>
      </w:r>
      <w:r>
        <w:rPr>
          <w:rFonts w:ascii="Verdana" w:hAnsi="Verdana"/>
          <w:b/>
          <w:bCs/>
          <w:spacing w:val="-11"/>
        </w:rPr>
        <w:t xml:space="preserve"> </w:t>
      </w:r>
      <w:r>
        <w:rPr>
          <w:rFonts w:ascii="Verdana" w:hAnsi="Verdana"/>
          <w:b/>
          <w:bCs/>
        </w:rPr>
        <w:t>entidades</w:t>
      </w:r>
      <w:r>
        <w:rPr>
          <w:rFonts w:ascii="Verdana" w:hAnsi="Verdana"/>
          <w:b/>
          <w:bCs/>
          <w:spacing w:val="-9"/>
        </w:rPr>
        <w:t xml:space="preserve"> </w:t>
      </w:r>
      <w:r>
        <w:rPr>
          <w:rFonts w:ascii="Verdana" w:hAnsi="Verdana"/>
          <w:b/>
          <w:bCs/>
        </w:rPr>
        <w:t>de</w:t>
      </w:r>
      <w:r>
        <w:rPr>
          <w:rFonts w:ascii="Verdana" w:hAnsi="Verdana"/>
          <w:b/>
          <w:bCs/>
          <w:spacing w:val="-58"/>
        </w:rPr>
        <w:t xml:space="preserve"> </w:t>
      </w:r>
      <w:r>
        <w:rPr>
          <w:rFonts w:ascii="Verdana" w:hAnsi="Verdana"/>
          <w:b/>
          <w:bCs/>
        </w:rPr>
        <w:t xml:space="preserve">economía solidaria </w:t>
      </w:r>
    </w:p>
    <w:p w14:paraId="123CBD43" w14:textId="77777777" w:rsidR="00D55F7B" w:rsidRDefault="00D55F7B" w:rsidP="00D55F7B">
      <w:pPr>
        <w:spacing w:after="120" w:line="240" w:lineRule="auto"/>
        <w:jc w:val="both"/>
        <w:rPr>
          <w:rFonts w:ascii="Verdana" w:eastAsia="Calibri" w:hAnsi="Verdana" w:cs="Arial"/>
          <w:color w:val="000000" w:themeColor="text1"/>
          <w:sz w:val="20"/>
          <w:szCs w:val="20"/>
          <w:lang w:val="es-ES"/>
        </w:rPr>
      </w:pPr>
      <w:r>
        <w:rPr>
          <w:rFonts w:ascii="Verdana" w:hAnsi="Verdana" w:cs="Arial"/>
          <w:sz w:val="20"/>
          <w:szCs w:val="20"/>
          <w:lang w:val="es-ES"/>
        </w:rPr>
        <w:t xml:space="preserve">Aunque no es posible que las ESAL sean equiparadas a las </w:t>
      </w:r>
      <w:proofErr w:type="spellStart"/>
      <w:r>
        <w:rPr>
          <w:rFonts w:ascii="Verdana" w:hAnsi="Verdana" w:cs="Arial"/>
          <w:sz w:val="20"/>
          <w:szCs w:val="20"/>
          <w:lang w:val="es-ES"/>
        </w:rPr>
        <w:t>Mipyme</w:t>
      </w:r>
      <w:proofErr w:type="spellEnd"/>
      <w:r>
        <w:rPr>
          <w:rFonts w:ascii="Verdana" w:hAnsi="Verdana" w:cs="Arial"/>
          <w:sz w:val="20"/>
          <w:szCs w:val="20"/>
          <w:lang w:val="es-ES"/>
        </w:rPr>
        <w:t xml:space="preserve"> en la normativa del sistema de compras públicas, es necesario aclarar que la Ley determinó un matiz para esta regla. </w:t>
      </w:r>
      <w:r>
        <w:rPr>
          <w:rFonts w:ascii="Verdana" w:eastAsia="Calibri" w:hAnsi="Verdana" w:cs="Arial"/>
          <w:color w:val="000000" w:themeColor="text1"/>
          <w:sz w:val="20"/>
          <w:szCs w:val="20"/>
          <w:lang w:val="es-ES"/>
        </w:rPr>
        <w:t>El artículo 23 de la Ley 2069 de 2020 asimila las cooperativas y las demás entidades de economía solidaria -que incluye a las asociaciones mutualistas</w:t>
      </w:r>
      <w:r>
        <w:rPr>
          <w:rFonts w:ascii="Verdana" w:eastAsia="Calibri" w:hAnsi="Verdana" w:cs="Arial"/>
          <w:i/>
          <w:iCs/>
          <w:color w:val="000000" w:themeColor="text1"/>
          <w:sz w:val="20"/>
          <w:szCs w:val="20"/>
          <w:lang w:val="es-ES"/>
        </w:rPr>
        <w:t>-</w:t>
      </w:r>
      <w:r>
        <w:rPr>
          <w:rFonts w:ascii="Verdana" w:eastAsia="Calibri" w:hAnsi="Verdana" w:cs="Arial"/>
          <w:color w:val="000000" w:themeColor="text1"/>
          <w:sz w:val="20"/>
          <w:szCs w:val="20"/>
          <w:lang w:val="es-ES"/>
        </w:rPr>
        <w:t xml:space="preserve"> a </w:t>
      </w:r>
      <w:r>
        <w:rPr>
          <w:rFonts w:ascii="Verdana" w:eastAsia="Calibri" w:hAnsi="Verdana" w:cs="Arial"/>
          <w:i/>
          <w:iCs/>
          <w:color w:val="000000" w:themeColor="text1"/>
          <w:sz w:val="20"/>
          <w:szCs w:val="20"/>
          <w:lang w:val="es-ES"/>
        </w:rPr>
        <w:t xml:space="preserve">empresas, específicamente a </w:t>
      </w:r>
      <w:proofErr w:type="spellStart"/>
      <w:r>
        <w:rPr>
          <w:rFonts w:ascii="Verdana" w:eastAsia="Calibri" w:hAnsi="Verdana" w:cs="Arial"/>
          <w:i/>
          <w:iCs/>
          <w:color w:val="000000" w:themeColor="text1"/>
          <w:sz w:val="20"/>
          <w:szCs w:val="20"/>
          <w:lang w:val="es-ES"/>
        </w:rPr>
        <w:t>Mipymes</w:t>
      </w:r>
      <w:proofErr w:type="spellEnd"/>
      <w:r>
        <w:rPr>
          <w:rFonts w:ascii="Verdana" w:eastAsia="Calibri" w:hAnsi="Verdana" w:cs="Arial"/>
          <w:color w:val="000000" w:themeColor="text1"/>
          <w:sz w:val="20"/>
          <w:szCs w:val="20"/>
          <w:lang w:val="es-ES"/>
        </w:rPr>
        <w:t xml:space="preserve">, de conformidad con el artículo 2 de la Ley 590 de 2000 y el Decreto 957 de 2019, los cuales desarrollan las categorías de micro, pequeña y mediana en función del tamaño empresarial. El principal efecto de esta norma es que las medidas </w:t>
      </w:r>
      <w:r>
        <w:rPr>
          <w:rFonts w:ascii="Verdana" w:eastAsia="Calibri" w:hAnsi="Verdana" w:cs="Arial"/>
          <w:color w:val="000000" w:themeColor="text1"/>
          <w:sz w:val="20"/>
          <w:szCs w:val="20"/>
          <w:lang w:val="es-ES"/>
        </w:rPr>
        <w:lastRenderedPageBreak/>
        <w:t xml:space="preserve">contempladas en la Ley 2069 de 2020 para promover la participación de la </w:t>
      </w:r>
      <w:proofErr w:type="spellStart"/>
      <w:r>
        <w:rPr>
          <w:rFonts w:ascii="Verdana" w:eastAsia="Calibri" w:hAnsi="Verdana" w:cs="Arial"/>
          <w:color w:val="000000" w:themeColor="text1"/>
          <w:sz w:val="20"/>
          <w:szCs w:val="20"/>
          <w:lang w:val="es-ES"/>
        </w:rPr>
        <w:t>Mipymes</w:t>
      </w:r>
      <w:proofErr w:type="spellEnd"/>
      <w:r>
        <w:rPr>
          <w:rFonts w:ascii="Verdana" w:eastAsia="Calibri" w:hAnsi="Verdana" w:cs="Arial"/>
          <w:color w:val="000000" w:themeColor="text1"/>
          <w:sz w:val="20"/>
          <w:szCs w:val="20"/>
          <w:lang w:val="es-ES"/>
        </w:rPr>
        <w:t xml:space="preserve"> sean aplicables a las cooperativas, las asociaciones mutualistas y a las demás entidades de economía solidaria.</w:t>
      </w:r>
    </w:p>
    <w:p w14:paraId="3F355D86" w14:textId="77777777" w:rsidR="00D55F7B" w:rsidRDefault="00D55F7B" w:rsidP="00D55F7B">
      <w:pPr>
        <w:spacing w:after="0" w:line="276" w:lineRule="auto"/>
        <w:rPr>
          <w:rFonts w:ascii="Verdana" w:eastAsia="Geomanist Light" w:hAnsi="Verdana" w:cs="Arial"/>
          <w:color w:val="000000" w:themeColor="text1"/>
          <w:lang w:val="es-MX"/>
        </w:rPr>
      </w:pPr>
    </w:p>
    <w:p w14:paraId="7D51C1A1" w14:textId="2EFDC1D0" w:rsidR="00D55F7B" w:rsidRPr="00492583" w:rsidRDefault="00D55F7B" w:rsidP="00D55F7B">
      <w:pPr>
        <w:spacing w:after="0" w:line="276" w:lineRule="auto"/>
        <w:jc w:val="both"/>
        <w:rPr>
          <w:rFonts w:ascii="Verdana" w:eastAsia="Calibri" w:hAnsi="Verdana" w:cs="Arial"/>
          <w:b/>
          <w:bCs/>
          <w:lang w:eastAsia="es-ES"/>
        </w:rPr>
      </w:pPr>
      <w:r w:rsidRPr="00492583">
        <w:rPr>
          <w:rFonts w:ascii="Verdana" w:eastAsia="Calibri" w:hAnsi="Verdana" w:cs="Arial"/>
          <w:b/>
          <w:bCs/>
          <w:lang w:eastAsia="es-ES"/>
        </w:rPr>
        <w:t xml:space="preserve">CONVOCATORIAS LIMITADAS A MIPYMES </w:t>
      </w:r>
      <w:r w:rsidR="004D541C" w:rsidRPr="004D541C">
        <w:rPr>
          <w:rFonts w:ascii="Verdana" w:eastAsia="Calibri" w:hAnsi="Verdana" w:cs="Arial"/>
          <w:b/>
          <w:bCs/>
          <w:lang w:val="es-ES" w:eastAsia="es-ES"/>
        </w:rPr>
        <w:t>–</w:t>
      </w:r>
      <w:r w:rsidRPr="00492583">
        <w:rPr>
          <w:rFonts w:ascii="Verdana" w:eastAsia="Calibri" w:hAnsi="Verdana" w:cs="Arial"/>
          <w:b/>
          <w:bCs/>
          <w:lang w:eastAsia="es-ES"/>
        </w:rPr>
        <w:t xml:space="preserve"> MiPymes – Entidades Sin Ánimo de Lucro </w:t>
      </w:r>
    </w:p>
    <w:p w14:paraId="447E4988" w14:textId="77777777" w:rsidR="00D55F7B" w:rsidRDefault="00D55F7B" w:rsidP="00D55F7B">
      <w:pPr>
        <w:spacing w:after="0" w:line="276" w:lineRule="auto"/>
        <w:rPr>
          <w:rFonts w:ascii="Verdana" w:eastAsia="Calibri" w:hAnsi="Verdana" w:cs="Arial"/>
          <w:lang w:eastAsia="es-ES"/>
        </w:rPr>
      </w:pPr>
    </w:p>
    <w:p w14:paraId="3BD7AC9D" w14:textId="77777777" w:rsidR="00D55F7B" w:rsidRPr="00492583" w:rsidRDefault="00D55F7B" w:rsidP="00D55F7B">
      <w:pPr>
        <w:spacing w:after="0" w:line="240" w:lineRule="auto"/>
        <w:jc w:val="both"/>
        <w:rPr>
          <w:rFonts w:ascii="Verdana" w:hAnsi="Verdana" w:cs="Arial"/>
          <w:sz w:val="20"/>
          <w:szCs w:val="20"/>
          <w:lang w:val="es-ES"/>
        </w:rPr>
      </w:pPr>
      <w:r>
        <w:rPr>
          <w:rFonts w:ascii="Verdana" w:hAnsi="Verdana" w:cs="Arial"/>
          <w:sz w:val="20"/>
          <w:szCs w:val="20"/>
          <w:lang w:val="es-ES"/>
        </w:rPr>
        <w:t>E</w:t>
      </w:r>
      <w:r w:rsidRPr="00492583">
        <w:rPr>
          <w:rFonts w:ascii="Verdana" w:hAnsi="Verdana" w:cs="Arial"/>
          <w:sz w:val="20"/>
          <w:szCs w:val="20"/>
          <w:lang w:val="es-ES"/>
        </w:rPr>
        <w:t xml:space="preserve">sta Agencia ha sostenido de forma reiterada la tesis consistente en que las ESAL no pueden, por regla general, acceder a los beneficios a favor de las </w:t>
      </w:r>
      <w:proofErr w:type="spellStart"/>
      <w:r w:rsidRPr="00492583">
        <w:rPr>
          <w:rFonts w:ascii="Verdana" w:hAnsi="Verdana" w:cs="Arial"/>
          <w:sz w:val="20"/>
          <w:szCs w:val="20"/>
          <w:lang w:val="es-ES"/>
        </w:rPr>
        <w:t>Mipymes</w:t>
      </w:r>
      <w:proofErr w:type="spellEnd"/>
      <w:r w:rsidRPr="00492583">
        <w:rPr>
          <w:rFonts w:ascii="Verdana" w:hAnsi="Verdana" w:cs="Arial"/>
          <w:sz w:val="20"/>
          <w:szCs w:val="20"/>
          <w:lang w:val="es-ES"/>
        </w:rPr>
        <w:t xml:space="preserve"> ni participar en los procesos contractuales limitados a estas. Este argumento, considerando que: </w:t>
      </w:r>
      <w:r w:rsidRPr="00492583">
        <w:rPr>
          <w:rFonts w:ascii="Verdana" w:hAnsi="Verdana" w:cs="Arial"/>
          <w:sz w:val="20"/>
          <w:szCs w:val="20"/>
          <w:lang w:val="es-ES_tradnl"/>
        </w:rPr>
        <w:t>“</w:t>
      </w:r>
      <w:r w:rsidRPr="00492583">
        <w:rPr>
          <w:rFonts w:ascii="Verdana" w:hAnsi="Verdana" w:cs="Arial"/>
          <w:sz w:val="20"/>
          <w:szCs w:val="20"/>
        </w:rPr>
        <w:t xml:space="preserve">en virtud del artículo 43 de la Ley 1450 de 2011, que modificó el artículo 2 de la Ley 590 de 2000, […] puede decirse que solo podrán ser </w:t>
      </w:r>
      <w:proofErr w:type="spellStart"/>
      <w:r w:rsidRPr="00492583">
        <w:rPr>
          <w:rFonts w:ascii="Verdana" w:hAnsi="Verdana" w:cs="Arial"/>
          <w:sz w:val="20"/>
          <w:szCs w:val="20"/>
        </w:rPr>
        <w:t>Mipymes</w:t>
      </w:r>
      <w:proofErr w:type="spellEnd"/>
      <w:r w:rsidRPr="00492583">
        <w:rPr>
          <w:rFonts w:ascii="Verdana" w:hAnsi="Verdana" w:cs="Arial"/>
          <w:sz w:val="20"/>
          <w:szCs w:val="20"/>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Pr="00492583">
        <w:rPr>
          <w:rFonts w:ascii="Verdana" w:hAnsi="Verdana" w:cs="Arial"/>
          <w:sz w:val="20"/>
          <w:szCs w:val="20"/>
        </w:rPr>
        <w:t>mipymes</w:t>
      </w:r>
      <w:proofErr w:type="spellEnd"/>
      <w:r w:rsidRPr="00492583">
        <w:rPr>
          <w:rFonts w:ascii="Verdana" w:hAnsi="Verdana" w:cs="Arial"/>
          <w:sz w:val="20"/>
          <w:szCs w:val="20"/>
        </w:rPr>
        <w:t xml:space="preserve">. Lo anterior teniendo en cuenta que </w:t>
      </w:r>
      <w:r w:rsidRPr="00492583">
        <w:rPr>
          <w:rFonts w:ascii="Verdana" w:hAnsi="Verdana" w:cs="Arial"/>
          <w:i/>
          <w:iCs/>
          <w:sz w:val="20"/>
          <w:szCs w:val="20"/>
        </w:rPr>
        <w:t xml:space="preserve">no responden al concepto de empresa que involucra dicha categoría con ánimo de lucro, por lo que no resulta jurídicamente válido aplicar a las ESAL las normas dirigidas a las </w:t>
      </w:r>
      <w:proofErr w:type="spellStart"/>
      <w:r w:rsidRPr="00492583">
        <w:rPr>
          <w:rFonts w:ascii="Verdana" w:hAnsi="Verdana" w:cs="Arial"/>
          <w:i/>
          <w:iCs/>
          <w:sz w:val="20"/>
          <w:szCs w:val="20"/>
        </w:rPr>
        <w:t>Mipymes</w:t>
      </w:r>
      <w:proofErr w:type="spellEnd"/>
      <w:r w:rsidRPr="00492583">
        <w:rPr>
          <w:rFonts w:ascii="Verdana" w:hAnsi="Verdana" w:cs="Arial"/>
          <w:sz w:val="20"/>
          <w:szCs w:val="20"/>
        </w:rPr>
        <w:t xml:space="preserve">”. </w:t>
      </w:r>
    </w:p>
    <w:p w14:paraId="5C05E471" w14:textId="77777777" w:rsidR="00D55F7B" w:rsidRPr="00492583" w:rsidRDefault="00D55F7B" w:rsidP="00D55F7B">
      <w:pPr>
        <w:spacing w:after="0" w:line="240" w:lineRule="auto"/>
        <w:ind w:left="709" w:right="709"/>
        <w:jc w:val="both"/>
        <w:rPr>
          <w:rFonts w:ascii="Verdana" w:hAnsi="Verdana" w:cs="Arial"/>
          <w:sz w:val="20"/>
          <w:szCs w:val="20"/>
        </w:rPr>
      </w:pPr>
    </w:p>
    <w:p w14:paraId="6919A1FC" w14:textId="77777777" w:rsidR="00D55F7B" w:rsidRPr="00492583" w:rsidRDefault="00D55F7B" w:rsidP="00D55F7B">
      <w:pPr>
        <w:spacing w:after="0" w:line="240" w:lineRule="auto"/>
        <w:jc w:val="both"/>
        <w:rPr>
          <w:rFonts w:ascii="Verdana" w:hAnsi="Verdana" w:cs="Arial"/>
          <w:sz w:val="20"/>
          <w:szCs w:val="20"/>
          <w:lang w:val="es-ES"/>
        </w:rPr>
      </w:pPr>
      <w:r w:rsidRPr="00492583">
        <w:rPr>
          <w:rFonts w:ascii="Verdana" w:hAnsi="Verdana" w:cs="Arial"/>
          <w:sz w:val="20"/>
          <w:szCs w:val="20"/>
          <w:lang w:val="es-ES"/>
        </w:rPr>
        <w:t xml:space="preserve">Según esta postura, y en virtud de lo señalado en el artículo 43 de la Ley 1450 de 2011, que modificó el artículo 2 de la Ley 590 de 2000, solo podrán ser consideradas </w:t>
      </w:r>
      <w:proofErr w:type="spellStart"/>
      <w:r w:rsidRPr="00492583">
        <w:rPr>
          <w:rFonts w:ascii="Verdana" w:hAnsi="Verdana" w:cs="Arial"/>
          <w:sz w:val="20"/>
          <w:szCs w:val="20"/>
          <w:lang w:val="es-ES"/>
        </w:rPr>
        <w:t>Mipymes</w:t>
      </w:r>
      <w:proofErr w:type="spellEnd"/>
      <w:r w:rsidRPr="00492583">
        <w:rPr>
          <w:rFonts w:ascii="Verdana" w:hAnsi="Verdana" w:cs="Arial"/>
          <w:sz w:val="20"/>
          <w:szCs w:val="20"/>
          <w:lang w:val="es-ES"/>
        </w:rPr>
        <w:t xml:space="preserve"> las empresas, pues son unidades de explotación económica que buscan el reparto de utilidades entre los miembros de la empresa, sin perjuicio de las precisiones que se realizarán más adelante en relación con el artículo 23 de la Ley 2069 de 2020. </w:t>
      </w:r>
    </w:p>
    <w:p w14:paraId="17681FB5" w14:textId="77777777" w:rsidR="00D55F7B" w:rsidRDefault="00D55F7B" w:rsidP="00D55F7B">
      <w:pPr>
        <w:spacing w:after="0" w:line="276" w:lineRule="auto"/>
        <w:rPr>
          <w:rFonts w:ascii="Verdana" w:eastAsia="Calibri" w:hAnsi="Verdana" w:cs="Arial"/>
          <w:lang w:eastAsia="es-ES"/>
        </w:rPr>
      </w:pPr>
    </w:p>
    <w:p w14:paraId="10953075" w14:textId="30194002" w:rsidR="00D55F7B" w:rsidRPr="00492583" w:rsidRDefault="00D55F7B" w:rsidP="00D55F7B">
      <w:pPr>
        <w:spacing w:after="0" w:line="276" w:lineRule="auto"/>
        <w:rPr>
          <w:rFonts w:ascii="Verdana" w:eastAsia="Geomanist Light" w:hAnsi="Verdana" w:cs="Arial"/>
          <w:b/>
          <w:bCs/>
          <w:color w:val="000000" w:themeColor="text1"/>
          <w:lang w:val="es-MX"/>
        </w:rPr>
      </w:pPr>
      <w:r w:rsidRPr="00492583">
        <w:rPr>
          <w:rFonts w:ascii="Verdana" w:eastAsia="Calibri" w:hAnsi="Verdana" w:cs="Arial"/>
          <w:b/>
          <w:bCs/>
          <w:lang w:eastAsia="es-ES"/>
        </w:rPr>
        <w:t xml:space="preserve"> ESAL – MiPymes </w:t>
      </w:r>
      <w:r w:rsidR="004D541C" w:rsidRPr="004D541C">
        <w:rPr>
          <w:rFonts w:ascii="Verdana" w:eastAsia="Calibri" w:hAnsi="Verdana" w:cs="Arial"/>
          <w:b/>
          <w:bCs/>
          <w:lang w:val="es-ES" w:eastAsia="es-ES"/>
        </w:rPr>
        <w:t>–</w:t>
      </w:r>
      <w:r w:rsidRPr="00492583">
        <w:rPr>
          <w:rFonts w:ascii="Verdana" w:eastAsia="Calibri" w:hAnsi="Verdana" w:cs="Arial"/>
          <w:b/>
          <w:bCs/>
          <w:lang w:eastAsia="es-ES"/>
        </w:rPr>
        <w:t xml:space="preserve"> Cooperativas</w:t>
      </w:r>
    </w:p>
    <w:p w14:paraId="4670B9D7" w14:textId="77777777" w:rsidR="00D55F7B" w:rsidRDefault="00D55F7B" w:rsidP="00D55F7B">
      <w:pPr>
        <w:spacing w:after="0" w:line="276" w:lineRule="auto"/>
        <w:rPr>
          <w:rFonts w:ascii="Verdana" w:eastAsia="Geomanist Light" w:hAnsi="Verdana" w:cs="Arial"/>
          <w:color w:val="000000" w:themeColor="text1"/>
          <w:lang w:val="es-MX"/>
        </w:rPr>
      </w:pPr>
    </w:p>
    <w:p w14:paraId="6D9655ED" w14:textId="77777777" w:rsidR="00D55F7B" w:rsidRPr="00492583" w:rsidRDefault="00D55F7B" w:rsidP="00D55F7B">
      <w:pPr>
        <w:spacing w:after="0" w:line="240" w:lineRule="auto"/>
        <w:jc w:val="both"/>
        <w:rPr>
          <w:rFonts w:ascii="Verdana" w:eastAsia="Geomanist Light" w:hAnsi="Verdana" w:cs="Arial"/>
          <w:color w:val="000000" w:themeColor="text1"/>
          <w:sz w:val="20"/>
          <w:szCs w:val="20"/>
          <w:lang w:val="es-MX"/>
        </w:rPr>
      </w:pPr>
      <w:r w:rsidRPr="00492583">
        <w:rPr>
          <w:rFonts w:ascii="Verdana" w:eastAsia="Geomanist Light" w:hAnsi="Verdana" w:cs="Arial"/>
          <w:color w:val="000000" w:themeColor="text1"/>
          <w:sz w:val="20"/>
          <w:szCs w:val="20"/>
          <w:lang w:val="es-MX"/>
        </w:rPr>
        <w:t>De esta manera, los incentivos referidos en la Ley 2069 de 2020 y la posibilidad de solicitar la limitación de las convocatorias a MiPymes no son extensibles a todas las ESAL, sino únicamente a aquellas que corresponden al concepto de cooperativas y demás entes considerados de economía solidaria, en los términos del artículo 6 de la Ley 454 de 1998 –norma a la que remite el artículo 23 de la Ley de Emprendimiento–. En tal sentido, debe analizarse si la ESAL cumple con las características establecidas en dicho artículo, para considerarla una organización de economía solidaria. Solo las que cumplan estos requisitos podrán ser asimiladas a las MiPymes y acceder a los requisitos diferenciales de la Ley 2069 de 2020, así como participar en las convocatorias limitadas a estas, y les permite incluso manifestar su interés de participar en el proceso de selección en los términos señalados en el numeral 3 del artículo 2.2.1.2.1.5.2. del Decreto 1082 de 2015.</w:t>
      </w:r>
    </w:p>
    <w:p w14:paraId="3B6B69B9" w14:textId="77777777" w:rsidR="00D55F7B" w:rsidRDefault="00D55F7B" w:rsidP="00D55F7B">
      <w:pPr>
        <w:spacing w:after="0" w:line="276" w:lineRule="auto"/>
        <w:rPr>
          <w:rFonts w:ascii="Verdana" w:eastAsia="Geomanist Light" w:hAnsi="Verdana" w:cs="Arial"/>
          <w:color w:val="000000" w:themeColor="text1"/>
          <w:lang w:val="es-MX"/>
        </w:rPr>
      </w:pPr>
    </w:p>
    <w:p w14:paraId="22C3A52B" w14:textId="77777777" w:rsidR="00D55F7B" w:rsidRDefault="00D55F7B" w:rsidP="00D55F7B">
      <w:pPr>
        <w:spacing w:after="0" w:line="240" w:lineRule="auto"/>
        <w:jc w:val="both"/>
        <w:rPr>
          <w:rFonts w:ascii="Verdana" w:hAnsi="Verdana"/>
        </w:rPr>
      </w:pPr>
    </w:p>
    <w:p w14:paraId="46A4169F" w14:textId="77777777" w:rsidR="00D55F7B" w:rsidRDefault="00D55F7B" w:rsidP="00D55F7B">
      <w:pPr>
        <w:spacing w:after="0" w:line="240" w:lineRule="auto"/>
        <w:rPr>
          <w:rFonts w:ascii="Verdana" w:hAnsi="Verdana"/>
        </w:rPr>
      </w:pPr>
      <w:bookmarkStart w:id="4" w:name="_Hlk197462763"/>
      <w:bookmarkStart w:id="5" w:name="_Hlk197529996"/>
    </w:p>
    <w:p w14:paraId="2004ADDA" w14:textId="4ADBEF4B" w:rsidR="00D55F7B" w:rsidRPr="00241376" w:rsidRDefault="00D55F7B" w:rsidP="00D55F7B">
      <w:pPr>
        <w:spacing w:after="0" w:line="240" w:lineRule="auto"/>
        <w:rPr>
          <w:rFonts w:ascii="Verdana" w:eastAsia="Geomanist Light" w:hAnsi="Verdana" w:cs="Arial"/>
          <w:color w:val="201F1E"/>
          <w:lang w:val="es-MX"/>
        </w:rPr>
      </w:pPr>
      <w:r w:rsidRPr="00713B63">
        <w:rPr>
          <w:rFonts w:ascii="Verdana" w:eastAsia="Geomanist Light" w:hAnsi="Verdana" w:cs="Arial"/>
          <w:color w:val="000000" w:themeColor="text1"/>
        </w:rPr>
        <w:lastRenderedPageBreak/>
        <w:t>Bogotá D.C., </w:t>
      </w:r>
      <w:r w:rsidR="005F00C1">
        <w:rPr>
          <w:rFonts w:ascii="Verdana" w:eastAsia="Geomanist Light" w:hAnsi="Verdana" w:cs="Arial"/>
          <w:color w:val="201F1E"/>
        </w:rPr>
        <w:t>27 de julio de 2026</w:t>
      </w:r>
    </w:p>
    <w:p w14:paraId="6E8E40BC" w14:textId="77777777" w:rsidR="00D55F7B" w:rsidRDefault="00D55F7B" w:rsidP="00D55F7B">
      <w:pPr>
        <w:spacing w:after="0" w:line="240" w:lineRule="auto"/>
        <w:jc w:val="both"/>
        <w:rPr>
          <w:rFonts w:ascii="Verdana" w:eastAsia="Geomanist Light" w:hAnsi="Verdana" w:cs="Arial"/>
          <w:color w:val="201F1E"/>
        </w:rPr>
      </w:pPr>
    </w:p>
    <w:p w14:paraId="62566382" w14:textId="391596FF" w:rsidR="00D55F7B" w:rsidRDefault="00475B3B" w:rsidP="00475B3B">
      <w:pPr>
        <w:spacing w:after="0" w:line="240" w:lineRule="auto"/>
        <w:jc w:val="right"/>
        <w:rPr>
          <w:rFonts w:ascii="Verdana" w:hAnsi="Verdana"/>
        </w:rPr>
      </w:pPr>
      <w:r w:rsidRPr="00475B3B">
        <w:rPr>
          <w:rFonts w:ascii="Verdana" w:hAnsi="Verdana"/>
          <w:noProof/>
        </w:rPr>
        <w:drawing>
          <wp:anchor distT="0" distB="0" distL="114300" distR="114300" simplePos="0" relativeHeight="251658240" behindDoc="0" locked="0" layoutInCell="1" allowOverlap="1" wp14:anchorId="7B93618B" wp14:editId="20285802">
            <wp:simplePos x="0" y="0"/>
            <wp:positionH relativeFrom="column">
              <wp:posOffset>3461385</wp:posOffset>
            </wp:positionH>
            <wp:positionV relativeFrom="paragraph">
              <wp:posOffset>3175</wp:posOffset>
            </wp:positionV>
            <wp:extent cx="2148840" cy="784860"/>
            <wp:effectExtent l="0" t="0" r="3810" b="0"/>
            <wp:wrapSquare wrapText="bothSides"/>
            <wp:docPr id="1463693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8840" cy="784860"/>
                    </a:xfrm>
                    <a:prstGeom prst="rect">
                      <a:avLst/>
                    </a:prstGeom>
                    <a:noFill/>
                    <a:ln>
                      <a:noFill/>
                    </a:ln>
                  </pic:spPr>
                </pic:pic>
              </a:graphicData>
            </a:graphic>
          </wp:anchor>
        </w:drawing>
      </w:r>
    </w:p>
    <w:p w14:paraId="27344BC5" w14:textId="77777777" w:rsidR="00D55F7B" w:rsidRPr="008E4F36" w:rsidRDefault="00D55F7B" w:rsidP="00D55F7B">
      <w:pPr>
        <w:spacing w:after="0" w:line="240" w:lineRule="auto"/>
        <w:jc w:val="both"/>
        <w:rPr>
          <w:rFonts w:ascii="Verdana" w:eastAsia="Calibri" w:hAnsi="Verdana" w:cs="Arial"/>
          <w:lang w:eastAsia="es-ES"/>
        </w:rPr>
      </w:pPr>
      <w:r w:rsidRPr="008E4F36">
        <w:rPr>
          <w:rFonts w:ascii="Verdana" w:eastAsia="Calibri" w:hAnsi="Verdana" w:cs="Arial"/>
          <w:lang w:eastAsia="es-ES"/>
        </w:rPr>
        <w:t>Señor</w:t>
      </w:r>
      <w:r>
        <w:rPr>
          <w:rFonts w:ascii="Verdana" w:eastAsia="Calibri" w:hAnsi="Verdana" w:cs="Arial"/>
          <w:lang w:eastAsia="es-ES"/>
        </w:rPr>
        <w:t xml:space="preserve"> (a) </w:t>
      </w:r>
    </w:p>
    <w:p w14:paraId="1C4B7A5E" w14:textId="77777777" w:rsidR="00D55F7B" w:rsidRDefault="00D55F7B" w:rsidP="00D55F7B">
      <w:pPr>
        <w:spacing w:after="0" w:line="240" w:lineRule="auto"/>
        <w:jc w:val="both"/>
        <w:rPr>
          <w:rFonts w:ascii="Verdana" w:eastAsia="Calibri" w:hAnsi="Verdana" w:cs="Arial"/>
          <w:b/>
          <w:lang w:eastAsia="es-ES_tradnl"/>
        </w:rPr>
      </w:pPr>
      <w:r>
        <w:rPr>
          <w:rFonts w:ascii="Verdana" w:eastAsia="Calibri" w:hAnsi="Verdana" w:cs="Arial"/>
          <w:b/>
          <w:lang w:eastAsia="es-ES_tradnl"/>
        </w:rPr>
        <w:t xml:space="preserve">Anónimo </w:t>
      </w:r>
    </w:p>
    <w:p w14:paraId="16A22BA9" w14:textId="77777777" w:rsidR="00D55F7B" w:rsidRPr="00C115E8" w:rsidRDefault="00D55F7B" w:rsidP="00D55F7B">
      <w:pPr>
        <w:spacing w:after="0" w:line="240" w:lineRule="auto"/>
        <w:jc w:val="both"/>
        <w:rPr>
          <w:rFonts w:ascii="Verdana" w:hAnsi="Verdana"/>
        </w:rPr>
      </w:pPr>
      <w:hyperlink r:id="rId12" w:history="1">
        <w:r w:rsidRPr="00C115E8">
          <w:rPr>
            <w:rStyle w:val="Hipervnculo"/>
            <w:rFonts w:ascii="Verdana" w:hAnsi="Verdana" w:cs="DejaVuSans"/>
          </w:rPr>
          <w:t>carivasb@gmail.com</w:t>
        </w:r>
      </w:hyperlink>
      <w:r w:rsidRPr="00C115E8">
        <w:rPr>
          <w:rFonts w:ascii="Verdana" w:hAnsi="Verdana" w:cs="DejaVuSans"/>
        </w:rPr>
        <w:t xml:space="preserve"> </w:t>
      </w:r>
    </w:p>
    <w:p w14:paraId="6671BF1E" w14:textId="77777777" w:rsidR="00D55F7B" w:rsidRPr="006C05B7" w:rsidRDefault="00D55F7B" w:rsidP="00D55F7B">
      <w:pPr>
        <w:spacing w:after="0" w:line="240" w:lineRule="auto"/>
        <w:jc w:val="both"/>
        <w:rPr>
          <w:rFonts w:ascii="Verdana" w:hAnsi="Verdana"/>
        </w:rPr>
      </w:pPr>
      <w:r w:rsidRPr="006C05B7">
        <w:rPr>
          <w:rFonts w:ascii="Verdana" w:hAnsi="Verdana"/>
        </w:rPr>
        <w:t xml:space="preserve">Bogotá </w:t>
      </w:r>
      <w:r>
        <w:rPr>
          <w:rFonts w:ascii="Verdana" w:hAnsi="Verdana"/>
        </w:rPr>
        <w:t>D.C.</w:t>
      </w:r>
    </w:p>
    <w:p w14:paraId="34BDE21A" w14:textId="77777777" w:rsidR="00D55F7B" w:rsidRDefault="00D55F7B" w:rsidP="00D55F7B">
      <w:pPr>
        <w:spacing w:after="0" w:line="240" w:lineRule="auto"/>
        <w:jc w:val="both"/>
        <w:rPr>
          <w:rFonts w:ascii="Verdana" w:hAnsi="Verdana"/>
          <w:lang w:val="it-CH"/>
        </w:rPr>
      </w:pPr>
    </w:p>
    <w:p w14:paraId="7397D11D" w14:textId="77777777" w:rsidR="00D55F7B" w:rsidRPr="005B4C57" w:rsidRDefault="00D55F7B" w:rsidP="00D55F7B">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D55F7B" w:rsidRPr="002842E0" w14:paraId="5923C8F7" w14:textId="77777777" w:rsidTr="004B5087">
        <w:trPr>
          <w:trHeight w:val="162"/>
        </w:trPr>
        <w:tc>
          <w:tcPr>
            <w:tcW w:w="3119" w:type="dxa"/>
          </w:tcPr>
          <w:p w14:paraId="223E454A" w14:textId="77777777" w:rsidR="00D55F7B" w:rsidRPr="005B4C57" w:rsidRDefault="00D55F7B" w:rsidP="004B5087">
            <w:pPr>
              <w:jc w:val="both"/>
              <w:rPr>
                <w:rFonts w:ascii="Verdana" w:eastAsia="Calibri" w:hAnsi="Verdana" w:cs="Arial"/>
                <w:b/>
                <w:bCs/>
                <w:color w:val="7030A0"/>
                <w:lang w:val="it-CH" w:eastAsia="es-ES_tradnl"/>
              </w:rPr>
            </w:pPr>
          </w:p>
        </w:tc>
        <w:tc>
          <w:tcPr>
            <w:tcW w:w="5670" w:type="dxa"/>
          </w:tcPr>
          <w:p w14:paraId="49F4F62F" w14:textId="537702DB" w:rsidR="00D55F7B" w:rsidRPr="00801462" w:rsidRDefault="00D55F7B" w:rsidP="004B5087">
            <w:pPr>
              <w:jc w:val="both"/>
              <w:rPr>
                <w:rFonts w:ascii="Verdana" w:eastAsia="Calibri" w:hAnsi="Verdana" w:cs="Arial"/>
                <w:b/>
                <w:bCs/>
                <w:lang w:eastAsia="es-ES"/>
              </w:rPr>
            </w:pPr>
            <w:r w:rsidRPr="00801462">
              <w:rPr>
                <w:rFonts w:ascii="Verdana" w:eastAsia="Calibri" w:hAnsi="Verdana" w:cs="Arial"/>
                <w:b/>
                <w:bCs/>
                <w:lang w:eastAsia="es-ES"/>
              </w:rPr>
              <w:t>Concepto C-</w:t>
            </w:r>
            <w:r>
              <w:rPr>
                <w:rFonts w:ascii="Verdana" w:eastAsia="Calibri" w:hAnsi="Verdana" w:cs="Arial"/>
                <w:b/>
                <w:bCs/>
                <w:lang w:eastAsia="es-ES"/>
              </w:rPr>
              <w:t>1055</w:t>
            </w:r>
            <w:r w:rsidRPr="00801462">
              <w:rPr>
                <w:rFonts w:ascii="Verdana" w:eastAsia="Calibri" w:hAnsi="Verdana" w:cs="Arial"/>
                <w:b/>
                <w:bCs/>
                <w:lang w:eastAsia="es-ES"/>
              </w:rPr>
              <w:t xml:space="preserve"> de 202</w:t>
            </w:r>
            <w:r>
              <w:rPr>
                <w:rFonts w:ascii="Verdana" w:eastAsia="Calibri" w:hAnsi="Verdana" w:cs="Arial"/>
                <w:b/>
                <w:bCs/>
                <w:lang w:eastAsia="es-ES"/>
              </w:rPr>
              <w:t>6</w:t>
            </w:r>
          </w:p>
          <w:p w14:paraId="55953BCB" w14:textId="77777777" w:rsidR="00D55F7B" w:rsidRPr="00801462" w:rsidRDefault="00D55F7B" w:rsidP="004B5087">
            <w:pPr>
              <w:jc w:val="both"/>
              <w:rPr>
                <w:rFonts w:ascii="Verdana" w:eastAsia="Calibri" w:hAnsi="Verdana" w:cs="Arial"/>
                <w:b/>
                <w:bCs/>
                <w:color w:val="7030A0"/>
                <w:lang w:eastAsia="es-ES"/>
              </w:rPr>
            </w:pPr>
          </w:p>
        </w:tc>
      </w:tr>
      <w:tr w:rsidR="00D55F7B" w:rsidRPr="002842E0" w14:paraId="3CC7EB87" w14:textId="77777777" w:rsidTr="004B5087">
        <w:trPr>
          <w:trHeight w:val="884"/>
        </w:trPr>
        <w:tc>
          <w:tcPr>
            <w:tcW w:w="3119" w:type="dxa"/>
          </w:tcPr>
          <w:p w14:paraId="4CE18CFD" w14:textId="77777777" w:rsidR="00D55F7B" w:rsidRPr="00801462" w:rsidRDefault="00D55F7B" w:rsidP="004B5087">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03EA96E9" w14:textId="6F866DBE" w:rsidR="00D55F7B" w:rsidRPr="00A10C01" w:rsidRDefault="00D55F7B" w:rsidP="004B5087">
            <w:pPr>
              <w:spacing w:line="276" w:lineRule="auto"/>
              <w:jc w:val="both"/>
              <w:rPr>
                <w:rFonts w:ascii="Verdana" w:eastAsia="Calibri" w:hAnsi="Verdana" w:cs="Arial"/>
                <w:b/>
                <w:lang w:eastAsia="es-ES"/>
              </w:rPr>
            </w:pPr>
            <w:r w:rsidRPr="00D37BCD">
              <w:rPr>
                <w:rFonts w:ascii="Verdana" w:hAnsi="Verdana" w:cs="Arial"/>
                <w:bCs/>
                <w:color w:val="000000"/>
                <w:lang w:val="es-ES" w:eastAsia="es-CO"/>
              </w:rPr>
              <w:t>MIPYME</w:t>
            </w:r>
            <w:r w:rsidR="00947181">
              <w:rPr>
                <w:rFonts w:ascii="Verdana" w:hAnsi="Verdana" w:cs="Arial"/>
                <w:bCs/>
                <w:color w:val="000000"/>
                <w:lang w:val="es-ES" w:eastAsia="es-CO"/>
              </w:rPr>
              <w:t xml:space="preserve"> </w:t>
            </w:r>
            <w:r w:rsidRPr="00D37BCD">
              <w:rPr>
                <w:rFonts w:ascii="Verdana" w:hAnsi="Verdana" w:cs="Arial"/>
                <w:bCs/>
                <w:color w:val="000000"/>
                <w:lang w:eastAsia="es-CO"/>
              </w:rPr>
              <w:t>– Convocatoria limitada – Acreditación – Persona natural – Registro Mercantil</w:t>
            </w:r>
            <w:r w:rsidRPr="00EE341D">
              <w:rPr>
                <w:rFonts w:ascii="Arial" w:eastAsia="Calibri" w:hAnsi="Arial" w:cs="Arial"/>
                <w:bCs/>
                <w:lang w:val="es-ES_tradnl"/>
              </w:rPr>
              <w:t xml:space="preserve"> </w:t>
            </w:r>
            <w:r>
              <w:rPr>
                <w:rFonts w:ascii="Arial" w:eastAsia="Calibri" w:hAnsi="Arial" w:cs="Arial"/>
                <w:bCs/>
                <w:lang w:val="es-ES_tradnl"/>
              </w:rPr>
              <w:t xml:space="preserve">/ </w:t>
            </w:r>
            <w:r w:rsidRPr="00A10C01">
              <w:rPr>
                <w:rFonts w:ascii="Verdana" w:eastAsia="Calibri" w:hAnsi="Verdana" w:cs="Arial"/>
                <w:lang w:eastAsia="es-ES"/>
              </w:rPr>
              <w:t>ESAL– MiPymes – Distinción /   ENTIDADES DE ECONOMÍA SOLIDARIA</w:t>
            </w:r>
            <w:r>
              <w:rPr>
                <w:rFonts w:ascii="Verdana" w:eastAsia="Calibri" w:hAnsi="Verdana" w:cs="Arial"/>
                <w:lang w:eastAsia="es-ES"/>
              </w:rPr>
              <w:t xml:space="preserve"> </w:t>
            </w:r>
            <w:r w:rsidRPr="00A10C01">
              <w:rPr>
                <w:rFonts w:ascii="Verdana" w:eastAsia="Calibri" w:hAnsi="Verdana" w:cs="Arial"/>
                <w:lang w:eastAsia="es-ES"/>
              </w:rPr>
              <w:t>–</w:t>
            </w:r>
            <w:r>
              <w:rPr>
                <w:rFonts w:ascii="Verdana" w:eastAsia="Calibri" w:hAnsi="Verdana" w:cs="Arial"/>
                <w:lang w:eastAsia="es-ES"/>
              </w:rPr>
              <w:t xml:space="preserve"> </w:t>
            </w:r>
            <w:r w:rsidRPr="00A10C01">
              <w:rPr>
                <w:rFonts w:ascii="Verdana" w:eastAsia="Calibri" w:hAnsi="Verdana" w:cs="Arial"/>
                <w:lang w:eastAsia="es-ES"/>
              </w:rPr>
              <w:t>Asimilación a Mi</w:t>
            </w:r>
            <w:r>
              <w:rPr>
                <w:rFonts w:ascii="Verdana" w:eastAsia="Calibri" w:hAnsi="Verdana" w:cs="Arial"/>
                <w:lang w:eastAsia="es-ES"/>
              </w:rPr>
              <w:t>P</w:t>
            </w:r>
            <w:r w:rsidRPr="00A10C01">
              <w:rPr>
                <w:rFonts w:ascii="Verdana" w:eastAsia="Calibri" w:hAnsi="Verdana" w:cs="Arial"/>
                <w:lang w:eastAsia="es-ES"/>
              </w:rPr>
              <w:t xml:space="preserve">ymes – Cooperativas – Asociaciones mutualistas – Demás entidades de economía solidaria </w:t>
            </w:r>
            <w:r>
              <w:rPr>
                <w:rFonts w:ascii="Verdana" w:eastAsia="Calibri" w:hAnsi="Verdana" w:cs="Arial"/>
                <w:lang w:eastAsia="es-ES"/>
              </w:rPr>
              <w:t xml:space="preserve">/ </w:t>
            </w:r>
            <w:r w:rsidRPr="00A10C01">
              <w:rPr>
                <w:rFonts w:ascii="Verdana" w:eastAsia="Calibri" w:hAnsi="Verdana" w:cs="Arial"/>
                <w:lang w:eastAsia="es-ES"/>
              </w:rPr>
              <w:t xml:space="preserve">CONVOCATORIAS LIMITADAS A MIPYMES </w:t>
            </w:r>
            <w:r>
              <w:rPr>
                <w:rFonts w:ascii="Verdana" w:eastAsia="Calibri" w:hAnsi="Verdana" w:cs="Arial"/>
                <w:lang w:eastAsia="es-ES"/>
              </w:rPr>
              <w:t xml:space="preserve">- </w:t>
            </w:r>
            <w:r w:rsidRPr="00A10C01">
              <w:rPr>
                <w:rFonts w:ascii="Verdana" w:eastAsia="Calibri" w:hAnsi="Verdana" w:cs="Arial"/>
                <w:lang w:eastAsia="es-ES"/>
              </w:rPr>
              <w:t>MiPymes – Entidades Sin Ánimo de Lucro /</w:t>
            </w:r>
            <w:r>
              <w:rPr>
                <w:rFonts w:ascii="Verdana" w:eastAsia="Calibri" w:hAnsi="Verdana" w:cs="Arial"/>
                <w:lang w:eastAsia="es-ES"/>
              </w:rPr>
              <w:t xml:space="preserve"> </w:t>
            </w:r>
            <w:r w:rsidRPr="00A10C01">
              <w:rPr>
                <w:rFonts w:ascii="Verdana" w:eastAsia="Calibri" w:hAnsi="Verdana" w:cs="Arial"/>
                <w:lang w:eastAsia="es-ES"/>
              </w:rPr>
              <w:t xml:space="preserve">ESAL – MiPymes - </w:t>
            </w:r>
            <w:r>
              <w:rPr>
                <w:rFonts w:ascii="Verdana" w:eastAsia="Calibri" w:hAnsi="Verdana" w:cs="Arial"/>
                <w:lang w:eastAsia="es-ES"/>
              </w:rPr>
              <w:t xml:space="preserve">Cooperativas </w:t>
            </w:r>
          </w:p>
          <w:p w14:paraId="59AC29AE" w14:textId="77777777" w:rsidR="00D55F7B" w:rsidRPr="00A10C01" w:rsidRDefault="00D55F7B" w:rsidP="004B5087">
            <w:pPr>
              <w:jc w:val="both"/>
              <w:rPr>
                <w:rFonts w:ascii="Verdana" w:eastAsia="Calibri" w:hAnsi="Verdana" w:cs="Arial"/>
                <w:lang w:eastAsia="es-ES"/>
              </w:rPr>
            </w:pPr>
          </w:p>
        </w:tc>
      </w:tr>
      <w:tr w:rsidR="00D55F7B" w:rsidRPr="002842E0" w14:paraId="404002CC" w14:textId="77777777" w:rsidTr="004B5087">
        <w:tc>
          <w:tcPr>
            <w:tcW w:w="3119" w:type="dxa"/>
          </w:tcPr>
          <w:p w14:paraId="5CA3626C" w14:textId="77777777" w:rsidR="00D55F7B" w:rsidRPr="00801462" w:rsidRDefault="00D55F7B" w:rsidP="004B5087">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0303B4E9" w14:textId="77777777" w:rsidR="00D55F7B" w:rsidRPr="00801462" w:rsidRDefault="00D55F7B" w:rsidP="004B5087">
            <w:pPr>
              <w:jc w:val="both"/>
              <w:rPr>
                <w:rFonts w:ascii="Verdana" w:eastAsia="Calibri" w:hAnsi="Verdana" w:cs="Arial"/>
                <w:lang w:eastAsia="es-ES_tradnl"/>
              </w:rPr>
            </w:pPr>
            <w:r w:rsidRPr="00801462">
              <w:rPr>
                <w:rFonts w:ascii="Verdana" w:eastAsia="Calibri" w:hAnsi="Verdana" w:cs="Arial"/>
                <w:lang w:eastAsia="es-ES_tradnl"/>
              </w:rPr>
              <w:t xml:space="preserve">Respuesta a </w:t>
            </w:r>
            <w:r>
              <w:rPr>
                <w:rFonts w:ascii="Verdana" w:eastAsia="Calibri" w:hAnsi="Verdana" w:cs="Arial"/>
                <w:lang w:eastAsia="es-ES_tradnl"/>
              </w:rPr>
              <w:t xml:space="preserve">la </w:t>
            </w:r>
            <w:r w:rsidRPr="00801462">
              <w:rPr>
                <w:rFonts w:ascii="Verdana" w:eastAsia="Calibri" w:hAnsi="Verdana" w:cs="Arial"/>
                <w:lang w:eastAsia="es-ES_tradnl"/>
              </w:rPr>
              <w:t xml:space="preserve">consulta con radicado </w:t>
            </w:r>
            <w:r>
              <w:rPr>
                <w:rFonts w:ascii="Verdana" w:eastAsia="Calibri" w:hAnsi="Verdana" w:cs="Arial"/>
                <w:lang w:eastAsia="es-ES_tradnl"/>
              </w:rPr>
              <w:t xml:space="preserve">No. </w:t>
            </w:r>
            <w:r w:rsidRPr="0021015E">
              <w:rPr>
                <w:rFonts w:ascii="Verdana" w:eastAsia="Calibri" w:hAnsi="Verdana" w:cs="Arial"/>
                <w:lang w:eastAsia="es-ES_tradnl"/>
              </w:rPr>
              <w:t>1_2026_07_02_008825</w:t>
            </w:r>
          </w:p>
        </w:tc>
      </w:tr>
    </w:tbl>
    <w:p w14:paraId="72B80FC5" w14:textId="77777777" w:rsidR="00D55F7B" w:rsidRDefault="00D55F7B" w:rsidP="00D55F7B">
      <w:pPr>
        <w:spacing w:after="0" w:line="276" w:lineRule="auto"/>
        <w:jc w:val="both"/>
        <w:rPr>
          <w:rFonts w:ascii="Verdana" w:eastAsia="Calibri" w:hAnsi="Verdana" w:cs="Arial"/>
          <w:lang w:eastAsia="es-ES_tradnl"/>
        </w:rPr>
      </w:pPr>
    </w:p>
    <w:p w14:paraId="1A41EA3C" w14:textId="77777777" w:rsidR="00D55F7B" w:rsidRPr="008E4F36" w:rsidRDefault="00D55F7B" w:rsidP="00D55F7B">
      <w:pPr>
        <w:spacing w:after="0" w:line="276" w:lineRule="auto"/>
        <w:jc w:val="both"/>
        <w:rPr>
          <w:rFonts w:ascii="Verdana" w:eastAsia="Calibri" w:hAnsi="Verdana" w:cs="Arial"/>
          <w:lang w:eastAsia="es-ES"/>
        </w:rPr>
      </w:pPr>
      <w:r w:rsidRPr="008E4F36">
        <w:rPr>
          <w:rFonts w:ascii="Verdana" w:eastAsia="Calibri" w:hAnsi="Verdana" w:cs="Arial"/>
          <w:lang w:eastAsia="es-ES"/>
        </w:rPr>
        <w:t>Estimad</w:t>
      </w:r>
      <w:r>
        <w:rPr>
          <w:rFonts w:ascii="Verdana" w:eastAsia="Calibri" w:hAnsi="Verdana" w:cs="Arial"/>
          <w:lang w:eastAsia="es-ES"/>
        </w:rPr>
        <w:t xml:space="preserve">o (a) </w:t>
      </w:r>
      <w:r w:rsidRPr="008E4F36">
        <w:rPr>
          <w:rFonts w:ascii="Verdana" w:eastAsia="Calibri" w:hAnsi="Verdana" w:cs="Arial"/>
          <w:lang w:eastAsia="es-ES"/>
        </w:rPr>
        <w:t>señor</w:t>
      </w:r>
      <w:r>
        <w:rPr>
          <w:rFonts w:ascii="Verdana" w:eastAsia="Calibri" w:hAnsi="Verdana" w:cs="Arial"/>
          <w:lang w:eastAsia="es-ES"/>
        </w:rPr>
        <w:t xml:space="preserve"> (a)</w:t>
      </w:r>
      <w:r w:rsidRPr="008E4F36">
        <w:rPr>
          <w:rFonts w:ascii="Verdana" w:eastAsia="Calibri" w:hAnsi="Verdana" w:cs="Arial"/>
          <w:lang w:eastAsia="es-ES"/>
        </w:rPr>
        <w:t xml:space="preserve">: </w:t>
      </w:r>
    </w:p>
    <w:p w14:paraId="6DC3C866" w14:textId="77777777" w:rsidR="00D55F7B" w:rsidRDefault="00D55F7B" w:rsidP="00D55F7B">
      <w:pPr>
        <w:tabs>
          <w:tab w:val="left" w:pos="3768"/>
        </w:tabs>
        <w:spacing w:after="0" w:line="240" w:lineRule="auto"/>
        <w:jc w:val="both"/>
        <w:rPr>
          <w:rFonts w:ascii="Verdana" w:eastAsia="Calibri" w:hAnsi="Verdana" w:cs="Arial"/>
          <w:lang w:eastAsia="es-ES"/>
        </w:rPr>
      </w:pPr>
    </w:p>
    <w:p w14:paraId="0AEBF1A3" w14:textId="77777777" w:rsidR="00D55F7B" w:rsidRPr="008E4F36" w:rsidRDefault="00D55F7B" w:rsidP="00D55F7B">
      <w:pPr>
        <w:tabs>
          <w:tab w:val="left" w:pos="3768"/>
        </w:tabs>
        <w:spacing w:after="0" w:line="276" w:lineRule="auto"/>
        <w:jc w:val="both"/>
        <w:rPr>
          <w:rFonts w:ascii="Verdana" w:eastAsia="Calibri" w:hAnsi="Verdana" w:cs="Arial"/>
          <w:lang w:eastAsia="es-ES"/>
        </w:rPr>
      </w:pPr>
      <w:r w:rsidRPr="008E4F36">
        <w:rPr>
          <w:rFonts w:ascii="Verdana" w:eastAsia="Calibri" w:hAnsi="Verdana" w:cs="Arial"/>
          <w:color w:val="000000" w:themeColor="text1"/>
          <w:lang w:eastAsia="es-ES"/>
        </w:rPr>
        <w:t>En ejercicio de la competencia otorgada por los artículos 3, numeral 5º, y 11, numeral 8º, del Decreto Ley 4170 de 2011,</w:t>
      </w:r>
      <w:r w:rsidRPr="008E4F36">
        <w:rPr>
          <w:rFonts w:ascii="Verdana" w:eastAsia="Arial MT" w:hAnsi="Verdana" w:cs="Arial MT"/>
          <w:lang w:eastAsia="es-ES"/>
        </w:rPr>
        <w:t xml:space="preserve"> </w:t>
      </w:r>
      <w:r w:rsidRPr="008E4F36">
        <w:rPr>
          <w:rFonts w:ascii="Verdana" w:hAnsi="Verdana" w:cs="Arial"/>
        </w:rPr>
        <w:t xml:space="preserve">así como lo establecido en </w:t>
      </w:r>
      <w:r>
        <w:rPr>
          <w:rFonts w:ascii="Verdana" w:hAnsi="Verdana" w:cs="Arial"/>
        </w:rPr>
        <w:t xml:space="preserve">la </w:t>
      </w:r>
      <w:r w:rsidRPr="00713B63">
        <w:rPr>
          <w:rFonts w:ascii="Verdana" w:hAnsi="Verdana" w:cs="Arial"/>
        </w:rPr>
        <w:t>Resolución 469 de 2025 expedida por esta Entidad</w:t>
      </w:r>
      <w:r w:rsidRPr="008E4F36">
        <w:rPr>
          <w:rFonts w:ascii="Verdana" w:hAnsi="Verdana" w:cs="Arial"/>
        </w:rPr>
        <w:t xml:space="preserve">, </w:t>
      </w:r>
      <w:r w:rsidRPr="008E4F36">
        <w:rPr>
          <w:rFonts w:ascii="Verdana" w:eastAsia="Calibri" w:hAnsi="Verdana" w:cs="Arial"/>
          <w:color w:val="000000" w:themeColor="text1"/>
          <w:lang w:eastAsia="es-ES"/>
        </w:rPr>
        <w:t xml:space="preserve">la Agencia Nacional de Contratación </w:t>
      </w:r>
      <w:r w:rsidRPr="008E4F36">
        <w:rPr>
          <w:rFonts w:ascii="Verdana" w:eastAsia="Calibri" w:hAnsi="Verdana" w:cs="Arial"/>
          <w:lang w:eastAsia="es-ES"/>
        </w:rPr>
        <w:t xml:space="preserve">Pública – Colombia Compra Eficiente– responde su solicitud de consulta de fecha </w:t>
      </w:r>
      <w:r>
        <w:rPr>
          <w:rFonts w:ascii="Verdana" w:eastAsia="Calibri" w:hAnsi="Verdana" w:cs="Arial"/>
          <w:lang w:eastAsia="es-ES"/>
        </w:rPr>
        <w:t xml:space="preserve">2 </w:t>
      </w:r>
      <w:r w:rsidRPr="008E4F36">
        <w:rPr>
          <w:rFonts w:ascii="Verdana" w:eastAsia="Calibri" w:hAnsi="Verdana" w:cs="Arial"/>
          <w:lang w:eastAsia="es-ES"/>
        </w:rPr>
        <w:t xml:space="preserve">de </w:t>
      </w:r>
      <w:r>
        <w:rPr>
          <w:rFonts w:ascii="Verdana" w:eastAsia="Calibri" w:hAnsi="Verdana" w:cs="Arial"/>
          <w:lang w:eastAsia="es-ES"/>
        </w:rPr>
        <w:t>julio</w:t>
      </w:r>
      <w:r w:rsidRPr="008E4F36">
        <w:rPr>
          <w:rFonts w:ascii="Verdana" w:eastAsia="Calibri" w:hAnsi="Verdana" w:cs="Arial"/>
          <w:lang w:eastAsia="es-ES"/>
        </w:rPr>
        <w:t xml:space="preserve"> de 202</w:t>
      </w:r>
      <w:r>
        <w:rPr>
          <w:rFonts w:ascii="Verdana" w:eastAsia="Calibri" w:hAnsi="Verdana" w:cs="Arial"/>
          <w:lang w:eastAsia="es-ES"/>
        </w:rPr>
        <w:t>6</w:t>
      </w:r>
      <w:r w:rsidRPr="008E4F36">
        <w:rPr>
          <w:rFonts w:ascii="Verdana" w:eastAsia="Calibri" w:hAnsi="Verdana" w:cs="Arial"/>
          <w:lang w:eastAsia="es-ES"/>
        </w:rPr>
        <w:t xml:space="preserve">, en la cual manifiesta lo siguiente: </w:t>
      </w:r>
    </w:p>
    <w:p w14:paraId="18A1A201" w14:textId="77777777" w:rsidR="00D55F7B" w:rsidRPr="008E4F36" w:rsidRDefault="00D55F7B" w:rsidP="00D55F7B">
      <w:pPr>
        <w:pStyle w:val="Prrafodelista"/>
        <w:tabs>
          <w:tab w:val="left" w:pos="142"/>
          <w:tab w:val="left" w:pos="284"/>
        </w:tabs>
        <w:spacing w:after="0" w:line="276" w:lineRule="auto"/>
        <w:ind w:left="142"/>
        <w:contextualSpacing w:val="0"/>
        <w:jc w:val="both"/>
        <w:rPr>
          <w:rFonts w:ascii="Verdana" w:eastAsia="Century Gothic" w:hAnsi="Verdana" w:cs="Century Gothic"/>
          <w:b/>
          <w:bCs/>
          <w:i/>
          <w:iCs/>
          <w:sz w:val="20"/>
          <w:szCs w:val="20"/>
        </w:rPr>
      </w:pPr>
    </w:p>
    <w:p w14:paraId="0BD0C527" w14:textId="77777777" w:rsidR="00D55F7B" w:rsidRDefault="00D55F7B" w:rsidP="00D55F7B">
      <w:pPr>
        <w:spacing w:after="0" w:line="240" w:lineRule="auto"/>
        <w:ind w:left="709" w:right="709"/>
        <w:jc w:val="both"/>
        <w:rPr>
          <w:rFonts w:ascii="Verdana" w:eastAsia="Century Gothic" w:hAnsi="Verdana" w:cs="Century Gothic"/>
          <w:sz w:val="20"/>
          <w:szCs w:val="20"/>
        </w:rPr>
      </w:pPr>
      <w:bookmarkStart w:id="6" w:name="_Hlk192699624"/>
      <w:bookmarkStart w:id="7" w:name="_Hlk199394899"/>
      <w:r w:rsidRPr="003B78AE">
        <w:rPr>
          <w:rFonts w:ascii="Verdana" w:eastAsia="Century Gothic" w:hAnsi="Verdana" w:cs="Century Gothic"/>
          <w:sz w:val="20"/>
          <w:szCs w:val="20"/>
        </w:rPr>
        <w:t>“</w:t>
      </w:r>
      <w:bookmarkEnd w:id="6"/>
      <w:bookmarkEnd w:id="7"/>
      <w:r>
        <w:rPr>
          <w:rFonts w:ascii="Verdana" w:eastAsia="Century Gothic" w:hAnsi="Verdana" w:cs="Century Gothic"/>
          <w:sz w:val="20"/>
          <w:szCs w:val="20"/>
        </w:rPr>
        <w:t>(…)</w:t>
      </w:r>
      <w:r w:rsidRPr="00983E43">
        <w:rPr>
          <w:rFonts w:ascii="Verdana" w:eastAsia="Century Gothic" w:hAnsi="Verdana" w:cs="Century Gothic"/>
          <w:sz w:val="20"/>
          <w:szCs w:val="20"/>
        </w:rPr>
        <w:t xml:space="preserve"> </w:t>
      </w:r>
    </w:p>
    <w:p w14:paraId="632812E7" w14:textId="77777777" w:rsidR="00D55F7B" w:rsidRDefault="00D55F7B" w:rsidP="00D55F7B">
      <w:pPr>
        <w:spacing w:after="0" w:line="240" w:lineRule="auto"/>
        <w:ind w:left="709" w:right="709"/>
        <w:jc w:val="both"/>
        <w:rPr>
          <w:rFonts w:ascii="Verdana" w:eastAsia="Century Gothic" w:hAnsi="Verdana" w:cs="Century Gothic"/>
          <w:sz w:val="20"/>
          <w:szCs w:val="20"/>
        </w:rPr>
      </w:pPr>
    </w:p>
    <w:p w14:paraId="136A086E"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Con fundamento en las consideraciones expuestas, respetuosamente solicito a la Agencia Nacional de Contratación Pública – Colombia Compra Eficiente:</w:t>
      </w:r>
    </w:p>
    <w:p w14:paraId="65D215A3"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p>
    <w:p w14:paraId="4794F877"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1.</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 xml:space="preserve">Emitir concepto sobre el alcance del artículo 2.2.1.2.4.2.4 del Decreto 1082 de 2015 frente a las personas naturales que ejercen profesiones liberales y no están obligadas a contar con matrícula mercantil. </w:t>
      </w:r>
    </w:p>
    <w:p w14:paraId="390CB670" w14:textId="77777777" w:rsidR="00D55F7B"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lastRenderedPageBreak/>
        <w:t>2.</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Precisar si la referencia al registro mercantil contenida en dicha disposición debe entenderse aplicable únicamente a quienes, conforme al ordenamiento jurídico, se encuentran obligados a obtenerlo, entendiendo que esta disposición podría generar una violación de derechos constitucionales a los demás proponentes descritos.</w:t>
      </w:r>
    </w:p>
    <w:p w14:paraId="37BFABEC"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p>
    <w:p w14:paraId="4F335047" w14:textId="77777777" w:rsidR="00D55F7B"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3.</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 xml:space="preserve">Determinar si las personas naturales que ejercen profesiones liberales pueden acreditar la condición de </w:t>
      </w:r>
      <w:proofErr w:type="spellStart"/>
      <w:r w:rsidRPr="00C06719">
        <w:rPr>
          <w:rFonts w:ascii="Verdana" w:eastAsia="Century Gothic" w:hAnsi="Verdana" w:cs="Century Gothic"/>
          <w:sz w:val="20"/>
          <w:szCs w:val="20"/>
        </w:rPr>
        <w:t>Mipyme</w:t>
      </w:r>
      <w:proofErr w:type="spellEnd"/>
      <w:r w:rsidRPr="00C06719">
        <w:rPr>
          <w:rFonts w:ascii="Verdana" w:eastAsia="Century Gothic" w:hAnsi="Verdana" w:cs="Century Gothic"/>
          <w:sz w:val="20"/>
          <w:szCs w:val="20"/>
        </w:rPr>
        <w:t xml:space="preserve"> mediante documentos equivalentes, tales como el Registro Único Tributario (RUT), certificación expedida por contador público, estados financieros, declaraciones tributarias y el Registro Único de Proponentes, cuando exista. </w:t>
      </w:r>
    </w:p>
    <w:p w14:paraId="7E9BA1EF"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p>
    <w:p w14:paraId="33A04E7A" w14:textId="77777777" w:rsidR="00D55F7B"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4.</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 xml:space="preserve">Evaluar la conveniencia de precisar la doctrina contenida en los Conceptos C-629 de 2024 y C-832 de 2025, y demás concordantes, con el fin de armonizarla con el artículo 23 del Código de Comercio, la Ley 590 de 2000, el Decreto 957 de 2019 y la Ley 2069 de 2020. </w:t>
      </w:r>
    </w:p>
    <w:p w14:paraId="27EF7384"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p>
    <w:p w14:paraId="282F5696" w14:textId="77777777" w:rsidR="00D55F7B"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5.</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 xml:space="preserve">Precisar el alcance de la doctrina contenida en el Concepto C-468 de 2026 y demás concordantes, indicando si la imposibilidad de considerar a las ESAL como </w:t>
      </w:r>
      <w:proofErr w:type="spellStart"/>
      <w:r w:rsidRPr="00C06719">
        <w:rPr>
          <w:rFonts w:ascii="Verdana" w:eastAsia="Century Gothic" w:hAnsi="Verdana" w:cs="Century Gothic"/>
          <w:sz w:val="20"/>
          <w:szCs w:val="20"/>
        </w:rPr>
        <w:t>Mipymes</w:t>
      </w:r>
      <w:proofErr w:type="spellEnd"/>
      <w:r w:rsidRPr="00C06719">
        <w:rPr>
          <w:rFonts w:ascii="Verdana" w:eastAsia="Century Gothic" w:hAnsi="Verdana" w:cs="Century Gothic"/>
          <w:sz w:val="20"/>
          <w:szCs w:val="20"/>
        </w:rPr>
        <w:t xml:space="preserve"> constituye una regla absoluta o si admite las excepciones expresamente previstas por el legislador. </w:t>
      </w:r>
    </w:p>
    <w:p w14:paraId="3B1984D8" w14:textId="77777777" w:rsidR="00D55F7B" w:rsidRPr="00C06719" w:rsidRDefault="00D55F7B" w:rsidP="00D55F7B">
      <w:pPr>
        <w:spacing w:after="0" w:line="240" w:lineRule="auto"/>
        <w:ind w:left="709" w:right="709"/>
        <w:jc w:val="both"/>
        <w:rPr>
          <w:rFonts w:ascii="Verdana" w:eastAsia="Century Gothic" w:hAnsi="Verdana" w:cs="Century Gothic"/>
          <w:sz w:val="20"/>
          <w:szCs w:val="20"/>
        </w:rPr>
      </w:pPr>
    </w:p>
    <w:p w14:paraId="5D0A2FD4" w14:textId="77777777" w:rsidR="00D55F7B" w:rsidRDefault="00D55F7B" w:rsidP="00D55F7B">
      <w:pPr>
        <w:spacing w:after="0" w:line="240" w:lineRule="auto"/>
        <w:ind w:left="709" w:right="709"/>
        <w:jc w:val="both"/>
        <w:rPr>
          <w:rFonts w:ascii="Verdana" w:eastAsia="Century Gothic" w:hAnsi="Verdana" w:cs="Century Gothic"/>
          <w:sz w:val="20"/>
          <w:szCs w:val="20"/>
        </w:rPr>
      </w:pPr>
      <w:r w:rsidRPr="00C06719">
        <w:rPr>
          <w:rFonts w:ascii="Verdana" w:eastAsia="Century Gothic" w:hAnsi="Verdana" w:cs="Century Gothic"/>
          <w:sz w:val="20"/>
          <w:szCs w:val="20"/>
        </w:rPr>
        <w:t>6.</w:t>
      </w:r>
      <w:r>
        <w:rPr>
          <w:rFonts w:ascii="Verdana" w:eastAsia="Century Gothic" w:hAnsi="Verdana" w:cs="Century Gothic"/>
          <w:sz w:val="20"/>
          <w:szCs w:val="20"/>
        </w:rPr>
        <w:t xml:space="preserve"> </w:t>
      </w:r>
      <w:r w:rsidRPr="00C06719">
        <w:rPr>
          <w:rFonts w:ascii="Verdana" w:eastAsia="Century Gothic" w:hAnsi="Verdana" w:cs="Century Gothic"/>
          <w:sz w:val="20"/>
          <w:szCs w:val="20"/>
        </w:rPr>
        <w:t xml:space="preserve">Evaluar la expedición de un concepto unificador sobre la acreditación de la condición de </w:t>
      </w:r>
      <w:proofErr w:type="spellStart"/>
      <w:r w:rsidRPr="00C06719">
        <w:rPr>
          <w:rFonts w:ascii="Verdana" w:eastAsia="Century Gothic" w:hAnsi="Verdana" w:cs="Century Gothic"/>
          <w:sz w:val="20"/>
          <w:szCs w:val="20"/>
        </w:rPr>
        <w:t>Mipyme</w:t>
      </w:r>
      <w:proofErr w:type="spellEnd"/>
      <w:r w:rsidRPr="00C06719">
        <w:rPr>
          <w:rFonts w:ascii="Verdana" w:eastAsia="Century Gothic" w:hAnsi="Verdana" w:cs="Century Gothic"/>
          <w:sz w:val="20"/>
          <w:szCs w:val="20"/>
        </w:rPr>
        <w:t xml:space="preserve"> por parte de personas naturales, con el propósito de brindar seguridad jurídica a las entidades estatales y garantizar una aplicación uniforme del régimen de compras públicas</w:t>
      </w:r>
      <w:r>
        <w:rPr>
          <w:rFonts w:ascii="Verdana" w:eastAsia="Century Gothic" w:hAnsi="Verdana" w:cs="Century Gothic"/>
          <w:sz w:val="20"/>
          <w:szCs w:val="20"/>
        </w:rPr>
        <w:t>”</w:t>
      </w:r>
      <w:r w:rsidRPr="00C06719">
        <w:rPr>
          <w:rFonts w:ascii="Verdana" w:eastAsia="Century Gothic" w:hAnsi="Verdana" w:cs="Century Gothic"/>
          <w:sz w:val="20"/>
          <w:szCs w:val="20"/>
        </w:rPr>
        <w:t>.</w:t>
      </w:r>
    </w:p>
    <w:p w14:paraId="6AD9BE4A" w14:textId="77777777" w:rsidR="00D55F7B" w:rsidRPr="008E4F36" w:rsidRDefault="00D55F7B" w:rsidP="00D55F7B">
      <w:pPr>
        <w:spacing w:after="0" w:line="240" w:lineRule="auto"/>
        <w:ind w:right="709"/>
        <w:jc w:val="both"/>
        <w:rPr>
          <w:rFonts w:ascii="Verdana" w:hAnsi="Verdana"/>
          <w:sz w:val="20"/>
          <w:szCs w:val="20"/>
        </w:rPr>
      </w:pPr>
    </w:p>
    <w:p w14:paraId="3E661AC3" w14:textId="77777777" w:rsidR="00D55F7B" w:rsidRDefault="00D55F7B" w:rsidP="00D55F7B">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6E1D8AAC" w14:textId="77777777" w:rsidR="00D55F7B" w:rsidRPr="00054383" w:rsidRDefault="00D55F7B" w:rsidP="00D55F7B">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w:t>
      </w:r>
      <w:r w:rsidRPr="008E4F36">
        <w:rPr>
          <w:rFonts w:ascii="Verdana" w:eastAsia="Calibri" w:hAnsi="Verdana" w:cs="Arial"/>
          <w:color w:val="000000"/>
          <w:lang w:eastAsia="es-ES"/>
        </w:rPr>
        <w:lastRenderedPageBreak/>
        <w:t xml:space="preserve">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7E5DCE89" w14:textId="77777777" w:rsidR="00D55F7B" w:rsidRPr="008E4F36" w:rsidRDefault="00D55F7B" w:rsidP="00D55F7B">
      <w:pPr>
        <w:spacing w:after="0"/>
        <w:ind w:firstLine="709"/>
        <w:jc w:val="both"/>
        <w:rPr>
          <w:rFonts w:ascii="Verdana" w:eastAsia="Calibri" w:hAnsi="Verdana" w:cs="Arial"/>
          <w:color w:val="000000"/>
          <w:lang w:eastAsia="es-ES"/>
        </w:rPr>
      </w:pPr>
    </w:p>
    <w:p w14:paraId="6FC946E4" w14:textId="77777777" w:rsidR="00D55F7B" w:rsidRDefault="00D55F7B" w:rsidP="00D55F7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17B1930A" w14:textId="77777777" w:rsidR="00D55F7B" w:rsidRDefault="00D55F7B" w:rsidP="00D55F7B">
      <w:pPr>
        <w:spacing w:after="0" w:line="276" w:lineRule="auto"/>
        <w:jc w:val="both"/>
        <w:rPr>
          <w:rFonts w:ascii="Verdana" w:eastAsia="Calibri" w:hAnsi="Verdana" w:cs="Arial"/>
          <w:color w:val="000000"/>
          <w:highlight w:val="yellow"/>
          <w:lang w:eastAsia="es-ES"/>
        </w:rPr>
      </w:pPr>
    </w:p>
    <w:p w14:paraId="1262A401" w14:textId="77777777" w:rsidR="00D55F7B" w:rsidRPr="00EA5150" w:rsidRDefault="00D55F7B" w:rsidP="00D55F7B">
      <w:pPr>
        <w:spacing w:after="0" w:line="276" w:lineRule="auto"/>
        <w:jc w:val="both"/>
        <w:rPr>
          <w:rFonts w:ascii="Verdana" w:eastAsia="Century Gothic" w:hAnsi="Verdana" w:cs="Century Gothic"/>
        </w:rPr>
      </w:pPr>
      <w:r w:rsidRPr="00EA5150">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 xml:space="preserve">los </w:t>
      </w:r>
      <w:r w:rsidRPr="00EA5150">
        <w:rPr>
          <w:rFonts w:ascii="Verdana" w:eastAsia="Calibri" w:hAnsi="Verdana" w:cs="Arial"/>
          <w:color w:val="000000"/>
          <w:lang w:eastAsia="es-ES"/>
        </w:rPr>
        <w:t>siguiente</w:t>
      </w:r>
      <w:r>
        <w:rPr>
          <w:rFonts w:ascii="Verdana" w:eastAsia="Calibri" w:hAnsi="Verdana" w:cs="Arial"/>
          <w:color w:val="000000"/>
          <w:lang w:eastAsia="es-ES"/>
        </w:rPr>
        <w:t>s</w:t>
      </w:r>
      <w:r w:rsidRPr="00EA5150">
        <w:rPr>
          <w:rFonts w:ascii="Verdana" w:eastAsia="Calibri" w:hAnsi="Verdana" w:cs="Arial"/>
          <w:color w:val="000000"/>
          <w:lang w:eastAsia="es-ES"/>
        </w:rPr>
        <w:t xml:space="preserve"> problema</w:t>
      </w:r>
      <w:r>
        <w:rPr>
          <w:rFonts w:ascii="Verdana" w:eastAsia="Calibri" w:hAnsi="Verdana" w:cs="Arial"/>
          <w:color w:val="000000"/>
          <w:lang w:eastAsia="es-ES"/>
        </w:rPr>
        <w:t>s</w:t>
      </w:r>
      <w:r w:rsidRPr="00EA5150">
        <w:rPr>
          <w:rFonts w:ascii="Verdana" w:eastAsia="Calibri" w:hAnsi="Verdana" w:cs="Arial"/>
          <w:color w:val="000000"/>
          <w:lang w:eastAsia="es-ES"/>
        </w:rPr>
        <w:t xml:space="preserve"> jurídico</w:t>
      </w:r>
      <w:r>
        <w:rPr>
          <w:rFonts w:ascii="Verdana" w:eastAsia="Calibri" w:hAnsi="Verdana" w:cs="Arial"/>
          <w:color w:val="000000"/>
          <w:lang w:eastAsia="es-ES"/>
        </w:rPr>
        <w:t>s</w:t>
      </w:r>
      <w:r w:rsidRPr="00E61997">
        <w:rPr>
          <w:rFonts w:ascii="Verdana" w:eastAsia="Calibri" w:hAnsi="Verdana" w:cs="Arial"/>
          <w:color w:val="000000"/>
          <w:lang w:eastAsia="es-ES"/>
        </w:rPr>
        <w:t>:</w:t>
      </w:r>
      <w:r>
        <w:rPr>
          <w:rFonts w:ascii="Verdana" w:eastAsia="Calibri" w:hAnsi="Verdana" w:cs="Arial"/>
          <w:color w:val="000000"/>
          <w:lang w:eastAsia="es-ES"/>
        </w:rPr>
        <w:t xml:space="preserve"> i) ¿De conformidad con el artículo </w:t>
      </w:r>
      <w:r w:rsidRPr="0043648E">
        <w:rPr>
          <w:rFonts w:ascii="Verdana" w:eastAsia="Calibri" w:hAnsi="Verdana" w:cs="Arial"/>
          <w:color w:val="000000"/>
          <w:lang w:eastAsia="es-ES"/>
        </w:rPr>
        <w:t>2.2.1.2.4.2.4 del Decreto 1082 de 2015</w:t>
      </w:r>
      <w:r>
        <w:rPr>
          <w:rFonts w:ascii="Verdana" w:eastAsia="Calibri" w:hAnsi="Verdana" w:cs="Arial"/>
          <w:color w:val="000000"/>
          <w:lang w:eastAsia="es-ES"/>
        </w:rPr>
        <w:t xml:space="preserve">, cuáles son los documentos que debe acreditar la persona natural con profesión liberal para participar en convocatorias limitadas a </w:t>
      </w:r>
      <w:proofErr w:type="spellStart"/>
      <w:r>
        <w:rPr>
          <w:rFonts w:ascii="Verdana" w:eastAsia="Calibri" w:hAnsi="Verdana" w:cs="Arial"/>
          <w:color w:val="000000"/>
          <w:lang w:eastAsia="es-ES"/>
        </w:rPr>
        <w:t>Mipyme</w:t>
      </w:r>
      <w:proofErr w:type="spellEnd"/>
      <w:r>
        <w:rPr>
          <w:rFonts w:ascii="Verdana" w:eastAsia="Calibri" w:hAnsi="Verdana" w:cs="Arial"/>
          <w:color w:val="000000"/>
          <w:lang w:eastAsia="es-ES"/>
        </w:rPr>
        <w:t>?</w:t>
      </w:r>
      <w:r w:rsidRPr="00E61997">
        <w:rPr>
          <w:rFonts w:ascii="Verdana" w:eastAsia="Calibri" w:hAnsi="Verdana" w:cs="Arial"/>
          <w:color w:val="000000"/>
          <w:lang w:eastAsia="es-ES"/>
        </w:rPr>
        <w:t xml:space="preserve"> </w:t>
      </w:r>
      <w:proofErr w:type="spellStart"/>
      <w:r>
        <w:rPr>
          <w:rFonts w:ascii="Verdana" w:eastAsia="Calibri" w:hAnsi="Verdana" w:cs="Arial"/>
          <w:color w:val="000000"/>
          <w:lang w:eastAsia="es-ES"/>
        </w:rPr>
        <w:t>ii</w:t>
      </w:r>
      <w:proofErr w:type="spellEnd"/>
      <w:r>
        <w:rPr>
          <w:rFonts w:ascii="Verdana" w:eastAsia="Calibri" w:hAnsi="Verdana" w:cs="Arial"/>
          <w:color w:val="000000"/>
          <w:lang w:eastAsia="es-ES"/>
        </w:rPr>
        <w:t xml:space="preserve">) </w:t>
      </w:r>
      <w:r w:rsidRPr="00E61997">
        <w:rPr>
          <w:rFonts w:ascii="Verdana" w:eastAsia="Century Gothic" w:hAnsi="Verdana" w:cs="Century Gothic"/>
        </w:rPr>
        <w:t>¿</w:t>
      </w:r>
      <w:r>
        <w:rPr>
          <w:rFonts w:ascii="Verdana" w:eastAsia="Century Gothic" w:hAnsi="Verdana" w:cs="Century Gothic"/>
        </w:rPr>
        <w:t>Es viable equiparar</w:t>
      </w:r>
      <w:r>
        <w:rPr>
          <w:rFonts w:ascii="Verdana" w:hAnsi="Verdana" w:cs="Arial"/>
          <w:lang w:val="es-ES"/>
        </w:rPr>
        <w:t xml:space="preserve"> las ESAL a las </w:t>
      </w:r>
      <w:proofErr w:type="spellStart"/>
      <w:r>
        <w:rPr>
          <w:rFonts w:ascii="Verdana" w:hAnsi="Verdana" w:cs="Arial"/>
          <w:lang w:val="es-ES"/>
        </w:rPr>
        <w:t>Mipymes</w:t>
      </w:r>
      <w:proofErr w:type="spellEnd"/>
      <w:r>
        <w:rPr>
          <w:rFonts w:ascii="Verdana" w:hAnsi="Verdana" w:cs="Arial"/>
          <w:lang w:val="es-ES"/>
        </w:rPr>
        <w:t xml:space="preserve"> para acceder a las medidas afirmativas establecidas para estas?</w:t>
      </w:r>
      <w:r w:rsidRPr="00E61997">
        <w:rPr>
          <w:rFonts w:ascii="Verdana" w:eastAsia="Century Gothic" w:hAnsi="Verdana" w:cs="Century Gothic"/>
        </w:rPr>
        <w:t xml:space="preserve"> </w:t>
      </w:r>
    </w:p>
    <w:p w14:paraId="6D3A64C5" w14:textId="77777777" w:rsidR="00D55F7B" w:rsidRPr="00EA5150" w:rsidRDefault="00D55F7B" w:rsidP="00D55F7B">
      <w:pPr>
        <w:spacing w:after="0" w:line="276" w:lineRule="auto"/>
        <w:jc w:val="both"/>
        <w:rPr>
          <w:rFonts w:ascii="Verdana" w:eastAsia="Calibri" w:hAnsi="Verdana" w:cs="Times New Roman"/>
          <w:i/>
          <w:iCs/>
        </w:rPr>
      </w:pPr>
    </w:p>
    <w:p w14:paraId="7438D26C" w14:textId="77777777" w:rsidR="00D55F7B" w:rsidRPr="008E4F36" w:rsidRDefault="00D55F7B" w:rsidP="00D55F7B">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42ED78FD" w14:textId="77777777" w:rsidR="00D55F7B" w:rsidRPr="008E4F36" w:rsidRDefault="00D55F7B" w:rsidP="00D55F7B">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55F7B" w:rsidRPr="008E4F36" w14:paraId="64C8A629" w14:textId="77777777" w:rsidTr="004B5087">
        <w:tc>
          <w:tcPr>
            <w:tcW w:w="8828" w:type="dxa"/>
          </w:tcPr>
          <w:p w14:paraId="2B475036" w14:textId="77777777" w:rsidR="00D55F7B" w:rsidRPr="004D2159" w:rsidRDefault="00D55F7B" w:rsidP="004B5087">
            <w:pPr>
              <w:spacing w:after="120" w:line="276" w:lineRule="auto"/>
              <w:jc w:val="both"/>
              <w:rPr>
                <w:rFonts w:ascii="Verdana" w:hAnsi="Verdana"/>
              </w:rPr>
            </w:pPr>
            <w:r>
              <w:rPr>
                <w:rFonts w:ascii="Verdana" w:hAnsi="Verdana"/>
              </w:rPr>
              <w:t xml:space="preserve">i. </w:t>
            </w:r>
            <w:r w:rsidRPr="004D2159">
              <w:rPr>
                <w:rFonts w:ascii="Verdana" w:hAnsi="Verdana"/>
              </w:rPr>
              <w:t xml:space="preserve">Para las convocatorias limitadas a </w:t>
            </w:r>
            <w:proofErr w:type="spellStart"/>
            <w:r w:rsidRPr="004D2159">
              <w:rPr>
                <w:rFonts w:ascii="Verdana" w:hAnsi="Verdana"/>
              </w:rPr>
              <w:t>Mipyme</w:t>
            </w:r>
            <w:proofErr w:type="spellEnd"/>
            <w:r w:rsidRPr="004D2159">
              <w:rPr>
                <w:rFonts w:ascii="Verdana" w:hAnsi="Verdana"/>
              </w:rPr>
              <w:t xml:space="preserve">, el artículo 2.2.1.2.4.2.4 del Decreto 1082 de 2015 —modificado por el Decreto 1860 de 2021— fija de manera taxativa los medios con los que el proponente debe acreditar su tamaño empresarial. Tratándose de persona natural, la condición de </w:t>
            </w:r>
            <w:proofErr w:type="spellStart"/>
            <w:r w:rsidRPr="004D2159">
              <w:rPr>
                <w:rFonts w:ascii="Verdana" w:hAnsi="Verdana"/>
              </w:rPr>
              <w:t>Mipyme</w:t>
            </w:r>
            <w:proofErr w:type="spellEnd"/>
            <w:r w:rsidRPr="004D2159">
              <w:rPr>
                <w:rFonts w:ascii="Verdana" w:hAnsi="Verdana"/>
              </w:rPr>
              <w:t xml:space="preserve"> se acredita con la certificación expedida por ella y un contador público, acompañada de la copia del registro mercantil (numeral 1), o, alternativamente, con la copia del Registro Único de Proponentes vigente y en firme (parágrafo 1). Estos son los únicos medios contemplados por el reglamento; en consecuencia, no resulta admisible sustituirlos por otros documentos —tales como el RUT, las declaraciones tributarias, los estados financieros o certificaciones no acompañadas de aquellos—, pues ello alteraría el régimen probatorio fijado por la norma.</w:t>
            </w:r>
          </w:p>
          <w:p w14:paraId="69DCFA56" w14:textId="77777777" w:rsidR="00D55F7B" w:rsidRPr="004D2159" w:rsidRDefault="00D55F7B" w:rsidP="004B5087">
            <w:pPr>
              <w:spacing w:after="120" w:line="276" w:lineRule="auto"/>
              <w:ind w:firstLine="709"/>
              <w:jc w:val="both"/>
              <w:rPr>
                <w:rFonts w:ascii="Verdana" w:hAnsi="Verdana"/>
              </w:rPr>
            </w:pPr>
            <w:r w:rsidRPr="004D2159">
              <w:rPr>
                <w:rFonts w:ascii="Verdana" w:hAnsi="Verdana"/>
              </w:rPr>
              <w:t xml:space="preserve">Dicho régimen se aplica con independencia de que la persona natural tenga la calidad de comerciante o ejerza una profesión liberal, toda vez que el reglamento no establece diferenciación alguna. La circunstancia de que, conforme al numeral 5 del artículo 23 del Código de Comercio, la prestación de servicios inherentes a las profesiones liberales no constituya acto de comercio —y no imponga, por tanto, la obligación de matrícula mercantil— no exime a quien pretende acceder a las convocatorias limitadas a </w:t>
            </w:r>
            <w:proofErr w:type="spellStart"/>
            <w:r w:rsidRPr="004D2159">
              <w:rPr>
                <w:rFonts w:ascii="Verdana" w:hAnsi="Verdana"/>
              </w:rPr>
              <w:t>Mipyme</w:t>
            </w:r>
            <w:proofErr w:type="spellEnd"/>
            <w:r w:rsidRPr="004D2159">
              <w:rPr>
                <w:rFonts w:ascii="Verdana" w:hAnsi="Verdana"/>
              </w:rPr>
              <w:t xml:space="preserve"> de observar el régimen de acreditación previsto para ese beneficio. Es precisamente para ese supuesto que el reglamento dispuso el Registro Único </w:t>
            </w:r>
            <w:r w:rsidRPr="004D2159">
              <w:rPr>
                <w:rFonts w:ascii="Verdana" w:hAnsi="Verdana"/>
              </w:rPr>
              <w:lastRenderedPageBreak/>
              <w:t>de Proponentes como medio alternativo, idóneo para el proponente que, por no ser comerciante, carece de registro mercantil. De este modo, la exigencia no restringe el acceso de los profesionales liberales, quienes conservan una vía de acreditación acorde con su situación.</w:t>
            </w:r>
          </w:p>
          <w:p w14:paraId="5D7CA376" w14:textId="77777777" w:rsidR="00D55F7B" w:rsidRPr="004D2159" w:rsidRDefault="00D55F7B" w:rsidP="004B5087">
            <w:pPr>
              <w:spacing w:after="120" w:line="276" w:lineRule="auto"/>
              <w:jc w:val="both"/>
              <w:rPr>
                <w:rFonts w:ascii="Verdana" w:hAnsi="Verdana"/>
              </w:rPr>
            </w:pPr>
            <w:proofErr w:type="spellStart"/>
            <w:r w:rsidRPr="004D2159">
              <w:rPr>
                <w:rFonts w:ascii="Verdana" w:hAnsi="Verdana"/>
              </w:rPr>
              <w:t>ii</w:t>
            </w:r>
            <w:proofErr w:type="spellEnd"/>
            <w:r w:rsidRPr="004D2159">
              <w:rPr>
                <w:rFonts w:ascii="Verdana" w:hAnsi="Verdana"/>
              </w:rPr>
              <w:t xml:space="preserve">. A partir del concepto de empresa del artículo 43 de la Ley 1450 de 2011 —que modificó el artículo 2 de la Ley 590 de 2000— y en armonía con el artículo 98 del Código de Comercio, esta Agencia ha entendido que solo pueden considerarse </w:t>
            </w:r>
            <w:proofErr w:type="spellStart"/>
            <w:r w:rsidRPr="004D2159">
              <w:rPr>
                <w:rFonts w:ascii="Verdana" w:hAnsi="Verdana"/>
              </w:rPr>
              <w:t>Mipymes</w:t>
            </w:r>
            <w:proofErr w:type="spellEnd"/>
            <w:r w:rsidRPr="004D2159">
              <w:rPr>
                <w:rFonts w:ascii="Verdana" w:hAnsi="Verdana"/>
              </w:rPr>
              <w:t xml:space="preserve"> las unidades de explotación económica orientadas al reparto de utilidades entre sus miembros. Como las entidades sin ánimo de lucro no persiguen ese fin, por regla general no pueden solicitar ni participar en las convocatorias limitadas a </w:t>
            </w:r>
            <w:proofErr w:type="spellStart"/>
            <w:r w:rsidRPr="004D2159">
              <w:rPr>
                <w:rFonts w:ascii="Verdana" w:hAnsi="Verdana"/>
              </w:rPr>
              <w:t>Mipyme</w:t>
            </w:r>
            <w:proofErr w:type="spellEnd"/>
            <w:r w:rsidRPr="004D2159">
              <w:rPr>
                <w:rFonts w:ascii="Verdana" w:hAnsi="Verdana"/>
              </w:rPr>
              <w:t xml:space="preserve"> de que trata el artículo 34 de la Ley 2069 de 2020 —que modificó el artículo 12 de la Ley 1150 de 2007—, ni acceder a las demás medidas afirmativas establecidas en su favor.</w:t>
            </w:r>
          </w:p>
          <w:p w14:paraId="1197C721" w14:textId="77777777" w:rsidR="00D55F7B" w:rsidRPr="004D2159" w:rsidRDefault="00D55F7B" w:rsidP="004B5087">
            <w:pPr>
              <w:spacing w:after="120" w:line="276" w:lineRule="auto"/>
              <w:ind w:firstLine="709"/>
              <w:jc w:val="both"/>
              <w:rPr>
                <w:rFonts w:ascii="Verdana" w:hAnsi="Verdana"/>
              </w:rPr>
            </w:pPr>
            <w:r w:rsidRPr="004D2159">
              <w:rPr>
                <w:rFonts w:ascii="Verdana" w:hAnsi="Verdana"/>
              </w:rPr>
              <w:t xml:space="preserve">No obstante, la propia ley previó un matiz a esa regla. El artículo 23 de la Ley 2069 de 2020 asimila a las cooperativas y a las demás entidades de economía solidaria —incluidas las asociaciones mutuales— a las </w:t>
            </w:r>
            <w:proofErr w:type="spellStart"/>
            <w:r w:rsidRPr="004D2159">
              <w:rPr>
                <w:rFonts w:ascii="Verdana" w:hAnsi="Verdana"/>
              </w:rPr>
              <w:t>Mipymes</w:t>
            </w:r>
            <w:proofErr w:type="spellEnd"/>
            <w:r w:rsidRPr="004D2159">
              <w:rPr>
                <w:rFonts w:ascii="Verdana" w:hAnsi="Verdana"/>
              </w:rPr>
              <w:t xml:space="preserve">, y el parágrafo del artículo 2.2.1.2.4.2.2 del Decreto 1082 de 2015, modificado por el Decreto 1860 de 2021, les permite solicitar y participar en las convocatorias limitadas, siempre que ostenten tal calidad. Esa asimilación no cobija a toda ESAL, sino únicamente a las que correspondan al concepto de economía solidaria en los términos del artículo 6 de la Ley 454 de 1998, al que remite la Ley de Emprendimiento. Por consiguiente, deberá verificarse en cada caso si la entidad reúne las características de dicho artículo; solo las que las cumplan podrán asimilarse a las </w:t>
            </w:r>
            <w:proofErr w:type="spellStart"/>
            <w:r w:rsidRPr="004D2159">
              <w:rPr>
                <w:rFonts w:ascii="Verdana" w:hAnsi="Verdana"/>
              </w:rPr>
              <w:t>Mipymes</w:t>
            </w:r>
            <w:proofErr w:type="spellEnd"/>
            <w:r w:rsidRPr="004D2159">
              <w:rPr>
                <w:rFonts w:ascii="Verdana" w:hAnsi="Verdana"/>
              </w:rPr>
              <w:t>, acceder a los requisitos diferenciales de la Ley 2069 de 2020 y manifestar su interés de participar en el proceso de selección en los términos del artículo 2.2.1.2.4.2.2 del Decreto 1082 de 2015.</w:t>
            </w:r>
          </w:p>
          <w:p w14:paraId="06BEE7A0" w14:textId="77777777" w:rsidR="00D55F7B" w:rsidRPr="00C740A3" w:rsidRDefault="00D55F7B" w:rsidP="004B5087">
            <w:pPr>
              <w:spacing w:after="120" w:line="276" w:lineRule="auto"/>
              <w:ind w:firstLine="709"/>
              <w:jc w:val="both"/>
              <w:rPr>
                <w:rFonts w:ascii="Verdana" w:hAnsi="Verdana" w:cs="Arial"/>
                <w:lang w:eastAsia="es-ES"/>
              </w:rPr>
            </w:pPr>
            <w:r w:rsidRPr="004D2159">
              <w:rPr>
                <w:rFonts w:ascii="Verdana" w:hAnsi="Verdana"/>
              </w:rPr>
              <w:t>Sin perjuicio de lo anterior, se precisa que los conceptos emitidos por esta Subdirección en el marco de la función consultiva representan una posición hermenéutica respecto de las disposiciones normativas del Sistema de Compras Públicas, que no tiene efectos vinculantes frente a una situación jurídica particular y concreta y que, aunque jurídicamente fundamentada, no constituye la única interpretación válida del ordenamiento. Por tanto, cada entidad definirá la forma de adelantar su gestión contractual, sin que sea atribución de Colombia Compra Eficiente validar sus actuaciones.</w:t>
            </w:r>
          </w:p>
        </w:tc>
      </w:tr>
    </w:tbl>
    <w:p w14:paraId="009B6637" w14:textId="77777777" w:rsidR="00D55F7B" w:rsidRDefault="00D55F7B" w:rsidP="00D55F7B">
      <w:pPr>
        <w:tabs>
          <w:tab w:val="left" w:pos="142"/>
          <w:tab w:val="left" w:pos="284"/>
        </w:tabs>
        <w:spacing w:after="0" w:line="276" w:lineRule="auto"/>
        <w:jc w:val="both"/>
        <w:rPr>
          <w:rFonts w:ascii="Verdana" w:eastAsia="Century Gothic" w:hAnsi="Verdana" w:cs="Century Gothic"/>
          <w:b/>
          <w:bCs/>
        </w:rPr>
      </w:pPr>
    </w:p>
    <w:p w14:paraId="64ACEDFF" w14:textId="77777777" w:rsidR="00D55F7B" w:rsidRPr="008E4F36" w:rsidRDefault="00D55F7B" w:rsidP="00D55F7B">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lastRenderedPageBreak/>
        <w:t>3. Razones de la respuesta:</w:t>
      </w:r>
    </w:p>
    <w:p w14:paraId="59333B4F" w14:textId="77777777" w:rsidR="00D55F7B" w:rsidRDefault="00D55F7B" w:rsidP="00D55F7B">
      <w:pPr>
        <w:pStyle w:val="Prrafodelista"/>
        <w:tabs>
          <w:tab w:val="left" w:pos="142"/>
          <w:tab w:val="left" w:pos="284"/>
        </w:tabs>
        <w:spacing w:after="0" w:line="276" w:lineRule="auto"/>
        <w:ind w:left="0"/>
        <w:contextualSpacing w:val="0"/>
        <w:jc w:val="both"/>
        <w:rPr>
          <w:rFonts w:ascii="Verdana" w:eastAsia="Calibri" w:hAnsi="Verdana" w:cs="Arial"/>
        </w:rPr>
      </w:pPr>
    </w:p>
    <w:p w14:paraId="1D772BAE" w14:textId="77777777" w:rsidR="00D55F7B" w:rsidRDefault="00D55F7B" w:rsidP="00D55F7B">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t xml:space="preserve">Lo anterior se sustenta en las siguientes consideraciones: </w:t>
      </w:r>
    </w:p>
    <w:p w14:paraId="7FD36DDA" w14:textId="77777777" w:rsidR="00D55F7B" w:rsidRDefault="00D55F7B" w:rsidP="00D55F7B">
      <w:pPr>
        <w:spacing w:after="0" w:line="240" w:lineRule="auto"/>
        <w:jc w:val="both"/>
        <w:rPr>
          <w:rFonts w:ascii="Verdana" w:hAnsi="Verdana" w:cs="Arial"/>
          <w:bCs/>
          <w:lang w:val="es-ES_tradnl" w:eastAsia="es-ES" w:bidi="es-ES"/>
        </w:rPr>
      </w:pPr>
    </w:p>
    <w:p w14:paraId="6D2A3483" w14:textId="77777777" w:rsidR="00D55F7B" w:rsidRDefault="00D55F7B" w:rsidP="00D55F7B">
      <w:pPr>
        <w:spacing w:after="120" w:line="276" w:lineRule="auto"/>
        <w:jc w:val="both"/>
        <w:rPr>
          <w:rFonts w:ascii="Verdana" w:eastAsia="Calibri" w:hAnsi="Verdana" w:cs="Arial"/>
          <w:lang w:val="es-ES" w:eastAsia="es-ES"/>
        </w:rPr>
      </w:pPr>
      <w:r w:rsidRPr="5DA39631">
        <w:rPr>
          <w:rFonts w:ascii="Verdana" w:eastAsia="Calibri" w:hAnsi="Verdana" w:cs="Arial"/>
          <w:lang w:val="es-ES" w:eastAsia="es-ES"/>
        </w:rPr>
        <w:t xml:space="preserve">i. Como punto de partida, es preciso señalar que esta Agencia se ha pronunciado en diversos conceptos sobre la forma de acreditar los requisitos para participar en convocatorias limitadas a </w:t>
      </w:r>
      <w:proofErr w:type="spellStart"/>
      <w:r w:rsidRPr="5DA39631">
        <w:rPr>
          <w:rFonts w:ascii="Verdana" w:eastAsia="Calibri" w:hAnsi="Verdana" w:cs="Arial"/>
          <w:lang w:val="es-ES" w:eastAsia="es-ES"/>
        </w:rPr>
        <w:t>Mipymes</w:t>
      </w:r>
      <w:proofErr w:type="spellEnd"/>
      <w:r w:rsidRPr="5DA39631">
        <w:rPr>
          <w:rFonts w:ascii="Verdana" w:eastAsia="Calibri" w:hAnsi="Verdana" w:cs="Arial"/>
          <w:lang w:val="es-ES" w:eastAsia="es-ES"/>
        </w:rPr>
        <w:t xml:space="preserve">, en particular respecto de la documentación exigible a las personas jurídicas y a las personas naturales, de conformidad con lo dispuesto en el artículo 2.2.1.2.4.2.4 del Decreto 1082 de 2015, modificado por el Decreto 1860 de 2021. En concreto, la norma dispone lo siguiente: </w:t>
      </w:r>
    </w:p>
    <w:p w14:paraId="072D6A39" w14:textId="77777777" w:rsidR="00D55F7B" w:rsidRDefault="00D55F7B" w:rsidP="00D55F7B">
      <w:pPr>
        <w:ind w:left="709" w:right="709"/>
        <w:contextualSpacing/>
        <w:jc w:val="both"/>
        <w:rPr>
          <w:rFonts w:ascii="Verdana" w:eastAsia="Calibri" w:hAnsi="Verdana" w:cs="Arial"/>
          <w:lang w:val="es-ES" w:eastAsia="es-ES"/>
        </w:rPr>
      </w:pPr>
    </w:p>
    <w:p w14:paraId="7450BE15" w14:textId="77777777" w:rsidR="00D55F7B" w:rsidRPr="009F0E7F" w:rsidRDefault="00D55F7B" w:rsidP="00D55F7B">
      <w:pPr>
        <w:spacing w:after="0" w:line="240" w:lineRule="auto"/>
        <w:ind w:left="709" w:right="709"/>
        <w:jc w:val="both"/>
        <w:rPr>
          <w:rFonts w:ascii="Verdana" w:eastAsia="Calibri" w:hAnsi="Verdana" w:cs="Arial"/>
          <w:sz w:val="20"/>
          <w:szCs w:val="20"/>
          <w:lang w:val="es-ES" w:eastAsia="es-ES"/>
        </w:rPr>
      </w:pPr>
      <w:r w:rsidRPr="009F0E7F">
        <w:rPr>
          <w:rFonts w:ascii="Verdana" w:eastAsia="Calibri" w:hAnsi="Verdana" w:cs="Arial"/>
          <w:sz w:val="20"/>
          <w:szCs w:val="20"/>
          <w:lang w:val="es-ES" w:eastAsia="es-ES"/>
        </w:rPr>
        <w:t xml:space="preserve">“Artículo 2.2.1.2.4.2.4. Acreditación de requisitos para participar en convocatorias limitadas. La </w:t>
      </w:r>
      <w:proofErr w:type="spellStart"/>
      <w:r w:rsidRPr="009F0E7F">
        <w:rPr>
          <w:rFonts w:ascii="Verdana" w:eastAsia="Calibri" w:hAnsi="Verdana" w:cs="Arial"/>
          <w:sz w:val="20"/>
          <w:szCs w:val="20"/>
          <w:lang w:val="es-ES" w:eastAsia="es-ES"/>
        </w:rPr>
        <w:t>Mipyme</w:t>
      </w:r>
      <w:proofErr w:type="spellEnd"/>
      <w:r w:rsidRPr="009F0E7F">
        <w:rPr>
          <w:rFonts w:ascii="Verdana" w:eastAsia="Calibri" w:hAnsi="Verdana" w:cs="Arial"/>
          <w:sz w:val="20"/>
          <w:szCs w:val="20"/>
          <w:lang w:val="es-ES" w:eastAsia="es-ES"/>
        </w:rPr>
        <w:t xml:space="preserve"> colombianas deben acreditar que tiene el tamaño empresarial establecido por la ley de la siguiente manera: </w:t>
      </w:r>
    </w:p>
    <w:p w14:paraId="5899205E"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p>
    <w:p w14:paraId="057B8FFE"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r w:rsidRPr="009F0E7F">
        <w:rPr>
          <w:rFonts w:ascii="Verdana" w:eastAsia="Calibri" w:hAnsi="Verdana" w:cs="Arial"/>
          <w:sz w:val="20"/>
          <w:szCs w:val="20"/>
          <w:lang w:val="es-ES_tradnl" w:eastAsia="es-ES_tradnl"/>
        </w:rPr>
        <w:t xml:space="preserve">1. Las personas naturales mediante certificación expedida por ellos y un contador público, adjuntando copia del registro mercantil. </w:t>
      </w:r>
    </w:p>
    <w:p w14:paraId="704FAE94"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p>
    <w:p w14:paraId="3BE96385"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r w:rsidRPr="009F0E7F">
        <w:rPr>
          <w:rFonts w:ascii="Verdana" w:eastAsia="Calibri" w:hAnsi="Verdana" w:cs="Arial"/>
          <w:sz w:val="20"/>
          <w:szCs w:val="20"/>
          <w:lang w:val="es-ES_tradnl" w:eastAsia="es-ES_tradnl"/>
        </w:rPr>
        <w:t>2. Las personas jurídicas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 Para la acreditación deberán observarse los rangos de clasificación empresarial establecidos de conformidad con la Ley 590 de 2000 y el Decreto 1074 de 2015, o las normas que lo modifiquen, sustituyan o complementen.</w:t>
      </w:r>
    </w:p>
    <w:p w14:paraId="039BB39F" w14:textId="77777777" w:rsidR="00D55F7B" w:rsidRPr="009F0E7F" w:rsidRDefault="00D55F7B" w:rsidP="00D55F7B">
      <w:pPr>
        <w:tabs>
          <w:tab w:val="left" w:pos="6660"/>
        </w:tabs>
        <w:spacing w:after="0" w:line="240" w:lineRule="auto"/>
        <w:ind w:left="709" w:right="709"/>
        <w:jc w:val="both"/>
        <w:rPr>
          <w:rFonts w:ascii="Verdana" w:eastAsia="Calibri" w:hAnsi="Verdana" w:cs="Arial"/>
          <w:b/>
          <w:bCs/>
          <w:sz w:val="20"/>
          <w:szCs w:val="20"/>
          <w:lang w:val="es-ES_tradnl" w:eastAsia="es-ES_tradnl"/>
        </w:rPr>
      </w:pPr>
      <w:r w:rsidRPr="009F0E7F">
        <w:rPr>
          <w:rFonts w:ascii="Verdana" w:eastAsia="Calibri" w:hAnsi="Verdana" w:cs="Arial"/>
          <w:b/>
          <w:bCs/>
          <w:sz w:val="20"/>
          <w:szCs w:val="20"/>
          <w:lang w:val="es-ES_tradnl" w:eastAsia="es-ES_tradnl"/>
        </w:rPr>
        <w:tab/>
      </w:r>
    </w:p>
    <w:p w14:paraId="07468720" w14:textId="77777777" w:rsidR="00D55F7B" w:rsidRPr="009F0E7F" w:rsidRDefault="00D55F7B" w:rsidP="00D55F7B">
      <w:pPr>
        <w:spacing w:after="0" w:line="240" w:lineRule="auto"/>
        <w:ind w:left="709" w:right="709"/>
        <w:jc w:val="both"/>
        <w:rPr>
          <w:rFonts w:ascii="Verdana" w:eastAsia="Calibri" w:hAnsi="Verdana" w:cs="Arial"/>
          <w:sz w:val="20"/>
          <w:szCs w:val="20"/>
          <w:lang w:val="es-ES" w:eastAsia="es-ES"/>
        </w:rPr>
      </w:pPr>
      <w:r w:rsidRPr="009F0E7F">
        <w:rPr>
          <w:rFonts w:ascii="Verdana" w:eastAsia="Calibri" w:hAnsi="Verdana" w:cs="Arial"/>
          <w:sz w:val="20"/>
          <w:szCs w:val="20"/>
          <w:lang w:val="es-ES" w:eastAsia="es-ES"/>
        </w:rPr>
        <w:t xml:space="preserve">Parágrafo 1. En todo caso, las </w:t>
      </w:r>
      <w:proofErr w:type="spellStart"/>
      <w:r w:rsidRPr="009F0E7F">
        <w:rPr>
          <w:rFonts w:ascii="Verdana" w:eastAsia="Calibri" w:hAnsi="Verdana" w:cs="Arial"/>
          <w:sz w:val="20"/>
          <w:szCs w:val="20"/>
          <w:lang w:val="es-ES" w:eastAsia="es-ES"/>
        </w:rPr>
        <w:t>Mipyme</w:t>
      </w:r>
      <w:proofErr w:type="spellEnd"/>
      <w:r w:rsidRPr="009F0E7F">
        <w:rPr>
          <w:rFonts w:ascii="Verdana" w:eastAsia="Calibri" w:hAnsi="Verdana" w:cs="Arial"/>
          <w:sz w:val="20"/>
          <w:szCs w:val="20"/>
          <w:lang w:val="es-ES" w:eastAsia="es-ES"/>
        </w:rPr>
        <w:t xml:space="preserve"> también podrán acreditar esta condición con la copia del certificado del Registro Único de Proponentes, el cual deberá encontrarse vigente y en firme al momento de su presentación.</w:t>
      </w:r>
    </w:p>
    <w:p w14:paraId="37BA781E"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p>
    <w:p w14:paraId="079EF829" w14:textId="77777777" w:rsidR="00D55F7B" w:rsidRPr="009F0E7F" w:rsidRDefault="00D55F7B" w:rsidP="00D55F7B">
      <w:pPr>
        <w:spacing w:after="0" w:line="240" w:lineRule="auto"/>
        <w:ind w:left="709" w:right="709"/>
        <w:jc w:val="both"/>
        <w:rPr>
          <w:rFonts w:ascii="Verdana" w:eastAsia="Calibri" w:hAnsi="Verdana" w:cs="Arial"/>
          <w:sz w:val="20"/>
          <w:szCs w:val="20"/>
          <w:lang w:val="es-ES" w:eastAsia="es-ES"/>
        </w:rPr>
      </w:pPr>
      <w:r w:rsidRPr="009F0E7F">
        <w:rPr>
          <w:rFonts w:ascii="Verdana" w:eastAsia="Calibri" w:hAnsi="Verdana" w:cs="Arial"/>
          <w:sz w:val="20"/>
          <w:szCs w:val="20"/>
          <w:lang w:val="es-ES" w:eastAsia="es-ES"/>
        </w:rPr>
        <w:t xml:space="preserve">Parágrafo 2. Para efectos de la limitación a </w:t>
      </w:r>
      <w:proofErr w:type="spellStart"/>
      <w:r w:rsidRPr="009F0E7F">
        <w:rPr>
          <w:rFonts w:ascii="Verdana" w:eastAsia="Calibri" w:hAnsi="Verdana" w:cs="Arial"/>
          <w:sz w:val="20"/>
          <w:szCs w:val="20"/>
          <w:lang w:val="es-ES" w:eastAsia="es-ES"/>
        </w:rPr>
        <w:t>Mipyme</w:t>
      </w:r>
      <w:proofErr w:type="spellEnd"/>
      <w:r w:rsidRPr="009F0E7F">
        <w:rPr>
          <w:rFonts w:ascii="Verdana" w:eastAsia="Calibri" w:hAnsi="Verdana" w:cs="Arial"/>
          <w:sz w:val="20"/>
          <w:szCs w:val="20"/>
          <w:lang w:val="es-ES" w:eastAsia="es-ES"/>
        </w:rPr>
        <w:t xml:space="preserve">,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 </w:t>
      </w:r>
    </w:p>
    <w:p w14:paraId="78A2E787"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p>
    <w:p w14:paraId="1C990D72" w14:textId="77777777" w:rsidR="00D55F7B" w:rsidRPr="009F0E7F" w:rsidRDefault="00D55F7B" w:rsidP="00D55F7B">
      <w:pPr>
        <w:spacing w:after="0" w:line="240" w:lineRule="auto"/>
        <w:ind w:left="709" w:right="709"/>
        <w:jc w:val="both"/>
        <w:rPr>
          <w:rFonts w:ascii="Verdana" w:eastAsia="Calibri" w:hAnsi="Verdana" w:cs="Arial"/>
          <w:sz w:val="20"/>
          <w:szCs w:val="20"/>
          <w:lang w:val="es-ES" w:eastAsia="es-ES"/>
        </w:rPr>
      </w:pPr>
      <w:r w:rsidRPr="009F0E7F">
        <w:rPr>
          <w:rFonts w:ascii="Verdana" w:eastAsia="Calibri" w:hAnsi="Verdana" w:cs="Arial"/>
          <w:sz w:val="20"/>
          <w:szCs w:val="20"/>
          <w:lang w:val="es-ES" w:eastAsia="es-ES"/>
        </w:rPr>
        <w:lastRenderedPageBreak/>
        <w:t xml:space="preserve">Parágrafo 3. En las convocatorias limitadas, las Entidades Estatales independientemente de su régimen de contratación, los patrimonios autónomos constituidos por Entidades Estatales y los particulares que ejecuten recursos públicos, solo deberán aceptar las ofertas de </w:t>
      </w:r>
      <w:proofErr w:type="spellStart"/>
      <w:r w:rsidRPr="009F0E7F">
        <w:rPr>
          <w:rFonts w:ascii="Verdana" w:eastAsia="Calibri" w:hAnsi="Verdana" w:cs="Arial"/>
          <w:sz w:val="20"/>
          <w:szCs w:val="20"/>
          <w:lang w:val="es-ES" w:eastAsia="es-ES"/>
        </w:rPr>
        <w:t>Mipyme</w:t>
      </w:r>
      <w:proofErr w:type="spellEnd"/>
      <w:r w:rsidRPr="009F0E7F">
        <w:rPr>
          <w:rFonts w:ascii="Verdana" w:eastAsia="Calibri" w:hAnsi="Verdana" w:cs="Arial"/>
          <w:sz w:val="20"/>
          <w:szCs w:val="20"/>
          <w:lang w:val="es-ES" w:eastAsia="es-ES"/>
        </w:rPr>
        <w:t xml:space="preserve"> o de proponentes plurales integrados únicamente por </w:t>
      </w:r>
      <w:proofErr w:type="spellStart"/>
      <w:r w:rsidRPr="009F0E7F">
        <w:rPr>
          <w:rFonts w:ascii="Verdana" w:eastAsia="Calibri" w:hAnsi="Verdana" w:cs="Arial"/>
          <w:sz w:val="20"/>
          <w:szCs w:val="20"/>
          <w:lang w:val="es-ES" w:eastAsia="es-ES"/>
        </w:rPr>
        <w:t>Mipyme</w:t>
      </w:r>
      <w:proofErr w:type="spellEnd"/>
      <w:r w:rsidRPr="009F0E7F">
        <w:rPr>
          <w:rFonts w:ascii="Verdana" w:eastAsia="Calibri" w:hAnsi="Verdana" w:cs="Arial"/>
          <w:sz w:val="20"/>
          <w:szCs w:val="20"/>
          <w:lang w:val="es-ES" w:eastAsia="es-ES"/>
        </w:rPr>
        <w:t>.</w:t>
      </w:r>
    </w:p>
    <w:p w14:paraId="36A59B5E"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p>
    <w:p w14:paraId="0A462D88" w14:textId="77777777" w:rsidR="00D55F7B" w:rsidRPr="009F0E7F" w:rsidRDefault="00D55F7B" w:rsidP="00D55F7B">
      <w:pPr>
        <w:spacing w:after="0" w:line="240" w:lineRule="auto"/>
        <w:ind w:left="709" w:right="709"/>
        <w:jc w:val="both"/>
        <w:rPr>
          <w:rFonts w:ascii="Verdana" w:eastAsia="Calibri" w:hAnsi="Verdana" w:cs="Arial"/>
          <w:sz w:val="20"/>
          <w:szCs w:val="20"/>
          <w:lang w:val="es-ES_tradnl" w:eastAsia="es-ES_tradnl"/>
        </w:rPr>
      </w:pPr>
      <w:r w:rsidRPr="009F0E7F">
        <w:rPr>
          <w:rFonts w:ascii="Verdana" w:eastAsia="Calibri" w:hAnsi="Verdana" w:cs="Arial"/>
          <w:sz w:val="20"/>
          <w:szCs w:val="20"/>
          <w:lang w:val="es-ES_tradnl" w:eastAsia="es-ES_tradnl"/>
        </w:rPr>
        <w:t>Parágrafo 4. Los incentivos previstos en los artículos 2.2.1.2.4.2.2 y 2.2.1.2.4.2.3 de este Decreto no excluyen la aplicación de los criterios diferenciales para los emprendimientos y empresas de mujeres en el sistema de compras públicas</w:t>
      </w:r>
      <w:r>
        <w:rPr>
          <w:rFonts w:ascii="Verdana" w:eastAsia="Calibri" w:hAnsi="Verdana" w:cs="Arial"/>
          <w:sz w:val="20"/>
          <w:szCs w:val="20"/>
          <w:lang w:val="es-ES_tradnl" w:eastAsia="es-ES_tradnl"/>
        </w:rPr>
        <w:t>”</w:t>
      </w:r>
      <w:r w:rsidRPr="009F0E7F">
        <w:rPr>
          <w:rFonts w:ascii="Verdana" w:eastAsia="Calibri" w:hAnsi="Verdana" w:cs="Arial"/>
          <w:sz w:val="20"/>
          <w:szCs w:val="20"/>
          <w:lang w:val="es-ES_tradnl" w:eastAsia="es-ES_tradnl"/>
        </w:rPr>
        <w:t>.</w:t>
      </w:r>
    </w:p>
    <w:p w14:paraId="414D7FB7" w14:textId="77777777" w:rsidR="00D55F7B" w:rsidRPr="009F0E7F" w:rsidRDefault="00D55F7B" w:rsidP="00D55F7B">
      <w:pPr>
        <w:spacing w:after="0" w:line="276" w:lineRule="auto"/>
        <w:jc w:val="both"/>
        <w:rPr>
          <w:rFonts w:ascii="Verdana" w:eastAsia="Calibri" w:hAnsi="Verdana" w:cs="Arial"/>
          <w:sz w:val="20"/>
          <w:szCs w:val="20"/>
          <w:lang w:val="es-ES_tradnl" w:eastAsia="es-ES_tradnl"/>
        </w:rPr>
      </w:pPr>
    </w:p>
    <w:p w14:paraId="552969FE" w14:textId="77777777" w:rsidR="00D55F7B" w:rsidRPr="00EB1425" w:rsidRDefault="00D55F7B" w:rsidP="00D55F7B">
      <w:pPr>
        <w:spacing w:after="120" w:line="276" w:lineRule="auto"/>
        <w:ind w:firstLine="709"/>
        <w:jc w:val="both"/>
        <w:rPr>
          <w:rFonts w:ascii="Verdana" w:eastAsia="Calibri" w:hAnsi="Verdana" w:cs="Arial"/>
          <w:lang w:val="es-ES_tradnl" w:eastAsia="es-ES_tradnl"/>
        </w:rPr>
      </w:pPr>
      <w:r>
        <w:rPr>
          <w:rFonts w:ascii="Verdana" w:eastAsia="Calibri" w:hAnsi="Verdana" w:cs="Arial"/>
          <w:lang w:val="es-ES_tradnl" w:eastAsia="es-ES_tradnl"/>
        </w:rPr>
        <w:t>Al respecto, se ha señalado que p</w:t>
      </w:r>
      <w:r w:rsidRPr="000D57F2">
        <w:rPr>
          <w:rFonts w:ascii="Verdana" w:eastAsia="Calibri" w:hAnsi="Verdana" w:cs="Arial"/>
          <w:bCs/>
        </w:rPr>
        <w:t xml:space="preserve">ara analizar el alcance de esta norma, resulta de especial relevancia determinar la definición y clasificación de las </w:t>
      </w:r>
      <w:proofErr w:type="spellStart"/>
      <w:r w:rsidRPr="000D57F2">
        <w:rPr>
          <w:rFonts w:ascii="Verdana" w:eastAsia="Calibri" w:hAnsi="Verdana" w:cs="Arial"/>
          <w:bCs/>
        </w:rPr>
        <w:t>Mipyme</w:t>
      </w:r>
      <w:proofErr w:type="spellEnd"/>
      <w:r w:rsidRPr="000D57F2">
        <w:rPr>
          <w:rFonts w:ascii="Verdana" w:eastAsia="Calibri" w:hAnsi="Verdana" w:cs="Arial"/>
          <w:bCs/>
        </w:rPr>
        <w:t xml:space="preserve"> conforme al marco jurídico que lo regula. Así, </w:t>
      </w:r>
      <w:r w:rsidRPr="000D57F2">
        <w:rPr>
          <w:rFonts w:ascii="Verdana" w:eastAsia="Calibri" w:hAnsi="Verdana" w:cs="Arial"/>
          <w:bCs/>
          <w:lang w:val="es-ES_tradnl"/>
        </w:rPr>
        <w:t xml:space="preserve">de conformidad con </w:t>
      </w:r>
      <w:r w:rsidRPr="000D57F2">
        <w:rPr>
          <w:rFonts w:ascii="Verdana" w:eastAsia="Calibri" w:hAnsi="Verdana" w:cs="Arial"/>
          <w:bCs/>
        </w:rPr>
        <w:t xml:space="preserve">el artículo 2 de La Ley 905 de 2004, modificado por el artículo 43 de la Ley 1450 de 2011, se entiende por empresa </w:t>
      </w:r>
      <w:r>
        <w:rPr>
          <w:rFonts w:ascii="Verdana" w:eastAsia="Calibri" w:hAnsi="Verdana" w:cs="Arial"/>
          <w:bCs/>
        </w:rPr>
        <w:t>“</w:t>
      </w:r>
      <w:r w:rsidRPr="000D57F2">
        <w:rPr>
          <w:rFonts w:ascii="Verdana" w:eastAsia="Calibri" w:hAnsi="Verdana" w:cs="Arial"/>
          <w:bCs/>
        </w:rPr>
        <w:t>toda unidad de explotación económica, realizada por persona natural o jurídica en actividades agropecuarias, industriales, comerciales o de servicios, en el área rural o urbana</w:t>
      </w:r>
      <w:r>
        <w:rPr>
          <w:rFonts w:ascii="Verdana" w:eastAsia="Calibri" w:hAnsi="Verdana" w:cs="Arial"/>
          <w:bCs/>
        </w:rPr>
        <w:t>”</w:t>
      </w:r>
      <w:r w:rsidRPr="000D57F2">
        <w:rPr>
          <w:rFonts w:ascii="Verdana" w:eastAsia="Calibri" w:hAnsi="Verdana" w:cs="Arial"/>
          <w:bCs/>
        </w:rPr>
        <w:t xml:space="preserve">. Para la clasificación por tamaño empresarial, como micro, pequeña, mediana y gran empresa, la norma dispone que se podrá utilizar uno de los siguientes criterios: </w:t>
      </w:r>
      <w:r>
        <w:rPr>
          <w:rFonts w:ascii="Verdana" w:eastAsia="Calibri" w:hAnsi="Verdana" w:cs="Arial"/>
          <w:bCs/>
        </w:rPr>
        <w:t>“</w:t>
      </w:r>
      <w:r w:rsidRPr="000D57F2">
        <w:rPr>
          <w:rFonts w:ascii="Verdana" w:eastAsia="Calibri" w:hAnsi="Verdana" w:cs="Arial"/>
          <w:bCs/>
        </w:rPr>
        <w:t>1. Número de trabajadores totales. 2. Valor de ventas brutas anuales. 3. Valor activos totales</w:t>
      </w:r>
      <w:r>
        <w:rPr>
          <w:rFonts w:ascii="Verdana" w:eastAsia="Calibri" w:hAnsi="Verdana" w:cs="Arial"/>
          <w:bCs/>
        </w:rPr>
        <w:t>”</w:t>
      </w:r>
      <w:r w:rsidRPr="000D57F2">
        <w:rPr>
          <w:rFonts w:ascii="Verdana" w:eastAsia="Calibri" w:hAnsi="Verdana" w:cs="Arial"/>
          <w:bCs/>
        </w:rPr>
        <w:t>. Asimismo, estableció que el gobierno nacional reglamentará los rangos que aplicará para los tres criterios e incluirá especificidades sectoriales en los casos que lo considere necesario</w:t>
      </w:r>
      <w:r w:rsidRPr="000D57F2">
        <w:rPr>
          <w:rFonts w:ascii="Verdana" w:eastAsia="Calibri" w:hAnsi="Verdana" w:cs="Arial"/>
          <w:bCs/>
          <w:vertAlign w:val="superscript"/>
        </w:rPr>
        <w:footnoteReference w:id="1"/>
      </w:r>
      <w:r w:rsidRPr="000D57F2">
        <w:rPr>
          <w:rFonts w:ascii="Verdana" w:eastAsia="Calibri" w:hAnsi="Verdana" w:cs="Arial"/>
          <w:bCs/>
        </w:rPr>
        <w:t>.</w:t>
      </w:r>
    </w:p>
    <w:p w14:paraId="30D41F4C" w14:textId="77777777" w:rsidR="00D55F7B" w:rsidRPr="000D57F2" w:rsidRDefault="00D55F7B" w:rsidP="00D55F7B">
      <w:pPr>
        <w:spacing w:after="120" w:line="276" w:lineRule="auto"/>
        <w:ind w:firstLine="709"/>
        <w:jc w:val="both"/>
        <w:rPr>
          <w:rFonts w:ascii="Verdana" w:eastAsia="Calibri" w:hAnsi="Verdana" w:cs="Arial"/>
          <w:bCs/>
        </w:rPr>
      </w:pPr>
      <w:r w:rsidRPr="000D57F2">
        <w:rPr>
          <w:rFonts w:ascii="Verdana" w:eastAsia="Calibri" w:hAnsi="Verdana" w:cs="Arial"/>
          <w:bCs/>
        </w:rPr>
        <w:t xml:space="preserve">Para tales efectos, el </w:t>
      </w:r>
      <w:r w:rsidRPr="000D57F2">
        <w:rPr>
          <w:rFonts w:ascii="Verdana" w:eastAsia="Arial" w:hAnsi="Verdana" w:cs="Arial"/>
          <w:color w:val="000000"/>
        </w:rPr>
        <w:t xml:space="preserve">Decreto 957 de 2019, que adicionó al Decreto 1074 de 2015, reglamentó la clasificación de las micro, pequeñas, medianas y grandes empresas, teniendo en cuenta para ello como criterio exclusivo el de ventas </w:t>
      </w:r>
      <w:r w:rsidRPr="000D57F2">
        <w:rPr>
          <w:rFonts w:ascii="Verdana" w:eastAsia="Arial" w:hAnsi="Verdana" w:cs="Arial"/>
          <w:color w:val="000000"/>
        </w:rPr>
        <w:lastRenderedPageBreak/>
        <w:t>brutas, asimilado al de ingresos por actividades ordinarias anuales</w:t>
      </w:r>
      <w:r w:rsidRPr="000D57F2">
        <w:rPr>
          <w:rStyle w:val="Refdenotaalpie"/>
          <w:rFonts w:ascii="Verdana" w:eastAsia="Arial" w:hAnsi="Verdana" w:cs="Arial"/>
          <w:color w:val="000000"/>
        </w:rPr>
        <w:footnoteReference w:id="2"/>
      </w:r>
      <w:r w:rsidRPr="000D57F2">
        <w:rPr>
          <w:rFonts w:ascii="Verdana" w:eastAsia="Arial" w:hAnsi="Verdana" w:cs="Arial"/>
          <w:color w:val="000000"/>
        </w:rPr>
        <w:t>. En tal sentido, el artículo 2.2.1.13.2.2 de este decreto definió rangos para determinar el valor de los ingresos por actividades ordinarias anuales de acuerdo con el sector económico que se trate</w:t>
      </w:r>
      <w:r w:rsidRPr="000D57F2">
        <w:rPr>
          <w:rStyle w:val="Refdenotaalpie"/>
          <w:rFonts w:ascii="Verdana" w:eastAsia="Arial" w:hAnsi="Verdana" w:cs="Arial"/>
          <w:color w:val="000000"/>
        </w:rPr>
        <w:footnoteReference w:id="3"/>
      </w:r>
      <w:r w:rsidRPr="000D57F2">
        <w:rPr>
          <w:rFonts w:ascii="Verdana" w:eastAsia="Arial" w:hAnsi="Verdana" w:cs="Arial"/>
          <w:color w:val="000000"/>
        </w:rPr>
        <w:t xml:space="preserve">. Para la aplicación de los incentivos en el sistema de compras públicas, el parágrafo del artículo </w:t>
      </w:r>
      <w:bookmarkStart w:id="11" w:name="2.2.1.13.2.4"/>
      <w:r w:rsidRPr="000D57F2">
        <w:rPr>
          <w:rFonts w:ascii="Verdana" w:eastAsia="Arial" w:hAnsi="Verdana" w:cs="Arial"/>
          <w:color w:val="000000"/>
        </w:rPr>
        <w:t>2.2.1.13.2.4.</w:t>
      </w:r>
      <w:bookmarkEnd w:id="11"/>
      <w:r w:rsidRPr="000D57F2">
        <w:rPr>
          <w:rFonts w:ascii="Verdana" w:eastAsia="Arial" w:hAnsi="Verdana" w:cs="Arial"/>
          <w:color w:val="000000"/>
        </w:rPr>
        <w:t xml:space="preserve"> </w:t>
      </w:r>
      <w:r w:rsidRPr="000D57F2">
        <w:rPr>
          <w:rFonts w:ascii="Verdana" w:eastAsia="Arial" w:hAnsi="Verdana" w:cs="Arial"/>
          <w:i/>
          <w:iCs/>
          <w:color w:val="000000"/>
        </w:rPr>
        <w:t xml:space="preserve">ibidem </w:t>
      </w:r>
      <w:r w:rsidRPr="000D57F2">
        <w:rPr>
          <w:rFonts w:ascii="Verdana" w:eastAsia="Arial" w:hAnsi="Verdana" w:cs="Arial"/>
          <w:color w:val="000000" w:themeColor="text1"/>
        </w:rPr>
        <w:t>dispuso que la acreditación del tamaño empresarial se efectuará de acuerdo con lo previsto en el artículo </w:t>
      </w:r>
      <w:hyperlink r:id="rId13" w:anchor="2.2.1.2.4.2.4" w:history="1">
        <w:r w:rsidRPr="000D57F2">
          <w:rPr>
            <w:rStyle w:val="Hipervnculo"/>
            <w:rFonts w:ascii="Verdana" w:eastAsia="Arial" w:hAnsi="Verdana" w:cs="Arial"/>
            <w:color w:val="000000" w:themeColor="text1"/>
            <w:u w:val="none"/>
          </w:rPr>
          <w:t>2.2.1.2.4.2.4</w:t>
        </w:r>
      </w:hyperlink>
      <w:r w:rsidRPr="000D57F2">
        <w:rPr>
          <w:rFonts w:ascii="Verdana" w:eastAsia="Arial" w:hAnsi="Verdana" w:cs="Arial"/>
          <w:color w:val="000000" w:themeColor="text1"/>
        </w:rPr>
        <w:t> del Decreto 1082 de 2015 y demás normas que lo aclaren, modifiquen o adicionen.</w:t>
      </w:r>
    </w:p>
    <w:p w14:paraId="54C18146" w14:textId="77777777" w:rsidR="00D55F7B" w:rsidRPr="000D57F2" w:rsidRDefault="00D55F7B" w:rsidP="00D55F7B">
      <w:pPr>
        <w:spacing w:after="120" w:line="276" w:lineRule="auto"/>
        <w:ind w:firstLine="709"/>
        <w:jc w:val="both"/>
        <w:rPr>
          <w:rFonts w:ascii="Verdana" w:eastAsia="Calibri" w:hAnsi="Verdana" w:cs="Arial"/>
          <w:bCs/>
        </w:rPr>
      </w:pPr>
      <w:r w:rsidRPr="000D57F2">
        <w:rPr>
          <w:rFonts w:ascii="Verdana" w:eastAsia="Calibri" w:hAnsi="Verdana" w:cs="Arial"/>
          <w:bCs/>
        </w:rPr>
        <w:t xml:space="preserve">De esta manera, las empresas, sea persona natural o persona jurídica, deberán acreditar el tamaño empresarial como micro, pequeña y mediana </w:t>
      </w:r>
      <w:r w:rsidRPr="000D57F2">
        <w:rPr>
          <w:rFonts w:ascii="Verdana" w:eastAsia="Calibri" w:hAnsi="Verdana" w:cs="Arial"/>
          <w:bCs/>
        </w:rPr>
        <w:lastRenderedPageBreak/>
        <w:t xml:space="preserve">empresa, de acuerdo con el valor de los ingresos por actividades ordinarias, teniendo en cuenta el sector económico que se trate y de acuerdo con los rangos definidos en el Decreto 1074 de 2015. </w:t>
      </w:r>
    </w:p>
    <w:p w14:paraId="1E892C07" w14:textId="77777777" w:rsidR="00D55F7B" w:rsidRPr="000D57F2" w:rsidRDefault="00D55F7B" w:rsidP="00D55F7B">
      <w:pPr>
        <w:spacing w:after="120" w:line="276" w:lineRule="auto"/>
        <w:ind w:firstLine="709"/>
        <w:jc w:val="both"/>
        <w:rPr>
          <w:rFonts w:ascii="Verdana" w:eastAsia="Calibri" w:hAnsi="Verdana" w:cs="Arial"/>
          <w:bCs/>
          <w:lang w:val="es-ES_tradnl"/>
        </w:rPr>
      </w:pPr>
      <w:r w:rsidRPr="000D57F2">
        <w:rPr>
          <w:rFonts w:ascii="Verdana" w:eastAsia="Calibri" w:hAnsi="Verdana" w:cs="Arial"/>
          <w:bCs/>
        </w:rPr>
        <w:t xml:space="preserve">Ahora bien, como se indicó en líneas anteriores, para efectos de las convocatorias limitadas a </w:t>
      </w:r>
      <w:proofErr w:type="spellStart"/>
      <w:r w:rsidRPr="000D57F2">
        <w:rPr>
          <w:rFonts w:ascii="Verdana" w:eastAsia="Calibri" w:hAnsi="Verdana" w:cs="Arial"/>
          <w:bCs/>
        </w:rPr>
        <w:t>Mipyme</w:t>
      </w:r>
      <w:proofErr w:type="spellEnd"/>
      <w:r w:rsidRPr="000D57F2">
        <w:rPr>
          <w:rFonts w:ascii="Verdana" w:eastAsia="Calibri" w:hAnsi="Verdana" w:cs="Arial"/>
          <w:bCs/>
        </w:rPr>
        <w:t xml:space="preserve"> colombianas del sistema de compras públicas, el </w:t>
      </w:r>
      <w:r w:rsidRPr="000D57F2">
        <w:rPr>
          <w:rFonts w:ascii="Verdana" w:eastAsia="Calibri" w:hAnsi="Verdana" w:cs="Arial"/>
          <w:bCs/>
          <w:lang w:val="es-ES_tradnl"/>
        </w:rPr>
        <w:t xml:space="preserve">artículo 2.2.1.2.4.2.4 del Decreto 1082 de 2015 –modificado por el Decreto 1860 de 2021– determina la forma en la que se debe acreditar el tamaño empresarial, tratándose de persona natural y persona jurídica. Esta acreditación se debe realizar tanto para solicitar la limitación de la convocatoria como para participar en el proceso de selección una vez esta se haya limitado a </w:t>
      </w:r>
      <w:proofErr w:type="spellStart"/>
      <w:r w:rsidRPr="000D57F2">
        <w:rPr>
          <w:rFonts w:ascii="Verdana" w:eastAsia="Calibri" w:hAnsi="Verdana" w:cs="Arial"/>
          <w:bCs/>
          <w:lang w:val="es-ES_tradnl"/>
        </w:rPr>
        <w:t>Mipyme</w:t>
      </w:r>
      <w:proofErr w:type="spellEnd"/>
      <w:r w:rsidRPr="000D57F2">
        <w:rPr>
          <w:rFonts w:ascii="Verdana" w:eastAsia="Calibri" w:hAnsi="Verdana" w:cs="Arial"/>
          <w:bCs/>
          <w:lang w:val="es-ES_tradnl"/>
        </w:rPr>
        <w:t xml:space="preserve">. </w:t>
      </w:r>
    </w:p>
    <w:p w14:paraId="0F6ADAF8" w14:textId="77777777" w:rsidR="00D55F7B" w:rsidRPr="000D57F2" w:rsidRDefault="00D55F7B" w:rsidP="00D55F7B">
      <w:pPr>
        <w:spacing w:after="120" w:line="276" w:lineRule="auto"/>
        <w:ind w:firstLine="709"/>
        <w:jc w:val="both"/>
        <w:rPr>
          <w:rFonts w:ascii="Verdana" w:eastAsia="Calibri" w:hAnsi="Verdana" w:cs="Arial"/>
          <w:lang w:val="es-ES_tradnl"/>
        </w:rPr>
      </w:pPr>
      <w:r w:rsidRPr="000D57F2">
        <w:rPr>
          <w:rFonts w:ascii="Verdana" w:eastAsia="Calibri" w:hAnsi="Verdana" w:cs="Arial"/>
          <w:bCs/>
        </w:rPr>
        <w:t>En relación con la persona jurídica, la norma requiere que l</w:t>
      </w:r>
      <w:r w:rsidRPr="000D57F2">
        <w:rPr>
          <w:rFonts w:ascii="Verdana" w:eastAsia="Calibri" w:hAnsi="Verdana" w:cs="Arial"/>
          <w:lang w:val="es-ES_tradnl"/>
        </w:rPr>
        <w:t xml:space="preserve">a </w:t>
      </w:r>
      <w:proofErr w:type="spellStart"/>
      <w:r w:rsidRPr="000D57F2">
        <w:rPr>
          <w:rFonts w:ascii="Verdana" w:eastAsia="Calibri" w:hAnsi="Verdana" w:cs="Arial"/>
          <w:lang w:val="es-ES_tradnl"/>
        </w:rPr>
        <w:t>Mipyme</w:t>
      </w:r>
      <w:proofErr w:type="spellEnd"/>
      <w:r w:rsidRPr="000D57F2">
        <w:rPr>
          <w:rFonts w:ascii="Verdana" w:eastAsia="Calibri" w:hAnsi="Verdana" w:cs="Arial"/>
          <w:lang w:val="es-ES_tradnl"/>
        </w:rPr>
        <w:t xml:space="preserve"> colombiana acredite el tamaño empresarial mediante certificación expedida por el representante legal y el contador o revisor fiscal, si está obligada a tenerlo,</w:t>
      </w:r>
      <w:r w:rsidRPr="000D57F2">
        <w:rPr>
          <w:rFonts w:ascii="Verdana" w:eastAsia="Calibri" w:hAnsi="Verdana" w:cs="Arial"/>
          <w:sz w:val="21"/>
          <w:szCs w:val="21"/>
          <w:lang w:val="es-ES_tradnl"/>
        </w:rPr>
        <w:t xml:space="preserve"> </w:t>
      </w:r>
      <w:r w:rsidRPr="000D57F2">
        <w:rPr>
          <w:rFonts w:ascii="Verdana" w:eastAsia="Calibri" w:hAnsi="Verdana" w:cs="Arial"/>
          <w:lang w:val="es-ES_tradnl"/>
        </w:rPr>
        <w:t xml:space="preserve">adjuntando copia del certificado de existencia y representación legal expedido por la Cámara de Comercio o por la autoridad competente para expedir dicha certificación. </w:t>
      </w:r>
    </w:p>
    <w:p w14:paraId="115F0814" w14:textId="77777777" w:rsidR="00D55F7B" w:rsidRPr="000D57F2" w:rsidRDefault="00D55F7B" w:rsidP="00D55F7B">
      <w:pPr>
        <w:spacing w:after="120" w:line="276" w:lineRule="auto"/>
        <w:ind w:firstLine="709"/>
        <w:jc w:val="both"/>
        <w:rPr>
          <w:rFonts w:ascii="Verdana" w:eastAsia="Calibri" w:hAnsi="Verdana" w:cs="Arial"/>
          <w:bCs/>
          <w:lang w:val="es-ES_tradnl"/>
        </w:rPr>
      </w:pPr>
      <w:r w:rsidRPr="000D57F2">
        <w:rPr>
          <w:rFonts w:ascii="Verdana" w:eastAsia="Calibri" w:hAnsi="Verdana" w:cs="Arial"/>
          <w:lang w:val="es-ES_tradnl"/>
        </w:rPr>
        <w:t>Por su parte, tratándose de persona natural</w:t>
      </w:r>
      <w:r>
        <w:rPr>
          <w:rFonts w:ascii="Verdana" w:eastAsia="Calibri" w:hAnsi="Verdana" w:cs="Arial"/>
          <w:lang w:val="es-ES_tradnl"/>
        </w:rPr>
        <w:t xml:space="preserve"> </w:t>
      </w:r>
      <w:r w:rsidRPr="000D57F2">
        <w:rPr>
          <w:rFonts w:ascii="Verdana" w:eastAsia="Calibri" w:hAnsi="Verdana" w:cs="Arial"/>
          <w:lang w:val="es-ES_tradnl"/>
        </w:rPr>
        <w:t>exige que se acredite el tamaño empresarial mediante</w:t>
      </w:r>
      <w:r w:rsidRPr="000D57F2">
        <w:rPr>
          <w:rFonts w:ascii="Verdana" w:eastAsia="Calibri" w:hAnsi="Verdana" w:cs="Arial"/>
          <w:sz w:val="21"/>
          <w:szCs w:val="21"/>
          <w:lang w:val="es-ES_tradnl"/>
        </w:rPr>
        <w:t xml:space="preserve"> </w:t>
      </w:r>
      <w:r w:rsidRPr="000D57F2">
        <w:rPr>
          <w:rFonts w:ascii="Verdana" w:eastAsia="Calibri" w:hAnsi="Verdana" w:cs="Arial"/>
          <w:lang w:val="es-ES_tradnl"/>
        </w:rPr>
        <w:t xml:space="preserve">certificación expedida por ellos y un contador público, adjuntando copia del registro mercantil. </w:t>
      </w:r>
      <w:r w:rsidRPr="000D57F2">
        <w:rPr>
          <w:rFonts w:ascii="Verdana" w:eastAsia="Calibri" w:hAnsi="Verdana" w:cs="Arial"/>
          <w:bCs/>
          <w:lang w:val="es-ES_tradnl"/>
        </w:rPr>
        <w:t xml:space="preserve">En este caso, la intervención del contador es necesaria con el fin de que actúe en calidad de fedatario. </w:t>
      </w:r>
    </w:p>
    <w:p w14:paraId="05C5B2A6"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En relación con la exigencia del registro mercantil como medio de acreditación de la condición de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esta Agencia fijó su posición doctrinal a partir del concepto C-756 de 2021</w:t>
      </w:r>
      <w:r w:rsidRPr="5DA39631">
        <w:rPr>
          <w:rStyle w:val="Refdenotaalpie"/>
          <w:rFonts w:ascii="Verdana" w:eastAsia="Calibri" w:hAnsi="Verdana" w:cs="Arial"/>
          <w:lang w:val="es-ES"/>
        </w:rPr>
        <w:footnoteReference w:id="4"/>
      </w:r>
      <w:r w:rsidRPr="5DA39631">
        <w:rPr>
          <w:rFonts w:ascii="Verdana" w:eastAsia="Calibri" w:hAnsi="Verdana" w:cs="Arial"/>
          <w:lang w:val="es-ES"/>
        </w:rPr>
        <w:t xml:space="preserve">, en el que expuso las razones jurídicas que sustentan dicho requerimiento, las cuales, por ser aplicables al asunto objeto de consulta, resulta procedente reiterarlas. </w:t>
      </w:r>
    </w:p>
    <w:p w14:paraId="0C633372" w14:textId="77777777" w:rsidR="00D55F7B" w:rsidRPr="000D57F2" w:rsidRDefault="00D55F7B" w:rsidP="00D55F7B">
      <w:pPr>
        <w:spacing w:after="120" w:line="276" w:lineRule="auto"/>
        <w:ind w:firstLine="709"/>
        <w:jc w:val="both"/>
        <w:rPr>
          <w:rFonts w:ascii="Verdana" w:eastAsia="Calibri" w:hAnsi="Verdana" w:cs="Arial"/>
          <w:bCs/>
          <w:lang w:val="es-ES_tradnl"/>
        </w:rPr>
      </w:pPr>
      <w:r>
        <w:rPr>
          <w:rFonts w:ascii="Verdana" w:eastAsia="Calibri" w:hAnsi="Verdana" w:cs="Arial"/>
          <w:bCs/>
          <w:lang w:val="es-ES_tradnl"/>
        </w:rPr>
        <w:t xml:space="preserve">Sobre el particular, se indicó que </w:t>
      </w:r>
      <w:r w:rsidRPr="000D57F2">
        <w:rPr>
          <w:rFonts w:ascii="Verdana" w:eastAsia="Calibri" w:hAnsi="Verdana" w:cs="Arial"/>
          <w:bCs/>
          <w:lang w:val="es-ES_tradnl"/>
        </w:rPr>
        <w:t xml:space="preserve">la actividad empresarial se realiza a través de establecimientos de comercio sujetos al registro mercantil, por lo que es necesario que la persona natural acredite dicho registro de acuerdo con lo dispuesto por la ley comercial. En efecto, de conformidad con el artículo 25 del Código de Comercio, </w:t>
      </w:r>
      <w:r>
        <w:rPr>
          <w:rFonts w:ascii="Verdana" w:eastAsia="Calibri" w:hAnsi="Verdana" w:cs="Arial"/>
          <w:bCs/>
          <w:lang w:val="es-ES_tradnl"/>
        </w:rPr>
        <w:t>“</w:t>
      </w:r>
      <w:r w:rsidRPr="000D57F2">
        <w:rPr>
          <w:rFonts w:ascii="Verdana" w:eastAsia="Calibri" w:hAnsi="Verdana" w:cs="Arial"/>
          <w:bCs/>
          <w:lang w:val="es-ES_tradnl"/>
        </w:rPr>
        <w:t>Se entenderá por empresa toda actividad económica organizada para la producción, transformación, circulación, administración o custodia de bienes, o para la prestación de servicios. Dicha actividad se realizará a través de uno o más establecimientos de comercio</w:t>
      </w:r>
      <w:r>
        <w:rPr>
          <w:rFonts w:ascii="Verdana" w:eastAsia="Calibri" w:hAnsi="Verdana" w:cs="Arial"/>
          <w:bCs/>
          <w:lang w:val="es-ES_tradnl"/>
        </w:rPr>
        <w:t>”</w:t>
      </w:r>
      <w:r w:rsidRPr="000D57F2">
        <w:rPr>
          <w:rFonts w:ascii="Verdana" w:eastAsia="Calibri" w:hAnsi="Verdana" w:cs="Arial"/>
          <w:bCs/>
          <w:lang w:val="es-ES_tradnl"/>
        </w:rPr>
        <w:t xml:space="preserve">. Por su parte, el artículo </w:t>
      </w:r>
      <w:r w:rsidRPr="000D57F2">
        <w:rPr>
          <w:rFonts w:ascii="Verdana" w:eastAsia="Calibri" w:hAnsi="Verdana" w:cs="Arial"/>
          <w:bCs/>
          <w:lang w:val="es-ES_tradnl"/>
        </w:rPr>
        <w:lastRenderedPageBreak/>
        <w:t xml:space="preserve">26 </w:t>
      </w:r>
      <w:r w:rsidRPr="000D57F2">
        <w:rPr>
          <w:rFonts w:ascii="Verdana" w:eastAsia="Calibri" w:hAnsi="Verdana" w:cs="Arial"/>
          <w:bCs/>
          <w:i/>
          <w:iCs/>
          <w:lang w:val="es-ES_tradnl"/>
        </w:rPr>
        <w:t>ibidem</w:t>
      </w:r>
      <w:r w:rsidRPr="000D57F2">
        <w:rPr>
          <w:rFonts w:ascii="Verdana" w:eastAsia="Calibri" w:hAnsi="Verdana" w:cs="Arial"/>
          <w:bCs/>
          <w:lang w:val="es-ES_tradnl"/>
        </w:rPr>
        <w:t xml:space="preserve"> dispone que </w:t>
      </w:r>
      <w:r>
        <w:rPr>
          <w:rFonts w:ascii="Verdana" w:eastAsia="Calibri" w:hAnsi="Verdana" w:cs="Arial"/>
          <w:bCs/>
          <w:lang w:val="es-ES_tradnl"/>
        </w:rPr>
        <w:t>“</w:t>
      </w:r>
      <w:r w:rsidRPr="000D57F2">
        <w:rPr>
          <w:rFonts w:ascii="Verdana" w:eastAsia="Calibri" w:hAnsi="Verdana" w:cs="Arial"/>
          <w:bCs/>
          <w:lang w:val="es-ES_tradnl"/>
        </w:rPr>
        <w:t>el registro mercantil tendrá por objeto llevar la matrícula de los comerciantes y de los establecimientos de comercio, así como la inscripción de todos los actos, libros y documentos respecto de los cuales la ley exigiere esa formalidad</w:t>
      </w:r>
      <w:r>
        <w:rPr>
          <w:rFonts w:ascii="Verdana" w:eastAsia="Calibri" w:hAnsi="Verdana" w:cs="Arial"/>
          <w:bCs/>
          <w:lang w:val="es-ES_tradnl"/>
        </w:rPr>
        <w:t>”</w:t>
      </w:r>
      <w:r w:rsidRPr="000D57F2">
        <w:rPr>
          <w:rFonts w:ascii="Verdana" w:eastAsia="Calibri" w:hAnsi="Verdana" w:cs="Arial"/>
          <w:bCs/>
          <w:lang w:val="es-ES_tradnl"/>
        </w:rPr>
        <w:t>. En ese sentido, para la ley comercial la actividad económica empresarial se ejerce mediante establecimientos de comercio que están sujetos al registro mercantil</w:t>
      </w:r>
      <w:r w:rsidRPr="000D57F2">
        <w:rPr>
          <w:rStyle w:val="Refdenotaalpie"/>
          <w:rFonts w:ascii="Verdana" w:eastAsia="Calibri" w:hAnsi="Verdana" w:cs="Arial"/>
          <w:bCs/>
          <w:lang w:val="es-ES_tradnl"/>
        </w:rPr>
        <w:footnoteReference w:id="5"/>
      </w:r>
      <w:r w:rsidRPr="000D57F2">
        <w:rPr>
          <w:rFonts w:ascii="Verdana" w:eastAsia="Calibri" w:hAnsi="Verdana" w:cs="Arial"/>
          <w:bCs/>
          <w:lang w:val="es-ES_tradnl"/>
        </w:rPr>
        <w:t xml:space="preserve">. </w:t>
      </w:r>
    </w:p>
    <w:p w14:paraId="54B9452D" w14:textId="77777777" w:rsidR="00D55F7B" w:rsidRPr="000D57F2" w:rsidRDefault="00D55F7B" w:rsidP="00D55F7B">
      <w:pPr>
        <w:spacing w:after="120" w:line="276" w:lineRule="auto"/>
        <w:ind w:firstLine="709"/>
        <w:jc w:val="both"/>
        <w:rPr>
          <w:rFonts w:ascii="Verdana" w:eastAsia="Calibri" w:hAnsi="Verdana" w:cs="Arial"/>
          <w:bCs/>
        </w:rPr>
      </w:pPr>
      <w:r w:rsidRPr="000D57F2">
        <w:rPr>
          <w:rFonts w:ascii="Verdana" w:eastAsia="Calibri" w:hAnsi="Verdana" w:cs="Arial"/>
          <w:bCs/>
          <w:lang w:val="es-ES_tradnl"/>
        </w:rPr>
        <w:t xml:space="preserve">Lo expuesto resulta de especial importancia si se tiene en cuenta que conforme al </w:t>
      </w:r>
      <w:r w:rsidRPr="000D57F2">
        <w:rPr>
          <w:rFonts w:ascii="Verdana" w:eastAsia="Calibri" w:hAnsi="Verdana" w:cs="Arial"/>
          <w:bCs/>
        </w:rPr>
        <w:t xml:space="preserve">artículo 2 de La Ley 905 de 2004 la clasificación por tamaño empresarial parte de la base del ejercicio de la actividad empresarial. Esto significa que para efectos de la clasificación como micro, pequeña y mediana empresa, la persona natural o jurídica debe realizar actividades empresariales sean estas agropecuarias, industriales, comerciales o de servicios, en el área rural o urbana y además cumplir con los criterios definidos en la Ley. </w:t>
      </w:r>
      <w:r w:rsidRPr="000D57F2">
        <w:rPr>
          <w:rFonts w:ascii="Verdana" w:eastAsia="Calibri" w:hAnsi="Verdana" w:cs="Arial"/>
          <w:bCs/>
          <w:lang w:val="es-ES_tradnl"/>
        </w:rPr>
        <w:t xml:space="preserve">Por ello, en el caso de las </w:t>
      </w:r>
      <w:proofErr w:type="spellStart"/>
      <w:r w:rsidRPr="000D57F2">
        <w:rPr>
          <w:rFonts w:ascii="Verdana" w:eastAsia="Calibri" w:hAnsi="Verdana" w:cs="Arial"/>
          <w:bCs/>
          <w:lang w:val="es-ES_tradnl"/>
        </w:rPr>
        <w:t>Mipyme</w:t>
      </w:r>
      <w:proofErr w:type="spellEnd"/>
      <w:r w:rsidRPr="000D57F2">
        <w:rPr>
          <w:rFonts w:ascii="Verdana" w:eastAsia="Calibri" w:hAnsi="Verdana" w:cs="Arial"/>
          <w:bCs/>
          <w:lang w:val="es-ES_tradnl"/>
        </w:rPr>
        <w:t xml:space="preserve"> personas naturales, el registro mercantil es necesario para acreditar la actividad empresarial en los términos señalados.</w:t>
      </w:r>
    </w:p>
    <w:p w14:paraId="629FA1FE" w14:textId="77777777" w:rsidR="00D55F7B" w:rsidRPr="000D57F2" w:rsidRDefault="00D55F7B" w:rsidP="00D55F7B">
      <w:pPr>
        <w:spacing w:after="120" w:line="276" w:lineRule="auto"/>
        <w:ind w:firstLine="709"/>
        <w:jc w:val="both"/>
        <w:rPr>
          <w:rFonts w:ascii="Verdana" w:eastAsia="Calibri" w:hAnsi="Verdana" w:cs="Arial"/>
          <w:bCs/>
          <w:lang w:val="es-ES_tradnl"/>
        </w:rPr>
      </w:pPr>
      <w:r w:rsidRPr="000D57F2">
        <w:rPr>
          <w:rFonts w:ascii="Verdana" w:eastAsia="Calibri" w:hAnsi="Verdana" w:cs="Arial"/>
          <w:bCs/>
        </w:rPr>
        <w:t xml:space="preserve">Adicionalmente, cabe anotar que el artículo </w:t>
      </w:r>
      <w:r w:rsidRPr="000D57F2">
        <w:rPr>
          <w:rFonts w:ascii="Verdana" w:eastAsia="Arial" w:hAnsi="Verdana" w:cs="Arial"/>
          <w:color w:val="000000"/>
        </w:rPr>
        <w:t xml:space="preserve">2.2.1.2.4.2.2. del Decreto 1082 de 2015 dispone que la </w:t>
      </w:r>
      <w:proofErr w:type="spellStart"/>
      <w:r w:rsidRPr="000D57F2">
        <w:rPr>
          <w:rFonts w:ascii="Verdana" w:eastAsia="Arial" w:hAnsi="Verdana" w:cs="Arial"/>
          <w:color w:val="000000"/>
        </w:rPr>
        <w:t>Mipyme</w:t>
      </w:r>
      <w:proofErr w:type="spellEnd"/>
      <w:r w:rsidRPr="000D57F2">
        <w:rPr>
          <w:rFonts w:ascii="Verdana" w:eastAsia="Arial" w:hAnsi="Verdana" w:cs="Arial"/>
          <w:color w:val="000000"/>
        </w:rPr>
        <w:t xml:space="preserve"> debe contar con mínimo un (1) año de existencia. </w:t>
      </w:r>
      <w:r w:rsidRPr="000D57F2">
        <w:rPr>
          <w:rFonts w:ascii="Verdana" w:eastAsia="Calibri" w:hAnsi="Verdana" w:cs="Arial"/>
          <w:bCs/>
          <w:lang w:val="es-ES_tradnl"/>
        </w:rPr>
        <w:t xml:space="preserve">En consecuencia, el registro mercantil </w:t>
      </w:r>
      <w:r w:rsidRPr="00901CE8">
        <w:rPr>
          <w:rFonts w:ascii="Verdana" w:eastAsia="Calibri" w:hAnsi="Verdana" w:cs="Arial"/>
          <w:bCs/>
        </w:rPr>
        <w:t xml:space="preserve">resulta necesario para verificar que la </w:t>
      </w:r>
      <w:proofErr w:type="spellStart"/>
      <w:r w:rsidRPr="00901CE8">
        <w:rPr>
          <w:rFonts w:ascii="Verdana" w:eastAsia="Calibri" w:hAnsi="Verdana" w:cs="Arial"/>
          <w:bCs/>
        </w:rPr>
        <w:t>Mipyme</w:t>
      </w:r>
      <w:proofErr w:type="spellEnd"/>
      <w:r w:rsidRPr="00901CE8">
        <w:rPr>
          <w:rFonts w:ascii="Verdana" w:eastAsia="Calibri" w:hAnsi="Verdana" w:cs="Arial"/>
          <w:bCs/>
        </w:rPr>
        <w:t xml:space="preserve"> persona natural cumpla el requisito de existencia del artículo 2.2.1.2.4.2.2 del Decreto 1082 de 2015, sin perjuicio de que dicho requisito también pueda constatarse a través del Registro Único de Proponentes cuando el proponente opte por este medio alternativo de acreditación.</w:t>
      </w:r>
    </w:p>
    <w:p w14:paraId="21167487" w14:textId="77777777" w:rsidR="00D55F7B" w:rsidRDefault="00D55F7B" w:rsidP="00D55F7B">
      <w:pPr>
        <w:spacing w:after="120" w:line="276" w:lineRule="auto"/>
        <w:ind w:firstLine="709"/>
        <w:jc w:val="both"/>
        <w:rPr>
          <w:rFonts w:ascii="Verdana" w:eastAsia="Calibri" w:hAnsi="Verdana" w:cs="Arial"/>
          <w:bCs/>
        </w:rPr>
      </w:pPr>
      <w:r w:rsidRPr="000D57F2">
        <w:rPr>
          <w:rFonts w:ascii="Verdana" w:eastAsia="Calibri" w:hAnsi="Verdana" w:cs="Arial"/>
          <w:bCs/>
        </w:rPr>
        <w:t xml:space="preserve">En este punto, es pertinente aclarar que el registro mercantil solicitado por el numeral 1 del </w:t>
      </w:r>
      <w:r w:rsidRPr="000D57F2">
        <w:rPr>
          <w:rFonts w:ascii="Verdana" w:eastAsia="Calibri" w:hAnsi="Verdana" w:cs="Arial"/>
          <w:bCs/>
          <w:lang w:val="es-ES_tradnl"/>
        </w:rPr>
        <w:t xml:space="preserve">artículo </w:t>
      </w:r>
      <w:r w:rsidRPr="000D57F2">
        <w:rPr>
          <w:rFonts w:ascii="Verdana" w:eastAsia="Calibri" w:hAnsi="Verdana" w:cs="Arial"/>
          <w:bCs/>
        </w:rPr>
        <w:t>2.2.1.2.4.2.4. del Decreto 1082 de</w:t>
      </w:r>
      <w:r>
        <w:rPr>
          <w:rFonts w:ascii="Verdana" w:eastAsia="Calibri" w:hAnsi="Verdana" w:cs="Arial"/>
          <w:bCs/>
        </w:rPr>
        <w:t xml:space="preserve"> 2015</w:t>
      </w:r>
      <w:r w:rsidRPr="000D57F2">
        <w:rPr>
          <w:rFonts w:ascii="Verdana" w:eastAsia="Calibri" w:hAnsi="Verdana" w:cs="Arial"/>
          <w:bCs/>
        </w:rPr>
        <w:t xml:space="preserve"> únicamente es requerido en el marco de las convocatorias limitada a </w:t>
      </w:r>
      <w:proofErr w:type="spellStart"/>
      <w:r w:rsidRPr="000D57F2">
        <w:rPr>
          <w:rFonts w:ascii="Verdana" w:eastAsia="Calibri" w:hAnsi="Verdana" w:cs="Arial"/>
          <w:bCs/>
        </w:rPr>
        <w:t>Mipyme</w:t>
      </w:r>
      <w:proofErr w:type="spellEnd"/>
      <w:r w:rsidRPr="000D57F2">
        <w:rPr>
          <w:rFonts w:ascii="Verdana" w:eastAsia="Calibri" w:hAnsi="Verdana" w:cs="Arial"/>
          <w:bCs/>
        </w:rPr>
        <w:t>. Por tanto, aunque la persona natural no est</w:t>
      </w:r>
      <w:r>
        <w:rPr>
          <w:rFonts w:ascii="Verdana" w:eastAsia="Calibri" w:hAnsi="Verdana" w:cs="Arial"/>
          <w:bCs/>
        </w:rPr>
        <w:t>é</w:t>
      </w:r>
      <w:r w:rsidRPr="000D57F2">
        <w:rPr>
          <w:rFonts w:ascii="Verdana" w:eastAsia="Calibri" w:hAnsi="Verdana" w:cs="Arial"/>
          <w:bCs/>
        </w:rPr>
        <w:t xml:space="preserve"> obligada a contar con registro mercantil para participar en el proceso de selección, si deberá presentar dicho documento en caso de que pretenda que el proceso de selección sea limitado a </w:t>
      </w:r>
      <w:proofErr w:type="spellStart"/>
      <w:r w:rsidRPr="000D57F2">
        <w:rPr>
          <w:rFonts w:ascii="Verdana" w:eastAsia="Calibri" w:hAnsi="Verdana" w:cs="Arial"/>
          <w:bCs/>
        </w:rPr>
        <w:t>Mipyme</w:t>
      </w:r>
      <w:proofErr w:type="spellEnd"/>
      <w:r w:rsidRPr="000D57F2">
        <w:rPr>
          <w:rFonts w:ascii="Verdana" w:eastAsia="Calibri" w:hAnsi="Verdana" w:cs="Arial"/>
          <w:bCs/>
        </w:rPr>
        <w:t xml:space="preserve"> y para participar en convocatorias limitadas a </w:t>
      </w:r>
      <w:proofErr w:type="spellStart"/>
      <w:r w:rsidRPr="000D57F2">
        <w:rPr>
          <w:rFonts w:ascii="Verdana" w:eastAsia="Calibri" w:hAnsi="Verdana" w:cs="Arial"/>
          <w:bCs/>
        </w:rPr>
        <w:t>Mipyme</w:t>
      </w:r>
      <w:proofErr w:type="spellEnd"/>
      <w:r w:rsidRPr="000D57F2">
        <w:rPr>
          <w:rFonts w:ascii="Verdana" w:eastAsia="Calibri" w:hAnsi="Verdana" w:cs="Arial"/>
          <w:bCs/>
        </w:rPr>
        <w:t xml:space="preserve">. </w:t>
      </w:r>
    </w:p>
    <w:p w14:paraId="75811E0E" w14:textId="77777777" w:rsidR="00D55F7B" w:rsidRDefault="00D55F7B" w:rsidP="00D55F7B">
      <w:pPr>
        <w:spacing w:after="120" w:line="276" w:lineRule="auto"/>
        <w:ind w:firstLine="709"/>
        <w:jc w:val="both"/>
        <w:rPr>
          <w:rFonts w:ascii="Verdana" w:eastAsia="Calibri" w:hAnsi="Verdana" w:cs="Arial"/>
          <w:lang w:val="es-ES_tradnl"/>
        </w:rPr>
      </w:pPr>
      <w:r w:rsidRPr="000D57F2">
        <w:rPr>
          <w:rFonts w:ascii="Verdana" w:eastAsia="Calibri" w:hAnsi="Verdana" w:cs="Arial"/>
          <w:bCs/>
        </w:rPr>
        <w:lastRenderedPageBreak/>
        <w:t xml:space="preserve">En este sentido, para efectos del </w:t>
      </w:r>
      <w:r w:rsidRPr="000D57F2">
        <w:rPr>
          <w:rFonts w:ascii="Verdana" w:eastAsia="Calibri" w:hAnsi="Verdana" w:cs="Arial"/>
          <w:bCs/>
          <w:lang w:val="es-ES_tradnl"/>
        </w:rPr>
        <w:t xml:space="preserve">artículo </w:t>
      </w:r>
      <w:r w:rsidRPr="000D57F2">
        <w:rPr>
          <w:rFonts w:ascii="Verdana" w:eastAsia="Calibri" w:hAnsi="Verdana" w:cs="Arial"/>
          <w:bCs/>
        </w:rPr>
        <w:t xml:space="preserve">2.2.1.2.4.2.4. del Decreto 1082 de 2015, la acreditación de la actividad y el tamaño empresarial de la </w:t>
      </w:r>
      <w:proofErr w:type="spellStart"/>
      <w:r w:rsidRPr="000D57F2">
        <w:rPr>
          <w:rFonts w:ascii="Verdana" w:eastAsia="Calibri" w:hAnsi="Verdana" w:cs="Arial"/>
          <w:bCs/>
        </w:rPr>
        <w:t>Mipyme</w:t>
      </w:r>
      <w:proofErr w:type="spellEnd"/>
      <w:r w:rsidRPr="000D57F2">
        <w:rPr>
          <w:rFonts w:ascii="Verdana" w:eastAsia="Calibri" w:hAnsi="Verdana" w:cs="Arial"/>
          <w:bCs/>
        </w:rPr>
        <w:t xml:space="preserve"> persona natural, solo será válida mediante la presentación de los documentos establecidos en el numeral 1 de la norma señalada</w:t>
      </w:r>
      <w:r>
        <w:rPr>
          <w:rFonts w:ascii="Verdana" w:eastAsia="Calibri" w:hAnsi="Verdana" w:cs="Arial"/>
          <w:bCs/>
        </w:rPr>
        <w:t xml:space="preserve">, </w:t>
      </w:r>
      <w:r w:rsidRPr="000D57F2">
        <w:rPr>
          <w:rFonts w:ascii="Verdana" w:eastAsia="Calibri" w:hAnsi="Verdana" w:cs="Arial"/>
          <w:bCs/>
        </w:rPr>
        <w:t xml:space="preserve">esto es, </w:t>
      </w:r>
      <w:r w:rsidRPr="000D57F2">
        <w:rPr>
          <w:rFonts w:ascii="Verdana" w:eastAsia="Calibri" w:hAnsi="Verdana" w:cs="Arial"/>
          <w:lang w:val="es-ES_tradnl"/>
        </w:rPr>
        <w:t>certificación expedida por ellos y un contador público, adjuntando copia del registro mercantil</w:t>
      </w:r>
      <w:r w:rsidRPr="000D57F2">
        <w:rPr>
          <w:rFonts w:ascii="Verdana" w:hAnsi="Verdana"/>
        </w:rPr>
        <w:t xml:space="preserve"> </w:t>
      </w:r>
      <w:r w:rsidRPr="000D57F2">
        <w:rPr>
          <w:rFonts w:ascii="Verdana" w:eastAsia="Calibri" w:hAnsi="Verdana" w:cs="Arial"/>
          <w:lang w:val="es-ES_tradnl"/>
        </w:rPr>
        <w:t>con una fecha de máximo sesenta (60) días calendario anteriores a la prevista en el cronograma del proceso de contratación para el inicio del plazo para solicitar la convocatoria limitada. En efecto, esta exigencia es creada en los términos indicados precisamente por el Decreto 1860 de 2021.</w:t>
      </w:r>
    </w:p>
    <w:p w14:paraId="756AF612" w14:textId="77777777" w:rsidR="00D55F7B" w:rsidRDefault="00D55F7B" w:rsidP="00D55F7B">
      <w:pPr>
        <w:spacing w:after="120" w:line="276" w:lineRule="auto"/>
        <w:ind w:firstLine="709"/>
        <w:jc w:val="both"/>
        <w:rPr>
          <w:rFonts w:ascii="Verdana" w:eastAsia="Calibri" w:hAnsi="Verdana" w:cs="Arial"/>
          <w:bCs/>
          <w:lang w:val="es-ES_tradnl"/>
        </w:rPr>
      </w:pPr>
      <w:r>
        <w:rPr>
          <w:rFonts w:ascii="Verdana" w:eastAsia="Calibri" w:hAnsi="Verdana" w:cs="Arial"/>
          <w:bCs/>
          <w:lang w:val="es-ES_tradnl"/>
        </w:rPr>
        <w:t>E</w:t>
      </w:r>
      <w:r w:rsidRPr="000D57F2">
        <w:rPr>
          <w:rFonts w:ascii="Verdana" w:eastAsia="Calibri" w:hAnsi="Verdana" w:cs="Arial"/>
          <w:bCs/>
          <w:lang w:val="es-ES_tradnl"/>
        </w:rPr>
        <w:t xml:space="preserve">s preciso señalar que el parágrafo primero del artículo citado permite acreditar la condición de </w:t>
      </w:r>
      <w:proofErr w:type="spellStart"/>
      <w:r w:rsidRPr="000D57F2">
        <w:rPr>
          <w:rFonts w:ascii="Verdana" w:eastAsia="Calibri" w:hAnsi="Verdana" w:cs="Arial"/>
          <w:bCs/>
          <w:lang w:val="es-ES_tradnl"/>
        </w:rPr>
        <w:t>Mipyme</w:t>
      </w:r>
      <w:proofErr w:type="spellEnd"/>
      <w:r w:rsidRPr="000D57F2">
        <w:rPr>
          <w:rFonts w:ascii="Verdana" w:eastAsia="Calibri" w:hAnsi="Verdana" w:cs="Arial"/>
          <w:bCs/>
          <w:lang w:val="es-ES_tradnl"/>
        </w:rPr>
        <w:t xml:space="preserve"> con la copia del certificado del Registro Único de Proponentes –RUP–. De esta manera, la </w:t>
      </w:r>
      <w:proofErr w:type="spellStart"/>
      <w:r w:rsidRPr="000D57F2">
        <w:rPr>
          <w:rFonts w:ascii="Verdana" w:eastAsia="Calibri" w:hAnsi="Verdana" w:cs="Arial"/>
          <w:bCs/>
          <w:lang w:val="es-ES_tradnl"/>
        </w:rPr>
        <w:t>Mipyme</w:t>
      </w:r>
      <w:proofErr w:type="spellEnd"/>
      <w:r w:rsidRPr="000D57F2">
        <w:rPr>
          <w:rFonts w:ascii="Verdana" w:eastAsia="Calibri" w:hAnsi="Verdana" w:cs="Arial"/>
          <w:bCs/>
          <w:lang w:val="es-ES_tradnl"/>
        </w:rPr>
        <w:t xml:space="preserve">, sea persona natural o persona jurídica, podrá acreditar la actividad y el tamaño empresarial exigido por la ley, presentando el RUP, documento que en este caso es de carácter opcional, es decir, es un medio de prueba alternativo establecido por el mismo reglamento. En consecuencia, en caso de que la </w:t>
      </w:r>
      <w:proofErr w:type="spellStart"/>
      <w:r w:rsidRPr="000D57F2">
        <w:rPr>
          <w:rFonts w:ascii="Verdana" w:eastAsia="Calibri" w:hAnsi="Verdana" w:cs="Arial"/>
          <w:bCs/>
          <w:lang w:val="es-ES_tradnl"/>
        </w:rPr>
        <w:t>Mipyme</w:t>
      </w:r>
      <w:proofErr w:type="spellEnd"/>
      <w:r w:rsidRPr="000D57F2">
        <w:rPr>
          <w:rFonts w:ascii="Verdana" w:eastAsia="Calibri" w:hAnsi="Verdana" w:cs="Arial"/>
          <w:bCs/>
          <w:lang w:val="es-ES_tradnl"/>
        </w:rPr>
        <w:t xml:space="preserve"> cuente con este documento podrá aportarlo de acuerdo con lo dispuesto en el artículo </w:t>
      </w:r>
      <w:r w:rsidRPr="000D57F2">
        <w:rPr>
          <w:rFonts w:ascii="Verdana" w:eastAsia="Calibri" w:hAnsi="Verdana" w:cs="Arial"/>
          <w:bCs/>
        </w:rPr>
        <w:t xml:space="preserve">2.2.1.2.4.2.4. del Decreto 1082 de 2015 –modificado por el Decreto 1860 de 2021–, </w:t>
      </w:r>
      <w:r w:rsidRPr="000D57F2">
        <w:rPr>
          <w:rFonts w:ascii="Verdana" w:eastAsia="Calibri" w:hAnsi="Verdana" w:cs="Arial"/>
          <w:bCs/>
          <w:lang w:val="es-ES_tradnl"/>
        </w:rPr>
        <w:t xml:space="preserve">de lo contrario deberá allegar la documentación respectiva conforme lo disponen los numerales 1 y 2 de la norma en cita, según sea el caso. </w:t>
      </w:r>
    </w:p>
    <w:p w14:paraId="236EFB77"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Bajo estas consideraciones, y de conformidad con el marco normativo expuesto, se tiene que, tratándose de personas naturales, la condición de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debe acreditarse mediante el registro mercantil o, alternativamente, a través del RUP, en los términos previstos en el artículo 2.2.1.2.4.2.4 del Decreto 1082 de 2015, lo cual resulta aplicable con independencia de que la persona natural tenga la calidad de comerciante o ejerza una profesión liberal, toda vez que la disposición reglamentaria no establece diferenciación alguna entre estos sujetos.</w:t>
      </w:r>
    </w:p>
    <w:p w14:paraId="73B1BF7F"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En este sentido, conforme al principio general de interpretación jurídica según el cual </w:t>
      </w:r>
      <w:r w:rsidRPr="5DA39631">
        <w:rPr>
          <w:rFonts w:ascii="Verdana" w:eastAsia="Calibri" w:hAnsi="Verdana" w:cs="Arial"/>
          <w:i/>
          <w:lang w:val="es-ES"/>
        </w:rPr>
        <w:t>donde la ley no distingue, no le corresponde distinguir al intérprete,</w:t>
      </w:r>
      <w:r w:rsidRPr="5DA39631">
        <w:rPr>
          <w:rFonts w:ascii="Verdana" w:eastAsia="Calibri" w:hAnsi="Verdana" w:cs="Arial"/>
          <w:lang w:val="es-ES"/>
        </w:rPr>
        <w:t xml:space="preserve"> no resulta procedente introducir excepciones o tratamientos diferenciados que el propio reglamento no contempló. En consecuencia, no es posible sostener que las personas naturales que ejercen profesiones liberales puedan acreditar la condición de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mediante documentos distintos de los expresamente </w:t>
      </w:r>
      <w:r w:rsidRPr="5DA39631">
        <w:rPr>
          <w:rFonts w:ascii="Verdana" w:eastAsia="Calibri" w:hAnsi="Verdana" w:cs="Arial"/>
          <w:lang w:val="es-ES"/>
        </w:rPr>
        <w:lastRenderedPageBreak/>
        <w:t>previstos en la norma, pues ello implicaría incorporar una excepción no prevista por el reglamento.</w:t>
      </w:r>
    </w:p>
    <w:p w14:paraId="050C5EFB"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Es importante precisar que el artículo 2.2.1.2.4.2.4 del Decreto 1082 de 2015 no se limita a exigir la condición de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conforme a la Ley 590 de 2000 y al Decreto 957 de 2019, sino que también regula de manera expresa los medios a través de los cuales dicha condición debe acreditarse dentro del procedimiento de selección, contemplando unos medios probatorios específico para las personas naturales. En ese contexto, a juicio de esta Agencia, la circunstancia de que determinadas personas naturales, como aquellas que ejercen profesiones liberales, no se encuentren legalmente obligadas a inscribirse en el registro mercantil, no tiene la virtualidad de modificar el régimen de acreditación previsto por el reglamento, máxime cuando dicha norma previó una alternativa de acreditación consistente en la presentación del RUP.</w:t>
      </w:r>
    </w:p>
    <w:p w14:paraId="46A46FC4"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Lo anterior no significa que las personas naturales que ejercen profesiones liberales estén obligadas a inscribirse en el registro mercantil para el desarrollo de su actividad profesional, pues dicha circunstancia continúa rigiéndose por las disposiciones que regulan el ejercicio de tales profesiones. Por el contrario, lo que implica es que, cuando estas personas decidan acceder a las medidas de fomento establecidas en favor de las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deberán sujetarse al régimen especial que regula dichos beneficios y acreditar el cumplimiento de los requisitos en la forma prevista por el artículo 2.2.1.2.4.2.4 del Decreto 1082 de 2015.</w:t>
      </w:r>
    </w:p>
    <w:p w14:paraId="2D608EF7" w14:textId="77777777" w:rsidR="00D55F7B" w:rsidRDefault="00D55F7B" w:rsidP="00D55F7B">
      <w:pPr>
        <w:spacing w:after="120" w:line="276" w:lineRule="auto"/>
        <w:ind w:firstLine="709"/>
        <w:jc w:val="both"/>
        <w:rPr>
          <w:rFonts w:ascii="Verdana" w:eastAsia="Calibri" w:hAnsi="Verdana" w:cs="Arial"/>
          <w:lang w:val="es-ES"/>
        </w:rPr>
      </w:pPr>
      <w:r w:rsidRPr="00A13696">
        <w:rPr>
          <w:rFonts w:ascii="Verdana" w:eastAsia="Calibri" w:hAnsi="Verdana" w:cs="Arial"/>
        </w:rPr>
        <w:t xml:space="preserve">No se opone a lo anterior el hecho de que, conforme al numeral 5 del artículo 23 del Código de Comercio, la prestación de servicios inherentes a las profesiones liberales no constituya acto de comercio y, por tanto, no imponga a quien las ejerce la calidad de comerciante ni la obligación de matricularse en el registro mercantil. Ese carácter no mercantil se predica del ejercicio de la profesión, pero no releva a quien voluntariamente pretende acceder a las convocatorias limitadas a </w:t>
      </w:r>
      <w:proofErr w:type="spellStart"/>
      <w:r w:rsidRPr="00A13696">
        <w:rPr>
          <w:rFonts w:ascii="Verdana" w:eastAsia="Calibri" w:hAnsi="Verdana" w:cs="Arial"/>
        </w:rPr>
        <w:t>Mipyme</w:t>
      </w:r>
      <w:proofErr w:type="spellEnd"/>
      <w:r w:rsidRPr="00A13696">
        <w:rPr>
          <w:rFonts w:ascii="Verdana" w:eastAsia="Calibri" w:hAnsi="Verdana" w:cs="Arial"/>
        </w:rPr>
        <w:t xml:space="preserve"> de observar el régimen probatorio que el reglamento estableció para tal efecto. Precisamente por ello el artículo 2.2.1.2.4.2.4 previó, en su parágrafo 1, el Registro Único de Proponentes como medio de acreditación alternativo, idóneo para quien, por no ser comerciante, carece de registro mercantil. De este modo, la exigencia reglamentaria se concilia con el artículo 23 del Código de Comercio, sin que la no </w:t>
      </w:r>
      <w:proofErr w:type="spellStart"/>
      <w:r w:rsidRPr="00A13696">
        <w:rPr>
          <w:rFonts w:ascii="Verdana" w:eastAsia="Calibri" w:hAnsi="Verdana" w:cs="Arial"/>
        </w:rPr>
        <w:t>mercantilidad</w:t>
      </w:r>
      <w:proofErr w:type="spellEnd"/>
      <w:r w:rsidRPr="00A13696">
        <w:rPr>
          <w:rFonts w:ascii="Verdana" w:eastAsia="Calibri" w:hAnsi="Verdana" w:cs="Arial"/>
        </w:rPr>
        <w:t xml:space="preserve"> </w:t>
      </w:r>
      <w:r w:rsidRPr="00A13696">
        <w:rPr>
          <w:rFonts w:ascii="Verdana" w:eastAsia="Calibri" w:hAnsi="Verdana" w:cs="Arial"/>
        </w:rPr>
        <w:lastRenderedPageBreak/>
        <w:t>de la actividad profesional excluya al interesado del acceso a las medidas de fomento</w:t>
      </w:r>
      <w:r>
        <w:rPr>
          <w:rFonts w:ascii="Verdana" w:eastAsia="Calibri" w:hAnsi="Verdana" w:cs="Arial"/>
        </w:rPr>
        <w:t>.</w:t>
      </w:r>
    </w:p>
    <w:p w14:paraId="6C596E9F"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En otras palabras, el régimen de acreditación de la condición de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no modifica las reglas aplicables al ejercicio de las profesiones liberales ni impone la obligación de adquirir la calidad de comerciante o de obtener registro mercantil cuando esta no sea exigible por la ley. Simplemente establece las formalidades que deben observar quienes, con independencia de la actividad económica que desarrollen, pretendan acceder </w:t>
      </w:r>
      <w:r>
        <w:rPr>
          <w:rFonts w:ascii="Verdana" w:eastAsia="Calibri" w:hAnsi="Verdana" w:cs="Arial"/>
          <w:lang w:val="es-ES"/>
        </w:rPr>
        <w:t xml:space="preserve">a </w:t>
      </w:r>
      <w:r w:rsidRPr="5DA39631">
        <w:rPr>
          <w:rFonts w:ascii="Verdana" w:eastAsia="Calibri" w:hAnsi="Verdana" w:cs="Arial"/>
          <w:lang w:val="es-ES"/>
        </w:rPr>
        <w:t xml:space="preserve">las convocatorias limitadas a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w:t>
      </w:r>
    </w:p>
    <w:p w14:paraId="3DF5C23F" w14:textId="77777777" w:rsidR="00D55F7B" w:rsidRDefault="00D55F7B" w:rsidP="00D55F7B">
      <w:pPr>
        <w:spacing w:after="120" w:line="276" w:lineRule="auto"/>
        <w:ind w:firstLine="709"/>
        <w:jc w:val="both"/>
        <w:rPr>
          <w:rFonts w:ascii="Verdana" w:eastAsia="Calibri" w:hAnsi="Verdana" w:cs="Arial"/>
          <w:lang w:val="es-ES"/>
        </w:rPr>
      </w:pPr>
      <w:r w:rsidRPr="5DA39631">
        <w:rPr>
          <w:rFonts w:ascii="Verdana" w:eastAsia="Calibri" w:hAnsi="Verdana" w:cs="Arial"/>
          <w:lang w:val="es-ES"/>
        </w:rPr>
        <w:t xml:space="preserve">Por tanto, la exigencia del registro mercantil como medio de acreditación no puede interpretarse como una restricción frente a las personas naturales que, por la naturaleza de su actividad, no están obligadas a contar con el registro mercantil, ya que dichas personas conservan la posibilidad de acceder a las convocatorias limitadas a </w:t>
      </w:r>
      <w:proofErr w:type="spellStart"/>
      <w:r w:rsidRPr="5DA39631">
        <w:rPr>
          <w:rFonts w:ascii="Verdana" w:eastAsia="Calibri" w:hAnsi="Verdana" w:cs="Arial"/>
          <w:lang w:val="es-ES"/>
        </w:rPr>
        <w:t>Mipyme</w:t>
      </w:r>
      <w:proofErr w:type="spellEnd"/>
      <w:r w:rsidRPr="5DA39631">
        <w:rPr>
          <w:rFonts w:ascii="Verdana" w:eastAsia="Calibri" w:hAnsi="Verdana" w:cs="Arial"/>
          <w:lang w:val="es-ES"/>
        </w:rPr>
        <w:t xml:space="preserve"> y a las medidas afirmativas correspondientes, acreditando su condición mediante el mecanismo alternativo. En esa medida, admitir documentos distintos al registro mercantil o al RUP supondría una modificación del régimen reglamentario de acreditación, en contravía del principio de legalidad que rige la actuación administrativa.</w:t>
      </w:r>
    </w:p>
    <w:p w14:paraId="1829C7BA" w14:textId="77777777" w:rsidR="00D55F7B" w:rsidRPr="004B338B" w:rsidRDefault="00D55F7B" w:rsidP="00D55F7B">
      <w:pPr>
        <w:spacing w:after="120" w:line="276" w:lineRule="auto"/>
        <w:ind w:firstLine="709"/>
        <w:jc w:val="both"/>
        <w:rPr>
          <w:rFonts w:ascii="Verdana" w:eastAsia="Calibri" w:hAnsi="Verdana" w:cs="Arial"/>
          <w:bCs/>
          <w:lang w:val="es-ES_tradnl"/>
        </w:rPr>
      </w:pPr>
      <w:r>
        <w:rPr>
          <w:rFonts w:ascii="Verdana" w:eastAsia="Calibri" w:hAnsi="Verdana" w:cs="Arial"/>
          <w:bCs/>
          <w:lang w:val="es-ES_tradnl"/>
        </w:rPr>
        <w:t>Al respecto, se resalta que conforme a</w:t>
      </w:r>
      <w:r w:rsidRPr="00AB5969">
        <w:rPr>
          <w:rFonts w:ascii="Verdana" w:eastAsia="Calibri" w:hAnsi="Verdana" w:cs="Arial"/>
          <w:bCs/>
          <w:lang w:val="es-ES_tradnl"/>
        </w:rPr>
        <w:t xml:space="preserve">l principio de legalidad </w:t>
      </w:r>
      <w:r w:rsidRPr="00537D48">
        <w:rPr>
          <w:rFonts w:ascii="Verdana" w:eastAsia="Calibri" w:hAnsi="Verdana" w:cs="Arial"/>
          <w:bCs/>
        </w:rPr>
        <w:t>se garantiza la sujeción estricta de la administración a las condiciones establecidas en la ley, evitando márgenes indebidos de discrecionalidad que puedan afectar la transparencia y la igualdad entre los proponentes</w:t>
      </w:r>
      <w:r>
        <w:rPr>
          <w:rStyle w:val="Refdenotaalpie"/>
          <w:rFonts w:ascii="Verdana" w:eastAsia="Calibri" w:hAnsi="Verdana" w:cs="Arial"/>
          <w:bCs/>
        </w:rPr>
        <w:footnoteReference w:id="6"/>
      </w:r>
      <w:r>
        <w:rPr>
          <w:rFonts w:ascii="Verdana" w:eastAsia="Calibri" w:hAnsi="Verdana" w:cs="Arial"/>
          <w:bCs/>
        </w:rPr>
        <w:t xml:space="preserve">, </w:t>
      </w:r>
      <w:r>
        <w:rPr>
          <w:rFonts w:ascii="Verdana" w:eastAsia="Calibri" w:hAnsi="Verdana" w:cs="Arial"/>
          <w:bCs/>
          <w:lang w:val="es-ES_tradnl"/>
        </w:rPr>
        <w:t xml:space="preserve">lo que </w:t>
      </w:r>
      <w:r w:rsidRPr="00AB5969">
        <w:rPr>
          <w:rFonts w:ascii="Verdana" w:eastAsia="Calibri" w:hAnsi="Verdana" w:cs="Arial"/>
          <w:bCs/>
          <w:lang w:val="es-ES_tradnl"/>
        </w:rPr>
        <w:t xml:space="preserve">impide crear requisitos adicionales para los oferentes, </w:t>
      </w:r>
      <w:r>
        <w:rPr>
          <w:rFonts w:ascii="Verdana" w:eastAsia="Calibri" w:hAnsi="Verdana" w:cs="Arial"/>
          <w:bCs/>
          <w:lang w:val="es-ES_tradnl"/>
        </w:rPr>
        <w:t xml:space="preserve">así como </w:t>
      </w:r>
      <w:r w:rsidRPr="00AB5969">
        <w:rPr>
          <w:rFonts w:ascii="Verdana" w:eastAsia="Calibri" w:hAnsi="Verdana" w:cs="Arial"/>
          <w:bCs/>
          <w:lang w:val="es-ES_tradnl"/>
        </w:rPr>
        <w:t>ampliar o sustituir los medios de acreditación que el ordenamiento ha establecido de manera expresa.</w:t>
      </w:r>
      <w:r>
        <w:rPr>
          <w:rFonts w:ascii="Verdana" w:eastAsia="Calibri" w:hAnsi="Verdana" w:cs="Arial"/>
          <w:bCs/>
          <w:lang w:val="es-ES_tradnl"/>
        </w:rPr>
        <w:t xml:space="preserve"> </w:t>
      </w:r>
      <w:r w:rsidRPr="00AB5969">
        <w:rPr>
          <w:rFonts w:ascii="Verdana" w:eastAsia="Calibri" w:hAnsi="Verdana" w:cs="Arial"/>
          <w:bCs/>
          <w:lang w:val="es-ES_tradnl"/>
        </w:rPr>
        <w:t>En este caso, admitir documentos distintos a</w:t>
      </w:r>
      <w:r>
        <w:rPr>
          <w:rFonts w:ascii="Verdana" w:eastAsia="Calibri" w:hAnsi="Verdana" w:cs="Arial"/>
          <w:bCs/>
          <w:lang w:val="es-ES_tradnl"/>
        </w:rPr>
        <w:t xml:space="preserve"> los determinados por la norma</w:t>
      </w:r>
      <w:r w:rsidRPr="00AB5969">
        <w:rPr>
          <w:rFonts w:ascii="Verdana" w:eastAsia="Calibri" w:hAnsi="Verdana" w:cs="Arial"/>
          <w:bCs/>
          <w:lang w:val="es-ES_tradnl"/>
        </w:rPr>
        <w:t xml:space="preserve"> equivaldría a alterar el régimen reglamentario de acreditación de la condición de </w:t>
      </w:r>
      <w:proofErr w:type="spellStart"/>
      <w:r w:rsidRPr="00AB5969">
        <w:rPr>
          <w:rFonts w:ascii="Verdana" w:eastAsia="Calibri" w:hAnsi="Verdana" w:cs="Arial"/>
          <w:bCs/>
          <w:lang w:val="es-ES_tradnl"/>
        </w:rPr>
        <w:t>Mi</w:t>
      </w:r>
      <w:r>
        <w:rPr>
          <w:rFonts w:ascii="Verdana" w:eastAsia="Calibri" w:hAnsi="Verdana" w:cs="Arial"/>
          <w:bCs/>
          <w:lang w:val="es-ES_tradnl"/>
        </w:rPr>
        <w:t>pyme</w:t>
      </w:r>
      <w:proofErr w:type="spellEnd"/>
      <w:r>
        <w:rPr>
          <w:rFonts w:ascii="Verdana" w:eastAsia="Calibri" w:hAnsi="Verdana" w:cs="Arial"/>
          <w:bCs/>
          <w:lang w:val="es-ES_tradnl"/>
        </w:rPr>
        <w:t xml:space="preserve">, lo cual excede la </w:t>
      </w:r>
      <w:r w:rsidRPr="00AB5969">
        <w:rPr>
          <w:rFonts w:ascii="Verdana" w:eastAsia="Calibri" w:hAnsi="Verdana" w:cs="Arial"/>
          <w:bCs/>
          <w:lang w:val="es-ES_tradnl"/>
        </w:rPr>
        <w:t>competencia de la entidad estatal</w:t>
      </w:r>
      <w:r>
        <w:rPr>
          <w:rFonts w:ascii="Verdana" w:eastAsia="Calibri" w:hAnsi="Verdana" w:cs="Arial"/>
          <w:bCs/>
          <w:lang w:val="es-ES_tradnl"/>
        </w:rPr>
        <w:t xml:space="preserve">. </w:t>
      </w:r>
    </w:p>
    <w:p w14:paraId="15DFE012" w14:textId="77777777" w:rsidR="00D55F7B" w:rsidRDefault="00D55F7B" w:rsidP="00D55F7B">
      <w:pPr>
        <w:spacing w:after="120" w:line="276" w:lineRule="auto"/>
        <w:jc w:val="both"/>
        <w:rPr>
          <w:rFonts w:ascii="Verdana" w:eastAsia="Calibri" w:hAnsi="Verdana" w:cs="Arial"/>
          <w:color w:val="000000"/>
          <w:lang w:val="es-ES" w:eastAsia="es-ES"/>
        </w:rPr>
      </w:pPr>
      <w:proofErr w:type="spellStart"/>
      <w:r w:rsidRPr="007F5F87">
        <w:rPr>
          <w:rFonts w:ascii="Verdana" w:eastAsia="Calibri" w:hAnsi="Verdana" w:cs="Arial"/>
          <w:lang w:val="es-ES_tradnl" w:eastAsia="es-ES_tradnl"/>
        </w:rPr>
        <w:t>i</w:t>
      </w:r>
      <w:r>
        <w:rPr>
          <w:rFonts w:ascii="Verdana" w:eastAsia="Calibri" w:hAnsi="Verdana" w:cs="Arial"/>
          <w:lang w:val="es-ES_tradnl" w:eastAsia="es-ES_tradnl"/>
        </w:rPr>
        <w:t>i</w:t>
      </w:r>
      <w:proofErr w:type="spellEnd"/>
      <w:r w:rsidRPr="007F5F87">
        <w:rPr>
          <w:rFonts w:ascii="Verdana" w:eastAsia="Calibri" w:hAnsi="Verdana" w:cs="Arial"/>
          <w:lang w:val="es-ES_tradnl" w:eastAsia="es-ES_tradnl"/>
        </w:rPr>
        <w:t>.</w:t>
      </w:r>
      <w:r>
        <w:rPr>
          <w:rFonts w:ascii="Verdana" w:eastAsia="Calibri" w:hAnsi="Verdana" w:cs="Arial"/>
          <w:color w:val="000000" w:themeColor="text1"/>
          <w:lang w:val="es-ES_tradnl"/>
        </w:rPr>
        <w:t xml:space="preserve"> Ahora bien, para efectos de dar respuesta el segundo problema jurídico</w:t>
      </w:r>
      <w:r w:rsidRPr="007A60E6">
        <w:rPr>
          <w:rFonts w:ascii="Verdana" w:eastAsia="Calibri" w:hAnsi="Verdana" w:cs="Arial"/>
          <w:color w:val="000000" w:themeColor="text1"/>
          <w:lang w:val="es-ES_tradnl"/>
        </w:rPr>
        <w:t xml:space="preserve">, es pertinente hacer algunas precisiones sobre la posición que ha sostenido la </w:t>
      </w:r>
      <w:r w:rsidRPr="007A60E6">
        <w:rPr>
          <w:rFonts w:ascii="Verdana" w:eastAsia="Calibri" w:hAnsi="Verdana" w:cs="Arial"/>
          <w:color w:val="000000"/>
          <w:lang w:val="es-ES" w:eastAsia="es-ES"/>
        </w:rPr>
        <w:t xml:space="preserve">Subdirección de Gestión Contractual de la ANCP – CCE en ejercicio de su función </w:t>
      </w:r>
      <w:r w:rsidRPr="007A60E6">
        <w:rPr>
          <w:rFonts w:ascii="Verdana" w:eastAsia="Calibri" w:hAnsi="Verdana" w:cs="Arial"/>
          <w:color w:val="000000"/>
          <w:lang w:val="es-ES" w:eastAsia="es-ES"/>
        </w:rPr>
        <w:lastRenderedPageBreak/>
        <w:t xml:space="preserve">consultiva, </w:t>
      </w:r>
      <w:r w:rsidRPr="007A60E6">
        <w:rPr>
          <w:rFonts w:ascii="Verdana" w:eastAsia="Calibri" w:hAnsi="Verdana" w:cs="Arial"/>
          <w:color w:val="000000" w:themeColor="text1"/>
          <w:lang w:val="es-ES_tradnl"/>
        </w:rPr>
        <w:t>en relación con</w:t>
      </w:r>
      <w:r w:rsidRPr="007A60E6">
        <w:rPr>
          <w:rFonts w:ascii="Verdana" w:eastAsia="Calibri" w:hAnsi="Verdana" w:cs="Arial"/>
          <w:color w:val="000000"/>
          <w:lang w:val="es-ES" w:eastAsia="es-ES"/>
        </w:rPr>
        <w:t xml:space="preserve"> </w:t>
      </w:r>
      <w:r>
        <w:rPr>
          <w:rFonts w:ascii="Verdana" w:eastAsia="Calibri" w:hAnsi="Verdana" w:cs="Arial"/>
          <w:color w:val="000000"/>
          <w:lang w:val="es-ES" w:eastAsia="es-ES"/>
        </w:rPr>
        <w:t xml:space="preserve">la participación de ESAL en procesos de contratación limitados a </w:t>
      </w:r>
      <w:proofErr w:type="spellStart"/>
      <w:r>
        <w:rPr>
          <w:rFonts w:ascii="Verdana" w:eastAsia="Calibri" w:hAnsi="Verdana" w:cs="Arial"/>
          <w:color w:val="000000"/>
          <w:lang w:val="es-ES" w:eastAsia="es-ES"/>
        </w:rPr>
        <w:t>Mipymes</w:t>
      </w:r>
      <w:proofErr w:type="spellEnd"/>
      <w:r>
        <w:rPr>
          <w:rFonts w:ascii="Verdana" w:eastAsia="Calibri" w:hAnsi="Verdana" w:cs="Arial"/>
          <w:color w:val="000000"/>
          <w:lang w:val="es-ES" w:eastAsia="es-ES"/>
        </w:rPr>
        <w:t xml:space="preserve">. </w:t>
      </w:r>
    </w:p>
    <w:p w14:paraId="48A3E08A" w14:textId="77777777" w:rsidR="00D55F7B" w:rsidRDefault="00D55F7B" w:rsidP="00D55F7B">
      <w:pPr>
        <w:spacing w:after="120" w:line="276" w:lineRule="auto"/>
        <w:ind w:firstLine="709"/>
        <w:jc w:val="both"/>
        <w:rPr>
          <w:rFonts w:ascii="Verdana" w:eastAsia="Geomanist Light" w:hAnsi="Verdana" w:cs="Arial"/>
          <w:lang w:val="es-ES"/>
        </w:rPr>
      </w:pPr>
      <w:r w:rsidRPr="007A60E6">
        <w:rPr>
          <w:rFonts w:ascii="Verdana" w:hAnsi="Verdana"/>
          <w:lang w:val="es-ES" w:eastAsia="es-ES"/>
        </w:rPr>
        <w:t xml:space="preserve">Así, conforme a la interpretación general de las normas del sistema de compras públicas, esta Subdirección </w:t>
      </w:r>
      <w:r>
        <w:rPr>
          <w:rFonts w:ascii="Verdana" w:hAnsi="Verdana" w:cs="Arial"/>
          <w:shd w:val="clear" w:color="auto" w:fill="FFFFFF"/>
          <w:lang w:val="es-ES"/>
        </w:rPr>
        <w:t xml:space="preserve">ha señalado de forma reiterada que </w:t>
      </w:r>
      <w:r>
        <w:rPr>
          <w:rFonts w:ascii="Verdana" w:hAnsi="Verdana" w:cs="Arial"/>
          <w:color w:val="000000" w:themeColor="text1"/>
          <w:lang w:val="es-ES"/>
        </w:rPr>
        <w:t xml:space="preserve">los incentivos referidos en la Ley 2069 de 2020 y la posibilidad de solicitar la limitación de las convocatorias a MiPymes no son extensibles a todas las ESAL, sino únicamente a aquellas que corresponden al concepto de </w:t>
      </w:r>
      <w:r>
        <w:rPr>
          <w:rFonts w:ascii="Verdana" w:eastAsia="Calibri" w:hAnsi="Verdana" w:cs="Arial"/>
          <w:color w:val="000000" w:themeColor="text1"/>
          <w:lang w:val="es-ES"/>
        </w:rPr>
        <w:t xml:space="preserve">cooperativas y demás entes considerados de economía solidaria </w:t>
      </w:r>
      <w:r>
        <w:rPr>
          <w:rFonts w:ascii="Verdana" w:eastAsia="Geomanist Light" w:hAnsi="Verdana" w:cs="Arial"/>
          <w:lang w:val="es-ES"/>
        </w:rPr>
        <w:t xml:space="preserve">en los términos del artículo 6 de la Ley 454 de 1998 –norma a la que remite el artículo 23 de la Ley de Emprendimiento–. En tal sentido, debe analizarse si la ESAL cumple con las características establecidas en dicho artículo, para considerarla una organización de economía solidaria. </w:t>
      </w:r>
      <w:r>
        <w:rPr>
          <w:rFonts w:ascii="Verdana" w:eastAsia="Calibri" w:hAnsi="Verdana" w:cs="Arial"/>
          <w:color w:val="000000" w:themeColor="text1"/>
          <w:lang w:val="es-ES"/>
        </w:rPr>
        <w:t xml:space="preserve">Solo las que cumplan estos requisitos podrán ser asimiladas a las MiPymes y acceder a los requisitos diferenciales de la Ley 2069 de 2020, así como participar en las convocatorias limitadas a estas, y les permite incluso manifestar su interés de participar en el proceso de selección en los términos </w:t>
      </w:r>
      <w:r w:rsidRPr="00F91E54">
        <w:rPr>
          <w:rFonts w:ascii="Verdana" w:eastAsia="Calibri" w:hAnsi="Verdana" w:cs="Arial"/>
          <w:color w:val="000000" w:themeColor="text1"/>
        </w:rPr>
        <w:t>del artículo 2.2.1.2.4.2.2 del Decreto 1082 de 2015</w:t>
      </w:r>
      <w:r>
        <w:rPr>
          <w:rFonts w:ascii="Verdana" w:eastAsia="Calibri" w:hAnsi="Verdana" w:cs="Arial"/>
          <w:color w:val="000000" w:themeColor="text1"/>
          <w:lang w:val="es-ES"/>
        </w:rPr>
        <w:t>.</w:t>
      </w:r>
    </w:p>
    <w:p w14:paraId="51E9EB58" w14:textId="77777777" w:rsidR="00D55F7B" w:rsidRPr="007F5F87" w:rsidRDefault="00D55F7B" w:rsidP="00D55F7B">
      <w:pPr>
        <w:spacing w:after="120" w:line="276" w:lineRule="auto"/>
        <w:ind w:firstLine="709"/>
        <w:jc w:val="both"/>
        <w:rPr>
          <w:rFonts w:ascii="Verdana" w:eastAsia="Calibri" w:hAnsi="Verdana" w:cs="Arial"/>
          <w:lang w:val="es-ES_tradnl" w:eastAsia="es-ES_tradnl"/>
        </w:rPr>
      </w:pPr>
      <w:r>
        <w:rPr>
          <w:rFonts w:ascii="Verdana" w:eastAsia="Geomanist Light" w:hAnsi="Verdana" w:cs="Arial"/>
          <w:lang w:val="es-ES"/>
        </w:rPr>
        <w:t xml:space="preserve">Esta postura se sustenta en varios argumentos que vale la pena mencionar con finalidad de reiterar la tesis que se ha sostenido. En primer lugar, es importante indicar que </w:t>
      </w:r>
      <w:r>
        <w:rPr>
          <w:rFonts w:ascii="Verdana" w:eastAsia="Calibri" w:hAnsi="Verdana" w:cs="Arial"/>
          <w:lang w:val="es-ES_tradnl" w:eastAsia="es-ES_tradnl"/>
        </w:rPr>
        <w:t>e</w:t>
      </w:r>
      <w:r w:rsidRPr="007F5F87">
        <w:rPr>
          <w:rFonts w:ascii="Verdana" w:eastAsia="Calibri" w:hAnsi="Verdana" w:cs="Arial"/>
          <w:lang w:val="es-ES_tradnl" w:eastAsia="es-ES_tradnl"/>
        </w:rPr>
        <w:t xml:space="preserve">n Colombia, la empresa se forma a través de un contrato de sociedad por medio del cual dos o más personas se obligan a hacer un aporte en dinero, en trabajo o en otros bienes apreciables en dinero con el fin de repartirse entre sí las utilidades obtenidas en la empresa, según el artículo 98 del Código de Comercio. En ese sentido, serán sociedades comerciales aquellas que ejecuten actos o empresas mercantiles, en los términos señalados en el artículo 100 </w:t>
      </w:r>
      <w:r w:rsidRPr="007F5F87">
        <w:rPr>
          <w:rFonts w:ascii="Verdana" w:eastAsia="Calibri" w:hAnsi="Verdana" w:cs="Arial"/>
          <w:i/>
          <w:iCs/>
          <w:lang w:val="es-ES_tradnl" w:eastAsia="es-ES_tradnl"/>
        </w:rPr>
        <w:t>ibidem</w:t>
      </w:r>
      <w:r w:rsidRPr="00E67771">
        <w:rPr>
          <w:vertAlign w:val="superscript"/>
        </w:rPr>
        <w:footnoteReference w:id="7"/>
      </w:r>
      <w:r w:rsidRPr="007F5F87">
        <w:rPr>
          <w:rFonts w:ascii="Verdana" w:eastAsia="Calibri" w:hAnsi="Verdana" w:cs="Arial"/>
          <w:lang w:val="es-ES_tradnl" w:eastAsia="es-ES_tradnl"/>
        </w:rPr>
        <w:t>.</w:t>
      </w:r>
    </w:p>
    <w:p w14:paraId="15F66750" w14:textId="77777777" w:rsidR="00D55F7B" w:rsidRDefault="00D55F7B" w:rsidP="00D55F7B">
      <w:pPr>
        <w:spacing w:after="120" w:line="276" w:lineRule="auto"/>
        <w:ind w:firstLine="709"/>
        <w:jc w:val="both"/>
        <w:rPr>
          <w:rFonts w:ascii="Verdana" w:eastAsia="Calibri" w:hAnsi="Verdana" w:cs="Arial"/>
          <w:lang w:val="es-ES" w:eastAsia="es-ES"/>
        </w:rPr>
      </w:pPr>
      <w:r w:rsidRPr="6AB4E263">
        <w:rPr>
          <w:rFonts w:ascii="Verdana" w:eastAsia="Calibri" w:hAnsi="Verdana" w:cs="Arial"/>
          <w:lang w:val="es-ES" w:eastAsia="es-ES"/>
        </w:rPr>
        <w:t xml:space="preserve">El Libro Segundo del Código de Comercio no incluye a las ESAL - como las corporaciones, asociaciones o fundaciones – en la enumeración de las sociedades comerciales. A juicio de esta Agencia, la razón de la exclusión radica en que las </w:t>
      </w:r>
      <w:r w:rsidRPr="6AB4E263">
        <w:rPr>
          <w:rFonts w:ascii="Verdana" w:eastAsia="Calibri" w:hAnsi="Verdana" w:cs="Arial"/>
          <w:lang w:val="es-ES" w:eastAsia="es-ES"/>
        </w:rPr>
        <w:lastRenderedPageBreak/>
        <w:t xml:space="preserve">ESAL no tienen fines comerciales, es decir, carecen de ánimo de lucro, y por eso no forman un tipo o clase de sociedad comercial. </w:t>
      </w:r>
    </w:p>
    <w:p w14:paraId="28E62176" w14:textId="77777777" w:rsidR="00D55F7B" w:rsidRPr="00E67771" w:rsidRDefault="00D55F7B" w:rsidP="00D55F7B">
      <w:pPr>
        <w:spacing w:after="120" w:line="276" w:lineRule="auto"/>
        <w:ind w:firstLine="709"/>
        <w:jc w:val="both"/>
        <w:rPr>
          <w:rFonts w:ascii="Verdana" w:eastAsia="Calibri" w:hAnsi="Verdana" w:cs="Arial"/>
          <w:lang w:val="es-ES_tradnl" w:eastAsia="es-ES_tradnl"/>
        </w:rPr>
      </w:pPr>
      <w:r>
        <w:rPr>
          <w:rFonts w:ascii="Verdana" w:eastAsia="Calibri" w:hAnsi="Verdana" w:cs="Arial"/>
          <w:lang w:val="es-ES_tradnl" w:eastAsia="es-ES_tradnl"/>
        </w:rPr>
        <w:t>A lo anterior se suma que e</w:t>
      </w:r>
      <w:r w:rsidRPr="00E67771">
        <w:rPr>
          <w:rFonts w:ascii="Verdana" w:eastAsia="Calibri" w:hAnsi="Verdana" w:cs="Arial"/>
          <w:lang w:val="es-ES_tradnl" w:eastAsia="es-ES_tradnl"/>
        </w:rPr>
        <w:t xml:space="preserve">ste tipo de corporaciones o asociaciones </w:t>
      </w:r>
      <w:r>
        <w:rPr>
          <w:rFonts w:ascii="Verdana" w:eastAsia="Calibri" w:hAnsi="Verdana" w:cs="Arial"/>
          <w:lang w:val="es-ES_tradnl" w:eastAsia="es-ES_tradnl"/>
        </w:rPr>
        <w:t>se encuentran reguladas en</w:t>
      </w:r>
      <w:r w:rsidRPr="00E67771">
        <w:rPr>
          <w:rFonts w:ascii="Verdana" w:eastAsia="Calibri" w:hAnsi="Verdana" w:cs="Arial"/>
          <w:lang w:val="es-ES_tradnl" w:eastAsia="es-ES_tradnl"/>
        </w:rPr>
        <w:t xml:space="preserve"> el Código Civil –entre otras normas</w:t>
      </w:r>
      <w:r>
        <w:rPr>
          <w:rFonts w:ascii="Verdana" w:eastAsia="Calibri" w:hAnsi="Verdana" w:cs="Arial"/>
          <w:lang w:val="es-ES_tradnl" w:eastAsia="es-ES_tradnl"/>
        </w:rPr>
        <w:t xml:space="preserve"> concordantes</w:t>
      </w:r>
      <w:r w:rsidRPr="00E67771">
        <w:rPr>
          <w:rFonts w:ascii="Verdana" w:eastAsia="Calibri" w:hAnsi="Verdana" w:cs="Arial"/>
          <w:lang w:val="es-ES_tradnl" w:eastAsia="es-ES_tradnl"/>
        </w:rPr>
        <w:t>–, de lo que se sigue que no constituyen formas de sociedad comercial</w:t>
      </w:r>
      <w:r>
        <w:rPr>
          <w:rFonts w:ascii="Verdana" w:eastAsia="Calibri" w:hAnsi="Verdana" w:cs="Arial"/>
          <w:lang w:val="es-ES_tradnl" w:eastAsia="es-ES_tradnl"/>
        </w:rPr>
        <w:t>,</w:t>
      </w:r>
      <w:r w:rsidRPr="00E67771">
        <w:rPr>
          <w:rFonts w:ascii="Verdana" w:eastAsia="Calibri" w:hAnsi="Verdana" w:cs="Arial"/>
          <w:lang w:val="es-ES_tradnl" w:eastAsia="es-ES_tradnl"/>
        </w:rPr>
        <w:t xml:space="preserve"> sino formas de organización civil con fines esencialmente altruistas o de interés general, que se conforman entre personas que tienen como finalidad contribuir con su esfuerzo, y hasta con sus bienes, </w:t>
      </w:r>
      <w:r>
        <w:rPr>
          <w:rFonts w:ascii="Verdana" w:eastAsia="Calibri" w:hAnsi="Verdana" w:cs="Arial"/>
          <w:lang w:val="es-ES_tradnl" w:eastAsia="es-ES_tradnl"/>
        </w:rPr>
        <w:t>para</w:t>
      </w:r>
      <w:r w:rsidRPr="00E67771">
        <w:rPr>
          <w:rFonts w:ascii="Verdana" w:eastAsia="Calibri" w:hAnsi="Verdana" w:cs="Arial"/>
          <w:lang w:val="es-ES_tradnl" w:eastAsia="es-ES_tradnl"/>
        </w:rPr>
        <w:t xml:space="preserve"> ayudar a la comunidad</w:t>
      </w:r>
      <w:r w:rsidRPr="00E67771">
        <w:rPr>
          <w:rStyle w:val="Refdenotaalpie"/>
          <w:rFonts w:ascii="Verdana" w:eastAsia="Calibri" w:hAnsi="Verdana" w:cs="Arial"/>
          <w:lang w:val="es-ES_tradnl" w:eastAsia="es-ES_tradnl"/>
        </w:rPr>
        <w:footnoteReference w:id="8"/>
      </w:r>
      <w:r w:rsidRPr="00E67771">
        <w:rPr>
          <w:rFonts w:ascii="Verdana" w:eastAsia="Calibri" w:hAnsi="Verdana" w:cs="Arial"/>
          <w:lang w:val="es-ES_tradnl" w:eastAsia="es-ES_tradnl"/>
        </w:rPr>
        <w:t>. La ausencia de ánimo de lucro es, entonces, la característica determinante de estas corporaciones u organizaciones, lo que explica su nombre y la</w:t>
      </w:r>
      <w:r>
        <w:rPr>
          <w:rFonts w:ascii="Verdana" w:eastAsia="Calibri" w:hAnsi="Verdana" w:cs="Arial"/>
          <w:lang w:val="es-ES_tradnl" w:eastAsia="es-ES_tradnl"/>
        </w:rPr>
        <w:t>s</w:t>
      </w:r>
      <w:r w:rsidRPr="00E67771">
        <w:rPr>
          <w:rFonts w:ascii="Verdana" w:eastAsia="Calibri" w:hAnsi="Verdana" w:cs="Arial"/>
          <w:lang w:val="es-ES_tradnl" w:eastAsia="es-ES_tradnl"/>
        </w:rPr>
        <w:t xml:space="preserve"> diferencias </w:t>
      </w:r>
      <w:r>
        <w:rPr>
          <w:rFonts w:ascii="Verdana" w:eastAsia="Calibri" w:hAnsi="Verdana" w:cs="Arial"/>
          <w:lang w:val="es-ES_tradnl" w:eastAsia="es-ES_tradnl"/>
        </w:rPr>
        <w:t xml:space="preserve">de manera </w:t>
      </w:r>
      <w:r w:rsidRPr="00E67771">
        <w:rPr>
          <w:rFonts w:ascii="Verdana" w:eastAsia="Calibri" w:hAnsi="Verdana" w:cs="Arial"/>
          <w:lang w:val="es-ES_tradnl" w:eastAsia="es-ES_tradnl"/>
        </w:rPr>
        <w:t xml:space="preserve">fundamental </w:t>
      </w:r>
      <w:r>
        <w:rPr>
          <w:rFonts w:ascii="Verdana" w:eastAsia="Calibri" w:hAnsi="Verdana" w:cs="Arial"/>
          <w:lang w:val="es-ES_tradnl" w:eastAsia="es-ES_tradnl"/>
        </w:rPr>
        <w:t>de</w:t>
      </w:r>
      <w:r w:rsidRPr="00E67771">
        <w:rPr>
          <w:rFonts w:ascii="Verdana" w:eastAsia="Calibri" w:hAnsi="Verdana" w:cs="Arial"/>
          <w:lang w:val="es-ES_tradnl" w:eastAsia="es-ES_tradnl"/>
        </w:rPr>
        <w:t xml:space="preserve"> las sociedades comerciales.</w:t>
      </w:r>
    </w:p>
    <w:p w14:paraId="1F9E6497" w14:textId="77777777" w:rsidR="00D55F7B" w:rsidRDefault="00D55F7B" w:rsidP="00D55F7B">
      <w:pPr>
        <w:spacing w:after="120" w:line="276" w:lineRule="auto"/>
        <w:ind w:firstLine="709"/>
        <w:jc w:val="both"/>
        <w:rPr>
          <w:rFonts w:ascii="Verdana" w:eastAsia="Calibri" w:hAnsi="Verdana" w:cs="Arial"/>
          <w:lang w:val="es-ES" w:eastAsia="es-ES"/>
        </w:rPr>
      </w:pPr>
      <w:r w:rsidRPr="00E67771">
        <w:rPr>
          <w:rFonts w:ascii="Verdana" w:eastAsia="Calibri" w:hAnsi="Verdana" w:cs="Arial"/>
          <w:lang w:val="es-ES" w:eastAsia="es-ES"/>
        </w:rPr>
        <w:t xml:space="preserve">Que una ESAL no sea una forma de sociedad comercial se infiere </w:t>
      </w:r>
      <w:r>
        <w:rPr>
          <w:rFonts w:ascii="Verdana" w:eastAsia="Calibri" w:hAnsi="Verdana" w:cs="Arial"/>
          <w:lang w:val="es-ES" w:eastAsia="es-ES"/>
        </w:rPr>
        <w:t xml:space="preserve">también </w:t>
      </w:r>
      <w:r w:rsidRPr="00E67771">
        <w:rPr>
          <w:rFonts w:ascii="Verdana" w:eastAsia="Calibri" w:hAnsi="Verdana" w:cs="Arial"/>
          <w:lang w:val="es-ES" w:eastAsia="es-ES"/>
        </w:rPr>
        <w:t xml:space="preserve">de los requisitos </w:t>
      </w:r>
      <w:r>
        <w:rPr>
          <w:rFonts w:ascii="Verdana" w:eastAsia="Calibri" w:hAnsi="Verdana" w:cs="Arial"/>
          <w:lang w:val="es-ES" w:eastAsia="es-ES"/>
        </w:rPr>
        <w:t xml:space="preserve">y finalidad </w:t>
      </w:r>
      <w:r w:rsidRPr="00E67771">
        <w:rPr>
          <w:rFonts w:ascii="Verdana" w:eastAsia="Calibri" w:hAnsi="Verdana" w:cs="Arial"/>
          <w:lang w:val="es-ES" w:eastAsia="es-ES"/>
        </w:rPr>
        <w:t>que exige el artículo 98 del Código de Comercio</w:t>
      </w:r>
      <w:r>
        <w:rPr>
          <w:rFonts w:ascii="Verdana" w:eastAsia="Calibri" w:hAnsi="Verdana" w:cs="Arial"/>
          <w:lang w:val="es-ES" w:eastAsia="es-ES"/>
        </w:rPr>
        <w:t xml:space="preserve"> en relación con el contrato de sociedad.</w:t>
      </w:r>
      <w:r w:rsidRPr="00E67771">
        <w:rPr>
          <w:rFonts w:ascii="Verdana" w:eastAsia="Calibri" w:hAnsi="Verdana" w:cs="Arial"/>
          <w:lang w:val="es-ES" w:eastAsia="es-ES"/>
        </w:rPr>
        <w:t xml:space="preserve"> En efecto, la norma en comento dispone: “[p]</w:t>
      </w:r>
      <w:proofErr w:type="spellStart"/>
      <w:r w:rsidRPr="00E67771">
        <w:rPr>
          <w:rFonts w:ascii="Verdana" w:eastAsia="Calibri" w:hAnsi="Verdana" w:cs="Arial"/>
          <w:lang w:val="es-ES" w:eastAsia="es-ES"/>
        </w:rPr>
        <w:t>or</w:t>
      </w:r>
      <w:proofErr w:type="spellEnd"/>
      <w:r w:rsidRPr="00E67771">
        <w:rPr>
          <w:rFonts w:ascii="Verdana" w:eastAsia="Calibri" w:hAnsi="Verdana" w:cs="Arial"/>
          <w:lang w:val="es-ES" w:eastAsia="es-ES"/>
        </w:rPr>
        <w:t xml:space="preserve"> el contrato de sociedad dos o más personas se obligan a hacer un aporte en dinero, en trabajo o en otros bienes apreciables en dinero, </w:t>
      </w:r>
      <w:r w:rsidRPr="00E67771">
        <w:rPr>
          <w:rFonts w:ascii="Verdana" w:eastAsia="Calibri" w:hAnsi="Verdana" w:cs="Arial"/>
          <w:i/>
          <w:iCs/>
          <w:lang w:val="es-ES" w:eastAsia="es-ES"/>
        </w:rPr>
        <w:t>con el fin de repartirse entre sí las utilidades obtenidas en la empresa o actividad socia</w:t>
      </w:r>
      <w:r w:rsidRPr="00E67771">
        <w:rPr>
          <w:rFonts w:ascii="Verdana" w:eastAsia="Calibri" w:hAnsi="Verdana" w:cs="Arial"/>
          <w:lang w:val="es-ES" w:eastAsia="es-ES"/>
        </w:rPr>
        <w:t xml:space="preserve">l” [Énfasis fuera de texto]. </w:t>
      </w:r>
    </w:p>
    <w:p w14:paraId="1A85BB97" w14:textId="77777777" w:rsidR="00D55F7B" w:rsidRPr="00E67771" w:rsidRDefault="00D55F7B" w:rsidP="00D55F7B">
      <w:pPr>
        <w:spacing w:after="120" w:line="276" w:lineRule="auto"/>
        <w:ind w:firstLine="709"/>
        <w:jc w:val="both"/>
        <w:rPr>
          <w:rFonts w:ascii="Verdana" w:eastAsia="Calibri" w:hAnsi="Verdana" w:cs="Arial"/>
          <w:lang w:val="es-ES_tradnl" w:eastAsia="es-ES_tradnl"/>
        </w:rPr>
      </w:pPr>
      <w:r w:rsidRPr="00E67771">
        <w:rPr>
          <w:rFonts w:ascii="Verdana" w:eastAsia="Calibri" w:hAnsi="Verdana" w:cs="Arial"/>
          <w:lang w:val="es-ES_tradnl" w:eastAsia="es-ES_tradnl"/>
        </w:rPr>
        <w:t xml:space="preserve">Así pues, </w:t>
      </w:r>
      <w:r>
        <w:rPr>
          <w:rFonts w:ascii="Verdana" w:eastAsia="Calibri" w:hAnsi="Verdana" w:cs="Arial"/>
          <w:lang w:val="es-ES_tradnl" w:eastAsia="es-ES_tradnl"/>
        </w:rPr>
        <w:t xml:space="preserve">en </w:t>
      </w:r>
      <w:r w:rsidRPr="00E67771">
        <w:rPr>
          <w:rFonts w:ascii="Verdana" w:eastAsia="Calibri" w:hAnsi="Verdana" w:cs="Arial"/>
          <w:lang w:val="es-ES_tradnl" w:eastAsia="es-ES_tradnl"/>
        </w:rPr>
        <w:t xml:space="preserve">las ESAL no </w:t>
      </w:r>
      <w:r>
        <w:rPr>
          <w:rFonts w:ascii="Verdana" w:eastAsia="Calibri" w:hAnsi="Verdana" w:cs="Arial"/>
          <w:lang w:val="es-ES_tradnl" w:eastAsia="es-ES_tradnl"/>
        </w:rPr>
        <w:t xml:space="preserve">es admisible </w:t>
      </w:r>
      <w:r w:rsidRPr="00E67771">
        <w:rPr>
          <w:rFonts w:ascii="Verdana" w:eastAsia="Calibri" w:hAnsi="Verdana" w:cs="Arial"/>
          <w:lang w:val="es-ES_tradnl" w:eastAsia="es-ES_tradnl"/>
        </w:rPr>
        <w:t>el reparto de utilidades, ni durante la existencia de la organización ni cuando se extinga</w:t>
      </w:r>
      <w:r>
        <w:rPr>
          <w:rFonts w:ascii="Verdana" w:eastAsia="Calibri" w:hAnsi="Verdana" w:cs="Arial"/>
          <w:lang w:val="es-ES_tradnl" w:eastAsia="es-ES_tradnl"/>
        </w:rPr>
        <w:t xml:space="preserve">. </w:t>
      </w:r>
      <w:r w:rsidRPr="003505EE">
        <w:rPr>
          <w:rFonts w:ascii="Verdana" w:eastAsia="Calibri" w:hAnsi="Verdana" w:cs="Arial"/>
          <w:lang w:val="es-ES_tradnl" w:eastAsia="es-ES_tradnl"/>
        </w:rPr>
        <w:t>E</w:t>
      </w:r>
      <w:r>
        <w:rPr>
          <w:rFonts w:ascii="Verdana" w:eastAsia="Calibri" w:hAnsi="Verdana" w:cs="Arial"/>
          <w:lang w:val="es-ES_tradnl" w:eastAsia="es-ES_tradnl"/>
        </w:rPr>
        <w:t>n e</w:t>
      </w:r>
      <w:r w:rsidRPr="003505EE">
        <w:rPr>
          <w:rFonts w:ascii="Verdana" w:eastAsia="Calibri" w:hAnsi="Verdana" w:cs="Arial"/>
          <w:lang w:val="es-ES_tradnl" w:eastAsia="es-ES_tradnl"/>
        </w:rPr>
        <w:t xml:space="preserve">ste </w:t>
      </w:r>
      <w:r w:rsidRPr="00E67771">
        <w:rPr>
          <w:rFonts w:ascii="Verdana" w:eastAsia="Calibri" w:hAnsi="Verdana" w:cs="Arial"/>
          <w:lang w:val="es-ES_tradnl" w:eastAsia="es-ES_tradnl"/>
        </w:rPr>
        <w:t>aspecto, se insiste, radica la diferencia más apreciable entre</w:t>
      </w:r>
      <w:r>
        <w:rPr>
          <w:rFonts w:ascii="Verdana" w:eastAsia="Calibri" w:hAnsi="Verdana" w:cs="Arial"/>
          <w:lang w:val="es-ES_tradnl" w:eastAsia="es-ES_tradnl"/>
        </w:rPr>
        <w:t xml:space="preserve"> estas corporaciones y las sociedades comerciales, p</w:t>
      </w:r>
      <w:r w:rsidRPr="00E67771">
        <w:rPr>
          <w:rFonts w:ascii="Verdana" w:eastAsia="Calibri" w:hAnsi="Verdana" w:cs="Arial"/>
          <w:lang w:val="es-ES_tradnl" w:eastAsia="es-ES_tradnl"/>
        </w:rPr>
        <w:t>ese a que ambas se crean con libertad y al amparo del derecho fundamental de asociación previsto en el artículo 38 de la Constitución Política y otras normas contenidas en tratados internacionales suscritos por Colombia.</w:t>
      </w:r>
    </w:p>
    <w:p w14:paraId="177A5551" w14:textId="77777777" w:rsidR="00D55F7B" w:rsidRPr="00A303E8" w:rsidRDefault="00D55F7B" w:rsidP="00D55F7B">
      <w:pPr>
        <w:spacing w:after="120" w:line="276" w:lineRule="auto"/>
        <w:ind w:firstLine="709"/>
        <w:jc w:val="both"/>
        <w:rPr>
          <w:rFonts w:ascii="Verdana" w:eastAsia="Calibri" w:hAnsi="Verdana" w:cs="Arial"/>
          <w:lang w:val="es-ES" w:eastAsia="es-ES"/>
        </w:rPr>
      </w:pPr>
      <w:r w:rsidRPr="00E67771">
        <w:rPr>
          <w:rFonts w:ascii="Verdana" w:eastAsia="Calibri" w:hAnsi="Verdana" w:cs="Arial"/>
          <w:lang w:val="es-ES" w:eastAsia="es-ES"/>
        </w:rPr>
        <w:t xml:space="preserve">De conformidad con lo anterior, una “asociación o corporación” constituidas en los términos del Código Civil, no puede asimilarse o identificarse con una “sociedad comercial”, como uniformemente lo considera la doctrina y la </w:t>
      </w:r>
      <w:r w:rsidRPr="00E67771">
        <w:rPr>
          <w:rFonts w:ascii="Verdana" w:eastAsia="Calibri" w:hAnsi="Verdana" w:cs="Arial"/>
          <w:lang w:val="es-ES" w:eastAsia="es-ES"/>
        </w:rPr>
        <w:lastRenderedPageBreak/>
        <w:t>jurisprudencia civil y comercial</w:t>
      </w:r>
      <w:r w:rsidRPr="60F29CF2">
        <w:rPr>
          <w:rFonts w:ascii="Verdana" w:eastAsia="Calibri" w:hAnsi="Verdana" w:cs="Arial"/>
          <w:lang w:val="es-ES" w:eastAsia="es-ES"/>
        </w:rPr>
        <w:t xml:space="preserve">. Lo anterior, </w:t>
      </w:r>
      <w:r w:rsidRPr="00A303E8">
        <w:rPr>
          <w:rFonts w:ascii="Verdana" w:eastAsia="Calibri" w:hAnsi="Verdana" w:cs="Arial"/>
          <w:lang w:val="es-ES" w:eastAsia="es-ES"/>
        </w:rPr>
        <w:t xml:space="preserve">en la medida en que </w:t>
      </w:r>
      <w:r>
        <w:rPr>
          <w:rFonts w:ascii="Verdana" w:eastAsia="Calibri" w:hAnsi="Verdana" w:cs="Arial"/>
          <w:lang w:val="es-ES" w:eastAsia="es-ES"/>
        </w:rPr>
        <w:t xml:space="preserve">las sociedades comerciales se </w:t>
      </w:r>
      <w:r w:rsidRPr="00A303E8">
        <w:rPr>
          <w:rFonts w:ascii="Verdana" w:eastAsia="Calibri" w:hAnsi="Verdana" w:cs="Arial"/>
          <w:lang w:val="es-ES" w:eastAsia="es-ES"/>
        </w:rPr>
        <w:t>crea</w:t>
      </w:r>
      <w:r>
        <w:rPr>
          <w:rFonts w:ascii="Verdana" w:eastAsia="Calibri" w:hAnsi="Verdana" w:cs="Arial"/>
          <w:lang w:val="es-ES" w:eastAsia="es-ES"/>
        </w:rPr>
        <w:t>n</w:t>
      </w:r>
      <w:r w:rsidRPr="00A303E8">
        <w:rPr>
          <w:rFonts w:ascii="Verdana" w:eastAsia="Calibri" w:hAnsi="Verdana" w:cs="Arial"/>
          <w:lang w:val="es-ES" w:eastAsia="es-ES"/>
        </w:rPr>
        <w:t xml:space="preserve"> con la finalidad de que sus socios repartan las utilidades obtenidas en desarrollo de la empresa o actividad social. Por el contrario, las </w:t>
      </w:r>
      <w:r>
        <w:rPr>
          <w:rFonts w:ascii="Verdana" w:eastAsia="Calibri" w:hAnsi="Verdana" w:cs="Arial"/>
          <w:lang w:val="es-ES" w:eastAsia="es-ES"/>
        </w:rPr>
        <w:t xml:space="preserve">corporaciones, fundaciones </w:t>
      </w:r>
      <w:r w:rsidRPr="00A303E8">
        <w:rPr>
          <w:rFonts w:ascii="Verdana" w:eastAsia="Calibri" w:hAnsi="Verdana" w:cs="Arial"/>
          <w:lang w:val="es-ES" w:eastAsia="es-ES"/>
        </w:rPr>
        <w:t>o asociaciones destinan su patrimonio a la consecución de un interés genera</w:t>
      </w:r>
      <w:r>
        <w:rPr>
          <w:rFonts w:ascii="Verdana" w:eastAsia="Calibri" w:hAnsi="Verdana" w:cs="Arial"/>
          <w:lang w:val="es-ES" w:eastAsia="es-ES"/>
        </w:rPr>
        <w:t xml:space="preserve">l y no </w:t>
      </w:r>
      <w:r w:rsidRPr="00A303E8">
        <w:rPr>
          <w:rFonts w:ascii="Verdana" w:eastAsia="Calibri" w:hAnsi="Verdana" w:cs="Arial"/>
          <w:lang w:val="es-ES" w:eastAsia="es-ES"/>
        </w:rPr>
        <w:t>percibe</w:t>
      </w:r>
      <w:r>
        <w:rPr>
          <w:rFonts w:ascii="Verdana" w:eastAsia="Calibri" w:hAnsi="Verdana" w:cs="Arial"/>
          <w:lang w:val="es-ES" w:eastAsia="es-ES"/>
        </w:rPr>
        <w:t>n</w:t>
      </w:r>
      <w:r w:rsidRPr="00A303E8">
        <w:rPr>
          <w:rFonts w:ascii="Verdana" w:eastAsia="Calibri" w:hAnsi="Verdana" w:cs="Arial"/>
          <w:lang w:val="es-ES" w:eastAsia="es-ES"/>
        </w:rPr>
        <w:t xml:space="preserve"> lucro</w:t>
      </w:r>
      <w:r>
        <w:rPr>
          <w:rFonts w:ascii="Verdana" w:eastAsia="Calibri" w:hAnsi="Verdana" w:cs="Arial"/>
          <w:lang w:val="es-ES" w:eastAsia="es-ES"/>
        </w:rPr>
        <w:t xml:space="preserve">, pues los </w:t>
      </w:r>
      <w:r w:rsidRPr="00A303E8">
        <w:rPr>
          <w:rFonts w:ascii="Verdana" w:eastAsia="Calibri" w:hAnsi="Verdana" w:cs="Arial"/>
          <w:lang w:val="es-ES" w:eastAsia="es-ES"/>
        </w:rPr>
        <w:t xml:space="preserve">excedentes monetarios que se presenten </w:t>
      </w:r>
      <w:r>
        <w:rPr>
          <w:rFonts w:ascii="Verdana" w:eastAsia="Calibri" w:hAnsi="Verdana" w:cs="Arial"/>
          <w:lang w:val="es-ES" w:eastAsia="es-ES"/>
        </w:rPr>
        <w:t>deben ser reinvertidos en la ESAL y no es viable</w:t>
      </w:r>
      <w:r w:rsidRPr="00A303E8">
        <w:rPr>
          <w:rFonts w:ascii="Verdana" w:eastAsia="Calibri" w:hAnsi="Verdana" w:cs="Arial"/>
          <w:lang w:val="es-ES" w:eastAsia="es-ES"/>
        </w:rPr>
        <w:t xml:space="preserve"> </w:t>
      </w:r>
      <w:r>
        <w:rPr>
          <w:rFonts w:ascii="Verdana" w:eastAsia="Calibri" w:hAnsi="Verdana" w:cs="Arial"/>
          <w:lang w:val="es-ES" w:eastAsia="es-ES"/>
        </w:rPr>
        <w:t xml:space="preserve">repartirlos </w:t>
      </w:r>
      <w:r w:rsidRPr="00A303E8">
        <w:rPr>
          <w:rFonts w:ascii="Verdana" w:eastAsia="Calibri" w:hAnsi="Verdana" w:cs="Arial"/>
          <w:lang w:val="es-ES" w:eastAsia="es-ES"/>
        </w:rPr>
        <w:t>entre los asociados.</w:t>
      </w:r>
    </w:p>
    <w:p w14:paraId="4B27C683" w14:textId="77777777" w:rsidR="00D55F7B" w:rsidRPr="00A303E8" w:rsidRDefault="00D55F7B" w:rsidP="00D55F7B">
      <w:pPr>
        <w:spacing w:after="120" w:line="276" w:lineRule="auto"/>
        <w:ind w:firstLine="709"/>
        <w:jc w:val="both"/>
        <w:rPr>
          <w:rFonts w:ascii="Verdana" w:eastAsia="Calibri" w:hAnsi="Verdana" w:cs="Arial"/>
          <w:lang w:val="es-ES_tradnl" w:eastAsia="es-ES_tradnl"/>
        </w:rPr>
      </w:pPr>
      <w:r>
        <w:rPr>
          <w:rFonts w:ascii="Verdana" w:eastAsia="Calibri" w:hAnsi="Verdana" w:cs="Arial"/>
          <w:lang w:val="es-ES_tradnl" w:eastAsia="es-ES_tradnl"/>
        </w:rPr>
        <w:t>L</w:t>
      </w:r>
      <w:r w:rsidRPr="00A303E8">
        <w:rPr>
          <w:rFonts w:ascii="Verdana" w:eastAsia="Calibri" w:hAnsi="Verdana" w:cs="Arial"/>
          <w:lang w:val="es-ES_tradnl" w:eastAsia="es-ES_tradnl"/>
        </w:rPr>
        <w:t xml:space="preserve">a Corte Constitucional, en la sentencia C-287 de 2012, reiteró que la diferencia existente entre las sociedades comerciales y las </w:t>
      </w:r>
      <w:r>
        <w:rPr>
          <w:rFonts w:ascii="Verdana" w:eastAsia="Calibri" w:hAnsi="Verdana" w:cs="Arial"/>
          <w:lang w:val="es-ES_tradnl" w:eastAsia="es-ES_tradnl"/>
        </w:rPr>
        <w:t xml:space="preserve">ESAL </w:t>
      </w:r>
      <w:r w:rsidRPr="00A303E8">
        <w:rPr>
          <w:rFonts w:ascii="Verdana" w:eastAsia="Calibri" w:hAnsi="Verdana" w:cs="Arial"/>
          <w:lang w:val="es-ES_tradnl" w:eastAsia="es-ES_tradnl"/>
        </w:rPr>
        <w:t>es que estas últimas no reparten sus utilidades entre los socios:</w:t>
      </w:r>
    </w:p>
    <w:p w14:paraId="4FF7715F" w14:textId="77777777" w:rsidR="00D55F7B" w:rsidRDefault="00D55F7B" w:rsidP="00D55F7B">
      <w:pPr>
        <w:spacing w:after="0" w:line="276" w:lineRule="auto"/>
        <w:ind w:left="709" w:right="709"/>
        <w:jc w:val="both"/>
        <w:rPr>
          <w:rFonts w:ascii="Verdana" w:eastAsia="Calibri" w:hAnsi="Verdana" w:cs="Arial"/>
          <w:sz w:val="20"/>
          <w:szCs w:val="20"/>
          <w:lang w:val="es-ES" w:eastAsia="es-ES"/>
        </w:rPr>
      </w:pPr>
    </w:p>
    <w:p w14:paraId="62C524EC" w14:textId="77777777" w:rsidR="00D55F7B" w:rsidRPr="00A303E8" w:rsidRDefault="00D55F7B" w:rsidP="00D55F7B">
      <w:pPr>
        <w:spacing w:after="0" w:line="240" w:lineRule="auto"/>
        <w:ind w:left="709" w:right="709"/>
        <w:jc w:val="both"/>
        <w:rPr>
          <w:rFonts w:ascii="Verdana" w:eastAsia="Calibri" w:hAnsi="Verdana" w:cs="Arial"/>
          <w:sz w:val="20"/>
          <w:szCs w:val="20"/>
          <w:lang w:val="es-ES" w:eastAsia="es-ES"/>
        </w:rPr>
      </w:pPr>
      <w:r w:rsidRPr="00A303E8">
        <w:rPr>
          <w:rFonts w:ascii="Verdana" w:eastAsia="Calibri" w:hAnsi="Verdana" w:cs="Arial"/>
          <w:sz w:val="20"/>
          <w:szCs w:val="20"/>
          <w:lang w:val="es-ES" w:eastAsia="es-ES"/>
        </w:rPr>
        <w:t xml:space="preserve">“Sin embargo, el hecho que no persigan una finalidad lucrativa no significa que no desarrollen actividades que generen utilidades, lo que pasa es que, a diferencia de las sociedades, el lucro o ganancia obtenida no se reparte entre sus miembros sino que se integra al patrimonio de la asociación para la obtención del fin deseado. Así, el elemento característico de las corporaciones o asociaciones sin ánimo de lucro radica, precisamente, en la determinación de sus miembros de desarrollar una actividad de interés general sin esperar a cambio repartición de utilidades en proporción a su aporte, ni la recuperación </w:t>
      </w:r>
      <w:proofErr w:type="gramStart"/>
      <w:r w:rsidRPr="00A303E8">
        <w:rPr>
          <w:rFonts w:ascii="Verdana" w:eastAsia="Calibri" w:hAnsi="Verdana" w:cs="Arial"/>
          <w:sz w:val="20"/>
          <w:szCs w:val="20"/>
          <w:lang w:val="es-ES" w:eastAsia="es-ES"/>
        </w:rPr>
        <w:t>del mismo</w:t>
      </w:r>
      <w:proofErr w:type="gramEnd"/>
      <w:r w:rsidRPr="00A303E8">
        <w:rPr>
          <w:rFonts w:ascii="Verdana" w:eastAsia="Calibri" w:hAnsi="Verdana" w:cs="Arial"/>
          <w:sz w:val="20"/>
          <w:szCs w:val="20"/>
          <w:lang w:val="es-ES" w:eastAsia="es-ES"/>
        </w:rPr>
        <w:t xml:space="preserve"> en el momento de su disolución o liquidación”</w:t>
      </w:r>
      <w:r w:rsidRPr="00997992">
        <w:rPr>
          <w:rStyle w:val="Refdenotaalpie"/>
          <w:rFonts w:ascii="Verdana" w:eastAsia="Calibri" w:hAnsi="Verdana" w:cs="Arial"/>
          <w:lang w:val="es-ES_tradnl" w:eastAsia="es-ES_tradnl"/>
        </w:rPr>
        <w:t xml:space="preserve"> </w:t>
      </w:r>
      <w:r w:rsidRPr="00A303E8">
        <w:rPr>
          <w:rStyle w:val="Refdenotaalpie"/>
          <w:rFonts w:ascii="Verdana" w:eastAsia="Calibri" w:hAnsi="Verdana" w:cs="Arial"/>
          <w:lang w:val="es-ES_tradnl" w:eastAsia="es-ES_tradnl"/>
        </w:rPr>
        <w:footnoteReference w:id="9"/>
      </w:r>
      <w:r w:rsidRPr="00A303E8">
        <w:rPr>
          <w:rFonts w:ascii="Verdana" w:eastAsia="Calibri" w:hAnsi="Verdana" w:cs="Arial"/>
          <w:sz w:val="20"/>
          <w:szCs w:val="20"/>
          <w:lang w:val="es-ES" w:eastAsia="es-ES"/>
        </w:rPr>
        <w:t>.</w:t>
      </w:r>
    </w:p>
    <w:p w14:paraId="402662A7" w14:textId="77777777" w:rsidR="00D55F7B" w:rsidRPr="00A303E8" w:rsidRDefault="00D55F7B" w:rsidP="00D55F7B">
      <w:pPr>
        <w:spacing w:after="0" w:line="276" w:lineRule="auto"/>
        <w:ind w:firstLine="709"/>
        <w:jc w:val="both"/>
        <w:rPr>
          <w:rFonts w:ascii="Verdana" w:eastAsia="Calibri" w:hAnsi="Verdana" w:cs="Arial"/>
          <w:lang w:val="es-ES_tradnl" w:eastAsia="es-ES_tradnl"/>
        </w:rPr>
      </w:pPr>
    </w:p>
    <w:p w14:paraId="1BA3703F" w14:textId="77777777" w:rsidR="00D55F7B" w:rsidRDefault="00D55F7B" w:rsidP="00D55F7B">
      <w:pPr>
        <w:widowControl w:val="0"/>
        <w:autoSpaceDE w:val="0"/>
        <w:autoSpaceDN w:val="0"/>
        <w:spacing w:after="120" w:line="276" w:lineRule="auto"/>
        <w:ind w:firstLine="709"/>
        <w:jc w:val="both"/>
        <w:rPr>
          <w:rFonts w:ascii="Verdana" w:eastAsia="Calibri" w:hAnsi="Verdana" w:cs="Arial"/>
          <w:lang w:val="es-ES_tradnl" w:eastAsia="es-ES_tradnl"/>
        </w:rPr>
      </w:pPr>
      <w:r w:rsidRPr="00A303E8">
        <w:rPr>
          <w:rFonts w:ascii="Verdana" w:eastAsia="Calibri" w:hAnsi="Verdana" w:cs="Arial"/>
          <w:lang w:val="es-ES_tradnl" w:eastAsia="es-ES_tradnl"/>
        </w:rPr>
        <w:t>En ese mismo sentido, la Cámara de Comercio de Bogotá, en el “Documento ABC Entidades sin Ánimo de Lucro”, ha definido las ESAL como “las personas jurídicas que se constituyen por la voluntad de asociación o creación de otras personas (naturales o jurídicas) para realizar actividades en beneficio de los asociados o de terceras personas o de la comunidad en general y no persiguen el reparto de utilidades entre sus miembros</w:t>
      </w:r>
      <w:r w:rsidRPr="00A303E8">
        <w:rPr>
          <w:rStyle w:val="Refdenotaalpie"/>
          <w:rFonts w:ascii="Verdana" w:eastAsia="Calibri" w:hAnsi="Verdana" w:cs="Arial"/>
          <w:lang w:val="es-ES_tradnl" w:eastAsia="es-ES_tradnl"/>
        </w:rPr>
        <w:footnoteReference w:id="10"/>
      </w:r>
      <w:r w:rsidRPr="00A303E8">
        <w:rPr>
          <w:rFonts w:ascii="Verdana" w:eastAsia="Calibri" w:hAnsi="Verdana" w:cs="Arial"/>
          <w:lang w:val="es-ES_tradnl" w:eastAsia="es-ES_tradnl"/>
        </w:rPr>
        <w:t>”. Las ESAL, no tienen la naturaleza jurídica de empresa sino, de asociaciones que buscan la realización de un fin común y objetivos carentes de un contenido esencialmente patrimonial –fin de lucro y reparto de las utilidades–.</w:t>
      </w:r>
    </w:p>
    <w:p w14:paraId="6815D09D" w14:textId="77777777" w:rsidR="00D55F7B" w:rsidRPr="00362CA6" w:rsidRDefault="00D55F7B" w:rsidP="00D55F7B">
      <w:pPr>
        <w:widowControl w:val="0"/>
        <w:autoSpaceDE w:val="0"/>
        <w:autoSpaceDN w:val="0"/>
        <w:spacing w:after="120" w:line="276" w:lineRule="auto"/>
        <w:ind w:firstLine="709"/>
        <w:jc w:val="both"/>
        <w:rPr>
          <w:rFonts w:ascii="Verdana" w:eastAsia="Arial" w:hAnsi="Verdana" w:cs="Arial"/>
          <w:lang w:val="es-ES"/>
        </w:rPr>
      </w:pPr>
      <w:r>
        <w:rPr>
          <w:rFonts w:ascii="Verdana" w:eastAsia="Calibri" w:hAnsi="Verdana" w:cs="Arial"/>
          <w:lang w:val="es-ES_tradnl" w:eastAsia="es-ES_tradnl"/>
        </w:rPr>
        <w:t xml:space="preserve">En línea con lo anterior, </w:t>
      </w:r>
      <w:r w:rsidRPr="60F29CF2">
        <w:rPr>
          <w:rFonts w:ascii="Verdana" w:hAnsi="Verdana" w:cs="Arial"/>
          <w:lang w:val="es-ES"/>
        </w:rPr>
        <w:t xml:space="preserve">respecto a la asimilación de las ESAL con las </w:t>
      </w:r>
      <w:proofErr w:type="spellStart"/>
      <w:r w:rsidRPr="60F29CF2">
        <w:rPr>
          <w:rFonts w:ascii="Verdana" w:hAnsi="Verdana" w:cs="Arial"/>
          <w:lang w:val="es-ES"/>
        </w:rPr>
        <w:t>Mipymes</w:t>
      </w:r>
      <w:proofErr w:type="spellEnd"/>
      <w:r w:rsidRPr="60F29CF2">
        <w:rPr>
          <w:rFonts w:ascii="Verdana" w:hAnsi="Verdana" w:cs="Arial"/>
          <w:lang w:val="es-ES"/>
        </w:rPr>
        <w:t xml:space="preserve">, resulta indispensable señalar que el artículo 2 de la Ley 590 de 2000, </w:t>
      </w:r>
      <w:r w:rsidRPr="60F29CF2">
        <w:rPr>
          <w:rFonts w:ascii="Verdana" w:hAnsi="Verdana" w:cs="Arial"/>
          <w:lang w:val="es-ES"/>
        </w:rPr>
        <w:lastRenderedPageBreak/>
        <w:t xml:space="preserve">modificado por el artículo 43 de la Ley 1450 de 2011, define la </w:t>
      </w:r>
      <w:r w:rsidRPr="60F29CF2">
        <w:rPr>
          <w:rFonts w:ascii="Verdana" w:hAnsi="Verdana" w:cs="Arial"/>
          <w:i/>
          <w:iCs/>
          <w:lang w:val="es-ES"/>
        </w:rPr>
        <w:t>empresa</w:t>
      </w:r>
      <w:r w:rsidRPr="60F29CF2">
        <w:rPr>
          <w:rFonts w:ascii="Verdana" w:hAnsi="Verdana" w:cs="Arial"/>
          <w:lang w:val="es-ES"/>
        </w:rPr>
        <w:t xml:space="preserve"> como toda unidad de explotación económica que realiza una persona natural o jurídica en actividades agropecuarias, industriales, comerciales o de servicios</w:t>
      </w:r>
      <w:r w:rsidRPr="60F29CF2">
        <w:rPr>
          <w:rFonts w:ascii="Verdana" w:hAnsi="Verdana" w:cs="Arial"/>
          <w:vertAlign w:val="superscript"/>
          <w:lang w:val="es-ES"/>
        </w:rPr>
        <w:footnoteReference w:id="11"/>
      </w:r>
      <w:r w:rsidRPr="60F29CF2">
        <w:rPr>
          <w:rFonts w:ascii="Verdana" w:hAnsi="Verdana" w:cs="Arial"/>
          <w:lang w:val="es-ES"/>
        </w:rPr>
        <w:t>. Además, establece que estas se clasifican en micro, pequeña, mediana y gran empresa, de acuerdo con los criterios del número de trabajadores totales, el valor de ventas bruta</w:t>
      </w:r>
      <w:r>
        <w:rPr>
          <w:rFonts w:ascii="Verdana" w:hAnsi="Verdana" w:cs="Arial"/>
          <w:lang w:val="es-ES"/>
        </w:rPr>
        <w:t>s</w:t>
      </w:r>
      <w:r w:rsidRPr="60F29CF2">
        <w:rPr>
          <w:rFonts w:ascii="Verdana" w:hAnsi="Verdana" w:cs="Arial"/>
          <w:lang w:val="es-ES"/>
        </w:rPr>
        <w:t xml:space="preserve"> anuales y el valor de activos totales</w:t>
      </w:r>
      <w:r>
        <w:rPr>
          <w:rFonts w:ascii="Verdana" w:hAnsi="Verdana" w:cs="Arial"/>
          <w:lang w:val="es-ES"/>
        </w:rPr>
        <w:t xml:space="preserve">, acorde con lo previsto en </w:t>
      </w:r>
      <w:r w:rsidRPr="60F29CF2">
        <w:rPr>
          <w:rFonts w:ascii="Verdana" w:eastAsia="Arial" w:hAnsi="Verdana" w:cs="Arial"/>
          <w:lang w:val="es-ES"/>
        </w:rPr>
        <w:t>el artículo 2.2.1.13.2.2. del Decreto 1074 de 2015, adicionado por el Decreto 957 de 2019</w:t>
      </w:r>
      <w:r>
        <w:rPr>
          <w:rFonts w:ascii="Verdana" w:eastAsia="Arial" w:hAnsi="Verdana" w:cs="Arial"/>
          <w:lang w:val="es-ES"/>
        </w:rPr>
        <w:t xml:space="preserve">. </w:t>
      </w:r>
    </w:p>
    <w:p w14:paraId="27F10BED" w14:textId="77777777" w:rsidR="00D55F7B" w:rsidRDefault="00D55F7B" w:rsidP="00D55F7B">
      <w:pPr>
        <w:spacing w:after="120" w:line="276" w:lineRule="auto"/>
        <w:ind w:firstLine="709"/>
        <w:jc w:val="both"/>
        <w:rPr>
          <w:rFonts w:ascii="Verdana" w:hAnsi="Verdana" w:cs="Arial"/>
          <w:lang w:val="es-ES"/>
        </w:rPr>
      </w:pPr>
      <w:r>
        <w:rPr>
          <w:rFonts w:ascii="Verdana" w:hAnsi="Verdana" w:cs="Arial"/>
          <w:lang w:val="es-ES"/>
        </w:rPr>
        <w:t>Con base en lo anterior</w:t>
      </w:r>
      <w:r w:rsidRPr="60F29CF2">
        <w:rPr>
          <w:rFonts w:ascii="Verdana" w:hAnsi="Verdana" w:cs="Arial"/>
          <w:lang w:val="es-ES"/>
        </w:rPr>
        <w:t>, esta Agencia ha sostenido de forma reiterada la tesis consistente en que las ESAL no pueden</w:t>
      </w:r>
      <w:r>
        <w:rPr>
          <w:rFonts w:ascii="Verdana" w:hAnsi="Verdana" w:cs="Arial"/>
          <w:lang w:val="es-ES"/>
        </w:rPr>
        <w:t>, por regla general,</w:t>
      </w:r>
      <w:r w:rsidRPr="60F29CF2">
        <w:rPr>
          <w:rFonts w:ascii="Verdana" w:hAnsi="Verdana" w:cs="Arial"/>
          <w:lang w:val="es-ES"/>
        </w:rPr>
        <w:t xml:space="preserve"> acceder a los beneficios a favor de las </w:t>
      </w:r>
      <w:proofErr w:type="spellStart"/>
      <w:r w:rsidRPr="60F29CF2">
        <w:rPr>
          <w:rFonts w:ascii="Verdana" w:hAnsi="Verdana" w:cs="Arial"/>
          <w:lang w:val="es-ES"/>
        </w:rPr>
        <w:t>Mipymes</w:t>
      </w:r>
      <w:proofErr w:type="spellEnd"/>
      <w:r w:rsidRPr="60F29CF2">
        <w:rPr>
          <w:rFonts w:ascii="Verdana" w:hAnsi="Verdana" w:cs="Arial"/>
          <w:lang w:val="es-ES"/>
        </w:rPr>
        <w:t xml:space="preserve"> ni participar en los procesos contractuales limitados a estas</w:t>
      </w:r>
      <w:r>
        <w:rPr>
          <w:rFonts w:ascii="Verdana" w:hAnsi="Verdana" w:cs="Arial"/>
          <w:lang w:val="es-ES"/>
        </w:rPr>
        <w:t xml:space="preserve"> </w:t>
      </w:r>
      <w:r w:rsidRPr="60F29CF2">
        <w:rPr>
          <w:rFonts w:ascii="Verdana" w:hAnsi="Verdana" w:cs="Arial"/>
          <w:lang w:val="es-ES"/>
        </w:rPr>
        <w:t xml:space="preserve">considerando que: </w:t>
      </w:r>
    </w:p>
    <w:p w14:paraId="6563445C" w14:textId="77777777" w:rsidR="00D55F7B" w:rsidRPr="000C3249" w:rsidRDefault="00D55F7B" w:rsidP="00D55F7B">
      <w:pPr>
        <w:spacing w:after="0" w:line="276" w:lineRule="auto"/>
        <w:ind w:left="709" w:right="709"/>
        <w:jc w:val="both"/>
        <w:rPr>
          <w:rFonts w:ascii="Verdana" w:hAnsi="Verdana" w:cs="Arial"/>
          <w:lang w:val="es-ES_tradnl"/>
        </w:rPr>
      </w:pPr>
    </w:p>
    <w:p w14:paraId="2C425F48" w14:textId="77777777" w:rsidR="00D55F7B" w:rsidRDefault="00D55F7B" w:rsidP="00D55F7B">
      <w:pPr>
        <w:spacing w:after="0" w:line="240" w:lineRule="auto"/>
        <w:ind w:left="709" w:right="709"/>
        <w:jc w:val="both"/>
        <w:rPr>
          <w:rFonts w:ascii="Verdana" w:hAnsi="Verdana" w:cs="Arial"/>
          <w:sz w:val="20"/>
          <w:szCs w:val="20"/>
        </w:rPr>
      </w:pPr>
      <w:r w:rsidRPr="000C3249">
        <w:rPr>
          <w:rFonts w:ascii="Verdana" w:hAnsi="Verdana" w:cs="Arial"/>
          <w:sz w:val="20"/>
          <w:szCs w:val="20"/>
          <w:lang w:val="es-ES_tradnl"/>
        </w:rPr>
        <w:t>“</w:t>
      </w:r>
      <w:r w:rsidRPr="000C3249">
        <w:rPr>
          <w:rFonts w:ascii="Verdana" w:hAnsi="Verdana" w:cs="Arial"/>
          <w:sz w:val="20"/>
          <w:szCs w:val="20"/>
        </w:rPr>
        <w:t xml:space="preserve">en virtud del artículo 43 de la Ley 1450 de 2011, que modificó el artículo 2 de la Ley 590 de 2000, […] puede decirse que solo podrán ser </w:t>
      </w:r>
      <w:proofErr w:type="spellStart"/>
      <w:r w:rsidRPr="000C3249">
        <w:rPr>
          <w:rFonts w:ascii="Verdana" w:hAnsi="Verdana" w:cs="Arial"/>
          <w:sz w:val="20"/>
          <w:szCs w:val="20"/>
        </w:rPr>
        <w:t>Mipymes</w:t>
      </w:r>
      <w:proofErr w:type="spellEnd"/>
      <w:r w:rsidRPr="000C3249">
        <w:rPr>
          <w:rFonts w:ascii="Verdana" w:hAnsi="Verdana" w:cs="Arial"/>
          <w:sz w:val="20"/>
          <w:szCs w:val="20"/>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Pr="000C3249">
        <w:rPr>
          <w:rFonts w:ascii="Verdana" w:hAnsi="Verdana" w:cs="Arial"/>
          <w:sz w:val="20"/>
          <w:szCs w:val="20"/>
        </w:rPr>
        <w:t>mipymes</w:t>
      </w:r>
      <w:proofErr w:type="spellEnd"/>
      <w:r w:rsidRPr="000C3249">
        <w:rPr>
          <w:rFonts w:ascii="Verdana" w:hAnsi="Verdana" w:cs="Arial"/>
          <w:sz w:val="20"/>
          <w:szCs w:val="20"/>
        </w:rPr>
        <w:t xml:space="preserve">. Lo anterior teniendo en cuenta que </w:t>
      </w:r>
      <w:r w:rsidRPr="000C3249">
        <w:rPr>
          <w:rFonts w:ascii="Verdana" w:hAnsi="Verdana" w:cs="Arial"/>
          <w:i/>
          <w:iCs/>
          <w:sz w:val="20"/>
          <w:szCs w:val="20"/>
        </w:rPr>
        <w:t xml:space="preserve">no responden al concepto de empresa que involucra dicha categoría con ánimo de lucro, por lo que no resulta jurídicamente válido aplicar a las ESAL las normas dirigidas a las </w:t>
      </w:r>
      <w:proofErr w:type="spellStart"/>
      <w:r w:rsidRPr="000C3249">
        <w:rPr>
          <w:rFonts w:ascii="Verdana" w:hAnsi="Verdana" w:cs="Arial"/>
          <w:i/>
          <w:iCs/>
          <w:sz w:val="20"/>
          <w:szCs w:val="20"/>
        </w:rPr>
        <w:t>Mipymes</w:t>
      </w:r>
      <w:proofErr w:type="spellEnd"/>
      <w:r w:rsidRPr="000C3249">
        <w:rPr>
          <w:rFonts w:ascii="Verdana" w:hAnsi="Verdana" w:cs="Arial"/>
          <w:sz w:val="20"/>
          <w:szCs w:val="20"/>
        </w:rPr>
        <w:t>”</w:t>
      </w:r>
      <w:r w:rsidRPr="000C3249">
        <w:rPr>
          <w:rFonts w:ascii="Verdana" w:hAnsi="Verdana" w:cs="Arial"/>
          <w:sz w:val="20"/>
          <w:szCs w:val="20"/>
          <w:vertAlign w:val="superscript"/>
        </w:rPr>
        <w:footnoteReference w:id="12"/>
      </w:r>
      <w:r w:rsidRPr="000C3249">
        <w:rPr>
          <w:rFonts w:ascii="Verdana" w:hAnsi="Verdana" w:cs="Arial"/>
          <w:sz w:val="20"/>
          <w:szCs w:val="20"/>
        </w:rPr>
        <w:t xml:space="preserve">. </w:t>
      </w:r>
    </w:p>
    <w:p w14:paraId="094E092D" w14:textId="77777777" w:rsidR="00D55F7B" w:rsidRPr="00357F20" w:rsidRDefault="00D55F7B" w:rsidP="00D55F7B">
      <w:pPr>
        <w:spacing w:after="0" w:line="276" w:lineRule="auto"/>
        <w:ind w:left="709" w:right="709"/>
        <w:jc w:val="both"/>
        <w:rPr>
          <w:rFonts w:ascii="Verdana" w:hAnsi="Verdana" w:cs="Arial"/>
        </w:rPr>
      </w:pPr>
    </w:p>
    <w:p w14:paraId="11C2C9C9" w14:textId="77777777" w:rsidR="00D55F7B" w:rsidRDefault="00D55F7B" w:rsidP="00D55F7B">
      <w:pPr>
        <w:spacing w:after="120" w:line="276" w:lineRule="auto"/>
        <w:ind w:firstLine="709"/>
        <w:jc w:val="both"/>
        <w:rPr>
          <w:rFonts w:ascii="Verdana" w:hAnsi="Verdana" w:cs="Arial"/>
          <w:lang w:val="es-ES"/>
        </w:rPr>
      </w:pPr>
      <w:r>
        <w:rPr>
          <w:rFonts w:ascii="Verdana" w:hAnsi="Verdana" w:cs="Arial"/>
          <w:lang w:val="es-ES"/>
        </w:rPr>
        <w:t>Según esta</w:t>
      </w:r>
      <w:r w:rsidRPr="00362CA6">
        <w:rPr>
          <w:rFonts w:ascii="Verdana" w:hAnsi="Verdana" w:cs="Arial"/>
          <w:lang w:val="es-ES"/>
        </w:rPr>
        <w:t xml:space="preserve"> postura,</w:t>
      </w:r>
      <w:r>
        <w:rPr>
          <w:rFonts w:ascii="Verdana" w:hAnsi="Verdana" w:cs="Arial"/>
          <w:lang w:val="es-ES"/>
        </w:rPr>
        <w:t xml:space="preserve"> y</w:t>
      </w:r>
      <w:r w:rsidRPr="00362CA6">
        <w:rPr>
          <w:rFonts w:ascii="Verdana" w:hAnsi="Verdana" w:cs="Arial"/>
          <w:lang w:val="es-ES"/>
        </w:rPr>
        <w:t xml:space="preserve"> en virtud de</w:t>
      </w:r>
      <w:r>
        <w:rPr>
          <w:rFonts w:ascii="Verdana" w:hAnsi="Verdana" w:cs="Arial"/>
          <w:lang w:val="es-ES"/>
        </w:rPr>
        <w:t xml:space="preserve"> lo señalado en el</w:t>
      </w:r>
      <w:r w:rsidRPr="00362CA6">
        <w:rPr>
          <w:rFonts w:ascii="Verdana" w:hAnsi="Verdana" w:cs="Arial"/>
          <w:lang w:val="es-ES"/>
        </w:rPr>
        <w:t xml:space="preserve"> artículo 43 de la Ley 1450 de 2011, que modificó el artículo 2 de la Ley 590 de 2000, solo podrán ser </w:t>
      </w:r>
      <w:r>
        <w:rPr>
          <w:rFonts w:ascii="Verdana" w:hAnsi="Verdana" w:cs="Arial"/>
          <w:lang w:val="es-ES"/>
        </w:rPr>
        <w:t xml:space="preserve">consideradas </w:t>
      </w:r>
      <w:proofErr w:type="spellStart"/>
      <w:r w:rsidRPr="00362CA6">
        <w:rPr>
          <w:rFonts w:ascii="Verdana" w:hAnsi="Verdana" w:cs="Arial"/>
          <w:lang w:val="es-ES"/>
        </w:rPr>
        <w:t>Mipymes</w:t>
      </w:r>
      <w:proofErr w:type="spellEnd"/>
      <w:r w:rsidRPr="00362CA6">
        <w:rPr>
          <w:rFonts w:ascii="Verdana" w:hAnsi="Verdana" w:cs="Arial"/>
          <w:lang w:val="es-ES"/>
        </w:rPr>
        <w:t xml:space="preserve"> las empresas, </w:t>
      </w:r>
      <w:r>
        <w:rPr>
          <w:rFonts w:ascii="Verdana" w:hAnsi="Verdana" w:cs="Arial"/>
          <w:lang w:val="es-ES"/>
        </w:rPr>
        <w:t xml:space="preserve">pues son </w:t>
      </w:r>
      <w:r w:rsidRPr="00362CA6">
        <w:rPr>
          <w:rFonts w:ascii="Verdana" w:hAnsi="Verdana" w:cs="Arial"/>
          <w:lang w:val="es-ES"/>
        </w:rPr>
        <w:t xml:space="preserve">unidades de explotación económica que buscan el reparto de utilidades entre los miembros de la empresa, sin perjuicio de las precisiones que se realizarán más adelante en relación con el artículo 23 de la Ley 2069 de 2020. </w:t>
      </w:r>
    </w:p>
    <w:p w14:paraId="78C3CD9A" w14:textId="77777777" w:rsidR="00D55F7B" w:rsidRDefault="00D55F7B" w:rsidP="00D55F7B">
      <w:pPr>
        <w:spacing w:after="120" w:line="276" w:lineRule="auto"/>
        <w:ind w:firstLine="709"/>
        <w:jc w:val="both"/>
        <w:rPr>
          <w:rFonts w:ascii="Verdana" w:hAnsi="Verdana" w:cs="Arial"/>
          <w:lang w:val="es-ES"/>
        </w:rPr>
      </w:pPr>
      <w:r>
        <w:rPr>
          <w:rFonts w:ascii="Verdana" w:hAnsi="Verdana" w:cs="Arial"/>
          <w:lang w:val="es-ES"/>
        </w:rPr>
        <w:t xml:space="preserve">De esta forma, </w:t>
      </w:r>
      <w:r w:rsidRPr="0040650F">
        <w:rPr>
          <w:rFonts w:ascii="Verdana" w:hAnsi="Verdana" w:cs="Arial"/>
          <w:lang w:val="es-ES"/>
        </w:rPr>
        <w:t>es claro que solo pueden ser consideradas MiPymes las empresas, entendidas estas como las unidades de explotación económica</w:t>
      </w:r>
      <w:r>
        <w:rPr>
          <w:rFonts w:ascii="Verdana" w:hAnsi="Verdana" w:cs="Arial"/>
          <w:lang w:val="es-ES"/>
        </w:rPr>
        <w:t>,</w:t>
      </w:r>
      <w:r w:rsidRPr="0040650F">
        <w:rPr>
          <w:rFonts w:ascii="Verdana" w:hAnsi="Verdana" w:cs="Arial"/>
          <w:lang w:val="es-ES"/>
        </w:rPr>
        <w:t xml:space="preserve"> que buscan el reparto de utilidades entre los miembros de la empresa. </w:t>
      </w:r>
      <w:r>
        <w:rPr>
          <w:rFonts w:ascii="Verdana" w:hAnsi="Verdana" w:cs="Arial"/>
          <w:lang w:val="es-ES"/>
        </w:rPr>
        <w:t>E</w:t>
      </w:r>
      <w:r w:rsidRPr="0040650F">
        <w:rPr>
          <w:rFonts w:ascii="Verdana" w:hAnsi="Verdana" w:cs="Arial"/>
          <w:lang w:val="es-ES"/>
        </w:rPr>
        <w:t xml:space="preserve">n razón a que las ESAL no persiguen el reparto de utilidades entre sus miembros, en el entendido en que no tienen ánimo de lucro, y que su objeto está destinado a realizar actividades de interés general sin esperar a cambio un reparto de ganancia en proporción a sus utilidades, lo cierto es que no pueden acceder a los incentivos </w:t>
      </w:r>
      <w:r w:rsidRPr="00967EED">
        <w:rPr>
          <w:rFonts w:ascii="Verdana" w:hAnsi="Verdana" w:cs="Arial"/>
        </w:rPr>
        <w:t>n</w:t>
      </w:r>
      <w:r>
        <w:rPr>
          <w:rFonts w:ascii="Verdana" w:hAnsi="Verdana" w:cs="Arial"/>
        </w:rPr>
        <w:t>i</w:t>
      </w:r>
      <w:r w:rsidRPr="00967EED">
        <w:rPr>
          <w:rFonts w:ascii="Verdana" w:hAnsi="Verdana" w:cs="Arial"/>
        </w:rPr>
        <w:t xml:space="preserve"> participar en los procesos de contratación limitado</w:t>
      </w:r>
      <w:r>
        <w:rPr>
          <w:rFonts w:ascii="Verdana" w:hAnsi="Verdana" w:cs="Arial"/>
        </w:rPr>
        <w:t>s</w:t>
      </w:r>
      <w:r w:rsidRPr="00967EED">
        <w:rPr>
          <w:rFonts w:ascii="Verdana" w:hAnsi="Verdana" w:cs="Arial"/>
        </w:rPr>
        <w:t xml:space="preserve"> a </w:t>
      </w:r>
      <w:r>
        <w:rPr>
          <w:rFonts w:ascii="Verdana" w:hAnsi="Verdana" w:cs="Arial"/>
        </w:rPr>
        <w:t>M</w:t>
      </w:r>
      <w:r w:rsidRPr="00967EED">
        <w:rPr>
          <w:rFonts w:ascii="Verdana" w:hAnsi="Verdana" w:cs="Arial"/>
        </w:rPr>
        <w:t>iPymes</w:t>
      </w:r>
      <w:r>
        <w:rPr>
          <w:rFonts w:ascii="Verdana" w:hAnsi="Verdana" w:cs="Arial"/>
          <w:lang w:val="es-ES"/>
        </w:rPr>
        <w:t>.</w:t>
      </w:r>
    </w:p>
    <w:p w14:paraId="0AB385E2" w14:textId="77777777" w:rsidR="00D55F7B" w:rsidRPr="00BA3CEC" w:rsidRDefault="00D55F7B" w:rsidP="00D55F7B">
      <w:pPr>
        <w:spacing w:after="120" w:line="276" w:lineRule="auto"/>
        <w:ind w:firstLine="708"/>
        <w:jc w:val="both"/>
        <w:rPr>
          <w:rFonts w:ascii="Verdana" w:hAnsi="Verdana" w:cs="Arial"/>
          <w:color w:val="000000" w:themeColor="text1"/>
          <w:lang w:val="es-ES"/>
        </w:rPr>
      </w:pPr>
      <w:r>
        <w:rPr>
          <w:rFonts w:ascii="Verdana" w:hAnsi="Verdana" w:cs="Arial"/>
          <w:lang w:val="es-ES"/>
        </w:rPr>
        <w:t xml:space="preserve">Bajo esta perspectiva, </w:t>
      </w:r>
      <w:r>
        <w:rPr>
          <w:rFonts w:ascii="Verdana" w:hAnsi="Verdana" w:cs="Arial"/>
        </w:rPr>
        <w:t>vale anotar que s</w:t>
      </w:r>
      <w:r w:rsidRPr="004B20C3">
        <w:rPr>
          <w:rFonts w:ascii="Verdana" w:hAnsi="Verdana" w:cs="Arial"/>
        </w:rPr>
        <w:t xml:space="preserve">i bien las </w:t>
      </w:r>
      <w:r>
        <w:rPr>
          <w:rFonts w:ascii="Verdana" w:hAnsi="Verdana" w:cs="Arial"/>
        </w:rPr>
        <w:t>ESAL pueden</w:t>
      </w:r>
      <w:r w:rsidRPr="004B20C3">
        <w:rPr>
          <w:rFonts w:ascii="Verdana" w:hAnsi="Verdana" w:cs="Arial"/>
        </w:rPr>
        <w:t xml:space="preserve"> interact</w:t>
      </w:r>
      <w:r>
        <w:rPr>
          <w:rFonts w:ascii="Verdana" w:hAnsi="Verdana" w:cs="Arial"/>
        </w:rPr>
        <w:t>uar</w:t>
      </w:r>
      <w:r w:rsidRPr="004B20C3">
        <w:rPr>
          <w:rFonts w:ascii="Verdana" w:hAnsi="Verdana" w:cs="Arial"/>
        </w:rPr>
        <w:t xml:space="preserve"> con el mercado</w:t>
      </w:r>
      <w:r>
        <w:rPr>
          <w:rFonts w:ascii="Verdana" w:hAnsi="Verdana" w:cs="Arial"/>
        </w:rPr>
        <w:t>,</w:t>
      </w:r>
      <w:r w:rsidRPr="004B20C3">
        <w:rPr>
          <w:rFonts w:ascii="Verdana" w:hAnsi="Verdana" w:cs="Arial"/>
        </w:rPr>
        <w:t xml:space="preserve"> esta actividad no las convierte, </w:t>
      </w:r>
      <w:r w:rsidRPr="00CD7A55">
        <w:rPr>
          <w:rFonts w:ascii="Verdana" w:hAnsi="Verdana" w:cs="Arial"/>
          <w:i/>
          <w:iCs/>
        </w:rPr>
        <w:t>per se,</w:t>
      </w:r>
      <w:r w:rsidRPr="004B20C3">
        <w:rPr>
          <w:rFonts w:ascii="Verdana" w:hAnsi="Verdana" w:cs="Arial"/>
        </w:rPr>
        <w:t xml:space="preserve"> en empresas en el sentido comercial </w:t>
      </w:r>
      <w:r>
        <w:rPr>
          <w:rFonts w:ascii="Verdana" w:hAnsi="Verdana" w:cs="Arial"/>
        </w:rPr>
        <w:t xml:space="preserve">puesto que </w:t>
      </w:r>
      <w:r w:rsidRPr="004B20C3">
        <w:rPr>
          <w:rFonts w:ascii="Verdana" w:hAnsi="Verdana" w:cs="Arial"/>
        </w:rPr>
        <w:t>la ausencia de ánimo de lucro y l</w:t>
      </w:r>
      <w:r>
        <w:rPr>
          <w:rFonts w:ascii="Verdana" w:hAnsi="Verdana" w:cs="Arial"/>
        </w:rPr>
        <w:t>o referente a la repartición de utilidades</w:t>
      </w:r>
      <w:r w:rsidRPr="004B20C3">
        <w:rPr>
          <w:rFonts w:ascii="Verdana" w:hAnsi="Verdana" w:cs="Arial"/>
        </w:rPr>
        <w:t xml:space="preserve"> constituye un elemento que las excluye de la noción de empresa. Por tanto, su naturaleza jurídica es la de una organización civil con finalidad social, y no la de una sociedad mercantil orientada al lucro</w:t>
      </w:r>
      <w:r>
        <w:rPr>
          <w:rFonts w:ascii="Verdana" w:hAnsi="Verdana" w:cs="Arial"/>
        </w:rPr>
        <w:t>, lo que la excluye de</w:t>
      </w:r>
      <w:r w:rsidRPr="00F14926">
        <w:rPr>
          <w:rFonts w:ascii="Verdana" w:hAnsi="Verdana" w:cs="Arial"/>
        </w:rPr>
        <w:t xml:space="preserve"> la lógica de promoción que busca l</w:t>
      </w:r>
      <w:r>
        <w:rPr>
          <w:rFonts w:ascii="Verdana" w:hAnsi="Verdana" w:cs="Arial"/>
        </w:rPr>
        <w:t xml:space="preserve">a Ley 2069 de 2020 </w:t>
      </w:r>
      <w:r w:rsidRPr="00F14926">
        <w:rPr>
          <w:rFonts w:ascii="Verdana" w:hAnsi="Verdana" w:cs="Arial"/>
        </w:rPr>
        <w:t>para fortalecer el emprendimiento empresarial con fines comerciales</w:t>
      </w:r>
      <w:r>
        <w:rPr>
          <w:rFonts w:ascii="Verdana" w:hAnsi="Verdana" w:cs="Arial"/>
        </w:rPr>
        <w:t xml:space="preserve"> en el sistema de compras públicas</w:t>
      </w:r>
      <w:r w:rsidRPr="00F14926">
        <w:rPr>
          <w:rFonts w:ascii="Verdana" w:hAnsi="Verdana" w:cs="Arial"/>
        </w:rPr>
        <w:t>.</w:t>
      </w:r>
    </w:p>
    <w:p w14:paraId="2423E92C" w14:textId="77777777" w:rsidR="00D55F7B" w:rsidRDefault="00D55F7B" w:rsidP="00D55F7B">
      <w:pPr>
        <w:spacing w:after="120" w:line="276" w:lineRule="auto"/>
        <w:ind w:firstLine="709"/>
        <w:jc w:val="both"/>
      </w:pPr>
      <w:r w:rsidRPr="0097051B">
        <w:rPr>
          <w:rFonts w:ascii="Verdana" w:hAnsi="Verdana" w:cs="Arial"/>
          <w:lang w:val="es-ES"/>
        </w:rPr>
        <w:t xml:space="preserve"> </w:t>
      </w:r>
      <w:r w:rsidRPr="0040650F">
        <w:rPr>
          <w:rFonts w:ascii="Verdana" w:hAnsi="Verdana" w:cs="Arial"/>
          <w:lang w:val="es-ES"/>
        </w:rPr>
        <w:t>Esto no significa que las ESAL no</w:t>
      </w:r>
      <w:r>
        <w:rPr>
          <w:rFonts w:ascii="Verdana" w:hAnsi="Verdana" w:cs="Arial"/>
          <w:lang w:val="es-ES"/>
        </w:rPr>
        <w:t xml:space="preserve"> sean personas jurídicas o no tengan capacidad de contratar con las entidades estatales. Por el contrario, </w:t>
      </w:r>
      <w:r w:rsidRPr="00362CA6">
        <w:rPr>
          <w:rFonts w:ascii="Verdana" w:hAnsi="Verdana" w:cs="Arial"/>
          <w:lang w:val="es-ES"/>
        </w:rPr>
        <w:t xml:space="preserve">el Decreto 092 de 2017 reguló </w:t>
      </w:r>
      <w:r w:rsidRPr="00215C1F">
        <w:rPr>
          <w:rFonts w:ascii="Verdana" w:hAnsi="Verdana" w:cs="Arial"/>
          <w:lang w:val="es-ES"/>
        </w:rPr>
        <w:t>la contratación de las entidades estatales con ESAL en desarrollo del artículo 355 de la Constitución Política,</w:t>
      </w:r>
      <w:r>
        <w:rPr>
          <w:rFonts w:ascii="Verdana" w:hAnsi="Verdana" w:cs="Arial"/>
          <w:lang w:val="es-ES"/>
        </w:rPr>
        <w:t xml:space="preserve"> y nada impide que</w:t>
      </w:r>
      <w:r w:rsidRPr="0040650F">
        <w:rPr>
          <w:rFonts w:ascii="Verdana" w:hAnsi="Verdana" w:cs="Arial"/>
          <w:lang w:val="es-ES"/>
        </w:rPr>
        <w:t xml:space="preserve"> puedan participar en términos de igualdad con los demás oferentes, en los procesos contractuales </w:t>
      </w:r>
      <w:r>
        <w:rPr>
          <w:rFonts w:ascii="Verdana" w:hAnsi="Verdana" w:cs="Arial"/>
          <w:lang w:val="es-ES"/>
        </w:rPr>
        <w:t xml:space="preserve">del </w:t>
      </w:r>
      <w:r w:rsidRPr="0040650F">
        <w:rPr>
          <w:rFonts w:ascii="Verdana" w:hAnsi="Verdana" w:cs="Arial"/>
          <w:lang w:val="es-ES"/>
        </w:rPr>
        <w:t xml:space="preserve">Estatuto General de Contratación de la Administración Pública, </w:t>
      </w:r>
      <w:r w:rsidRPr="0040650F">
        <w:rPr>
          <w:rFonts w:ascii="Verdana" w:hAnsi="Verdana" w:cs="Arial"/>
          <w:lang w:val="es-ES"/>
        </w:rPr>
        <w:lastRenderedPageBreak/>
        <w:t xml:space="preserve">salvo aquellos procesos contractuales limitados a </w:t>
      </w:r>
      <w:proofErr w:type="spellStart"/>
      <w:r w:rsidRPr="0040650F">
        <w:rPr>
          <w:rFonts w:ascii="Verdana" w:hAnsi="Verdana" w:cs="Arial"/>
          <w:lang w:val="es-ES"/>
        </w:rPr>
        <w:t>Mipymes</w:t>
      </w:r>
      <w:proofErr w:type="spellEnd"/>
      <w:r w:rsidRPr="0040650F">
        <w:rPr>
          <w:rFonts w:ascii="Verdana" w:hAnsi="Verdana" w:cs="Arial"/>
          <w:lang w:val="es-ES"/>
        </w:rPr>
        <w:t xml:space="preserve"> de conformidad con los artículos 2.2.1.2.4.2.2</w:t>
      </w:r>
      <w:r>
        <w:rPr>
          <w:rStyle w:val="Refdenotaalpie"/>
          <w:rFonts w:ascii="Verdana" w:eastAsia="Calibri" w:hAnsi="Verdana" w:cs="Arial"/>
          <w:color w:val="000000" w:themeColor="text1"/>
          <w:lang w:val="es-ES"/>
        </w:rPr>
        <w:footnoteReference w:id="13"/>
      </w:r>
      <w:r w:rsidRPr="0040650F">
        <w:rPr>
          <w:rFonts w:ascii="Verdana" w:hAnsi="Verdana" w:cs="Arial"/>
          <w:lang w:val="es-ES"/>
        </w:rPr>
        <w:t xml:space="preserve"> y 2.2.1.2.4.2.3</w:t>
      </w:r>
      <w:r>
        <w:rPr>
          <w:rStyle w:val="Refdenotaalpie"/>
          <w:rFonts w:ascii="Verdana" w:hAnsi="Verdana" w:cs="Arial"/>
          <w:lang w:val="es-ES"/>
        </w:rPr>
        <w:footnoteReference w:id="14"/>
      </w:r>
      <w:r w:rsidRPr="0040650F">
        <w:rPr>
          <w:rFonts w:ascii="Verdana" w:hAnsi="Verdana" w:cs="Arial"/>
          <w:lang w:val="es-ES"/>
        </w:rPr>
        <w:t xml:space="preserve"> del Decreto 1082 de 2015</w:t>
      </w:r>
      <w:r>
        <w:rPr>
          <w:rFonts w:ascii="Verdana" w:hAnsi="Verdana" w:cs="Arial"/>
          <w:lang w:val="es-ES"/>
        </w:rPr>
        <w:t>.</w:t>
      </w:r>
      <w:r w:rsidRPr="008A0C54">
        <w:t xml:space="preserve"> </w:t>
      </w:r>
    </w:p>
    <w:p w14:paraId="10B50E0F" w14:textId="77777777" w:rsidR="00D55F7B" w:rsidRDefault="00D55F7B" w:rsidP="00D55F7B">
      <w:pPr>
        <w:spacing w:after="120" w:line="276" w:lineRule="auto"/>
        <w:ind w:firstLine="709"/>
        <w:jc w:val="both"/>
        <w:rPr>
          <w:rFonts w:ascii="Verdana" w:hAnsi="Verdana" w:cs="Arial"/>
          <w:lang w:val="es-ES"/>
        </w:rPr>
      </w:pPr>
      <w:r>
        <w:rPr>
          <w:rFonts w:ascii="Verdana" w:hAnsi="Verdana" w:cs="Arial"/>
        </w:rPr>
        <w:t>De hecho, l</w:t>
      </w:r>
      <w:r w:rsidRPr="008A0C54">
        <w:rPr>
          <w:rFonts w:ascii="Verdana" w:hAnsi="Verdana" w:cs="Arial"/>
        </w:rPr>
        <w:t xml:space="preserve">a existencia de esta regulación específica evidencia que las ESAL no se equiparan jurídicamente a las sociedades comerciales ni a las </w:t>
      </w:r>
      <w:proofErr w:type="spellStart"/>
      <w:r w:rsidRPr="008A0C54">
        <w:rPr>
          <w:rFonts w:ascii="Verdana" w:hAnsi="Verdana" w:cs="Arial"/>
        </w:rPr>
        <w:t>Mipymes</w:t>
      </w:r>
      <w:proofErr w:type="spellEnd"/>
      <w:r w:rsidRPr="008A0C54">
        <w:rPr>
          <w:rFonts w:ascii="Verdana" w:hAnsi="Verdana" w:cs="Arial"/>
        </w:rPr>
        <w:t xml:space="preserve">, dado que el marco normativo las distingue claramente, destinando para ellas un régimen contractual particular. Esto confirma que, aunque las ESAL pueden concurrir a procesos de contratación pública, no forman parte de la categoría de </w:t>
      </w:r>
      <w:proofErr w:type="spellStart"/>
      <w:r w:rsidRPr="008A0C54">
        <w:rPr>
          <w:rFonts w:ascii="Verdana" w:hAnsi="Verdana" w:cs="Arial"/>
        </w:rPr>
        <w:t>Mipymes</w:t>
      </w:r>
      <w:proofErr w:type="spellEnd"/>
      <w:r w:rsidRPr="008A0C54">
        <w:rPr>
          <w:rFonts w:ascii="Verdana" w:hAnsi="Verdana" w:cs="Arial"/>
        </w:rPr>
        <w:t xml:space="preserve"> ni pueden ser tratadas bajo el mismo régimen legal que estas, lo que respalda su naturaleza jurídica especial y su finalidad no lucrativa.</w:t>
      </w:r>
    </w:p>
    <w:p w14:paraId="0CE91D75" w14:textId="77777777" w:rsidR="00D55F7B" w:rsidRPr="00915BFB" w:rsidRDefault="00D55F7B" w:rsidP="00D55F7B">
      <w:pPr>
        <w:spacing w:after="120" w:line="276" w:lineRule="auto"/>
        <w:ind w:firstLine="709"/>
        <w:jc w:val="both"/>
        <w:rPr>
          <w:rFonts w:ascii="Verdana" w:hAnsi="Verdana" w:cs="Arial"/>
          <w:lang w:val="es-ES"/>
        </w:rPr>
      </w:pPr>
      <w:r>
        <w:rPr>
          <w:rFonts w:ascii="Verdana" w:hAnsi="Verdana" w:cs="Arial"/>
          <w:lang w:val="es-ES"/>
        </w:rPr>
        <w:t xml:space="preserve">Aunque no es posible que las ESAL sean equiparadas a las MiPymes en la normativa del sistema de compras públicas, es necesario aclarar que la Ley determinó un matiz para esta regla. </w:t>
      </w:r>
      <w:r>
        <w:rPr>
          <w:rFonts w:ascii="Verdana" w:eastAsia="Calibri" w:hAnsi="Verdana" w:cs="Arial"/>
          <w:color w:val="000000" w:themeColor="text1"/>
          <w:lang w:val="es-ES"/>
        </w:rPr>
        <w:t>E</w:t>
      </w:r>
      <w:r w:rsidRPr="00362CA6">
        <w:rPr>
          <w:rFonts w:ascii="Verdana" w:eastAsia="Calibri" w:hAnsi="Verdana" w:cs="Arial"/>
          <w:color w:val="000000" w:themeColor="text1"/>
          <w:lang w:val="es-ES"/>
        </w:rPr>
        <w:t>l artículo 23 de la Ley 2069 de 2020</w:t>
      </w:r>
      <w:r>
        <w:rPr>
          <w:rFonts w:ascii="Verdana" w:eastAsia="Calibri" w:hAnsi="Verdana" w:cs="Arial"/>
          <w:color w:val="000000" w:themeColor="text1"/>
          <w:lang w:val="es-ES"/>
        </w:rPr>
        <w:t xml:space="preserve"> </w:t>
      </w:r>
      <w:r w:rsidRPr="00362CA6">
        <w:rPr>
          <w:rFonts w:ascii="Verdana" w:eastAsia="Calibri" w:hAnsi="Verdana" w:cs="Arial"/>
          <w:color w:val="000000" w:themeColor="text1"/>
          <w:lang w:val="es-ES"/>
        </w:rPr>
        <w:t xml:space="preserve">asimila las cooperativas y las </w:t>
      </w:r>
      <w:r w:rsidRPr="00756D53">
        <w:rPr>
          <w:rFonts w:ascii="Verdana" w:eastAsia="Calibri" w:hAnsi="Verdana" w:cs="Arial"/>
          <w:color w:val="000000" w:themeColor="text1"/>
          <w:lang w:val="es-ES"/>
        </w:rPr>
        <w:t>demás entidades de economía solidaria -que incluy</w:t>
      </w:r>
      <w:r>
        <w:rPr>
          <w:rFonts w:ascii="Verdana" w:eastAsia="Calibri" w:hAnsi="Verdana" w:cs="Arial"/>
          <w:color w:val="000000" w:themeColor="text1"/>
          <w:lang w:val="es-ES"/>
        </w:rPr>
        <w:t>e</w:t>
      </w:r>
      <w:r w:rsidRPr="00756D53">
        <w:rPr>
          <w:rFonts w:ascii="Verdana" w:eastAsia="Calibri" w:hAnsi="Verdana" w:cs="Arial"/>
          <w:color w:val="000000" w:themeColor="text1"/>
          <w:lang w:val="es-ES"/>
        </w:rPr>
        <w:t xml:space="preserve"> a las asociaciones mutual</w:t>
      </w:r>
      <w:r>
        <w:rPr>
          <w:rFonts w:ascii="Verdana" w:eastAsia="Calibri" w:hAnsi="Verdana" w:cs="Arial"/>
          <w:color w:val="000000" w:themeColor="text1"/>
          <w:lang w:val="es-ES"/>
        </w:rPr>
        <w:t>istas</w:t>
      </w:r>
      <w:r>
        <w:rPr>
          <w:rFonts w:ascii="Verdana" w:eastAsia="Calibri" w:hAnsi="Verdana" w:cs="Arial"/>
          <w:i/>
          <w:iCs/>
          <w:color w:val="000000" w:themeColor="text1"/>
          <w:lang w:val="es-ES"/>
        </w:rPr>
        <w:t>-</w:t>
      </w:r>
      <w:r w:rsidRPr="00362CA6">
        <w:rPr>
          <w:rFonts w:ascii="Verdana" w:eastAsia="Calibri" w:hAnsi="Verdana" w:cs="Arial"/>
          <w:color w:val="000000" w:themeColor="text1"/>
          <w:lang w:val="es-ES"/>
        </w:rPr>
        <w:t xml:space="preserve"> a </w:t>
      </w:r>
      <w:r w:rsidRPr="00B21D8B">
        <w:rPr>
          <w:rFonts w:ascii="Verdana" w:eastAsia="Calibri" w:hAnsi="Verdana" w:cs="Arial"/>
          <w:i/>
          <w:iCs/>
          <w:color w:val="000000" w:themeColor="text1"/>
          <w:lang w:val="es-ES"/>
        </w:rPr>
        <w:t>empresas, específicamente a MiPymes</w:t>
      </w:r>
      <w:r w:rsidRPr="00362CA6">
        <w:rPr>
          <w:rFonts w:ascii="Verdana" w:eastAsia="Calibri" w:hAnsi="Verdana" w:cs="Arial"/>
          <w:color w:val="000000" w:themeColor="text1"/>
          <w:lang w:val="es-ES"/>
        </w:rPr>
        <w:t xml:space="preserve">, de conformidad con el artículo 2 de la Ley 590 de 2000 y el Decreto 957 de 2019, los cuales desarrollan las categorías </w:t>
      </w:r>
      <w:r>
        <w:rPr>
          <w:rFonts w:ascii="Verdana" w:eastAsia="Calibri" w:hAnsi="Verdana" w:cs="Arial"/>
          <w:color w:val="000000" w:themeColor="text1"/>
          <w:lang w:val="es-ES"/>
        </w:rPr>
        <w:t xml:space="preserve">de </w:t>
      </w:r>
      <w:r w:rsidRPr="00362CA6">
        <w:rPr>
          <w:rFonts w:ascii="Verdana" w:eastAsia="Calibri" w:hAnsi="Verdana" w:cs="Arial"/>
          <w:color w:val="000000" w:themeColor="text1"/>
          <w:lang w:val="es-ES"/>
        </w:rPr>
        <w:t xml:space="preserve">micro, pequeña y mediana en función </w:t>
      </w:r>
      <w:r w:rsidRPr="00362CA6">
        <w:rPr>
          <w:rFonts w:ascii="Verdana" w:eastAsia="Calibri" w:hAnsi="Verdana" w:cs="Arial"/>
          <w:color w:val="000000" w:themeColor="text1"/>
          <w:lang w:val="es-ES"/>
        </w:rPr>
        <w:lastRenderedPageBreak/>
        <w:t>del tamaño empresarial</w:t>
      </w:r>
      <w:r w:rsidRPr="00362CA6">
        <w:rPr>
          <w:rFonts w:ascii="Verdana" w:hAnsi="Verdana" w:cs="Arial"/>
          <w:color w:val="000000" w:themeColor="text1"/>
          <w:vertAlign w:val="superscript"/>
          <w:lang w:val="es-ES"/>
        </w:rPr>
        <w:footnoteReference w:id="15"/>
      </w:r>
      <w:r w:rsidRPr="00362CA6">
        <w:rPr>
          <w:rFonts w:ascii="Verdana" w:eastAsia="Calibri" w:hAnsi="Verdana" w:cs="Arial"/>
          <w:color w:val="000000" w:themeColor="text1"/>
          <w:lang w:val="es-ES"/>
        </w:rPr>
        <w:t>. El principal efecto de esta norma es que</w:t>
      </w:r>
      <w:r>
        <w:rPr>
          <w:rFonts w:ascii="Verdana" w:eastAsia="Calibri" w:hAnsi="Verdana" w:cs="Arial"/>
          <w:color w:val="000000" w:themeColor="text1"/>
          <w:lang w:val="es-ES"/>
        </w:rPr>
        <w:t xml:space="preserve"> las medidas contempladas en la Ley 2069 de 2020 para promover la participación de la </w:t>
      </w:r>
      <w:proofErr w:type="spellStart"/>
      <w:r>
        <w:rPr>
          <w:rFonts w:ascii="Verdana" w:eastAsia="Calibri" w:hAnsi="Verdana" w:cs="Arial"/>
          <w:color w:val="000000" w:themeColor="text1"/>
          <w:lang w:val="es-ES"/>
        </w:rPr>
        <w:t>Mipymes</w:t>
      </w:r>
      <w:proofErr w:type="spellEnd"/>
      <w:r>
        <w:rPr>
          <w:rFonts w:ascii="Verdana" w:eastAsia="Calibri" w:hAnsi="Verdana" w:cs="Arial"/>
          <w:color w:val="000000" w:themeColor="text1"/>
          <w:lang w:val="es-ES"/>
        </w:rPr>
        <w:t xml:space="preserve"> sean aplicables a </w:t>
      </w:r>
      <w:r w:rsidRPr="00362CA6">
        <w:rPr>
          <w:rFonts w:ascii="Verdana" w:eastAsia="Calibri" w:hAnsi="Verdana" w:cs="Arial"/>
          <w:color w:val="000000" w:themeColor="text1"/>
          <w:lang w:val="es-ES"/>
        </w:rPr>
        <w:t>las cooperativas, las asociaciones mutualistas y a las demás entidades de economía solidaria.</w:t>
      </w:r>
    </w:p>
    <w:p w14:paraId="661BDA55" w14:textId="77777777" w:rsidR="00D55F7B" w:rsidRDefault="00D55F7B" w:rsidP="00D55F7B">
      <w:pPr>
        <w:spacing w:after="120" w:line="276" w:lineRule="auto"/>
        <w:ind w:firstLine="708"/>
        <w:jc w:val="both"/>
        <w:rPr>
          <w:rFonts w:ascii="Verdana" w:eastAsia="Calibri" w:hAnsi="Verdana" w:cs="Arial"/>
          <w:color w:val="000000" w:themeColor="text1"/>
          <w:lang w:val="es-ES"/>
        </w:rPr>
      </w:pPr>
      <w:r>
        <w:rPr>
          <w:rFonts w:ascii="Verdana" w:eastAsia="Calibri" w:hAnsi="Verdana" w:cs="Arial"/>
          <w:color w:val="000000" w:themeColor="text1"/>
          <w:lang w:val="es-ES"/>
        </w:rPr>
        <w:t>De manera concordante con lo anterior, el parágrafo del a</w:t>
      </w:r>
      <w:r w:rsidRPr="00F554AA">
        <w:rPr>
          <w:rFonts w:ascii="Verdana" w:eastAsia="Calibri" w:hAnsi="Verdana" w:cs="Arial"/>
          <w:color w:val="000000" w:themeColor="text1"/>
          <w:lang w:val="es-ES"/>
        </w:rPr>
        <w:t>rtículo 2.2.1.2.4.2.2</w:t>
      </w:r>
      <w:r>
        <w:rPr>
          <w:rFonts w:ascii="Verdana" w:eastAsia="Calibri" w:hAnsi="Verdana" w:cs="Arial"/>
          <w:color w:val="000000" w:themeColor="text1"/>
          <w:lang w:val="es-ES"/>
        </w:rPr>
        <w:t xml:space="preserve">, modificado por el artículo 5º del Decreto 1860 de 2021, se refirió a dicha asimilación en el caso específico de la limitación de convocatorias a </w:t>
      </w:r>
      <w:proofErr w:type="spellStart"/>
      <w:r>
        <w:rPr>
          <w:rFonts w:ascii="Verdana" w:eastAsia="Calibri" w:hAnsi="Verdana" w:cs="Arial"/>
          <w:color w:val="000000" w:themeColor="text1"/>
          <w:lang w:val="es-ES"/>
        </w:rPr>
        <w:t>Mipymes</w:t>
      </w:r>
      <w:proofErr w:type="spellEnd"/>
      <w:r>
        <w:rPr>
          <w:rFonts w:ascii="Verdana" w:eastAsia="Calibri" w:hAnsi="Verdana" w:cs="Arial"/>
          <w:color w:val="000000" w:themeColor="text1"/>
          <w:lang w:val="es-ES"/>
        </w:rPr>
        <w:t>. Esta norma determina que “</w:t>
      </w:r>
      <w:r w:rsidRPr="00EC0AE8">
        <w:rPr>
          <w:rFonts w:ascii="Verdana" w:eastAsia="Calibri" w:hAnsi="Verdana" w:cs="Arial"/>
          <w:color w:val="000000" w:themeColor="text1"/>
        </w:rPr>
        <w:t xml:space="preserve">Las cooperativas y demás entidades de economía solidaria, siempre que tengan la calidad de </w:t>
      </w:r>
      <w:proofErr w:type="spellStart"/>
      <w:r w:rsidRPr="00EC0AE8">
        <w:rPr>
          <w:rFonts w:ascii="Verdana" w:eastAsia="Calibri" w:hAnsi="Verdana" w:cs="Arial"/>
          <w:color w:val="000000" w:themeColor="text1"/>
        </w:rPr>
        <w:t>Mipyme</w:t>
      </w:r>
      <w:proofErr w:type="spellEnd"/>
      <w:r w:rsidRPr="00EC0AE8">
        <w:rPr>
          <w:rFonts w:ascii="Verdana" w:eastAsia="Calibri" w:hAnsi="Verdana" w:cs="Arial"/>
          <w:color w:val="000000" w:themeColor="text1"/>
        </w:rPr>
        <w:t>, podrán solicitar y participar en las convocatorias limitadas en las mismas condiciones dispuestas en el presente artículo”</w:t>
      </w:r>
      <w:r>
        <w:rPr>
          <w:rFonts w:ascii="Verdana" w:eastAsia="Calibri" w:hAnsi="Verdana" w:cs="Arial"/>
          <w:color w:val="000000" w:themeColor="text1"/>
        </w:rPr>
        <w:t xml:space="preserve">. En virtud de lo anterior, las cooperativas y demás entidades de la economía solidaria se encuentran facultadas para presentar solicitudes para la limitación de los procesos, siempre que cumplan con las condiciones de tamaño empresarial dispuestas para la categorización de las </w:t>
      </w:r>
      <w:proofErr w:type="spellStart"/>
      <w:r>
        <w:rPr>
          <w:rFonts w:ascii="Verdana" w:eastAsia="Calibri" w:hAnsi="Verdana" w:cs="Arial"/>
          <w:color w:val="000000" w:themeColor="text1"/>
        </w:rPr>
        <w:t>Mipyme</w:t>
      </w:r>
      <w:proofErr w:type="spellEnd"/>
      <w:r>
        <w:rPr>
          <w:rFonts w:ascii="Verdana" w:eastAsia="Calibri" w:hAnsi="Verdana" w:cs="Arial"/>
          <w:color w:val="000000" w:themeColor="text1"/>
        </w:rPr>
        <w:t>.</w:t>
      </w:r>
    </w:p>
    <w:p w14:paraId="5593DDFF" w14:textId="77777777" w:rsidR="00D55F7B" w:rsidRPr="00362CA6" w:rsidRDefault="00D55F7B" w:rsidP="00D55F7B">
      <w:pPr>
        <w:spacing w:after="120" w:line="276" w:lineRule="auto"/>
        <w:ind w:firstLine="708"/>
        <w:jc w:val="both"/>
        <w:rPr>
          <w:rFonts w:ascii="Verdana" w:eastAsia="Calibri" w:hAnsi="Verdana" w:cs="Arial"/>
          <w:color w:val="000000" w:themeColor="text1"/>
          <w:lang w:val="es-ES"/>
        </w:rPr>
      </w:pPr>
      <w:r w:rsidRPr="00362CA6">
        <w:rPr>
          <w:rFonts w:ascii="Verdana" w:eastAsia="Calibri" w:hAnsi="Verdana" w:cs="Arial"/>
          <w:color w:val="000000" w:themeColor="text1"/>
          <w:lang w:val="es-ES"/>
        </w:rPr>
        <w:t xml:space="preserve">Es necesario mencionar que la asimilación dispuesta por el artículo </w:t>
      </w:r>
      <w:r w:rsidRPr="00EC0AE8">
        <w:rPr>
          <w:rFonts w:ascii="Verdana" w:eastAsia="Calibri" w:hAnsi="Verdana" w:cs="Arial"/>
          <w:color w:val="000000" w:themeColor="text1"/>
          <w:lang w:val="es-ES"/>
        </w:rPr>
        <w:t>23 de la Ley 2069 de 2020 y el artículo 2.2.1.2.4.2.</w:t>
      </w:r>
      <w:r w:rsidRPr="00F554AA">
        <w:rPr>
          <w:rFonts w:ascii="Verdana" w:eastAsia="Calibri" w:hAnsi="Verdana" w:cs="Arial"/>
          <w:color w:val="000000" w:themeColor="text1"/>
          <w:lang w:val="es-ES"/>
        </w:rPr>
        <w:t>2</w:t>
      </w:r>
      <w:r>
        <w:rPr>
          <w:rFonts w:ascii="Verdana" w:eastAsia="Calibri" w:hAnsi="Verdana" w:cs="Arial"/>
          <w:color w:val="000000" w:themeColor="text1"/>
          <w:lang w:val="es-ES"/>
        </w:rPr>
        <w:t xml:space="preserve"> del Decreto 1082 de 2015, </w:t>
      </w:r>
      <w:r w:rsidRPr="00362CA6">
        <w:rPr>
          <w:rFonts w:ascii="Verdana" w:eastAsia="Calibri" w:hAnsi="Verdana" w:cs="Arial"/>
          <w:color w:val="000000" w:themeColor="text1"/>
          <w:lang w:val="es-ES"/>
        </w:rPr>
        <w:t xml:space="preserve">no implica una alteración sustantiva de la naturaleza jurídica de las cooperativas y las empresas de economía solidaria, concebidas por la ley como entidades sin ánimo de lucro, </w:t>
      </w:r>
      <w:r>
        <w:rPr>
          <w:rFonts w:ascii="Verdana" w:eastAsia="Calibri" w:hAnsi="Verdana" w:cs="Arial"/>
          <w:color w:val="000000" w:themeColor="text1"/>
          <w:lang w:val="es-ES"/>
        </w:rPr>
        <w:t xml:space="preserve">pues su equiparación con las </w:t>
      </w:r>
      <w:proofErr w:type="spellStart"/>
      <w:r>
        <w:rPr>
          <w:rFonts w:ascii="Verdana" w:eastAsia="Calibri" w:hAnsi="Verdana" w:cs="Arial"/>
          <w:color w:val="000000" w:themeColor="text1"/>
          <w:lang w:val="es-ES"/>
        </w:rPr>
        <w:t>Mipymes</w:t>
      </w:r>
      <w:proofErr w:type="spellEnd"/>
      <w:r>
        <w:rPr>
          <w:rFonts w:ascii="Verdana" w:eastAsia="Calibri" w:hAnsi="Verdana" w:cs="Arial"/>
          <w:color w:val="000000" w:themeColor="text1"/>
          <w:lang w:val="es-ES"/>
        </w:rPr>
        <w:t xml:space="preserve"> se limita </w:t>
      </w:r>
      <w:r w:rsidRPr="00362CA6">
        <w:rPr>
          <w:rFonts w:ascii="Verdana" w:eastAsia="Calibri" w:hAnsi="Verdana" w:cs="Arial"/>
          <w:color w:val="000000" w:themeColor="text1"/>
          <w:lang w:val="es-ES"/>
        </w:rPr>
        <w:t>a la aplicación de las materias reguladas por la Ley 2069 de 2020</w:t>
      </w:r>
      <w:r>
        <w:rPr>
          <w:rFonts w:ascii="Verdana" w:eastAsia="Calibri" w:hAnsi="Verdana" w:cs="Arial"/>
          <w:color w:val="000000" w:themeColor="text1"/>
          <w:lang w:val="es-ES"/>
        </w:rPr>
        <w:t xml:space="preserve"> y no se extiende a otros supuestos</w:t>
      </w:r>
      <w:r w:rsidRPr="00362CA6">
        <w:rPr>
          <w:rFonts w:ascii="Verdana" w:eastAsia="Calibri" w:hAnsi="Verdana" w:cs="Arial"/>
          <w:color w:val="000000" w:themeColor="text1"/>
          <w:lang w:val="es-ES"/>
        </w:rPr>
        <w:t xml:space="preserve">. En ese sentido, el mandato de considerar este tipo de entidades como empresas y clasificarlas como MiPymes es una acción </w:t>
      </w:r>
      <w:r>
        <w:rPr>
          <w:rFonts w:ascii="Verdana" w:eastAsia="Calibri" w:hAnsi="Verdana" w:cs="Arial"/>
          <w:color w:val="000000" w:themeColor="text1"/>
          <w:lang w:val="es-ES"/>
        </w:rPr>
        <w:t xml:space="preserve">que busca </w:t>
      </w:r>
      <w:r w:rsidRPr="00362CA6">
        <w:rPr>
          <w:rFonts w:ascii="Verdana" w:eastAsia="Calibri" w:hAnsi="Verdana" w:cs="Arial"/>
          <w:color w:val="000000" w:themeColor="text1"/>
          <w:lang w:val="es-ES"/>
        </w:rPr>
        <w:t xml:space="preserve">vincularlas como proveedoras del mercado de compra pública dentro del ámbito de explotación económica que la ley ha concedido a estas entidades del sector solidario. </w:t>
      </w:r>
    </w:p>
    <w:p w14:paraId="24B867CA" w14:textId="77777777" w:rsidR="00D55F7B" w:rsidRPr="00362CA6" w:rsidRDefault="00D55F7B" w:rsidP="00D55F7B">
      <w:pPr>
        <w:spacing w:after="120" w:line="276" w:lineRule="auto"/>
        <w:jc w:val="both"/>
        <w:rPr>
          <w:rFonts w:ascii="Verdana" w:hAnsi="Verdana" w:cs="Arial"/>
          <w:color w:val="000000" w:themeColor="text1"/>
          <w:lang w:val="es-ES"/>
        </w:rPr>
      </w:pPr>
      <w:r w:rsidRPr="00362CA6">
        <w:rPr>
          <w:rFonts w:ascii="Verdana" w:eastAsia="Calibri" w:hAnsi="Verdana" w:cs="Arial"/>
          <w:color w:val="000000" w:themeColor="text1"/>
          <w:lang w:val="es-ES_tradnl"/>
        </w:rPr>
        <w:tab/>
      </w:r>
      <w:r w:rsidRPr="00362CA6">
        <w:rPr>
          <w:rFonts w:ascii="Verdana" w:eastAsia="Calibri" w:hAnsi="Verdana" w:cs="Arial"/>
          <w:color w:val="000000" w:themeColor="text1"/>
          <w:lang w:val="es-ES"/>
        </w:rPr>
        <w:t>A pesar de que las cooperativas, las asociaciones mutuales y, en general, las empresas de economía solidaria tienen, por disposición de la ley, la naturaleza de ESAL, se distinguen de la generalidad de las entidades sin ánimo de lucro</w:t>
      </w:r>
      <w:r w:rsidRPr="00362CA6">
        <w:rPr>
          <w:rFonts w:ascii="Verdana" w:hAnsi="Verdana" w:cs="Arial"/>
          <w:color w:val="000000" w:themeColor="text1"/>
          <w:lang w:val="es-ES"/>
        </w:rPr>
        <w:t xml:space="preserve">. Esto en la medida en que, al estar enmarcadas dentro de la economía solidaria, el ordenamiento jurídico les permite cierto margen de explotación </w:t>
      </w:r>
      <w:r w:rsidRPr="00362CA6">
        <w:rPr>
          <w:rFonts w:ascii="Verdana" w:hAnsi="Verdana" w:cs="Arial"/>
          <w:color w:val="000000" w:themeColor="text1"/>
          <w:lang w:val="es-ES"/>
        </w:rPr>
        <w:lastRenderedPageBreak/>
        <w:t xml:space="preserve">económica concebido para la satisfacción de necesidades de sus asociados y el desarrollo de obras de servicio comunitario. </w:t>
      </w:r>
    </w:p>
    <w:p w14:paraId="5172764A" w14:textId="77777777" w:rsidR="00D55F7B" w:rsidRDefault="00D55F7B" w:rsidP="00D55F7B">
      <w:pPr>
        <w:spacing w:after="120" w:line="276" w:lineRule="auto"/>
        <w:ind w:firstLine="708"/>
        <w:jc w:val="both"/>
        <w:rPr>
          <w:rFonts w:ascii="Verdana" w:hAnsi="Verdana" w:cs="Arial"/>
          <w:color w:val="000000" w:themeColor="text1"/>
          <w:lang w:val="es-ES"/>
        </w:rPr>
      </w:pPr>
      <w:r w:rsidRPr="00362CA6">
        <w:rPr>
          <w:rFonts w:ascii="Verdana" w:hAnsi="Verdana" w:cs="Arial"/>
          <w:color w:val="000000" w:themeColor="text1"/>
          <w:lang w:val="es-ES"/>
        </w:rPr>
        <w:t xml:space="preserve">En ese sentido, tal como se deprende del inciso primero y del numeral 1 del artículo 6 de la Ley 454 de 1998, las entidades de economía solidaria se caracterizan porque sus trabajadores y/o usuarios son simultáneamente sus aportantes y gestores, siendo además creadas con el </w:t>
      </w:r>
      <w:r w:rsidRPr="008208AD">
        <w:rPr>
          <w:rFonts w:ascii="Verdana" w:hAnsi="Verdana" w:cs="Arial"/>
          <w:i/>
          <w:iCs/>
          <w:color w:val="000000" w:themeColor="text1"/>
          <w:lang w:val="es-ES"/>
        </w:rPr>
        <w:t>objeto de producir, distribuir y consumir conjuntamente bienes y servicios para satisfacer las necesidades de sus miembros</w:t>
      </w:r>
      <w:r w:rsidRPr="00362CA6">
        <w:rPr>
          <w:rFonts w:ascii="Verdana" w:hAnsi="Verdana" w:cs="Arial"/>
          <w:color w:val="000000" w:themeColor="text1"/>
          <w:lang w:val="es-ES"/>
        </w:rPr>
        <w:t xml:space="preserve"> y desarrollar obras de servicio a la comunidad en general, para lo cual deben estar constituidas como </w:t>
      </w:r>
      <w:r w:rsidRPr="008208AD">
        <w:rPr>
          <w:rFonts w:ascii="Verdana" w:hAnsi="Verdana" w:cs="Arial"/>
          <w:i/>
          <w:iCs/>
          <w:color w:val="000000" w:themeColor="text1"/>
          <w:lang w:val="es-ES"/>
        </w:rPr>
        <w:t>empresas</w:t>
      </w:r>
      <w:r w:rsidRPr="00362CA6">
        <w:rPr>
          <w:rFonts w:ascii="Verdana" w:hAnsi="Verdana" w:cs="Arial"/>
          <w:color w:val="000000" w:themeColor="text1"/>
          <w:lang w:val="es-ES"/>
        </w:rPr>
        <w:t xml:space="preserve">. En el marco de las actividades económicas tendientes a la producción y distribución de bienes o prestación de servicios por parte de entidades de economía solidaria, la ley admite que estas provean esos bienes o presten tales servicios a Entidades Estatales. </w:t>
      </w:r>
    </w:p>
    <w:p w14:paraId="2F30E0C8" w14:textId="77777777" w:rsidR="00D55F7B" w:rsidRDefault="00D55F7B" w:rsidP="00D55F7B">
      <w:pPr>
        <w:spacing w:after="120" w:line="276" w:lineRule="auto"/>
        <w:ind w:firstLine="708"/>
        <w:jc w:val="both"/>
        <w:rPr>
          <w:rFonts w:ascii="Verdana" w:eastAsia="Calibri" w:hAnsi="Verdana" w:cs="Arial"/>
          <w:color w:val="000000" w:themeColor="text1"/>
          <w:lang w:val="es-ES"/>
        </w:rPr>
      </w:pPr>
      <w:r>
        <w:rPr>
          <w:rFonts w:ascii="Verdana" w:hAnsi="Verdana" w:cs="Arial"/>
          <w:color w:val="000000" w:themeColor="text1"/>
          <w:lang w:val="es-ES"/>
        </w:rPr>
        <w:t xml:space="preserve">De esta manera, los incentivos referidos en la Ley 2069 de 2020 y la posibilidad de solicitar la limitación de las convocatorias a </w:t>
      </w:r>
      <w:proofErr w:type="spellStart"/>
      <w:r>
        <w:rPr>
          <w:rFonts w:ascii="Verdana" w:hAnsi="Verdana" w:cs="Arial"/>
          <w:color w:val="000000" w:themeColor="text1"/>
          <w:lang w:val="es-ES"/>
        </w:rPr>
        <w:t>Mipymes</w:t>
      </w:r>
      <w:proofErr w:type="spellEnd"/>
      <w:r>
        <w:rPr>
          <w:rFonts w:ascii="Verdana" w:hAnsi="Verdana" w:cs="Arial"/>
          <w:color w:val="000000" w:themeColor="text1"/>
          <w:lang w:val="es-ES"/>
        </w:rPr>
        <w:t xml:space="preserve"> no son extensibles a todas las ESAL, sino únicamente a aquellas que corresponden al concepto de </w:t>
      </w:r>
      <w:r w:rsidRPr="00362CA6">
        <w:rPr>
          <w:rFonts w:ascii="Verdana" w:eastAsia="Calibri" w:hAnsi="Verdana" w:cs="Arial"/>
          <w:color w:val="000000" w:themeColor="text1"/>
          <w:lang w:val="es-ES"/>
        </w:rPr>
        <w:t>cooperativas y</w:t>
      </w:r>
      <w:r>
        <w:rPr>
          <w:rFonts w:ascii="Verdana" w:eastAsia="Calibri" w:hAnsi="Verdana" w:cs="Arial"/>
          <w:color w:val="000000" w:themeColor="text1"/>
          <w:lang w:val="es-ES"/>
        </w:rPr>
        <w:t xml:space="preserve"> demás entes considerados de </w:t>
      </w:r>
      <w:r w:rsidRPr="00362CA6">
        <w:rPr>
          <w:rFonts w:ascii="Verdana" w:eastAsia="Calibri" w:hAnsi="Verdana" w:cs="Arial"/>
          <w:color w:val="000000" w:themeColor="text1"/>
          <w:lang w:val="es-ES"/>
        </w:rPr>
        <w:t>economía solidaria</w:t>
      </w:r>
      <w:r>
        <w:rPr>
          <w:rFonts w:ascii="Verdana" w:eastAsia="Calibri" w:hAnsi="Verdana" w:cs="Arial"/>
          <w:color w:val="000000" w:themeColor="text1"/>
          <w:lang w:val="es-ES"/>
        </w:rPr>
        <w:t xml:space="preserve">, </w:t>
      </w:r>
      <w:r>
        <w:rPr>
          <w:rFonts w:ascii="Verdana" w:eastAsia="Geomanist Light" w:hAnsi="Verdana" w:cs="Arial"/>
          <w:lang w:val="es-ES"/>
        </w:rPr>
        <w:t>en los términos del artículo 6 de la Ley 454 de 1998 –norma a la que remite el artículo 23 de la Ley de Emprendimiento–.</w:t>
      </w:r>
      <w:r w:rsidRPr="00D32D23">
        <w:rPr>
          <w:rFonts w:ascii="Verdana" w:eastAsia="Calibri" w:hAnsi="Verdana" w:cs="Arial"/>
          <w:color w:val="000000" w:themeColor="text1"/>
          <w:lang w:val="es-ES"/>
        </w:rPr>
        <w:t xml:space="preserve"> </w:t>
      </w:r>
      <w:r>
        <w:rPr>
          <w:rFonts w:ascii="Verdana" w:eastAsia="Geomanist Light" w:hAnsi="Verdana" w:cs="Arial"/>
          <w:lang w:val="es-ES"/>
        </w:rPr>
        <w:t xml:space="preserve">En tal sentido, debe analizarse si la ESAL cumple con las características establecidas en dicho artículo, para considerarla una organización de economía solidaria. </w:t>
      </w:r>
      <w:r>
        <w:rPr>
          <w:rFonts w:ascii="Verdana" w:eastAsia="Calibri" w:hAnsi="Verdana" w:cs="Arial"/>
          <w:color w:val="000000" w:themeColor="text1"/>
          <w:lang w:val="es-ES"/>
        </w:rPr>
        <w:t xml:space="preserve">Solo las que cumplan estos requisitos podrán ser asimiladas a las MiPymes y acceder a los requisitos diferenciales de la Ley 2069 de 2020, así como </w:t>
      </w:r>
      <w:r w:rsidRPr="00D32D23">
        <w:rPr>
          <w:rFonts w:ascii="Verdana" w:eastAsia="Calibri" w:hAnsi="Verdana" w:cs="Arial"/>
          <w:color w:val="000000" w:themeColor="text1"/>
          <w:lang w:val="es-ES"/>
        </w:rPr>
        <w:t xml:space="preserve">participar en las convocatorias limitadas a estas, </w:t>
      </w:r>
      <w:r>
        <w:rPr>
          <w:rFonts w:ascii="Verdana" w:eastAsia="Calibri" w:hAnsi="Verdana" w:cs="Arial"/>
          <w:color w:val="000000" w:themeColor="text1"/>
          <w:lang w:val="es-ES"/>
        </w:rPr>
        <w:t xml:space="preserve">y les permite </w:t>
      </w:r>
      <w:r w:rsidRPr="00D32D23">
        <w:rPr>
          <w:rFonts w:ascii="Verdana" w:eastAsia="Calibri" w:hAnsi="Verdana" w:cs="Arial"/>
          <w:color w:val="000000" w:themeColor="text1"/>
          <w:lang w:val="es-ES"/>
        </w:rPr>
        <w:t>incluso manifestar su interés de participar en el proceso de selección</w:t>
      </w:r>
      <w:r>
        <w:rPr>
          <w:rFonts w:ascii="Verdana" w:eastAsia="Calibri" w:hAnsi="Verdana" w:cs="Arial"/>
          <w:color w:val="000000" w:themeColor="text1"/>
          <w:lang w:val="es-ES"/>
        </w:rPr>
        <w:t xml:space="preserve"> en los términos del artículo 2.2.1.2.4.2.2 del Decreto 1082 de 2015.</w:t>
      </w:r>
    </w:p>
    <w:p w14:paraId="012C21B7" w14:textId="77777777" w:rsidR="00D55F7B" w:rsidRDefault="00D55F7B" w:rsidP="00D55F7B">
      <w:pPr>
        <w:spacing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 xml:space="preserve">En este contexto, es importante destacar que </w:t>
      </w:r>
      <w:r w:rsidRPr="00DE6578">
        <w:rPr>
          <w:rFonts w:ascii="Verdana" w:eastAsia="Calibri" w:hAnsi="Verdana" w:cs="Arial"/>
          <w:color w:val="000000" w:themeColor="text1"/>
        </w:rPr>
        <w:t>la ley</w:t>
      </w:r>
      <w:r>
        <w:rPr>
          <w:rFonts w:ascii="Verdana" w:eastAsia="Calibri" w:hAnsi="Verdana" w:cs="Arial"/>
          <w:color w:val="000000" w:themeColor="text1"/>
        </w:rPr>
        <w:t xml:space="preserve"> 2069 de 2020</w:t>
      </w:r>
      <w:r w:rsidRPr="00DE6578">
        <w:rPr>
          <w:rFonts w:ascii="Verdana" w:eastAsia="Calibri" w:hAnsi="Verdana" w:cs="Arial"/>
          <w:color w:val="000000" w:themeColor="text1"/>
        </w:rPr>
        <w:t xml:space="preserve"> no extiende </w:t>
      </w:r>
      <w:r>
        <w:rPr>
          <w:rFonts w:ascii="Verdana" w:eastAsia="Calibri" w:hAnsi="Verdana" w:cs="Arial"/>
          <w:color w:val="000000" w:themeColor="text1"/>
        </w:rPr>
        <w:t xml:space="preserve">esta asimilación a </w:t>
      </w:r>
      <w:proofErr w:type="spellStart"/>
      <w:r>
        <w:rPr>
          <w:rFonts w:ascii="Verdana" w:eastAsia="Calibri" w:hAnsi="Verdana" w:cs="Arial"/>
          <w:color w:val="000000" w:themeColor="text1"/>
        </w:rPr>
        <w:t>Mipymes</w:t>
      </w:r>
      <w:proofErr w:type="spellEnd"/>
      <w:r>
        <w:rPr>
          <w:rFonts w:ascii="Verdana" w:eastAsia="Calibri" w:hAnsi="Verdana" w:cs="Arial"/>
          <w:color w:val="000000" w:themeColor="text1"/>
        </w:rPr>
        <w:t xml:space="preserve"> </w:t>
      </w:r>
      <w:r w:rsidRPr="00DE6578">
        <w:rPr>
          <w:rFonts w:ascii="Verdana" w:eastAsia="Calibri" w:hAnsi="Verdana" w:cs="Arial"/>
          <w:color w:val="000000" w:themeColor="text1"/>
        </w:rPr>
        <w:t>a otras formas de ESAL, como fundaciones o asociaciones</w:t>
      </w:r>
      <w:r>
        <w:rPr>
          <w:rFonts w:ascii="Verdana" w:eastAsia="Calibri" w:hAnsi="Verdana" w:cs="Arial"/>
          <w:color w:val="000000" w:themeColor="text1"/>
        </w:rPr>
        <w:t xml:space="preserve">, sino únicamente a las </w:t>
      </w:r>
      <w:r w:rsidRPr="00362CA6">
        <w:rPr>
          <w:rFonts w:ascii="Verdana" w:eastAsia="Calibri" w:hAnsi="Verdana" w:cs="Arial"/>
          <w:color w:val="000000" w:themeColor="text1"/>
          <w:lang w:val="es-ES"/>
        </w:rPr>
        <w:t>cooperativas y</w:t>
      </w:r>
      <w:r>
        <w:rPr>
          <w:rFonts w:ascii="Verdana" w:eastAsia="Calibri" w:hAnsi="Verdana" w:cs="Arial"/>
          <w:color w:val="000000" w:themeColor="text1"/>
          <w:lang w:val="es-ES"/>
        </w:rPr>
        <w:t xml:space="preserve"> demás entes considerados de </w:t>
      </w:r>
      <w:r w:rsidRPr="00362CA6">
        <w:rPr>
          <w:rFonts w:ascii="Verdana" w:eastAsia="Calibri" w:hAnsi="Verdana" w:cs="Arial"/>
          <w:color w:val="000000" w:themeColor="text1"/>
          <w:lang w:val="es-ES"/>
        </w:rPr>
        <w:t>economía solidaria</w:t>
      </w:r>
      <w:r w:rsidRPr="00DE6578">
        <w:rPr>
          <w:rFonts w:ascii="Verdana" w:eastAsia="Calibri" w:hAnsi="Verdana" w:cs="Arial"/>
          <w:color w:val="000000" w:themeColor="text1"/>
        </w:rPr>
        <w:t>.</w:t>
      </w:r>
      <w:r>
        <w:rPr>
          <w:rFonts w:ascii="Verdana" w:eastAsia="Calibri" w:hAnsi="Verdana" w:cs="Arial"/>
          <w:color w:val="000000" w:themeColor="text1"/>
        </w:rPr>
        <w:t xml:space="preserve"> De esta forma, se podría concluir que</w:t>
      </w:r>
      <w:r w:rsidRPr="00DE6578">
        <w:rPr>
          <w:rFonts w:ascii="Verdana" w:eastAsia="Calibri" w:hAnsi="Verdana" w:cs="Arial"/>
          <w:color w:val="000000" w:themeColor="text1"/>
        </w:rPr>
        <w:t xml:space="preserve"> la ausencia de mención explícita a otras ESAL en el marco de este beneficio indica que el legislador deliberadamente excluyó a estas entidades del tratamiento especial otorgado a las cooperativas.</w:t>
      </w:r>
      <w:r w:rsidRPr="000144A1">
        <w:t xml:space="preserve"> </w:t>
      </w:r>
      <w:r>
        <w:rPr>
          <w:rFonts w:ascii="Verdana" w:eastAsia="Calibri" w:hAnsi="Verdana" w:cs="Arial"/>
          <w:color w:val="000000" w:themeColor="text1"/>
        </w:rPr>
        <w:t>En consecuencia</w:t>
      </w:r>
      <w:r w:rsidRPr="000144A1">
        <w:rPr>
          <w:rFonts w:ascii="Verdana" w:eastAsia="Calibri" w:hAnsi="Verdana" w:cs="Arial"/>
          <w:color w:val="000000" w:themeColor="text1"/>
        </w:rPr>
        <w:t xml:space="preserve">, </w:t>
      </w:r>
      <w:r>
        <w:rPr>
          <w:rFonts w:ascii="Verdana" w:eastAsia="Calibri" w:hAnsi="Verdana" w:cs="Arial"/>
          <w:color w:val="000000" w:themeColor="text1"/>
        </w:rPr>
        <w:t>la norma evidencia</w:t>
      </w:r>
      <w:r w:rsidRPr="000144A1">
        <w:rPr>
          <w:rFonts w:ascii="Verdana" w:eastAsia="Calibri" w:hAnsi="Verdana" w:cs="Arial"/>
          <w:color w:val="000000" w:themeColor="text1"/>
        </w:rPr>
        <w:t xml:space="preserve"> una voluntad normativa clara de diferenciación, sustentada en las características y objetivos propios de cada tipo de entidad, y no puede ser entendido como un vacío o un </w:t>
      </w:r>
      <w:r w:rsidRPr="000144A1">
        <w:rPr>
          <w:rFonts w:ascii="Verdana" w:eastAsia="Calibri" w:hAnsi="Verdana" w:cs="Arial"/>
          <w:color w:val="000000" w:themeColor="text1"/>
        </w:rPr>
        <w:lastRenderedPageBreak/>
        <w:t xml:space="preserve">ámbito abierto a la interpretación amplia que </w:t>
      </w:r>
      <w:r>
        <w:rPr>
          <w:rFonts w:ascii="Verdana" w:eastAsia="Calibri" w:hAnsi="Verdana" w:cs="Arial"/>
          <w:color w:val="000000" w:themeColor="text1"/>
        </w:rPr>
        <w:t>equipare a las demás ESAL</w:t>
      </w:r>
      <w:r w:rsidRPr="000144A1">
        <w:rPr>
          <w:rFonts w:ascii="Verdana" w:eastAsia="Calibri" w:hAnsi="Verdana" w:cs="Arial"/>
          <w:color w:val="000000" w:themeColor="text1"/>
        </w:rPr>
        <w:t xml:space="preserve"> automáticamente con las </w:t>
      </w:r>
      <w:proofErr w:type="spellStart"/>
      <w:r w:rsidRPr="000144A1">
        <w:rPr>
          <w:rFonts w:ascii="Verdana" w:eastAsia="Calibri" w:hAnsi="Verdana" w:cs="Arial"/>
          <w:color w:val="000000" w:themeColor="text1"/>
        </w:rPr>
        <w:t>Mipymes</w:t>
      </w:r>
      <w:proofErr w:type="spellEnd"/>
      <w:r>
        <w:rPr>
          <w:rFonts w:ascii="Verdana" w:eastAsia="Calibri" w:hAnsi="Verdana" w:cs="Arial"/>
          <w:color w:val="000000" w:themeColor="text1"/>
        </w:rPr>
        <w:t xml:space="preserve">. </w:t>
      </w:r>
    </w:p>
    <w:p w14:paraId="151620C8" w14:textId="77777777" w:rsidR="00D55F7B" w:rsidRPr="00EF09DE" w:rsidRDefault="00D55F7B" w:rsidP="00D55F7B">
      <w:pPr>
        <w:spacing w:after="120" w:line="276" w:lineRule="auto"/>
        <w:jc w:val="both"/>
        <w:rPr>
          <w:rFonts w:ascii="Verdana" w:eastAsia="Calibri" w:hAnsi="Verdana" w:cs="Arial"/>
          <w:color w:val="000000" w:themeColor="text1"/>
        </w:rPr>
      </w:pPr>
      <w:proofErr w:type="spellStart"/>
      <w:r>
        <w:rPr>
          <w:rFonts w:ascii="Verdana" w:eastAsia="Calibri" w:hAnsi="Verdana" w:cs="Arial"/>
          <w:color w:val="000000" w:themeColor="text1"/>
        </w:rPr>
        <w:t>iii</w:t>
      </w:r>
      <w:proofErr w:type="spellEnd"/>
      <w:r>
        <w:rPr>
          <w:rFonts w:ascii="Verdana" w:eastAsia="Calibri" w:hAnsi="Verdana" w:cs="Arial"/>
          <w:color w:val="000000" w:themeColor="text1"/>
        </w:rPr>
        <w:t xml:space="preserve">. </w:t>
      </w:r>
      <w:r w:rsidRPr="007A60E6">
        <w:rPr>
          <w:rFonts w:ascii="Verdana" w:hAnsi="Verdana"/>
        </w:rPr>
        <w:t xml:space="preserve">Sin perjuicio de lo anterior, </w:t>
      </w:r>
      <w:r w:rsidRPr="007A60E6">
        <w:rPr>
          <w:rFonts w:ascii="Verdana" w:eastAsia="Calibri" w:hAnsi="Verdana" w:cs="Arial"/>
          <w:color w:val="000000"/>
          <w:lang w:val="es-ES" w:eastAsia="es-ES"/>
        </w:rPr>
        <w:t>se precisa que los conceptos emitidos por esta Subdirección en el marco de la función consultiva representan</w:t>
      </w:r>
      <w:r w:rsidRPr="007A60E6">
        <w:rPr>
          <w:rFonts w:ascii="Verdana" w:hAnsi="Verdana" w:cs="Arial"/>
          <w:lang w:eastAsia="es-ES"/>
        </w:rPr>
        <w:t xml:space="preserve"> una </w:t>
      </w:r>
      <w:r w:rsidRPr="007A60E6">
        <w:rPr>
          <w:rFonts w:ascii="Verdana" w:eastAsia="Calibri" w:hAnsi="Verdana" w:cs="Arial"/>
          <w:bCs/>
          <w:lang w:val="es-ES_tradnl"/>
        </w:rPr>
        <w:t>posición hermenéutica respecto a las disposiciones normativas del Sistema de Compras Públicas,</w:t>
      </w:r>
      <w:r w:rsidRPr="007A60E6">
        <w:rPr>
          <w:rFonts w:ascii="Verdana" w:hAnsi="Verdana" w:cs="Arial"/>
          <w:lang w:eastAsia="es-ES"/>
        </w:rPr>
        <w:t xml:space="preserve"> que </w:t>
      </w:r>
      <w:r w:rsidRPr="007A60E6">
        <w:rPr>
          <w:rFonts w:ascii="Verdana" w:eastAsia="Calibri" w:hAnsi="Verdana" w:cs="Arial"/>
          <w:bCs/>
          <w:lang w:val="es-ES_tradnl"/>
        </w:rPr>
        <w:t>no tienen efectos vinculantes en relación con una situación jurídica particular y concreta, y exponen un criterio que, aunque jurídicamente fundamentado, no representan la única interpretación válida del ordenamiento jurídico.</w:t>
      </w:r>
      <w:r w:rsidRPr="007A60E6">
        <w:rPr>
          <w:rFonts w:ascii="Verdana" w:eastAsiaTheme="minorEastAsia" w:hAnsi="Verdana" w:cs="Arial"/>
          <w:szCs w:val="24"/>
          <w:lang w:eastAsia="es-CO"/>
        </w:rPr>
        <w:t xml:space="preserve"> De este modo, las autoridades que ejercen funciones consultivas pueden expresar su</w:t>
      </w:r>
      <w:r w:rsidRPr="007A60E6">
        <w:rPr>
          <w:rFonts w:ascii="Verdana" w:eastAsiaTheme="minorEastAsia" w:hAnsi="Verdana" w:cs="Arial"/>
          <w:spacing w:val="1"/>
          <w:szCs w:val="24"/>
          <w:lang w:eastAsia="es-CO"/>
        </w:rPr>
        <w:t xml:space="preserve"> </w:t>
      </w:r>
      <w:r w:rsidRPr="007A60E6">
        <w:rPr>
          <w:rFonts w:ascii="Verdana" w:eastAsiaTheme="minorEastAsia" w:hAnsi="Verdana" w:cs="Arial"/>
          <w:szCs w:val="24"/>
          <w:lang w:eastAsia="es-CO"/>
        </w:rPr>
        <w:t>interpretación de un precepto normativo, que no excluye otras interpretaciones posibles, pues el derecho, como sistema normativo, es un lenguaje que, en ocasiones, se tiñe de vaguedad, en</w:t>
      </w:r>
      <w:r w:rsidRPr="007A60E6">
        <w:rPr>
          <w:rFonts w:ascii="Verdana" w:eastAsiaTheme="minorEastAsia" w:hAnsi="Verdana" w:cs="Arial"/>
          <w:spacing w:val="1"/>
          <w:szCs w:val="24"/>
          <w:lang w:eastAsia="es-CO"/>
        </w:rPr>
        <w:t xml:space="preserve"> </w:t>
      </w:r>
      <w:r w:rsidRPr="007A60E6">
        <w:rPr>
          <w:rFonts w:ascii="Verdana" w:eastAsiaTheme="minorEastAsia" w:hAnsi="Verdana" w:cs="Arial"/>
          <w:szCs w:val="24"/>
          <w:lang w:eastAsia="es-CO"/>
        </w:rPr>
        <w:t>virtud</w:t>
      </w:r>
      <w:r w:rsidRPr="007A60E6">
        <w:rPr>
          <w:rFonts w:ascii="Verdana" w:eastAsiaTheme="minorEastAsia" w:hAnsi="Verdana" w:cs="Arial"/>
          <w:spacing w:val="-10"/>
          <w:szCs w:val="24"/>
          <w:lang w:eastAsia="es-CO"/>
        </w:rPr>
        <w:t xml:space="preserve"> </w:t>
      </w:r>
      <w:r w:rsidRPr="007A60E6">
        <w:rPr>
          <w:rFonts w:ascii="Verdana" w:eastAsiaTheme="minorEastAsia" w:hAnsi="Verdana" w:cs="Arial"/>
          <w:szCs w:val="24"/>
          <w:lang w:eastAsia="es-CO"/>
        </w:rPr>
        <w:t>de</w:t>
      </w:r>
      <w:r w:rsidRPr="007A60E6">
        <w:rPr>
          <w:rFonts w:ascii="Verdana" w:eastAsiaTheme="minorEastAsia" w:hAnsi="Verdana" w:cs="Arial"/>
          <w:spacing w:val="-9"/>
          <w:szCs w:val="24"/>
          <w:lang w:eastAsia="es-CO"/>
        </w:rPr>
        <w:t xml:space="preserve"> </w:t>
      </w:r>
      <w:r w:rsidRPr="007A60E6">
        <w:rPr>
          <w:rFonts w:ascii="Verdana" w:eastAsiaTheme="minorEastAsia" w:hAnsi="Verdana" w:cs="Arial"/>
          <w:szCs w:val="24"/>
          <w:lang w:eastAsia="es-CO"/>
        </w:rPr>
        <w:t>la</w:t>
      </w:r>
      <w:r w:rsidRPr="007A60E6">
        <w:rPr>
          <w:rFonts w:ascii="Verdana" w:eastAsiaTheme="minorEastAsia" w:hAnsi="Verdana" w:cs="Arial"/>
          <w:spacing w:val="-9"/>
          <w:szCs w:val="24"/>
          <w:lang w:eastAsia="es-CO"/>
        </w:rPr>
        <w:t xml:space="preserve"> </w:t>
      </w:r>
      <w:r w:rsidRPr="007A60E6">
        <w:rPr>
          <w:rFonts w:ascii="Verdana" w:eastAsiaTheme="minorEastAsia" w:hAnsi="Verdana" w:cs="Arial"/>
          <w:szCs w:val="24"/>
          <w:lang w:eastAsia="es-CO"/>
        </w:rPr>
        <w:t>utilización</w:t>
      </w:r>
      <w:r w:rsidRPr="007A60E6">
        <w:rPr>
          <w:rFonts w:ascii="Verdana" w:eastAsiaTheme="minorEastAsia" w:hAnsi="Verdana" w:cs="Arial"/>
          <w:spacing w:val="-9"/>
          <w:szCs w:val="24"/>
          <w:lang w:eastAsia="es-CO"/>
        </w:rPr>
        <w:t xml:space="preserve"> </w:t>
      </w:r>
      <w:r w:rsidRPr="007A60E6">
        <w:rPr>
          <w:rFonts w:ascii="Verdana" w:eastAsiaTheme="minorEastAsia" w:hAnsi="Verdana" w:cs="Arial"/>
          <w:szCs w:val="24"/>
          <w:lang w:eastAsia="es-CO"/>
        </w:rPr>
        <w:t>de</w:t>
      </w:r>
      <w:r w:rsidRPr="007A60E6">
        <w:rPr>
          <w:rFonts w:ascii="Verdana" w:eastAsiaTheme="minorEastAsia" w:hAnsi="Verdana" w:cs="Arial"/>
          <w:spacing w:val="-9"/>
          <w:szCs w:val="24"/>
          <w:lang w:eastAsia="es-CO"/>
        </w:rPr>
        <w:t xml:space="preserve"> </w:t>
      </w:r>
      <w:r w:rsidRPr="007A60E6">
        <w:rPr>
          <w:rFonts w:ascii="Verdana" w:eastAsiaTheme="minorEastAsia" w:hAnsi="Verdana" w:cs="Arial"/>
          <w:szCs w:val="24"/>
          <w:lang w:eastAsia="es-CO"/>
        </w:rPr>
        <w:t>conceptos</w:t>
      </w:r>
      <w:r w:rsidRPr="007A60E6">
        <w:rPr>
          <w:rFonts w:ascii="Verdana" w:eastAsiaTheme="minorEastAsia" w:hAnsi="Verdana" w:cs="Arial"/>
          <w:spacing w:val="-10"/>
          <w:szCs w:val="24"/>
          <w:lang w:eastAsia="es-CO"/>
        </w:rPr>
        <w:t xml:space="preserve"> </w:t>
      </w:r>
      <w:r w:rsidRPr="007A60E6">
        <w:rPr>
          <w:rFonts w:ascii="Verdana" w:eastAsiaTheme="minorEastAsia" w:hAnsi="Verdana" w:cs="Arial"/>
          <w:szCs w:val="24"/>
          <w:lang w:eastAsia="es-CO"/>
        </w:rPr>
        <w:t>jurídicos</w:t>
      </w:r>
      <w:r w:rsidRPr="007A60E6">
        <w:rPr>
          <w:rFonts w:ascii="Verdana" w:eastAsiaTheme="minorEastAsia" w:hAnsi="Verdana" w:cs="Arial"/>
          <w:spacing w:val="-9"/>
          <w:szCs w:val="24"/>
          <w:lang w:eastAsia="es-CO"/>
        </w:rPr>
        <w:t xml:space="preserve"> </w:t>
      </w:r>
      <w:r w:rsidRPr="007A60E6">
        <w:rPr>
          <w:rFonts w:ascii="Verdana" w:eastAsiaTheme="minorEastAsia" w:hAnsi="Verdana" w:cs="Arial"/>
          <w:szCs w:val="24"/>
          <w:lang w:eastAsia="es-CO"/>
        </w:rPr>
        <w:t>indeterminados.</w:t>
      </w:r>
      <w:r w:rsidRPr="007A60E6">
        <w:rPr>
          <w:rFonts w:ascii="Verdana" w:eastAsiaTheme="minorEastAsia" w:hAnsi="Verdana" w:cs="Arial"/>
          <w:spacing w:val="-9"/>
          <w:szCs w:val="24"/>
          <w:lang w:eastAsia="es-CO"/>
        </w:rPr>
        <w:t xml:space="preserve"> </w:t>
      </w:r>
    </w:p>
    <w:p w14:paraId="0CF44E16" w14:textId="77777777" w:rsidR="00D55F7B" w:rsidRDefault="00D55F7B" w:rsidP="00D55F7B">
      <w:pPr>
        <w:spacing w:after="120" w:line="276" w:lineRule="auto"/>
        <w:ind w:firstLine="709"/>
        <w:jc w:val="both"/>
        <w:rPr>
          <w:rFonts w:ascii="Verdana" w:hAnsi="Verdana" w:cs="Arial"/>
          <w:lang w:eastAsia="es-ES"/>
        </w:rPr>
      </w:pPr>
      <w:r w:rsidRPr="007A60E6">
        <w:rPr>
          <w:rFonts w:ascii="Verdana" w:eastAsia="Calibri" w:hAnsi="Verdana" w:cs="Arial"/>
          <w:bCs/>
          <w:lang w:val="es-ES_tradnl"/>
        </w:rPr>
        <w:t>En tal sentido, al responder peticiones realizadas en ejercicio del derecho a formular consultas no son de obligatorio cumplimiento o de obligatoria ejecución.</w:t>
      </w:r>
      <w:r w:rsidRPr="000F382C">
        <w:t xml:space="preserve"> </w:t>
      </w:r>
      <w:r w:rsidRPr="000F382C">
        <w:rPr>
          <w:rFonts w:ascii="Verdana" w:eastAsia="Calibri" w:hAnsi="Verdana" w:cs="Arial"/>
          <w:bCs/>
        </w:rPr>
        <w:t>Adicionalmente, en cuanto a la solicitud de reconsiderar o unificar la doctrina contenida en pronunciamientos anteriores, se precisa que ello excede el objeto de la función consultiva, circunscrita a la interpretación abstracta de las normas del sistema de compras públicas; las consideraciones aquí expuestas reiteran y consolidan la posición vigente de esta Subdirección sobre las materias consultadas</w:t>
      </w:r>
      <w:r>
        <w:rPr>
          <w:rFonts w:ascii="Verdana" w:eastAsia="Calibri" w:hAnsi="Verdana" w:cs="Arial"/>
          <w:bCs/>
        </w:rPr>
        <w:t>.</w:t>
      </w:r>
      <w:r w:rsidRPr="007A60E6">
        <w:rPr>
          <w:rFonts w:ascii="Verdana" w:eastAsia="Calibri" w:hAnsi="Verdana" w:cs="Arial"/>
          <w:bCs/>
          <w:lang w:val="es-ES_tradnl"/>
        </w:rPr>
        <w:t xml:space="preserve"> Por tanto, cada </w:t>
      </w:r>
      <w:r w:rsidRPr="007A60E6">
        <w:rPr>
          <w:rFonts w:ascii="Verdana" w:hAnsi="Verdana" w:cs="Arial"/>
          <w:lang w:eastAsia="es-ES"/>
        </w:rPr>
        <w:t>entidad definirá la forma de adelantar su gestión contractual, sin que sea atribución de Colombia Compra Eficiente validar sus actuaciones.</w:t>
      </w:r>
    </w:p>
    <w:p w14:paraId="13644E2A" w14:textId="77777777" w:rsidR="00D55F7B" w:rsidRPr="000E2969" w:rsidRDefault="00D55F7B" w:rsidP="00D55F7B">
      <w:pPr>
        <w:spacing w:after="0" w:line="276" w:lineRule="auto"/>
        <w:ind w:firstLine="709"/>
        <w:jc w:val="both"/>
        <w:rPr>
          <w:rFonts w:ascii="Verdana" w:hAnsi="Verdana" w:cs="Arial"/>
          <w:lang w:eastAsia="es-ES"/>
        </w:rPr>
      </w:pPr>
    </w:p>
    <w:p w14:paraId="0A176AE1" w14:textId="77777777" w:rsidR="00D55F7B" w:rsidRPr="001F283D" w:rsidRDefault="00D55F7B" w:rsidP="00D55F7B">
      <w:pPr>
        <w:tabs>
          <w:tab w:val="left" w:pos="142"/>
          <w:tab w:val="left" w:pos="284"/>
        </w:tabs>
        <w:spacing w:after="0" w:line="276" w:lineRule="auto"/>
        <w:rPr>
          <w:rFonts w:ascii="Verdana" w:eastAsia="Century Gothic" w:hAnsi="Verdana" w:cs="Century Gothic"/>
          <w:b/>
          <w:bCs/>
        </w:rPr>
      </w:pPr>
      <w:bookmarkStart w:id="13" w:name="_Hlk204854194"/>
      <w:r>
        <w:rPr>
          <w:rFonts w:ascii="Verdana" w:eastAsia="Century Gothic" w:hAnsi="Verdana" w:cs="Century Gothic"/>
          <w:b/>
          <w:bCs/>
        </w:rPr>
        <w:t xml:space="preserve">4. </w:t>
      </w:r>
      <w:r w:rsidRPr="001F283D">
        <w:rPr>
          <w:rFonts w:ascii="Verdana" w:eastAsia="Century Gothic" w:hAnsi="Verdana" w:cs="Century Gothic"/>
          <w:b/>
          <w:bCs/>
        </w:rPr>
        <w:t>Referencias normativas:</w:t>
      </w:r>
    </w:p>
    <w:bookmarkEnd w:id="13"/>
    <w:p w14:paraId="3F6BEBC1" w14:textId="77777777" w:rsidR="00D55F7B" w:rsidRPr="00593A5F" w:rsidRDefault="00D55F7B" w:rsidP="00D55F7B">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55F7B" w:rsidRPr="002407CE" w14:paraId="6C92361F" w14:textId="77777777" w:rsidTr="004B5087">
        <w:trPr>
          <w:trHeight w:val="870"/>
          <w:jc w:val="center"/>
        </w:trPr>
        <w:tc>
          <w:tcPr>
            <w:tcW w:w="8647" w:type="dxa"/>
          </w:tcPr>
          <w:p w14:paraId="2A401B2D"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Pr>
                <w:rFonts w:ascii="Verdana" w:hAnsi="Verdana" w:cs="Arial"/>
              </w:rPr>
              <w:t>Constitución Política de Colombia. Artículo 38.</w:t>
            </w:r>
          </w:p>
          <w:p w14:paraId="785F5739"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Ley 2069 de 2020</w:t>
            </w:r>
            <w:r>
              <w:rPr>
                <w:rFonts w:ascii="Verdana" w:hAnsi="Verdana" w:cs="Arial"/>
              </w:rPr>
              <w:t>. A</w:t>
            </w:r>
            <w:r w:rsidRPr="00995CAD">
              <w:rPr>
                <w:rFonts w:ascii="Verdana" w:hAnsi="Verdana" w:cs="Arial"/>
              </w:rPr>
              <w:t>rtículo</w:t>
            </w:r>
            <w:r>
              <w:rPr>
                <w:rFonts w:ascii="Verdana" w:hAnsi="Verdana" w:cs="Arial"/>
              </w:rPr>
              <w:t>s:</w:t>
            </w:r>
            <w:r w:rsidRPr="00995CAD">
              <w:rPr>
                <w:rFonts w:ascii="Verdana" w:hAnsi="Verdana" w:cs="Arial"/>
              </w:rPr>
              <w:t xml:space="preserve"> 23, </w:t>
            </w:r>
            <w:r>
              <w:rPr>
                <w:rFonts w:ascii="Verdana" w:hAnsi="Verdana" w:cs="Arial"/>
              </w:rPr>
              <w:t>31 y 32</w:t>
            </w:r>
            <w:r w:rsidRPr="00995CAD">
              <w:rPr>
                <w:rFonts w:ascii="Verdana" w:hAnsi="Verdana" w:cs="Arial"/>
              </w:rPr>
              <w:t>.</w:t>
            </w:r>
          </w:p>
          <w:p w14:paraId="7CA229A7"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Ley 590 de 2000</w:t>
            </w:r>
            <w:r>
              <w:rPr>
                <w:rFonts w:ascii="Verdana" w:hAnsi="Verdana" w:cs="Arial"/>
              </w:rPr>
              <w:t>. A</w:t>
            </w:r>
            <w:r w:rsidRPr="00995CAD">
              <w:rPr>
                <w:rFonts w:ascii="Verdana" w:hAnsi="Verdana" w:cs="Arial"/>
              </w:rPr>
              <w:t>rtículo 2.</w:t>
            </w:r>
          </w:p>
          <w:p w14:paraId="7424E6EC"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Ley 1450 de 2011</w:t>
            </w:r>
            <w:r>
              <w:rPr>
                <w:rFonts w:ascii="Verdana" w:hAnsi="Verdana" w:cs="Arial"/>
              </w:rPr>
              <w:t>.</w:t>
            </w:r>
            <w:r w:rsidRPr="00995CAD">
              <w:rPr>
                <w:rFonts w:ascii="Verdana" w:hAnsi="Verdana" w:cs="Arial"/>
              </w:rPr>
              <w:t xml:space="preserve"> </w:t>
            </w:r>
            <w:r>
              <w:rPr>
                <w:rFonts w:ascii="Verdana" w:hAnsi="Verdana" w:cs="Arial"/>
              </w:rPr>
              <w:t>A</w:t>
            </w:r>
            <w:r w:rsidRPr="00995CAD">
              <w:rPr>
                <w:rFonts w:ascii="Verdana" w:hAnsi="Verdana" w:cs="Arial"/>
              </w:rPr>
              <w:t>rtículo 43.</w:t>
            </w:r>
          </w:p>
          <w:p w14:paraId="46BBE44B"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Decreto 1074 de 2015</w:t>
            </w:r>
            <w:r>
              <w:rPr>
                <w:rFonts w:ascii="Verdana" w:hAnsi="Verdana" w:cs="Arial"/>
              </w:rPr>
              <w:t>. A</w:t>
            </w:r>
            <w:r w:rsidRPr="00995CAD">
              <w:rPr>
                <w:rFonts w:ascii="Verdana" w:hAnsi="Verdana" w:cs="Arial"/>
              </w:rPr>
              <w:t>rtículo.</w:t>
            </w:r>
            <w:r w:rsidRPr="60F29CF2">
              <w:rPr>
                <w:rFonts w:ascii="Verdana" w:eastAsia="Arial" w:hAnsi="Verdana" w:cs="Arial"/>
                <w:lang w:val="es-ES"/>
              </w:rPr>
              <w:t xml:space="preserve"> 2.2.1.13.2.2.</w:t>
            </w:r>
          </w:p>
          <w:p w14:paraId="3131F520" w14:textId="77777777" w:rsidR="00D55F7B" w:rsidRPr="00770E9C" w:rsidRDefault="00D55F7B" w:rsidP="00D55F7B">
            <w:pPr>
              <w:widowControl w:val="0"/>
              <w:numPr>
                <w:ilvl w:val="0"/>
                <w:numId w:val="19"/>
              </w:numPr>
              <w:autoSpaceDE w:val="0"/>
              <w:autoSpaceDN w:val="0"/>
              <w:spacing w:line="276" w:lineRule="auto"/>
              <w:ind w:left="460" w:hanging="284"/>
              <w:jc w:val="both"/>
              <w:rPr>
                <w:rFonts w:ascii="Verdana" w:hAnsi="Verdana" w:cs="Arial"/>
              </w:rPr>
            </w:pPr>
            <w:r w:rsidRPr="00995CAD">
              <w:rPr>
                <w:rFonts w:ascii="Verdana" w:hAnsi="Verdana" w:cs="Arial"/>
              </w:rPr>
              <w:t>Decreto 957 de 2019.</w:t>
            </w:r>
          </w:p>
          <w:p w14:paraId="6495AB55"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Decreto 1082 de 2015</w:t>
            </w:r>
            <w:r>
              <w:rPr>
                <w:rFonts w:ascii="Verdana" w:hAnsi="Verdana" w:cs="Arial"/>
              </w:rPr>
              <w:t>.</w:t>
            </w:r>
            <w:r w:rsidRPr="00995CAD">
              <w:rPr>
                <w:rFonts w:ascii="Verdana" w:hAnsi="Verdana" w:cs="Arial"/>
              </w:rPr>
              <w:t xml:space="preserve"> </w:t>
            </w:r>
            <w:r>
              <w:rPr>
                <w:rFonts w:ascii="Verdana" w:hAnsi="Verdana" w:cs="Arial"/>
              </w:rPr>
              <w:t>A</w:t>
            </w:r>
            <w:r w:rsidRPr="00995CAD">
              <w:rPr>
                <w:rFonts w:ascii="Verdana" w:hAnsi="Verdana" w:cs="Arial"/>
              </w:rPr>
              <w:t>rtículos</w:t>
            </w:r>
            <w:r w:rsidRPr="000D57F2">
              <w:rPr>
                <w:rFonts w:ascii="Verdana" w:eastAsia="Arial" w:hAnsi="Verdana" w:cs="Arial"/>
                <w:color w:val="000000" w:themeColor="text1"/>
              </w:rPr>
              <w:t> </w:t>
            </w:r>
            <w:hyperlink r:id="rId14" w:anchor="2.2.1.2.4.2.4" w:history="1">
              <w:r w:rsidRPr="000D57F2">
                <w:rPr>
                  <w:rStyle w:val="Hipervnculo"/>
                  <w:rFonts w:ascii="Verdana" w:eastAsia="Arial" w:hAnsi="Verdana" w:cs="Arial"/>
                  <w:color w:val="000000" w:themeColor="text1"/>
                  <w:u w:val="none"/>
                </w:rPr>
                <w:t>2.2.1.2.4.2.4</w:t>
              </w:r>
            </w:hyperlink>
            <w:r>
              <w:rPr>
                <w:rFonts w:ascii="Verdana" w:hAnsi="Verdana"/>
              </w:rPr>
              <w:t>,</w:t>
            </w:r>
            <w:r w:rsidRPr="00995CAD">
              <w:rPr>
                <w:rFonts w:ascii="Verdana" w:hAnsi="Verdana" w:cs="Arial"/>
              </w:rPr>
              <w:t xml:space="preserve"> </w:t>
            </w:r>
            <w:r w:rsidRPr="00434E0B">
              <w:rPr>
                <w:rFonts w:ascii="Verdana" w:eastAsia="Calibri" w:hAnsi="Verdana" w:cs="Arial"/>
                <w:color w:val="000000" w:themeColor="text1"/>
              </w:rPr>
              <w:t>2.2.1.2.1.5.2</w:t>
            </w:r>
            <w:r>
              <w:rPr>
                <w:rFonts w:ascii="Verdana" w:eastAsia="Calibri" w:hAnsi="Verdana" w:cs="Arial"/>
                <w:color w:val="000000" w:themeColor="text1"/>
              </w:rPr>
              <w:t xml:space="preserve">, </w:t>
            </w:r>
            <w:r w:rsidRPr="00995CAD">
              <w:rPr>
                <w:rFonts w:ascii="Verdana" w:hAnsi="Verdana" w:cs="Arial"/>
              </w:rPr>
              <w:t>2.2.1.2.4.2.2</w:t>
            </w:r>
            <w:r>
              <w:rPr>
                <w:rFonts w:ascii="Verdana" w:hAnsi="Verdana" w:cs="Arial"/>
              </w:rPr>
              <w:t xml:space="preserve"> y</w:t>
            </w:r>
            <w:r w:rsidRPr="00995CAD">
              <w:rPr>
                <w:rFonts w:ascii="Verdana" w:hAnsi="Verdana" w:cs="Arial"/>
              </w:rPr>
              <w:t xml:space="preserve"> 2.2.1.2.4.2.3</w:t>
            </w:r>
            <w:r>
              <w:rPr>
                <w:rFonts w:ascii="Verdana" w:hAnsi="Verdana" w:cs="Arial"/>
              </w:rPr>
              <w:t>.</w:t>
            </w:r>
          </w:p>
          <w:p w14:paraId="5CDACC7F"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Decreto 1860 de 2021</w:t>
            </w:r>
            <w:r>
              <w:rPr>
                <w:rFonts w:ascii="Verdana" w:hAnsi="Verdana" w:cs="Arial"/>
              </w:rPr>
              <w:t>.</w:t>
            </w:r>
            <w:r w:rsidRPr="00995CAD">
              <w:rPr>
                <w:rFonts w:ascii="Verdana" w:hAnsi="Verdana" w:cs="Arial"/>
              </w:rPr>
              <w:t xml:space="preserve"> </w:t>
            </w:r>
            <w:r>
              <w:rPr>
                <w:rFonts w:ascii="Verdana" w:hAnsi="Verdana" w:cs="Arial"/>
              </w:rPr>
              <w:t>A</w:t>
            </w:r>
            <w:r w:rsidRPr="00995CAD">
              <w:rPr>
                <w:rFonts w:ascii="Verdana" w:hAnsi="Verdana" w:cs="Arial"/>
              </w:rPr>
              <w:t>rtículo 3</w:t>
            </w:r>
            <w:r>
              <w:rPr>
                <w:rFonts w:ascii="Verdana" w:hAnsi="Verdana" w:cs="Arial"/>
              </w:rPr>
              <w:t xml:space="preserve"> y 5</w:t>
            </w:r>
            <w:r w:rsidRPr="00995CAD">
              <w:rPr>
                <w:rFonts w:ascii="Verdana" w:hAnsi="Verdana" w:cs="Arial"/>
              </w:rPr>
              <w:t>.</w:t>
            </w:r>
          </w:p>
          <w:p w14:paraId="50E3FE33" w14:textId="77777777" w:rsidR="00D55F7B" w:rsidRPr="00770E9C"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lastRenderedPageBreak/>
              <w:t>Ley 454 de 1998</w:t>
            </w:r>
            <w:r>
              <w:rPr>
                <w:rFonts w:ascii="Verdana" w:hAnsi="Verdana" w:cs="Arial"/>
              </w:rPr>
              <w:t>.</w:t>
            </w:r>
            <w:r w:rsidRPr="00995CAD">
              <w:rPr>
                <w:rFonts w:ascii="Verdana" w:hAnsi="Verdana" w:cs="Arial"/>
              </w:rPr>
              <w:t xml:space="preserve"> </w:t>
            </w:r>
            <w:r>
              <w:rPr>
                <w:rFonts w:ascii="Verdana" w:hAnsi="Verdana" w:cs="Arial"/>
              </w:rPr>
              <w:t>A</w:t>
            </w:r>
            <w:r w:rsidRPr="00995CAD">
              <w:rPr>
                <w:rFonts w:ascii="Verdana" w:hAnsi="Verdana" w:cs="Arial"/>
              </w:rPr>
              <w:t>rtículos 2 y 6.</w:t>
            </w:r>
          </w:p>
          <w:p w14:paraId="559BD11A" w14:textId="77777777" w:rsidR="00D55F7B" w:rsidRPr="00FA5394" w:rsidRDefault="00D55F7B" w:rsidP="00D55F7B">
            <w:pPr>
              <w:widowControl w:val="0"/>
              <w:numPr>
                <w:ilvl w:val="0"/>
                <w:numId w:val="19"/>
              </w:numPr>
              <w:autoSpaceDE w:val="0"/>
              <w:autoSpaceDN w:val="0"/>
              <w:spacing w:line="276" w:lineRule="auto"/>
              <w:ind w:left="459" w:hanging="283"/>
              <w:jc w:val="both"/>
              <w:rPr>
                <w:rFonts w:ascii="Verdana" w:hAnsi="Verdana" w:cs="Arial"/>
              </w:rPr>
            </w:pPr>
            <w:r w:rsidRPr="00995CAD">
              <w:rPr>
                <w:rFonts w:ascii="Verdana" w:hAnsi="Verdana" w:cs="Arial"/>
              </w:rPr>
              <w:t>Ley 79 de 1988</w:t>
            </w:r>
            <w:r>
              <w:rPr>
                <w:rFonts w:ascii="Verdana" w:hAnsi="Verdana" w:cs="Arial"/>
              </w:rPr>
              <w:t>. A</w:t>
            </w:r>
            <w:r w:rsidRPr="00995CAD">
              <w:rPr>
                <w:rFonts w:ascii="Verdana" w:hAnsi="Verdana" w:cs="Arial"/>
              </w:rPr>
              <w:t>rtículo 4.</w:t>
            </w:r>
          </w:p>
          <w:p w14:paraId="55B1C5D5" w14:textId="77777777" w:rsidR="00D55F7B" w:rsidRPr="00770E9C" w:rsidRDefault="00D55F7B" w:rsidP="00D55F7B">
            <w:pPr>
              <w:pStyle w:val="NormalWeb"/>
              <w:numPr>
                <w:ilvl w:val="0"/>
                <w:numId w:val="19"/>
              </w:numPr>
              <w:spacing w:before="0" w:beforeAutospacing="0" w:after="0" w:afterAutospacing="0" w:line="276" w:lineRule="auto"/>
              <w:ind w:left="459" w:hanging="283"/>
              <w:jc w:val="both"/>
              <w:rPr>
                <w:rFonts w:ascii="Verdana" w:hAnsi="Verdana" w:cs="Arial"/>
                <w:color w:val="000000" w:themeColor="text1"/>
                <w:sz w:val="22"/>
                <w:szCs w:val="22"/>
              </w:rPr>
            </w:pPr>
            <w:r w:rsidRPr="00C552A6">
              <w:rPr>
                <w:rFonts w:ascii="Verdana" w:eastAsia="Calibri" w:hAnsi="Verdana" w:cs="Arial"/>
                <w:sz w:val="22"/>
                <w:szCs w:val="22"/>
                <w:lang w:val="es-ES_tradnl" w:eastAsia="es-ES_tradnl"/>
              </w:rPr>
              <w:t xml:space="preserve">Código de Comercio. Artículos: </w:t>
            </w:r>
            <w:r>
              <w:rPr>
                <w:rFonts w:ascii="Verdana" w:eastAsia="Calibri" w:hAnsi="Verdana" w:cs="Arial"/>
                <w:sz w:val="22"/>
                <w:szCs w:val="22"/>
                <w:lang w:val="es-ES_tradnl" w:eastAsia="es-ES_tradnl"/>
              </w:rPr>
              <w:t xml:space="preserve">25, 26, </w:t>
            </w:r>
            <w:r w:rsidRPr="00C552A6">
              <w:rPr>
                <w:rFonts w:ascii="Verdana" w:eastAsia="Calibri" w:hAnsi="Verdana" w:cs="Arial"/>
                <w:sz w:val="22"/>
                <w:szCs w:val="22"/>
                <w:lang w:val="es-ES_tradnl" w:eastAsia="es-ES_tradnl"/>
              </w:rPr>
              <w:t>98 y 100.</w:t>
            </w:r>
          </w:p>
          <w:p w14:paraId="1FFF7218" w14:textId="77777777" w:rsidR="00D55F7B" w:rsidRPr="00770E9C" w:rsidRDefault="00D55F7B" w:rsidP="00D55F7B">
            <w:pPr>
              <w:pStyle w:val="NormalWeb"/>
              <w:numPr>
                <w:ilvl w:val="0"/>
                <w:numId w:val="19"/>
              </w:numPr>
              <w:spacing w:before="0" w:beforeAutospacing="0" w:after="0" w:afterAutospacing="0" w:line="276" w:lineRule="auto"/>
              <w:ind w:left="459" w:hanging="283"/>
              <w:jc w:val="both"/>
              <w:rPr>
                <w:rFonts w:ascii="Verdana" w:hAnsi="Verdana" w:cs="Arial"/>
                <w:color w:val="000000" w:themeColor="text1"/>
                <w:sz w:val="22"/>
                <w:szCs w:val="22"/>
              </w:rPr>
            </w:pPr>
            <w:r w:rsidRPr="00600C3F">
              <w:rPr>
                <w:rFonts w:ascii="Verdana" w:hAnsi="Verdana" w:cs="Arial"/>
                <w:color w:val="000000" w:themeColor="text1"/>
                <w:sz w:val="22"/>
                <w:szCs w:val="22"/>
              </w:rPr>
              <w:t>Corte Constitucional. Sentencia C-287 de 2012. M.P. María Victoria Calle.</w:t>
            </w:r>
          </w:p>
          <w:p w14:paraId="25C8C3E9" w14:textId="77777777" w:rsidR="00D55F7B" w:rsidRPr="00770E9C" w:rsidRDefault="00D55F7B" w:rsidP="00D55F7B">
            <w:pPr>
              <w:pStyle w:val="NormalWeb"/>
              <w:numPr>
                <w:ilvl w:val="0"/>
                <w:numId w:val="19"/>
              </w:numPr>
              <w:spacing w:before="0" w:beforeAutospacing="0" w:after="0" w:afterAutospacing="0" w:line="276" w:lineRule="auto"/>
              <w:ind w:left="459" w:hanging="283"/>
              <w:jc w:val="both"/>
              <w:rPr>
                <w:rFonts w:ascii="Verdana" w:hAnsi="Verdana" w:cs="Arial"/>
                <w:color w:val="000000" w:themeColor="text1"/>
                <w:sz w:val="22"/>
                <w:szCs w:val="22"/>
              </w:rPr>
            </w:pPr>
            <w:r w:rsidRPr="00600C3F">
              <w:rPr>
                <w:rFonts w:ascii="Verdana" w:hAnsi="Verdana" w:cs="Arial"/>
                <w:color w:val="000000" w:themeColor="text1"/>
                <w:sz w:val="22"/>
                <w:szCs w:val="22"/>
              </w:rPr>
              <w:t xml:space="preserve">Cámara de Comercio de Bogotá, “ABC DE ESALES”. Bogotá. 2013. Disponible en este </w:t>
            </w:r>
            <w:proofErr w:type="gramStart"/>
            <w:r w:rsidRPr="00600C3F">
              <w:rPr>
                <w:rFonts w:ascii="Verdana" w:hAnsi="Verdana" w:cs="Arial"/>
                <w:color w:val="000000" w:themeColor="text1"/>
                <w:sz w:val="22"/>
                <w:szCs w:val="22"/>
              </w:rPr>
              <w:t>link</w:t>
            </w:r>
            <w:proofErr w:type="gramEnd"/>
            <w:r w:rsidRPr="00600C3F">
              <w:rPr>
                <w:rFonts w:ascii="Verdana" w:hAnsi="Verdana" w:cs="Arial"/>
                <w:color w:val="000000" w:themeColor="text1"/>
                <w:sz w:val="22"/>
                <w:szCs w:val="22"/>
              </w:rPr>
              <w:t xml:space="preserve">: </w:t>
            </w:r>
            <w:hyperlink r:id="rId15" w:history="1">
              <w:r w:rsidRPr="00A7115F">
                <w:rPr>
                  <w:rStyle w:val="Hipervnculo"/>
                  <w:rFonts w:ascii="Verdana" w:hAnsi="Verdana" w:cs="Arial"/>
                  <w:sz w:val="22"/>
                  <w:szCs w:val="22"/>
                </w:rPr>
                <w:t>https://bibliotecadigital.ccb.org.co/bitstream/handle/11520/8346/el%20abc%20de%20esales%202013%20completo.pdf?sequence=1&amp;isAllowed=y</w:t>
              </w:r>
            </w:hyperlink>
            <w:r w:rsidRPr="00600C3F">
              <w:rPr>
                <w:rFonts w:ascii="Verdana" w:hAnsi="Verdana" w:cs="Arial"/>
                <w:color w:val="000000" w:themeColor="text1"/>
                <w:sz w:val="22"/>
                <w:szCs w:val="22"/>
              </w:rPr>
              <w:t>.</w:t>
            </w:r>
            <w:r>
              <w:rPr>
                <w:rFonts w:ascii="Verdana" w:hAnsi="Verdana" w:cs="Arial"/>
                <w:color w:val="000000" w:themeColor="text1"/>
                <w:sz w:val="22"/>
                <w:szCs w:val="22"/>
              </w:rPr>
              <w:t xml:space="preserve"> </w:t>
            </w:r>
          </w:p>
          <w:p w14:paraId="2210762C" w14:textId="77777777" w:rsidR="00D55F7B" w:rsidRPr="00A57FA0" w:rsidRDefault="00D55F7B" w:rsidP="00D55F7B">
            <w:pPr>
              <w:pStyle w:val="NormalWeb"/>
              <w:numPr>
                <w:ilvl w:val="0"/>
                <w:numId w:val="19"/>
              </w:numPr>
              <w:spacing w:before="0" w:beforeAutospacing="0" w:after="0" w:afterAutospacing="0" w:line="276" w:lineRule="auto"/>
              <w:ind w:left="459" w:hanging="283"/>
              <w:jc w:val="both"/>
              <w:rPr>
                <w:rFonts w:ascii="Verdana" w:hAnsi="Verdana" w:cs="Arial"/>
                <w:color w:val="000000" w:themeColor="text1"/>
                <w:sz w:val="22"/>
                <w:szCs w:val="22"/>
              </w:rPr>
            </w:pPr>
            <w:r>
              <w:rPr>
                <w:rFonts w:ascii="Verdana" w:hAnsi="Verdana" w:cs="Arial"/>
                <w:color w:val="000000" w:themeColor="text1"/>
                <w:sz w:val="22"/>
                <w:szCs w:val="22"/>
              </w:rPr>
              <w:t xml:space="preserve">Manual básico sobre entidades sin ánimo de lucro – ESAL-. En </w:t>
            </w:r>
            <w:hyperlink r:id="rId16" w:history="1">
              <w:r w:rsidRPr="00600C3F">
                <w:rPr>
                  <w:rStyle w:val="Hipervnculo"/>
                  <w:rFonts w:ascii="Verdana" w:hAnsi="Verdana" w:cs="Arial"/>
                  <w:sz w:val="22"/>
                  <w:szCs w:val="22"/>
                </w:rPr>
                <w:t>Manual básico sobre entidades sin ánimo de lucro - ESAL</w:t>
              </w:r>
            </w:hyperlink>
          </w:p>
        </w:tc>
      </w:tr>
    </w:tbl>
    <w:p w14:paraId="40332FAF" w14:textId="77777777" w:rsidR="00D55F7B" w:rsidRPr="00277E26" w:rsidRDefault="00D55F7B" w:rsidP="00D55F7B">
      <w:pPr>
        <w:widowControl w:val="0"/>
        <w:autoSpaceDE w:val="0"/>
        <w:autoSpaceDN w:val="0"/>
        <w:spacing w:after="0" w:line="276" w:lineRule="auto"/>
        <w:jc w:val="both"/>
        <w:rPr>
          <w:rFonts w:ascii="Verdana" w:hAnsi="Verdana" w:cs="Arial"/>
        </w:rPr>
      </w:pPr>
    </w:p>
    <w:p w14:paraId="06B92020" w14:textId="77777777" w:rsidR="00D55F7B" w:rsidRPr="001F283D" w:rsidRDefault="00D55F7B" w:rsidP="00D55F7B">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 xml:space="preserve">5. </w:t>
      </w:r>
      <w:r w:rsidRPr="001F283D">
        <w:rPr>
          <w:rFonts w:ascii="Verdana" w:eastAsia="Century Gothic" w:hAnsi="Verdana" w:cs="Century Gothic"/>
          <w:b/>
          <w:bCs/>
        </w:rPr>
        <w:t>Doctrina de la Agencia Nacional de Contratación Pública:</w:t>
      </w:r>
    </w:p>
    <w:p w14:paraId="07120D0C" w14:textId="77777777" w:rsidR="00D55F7B" w:rsidRDefault="00D55F7B" w:rsidP="00D55F7B">
      <w:pPr>
        <w:widowControl w:val="0"/>
        <w:autoSpaceDE w:val="0"/>
        <w:autoSpaceDN w:val="0"/>
        <w:spacing w:after="0" w:line="240" w:lineRule="auto"/>
        <w:jc w:val="both"/>
        <w:rPr>
          <w:rStyle w:val="normaltextrun"/>
          <w:rFonts w:ascii="Verdana" w:hAnsi="Verdana" w:cs="Arial"/>
          <w:highlight w:val="yellow"/>
          <w:shd w:val="clear" w:color="auto" w:fill="FFFFFF"/>
          <w:lang w:val="es-ES"/>
        </w:rPr>
      </w:pPr>
    </w:p>
    <w:p w14:paraId="5A8B3949" w14:textId="77777777" w:rsidR="00D55F7B" w:rsidRDefault="00D55F7B" w:rsidP="00D55F7B">
      <w:pPr>
        <w:widowControl w:val="0"/>
        <w:autoSpaceDE w:val="0"/>
        <w:autoSpaceDN w:val="0"/>
        <w:spacing w:after="120" w:line="276" w:lineRule="auto"/>
        <w:jc w:val="both"/>
        <w:rPr>
          <w:rFonts w:ascii="Verdana" w:hAnsi="Verdana" w:cs="Arial"/>
          <w:color w:val="000000" w:themeColor="text1"/>
          <w:shd w:val="clear" w:color="auto" w:fill="FFFFFF"/>
        </w:rPr>
      </w:pPr>
      <w:r w:rsidRPr="004113A9">
        <w:rPr>
          <w:rStyle w:val="normaltextrun"/>
          <w:rFonts w:ascii="Verdana" w:hAnsi="Verdana" w:cs="Arial"/>
          <w:shd w:val="clear" w:color="auto" w:fill="FFFFFF"/>
          <w:lang w:val="es-ES"/>
        </w:rPr>
        <w:t xml:space="preserve">Sobre la limitación de procesos de selección a </w:t>
      </w:r>
      <w:proofErr w:type="spellStart"/>
      <w:r w:rsidRPr="004113A9">
        <w:rPr>
          <w:rStyle w:val="normaltextrun"/>
          <w:rFonts w:ascii="Verdana" w:hAnsi="Verdana" w:cs="Arial"/>
          <w:shd w:val="clear" w:color="auto" w:fill="FFFFFF"/>
          <w:lang w:val="es-ES"/>
        </w:rPr>
        <w:t>Mipymes</w:t>
      </w:r>
      <w:proofErr w:type="spellEnd"/>
      <w:r w:rsidRPr="004113A9">
        <w:rPr>
          <w:rStyle w:val="normaltextrun"/>
          <w:rFonts w:ascii="Verdana" w:hAnsi="Verdana" w:cs="Arial"/>
          <w:shd w:val="clear" w:color="auto" w:fill="FFFFFF"/>
          <w:lang w:val="es-ES"/>
        </w:rPr>
        <w:t xml:space="preserve"> se pronunció esta Subdirección en los conceptos 216130003241 el 30 de junio de 2016, 4201714000006924 del 29 de enero de 2018, 2201813000008184 del 7 de septiembre de 2019, C-045 del 17 de marzo de 2020, C-162 del 16 de abril de 2020, C-214 del 21 de abril de 2020, C-258 del 17 de abril de 2020, C-364 del 4 de junio de 2020, C-413 del 30 de junio de 2020, C-492 del 24 de julio de 2020, C-523 del 11 de agosto de 2020, C-610 del 14 de septiembre de 2020, C-700 de 1 de diciembre de 2020, C-705 del 7 de diciembre de 2020, C-005 del 16 de febrero de 2021, C-037 del 26 de febrero de 2021, C-035 del 02 de marzo de 2021, C-126 del 06 de abril de 2021, C-127 del 06 de abril de 2021, C-144 del 07 de abril de 2021, C-141 del 08 de abril de 2021, C-163 y C-164 del 19 de abril de 2021, C-242 del 25 de mayo de 2021, C-438 del 27 de septiembre de 2021, C-496 del 14 de septiembre de 2021, C-573 de 13 de octubre de 2021, C-001 del 17 de febrero de 2022, C-041 del 2 de marzo de 2022, C-293 del 12 de mayo de 2022, C-340 del 26 de mayo de 2022, C-395 del 17 de junio de 2022, C-539 del 29 de agosto de 2022, C-089 del 28 de abril de 2023, C-159 del 22 de junio de 2023, C-206 del 20 de junio de 2023 y C-207 del 20 de junio de 2023, C-571 de 2025.</w:t>
      </w:r>
      <w:r>
        <w:rPr>
          <w:rStyle w:val="normaltextrun"/>
          <w:rFonts w:ascii="Verdana" w:hAnsi="Verdana" w:cs="Arial"/>
          <w:shd w:val="clear" w:color="auto" w:fill="FFFFFF"/>
          <w:lang w:val="es-ES"/>
        </w:rPr>
        <w:t xml:space="preserve"> Por su parte, </w:t>
      </w:r>
      <w:r>
        <w:rPr>
          <w:rFonts w:ascii="Verdana" w:eastAsia="Arial" w:hAnsi="Verdana" w:cs="Arial"/>
          <w:lang w:val="es-MX" w:eastAsia="es-ES_tradnl"/>
        </w:rPr>
        <w:t xml:space="preserve">se ha referido a </w:t>
      </w:r>
      <w:r w:rsidRPr="002834E3">
        <w:rPr>
          <w:rFonts w:ascii="Verdana" w:eastAsia="Calibri" w:hAnsi="Verdana" w:cs="Arial"/>
          <w:shd w:val="clear" w:color="auto" w:fill="FFFFFF"/>
        </w:rPr>
        <w:t xml:space="preserve">la participación de las ESAL en procesos contractuales limitados a </w:t>
      </w:r>
      <w:proofErr w:type="spellStart"/>
      <w:r w:rsidRPr="002834E3">
        <w:rPr>
          <w:rFonts w:ascii="Verdana" w:eastAsia="Calibri" w:hAnsi="Verdana" w:cs="Arial"/>
          <w:shd w:val="clear" w:color="auto" w:fill="FFFFFF"/>
        </w:rPr>
        <w:t>Mi</w:t>
      </w:r>
      <w:r>
        <w:rPr>
          <w:rFonts w:ascii="Verdana" w:eastAsia="Calibri" w:hAnsi="Verdana" w:cs="Arial"/>
          <w:shd w:val="clear" w:color="auto" w:fill="FFFFFF"/>
        </w:rPr>
        <w:t>p</w:t>
      </w:r>
      <w:r w:rsidRPr="002834E3">
        <w:rPr>
          <w:rFonts w:ascii="Verdana" w:eastAsia="Calibri" w:hAnsi="Verdana" w:cs="Arial"/>
          <w:shd w:val="clear" w:color="auto" w:fill="FFFFFF"/>
        </w:rPr>
        <w:t>ymes</w:t>
      </w:r>
      <w:proofErr w:type="spellEnd"/>
      <w:r>
        <w:rPr>
          <w:rFonts w:ascii="Verdana" w:eastAsia="Calibri" w:hAnsi="Verdana" w:cs="Arial"/>
          <w:shd w:val="clear" w:color="auto" w:fill="FFFFFF"/>
        </w:rPr>
        <w:t xml:space="preserve"> </w:t>
      </w:r>
      <w:r>
        <w:rPr>
          <w:rFonts w:ascii="Verdana" w:eastAsia="Arial" w:hAnsi="Verdana" w:cs="Arial"/>
          <w:lang w:val="es-MX" w:eastAsia="es-ES_tradnl"/>
        </w:rPr>
        <w:t xml:space="preserve">en </w:t>
      </w:r>
      <w:r w:rsidRPr="009643AE">
        <w:rPr>
          <w:rFonts w:ascii="Verdana" w:eastAsia="Arial" w:hAnsi="Verdana" w:cs="Arial"/>
          <w:lang w:val="es-MX" w:eastAsia="es-ES_tradnl"/>
        </w:rPr>
        <w:t xml:space="preserve">los conceptos </w:t>
      </w:r>
      <w:r w:rsidRPr="002834E3">
        <w:rPr>
          <w:rFonts w:ascii="Verdana" w:eastAsia="Calibri" w:hAnsi="Verdana" w:cs="Arial"/>
          <w:shd w:val="clear" w:color="auto" w:fill="FFFFFF"/>
        </w:rPr>
        <w:t>del C-474 del 26 de julio de 2022, C-020 del 14 de febrero de 2023, C-587 del 21 de septiembre de 2022, C-094 del 16 de junio de 2024, C-997 del 30 de diciembre de 2024, C-1017 del 30 de diciembre de 2024</w:t>
      </w:r>
      <w:r w:rsidRPr="002834E3">
        <w:rPr>
          <w:rFonts w:ascii="Verdana" w:eastAsia="Calibri" w:hAnsi="Verdana" w:cs="Arial"/>
          <w:shd w:val="clear" w:color="auto" w:fill="FFFFFF"/>
          <w:lang w:val="es-ES"/>
        </w:rPr>
        <w:t>,</w:t>
      </w:r>
      <w:r>
        <w:rPr>
          <w:rFonts w:ascii="Verdana" w:eastAsia="Calibri" w:hAnsi="Verdana" w:cs="Arial"/>
          <w:shd w:val="clear" w:color="auto" w:fill="FFFFFF"/>
          <w:lang w:val="es-ES"/>
        </w:rPr>
        <w:t xml:space="preserve"> C-081 del 19 de febrero de 2025, </w:t>
      </w:r>
      <w:r>
        <w:rPr>
          <w:rFonts w:ascii="Verdana" w:eastAsia="Calibri" w:hAnsi="Verdana" w:cs="Arial"/>
          <w:shd w:val="clear" w:color="auto" w:fill="FFFFFF"/>
          <w:lang w:val="es-ES"/>
        </w:rPr>
        <w:lastRenderedPageBreak/>
        <w:t>C-257 del 1 de abril de 2025, C-236 del 2 de abril de 2025, C-306 del 16 de abril de 2025, C-483 del 20 de mayo de 2025</w:t>
      </w:r>
      <w:r>
        <w:rPr>
          <w:rFonts w:ascii="Verdana" w:hAnsi="Verdana" w:cs="Arial"/>
          <w:shd w:val="clear" w:color="auto" w:fill="FFFFFF"/>
          <w:lang w:val="es-ES"/>
        </w:rPr>
        <w:t xml:space="preserve">, -C-704 del 7 de julio de 2025, C-855 del 1 de agosto de 2025, c-1187 de 2025 </w:t>
      </w:r>
      <w:r w:rsidRPr="00FB34BB">
        <w:rPr>
          <w:rFonts w:ascii="Verdana" w:hAnsi="Verdana" w:cs="Arial"/>
          <w:shd w:val="clear" w:color="auto" w:fill="FFFFFF"/>
          <w:lang w:val="es-ES"/>
        </w:rPr>
        <w:t>entre otros.</w:t>
      </w:r>
      <w:r>
        <w:rPr>
          <w:rFonts w:ascii="Verdana" w:hAnsi="Verdana" w:cs="Arial"/>
          <w:shd w:val="clear" w:color="auto" w:fill="FFFFFF"/>
          <w:lang w:val="es-ES"/>
        </w:rPr>
        <w:t xml:space="preserve"> </w:t>
      </w:r>
      <w:r>
        <w:rPr>
          <w:rFonts w:ascii="Verdana" w:hAnsi="Verdana" w:cs="Arial"/>
          <w:shd w:val="clear" w:color="auto" w:fill="FFFFFF"/>
        </w:rPr>
        <w:t xml:space="preserve">Estos </w:t>
      </w:r>
      <w:r w:rsidRPr="0087042A">
        <w:rPr>
          <w:rFonts w:ascii="Verdana" w:hAnsi="Verdana"/>
        </w:rPr>
        <w:t>se encuentran disponibles para consulta en el Sistema de relatoría de la Agencia, al cual se puede acceder a través del siguiente enlace:</w:t>
      </w:r>
      <w:r w:rsidRPr="0087042A">
        <w:rPr>
          <w:rFonts w:ascii="Verdana" w:hAnsi="Verdana" w:cs="Arial"/>
          <w:shd w:val="clear" w:color="auto" w:fill="FFFFFF"/>
        </w:rPr>
        <w:t xml:space="preserve"> </w:t>
      </w:r>
      <w:hyperlink r:id="rId17" w:history="1">
        <w:r w:rsidRPr="00A7115F">
          <w:rPr>
            <w:rStyle w:val="Hipervnculo"/>
            <w:rFonts w:ascii="Verdana" w:hAnsi="Verdana" w:cs="Arial"/>
            <w:shd w:val="clear" w:color="auto" w:fill="FFFFFF"/>
          </w:rPr>
          <w:t>https://relatoria.colombiacompra.gov.co/busqueda/conceptos</w:t>
        </w:r>
      </w:hyperlink>
      <w:r w:rsidRPr="0087042A">
        <w:rPr>
          <w:rFonts w:ascii="Verdana" w:hAnsi="Verdana" w:cs="Arial"/>
          <w:shd w:val="clear" w:color="auto" w:fill="FFFFFF"/>
        </w:rPr>
        <w:t>.</w:t>
      </w:r>
      <w:r w:rsidRPr="00AB70DD">
        <w:rPr>
          <w:rFonts w:ascii="Verdana" w:hAnsi="Verdana" w:cs="Arial"/>
          <w:color w:val="FF0000"/>
          <w:shd w:val="clear" w:color="auto" w:fill="FFFFFF"/>
        </w:rPr>
        <w:t xml:space="preserve"> </w:t>
      </w:r>
      <w:r w:rsidRPr="00AB70DD">
        <w:rPr>
          <w:rFonts w:ascii="Verdana" w:hAnsi="Verdana" w:cs="Arial"/>
          <w:color w:val="000000" w:themeColor="text1"/>
          <w:shd w:val="clear" w:color="auto" w:fill="FFFFFF"/>
        </w:rPr>
        <w:t>  </w:t>
      </w:r>
    </w:p>
    <w:p w14:paraId="2A217AA4" w14:textId="77777777" w:rsidR="00D55F7B" w:rsidRPr="00C2332C" w:rsidRDefault="00D55F7B" w:rsidP="00D55F7B">
      <w:pPr>
        <w:widowControl w:val="0"/>
        <w:autoSpaceDE w:val="0"/>
        <w:autoSpaceDN w:val="0"/>
        <w:spacing w:after="120" w:line="276" w:lineRule="auto"/>
        <w:jc w:val="both"/>
        <w:rPr>
          <w:rFonts w:ascii="Verdana" w:hAnsi="Verdana" w:cs="Arial"/>
          <w:color w:val="000000" w:themeColor="text1"/>
          <w:shd w:val="clear" w:color="auto" w:fill="FFFFFF"/>
        </w:rPr>
      </w:pPr>
      <w:r w:rsidRPr="00A2070D">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A2070D">
        <w:rPr>
          <w:rFonts w:ascii="Verdana" w:eastAsia="Times New Roman" w:hAnsi="Verdana" w:cs="Times New Roman"/>
          <w:b/>
          <w:bCs/>
          <w:color w:val="000000"/>
          <w:lang w:eastAsia="es-CO"/>
        </w:rPr>
        <w:t>Guía para la Exigencia y Constitución de Garantías en los Procesos de Contratación</w:t>
      </w:r>
      <w:r w:rsidRPr="00A2070D">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8" w:tgtFrame="_blank" w:tooltip="Dirección URL original: https://www.colombiacompra.gov.co/archivos/manual/guia-de-garantias-en-procesos-de-contratacion. Haga clic o pulse si confía en este vínculo." w:history="1">
        <w:r w:rsidRPr="00A2070D">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616AA63D" w14:textId="77777777" w:rsidR="00D55F7B" w:rsidRPr="00A2070D" w:rsidRDefault="00D55F7B" w:rsidP="00D55F7B">
      <w:pPr>
        <w:shd w:val="clear" w:color="auto" w:fill="FFFFFF"/>
        <w:spacing w:after="120" w:line="276" w:lineRule="auto"/>
        <w:jc w:val="both"/>
        <w:textAlignment w:val="baseline"/>
        <w:rPr>
          <w:rFonts w:ascii="Verdana" w:eastAsia="Times New Roman" w:hAnsi="Verdana" w:cs="Times New Roman"/>
          <w:color w:val="000000"/>
          <w:lang w:eastAsia="es-CO"/>
        </w:rPr>
      </w:pPr>
      <w:r w:rsidRPr="00A2070D">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A2070D">
        <w:rPr>
          <w:rFonts w:ascii="Verdana" w:eastAsia="Times New Roman" w:hAnsi="Verdana" w:cs="Times New Roman"/>
          <w:b/>
          <w:bCs/>
          <w:color w:val="000000"/>
          <w:lang w:eastAsia="es-CO"/>
        </w:rPr>
        <w:t>Sistema Integral de Preferencias en favor de las personas con discapacidad</w:t>
      </w:r>
      <w:r w:rsidRPr="00A2070D">
        <w:rPr>
          <w:rFonts w:ascii="Verdana" w:eastAsia="Times New Roman" w:hAnsi="Verdana" w:cs="Times New Roman"/>
          <w:color w:val="000000"/>
          <w:lang w:eastAsia="es-CO"/>
        </w:rPr>
        <w:t>, en cumplimiento del artículo 13 de la Ley Estatutaria 1618 de 2013. Para orientar su aplicación, esta Agencia expidió la </w:t>
      </w:r>
      <w:r w:rsidRPr="00A2070D">
        <w:rPr>
          <w:rFonts w:ascii="Verdana" w:eastAsia="Times New Roman" w:hAnsi="Verdana" w:cs="Times New Roman"/>
          <w:b/>
          <w:bCs/>
          <w:color w:val="000000"/>
          <w:lang w:eastAsia="es-CO"/>
        </w:rPr>
        <w:t>Circular Externa 003 del 12 de mayo de 2026, </w:t>
      </w:r>
      <w:r w:rsidRPr="00A2070D">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9" w:tgtFrame="_blank" w:tooltip="Dirección URL original: https://www.colombiacompra.gov.co/archivos/circular/circular-externa-003-de-2026. Haga clic o pulse si confía en este vínculo." w:history="1">
        <w:r w:rsidRPr="00A2070D">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537868FF" w14:textId="77777777" w:rsidR="00D55F7B" w:rsidRDefault="00D55F7B" w:rsidP="00D55F7B">
      <w:pPr>
        <w:shd w:val="clear" w:color="auto" w:fill="FFFFFF"/>
        <w:spacing w:after="120" w:line="276" w:lineRule="auto"/>
        <w:jc w:val="both"/>
        <w:textAlignment w:val="baseline"/>
        <w:rPr>
          <w:rFonts w:ascii="Verdana" w:eastAsia="Times New Roman" w:hAnsi="Verdana" w:cs="Times New Roman"/>
          <w:color w:val="000000"/>
          <w:lang w:eastAsia="es-CO"/>
        </w:rPr>
      </w:pPr>
      <w:r w:rsidRPr="00A2070D">
        <w:rPr>
          <w:rFonts w:ascii="Verdana" w:eastAsia="Times New Roman" w:hAnsi="Verdana" w:cs="Times New Roman"/>
          <w:color w:val="000000"/>
          <w:lang w:eastAsia="es-CO"/>
        </w:rPr>
        <w:t>Recuerda también que la</w:t>
      </w:r>
      <w:r w:rsidRPr="00A2070D">
        <w:rPr>
          <w:rFonts w:ascii="Verdana" w:eastAsia="Times New Roman" w:hAnsi="Verdana" w:cs="Times New Roman"/>
          <w:b/>
          <w:bCs/>
          <w:color w:val="000000"/>
          <w:lang w:eastAsia="es-CO"/>
        </w:rPr>
        <w:t> información sobre sanciones e inhabilidades </w:t>
      </w:r>
      <w:r w:rsidRPr="00A2070D">
        <w:rPr>
          <w:rFonts w:ascii="Verdana" w:eastAsia="Times New Roman" w:hAnsi="Verdana" w:cs="Times New Roman"/>
          <w:color w:val="000000"/>
          <w:lang w:eastAsia="es-CO"/>
        </w:rPr>
        <w:t>solo cumple su función preventiva si llega oportunamente a los registros públicos. Sobre este deber, esta Agencia expidió la </w:t>
      </w:r>
      <w:r w:rsidRPr="00A2070D">
        <w:rPr>
          <w:rFonts w:ascii="Verdana" w:eastAsia="Times New Roman" w:hAnsi="Verdana" w:cs="Times New Roman"/>
          <w:b/>
          <w:bCs/>
          <w:color w:val="000000"/>
          <w:lang w:eastAsia="es-CO"/>
        </w:rPr>
        <w:t>Circular Externa 002 del 5 de mayo de 2026,</w:t>
      </w:r>
      <w:r w:rsidRPr="00A2070D">
        <w:rPr>
          <w:rFonts w:ascii="Verdana" w:eastAsia="Times New Roman" w:hAnsi="Verdana" w:cs="Times New Roman"/>
          <w:color w:val="000000"/>
          <w:lang w:eastAsia="es-CO"/>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w:t>
      </w:r>
      <w:r w:rsidRPr="00A2070D">
        <w:rPr>
          <w:rFonts w:ascii="Verdana" w:eastAsia="Times New Roman" w:hAnsi="Verdana" w:cs="Times New Roman"/>
          <w:color w:val="000000"/>
          <w:lang w:eastAsia="es-CO"/>
        </w:rPr>
        <w:lastRenderedPageBreak/>
        <w:t>responsables, los portales dispuestos para el efecto y las consecuencias disciplinarias de omitir este deber. Consúltala aquí: </w:t>
      </w:r>
      <w:hyperlink r:id="rId20" w:tgtFrame="_blank" w:tooltip="Dirección URL original: https://www.colombiacompra.gov.co/archivos/circular/circular-externa-002-de-2026. Haga clic o pulse si confía en este vínculo." w:history="1">
        <w:r w:rsidRPr="00A2070D">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4D60DB9F" w14:textId="77777777" w:rsidR="00D55F7B" w:rsidRPr="00C2332C" w:rsidRDefault="00D55F7B" w:rsidP="00D55F7B">
      <w:pPr>
        <w:shd w:val="clear" w:color="auto" w:fill="FFFFFF"/>
        <w:spacing w:after="120" w:line="276" w:lineRule="auto"/>
        <w:jc w:val="both"/>
        <w:textAlignment w:val="baseline"/>
        <w:rPr>
          <w:rFonts w:ascii="Verdana" w:eastAsia="Times New Roman" w:hAnsi="Verdana" w:cs="Times New Roman"/>
          <w:color w:val="000000"/>
          <w:lang w:eastAsia="es-CO"/>
        </w:rPr>
      </w:pPr>
      <w:r w:rsidRPr="00A2070D">
        <w:rPr>
          <w:rFonts w:ascii="Verdana" w:eastAsia="Times New Roman" w:hAnsi="Verdana" w:cs="Times New Roman"/>
          <w:color w:val="000000"/>
          <w:lang w:eastAsia="es-CO"/>
        </w:rPr>
        <w:t>Finalmente, si quieres seguir de cerca la actividad de la Agencia, la tercera edición de 2026 del</w:t>
      </w:r>
      <w:r w:rsidRPr="00A2070D">
        <w:rPr>
          <w:rFonts w:ascii="Verdana" w:eastAsia="Times New Roman" w:hAnsi="Verdana" w:cs="Times New Roman"/>
          <w:b/>
          <w:bCs/>
          <w:color w:val="000000"/>
          <w:lang w:eastAsia="es-CO"/>
        </w:rPr>
        <w:t> Radar de la Compra Pública</w:t>
      </w:r>
      <w:r w:rsidRPr="00A2070D">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21" w:tgtFrame="_blank" w:tooltip="Dirección URL original: https://www.colombiacompra.gov.co/archivos/boletin/boletin-edicion-n-3-de-2026-radar-de-la-compra-publica. Haga clic o pulse si confía en este vínculo." w:history="1">
        <w:r w:rsidRPr="00A2070D">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A2070D">
        <w:rPr>
          <w:rFonts w:ascii="Verdana" w:eastAsia="Times New Roman" w:hAnsi="Verdana" w:cs="Times New Roman"/>
          <w:color w:val="000000"/>
          <w:lang w:eastAsia="es-CO"/>
        </w:rPr>
        <w:t>"</w:t>
      </w:r>
    </w:p>
    <w:p w14:paraId="17D64C90" w14:textId="77777777" w:rsidR="00D55F7B" w:rsidRPr="00FB6C33" w:rsidRDefault="00D55F7B" w:rsidP="00D55F7B">
      <w:pPr>
        <w:spacing w:before="120" w:after="0" w:line="276" w:lineRule="auto"/>
        <w:jc w:val="both"/>
        <w:rPr>
          <w:rFonts w:ascii="Verdana" w:hAnsi="Verdana"/>
        </w:rPr>
      </w:pPr>
      <w:r w:rsidRPr="00FB6C33">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343F613" w14:textId="77777777" w:rsidR="00D55F7B" w:rsidRPr="008E4F36" w:rsidRDefault="00D55F7B" w:rsidP="00D55F7B">
      <w:pPr>
        <w:spacing w:after="0" w:line="276" w:lineRule="auto"/>
        <w:jc w:val="both"/>
        <w:rPr>
          <w:rFonts w:ascii="Verdana" w:eastAsia="Calibri" w:hAnsi="Verdana" w:cs="Times New Roman"/>
        </w:rPr>
      </w:pPr>
    </w:p>
    <w:p w14:paraId="3143EE80" w14:textId="77777777" w:rsidR="00D55F7B" w:rsidRDefault="00D55F7B" w:rsidP="00D55F7B">
      <w:pPr>
        <w:spacing w:after="0" w:line="276" w:lineRule="auto"/>
        <w:jc w:val="both"/>
        <w:rPr>
          <w:rFonts w:ascii="Verdana" w:eastAsia="Calibri" w:hAnsi="Verdana" w:cs="Times New Roman"/>
        </w:rPr>
      </w:pPr>
      <w:r w:rsidRPr="008E4F36">
        <w:rPr>
          <w:rFonts w:ascii="Verdana" w:eastAsia="Calibri" w:hAnsi="Verdana" w:cs="Times New Roman"/>
        </w:rPr>
        <w:t>Atentamente,</w:t>
      </w:r>
    </w:p>
    <w:p w14:paraId="162175CD" w14:textId="77777777" w:rsidR="00D55F7B" w:rsidRDefault="00D55F7B" w:rsidP="00D55F7B">
      <w:pPr>
        <w:spacing w:after="0" w:line="276" w:lineRule="auto"/>
        <w:jc w:val="both"/>
        <w:rPr>
          <w:rFonts w:ascii="Verdana" w:eastAsia="Calibri" w:hAnsi="Verdana" w:cs="Times New Roman"/>
        </w:rPr>
      </w:pPr>
    </w:p>
    <w:p w14:paraId="1CB0F006" w14:textId="66EAD0D3" w:rsidR="00D55F7B" w:rsidRDefault="00604373" w:rsidP="00D55F7B">
      <w:pPr>
        <w:spacing w:after="0" w:line="276" w:lineRule="auto"/>
        <w:jc w:val="center"/>
        <w:rPr>
          <w:rFonts w:ascii="Verdana" w:eastAsia="Calibri" w:hAnsi="Verdana" w:cs="Times New Roman"/>
        </w:rPr>
      </w:pPr>
      <w:r>
        <w:rPr>
          <w:noProof/>
        </w:rPr>
        <w:drawing>
          <wp:inline distT="0" distB="0" distL="0" distR="0" wp14:anchorId="595A0B90" wp14:editId="6E7A7624">
            <wp:extent cx="3771900" cy="1318260"/>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2"/>
                    <a:stretch>
                      <a:fillRect/>
                    </a:stretch>
                  </pic:blipFill>
                  <pic:spPr>
                    <a:xfrm>
                      <a:off x="0" y="0"/>
                      <a:ext cx="3771900" cy="1318260"/>
                    </a:xfrm>
                    <a:prstGeom prst="rect">
                      <a:avLst/>
                    </a:prstGeom>
                  </pic:spPr>
                </pic:pic>
              </a:graphicData>
            </a:graphic>
          </wp:inline>
        </w:drawing>
      </w:r>
    </w:p>
    <w:p w14:paraId="4AF4D2A5" w14:textId="77777777" w:rsidR="00D55F7B" w:rsidRPr="00902D8C" w:rsidRDefault="00D55F7B" w:rsidP="00D55F7B">
      <w:pPr>
        <w:spacing w:after="0" w:line="276" w:lineRule="auto"/>
        <w:jc w:val="center"/>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55F7B" w:rsidRPr="00713B63" w14:paraId="33B47D22" w14:textId="77777777" w:rsidTr="004B5087">
        <w:trPr>
          <w:trHeight w:val="315"/>
        </w:trPr>
        <w:tc>
          <w:tcPr>
            <w:tcW w:w="893" w:type="dxa"/>
            <w:vAlign w:val="center"/>
            <w:hideMark/>
          </w:tcPr>
          <w:p w14:paraId="2D41F42F" w14:textId="77777777" w:rsidR="00D55F7B" w:rsidRPr="00713B63" w:rsidRDefault="00D55F7B" w:rsidP="004B5087">
            <w:pPr>
              <w:contextualSpacing/>
              <w:rPr>
                <w:rFonts w:ascii="Verdana" w:hAnsi="Verdana" w:cs="Arial"/>
                <w:sz w:val="16"/>
                <w:szCs w:val="16"/>
                <w:lang w:eastAsia="es-ES"/>
              </w:rPr>
            </w:pPr>
            <w:r w:rsidRPr="00713B63">
              <w:rPr>
                <w:rFonts w:ascii="Verdana" w:hAnsi="Verdana" w:cs="Arial"/>
                <w:sz w:val="16"/>
                <w:szCs w:val="16"/>
                <w:lang w:eastAsia="es-ES"/>
              </w:rPr>
              <w:t>Elaboró:</w:t>
            </w:r>
          </w:p>
        </w:tc>
        <w:tc>
          <w:tcPr>
            <w:tcW w:w="5628" w:type="dxa"/>
            <w:tcBorders>
              <w:top w:val="nil"/>
              <w:left w:val="nil"/>
              <w:bottom w:val="dotted" w:sz="4" w:space="0" w:color="7F7F7F" w:themeColor="text1" w:themeTint="80"/>
              <w:right w:val="nil"/>
            </w:tcBorders>
            <w:vAlign w:val="center"/>
            <w:hideMark/>
          </w:tcPr>
          <w:p w14:paraId="56418CA9" w14:textId="77777777" w:rsidR="00D55F7B" w:rsidRPr="00713B63" w:rsidRDefault="00D55F7B" w:rsidP="004B5087">
            <w:pPr>
              <w:contextualSpacing/>
              <w:rPr>
                <w:rFonts w:ascii="Verdana" w:hAnsi="Verdana"/>
                <w:sz w:val="16"/>
                <w:szCs w:val="16"/>
              </w:rPr>
            </w:pPr>
            <w:r w:rsidRPr="00713B63">
              <w:rPr>
                <w:rFonts w:ascii="Verdana" w:hAnsi="Verdana"/>
                <w:sz w:val="16"/>
                <w:szCs w:val="16"/>
              </w:rPr>
              <w:t>Tatiana Baquero Iguarán</w:t>
            </w:r>
          </w:p>
          <w:p w14:paraId="2BBE0437" w14:textId="77777777" w:rsidR="00D55F7B" w:rsidRPr="00713B63" w:rsidRDefault="00D55F7B" w:rsidP="004B5087">
            <w:pPr>
              <w:contextualSpacing/>
              <w:rPr>
                <w:rFonts w:ascii="Verdana" w:eastAsia="Arial" w:hAnsi="Verdana" w:cs="Arial"/>
                <w:sz w:val="16"/>
                <w:szCs w:val="16"/>
              </w:rPr>
            </w:pPr>
            <w:r w:rsidRPr="00713B63">
              <w:rPr>
                <w:rFonts w:ascii="Verdana" w:hAnsi="Verdana"/>
                <w:sz w:val="16"/>
                <w:szCs w:val="16"/>
              </w:rPr>
              <w:t>Contratista de la Subdirección de Gestión Contractual</w:t>
            </w:r>
          </w:p>
        </w:tc>
      </w:tr>
      <w:tr w:rsidR="00D55F7B" w:rsidRPr="00713B63" w14:paraId="3EA064D5" w14:textId="77777777" w:rsidTr="004B5087">
        <w:trPr>
          <w:trHeight w:val="330"/>
        </w:trPr>
        <w:tc>
          <w:tcPr>
            <w:tcW w:w="893" w:type="dxa"/>
            <w:vAlign w:val="center"/>
            <w:hideMark/>
          </w:tcPr>
          <w:p w14:paraId="2E31624F" w14:textId="77777777" w:rsidR="00D55F7B" w:rsidRPr="00713B63" w:rsidRDefault="00D55F7B" w:rsidP="004B5087">
            <w:pPr>
              <w:contextualSpacing/>
              <w:rPr>
                <w:rFonts w:ascii="Verdana" w:hAnsi="Verdana" w:cs="Arial"/>
                <w:sz w:val="16"/>
                <w:szCs w:val="16"/>
                <w:lang w:eastAsia="es-ES"/>
              </w:rPr>
            </w:pPr>
            <w:r w:rsidRPr="00713B63">
              <w:rPr>
                <w:rFonts w:ascii="Verdana" w:hAnsi="Verdana" w:cs="Arial"/>
                <w:sz w:val="16"/>
                <w:szCs w:val="16"/>
                <w:lang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7954C30" w14:textId="77777777" w:rsidR="00D55F7B" w:rsidRPr="00713B63" w:rsidRDefault="00D55F7B" w:rsidP="004B5087">
            <w:pPr>
              <w:textAlignment w:val="baseline"/>
              <w:rPr>
                <w:rFonts w:ascii="Verdana" w:eastAsia="Times New Roman" w:hAnsi="Verdana" w:cs="Arial"/>
                <w:sz w:val="16"/>
                <w:szCs w:val="16"/>
                <w:lang w:val="es-ES_tradnl"/>
              </w:rPr>
            </w:pPr>
            <w:r w:rsidRPr="00713B63">
              <w:rPr>
                <w:rFonts w:ascii="Verdana" w:eastAsia="Times New Roman" w:hAnsi="Verdana" w:cs="Arial"/>
                <w:sz w:val="16"/>
                <w:szCs w:val="16"/>
                <w:lang w:val="es-ES_tradnl"/>
              </w:rPr>
              <w:t>Alejandro Sarmiento Cantillo</w:t>
            </w:r>
          </w:p>
          <w:p w14:paraId="75989EF5" w14:textId="77777777" w:rsidR="00D55F7B" w:rsidRPr="00713B63" w:rsidRDefault="00D55F7B" w:rsidP="004B5087">
            <w:pPr>
              <w:contextualSpacing/>
              <w:textAlignment w:val="baseline"/>
              <w:rPr>
                <w:rFonts w:ascii="Verdana" w:eastAsia="Times New Roman" w:hAnsi="Verdana" w:cs="Segoe UI"/>
                <w:sz w:val="16"/>
                <w:szCs w:val="16"/>
                <w:lang w:eastAsia="es-ES_tradnl"/>
              </w:rPr>
            </w:pPr>
            <w:r w:rsidRPr="00713B63">
              <w:rPr>
                <w:rFonts w:ascii="Verdana" w:hAnsi="Verdana" w:cs="Arial"/>
                <w:sz w:val="16"/>
                <w:szCs w:val="16"/>
                <w:lang w:val="es-ES_tradnl"/>
              </w:rPr>
              <w:t>Gestor T1 ‒ 15 de la Subdirección de Gestión Contractual</w:t>
            </w:r>
          </w:p>
          <w:p w14:paraId="7B170ED1" w14:textId="77777777" w:rsidR="00D55F7B" w:rsidRPr="00713B63" w:rsidRDefault="00D55F7B" w:rsidP="004B5087">
            <w:pPr>
              <w:contextualSpacing/>
              <w:textAlignment w:val="baseline"/>
              <w:rPr>
                <w:rFonts w:ascii="Verdana" w:eastAsia="Times New Roman" w:hAnsi="Verdana" w:cs="Segoe UI"/>
                <w:sz w:val="16"/>
                <w:szCs w:val="16"/>
                <w:lang w:eastAsia="es-ES_tradnl"/>
              </w:rPr>
            </w:pPr>
          </w:p>
        </w:tc>
      </w:tr>
      <w:tr w:rsidR="00D55F7B" w:rsidRPr="00713B63" w14:paraId="5775E49B" w14:textId="77777777" w:rsidTr="004B5087">
        <w:trPr>
          <w:trHeight w:val="300"/>
        </w:trPr>
        <w:tc>
          <w:tcPr>
            <w:tcW w:w="893" w:type="dxa"/>
            <w:vAlign w:val="center"/>
          </w:tcPr>
          <w:p w14:paraId="2A49116D" w14:textId="77777777" w:rsidR="00D55F7B" w:rsidRPr="00713B63" w:rsidRDefault="00D55F7B" w:rsidP="004B5087">
            <w:pPr>
              <w:contextualSpacing/>
              <w:rPr>
                <w:rFonts w:ascii="Verdana" w:hAnsi="Verdana" w:cs="Arial"/>
                <w:sz w:val="16"/>
                <w:szCs w:val="16"/>
                <w:lang w:eastAsia="es-ES"/>
              </w:rPr>
            </w:pPr>
            <w:r w:rsidRPr="00713B63">
              <w:rPr>
                <w:rFonts w:ascii="Verdana" w:hAnsi="Verdana" w:cs="Arial"/>
                <w:sz w:val="16"/>
                <w:szCs w:val="16"/>
                <w:lang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02E5877" w14:textId="77777777" w:rsidR="00D55F7B" w:rsidRPr="00713B63" w:rsidRDefault="00D55F7B" w:rsidP="004B5087">
            <w:pPr>
              <w:contextualSpacing/>
              <w:rPr>
                <w:rFonts w:ascii="Verdana" w:eastAsia="Calibri" w:hAnsi="Verdana" w:cs="Arial"/>
                <w:sz w:val="16"/>
                <w:szCs w:val="16"/>
                <w:lang w:eastAsia="es-ES"/>
              </w:rPr>
            </w:pPr>
            <w:r w:rsidRPr="00713B63">
              <w:rPr>
                <w:rFonts w:ascii="Verdana" w:eastAsia="Calibri" w:hAnsi="Verdana" w:cs="Arial"/>
                <w:sz w:val="16"/>
                <w:szCs w:val="16"/>
                <w:lang w:eastAsia="es-ES"/>
              </w:rPr>
              <w:t>Carolina Quintero Gacharná</w:t>
            </w:r>
          </w:p>
          <w:p w14:paraId="1D04AD37" w14:textId="77777777" w:rsidR="00D55F7B" w:rsidRPr="00713B63" w:rsidRDefault="00D55F7B" w:rsidP="004B5087">
            <w:pPr>
              <w:contextualSpacing/>
              <w:rPr>
                <w:rFonts w:ascii="Verdana" w:eastAsia="Calibri" w:hAnsi="Verdana" w:cs="Arial"/>
                <w:sz w:val="16"/>
                <w:szCs w:val="16"/>
                <w:lang w:eastAsia="es-ES"/>
              </w:rPr>
            </w:pPr>
            <w:r w:rsidRPr="00713B63">
              <w:rPr>
                <w:rFonts w:ascii="Verdana" w:eastAsia="Calibri" w:hAnsi="Verdana" w:cs="Arial"/>
                <w:sz w:val="16"/>
                <w:szCs w:val="16"/>
                <w:lang w:eastAsia="es-ES"/>
              </w:rPr>
              <w:t>Subdirectora de Gestión Contractual ANCP – CCE</w:t>
            </w:r>
          </w:p>
        </w:tc>
      </w:tr>
    </w:tbl>
    <w:p w14:paraId="60CFEF0A" w14:textId="77777777" w:rsidR="00D55F7B" w:rsidRPr="00867B6A" w:rsidRDefault="00D55F7B" w:rsidP="00D55F7B">
      <w:pPr>
        <w:rPr>
          <w:lang w:val="es-ES"/>
        </w:rPr>
      </w:pPr>
    </w:p>
    <w:bookmarkEnd w:id="0"/>
    <w:bookmarkEnd w:id="1"/>
    <w:bookmarkEnd w:id="2"/>
    <w:bookmarkEnd w:id="3"/>
    <w:bookmarkEnd w:id="4"/>
    <w:bookmarkEnd w:id="5"/>
    <w:p w14:paraId="6B1DEEA6" w14:textId="68536903" w:rsidR="00D55F7B" w:rsidRPr="000A69D9" w:rsidRDefault="00D55F7B" w:rsidP="00D55F7B"/>
    <w:p w14:paraId="0420517A" w14:textId="77777777" w:rsidR="008A42B1" w:rsidRPr="00D55F7B" w:rsidRDefault="008A42B1" w:rsidP="00D55F7B"/>
    <w:sectPr w:rsidR="008A42B1" w:rsidRPr="00D55F7B"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2E3A" w14:textId="77777777" w:rsidR="00C23D9D" w:rsidRDefault="00C23D9D" w:rsidP="004A1847">
      <w:pPr>
        <w:spacing w:after="0" w:line="240" w:lineRule="auto"/>
      </w:pPr>
      <w:r>
        <w:separator/>
      </w:r>
    </w:p>
  </w:endnote>
  <w:endnote w:type="continuationSeparator" w:id="0">
    <w:p w14:paraId="183F27D4" w14:textId="77777777" w:rsidR="00C23D9D" w:rsidRDefault="00C23D9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DejaVuSans">
    <w:altName w:val="Calibri"/>
    <w:panose1 w:val="00000000000000000000"/>
    <w:charset w:val="00"/>
    <w:family w:val="auto"/>
    <w:notTrueType/>
    <w:pitch w:val="default"/>
    <w:sig w:usb0="0000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B1F0F" w14:textId="77777777" w:rsidR="00C23D9D" w:rsidRDefault="00C23D9D" w:rsidP="004A1847">
      <w:pPr>
        <w:spacing w:after="0" w:line="240" w:lineRule="auto"/>
      </w:pPr>
      <w:r>
        <w:separator/>
      </w:r>
    </w:p>
  </w:footnote>
  <w:footnote w:type="continuationSeparator" w:id="0">
    <w:p w14:paraId="6FF2B405" w14:textId="77777777" w:rsidR="00C23D9D" w:rsidRDefault="00C23D9D" w:rsidP="004A1847">
      <w:pPr>
        <w:spacing w:after="0" w:line="240" w:lineRule="auto"/>
      </w:pPr>
      <w:r>
        <w:continuationSeparator/>
      </w:r>
    </w:p>
  </w:footnote>
  <w:footnote w:id="1">
    <w:p w14:paraId="048A8158"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w:t>
      </w:r>
      <w:r w:rsidRPr="00683777">
        <w:rPr>
          <w:rFonts w:ascii="Verdana" w:eastAsia="Arial" w:hAnsi="Verdana" w:cs="Arial"/>
          <w:color w:val="000000"/>
          <w:sz w:val="16"/>
          <w:szCs w:val="16"/>
        </w:rPr>
        <w:t>«</w:t>
      </w:r>
      <w:bookmarkStart w:id="8" w:name="43"/>
      <w:r w:rsidRPr="00683777">
        <w:rPr>
          <w:rFonts w:ascii="Verdana" w:eastAsia="Arial" w:hAnsi="Verdana" w:cs="Arial"/>
          <w:color w:val="000000"/>
          <w:sz w:val="16"/>
          <w:szCs w:val="16"/>
        </w:rPr>
        <w:t>Artículo 43. Definiciones de Tamaño Empresarial.</w:t>
      </w:r>
      <w:bookmarkEnd w:id="8"/>
      <w:r w:rsidRPr="00683777">
        <w:rPr>
          <w:rFonts w:ascii="Verdana" w:eastAsia="Arial" w:hAnsi="Verdana" w:cs="Arial"/>
          <w:color w:val="000000"/>
          <w:sz w:val="16"/>
          <w:szCs w:val="16"/>
        </w:rPr>
        <w:t> El artículo </w:t>
      </w:r>
      <w:hyperlink r:id="rId1" w:anchor="2" w:history="1">
        <w:r w:rsidRPr="00683777">
          <w:rPr>
            <w:rStyle w:val="Hipervnculo"/>
            <w:rFonts w:ascii="Verdana" w:eastAsia="Arial" w:hAnsi="Verdana" w:cs="Arial"/>
            <w:color w:val="000000" w:themeColor="text1"/>
            <w:sz w:val="16"/>
            <w:szCs w:val="16"/>
            <w:u w:val="none"/>
          </w:rPr>
          <w:t>2</w:t>
        </w:r>
      </w:hyperlink>
      <w:r w:rsidRPr="00683777">
        <w:rPr>
          <w:rFonts w:ascii="Verdana" w:eastAsia="Arial" w:hAnsi="Verdana" w:cs="Arial"/>
          <w:color w:val="000000"/>
          <w:sz w:val="16"/>
          <w:szCs w:val="16"/>
        </w:rPr>
        <w:t>o de la Ley 590 de 2000, quedará así:</w:t>
      </w:r>
    </w:p>
    <w:p w14:paraId="5090B9ED"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hAnsi="Verdana" w:cs="Arial"/>
          <w:sz w:val="16"/>
          <w:szCs w:val="16"/>
        </w:rPr>
        <w:t>»</w:t>
      </w:r>
      <w:r w:rsidRPr="00683777">
        <w:rPr>
          <w:rFonts w:ascii="Verdana" w:eastAsia="Arial" w:hAnsi="Verdana" w:cs="Arial"/>
          <w:i/>
          <w:iCs/>
          <w:color w:val="000000"/>
          <w:sz w:val="16"/>
          <w:szCs w:val="16"/>
        </w:rPr>
        <w:t>Artículo</w:t>
      </w:r>
      <w:r w:rsidRPr="00683777">
        <w:rPr>
          <w:rFonts w:ascii="Verdana" w:eastAsia="Arial" w:hAnsi="Verdana" w:cs="Arial"/>
          <w:i/>
          <w:iCs/>
          <w:color w:val="000000" w:themeColor="text1"/>
          <w:sz w:val="16"/>
          <w:szCs w:val="16"/>
        </w:rPr>
        <w:t> </w:t>
      </w:r>
      <w:hyperlink r:id="rId2" w:anchor="2" w:history="1">
        <w:r w:rsidRPr="00683777">
          <w:rPr>
            <w:rStyle w:val="Hipervnculo"/>
            <w:rFonts w:ascii="Verdana" w:eastAsia="Arial" w:hAnsi="Verdana" w:cs="Arial"/>
            <w:i/>
            <w:iCs/>
            <w:color w:val="000000" w:themeColor="text1"/>
            <w:sz w:val="16"/>
            <w:szCs w:val="16"/>
            <w:u w:val="none"/>
          </w:rPr>
          <w:t>2</w:t>
        </w:r>
      </w:hyperlink>
      <w:r w:rsidRPr="00683777">
        <w:rPr>
          <w:rFonts w:ascii="Verdana" w:eastAsia="Arial" w:hAnsi="Verdana" w:cs="Arial"/>
          <w:i/>
          <w:iCs/>
          <w:color w:val="000000" w:themeColor="text1"/>
          <w:sz w:val="16"/>
          <w:szCs w:val="16"/>
        </w:rPr>
        <w:t>o</w:t>
      </w:r>
      <w:r w:rsidRPr="00683777">
        <w:rPr>
          <w:rFonts w:ascii="Verdana" w:eastAsia="Arial" w:hAnsi="Verdana" w:cs="Arial"/>
          <w:i/>
          <w:iCs/>
          <w:color w:val="000000"/>
          <w:sz w:val="16"/>
          <w:szCs w:val="16"/>
        </w:rPr>
        <w:t>. Definiciones de tamaño empresarial.</w:t>
      </w:r>
      <w:r w:rsidRPr="00683777">
        <w:rPr>
          <w:rFonts w:ascii="Verdana" w:eastAsia="Arial" w:hAnsi="Verdana" w:cs="Arial"/>
          <w:b/>
          <w:bCs/>
          <w:i/>
          <w:iCs/>
          <w:color w:val="000000"/>
          <w:sz w:val="16"/>
          <w:szCs w:val="16"/>
        </w:rPr>
        <w:t> </w:t>
      </w:r>
      <w:r w:rsidRPr="00683777">
        <w:rPr>
          <w:rFonts w:ascii="Verdana" w:eastAsia="Arial" w:hAnsi="Verdana" w:cs="Arial"/>
          <w:color w:val="000000"/>
          <w:sz w:val="16"/>
          <w:szCs w:val="16"/>
        </w:rPr>
        <w:t>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w:t>
      </w:r>
    </w:p>
    <w:p w14:paraId="5B399256"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eastAsia="Arial" w:hAnsi="Verdana" w:cs="Arial"/>
          <w:color w:val="000000"/>
          <w:sz w:val="16"/>
          <w:szCs w:val="16"/>
        </w:rPr>
        <w:t>1. Número de trabajadores totales.</w:t>
      </w:r>
    </w:p>
    <w:p w14:paraId="4AAFD3E5"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eastAsia="Arial" w:hAnsi="Verdana" w:cs="Arial"/>
          <w:color w:val="000000"/>
          <w:sz w:val="16"/>
          <w:szCs w:val="16"/>
        </w:rPr>
        <w:t>2. Valor de ventas brutas anuales.</w:t>
      </w:r>
    </w:p>
    <w:p w14:paraId="5660CC2F"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eastAsia="Arial" w:hAnsi="Verdana" w:cs="Arial"/>
          <w:color w:val="000000"/>
          <w:sz w:val="16"/>
          <w:szCs w:val="16"/>
        </w:rPr>
        <w:t>3. Valor activos totales.</w:t>
      </w:r>
    </w:p>
    <w:p w14:paraId="5A8618AA"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eastAsia="Arial" w:hAnsi="Verdana" w:cs="Arial"/>
          <w:color w:val="000000"/>
          <w:sz w:val="16"/>
          <w:szCs w:val="16"/>
        </w:rPr>
        <w:t>Para efectos de los beneficios otorgados por el Gobierno nacional a las micro, pequeñas y medianas empresas el criterio determinante será el valor de ventas brutas anuales.</w:t>
      </w:r>
    </w:p>
    <w:p w14:paraId="656D19AE"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Fonts w:ascii="Verdana" w:eastAsia="Arial" w:hAnsi="Verdana" w:cs="Arial"/>
          <w:color w:val="000000"/>
          <w:sz w:val="16"/>
          <w:szCs w:val="16"/>
        </w:rPr>
        <w:t>PARÁGRAFO 1o</w:t>
      </w:r>
      <w:r w:rsidRPr="00683777">
        <w:rPr>
          <w:rFonts w:ascii="Verdana" w:eastAsia="Arial" w:hAnsi="Verdana" w:cs="Arial"/>
          <w:b/>
          <w:bCs/>
          <w:color w:val="000000"/>
          <w:sz w:val="16"/>
          <w:szCs w:val="16"/>
        </w:rPr>
        <w:t>.</w:t>
      </w:r>
      <w:r w:rsidRPr="00683777">
        <w:rPr>
          <w:rFonts w:ascii="Verdana" w:eastAsia="Arial" w:hAnsi="Verdana" w:cs="Arial"/>
          <w:color w:val="000000"/>
          <w:sz w:val="16"/>
          <w:szCs w:val="16"/>
        </w:rPr>
        <w:t> El Gobierno Nacional reglamentará los rangos que aplicarán para los tres criterios e incluirá especificidades sectoriales en los casos que considere necesario.</w:t>
      </w:r>
    </w:p>
    <w:p w14:paraId="257F25F1" w14:textId="77777777" w:rsidR="00D55F7B" w:rsidRPr="0095205F" w:rsidRDefault="00D55F7B" w:rsidP="00D55F7B">
      <w:pPr>
        <w:pBdr>
          <w:top w:val="nil"/>
          <w:left w:val="nil"/>
          <w:bottom w:val="nil"/>
          <w:right w:val="nil"/>
          <w:between w:val="nil"/>
        </w:pBdr>
        <w:spacing w:after="0" w:line="240" w:lineRule="auto"/>
        <w:ind w:firstLine="708"/>
        <w:jc w:val="both"/>
        <w:rPr>
          <w:rFonts w:ascii="Verdana" w:hAnsi="Verdana" w:cs="Arial"/>
          <w:sz w:val="16"/>
          <w:szCs w:val="16"/>
        </w:rPr>
      </w:pPr>
      <w:r w:rsidRPr="00683777">
        <w:rPr>
          <w:rFonts w:ascii="Verdana" w:eastAsia="Arial" w:hAnsi="Verdana" w:cs="Arial"/>
          <w:color w:val="000000"/>
          <w:sz w:val="16"/>
          <w:szCs w:val="16"/>
        </w:rPr>
        <w:t>PARÁGRAFO 2o</w:t>
      </w:r>
      <w:r w:rsidRPr="00683777">
        <w:rPr>
          <w:rFonts w:ascii="Verdana" w:eastAsia="Arial" w:hAnsi="Verdana" w:cs="Arial"/>
          <w:b/>
          <w:bCs/>
          <w:color w:val="000000"/>
          <w:sz w:val="16"/>
          <w:szCs w:val="16"/>
        </w:rPr>
        <w:t>.</w:t>
      </w:r>
      <w:r w:rsidRPr="00683777">
        <w:rPr>
          <w:rFonts w:ascii="Verdana" w:eastAsia="Arial" w:hAnsi="Verdana" w:cs="Arial"/>
          <w:color w:val="000000"/>
          <w:sz w:val="16"/>
          <w:szCs w:val="16"/>
        </w:rPr>
        <w:t xml:space="preserve"> Las definiciones contenidas en el </w:t>
      </w:r>
      <w:r w:rsidRPr="00683777">
        <w:rPr>
          <w:rFonts w:ascii="Verdana" w:eastAsia="Arial" w:hAnsi="Verdana" w:cs="Arial"/>
          <w:color w:val="000000" w:themeColor="text1"/>
          <w:sz w:val="16"/>
          <w:szCs w:val="16"/>
        </w:rPr>
        <w:t>artículo </w:t>
      </w:r>
      <w:hyperlink r:id="rId3" w:anchor="2" w:history="1">
        <w:r w:rsidRPr="00683777">
          <w:rPr>
            <w:rStyle w:val="Hipervnculo"/>
            <w:rFonts w:ascii="Verdana" w:eastAsia="Arial" w:hAnsi="Verdana" w:cs="Arial"/>
            <w:color w:val="000000" w:themeColor="text1"/>
            <w:sz w:val="16"/>
            <w:szCs w:val="16"/>
            <w:u w:val="none"/>
          </w:rPr>
          <w:t>2</w:t>
        </w:r>
      </w:hyperlink>
      <w:r w:rsidRPr="00683777">
        <w:rPr>
          <w:rFonts w:ascii="Verdana" w:eastAsia="Arial" w:hAnsi="Verdana" w:cs="Arial"/>
          <w:color w:val="000000"/>
          <w:sz w:val="16"/>
          <w:szCs w:val="16"/>
        </w:rPr>
        <w:t>o de la Ley 590 de 2000 continuarán vigentes hasta tanto entren a regir las normas reglamentarias que profiera el Gobierno Nacional en desarrollo de lo previsto en el presente artículo</w:t>
      </w:r>
      <w:r w:rsidRPr="00683777">
        <w:rPr>
          <w:rFonts w:ascii="Verdana" w:hAnsi="Verdana" w:cs="Arial"/>
          <w:sz w:val="16"/>
          <w:szCs w:val="16"/>
        </w:rPr>
        <w:t>.</w:t>
      </w:r>
    </w:p>
  </w:footnote>
  <w:footnote w:id="2">
    <w:p w14:paraId="19DF6073" w14:textId="77777777" w:rsidR="00D55F7B" w:rsidRPr="00683777" w:rsidRDefault="00D55F7B" w:rsidP="00D55F7B">
      <w:pPr>
        <w:pStyle w:val="Textonotapie"/>
        <w:ind w:firstLine="709"/>
        <w:jc w:val="both"/>
        <w:rPr>
          <w:rFonts w:ascii="Verdana" w:hAnsi="Verdana" w:cs="Arial"/>
          <w:sz w:val="16"/>
          <w:szCs w:val="16"/>
          <w:lang w:val="es-CO"/>
        </w:rPr>
      </w:pPr>
      <w:r w:rsidRPr="00683777">
        <w:rPr>
          <w:rStyle w:val="Refdenotaalpie"/>
          <w:rFonts w:ascii="Verdana" w:hAnsi="Verdana" w:cs="Arial"/>
          <w:sz w:val="16"/>
          <w:szCs w:val="16"/>
        </w:rPr>
        <w:footnoteRef/>
      </w:r>
      <w:r w:rsidRPr="00683777">
        <w:rPr>
          <w:rFonts w:ascii="Verdana" w:hAnsi="Verdana" w:cs="Arial"/>
          <w:sz w:val="16"/>
          <w:szCs w:val="16"/>
        </w:rPr>
        <w:t xml:space="preserve"> Decreto 1074 de 2015. </w:t>
      </w:r>
      <w:r w:rsidRPr="00683777">
        <w:rPr>
          <w:rFonts w:ascii="Verdana" w:hAnsi="Verdana" w:cs="Arial"/>
          <w:sz w:val="16"/>
          <w:szCs w:val="16"/>
          <w:lang w:val="es-CO"/>
        </w:rPr>
        <w:t>Artículo </w:t>
      </w:r>
      <w:bookmarkStart w:id="9" w:name="2.2.1.13.2.1"/>
      <w:bookmarkEnd w:id="9"/>
      <w:r w:rsidRPr="00683777">
        <w:rPr>
          <w:rFonts w:ascii="Verdana" w:hAnsi="Verdana" w:cs="Arial"/>
          <w:sz w:val="16"/>
          <w:szCs w:val="16"/>
          <w:lang w:val="es-CO"/>
        </w:rPr>
        <w:t>2.2.1.13.2.1. Criterio para la clasificación del tamaño empresarial. Para efectos de la clasificación del tamaño empresarial se tendrá como criterio exclusivo los ingresos por actividades ordinarias anuales de la respectiva empresa.</w:t>
      </w:r>
    </w:p>
    <w:p w14:paraId="2983E3B6"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El nivel de ingresos por actividades ordinarias anuales con base en el cual se determina el tamaño empresarial variará dependiendo del sector económico en el cual la empresa desarrolle su actividad.</w:t>
      </w:r>
    </w:p>
    <w:p w14:paraId="43C37EFB" w14:textId="77777777" w:rsidR="00D55F7B" w:rsidRPr="00683777" w:rsidRDefault="00D55F7B" w:rsidP="00D55F7B">
      <w:pPr>
        <w:pStyle w:val="Textonotapie"/>
        <w:jc w:val="both"/>
        <w:rPr>
          <w:rFonts w:ascii="Verdana" w:hAnsi="Verdana" w:cs="Arial"/>
          <w:sz w:val="16"/>
          <w:szCs w:val="16"/>
          <w:lang w:val="es-CO"/>
        </w:rPr>
      </w:pPr>
    </w:p>
  </w:footnote>
  <w:footnote w:id="3">
    <w:p w14:paraId="3DEB300F" w14:textId="77777777" w:rsidR="00D55F7B" w:rsidRPr="00683777" w:rsidRDefault="00D55F7B" w:rsidP="00D55F7B">
      <w:pPr>
        <w:pBdr>
          <w:top w:val="nil"/>
          <w:left w:val="nil"/>
          <w:bottom w:val="nil"/>
          <w:right w:val="nil"/>
          <w:between w:val="nil"/>
        </w:pBdr>
        <w:spacing w:after="0" w:line="240" w:lineRule="auto"/>
        <w:ind w:firstLine="708"/>
        <w:jc w:val="both"/>
        <w:rPr>
          <w:rFonts w:ascii="Verdana" w:eastAsia="Arial" w:hAnsi="Verdana" w:cs="Arial"/>
          <w:color w:val="000000"/>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w:t>
      </w:r>
      <w:bookmarkStart w:id="10" w:name="2.2.1.13.2.2"/>
      <w:r w:rsidRPr="00683777">
        <w:rPr>
          <w:rFonts w:ascii="Verdana" w:hAnsi="Verdana" w:cs="Arial"/>
          <w:sz w:val="16"/>
          <w:szCs w:val="16"/>
        </w:rPr>
        <w:t>Artículo 2.2.1.13.2.2. Rangos para la Definición del Tamaño Empresarial.</w:t>
      </w:r>
      <w:bookmarkEnd w:id="10"/>
      <w:r w:rsidRPr="00683777">
        <w:rPr>
          <w:rFonts w:ascii="Verdana" w:hAnsi="Verdana" w:cs="Arial"/>
          <w:sz w:val="16"/>
          <w:szCs w:val="16"/>
        </w:rPr>
        <w:t xml:space="preserve"> Para efectos de la clasificación del tamaño empresarial se utilizarán, con base en el criterio previsto en el artículo anterior, los siguientes rangos para determinar el valor de los ingresos por actividades ordinarias anuales de acuerdo con el sector económico de que se trate:</w:t>
      </w:r>
    </w:p>
    <w:p w14:paraId="029F973B"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1. Para el sector manufacturero:</w:t>
      </w:r>
    </w:p>
    <w:p w14:paraId="3F795580"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Microempresa. Aquella cuyos ingresos por actividades ordinarias anuales sean inferiores o iguales a veintitrés mil quinientos sesenta y tres Unidades de Valor Tributario (23.563 UVT).</w:t>
      </w:r>
    </w:p>
    <w:p w14:paraId="2CD1E9A4"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Pequeña empresa. Aquella cuyos ingresos por actividades ordinarias anuales sean superiores a veintitrés mil quinientos sesenta y tres Unidades de Valor Tributario (23.563 UVT) e inferiores o iguales a doscientos cuatro mil novecientos noventa y cinco Unidades de Valor Tributario (204.995 UVT).</w:t>
      </w:r>
    </w:p>
    <w:p w14:paraId="0BFD16C4"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Mediana empresa. Aquella cuyos ingresos por actividades ordinarias anuales sean superiores a doscientos cuatro mil novecientos noventa y cinco Unidades de Valor Tributario (204.995 UVT) e inferiores o iguales a un millón setecientos treinta y seis mil quinientos sesenta y cinco Unidades de Valor Tributario (1.736.565 UVT).</w:t>
      </w:r>
    </w:p>
    <w:p w14:paraId="075F1D0C"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2. Para el sector servicios:</w:t>
      </w:r>
    </w:p>
    <w:p w14:paraId="66E9FF8B"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Microempresa. Aquella cuyos ingresos por actividades ordinarias anuales sean inferiores o iguales a treinta y dos mil novecientos ochenta y ocho Unidades de Valor Tributario (32.988 UVT).</w:t>
      </w:r>
    </w:p>
    <w:p w14:paraId="39FD5B73"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Pequeña empresa. Aquella cuyos ingresos por actividades ordinarias anuales sean superiores a treinta y dos mil novecientos ochenta y ocho Unidades de Valor Tributario (32.988 UVT) e inferiores o iguales a ciento treinta y un mil novecientos cincuenta y uno Unidades de Valor Tributario (131.951 UVT).</w:t>
      </w:r>
    </w:p>
    <w:p w14:paraId="47AA3074"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Mediana empresa. Aquella cuyos ingresos por actividades ordinarias anuales sean superiores a ciento treinta y un mil novecientos cincuenta y un Unidades de Valor Tributario (131.951 UVT) e inferiores o iguales a cuatrocientos ochenta y tres mil treinta y cuatro Unidades de Valor Tributario (483.034 UVT).</w:t>
      </w:r>
    </w:p>
    <w:p w14:paraId="6711BEA2"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3. Para el sector de comercio:</w:t>
      </w:r>
    </w:p>
    <w:p w14:paraId="2ECB4DA8"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Microempresa. Aquella cuyos ingresos por actividades ordinarias anuales sean inferiores o iguales a cuarenta y cuatro mil setecientos sesenta y nueve Unidades de Valor Tributario (44.769 UVT).</w:t>
      </w:r>
    </w:p>
    <w:p w14:paraId="486EE2B9"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Pequeña empresa. Aquella cuyos ingresos por actividades ordinarias anuales sean superiores a cuarenta y cuatro mil setecientos sesenta y nueve Unidades de Valor Tributario (44.769 UVT) e inferiores o iguales a cuatrocientos treinta y un mil ciento noventa y seis Unidades de Valor Tributario (431.196 UVT).</w:t>
      </w:r>
    </w:p>
    <w:p w14:paraId="60FCB1FD" w14:textId="77777777" w:rsidR="00D55F7B" w:rsidRPr="00683777" w:rsidRDefault="00D55F7B" w:rsidP="00D55F7B">
      <w:pPr>
        <w:pStyle w:val="Textonotapie"/>
        <w:ind w:firstLine="709"/>
        <w:jc w:val="both"/>
        <w:rPr>
          <w:rFonts w:ascii="Verdana" w:hAnsi="Verdana" w:cs="Arial"/>
          <w:sz w:val="16"/>
          <w:szCs w:val="16"/>
          <w:lang w:val="es-CO"/>
        </w:rPr>
      </w:pPr>
      <w:r w:rsidRPr="00683777">
        <w:rPr>
          <w:rFonts w:ascii="Verdana" w:hAnsi="Verdana" w:cs="Arial"/>
          <w:sz w:val="16"/>
          <w:szCs w:val="16"/>
          <w:lang w:val="es-CO"/>
        </w:rPr>
        <w:t>- Mediana empresa. Aquella cuyos ingresos por actividades ordinarias anuales sean superiores a cuatrocientos treinta y un mil ciento noventa y seis Unidades de Valor Tributario (431.196 UVT) e inferiores o iguales a dos millones ciento sesenta mil seiscientos noventa y dos Unidades de Valor Tributario (2'160.692 UVT).</w:t>
      </w:r>
    </w:p>
  </w:footnote>
  <w:footnote w:id="4">
    <w:p w14:paraId="59452E7F" w14:textId="77777777" w:rsidR="00D55F7B" w:rsidRPr="003F2CF3" w:rsidRDefault="00D55F7B" w:rsidP="00D55F7B">
      <w:pPr>
        <w:pStyle w:val="Textonotapie"/>
        <w:ind w:firstLine="709"/>
        <w:rPr>
          <w:lang w:val="es-CO"/>
        </w:rPr>
      </w:pPr>
      <w:r>
        <w:rPr>
          <w:rStyle w:val="Refdenotaalpie"/>
        </w:rPr>
        <w:footnoteRef/>
      </w:r>
      <w:r>
        <w:t xml:space="preserve"> </w:t>
      </w:r>
      <w:r w:rsidRPr="006B173E">
        <w:rPr>
          <w:rFonts w:ascii="Verdana" w:hAnsi="Verdana"/>
          <w:sz w:val="16"/>
          <w:szCs w:val="16"/>
          <w:lang w:val="es-CO"/>
        </w:rPr>
        <w:t>Tesis reiterada en los conceptos C-629 y 871 de 2025, C-685 de 2026, entre otros.</w:t>
      </w:r>
    </w:p>
  </w:footnote>
  <w:footnote w:id="5">
    <w:p w14:paraId="4E159414" w14:textId="77777777" w:rsidR="00D55F7B" w:rsidRPr="00683777" w:rsidRDefault="00D55F7B" w:rsidP="00D55F7B">
      <w:pPr>
        <w:pStyle w:val="Textonotapie"/>
        <w:ind w:firstLine="709"/>
        <w:jc w:val="both"/>
        <w:rPr>
          <w:rFonts w:ascii="Verdana" w:hAnsi="Verdana" w:cs="Arial"/>
          <w:sz w:val="16"/>
          <w:szCs w:val="16"/>
          <w:lang w:val="es-CO"/>
        </w:rPr>
      </w:pPr>
      <w:r w:rsidRPr="00683777">
        <w:rPr>
          <w:rStyle w:val="Refdenotaalpie"/>
          <w:rFonts w:ascii="Verdana" w:hAnsi="Verdana" w:cs="Arial"/>
          <w:sz w:val="16"/>
          <w:szCs w:val="16"/>
        </w:rPr>
        <w:footnoteRef/>
      </w:r>
      <w:r w:rsidRPr="00683777">
        <w:rPr>
          <w:rFonts w:ascii="Verdana" w:hAnsi="Verdana" w:cs="Arial"/>
          <w:sz w:val="16"/>
          <w:szCs w:val="16"/>
        </w:rPr>
        <w:t xml:space="preserve"> </w:t>
      </w:r>
      <w:r w:rsidRPr="00683777">
        <w:rPr>
          <w:rFonts w:ascii="Verdana" w:hAnsi="Verdana" w:cs="Arial"/>
          <w:sz w:val="16"/>
          <w:szCs w:val="16"/>
          <w:lang w:val="es-CO"/>
        </w:rPr>
        <w:t xml:space="preserve">Al respecto, la doctrina ha señalado que </w:t>
      </w:r>
      <w:r>
        <w:rPr>
          <w:rFonts w:ascii="Verdana" w:eastAsia="Calibri" w:hAnsi="Verdana" w:cs="Arial"/>
          <w:bCs/>
          <w:sz w:val="16"/>
          <w:szCs w:val="16"/>
          <w:lang w:val="es-ES_tradnl"/>
        </w:rPr>
        <w:t>“</w:t>
      </w:r>
      <w:r w:rsidRPr="00683777">
        <w:rPr>
          <w:rFonts w:ascii="Verdana" w:eastAsia="Calibri" w:hAnsi="Verdana" w:cs="Arial"/>
          <w:bCs/>
          <w:sz w:val="16"/>
          <w:szCs w:val="16"/>
          <w:lang w:val="es-ES_tradnl"/>
        </w:rPr>
        <w:t xml:space="preserve">inseparable del elemento objetivo – actividad económica organizada- y del subjetivo – empresario mercantil - </w:t>
      </w:r>
      <w:r w:rsidRPr="00683777">
        <w:rPr>
          <w:rFonts w:ascii="Verdana" w:hAnsi="Verdana" w:cs="Arial"/>
          <w:sz w:val="16"/>
          <w:szCs w:val="16"/>
          <w:lang w:val="es-CO"/>
        </w:rPr>
        <w:t xml:space="preserve">la empresa comercial requiere un elemento funcional llamado establecimiento de comercio, que es un conjunto heterogéneo de bienes destinados específicamente por el empresario a desarrollar la actividad organizada. Así lo establece la definición prevista en el artículo 25 del Código de Comercio: “[…] Dicha </w:t>
      </w:r>
      <w:r w:rsidRPr="00683777">
        <w:rPr>
          <w:rFonts w:ascii="Verdana" w:hAnsi="Verdana" w:cs="Arial"/>
          <w:bCs/>
          <w:sz w:val="16"/>
          <w:szCs w:val="16"/>
          <w:lang w:val="es-ES_tradnl"/>
        </w:rPr>
        <w:t>actividad se realizará a través de uno o más establecimientos de comercio”. (CASTRO DE CIFUENTES, Marcela. Derecho Comercial. Actos de comercio, empresas comerciantes y empresarios. Universidad de los Andes. 2016. Pág. 109).</w:t>
      </w:r>
    </w:p>
  </w:footnote>
  <w:footnote w:id="6">
    <w:p w14:paraId="2CDEAA38" w14:textId="77777777" w:rsidR="00D55F7B" w:rsidRPr="00635EDD" w:rsidRDefault="00D55F7B" w:rsidP="00D55F7B">
      <w:pPr>
        <w:pStyle w:val="Textonotapie"/>
        <w:ind w:firstLine="709"/>
        <w:jc w:val="both"/>
        <w:rPr>
          <w:lang w:val="es-CO"/>
        </w:rPr>
      </w:pPr>
      <w:r>
        <w:rPr>
          <w:rStyle w:val="Refdenotaalpie"/>
        </w:rPr>
        <w:footnoteRef/>
      </w:r>
      <w:r>
        <w:t xml:space="preserve"> </w:t>
      </w:r>
      <w:r w:rsidRPr="00770D59">
        <w:rPr>
          <w:rFonts w:ascii="Verdana" w:hAnsi="Verdana"/>
          <w:sz w:val="16"/>
          <w:szCs w:val="16"/>
        </w:rPr>
        <w:t>“Es legítima la actuación de las autoridades en cuanto se desarrolle dentro del preciso ámbito funcional definido por el legislador, proscribiendo las actuaciones de los servidores públicos que impliquen omisión o extralimitación en el ejercicio de las mismas; a la observancia del debido proceso, y a los principios de la función administrativa, desarrollados legalmente por el mismo Estatuto General de Contratación de la Administración Públicas”. Consejo de Estado. Sala de Consulta y Servicio Civil. Concepto del 20 de mayo de 2010. Expediente: 1992. Consejero Ponente: Enrique José Arboleda Perdomo.</w:t>
      </w:r>
    </w:p>
  </w:footnote>
  <w:footnote w:id="7">
    <w:p w14:paraId="7534EFD8"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“Artículo 100: Asimilación a sociedades comerciales - legislación mercantil. Se tendrán como comerciales, para todos los efectos legales las sociedades que se formen para la ejecución de actos o empresas mercantiles. Si la empresa social comprende actos mercantiles y actos que no tengan esa calidad, la sociedad será comercial. Las sociedades que no contemplen en su objeto social actos mercantiles serán civiles. </w:t>
      </w:r>
    </w:p>
    <w:p w14:paraId="0AE238F1" w14:textId="77777777" w:rsidR="00D55F7B" w:rsidRPr="00683777" w:rsidRDefault="00D55F7B" w:rsidP="00D55F7B">
      <w:pPr>
        <w:pStyle w:val="Textonotapie"/>
        <w:ind w:firstLine="709"/>
        <w:contextualSpacing/>
        <w:jc w:val="both"/>
        <w:rPr>
          <w:rFonts w:ascii="Verdana" w:hAnsi="Verdana" w:cs="Arial"/>
          <w:sz w:val="16"/>
          <w:szCs w:val="16"/>
        </w:rPr>
      </w:pPr>
      <w:r w:rsidRPr="00683777">
        <w:rPr>
          <w:rFonts w:ascii="Verdana" w:hAnsi="Verdana" w:cs="Arial"/>
          <w:sz w:val="16"/>
          <w:szCs w:val="16"/>
        </w:rPr>
        <w:t>Sin embargo, cualquiera que sea su objeto, las sociedades comerciales y civiles estarán sujetas, para todos los efectos, a la legislación mercantil”.</w:t>
      </w:r>
    </w:p>
    <w:p w14:paraId="23AF389D" w14:textId="77777777" w:rsidR="00D55F7B" w:rsidRPr="00683777" w:rsidRDefault="00D55F7B" w:rsidP="00D55F7B">
      <w:pPr>
        <w:pStyle w:val="Textonotapie"/>
        <w:contextualSpacing/>
        <w:jc w:val="both"/>
        <w:rPr>
          <w:rFonts w:ascii="Verdana" w:hAnsi="Verdana" w:cs="Arial"/>
          <w:sz w:val="16"/>
          <w:szCs w:val="16"/>
          <w:lang w:val="es-CO"/>
        </w:rPr>
      </w:pPr>
    </w:p>
  </w:footnote>
  <w:footnote w:id="8">
    <w:p w14:paraId="141BA851"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TORRENTE BAYONA, César y BUSTAMANTE, Luis Eduardo. Las entidades sin ánimo de lucro (3ª Ed.). Editado por la Cámara de Comercio de Bogotá. Bogotá. 2000, p. 33. Allí se lee: “Las entidades sin ánimo de lucro son personas jurídicas, capaces de ejercer derechos y contraer obligaciones y de ser representadas judicial y extrajudicialmente, con sujeción a las disposiciones legales y a sus propios estatutos. Nacen por voluntad de los asociados en virtud del derecho constitucional de asociación, o por la libertad de disposición de los bienes de los particulares, para la realización de fines altruistas o de beneficio comunitario; de lo que se infiere que no contemplan dentro de su objeto principal el desarrollo de actividades mercantiles. </w:t>
      </w:r>
    </w:p>
    <w:p w14:paraId="0414F7A2" w14:textId="77777777" w:rsidR="00D55F7B" w:rsidRPr="00683777" w:rsidRDefault="00D55F7B" w:rsidP="00D55F7B">
      <w:pPr>
        <w:pStyle w:val="Textonotapie"/>
        <w:contextualSpacing/>
        <w:jc w:val="both"/>
        <w:rPr>
          <w:rFonts w:ascii="Verdana" w:hAnsi="Verdana" w:cs="Arial"/>
          <w:sz w:val="16"/>
          <w:szCs w:val="16"/>
          <w:lang w:val="es-CO"/>
        </w:rPr>
      </w:pPr>
      <w:r w:rsidRPr="00683777">
        <w:rPr>
          <w:rFonts w:ascii="Verdana" w:hAnsi="Verdana" w:cs="Arial"/>
          <w:sz w:val="16"/>
          <w:szCs w:val="16"/>
        </w:rPr>
        <w:t>La ausencia de lucro es una de sus características fundamentales, lo cual significa que no existe el reparto de utilidades o remanentes generados en el desarrollo de sus objetivos, ni es viable el reembolso de los bienes o dineros aportados a la entidad […]”.</w:t>
      </w:r>
    </w:p>
  </w:footnote>
  <w:footnote w:id="9">
    <w:p w14:paraId="336CAAEA" w14:textId="77777777" w:rsidR="00D55F7B" w:rsidRPr="00683777" w:rsidRDefault="00D55F7B" w:rsidP="00D55F7B">
      <w:pPr>
        <w:pStyle w:val="Textonotapie"/>
        <w:ind w:firstLine="708"/>
        <w:contextualSpacing/>
        <w:jc w:val="both"/>
        <w:rPr>
          <w:rFonts w:ascii="Verdana" w:hAnsi="Verdana" w:cs="Arial"/>
          <w:color w:val="000000"/>
          <w:sz w:val="16"/>
          <w:szCs w:val="16"/>
          <w:shd w:val="clear" w:color="auto" w:fill="FFFFFF"/>
        </w:rPr>
      </w:pPr>
      <w:r w:rsidRPr="00683777">
        <w:rPr>
          <w:rStyle w:val="Refdenotaalpie"/>
          <w:rFonts w:ascii="Verdana" w:hAnsi="Verdana" w:cs="Arial"/>
          <w:sz w:val="16"/>
          <w:szCs w:val="16"/>
        </w:rPr>
        <w:footnoteRef/>
      </w:r>
      <w:r w:rsidRPr="00683777">
        <w:rPr>
          <w:rFonts w:ascii="Verdana" w:hAnsi="Verdana" w:cs="Arial"/>
          <w:sz w:val="16"/>
          <w:szCs w:val="16"/>
        </w:rPr>
        <w:t xml:space="preserve"> </w:t>
      </w:r>
      <w:r w:rsidRPr="00683777">
        <w:rPr>
          <w:rStyle w:val="normaltextrun"/>
          <w:rFonts w:ascii="Verdana" w:hAnsi="Verdana" w:cs="Arial"/>
          <w:color w:val="000000"/>
          <w:sz w:val="16"/>
          <w:szCs w:val="16"/>
          <w:shd w:val="clear" w:color="auto" w:fill="FFFFFF"/>
          <w:lang w:val="pt-BR"/>
        </w:rPr>
        <w:t xml:space="preserve">Corte Constitucional. Sentencia C-287 de 2012. </w:t>
      </w:r>
      <w:r w:rsidRPr="00683777">
        <w:rPr>
          <w:rStyle w:val="normaltextrun"/>
          <w:rFonts w:ascii="Verdana" w:hAnsi="Verdana" w:cs="Arial"/>
          <w:color w:val="000000"/>
          <w:sz w:val="16"/>
          <w:szCs w:val="16"/>
          <w:shd w:val="clear" w:color="auto" w:fill="FFFFFF"/>
          <w:lang w:val="es-ES"/>
        </w:rPr>
        <w:t>M.P. María Victoria Calle.</w:t>
      </w:r>
      <w:r w:rsidRPr="00683777">
        <w:rPr>
          <w:rStyle w:val="eop"/>
          <w:rFonts w:ascii="Verdana" w:hAnsi="Verdana" w:cs="Arial"/>
          <w:color w:val="000000"/>
          <w:sz w:val="16"/>
          <w:szCs w:val="16"/>
          <w:shd w:val="clear" w:color="auto" w:fill="FFFFFF"/>
        </w:rPr>
        <w:t> </w:t>
      </w:r>
    </w:p>
  </w:footnote>
  <w:footnote w:id="10">
    <w:p w14:paraId="6AE59B29"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Cámara de Comercio de Bogotá, “ABC DE ESALES”. Bogotá. 2013. Disponible en este link: </w:t>
      </w:r>
      <w:hyperlink r:id="rId4" w:history="1">
        <w:r w:rsidRPr="00683777">
          <w:rPr>
            <w:rStyle w:val="Hipervnculo"/>
            <w:rFonts w:ascii="Verdana" w:hAnsi="Verdana" w:cs="Arial"/>
            <w:sz w:val="16"/>
            <w:szCs w:val="16"/>
          </w:rPr>
          <w:t>https://bibliotecadigital.ccb.org.co/bitstream/handle/11520/8346/el%20abc%20de%20esales%202013%20completo.pdf?sequence=1&amp;isAllowed=y</w:t>
        </w:r>
      </w:hyperlink>
      <w:r w:rsidRPr="00683777">
        <w:rPr>
          <w:rFonts w:ascii="Verdana" w:hAnsi="Verdana" w:cs="Arial"/>
          <w:sz w:val="16"/>
          <w:szCs w:val="16"/>
        </w:rPr>
        <w:t xml:space="preserve">. También se puede consultar el Manual básico sobre entidades sin ánimo de lucro – ESAL en </w:t>
      </w:r>
      <w:hyperlink r:id="rId5" w:history="1">
        <w:r w:rsidRPr="00683777">
          <w:rPr>
            <w:rStyle w:val="Hipervnculo"/>
            <w:rFonts w:ascii="Verdana" w:hAnsi="Verdana" w:cs="Arial"/>
            <w:sz w:val="16"/>
            <w:szCs w:val="16"/>
            <w:lang w:val="es-CO"/>
          </w:rPr>
          <w:t>Manual básico sobre entidades sin ánimo de lucro - ESAL</w:t>
        </w:r>
      </w:hyperlink>
      <w:r w:rsidRPr="00683777">
        <w:rPr>
          <w:rFonts w:ascii="Verdana" w:hAnsi="Verdana" w:cs="Arial"/>
          <w:sz w:val="16"/>
          <w:szCs w:val="16"/>
        </w:rPr>
        <w:t xml:space="preserve">. </w:t>
      </w:r>
    </w:p>
  </w:footnote>
  <w:footnote w:id="11">
    <w:p w14:paraId="057E7107"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Ley 1450 de 2011. “Artículo 43. Definiciones de tamaño empresarial. El artículo 2° de la Ley 590 de 2000, quedará así: </w:t>
      </w:r>
    </w:p>
    <w:p w14:paraId="5EC2DA34"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 xml:space="preserve">"Artículo 2°. Definiciones de tamaño empresarial. 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 </w:t>
      </w:r>
    </w:p>
    <w:p w14:paraId="7439F3B9"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 xml:space="preserve">1. Número de trabajadores totales. </w:t>
      </w:r>
    </w:p>
    <w:p w14:paraId="6E48038E" w14:textId="77777777" w:rsidR="00D55F7B" w:rsidRPr="00683777" w:rsidRDefault="00D55F7B" w:rsidP="00D55F7B">
      <w:pPr>
        <w:pStyle w:val="Textonotapie"/>
        <w:contextualSpacing/>
        <w:jc w:val="both"/>
        <w:rPr>
          <w:rFonts w:ascii="Verdana" w:hAnsi="Verdana" w:cs="Arial"/>
          <w:sz w:val="16"/>
          <w:szCs w:val="16"/>
        </w:rPr>
      </w:pPr>
      <w:r w:rsidRPr="00683777">
        <w:rPr>
          <w:rFonts w:ascii="Verdana" w:hAnsi="Verdana" w:cs="Arial"/>
          <w:sz w:val="16"/>
          <w:szCs w:val="16"/>
        </w:rPr>
        <w:t xml:space="preserve"> </w:t>
      </w:r>
      <w:r w:rsidRPr="00683777">
        <w:rPr>
          <w:rFonts w:ascii="Verdana" w:hAnsi="Verdana" w:cs="Arial"/>
          <w:sz w:val="16"/>
          <w:szCs w:val="16"/>
        </w:rPr>
        <w:tab/>
        <w:t xml:space="preserve">2. Valor de ventas brutas anuales. </w:t>
      </w:r>
    </w:p>
    <w:p w14:paraId="5BBD4875"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 xml:space="preserve">3. Valor activos totales. </w:t>
      </w:r>
    </w:p>
    <w:p w14:paraId="0791A3AC"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 xml:space="preserve">Para efectos de los beneficios otorgados por el Gobierno nacional a las micro, pequeñas y medianas empresas el criterio determinante será el valor de ventas brutas anuales. </w:t>
      </w:r>
    </w:p>
    <w:p w14:paraId="7940B7ED" w14:textId="77777777" w:rsidR="00D55F7B" w:rsidRPr="00683777"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 xml:space="preserve">Parágrafo 1°. El Gobierno Nacional reglamentará los rangos que aplicarán para los tres criterios e incluirá especificidades sectoriales en los casos que considere necesario. </w:t>
      </w:r>
    </w:p>
    <w:p w14:paraId="42DCF303" w14:textId="77777777" w:rsidR="00D55F7B" w:rsidRPr="001C0934" w:rsidRDefault="00D55F7B" w:rsidP="00D55F7B">
      <w:pPr>
        <w:pStyle w:val="Textonotapie"/>
        <w:ind w:firstLine="708"/>
        <w:contextualSpacing/>
        <w:jc w:val="both"/>
        <w:rPr>
          <w:rFonts w:ascii="Verdana" w:hAnsi="Verdana" w:cs="Arial"/>
          <w:sz w:val="16"/>
          <w:szCs w:val="16"/>
        </w:rPr>
      </w:pPr>
      <w:r w:rsidRPr="00683777">
        <w:rPr>
          <w:rFonts w:ascii="Verdana" w:hAnsi="Verdana" w:cs="Arial"/>
          <w:sz w:val="16"/>
          <w:szCs w:val="16"/>
        </w:rPr>
        <w:t>Parágrafo 2°. Las definiciones contenidas en el artículo 2° de la Ley 590 de 2000 continuarán vigentes hasta tanto entren a regir las normas reglamentarias que profiera el Gobierno Nacional en desarrollo de lo previsto en el presente artículo”.</w:t>
      </w:r>
    </w:p>
  </w:footnote>
  <w:footnote w:id="12">
    <w:p w14:paraId="316393EE" w14:textId="77777777" w:rsidR="00D55F7B" w:rsidRPr="006B173E" w:rsidRDefault="00D55F7B" w:rsidP="00D55F7B">
      <w:pPr>
        <w:pStyle w:val="Textonotapie"/>
        <w:ind w:firstLine="708"/>
        <w:contextualSpacing/>
        <w:jc w:val="both"/>
        <w:rPr>
          <w:rFonts w:ascii="Verdana" w:hAnsi="Verdana" w:cs="Arial"/>
          <w:sz w:val="16"/>
          <w:szCs w:val="16"/>
        </w:rPr>
      </w:pPr>
      <w:r w:rsidRPr="00683777">
        <w:rPr>
          <w:rStyle w:val="Refdenotaalpie"/>
          <w:rFonts w:ascii="Verdana" w:hAnsi="Verdana" w:cs="Arial"/>
          <w:sz w:val="16"/>
          <w:szCs w:val="16"/>
        </w:rPr>
        <w:footnoteRef/>
      </w:r>
      <w:r w:rsidRPr="00683777">
        <w:rPr>
          <w:rFonts w:ascii="Verdana" w:hAnsi="Verdana" w:cs="Arial"/>
          <w:sz w:val="16"/>
          <w:szCs w:val="16"/>
        </w:rPr>
        <w:t xml:space="preserve"> Agencia Nacional de Contratación – Colombia Compra Eficiente. Concepto 997 del 30 de diciembre de 2024. </w:t>
      </w:r>
    </w:p>
  </w:footnote>
  <w:footnote w:id="13">
    <w:p w14:paraId="542EE322" w14:textId="77777777" w:rsidR="00D55F7B" w:rsidRPr="00683777" w:rsidRDefault="00D55F7B" w:rsidP="00D55F7B">
      <w:pPr>
        <w:pStyle w:val="Textonotapie"/>
        <w:jc w:val="both"/>
        <w:rPr>
          <w:rFonts w:ascii="Verdana" w:hAnsi="Verdana"/>
          <w:sz w:val="16"/>
          <w:szCs w:val="16"/>
        </w:rPr>
      </w:pPr>
    </w:p>
    <w:p w14:paraId="25CC68BE" w14:textId="77777777" w:rsidR="00D55F7B" w:rsidRPr="00683777" w:rsidRDefault="00D55F7B" w:rsidP="00D55F7B">
      <w:pPr>
        <w:pStyle w:val="Textonotapie"/>
        <w:ind w:firstLine="709"/>
        <w:jc w:val="both"/>
        <w:rPr>
          <w:rFonts w:ascii="Verdana" w:hAnsi="Verdana"/>
          <w:sz w:val="16"/>
          <w:szCs w:val="16"/>
        </w:rPr>
      </w:pPr>
      <w:r w:rsidRPr="00683777">
        <w:rPr>
          <w:rStyle w:val="Refdenotaalpie"/>
          <w:rFonts w:ascii="Verdana" w:hAnsi="Verdana"/>
          <w:sz w:val="16"/>
          <w:szCs w:val="16"/>
        </w:rPr>
        <w:footnoteRef/>
      </w:r>
      <w:r w:rsidRPr="00683777">
        <w:rPr>
          <w:rFonts w:ascii="Verdana" w:hAnsi="Verdana"/>
          <w:sz w:val="16"/>
          <w:szCs w:val="16"/>
        </w:rPr>
        <w:t xml:space="preserve"> </w:t>
      </w:r>
      <w:r w:rsidRPr="001052EF">
        <w:rPr>
          <w:rFonts w:ascii="Verdana" w:hAnsi="Verdana"/>
          <w:sz w:val="16"/>
          <w:szCs w:val="16"/>
        </w:rPr>
        <w:t>ARTÍCULO 2.2.1.2.4.2.2. Convocatorias Limitadas a Mipyme.</w:t>
      </w:r>
      <w:r w:rsidRPr="00683777">
        <w:rPr>
          <w:rFonts w:ascii="Verdana" w:hAnsi="Verdana"/>
          <w:sz w:val="16"/>
          <w:szCs w:val="16"/>
        </w:rPr>
        <w:t xml:space="preserv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Mipyme colombianas con mínimo un (1) año de existencia, cuando concurran los siguientes requisitos:</w:t>
      </w:r>
    </w:p>
    <w:p w14:paraId="2DDB0F40" w14:textId="77777777" w:rsidR="00D55F7B" w:rsidRPr="00683777" w:rsidRDefault="00D55F7B" w:rsidP="00D55F7B">
      <w:pPr>
        <w:pStyle w:val="Textonotapie"/>
        <w:ind w:firstLine="709"/>
        <w:jc w:val="both"/>
        <w:rPr>
          <w:rFonts w:ascii="Verdana" w:hAnsi="Verdana"/>
          <w:sz w:val="16"/>
          <w:szCs w:val="16"/>
        </w:rPr>
      </w:pPr>
      <w:r w:rsidRPr="00683777">
        <w:rPr>
          <w:rFonts w:ascii="Verdana" w:hAnsi="Verdana"/>
          <w:sz w:val="16"/>
          <w:szCs w:val="16"/>
        </w:rPr>
        <w:t>1. El valor del Proceso de Contratación sea menor a ciento veinticinco mil dólares de los Estados Unidos de América (US$125.000), liquidados con la tasa de cambio que para el efecto determina cada dos años el Ministerio de Comercio, Industria y Turismo.</w:t>
      </w:r>
    </w:p>
    <w:p w14:paraId="47E4D601" w14:textId="77777777" w:rsidR="00D55F7B" w:rsidRPr="00683777" w:rsidRDefault="00D55F7B" w:rsidP="00D55F7B">
      <w:pPr>
        <w:pStyle w:val="Textonotapie"/>
        <w:ind w:firstLine="709"/>
        <w:jc w:val="both"/>
        <w:rPr>
          <w:rFonts w:ascii="Verdana" w:hAnsi="Verdana"/>
          <w:sz w:val="16"/>
          <w:szCs w:val="16"/>
        </w:rPr>
      </w:pPr>
      <w:r w:rsidRPr="00683777">
        <w:rPr>
          <w:rFonts w:ascii="Verdana" w:hAnsi="Verdana"/>
          <w:sz w:val="16"/>
          <w:szCs w:val="16"/>
        </w:rPr>
        <w:t>2. Se hayan recibido solicitudes de por lo menos dos (2) Mipyme colombianas para limitar la convocatoria a Mipyme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w:t>
      </w:r>
    </w:p>
    <w:p w14:paraId="30F2B058" w14:textId="77777777" w:rsidR="00D55F7B" w:rsidRPr="00683777" w:rsidRDefault="00D55F7B" w:rsidP="00D55F7B">
      <w:pPr>
        <w:pStyle w:val="Textonotapie"/>
        <w:ind w:firstLine="709"/>
        <w:jc w:val="both"/>
        <w:rPr>
          <w:rFonts w:ascii="Verdana" w:hAnsi="Verdana"/>
          <w:sz w:val="16"/>
          <w:szCs w:val="16"/>
        </w:rPr>
      </w:pPr>
      <w:r w:rsidRPr="00683777">
        <w:rPr>
          <w:rFonts w:ascii="Verdana" w:hAnsi="Verdana"/>
          <w:sz w:val="16"/>
          <w:szCs w:val="16"/>
        </w:rPr>
        <w:t>Tratándose de personas jurídicas, las solicitudes solo las podrán realizar Mipyme, cuyo objeto social les permita ejecutar el contrato relacionado con el proceso contractual.</w:t>
      </w:r>
    </w:p>
    <w:p w14:paraId="6963DA7C" w14:textId="77777777" w:rsidR="00D55F7B" w:rsidRPr="00683777" w:rsidRDefault="00D55F7B" w:rsidP="00D55F7B">
      <w:pPr>
        <w:pStyle w:val="Textonotapie"/>
        <w:ind w:firstLine="709"/>
        <w:jc w:val="both"/>
        <w:rPr>
          <w:rFonts w:ascii="Verdana" w:hAnsi="Verdana"/>
          <w:sz w:val="16"/>
          <w:szCs w:val="16"/>
        </w:rPr>
      </w:pPr>
      <w:r w:rsidRPr="00683777">
        <w:rPr>
          <w:rFonts w:ascii="Verdana" w:hAnsi="Verdana"/>
          <w:sz w:val="16"/>
          <w:szCs w:val="16"/>
        </w:rPr>
        <w:t>Parágrafo. Las cooperativas y demás entidades de economía solidaria, siempre que tengan la calidad de Mipyme, podrán solicitar y participar en las convocatorias limitadas en las mismas condiciones dispuestas en el presente artículo”.</w:t>
      </w:r>
    </w:p>
    <w:p w14:paraId="36C1C1EE" w14:textId="77777777" w:rsidR="00D55F7B" w:rsidRPr="00683777" w:rsidRDefault="00D55F7B" w:rsidP="00D55F7B">
      <w:pPr>
        <w:pStyle w:val="Textonotapie"/>
        <w:ind w:firstLine="709"/>
        <w:jc w:val="both"/>
        <w:rPr>
          <w:rFonts w:ascii="Verdana" w:hAnsi="Verdana"/>
          <w:sz w:val="16"/>
          <w:szCs w:val="16"/>
          <w:lang w:val="es-CO"/>
        </w:rPr>
      </w:pPr>
    </w:p>
  </w:footnote>
  <w:footnote w:id="14">
    <w:p w14:paraId="42399D1B" w14:textId="77777777" w:rsidR="00D55F7B" w:rsidRPr="00683777" w:rsidRDefault="00D55F7B" w:rsidP="00D55F7B">
      <w:pPr>
        <w:pStyle w:val="Textonotapie"/>
        <w:ind w:firstLine="709"/>
        <w:jc w:val="both"/>
        <w:rPr>
          <w:rFonts w:ascii="Verdana" w:hAnsi="Verdana"/>
          <w:sz w:val="16"/>
          <w:szCs w:val="16"/>
          <w:lang w:val="es-CO"/>
        </w:rPr>
      </w:pPr>
      <w:r w:rsidRPr="00683777">
        <w:rPr>
          <w:rStyle w:val="Refdenotaalpie"/>
          <w:rFonts w:ascii="Verdana" w:hAnsi="Verdana"/>
          <w:sz w:val="16"/>
          <w:szCs w:val="16"/>
        </w:rPr>
        <w:footnoteRef/>
      </w:r>
      <w:r w:rsidRPr="00683777">
        <w:rPr>
          <w:rFonts w:ascii="Verdana" w:hAnsi="Verdana"/>
          <w:sz w:val="16"/>
          <w:szCs w:val="16"/>
        </w:rPr>
        <w:t xml:space="preserve"> </w:t>
      </w:r>
      <w:r w:rsidRPr="001C0934">
        <w:rPr>
          <w:rFonts w:ascii="Verdana" w:hAnsi="Verdana"/>
          <w:sz w:val="16"/>
          <w:szCs w:val="16"/>
          <w:lang w:val="es-CO"/>
        </w:rPr>
        <w:t>ARTÍCULO</w:t>
      </w:r>
      <w:bookmarkStart w:id="12" w:name="2.2.1.2.4.2.3"/>
      <w:bookmarkEnd w:id="12"/>
      <w:r w:rsidRPr="001C0934">
        <w:rPr>
          <w:rFonts w:ascii="Verdana" w:hAnsi="Verdana"/>
          <w:sz w:val="16"/>
          <w:szCs w:val="16"/>
          <w:lang w:val="es-CO"/>
        </w:rPr>
        <w:t> 2.2.1.2.4.2.3. Limitaciones territoriales</w:t>
      </w:r>
      <w:r w:rsidRPr="00683777">
        <w:rPr>
          <w:rFonts w:ascii="Verdana" w:hAnsi="Verdana"/>
          <w:b/>
          <w:bCs/>
          <w:sz w:val="16"/>
          <w:szCs w:val="16"/>
          <w:lang w:val="es-CO"/>
        </w:rPr>
        <w:t>.</w:t>
      </w:r>
      <w:r w:rsidRPr="00683777">
        <w:rPr>
          <w:rFonts w:ascii="Verdana" w:hAnsi="Verdana"/>
          <w:sz w:val="16"/>
          <w:szCs w:val="16"/>
          <w:lang w:val="es-CO"/>
        </w:rPr>
        <w:t> De conformidad con el parágrafo </w:t>
      </w:r>
      <w:hyperlink r:id="rId6" w:anchor="12.p1" w:history="1">
        <w:r w:rsidRPr="00683777">
          <w:rPr>
            <w:rStyle w:val="Hipervnculo"/>
            <w:rFonts w:ascii="Verdana" w:hAnsi="Verdana"/>
            <w:color w:val="auto"/>
            <w:sz w:val="16"/>
            <w:szCs w:val="16"/>
            <w:lang w:val="es-CO"/>
          </w:rPr>
          <w:t>1 </w:t>
        </w:r>
      </w:hyperlink>
      <w:r w:rsidRPr="00683777">
        <w:rPr>
          <w:rFonts w:ascii="Verdana" w:hAnsi="Verdana"/>
          <w:sz w:val="16"/>
          <w:szCs w:val="16"/>
          <w:lang w:val="es-CO"/>
        </w:rPr>
        <w:t>del artículo </w:t>
      </w:r>
      <w:hyperlink r:id="rId7" w:anchor="12" w:history="1">
        <w:r w:rsidRPr="00683777">
          <w:rPr>
            <w:rStyle w:val="Hipervnculo"/>
            <w:rFonts w:ascii="Verdana" w:hAnsi="Verdana"/>
            <w:color w:val="auto"/>
            <w:sz w:val="16"/>
            <w:szCs w:val="16"/>
            <w:lang w:val="es-CO"/>
          </w:rPr>
          <w:t>12 </w:t>
        </w:r>
      </w:hyperlink>
      <w:r w:rsidRPr="00683777">
        <w:rPr>
          <w:rFonts w:ascii="Verdana" w:hAnsi="Verdana"/>
          <w:sz w:val="16"/>
          <w:szCs w:val="16"/>
          <w:lang w:val="es-CO"/>
        </w:rPr>
        <w:t>de la Ley 1150 de 2007, las Entidades Estatales, independientemente de su régimen de contratación, los patrimonios autónomos constituidos por Entidades Estatales y los particulares que ejecuten recursos públicos, pueden realizar convocatorias limitadas a Mipyme colombianas que tengan domicilio en los departamentos o municipios en donde se va a ejecutar el contrato. Cada Mipyme deberá acreditar su domicilio con los documentos a los que se refiere el siguiente artículo.</w:t>
      </w:r>
    </w:p>
    <w:p w14:paraId="374CDFE3" w14:textId="77777777" w:rsidR="00D55F7B" w:rsidRPr="00683777" w:rsidRDefault="00D55F7B" w:rsidP="00D55F7B">
      <w:pPr>
        <w:pStyle w:val="Textonotapie"/>
        <w:ind w:firstLine="709"/>
        <w:jc w:val="both"/>
        <w:rPr>
          <w:rFonts w:ascii="Verdana" w:hAnsi="Verdana"/>
          <w:sz w:val="16"/>
          <w:szCs w:val="16"/>
          <w:lang w:val="es-ES"/>
        </w:rPr>
      </w:pPr>
    </w:p>
  </w:footnote>
  <w:footnote w:id="15">
    <w:p w14:paraId="1B35E175" w14:textId="77777777" w:rsidR="00D55F7B" w:rsidRPr="00683777" w:rsidRDefault="00D55F7B" w:rsidP="00D55F7B">
      <w:pPr>
        <w:pStyle w:val="Textonotapie"/>
        <w:ind w:firstLine="708"/>
        <w:contextualSpacing/>
        <w:jc w:val="both"/>
        <w:rPr>
          <w:rFonts w:ascii="Verdana" w:hAnsi="Verdana" w:cs="Arial"/>
          <w:sz w:val="16"/>
          <w:szCs w:val="16"/>
          <w:lang w:val="es-CO"/>
        </w:rPr>
      </w:pPr>
      <w:r w:rsidRPr="00683777">
        <w:rPr>
          <w:rStyle w:val="Refdenotaalpie"/>
          <w:rFonts w:ascii="Verdana" w:hAnsi="Verdana" w:cs="Arial"/>
          <w:sz w:val="16"/>
          <w:szCs w:val="16"/>
        </w:rPr>
        <w:footnoteRef/>
      </w:r>
      <w:r w:rsidRPr="00683777">
        <w:rPr>
          <w:rFonts w:ascii="Verdana" w:hAnsi="Verdana" w:cs="Arial"/>
          <w:sz w:val="16"/>
          <w:szCs w:val="16"/>
        </w:rPr>
        <w:t xml:space="preserve"> “Artículo 23. De conformidad con lo establecido por los artículos 4° de la Ley 79 de 1988 y 6° de la Ley 454 de 1988, las cooperativas y demás entidades de la economía solidaria son empresas. En tal virtud, para los efectos de la presente ley, las entidades de economía solidaria serán clasificadas como Mipymes en los términos establecidos por el artículo 2° de la Ley 590 de 2000 y por el Decreto 957 de 2019 o las normas que los modifiquen, deroguen o adicionen, sin perjuicio de la normatividad específica aplicable a sus diferentes figuras jurídicas, ni del marco de competencias institucionales de Gobierno para su fomento, fortalecimiento, inspección, control y vigilancia”.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92EC0BC6"/>
    <w:lvl w:ilvl="0">
      <w:start w:val="1"/>
      <w:numFmt w:val="decimal"/>
      <w:lvlText w:val="%1."/>
      <w:lvlJc w:val="left"/>
      <w:pPr>
        <w:ind w:left="6601" w:hanging="360"/>
      </w:pPr>
      <w:rPr>
        <w:b/>
        <w:color w:val="000000" w:themeColor="text1"/>
        <w:lang w:val="es-CO"/>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FBC25EC"/>
    <w:multiLevelType w:val="hybridMultilevel"/>
    <w:tmpl w:val="903CB1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0F24ED3"/>
    <w:multiLevelType w:val="hybridMultilevel"/>
    <w:tmpl w:val="A1E43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341274352">
    <w:abstractNumId w:val="0"/>
  </w:num>
  <w:num w:numId="17" w16cid:durableId="1358431546">
    <w:abstractNumId w:val="3"/>
  </w:num>
  <w:num w:numId="18" w16cid:durableId="1945459392">
    <w:abstractNumId w:val="11"/>
  </w:num>
  <w:num w:numId="19" w16cid:durableId="679089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CA5"/>
    <w:rsid w:val="00003467"/>
    <w:rsid w:val="00004CD4"/>
    <w:rsid w:val="00016F78"/>
    <w:rsid w:val="00033928"/>
    <w:rsid w:val="00033AF7"/>
    <w:rsid w:val="00042693"/>
    <w:rsid w:val="00042D0A"/>
    <w:rsid w:val="00043B92"/>
    <w:rsid w:val="00046945"/>
    <w:rsid w:val="00055B38"/>
    <w:rsid w:val="000565C3"/>
    <w:rsid w:val="00061B2A"/>
    <w:rsid w:val="00082362"/>
    <w:rsid w:val="00085F9F"/>
    <w:rsid w:val="00092F2B"/>
    <w:rsid w:val="000A21F8"/>
    <w:rsid w:val="000A683E"/>
    <w:rsid w:val="000B0795"/>
    <w:rsid w:val="000B19B9"/>
    <w:rsid w:val="000C0EC6"/>
    <w:rsid w:val="000D0334"/>
    <w:rsid w:val="000D3F54"/>
    <w:rsid w:val="000D4E54"/>
    <w:rsid w:val="000D57F2"/>
    <w:rsid w:val="000D5DA7"/>
    <w:rsid w:val="000E1118"/>
    <w:rsid w:val="000E2B5A"/>
    <w:rsid w:val="000F6486"/>
    <w:rsid w:val="000F717C"/>
    <w:rsid w:val="000F7283"/>
    <w:rsid w:val="001052EF"/>
    <w:rsid w:val="00116940"/>
    <w:rsid w:val="001212FF"/>
    <w:rsid w:val="00125105"/>
    <w:rsid w:val="00127233"/>
    <w:rsid w:val="00130537"/>
    <w:rsid w:val="001307F2"/>
    <w:rsid w:val="00136342"/>
    <w:rsid w:val="00154D7C"/>
    <w:rsid w:val="0015699B"/>
    <w:rsid w:val="00156F5A"/>
    <w:rsid w:val="00164A05"/>
    <w:rsid w:val="00177FDA"/>
    <w:rsid w:val="00184B6F"/>
    <w:rsid w:val="0018528A"/>
    <w:rsid w:val="001A33BF"/>
    <w:rsid w:val="001B415B"/>
    <w:rsid w:val="001C0934"/>
    <w:rsid w:val="001D5C45"/>
    <w:rsid w:val="001E4177"/>
    <w:rsid w:val="001E690B"/>
    <w:rsid w:val="001F0B24"/>
    <w:rsid w:val="001F7DC6"/>
    <w:rsid w:val="0021015E"/>
    <w:rsid w:val="0022400B"/>
    <w:rsid w:val="002421BB"/>
    <w:rsid w:val="0025796E"/>
    <w:rsid w:val="002707A2"/>
    <w:rsid w:val="0027726E"/>
    <w:rsid w:val="00281612"/>
    <w:rsid w:val="00286EE6"/>
    <w:rsid w:val="00287A14"/>
    <w:rsid w:val="0029350B"/>
    <w:rsid w:val="0029450A"/>
    <w:rsid w:val="002951A0"/>
    <w:rsid w:val="00296208"/>
    <w:rsid w:val="002962BC"/>
    <w:rsid w:val="002A0260"/>
    <w:rsid w:val="002A093D"/>
    <w:rsid w:val="002A0DD0"/>
    <w:rsid w:val="002A1F91"/>
    <w:rsid w:val="002A370F"/>
    <w:rsid w:val="002A49AC"/>
    <w:rsid w:val="002A582E"/>
    <w:rsid w:val="002A64FD"/>
    <w:rsid w:val="002C2158"/>
    <w:rsid w:val="002C7A84"/>
    <w:rsid w:val="002D7DB6"/>
    <w:rsid w:val="002E0C9B"/>
    <w:rsid w:val="002E2BF8"/>
    <w:rsid w:val="002E349E"/>
    <w:rsid w:val="002E414E"/>
    <w:rsid w:val="002E4FD9"/>
    <w:rsid w:val="0030657A"/>
    <w:rsid w:val="00322A85"/>
    <w:rsid w:val="00324168"/>
    <w:rsid w:val="00330834"/>
    <w:rsid w:val="00341693"/>
    <w:rsid w:val="00342EC6"/>
    <w:rsid w:val="003448F4"/>
    <w:rsid w:val="00345683"/>
    <w:rsid w:val="00357964"/>
    <w:rsid w:val="00374F5E"/>
    <w:rsid w:val="0037559D"/>
    <w:rsid w:val="00377E3E"/>
    <w:rsid w:val="00380C40"/>
    <w:rsid w:val="003A070A"/>
    <w:rsid w:val="003A2832"/>
    <w:rsid w:val="003A3663"/>
    <w:rsid w:val="003A6DBD"/>
    <w:rsid w:val="003A779E"/>
    <w:rsid w:val="003B7C24"/>
    <w:rsid w:val="003C010B"/>
    <w:rsid w:val="003D0F4D"/>
    <w:rsid w:val="003D2D45"/>
    <w:rsid w:val="003D3103"/>
    <w:rsid w:val="003D5B0D"/>
    <w:rsid w:val="003E045F"/>
    <w:rsid w:val="003E0499"/>
    <w:rsid w:val="003E4F80"/>
    <w:rsid w:val="003E6439"/>
    <w:rsid w:val="003F2CF3"/>
    <w:rsid w:val="003F3941"/>
    <w:rsid w:val="003F7BF9"/>
    <w:rsid w:val="00406575"/>
    <w:rsid w:val="00410C1B"/>
    <w:rsid w:val="00412406"/>
    <w:rsid w:val="004138DB"/>
    <w:rsid w:val="00414C74"/>
    <w:rsid w:val="004173C1"/>
    <w:rsid w:val="0042722E"/>
    <w:rsid w:val="00435CC6"/>
    <w:rsid w:val="0043648E"/>
    <w:rsid w:val="00442D30"/>
    <w:rsid w:val="0044528D"/>
    <w:rsid w:val="00463B77"/>
    <w:rsid w:val="00464C03"/>
    <w:rsid w:val="00466DD6"/>
    <w:rsid w:val="00466E39"/>
    <w:rsid w:val="00472A7E"/>
    <w:rsid w:val="00475B3B"/>
    <w:rsid w:val="004852D8"/>
    <w:rsid w:val="004874F0"/>
    <w:rsid w:val="004925E2"/>
    <w:rsid w:val="004A1847"/>
    <w:rsid w:val="004A305D"/>
    <w:rsid w:val="004A4430"/>
    <w:rsid w:val="004A66FE"/>
    <w:rsid w:val="004B338B"/>
    <w:rsid w:val="004B4BBC"/>
    <w:rsid w:val="004C0E6A"/>
    <w:rsid w:val="004C4FE1"/>
    <w:rsid w:val="004C7203"/>
    <w:rsid w:val="004D541C"/>
    <w:rsid w:val="004E2E2C"/>
    <w:rsid w:val="004F00DA"/>
    <w:rsid w:val="004F21C4"/>
    <w:rsid w:val="004F56A2"/>
    <w:rsid w:val="004F648B"/>
    <w:rsid w:val="004F685F"/>
    <w:rsid w:val="004F6ABD"/>
    <w:rsid w:val="00515460"/>
    <w:rsid w:val="0052241F"/>
    <w:rsid w:val="005229E8"/>
    <w:rsid w:val="00523529"/>
    <w:rsid w:val="0052397A"/>
    <w:rsid w:val="005372B7"/>
    <w:rsid w:val="00537D48"/>
    <w:rsid w:val="005400D1"/>
    <w:rsid w:val="005566E8"/>
    <w:rsid w:val="00570D3A"/>
    <w:rsid w:val="005713FB"/>
    <w:rsid w:val="00572EF4"/>
    <w:rsid w:val="00574867"/>
    <w:rsid w:val="005767C2"/>
    <w:rsid w:val="005801A9"/>
    <w:rsid w:val="00586101"/>
    <w:rsid w:val="00591460"/>
    <w:rsid w:val="005A1537"/>
    <w:rsid w:val="005A533B"/>
    <w:rsid w:val="005A65E0"/>
    <w:rsid w:val="005B3EB6"/>
    <w:rsid w:val="005C3777"/>
    <w:rsid w:val="005C5CDC"/>
    <w:rsid w:val="005D476C"/>
    <w:rsid w:val="005D6C52"/>
    <w:rsid w:val="005E1C0A"/>
    <w:rsid w:val="005E2965"/>
    <w:rsid w:val="005E73F5"/>
    <w:rsid w:val="005F00C1"/>
    <w:rsid w:val="005F46BB"/>
    <w:rsid w:val="005F7F7E"/>
    <w:rsid w:val="00604373"/>
    <w:rsid w:val="00605C2F"/>
    <w:rsid w:val="006200BF"/>
    <w:rsid w:val="006219F8"/>
    <w:rsid w:val="00624B80"/>
    <w:rsid w:val="006302F7"/>
    <w:rsid w:val="00631B35"/>
    <w:rsid w:val="00635EDD"/>
    <w:rsid w:val="00646B9F"/>
    <w:rsid w:val="00646D13"/>
    <w:rsid w:val="00652B8A"/>
    <w:rsid w:val="006539D1"/>
    <w:rsid w:val="00655245"/>
    <w:rsid w:val="006568C2"/>
    <w:rsid w:val="00663C3E"/>
    <w:rsid w:val="0066567E"/>
    <w:rsid w:val="00665D70"/>
    <w:rsid w:val="00681831"/>
    <w:rsid w:val="00682533"/>
    <w:rsid w:val="00683777"/>
    <w:rsid w:val="006900D9"/>
    <w:rsid w:val="006921DC"/>
    <w:rsid w:val="00693546"/>
    <w:rsid w:val="006B0D66"/>
    <w:rsid w:val="006B0DE5"/>
    <w:rsid w:val="006B173E"/>
    <w:rsid w:val="006B6427"/>
    <w:rsid w:val="006C2250"/>
    <w:rsid w:val="006C6750"/>
    <w:rsid w:val="006E0FE2"/>
    <w:rsid w:val="006F23BA"/>
    <w:rsid w:val="0070393B"/>
    <w:rsid w:val="00705F76"/>
    <w:rsid w:val="00706C16"/>
    <w:rsid w:val="007073B4"/>
    <w:rsid w:val="007128AD"/>
    <w:rsid w:val="00721D9D"/>
    <w:rsid w:val="00721DD2"/>
    <w:rsid w:val="007340C3"/>
    <w:rsid w:val="0075235A"/>
    <w:rsid w:val="00754F85"/>
    <w:rsid w:val="00756841"/>
    <w:rsid w:val="007649AB"/>
    <w:rsid w:val="00770D59"/>
    <w:rsid w:val="00771D0C"/>
    <w:rsid w:val="007833AC"/>
    <w:rsid w:val="00783B55"/>
    <w:rsid w:val="007934D8"/>
    <w:rsid w:val="007A3ACD"/>
    <w:rsid w:val="007A7621"/>
    <w:rsid w:val="007B268C"/>
    <w:rsid w:val="007B6DC4"/>
    <w:rsid w:val="007B7171"/>
    <w:rsid w:val="007C0562"/>
    <w:rsid w:val="007C0C0F"/>
    <w:rsid w:val="007C1A6C"/>
    <w:rsid w:val="007C311E"/>
    <w:rsid w:val="007C3DC2"/>
    <w:rsid w:val="007D0736"/>
    <w:rsid w:val="007D25FD"/>
    <w:rsid w:val="007D3961"/>
    <w:rsid w:val="007E01D4"/>
    <w:rsid w:val="007E47AF"/>
    <w:rsid w:val="007E5497"/>
    <w:rsid w:val="007F0A3B"/>
    <w:rsid w:val="007F0D18"/>
    <w:rsid w:val="007F32BF"/>
    <w:rsid w:val="00806F5F"/>
    <w:rsid w:val="00820278"/>
    <w:rsid w:val="00820A72"/>
    <w:rsid w:val="00823B5B"/>
    <w:rsid w:val="008258C9"/>
    <w:rsid w:val="00826946"/>
    <w:rsid w:val="00834B43"/>
    <w:rsid w:val="00844AE9"/>
    <w:rsid w:val="008474CC"/>
    <w:rsid w:val="00850994"/>
    <w:rsid w:val="00854DC2"/>
    <w:rsid w:val="00856BA3"/>
    <w:rsid w:val="008601F3"/>
    <w:rsid w:val="00867F95"/>
    <w:rsid w:val="00880BF3"/>
    <w:rsid w:val="008839D4"/>
    <w:rsid w:val="008843B6"/>
    <w:rsid w:val="00891928"/>
    <w:rsid w:val="00891B39"/>
    <w:rsid w:val="00893ED0"/>
    <w:rsid w:val="008959AC"/>
    <w:rsid w:val="008A42B1"/>
    <w:rsid w:val="008A446D"/>
    <w:rsid w:val="008B25F1"/>
    <w:rsid w:val="008C5339"/>
    <w:rsid w:val="008D180B"/>
    <w:rsid w:val="008D3F22"/>
    <w:rsid w:val="008E0249"/>
    <w:rsid w:val="008E1D2B"/>
    <w:rsid w:val="008F0EA7"/>
    <w:rsid w:val="008F5CCC"/>
    <w:rsid w:val="008F6BD3"/>
    <w:rsid w:val="008F73A1"/>
    <w:rsid w:val="00902AAF"/>
    <w:rsid w:val="00915BFB"/>
    <w:rsid w:val="00923EEF"/>
    <w:rsid w:val="009274F3"/>
    <w:rsid w:val="0093158D"/>
    <w:rsid w:val="00932DB1"/>
    <w:rsid w:val="009419F9"/>
    <w:rsid w:val="00946611"/>
    <w:rsid w:val="00947181"/>
    <w:rsid w:val="0095205F"/>
    <w:rsid w:val="00955AD5"/>
    <w:rsid w:val="0095685E"/>
    <w:rsid w:val="00961B09"/>
    <w:rsid w:val="009642DD"/>
    <w:rsid w:val="00965334"/>
    <w:rsid w:val="0097093E"/>
    <w:rsid w:val="009972BD"/>
    <w:rsid w:val="009A0DFA"/>
    <w:rsid w:val="009A1C6F"/>
    <w:rsid w:val="009A3F03"/>
    <w:rsid w:val="009A71E2"/>
    <w:rsid w:val="009B2D26"/>
    <w:rsid w:val="009C0516"/>
    <w:rsid w:val="009C5AA6"/>
    <w:rsid w:val="009C71FA"/>
    <w:rsid w:val="009C72E7"/>
    <w:rsid w:val="009C7F7E"/>
    <w:rsid w:val="009D165C"/>
    <w:rsid w:val="009D3058"/>
    <w:rsid w:val="009D497C"/>
    <w:rsid w:val="009D54CD"/>
    <w:rsid w:val="009E0EC0"/>
    <w:rsid w:val="009F0E7F"/>
    <w:rsid w:val="009F3A13"/>
    <w:rsid w:val="009F488B"/>
    <w:rsid w:val="00A122D3"/>
    <w:rsid w:val="00A13A61"/>
    <w:rsid w:val="00A14468"/>
    <w:rsid w:val="00A16A43"/>
    <w:rsid w:val="00A17F13"/>
    <w:rsid w:val="00A2070D"/>
    <w:rsid w:val="00A20739"/>
    <w:rsid w:val="00A2324A"/>
    <w:rsid w:val="00A23AF9"/>
    <w:rsid w:val="00A2469C"/>
    <w:rsid w:val="00A30C83"/>
    <w:rsid w:val="00A33396"/>
    <w:rsid w:val="00A33C78"/>
    <w:rsid w:val="00A36E9C"/>
    <w:rsid w:val="00A50B84"/>
    <w:rsid w:val="00A670B3"/>
    <w:rsid w:val="00A7565E"/>
    <w:rsid w:val="00A93965"/>
    <w:rsid w:val="00A9763C"/>
    <w:rsid w:val="00AA0421"/>
    <w:rsid w:val="00AB0ADB"/>
    <w:rsid w:val="00AB0EA4"/>
    <w:rsid w:val="00AB5969"/>
    <w:rsid w:val="00AC668F"/>
    <w:rsid w:val="00AD4E65"/>
    <w:rsid w:val="00AD51E4"/>
    <w:rsid w:val="00AE0156"/>
    <w:rsid w:val="00AE48B9"/>
    <w:rsid w:val="00AF4347"/>
    <w:rsid w:val="00B00C0E"/>
    <w:rsid w:val="00B01B1A"/>
    <w:rsid w:val="00B0381D"/>
    <w:rsid w:val="00B0625E"/>
    <w:rsid w:val="00B07C48"/>
    <w:rsid w:val="00B144BE"/>
    <w:rsid w:val="00B2422A"/>
    <w:rsid w:val="00B44A47"/>
    <w:rsid w:val="00B57286"/>
    <w:rsid w:val="00B610FF"/>
    <w:rsid w:val="00B653AA"/>
    <w:rsid w:val="00B72CD3"/>
    <w:rsid w:val="00B72FFF"/>
    <w:rsid w:val="00B736DA"/>
    <w:rsid w:val="00B758FF"/>
    <w:rsid w:val="00B8103B"/>
    <w:rsid w:val="00BA204F"/>
    <w:rsid w:val="00BA303E"/>
    <w:rsid w:val="00BA4EC9"/>
    <w:rsid w:val="00BC0EB7"/>
    <w:rsid w:val="00BC3D36"/>
    <w:rsid w:val="00BC636A"/>
    <w:rsid w:val="00BD1BC3"/>
    <w:rsid w:val="00BD1ECB"/>
    <w:rsid w:val="00BD54A6"/>
    <w:rsid w:val="00BD6DE5"/>
    <w:rsid w:val="00BD7191"/>
    <w:rsid w:val="00BD7F72"/>
    <w:rsid w:val="00BE046E"/>
    <w:rsid w:val="00BF4E01"/>
    <w:rsid w:val="00BF7425"/>
    <w:rsid w:val="00C014F4"/>
    <w:rsid w:val="00C02755"/>
    <w:rsid w:val="00C03BCE"/>
    <w:rsid w:val="00C04FB3"/>
    <w:rsid w:val="00C05550"/>
    <w:rsid w:val="00C06719"/>
    <w:rsid w:val="00C115E8"/>
    <w:rsid w:val="00C11D8B"/>
    <w:rsid w:val="00C15139"/>
    <w:rsid w:val="00C2209E"/>
    <w:rsid w:val="00C23D9D"/>
    <w:rsid w:val="00C24408"/>
    <w:rsid w:val="00C2543D"/>
    <w:rsid w:val="00C330EB"/>
    <w:rsid w:val="00C357EA"/>
    <w:rsid w:val="00C36694"/>
    <w:rsid w:val="00C37576"/>
    <w:rsid w:val="00C50739"/>
    <w:rsid w:val="00C50D69"/>
    <w:rsid w:val="00C5365C"/>
    <w:rsid w:val="00C56F31"/>
    <w:rsid w:val="00C700E0"/>
    <w:rsid w:val="00C754BE"/>
    <w:rsid w:val="00C76B1C"/>
    <w:rsid w:val="00C925AC"/>
    <w:rsid w:val="00C932D5"/>
    <w:rsid w:val="00C95BD9"/>
    <w:rsid w:val="00CA45AF"/>
    <w:rsid w:val="00CB6357"/>
    <w:rsid w:val="00CC1B26"/>
    <w:rsid w:val="00CC78E0"/>
    <w:rsid w:val="00CD3779"/>
    <w:rsid w:val="00CF2869"/>
    <w:rsid w:val="00CF3A48"/>
    <w:rsid w:val="00CF4167"/>
    <w:rsid w:val="00CF759C"/>
    <w:rsid w:val="00D06D50"/>
    <w:rsid w:val="00D13648"/>
    <w:rsid w:val="00D15841"/>
    <w:rsid w:val="00D17BC3"/>
    <w:rsid w:val="00D24430"/>
    <w:rsid w:val="00D2603F"/>
    <w:rsid w:val="00D35FDE"/>
    <w:rsid w:val="00D361FD"/>
    <w:rsid w:val="00D37BCD"/>
    <w:rsid w:val="00D40699"/>
    <w:rsid w:val="00D423A2"/>
    <w:rsid w:val="00D42BDB"/>
    <w:rsid w:val="00D44E26"/>
    <w:rsid w:val="00D45A47"/>
    <w:rsid w:val="00D520D8"/>
    <w:rsid w:val="00D52233"/>
    <w:rsid w:val="00D53F95"/>
    <w:rsid w:val="00D55F7B"/>
    <w:rsid w:val="00D63AC2"/>
    <w:rsid w:val="00D7383B"/>
    <w:rsid w:val="00D7488C"/>
    <w:rsid w:val="00D7788A"/>
    <w:rsid w:val="00D84125"/>
    <w:rsid w:val="00D96650"/>
    <w:rsid w:val="00DA1D8D"/>
    <w:rsid w:val="00DA231B"/>
    <w:rsid w:val="00DB31B1"/>
    <w:rsid w:val="00DB32BC"/>
    <w:rsid w:val="00DC217E"/>
    <w:rsid w:val="00DC39FC"/>
    <w:rsid w:val="00DC4E9E"/>
    <w:rsid w:val="00DD3E9A"/>
    <w:rsid w:val="00DD5971"/>
    <w:rsid w:val="00DF5254"/>
    <w:rsid w:val="00DF5E9C"/>
    <w:rsid w:val="00E02524"/>
    <w:rsid w:val="00E06479"/>
    <w:rsid w:val="00E06F10"/>
    <w:rsid w:val="00E11D65"/>
    <w:rsid w:val="00E146FA"/>
    <w:rsid w:val="00E14DD4"/>
    <w:rsid w:val="00E16408"/>
    <w:rsid w:val="00E20894"/>
    <w:rsid w:val="00E215B6"/>
    <w:rsid w:val="00E245AB"/>
    <w:rsid w:val="00E2764C"/>
    <w:rsid w:val="00E27F2E"/>
    <w:rsid w:val="00E50AFE"/>
    <w:rsid w:val="00E75C92"/>
    <w:rsid w:val="00E771DC"/>
    <w:rsid w:val="00E802BB"/>
    <w:rsid w:val="00E8772A"/>
    <w:rsid w:val="00E90DE5"/>
    <w:rsid w:val="00E90F6B"/>
    <w:rsid w:val="00E92C27"/>
    <w:rsid w:val="00EA0E3D"/>
    <w:rsid w:val="00EA5C7A"/>
    <w:rsid w:val="00EB1425"/>
    <w:rsid w:val="00EC38A7"/>
    <w:rsid w:val="00EC7CEF"/>
    <w:rsid w:val="00ED1947"/>
    <w:rsid w:val="00EE1AA8"/>
    <w:rsid w:val="00EE4819"/>
    <w:rsid w:val="00EF09DE"/>
    <w:rsid w:val="00F00C3D"/>
    <w:rsid w:val="00F065C5"/>
    <w:rsid w:val="00F06752"/>
    <w:rsid w:val="00F10CC3"/>
    <w:rsid w:val="00F12E2D"/>
    <w:rsid w:val="00F23FEA"/>
    <w:rsid w:val="00F254D7"/>
    <w:rsid w:val="00F31EDC"/>
    <w:rsid w:val="00F3317B"/>
    <w:rsid w:val="00F3733D"/>
    <w:rsid w:val="00F4425D"/>
    <w:rsid w:val="00F462B3"/>
    <w:rsid w:val="00F477BD"/>
    <w:rsid w:val="00F51F06"/>
    <w:rsid w:val="00F5664F"/>
    <w:rsid w:val="00F61A78"/>
    <w:rsid w:val="00F62CEF"/>
    <w:rsid w:val="00F6668E"/>
    <w:rsid w:val="00F666C4"/>
    <w:rsid w:val="00F717E5"/>
    <w:rsid w:val="00F75B93"/>
    <w:rsid w:val="00F76AFC"/>
    <w:rsid w:val="00F91453"/>
    <w:rsid w:val="00FA0C0B"/>
    <w:rsid w:val="00FA3294"/>
    <w:rsid w:val="00FA47C0"/>
    <w:rsid w:val="00FB3AB9"/>
    <w:rsid w:val="00FB5DD1"/>
    <w:rsid w:val="00FC0DA5"/>
    <w:rsid w:val="00FC12C9"/>
    <w:rsid w:val="00FC2B5D"/>
    <w:rsid w:val="00FC355A"/>
    <w:rsid w:val="00FC60E7"/>
    <w:rsid w:val="00FD5748"/>
    <w:rsid w:val="00FF1449"/>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3F15ECC"/>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8C0B0F8B-F169-4762-98B9-E69E785A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E2C"/>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014F4"/>
    <w:rPr>
      <w:rFonts w:ascii="Geomanist Light" w:hAnsi="Geomanist Light"/>
      <w:lang w:val="es-ES"/>
    </w:rPr>
  </w:style>
  <w:style w:type="paragraph" w:customStyle="1" w:styleId="Appelnotedebasde">
    <w:name w:val="Appel note de bas de..."/>
    <w:basedOn w:val="Normal"/>
    <w:link w:val="Refdenotaalpie"/>
    <w:uiPriority w:val="99"/>
    <w:rsid w:val="00C014F4"/>
    <w:pPr>
      <w:spacing w:line="240" w:lineRule="exact"/>
    </w:pPr>
    <w:rPr>
      <w:vertAlign w:val="superscript"/>
    </w:rPr>
  </w:style>
  <w:style w:type="character" w:customStyle="1" w:styleId="NormalWebCar">
    <w:name w:val="Normal (Web) Car"/>
    <w:link w:val="NormalWeb"/>
    <w:uiPriority w:val="99"/>
    <w:locked/>
    <w:rsid w:val="00156F5A"/>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bf.gov.co/cargues/avance/docs/decreto_1082_2015.htm" TargetMode="External"/><Relationship Id="rId18"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7" Type="http://schemas.openxmlformats.org/officeDocument/2006/relationships/settings" Target="settings.xml"/><Relationship Id="rId12" Type="http://schemas.openxmlformats.org/officeDocument/2006/relationships/hyperlink" Target="mailto:carivasb@gmail.com" TargetMode="External"/><Relationship Id="rId17" Type="http://schemas.openxmlformats.org/officeDocument/2006/relationships/hyperlink" Target="https://relatoria.colombiacompra.gov.co/busqueda/concepto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ibliotecadigital.ccb.org.co/server/api/core/bitstreams/56eea614-11b5-49ad-a103-656fabc70bb7/content" TargetMode="External"/><Relationship Id="rId20"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bibliotecadigital.ccb.org.co/bitstream/handle/11520/8346/el%20abc%20de%20esales%202013%20completo.pdf?sequence=1&amp;isAllowed=y"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bf.gov.co/cargues/avance/docs/decreto_1082_2015.htm"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secretariasenado.gov.co/senado/basedoc/ley_0590_2000.html" TargetMode="External"/><Relationship Id="rId7" Type="http://schemas.openxmlformats.org/officeDocument/2006/relationships/hyperlink" Target="https://www.funcionpublica.gov.co/eva/gestornormativo/norma.php?i=25678" TargetMode="External"/><Relationship Id="rId2" Type="http://schemas.openxmlformats.org/officeDocument/2006/relationships/hyperlink" Target="http://www.secretariasenado.gov.co/senado/basedoc/ley_0590_2000.html" TargetMode="External"/><Relationship Id="rId1" Type="http://schemas.openxmlformats.org/officeDocument/2006/relationships/hyperlink" Target="http://www.secretariasenado.gov.co/senado/basedoc/ley_0590_2000.html" TargetMode="External"/><Relationship Id="rId6" Type="http://schemas.openxmlformats.org/officeDocument/2006/relationships/hyperlink" Target="https://www.funcionpublica.gov.co/eva/gestornormativo/norma.php?i=25678" TargetMode="External"/><Relationship Id="rId5" Type="http://schemas.openxmlformats.org/officeDocument/2006/relationships/hyperlink" Target="https://bibliotecadigital.ccb.org.co/server/api/core/bitstreams/56eea614-11b5-49ad-a103-656fabc70bb7/content" TargetMode="External"/><Relationship Id="rId4" Type="http://schemas.openxmlformats.org/officeDocument/2006/relationships/hyperlink" Target="https://bibliotecadigital.ccb.org.co/bitstream/handle/11520/8346/el%20abc%20de%20esales%202013%20completo.pdf?sequence=1&amp;isAllowed=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51D68E63-ABFD-48D7-ABCE-BC24FC529349}">
  <ds:schemaRefs>
    <ds:schemaRef ds:uri="http://schemas.openxmlformats.org/officeDocument/2006/bibliography"/>
  </ds:schemaRefs>
</ds:datastoreItem>
</file>

<file path=customXml/itemProps3.xml><?xml version="1.0" encoding="utf-8"?>
<ds:datastoreItem xmlns:ds="http://schemas.openxmlformats.org/officeDocument/2006/customXml" ds:itemID="{46B96394-EAC1-4578-B387-87983B37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26</Pages>
  <Words>8939</Words>
  <Characters>49170</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cp:revision>
  <cp:lastPrinted>2023-01-10T18:18:00Z</cp:lastPrinted>
  <dcterms:created xsi:type="dcterms:W3CDTF">2026-07-28T14:20:00Z</dcterms:created>
  <dcterms:modified xsi:type="dcterms:W3CDTF">2026-07-28T15:11:00Z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