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D5B6" w14:textId="101587AF" w:rsidR="009D1B9D" w:rsidRPr="009D1B9D" w:rsidRDefault="009D1B9D" w:rsidP="009D1B9D">
      <w:pPr>
        <w:spacing w:after="0" w:line="240" w:lineRule="auto"/>
        <w:jc w:val="both"/>
        <w:rPr>
          <w:rFonts w:ascii="Verdana" w:hAnsi="Verdana" w:cs="Arial"/>
          <w:b/>
          <w:lang w:val="es-MX" w:eastAsia="en-US"/>
        </w:rPr>
      </w:pPr>
      <w:r w:rsidRPr="009D1B9D">
        <w:rPr>
          <w:rFonts w:ascii="Verdana" w:hAnsi="Verdana" w:cs="Arial"/>
          <w:b/>
          <w:lang w:val="es-MX" w:eastAsia="en-US"/>
        </w:rPr>
        <w:t xml:space="preserve">INHABILIDADES E INCOMPATIBILIDADES </w:t>
      </w:r>
      <w:r w:rsidR="00C15824" w:rsidRPr="00C15824">
        <w:rPr>
          <w:rFonts w:ascii="Verdana" w:hAnsi="Verdana" w:cs="Arial"/>
          <w:b/>
          <w:bCs/>
          <w:lang w:val="es-ES" w:eastAsia="en-US"/>
        </w:rPr>
        <w:t>–</w:t>
      </w:r>
      <w:r w:rsidRPr="009D1B9D">
        <w:rPr>
          <w:rFonts w:ascii="Verdana" w:hAnsi="Verdana" w:cs="Arial"/>
          <w:b/>
          <w:lang w:val="es-MX" w:eastAsia="en-US"/>
        </w:rPr>
        <w:t xml:space="preserve"> Definición </w:t>
      </w:r>
      <w:r w:rsidR="00C15824" w:rsidRPr="00C15824">
        <w:rPr>
          <w:rFonts w:ascii="Verdana" w:hAnsi="Verdana" w:cs="Arial"/>
          <w:b/>
          <w:bCs/>
          <w:lang w:val="es-ES" w:eastAsia="en-US"/>
        </w:rPr>
        <w:t>–</w:t>
      </w:r>
      <w:r w:rsidRPr="009D1B9D">
        <w:rPr>
          <w:rFonts w:ascii="Verdana" w:hAnsi="Verdana" w:cs="Arial"/>
          <w:b/>
          <w:lang w:val="es-MX" w:eastAsia="en-US"/>
        </w:rPr>
        <w:t xml:space="preserve"> fundamento – clases </w:t>
      </w:r>
    </w:p>
    <w:p w14:paraId="73E8757D" w14:textId="77777777" w:rsidR="009D1B9D" w:rsidRPr="009D1B9D" w:rsidRDefault="009D1B9D" w:rsidP="009D1B9D">
      <w:pPr>
        <w:spacing w:after="0" w:line="240" w:lineRule="auto"/>
        <w:jc w:val="both"/>
        <w:rPr>
          <w:rFonts w:ascii="Verdana" w:hAnsi="Verdana" w:cs="Arial"/>
          <w:b/>
          <w:lang w:val="es-MX" w:eastAsia="en-US"/>
        </w:rPr>
      </w:pPr>
    </w:p>
    <w:p w14:paraId="37F03C77" w14:textId="77777777" w:rsidR="009D1B9D" w:rsidRPr="009D1B9D" w:rsidRDefault="009D1B9D" w:rsidP="009D1B9D">
      <w:pPr>
        <w:spacing w:after="0" w:line="240" w:lineRule="auto"/>
        <w:jc w:val="both"/>
        <w:rPr>
          <w:rFonts w:ascii="Verdana" w:hAnsi="Verdana" w:cs="Arial"/>
          <w:sz w:val="20"/>
          <w:lang w:val="es-MX" w:eastAsia="en-US"/>
        </w:rPr>
      </w:pPr>
      <w:r w:rsidRPr="009D1B9D">
        <w:rPr>
          <w:rFonts w:ascii="Verdana" w:hAnsi="Verdana" w:cs="Arial"/>
          <w:sz w:val="20"/>
          <w:lang w:val="es-MX" w:eastAsia="en-US"/>
        </w:rPr>
        <w:t>Las inhabilidades e incompatibilidades pueden enfocarse en varios asuntos: en primer lugar, se encuentran las inhabilidades e incompatibilidades que impiden que u</w:t>
      </w:r>
      <w:proofErr w:type="spellStart"/>
      <w:r w:rsidRPr="009D1B9D">
        <w:rPr>
          <w:rFonts w:ascii="Verdana" w:hAnsi="Verdana" w:cs="Arial"/>
          <w:sz w:val="20"/>
          <w:lang w:eastAsia="en-US"/>
        </w:rPr>
        <w:t>na</w:t>
      </w:r>
      <w:proofErr w:type="spellEnd"/>
      <w:r w:rsidRPr="009D1B9D">
        <w:rPr>
          <w:rFonts w:ascii="Verdana" w:hAnsi="Verdana" w:cs="Arial"/>
          <w:sz w:val="20"/>
          <w:lang w:eastAsia="en-US"/>
        </w:rPr>
        <w:t xml:space="preserve">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w:t>
      </w:r>
      <w:r w:rsidRPr="009D1B9D">
        <w:rPr>
          <w:rFonts w:ascii="Verdana" w:hAnsi="Verdana" w:cs="Arial"/>
          <w:sz w:val="20"/>
          <w:lang w:val="es-MX" w:eastAsia="en-US"/>
        </w:rPr>
        <w:t xml:space="preserve">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w:t>
      </w:r>
      <w:proofErr w:type="gramStart"/>
      <w:r w:rsidRPr="009D1B9D">
        <w:rPr>
          <w:rFonts w:ascii="Verdana" w:hAnsi="Verdana" w:cs="Arial"/>
          <w:sz w:val="20"/>
          <w:lang w:val="es-MX" w:eastAsia="en-US"/>
        </w:rPr>
        <w:t>De acuerdo a</w:t>
      </w:r>
      <w:proofErr w:type="gramEnd"/>
      <w:r w:rsidRPr="009D1B9D">
        <w:rPr>
          <w:rFonts w:ascii="Verdana" w:hAnsi="Verdana" w:cs="Arial"/>
          <w:sz w:val="20"/>
          <w:lang w:val="es-MX" w:eastAsia="en-US"/>
        </w:rPr>
        <w:t xml:space="preserve"> lo expuesto, se señala que la Agencia Nacional de Contratación Pública es competente para resolver consultas sobre normas del sistema de compras y contratación públicas que establezca inhabilidades e incompatibilidades para contratar con el Estado. </w:t>
      </w:r>
    </w:p>
    <w:p w14:paraId="164C650B" w14:textId="77777777" w:rsidR="009D1B9D" w:rsidRPr="009D1B9D" w:rsidRDefault="009D1B9D" w:rsidP="009D1B9D">
      <w:pPr>
        <w:spacing w:after="0" w:line="240" w:lineRule="auto"/>
        <w:jc w:val="both"/>
        <w:rPr>
          <w:rFonts w:ascii="Verdana" w:hAnsi="Verdana" w:cs="Arial"/>
          <w:b/>
          <w:lang w:val="es-MX" w:eastAsia="en-US"/>
        </w:rPr>
      </w:pPr>
    </w:p>
    <w:p w14:paraId="0BCD193C" w14:textId="7729248B" w:rsidR="009D1B9D" w:rsidRPr="009D1B9D" w:rsidRDefault="009D1B9D" w:rsidP="009D1B9D">
      <w:pPr>
        <w:spacing w:after="0" w:line="240" w:lineRule="auto"/>
        <w:jc w:val="both"/>
        <w:rPr>
          <w:rFonts w:ascii="Verdana" w:hAnsi="Verdana" w:cs="Arial"/>
          <w:b/>
          <w:lang w:val="es-MX" w:eastAsia="en-US"/>
        </w:rPr>
      </w:pPr>
      <w:r w:rsidRPr="009D1B9D">
        <w:rPr>
          <w:rFonts w:ascii="Verdana" w:hAnsi="Verdana" w:cs="Arial"/>
          <w:b/>
          <w:lang w:val="es-MX" w:eastAsia="en-US"/>
        </w:rPr>
        <w:t xml:space="preserve">INHABILIDADES E INCOMPATIBILIDADES </w:t>
      </w:r>
      <w:r w:rsidR="00C15824" w:rsidRPr="00C15824">
        <w:rPr>
          <w:rFonts w:ascii="Verdana" w:hAnsi="Verdana" w:cs="Arial"/>
          <w:b/>
          <w:bCs/>
          <w:lang w:val="es-ES" w:eastAsia="en-US"/>
        </w:rPr>
        <w:t>–</w:t>
      </w:r>
      <w:r w:rsidRPr="009D1B9D">
        <w:rPr>
          <w:rFonts w:ascii="Verdana" w:hAnsi="Verdana" w:cs="Arial"/>
          <w:b/>
          <w:lang w:val="es-MX" w:eastAsia="en-US"/>
        </w:rPr>
        <w:t xml:space="preserve"> Finalidad </w:t>
      </w:r>
      <w:r w:rsidR="00C15824" w:rsidRPr="00C15824">
        <w:rPr>
          <w:rFonts w:ascii="Verdana" w:hAnsi="Verdana" w:cs="Arial"/>
          <w:b/>
          <w:bCs/>
          <w:lang w:val="es-ES" w:eastAsia="en-US"/>
        </w:rPr>
        <w:t>–</w:t>
      </w:r>
      <w:r w:rsidRPr="009D1B9D">
        <w:rPr>
          <w:rFonts w:ascii="Verdana" w:hAnsi="Verdana" w:cs="Arial"/>
          <w:b/>
          <w:lang w:val="es-MX" w:eastAsia="en-US"/>
        </w:rPr>
        <w:t xml:space="preserve"> Limitación capacidad contractual </w:t>
      </w:r>
    </w:p>
    <w:p w14:paraId="564DDC27" w14:textId="77777777" w:rsidR="009D1B9D" w:rsidRPr="009D1B9D" w:rsidRDefault="009D1B9D" w:rsidP="009D1B9D">
      <w:pPr>
        <w:spacing w:after="0" w:line="240" w:lineRule="auto"/>
        <w:jc w:val="both"/>
        <w:rPr>
          <w:rFonts w:ascii="Verdana" w:hAnsi="Verdana" w:cs="Arial"/>
          <w:b/>
          <w:lang w:val="es-MX" w:eastAsia="en-US"/>
        </w:rPr>
      </w:pPr>
    </w:p>
    <w:p w14:paraId="04039758" w14:textId="77777777" w:rsidR="009D1B9D" w:rsidRPr="009D1B9D" w:rsidRDefault="009D1B9D" w:rsidP="009D1B9D">
      <w:pPr>
        <w:spacing w:after="0" w:line="240" w:lineRule="auto"/>
        <w:jc w:val="both"/>
        <w:rPr>
          <w:rFonts w:ascii="Verdana" w:hAnsi="Verdana" w:cs="Arial"/>
          <w:sz w:val="20"/>
          <w:lang w:val="es-MX" w:eastAsia="en-US"/>
        </w:rPr>
      </w:pPr>
      <w:r w:rsidRPr="009D1B9D">
        <w:rPr>
          <w:rFonts w:ascii="Verdana" w:hAnsi="Verdana" w:cs="Arial"/>
          <w:sz w:val="20"/>
          <w:lang w:val="es-MX" w:eastAsia="en-US"/>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p>
    <w:p w14:paraId="18D1AFE9" w14:textId="77777777" w:rsidR="009D1B9D" w:rsidRPr="009D1B9D" w:rsidRDefault="009D1B9D" w:rsidP="009D1B9D">
      <w:pPr>
        <w:spacing w:after="0" w:line="240" w:lineRule="auto"/>
        <w:jc w:val="both"/>
        <w:rPr>
          <w:rFonts w:ascii="Verdana" w:hAnsi="Verdana" w:cs="Arial"/>
          <w:b/>
          <w:lang w:val="es-MX" w:eastAsia="en-US"/>
        </w:rPr>
      </w:pPr>
    </w:p>
    <w:p w14:paraId="3F56462D" w14:textId="77777777" w:rsidR="009D1B9D" w:rsidRPr="009D1B9D" w:rsidRDefault="009D1B9D" w:rsidP="009D1B9D">
      <w:pPr>
        <w:spacing w:after="0" w:line="240" w:lineRule="auto"/>
        <w:jc w:val="both"/>
        <w:rPr>
          <w:rFonts w:ascii="Verdana" w:hAnsi="Verdana" w:cs="Arial"/>
          <w:b/>
          <w:lang w:val="es-ES_tradnl" w:eastAsia="en-US"/>
        </w:rPr>
      </w:pPr>
      <w:r w:rsidRPr="009D1B9D">
        <w:rPr>
          <w:rFonts w:ascii="Verdana" w:hAnsi="Verdana" w:cs="Arial"/>
          <w:b/>
          <w:lang w:val="es-ES_tradnl" w:eastAsia="en-US"/>
        </w:rPr>
        <w:t>INHABILIDADES – Taxatividad – Principio de legalidad – Interpretación restrictiva</w:t>
      </w:r>
      <w:r w:rsidRPr="009D1B9D" w:rsidDel="00A75E55">
        <w:rPr>
          <w:rFonts w:ascii="Verdana" w:hAnsi="Verdana" w:cs="Arial"/>
          <w:b/>
          <w:lang w:val="es-ES_tradnl" w:eastAsia="en-US"/>
        </w:rPr>
        <w:t xml:space="preserve"> </w:t>
      </w:r>
    </w:p>
    <w:p w14:paraId="6BCEFF97" w14:textId="77777777" w:rsidR="009D1B9D" w:rsidRPr="009D1B9D" w:rsidRDefault="009D1B9D" w:rsidP="009D1B9D">
      <w:pPr>
        <w:spacing w:after="0" w:line="240" w:lineRule="auto"/>
        <w:jc w:val="both"/>
        <w:rPr>
          <w:rFonts w:ascii="Verdana" w:hAnsi="Verdana" w:cs="Arial"/>
          <w:b/>
          <w:lang w:val="es-ES_tradnl" w:eastAsia="en-US"/>
        </w:rPr>
      </w:pPr>
    </w:p>
    <w:p w14:paraId="7F303C7D" w14:textId="77777777" w:rsidR="009D1B9D" w:rsidRPr="009D1B9D" w:rsidRDefault="009D1B9D" w:rsidP="009D1B9D">
      <w:pPr>
        <w:spacing w:after="0" w:line="240" w:lineRule="auto"/>
        <w:jc w:val="both"/>
        <w:rPr>
          <w:rFonts w:ascii="Verdana" w:hAnsi="Verdana" w:cs="Arial"/>
          <w:sz w:val="20"/>
          <w:lang w:val="es-ES_tradnl" w:eastAsia="en-US"/>
        </w:rPr>
      </w:pPr>
      <w:r w:rsidRPr="009D1B9D">
        <w:rPr>
          <w:rFonts w:ascii="Verdana" w:hAnsi="Verdana" w:cs="Arial"/>
          <w:sz w:val="20"/>
          <w:lang w:val="es-ES_tradnl" w:eastAsia="en-US"/>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9D1B9D">
        <w:rPr>
          <w:rFonts w:ascii="Verdana" w:hAnsi="Verdana" w:cs="Arial"/>
          <w:i/>
          <w:iCs/>
          <w:sz w:val="20"/>
          <w:lang w:val="es-ES_tradnl" w:eastAsia="en-US"/>
        </w:rPr>
        <w:t xml:space="preserve">restrictiva, </w:t>
      </w:r>
      <w:r w:rsidRPr="009D1B9D">
        <w:rPr>
          <w:rFonts w:ascii="Verdana" w:hAnsi="Verdana" w:cs="Arial"/>
          <w:sz w:val="20"/>
          <w:lang w:val="es-ES_tradnl" w:eastAsia="en-US"/>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788D7254" w14:textId="77777777" w:rsidR="009D1B9D" w:rsidRPr="009D1B9D" w:rsidRDefault="009D1B9D" w:rsidP="009D1B9D">
      <w:pPr>
        <w:spacing w:after="0" w:line="240" w:lineRule="auto"/>
        <w:jc w:val="both"/>
        <w:rPr>
          <w:rFonts w:ascii="Verdana" w:hAnsi="Verdana" w:cs="Arial"/>
          <w:sz w:val="20"/>
          <w:lang w:val="es-ES_tradnl" w:eastAsia="en-US"/>
        </w:rPr>
      </w:pPr>
    </w:p>
    <w:p w14:paraId="65680882" w14:textId="77777777" w:rsidR="009D1B9D" w:rsidRPr="009D1B9D" w:rsidRDefault="009D1B9D" w:rsidP="009D1B9D">
      <w:pPr>
        <w:spacing w:after="0" w:line="240" w:lineRule="auto"/>
        <w:jc w:val="both"/>
        <w:rPr>
          <w:rFonts w:ascii="Verdana" w:hAnsi="Verdana" w:cs="Arial"/>
          <w:sz w:val="20"/>
          <w:lang w:val="es-ES_tradnl" w:eastAsia="en-US"/>
        </w:rPr>
      </w:pPr>
      <w:r w:rsidRPr="009D1B9D">
        <w:rPr>
          <w:rFonts w:ascii="Verdana" w:hAnsi="Verdana" w:cs="Arial"/>
          <w:sz w:val="20"/>
          <w:lang w:val="es-ES_tradnl" w:eastAsia="en-US"/>
        </w:rPr>
        <w:lastRenderedPageBreak/>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p>
    <w:p w14:paraId="5325D19F" w14:textId="77777777" w:rsidR="009D1B9D" w:rsidRPr="009D1B9D" w:rsidRDefault="009D1B9D" w:rsidP="009D1B9D">
      <w:pPr>
        <w:spacing w:after="0" w:line="240" w:lineRule="auto"/>
        <w:jc w:val="both"/>
        <w:rPr>
          <w:rFonts w:ascii="Verdana" w:eastAsia="Verdana" w:hAnsi="Verdana" w:cs="Verdana"/>
          <w:b/>
          <w:bCs/>
        </w:rPr>
      </w:pPr>
    </w:p>
    <w:p w14:paraId="11B99961" w14:textId="77777777" w:rsidR="009D1B9D" w:rsidRPr="009D1B9D" w:rsidRDefault="009D1B9D" w:rsidP="009D1B9D">
      <w:pPr>
        <w:spacing w:after="0" w:line="240" w:lineRule="auto"/>
        <w:jc w:val="both"/>
        <w:rPr>
          <w:rFonts w:ascii="Verdana" w:eastAsia="Verdana" w:hAnsi="Verdana" w:cs="Verdana"/>
          <w:b/>
          <w:bCs/>
        </w:rPr>
      </w:pPr>
      <w:r w:rsidRPr="009D1B9D">
        <w:rPr>
          <w:rFonts w:ascii="Verdana" w:eastAsia="Verdana" w:hAnsi="Verdana" w:cs="Verdana"/>
          <w:b/>
          <w:bCs/>
        </w:rPr>
        <w:t xml:space="preserve">INHABILIDAD SOBREVINIENTE – Artículo 9 de la Ley 80 de 1993 – Alcance – Régimen general – Régimen especial Ley 2014 de 2019 </w:t>
      </w:r>
    </w:p>
    <w:p w14:paraId="1A188353" w14:textId="77777777" w:rsidR="009D1B9D" w:rsidRDefault="009D1B9D" w:rsidP="009D1B9D">
      <w:pPr>
        <w:spacing w:after="0" w:line="240" w:lineRule="auto"/>
        <w:jc w:val="both"/>
        <w:rPr>
          <w:rFonts w:ascii="Verdana" w:eastAsia="Verdana" w:hAnsi="Verdana" w:cs="Verdana"/>
        </w:rPr>
      </w:pPr>
    </w:p>
    <w:p w14:paraId="787D171E"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 xml:space="preserve">Por otra parte, frente a las inhabilidades o incompatibilidades que tienen carácter sobreviniente, es necesario tener en cuenta que el ordenamiento jurídico trata de manera distinta al oferente, al adjudicatario y al contratista. </w:t>
      </w:r>
      <w:r w:rsidRPr="009D1B9D">
        <w:rPr>
          <w:rFonts w:ascii="Verdana" w:eastAsia="Verdana" w:hAnsi="Verdana" w:cs="Verdana"/>
          <w:i/>
          <w:sz w:val="20"/>
          <w:szCs w:val="20"/>
        </w:rPr>
        <w:t>Respecto al oferente</w:t>
      </w:r>
      <w:r w:rsidRPr="009D1B9D">
        <w:rPr>
          <w:rFonts w:ascii="Verdana" w:eastAsia="Verdana" w:hAnsi="Verdana" w:cs="Verdana"/>
          <w:sz w:val="20"/>
          <w:szCs w:val="20"/>
        </w:rPr>
        <w:t xml:space="preserve">, el inciso segundo del artículo 9 de la Ley 80 de 1993 dispone que “Cuando la inhabilidad o incompatibilidad sobrevenga en un proponente dentro de un proceso de selección, se entenderá que renuncia a la participación en el proceso de selección y a los derechos surgidos del mismo”. </w:t>
      </w:r>
    </w:p>
    <w:p w14:paraId="59A731F9" w14:textId="77777777" w:rsidR="009D1B9D" w:rsidRPr="009D1B9D" w:rsidRDefault="009D1B9D" w:rsidP="009D1B9D">
      <w:pPr>
        <w:spacing w:after="0" w:line="240" w:lineRule="auto"/>
        <w:jc w:val="both"/>
        <w:rPr>
          <w:rFonts w:ascii="Verdana" w:eastAsia="Verdana" w:hAnsi="Verdana" w:cs="Verdana"/>
          <w:sz w:val="20"/>
          <w:szCs w:val="20"/>
        </w:rPr>
      </w:pPr>
    </w:p>
    <w:p w14:paraId="71ECE3B0"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Dicha presunción de renuncia a la participación y a los derechos surgidos del mismo, en caso de contar con resolución de adjudicación, debe interpretarse en conjunto con el artículo 9 de la Ley 1150 de 2007, el cual consagra dos (2) reglas especiales en los que la norma da la posibilidad a una Entidad Estatal para que adjudique nuevamente el contrato al proponente calificado en segundo lugar, y esto es, cuando dentro del plazo comprendido entre la adjudicación del contrato y la suscripción del mismo, el acto administrativo de adjudicación es revocado porque sobrevino una inhabilidad o incompatibilidad o si se demuestra que el acto se obtuvo por medios ilegales, caso en el cual, “la entidad podrá aplicar lo previsto en el inciso final del numeral 12 del artículo 30 de la Ley 80 de 1993”.</w:t>
      </w:r>
    </w:p>
    <w:p w14:paraId="5524A08F" w14:textId="77777777" w:rsidR="009D1B9D" w:rsidRPr="009D1B9D" w:rsidRDefault="009D1B9D" w:rsidP="009D1B9D">
      <w:pPr>
        <w:spacing w:after="0" w:line="240" w:lineRule="auto"/>
        <w:jc w:val="both"/>
        <w:rPr>
          <w:rFonts w:ascii="Verdana" w:eastAsia="Verdana" w:hAnsi="Verdana" w:cs="Verdana"/>
          <w:sz w:val="20"/>
          <w:szCs w:val="20"/>
        </w:rPr>
      </w:pPr>
    </w:p>
    <w:p w14:paraId="27E7D8A4"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La segunda regla, trata de aquellos casos en que la Entidad Estatal declare la caducidad del contrato y se encuentre pendiente de ejecución un porcentaje igual o superior al cincuenta por ciento (50%) del mismo, la norma indica que la Entidad Estatal podrá contratar al proponente calificado en el segundo lugar en el proceso de selección respectivo, previa revisión de las condiciones a que haya lugar, con excepción de los contratos de concesión.</w:t>
      </w:r>
    </w:p>
    <w:p w14:paraId="530FEAC6" w14:textId="77777777" w:rsidR="009D1B9D" w:rsidRPr="009D1B9D" w:rsidRDefault="009D1B9D" w:rsidP="009D1B9D">
      <w:pPr>
        <w:spacing w:after="0" w:line="240" w:lineRule="auto"/>
        <w:jc w:val="both"/>
        <w:rPr>
          <w:rFonts w:ascii="Verdana" w:eastAsia="Verdana" w:hAnsi="Verdana" w:cs="Verdana"/>
          <w:sz w:val="20"/>
          <w:szCs w:val="20"/>
        </w:rPr>
      </w:pPr>
    </w:p>
    <w:p w14:paraId="75904408" w14:textId="046ECF3E" w:rsidR="009D1B9D" w:rsidRPr="009D1B9D" w:rsidRDefault="009D1B9D" w:rsidP="009D1B9D">
      <w:pPr>
        <w:spacing w:after="0" w:line="240" w:lineRule="auto"/>
        <w:jc w:val="both"/>
        <w:rPr>
          <w:rFonts w:ascii="Verdana" w:eastAsia="Verdana" w:hAnsi="Verdana" w:cs="Verdana"/>
          <w:sz w:val="20"/>
          <w:szCs w:val="20"/>
        </w:rPr>
      </w:pPr>
      <w:proofErr w:type="gramStart"/>
      <w:r w:rsidRPr="009D1B9D">
        <w:rPr>
          <w:rFonts w:ascii="Verdana" w:eastAsia="Verdana" w:hAnsi="Verdana" w:cs="Verdana"/>
          <w:sz w:val="20"/>
          <w:szCs w:val="20"/>
        </w:rPr>
        <w:t xml:space="preserve">En relación </w:t>
      </w:r>
      <w:r w:rsidRPr="009D1B9D">
        <w:rPr>
          <w:rFonts w:ascii="Verdana" w:eastAsia="Verdana" w:hAnsi="Verdana" w:cs="Verdana"/>
          <w:i/>
          <w:iCs/>
          <w:sz w:val="20"/>
          <w:szCs w:val="20"/>
        </w:rPr>
        <w:t>al</w:t>
      </w:r>
      <w:proofErr w:type="gramEnd"/>
      <w:r w:rsidRPr="009D1B9D">
        <w:rPr>
          <w:rFonts w:ascii="Verdana" w:eastAsia="Verdana" w:hAnsi="Verdana" w:cs="Verdana"/>
          <w:i/>
          <w:iCs/>
          <w:sz w:val="20"/>
          <w:szCs w:val="20"/>
        </w:rPr>
        <w:t xml:space="preserve"> contratista</w:t>
      </w:r>
      <w:r w:rsidRPr="009D1B9D">
        <w:rPr>
          <w:rFonts w:ascii="Verdana" w:eastAsia="Verdana" w:hAnsi="Verdana" w:cs="Verdana"/>
          <w:sz w:val="20"/>
          <w:szCs w:val="20"/>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9D1B9D">
        <w:rPr>
          <w:rFonts w:ascii="Verdana" w:eastAsia="Verdana" w:hAnsi="Verdana" w:cs="Verdana"/>
          <w:i/>
          <w:iCs/>
          <w:sz w:val="20"/>
          <w:szCs w:val="20"/>
        </w:rPr>
        <w:t>ibidem</w:t>
      </w:r>
      <w:r w:rsidRPr="009D1B9D">
        <w:rPr>
          <w:rFonts w:ascii="Verdana" w:eastAsia="Verdana" w:hAnsi="Verdana" w:cs="Verdana"/>
          <w:sz w:val="20"/>
          <w:szCs w:val="20"/>
        </w:rPr>
        <w:t xml:space="preserve"> agrega lo siguiente: “Si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w:t>
      </w:r>
    </w:p>
    <w:p w14:paraId="136DDB27" w14:textId="77777777" w:rsidR="009D1B9D" w:rsidRPr="009D1B9D" w:rsidRDefault="009D1B9D" w:rsidP="009D1B9D">
      <w:pPr>
        <w:spacing w:after="0" w:line="240" w:lineRule="auto"/>
        <w:jc w:val="both"/>
        <w:rPr>
          <w:rFonts w:ascii="Verdana" w:eastAsia="Verdana" w:hAnsi="Verdana" w:cs="Verdana"/>
          <w:sz w:val="20"/>
          <w:szCs w:val="20"/>
        </w:rPr>
      </w:pPr>
    </w:p>
    <w:p w14:paraId="778A996A"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lastRenderedPageBreak/>
        <w:t xml:space="preserve">Ahora bien, el régimen descrito corresponde a la regla general aplicable a las inhabilidades e incompatibilidades sobrevinientes. El legislador estableció, sin embargo, un tratamiento especial para la inhabilidad prevista en el literal j) del numeral 1 del artículo 8 de la Ley 80 de 1993, mediante el parágrafo 1º del artículo 9 </w:t>
      </w:r>
      <w:proofErr w:type="spellStart"/>
      <w:r w:rsidRPr="009D1B9D">
        <w:rPr>
          <w:rFonts w:ascii="Verdana" w:eastAsia="Verdana" w:hAnsi="Verdana" w:cs="Verdana"/>
          <w:i/>
          <w:iCs/>
          <w:sz w:val="20"/>
          <w:szCs w:val="20"/>
        </w:rPr>
        <w:t>Ibídem</w:t>
      </w:r>
      <w:proofErr w:type="spellEnd"/>
      <w:r w:rsidRPr="009D1B9D">
        <w:rPr>
          <w:rFonts w:ascii="Verdana" w:eastAsia="Verdana" w:hAnsi="Verdana" w:cs="Verdana"/>
          <w:sz w:val="20"/>
          <w:szCs w:val="20"/>
        </w:rPr>
        <w:t>, adicionado por el artículo 6 de la Ley 2014 de 2019, en el marco del fortalecimiento de las medidas de lucha contra la corrupción en la contratación estatal. En dicho supuesto, el ordenamiento excluyó la aplicación de los mecanismos ordinarios de conservación del vínculo contractual, previendo consecuencias más severas frente al contratista o al integrante del esquema asociativo incurso en la causal. Como la consulta delimitó expresamente su objeto a las inhabilidades sobrevinientes distintas de la contemplada en el referido literal j), las consideraciones del presente concepto se circunscriben al régimen general, sin que resulten extensibles a los eventos comprendidos en el régimen especial mencionado. Esta delimitación es, además, consistente con el carácter taxativo y de interpretación restrictiva del régimen de inhabilidades, pues impide trasladar a la regla general las consecuencias agravadas que el legislador reservó para un supuesto específico.</w:t>
      </w:r>
    </w:p>
    <w:p w14:paraId="6BD578DD" w14:textId="77777777" w:rsidR="009D1B9D" w:rsidRDefault="009D1B9D" w:rsidP="009D1B9D">
      <w:pPr>
        <w:spacing w:after="0" w:line="240" w:lineRule="auto"/>
        <w:jc w:val="both"/>
        <w:rPr>
          <w:rFonts w:ascii="Verdana" w:eastAsia="Verdana" w:hAnsi="Verdana" w:cs="Verdana"/>
        </w:rPr>
      </w:pPr>
    </w:p>
    <w:p w14:paraId="5103FE9B" w14:textId="77777777" w:rsidR="009D1B9D" w:rsidRPr="009D1B9D" w:rsidRDefault="009D1B9D" w:rsidP="009D1B9D">
      <w:pPr>
        <w:spacing w:after="0" w:line="240" w:lineRule="auto"/>
        <w:jc w:val="both"/>
        <w:rPr>
          <w:rFonts w:ascii="Verdana" w:eastAsia="Verdana" w:hAnsi="Verdana" w:cs="Verdana"/>
          <w:b/>
          <w:bCs/>
        </w:rPr>
      </w:pPr>
      <w:r w:rsidRPr="009D1B9D">
        <w:rPr>
          <w:rFonts w:ascii="Verdana" w:eastAsia="Verdana" w:hAnsi="Verdana" w:cs="Verdana"/>
          <w:b/>
          <w:bCs/>
        </w:rPr>
        <w:t>INHABILIDAD SOBREVINIENTE – Consorcio – Unión temporal – Integrante – Deber de información – Debido proceso</w:t>
      </w:r>
    </w:p>
    <w:p w14:paraId="65D092D1" w14:textId="77777777" w:rsidR="009D1B9D" w:rsidRPr="009D1B9D" w:rsidRDefault="009D1B9D" w:rsidP="009D1B9D">
      <w:pPr>
        <w:spacing w:after="0" w:line="240" w:lineRule="auto"/>
        <w:jc w:val="both"/>
        <w:rPr>
          <w:rFonts w:ascii="Verdana" w:eastAsia="Verdana" w:hAnsi="Verdana" w:cs="Verdana"/>
          <w:sz w:val="20"/>
          <w:szCs w:val="20"/>
        </w:rPr>
      </w:pPr>
    </w:p>
    <w:p w14:paraId="505A1201" w14:textId="4DDF48E9"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No obstante, es importante precisar que la configuración de una inhabilidad o incompatibilidad sobreviniente no produce automáticamente los efectos previstos en el ordenamiento jurídico, sino que exige el respeto del derecho fundamental al debido proceso. Sobre el particular, la Sala de Consulta y Servicio Civil del Consejo de Estado precisó que, por tratarse de una restricción a la capacidad para contratar con el Estado, "es necesario garantizar y acatar el principio del debido proceso (art. 29 C.P.) y, en particular, los derechos de defensa y contradicción del eventual afectado, para que la entidad estatal declare la existencia de la causal correspondiente y se pueda aplicar la inhabilidad". De esta manera, la autoridad contratante no puede partir de la simple existencia de un hecho que, en principio, configure una inhabilidad o incompatibilidad, sino que debe verificar su ocurrencia mediante una actuación administrativa que permita al contratista ejercer plenamente sus derechos de defensa y contradicción.</w:t>
      </w:r>
    </w:p>
    <w:p w14:paraId="0F1C5B17" w14:textId="77777777" w:rsidR="009D1B9D" w:rsidRPr="009D1B9D" w:rsidRDefault="009D1B9D" w:rsidP="009D1B9D">
      <w:pPr>
        <w:spacing w:after="0" w:line="240" w:lineRule="auto"/>
        <w:jc w:val="both"/>
        <w:rPr>
          <w:rFonts w:ascii="Verdana" w:eastAsia="Verdana" w:hAnsi="Verdana" w:cs="Verdana"/>
          <w:sz w:val="20"/>
          <w:szCs w:val="20"/>
        </w:rPr>
      </w:pPr>
    </w:p>
    <w:p w14:paraId="2A71A0FB"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En el mismo sentido, el Consejo de Estado explicó que la decisión mediante la cual se determina la existencia de la causal constituye una manifestación del ejercicio de la función administrativa y, por ello, debe adoptarse mediante un acto debidamente motivado, precedido de una actuación en la que el afectado tenga la oportunidad de pronunciarse, aportar pruebas y controvertir los hechos que sirven de fundamento a la decisión. Por tanto, una vez la entidad tenga conocimiento de la posible configuración de una inhabilidad o incompatibilidad sobreviniente, deberá adelantar la actuación administrativa correspondiente para establecer la efectiva configuración de la causal y garantizar el ejercicio de los derechos de defensa y contradicción del contratista. Solo una vez concluida dicha actuación y determinada la existencia de la inhabilidad, procederá requerir al integrante afectado para que cumpla el deber previsto en el artículo 9 de la Ley 80 de 1993, consistente en ceder su participación a un tercero, previa autorización escrita de la entidad contratante.</w:t>
      </w:r>
    </w:p>
    <w:p w14:paraId="6449A4AF" w14:textId="77777777" w:rsidR="009D1B9D" w:rsidRPr="00477480" w:rsidRDefault="009D1B9D" w:rsidP="009D1B9D">
      <w:pPr>
        <w:spacing w:after="0" w:line="240" w:lineRule="auto"/>
        <w:jc w:val="both"/>
        <w:rPr>
          <w:rFonts w:ascii="Verdana" w:eastAsia="Verdana" w:hAnsi="Verdana" w:cs="Verdana"/>
          <w:b/>
          <w:bCs/>
        </w:rPr>
      </w:pPr>
    </w:p>
    <w:p w14:paraId="4181EBEC"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t>CESIÓN – Participación – Tercero – Autorización previa – Requisitos del cesionario – Imposibilidad material</w:t>
      </w:r>
    </w:p>
    <w:p w14:paraId="52B032CE" w14:textId="77777777" w:rsidR="009D1B9D" w:rsidRDefault="009D1B9D" w:rsidP="009D1B9D">
      <w:pPr>
        <w:spacing w:after="0" w:line="240" w:lineRule="auto"/>
        <w:jc w:val="both"/>
        <w:rPr>
          <w:rFonts w:ascii="Verdana" w:eastAsia="Verdana" w:hAnsi="Verdana" w:cs="Verdana"/>
        </w:rPr>
      </w:pPr>
    </w:p>
    <w:p w14:paraId="0486CCDA" w14:textId="19ED2568" w:rsid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 xml:space="preserve">En este escenario, en el que la inhabilidad o incompatibilidad sobreviene en uno de los miembros de un consorcio o unión temporal, este deberá ceder su participación a un tercero previa autorización escrita de la entidad contratante, lo cual implica que la continuidad del contrato solo puede asegurarse mediante una cesión externa, autorizada de manera previa, expresa y formal por la entidad, conforme a las exigencias del inciso tercero del artículo 41 de la Ley 80 de 1993. Así mismo, la expresión según la cual “en ningún caso podrá haber cesión del contrato entre quienes integran el consorcio o unión temporal” significa que los miembros de estas figuras asociativas no pueden transferirse entre sí la participación contractual ni redistribuir internamente las obligaciones, porcentajes o derechos derivados del contrato estatal.  </w:t>
      </w:r>
    </w:p>
    <w:p w14:paraId="66F31A6B" w14:textId="17C53B76" w:rsidR="00477480" w:rsidRP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 xml:space="preserve">    </w:t>
      </w:r>
    </w:p>
    <w:p w14:paraId="49265B2A" w14:textId="426D7666" w:rsidR="009D1B9D"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En efecto, la jurisprudencia constitucional ha precisado el alcance del artículo 9 de la Ley 80 de 1993 y el régimen aplicable a las inhabilidades e incompatibilidades sobrevinientes. En la Sentencia C-221 de 1996, la Corte Constitucional explicó que, dado que estas circunstancias no siempre se presentan antes de la celebración del contrato, el legislador debía establecer reglas claras para los eventos en que surgieran en la etapa de ejecución contractual. Bajo ese entendimiento, declaró ajustada a la Constitución la obligación del contratista afectado por una inhabilidad sobreviniente de ceder el contrato, previa autorización de la entidad estatal, o renunciar a su ejecución cuando ello no fuere posible, así como la obligación especial para el integrante de un consorcio o unión temporal de ceder su participación a un tercero cuando la causal recaiga exclusivamente sobre uno de sus miembros - evento en el cual no es posible la renuncia-. La Corte resaltó que estas medidas no tienen naturaleza sancionatoria, ni dependen de la culpabilidad o de la voluntad del contratista, sino que constituyen reglas objetivas encaminadas a impedir que quien se encuentra incurso en una causal de inhabilidad o incompatibilidad continúe vinculado con el Estado, preservando la moralidad, la transparencia y la integridad de la contratación pública</w:t>
      </w:r>
      <w:r>
        <w:rPr>
          <w:rFonts w:ascii="Verdana" w:eastAsia="Verdana" w:hAnsi="Verdana" w:cs="Verdana"/>
          <w:sz w:val="20"/>
          <w:szCs w:val="20"/>
        </w:rPr>
        <w:t>.</w:t>
      </w:r>
    </w:p>
    <w:p w14:paraId="26014628" w14:textId="77777777" w:rsidR="00477480" w:rsidRPr="00477480" w:rsidRDefault="00477480" w:rsidP="00477480">
      <w:pPr>
        <w:spacing w:after="0" w:line="240" w:lineRule="auto"/>
        <w:jc w:val="both"/>
        <w:rPr>
          <w:rFonts w:ascii="Verdana" w:eastAsia="Verdana" w:hAnsi="Verdana" w:cs="Verdana"/>
          <w:sz w:val="20"/>
          <w:szCs w:val="20"/>
        </w:rPr>
      </w:pPr>
    </w:p>
    <w:p w14:paraId="7253DDF1"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t xml:space="preserve">TERMINACIÓN UNILATERAL – Artículo 17 de la Ley 80 de 1993 – Causal 1 – Exigencias del servicio público – Procedencia – Cláusulas excepcionales – Artículo 14 de la Ley 80 de 1993 </w:t>
      </w:r>
    </w:p>
    <w:p w14:paraId="54376F8E" w14:textId="77777777" w:rsidR="009D1B9D" w:rsidRDefault="009D1B9D" w:rsidP="009D1B9D">
      <w:pPr>
        <w:spacing w:after="0" w:line="240" w:lineRule="auto"/>
        <w:jc w:val="both"/>
        <w:rPr>
          <w:rFonts w:ascii="Verdana" w:eastAsia="Verdana" w:hAnsi="Verdana" w:cs="Verdana"/>
        </w:rPr>
      </w:pPr>
    </w:p>
    <w:p w14:paraId="219C03E2" w14:textId="77777777" w:rsid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 xml:space="preserve">La primera modalidad corresponde a la terminación unilateral propiamente dicha, regulada por el artículo 17 de la Ley 80 de 1993. Se trata de una potestad excepcional conferida a la Administración para poner fin anticipadamente al contrato cuando las exigencias del servicio público lo requieran o la situación de orden público lo imponga. A diferencia de las demás modalidades, esta facultad no presupone un incumplimiento del contratista, ni la existencia de un vicio que afecte la validez del contrato desde su celebración. Su fundamento radica en la necesidad de garantizar la continuidad, eficiencia y adecuada prestación del servicio público, permitiendo a la Administración adoptar decisiones orientadas a proteger el interés general cuando sobrevienen </w:t>
      </w:r>
      <w:r w:rsidRPr="009D1B9D">
        <w:rPr>
          <w:rFonts w:ascii="Verdana" w:eastAsia="Verdana" w:hAnsi="Verdana" w:cs="Verdana"/>
          <w:sz w:val="20"/>
          <w:szCs w:val="20"/>
        </w:rPr>
        <w:lastRenderedPageBreak/>
        <w:t>circunstancias que hacen incompatible la permanencia del vínculo contractual con los fines que justificaron su celebración. Precisamente por ello, la terminación prevista en el artículo 17 constituye una potestad de naturaleza preventiva y no sancionatoria, cuya finalidad consiste en preservar la correcta satisfacción del interés público y no en reprochar una conducta atribuible al contratista.</w:t>
      </w:r>
    </w:p>
    <w:p w14:paraId="7080B5A4" w14:textId="77777777" w:rsidR="00925909" w:rsidRPr="009D1B9D" w:rsidRDefault="00925909" w:rsidP="009D1B9D">
      <w:pPr>
        <w:spacing w:after="0" w:line="240" w:lineRule="auto"/>
        <w:jc w:val="both"/>
        <w:rPr>
          <w:rFonts w:ascii="Verdana" w:eastAsia="Verdana" w:hAnsi="Verdana" w:cs="Verdana"/>
          <w:sz w:val="20"/>
          <w:szCs w:val="20"/>
        </w:rPr>
      </w:pPr>
    </w:p>
    <w:p w14:paraId="794DA73A"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La caracterización de la terminación unilateral del artículo 17 como potestad excepcional impone considerar el régimen del artículo 14 de la Ley 80 de 1993, que condiciona su procedencia en un doble sentido. En primer término, conforme al numeral 2 del artículo 14, las cláusulas excepcionales de terminación, interpretación y modificación unilaterales se pactan obligatoriamente en los contratos que tengan por objeto el ejercicio de una actividad que constituya monopolio estatal, la prestación de servicios públicos o la explotación y concesión de bienes del Estado, así como en los contratos de obra; son de pacto facultativo en los contratos de suministro y de prestación de servicios; y se encuentran excluidas en las demás tipologías contractuales señaladas por la norma. De ello se sigue que la terminación unilateral no constituye una herramienta universalmente disponible: su ejercicio presupone que, en el contrato respectivo, la cláusula excepcional se haya pactado o se entienda pactada por ministerio de la ley. En los contratos en los que dicha potestad no resulte procedente, la entidad deberá acudir a los demás mecanismos señalados en este concepto, en particular la terminación de mutuo acuerdo o la intervención del juez del contrato.</w:t>
      </w:r>
    </w:p>
    <w:p w14:paraId="63D6F74C" w14:textId="77777777" w:rsidR="009D1B9D" w:rsidRDefault="009D1B9D" w:rsidP="009D1B9D">
      <w:pPr>
        <w:spacing w:after="0" w:line="240" w:lineRule="auto"/>
        <w:jc w:val="both"/>
        <w:rPr>
          <w:rFonts w:ascii="Verdana" w:eastAsia="Verdana" w:hAnsi="Verdana" w:cs="Verdana"/>
        </w:rPr>
      </w:pPr>
    </w:p>
    <w:p w14:paraId="1656CBE5"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t>TERMINACIÓN UNILATERAL – Deber de motivación – Falsa motivación – Riesgo de nulidad</w:t>
      </w:r>
    </w:p>
    <w:p w14:paraId="0D0D384D" w14:textId="77777777" w:rsidR="009D1B9D" w:rsidRPr="009D1B9D" w:rsidRDefault="009D1B9D" w:rsidP="009D1B9D">
      <w:pPr>
        <w:spacing w:after="0" w:line="240" w:lineRule="auto"/>
        <w:jc w:val="both"/>
        <w:rPr>
          <w:rFonts w:ascii="Verdana" w:eastAsia="Verdana" w:hAnsi="Verdana" w:cs="Verdana"/>
          <w:sz w:val="20"/>
          <w:szCs w:val="20"/>
        </w:rPr>
      </w:pPr>
    </w:p>
    <w:p w14:paraId="6B65F5F9" w14:textId="4CCB50FA" w:rsid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Una motivación rigurosa constituye un presupuesto indispensable para el ejercicio válido de esta potestad excepcional, en tanto permite demostrar que la decisión se adopta para preservar la adecuada prestación del servicio público y no como resultado de apreciaciones arbitrarias o ajenas a la realidad fáctica. Solo a partir de una exposición clara, completa y verificable de las razones que justifican la intervención administrativa es posible asegurar que la autoridad actuó dentro de los límites de la legalidad y con sujeción al principio de proporcionalidad. Al respecto, el Consejo de Estado ha expresado que, "</w:t>
      </w:r>
      <w:r w:rsidRPr="009D1B9D">
        <w:rPr>
          <w:rFonts w:ascii="Verdana" w:eastAsia="Verdana" w:hAnsi="Verdana" w:cs="Verdana"/>
          <w:i/>
          <w:iCs/>
          <w:sz w:val="20"/>
          <w:szCs w:val="20"/>
        </w:rPr>
        <w:t>si los fundamentos de hecho y de derecho que aduce la entidad para su declaratoria no se acompasan con aquellos que dan lugar a la aplicación de esta figura, el acto demandado estará viciado y habrá lugar a declarar su nulidad</w:t>
      </w:r>
      <w:r w:rsidRPr="009D1B9D">
        <w:rPr>
          <w:rFonts w:ascii="Verdana" w:eastAsia="Verdana" w:hAnsi="Verdana" w:cs="Verdana"/>
          <w:sz w:val="20"/>
          <w:szCs w:val="20"/>
        </w:rPr>
        <w:t xml:space="preserve">". </w:t>
      </w:r>
    </w:p>
    <w:p w14:paraId="43B9DFCB" w14:textId="77777777" w:rsidR="009D1B9D" w:rsidRPr="009D1B9D" w:rsidRDefault="009D1B9D" w:rsidP="009D1B9D">
      <w:pPr>
        <w:spacing w:after="0" w:line="240" w:lineRule="auto"/>
        <w:jc w:val="both"/>
        <w:rPr>
          <w:rFonts w:ascii="Verdana" w:eastAsia="Verdana" w:hAnsi="Verdana" w:cs="Verdana"/>
          <w:sz w:val="20"/>
          <w:szCs w:val="20"/>
        </w:rPr>
      </w:pPr>
    </w:p>
    <w:p w14:paraId="540121FA" w14:textId="2EEE65AE" w:rsid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Lo anterior se explica porque la motivación no es un requisito meramente formal del acto de terminación unilateral o de caducidad, sino la garantía que permite controlar que la potestad excepcional se ejerció dentro de la causal legal invocada. Sobre el particular, la jurisprudencia contencioso administrativa ha reiterado que el vicio de falsa motivación se configura cuando se demuestra una de dos circunstancias: que los hechos que la Administración tuvo en cuenta como motivos determinantes de la decisión no estuvieron debidamente probados dentro de la actuación administrativa, o que la Administración omitió tener en cuenta hechos que sí estaban demostrados y que, de haberse considerado, habrían conducido a una decisión sustancialmente distinta</w:t>
      </w:r>
      <w:r>
        <w:rPr>
          <w:rFonts w:ascii="Verdana" w:eastAsia="Verdana" w:hAnsi="Verdana" w:cs="Verdana"/>
          <w:sz w:val="20"/>
          <w:szCs w:val="20"/>
        </w:rPr>
        <w:t>.</w:t>
      </w:r>
    </w:p>
    <w:p w14:paraId="73DFED3D" w14:textId="77777777" w:rsidR="009D1B9D" w:rsidRPr="009D1B9D" w:rsidRDefault="009D1B9D" w:rsidP="009D1B9D">
      <w:pPr>
        <w:spacing w:after="0" w:line="240" w:lineRule="auto"/>
        <w:jc w:val="both"/>
        <w:rPr>
          <w:rFonts w:ascii="Verdana" w:eastAsia="Verdana" w:hAnsi="Verdana" w:cs="Verdana"/>
          <w:sz w:val="20"/>
          <w:szCs w:val="20"/>
        </w:rPr>
      </w:pPr>
    </w:p>
    <w:p w14:paraId="5EC0B03A"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lastRenderedPageBreak/>
        <w:t xml:space="preserve"> CADUCIDAD – Artículo 18 de la Ley 80 de 1993 – Improcedencia automática – Incumplimiento grave</w:t>
      </w:r>
    </w:p>
    <w:p w14:paraId="1E904D99" w14:textId="77777777" w:rsidR="009D1B9D" w:rsidRDefault="009D1B9D" w:rsidP="009D1B9D">
      <w:pPr>
        <w:spacing w:after="0" w:line="240" w:lineRule="auto"/>
        <w:rPr>
          <w:rFonts w:ascii="Verdana" w:eastAsia="Verdana" w:hAnsi="Verdana" w:cs="Verdana"/>
        </w:rPr>
      </w:pPr>
    </w:p>
    <w:p w14:paraId="01B3F44B" w14:textId="6CB3B474" w:rsid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Idéntica exigencia opera, con mayor rigor, respecto de la caducidad, dado su carácter sancionatorio. El Consejo de Estado ha precisado que esta potestad solo procede ante un incumplimiento de las obligaciones a cargo del contratista que afecte de manera grave y directa la ejecución del contrato y evidencie que puede conducir a su paralización, presupuestos que deben encontrarse plenamente acreditados al momento de la declaratoria y dentro del plazo de ejecución del contrato. Por ello, el acto que declare la caducidad invocando como único fundamento la configuración de la inhabilidad sobreviniente —que, como se explicó, no constituye por sí misma un incumplimiento contractual— incurriría en falsa motivación, pues los hechos invocados no corresponderían a la causal aplicada. Distinto es el evento en que la entidad acredite que la renuencia persistente del integrante a cumplir el deber legal de cesión, valorada en las circunstancias concretas del contrato, configura un incumplimiento grave con aptitud de paralizar la ejecución: en tal caso, la motivación deberá construirse sobre ese incumplimiento y su incidencia en el contrato, y no sobre la inhabilidad como tal. Esta exigencia de correspondencia entre causal y motivación es, en últimas, expresión del principio de legalidad que gobierna las potestades excepcionales: como lo ha sostenido la Sección Tercera, la Administración no puede ejercer prerrogativas de poder público sin consagración legal expresa, ni por fuera de los supuestos estrictamente delimitados por el legislador, de modo que la motivación rigurosa del acto es simultáneamente la condición de su validez y la principal salvaguarda de la entidad frente al riesgo de anulación y de condena patrimonial en sede judicial.</w:t>
      </w:r>
    </w:p>
    <w:p w14:paraId="6AB61A83" w14:textId="77777777" w:rsidR="00477480" w:rsidRPr="00477480" w:rsidRDefault="00477480" w:rsidP="00477480">
      <w:pPr>
        <w:spacing w:after="0" w:line="240" w:lineRule="auto"/>
        <w:jc w:val="both"/>
        <w:rPr>
          <w:rFonts w:ascii="Verdana" w:eastAsia="Verdana" w:hAnsi="Verdana" w:cs="Verdana"/>
          <w:sz w:val="20"/>
          <w:szCs w:val="20"/>
        </w:rPr>
      </w:pPr>
    </w:p>
    <w:p w14:paraId="6FAF91DF" w14:textId="77777777" w:rsidR="00477480" w:rsidRP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 xml:space="preserve">En esa medida, la sola configuración del supuesto o previsto en el numeral 1 del artículo 17 no habilita automáticamente a la Administración para declarar la terminación unilateral del contrato, pues el ejercicio de esta potestad exige que la entidad exponga de manera suficiente y verificable por qué, en las circunstancias concretas del caso, se satisfacen los presupuestos previstos en el numeral 1 del artículo 17 de la Ley 80 de 1993. Ello implica demostrar que la inhabilidad sobreviniente afecta de manera real y significativa la prestación del servicio público, y que la decisión adoptada es necesaria y proporcional frente a dicha afectación. </w:t>
      </w:r>
    </w:p>
    <w:p w14:paraId="40B4ED73" w14:textId="77777777" w:rsidR="009D1B9D" w:rsidRDefault="009D1B9D" w:rsidP="000565B4">
      <w:pPr>
        <w:spacing w:after="0"/>
        <w:rPr>
          <w:rFonts w:ascii="Verdana" w:eastAsia="Verdana" w:hAnsi="Verdana" w:cs="Verdana"/>
        </w:rPr>
      </w:pPr>
    </w:p>
    <w:p w14:paraId="30EFF093" w14:textId="77777777" w:rsidR="00477480" w:rsidRDefault="00477480" w:rsidP="000565B4">
      <w:pPr>
        <w:spacing w:after="0"/>
        <w:rPr>
          <w:rFonts w:ascii="Verdana" w:eastAsia="Verdana" w:hAnsi="Verdana" w:cs="Verdana"/>
        </w:rPr>
      </w:pPr>
    </w:p>
    <w:p w14:paraId="4148D0E6" w14:textId="77777777" w:rsidR="00477480" w:rsidRDefault="00477480" w:rsidP="000565B4">
      <w:pPr>
        <w:spacing w:after="0"/>
        <w:rPr>
          <w:rFonts w:ascii="Verdana" w:eastAsia="Verdana" w:hAnsi="Verdana" w:cs="Verdana"/>
        </w:rPr>
      </w:pPr>
    </w:p>
    <w:p w14:paraId="34DFB36F" w14:textId="77777777" w:rsidR="00477480" w:rsidRDefault="00477480" w:rsidP="000565B4">
      <w:pPr>
        <w:spacing w:after="0"/>
        <w:rPr>
          <w:rFonts w:ascii="Verdana" w:eastAsia="Verdana" w:hAnsi="Verdana" w:cs="Verdana"/>
        </w:rPr>
      </w:pPr>
    </w:p>
    <w:p w14:paraId="0B4C8755" w14:textId="77777777" w:rsidR="00477480" w:rsidRDefault="00477480" w:rsidP="000565B4">
      <w:pPr>
        <w:spacing w:after="0"/>
        <w:rPr>
          <w:rFonts w:ascii="Verdana" w:eastAsia="Verdana" w:hAnsi="Verdana" w:cs="Verdana"/>
        </w:rPr>
      </w:pPr>
    </w:p>
    <w:p w14:paraId="524E9D01" w14:textId="77777777" w:rsidR="00477480" w:rsidRDefault="00477480" w:rsidP="000565B4">
      <w:pPr>
        <w:spacing w:after="0"/>
        <w:rPr>
          <w:rFonts w:ascii="Verdana" w:eastAsia="Verdana" w:hAnsi="Verdana" w:cs="Verdana"/>
        </w:rPr>
      </w:pPr>
    </w:p>
    <w:p w14:paraId="2BC006EC" w14:textId="77777777" w:rsidR="00477480" w:rsidRDefault="00477480" w:rsidP="000565B4">
      <w:pPr>
        <w:spacing w:after="0"/>
        <w:rPr>
          <w:rFonts w:ascii="Verdana" w:eastAsia="Verdana" w:hAnsi="Verdana" w:cs="Verdana"/>
        </w:rPr>
      </w:pPr>
    </w:p>
    <w:p w14:paraId="3B349363" w14:textId="77777777" w:rsidR="00477480" w:rsidRDefault="00477480" w:rsidP="000565B4">
      <w:pPr>
        <w:spacing w:after="0"/>
        <w:rPr>
          <w:rFonts w:ascii="Verdana" w:eastAsia="Verdana" w:hAnsi="Verdana" w:cs="Verdana"/>
        </w:rPr>
      </w:pPr>
    </w:p>
    <w:p w14:paraId="086A8C57" w14:textId="77777777" w:rsidR="00477480" w:rsidRDefault="00477480" w:rsidP="000565B4">
      <w:pPr>
        <w:spacing w:after="0"/>
        <w:rPr>
          <w:rFonts w:ascii="Verdana" w:eastAsia="Verdana" w:hAnsi="Verdana" w:cs="Verdana"/>
        </w:rPr>
      </w:pPr>
    </w:p>
    <w:p w14:paraId="7EAF49F8" w14:textId="77777777" w:rsidR="00477480" w:rsidRDefault="00477480" w:rsidP="000565B4">
      <w:pPr>
        <w:spacing w:after="0"/>
        <w:rPr>
          <w:rFonts w:ascii="Verdana" w:eastAsia="Verdana" w:hAnsi="Verdana" w:cs="Verdana"/>
        </w:rPr>
      </w:pPr>
    </w:p>
    <w:p w14:paraId="41A280B2" w14:textId="07C26D0B" w:rsidR="000565B4" w:rsidRPr="000565B4" w:rsidRDefault="00477480" w:rsidP="000565B4">
      <w:pPr>
        <w:spacing w:after="0"/>
        <w:rPr>
          <w:rFonts w:ascii="Verdana" w:eastAsia="Verdana" w:hAnsi="Verdana" w:cs="Verdana"/>
        </w:rPr>
      </w:pPr>
      <w:r w:rsidRPr="00477480">
        <w:rPr>
          <w:noProof/>
        </w:rPr>
        <w:lastRenderedPageBreak/>
        <w:drawing>
          <wp:anchor distT="0" distB="0" distL="114300" distR="114300" simplePos="0" relativeHeight="251658240" behindDoc="0" locked="0" layoutInCell="1" allowOverlap="1" wp14:anchorId="16C3371E" wp14:editId="02C511D0">
            <wp:simplePos x="0" y="0"/>
            <wp:positionH relativeFrom="margin">
              <wp:posOffset>2731135</wp:posOffset>
            </wp:positionH>
            <wp:positionV relativeFrom="paragraph">
              <wp:posOffset>201295</wp:posOffset>
            </wp:positionV>
            <wp:extent cx="2905760" cy="832485"/>
            <wp:effectExtent l="0" t="0" r="8890" b="5715"/>
            <wp:wrapSquare wrapText="bothSides"/>
            <wp:docPr id="279437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76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5B4" w:rsidRPr="000565B4">
        <w:rPr>
          <w:rFonts w:ascii="Verdana" w:eastAsia="Verdana" w:hAnsi="Verdana" w:cs="Verdana"/>
        </w:rPr>
        <w:t>Bogotá D.C.,</w:t>
      </w:r>
      <w:r w:rsidR="003B0957">
        <w:rPr>
          <w:rFonts w:ascii="Verdana" w:eastAsia="Verdana" w:hAnsi="Verdana" w:cs="Verdana"/>
        </w:rPr>
        <w:t xml:space="preserve"> 2</w:t>
      </w:r>
      <w:r>
        <w:rPr>
          <w:rFonts w:ascii="Verdana" w:eastAsia="Verdana" w:hAnsi="Verdana" w:cs="Verdana"/>
        </w:rPr>
        <w:t>3</w:t>
      </w:r>
      <w:r w:rsidR="003B0957">
        <w:rPr>
          <w:rFonts w:ascii="Verdana" w:eastAsia="Verdana" w:hAnsi="Verdana" w:cs="Verdana"/>
        </w:rPr>
        <w:t xml:space="preserve"> de julio de 2026</w:t>
      </w:r>
      <w:r w:rsidR="000565B4" w:rsidRPr="000565B4">
        <w:tab/>
      </w:r>
      <w:r w:rsidR="000565B4" w:rsidRPr="000565B4">
        <w:br/>
      </w:r>
    </w:p>
    <w:p w14:paraId="1230163E" w14:textId="09FE9C64" w:rsidR="000565B4" w:rsidRDefault="000565B4" w:rsidP="000565B4">
      <w:pPr>
        <w:spacing w:after="0" w:line="240" w:lineRule="auto"/>
        <w:rPr>
          <w:rFonts w:ascii="Verdana" w:eastAsia="Verdana" w:hAnsi="Verdana" w:cs="Verdana"/>
        </w:rPr>
      </w:pPr>
    </w:p>
    <w:p w14:paraId="032ADA79" w14:textId="77777777" w:rsidR="00477480" w:rsidRPr="000565B4" w:rsidRDefault="00477480" w:rsidP="000565B4">
      <w:pPr>
        <w:spacing w:after="0" w:line="240" w:lineRule="auto"/>
        <w:rPr>
          <w:rFonts w:ascii="Verdana" w:eastAsia="Verdana" w:hAnsi="Verdana" w:cs="Verdana"/>
        </w:rPr>
      </w:pPr>
    </w:p>
    <w:p w14:paraId="59D1F960" w14:textId="77777777" w:rsidR="000565B4" w:rsidRPr="000565B4" w:rsidRDefault="000565B4" w:rsidP="000565B4">
      <w:pPr>
        <w:spacing w:after="0" w:line="240" w:lineRule="auto"/>
        <w:rPr>
          <w:rFonts w:ascii="Verdana" w:eastAsia="Verdana" w:hAnsi="Verdana" w:cs="Verdana"/>
        </w:rPr>
      </w:pPr>
      <w:r w:rsidRPr="000565B4">
        <w:rPr>
          <w:rFonts w:ascii="Verdana" w:eastAsia="Verdana" w:hAnsi="Verdana" w:cs="Verdana"/>
        </w:rPr>
        <w:t>Doctor</w:t>
      </w:r>
    </w:p>
    <w:p w14:paraId="6758C232" w14:textId="77777777" w:rsidR="000565B4" w:rsidRPr="000565B4" w:rsidRDefault="000565B4" w:rsidP="000565B4">
      <w:pPr>
        <w:spacing w:after="0" w:line="240" w:lineRule="auto"/>
        <w:rPr>
          <w:rFonts w:ascii="Verdana" w:eastAsia="Verdana" w:hAnsi="Verdana" w:cs="Verdana"/>
          <w:b/>
        </w:rPr>
      </w:pPr>
      <w:r w:rsidRPr="000565B4">
        <w:rPr>
          <w:rFonts w:ascii="Verdana" w:eastAsia="Verdana" w:hAnsi="Verdana" w:cs="Verdana"/>
          <w:b/>
        </w:rPr>
        <w:t>Carlos Andrés Mendoza Rondon</w:t>
      </w:r>
    </w:p>
    <w:p w14:paraId="531EEEB3" w14:textId="77777777" w:rsidR="000565B4" w:rsidRPr="000565B4" w:rsidRDefault="000565B4" w:rsidP="000565B4">
      <w:pPr>
        <w:spacing w:after="0" w:line="240" w:lineRule="auto"/>
        <w:rPr>
          <w:rFonts w:ascii="Verdana" w:eastAsia="Verdana" w:hAnsi="Verdana" w:cs="Verdana"/>
          <w:b/>
        </w:rPr>
      </w:pPr>
      <w:r w:rsidRPr="000565B4">
        <w:rPr>
          <w:rFonts w:ascii="Verdana" w:eastAsia="Verdana" w:hAnsi="Verdana" w:cs="Verdana"/>
          <w:b/>
        </w:rPr>
        <w:t>Subdirector de Gestión Integral de Carreteras Nacionales</w:t>
      </w:r>
    </w:p>
    <w:p w14:paraId="64B83080" w14:textId="77777777" w:rsidR="000565B4" w:rsidRPr="000565B4" w:rsidRDefault="000565B4" w:rsidP="000565B4">
      <w:pPr>
        <w:spacing w:after="0" w:line="240" w:lineRule="auto"/>
        <w:rPr>
          <w:rFonts w:ascii="Verdana" w:eastAsia="Verdana" w:hAnsi="Verdana" w:cs="Verdana"/>
          <w:b/>
        </w:rPr>
      </w:pPr>
      <w:r w:rsidRPr="000565B4">
        <w:rPr>
          <w:rFonts w:ascii="Verdana" w:eastAsia="Verdana" w:hAnsi="Verdana" w:cs="Verdana"/>
          <w:b/>
        </w:rPr>
        <w:t>Instituto Nacional de Vías–INVIAS–</w:t>
      </w:r>
    </w:p>
    <w:p w14:paraId="092998C9" w14:textId="77777777" w:rsidR="000565B4" w:rsidRPr="000565B4" w:rsidRDefault="000565B4" w:rsidP="000565B4">
      <w:pPr>
        <w:spacing w:after="0" w:line="240" w:lineRule="auto"/>
        <w:rPr>
          <w:rFonts w:ascii="Verdana" w:eastAsia="Verdana" w:hAnsi="Verdana" w:cs="Verdana"/>
        </w:rPr>
      </w:pPr>
      <w:hyperlink r:id="rId13">
        <w:r w:rsidRPr="000565B4">
          <w:rPr>
            <w:rFonts w:ascii="Verdana" w:eastAsia="Verdana" w:hAnsi="Verdana" w:cs="Verdana"/>
            <w:color w:val="0000FF"/>
            <w:u w:val="single"/>
          </w:rPr>
          <w:t>atencionciudadano@invias.gov.co</w:t>
        </w:r>
      </w:hyperlink>
      <w:r w:rsidRPr="000565B4">
        <w:rPr>
          <w:rFonts w:ascii="Verdana" w:eastAsia="Verdana" w:hAnsi="Verdana" w:cs="Verdana"/>
        </w:rPr>
        <w:t xml:space="preserve"> </w:t>
      </w:r>
    </w:p>
    <w:p w14:paraId="1BD71B48" w14:textId="77777777" w:rsidR="000565B4" w:rsidRPr="000565B4" w:rsidRDefault="000565B4" w:rsidP="000565B4">
      <w:pPr>
        <w:spacing w:after="0" w:line="240" w:lineRule="auto"/>
        <w:rPr>
          <w:rFonts w:ascii="Verdana" w:eastAsia="Verdana" w:hAnsi="Verdana" w:cs="Verdana"/>
        </w:rPr>
      </w:pPr>
      <w:r w:rsidRPr="000565B4">
        <w:rPr>
          <w:rFonts w:ascii="Verdana" w:eastAsia="Verdana" w:hAnsi="Verdana" w:cs="Verdana"/>
        </w:rPr>
        <w:t>Bogotá D.C.</w:t>
      </w:r>
    </w:p>
    <w:p w14:paraId="263E5ED7" w14:textId="77777777" w:rsidR="000565B4" w:rsidRPr="000565B4" w:rsidRDefault="000565B4" w:rsidP="000565B4">
      <w:pPr>
        <w:spacing w:after="0" w:line="240" w:lineRule="auto"/>
        <w:rPr>
          <w:rFonts w:ascii="Verdana" w:eastAsia="Verdana" w:hAnsi="Verdana" w:cs="Verdana"/>
        </w:rPr>
      </w:pPr>
    </w:p>
    <w:p w14:paraId="41C93519" w14:textId="77777777" w:rsidR="000565B4" w:rsidRPr="000565B4" w:rsidRDefault="000565B4" w:rsidP="000565B4">
      <w:pPr>
        <w:spacing w:after="0" w:line="240" w:lineRule="auto"/>
        <w:rPr>
          <w:rFonts w:ascii="Verdana" w:eastAsia="Verdana" w:hAnsi="Verdana" w:cs="Verdana"/>
        </w:rPr>
      </w:pPr>
    </w:p>
    <w:p w14:paraId="5F06D580" w14:textId="334FD620" w:rsidR="000565B4" w:rsidRPr="000565B4" w:rsidRDefault="000565B4" w:rsidP="000565B4">
      <w:pPr>
        <w:spacing w:after="0" w:line="240" w:lineRule="auto"/>
        <w:rPr>
          <w:rFonts w:ascii="Verdana" w:eastAsia="Verdana" w:hAnsi="Verdana" w:cs="Verdana"/>
          <w:b/>
        </w:rPr>
      </w:pPr>
      <w:r w:rsidRPr="000565B4">
        <w:rPr>
          <w:rFonts w:ascii="Verdana" w:eastAsia="Verdana" w:hAnsi="Verdana" w:cs="Verdana"/>
          <w:b/>
        </w:rPr>
        <w:t xml:space="preserve">                                    Concepto C</w:t>
      </w:r>
      <w:r w:rsidR="00C15824">
        <w:rPr>
          <w:rFonts w:ascii="Verdana" w:eastAsia="Verdana" w:hAnsi="Verdana" w:cs="Verdana"/>
          <w:b/>
        </w:rPr>
        <w:t>-</w:t>
      </w:r>
      <w:r w:rsidRPr="000565B4">
        <w:rPr>
          <w:rFonts w:ascii="Verdana" w:eastAsia="Verdana" w:hAnsi="Verdana" w:cs="Verdana"/>
          <w:b/>
        </w:rPr>
        <w:t>1073 de 2026</w:t>
      </w:r>
    </w:p>
    <w:p w14:paraId="24396C0A" w14:textId="77777777" w:rsidR="000565B4" w:rsidRPr="000565B4" w:rsidRDefault="000565B4" w:rsidP="000565B4">
      <w:pPr>
        <w:spacing w:after="0" w:line="240" w:lineRule="auto"/>
        <w:rPr>
          <w:rFonts w:ascii="Verdana" w:eastAsia="Verdana" w:hAnsi="Verdana" w:cs="Verdana"/>
        </w:rPr>
      </w:pPr>
    </w:p>
    <w:tbl>
      <w:tblPr>
        <w:tblW w:w="15163" w:type="dxa"/>
        <w:tblBorders>
          <w:top w:val="nil"/>
          <w:left w:val="nil"/>
          <w:bottom w:val="nil"/>
          <w:right w:val="nil"/>
          <w:insideH w:val="nil"/>
          <w:insideV w:val="nil"/>
        </w:tblBorders>
        <w:tblLayout w:type="fixed"/>
        <w:tblLook w:val="0400" w:firstRow="0" w:lastRow="0" w:firstColumn="0" w:lastColumn="0" w:noHBand="0" w:noVBand="1"/>
      </w:tblPr>
      <w:tblGrid>
        <w:gridCol w:w="2685"/>
        <w:gridCol w:w="6241"/>
        <w:gridCol w:w="6237"/>
      </w:tblGrid>
      <w:tr w:rsidR="000565B4" w:rsidRPr="000565B4" w14:paraId="39939902" w14:textId="77777777" w:rsidTr="00486E91">
        <w:trPr>
          <w:trHeight w:val="324"/>
        </w:trPr>
        <w:tc>
          <w:tcPr>
            <w:tcW w:w="2685" w:type="dxa"/>
          </w:tcPr>
          <w:p w14:paraId="49F27B9F" w14:textId="77777777" w:rsidR="000565B4" w:rsidRPr="000565B4" w:rsidRDefault="000565B4" w:rsidP="000565B4">
            <w:pPr>
              <w:spacing w:after="0" w:line="240" w:lineRule="auto"/>
              <w:rPr>
                <w:rFonts w:ascii="Verdana" w:eastAsia="Verdana" w:hAnsi="Verdana" w:cs="Verdana"/>
                <w:b/>
                <w:bCs/>
              </w:rPr>
            </w:pPr>
            <w:r w:rsidRPr="000565B4">
              <w:rPr>
                <w:rFonts w:ascii="Verdana" w:eastAsia="Verdana" w:hAnsi="Verdana" w:cs="Verdana"/>
                <w:b/>
                <w:bCs/>
              </w:rPr>
              <w:t xml:space="preserve">Temas:                   </w:t>
            </w:r>
          </w:p>
        </w:tc>
        <w:tc>
          <w:tcPr>
            <w:tcW w:w="6237" w:type="dxa"/>
          </w:tcPr>
          <w:p w14:paraId="767D613E" w14:textId="77777777" w:rsidR="000565B4" w:rsidRPr="000565B4" w:rsidRDefault="000565B4" w:rsidP="000565B4">
            <w:pPr>
              <w:spacing w:after="0" w:line="276" w:lineRule="auto"/>
              <w:jc w:val="both"/>
              <w:rPr>
                <w:rFonts w:ascii="Verdana" w:hAnsi="Verdana"/>
              </w:rPr>
            </w:pPr>
            <w:r w:rsidRPr="000565B4">
              <w:rPr>
                <w:rFonts w:cs="Times New Roman"/>
                <w:lang w:eastAsia="en-US"/>
              </w:rPr>
              <w:t xml:space="preserve"> </w:t>
            </w:r>
            <w:r w:rsidRPr="000565B4">
              <w:rPr>
                <w:rFonts w:ascii="Verdana" w:hAnsi="Verdana"/>
              </w:rPr>
              <w:t>INHABILIDADES E INCOMPATIBILIDADES – Definición – Fundamento – Clases / INHABILIDADES E INCOMPATIBILIDADES – Finalidad – Limitación capacidad contractual / INHABILIDADES E INCOMPATIBILIDADES – Taxatividad – Principio de legalidad – Interpretación restrictiva / INHABILIDAD SOBREVINIENTE – Artículo 9 de la Ley 80 de 1993 – Alcance – Régimen general – Régimen especial Ley 2014 de 2019 / INHABILIDAD SOBREVINIENTE – Consorcio – Unión temporal – Integrante – Deber de información – Debido proceso / CESIÓN – Participación – Tercero – Autorización previa – Requisitos del cesionario – Imposibilidad material / TERMINACIÓN UNILATERAL – Artículo 17 de la Ley 80 de 1993 – Causal 1 – Exigencias del servicio público – Procedencia – Cláusulas excepcionales – Artículo 14 de la Ley 80 de 1993 / TERMINACIÓN UNILATERAL – Deber de motivación – Falsa motivación – Riesgo de nulidad / CADUCIDAD – Artículo 18 de la Ley 80 de 1993 – Improcedencia automática – Incumplimiento grave</w:t>
            </w:r>
          </w:p>
        </w:tc>
        <w:tc>
          <w:tcPr>
            <w:tcW w:w="6237" w:type="dxa"/>
          </w:tcPr>
          <w:p w14:paraId="43088999" w14:textId="77777777" w:rsidR="000565B4" w:rsidRPr="000565B4" w:rsidRDefault="000565B4" w:rsidP="000565B4">
            <w:pPr>
              <w:spacing w:after="0" w:line="240" w:lineRule="auto"/>
            </w:pPr>
          </w:p>
        </w:tc>
      </w:tr>
      <w:tr w:rsidR="000565B4" w:rsidRPr="000565B4" w14:paraId="664A58B7" w14:textId="77777777" w:rsidTr="00486E91">
        <w:tc>
          <w:tcPr>
            <w:tcW w:w="2685" w:type="dxa"/>
          </w:tcPr>
          <w:p w14:paraId="6E61C72D" w14:textId="77777777" w:rsidR="000565B4" w:rsidRDefault="000565B4" w:rsidP="000565B4">
            <w:pPr>
              <w:spacing w:after="0" w:line="240" w:lineRule="auto"/>
              <w:rPr>
                <w:rFonts w:ascii="Verdana" w:eastAsia="Verdana" w:hAnsi="Verdana" w:cs="Verdana"/>
              </w:rPr>
            </w:pPr>
          </w:p>
          <w:p w14:paraId="2562C9C2" w14:textId="77777777" w:rsidR="008B6D1F" w:rsidRDefault="008B6D1F" w:rsidP="000565B4">
            <w:pPr>
              <w:spacing w:after="0" w:line="240" w:lineRule="auto"/>
              <w:rPr>
                <w:rFonts w:ascii="Verdana" w:eastAsia="Verdana" w:hAnsi="Verdana" w:cs="Verdana"/>
              </w:rPr>
            </w:pPr>
          </w:p>
          <w:p w14:paraId="6E934D29" w14:textId="77777777" w:rsidR="008B6D1F" w:rsidRPr="000565B4" w:rsidRDefault="008B6D1F" w:rsidP="000565B4">
            <w:pPr>
              <w:spacing w:after="0" w:line="240" w:lineRule="auto"/>
              <w:rPr>
                <w:rFonts w:ascii="Verdana" w:eastAsia="Verdana" w:hAnsi="Verdana" w:cs="Verdana"/>
              </w:rPr>
            </w:pPr>
          </w:p>
          <w:p w14:paraId="3823074E" w14:textId="77777777" w:rsidR="000565B4" w:rsidRPr="000565B4" w:rsidRDefault="000565B4" w:rsidP="000565B4">
            <w:pPr>
              <w:spacing w:after="0" w:line="240" w:lineRule="auto"/>
              <w:rPr>
                <w:rFonts w:ascii="Verdana" w:eastAsia="Verdana" w:hAnsi="Verdana" w:cs="Verdana"/>
                <w:b/>
                <w:bCs/>
              </w:rPr>
            </w:pPr>
            <w:r w:rsidRPr="000565B4">
              <w:rPr>
                <w:rFonts w:ascii="Verdana" w:eastAsia="Verdana" w:hAnsi="Verdana" w:cs="Verdana"/>
                <w:b/>
                <w:bCs/>
              </w:rPr>
              <w:lastRenderedPageBreak/>
              <w:t xml:space="preserve">Radicación:               </w:t>
            </w:r>
          </w:p>
        </w:tc>
        <w:tc>
          <w:tcPr>
            <w:tcW w:w="6241" w:type="dxa"/>
          </w:tcPr>
          <w:p w14:paraId="32DBFBDA" w14:textId="77777777" w:rsidR="000565B4" w:rsidRPr="000565B4" w:rsidRDefault="000565B4" w:rsidP="000565B4">
            <w:pPr>
              <w:spacing w:after="0" w:line="240" w:lineRule="auto"/>
              <w:jc w:val="both"/>
              <w:rPr>
                <w:rFonts w:ascii="Verdana" w:eastAsia="Verdana" w:hAnsi="Verdana" w:cs="Verdana"/>
              </w:rPr>
            </w:pPr>
          </w:p>
          <w:p w14:paraId="3C599CBB"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lastRenderedPageBreak/>
              <w:t xml:space="preserve">Respuesta a consulta con radicados 1_2026_07_03_008916 y 1_2026_07_06_008932 (acumulados) </w:t>
            </w:r>
          </w:p>
          <w:p w14:paraId="54DE9729" w14:textId="77777777" w:rsidR="000565B4" w:rsidRPr="000565B4" w:rsidRDefault="000565B4" w:rsidP="000565B4">
            <w:pPr>
              <w:spacing w:after="0" w:line="240" w:lineRule="auto"/>
              <w:jc w:val="both"/>
              <w:rPr>
                <w:rFonts w:ascii="Verdana" w:eastAsia="Verdana" w:hAnsi="Verdana" w:cs="Verdana"/>
              </w:rPr>
            </w:pPr>
          </w:p>
        </w:tc>
        <w:tc>
          <w:tcPr>
            <w:tcW w:w="6237" w:type="dxa"/>
          </w:tcPr>
          <w:p w14:paraId="7A59E8F1" w14:textId="77777777" w:rsidR="000565B4" w:rsidRPr="000565B4" w:rsidRDefault="000565B4" w:rsidP="000565B4">
            <w:pPr>
              <w:spacing w:after="0" w:line="240" w:lineRule="auto"/>
              <w:rPr>
                <w:rFonts w:ascii="Verdana" w:eastAsia="Verdana" w:hAnsi="Verdana" w:cs="Verdana"/>
              </w:rPr>
            </w:pPr>
          </w:p>
        </w:tc>
      </w:tr>
      <w:tr w:rsidR="000565B4" w:rsidRPr="000565B4" w14:paraId="449BF643" w14:textId="77777777" w:rsidTr="00486E91">
        <w:tc>
          <w:tcPr>
            <w:tcW w:w="2685" w:type="dxa"/>
          </w:tcPr>
          <w:p w14:paraId="4D3A455D" w14:textId="77777777" w:rsidR="000565B4" w:rsidRPr="000565B4" w:rsidRDefault="000565B4" w:rsidP="000565B4">
            <w:pPr>
              <w:spacing w:after="0" w:line="240" w:lineRule="auto"/>
              <w:rPr>
                <w:rFonts w:ascii="Verdana" w:eastAsia="Verdana" w:hAnsi="Verdana" w:cs="Verdana"/>
              </w:rPr>
            </w:pPr>
          </w:p>
        </w:tc>
        <w:tc>
          <w:tcPr>
            <w:tcW w:w="6241" w:type="dxa"/>
          </w:tcPr>
          <w:p w14:paraId="4F83D54E" w14:textId="77777777" w:rsidR="000565B4" w:rsidRPr="000565B4" w:rsidRDefault="000565B4" w:rsidP="000565B4">
            <w:pPr>
              <w:spacing w:after="0" w:line="240" w:lineRule="auto"/>
              <w:jc w:val="both"/>
              <w:rPr>
                <w:rFonts w:ascii="Verdana" w:eastAsia="Verdana" w:hAnsi="Verdana" w:cs="Verdana"/>
              </w:rPr>
            </w:pPr>
          </w:p>
        </w:tc>
        <w:tc>
          <w:tcPr>
            <w:tcW w:w="6237" w:type="dxa"/>
          </w:tcPr>
          <w:p w14:paraId="0F9AE6FB" w14:textId="77777777" w:rsidR="000565B4" w:rsidRPr="000565B4" w:rsidRDefault="000565B4" w:rsidP="000565B4">
            <w:pPr>
              <w:spacing w:after="0" w:line="240" w:lineRule="auto"/>
              <w:rPr>
                <w:rFonts w:ascii="Verdana" w:eastAsia="Verdana" w:hAnsi="Verdana" w:cs="Verdana"/>
              </w:rPr>
            </w:pPr>
          </w:p>
        </w:tc>
      </w:tr>
    </w:tbl>
    <w:p w14:paraId="2E434255" w14:textId="77777777" w:rsidR="000565B4" w:rsidRPr="000565B4" w:rsidRDefault="000565B4" w:rsidP="000565B4">
      <w:pPr>
        <w:spacing w:after="0" w:line="256" w:lineRule="auto"/>
        <w:rPr>
          <w:rFonts w:ascii="Verdana" w:eastAsia="Verdana" w:hAnsi="Verdana" w:cs="Verdana"/>
        </w:rPr>
      </w:pPr>
      <w:r w:rsidRPr="000565B4">
        <w:rPr>
          <w:rFonts w:ascii="Verdana" w:eastAsia="Verdana" w:hAnsi="Verdana" w:cs="Verdana"/>
        </w:rPr>
        <w:t>Estimado Doctor Mendoza:</w:t>
      </w:r>
    </w:p>
    <w:p w14:paraId="6554701F" w14:textId="77777777" w:rsidR="000565B4" w:rsidRPr="000565B4" w:rsidRDefault="000565B4" w:rsidP="000565B4">
      <w:pPr>
        <w:spacing w:after="0" w:line="276" w:lineRule="auto"/>
        <w:rPr>
          <w:rFonts w:ascii="Verdana" w:eastAsia="Verdana" w:hAnsi="Verdana" w:cs="Verdana"/>
        </w:rPr>
      </w:pPr>
    </w:p>
    <w:p w14:paraId="735E4CC5"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la solicitud de consulta presentada el 3 y 6 de julio de 2026, en la cual manifiesta: </w:t>
      </w:r>
    </w:p>
    <w:p w14:paraId="03B416E8" w14:textId="77777777" w:rsidR="000565B4" w:rsidRPr="000565B4" w:rsidRDefault="000565B4" w:rsidP="000565B4">
      <w:pPr>
        <w:spacing w:after="0" w:line="276" w:lineRule="auto"/>
        <w:jc w:val="both"/>
        <w:rPr>
          <w:rFonts w:ascii="Verdana" w:eastAsia="Verdana" w:hAnsi="Verdana" w:cs="Verdana"/>
        </w:rPr>
      </w:pPr>
    </w:p>
    <w:p w14:paraId="2EDF8724" w14:textId="77777777" w:rsidR="000565B4" w:rsidRPr="000565B4" w:rsidRDefault="000565B4" w:rsidP="000565B4">
      <w:pPr>
        <w:spacing w:after="0" w:line="240" w:lineRule="auto"/>
        <w:ind w:left="720" w:right="709"/>
        <w:jc w:val="both"/>
        <w:rPr>
          <w:rFonts w:ascii="Verdana" w:eastAsia="Verdana" w:hAnsi="Verdana" w:cs="Verdana"/>
          <w:sz w:val="20"/>
          <w:szCs w:val="20"/>
        </w:rPr>
      </w:pPr>
      <w:r w:rsidRPr="000565B4">
        <w:rPr>
          <w:rFonts w:ascii="Verdana" w:eastAsia="Verdana" w:hAnsi="Verdana" w:cs="Verdana"/>
          <w:sz w:val="20"/>
          <w:szCs w:val="20"/>
        </w:rPr>
        <w:t>“</w:t>
      </w:r>
      <w:sdt>
        <w:sdtPr>
          <w:tag w:val="goog_rdk_1"/>
          <w:id w:val="-1196941"/>
        </w:sdtPr>
        <w:sdtContent/>
      </w:sdt>
      <w:r w:rsidRPr="000565B4">
        <w:rPr>
          <w:rFonts w:ascii="Verdana" w:eastAsia="Verdana" w:hAnsi="Verdana" w:cs="Verdana"/>
          <w:sz w:val="20"/>
          <w:szCs w:val="20"/>
        </w:rPr>
        <w:t>1. De conformidad con el artículo 9 de la Ley 80 de 1993, cuando a un miembro de un consorcio o unión temporal le sobreviene una inhabilidad durante la ejecución de un contrato estatal — distinta a la prevista en el literal j) del numeral 1 del artículo 8 de la misma ley —, ¿cuál es el procedimiento que debe adelantar la entidad contratante para gestionar dicha situación? ¿Existen lineamientos, protocolos o directrices de carácter general establecidos por Colombia Compra Eficiente al respecto?</w:t>
      </w:r>
    </w:p>
    <w:p w14:paraId="50504725" w14:textId="77777777" w:rsidR="000565B4" w:rsidRPr="000565B4" w:rsidRDefault="00000000" w:rsidP="000565B4">
      <w:pPr>
        <w:spacing w:after="0" w:line="240" w:lineRule="auto"/>
        <w:ind w:left="720" w:right="709"/>
        <w:jc w:val="both"/>
        <w:rPr>
          <w:rFonts w:ascii="Verdana" w:eastAsia="Verdana" w:hAnsi="Verdana" w:cs="Verdana"/>
          <w:sz w:val="20"/>
          <w:szCs w:val="20"/>
        </w:rPr>
      </w:pPr>
      <w:sdt>
        <w:sdtPr>
          <w:tag w:val="goog_rdk_2"/>
          <w:id w:val="1620261622"/>
          <w:showingPlcHdr/>
        </w:sdtPr>
        <w:sdtContent>
          <w:r w:rsidR="000565B4" w:rsidRPr="000565B4">
            <w:t xml:space="preserve">     </w:t>
          </w:r>
        </w:sdtContent>
      </w:sdt>
      <w:r w:rsidR="000565B4" w:rsidRPr="000565B4">
        <w:rPr>
          <w:rFonts w:ascii="Verdana" w:eastAsia="Verdana" w:hAnsi="Verdana" w:cs="Verdana"/>
          <w:sz w:val="20"/>
          <w:szCs w:val="20"/>
        </w:rPr>
        <w:t xml:space="preserve">2. Cuando la cesión de la participación del miembro inhabilitado de un consorcio o unión temporal a un tercero resulta materialmente imposible — bien por ausencia de cesionario idóneo o por no presentación de cesionario por parte del contratista—, ¿cuál es la consecuencia jurídica que se deriva de la imposibilidad de cumplir la obligación legal de establecida en el artículo 9 de la Ley 80 de 1993? En particular, ¿configura dicha situación una causal de caducidad del contrato en los términos del artículo 18 de la Ley 80 de 1993, o procede un mecanismo jurídico diferente, como la terminación unilateral prevista en el artículo 17 </w:t>
      </w:r>
      <w:proofErr w:type="spellStart"/>
      <w:r w:rsidR="000565B4" w:rsidRPr="000565B4">
        <w:rPr>
          <w:rFonts w:ascii="Verdana" w:eastAsia="Verdana" w:hAnsi="Verdana" w:cs="Verdana"/>
          <w:sz w:val="20"/>
          <w:szCs w:val="20"/>
        </w:rPr>
        <w:t>ibídem</w:t>
      </w:r>
      <w:proofErr w:type="spellEnd"/>
      <w:r w:rsidR="000565B4" w:rsidRPr="000565B4">
        <w:rPr>
          <w:rFonts w:ascii="Verdana" w:eastAsia="Verdana" w:hAnsi="Verdana" w:cs="Verdana"/>
          <w:sz w:val="20"/>
          <w:szCs w:val="20"/>
        </w:rPr>
        <w:t>?</w:t>
      </w:r>
    </w:p>
    <w:p w14:paraId="32C632D4" w14:textId="77777777" w:rsidR="000565B4" w:rsidRPr="000565B4" w:rsidRDefault="000565B4" w:rsidP="000565B4">
      <w:pPr>
        <w:spacing w:after="0" w:line="240" w:lineRule="auto"/>
        <w:ind w:left="720" w:right="709"/>
        <w:jc w:val="both"/>
        <w:rPr>
          <w:rFonts w:ascii="Verdana" w:eastAsia="Verdana" w:hAnsi="Verdana" w:cs="Verdana"/>
          <w:sz w:val="20"/>
          <w:szCs w:val="20"/>
        </w:rPr>
      </w:pPr>
      <w:r w:rsidRPr="000565B4">
        <w:rPr>
          <w:rFonts w:ascii="Verdana" w:eastAsia="Verdana" w:hAnsi="Verdana" w:cs="Verdana"/>
          <w:sz w:val="20"/>
          <w:szCs w:val="20"/>
        </w:rPr>
        <w:t>3. En el supuesto en que proceda la terminación unilateral del contrato por imposibilidad de materializar la cesión, ¿debe el miembro inhabilitado — o el consorcio en su conjunto —presentar de manera previa la renuncia a la ejecución del contrato como requisito para que la entidad pueda declarar la terminación? ¿La figura de la renuncia prevista en el inciso primero del artículo 9 de la Ley 80 de 1993, referida al contratista individual, resulta aplicable por extensión al supuesto del miembro inhabilitado de un consorcio o unión temporal?</w:t>
      </w:r>
    </w:p>
    <w:p w14:paraId="7898C76E" w14:textId="77777777" w:rsidR="000565B4" w:rsidRPr="000565B4" w:rsidRDefault="000565B4" w:rsidP="000565B4">
      <w:pPr>
        <w:spacing w:after="0" w:line="240" w:lineRule="auto"/>
        <w:ind w:left="720" w:right="709"/>
        <w:jc w:val="both"/>
        <w:rPr>
          <w:rFonts w:ascii="Verdana" w:eastAsia="Verdana" w:hAnsi="Verdana" w:cs="Verdana"/>
          <w:sz w:val="20"/>
          <w:szCs w:val="20"/>
        </w:rPr>
      </w:pPr>
      <w:r w:rsidRPr="000565B4">
        <w:rPr>
          <w:rFonts w:ascii="Verdana" w:eastAsia="Verdana" w:hAnsi="Verdana" w:cs="Verdana"/>
          <w:sz w:val="20"/>
          <w:szCs w:val="20"/>
        </w:rPr>
        <w:t xml:space="preserve">4. Cuando el miembro inhabilitado de un consorcio o unión temporal, o el consorcio en su conjunto, se abstiene de presentar la renuncia a la ejecución del contrato, ¿qué mecanismos jurídicos tiene la entidad contratante a su disposición para poner término a la relación contractual y proceder a la liquidación del contrato? ¿Puede la entidad, con fundamento en las potestades exorbitantes previstas en la Ley 80 de </w:t>
      </w:r>
      <w:r w:rsidRPr="000565B4">
        <w:rPr>
          <w:rFonts w:ascii="Verdana" w:eastAsia="Verdana" w:hAnsi="Verdana" w:cs="Verdana"/>
          <w:sz w:val="20"/>
          <w:szCs w:val="20"/>
        </w:rPr>
        <w:lastRenderedPageBreak/>
        <w:t xml:space="preserve">1993, ordenar de oficio la terminación unilateral del contrato sin que medie renuncia previa por parte del contratista?” </w:t>
      </w:r>
    </w:p>
    <w:p w14:paraId="1827ADB1" w14:textId="77777777" w:rsidR="000565B4" w:rsidRPr="000565B4" w:rsidRDefault="000565B4" w:rsidP="000565B4">
      <w:pPr>
        <w:spacing w:after="0" w:line="240" w:lineRule="auto"/>
        <w:ind w:right="709"/>
        <w:jc w:val="both"/>
        <w:rPr>
          <w:rFonts w:ascii="Verdana" w:eastAsia="Verdana" w:hAnsi="Verdana" w:cs="Verdana"/>
          <w:i/>
          <w:sz w:val="20"/>
          <w:szCs w:val="20"/>
        </w:rPr>
      </w:pPr>
    </w:p>
    <w:p w14:paraId="453F13FA"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FEE2BE6" w14:textId="77777777" w:rsidR="000565B4" w:rsidRPr="000565B4" w:rsidRDefault="000565B4" w:rsidP="000565B4">
      <w:pPr>
        <w:spacing w:after="0" w:line="276" w:lineRule="auto"/>
        <w:ind w:firstLine="708"/>
        <w:jc w:val="both"/>
        <w:rPr>
          <w:rFonts w:ascii="Verdana" w:eastAsia="Verdana" w:hAnsi="Verdana" w:cs="Verdana"/>
        </w:rPr>
      </w:pPr>
      <w:r w:rsidRPr="000565B4">
        <w:rPr>
          <w:rFonts w:ascii="Verdana" w:eastAsia="Verdana" w:hAnsi="Verdana" w:cs="Verdana"/>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F16D460" w14:textId="77777777" w:rsidR="000565B4" w:rsidRPr="000565B4" w:rsidRDefault="000565B4" w:rsidP="000565B4">
      <w:pPr>
        <w:spacing w:after="0" w:line="276" w:lineRule="auto"/>
        <w:ind w:firstLine="708"/>
        <w:jc w:val="both"/>
        <w:rPr>
          <w:rFonts w:ascii="Verdana" w:eastAsia="Verdana" w:hAnsi="Verdana" w:cs="Verdana"/>
        </w:rPr>
      </w:pPr>
    </w:p>
    <w:p w14:paraId="79DE14BA"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 xml:space="preserve">I. </w:t>
      </w:r>
      <w:r w:rsidRPr="000565B4">
        <w:rPr>
          <w:rFonts w:ascii="Verdana" w:eastAsia="Verdana" w:hAnsi="Verdana" w:cs="Verdana"/>
          <w:b/>
          <w:bCs/>
        </w:rPr>
        <w:tab/>
      </w:r>
      <w:r w:rsidRPr="000565B4">
        <w:rPr>
          <w:rFonts w:ascii="Verdana" w:eastAsia="Verdana" w:hAnsi="Verdana" w:cs="Verdana"/>
          <w:b/>
        </w:rPr>
        <w:t>Problema planteado:</w:t>
      </w:r>
    </w:p>
    <w:p w14:paraId="57CE2A11" w14:textId="77777777" w:rsidR="000565B4" w:rsidRPr="000565B4" w:rsidRDefault="000565B4" w:rsidP="000565B4">
      <w:pPr>
        <w:spacing w:after="0" w:line="276" w:lineRule="auto"/>
        <w:rPr>
          <w:rFonts w:ascii="Verdana" w:eastAsia="Verdana" w:hAnsi="Verdana" w:cs="Verdana"/>
        </w:rPr>
      </w:pPr>
    </w:p>
    <w:p w14:paraId="1B30A9D1"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 xml:space="preserve">De acuerdo con el contenido de su solicitud, esta Agencia procede a resolver los siguientes problemas jurídicos:  i) ¿Cuál es el procedimiento que debe adelantar la entidad contratante cuando a uno de los integrantes de un consorcio o unión temporal le sobreviene una inhabilidad o incompatibilidad durante la ejecución del contrato?; </w:t>
      </w:r>
      <w:proofErr w:type="spellStart"/>
      <w:r w:rsidRPr="000565B4">
        <w:rPr>
          <w:rFonts w:ascii="Verdana" w:eastAsia="Verdana" w:hAnsi="Verdana" w:cs="Verdana"/>
        </w:rPr>
        <w:t>ii</w:t>
      </w:r>
      <w:proofErr w:type="spellEnd"/>
      <w:r w:rsidRPr="000565B4">
        <w:rPr>
          <w:rFonts w:ascii="Verdana" w:eastAsia="Verdana" w:hAnsi="Verdana" w:cs="Verdana"/>
        </w:rPr>
        <w:t xml:space="preserve">) Cuando el integrante respecto del cual sobreviene una inhabilidad o incompatibilidad no presenta un cesionario o la cesión de su participación a un tercero resulta materialmente imposible, ¿cuál es la consecuencia jurídica aplicable?; </w:t>
      </w:r>
      <w:proofErr w:type="spellStart"/>
      <w:r w:rsidRPr="000565B4">
        <w:rPr>
          <w:rFonts w:ascii="Verdana" w:eastAsia="Verdana" w:hAnsi="Verdana" w:cs="Verdana"/>
        </w:rPr>
        <w:t>iii</w:t>
      </w:r>
      <w:proofErr w:type="spellEnd"/>
      <w:r w:rsidRPr="000565B4">
        <w:rPr>
          <w:rFonts w:ascii="Verdana" w:eastAsia="Verdana" w:hAnsi="Verdana" w:cs="Verdana"/>
        </w:rPr>
        <w:t>) ¿La renuncia a la ejecución del contrato prevista en el artículo 9 de la Ley 80 de 1993 resulta aplicable al integrante de un consorcio o unión temporal y constituye un requisito previo para que la entidad pueda adoptar la decisión correspondiente frente a la continuidad del contrato?</w:t>
      </w:r>
    </w:p>
    <w:p w14:paraId="34EF7006" w14:textId="77777777" w:rsidR="000565B4" w:rsidRPr="000565B4" w:rsidRDefault="000565B4" w:rsidP="000565B4">
      <w:pPr>
        <w:spacing w:after="0" w:line="276" w:lineRule="auto"/>
        <w:rPr>
          <w:rFonts w:ascii="Verdana" w:eastAsia="Verdana" w:hAnsi="Verdana" w:cs="Verdana"/>
        </w:rPr>
      </w:pPr>
    </w:p>
    <w:p w14:paraId="60A95964"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II. Respuesta:</w:t>
      </w:r>
    </w:p>
    <w:p w14:paraId="5BD7288B" w14:textId="77777777" w:rsidR="000565B4" w:rsidRPr="000565B4" w:rsidRDefault="000565B4" w:rsidP="000565B4">
      <w:pPr>
        <w:spacing w:after="0" w:line="276" w:lineRule="auto"/>
        <w:jc w:val="both"/>
        <w:rPr>
          <w:rFonts w:ascii="Verdana" w:eastAsia="Verdana" w:hAnsi="Verdana" w:cs="Verdana"/>
          <w:lang w:bidi="es-ES"/>
        </w:rPr>
      </w:pPr>
    </w:p>
    <w:tbl>
      <w:tblPr>
        <w:tblW w:w="8647"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647"/>
      </w:tblGrid>
      <w:tr w:rsidR="000565B4" w:rsidRPr="000565B4" w14:paraId="4740E898" w14:textId="77777777" w:rsidTr="00486E91">
        <w:trPr>
          <w:trHeight w:val="65"/>
          <w:jc w:val="center"/>
        </w:trPr>
        <w:tc>
          <w:tcPr>
            <w:tcW w:w="8647" w:type="dxa"/>
          </w:tcPr>
          <w:p w14:paraId="683B46D1" w14:textId="77777777" w:rsidR="000565B4" w:rsidRPr="000565B4" w:rsidRDefault="000565B4" w:rsidP="000565B4">
            <w:pPr>
              <w:spacing w:line="276" w:lineRule="auto"/>
              <w:jc w:val="both"/>
              <w:rPr>
                <w:rFonts w:ascii="Verdana" w:eastAsia="Verdana" w:hAnsi="Verdana" w:cs="Verdana"/>
              </w:rPr>
            </w:pPr>
            <w:r w:rsidRPr="000565B4">
              <w:rPr>
                <w:rFonts w:ascii="Verdana" w:eastAsia="Verdana" w:hAnsi="Verdana" w:cs="Verdana"/>
              </w:rPr>
              <w:t>Conforme a los problemas jurídicos, objeto de consulta, se señala lo siguiente:</w:t>
            </w:r>
          </w:p>
          <w:p w14:paraId="4518B676"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t>i. En torno al primer problema jurídico, se señala que las inhabilidades e incompatibilidades constituyen restricciones a la capacidad para contratar con el Estado, establecidas por el constituyente o el legislador con el propósito de garantizar la moralidad, la transparencia, la imparcialidad y la prevalencia del interés general en la contratación estatal. Por tratarse de limitaciones a la capacidad jurídica de los particulares, sus causales son de reserva legal y su interpretación debe ser taxativa y restrictiva, sin que sea posible extenderlas por analogía o por criterios amplios de interpretación.</w:t>
            </w:r>
          </w:p>
          <w:p w14:paraId="601CB457"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En la Ley 80 de 1993, el tratamiento de las inhabilidades o incompatibilidades sobrevinientes varía según se trate de un proponente, un adjudicatario o un contratista. En relación con este último, el artículo 9 del Estatuto General de Contratación de la Administración Pública estableció un régimen especial para las circunstancias que sobrevienen durante la ejecución del contrato, cuyo propósito no es sancionar al contratista, sino impedir que continúe vinculado contractualmente con el Estado cuando ha perdido la capacidad para hacerlo, procurando al mismo tiempo la conservación del vínculo contractual cuando ello resulte jurídicamente posible. </w:t>
            </w:r>
          </w:p>
          <w:p w14:paraId="483F67E3"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De manera preliminar, conviene precisar que, tal como lo delimita la propia consulta, las consideraciones que siguen se circunscriben al régimen general de las inhabilidades e incompatibilidades sobrevinientes, esto es, a aquellas distintas de la prevista en el literal j) del numeral 1 del artículo 8 de la Ley 80 de 1993, la cual cuenta con un tratamiento especial en el parágrafo 1º del artículo 9 </w:t>
            </w:r>
            <w:proofErr w:type="spellStart"/>
            <w:r w:rsidRPr="000565B4">
              <w:rPr>
                <w:rFonts w:ascii="Verdana" w:eastAsia="Verdana" w:hAnsi="Verdana" w:cs="Verdana"/>
                <w:i/>
                <w:iCs/>
              </w:rPr>
              <w:t>Ibídem</w:t>
            </w:r>
            <w:proofErr w:type="spellEnd"/>
            <w:r w:rsidRPr="000565B4">
              <w:rPr>
                <w:rFonts w:ascii="Verdana" w:eastAsia="Verdana" w:hAnsi="Verdana" w:cs="Verdana"/>
              </w:rPr>
              <w:t>, adicionado por el artículo 6 de la Ley 2014 de 2019. En consecuencia, las reglas que se exponen a continuación no resultan aplicables a los eventos comprendidos en dicho régimen especial.</w:t>
            </w:r>
          </w:p>
          <w:p w14:paraId="43815A17"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consecuencia, cuando la inhabilidad o incompatibilidad sobreviene respecto de uno de los integrantes de un consorcio o unión temporal,</w:t>
            </w:r>
            <w:r w:rsidRPr="000565B4">
              <w:rPr>
                <w:rFonts w:cs="Times New Roman"/>
                <w:lang w:eastAsia="en-US"/>
              </w:rPr>
              <w:t xml:space="preserve"> </w:t>
            </w:r>
            <w:r w:rsidRPr="000565B4">
              <w:rPr>
                <w:rFonts w:ascii="Verdana" w:eastAsia="Verdana" w:hAnsi="Verdana" w:cs="Verdana"/>
              </w:rPr>
              <w:t xml:space="preserve">el primer deber que se activa es el del propio contratista, quien, en desarrollo </w:t>
            </w:r>
            <w:r w:rsidRPr="000565B4">
              <w:rPr>
                <w:rFonts w:ascii="Verdana" w:eastAsia="Verdana" w:hAnsi="Verdana" w:cs="Verdana"/>
              </w:rPr>
              <w:lastRenderedPageBreak/>
              <w:t>del principio de buena fe y de los deberes de conducta previstos en los artículos 23 y 26 de la Ley 80 de 1993, debe informar oportunamente a la entidad contratante la configuración de la circunstancia sobreviniente. Conocida esta —por información del contratista o por cualquier otro medio—, la entidad contratante deberá adelantar la actuación administrativa correspondiente para verificar la configuración de la causal, garantizando plenamente el debido proceso y, en particular, los derechos de defensa y contradicción del eventual afectado. Solo una vez establecida la existencia de la inhabilidad podrá exigir el cumplimiento de las consecuencias previstas por el legislador para esta clase de eventos.</w:t>
            </w:r>
          </w:p>
          <w:p w14:paraId="5469EA0A"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este aspecto, el efecto jurídico previsto en el inciso tercero del artículo 9 de la Ley 80 de 1993 consiste en que el integrante afectado deberá ceder su participación a un tercero, previa autorización escrita de la entidad contratante. La cesión constituye el mecanismo diseñado por el legislador para armonizar el principio de conservación del contrato con la necesidad de impedir que una persona incursa en una inhabilidad o incompatibilidad permanezca vinculada a la ejecución contractual. Por ello, dicha cesión únicamente puede efectuarse respecto de un tercero ajeno al consorcio o unión temporal, que reúna las condiciones jurídicas, técnicas, financieras y económicas necesarias para asumir la posición contractual, sin que resulte procedente redistribuir internamente la participación entre los demás integrantes del esquema asociativo.</w:t>
            </w:r>
          </w:p>
          <w:p w14:paraId="7E44589F"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este aspecto la sustitución del contratista solo resulta procedente cuando el nuevo sujeto demuestre, de manera autónoma y verificable, que cumple con todas las condiciones habilitantes que sirvieron de fundamento para la selección inicial: capacidad jurídica suficiente, experiencia y solvencia técnica equivalente o superior, fortaleza financiera comprobable y una estructura económica que garantice la ejecución integral del objeto contractual. Esta idoneidad no puede presumirse ni derivarse de su vinculación con los miembros originales del consorcio o unión temporal; debe acreditarse de forma independiente, como si se tratara de un nuevo proceso de selección respecto del cesionario.</w:t>
            </w:r>
          </w:p>
          <w:p w14:paraId="1F08C78C"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Finalmente, en cuanto al segundo interrogante comprendido en este problema jurídico, se informa que esta Agencia no ha expedido lineamientos, protocolos o directrices de carácter general y vinculante sobre la gestión de </w:t>
            </w:r>
            <w:r w:rsidRPr="000565B4">
              <w:rPr>
                <w:rFonts w:ascii="Verdana" w:eastAsia="Verdana" w:hAnsi="Verdana" w:cs="Verdana"/>
              </w:rPr>
              <w:lastRenderedPageBreak/>
              <w:t>las inhabilidades e incompatibilidades sobrevinientes de los integrantes de consorcios o uniones temporales, distintos de la doctrina consultiva desarrollada por esta Subdirección en los conceptos relacionados en el acápite V del presente documento.</w:t>
            </w:r>
          </w:p>
          <w:p w14:paraId="2EDBFC09" w14:textId="77777777" w:rsidR="000565B4" w:rsidRPr="000565B4" w:rsidRDefault="000565B4" w:rsidP="000565B4">
            <w:pPr>
              <w:spacing w:after="120" w:line="276" w:lineRule="auto"/>
              <w:jc w:val="both"/>
              <w:rPr>
                <w:rFonts w:ascii="Verdana" w:hAnsi="Verdana"/>
                <w:color w:val="0D0D0D"/>
              </w:rPr>
            </w:pPr>
            <w:proofErr w:type="spellStart"/>
            <w:r w:rsidRPr="000565B4">
              <w:rPr>
                <w:rFonts w:ascii="Verdana" w:hAnsi="Verdana"/>
                <w:color w:val="0D0D0D"/>
              </w:rPr>
              <w:t>ii</w:t>
            </w:r>
            <w:proofErr w:type="spellEnd"/>
            <w:r w:rsidRPr="000565B4">
              <w:rPr>
                <w:rFonts w:ascii="Verdana" w:hAnsi="Verdana"/>
                <w:color w:val="0D0D0D"/>
              </w:rPr>
              <w:t xml:space="preserve">. </w:t>
            </w:r>
            <w:r w:rsidRPr="000565B4">
              <w:rPr>
                <w:rFonts w:ascii="Verdana" w:eastAsia="Verdana" w:hAnsi="Verdana" w:cs="Verdana"/>
              </w:rPr>
              <w:t>En relación con el segundo problema jurídico, se considera que el artículo 9 de la Ley 80 de 1993 reguló la consecuencia jurídica derivada de la configuración de una inhabilidad o incompatibilidad sobreviniente respecto de uno de los integrantes de un consorcio o unión temporal, consistente en el deber de ceder su participación a un tercero, previa autorización escrita de la entidad contratante. Sin embargo, la disposición no previó expresamente cuál es la consecuencia jurídica cuando el integrante afectado incumple dicho deber o cuando la cesión resulta materialmente imposible por la inexistencia de un cesionario idóneo, por la imposibilidad de obtener la autorización correspondiente o por cualquier otra circunstancia. En efecto, corresponde interpretar las reglas del sistema de compras públicas de manera sistemática, atendiendo a la finalidad del régimen de inhabilidades e incompatibilidades y a las potestades excepcionales conferidas a las entidades estatales por el Estatuto General de Contratación de la Administración Pública.</w:t>
            </w:r>
          </w:p>
          <w:p w14:paraId="4860A542"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primer lugar, no resulta procedente acudir a la terminación unilateral prevista en el inciso segundo del artículo 45 de la Ley 80 de 1993, por cuanto dicha modalidad de terminación constituye una consecuencia de la configuración de una causal de nulidad absoluta del contrato. Esta figura presupone que la inhabilidad o incompatibilidad existía desde el momento mismo de la celebración del contrato y, por tanto, afectó su validez desde el origen. En contraste, la consulta versa sobre una inhabilidad sobreviniente, esto es, una circunstancia que surge durante la ejecución del contrato, respecto de la cual el legislador estableció un tratamiento específico en el artículo 9 de la Ley 80 de 1993. Por ello, extender las consecuencias previstas para la nulidad absoluta a un supuesto diferente desconocería el carácter taxativo y de interpretación restrictiva tanto del régimen de inhabilidades e incompatibilidades como de las causales de nulidad absoluta del contrato estatal.</w:t>
            </w:r>
          </w:p>
          <w:p w14:paraId="3EB0B376"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De igual manera, la sola negativa del integrante afectado a ceder su participación o la imposibilidad objetiva de materializar la cesión no </w:t>
            </w:r>
            <w:r w:rsidRPr="000565B4">
              <w:rPr>
                <w:rFonts w:ascii="Verdana" w:eastAsia="Verdana" w:hAnsi="Verdana" w:cs="Verdana"/>
              </w:rPr>
              <w:lastRenderedPageBreak/>
              <w:t>conducen, por sí mismas, a la declaratoria de caducidad del contrato. Esta constituye una potestad excepcional de naturaleza sancionatoria, cuya procedencia exige la acreditación de los presupuestos establecidos en el artículo 18 de la Ley 80 de 1993, particularmente, la existencia de un incumplimiento grave y directo de las obligaciones contractuales que afecte la ejecución del contrato y evidencie que puede conducir a su paralización. En consecuencia, la mera configuración de una inhabilidad sobreviniente no permite identificar automáticamente la caducidad como la consecuencia jurídica prevista por el ordenamiento, sin perjuicio de que la entidad, en el caso concreto, valore si la renuencia persistente del integrante a cumplir el deber legal de cesión configura los presupuestos de dicha potestad.</w:t>
            </w:r>
          </w:p>
          <w:p w14:paraId="1BE19195"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No obstante, una vez declarada la existencia de la inhabilidad con observancia del debido proceso, requerido el integrante para que cumpla el deber legal de ceder su participación y constatado que dicho mecanismo no pudo hacerse efectivo, la entidad estatal ya no dispone del instrumento expresamente diseñado por el legislador para preservar la continuidad del contrato. En tales condiciones, mantener la ejecución contractual con la participación de quien ha perdido la capacidad para contratar con el Estado implicaría desconocer la finalidad del artículo 9 de la Ley 80 de 1993 y permitir la permanencia de una situación incompatible con el régimen de inhabilidades e incompatibilidades.</w:t>
            </w:r>
          </w:p>
          <w:p w14:paraId="379AC132"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En criterio de esta Agencia, en ese escenario la entidad podrá valorar la procedencia de la terminación unilateral prevista en el numeral 1 del artículo 17 de la Ley 80 de 1993, cuando la continuidad del contrato resulte incompatible con las exigencias del servicio público. Lo anterior encuentra sustento en la necesidad de preservar la legalidad, la moralidad, la transparencia y el interés general que inspiran la contratación estatal, así como en la imposibilidad de admitir que el incumplimiento del deber legal de cesión produzca un efecto favorable para el integrante inhabilitado, permitiéndole permanecer vinculado a la ejecución del contrato. En todo caso, esta potestad deberá ejercerse mediante acto administrativo debidamente motivado, en el que la entidad justifique, con fundamento en las circunstancias concretas del caso, las razones de hecho y de derecho que hacen incompatible la continuidad del contrato con las finalidades del servicio público. En este aspecto, no basta la mera constatación formal de la </w:t>
            </w:r>
            <w:r w:rsidRPr="000565B4">
              <w:rPr>
                <w:rFonts w:ascii="Verdana" w:eastAsia="Verdana" w:hAnsi="Verdana" w:cs="Verdana"/>
              </w:rPr>
              <w:lastRenderedPageBreak/>
              <w:t>inhabilidad: la entidad debe acreditar que su permanencia compromete de manera efectiva la ejecución del contrato y el cumplimiento de los fines estatales.</w:t>
            </w:r>
          </w:p>
          <w:p w14:paraId="46F25A41"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Con todo, la procedencia de esta vía está condicionada por el régimen de las cláusulas excepcionales previsto en el artículo 14 de la Ley 80 de 1993. De una parte, la terminación unilateral solo podrá ejercerse en aquellos contratos en los que, conforme al numeral 2 del artículo 14, las cláusulas excepcionales se pactaron o se entienden pactadas, de modo que no constituye una herramienta disponible en todas las tipologías contractuales. De otra parte, el numeral 1 del mismo artículo dispone que, al ejercerse esta potestad, deberá procederse al reconocimiento y orden de pago de las compensaciones e indemnizaciones a que tengan derecho las personas objeto de tales medidas. En consecuencia, al motivar el acto, la entidad deberá examinar cuidadosamente este aspecto, teniendo en cuenta que la jurisprudencia constitucional ha precisado que las consecuencias derivadas de la inhabilidad sobreviniente constituyen medidas objetivas que no comprometen la responsabilidad de la administración, de manera que la situación originada en la esfera del integrante inhabilitado no puede convertirse en fuente de reconocimientos patrimoniales injustificados a favor del contratista.</w:t>
            </w:r>
          </w:p>
          <w:p w14:paraId="5A7D4734"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Sobre el particular, esta Subdirección precisa el alcance de la postura expuesta en el Concepto C-059 del 13 de junio de 2023, conforme a la cual, ante la inhabilidad sobreviniente de un integrante del consorcio o unión temporal, el ordenamiento solo prevé el mecanismo de la cesión de la participación como vía para la continuidad del contrato. Dicha conclusión se mantiene en cuanto a que la cesión es el único instrumento previsto por el legislador para conservar el vínculo contractual; no obstante, el presente concepto la complementa en el sentido de que, agotado dicho mecanismo sin resultado, la entidad no está obligada a mantener indefinidamente la ejecución del contrato en condiciones contrarias al régimen de inhabilidades, sino que podrá valorar la terminación unilateral en los términos aquí expuestos.</w:t>
            </w:r>
          </w:p>
          <w:p w14:paraId="13217CB2"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Ahora bien, cualquiera que sea la vía que la entidad adopte —terminación unilateral del numeral 1 del artículo 17 o, en el evento excepcional en que se acrediten sus presupuestos, la caducidad del artículo </w:t>
            </w:r>
            <w:r w:rsidRPr="000565B4">
              <w:rPr>
                <w:rFonts w:ascii="Verdana" w:eastAsia="Verdana" w:hAnsi="Verdana" w:cs="Verdana"/>
              </w:rPr>
              <w:lastRenderedPageBreak/>
              <w:t>18—, la validez del acto administrativo dependerá de la correspondencia estricta entre la causal legal invocada y los fundamentos fácticos y jurídicos expuestos en su motivación. La jurisprudencia del Consejo de Estado ha sido constante en señalar que estas potestades son de interpretación restrictiva y que su ejercicio por fuera de los supuestos legales, o con una sustentación fáctica que no corresponda a la causal invocada, vicia el acto de nulidad por falsa motivación o por infracción de las normas en que debía fundarse. En consecuencia, la entidad no puede motivar la terminación unilateral en la inhabilidad misma —pues esta no es causal autónoma de terminación—, sino en la incompatibilidad sobreviniente entre la continuidad del contrato y las exigencias del servicio público, debidamente acreditada; ni puede declarar la caducidad invocando la sola inhabilidad, sino únicamente un incumplimiento grave que afecte de manera directa la ejecución del contrato y amenace su paralización, plenamente demostrado en la actuación. La confusión entre estas causales, o la motivación del acto en una figura cuyos presupuestos no se configuran, expone la decisión a su anulación por el juez del contrato, con las consecuencias indemnizatorias correspondientes.</w:t>
            </w:r>
          </w:p>
          <w:p w14:paraId="06B9743C"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todo caso, la Administración tiene el deber de analizar alternativas que permitan gestionar o superar la situación derivada de la inhabilidad sobreviniente, de modo que la terminación unilateral opere únicamente como último recurso para salvaguardar el interés público y asegurar la continuidad del servicio. Cuando ello sea procedente y compatible con los fines de la contratación estatal, la entidad puede valorar la celebración de un acuerdo con el contratista para la terminación del contrato, privilegiando soluciones concertadas que mitiguen los impactos negativos sobre la gestión pública y faciliten una transición ordenada en la ejecución contractual. Igualmente, cuando la entidad no disponga de la potestad de terminación unilateral o considere que sus presupuestos no se satisfacen, podrá acudir al juez del contrato mediante el medio de control de controversias contractuales previsto en el artículo 141 de la Ley 1437 de 2011, con el fin de que se defina la terminación del vínculo y las consecuencias correspondientes.</w:t>
            </w:r>
          </w:p>
          <w:p w14:paraId="13ACE4C9" w14:textId="77777777" w:rsidR="000565B4" w:rsidRPr="000565B4" w:rsidRDefault="000565B4" w:rsidP="000565B4">
            <w:pPr>
              <w:spacing w:after="120" w:line="276" w:lineRule="auto"/>
              <w:jc w:val="both"/>
              <w:rPr>
                <w:rFonts w:ascii="Verdana" w:eastAsia="Verdana" w:hAnsi="Verdana" w:cs="Verdana"/>
              </w:rPr>
            </w:pPr>
            <w:proofErr w:type="spellStart"/>
            <w:r w:rsidRPr="000565B4">
              <w:rPr>
                <w:rFonts w:ascii="Verdana" w:eastAsia="Verdana" w:hAnsi="Verdana" w:cs="Verdana"/>
              </w:rPr>
              <w:t>iii</w:t>
            </w:r>
            <w:proofErr w:type="spellEnd"/>
            <w:r w:rsidRPr="000565B4">
              <w:rPr>
                <w:rFonts w:ascii="Verdana" w:eastAsia="Verdana" w:hAnsi="Verdana" w:cs="Verdana"/>
              </w:rPr>
              <w:t xml:space="preserve">. En referencia al tercer problema jurídico, esta Agencia considera que la renuncia a la ejecución del contrato prevista en el artículo 9 de la Ley 80 de 1993 no resulta aplicable cuando la inhabilidad o incompatibilidad sobreviene respecto de uno de los integrantes de un consorcio o una unión temporal. El </w:t>
            </w:r>
            <w:r w:rsidRPr="000565B4">
              <w:rPr>
                <w:rFonts w:ascii="Verdana" w:eastAsia="Verdana" w:hAnsi="Verdana" w:cs="Verdana"/>
              </w:rPr>
              <w:lastRenderedPageBreak/>
              <w:t>legislador estableció un tratamiento distinto para esta modalidad asociativa, disponiendo expresamente que, en tales eventos, el integrante afectado deberá ceder su participación a un tercero, previa autorización escrita de la entidad contratante. En este aspecto, la cesión constituye el mecanismo específico diseñado por el ordenamiento para remover la participación del integrante inhabilitado y preservar, en la medida de lo posible, la continuidad del contrato.</w:t>
            </w:r>
          </w:p>
          <w:p w14:paraId="6AD1B554"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Esta interpretación encuentra respaldo tanto en el tenor literal del artículo 9 de la Ley 80 de 1993 como en la jurisprudencia constitucional y contencioso administrativa, que ha destacado que las consecuencias derivadas de las inhabilidades e incompatibilidades corresponden a medidas objetivas encaminadas a garantizar que quien se encuentra inmerso en una de estas no continúe vinculado a la ejecución del contrato. De igual forma, el Consejo de Estado ha precisado que, tratándose de consorcios y uniones temporales, el efecto jurídico previsto por el legislador es la cesión de la participación del integrante afectado y no la renuncia a la ejecución del contrato.  </w:t>
            </w:r>
          </w:p>
          <w:p w14:paraId="0A264E35"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ese sentido, la renuncia no constituye un mecanismo alternativo a la cesión ni puede entenderse como un presupuesto para que la entidad ejerza las competencias que el ordenamiento le atribuye frente a la continuidad del contrato. Admitir lo contrario implicaría extender al consorcio o unión temporal una consecuencia prevista para el contratista individual, desconociendo que el propio legislador reguló de manera especial los efectos de las inhabilidades sobrevinientes en esta clase de esquemas asociativos.</w:t>
            </w:r>
          </w:p>
          <w:p w14:paraId="7A92EFF0"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Por consiguiente, la decisión que finalmente adopte la entidad no depende de la manifestación de voluntad del integrante inhabilitado de renunciar o no a la ejecución del contrato, sino del cumplimiento de las actuaciones previstas por el ordenamiento jurídico y de la verificación de los presupuestos legales correspondientes. En virtud de lo anterior, una vez establecida la inhabilidad con observancia del debido proceso y constatado que el mecanismo de cesión no pudo hacerse efectivo, la entidad podrá adoptar la decisión que en derecho corresponda, sin que la ausencia de una renuncia constituya un obstáculo para ello. Ello evita, además, que el integrante afectado pueda impedir la aplicación de los efectos jurídicos previstos por el legislador mediante su propia negativa a cumplir el deber </w:t>
            </w:r>
            <w:r w:rsidRPr="000565B4">
              <w:rPr>
                <w:rFonts w:ascii="Verdana" w:eastAsia="Verdana" w:hAnsi="Verdana" w:cs="Verdana"/>
              </w:rPr>
              <w:lastRenderedPageBreak/>
              <w:t>legal de ceder su participación, resultado incompatible con los principios de buena fe, legalidad y moralidad administrativa que fundamentan la contratación estatal.</w:t>
            </w:r>
          </w:p>
          <w:p w14:paraId="720BBC3A"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sobre las inhabilidades sobrevinientes, sino que brinda elementos de carácter general para que adopten la decisión que corresponda, lo cual es acorde con el principio de juridicidad. Así, cada entidad definirá la forma de adelantar su gestión contractual, sin que sea atribución de Colombia Compra Eficiente validarla.</w:t>
            </w:r>
          </w:p>
        </w:tc>
      </w:tr>
    </w:tbl>
    <w:p w14:paraId="2027DBDF" w14:textId="77777777" w:rsidR="000565B4" w:rsidRPr="000565B4" w:rsidRDefault="000565B4" w:rsidP="000565B4">
      <w:pPr>
        <w:spacing w:after="0" w:line="276" w:lineRule="auto"/>
        <w:rPr>
          <w:rFonts w:ascii="Verdana" w:eastAsia="Verdana" w:hAnsi="Verdana" w:cs="Verdana"/>
          <w:b/>
        </w:rPr>
      </w:pPr>
    </w:p>
    <w:p w14:paraId="342ACCE2"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III. Razones de la respuesta:</w:t>
      </w:r>
    </w:p>
    <w:p w14:paraId="6902CFE4" w14:textId="77777777" w:rsidR="000565B4" w:rsidRPr="000565B4" w:rsidRDefault="000565B4" w:rsidP="000565B4">
      <w:pPr>
        <w:spacing w:after="0" w:line="276" w:lineRule="auto"/>
        <w:rPr>
          <w:rFonts w:ascii="Verdana" w:eastAsia="Verdana" w:hAnsi="Verdana" w:cs="Verdana"/>
          <w:b/>
        </w:rPr>
      </w:pPr>
    </w:p>
    <w:p w14:paraId="2BEE5D35"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 xml:space="preserve">Lo anterior se sustenta en las siguientes consideraciones: </w:t>
      </w:r>
    </w:p>
    <w:p w14:paraId="727A8BFF" w14:textId="77777777" w:rsidR="000565B4" w:rsidRPr="000565B4" w:rsidRDefault="000565B4" w:rsidP="000565B4">
      <w:pPr>
        <w:spacing w:after="0" w:line="276" w:lineRule="auto"/>
        <w:jc w:val="both"/>
        <w:rPr>
          <w:rFonts w:ascii="Verdana" w:eastAsia="Verdana" w:hAnsi="Verdana" w:cs="Verdana"/>
        </w:rPr>
      </w:pPr>
    </w:p>
    <w:p w14:paraId="6259BC5B"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 xml:space="preserve">i. Las inhabilidades son circunstancias establecidas por la Constitución o la ley que impiden que personas naturales o jurídicas sean elegidas o designadas en un cargo público, celebren contratos con el Estado, o no puedan ejercer una profesión, con el objetivo de garantizar la idoneidad, imparcialidad, probidad, transparencia y moralidad de la función pública, garantizando el interés general. De igual modo, en torno a la incompatibilidad, la Corte Constitucional ha señalado: </w:t>
      </w:r>
    </w:p>
    <w:p w14:paraId="279BDFAD" w14:textId="77777777" w:rsidR="000565B4" w:rsidRPr="000565B4" w:rsidRDefault="000565B4" w:rsidP="000565B4">
      <w:pPr>
        <w:spacing w:after="0" w:line="276" w:lineRule="auto"/>
        <w:jc w:val="both"/>
        <w:rPr>
          <w:rFonts w:ascii="Verdana" w:eastAsia="Verdana" w:hAnsi="Verdana" w:cs="Verdana"/>
          <w:sz w:val="20"/>
          <w:szCs w:val="20"/>
        </w:rPr>
      </w:pPr>
    </w:p>
    <w:p w14:paraId="21E0C9EA"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 “[…]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todo caso, de afectar la imparcialidad y la independencia que deben guiar las actuaciones de quien ejerce la autoridad en nombre del Estado”</w:t>
      </w:r>
      <w:r w:rsidRPr="000565B4">
        <w:rPr>
          <w:rFonts w:ascii="Verdana" w:eastAsia="Verdana" w:hAnsi="Verdana" w:cs="Verdana"/>
          <w:sz w:val="20"/>
          <w:szCs w:val="20"/>
          <w:vertAlign w:val="superscript"/>
        </w:rPr>
        <w:footnoteReference w:id="1"/>
      </w:r>
      <w:r w:rsidRPr="000565B4">
        <w:rPr>
          <w:rFonts w:ascii="Verdana" w:eastAsia="Verdana" w:hAnsi="Verdana" w:cs="Verdana"/>
          <w:sz w:val="20"/>
          <w:szCs w:val="20"/>
        </w:rPr>
        <w:t>.</w:t>
      </w:r>
    </w:p>
    <w:p w14:paraId="47AED639" w14:textId="77777777" w:rsidR="000565B4" w:rsidRPr="000565B4" w:rsidRDefault="000565B4" w:rsidP="000565B4">
      <w:pPr>
        <w:spacing w:after="0" w:line="240" w:lineRule="auto"/>
        <w:ind w:left="709" w:right="709"/>
        <w:jc w:val="both"/>
        <w:rPr>
          <w:rFonts w:ascii="Verdana" w:eastAsia="Verdana" w:hAnsi="Verdana" w:cs="Verdana"/>
          <w:sz w:val="21"/>
          <w:szCs w:val="21"/>
        </w:rPr>
      </w:pPr>
    </w:p>
    <w:p w14:paraId="195D15BC"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lastRenderedPageBreak/>
        <w:t xml:space="preserve">Las inhabilidades e incompatibilidades pueden enfocarse en varios asuntos: en primer lugar, se encuentran las inhabilidades e incompatibilidades que impiden que una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De acuerdo con lo expuesto, se señala que la Agencia Nacional de Contratación Pública es competente para resolver consultas sobre normas del sistema de compras y contratación públicas que establezcan inhabilidades e incompatibilidades para contratar con el Estado. </w:t>
      </w:r>
    </w:p>
    <w:p w14:paraId="23179CA6"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0565B4">
        <w:rPr>
          <w:rFonts w:ascii="Verdana" w:eastAsia="Verdana" w:hAnsi="Verdana" w:cs="Verdana"/>
          <w:vertAlign w:val="superscript"/>
        </w:rPr>
        <w:footnoteReference w:id="2"/>
      </w:r>
    </w:p>
    <w:p w14:paraId="5BE14D7E" w14:textId="77777777" w:rsidR="000565B4" w:rsidRPr="000565B4" w:rsidRDefault="000565B4" w:rsidP="000565B4">
      <w:pPr>
        <w:spacing w:before="120" w:after="0" w:line="276" w:lineRule="auto"/>
        <w:ind w:firstLine="709"/>
        <w:jc w:val="both"/>
        <w:rPr>
          <w:rFonts w:ascii="Verdana" w:eastAsia="Verdana" w:hAnsi="Verdana" w:cs="Verdana"/>
        </w:rPr>
      </w:pPr>
      <w:r w:rsidRPr="000565B4">
        <w:rPr>
          <w:rFonts w:ascii="Verdana" w:eastAsia="Verdana" w:hAnsi="Verdana" w:cs="Verdana"/>
        </w:rPr>
        <w:t xml:space="preserve">La regulación de las inhabilidades implica limitaciones a la capacidad jurídica para contratar, que desarrolla los principios de la función administrativa consagrados en el artículo 209 de la Constitución Política, con especial énfasis, el de moralidad. Así lo entiende el Consejo de Estado: </w:t>
      </w:r>
    </w:p>
    <w:p w14:paraId="6D66B5A9" w14:textId="77777777" w:rsidR="000565B4" w:rsidRPr="000565B4" w:rsidRDefault="000565B4" w:rsidP="000565B4">
      <w:pPr>
        <w:spacing w:after="0" w:line="276" w:lineRule="auto"/>
        <w:jc w:val="both"/>
        <w:rPr>
          <w:rFonts w:ascii="Verdana" w:eastAsia="Verdana" w:hAnsi="Verdana" w:cs="Verdana"/>
        </w:rPr>
      </w:pPr>
    </w:p>
    <w:p w14:paraId="1853FAE6"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w:t>
      </w:r>
      <w:r w:rsidRPr="000565B4">
        <w:rPr>
          <w:rFonts w:ascii="Verdana" w:eastAsia="Verdana" w:hAnsi="Verdana" w:cs="Verdana"/>
          <w:sz w:val="20"/>
          <w:szCs w:val="20"/>
        </w:rPr>
        <w:lastRenderedPageBreak/>
        <w:t>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68CD0F9C"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p>
    <w:p w14:paraId="1DDCCD82"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0565B4">
        <w:rPr>
          <w:rFonts w:ascii="Verdana" w:eastAsia="Verdana" w:hAnsi="Verdana" w:cs="Verdana"/>
          <w:sz w:val="20"/>
          <w:szCs w:val="20"/>
          <w:vertAlign w:val="superscript"/>
        </w:rPr>
        <w:footnoteReference w:id="3"/>
      </w:r>
    </w:p>
    <w:p w14:paraId="3AC4B50A"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p>
    <w:p w14:paraId="27621F0B" w14:textId="77777777" w:rsidR="000565B4" w:rsidRPr="000565B4" w:rsidRDefault="000565B4" w:rsidP="000565B4">
      <w:pPr>
        <w:spacing w:after="0" w:line="276" w:lineRule="auto"/>
        <w:ind w:firstLine="709"/>
        <w:jc w:val="both"/>
        <w:rPr>
          <w:rFonts w:ascii="Verdana" w:eastAsia="Verdana" w:hAnsi="Verdana" w:cs="Verdana"/>
        </w:rPr>
      </w:pPr>
      <w:r w:rsidRPr="000565B4">
        <w:rPr>
          <w:rFonts w:ascii="Verdana" w:eastAsia="Verdana" w:hAnsi="Verdana" w:cs="Verdana"/>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7A4DBDBD" w14:textId="77777777" w:rsidR="000565B4" w:rsidRPr="000565B4" w:rsidRDefault="000565B4" w:rsidP="000565B4">
      <w:pPr>
        <w:spacing w:after="0" w:line="276" w:lineRule="auto"/>
        <w:rPr>
          <w:rFonts w:ascii="Verdana" w:eastAsia="Verdana" w:hAnsi="Verdana" w:cs="Verdana"/>
          <w:sz w:val="21"/>
          <w:szCs w:val="21"/>
          <w:highlight w:val="white"/>
        </w:rPr>
      </w:pPr>
    </w:p>
    <w:p w14:paraId="1374E636"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w:t>
      </w:r>
      <w:proofErr w:type="gramStart"/>
      <w:r w:rsidRPr="000565B4">
        <w:rPr>
          <w:rFonts w:ascii="Verdana" w:eastAsia="Verdana" w:hAnsi="Verdana" w:cs="Verdana"/>
          <w:sz w:val="20"/>
          <w:szCs w:val="20"/>
        </w:rPr>
        <w:t>incompatibilidades,</w:t>
      </w:r>
      <w:proofErr w:type="gramEnd"/>
      <w:r w:rsidRPr="000565B4">
        <w:rPr>
          <w:rFonts w:ascii="Verdana" w:eastAsia="Verdana" w:hAnsi="Verdana" w:cs="Verdana"/>
          <w:sz w:val="20"/>
          <w:szCs w:val="20"/>
        </w:rPr>
        <w:t xml:space="preserve"> se erige en causal de nulidad del contrato celebrado en esas condiciones (ley 80 de 1993, art. 44).</w:t>
      </w:r>
    </w:p>
    <w:p w14:paraId="06B0647C" w14:textId="77777777" w:rsidR="000565B4" w:rsidRPr="000565B4" w:rsidRDefault="000565B4" w:rsidP="000565B4">
      <w:pPr>
        <w:spacing w:after="0" w:line="240" w:lineRule="auto"/>
        <w:ind w:left="709" w:right="709"/>
        <w:jc w:val="both"/>
        <w:rPr>
          <w:rFonts w:ascii="Verdana" w:eastAsia="Verdana" w:hAnsi="Verdana" w:cs="Verdana"/>
          <w:sz w:val="20"/>
          <w:szCs w:val="20"/>
        </w:rPr>
      </w:pPr>
    </w:p>
    <w:p w14:paraId="380BABBC"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El carácter reconocidamente taxativo y restrictivo de este régimen y el de las correlativas nulidades, obedece a la necesidad de salvaguardar el interés general ínsito en la contratación pública de manera que implique </w:t>
      </w:r>
      <w:r w:rsidRPr="000565B4">
        <w:rPr>
          <w:rFonts w:ascii="Verdana" w:eastAsia="Verdana" w:hAnsi="Verdana" w:cs="Verdana"/>
          <w:sz w:val="20"/>
          <w:szCs w:val="20"/>
        </w:rPr>
        <w:lastRenderedPageBreak/>
        <w:t>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0565B4">
        <w:rPr>
          <w:rFonts w:ascii="Verdana" w:eastAsia="Verdana" w:hAnsi="Verdana" w:cs="Verdana"/>
          <w:sz w:val="20"/>
          <w:szCs w:val="20"/>
          <w:vertAlign w:val="superscript"/>
        </w:rPr>
        <w:footnoteReference w:id="4"/>
      </w:r>
      <w:r w:rsidRPr="000565B4">
        <w:rPr>
          <w:rFonts w:ascii="Verdana" w:eastAsia="Verdana" w:hAnsi="Verdana" w:cs="Verdana"/>
          <w:sz w:val="20"/>
          <w:szCs w:val="20"/>
        </w:rPr>
        <w:t xml:space="preserve">. </w:t>
      </w:r>
    </w:p>
    <w:p w14:paraId="32C81819" w14:textId="77777777" w:rsidR="000565B4" w:rsidRPr="000565B4" w:rsidRDefault="000565B4" w:rsidP="000565B4">
      <w:pPr>
        <w:spacing w:after="0" w:line="276" w:lineRule="auto"/>
        <w:ind w:right="709"/>
        <w:jc w:val="both"/>
        <w:rPr>
          <w:rFonts w:ascii="Verdana" w:eastAsia="Verdana" w:hAnsi="Verdana" w:cs="Verdana"/>
          <w:sz w:val="20"/>
          <w:szCs w:val="20"/>
        </w:rPr>
      </w:pPr>
    </w:p>
    <w:p w14:paraId="415157E4" w14:textId="77777777" w:rsidR="000565B4" w:rsidRPr="000565B4" w:rsidRDefault="000565B4" w:rsidP="000565B4">
      <w:pPr>
        <w:spacing w:after="0" w:line="276" w:lineRule="auto"/>
        <w:ind w:firstLine="709"/>
        <w:jc w:val="both"/>
        <w:rPr>
          <w:rFonts w:ascii="Verdana" w:eastAsia="Verdana" w:hAnsi="Verdana" w:cs="Verdana"/>
        </w:rPr>
      </w:pPr>
      <w:r w:rsidRPr="000565B4">
        <w:rPr>
          <w:rFonts w:ascii="Verdana" w:eastAsia="Verdana" w:hAnsi="Verdana" w:cs="Verdana"/>
        </w:rPr>
        <w:t>Además, la Corte Constitucional explica que el legislador tiene la competencia para determinar qué hechos o situaciones generan inhabilidad para contratar, pues este régimen es un aspecto propio del Estatuto General de Contratación de la Administración Pública – en adelante EGCAP –, cuya expedición compete al Congreso de la República a la luz del artículo 150 de la Constitución Política, y que en esta materia rige el principio de legalidad:</w:t>
      </w:r>
    </w:p>
    <w:p w14:paraId="68A59360" w14:textId="77777777" w:rsidR="000565B4" w:rsidRPr="000565B4" w:rsidRDefault="000565B4" w:rsidP="000565B4">
      <w:pPr>
        <w:tabs>
          <w:tab w:val="left" w:pos="1532"/>
        </w:tabs>
        <w:spacing w:after="0" w:line="276" w:lineRule="auto"/>
        <w:jc w:val="both"/>
        <w:rPr>
          <w:rFonts w:ascii="Verdana" w:eastAsia="Verdana" w:hAnsi="Verdana" w:cs="Verdana"/>
        </w:rPr>
      </w:pPr>
    </w:p>
    <w:p w14:paraId="3313CA01"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w:t>
      </w:r>
      <w:proofErr w:type="spellStart"/>
      <w:r w:rsidRPr="000565B4">
        <w:rPr>
          <w:rFonts w:ascii="Verdana" w:eastAsia="Verdana" w:hAnsi="Verdana" w:cs="Verdana"/>
          <w:sz w:val="20"/>
          <w:szCs w:val="20"/>
        </w:rPr>
        <w:t>libertate</w:t>
      </w:r>
      <w:proofErr w:type="spellEnd"/>
      <w:r w:rsidRPr="000565B4">
        <w:rPr>
          <w:rFonts w:ascii="Verdana" w:eastAsia="Verdana" w:hAnsi="Verdana" w:cs="Verdana"/>
          <w:sz w:val="20"/>
          <w:szCs w:val="20"/>
        </w:rPr>
        <w:t xml:space="preserve">, sino el de legalidad, el que ordena que la función pública debe someterse estrictamente a lo que disponga la Constitución y la ley (CP art. 6). </w:t>
      </w:r>
    </w:p>
    <w:p w14:paraId="19395312"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 </w:t>
      </w:r>
    </w:p>
    <w:p w14:paraId="473490B0"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Se comprende con facilidad que el régimen de inhabilidades e </w:t>
      </w:r>
      <w:proofErr w:type="gramStart"/>
      <w:r w:rsidRPr="000565B4">
        <w:rPr>
          <w:rFonts w:ascii="Verdana" w:eastAsia="Verdana" w:hAnsi="Verdana" w:cs="Verdana"/>
          <w:sz w:val="20"/>
          <w:szCs w:val="20"/>
        </w:rPr>
        <w:t>incompatibilidades,</w:t>
      </w:r>
      <w:proofErr w:type="gramEnd"/>
      <w:r w:rsidRPr="000565B4">
        <w:rPr>
          <w:rFonts w:ascii="Verdana" w:eastAsia="Verdana" w:hAnsi="Verdana" w:cs="Verdana"/>
          <w:sz w:val="20"/>
          <w:szCs w:val="20"/>
        </w:rPr>
        <w:t xml:space="preserve"> corresponde a una materia de normal y obligada inclusión en un estatuto contractual. El legislador, a quien se ha confiado expedir el indicado estatuto, tiene, pues, competencia para establecerlo (CP art. 150)”</w:t>
      </w:r>
      <w:r w:rsidRPr="000565B4">
        <w:rPr>
          <w:rFonts w:ascii="Verdana" w:eastAsia="Verdana" w:hAnsi="Verdana" w:cs="Verdana"/>
          <w:sz w:val="20"/>
          <w:szCs w:val="20"/>
          <w:vertAlign w:val="superscript"/>
        </w:rPr>
        <w:footnoteReference w:id="5"/>
      </w:r>
      <w:r w:rsidRPr="000565B4">
        <w:rPr>
          <w:rFonts w:ascii="Verdana" w:eastAsia="Verdana" w:hAnsi="Verdana" w:cs="Verdana"/>
          <w:sz w:val="20"/>
          <w:szCs w:val="20"/>
        </w:rPr>
        <w:t>.</w:t>
      </w:r>
    </w:p>
    <w:p w14:paraId="469F7DCA" w14:textId="77777777" w:rsidR="000565B4" w:rsidRPr="000565B4" w:rsidRDefault="000565B4" w:rsidP="000565B4">
      <w:pPr>
        <w:spacing w:after="0" w:line="276" w:lineRule="auto"/>
        <w:ind w:left="709" w:right="709"/>
        <w:jc w:val="both"/>
        <w:rPr>
          <w:rFonts w:ascii="Verdana" w:eastAsia="Verdana" w:hAnsi="Verdana" w:cs="Verdana"/>
          <w:sz w:val="20"/>
          <w:szCs w:val="20"/>
        </w:rPr>
      </w:pPr>
    </w:p>
    <w:p w14:paraId="6FA97DA8"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Conviene también distinguir las fuentes de las inhabilidades, las cuales han sido clasificadas en dos (2) grupos: i) inhabilidades-sanción y </w:t>
      </w:r>
      <w:proofErr w:type="spellStart"/>
      <w:r w:rsidRPr="000565B4">
        <w:rPr>
          <w:rFonts w:ascii="Verdana" w:eastAsia="Verdana" w:hAnsi="Verdana" w:cs="Verdana"/>
        </w:rPr>
        <w:t>ii</w:t>
      </w:r>
      <w:proofErr w:type="spellEnd"/>
      <w:r w:rsidRPr="000565B4">
        <w:rPr>
          <w:rFonts w:ascii="Verdana" w:eastAsia="Verdana" w:hAnsi="Verdana" w:cs="Verdana"/>
        </w:rPr>
        <w:t xml:space="preserve">) inhabilidades-requisito. En el primer grupo se encuentran las inhabilidades que surgen como consecuencia de un proceso sancionatorio, en los ámbitos penal, disciplinario, contravencional o de pérdida de investidura. En el segundo grupo </w:t>
      </w:r>
      <w:r w:rsidRPr="000565B4">
        <w:rPr>
          <w:rFonts w:ascii="Verdana" w:eastAsia="Verdana" w:hAnsi="Verdana" w:cs="Verdana"/>
        </w:rPr>
        <w:lastRenderedPageBreak/>
        <w:t>están aquellas que no devienen de un proceso sancionatorio, sino de condiciones propias de la persona y garantizan la moralidad, la imparcialidad, la eficacia y la transparencia</w:t>
      </w:r>
      <w:r w:rsidRPr="000565B4">
        <w:rPr>
          <w:rFonts w:ascii="Verdana" w:eastAsia="Verdana" w:hAnsi="Verdana" w:cs="Verdana"/>
          <w:vertAlign w:val="superscript"/>
        </w:rPr>
        <w:footnoteReference w:id="6"/>
      </w:r>
      <w:r w:rsidRPr="000565B4">
        <w:rPr>
          <w:rFonts w:ascii="Verdana" w:eastAsia="Verdana" w:hAnsi="Verdana" w:cs="Verdana"/>
        </w:rPr>
        <w:t>.</w:t>
      </w:r>
    </w:p>
    <w:p w14:paraId="5446769D" w14:textId="77777777" w:rsidR="000565B4" w:rsidRPr="000565B4" w:rsidRDefault="000565B4" w:rsidP="000565B4">
      <w:pPr>
        <w:spacing w:before="120" w:after="120" w:line="276" w:lineRule="auto"/>
        <w:ind w:firstLine="708"/>
        <w:jc w:val="both"/>
        <w:rPr>
          <w:rFonts w:ascii="Verdana" w:eastAsia="Verdana" w:hAnsi="Verdana" w:cs="Verdana"/>
        </w:rPr>
      </w:pPr>
      <w:r w:rsidRPr="000565B4">
        <w:rPr>
          <w:rFonts w:ascii="Verdana" w:eastAsia="Verdana" w:hAnsi="Verdana" w:cs="Verdana"/>
        </w:rPr>
        <w:t>A manera de ejemplo, en materia contractual, los literales c), d) y j) del numeral 1 del artículo 8 de la Ley 80 de 1993</w:t>
      </w:r>
      <w:r w:rsidRPr="000565B4">
        <w:rPr>
          <w:rFonts w:ascii="Verdana" w:eastAsia="Verdana" w:hAnsi="Verdana" w:cs="Verdana"/>
          <w:vertAlign w:val="superscript"/>
        </w:rPr>
        <w:footnoteReference w:id="7"/>
      </w:r>
      <w:r w:rsidRPr="000565B4">
        <w:rPr>
          <w:rFonts w:ascii="Verdana" w:eastAsia="Verdana" w:hAnsi="Verdana" w:cs="Verdana"/>
        </w:rPr>
        <w:t xml:space="preserve"> establecen inhabilidades-sanción, </w:t>
      </w:r>
      <w:r w:rsidRPr="000565B4">
        <w:rPr>
          <w:rFonts w:ascii="Verdana" w:eastAsia="Verdana" w:hAnsi="Verdana" w:cs="Verdana"/>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2E41441F" w14:textId="77777777" w:rsidR="000565B4" w:rsidRPr="000565B4" w:rsidRDefault="000565B4" w:rsidP="000565B4">
      <w:pPr>
        <w:spacing w:before="120" w:after="120" w:line="276" w:lineRule="auto"/>
        <w:ind w:firstLine="709"/>
        <w:jc w:val="both"/>
        <w:rPr>
          <w:rFonts w:ascii="Verdana" w:eastAsia="Verdana" w:hAnsi="Verdana" w:cs="Verdana"/>
        </w:rPr>
      </w:pPr>
      <w:r w:rsidRPr="000565B4">
        <w:rPr>
          <w:rFonts w:ascii="Verdana" w:eastAsia="Verdana" w:hAnsi="Verdana" w:cs="Verdana"/>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18DF1FFF" w14:textId="77777777" w:rsidR="000565B4" w:rsidRPr="000565B4" w:rsidRDefault="000565B4" w:rsidP="000565B4">
      <w:pPr>
        <w:spacing w:before="120" w:after="120" w:line="276" w:lineRule="auto"/>
        <w:ind w:firstLine="709"/>
        <w:jc w:val="both"/>
        <w:rPr>
          <w:rFonts w:ascii="Verdana" w:eastAsia="Verdana" w:hAnsi="Verdana" w:cs="Verdana"/>
        </w:rPr>
      </w:pPr>
      <w:r w:rsidRPr="000565B4">
        <w:rPr>
          <w:rFonts w:ascii="Verdana" w:eastAsia="Verdana" w:hAnsi="Verdana" w:cs="Verdana"/>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0565B4">
        <w:rPr>
          <w:rFonts w:ascii="Verdana" w:eastAsia="Verdana" w:hAnsi="Verdana" w:cs="Verdana"/>
          <w:i/>
        </w:rPr>
        <w:t>restrictiva</w:t>
      </w:r>
      <w:r w:rsidRPr="000565B4">
        <w:rPr>
          <w:rFonts w:ascii="Verdana" w:eastAsia="Verdana" w:hAnsi="Verdana" w:cs="Verdana"/>
          <w:i/>
          <w:vertAlign w:val="superscript"/>
        </w:rPr>
        <w:footnoteReference w:id="8"/>
      </w:r>
      <w:r w:rsidRPr="000565B4">
        <w:rPr>
          <w:rFonts w:ascii="Verdana" w:eastAsia="Verdana" w:hAnsi="Verdana" w:cs="Verdana"/>
          <w:i/>
        </w:rPr>
        <w:t xml:space="preserve">, </w:t>
      </w:r>
      <w:r w:rsidRPr="000565B4">
        <w:rPr>
          <w:rFonts w:ascii="Verdana" w:eastAsia="Verdana" w:hAnsi="Verdana" w:cs="Verdana"/>
        </w:rPr>
        <w:t xml:space="preserve">pues si se admitiera una interpretación amplia, extensiva o finalista de las mismas, tales enunciados normativos contemplarían múltiples supuestos indeterminados, </w:t>
      </w:r>
      <w:r w:rsidRPr="000565B4">
        <w:rPr>
          <w:rFonts w:ascii="Verdana" w:eastAsia="Verdana" w:hAnsi="Verdana" w:cs="Verdana"/>
        </w:rPr>
        <w:lastRenderedPageBreak/>
        <w:t xml:space="preserve">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42DB3F18"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0565B4">
        <w:rPr>
          <w:rFonts w:ascii="Verdana" w:eastAsia="Verdana" w:hAnsi="Verdana" w:cs="Verdana"/>
          <w:vertAlign w:val="superscript"/>
        </w:rPr>
        <w:footnoteReference w:id="9"/>
      </w:r>
      <w:r w:rsidRPr="000565B4">
        <w:rPr>
          <w:rFonts w:ascii="Verdana" w:eastAsia="Verdana" w:hAnsi="Verdana" w:cs="Verdana"/>
        </w:rPr>
        <w:t xml:space="preserve">. </w:t>
      </w:r>
    </w:p>
    <w:p w14:paraId="7010642B" w14:textId="77777777" w:rsidR="000565B4" w:rsidRPr="000565B4" w:rsidRDefault="000565B4" w:rsidP="000565B4">
      <w:pPr>
        <w:spacing w:after="0" w:line="276" w:lineRule="auto"/>
        <w:ind w:firstLine="709"/>
        <w:jc w:val="both"/>
        <w:rPr>
          <w:rFonts w:ascii="Verdana" w:eastAsia="Verdana" w:hAnsi="Verdana" w:cs="Verdana"/>
        </w:rPr>
      </w:pPr>
      <w:r w:rsidRPr="000565B4">
        <w:rPr>
          <w:rFonts w:ascii="Verdana" w:eastAsia="Verdana" w:hAnsi="Verdana" w:cs="Verdana"/>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0565B4">
        <w:rPr>
          <w:rFonts w:ascii="Verdana" w:eastAsia="Verdana" w:hAnsi="Verdana" w:cs="Verdana"/>
          <w:vertAlign w:val="superscript"/>
        </w:rPr>
        <w:footnoteReference w:id="10"/>
      </w:r>
      <w:r w:rsidRPr="000565B4">
        <w:rPr>
          <w:rFonts w:ascii="Verdana" w:eastAsia="Verdana" w:hAnsi="Verdana" w:cs="Verdana"/>
        </w:rPr>
        <w:t>. En tal sentido, la Sección Tercera ha señalado que:</w:t>
      </w:r>
    </w:p>
    <w:p w14:paraId="3FDFA767" w14:textId="77777777" w:rsidR="000565B4" w:rsidRPr="000565B4" w:rsidRDefault="000565B4" w:rsidP="000565B4">
      <w:pPr>
        <w:spacing w:after="0" w:line="276" w:lineRule="auto"/>
        <w:ind w:firstLine="709"/>
        <w:jc w:val="both"/>
        <w:rPr>
          <w:rFonts w:ascii="Verdana" w:eastAsia="Verdana" w:hAnsi="Verdana" w:cs="Verdana"/>
        </w:rPr>
      </w:pPr>
    </w:p>
    <w:p w14:paraId="0225F5E9"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0565B4">
        <w:rPr>
          <w:rFonts w:ascii="Verdana" w:eastAsia="Verdana" w:hAnsi="Verdana" w:cs="Verdana"/>
          <w:sz w:val="20"/>
          <w:szCs w:val="20"/>
          <w:vertAlign w:val="superscript"/>
        </w:rPr>
        <w:footnoteReference w:id="11"/>
      </w:r>
      <w:r w:rsidRPr="000565B4">
        <w:rPr>
          <w:rFonts w:ascii="Verdana" w:eastAsia="Verdana" w:hAnsi="Verdana" w:cs="Verdana"/>
          <w:sz w:val="20"/>
          <w:szCs w:val="20"/>
        </w:rPr>
        <w:t>.</w:t>
      </w:r>
    </w:p>
    <w:p w14:paraId="055796CF" w14:textId="77777777" w:rsidR="000565B4" w:rsidRPr="000565B4" w:rsidRDefault="000565B4" w:rsidP="000565B4">
      <w:pPr>
        <w:spacing w:after="0" w:line="240" w:lineRule="auto"/>
        <w:ind w:firstLine="709"/>
        <w:jc w:val="both"/>
        <w:rPr>
          <w:rFonts w:ascii="Verdana" w:eastAsia="Verdana" w:hAnsi="Verdana" w:cs="Verdana"/>
          <w:sz w:val="20"/>
          <w:szCs w:val="20"/>
        </w:rPr>
      </w:pPr>
    </w:p>
    <w:p w14:paraId="0C41284B" w14:textId="77777777" w:rsidR="000565B4" w:rsidRPr="000565B4" w:rsidRDefault="000565B4" w:rsidP="000565B4">
      <w:pPr>
        <w:spacing w:after="0" w:line="240" w:lineRule="auto"/>
        <w:ind w:firstLine="709"/>
        <w:jc w:val="both"/>
        <w:rPr>
          <w:rFonts w:ascii="Verdana" w:eastAsia="Verdana" w:hAnsi="Verdana" w:cs="Verdana"/>
          <w:sz w:val="20"/>
          <w:szCs w:val="20"/>
        </w:rPr>
      </w:pPr>
      <w:r w:rsidRPr="000565B4">
        <w:rPr>
          <w:rFonts w:ascii="Verdana" w:eastAsia="Verdana" w:hAnsi="Verdana" w:cs="Verdana"/>
          <w:sz w:val="20"/>
          <w:szCs w:val="20"/>
        </w:rPr>
        <w:t>También ha dicho que:</w:t>
      </w:r>
    </w:p>
    <w:p w14:paraId="3AB38C58" w14:textId="77777777" w:rsidR="000565B4" w:rsidRPr="000565B4" w:rsidRDefault="000565B4" w:rsidP="000565B4">
      <w:pPr>
        <w:spacing w:after="0" w:line="240" w:lineRule="auto"/>
        <w:ind w:left="709" w:right="616"/>
        <w:jc w:val="both"/>
        <w:rPr>
          <w:rFonts w:ascii="Verdana" w:eastAsia="Verdana" w:hAnsi="Verdana" w:cs="Verdana"/>
          <w:sz w:val="20"/>
          <w:szCs w:val="20"/>
        </w:rPr>
      </w:pPr>
      <w:r w:rsidRPr="000565B4">
        <w:rPr>
          <w:rFonts w:ascii="Verdana" w:eastAsia="Verdana" w:hAnsi="Verdana" w:cs="Verdana"/>
          <w:sz w:val="20"/>
          <w:szCs w:val="20"/>
        </w:rPr>
        <w:t xml:space="preserve">[…] la aplicación de estos preceptos exige una interpretación restrictiva, dado que según el principio hermenéutico </w:t>
      </w:r>
      <w:r w:rsidRPr="000565B4">
        <w:rPr>
          <w:rFonts w:ascii="Verdana" w:eastAsia="Verdana" w:hAnsi="Verdana" w:cs="Verdana"/>
          <w:i/>
          <w:sz w:val="20"/>
          <w:szCs w:val="20"/>
        </w:rPr>
        <w:t xml:space="preserve">pro </w:t>
      </w:r>
      <w:proofErr w:type="spellStart"/>
      <w:r w:rsidRPr="000565B4">
        <w:rPr>
          <w:rFonts w:ascii="Verdana" w:eastAsia="Verdana" w:hAnsi="Verdana" w:cs="Verdana"/>
          <w:i/>
          <w:sz w:val="20"/>
          <w:szCs w:val="20"/>
        </w:rPr>
        <w:t>libertate</w:t>
      </w:r>
      <w:proofErr w:type="spellEnd"/>
      <w:r w:rsidRPr="000565B4">
        <w:rPr>
          <w:rFonts w:ascii="Verdana" w:eastAsia="Verdana" w:hAnsi="Verdana" w:cs="Verdana"/>
          <w:sz w:val="20"/>
          <w:szCs w:val="20"/>
        </w:rPr>
        <w:t xml:space="preserve">, entre varias interpretaciones posibles de una norma que regula una inhabilidad, debe preferirse aquella que menos limita el derecho de las personas; en otros términos, se encuentra prohibida constitucionalmente la interpretación </w:t>
      </w:r>
      <w:r w:rsidRPr="000565B4">
        <w:rPr>
          <w:rFonts w:ascii="Verdana" w:eastAsia="Verdana" w:hAnsi="Verdana" w:cs="Verdana"/>
          <w:sz w:val="20"/>
          <w:szCs w:val="20"/>
        </w:rPr>
        <w:lastRenderedPageBreak/>
        <w:t>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0565B4">
        <w:rPr>
          <w:rFonts w:ascii="Verdana" w:eastAsia="Verdana" w:hAnsi="Verdana" w:cs="Verdana"/>
          <w:sz w:val="20"/>
          <w:szCs w:val="20"/>
          <w:vertAlign w:val="superscript"/>
        </w:rPr>
        <w:footnoteReference w:id="12"/>
      </w:r>
      <w:r w:rsidRPr="000565B4">
        <w:rPr>
          <w:rFonts w:ascii="Verdana" w:eastAsia="Verdana" w:hAnsi="Verdana" w:cs="Verdana"/>
          <w:sz w:val="20"/>
          <w:szCs w:val="20"/>
        </w:rPr>
        <w:t>.</w:t>
      </w:r>
    </w:p>
    <w:p w14:paraId="151BE504" w14:textId="77777777" w:rsidR="000565B4" w:rsidRPr="000565B4" w:rsidRDefault="000565B4" w:rsidP="000565B4">
      <w:pPr>
        <w:spacing w:after="0" w:line="276" w:lineRule="auto"/>
        <w:jc w:val="both"/>
        <w:rPr>
          <w:rFonts w:ascii="Verdana" w:eastAsia="Verdana" w:hAnsi="Verdana" w:cs="Verdana"/>
          <w:color w:val="000000"/>
          <w:sz w:val="20"/>
          <w:szCs w:val="20"/>
        </w:rPr>
      </w:pPr>
    </w:p>
    <w:p w14:paraId="6A2D7D41"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 xml:space="preserve">Como se aprecia, el principio </w:t>
      </w:r>
      <w:r w:rsidRPr="000565B4">
        <w:rPr>
          <w:rFonts w:ascii="Verdana" w:eastAsia="Verdana" w:hAnsi="Verdana" w:cs="Verdana"/>
          <w:i/>
          <w:color w:val="000000"/>
        </w:rPr>
        <w:t xml:space="preserve">pro </w:t>
      </w:r>
      <w:proofErr w:type="spellStart"/>
      <w:r w:rsidRPr="000565B4">
        <w:rPr>
          <w:rFonts w:ascii="Verdana" w:eastAsia="Verdana" w:hAnsi="Verdana" w:cs="Verdana"/>
          <w:i/>
          <w:color w:val="000000"/>
        </w:rPr>
        <w:t>libertate</w:t>
      </w:r>
      <w:proofErr w:type="spellEnd"/>
      <w:r w:rsidRPr="000565B4">
        <w:rPr>
          <w:rFonts w:ascii="Verdana" w:eastAsia="Verdana" w:hAnsi="Verdana" w:cs="Verdana"/>
          <w:color w:val="000000"/>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r w:rsidRPr="000565B4">
        <w:rPr>
          <w:rFonts w:ascii="Verdana" w:eastAsia="Verdana" w:hAnsi="Verdana" w:cs="Verdana"/>
          <w:color w:val="000000"/>
          <w:vertAlign w:val="superscript"/>
        </w:rPr>
        <w:footnoteReference w:id="13"/>
      </w:r>
    </w:p>
    <w:p w14:paraId="6E2B064B" w14:textId="77777777" w:rsidR="000565B4" w:rsidRPr="000565B4" w:rsidRDefault="000565B4" w:rsidP="000565B4">
      <w:pPr>
        <w:spacing w:after="0" w:line="276" w:lineRule="auto"/>
        <w:ind w:firstLine="709"/>
        <w:jc w:val="both"/>
        <w:rPr>
          <w:rFonts w:ascii="Verdana" w:eastAsia="Verdana" w:hAnsi="Verdana" w:cs="Verdana"/>
          <w:color w:val="000000"/>
          <w:highlight w:val="white"/>
        </w:rPr>
      </w:pPr>
      <w:r w:rsidRPr="000565B4">
        <w:rPr>
          <w:rFonts w:ascii="Verdana" w:eastAsia="Verdana" w:hAnsi="Verdana" w:cs="Verdana"/>
          <w:highlight w:val="white"/>
        </w:rPr>
        <w:t>En este sentido, retomando una idea esbozada con anterioridad,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w:t>
      </w:r>
      <w:r w:rsidRPr="000565B4">
        <w:rPr>
          <w:rFonts w:ascii="Verdana" w:eastAsia="Verdana" w:hAnsi="Verdana" w:cs="Verdana"/>
          <w:highlight w:val="white"/>
          <w:vertAlign w:val="superscript"/>
        </w:rPr>
        <w:footnoteReference w:id="14"/>
      </w:r>
      <w:r w:rsidRPr="000565B4">
        <w:rPr>
          <w:rFonts w:ascii="Verdana" w:eastAsia="Verdana" w:hAnsi="Verdana" w:cs="Verdana"/>
          <w:highlight w:val="white"/>
        </w:rPr>
        <w:t xml:space="preserve"> En similar sentido, la Sala de Consulta y Servicio Civil del Consejo de Estado expresó </w:t>
      </w:r>
      <w:r w:rsidRPr="000565B4">
        <w:rPr>
          <w:rFonts w:ascii="Verdana" w:eastAsia="Verdana" w:hAnsi="Verdana" w:cs="Verdana"/>
          <w:color w:val="000000"/>
          <w:highlight w:val="white"/>
        </w:rPr>
        <w:t>que “[…] las causales de inhabilidad e incompatibilidad deben estar expresa y taxativamente establecidas en la Constitución o en la ley y son de aplicación e interpretación restrictivas […]”</w:t>
      </w:r>
      <w:r w:rsidRPr="000565B4">
        <w:rPr>
          <w:rFonts w:ascii="Verdana" w:eastAsia="Verdana" w:hAnsi="Verdana" w:cs="Verdana"/>
          <w:color w:val="000000"/>
          <w:highlight w:val="white"/>
          <w:vertAlign w:val="superscript"/>
        </w:rPr>
        <w:footnoteReference w:id="15"/>
      </w:r>
      <w:r w:rsidRPr="000565B4">
        <w:rPr>
          <w:rFonts w:ascii="Verdana" w:eastAsia="Verdana" w:hAnsi="Verdana" w:cs="Verdana"/>
          <w:color w:val="000000"/>
          <w:highlight w:val="white"/>
        </w:rPr>
        <w:t>. Como se observa, existe consenso, incluso como lo ha expresado esta Agencia en ocasiones anteriores, que la creación de inhabilidades o incompatibilidades está reservada al constituyente o al legislador.</w:t>
      </w:r>
    </w:p>
    <w:p w14:paraId="039D69BB" w14:textId="77777777" w:rsidR="000565B4" w:rsidRPr="000565B4" w:rsidRDefault="000565B4" w:rsidP="000565B4">
      <w:pPr>
        <w:spacing w:after="0" w:line="276" w:lineRule="auto"/>
        <w:jc w:val="both"/>
        <w:rPr>
          <w:rFonts w:ascii="Verdana" w:eastAsia="Verdana" w:hAnsi="Verdana" w:cs="Verdana"/>
          <w:b/>
        </w:rPr>
      </w:pPr>
    </w:p>
    <w:p w14:paraId="48EDCF6C" w14:textId="73D03A8D" w:rsidR="000565B4" w:rsidRPr="000565B4" w:rsidRDefault="000565B4" w:rsidP="000565B4">
      <w:pPr>
        <w:pBdr>
          <w:top w:val="nil"/>
          <w:left w:val="nil"/>
          <w:bottom w:val="nil"/>
          <w:right w:val="nil"/>
          <w:between w:val="nil"/>
        </w:pBdr>
        <w:spacing w:after="120" w:line="276" w:lineRule="auto"/>
        <w:jc w:val="both"/>
        <w:rPr>
          <w:rFonts w:ascii="Verdana" w:eastAsia="Verdana" w:hAnsi="Verdana" w:cs="Verdana"/>
          <w:color w:val="000000"/>
        </w:rPr>
      </w:pPr>
      <w:proofErr w:type="spellStart"/>
      <w:r w:rsidRPr="000565B4">
        <w:rPr>
          <w:rFonts w:ascii="Verdana" w:eastAsia="Verdana" w:hAnsi="Verdana" w:cs="Verdana"/>
        </w:rPr>
        <w:lastRenderedPageBreak/>
        <w:t>ii</w:t>
      </w:r>
      <w:proofErr w:type="spellEnd"/>
      <w:r w:rsidRPr="000565B4">
        <w:rPr>
          <w:rFonts w:ascii="Verdana" w:eastAsia="Verdana" w:hAnsi="Verdana" w:cs="Verdana"/>
        </w:rPr>
        <w:t xml:space="preserve">. </w:t>
      </w:r>
      <w:r w:rsidRPr="000565B4">
        <w:rPr>
          <w:rFonts w:ascii="Verdana" w:eastAsia="Verdana" w:hAnsi="Verdana" w:cs="Verdana"/>
          <w:color w:val="000000"/>
        </w:rPr>
        <w:t xml:space="preserve">Por otra parte, frente a las inhabilidades o incompatibilidades que tienen carácter sobreviniente, es necesario tener en cuenta que el ordenamiento jurídico trata de manera distinta al oferente, al adjudicatario y al contratista. </w:t>
      </w:r>
      <w:r w:rsidRPr="000565B4">
        <w:rPr>
          <w:rFonts w:ascii="Verdana" w:eastAsia="Verdana" w:hAnsi="Verdana" w:cs="Verdana"/>
          <w:i/>
          <w:color w:val="000000"/>
        </w:rPr>
        <w:t>Respecto al oferente</w:t>
      </w:r>
      <w:r w:rsidRPr="000565B4">
        <w:rPr>
          <w:rFonts w:ascii="Verdana" w:eastAsia="Verdana" w:hAnsi="Verdana" w:cs="Verdana"/>
          <w:color w:val="000000"/>
        </w:rPr>
        <w:t xml:space="preserve">, el inciso segundo del artículo 9 de la Ley 80 de 1993 dispone que “Cuando la inhabilidad o incompatibilidad sobrevenga en un proponente dentro de un proceso de selección, se entenderá que renuncia a la participación en el proceso de selección y a los derechos surgidos del mismo”. </w:t>
      </w:r>
    </w:p>
    <w:p w14:paraId="663B4DAE"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Dicha presunción de renuncia a la participación y a los derechos surgidos del mismo, en caso de contar con resolución de adjudicación, debe interpretarse en conjunto con el artículo 9 de la Ley 1150 de 2007, el cual consagra dos (2) reglas especiales en los que la norma da la posibilidad a una Entidad Estatal para que adjudique nuevamente el contrato al proponente calificado en segundo lugar, y esto es, cuando dentro del plazo comprendido entre la adjudicación del contrato y la suscripción del mismo, el acto administrativo de adjudicación es revocado porque sobrevino una inhabilidad o incompatibilidad o si se demuestra que el acto se obtuvo por medios ilegales, caso en el cual, “la entidad podrá aplicar lo previsto en el inciso final del numeral 12 del artículo 30 de la Ley 80 de 1993”.</w:t>
      </w:r>
    </w:p>
    <w:p w14:paraId="0C1FF830"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La segunda regla, trata de aquellos casos en que la Entidad Estatal declare la caducidad del contrato y se encuentre pendiente de ejecución un porcentaje igual o superior al cincuenta por ciento (50%) del mismo, la norma indica que la Entidad Estatal podrá contratar al proponente calificado en el segundo lugar en el proceso de selección respectivo, previa revisión de las condiciones a que haya lugar, con excepción de los contratos de concesión.</w:t>
      </w:r>
    </w:p>
    <w:p w14:paraId="4180F319" w14:textId="77777777" w:rsidR="000565B4" w:rsidRPr="000565B4" w:rsidRDefault="000565B4" w:rsidP="000565B4">
      <w:pPr>
        <w:spacing w:after="0" w:line="276" w:lineRule="auto"/>
        <w:ind w:firstLine="708"/>
        <w:jc w:val="both"/>
        <w:rPr>
          <w:rFonts w:ascii="Verdana" w:eastAsia="Verdana" w:hAnsi="Verdana" w:cs="Verdana"/>
          <w:color w:val="000000"/>
        </w:rPr>
      </w:pPr>
      <w:proofErr w:type="gramStart"/>
      <w:r w:rsidRPr="000565B4">
        <w:rPr>
          <w:rFonts w:ascii="Verdana" w:eastAsia="Verdana" w:hAnsi="Verdana" w:cs="Verdana"/>
          <w:color w:val="000000"/>
        </w:rPr>
        <w:t xml:space="preserve">En relación </w:t>
      </w:r>
      <w:r w:rsidRPr="000565B4">
        <w:rPr>
          <w:rFonts w:ascii="Verdana" w:eastAsia="Verdana" w:hAnsi="Verdana" w:cs="Verdana"/>
          <w:i/>
          <w:iCs/>
          <w:color w:val="000000"/>
        </w:rPr>
        <w:t>al</w:t>
      </w:r>
      <w:proofErr w:type="gramEnd"/>
      <w:r w:rsidRPr="000565B4">
        <w:rPr>
          <w:rFonts w:ascii="Verdana" w:eastAsia="Verdana" w:hAnsi="Verdana" w:cs="Verdana"/>
          <w:i/>
          <w:iCs/>
          <w:color w:val="000000"/>
        </w:rPr>
        <w:t xml:space="preserve"> contratista</w:t>
      </w:r>
      <w:r w:rsidRPr="000565B4">
        <w:rPr>
          <w:rFonts w:ascii="Verdana" w:eastAsia="Verdana" w:hAnsi="Verdana" w:cs="Verdana"/>
          <w:color w:val="000000"/>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0565B4">
        <w:rPr>
          <w:rFonts w:ascii="Verdana" w:eastAsia="Verdana" w:hAnsi="Verdana" w:cs="Verdana"/>
          <w:i/>
          <w:iCs/>
          <w:color w:val="000000"/>
        </w:rPr>
        <w:t>ibidem</w:t>
      </w:r>
      <w:r w:rsidRPr="000565B4">
        <w:rPr>
          <w:rFonts w:ascii="Verdana" w:eastAsia="Verdana" w:hAnsi="Verdana" w:cs="Verdana"/>
          <w:color w:val="000000"/>
        </w:rPr>
        <w:t xml:space="preserve"> agrega lo siguiente: “Si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 En este último supuesto, la doctrina expresa:</w:t>
      </w:r>
    </w:p>
    <w:p w14:paraId="0AFADFA0" w14:textId="77777777" w:rsidR="000565B4" w:rsidRPr="000565B4" w:rsidRDefault="000565B4" w:rsidP="000565B4">
      <w:pPr>
        <w:spacing w:after="0" w:line="276" w:lineRule="auto"/>
        <w:ind w:firstLine="708"/>
        <w:jc w:val="both"/>
        <w:rPr>
          <w:rFonts w:ascii="Verdana" w:eastAsia="Verdana" w:hAnsi="Verdana" w:cs="Verdana"/>
          <w:color w:val="000000"/>
        </w:rPr>
      </w:pPr>
    </w:p>
    <w:p w14:paraId="5561B2EC"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sz w:val="20"/>
          <w:szCs w:val="20"/>
        </w:rPr>
        <w:lastRenderedPageBreak/>
        <w:t>“</w:t>
      </w:r>
      <w:r w:rsidRPr="000565B4">
        <w:rPr>
          <w:rFonts w:ascii="Verdana" w:eastAsia="Verdana" w:hAnsi="Verdana" w:cs="Verdana"/>
          <w:color w:val="000000"/>
          <w:sz w:val="20"/>
          <w:szCs w:val="20"/>
        </w:rPr>
        <w:t xml:space="preserve">Es de resaltar que en este supuesto se está en presencia de una cesión de contrato y no, simplemente, de la cesión de la participación que tiene uno de los integrantes en el consorcio o unión temporal, a favor de un tercero. Esto es así, por cuanto existe una mutación subjetiva en una de las partes de la relación contractual: en efecto, el consorcio o la unión temporal que inicialmente se integra por A, B y C, deja de ser tal, al integrarse, luego de la cesión de A </w:t>
      </w:r>
      <w:proofErr w:type="spellStart"/>
      <w:r w:rsidRPr="000565B4">
        <w:rPr>
          <w:rFonts w:ascii="Verdana" w:eastAsia="Verdana" w:hAnsi="Verdana" w:cs="Verdana"/>
          <w:color w:val="000000"/>
          <w:sz w:val="20"/>
          <w:szCs w:val="20"/>
        </w:rPr>
        <w:t>a</w:t>
      </w:r>
      <w:proofErr w:type="spellEnd"/>
      <w:r w:rsidRPr="000565B4">
        <w:rPr>
          <w:rFonts w:ascii="Verdana" w:eastAsia="Verdana" w:hAnsi="Verdana" w:cs="Verdana"/>
          <w:color w:val="000000"/>
          <w:sz w:val="20"/>
          <w:szCs w:val="20"/>
        </w:rPr>
        <w:t xml:space="preserve"> favor de Z, por los siguientes sujetos: Z, B y C. Esta inferencia es relevante, pues en caso de que se admita que en dicho supuesto no existe cesión de contrato, se habilita la desintegración interna del consorcio, sin que la administración pueda tener control respecto del cambio, lo que desconoce lo dispuesto por el inciso tercero del Artículo 41 de la Ley 80 de 1993. Piénsese, por ejemplo, que en el consorcio o unión temporal que se integra por A, B y C, cada uno de ellos cede su participación respectivamente, a favor de Z, X y </w:t>
      </w:r>
      <w:proofErr w:type="spellStart"/>
      <w:r w:rsidRPr="000565B4">
        <w:rPr>
          <w:rFonts w:ascii="Verdana" w:eastAsia="Verdana" w:hAnsi="Verdana" w:cs="Verdana"/>
          <w:color w:val="000000"/>
          <w:sz w:val="20"/>
          <w:szCs w:val="20"/>
        </w:rPr>
        <w:t>Y</w:t>
      </w:r>
      <w:proofErr w:type="spellEnd"/>
      <w:r w:rsidRPr="000565B4">
        <w:rPr>
          <w:rFonts w:ascii="Verdana" w:eastAsia="Verdana" w:hAnsi="Verdana" w:cs="Verdana"/>
          <w:color w:val="000000"/>
          <w:sz w:val="20"/>
          <w:szCs w:val="20"/>
        </w:rPr>
        <w:t xml:space="preserve">; en este supuesto, por una voluntad autónoma de A, B y C, este consorcio o unión temporal desaparece para dar al conformado por Z, X y </w:t>
      </w:r>
      <w:proofErr w:type="spellStart"/>
      <w:r w:rsidRPr="000565B4">
        <w:rPr>
          <w:rFonts w:ascii="Verdana" w:eastAsia="Verdana" w:hAnsi="Verdana" w:cs="Verdana"/>
          <w:color w:val="000000"/>
          <w:sz w:val="20"/>
          <w:szCs w:val="20"/>
        </w:rPr>
        <w:t>Y</w:t>
      </w:r>
      <w:proofErr w:type="spellEnd"/>
      <w:r w:rsidRPr="000565B4">
        <w:rPr>
          <w:rFonts w:ascii="Verdana" w:eastAsia="Verdana" w:hAnsi="Verdana" w:cs="Verdana"/>
          <w:color w:val="000000"/>
          <w:sz w:val="20"/>
          <w:szCs w:val="20"/>
          <w:vertAlign w:val="superscript"/>
        </w:rPr>
        <w:footnoteReference w:id="16"/>
      </w:r>
      <w:r w:rsidRPr="000565B4">
        <w:rPr>
          <w:rFonts w:ascii="Verdana" w:eastAsia="Verdana" w:hAnsi="Verdana" w:cs="Verdana"/>
          <w:sz w:val="21"/>
          <w:szCs w:val="21"/>
        </w:rPr>
        <w:t>[…]”</w:t>
      </w:r>
      <w:r w:rsidRPr="000565B4">
        <w:rPr>
          <w:rFonts w:ascii="Verdana" w:eastAsia="Verdana" w:hAnsi="Verdana" w:cs="Verdana"/>
          <w:color w:val="000000"/>
          <w:sz w:val="20"/>
          <w:szCs w:val="20"/>
        </w:rPr>
        <w:t xml:space="preserve">. </w:t>
      </w:r>
    </w:p>
    <w:p w14:paraId="2019F19C"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p>
    <w:p w14:paraId="1E56BA67"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rPr>
        <w:t>En este escenario, en el que la inhabilidad o incompatibilidad sobreviene en uno de los miembros de un consorcio o unión temporal, este deberá ceder su participación a un tercero previa autorización escrita de la entidad contratante, lo cual implica que la continuidad del contrato solo puede asegurarse mediante una cesión externa, autorizada de manera previa, expresa y formal por la entidad, conforme a las exigencias del inciso tercero del artículo 41 de la Ley 80 de 1993</w:t>
      </w:r>
      <w:r w:rsidRPr="000565B4">
        <w:rPr>
          <w:rFonts w:ascii="Verdana" w:eastAsia="Verdana" w:hAnsi="Verdana" w:cs="Verdana"/>
          <w:vertAlign w:val="superscript"/>
        </w:rPr>
        <w:footnoteReference w:id="17"/>
      </w:r>
      <w:r w:rsidRPr="000565B4">
        <w:rPr>
          <w:rFonts w:ascii="Verdana" w:eastAsia="Verdana" w:hAnsi="Verdana" w:cs="Verdana"/>
        </w:rPr>
        <w:t xml:space="preserve">. Así mismo, la expresión según la cual “en ningún caso podrá haber cesión del contrato entre quienes integran el consorcio o unión temporal” significa que los miembros de estas figuras asociativas no pueden transferirse entre sí la participación contractual ni redistribuir internamente las obligaciones, porcentajes o derechos derivados del contrato estatal. </w:t>
      </w:r>
      <w:r w:rsidRPr="000565B4">
        <w:t xml:space="preserve">     </w:t>
      </w:r>
    </w:p>
    <w:p w14:paraId="0039B4E6" w14:textId="77777777" w:rsidR="000565B4" w:rsidRPr="000565B4" w:rsidRDefault="000565B4" w:rsidP="000565B4">
      <w:pPr>
        <w:spacing w:after="120" w:line="276" w:lineRule="auto"/>
        <w:ind w:firstLine="708"/>
        <w:jc w:val="both"/>
        <w:rPr>
          <w:rFonts w:ascii="Verdana" w:eastAsia="Verdana" w:hAnsi="Verdana" w:cs="Verdana"/>
          <w:color w:val="EE0000"/>
        </w:rPr>
      </w:pPr>
      <w:r w:rsidRPr="000565B4">
        <w:rPr>
          <w:rFonts w:ascii="Verdana" w:eastAsia="Verdana" w:hAnsi="Verdana" w:cs="Verdana"/>
        </w:rPr>
        <w:t xml:space="preserve">En efecto, la jurisprudencia constitucional ha precisado el alcance del artículo 9 de la Ley 80 de 1993 y el régimen aplicable a las inhabilidades e incompatibilidades sobrevinientes. En la Sentencia C-221 de 1996, la Corte Constitucional explicó que, dado que estas circunstancias no siempre se presentan antes de la celebración del contrato, el legislador debía establecer reglas claras para los eventos en que surgieran en la etapa de ejecución contractual. Bajo ese entendimiento, declaró ajustada a la Constitución la obligación del contratista afectado por una inhabilidad sobreviniente de ceder el contrato, previa autorización de la entidad estatal, o renunciar a su ejecución </w:t>
      </w:r>
      <w:r w:rsidRPr="000565B4">
        <w:rPr>
          <w:rFonts w:ascii="Verdana" w:eastAsia="Verdana" w:hAnsi="Verdana" w:cs="Verdana"/>
        </w:rPr>
        <w:lastRenderedPageBreak/>
        <w:t xml:space="preserve">cuando ello no fuere posible, así como la obligación especial para el integrante de un consorcio o unión temporal de ceder su participación a un tercero cuando la causal recaiga exclusivamente sobre uno de sus miembros - evento en el cual no es posible la renuncia-. La Corte resaltó que estas medidas no tienen naturaleza sancionatoria, ni dependen de la culpabilidad o de la voluntad del contratista, sino que constituyen reglas objetivas encaminadas a impedir que quien se encuentra incurso en una causal de inhabilidad o incompatibilidad continúe vinculado con el Estado, preservando la moralidad, la transparencia y la integridad de la contratación pública. En consecuencia, la obligación de ceder o renunciar responde a una finalidad eminentemente institucional, orientada a garantizar que la ejecución del contrato continúe desarrollándose conforme a los principios que rigen la función administrativa: </w:t>
      </w:r>
      <w:r w:rsidRPr="000565B4">
        <w:rPr>
          <w:rFonts w:ascii="Verdana" w:eastAsia="Verdana" w:hAnsi="Verdana" w:cs="Verdana"/>
          <w:color w:val="EE0000"/>
        </w:rPr>
        <w:t xml:space="preserve">     </w:t>
      </w:r>
    </w:p>
    <w:p w14:paraId="40DD86DD"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highlight w:val="white"/>
        </w:rPr>
      </w:pPr>
      <w:r w:rsidRPr="000565B4">
        <w:rPr>
          <w:rFonts w:ascii="Verdana" w:eastAsia="Verdana" w:hAnsi="Verdana" w:cs="Verdana"/>
          <w:color w:val="000000"/>
          <w:sz w:val="20"/>
          <w:szCs w:val="20"/>
          <w:highlight w:val="white"/>
        </w:rPr>
        <w:t xml:space="preserve">A juicio de la Corte, en nada se ofende el imperio de la Constitución por haberse establecido que el hecho de sobrevenir una causal de inhabilidad o incompatibilidad en cabeza de quien ya es contratista da lugar a la obligación de éste de ceder el contrato previa autorización escrita de la entidad contratante, o a la de renunciar a su ejecución si </w:t>
      </w:r>
      <w:r w:rsidRPr="000565B4">
        <w:rPr>
          <w:rFonts w:ascii="Verdana" w:eastAsia="Verdana" w:hAnsi="Verdana" w:cs="Verdana"/>
          <w:sz w:val="20"/>
          <w:szCs w:val="20"/>
          <w:highlight w:val="white"/>
        </w:rPr>
        <w:t>aquello</w:t>
      </w:r>
      <w:r w:rsidRPr="000565B4">
        <w:rPr>
          <w:rFonts w:ascii="Verdana" w:eastAsia="Verdana" w:hAnsi="Verdana" w:cs="Verdana"/>
          <w:color w:val="000000"/>
          <w:sz w:val="20"/>
          <w:szCs w:val="20"/>
          <w:highlight w:val="white"/>
        </w:rPr>
        <w:t xml:space="preserve"> no fuere posible. Tampoco se vulnera la Carta por consagrar que quien participa en un proceso de licitación o concurso y resulta intempestivamente afectado por inhabilidades o incompatibilidades deba renunciar a dicha participación, ni se desconoce la normatividad superior por prever, como lo hace la norma, la cesión en favor de un tercero de la participación en el consorcio o unión temporal que licita o es contratista cuando la causa de inhabilidad o incompatibilidad se radica en uno de sus miembros</w:t>
      </w:r>
      <w:r w:rsidRPr="000565B4">
        <w:rPr>
          <w:rFonts w:ascii="Verdana" w:eastAsia="Verdana" w:hAnsi="Verdana" w:cs="Verdana"/>
          <w:color w:val="000000"/>
          <w:sz w:val="20"/>
          <w:szCs w:val="20"/>
          <w:highlight w:val="white"/>
          <w:vertAlign w:val="superscript"/>
        </w:rPr>
        <w:footnoteReference w:id="18"/>
      </w:r>
      <w:r w:rsidRPr="000565B4">
        <w:rPr>
          <w:rFonts w:ascii="Verdana" w:eastAsia="Verdana" w:hAnsi="Verdana" w:cs="Verdana"/>
          <w:color w:val="000000"/>
          <w:sz w:val="20"/>
          <w:szCs w:val="20"/>
          <w:highlight w:val="white"/>
        </w:rPr>
        <w:t xml:space="preserve">. </w:t>
      </w:r>
    </w:p>
    <w:p w14:paraId="0D8BA5AE"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highlight w:val="white"/>
        </w:rPr>
      </w:pPr>
    </w:p>
    <w:p w14:paraId="415FBA76"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highlight w:val="white"/>
        </w:rPr>
      </w:pPr>
    </w:p>
    <w:p w14:paraId="108107D4" w14:textId="77777777" w:rsidR="000565B4" w:rsidRPr="000565B4" w:rsidRDefault="000565B4" w:rsidP="000565B4">
      <w:pPr>
        <w:spacing w:after="120" w:line="276" w:lineRule="auto"/>
        <w:ind w:firstLine="708"/>
        <w:jc w:val="both"/>
        <w:rPr>
          <w:rFonts w:ascii="Verdana" w:eastAsia="Verdana" w:hAnsi="Verdana" w:cs="Verdana"/>
        </w:rPr>
      </w:pPr>
      <w:r w:rsidRPr="000565B4">
        <w:rPr>
          <w:rFonts w:ascii="Verdana" w:eastAsia="Verdana" w:hAnsi="Verdana" w:cs="Verdana"/>
        </w:rPr>
        <w:t xml:space="preserve">Ahora bien, el régimen descrito corresponde a la regla general aplicable a las inhabilidades e incompatibilidades sobrevinientes. El legislador estableció, sin embargo, un tratamiento especial para la inhabilidad prevista en el literal j) del numeral 1 del artículo 8 de la Ley 80 de 1993, mediante el parágrafo 1º del artículo 9 </w:t>
      </w:r>
      <w:proofErr w:type="spellStart"/>
      <w:r w:rsidRPr="000565B4">
        <w:rPr>
          <w:rFonts w:ascii="Verdana" w:eastAsia="Verdana" w:hAnsi="Verdana" w:cs="Verdana"/>
          <w:i/>
          <w:iCs/>
        </w:rPr>
        <w:t>Ibídem</w:t>
      </w:r>
      <w:proofErr w:type="spellEnd"/>
      <w:r w:rsidRPr="000565B4">
        <w:rPr>
          <w:rFonts w:ascii="Verdana" w:eastAsia="Verdana" w:hAnsi="Verdana" w:cs="Verdana"/>
        </w:rPr>
        <w:t xml:space="preserve">, adicionado por el artículo 6 de la Ley 2014 de 2019, en el marco del fortalecimiento de las medidas de lucha contra la corrupción en la contratación estatal. En dicho supuesto, el ordenamiento excluyó la aplicación de los mecanismos ordinarios de conservación del vínculo contractual, previendo consecuencias más severas frente al contratista o al integrante del esquema asociativo incurso en la causal. Como la consulta delimitó expresamente su objeto a las inhabilidades sobrevinientes distintas de la contemplada en el </w:t>
      </w:r>
      <w:r w:rsidRPr="000565B4">
        <w:rPr>
          <w:rFonts w:ascii="Verdana" w:eastAsia="Verdana" w:hAnsi="Verdana" w:cs="Verdana"/>
        </w:rPr>
        <w:lastRenderedPageBreak/>
        <w:t>referido literal j), las consideraciones del presente concepto se circunscriben al régimen general, sin que resulten extensibles a los eventos comprendidos en el régimen especial mencionado. Esta delimitación es, además, consistente con el carácter taxativo y de interpretación restrictiva del régimen de inhabilidades, pues impide trasladar a la regla general las consecuencias agravadas que el legislador reservó para un supuesto específico.</w:t>
      </w:r>
    </w:p>
    <w:p w14:paraId="41160404" w14:textId="77777777" w:rsidR="000565B4" w:rsidRPr="000565B4" w:rsidRDefault="000565B4" w:rsidP="000565B4">
      <w:pPr>
        <w:spacing w:after="120" w:line="276" w:lineRule="auto"/>
        <w:jc w:val="both"/>
        <w:rPr>
          <w:rFonts w:ascii="Verdana" w:eastAsia="Verdana" w:hAnsi="Verdana" w:cs="Verdana"/>
          <w:highlight w:val="white"/>
        </w:rPr>
      </w:pPr>
      <w:proofErr w:type="spellStart"/>
      <w:r w:rsidRPr="000565B4">
        <w:rPr>
          <w:rFonts w:ascii="Verdana" w:eastAsia="Verdana" w:hAnsi="Verdana" w:cs="Verdana"/>
          <w:highlight w:val="white"/>
        </w:rPr>
        <w:t>iii</w:t>
      </w:r>
      <w:proofErr w:type="spellEnd"/>
      <w:r w:rsidRPr="000565B4">
        <w:rPr>
          <w:rFonts w:ascii="Verdana" w:eastAsia="Verdana" w:hAnsi="Verdana" w:cs="Verdana"/>
          <w:highlight w:val="white"/>
        </w:rPr>
        <w:t>. Por otro lado esta Agencia</w:t>
      </w:r>
      <w:r w:rsidRPr="000565B4">
        <w:rPr>
          <w:rFonts w:ascii="Verdana" w:eastAsia="Verdana" w:hAnsi="Verdana" w:cs="Verdana"/>
          <w:highlight w:val="white"/>
          <w:vertAlign w:val="superscript"/>
        </w:rPr>
        <w:footnoteReference w:id="19"/>
      </w:r>
      <w:r w:rsidRPr="000565B4">
        <w:rPr>
          <w:rFonts w:ascii="Verdana" w:eastAsia="Verdana" w:hAnsi="Verdana" w:cs="Verdana"/>
          <w:highlight w:val="white"/>
        </w:rPr>
        <w:t xml:space="preserve"> ha resaltado que la cesión de la posición contractual puede entenderse como un acto y como un efecto. Por un lado, “[…] es el contrato con el cual el cedente, parte de otro contrato ya en curso con otro sujeto (cedido), transfiere la relativa posición contractual (en sus componentes activos y pasivos) al cesionario, el cual le </w:t>
      </w:r>
      <w:proofErr w:type="spellStart"/>
      <w:r w:rsidRPr="000565B4">
        <w:rPr>
          <w:rFonts w:ascii="Verdana" w:eastAsia="Verdana" w:hAnsi="Verdana" w:cs="Verdana"/>
          <w:highlight w:val="white"/>
        </w:rPr>
        <w:t>subentra</w:t>
      </w:r>
      <w:proofErr w:type="spellEnd"/>
      <w:r w:rsidRPr="000565B4">
        <w:rPr>
          <w:rFonts w:ascii="Verdana" w:eastAsia="Verdana" w:hAnsi="Verdana" w:cs="Verdana"/>
          <w:highlight w:val="white"/>
        </w:rPr>
        <w:t xml:space="preserve"> en la relación con el cedido […]”</w:t>
      </w:r>
      <w:r w:rsidRPr="000565B4">
        <w:rPr>
          <w:rFonts w:ascii="Verdana" w:eastAsia="Verdana" w:hAnsi="Verdana" w:cs="Verdana"/>
          <w:highlight w:val="white"/>
          <w:vertAlign w:val="superscript"/>
        </w:rPr>
        <w:footnoteReference w:id="20"/>
      </w:r>
      <w:r w:rsidRPr="000565B4">
        <w:rPr>
          <w:rFonts w:ascii="Verdana" w:eastAsia="Verdana" w:hAnsi="Verdana" w:cs="Verdana"/>
          <w:highlight w:val="white"/>
        </w:rPr>
        <w:t xml:space="preserve">. Por otro, “[…] es la transferencia de la posición contractual de un contratante a otro sujeto, que le </w:t>
      </w:r>
      <w:proofErr w:type="spellStart"/>
      <w:r w:rsidRPr="000565B4">
        <w:rPr>
          <w:rFonts w:ascii="Verdana" w:eastAsia="Verdana" w:hAnsi="Verdana" w:cs="Verdana"/>
          <w:highlight w:val="white"/>
        </w:rPr>
        <w:t>subentra</w:t>
      </w:r>
      <w:proofErr w:type="spellEnd"/>
      <w:r w:rsidRPr="000565B4">
        <w:rPr>
          <w:rFonts w:ascii="Verdana" w:eastAsia="Verdana" w:hAnsi="Verdana" w:cs="Verdana"/>
          <w:highlight w:val="white"/>
        </w:rPr>
        <w:t xml:space="preserve"> en la relación con la contraparte […]”</w:t>
      </w:r>
      <w:r w:rsidRPr="000565B4">
        <w:rPr>
          <w:rFonts w:ascii="Verdana" w:eastAsia="Verdana" w:hAnsi="Verdana" w:cs="Verdana"/>
          <w:highlight w:val="white"/>
          <w:vertAlign w:val="superscript"/>
        </w:rPr>
        <w:footnoteReference w:id="21"/>
      </w:r>
      <w:r w:rsidRPr="000565B4">
        <w:rPr>
          <w:rFonts w:ascii="Verdana" w:eastAsia="Verdana" w:hAnsi="Verdana" w:cs="Verdana"/>
          <w:highlight w:val="white"/>
        </w:rPr>
        <w:t xml:space="preserve">. De esta manera, concurren tres (3) sujetos: i) el cedente, esto es, el contratista inicial; </w:t>
      </w:r>
      <w:proofErr w:type="spellStart"/>
      <w:r w:rsidRPr="000565B4">
        <w:rPr>
          <w:rFonts w:ascii="Verdana" w:eastAsia="Verdana" w:hAnsi="Verdana" w:cs="Verdana"/>
          <w:highlight w:val="white"/>
        </w:rPr>
        <w:t>ii</w:t>
      </w:r>
      <w:proofErr w:type="spellEnd"/>
      <w:r w:rsidRPr="000565B4">
        <w:rPr>
          <w:rFonts w:ascii="Verdana" w:eastAsia="Verdana" w:hAnsi="Verdana" w:cs="Verdana"/>
          <w:highlight w:val="white"/>
        </w:rPr>
        <w:t xml:space="preserve">) el cesionario, es decir, quien asume total o parcialmente los derechos y obligaciones de este último; y </w:t>
      </w:r>
      <w:proofErr w:type="spellStart"/>
      <w:r w:rsidRPr="000565B4">
        <w:rPr>
          <w:rFonts w:ascii="Verdana" w:eastAsia="Verdana" w:hAnsi="Verdana" w:cs="Verdana"/>
          <w:highlight w:val="white"/>
        </w:rPr>
        <w:t>iii</w:t>
      </w:r>
      <w:proofErr w:type="spellEnd"/>
      <w:r w:rsidRPr="000565B4">
        <w:rPr>
          <w:rFonts w:ascii="Verdana" w:eastAsia="Verdana" w:hAnsi="Verdana" w:cs="Verdana"/>
          <w:highlight w:val="white"/>
        </w:rPr>
        <w:t>) el cedido que, en el caso de los contratos estatales, sería la entidad que suscribió el contrato. Por tanto,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 En efecto:</w:t>
      </w:r>
    </w:p>
    <w:p w14:paraId="04A4E98B" w14:textId="77777777" w:rsidR="000565B4" w:rsidRPr="000565B4" w:rsidRDefault="000565B4" w:rsidP="000565B4">
      <w:pPr>
        <w:spacing w:after="0" w:line="276" w:lineRule="auto"/>
        <w:ind w:firstLine="708"/>
        <w:jc w:val="both"/>
        <w:rPr>
          <w:rFonts w:ascii="Verdana" w:eastAsia="Verdana" w:hAnsi="Verdana" w:cs="Verdana"/>
          <w:highlight w:val="white"/>
        </w:rPr>
      </w:pPr>
    </w:p>
    <w:p w14:paraId="45A0360A" w14:textId="77777777" w:rsidR="000565B4" w:rsidRPr="000565B4" w:rsidRDefault="000565B4" w:rsidP="000565B4">
      <w:pPr>
        <w:tabs>
          <w:tab w:val="left" w:pos="709"/>
        </w:tabs>
        <w:spacing w:after="0" w:line="240" w:lineRule="auto"/>
        <w:ind w:left="709" w:right="709"/>
        <w:jc w:val="both"/>
        <w:rPr>
          <w:rFonts w:ascii="Verdana" w:eastAsia="Verdana" w:hAnsi="Verdana" w:cs="Verdana"/>
          <w:sz w:val="20"/>
          <w:szCs w:val="20"/>
          <w:highlight w:val="white"/>
        </w:rPr>
      </w:pPr>
      <w:r w:rsidRPr="000565B4">
        <w:rPr>
          <w:rFonts w:ascii="Verdana" w:eastAsia="Verdana" w:hAnsi="Verdana" w:cs="Verdana"/>
          <w:sz w:val="20"/>
          <w:szCs w:val="20"/>
          <w:highlight w:val="white"/>
        </w:rPr>
        <w:t>“[…] cuando lo que se cede (o asume) es un contrato, el punto de partida es la presencia de uno o varios créditos y otras tantas obligaciones, entrelazadas en términos de correlatividad y consideradas, tratadas y dispuestas como una unidad, o sea: el objeto de la operación es el traspaso simultáneo de unos créditos y de las obligaciones recíprocas, surgidos a una de un mismo contrato, por parte de uno de los contratantes a un tercero, esto es, en últimas, la transferencia de una posición o relación contractual, cuyo resultado es la sustitución de una de las partes (acreedora-deudora) […]”</w:t>
      </w:r>
      <w:r w:rsidRPr="000565B4">
        <w:rPr>
          <w:rFonts w:ascii="Verdana" w:eastAsia="Verdana" w:hAnsi="Verdana" w:cs="Verdana"/>
          <w:sz w:val="20"/>
          <w:szCs w:val="20"/>
          <w:highlight w:val="white"/>
          <w:vertAlign w:val="superscript"/>
        </w:rPr>
        <w:footnoteReference w:id="22"/>
      </w:r>
      <w:r w:rsidRPr="000565B4">
        <w:rPr>
          <w:rFonts w:ascii="Verdana" w:eastAsia="Verdana" w:hAnsi="Verdana" w:cs="Verdana"/>
          <w:sz w:val="20"/>
          <w:szCs w:val="20"/>
          <w:highlight w:val="white"/>
        </w:rPr>
        <w:t>.</w:t>
      </w:r>
    </w:p>
    <w:p w14:paraId="2E45EE7B" w14:textId="77777777" w:rsidR="000565B4" w:rsidRPr="000565B4" w:rsidRDefault="000565B4" w:rsidP="000565B4">
      <w:pPr>
        <w:spacing w:after="0" w:line="276" w:lineRule="auto"/>
        <w:ind w:firstLine="709"/>
        <w:jc w:val="both"/>
        <w:rPr>
          <w:rFonts w:ascii="Verdana" w:eastAsia="Verdana" w:hAnsi="Verdana" w:cs="Verdana"/>
          <w:highlight w:val="white"/>
        </w:rPr>
      </w:pPr>
    </w:p>
    <w:p w14:paraId="4BDABE26" w14:textId="77777777" w:rsidR="000565B4" w:rsidRPr="000565B4" w:rsidRDefault="000565B4" w:rsidP="000565B4">
      <w:pPr>
        <w:spacing w:after="120" w:line="276" w:lineRule="auto"/>
        <w:ind w:firstLine="708"/>
        <w:jc w:val="both"/>
        <w:rPr>
          <w:rFonts w:ascii="Verdana" w:eastAsia="Verdana" w:hAnsi="Verdana" w:cs="Verdana"/>
          <w:highlight w:val="white"/>
        </w:rPr>
      </w:pPr>
      <w:r w:rsidRPr="000565B4">
        <w:rPr>
          <w:rFonts w:ascii="Verdana" w:eastAsia="Verdana" w:hAnsi="Verdana" w:cs="Verdana"/>
          <w:highlight w:val="white"/>
        </w:rPr>
        <w:t>En este sentido, el Estatuto General de Contratación de la Administración Pública establece disposiciones específicas relativas a la institución de la cesión contractual. Por ejemplo, el artículo 41, inciso tercero del EGCAP prescribe que “Los contratos estatales son</w:t>
      </w:r>
      <w:r w:rsidRPr="000565B4">
        <w:rPr>
          <w:rFonts w:ascii="Verdana" w:eastAsia="Verdana" w:hAnsi="Verdana" w:cs="Verdana"/>
          <w:i/>
          <w:iCs/>
          <w:highlight w:val="white"/>
        </w:rPr>
        <w:t xml:space="preserve"> intuito </w:t>
      </w:r>
      <w:proofErr w:type="spellStart"/>
      <w:r w:rsidRPr="000565B4">
        <w:rPr>
          <w:rFonts w:ascii="Verdana" w:eastAsia="Verdana" w:hAnsi="Verdana" w:cs="Verdana"/>
          <w:i/>
          <w:iCs/>
          <w:highlight w:val="white"/>
        </w:rPr>
        <w:t>personae</w:t>
      </w:r>
      <w:proofErr w:type="spellEnd"/>
      <w:r w:rsidRPr="000565B4">
        <w:rPr>
          <w:rFonts w:ascii="Verdana" w:eastAsia="Verdana" w:hAnsi="Verdana" w:cs="Verdana"/>
          <w:i/>
          <w:iCs/>
          <w:highlight w:val="white"/>
        </w:rPr>
        <w:t xml:space="preserve"> </w:t>
      </w:r>
      <w:r w:rsidRPr="000565B4">
        <w:rPr>
          <w:rFonts w:ascii="Verdana" w:eastAsia="Verdana" w:hAnsi="Verdana" w:cs="Verdana"/>
          <w:highlight w:val="white"/>
        </w:rPr>
        <w:t>y, en consecuencia, una vez celebrados no podrán cederse sin previa autorización escrita de la entidad contratante”. Esta norma contiene una prohibición general –faceta negativa– y una autorización excepcional –faceta positiva–.</w:t>
      </w:r>
    </w:p>
    <w:p w14:paraId="21BD8D00" w14:textId="77777777" w:rsidR="000565B4" w:rsidRPr="000565B4" w:rsidRDefault="000565B4" w:rsidP="000565B4">
      <w:pPr>
        <w:tabs>
          <w:tab w:val="left" w:pos="709"/>
        </w:tabs>
        <w:spacing w:after="120" w:line="276" w:lineRule="auto"/>
        <w:jc w:val="both"/>
        <w:rPr>
          <w:rFonts w:ascii="Century Gothic" w:eastAsia="Century Gothic" w:hAnsi="Century Gothic" w:cs="Century Gothic"/>
          <w:color w:val="000000"/>
        </w:rPr>
      </w:pPr>
      <w:r w:rsidRPr="000565B4">
        <w:rPr>
          <w:rFonts w:ascii="Verdana" w:eastAsia="Verdana" w:hAnsi="Verdana" w:cs="Verdana"/>
          <w:highlight w:val="white"/>
        </w:rPr>
        <w:tab/>
        <w:t xml:space="preserve">En lo que respecta a la faceta negativa, el artículo 41 del Estatuto General ordena que el contrato se ejecute con quien inicialmente se celebró el acuerdo de voluntades, pues es la persona que –de acuerdo con los criterios definidos por la entidad para la selección del contratista– resulta idónea para cumplir con las obligaciones. De esta manera, la prohibición contenida en la norma citada es uno de los elementos de la naturaleza del contrato estatal, pues –conforme a lo previsto en el artículo 1501 del Código Civil– es de aquellos “[…] </w:t>
      </w:r>
      <w:proofErr w:type="gramStart"/>
      <w:r w:rsidRPr="000565B4">
        <w:rPr>
          <w:rFonts w:ascii="Verdana" w:eastAsia="Verdana" w:hAnsi="Verdana" w:cs="Verdana"/>
          <w:highlight w:val="white"/>
        </w:rPr>
        <w:t>que</w:t>
      </w:r>
      <w:proofErr w:type="gramEnd"/>
      <w:r w:rsidRPr="000565B4">
        <w:rPr>
          <w:rFonts w:ascii="Verdana" w:eastAsia="Verdana" w:hAnsi="Verdana" w:cs="Verdana"/>
          <w:highlight w:val="white"/>
        </w:rPr>
        <w:t xml:space="preserve"> no siendo esenciales en él, se entienden pertenecerle, sin necesidad de una cláusula especial […]</w:t>
      </w:r>
      <w:r w:rsidRPr="000565B4">
        <w:rPr>
          <w:rFonts w:ascii="Century Gothic" w:eastAsia="Century Gothic" w:hAnsi="Century Gothic" w:cs="Century Gothic"/>
          <w:color w:val="000000"/>
        </w:rPr>
        <w:t>”</w:t>
      </w:r>
      <w:r w:rsidRPr="000565B4">
        <w:rPr>
          <w:rFonts w:ascii="Century Gothic" w:eastAsia="Century Gothic" w:hAnsi="Century Gothic" w:cs="Century Gothic"/>
          <w:color w:val="000000"/>
          <w:vertAlign w:val="superscript"/>
        </w:rPr>
        <w:footnoteReference w:id="23"/>
      </w:r>
      <w:r w:rsidRPr="000565B4">
        <w:rPr>
          <w:rFonts w:ascii="Century Gothic" w:eastAsia="Century Gothic" w:hAnsi="Century Gothic" w:cs="Century Gothic"/>
          <w:color w:val="000000"/>
        </w:rPr>
        <w:t xml:space="preserve">.  </w:t>
      </w:r>
    </w:p>
    <w:p w14:paraId="7FD700A1" w14:textId="77777777" w:rsidR="000565B4" w:rsidRPr="000565B4" w:rsidRDefault="000565B4" w:rsidP="000565B4">
      <w:pPr>
        <w:spacing w:after="0" w:line="276" w:lineRule="auto"/>
        <w:ind w:firstLine="708"/>
        <w:jc w:val="both"/>
        <w:rPr>
          <w:rFonts w:ascii="Century Gothic" w:eastAsia="Century Gothic" w:hAnsi="Century Gothic" w:cs="Century Gothic"/>
          <w:color w:val="000000"/>
        </w:rPr>
      </w:pPr>
      <w:r w:rsidRPr="000565B4">
        <w:rPr>
          <w:rFonts w:ascii="Verdana" w:eastAsia="Verdana" w:hAnsi="Verdana" w:cs="Verdana"/>
          <w:highlight w:val="white"/>
        </w:rPr>
        <w:t>En su faceta positiva, la Ley 80 de 1993 permite excepcionalmente la cesión del contrato estatal siempre que exista autorización previa escrita de la entidad contratante. Por ello, “[…] El cocontratante que ‘ceda’ el contrato sin estar autorizado para ello incurre en grave responsabilidad: su actitud implica ‘incumplimiento’ del contrato; de ahí que esa cesión ilícita no resulte oponible a la Administración Pública […]”</w:t>
      </w:r>
      <w:r w:rsidRPr="000565B4">
        <w:rPr>
          <w:rFonts w:ascii="Verdana" w:eastAsia="Verdana" w:hAnsi="Verdana" w:cs="Verdana"/>
          <w:highlight w:val="white"/>
          <w:vertAlign w:val="superscript"/>
        </w:rPr>
        <w:footnoteReference w:id="24"/>
      </w:r>
      <w:r w:rsidRPr="000565B4">
        <w:rPr>
          <w:rFonts w:ascii="Verdana" w:eastAsia="Verdana" w:hAnsi="Verdana" w:cs="Verdana"/>
          <w:highlight w:val="white"/>
        </w:rPr>
        <w:t xml:space="preserve">. Este requisito introduce un elemento especial que no está previsto en el Código de Comercio, pues en el derecho privado –salvo las excepciones previstas en la ley– la cesión requiere el acuerdo de </w:t>
      </w:r>
      <w:r w:rsidRPr="000565B4">
        <w:rPr>
          <w:rFonts w:ascii="Verdana" w:eastAsia="Verdana" w:hAnsi="Verdana" w:cs="Verdana"/>
          <w:highlight w:val="white"/>
        </w:rPr>
        <w:lastRenderedPageBreak/>
        <w:t>voluntades entre el cedente y el cesionario, sin que medie la aceptación del contratante cedido. En relación con lo anterior la doctrina define la cesión en los contratos estatales de la siguiente manera:</w:t>
      </w:r>
    </w:p>
    <w:p w14:paraId="76401333" w14:textId="77777777" w:rsidR="000565B4" w:rsidRPr="000565B4" w:rsidRDefault="000565B4" w:rsidP="000565B4">
      <w:pPr>
        <w:spacing w:after="0" w:line="276" w:lineRule="auto"/>
        <w:ind w:firstLine="708"/>
        <w:jc w:val="both"/>
        <w:rPr>
          <w:rFonts w:ascii="Century Gothic" w:eastAsia="Century Gothic" w:hAnsi="Century Gothic" w:cs="Century Gothic"/>
          <w:color w:val="000000"/>
          <w:sz w:val="20"/>
          <w:szCs w:val="20"/>
        </w:rPr>
      </w:pPr>
      <w:r w:rsidRPr="000565B4">
        <w:rPr>
          <w:rFonts w:ascii="Century Gothic" w:eastAsia="Century Gothic" w:hAnsi="Century Gothic" w:cs="Century Gothic"/>
          <w:color w:val="000000"/>
          <w:sz w:val="20"/>
          <w:szCs w:val="20"/>
        </w:rPr>
        <w:t xml:space="preserve"> </w:t>
      </w:r>
    </w:p>
    <w:p w14:paraId="132D8F54"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 xml:space="preserve">“La cesión en la contratación estatal supone, previa autorización de la entidad contratante, la sustitución </w:t>
      </w:r>
      <w:r w:rsidRPr="000565B4">
        <w:rPr>
          <w:rFonts w:ascii="Verdana" w:eastAsia="Verdana" w:hAnsi="Verdana" w:cs="Verdana"/>
          <w:i/>
          <w:iCs/>
          <w:color w:val="000000"/>
          <w:sz w:val="20"/>
          <w:szCs w:val="20"/>
        </w:rPr>
        <w:t>in genere</w:t>
      </w:r>
      <w:r w:rsidRPr="000565B4">
        <w:rPr>
          <w:rFonts w:ascii="Verdana" w:eastAsia="Verdana" w:hAnsi="Verdana" w:cs="Verdana"/>
          <w:color w:val="000000"/>
          <w:sz w:val="20"/>
          <w:szCs w:val="20"/>
        </w:rPr>
        <w:t>, total o parcial, de una de las partes de la relación jurídica (contratante o contratista) por un tercero, que se subroga en los derechos y obligaciones de aquella, por medio de la modificación del contrato estatal originario. La cesión posibilita el reemplazo total o parcial de una parte en su posición contractual originaria, sin que sea precisa la transferencia individual de cuantos derechos y obligaciones conforman la universalidad jurídica a ceder […]”</w:t>
      </w:r>
      <w:r w:rsidRPr="000565B4">
        <w:rPr>
          <w:rFonts w:ascii="Verdana" w:eastAsia="Verdana" w:hAnsi="Verdana" w:cs="Verdana"/>
          <w:color w:val="000000"/>
          <w:sz w:val="20"/>
          <w:szCs w:val="20"/>
          <w:vertAlign w:val="superscript"/>
        </w:rPr>
        <w:footnoteReference w:id="25"/>
      </w:r>
      <w:r w:rsidRPr="000565B4">
        <w:rPr>
          <w:rFonts w:ascii="Verdana" w:eastAsia="Verdana" w:hAnsi="Verdana" w:cs="Verdana"/>
          <w:color w:val="000000"/>
          <w:sz w:val="20"/>
          <w:szCs w:val="20"/>
        </w:rPr>
        <w:t>.</w:t>
      </w:r>
    </w:p>
    <w:p w14:paraId="55E05079" w14:textId="77777777" w:rsidR="000565B4" w:rsidRPr="000565B4" w:rsidRDefault="000565B4" w:rsidP="000565B4">
      <w:pPr>
        <w:spacing w:after="0" w:line="276" w:lineRule="auto"/>
        <w:jc w:val="both"/>
        <w:rPr>
          <w:rFonts w:ascii="Century Gothic" w:eastAsia="Century Gothic" w:hAnsi="Century Gothic" w:cs="Century Gothic"/>
          <w:color w:val="000000"/>
        </w:rPr>
      </w:pPr>
    </w:p>
    <w:p w14:paraId="197C0C53" w14:textId="77777777" w:rsidR="000565B4" w:rsidRPr="000565B4" w:rsidRDefault="000565B4" w:rsidP="000565B4">
      <w:pPr>
        <w:spacing w:after="120" w:line="276" w:lineRule="auto"/>
        <w:ind w:firstLine="709"/>
        <w:jc w:val="both"/>
        <w:rPr>
          <w:rFonts w:ascii="Century Gothic" w:eastAsia="Century Gothic" w:hAnsi="Century Gothic" w:cs="Century Gothic"/>
          <w:color w:val="000000"/>
        </w:rPr>
      </w:pPr>
      <w:r w:rsidRPr="000565B4">
        <w:rPr>
          <w:rFonts w:ascii="Verdana" w:eastAsia="Verdana" w:hAnsi="Verdana" w:cs="Verdana"/>
        </w:rPr>
        <w:t xml:space="preserve">Autorizada previamente por la entidad cedida, esta forma de cesión requiere la suscripción de un contrato entre el cedente y el cesionario, por lo que es bilateral en la medida en que es el resultado de un acuerdo voluntades. Con fundamento en el mismo, el cesionario reemplaza –en todo o en parte– al contratista cedente en la ejecución del contrato estatal, respondiendo por el cumplimiento de las obligaciones frente a la Administración. El inciso primero del artículo 888 del Código de Comercio señala que “La sustitución podrá hacerse por escrito o verbalmente, según que el contrato conste o no por escrito”. Como el contrato estatal es solemne en los términos de los artículos 39 y 41 de la Ley 80 de 1993, se impone la forma escrita para cederlo. </w:t>
      </w:r>
    </w:p>
    <w:p w14:paraId="46F181E0" w14:textId="77777777" w:rsidR="000565B4" w:rsidRPr="000565B4" w:rsidRDefault="000565B4" w:rsidP="000565B4">
      <w:pPr>
        <w:tabs>
          <w:tab w:val="left" w:pos="709"/>
        </w:tabs>
        <w:spacing w:after="120" w:line="276" w:lineRule="auto"/>
        <w:jc w:val="both"/>
        <w:rPr>
          <w:rFonts w:ascii="Verdana" w:eastAsia="Verdana" w:hAnsi="Verdana" w:cs="Verdana"/>
          <w:color w:val="000000"/>
        </w:rPr>
      </w:pPr>
      <w:bookmarkStart w:id="0" w:name="_heading=h.mhb2pnem5v19" w:colFirst="0" w:colLast="0"/>
      <w:bookmarkEnd w:id="0"/>
      <w:r w:rsidRPr="000565B4">
        <w:rPr>
          <w:rFonts w:ascii="Century Gothic" w:eastAsia="Century Gothic" w:hAnsi="Century Gothic" w:cs="Century Gothic"/>
          <w:color w:val="000000"/>
        </w:rPr>
        <w:tab/>
      </w:r>
      <w:r w:rsidRPr="000565B4">
        <w:rPr>
          <w:rFonts w:ascii="Verdana" w:eastAsia="Verdana" w:hAnsi="Verdana" w:cs="Verdana"/>
        </w:rPr>
        <w:t xml:space="preserve">Por lo demás, el Consejo de Estado ha precisado como requisitos de la cesión del contrato estatal los siguientes: i) debe recaer en un tercero; </w:t>
      </w:r>
      <w:proofErr w:type="spellStart"/>
      <w:r w:rsidRPr="000565B4">
        <w:rPr>
          <w:rFonts w:ascii="Verdana" w:eastAsia="Verdana" w:hAnsi="Verdana" w:cs="Verdana"/>
        </w:rPr>
        <w:t>ii</w:t>
      </w:r>
      <w:proofErr w:type="spellEnd"/>
      <w:r w:rsidRPr="000565B4">
        <w:rPr>
          <w:rFonts w:ascii="Verdana" w:eastAsia="Verdana" w:hAnsi="Verdana" w:cs="Verdana"/>
        </w:rPr>
        <w:t xml:space="preserve">) el cesionario debe tener capacidad jurídica para continuar con la ejecución del objeto contractual y no estar incurso en causales de inhabilidad e incompatibilidad para contratar; y </w:t>
      </w:r>
      <w:proofErr w:type="spellStart"/>
      <w:r w:rsidRPr="000565B4">
        <w:rPr>
          <w:rFonts w:ascii="Verdana" w:eastAsia="Verdana" w:hAnsi="Verdana" w:cs="Verdana"/>
        </w:rPr>
        <w:t>iii</w:t>
      </w:r>
      <w:proofErr w:type="spellEnd"/>
      <w:r w:rsidRPr="000565B4">
        <w:rPr>
          <w:rFonts w:ascii="Verdana" w:eastAsia="Verdana" w:hAnsi="Verdana" w:cs="Verdana"/>
        </w:rPr>
        <w:t xml:space="preserve">) el cesionario debe contar con capacidad 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w:t>
      </w:r>
      <w:r w:rsidRPr="000565B4">
        <w:rPr>
          <w:rFonts w:ascii="Verdana" w:eastAsia="Verdana" w:hAnsi="Verdana" w:cs="Verdana"/>
          <w:color w:val="000000"/>
        </w:rPr>
        <w:t xml:space="preserve">manera, la capacidad jurídica, económica y técnica del contratista cedente se exigirá también al cesionario, ya que “[…] el </w:t>
      </w:r>
      <w:r w:rsidRPr="000565B4">
        <w:rPr>
          <w:rFonts w:ascii="Verdana" w:eastAsia="Verdana" w:hAnsi="Verdana" w:cs="Verdana"/>
          <w:color w:val="000000"/>
        </w:rPr>
        <w:lastRenderedPageBreak/>
        <w:t>proceso cesión del contrato y las exigencias que se le impongan al tercero, no pueden alterar ni burlar los procedimientos de selección del contratista, en otras palabras, la figura de la cesión de contrato no puede servir como instrumento para desviar las obligaciones que tiene la entidad contratante de cumplimiento de los parámetros de la selección objetiva”</w:t>
      </w:r>
      <w:r w:rsidRPr="000565B4">
        <w:rPr>
          <w:rFonts w:ascii="Verdana" w:eastAsia="Verdana" w:hAnsi="Verdana" w:cs="Verdana"/>
          <w:color w:val="000000"/>
          <w:vertAlign w:val="superscript"/>
        </w:rPr>
        <w:footnoteReference w:id="26"/>
      </w:r>
      <w:r w:rsidRPr="000565B4">
        <w:rPr>
          <w:rFonts w:ascii="Verdana" w:eastAsia="Verdana" w:hAnsi="Verdana" w:cs="Verdana"/>
          <w:color w:val="000000"/>
        </w:rPr>
        <w:t>.</w:t>
      </w:r>
    </w:p>
    <w:p w14:paraId="3A105148" w14:textId="77777777" w:rsidR="000565B4" w:rsidRPr="000565B4" w:rsidRDefault="000565B4" w:rsidP="000565B4">
      <w:pPr>
        <w:tabs>
          <w:tab w:val="left" w:pos="709"/>
        </w:tabs>
        <w:spacing w:after="120" w:line="276" w:lineRule="auto"/>
        <w:ind w:firstLine="709"/>
        <w:jc w:val="both"/>
        <w:rPr>
          <w:rFonts w:ascii="Verdana" w:eastAsia="Verdana" w:hAnsi="Verdana" w:cs="Verdana"/>
          <w:color w:val="000000"/>
        </w:rPr>
      </w:pPr>
      <w:bookmarkStart w:id="1" w:name="_heading=h.5ten6mki767" w:colFirst="0" w:colLast="0"/>
      <w:bookmarkEnd w:id="1"/>
      <w:r w:rsidRPr="000565B4">
        <w:rPr>
          <w:rFonts w:ascii="Verdana" w:eastAsia="Verdana" w:hAnsi="Verdana" w:cs="Verdana"/>
          <w:color w:val="000000"/>
        </w:rPr>
        <w:t>Por lo tanto, la entidad estatal en el trámite de autorización de una cesión de posición contractual está obligada a respetar los criterios normativos que resulten aplicables al proceso de contratación, entre otros, los principios de transparencia, selección objetiva e igualdad. En otros términos, so pretexto de una cesión contractual, no pueden vulnerarse las reglas y principios de la contratación estatal.</w:t>
      </w:r>
    </w:p>
    <w:p w14:paraId="1F0B0802" w14:textId="77777777" w:rsidR="000565B4" w:rsidRPr="000565B4" w:rsidRDefault="000565B4" w:rsidP="000565B4">
      <w:pPr>
        <w:tabs>
          <w:tab w:val="left" w:pos="709"/>
        </w:tabs>
        <w:spacing w:after="120" w:line="276" w:lineRule="auto"/>
        <w:ind w:firstLine="709"/>
        <w:jc w:val="both"/>
        <w:rPr>
          <w:rFonts w:ascii="Verdana" w:eastAsia="Verdana" w:hAnsi="Verdana" w:cs="Verdana"/>
          <w:color w:val="000000"/>
        </w:rPr>
      </w:pPr>
      <w:r w:rsidRPr="000565B4">
        <w:rPr>
          <w:rFonts w:ascii="Verdana" w:eastAsia="Verdana" w:hAnsi="Verdana" w:cs="Verdana"/>
          <w:color w:val="000000"/>
        </w:rPr>
        <w:t xml:space="preserve">Además, 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 este cederá su participación a un tercero previa autorización escrita de la entidad contratante […]”, y establece que “[…] En ningún caso, podrá haber cesión del contrato entre quienes integran el consorcio o unión temporal”. </w:t>
      </w:r>
    </w:p>
    <w:p w14:paraId="053EE7D5" w14:textId="77777777" w:rsidR="000565B4" w:rsidRPr="000565B4" w:rsidRDefault="000565B4" w:rsidP="000565B4">
      <w:pPr>
        <w:spacing w:after="120" w:line="276" w:lineRule="auto"/>
        <w:ind w:right="51" w:firstLine="709"/>
        <w:jc w:val="both"/>
        <w:rPr>
          <w:rFonts w:ascii="Verdana" w:eastAsia="Verdana" w:hAnsi="Verdana" w:cs="Verdana"/>
          <w:color w:val="000000"/>
        </w:rPr>
      </w:pPr>
      <w:bookmarkStart w:id="2" w:name="_heading=h.1wluew5qb6pv" w:colFirst="0" w:colLast="0"/>
      <w:bookmarkEnd w:id="2"/>
      <w:r w:rsidRPr="000565B4">
        <w:rPr>
          <w:rFonts w:ascii="Verdana" w:eastAsia="Verdana" w:hAnsi="Verdana" w:cs="Verdana"/>
          <w:color w:val="000000"/>
        </w:rPr>
        <w:t xml:space="preserve">En suma, la Ley 80 de 1993 no reguló en su integridad la cesión del contrato, como tampoco lo hizo el Código Civil en el que se consagra la institución de la cesión de créditos –arts. 1959 y ss.–. En cambio, los artículos 887 a 896 del Código de Comercio definen la cesión del contrato. Por consiguiente, resultan aplicables las normas del derecho civil y comercial pertinentes, sobre cesión del crédito y cesión de contratos respectivamente, salvo en las materias particularmente reguladas por el Estatuto General de Contratación de la Administración Pública, como lo señala el artículo 13 de la Ley 80 de 1993. </w:t>
      </w:r>
    </w:p>
    <w:p w14:paraId="59508535"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lastRenderedPageBreak/>
        <w:t xml:space="preserve">De conformidad con los requisitos y las restricciones explicadas </w:t>
      </w:r>
      <w:r w:rsidRPr="000565B4">
        <w:rPr>
          <w:rFonts w:ascii="Verdana" w:eastAsia="Verdana" w:hAnsi="Verdana" w:cs="Verdana"/>
          <w:i/>
          <w:iCs/>
          <w:color w:val="000000"/>
        </w:rPr>
        <w:t>ut supra</w:t>
      </w:r>
      <w:r w:rsidRPr="000565B4">
        <w:rPr>
          <w:rFonts w:ascii="Verdana" w:eastAsia="Verdana" w:hAnsi="Verdana" w:cs="Verdana"/>
          <w:color w:val="000000"/>
        </w:rPr>
        <w:t>, en los contratos estatales cuya ejecución aún no haya sido cumplida en todo o en parte, el contratista podrá hacerse sustituir por un tercero en la relación derivada del contrato, quien en adelante ocupará su posición jurídica. Es una de las posibilidades en las cuales existe una modificación de uno de los extremos de la relación contractual, es decir, de uno de los sujetos, siempre que sea autorizada previamente por la entidad cedida, en cuyo caso requiere la suscripción de un contrato entre el cedente y el cesionario, de manera que es de carácter bilateral en la medida en que es el resultado de un acuerdo voluntades. Con fundamento en el contrato de cesión, el cesionario reemplaza –en todo o en parte– al contratista cedente en la ejecución del contrato estatal, respondiendo por el cumplimiento de las obligaciones frente a la Administración.</w:t>
      </w:r>
    </w:p>
    <w:p w14:paraId="01133041" w14:textId="77777777" w:rsidR="000565B4" w:rsidRPr="000565B4" w:rsidRDefault="000565B4" w:rsidP="000565B4">
      <w:pPr>
        <w:spacing w:after="120" w:line="276" w:lineRule="auto"/>
        <w:ind w:firstLine="720"/>
        <w:jc w:val="both"/>
        <w:rPr>
          <w:rFonts w:ascii="Verdana" w:eastAsia="Verdana" w:hAnsi="Verdana" w:cs="Verdana"/>
          <w:color w:val="000000"/>
        </w:rPr>
      </w:pPr>
      <w:r w:rsidRPr="000565B4">
        <w:rPr>
          <w:rFonts w:ascii="Verdana" w:eastAsia="Verdana" w:hAnsi="Verdana" w:cs="Verdana"/>
        </w:rPr>
        <w:t>Si bien las personas pueden presentarse individualmente a los procesos de selección, también pueden hacerlo en forma plural a través de consorcios o uniones temporales. En efecto, 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582ED39A" w14:textId="77777777" w:rsidR="000565B4" w:rsidRPr="000565B4" w:rsidRDefault="000565B4" w:rsidP="000565B4">
      <w:pPr>
        <w:spacing w:after="0" w:line="276" w:lineRule="auto"/>
        <w:ind w:firstLine="720"/>
        <w:jc w:val="both"/>
        <w:rPr>
          <w:rFonts w:ascii="Verdana" w:eastAsia="Verdana" w:hAnsi="Verdana" w:cs="Verdana"/>
          <w:color w:val="000000"/>
        </w:rPr>
      </w:pPr>
      <w:r w:rsidRPr="000565B4">
        <w:rPr>
          <w:rFonts w:ascii="Verdana" w:eastAsia="Verdana" w:hAnsi="Verdana" w:cs="Verdana"/>
          <w:color w:val="000000"/>
        </w:rPr>
        <w:t>La capacidad para contratar, e incluso la de realizar actos jurídicamente vinculantes como la presentación de una oferta en un procedimiento de selección 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w:t>
      </w:r>
    </w:p>
    <w:p w14:paraId="1778984F" w14:textId="77777777" w:rsidR="000565B4" w:rsidRPr="000565B4" w:rsidRDefault="000565B4" w:rsidP="000565B4">
      <w:pPr>
        <w:spacing w:after="0" w:line="240" w:lineRule="auto"/>
        <w:jc w:val="both"/>
        <w:rPr>
          <w:rFonts w:ascii="Verdana" w:eastAsia="Verdana" w:hAnsi="Verdana" w:cs="Verdana"/>
          <w:color w:val="000000"/>
        </w:rPr>
      </w:pPr>
    </w:p>
    <w:p w14:paraId="0877DA15"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lastRenderedPageBreak/>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proyectos de contratación pública, altamente especializados e intensivos en capital y, así mismo, indispensables para que el Estado Social de Derecho, cumpla los cometidos para los cuales fue instituido- Preámbulo, artículos 1 y 2 de la Carta Política.</w:t>
      </w:r>
    </w:p>
    <w:p w14:paraId="78F600C3"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p>
    <w:p w14:paraId="10882E55" w14:textId="77777777" w:rsidR="000565B4" w:rsidRPr="000565B4" w:rsidRDefault="000565B4" w:rsidP="000565B4">
      <w:pPr>
        <w:spacing w:after="12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w:t>
      </w:r>
    </w:p>
    <w:p w14:paraId="53661F29"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En torno a la capacidad contractual de los consorcios y uniones temporales la jurisprudencia constitucional ha expresado que el Estatuto de contratación les reconoce este atributo sin exigirles como condición de 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r w:rsidRPr="000565B4">
        <w:rPr>
          <w:rFonts w:ascii="Verdana" w:eastAsia="Verdana" w:hAnsi="Verdana" w:cs="Verdana"/>
          <w:color w:val="000000"/>
          <w:vertAlign w:val="superscript"/>
        </w:rPr>
        <w:footnoteReference w:id="27"/>
      </w:r>
      <w:r w:rsidRPr="000565B4">
        <w:rPr>
          <w:rFonts w:ascii="Verdana" w:eastAsia="Verdana" w:hAnsi="Verdana" w:cs="Verdana"/>
          <w:color w:val="000000"/>
          <w:sz w:val="20"/>
          <w:szCs w:val="20"/>
        </w:rPr>
        <w:t>.</w:t>
      </w:r>
    </w:p>
    <w:p w14:paraId="0FC64F26" w14:textId="77777777" w:rsidR="000565B4" w:rsidRPr="000565B4" w:rsidRDefault="000565B4" w:rsidP="000565B4">
      <w:pPr>
        <w:spacing w:after="0" w:line="240" w:lineRule="auto"/>
        <w:ind w:left="720" w:right="731"/>
        <w:jc w:val="both"/>
        <w:rPr>
          <w:rFonts w:ascii="Verdana" w:eastAsia="Verdana" w:hAnsi="Verdana" w:cs="Verdana"/>
          <w:color w:val="000000"/>
        </w:rPr>
      </w:pPr>
    </w:p>
    <w:p w14:paraId="45D723D2" w14:textId="77777777" w:rsidR="000565B4" w:rsidRPr="000565B4" w:rsidRDefault="000565B4" w:rsidP="000565B4">
      <w:pPr>
        <w:spacing w:after="120" w:line="276" w:lineRule="auto"/>
        <w:ind w:firstLine="720"/>
        <w:jc w:val="both"/>
        <w:rPr>
          <w:rFonts w:ascii="Verdana" w:eastAsia="Verdana" w:hAnsi="Verdana" w:cs="Verdana"/>
          <w:color w:val="000000"/>
        </w:rPr>
      </w:pPr>
      <w:bookmarkStart w:id="3" w:name="_heading=h.dbd329tyicjx" w:colFirst="0" w:colLast="0"/>
      <w:bookmarkEnd w:id="3"/>
      <w:r w:rsidRPr="000565B4">
        <w:rPr>
          <w:rFonts w:ascii="Verdana" w:eastAsia="Verdana" w:hAnsi="Verdana" w:cs="Verdana"/>
          <w:color w:val="000000"/>
        </w:rPr>
        <w:t>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condición de su ejercicio que sean personas morales lo que, hasta cierto punto, podría considerarse una evolución en la teoría de la personalidad jurídica.</w:t>
      </w:r>
    </w:p>
    <w:p w14:paraId="6985FFE9" w14:textId="77777777" w:rsidR="000565B4" w:rsidRPr="000565B4" w:rsidRDefault="000565B4" w:rsidP="000565B4">
      <w:pPr>
        <w:spacing w:after="120" w:line="276" w:lineRule="auto"/>
        <w:ind w:firstLine="709"/>
        <w:jc w:val="both"/>
        <w:rPr>
          <w:rFonts w:ascii="Verdana" w:eastAsia="Verdana" w:hAnsi="Verdana" w:cs="Verdana"/>
          <w:color w:val="000000"/>
        </w:rPr>
      </w:pPr>
      <w:r w:rsidRPr="000565B4">
        <w:rPr>
          <w:rFonts w:ascii="Verdana" w:eastAsia="Verdana" w:hAnsi="Verdana" w:cs="Verdana"/>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Este</w:t>
      </w:r>
      <w:r w:rsidRPr="000565B4">
        <w:rPr>
          <w:rFonts w:ascii="Verdana" w:eastAsia="Verdana" w:hAnsi="Verdana" w:cs="Verdana"/>
          <w:color w:val="000000"/>
        </w:rPr>
        <w:t xml:space="preserve"> artículo citado señala que el consorcio o la unión </w:t>
      </w:r>
      <w:r w:rsidRPr="000565B4">
        <w:rPr>
          <w:rFonts w:ascii="Verdana" w:eastAsia="Verdana" w:hAnsi="Verdana" w:cs="Verdana"/>
          <w:color w:val="000000"/>
        </w:rPr>
        <w:lastRenderedPageBreak/>
        <w:t xml:space="preserve">temporal se </w:t>
      </w:r>
      <w:r w:rsidRPr="000565B4">
        <w:rPr>
          <w:rFonts w:ascii="Verdana" w:eastAsia="Verdana" w:hAnsi="Verdana" w:cs="Verdana"/>
        </w:rPr>
        <w:t xml:space="preserve">presenta </w:t>
      </w:r>
      <w:r w:rsidRPr="000565B4">
        <w:rPr>
          <w:rFonts w:ascii="Verdana" w:eastAsia="Verdana" w:hAnsi="Verdana" w:cs="Verdana"/>
          <w:color w:val="000000"/>
        </w:rPr>
        <w:t xml:space="preserve">“Cuando dos o más personas en forma conjunta presentan una misma propuesta para la adjudicación, celebración y ejecución de un contrato </w:t>
      </w:r>
      <w:r w:rsidRPr="000565B4">
        <w:rPr>
          <w:rFonts w:ascii="Verdana" w:eastAsia="Verdana" w:hAnsi="Verdana" w:cs="Verdana"/>
        </w:rPr>
        <w:t>[…]</w:t>
      </w:r>
      <w:r w:rsidRPr="000565B4">
        <w:rPr>
          <w:rFonts w:ascii="Verdana" w:eastAsia="Verdana" w:hAnsi="Verdana" w:cs="Verdana"/>
          <w:color w:val="000000"/>
        </w:rPr>
        <w:t xml:space="preserve">”.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 </w:t>
      </w:r>
    </w:p>
    <w:p w14:paraId="54B77891" w14:textId="77777777" w:rsidR="000565B4" w:rsidRPr="000565B4" w:rsidRDefault="000565B4" w:rsidP="000565B4">
      <w:pPr>
        <w:spacing w:after="120" w:line="276" w:lineRule="auto"/>
        <w:jc w:val="both"/>
        <w:rPr>
          <w:rFonts w:ascii="Verdana" w:eastAsia="Verdana" w:hAnsi="Verdana" w:cs="Verdana"/>
          <w:color w:val="000000"/>
        </w:rPr>
      </w:pPr>
      <w:r w:rsidRPr="000565B4">
        <w:rPr>
          <w:rFonts w:ascii="Verdana" w:eastAsia="Verdana" w:hAnsi="Verdana" w:cs="Verdana"/>
          <w:color w:val="000000"/>
        </w:rPr>
        <w:tab/>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1D99343C" w14:textId="77777777" w:rsidR="000565B4" w:rsidRPr="000565B4" w:rsidRDefault="000565B4" w:rsidP="000565B4">
      <w:pPr>
        <w:spacing w:after="0" w:line="276" w:lineRule="auto"/>
        <w:jc w:val="both"/>
        <w:rPr>
          <w:rFonts w:ascii="Verdana" w:eastAsia="Verdana" w:hAnsi="Verdana" w:cs="Verdana"/>
          <w:color w:val="000000"/>
        </w:rPr>
      </w:pPr>
      <w:r w:rsidRPr="000565B4">
        <w:rPr>
          <w:rFonts w:ascii="Verdana" w:eastAsia="Verdana" w:hAnsi="Verdana" w:cs="Verdana"/>
          <w:color w:val="000000"/>
        </w:rPr>
        <w:tab/>
        <w:t xml:space="preserve">La capacidad jurídica de los proponentes plurales se limita al campo de la contratación estatal de las entidades sometidas al EGCAP, es decir, a las relaciones en consorcios y las uniones temporales con las entidades estatales del artículo 2 de la Ley 80 de 1993. Esta precisión es importante, porque la habilitación de los numerales 6 y 7 del artículo 7 </w:t>
      </w:r>
      <w:r w:rsidRPr="000565B4">
        <w:rPr>
          <w:rFonts w:ascii="Verdana" w:eastAsia="Verdana" w:hAnsi="Verdana" w:cs="Verdana"/>
          <w:i/>
          <w:iCs/>
          <w:color w:val="000000"/>
        </w:rPr>
        <w:t>ibidem</w:t>
      </w:r>
      <w:r w:rsidRPr="000565B4">
        <w:rPr>
          <w:rFonts w:ascii="Verdana" w:eastAsia="Verdana" w:hAnsi="Verdana" w:cs="Verdana"/>
          <w:color w:val="000000"/>
        </w:rPr>
        <w:t xml:space="preserve"> no les otorgan capacidad respecto a las relaciones entre particulares, como las que surgen entre el cedente y el cesionario del contrato. Como este último debe ser un tercero, es indispensable la personalidad jurídica. Como explica la doctrina: </w:t>
      </w:r>
    </w:p>
    <w:p w14:paraId="1975A84F" w14:textId="77777777" w:rsidR="000565B4" w:rsidRPr="000565B4" w:rsidRDefault="000565B4" w:rsidP="000565B4">
      <w:pPr>
        <w:spacing w:after="0" w:line="240" w:lineRule="auto"/>
        <w:jc w:val="both"/>
        <w:rPr>
          <w:rFonts w:ascii="Verdana" w:eastAsia="Verdana" w:hAnsi="Verdana" w:cs="Verdana"/>
        </w:rPr>
      </w:pPr>
    </w:p>
    <w:p w14:paraId="51C68F41" w14:textId="77777777" w:rsidR="000565B4" w:rsidRPr="000565B4" w:rsidRDefault="000565B4" w:rsidP="000565B4">
      <w:pPr>
        <w:spacing w:after="0" w:line="240" w:lineRule="auto"/>
        <w:ind w:left="709" w:right="709"/>
        <w:jc w:val="both"/>
        <w:rPr>
          <w:rFonts w:ascii="Verdana" w:eastAsia="Verdana" w:hAnsi="Verdana" w:cs="Verdana"/>
        </w:rPr>
      </w:pPr>
      <w:r w:rsidRPr="000565B4">
        <w:rPr>
          <w:rFonts w:ascii="Verdana" w:eastAsia="Verdana" w:hAnsi="Verdana" w:cs="Verdana"/>
          <w:sz w:val="20"/>
          <w:szCs w:val="20"/>
        </w:rPr>
        <w:t xml:space="preserve">“El concepto de ‘tercero’, respecto de la condición que debe reunir el cesionario, puede tener dos sentidos: uno subjetivo, en virtud del cual tiene tal cualidad cualquier persona distinta al contratista o a los integrantes del consorcio o unión temporal y a la entidad estatal contratante. Otro objetivo, según el cual tiene tal calidad cualquier persona distinta al contratista a los integrantes del consorcio o unión temporal y a la entidad estatal contratante, siempre y cuando tal persona </w:t>
      </w:r>
      <w:r w:rsidRPr="000565B4">
        <w:rPr>
          <w:rFonts w:ascii="Verdana" w:eastAsia="Verdana" w:hAnsi="Verdana" w:cs="Verdana"/>
          <w:sz w:val="20"/>
          <w:szCs w:val="20"/>
        </w:rPr>
        <w:lastRenderedPageBreak/>
        <w:t>no tenga un vínculo de dependencia o de subordinación con el contratista o los integrantes del consorcio o la unión temporal (futuros cedentes)”</w:t>
      </w:r>
      <w:r w:rsidRPr="000565B4">
        <w:rPr>
          <w:rFonts w:ascii="Verdana" w:eastAsia="Verdana" w:hAnsi="Verdana" w:cs="Verdana"/>
          <w:sz w:val="20"/>
          <w:szCs w:val="20"/>
          <w:vertAlign w:val="superscript"/>
        </w:rPr>
        <w:footnoteReference w:id="28"/>
      </w:r>
      <w:r w:rsidRPr="000565B4">
        <w:rPr>
          <w:rFonts w:ascii="Verdana" w:eastAsia="Verdana" w:hAnsi="Verdana" w:cs="Verdana"/>
          <w:sz w:val="20"/>
          <w:szCs w:val="20"/>
        </w:rPr>
        <w:t>.</w:t>
      </w:r>
      <w:r w:rsidRPr="000565B4">
        <w:rPr>
          <w:rFonts w:ascii="Verdana" w:eastAsia="Verdana" w:hAnsi="Verdana" w:cs="Verdana"/>
        </w:rPr>
        <w:t xml:space="preserve"> </w:t>
      </w:r>
    </w:p>
    <w:p w14:paraId="49727F10" w14:textId="77777777" w:rsidR="000565B4" w:rsidRPr="000565B4" w:rsidRDefault="000565B4" w:rsidP="000565B4">
      <w:pPr>
        <w:spacing w:after="0" w:line="240" w:lineRule="auto"/>
        <w:ind w:left="709" w:right="709"/>
        <w:jc w:val="both"/>
        <w:rPr>
          <w:rFonts w:ascii="Verdana" w:eastAsia="Verdana" w:hAnsi="Verdana" w:cs="Verdana"/>
        </w:rPr>
      </w:pPr>
    </w:p>
    <w:p w14:paraId="48816978" w14:textId="77777777" w:rsidR="000565B4" w:rsidRPr="000565B4" w:rsidRDefault="000565B4" w:rsidP="000565B4">
      <w:pPr>
        <w:spacing w:after="0" w:line="276" w:lineRule="auto"/>
        <w:jc w:val="both"/>
        <w:rPr>
          <w:rFonts w:ascii="Verdana" w:eastAsia="Verdana" w:hAnsi="Verdana" w:cs="Verdana"/>
          <w:color w:val="000000"/>
        </w:rPr>
      </w:pPr>
      <w:r w:rsidRPr="000565B4">
        <w:rPr>
          <w:rFonts w:ascii="Verdana" w:eastAsia="Verdana" w:hAnsi="Verdana" w:cs="Verdana"/>
          <w:color w:val="000000"/>
        </w:rPr>
        <w:tab/>
        <w:t xml:space="preserve">De acuerdo con el inciso primero del artículo 73 del Código Civil las personas son naturales o jurídicas. Conforme al artículo 74 </w:t>
      </w:r>
      <w:r w:rsidRPr="000565B4">
        <w:rPr>
          <w:rFonts w:ascii="Verdana" w:eastAsia="Verdana" w:hAnsi="Verdana" w:cs="Verdana"/>
          <w:i/>
          <w:iCs/>
          <w:color w:val="000000"/>
        </w:rPr>
        <w:t>ibidem</w:t>
      </w:r>
      <w:r w:rsidRPr="000565B4">
        <w:rPr>
          <w:rFonts w:ascii="Verdana" w:eastAsia="Verdana" w:hAnsi="Verdana" w:cs="Verdana"/>
          <w:color w:val="000000"/>
        </w:rPr>
        <w:t>, las primeras corresponden a “</w:t>
      </w:r>
      <w:r w:rsidRPr="000565B4">
        <w:rPr>
          <w:rFonts w:ascii="Verdana" w:eastAsia="Verdana" w:hAnsi="Verdana" w:cs="Verdana"/>
        </w:rPr>
        <w:t xml:space="preserve">[…] </w:t>
      </w:r>
      <w:r w:rsidRPr="000565B4">
        <w:rPr>
          <w:rFonts w:ascii="Verdana" w:eastAsia="Verdana" w:hAnsi="Verdana" w:cs="Verdana"/>
          <w:color w:val="000000"/>
        </w:rPr>
        <w:t xml:space="preserve">todos los individuos de la especie humana, cualquiera que sea su edad, sexo, estirpe o condición”. En contraste, con fundamento en el inciso primero artículo 633 </w:t>
      </w:r>
      <w:r w:rsidRPr="000565B4">
        <w:rPr>
          <w:rFonts w:ascii="Verdana" w:eastAsia="Verdana" w:hAnsi="Verdana" w:cs="Verdana"/>
          <w:i/>
          <w:iCs/>
          <w:color w:val="000000"/>
        </w:rPr>
        <w:t>ibidem</w:t>
      </w:r>
      <w:r w:rsidRPr="000565B4">
        <w:rPr>
          <w:rFonts w:ascii="Verdana" w:eastAsia="Verdana" w:hAnsi="Verdana" w:cs="Verdana"/>
          <w:color w:val="000000"/>
        </w:rPr>
        <w:t>, las segundas son “</w:t>
      </w:r>
      <w:r w:rsidRPr="000565B4">
        <w:rPr>
          <w:rFonts w:ascii="Verdana" w:eastAsia="Verdana" w:hAnsi="Verdana" w:cs="Verdana"/>
        </w:rPr>
        <w:t>[…]</w:t>
      </w:r>
      <w:r w:rsidRPr="000565B4">
        <w:rPr>
          <w:rFonts w:ascii="Verdana" w:eastAsia="Verdana" w:hAnsi="Verdana" w:cs="Verdana"/>
          <w:color w:val="000000"/>
        </w:rPr>
        <w:t xml:space="preserve"> una persona ficticia, capaz de ejercer derechos y contraer obligaciones civiles, y de ser representada judicial y extrajudicialmente”. Como se explicó </w:t>
      </w:r>
      <w:r w:rsidRPr="000565B4">
        <w:rPr>
          <w:rFonts w:ascii="Verdana" w:eastAsia="Verdana" w:hAnsi="Verdana" w:cs="Verdana"/>
          <w:i/>
          <w:iCs/>
          <w:color w:val="000000"/>
        </w:rPr>
        <w:t>ut supra</w:t>
      </w:r>
      <w:r w:rsidRPr="000565B4">
        <w:rPr>
          <w:rFonts w:ascii="Verdana" w:eastAsia="Verdana" w:hAnsi="Verdana" w:cs="Verdana"/>
          <w:color w:val="000000"/>
        </w:rPr>
        <w:t xml:space="preserve">, los consorcios y las uniones temporales carecen de esta naturaleza. Asimismo, los numerales 6 y 7 del artículo 7 de la Ley 80 de 1993 tampoco otorgan capacidad a los proponentes plurales para ser cesionarios; por lo tanto, no existe una habilitación legal para que los contratistas cedan su posición contractual a los consorcios o uniones temporales. </w:t>
      </w:r>
    </w:p>
    <w:p w14:paraId="27B80693" w14:textId="77777777" w:rsidR="000565B4" w:rsidRPr="000565B4" w:rsidRDefault="000565B4" w:rsidP="000565B4">
      <w:pPr>
        <w:spacing w:after="0" w:line="276" w:lineRule="auto"/>
        <w:jc w:val="both"/>
        <w:rPr>
          <w:rFonts w:ascii="Verdana" w:eastAsia="Verdana" w:hAnsi="Verdana" w:cs="Verdana"/>
        </w:rPr>
      </w:pPr>
    </w:p>
    <w:p w14:paraId="59E0F10B" w14:textId="77777777" w:rsidR="000565B4" w:rsidRPr="000565B4" w:rsidRDefault="000565B4" w:rsidP="000565B4">
      <w:pPr>
        <w:spacing w:after="120" w:line="276" w:lineRule="auto"/>
        <w:jc w:val="both"/>
      </w:pPr>
      <w:proofErr w:type="spellStart"/>
      <w:r w:rsidRPr="000565B4">
        <w:rPr>
          <w:rFonts w:ascii="Verdana" w:eastAsia="Verdana" w:hAnsi="Verdana" w:cs="Verdana"/>
        </w:rPr>
        <w:t>iv</w:t>
      </w:r>
      <w:proofErr w:type="spellEnd"/>
      <w:r w:rsidRPr="000565B4">
        <w:rPr>
          <w:rFonts w:ascii="Verdana" w:eastAsia="Verdana" w:hAnsi="Verdana" w:cs="Verdana"/>
        </w:rPr>
        <w:t>. Ahora bien, el régimen previsto en el artículo 9 de la Ley 80 de 1993 evidencia que la aparición de una inhabilidad o incompatibilidad sobreviniente durante la ejecución del contrato no conduce, por sí sola, a la terminación automática del vínculo contractual. Por el contrario, el legislador diseñó un mecanismo específico para preservar la continuidad de la ejecución y, al mismo tiempo, garantizar el respeto del régimen de inhabilidades e incompatibilidades, consistente en la obligación del integrante afectado de ceder su participación a un tercero, previa autorización escrita de la entidad contratante, sin que sea jurídicamente posible realizar dicha cesión entre quienes integran el consorcio o la unión temporal</w:t>
      </w:r>
      <w:r w:rsidRPr="000565B4">
        <w:rPr>
          <w:rFonts w:ascii="Verdana" w:eastAsia="Verdana" w:hAnsi="Verdana" w:cs="Verdana"/>
          <w:vertAlign w:val="superscript"/>
        </w:rPr>
        <w:footnoteReference w:id="29"/>
      </w:r>
      <w:r w:rsidRPr="000565B4">
        <w:rPr>
          <w:rFonts w:ascii="Verdana" w:eastAsia="Verdana" w:hAnsi="Verdana" w:cs="Verdana"/>
        </w:rPr>
        <w:t xml:space="preserve">. En desarrollo de esta disposición, el Consejo de Estado ha precisado que, tratándose de consorcios y uniones temporales, no resulta procedente la renuncia a la ejecución del contrato, pues el legislador estableció una regla especial para estos esquemas asociativos, consistente en la cesión de la participación del integrante afectado a un tercero, como mecanismo destinado a garantizar la continuidad del contrato y el respeto del régimen de inhabilidades e incompatibilidades. De esta manera, la cesión constituye la respuesta prevista por el ordenamiento jurídico para conjugar el principio de conservación del </w:t>
      </w:r>
      <w:r w:rsidRPr="000565B4">
        <w:rPr>
          <w:rFonts w:ascii="Verdana" w:eastAsia="Verdana" w:hAnsi="Verdana" w:cs="Verdana"/>
        </w:rPr>
        <w:lastRenderedPageBreak/>
        <w:t>contrato con la necesidad de impedir que una persona incursa en una inhabilidad o incompatibilidad permanezca vinculada a la ejecución de un contrato estatal</w:t>
      </w:r>
      <w:r w:rsidRPr="000565B4">
        <w:t xml:space="preserve">. </w:t>
      </w:r>
    </w:p>
    <w:p w14:paraId="258C2351" w14:textId="77777777" w:rsidR="000565B4" w:rsidRPr="000565B4" w:rsidRDefault="000565B4" w:rsidP="000565B4">
      <w:pPr>
        <w:spacing w:after="120" w:line="276" w:lineRule="auto"/>
        <w:jc w:val="both"/>
        <w:rPr>
          <w:rFonts w:ascii="Verdana" w:eastAsia="Verdana" w:hAnsi="Verdana" w:cs="Verdana"/>
          <w:b/>
          <w:bCs/>
          <w:color w:val="000000"/>
        </w:rPr>
      </w:pPr>
      <w:r w:rsidRPr="000565B4">
        <w:tab/>
      </w:r>
      <w:r w:rsidRPr="000565B4">
        <w:rPr>
          <w:rFonts w:ascii="Verdana" w:hAnsi="Verdana"/>
        </w:rPr>
        <w:t>De manera previa a la actuación administrativa de verificación, debe señalarse que el primer deber que surge ante la configuración de una inhabilidad o incompatibilidad sobreviniente recae en el propio contratista. En efecto, los artículos 23 y 26 de la Ley 80 de 1993 imponen a los partícipes de la actividad contractual la obligación de actuar conforme a los principios de buena fe y responsabilidad, lo que comprende el deber de informar oportunamente a la entidad contratante las circunstancias sobrevinientes que afecten su capacidad para continuar la ejecución del contrato. Este deber de información constituye una manifestación concreta del principio de buena fe objetiva que rige las relaciones contractuales del Estado –arts. 83 de la C. P. y 28 de la Ley 80 de 1993–, y su omisión puede ser valorada por la entidad como un elemento relevante al examinar la conducta contractual del integrante afectado. Con todo, el conocimiento de la circunstancia por parte de la entidad no depende exclusivamente de la información suministrada por el contratista: la entidad puede advertirla por cualquier otro medio, caso en el cual deberá igualmente iniciar la actuación administrativa correspondiente.</w:t>
      </w:r>
    </w:p>
    <w:p w14:paraId="0C33989F" w14:textId="77777777" w:rsidR="000565B4" w:rsidRPr="000565B4" w:rsidRDefault="000565B4" w:rsidP="000565B4">
      <w:pPr>
        <w:spacing w:after="120" w:line="276" w:lineRule="auto"/>
        <w:ind w:firstLine="720"/>
        <w:jc w:val="both"/>
        <w:rPr>
          <w:rFonts w:ascii="Verdana" w:eastAsia="Verdana" w:hAnsi="Verdana" w:cs="Verdana"/>
        </w:rPr>
      </w:pPr>
      <w:r w:rsidRPr="000565B4">
        <w:rPr>
          <w:rFonts w:ascii="Verdana" w:eastAsia="Verdana" w:hAnsi="Verdana" w:cs="Verdana"/>
        </w:rPr>
        <w:t>No obstante, es importante precisar que la configuración de una inhabilidad o incompatibilidad sobreviniente no produce automáticamente los efectos previstos en el ordenamiento jurídico, sino que exige el respeto del derecho fundamental al debido proceso. Sobre el particular, la Sala de Consulta y Servicio Civil del Consejo de Estado precisó que, por tratarse de una restricción a la capacidad para contratar con el Estado, "es necesario garantizar y acatar el principio del debido proceso (art. 29 C.P.) y, en particular, los derechos de defensa y contradicción del eventual afectado, para que la entidad estatal declare la existencia de la causal correspondiente y se pueda aplicar la inhabilidad"</w:t>
      </w:r>
      <w:r w:rsidRPr="000565B4">
        <w:rPr>
          <w:rFonts w:ascii="Verdana" w:eastAsia="Verdana" w:hAnsi="Verdana" w:cs="Verdana"/>
          <w:vertAlign w:val="superscript"/>
        </w:rPr>
        <w:footnoteReference w:id="30"/>
      </w:r>
      <w:r w:rsidRPr="000565B4">
        <w:rPr>
          <w:rFonts w:ascii="Verdana" w:eastAsia="Verdana" w:hAnsi="Verdana" w:cs="Verdana"/>
        </w:rPr>
        <w:t>. De esta manera, la autoridad contratante no puede partir de la simple existencia de un hecho que, en principio, configure una inhabilidad o incompatibilidad, sino que debe verificar su ocurrencia mediante una actuación administrativa que permita al contratista ejercer plenamente sus derechos de defensa y contradicción.</w:t>
      </w:r>
    </w:p>
    <w:p w14:paraId="3272B619" w14:textId="77777777" w:rsidR="000565B4" w:rsidRPr="000565B4" w:rsidRDefault="000565B4" w:rsidP="000565B4">
      <w:pPr>
        <w:spacing w:after="0" w:line="276" w:lineRule="auto"/>
        <w:ind w:firstLine="720"/>
        <w:jc w:val="both"/>
        <w:rPr>
          <w:rFonts w:ascii="Verdana" w:eastAsia="Verdana" w:hAnsi="Verdana" w:cs="Verdana"/>
        </w:rPr>
      </w:pPr>
      <w:r w:rsidRPr="000565B4">
        <w:rPr>
          <w:rFonts w:ascii="Verdana" w:eastAsia="Verdana" w:hAnsi="Verdana" w:cs="Verdana"/>
        </w:rPr>
        <w:lastRenderedPageBreak/>
        <w:t>En el mismo sentido, el Consejo de Estado explicó que la decisión mediante la cual se determina la existencia de la causal constituye una manifestación del ejercicio de la función administrativa y, por ello, debe adoptarse mediante un acto debidamente motivado, precedido de una actuación en la que el afectado tenga la oportunidad de pronunciarse, aportar pruebas y controvertir los hechos que sirven de fundamento a la decisión. Por tanto, una vez la entidad tenga conocimiento de la posible configuración de una inhabilidad o incompatibilidad sobreviniente, deberá adelantar la actuación administrativa correspondiente para establecer la efectiva configuración de la causal y garantizar el ejercicio de los derechos de defensa y contradicción del contratista. Solo una vez concluida dicha actuación y determinada la existencia de la inhabilidad, procederá requerir al integrante afectado para que cumpla el deber previsto en el artículo 9 de la Ley 80 de 1993, consistente en ceder su participación a un tercero, previa autorización escrita de la entidad contratante.</w:t>
      </w:r>
    </w:p>
    <w:p w14:paraId="75C0A89B" w14:textId="77777777" w:rsidR="000565B4" w:rsidRPr="000565B4" w:rsidRDefault="000565B4" w:rsidP="000565B4">
      <w:pPr>
        <w:spacing w:after="0" w:line="276" w:lineRule="auto"/>
        <w:ind w:firstLine="720"/>
        <w:jc w:val="both"/>
        <w:rPr>
          <w:rFonts w:ascii="Verdana" w:eastAsia="Verdana" w:hAnsi="Verdana" w:cs="Verdana"/>
          <w:color w:val="000000"/>
        </w:rPr>
      </w:pPr>
    </w:p>
    <w:p w14:paraId="7B11461B" w14:textId="77777777" w:rsidR="000565B4" w:rsidRPr="000565B4" w:rsidRDefault="000565B4" w:rsidP="000565B4">
      <w:pPr>
        <w:spacing w:after="120" w:line="276" w:lineRule="auto"/>
        <w:jc w:val="both"/>
      </w:pPr>
      <w:r w:rsidRPr="000565B4">
        <w:rPr>
          <w:rFonts w:ascii="Verdana" w:eastAsia="Verdana" w:hAnsi="Verdana" w:cs="Verdana"/>
        </w:rPr>
        <w:t>v. No obstante, cuando el integrante del consorcio o unión temporal incumple el deber legal de ceder su participación o, por circunstancias objetivas, la cesión no puede materializarse, el ordenamiento jurídico no establece expresamente las consecuencias aplicables. En efecto, el artículo 9 de la Ley 80 de 1993 regula la obligación de ceder la participación del integrante inhabilitado, pero no prevé el procedimiento ni las medidas que debe adoptar la entidad contratante cuando dicha obligación resulta incumplida o de imposible ejecución por alguna circunstancia. En este escenario, corresponde interpretar de manera sistemática el Estatuto General de Contratación de la Administración Pública, con el fin de determinar los mecanismos jurídicos que permitan garantizar el cumplimiento del régimen de inhabilidades e incompatibilidades y evitar que la ejecución del contrato continúe en condiciones contrarias al principio de legalidad.</w:t>
      </w:r>
    </w:p>
    <w:p w14:paraId="60BB6721" w14:textId="77777777" w:rsidR="000565B4" w:rsidRPr="000565B4" w:rsidRDefault="000565B4" w:rsidP="000565B4">
      <w:pPr>
        <w:spacing w:after="120" w:line="276" w:lineRule="auto"/>
        <w:ind w:firstLine="720"/>
        <w:jc w:val="both"/>
      </w:pPr>
      <w:r w:rsidRPr="000565B4">
        <w:rPr>
          <w:rFonts w:ascii="Verdana" w:eastAsia="Verdana" w:hAnsi="Verdana" w:cs="Verdana"/>
        </w:rPr>
        <w:t xml:space="preserve">En primer lugar, no resulta aplicable la regla prevista en el inciso segundo del artículo 9 de la Ley 80 de 1993, conforme a la cual el proponente afectado por una inhabilidad o incompatibilidad sobreviniente durante un proceso de selección debe renunciar a su participación y a los derechos derivados de la oferta. Esta disposición regula una hipótesis propia de la etapa precontractual, en la que aún no existe un vínculo contractual perfeccionado, razón por la cual no resulta extensible al supuesto del integrante de un consorcio o unión temporal respecto del cual la inhabilidad sobreviene durante la ejecución del contrato. Admitir esa extensión implicaría aplicar por analogía una consecuencia jurídica </w:t>
      </w:r>
      <w:r w:rsidRPr="000565B4">
        <w:rPr>
          <w:rFonts w:ascii="Verdana" w:eastAsia="Verdana" w:hAnsi="Verdana" w:cs="Verdana"/>
        </w:rPr>
        <w:lastRenderedPageBreak/>
        <w:t>prevista para un supuesto distinto, desconociendo el carácter restrictivo que rige la interpretación del régimen de inhabilidades e incompatibilidades. Además, tratándose de consorcios y uniones temporales, el propio inciso tercero del artículo 9 diseñó una solución específica, consistente en la cesión de la participación a un tercero, lo que excluye la aplicación de la regla de la renuncia prevista para el contratista individual.</w:t>
      </w:r>
    </w:p>
    <w:p w14:paraId="1070376E" w14:textId="77777777" w:rsidR="000565B4" w:rsidRPr="000565B4" w:rsidRDefault="000565B4" w:rsidP="000565B4">
      <w:pPr>
        <w:spacing w:after="120" w:line="276" w:lineRule="auto"/>
        <w:ind w:firstLine="720"/>
        <w:jc w:val="both"/>
        <w:rPr>
          <w:rFonts w:ascii="Verdana" w:eastAsia="Verdana" w:hAnsi="Verdana" w:cs="Verdana"/>
        </w:rPr>
      </w:pPr>
      <w:r w:rsidRPr="000565B4">
        <w:rPr>
          <w:rFonts w:ascii="Verdana" w:eastAsia="Verdana" w:hAnsi="Verdana" w:cs="Verdana"/>
        </w:rPr>
        <w:t xml:space="preserve">En segundo lugar, tampoco resulta procedente la regla de terminación unilateral prevista en el inciso segundo del artículo 45 de la Ley 80 de 1993, fundada en la configuración de una causal de nulidad absoluta del contrato por haberse celebrado con una persona incursa en inhabilidad o incompatibilidad. En efecto, esta consecuencia jurídica parte del supuesto previsto en el numeral 1 del artículo 44 </w:t>
      </w:r>
      <w:proofErr w:type="spellStart"/>
      <w:r w:rsidRPr="000565B4">
        <w:rPr>
          <w:rFonts w:ascii="Verdana" w:eastAsia="Verdana" w:hAnsi="Verdana" w:cs="Verdana"/>
          <w:i/>
          <w:iCs/>
        </w:rPr>
        <w:t>ibídem</w:t>
      </w:r>
      <w:proofErr w:type="spellEnd"/>
      <w:r w:rsidRPr="000565B4">
        <w:rPr>
          <w:rFonts w:ascii="Verdana" w:eastAsia="Verdana" w:hAnsi="Verdana" w:cs="Verdana"/>
        </w:rPr>
        <w:t>, esto es, que el contrato se celebre con una persona que, desde el momento de su perfeccionamiento, se encuentre incursa en una causal de inhabilidad o incompatibilidad prevista en la Constitución o la ley.</w:t>
      </w:r>
    </w:p>
    <w:p w14:paraId="3C0B33A7" w14:textId="77777777" w:rsidR="000565B4" w:rsidRPr="000565B4" w:rsidRDefault="000565B4" w:rsidP="000565B4">
      <w:pPr>
        <w:spacing w:after="0" w:line="276" w:lineRule="auto"/>
        <w:ind w:firstLine="720"/>
        <w:jc w:val="both"/>
      </w:pPr>
      <w:r w:rsidRPr="000565B4">
        <w:t xml:space="preserve"> </w:t>
      </w:r>
      <w:r w:rsidRPr="000565B4">
        <w:rPr>
          <w:rFonts w:ascii="Verdana" w:eastAsia="Verdana" w:hAnsi="Verdana" w:cs="Verdana"/>
        </w:rPr>
        <w:t>En contraste, el supuesto objeto de análisis corresponde a una inhabilidad o incompatibilidad sobreviniente; esto es, a una circunstancia que aparece con posterioridad a la celebración del contrato. Precisamente por ello el legislador le otorgó un tratamiento diferenciado en el artículo 9 de la Ley 80 de 1993. En tal virtud, extender a esta hipótesis las consecuencias previstas para las inhabilidades originarias supondría desconocer el carácter taxativo y de interpretación estricta que gobierna el régimen de inhabilidades, incompatibilidades y nulidades en la contratación estatal.</w:t>
      </w:r>
    </w:p>
    <w:p w14:paraId="14C96C75" w14:textId="77777777" w:rsidR="000565B4" w:rsidRPr="000565B4" w:rsidRDefault="000565B4" w:rsidP="000565B4">
      <w:pPr>
        <w:spacing w:after="120" w:line="276" w:lineRule="auto"/>
        <w:jc w:val="both"/>
        <w:rPr>
          <w:rFonts w:ascii="Verdana" w:eastAsia="Verdana" w:hAnsi="Verdana" w:cs="Verdana"/>
        </w:rPr>
      </w:pPr>
    </w:p>
    <w:p w14:paraId="0E526F5E"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t>vi. La Sección Tercera del Consejo de Estado</w:t>
      </w:r>
      <w:r w:rsidRPr="000565B4">
        <w:rPr>
          <w:rFonts w:ascii="Verdana" w:eastAsia="Verdana" w:hAnsi="Verdana" w:cs="Verdana"/>
          <w:vertAlign w:val="superscript"/>
        </w:rPr>
        <w:footnoteReference w:id="31"/>
      </w:r>
      <w:r w:rsidRPr="000565B4">
        <w:rPr>
          <w:rFonts w:ascii="Verdana" w:eastAsia="Verdana" w:hAnsi="Verdana" w:cs="Verdana"/>
        </w:rPr>
        <w:t xml:space="preserve"> ha explicado que la terminación unilateral del contrato estatal no constituye una institución única, sino un género dentro del cual se distinguen diversas modalidades con presupuestos, finalidades y consecuencias jurídicas diferentes. En ese sentido, precisó que dentro de la terminación unilateral por decisión de la entidad estatal contratante pueden identificarse: i) la terminación unilateral propiamente dicha, regulada por el artículo 17 de la Ley 80 de 1993; </w:t>
      </w:r>
      <w:proofErr w:type="spellStart"/>
      <w:r w:rsidRPr="000565B4">
        <w:rPr>
          <w:rFonts w:ascii="Verdana" w:eastAsia="Verdana" w:hAnsi="Verdana" w:cs="Verdana"/>
        </w:rPr>
        <w:t>ii</w:t>
      </w:r>
      <w:proofErr w:type="spellEnd"/>
      <w:r w:rsidRPr="000565B4">
        <w:rPr>
          <w:rFonts w:ascii="Verdana" w:eastAsia="Verdana" w:hAnsi="Verdana" w:cs="Verdana"/>
        </w:rPr>
        <w:t xml:space="preserve">) la declaratoria de caducidad administrativa del contrato; y </w:t>
      </w:r>
      <w:proofErr w:type="spellStart"/>
      <w:r w:rsidRPr="000565B4">
        <w:rPr>
          <w:rFonts w:ascii="Verdana" w:eastAsia="Verdana" w:hAnsi="Verdana" w:cs="Verdana"/>
        </w:rPr>
        <w:t>iii</w:t>
      </w:r>
      <w:proofErr w:type="spellEnd"/>
      <w:r w:rsidRPr="000565B4">
        <w:rPr>
          <w:rFonts w:ascii="Verdana" w:eastAsia="Verdana" w:hAnsi="Verdana" w:cs="Verdana"/>
        </w:rPr>
        <w:t xml:space="preserve">) la terminación unilateral derivada de la configuración de una causal de nulidad absoluta, prevista en el inciso segundo del artículo 45 de la Ley 80 de 1993. Esta clasificación pone de presente que, aunque las tres </w:t>
      </w:r>
      <w:r w:rsidRPr="000565B4">
        <w:rPr>
          <w:rFonts w:ascii="Verdana" w:eastAsia="Verdana" w:hAnsi="Verdana" w:cs="Verdana"/>
        </w:rPr>
        <w:lastRenderedPageBreak/>
        <w:t xml:space="preserve">instituciones producen la terminación anticipada del vínculo contractual, obedecen a supuestos normativos claramente diferenciados y no pueden confundirse entre sí. </w:t>
      </w:r>
    </w:p>
    <w:p w14:paraId="0B8718BB"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rPr>
        <w:t xml:space="preserve">La primera modalidad corresponde a la terminación unilateral propiamente dicha, regulada por el artículo 17 de la Ley 80 de 1993. Se trata de una potestad excepcional conferida a la Administración para poner fin anticipadamente al contrato cuando las exigencias del servicio público lo requieran o la situación de orden público lo </w:t>
      </w:r>
      <w:r w:rsidRPr="000565B4">
        <w:rPr>
          <w:rFonts w:ascii="Verdana" w:eastAsia="Verdana" w:hAnsi="Verdana" w:cs="Verdana"/>
          <w:color w:val="000000"/>
        </w:rPr>
        <w:t>imponga. A diferencia de las demás modalidades, esta facultad no presupone un incumplimiento del contratista, ni la existencia de un vicio que afecte la validez del contrato desde su celebración. Su fundamento radica en la necesidad de garantizar la continuidad, eficiencia y adecuada prestación del servicio público, permitiendo a la Administración adoptar decisiones orientadas a proteger el interés general cuando sobrevienen circunstancias que hacen incompatible la permanencia del vínculo contractual con los fines que justificaron su celebración. Precisamente por ello, la terminación prevista en el artículo 17 constituye una potestad de naturaleza preventiva y no sancionatoria, cuya finalidad consiste en preservar la correcta satisfacción del interés público y no en reprochar una conducta atribuible al contratista.</w:t>
      </w:r>
    </w:p>
    <w:p w14:paraId="58CC7E85"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La caracterización de la terminación unilateral del artículo 17 como potestad excepcional impone considerar el régimen del artículo 14 de la Ley 80 de 1993, que condiciona su procedencia en un doble sentido. En primer término, conforme al numeral 2 del artículo 14, las cláusulas excepcionales de terminación, interpretación y modificación unilaterales se pactan obligatoriamente en los contratos que tengan por objeto el ejercicio de una actividad que constituya monopolio estatal, la prestación de servicios públicos o la explotación y concesión de bienes del Estado, así como en los contratos de obra; son de pacto facultativo en los contratos de suministro y de prestación de servicios; y se encuentran excluidas en las demás tipologías contractuales señaladas por la norma. De ello se sigue que la terminación unilateral no constituye una herramienta universalmente disponible: su ejercicio presupone que, en el contrato respectivo, la cláusula excepcional se haya pactado o se entienda pactada por ministerio de la ley. En los contratos en los que dicha potestad no resulte procedente, la entidad deberá acudir a los demás </w:t>
      </w:r>
      <w:r w:rsidRPr="000565B4">
        <w:rPr>
          <w:rFonts w:ascii="Verdana" w:eastAsia="Verdana" w:hAnsi="Verdana" w:cs="Verdana"/>
          <w:color w:val="000000"/>
        </w:rPr>
        <w:lastRenderedPageBreak/>
        <w:t>mecanismos señalados en este concepto, en particular la terminación de mutuo acuerdo o la intervención del juez del contrato.</w:t>
      </w:r>
    </w:p>
    <w:p w14:paraId="381EA42F"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En segundo término, el numeral 1 del artículo 14 dispone que, al ejercer las potestades excepcionales, deberá procederse al reconocimiento y orden de pago de las compensaciones e indemnizaciones a que tengan derecho las personas objeto de tales medidas, aplicando los mecanismos de ajuste de las condiciones y términos contractuales a que haya lugar para mantener la ecuación o equilibrio inicial. Esta previsión exige una consideración cuidadosa en el supuesto analizado. La jurisprudencia constitucional que examinó el artículo 9 de la Ley 80 de 1993 precisó que las consecuencias derivadas de la inhabilidad sobreviniente —la cesión o, en el caso del contratista individual, la renuncia— constituyen medidas objetivas que no tienen carácter sancionatorio ni comprometen la responsabilidad de la administración, precisamente porque la situación que las origina no proviene de una actuación antijurídica de la entidad, sino de un hecho radicado en la esfera del contratista. En consecuencia, cuando la terminación unilateral del numeral 1 del artículo 17 se adopte como consecuencia del fracaso del mecanismo de cesión, la entidad deberá examinar en el acto administrativo el alcance de los reconocimientos a que se refiere el numeral 1 del artículo 14, cuidando que la situación originada en la esfera del integrante inhabilitado —y, en particular, el incumplimiento de su deber legal de ceder— no se convierta en fuente de reconocimientos patrimoniales injustificados a favor del contratista, sin perjuicio de los derechos derivados de las prestaciones efectivamente ejecutadas.</w:t>
      </w:r>
    </w:p>
    <w:p w14:paraId="0A8D802F"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Una modalidad distinta es la caducidad, regulada en el artículo 18 de la Ley 80 de 1993. Esta institución tiene un marcado carácter sancionatorio y procede cuando se presenta un incumplimiento grave de las obligaciones contractuales por parte del contratista que afecte de manera directa la ejecución del contrato y evidencie que puede conducir a su paralización. La declaratoria de caducidad presupone, por tanto, la existencia de un comportamiento imputable al contratista que compromete el cumplimiento del objeto contractual y faculta a la entidad para poner fin al contrato, hacer efectivas las garantías e imponer las consecuencias previstas por la ley, incluida la inhabilidad para contratar con el Estado durante el término legal correspondiente. Se trata, entonces, de una medida de reacción frente al incumplimiento contractual y no </w:t>
      </w:r>
      <w:r w:rsidRPr="000565B4">
        <w:rPr>
          <w:rFonts w:ascii="Verdana" w:eastAsia="Verdana" w:hAnsi="Verdana" w:cs="Verdana"/>
          <w:color w:val="000000"/>
        </w:rPr>
        <w:lastRenderedPageBreak/>
        <w:t>de un mecanismo destinado a resolver circunstancias sobrevinientes que afectan la posibilidad jurídica de continuar la ejecución del contrato.</w:t>
      </w:r>
    </w:p>
    <w:p w14:paraId="717B4E22"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sz w:val="24"/>
          <w:szCs w:val="24"/>
        </w:rPr>
      </w:pPr>
      <w:r w:rsidRPr="000565B4">
        <w:rPr>
          <w:rFonts w:ascii="Verdana" w:eastAsia="Verdana" w:hAnsi="Verdana" w:cs="Verdana"/>
        </w:rPr>
        <w:t>Finalmente, la tercera modalidad corresponde a la terminación unilateral por configuración de una causal de nulidad absoluta, prevista en el inciso segundo del artículo 45 de la Ley 80 de 1993. En este evento, la Administración se encuentra facultada para dar por terminado el contrato cuando se configure alguna de las causales de nulidad absoluta previstas en el artículo 44 del mismo estatuto, entre ellas, la celebración del contrato con una persona incursa en una causal de inhabilidad o incompatibilidad. Como ya se explicó, esta figura parte de un supuesto completamente distinto al que aquí se analiza, pues supone que el vicio existía desde el momento mismo de la celebración del contrato, afectando su validez desde el origen. En consecuencia, no resulta jurídicamente procedente extender esta modalidad a los eventos de inhabilidad sobreviniente, respecto de los cuales el propio legislador estableció un régimen especial en el artículo 9 de la Ley 80 de 1993.</w:t>
      </w:r>
    </w:p>
    <w:p w14:paraId="22715DFF"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sz w:val="24"/>
          <w:szCs w:val="24"/>
        </w:rPr>
      </w:pPr>
      <w:r w:rsidRPr="000565B4">
        <w:rPr>
          <w:rFonts w:ascii="Verdana" w:eastAsia="Verdana" w:hAnsi="Verdana" w:cs="Verdana"/>
        </w:rPr>
        <w:t>Precisadas las diferencias entre estas modalidades de terminación unilateral, considera esta Agencia que el supuesto objeto de consulta encuentra adecuada respuesta en la facultad prevista en el numeral 1 del artículo 17 de la Ley 80 de 1993. En este aspecto, una vez la entidad ha garantizado el debido proceso, ha declarado la configuración de la inhabilidad sobreviniente y ha requerido al integrante afectado para que cumpla el deber legal de ceder su participación, la negativa injustificada a hacerlo o la imposibilidad objetiva de materializar la cesión hacen fracasar el mecanismo expresamente diseñado por el legislador para conservar el contrato. En esas condiciones, la Administración ya no cuenta con un instrumento que permita mantener la ejecución del contrato en armonía con el régimen de inhabilidades e incompatibilidades, por lo que la permanencia del integrante inhabilitado resulta incompatible con los principios de moralidad, transparencia y legalidad que informan la contratación estatal.</w:t>
      </w:r>
    </w:p>
    <w:p w14:paraId="722FCBFC"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rPr>
      </w:pPr>
      <w:r w:rsidRPr="000565B4">
        <w:rPr>
          <w:rFonts w:ascii="Verdana" w:eastAsia="Verdana" w:hAnsi="Verdana" w:cs="Verdana"/>
        </w:rPr>
        <w:t xml:space="preserve">En esta situación, la continuidad del contrato deja de satisfacer las exigencias del servicio público a las que alude el artículo 17 de la Ley 80 de 1993. Ello, porque la finalidad del régimen de inhabilidades sobrevinientes, como lo explicó la Corte Constitucional en la Sentencia C-221 de 1996, consiste en impedir que quien se encuentra incurso en una causal de inhabilidad continúe vinculado contractualmente con el Estado. Si el mecanismo previsto para lograr ese propósito, que es la cesión de la participación del integrante afectado, no </w:t>
      </w:r>
      <w:r w:rsidRPr="000565B4">
        <w:rPr>
          <w:rFonts w:ascii="Verdana" w:eastAsia="Verdana" w:hAnsi="Verdana" w:cs="Verdana"/>
        </w:rPr>
        <w:lastRenderedPageBreak/>
        <w:t xml:space="preserve">puede hacerse efectivo, la Administración no puede permitir indefinidamente la ejecución del contrato en condiciones contrarias al ordenamiento jurídico, pues ello supondría desconocer precisamente la finalidad perseguida por el artículo 9 de la Ley 80 de 1993. Desde esta perspectiva, la terminación unilateral prevista en el numeral 1 del artículo 17 no constituye una sanción frente al contratista ni una consecuencia derivada de la invalidez del contrato, sino una medida que permite restablecer la legalidad de la actividad contractual y garantizar que la prestación del servicio público continúe desarrollándose conforme a los principios que rigen la contratación estatal.  </w:t>
      </w:r>
    </w:p>
    <w:p w14:paraId="2EB18646"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highlight w:val="white"/>
        </w:rPr>
        <w:t>Ahora bien, el ejercicio de la facultad excepcional prevista en el numeral 1 del artículo 17 de la Ley 80 de 1993 exige una motivación rigurosa, dado que se trata de una potestad exorbitante que únicamente puede ejercerse en los estrictos eventos autorizados por el legislador. En efecto, el Consejo de Estado</w:t>
      </w:r>
      <w:r w:rsidRPr="000565B4">
        <w:rPr>
          <w:rFonts w:ascii="Verdana" w:eastAsia="Verdana" w:hAnsi="Verdana" w:cs="Verdana"/>
          <w:color w:val="000000"/>
          <w:highlight w:val="white"/>
          <w:vertAlign w:val="superscript"/>
        </w:rPr>
        <w:footnoteReference w:id="32"/>
      </w:r>
      <w:r w:rsidRPr="000565B4">
        <w:rPr>
          <w:rFonts w:ascii="Verdana" w:eastAsia="Verdana" w:hAnsi="Verdana" w:cs="Verdana"/>
          <w:color w:val="000000"/>
          <w:highlight w:val="white"/>
        </w:rPr>
        <w:t xml:space="preserve"> ha señalado </w:t>
      </w:r>
      <w:r w:rsidRPr="000565B4">
        <w:rPr>
          <w:rFonts w:ascii="Verdana" w:eastAsia="Verdana" w:hAnsi="Verdana" w:cs="Verdana"/>
          <w:color w:val="000000"/>
        </w:rPr>
        <w:t xml:space="preserve">que la facultad de terminación unilateral constituye una potestad de carácter excepcional y, por ello, no puede ejercerse con fundamento en causales distintas de las previstas por el legislador. En efecto, precisó que las consideraciones y construcciones teóricas sobre los modos normales y anormales de terminación de los contratos estatales no pueden interpretarse como una habilitación jurisprudencial para ejercer la facultad de terminación unilateral de los contratos bajo causales no previstas en la Ley y agregó que la excepcionalidad de esta potestad implica su ejercicio bajo la estricta delimitación legal, razón por la cual se impone a los operadores jurídicos una obligación de interpretar de forma restrictiva su procedencia, sin que sea admisible su ejercicio por fundarse en una causal inexistente en la Ley. </w:t>
      </w:r>
    </w:p>
    <w:p w14:paraId="6B78EB7E"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Precisamente por ello, considera esta Agencia que la situación objeto de consulta no supone la creación de una nueva causal de terminación unilateral, sino la aplicación de una de las hipótesis expresamente previstas en el numeral 1 del artículo 17 de la Ley 80 de 1993, cuyo tenor literal dispone: “La entidad en acto administrativo debidamente motivado dispondrá la terminación anticipada del contrato en los siguientes eventos: 1o. Cuando las exigencias del servicio público lo requieran o la situación de orden público lo imponga […]”. En efecto, una vez agotado el procedimiento administrativo para declarar la </w:t>
      </w:r>
      <w:r w:rsidRPr="000565B4">
        <w:rPr>
          <w:rFonts w:ascii="Verdana" w:eastAsia="Verdana" w:hAnsi="Verdana" w:cs="Verdana"/>
          <w:color w:val="000000"/>
        </w:rPr>
        <w:lastRenderedPageBreak/>
        <w:t>inhabilidad sobreviniente, garantizado el debido proceso y constatado que el integrante del consorcio o unión temporal incumplió el deber legal de ceder su participación o que la cesión resultó objetivamente imposible, la entidad se enfrenta a una situación en la que el mecanismo previsto por el artículo 9 de la Ley 80 para conservar el contrato ha fracasado. Como consecuencia de ello, la Administración ya no cuenta con un instrumento jurídico que permita remover la permanencia del integrante inhabilitado y, por tanto, la continuación del contrato resulta incompatible con las exigencias del servicio público, pues implicaría mantener vigente una relación contractual en abierta contradicción con el régimen de inhabilidades e incompatibilidades diseñado por el legislador.</w:t>
      </w:r>
    </w:p>
    <w:p w14:paraId="18EF263B"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Así las cosas, la motivación del acto administrativo no puede limitarse a afirmar la existencia de una inhabilidad sobreviniente o la negativa del contratista a ceder su participación. La entidad deberá explicar de manera suficiente por qué, en las circunstancias concretas del caso, el incumplimiento del deber legal de cesión hace imposible mantener la ejecución del contrato dentro del marco de la legalidad y por qué esa circunstancia compromete la adecuada satisfacción del interés general y las exigencias del servicio público a que se refiere el numeral 1 del artículo 17 de la Ley 80 de 1993. En torno al primer supuesto de esta causal de terminación “Cuando las exigencias del servicio público lo requieran”, la doctrina expresa: </w:t>
      </w:r>
    </w:p>
    <w:p w14:paraId="299A56D0" w14:textId="77777777" w:rsidR="000565B4" w:rsidRPr="000565B4" w:rsidRDefault="000565B4" w:rsidP="000565B4">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 xml:space="preserve">[…] expresa que procederá la terminación unilateral del contrato cuando con la ejecución del objeto pactado se afecte alguna de las necesidades propias de los administrados que deben ser satisfechas por el Estado, de forma tal que: de una parte, afecte la actividad administrativa que se quiere realizar con la celebración del negocio o, de otra, la consecuencia de aquello encargado por la Administración a su contratista, no obstante permitir la cabal prestación del servicio público propio del contrato, perjudica la actividad estatal en su conjunto. </w:t>
      </w:r>
    </w:p>
    <w:p w14:paraId="210137F1" w14:textId="77777777" w:rsidR="000565B4" w:rsidRPr="000565B4" w:rsidRDefault="000565B4" w:rsidP="000565B4">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Se trata, entonces, de una causal que atiende al estudio de la Administración en su conjunto, como un aparato engranado en el que todas las entidades que lo conforman deben actuar bajo un mismo objetivo, cuál es la satisfacción del interés general mediante la continua y eficiente prestación de los servicios públicos, evitando que las funciones y campo de acción de cada una de ellas interfieran entre sí”</w:t>
      </w:r>
      <w:r w:rsidRPr="000565B4">
        <w:rPr>
          <w:rFonts w:ascii="Verdana" w:eastAsia="Verdana" w:hAnsi="Verdana" w:cs="Verdana"/>
          <w:color w:val="000000"/>
          <w:sz w:val="20"/>
          <w:szCs w:val="20"/>
          <w:vertAlign w:val="superscript"/>
        </w:rPr>
        <w:footnoteReference w:id="33"/>
      </w:r>
      <w:r w:rsidRPr="000565B4">
        <w:rPr>
          <w:rFonts w:ascii="Verdana" w:eastAsia="Verdana" w:hAnsi="Verdana" w:cs="Verdana"/>
          <w:color w:val="000000"/>
          <w:sz w:val="20"/>
          <w:szCs w:val="20"/>
        </w:rPr>
        <w:t xml:space="preserve">. </w:t>
      </w:r>
    </w:p>
    <w:p w14:paraId="46CBCBE0"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p>
    <w:p w14:paraId="13593A7A"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lastRenderedPageBreak/>
        <w:t>Una motivación rigurosa constituye un presupuesto indispensable para el ejercicio válido de esta potestad excepcional, en tanto permite demostrar que la decisión se adopta para preservar la adecuada prestación del servicio público y no como resultado de apreciaciones arbitrarias o ajenas a la realidad fáctica. Solo a partir de una exposición clara, completa y verificable de las razones que justifican la intervención administrativa es posible asegurar que la autoridad actuó dentro de los límites de la legalidad y con sujeción al principio de proporcionalidad. Al respecto, el Consejo de Estado ha expresado que, "</w:t>
      </w:r>
      <w:r w:rsidRPr="000565B4">
        <w:rPr>
          <w:rFonts w:ascii="Verdana" w:eastAsia="Verdana" w:hAnsi="Verdana" w:cs="Verdana"/>
          <w:i/>
          <w:iCs/>
          <w:color w:val="000000"/>
        </w:rPr>
        <w:t>si los fundamentos de hecho y de derecho que aduce la entidad para su declaratoria no se acompasan con aquellos que dan lugar a la aplicación de esta figura, el acto demandado estará viciado y habrá lugar a declarar su nulidad</w:t>
      </w:r>
      <w:r w:rsidRPr="000565B4">
        <w:rPr>
          <w:rFonts w:ascii="Verdana" w:eastAsia="Verdana" w:hAnsi="Verdana" w:cs="Verdana"/>
          <w:color w:val="000000"/>
        </w:rPr>
        <w:t>"</w:t>
      </w:r>
      <w:r w:rsidRPr="000565B4">
        <w:rPr>
          <w:rFonts w:ascii="Verdana" w:eastAsia="Verdana" w:hAnsi="Verdana" w:cs="Verdana"/>
          <w:color w:val="000000"/>
          <w:vertAlign w:val="superscript"/>
        </w:rPr>
        <w:footnoteReference w:id="34"/>
      </w:r>
      <w:r w:rsidRPr="000565B4">
        <w:rPr>
          <w:rFonts w:ascii="Verdana" w:eastAsia="Verdana" w:hAnsi="Verdana" w:cs="Verdana"/>
          <w:color w:val="000000"/>
        </w:rPr>
        <w:t xml:space="preserve">. </w:t>
      </w:r>
    </w:p>
    <w:p w14:paraId="61251596"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highlight w:val="yellow"/>
        </w:rPr>
      </w:pPr>
      <w:r w:rsidRPr="000565B4">
        <w:rPr>
          <w:rFonts w:ascii="Verdana" w:eastAsia="Verdana" w:hAnsi="Verdana" w:cs="Verdana"/>
          <w:color w:val="000000"/>
        </w:rPr>
        <w:t>Lo anterior se explica porque la motivación no es un requisito meramente formal del acto de terminación unilateral o de caducidad, sino la garantía que permite controlar que la potestad excepcional se ejerció dentro de la causal legal invocada. Sobre el particular, la jurisprudencia contencioso administrativa ha reiterado que el vicio de falsa motivación se configura cuando se demuestra una de dos circunstancias: que los hechos que la Administración tuvo en cuenta como motivos determinantes de la decisión no estuvieron debidamente probados dentro de la actuación administrativa, o que la Administración omitió tener en cuenta hechos que sí estaban demostrados y que, de haberse considerado, habrían conducido a una decisión sustancialmente distinta</w:t>
      </w:r>
      <w:r w:rsidRPr="000565B4">
        <w:rPr>
          <w:rFonts w:ascii="Verdana" w:eastAsia="Verdana" w:hAnsi="Verdana" w:cs="Verdana"/>
          <w:color w:val="000000"/>
          <w:vertAlign w:val="superscript"/>
        </w:rPr>
        <w:footnoteReference w:id="35"/>
      </w:r>
      <w:r w:rsidRPr="000565B4">
        <w:rPr>
          <w:rFonts w:ascii="Verdana" w:eastAsia="Verdana" w:hAnsi="Verdana" w:cs="Verdana"/>
          <w:color w:val="000000"/>
        </w:rPr>
        <w:t xml:space="preserve">. Trasladada esta regla al supuesto analizado, el acto que disponga la terminación unilateral con fundamento en el numeral 1 del artículo 17 de la Ley 80 de 1993 deberá acreditar, con soporte probatorio verificable, los tres extremos que estructuran la causal en este escenario: i) la declaratoria previa de la inhabilidad sobreviniente, adoptada con observancia del debido proceso; </w:t>
      </w:r>
      <w:proofErr w:type="spellStart"/>
      <w:r w:rsidRPr="000565B4">
        <w:rPr>
          <w:rFonts w:ascii="Verdana" w:eastAsia="Verdana" w:hAnsi="Verdana" w:cs="Verdana"/>
          <w:color w:val="000000"/>
        </w:rPr>
        <w:t>ii</w:t>
      </w:r>
      <w:proofErr w:type="spellEnd"/>
      <w:r w:rsidRPr="000565B4">
        <w:rPr>
          <w:rFonts w:ascii="Verdana" w:eastAsia="Verdana" w:hAnsi="Verdana" w:cs="Verdana"/>
          <w:color w:val="000000"/>
        </w:rPr>
        <w:t xml:space="preserve">) el agotamiento infructuoso del mecanismo de cesión previsto en el inciso tercero del artículo 9, mediante el requerimiento al integrante afectado y la constatación de su renuencia o de la imposibilidad objetiva de materializar la cesión; y </w:t>
      </w:r>
      <w:proofErr w:type="spellStart"/>
      <w:r w:rsidRPr="000565B4">
        <w:rPr>
          <w:rFonts w:ascii="Verdana" w:eastAsia="Verdana" w:hAnsi="Verdana" w:cs="Verdana"/>
          <w:color w:val="000000"/>
        </w:rPr>
        <w:t>iii</w:t>
      </w:r>
      <w:proofErr w:type="spellEnd"/>
      <w:r w:rsidRPr="000565B4">
        <w:rPr>
          <w:rFonts w:ascii="Verdana" w:eastAsia="Verdana" w:hAnsi="Verdana" w:cs="Verdana"/>
          <w:color w:val="000000"/>
        </w:rPr>
        <w:t xml:space="preserve">) la afectación real y actual que la permanencia del integrante inhabilitado produce sobre las exigencias del servicio público. La ausencia de cualquiera de estos </w:t>
      </w:r>
      <w:r w:rsidRPr="000565B4">
        <w:rPr>
          <w:rFonts w:ascii="Verdana" w:eastAsia="Verdana" w:hAnsi="Verdana" w:cs="Verdana"/>
          <w:color w:val="000000"/>
        </w:rPr>
        <w:lastRenderedPageBreak/>
        <w:t>elementos, o su afirmación sin respaldo probatorio, priva al acto de correspondencia con la causal invocada y lo expone a la declaratoria de nulidad.</w:t>
      </w:r>
    </w:p>
    <w:p w14:paraId="66BA0F54"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Idéntica exigencia opera, con mayor rigor, respecto de la caducidad, dado su carácter sancionatorio. El Consejo de Estado ha precisado que esta potestad solo procede ante un incumplimiento de las obligaciones a cargo del contratista que afecte de manera grave y directa la ejecución del contrato y evidencie que puede conducir a su paralización, presupuestos que deben encontrarse plenamente acreditados al momento de la declaratoria y dentro del plazo de ejecución del contrato</w:t>
      </w:r>
      <w:r w:rsidRPr="000565B4">
        <w:rPr>
          <w:rFonts w:ascii="Verdana" w:eastAsia="Verdana" w:hAnsi="Verdana" w:cs="Verdana"/>
          <w:color w:val="000000"/>
          <w:vertAlign w:val="superscript"/>
        </w:rPr>
        <w:footnoteReference w:id="36"/>
      </w:r>
      <w:r w:rsidRPr="000565B4">
        <w:rPr>
          <w:rFonts w:ascii="Verdana" w:eastAsia="Verdana" w:hAnsi="Verdana" w:cs="Verdana"/>
          <w:color w:val="000000"/>
        </w:rPr>
        <w:t>. Por ello, el acto que declare la caducidad invocando como único fundamento la configuración de la inhabilidad sobreviniente —que, como se explicó, no constituye por sí misma un incumplimiento contractual— incurriría en falsa motivación, pues los hechos invocados no corresponderían a la causal aplicada. Distinto es el evento en que la entidad acredite que la renuencia persistente del integrante a cumplir el deber legal de cesión, valorada en las circunstancias concretas del contrato, configura un incumplimiento grave con aptitud de paralizar la ejecución: en tal caso, la motivación deberá construirse sobre ese incumplimiento y su incidencia en el contrato, y no sobre la inhabilidad como tal. Esta exigencia de correspondencia entre causal y motivación es, en últimas, expresión del principio de legalidad que gobierna las potestades excepcionales: como lo ha sostenido la Sección Tercera, la Administración no puede ejercer prerrogativas de poder público sin consagración legal expresa, ni por fuera de los supuestos estrictamente delimitados por el legislador</w:t>
      </w:r>
      <w:r w:rsidRPr="000565B4">
        <w:rPr>
          <w:rFonts w:ascii="Verdana" w:eastAsia="Verdana" w:hAnsi="Verdana" w:cs="Verdana"/>
          <w:color w:val="000000"/>
          <w:vertAlign w:val="superscript"/>
        </w:rPr>
        <w:footnoteReference w:id="37"/>
      </w:r>
      <w:r w:rsidRPr="000565B4">
        <w:rPr>
          <w:rFonts w:ascii="Verdana" w:eastAsia="Verdana" w:hAnsi="Verdana" w:cs="Verdana"/>
          <w:color w:val="000000"/>
        </w:rPr>
        <w:t>, de modo que la motivación rigurosa del acto es simultáneamente la condición de su validez y la principal salvaguarda de la entidad frente al riesgo de anulación y de condena patrimonial en sede judicial.</w:t>
      </w:r>
    </w:p>
    <w:p w14:paraId="0AEB02AE"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rPr>
      </w:pPr>
      <w:r w:rsidRPr="000565B4">
        <w:rPr>
          <w:rFonts w:ascii="Verdana" w:eastAsia="Verdana" w:hAnsi="Verdana" w:cs="Verdana"/>
        </w:rPr>
        <w:lastRenderedPageBreak/>
        <w:t xml:space="preserve">En esa medida, la sola configuración del supuesto o previsto en el numeral 1 del artículo 17 no habilita automáticamente a la Administración para declarar la terminación unilateral del contrato, pues el ejercicio de esta potestad exige que la entidad exponga de manera suficiente y verificable por qué, en las circunstancias concretas del caso, se satisfacen los presupuestos previstos en el numeral 1 del artículo 17 de la Ley 80 de 1993. Ello implica demostrar que la inhabilidad sobreviniente afecta de manera real y significativa la prestación del servicio público, y que la decisión adoptada es necesaria y proporcional frente a dicha afectación. </w:t>
      </w:r>
    </w:p>
    <w:p w14:paraId="74D275AB"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tab/>
        <w:t xml:space="preserve">En todo caso, la entidad está obligada a examinar alternativas o mecanismos que permitan gestionar o superar la situación derivada de la inhabilidad sobreviniente, de manera que la terminación unilateral solo se adopte cuando resulte estrictamente necesaria para proteger el interés público y garantizar la continuidad del servicio. En todo caso, cuando ello sea viable y compatible con los fines de la contratación estatal, la entidad puede explorar la posibilidad de llegar a un acuerdo con el contratista para la terminación del contrato, privilegiando soluciones concertadas que reduzcan los impactos negativos sobre la gestión de la Administración Pública. </w:t>
      </w:r>
    </w:p>
    <w:p w14:paraId="48F9249F"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tab/>
        <w:t>Por último, cuando la entidad no disponga de la potestad de terminación unilateral —por no haberse pactado ni entenderse pactada la cláusula excepcional conforme al artículo 14 de la Ley 80 de 1993— o cuando considere que los presupuestos del numeral 1 del artículo 17 no se satisfacen en el caso concreto, el ordenamiento contempla la posibilidad de acudir al juez del contrato mediante el medio de control de controversias contractuales previsto en el artículo 141 de la Ley 1437 de 2011. Por esta vía, la entidad puede solicitar que se declare la terminación del vínculo contractual y se definan las restituciones, reconocimientos y demás consecuencias a que haya lugar, con la garantía de un pronunciamiento judicial que resuelva de manera definitiva la situación de bloqueo derivada del incumplimiento del deber legal de cesión. Esta alternativa confirma, además, que la imposibilidad de materializar la cesión no deja a la administración desprovista de mecanismos: el sistema jurídico ofrece una gradación de instrumentos —requerimiento de cumplimiento, solución concertada, potestades excepcionales cuando resulten procedentes y, residualmente, la intervención del juez del contrato— que permiten restablecer la legalidad de la actividad contractual sin sacrificar las garantías del contratista.</w:t>
      </w:r>
    </w:p>
    <w:p w14:paraId="18FEB936"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lastRenderedPageBreak/>
        <w:tab/>
        <w:t>Finalmente, la conclusión expuesta constituye una precisión del alcance de la doctrina de esta Subdirección contenida en el Concepto C-059 del 13 de junio de 2023, conforme a la cual, ante la inhabilidad sobreviniente de un integrante de consorcio o unión temporal, el ordenamiento prevé como único mecanismo para la continuidad del contrato la cesión de la participación a un tercero, previa autorización escrita de la entidad. Esa conclusión se mantiene íntegramente en lo que constituye su núcleo: la cesión es el único instrumento diseñado por el legislador para conservar el vínculo contractual. El presente concepto la complementa respecto de un supuesto que aquel pronunciamiento no resolvió expresamente: el del fracaso del mecanismo de cesión por la renuencia del integrante o por la imposibilidad objetiva de materializarla. Frente a ese escenario, se precisa que la entidad no está obligada a mantener indefinidamente la ejecución del contrato en condiciones contrarias al régimen de inhabilidades e incompatibilidades, sino que podrá valorar la procedencia de la terminación unilateral prevista en el numeral 1 del artículo 17 de la Ley 80 de 1993, en los términos y con los condicionamientos expuestos en este concepto. Esta precisión garantiza la coherencia de la doctrina de la Subdirección registrada en el Sistema de Relatoría.</w:t>
      </w:r>
    </w:p>
    <w:p w14:paraId="7F141119" w14:textId="77777777" w:rsidR="000565B4" w:rsidRPr="000565B4" w:rsidRDefault="000565B4" w:rsidP="000565B4">
      <w:pPr>
        <w:spacing w:after="0" w:line="276" w:lineRule="auto"/>
        <w:jc w:val="both"/>
        <w:rPr>
          <w:rFonts w:ascii="Verdana" w:eastAsia="Verdana" w:hAnsi="Verdana" w:cs="Verdana"/>
        </w:rPr>
      </w:pPr>
    </w:p>
    <w:p w14:paraId="3FE0ED09" w14:textId="77777777" w:rsidR="000565B4" w:rsidRPr="000565B4" w:rsidRDefault="000565B4" w:rsidP="000565B4">
      <w:pPr>
        <w:spacing w:after="120" w:line="276" w:lineRule="auto"/>
        <w:jc w:val="both"/>
        <w:rPr>
          <w:rFonts w:ascii="Verdana" w:eastAsia="Verdana" w:hAnsi="Verdana" w:cs="Verdana"/>
        </w:rPr>
      </w:pPr>
      <w:proofErr w:type="spellStart"/>
      <w:r w:rsidRPr="000565B4">
        <w:rPr>
          <w:rFonts w:ascii="Verdana" w:eastAsia="Verdana" w:hAnsi="Verdana" w:cs="Verdana"/>
        </w:rPr>
        <w:t>vii</w:t>
      </w:r>
      <w:proofErr w:type="spellEnd"/>
      <w:r w:rsidRPr="000565B4">
        <w:rPr>
          <w:rFonts w:ascii="Verdana" w:eastAsia="Verdana" w:hAnsi="Verdana" w:cs="Verdana"/>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32F23CF9" w14:textId="77777777" w:rsidR="000565B4" w:rsidRPr="000565B4" w:rsidRDefault="000565B4" w:rsidP="000565B4">
      <w:pPr>
        <w:spacing w:after="0" w:line="276" w:lineRule="auto"/>
        <w:ind w:firstLine="708"/>
        <w:jc w:val="both"/>
        <w:rPr>
          <w:rFonts w:ascii="Verdana" w:eastAsia="Verdana" w:hAnsi="Verdana" w:cs="Verdana"/>
        </w:rPr>
      </w:pPr>
      <w:r w:rsidRPr="000565B4">
        <w:rPr>
          <w:rFonts w:ascii="Verdana" w:eastAsia="Verdana" w:hAnsi="Verdana" w:cs="Verdana"/>
        </w:rPr>
        <w:t xml:space="preserve">Dentro de este marco, el consultante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w:t>
      </w:r>
      <w:r w:rsidRPr="000565B4">
        <w:rPr>
          <w:rFonts w:ascii="Verdana" w:eastAsia="Verdana" w:hAnsi="Verdana" w:cs="Verdana"/>
        </w:rPr>
        <w:lastRenderedPageBreak/>
        <w:t xml:space="preserve">contractual, sin que sea atribución de Colombia Compra Eficiente validar sus actuaciones. </w:t>
      </w:r>
    </w:p>
    <w:p w14:paraId="1219F9F8" w14:textId="77777777" w:rsidR="000565B4" w:rsidRPr="000565B4" w:rsidRDefault="000565B4" w:rsidP="000565B4">
      <w:pPr>
        <w:spacing w:after="0" w:line="276" w:lineRule="auto"/>
        <w:jc w:val="both"/>
        <w:rPr>
          <w:rFonts w:ascii="Verdana" w:eastAsia="Verdana" w:hAnsi="Verdana" w:cs="Verdana"/>
        </w:rPr>
      </w:pPr>
    </w:p>
    <w:p w14:paraId="09976CF3"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IV. Referencias normativas:</w:t>
      </w:r>
    </w:p>
    <w:p w14:paraId="113B4F31" w14:textId="77777777" w:rsidR="000565B4" w:rsidRPr="000565B4" w:rsidRDefault="000565B4" w:rsidP="000565B4">
      <w:pPr>
        <w:widowControl w:val="0"/>
        <w:spacing w:after="0" w:line="276" w:lineRule="auto"/>
        <w:jc w:val="both"/>
        <w:rPr>
          <w:rFonts w:ascii="Verdana" w:eastAsia="Verdana" w:hAnsi="Verdana" w:cs="Verdana"/>
        </w:rPr>
      </w:pPr>
    </w:p>
    <w:tbl>
      <w:tblPr>
        <w:tblW w:w="8647"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647"/>
      </w:tblGrid>
      <w:tr w:rsidR="000565B4" w:rsidRPr="000565B4" w14:paraId="00077D50" w14:textId="77777777" w:rsidTr="00486E91">
        <w:trPr>
          <w:trHeight w:val="487"/>
          <w:jc w:val="center"/>
        </w:trPr>
        <w:tc>
          <w:tcPr>
            <w:tcW w:w="8647" w:type="dxa"/>
          </w:tcPr>
          <w:p w14:paraId="2B59C506"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Constitución Política, artículos 6, 29, 83, 209 y 333.</w:t>
            </w:r>
          </w:p>
          <w:p w14:paraId="2DE82FD4"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Ley 80 de 1993, artículos 7, 8, 9, 13, 14, 17, 18, 23, 26, 28, 41, 44 y 45.</w:t>
            </w:r>
          </w:p>
          <w:p w14:paraId="3F7F97C8"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Ley 1150 de 2007, artículos 6 y 9.</w:t>
            </w:r>
          </w:p>
          <w:p w14:paraId="1CEE9D3D"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Ley 1437 de 2011, artículos 34, 35, 138, 141.</w:t>
            </w:r>
          </w:p>
          <w:p w14:paraId="0912EEE0"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 xml:space="preserve">Ley 2014 de 2019, artículo 6.  </w:t>
            </w:r>
          </w:p>
          <w:p w14:paraId="3662C651"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Código Civil, artículos 16, 73, 74, 633, 1501, 1502, 1503, 1504, 1519, 1523, 1741 y 1959 a 1966.</w:t>
            </w:r>
          </w:p>
          <w:p w14:paraId="065EDB16"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Código de Comercio, artículos 99 y 887 a 896.</w:t>
            </w:r>
          </w:p>
        </w:tc>
      </w:tr>
    </w:tbl>
    <w:p w14:paraId="3A5F20E2" w14:textId="77777777" w:rsidR="000565B4" w:rsidRPr="000565B4" w:rsidRDefault="000565B4" w:rsidP="000565B4">
      <w:pPr>
        <w:spacing w:after="0" w:line="240" w:lineRule="auto"/>
        <w:rPr>
          <w:rFonts w:ascii="Verdana" w:eastAsia="Verdana" w:hAnsi="Verdana" w:cs="Verdana"/>
          <w:b/>
          <w:bCs/>
        </w:rPr>
      </w:pPr>
    </w:p>
    <w:p w14:paraId="6E7D4821" w14:textId="77777777" w:rsidR="000565B4" w:rsidRPr="000565B4" w:rsidRDefault="000565B4" w:rsidP="000565B4">
      <w:pPr>
        <w:spacing w:after="0" w:line="240" w:lineRule="auto"/>
        <w:rPr>
          <w:rFonts w:ascii="Verdana" w:eastAsia="Verdana" w:hAnsi="Verdana" w:cs="Verdana"/>
          <w:b/>
          <w:bCs/>
        </w:rPr>
      </w:pPr>
      <w:r w:rsidRPr="000565B4">
        <w:rPr>
          <w:rFonts w:ascii="Verdana" w:eastAsia="Verdana" w:hAnsi="Verdana" w:cs="Verdana"/>
          <w:b/>
          <w:bCs/>
        </w:rPr>
        <w:t>V. Doctrina de la Agencia Nacional de Contratación Pública:</w:t>
      </w:r>
    </w:p>
    <w:p w14:paraId="57451325" w14:textId="77777777" w:rsidR="000565B4" w:rsidRPr="000565B4" w:rsidRDefault="000565B4" w:rsidP="000565B4">
      <w:pPr>
        <w:spacing w:after="0" w:line="240" w:lineRule="auto"/>
        <w:rPr>
          <w:rFonts w:ascii="Verdana" w:eastAsia="Verdana" w:hAnsi="Verdana" w:cs="Verdana"/>
        </w:rPr>
      </w:pPr>
    </w:p>
    <w:p w14:paraId="0FFC67B5" w14:textId="77777777" w:rsidR="000565B4" w:rsidRPr="000565B4" w:rsidRDefault="000565B4" w:rsidP="000565B4">
      <w:pPr>
        <w:widowControl w:val="0"/>
        <w:spacing w:after="0" w:line="276" w:lineRule="auto"/>
        <w:jc w:val="both"/>
        <w:rPr>
          <w:rFonts w:ascii="Verdana" w:eastAsia="Verdana" w:hAnsi="Verdana" w:cs="Verdana"/>
          <w:highlight w:val="white"/>
        </w:rPr>
      </w:pPr>
      <w:r w:rsidRPr="000565B4">
        <w:rPr>
          <w:rFonts w:ascii="Verdana" w:eastAsia="Verdana" w:hAnsi="Verdana" w:cs="Verdana"/>
        </w:rPr>
        <w:t xml:space="preserve">Esta Subdirección se ha pronunciado sobre las inhabilidades e incompatibilidades en algunos conceptos, tales como: </w:t>
      </w:r>
      <w:sdt>
        <w:sdtPr>
          <w:rPr>
            <w:rFonts w:ascii="Verdana" w:eastAsia="Verdana" w:hAnsi="Verdana" w:cs="Verdana"/>
          </w:rPr>
          <w:tag w:val="goog_rdk_3"/>
          <w:id w:val="-1310473169"/>
        </w:sdtPr>
        <w:sdtContent>
          <w:r w:rsidRPr="000565B4">
            <w:rPr>
              <w:rFonts w:ascii="Verdana" w:eastAsia="Verdana" w:hAnsi="Verdana" w:cs="Verdana"/>
            </w:rPr>
            <w:t xml:space="preserve">radicados No.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C-293 del 28 de agosto de 2021, C-449 del 31 de agosto de 2021, C-028 del 28 de febrero de </w:t>
          </w:r>
          <w:r w:rsidRPr="000565B4">
            <w:rPr>
              <w:rFonts w:ascii="Verdana" w:eastAsia="Verdana" w:hAnsi="Verdana" w:cs="Verdana"/>
            </w:rPr>
            <w:lastRenderedPageBreak/>
            <w:t xml:space="preserve">2022, C-318 del 18 de mayo de 2022, C-252 del 30 de mayo de 2022, C-619 del 27 de septiembre de 2022, C-731 de 10 de noviembre de 2022, C-059 de 13 de junio de 2023, C-352 del 22 de diciembre de 2023, C-010 del 31 de enero de 2024, C-023 del 26 de febrero de 2024, C-035 del 24 de abril de 2024, C-039 del 23 de abril de 2024, C-041 del 29 de mayo de 2024, C-067 del 16 de mayo de 2024, C-078 del 4 de junio de 2024, C-289 del 15 de agosto de 2023, C-172 de 25 de julio de 2024, C-271 del 22 de julio de 2024, C-904 del 9 de diciembre de 2024, C-170 del 19 de marzo de 2025, C-392 del 8 de mayo de 2025, C-632 del 2 de julio de 2025, C-710 del 15 de julio de 2025, C-731 del 21 de agosto de 2025, C-1058 del 5 de septiembre de 2025, C-1233 del 10 de octubre de 2025, C-1388 del 30 de octubre de 2025, C-1390 del 4 de noviembre de 2025, C-552 del 19 de mayo de 2026, entre otros. Sobre la cesión del contrato estatal se pronunció esta Subdirección en los  conceptos 4201913000007643 y 4201913000007669 del 26 de diciembre de 2019, así como en los Conceptos C-551 del 24 de septiembre de 2020, C-572 del 27 de agosto de 2020, C-582 del 28 de agosto de 2020, C-385 del 20 de agosto de 2021, C-069 del 24 de abril de 2023 y C –157 de 2024, C-172 del 6 de junio de 2023, C-032 del 16 de abril de 2024, C-100 del 12 de junio de 2024, C-325 del 06 de agosto de 2024, C-366 del 29 de agosto de 2024 y C-473 del 29 de septiembre de 2024, C-214 del 26 de marzo de 2025,C-314 del 29 de abril de 2025, entre otros. </w:t>
          </w:r>
        </w:sdtContent>
      </w:sdt>
      <w:r w:rsidRPr="000565B4">
        <w:rPr>
          <w:rFonts w:ascii="Verdana" w:eastAsia="Verdana" w:hAnsi="Verdana" w:cs="Verdana"/>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4">
        <w:r w:rsidRPr="000565B4">
          <w:rPr>
            <w:rFonts w:ascii="Verdana" w:eastAsia="Verdana" w:hAnsi="Verdana" w:cs="Verdana"/>
            <w:color w:val="0000FF"/>
            <w:u w:val="single"/>
          </w:rPr>
          <w:t>https://relatoria.colombiacompra.gov.co/busqueda/conceptos</w:t>
        </w:r>
      </w:hyperlink>
      <w:r w:rsidRPr="000565B4">
        <w:rPr>
          <w:rFonts w:ascii="Verdana" w:eastAsia="Verdana" w:hAnsi="Verdana" w:cs="Verdana"/>
        </w:rPr>
        <w:t xml:space="preserve">. </w:t>
      </w:r>
    </w:p>
    <w:p w14:paraId="6123487E" w14:textId="77777777" w:rsidR="000565B4" w:rsidRPr="000565B4" w:rsidRDefault="000565B4" w:rsidP="000565B4">
      <w:pPr>
        <w:widowControl w:val="0"/>
        <w:spacing w:after="0" w:line="276" w:lineRule="auto"/>
        <w:jc w:val="both"/>
        <w:rPr>
          <w:rFonts w:ascii="Verdana" w:eastAsia="Verdana" w:hAnsi="Verdana" w:cs="Verdana"/>
          <w:color w:val="000000"/>
          <w:highlight w:val="white"/>
        </w:rPr>
      </w:pPr>
    </w:p>
    <w:p w14:paraId="21A0FD64"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 xml:space="preserve">La sostenibilidad no es una opción, es una obligación. Por ello, la Agencia Nacional de Contratación Pública –Colombia Compra Eficiente– te invita a realizar el </w:t>
      </w:r>
      <w:r w:rsidRPr="000565B4">
        <w:rPr>
          <w:rFonts w:ascii="Verdana" w:eastAsia="Verdana" w:hAnsi="Verdana" w:cs="Verdana"/>
          <w:b/>
          <w:bCs/>
        </w:rPr>
        <w:t>Curso de Contratación Pública Sostenible y Socialmente Responsable</w:t>
      </w:r>
      <w:r w:rsidRPr="000565B4">
        <w:rPr>
          <w:rFonts w:ascii="Verdana" w:eastAsia="Verdana" w:hAnsi="Verdana" w:cs="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0565B4">
        <w:rPr>
          <w:rFonts w:ascii="Verdana" w:eastAsia="Verdana" w:hAnsi="Verdana" w:cs="Verdana"/>
        </w:rPr>
        <w:br/>
      </w:r>
      <w:hyperlink r:id="rId15">
        <w:r w:rsidRPr="000565B4">
          <w:rPr>
            <w:rFonts w:ascii="Verdana" w:eastAsia="Verdana" w:hAnsi="Verdana" w:cs="Verdana"/>
            <w:color w:val="0000FF"/>
            <w:u w:val="single"/>
          </w:rPr>
          <w:t>https://formacionvirtual.colombiacompra.gov.co/mod/page/view.php?id=3718</w:t>
        </w:r>
      </w:hyperlink>
    </w:p>
    <w:p w14:paraId="3825A338" w14:textId="77777777" w:rsidR="000565B4" w:rsidRPr="000565B4" w:rsidRDefault="000565B4" w:rsidP="000565B4">
      <w:pPr>
        <w:spacing w:after="0" w:line="256" w:lineRule="auto"/>
        <w:jc w:val="both"/>
        <w:rPr>
          <w:rFonts w:ascii="Verdana" w:eastAsia="Verdana" w:hAnsi="Verdana" w:cs="Verdana"/>
        </w:rPr>
      </w:pPr>
    </w:p>
    <w:p w14:paraId="16F37689"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lastRenderedPageBreak/>
        <w:t xml:space="preserve">De otro lado, te contamos que esta Agencia ha da un paso decisivo en la estandarización y modernización del </w:t>
      </w:r>
      <w:r w:rsidRPr="000565B4">
        <w:rPr>
          <w:rFonts w:ascii="Verdana" w:eastAsia="Verdana" w:hAnsi="Verdana" w:cs="Verdana"/>
          <w:b/>
          <w:bCs/>
        </w:rPr>
        <w:t>sector  social</w:t>
      </w:r>
      <w:r w:rsidRPr="000565B4">
        <w:rPr>
          <w:rFonts w:ascii="Verdana" w:eastAsia="Verdana" w:hAnsi="Verdana" w:cs="Verdana"/>
        </w:rPr>
        <w:t xml:space="preserve"> con la expedición de las </w:t>
      </w:r>
      <w:r w:rsidRPr="000565B4">
        <w:rPr>
          <w:rFonts w:ascii="Verdana" w:eastAsia="Verdana" w:hAnsi="Verdana" w:cs="Verdana"/>
          <w:b/>
          <w:bCs/>
        </w:rPr>
        <w:t>Resoluciones 539, 540, 541, 952 y 953 de 2025</w:t>
      </w:r>
      <w:r w:rsidRPr="000565B4">
        <w:rPr>
          <w:rFonts w:ascii="Verdana" w:eastAsia="Verdana" w:hAnsi="Verdana" w:cs="Verdana"/>
        </w:rPr>
        <w:t xml:space="preserve">, </w:t>
      </w:r>
      <w:r w:rsidRPr="000565B4">
        <w:rPr>
          <w:rFonts w:ascii="Verdana" w:eastAsia="Verdana" w:hAnsi="Verdana" w:cs="Verdana"/>
          <w:b/>
          <w:bCs/>
        </w:rPr>
        <w:t>mediante las cuales adoptó Documentos Tipo</w:t>
      </w:r>
      <w:r w:rsidRPr="000565B4">
        <w:rPr>
          <w:rFonts w:ascii="Verdana" w:eastAsia="Verdana" w:hAnsi="Verdana" w:cs="Verdana"/>
        </w:rPr>
        <w:t xml:space="preserve"> para las modalidades de selección de</w:t>
      </w:r>
      <w:r w:rsidRPr="000565B4">
        <w:rPr>
          <w:rFonts w:ascii="Verdana" w:eastAsia="Verdana" w:hAnsi="Verdana" w:cs="Verdana"/>
          <w:b/>
          <w:bCs/>
        </w:rPr>
        <w:t xml:space="preserve"> licitación pública (versión 2), selección abreviada de menor cuantía, mínima cuantía, consultoría e interventoría</w:t>
      </w:r>
      <w:r w:rsidRPr="000565B4">
        <w:rPr>
          <w:rFonts w:ascii="Verdana" w:eastAsia="Verdana" w:hAnsi="Verdana" w:cs="Verdana"/>
        </w:rPr>
        <w:t xml:space="preserve">, promoviendo procesos más transparentes, eficientes  competitivos y sostenibles en sectores estratégicos como educación, salud, cultura, recreación, deporte, institucional y vivienda. Consulta y descarga los documentos aquí: </w:t>
      </w:r>
      <w:hyperlink r:id="rId16">
        <w:r w:rsidRPr="000565B4">
          <w:rPr>
            <w:rFonts w:ascii="Verdana" w:eastAsia="Verdana" w:hAnsi="Verdana" w:cs="Verdana"/>
            <w:color w:val="0000FF"/>
            <w:u w:val="single"/>
          </w:rPr>
          <w:t>https://www.colombiacompra.gov.co/normativa-y-relatoria/documentos-tipo</w:t>
        </w:r>
      </w:hyperlink>
    </w:p>
    <w:p w14:paraId="15171B6C" w14:textId="77777777" w:rsidR="000565B4" w:rsidRPr="000565B4" w:rsidRDefault="000565B4" w:rsidP="000565B4">
      <w:pPr>
        <w:spacing w:after="0" w:line="256" w:lineRule="auto"/>
        <w:jc w:val="both"/>
        <w:rPr>
          <w:rFonts w:ascii="Verdana" w:eastAsia="Verdana" w:hAnsi="Verdana" w:cs="Verdana"/>
        </w:rPr>
      </w:pPr>
    </w:p>
    <w:p w14:paraId="3283B3CF"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 xml:space="preserve">Si quieres conocer más sobre la aplicación de Documentos Tipo puedes consultar la última versión de la </w:t>
      </w:r>
      <w:r w:rsidRPr="000565B4">
        <w:rPr>
          <w:rFonts w:ascii="Verdana" w:eastAsia="Verdana" w:hAnsi="Verdana" w:cs="Verdana"/>
          <w:b/>
          <w:bCs/>
        </w:rPr>
        <w:t>Guía para la comprensión e implementación de los Documentos Tipo de obra pública de infraestructura de transporte</w:t>
      </w:r>
      <w:r w:rsidRPr="000565B4">
        <w:rPr>
          <w:rFonts w:ascii="Verdana" w:eastAsia="Verdana" w:hAnsi="Verdana" w:cs="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0565B4">
        <w:rPr>
          <w:rFonts w:ascii="Verdana" w:eastAsia="Verdana" w:hAnsi="Verdana" w:cs="Verdana"/>
        </w:rPr>
        <w:br/>
      </w:r>
      <w:hyperlink r:id="rId17">
        <w:r w:rsidRPr="000565B4">
          <w:rPr>
            <w:rFonts w:ascii="Verdana" w:eastAsia="Verdana" w:hAnsi="Verdana" w:cs="Verdana"/>
            <w:color w:val="0000FF"/>
            <w:u w:val="single"/>
          </w:rPr>
          <w:t>https://www.colombiacompra.gov.co/archivos/manual/guia-para-la-comprension-e-implementacion-de-los-documentos-tipo-de-obra-publica-de-infraestructura-de-transporte-bajo-las-diferentes-modalidades-de-contratacion-vigentes</w:t>
        </w:r>
      </w:hyperlink>
    </w:p>
    <w:p w14:paraId="0195E12C" w14:textId="77777777" w:rsidR="000565B4" w:rsidRPr="000565B4" w:rsidRDefault="000565B4" w:rsidP="000565B4">
      <w:pPr>
        <w:shd w:val="clear" w:color="auto" w:fill="FFFFFF"/>
        <w:spacing w:after="0" w:line="276" w:lineRule="auto"/>
        <w:jc w:val="both"/>
        <w:rPr>
          <w:rFonts w:ascii="Verdana" w:eastAsia="Verdana" w:hAnsi="Verdana" w:cs="Verdana"/>
          <w:color w:val="000000"/>
          <w:u w:val="single"/>
        </w:rPr>
      </w:pPr>
    </w:p>
    <w:p w14:paraId="6DEC07B5" w14:textId="77777777" w:rsidR="000565B4" w:rsidRPr="000565B4" w:rsidRDefault="000565B4" w:rsidP="000565B4">
      <w:pPr>
        <w:spacing w:after="0"/>
        <w:jc w:val="both"/>
        <w:rPr>
          <w:rFonts w:ascii="Verdana" w:eastAsia="Verdana" w:hAnsi="Verdana" w:cs="Verdana"/>
        </w:rPr>
      </w:pPr>
      <w:r w:rsidRPr="000565B4">
        <w:rPr>
          <w:rFonts w:ascii="Verdana" w:eastAsia="Verdana" w:hAnsi="Verdana" w:cs="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12F0A9D6" w14:textId="77777777" w:rsidR="000565B4" w:rsidRPr="000565B4" w:rsidRDefault="000565B4" w:rsidP="000565B4">
      <w:pPr>
        <w:spacing w:after="0"/>
        <w:jc w:val="both"/>
        <w:rPr>
          <w:rFonts w:ascii="Verdana" w:eastAsia="Verdana" w:hAnsi="Verdana" w:cs="Verdana"/>
        </w:rPr>
      </w:pPr>
    </w:p>
    <w:p w14:paraId="35B03828" w14:textId="77777777" w:rsidR="000565B4" w:rsidRPr="000565B4" w:rsidRDefault="000565B4" w:rsidP="000565B4">
      <w:pPr>
        <w:numPr>
          <w:ilvl w:val="0"/>
          <w:numId w:val="2"/>
        </w:numPr>
        <w:pBdr>
          <w:top w:val="nil"/>
          <w:left w:val="nil"/>
          <w:bottom w:val="nil"/>
          <w:right w:val="nil"/>
          <w:between w:val="nil"/>
        </w:pBdr>
        <w:spacing w:after="0" w:line="240" w:lineRule="auto"/>
        <w:jc w:val="both"/>
        <w:rPr>
          <w:rFonts w:ascii="Verdana" w:eastAsia="Verdana" w:hAnsi="Verdana" w:cs="Verdana"/>
          <w:color w:val="4472C4"/>
          <w:u w:val="single"/>
          <w:lang w:eastAsia="en-US"/>
        </w:rPr>
      </w:pPr>
      <w:r w:rsidRPr="000565B4">
        <w:rPr>
          <w:rFonts w:ascii="Verdana" w:eastAsia="Verdana" w:hAnsi="Verdana" w:cs="Verdana"/>
          <w:color w:val="000000"/>
        </w:rPr>
        <w:t xml:space="preserve">Línea nacional gratuita o servicio a la ciudadanía (Mesa de servicio): </w:t>
      </w:r>
      <w:r w:rsidRPr="000565B4">
        <w:rPr>
          <w:rFonts w:ascii="Verdana" w:hAnsi="Verdana" w:cs="Times New Roman"/>
          <w:color w:val="0000FF"/>
          <w:u w:val="single"/>
          <w:lang w:eastAsia="en-US"/>
        </w:rPr>
        <w:t>01800 0520808</w:t>
      </w:r>
    </w:p>
    <w:p w14:paraId="44671FF6" w14:textId="77777777" w:rsidR="000565B4" w:rsidRPr="000565B4" w:rsidRDefault="000565B4" w:rsidP="000565B4">
      <w:pPr>
        <w:numPr>
          <w:ilvl w:val="0"/>
          <w:numId w:val="2"/>
        </w:numPr>
        <w:pBdr>
          <w:top w:val="nil"/>
          <w:left w:val="nil"/>
          <w:bottom w:val="nil"/>
          <w:right w:val="nil"/>
          <w:between w:val="nil"/>
        </w:pBdr>
        <w:spacing w:after="0"/>
        <w:rPr>
          <w:rFonts w:ascii="Verdana" w:eastAsia="Verdana" w:hAnsi="Verdana" w:cs="Verdana"/>
          <w:color w:val="4472C4"/>
          <w:u w:val="single"/>
          <w:lang w:eastAsia="en-US"/>
        </w:rPr>
      </w:pPr>
      <w:r w:rsidRPr="000565B4">
        <w:rPr>
          <w:rFonts w:ascii="Verdana" w:eastAsia="Verdana" w:hAnsi="Verdana" w:cs="Verdana"/>
          <w:color w:val="000000"/>
        </w:rPr>
        <w:t>Línea en Bogotá (Mesa de servicio</w:t>
      </w:r>
      <w:proofErr w:type="gramStart"/>
      <w:r w:rsidRPr="000565B4">
        <w:rPr>
          <w:rFonts w:ascii="Verdana" w:eastAsia="Verdana" w:hAnsi="Verdana" w:cs="Verdana"/>
          <w:color w:val="000000"/>
        </w:rPr>
        <w:t>):</w:t>
      </w:r>
      <w:r w:rsidRPr="000565B4">
        <w:rPr>
          <w:rFonts w:ascii="Verdana" w:hAnsi="Verdana" w:cs="Times New Roman"/>
          <w:color w:val="0000FF"/>
          <w:u w:val="single"/>
          <w:lang w:eastAsia="en-US"/>
        </w:rPr>
        <w:t>+</w:t>
      </w:r>
      <w:proofErr w:type="gramEnd"/>
      <w:r w:rsidRPr="000565B4">
        <w:rPr>
          <w:rFonts w:ascii="Verdana" w:hAnsi="Verdana" w:cs="Times New Roman"/>
          <w:color w:val="0000FF"/>
          <w:u w:val="single"/>
          <w:lang w:eastAsia="en-US"/>
        </w:rPr>
        <w:t>57 601 7456788</w:t>
      </w:r>
    </w:p>
    <w:p w14:paraId="4341FA82" w14:textId="77777777" w:rsidR="000565B4" w:rsidRPr="000565B4" w:rsidRDefault="000565B4" w:rsidP="000565B4">
      <w:pPr>
        <w:numPr>
          <w:ilvl w:val="0"/>
          <w:numId w:val="2"/>
        </w:numPr>
        <w:pBdr>
          <w:top w:val="nil"/>
          <w:left w:val="nil"/>
          <w:bottom w:val="nil"/>
          <w:right w:val="nil"/>
          <w:between w:val="nil"/>
        </w:pBdr>
        <w:spacing w:after="0"/>
        <w:rPr>
          <w:rFonts w:ascii="Verdana" w:eastAsia="Verdana" w:hAnsi="Verdana" w:cs="Verdana"/>
          <w:color w:val="0000FF"/>
          <w:u w:val="single"/>
          <w:lang w:eastAsia="en-US"/>
        </w:rPr>
      </w:pPr>
      <w:r w:rsidRPr="000565B4">
        <w:rPr>
          <w:rFonts w:ascii="Verdana" w:eastAsia="Verdana" w:hAnsi="Verdana" w:cs="Verdana"/>
          <w:color w:val="000000"/>
        </w:rPr>
        <w:t xml:space="preserve">Correo de radicación de correspondencia: </w:t>
      </w:r>
      <w:hyperlink r:id="rId18">
        <w:r w:rsidRPr="000565B4">
          <w:rPr>
            <w:rFonts w:ascii="Verdana" w:eastAsia="Verdana" w:hAnsi="Verdana" w:cs="Verdana"/>
            <w:color w:val="0000FF"/>
            <w:u w:val="single"/>
            <w:lang w:eastAsia="en-US"/>
          </w:rPr>
          <w:t>ventanilladeradicacion@colombiacompra.gov.co</w:t>
        </w:r>
      </w:hyperlink>
    </w:p>
    <w:p w14:paraId="55341468" w14:textId="77777777" w:rsidR="000565B4" w:rsidRPr="000565B4" w:rsidRDefault="000565B4" w:rsidP="000565B4">
      <w:pPr>
        <w:numPr>
          <w:ilvl w:val="0"/>
          <w:numId w:val="2"/>
        </w:numPr>
        <w:pBdr>
          <w:top w:val="nil"/>
          <w:left w:val="nil"/>
          <w:bottom w:val="nil"/>
          <w:right w:val="nil"/>
          <w:between w:val="nil"/>
        </w:pBdr>
        <w:spacing w:after="0"/>
        <w:rPr>
          <w:rFonts w:ascii="Verdana" w:eastAsia="Verdana" w:hAnsi="Verdana" w:cs="Verdana"/>
          <w:color w:val="0000FF"/>
          <w:u w:val="single"/>
          <w:lang w:eastAsia="en-US"/>
        </w:rPr>
      </w:pPr>
      <w:r w:rsidRPr="000565B4">
        <w:rPr>
          <w:rFonts w:ascii="Verdana" w:eastAsia="Verdana" w:hAnsi="Verdana" w:cs="Verdana"/>
          <w:color w:val="000000"/>
        </w:rPr>
        <w:t xml:space="preserve">Formulario web para PQRSD: </w:t>
      </w:r>
      <w:hyperlink r:id="rId19">
        <w:r w:rsidRPr="000565B4">
          <w:rPr>
            <w:rFonts w:ascii="Verdana" w:eastAsia="Verdana" w:hAnsi="Verdana" w:cs="Verdana"/>
            <w:color w:val="0000FF"/>
            <w:u w:val="single"/>
            <w:lang w:eastAsia="en-US"/>
          </w:rPr>
          <w:t>https://www.colombiacompra.gov.co/pqrsd/informacion-importante-antes-de-formular-una-pqrsd</w:t>
        </w:r>
      </w:hyperlink>
    </w:p>
    <w:p w14:paraId="49FFC90D" w14:textId="77777777" w:rsidR="000565B4" w:rsidRPr="000565B4" w:rsidRDefault="000565B4" w:rsidP="000565B4">
      <w:pPr>
        <w:spacing w:after="0" w:line="240" w:lineRule="auto"/>
        <w:ind w:left="720"/>
        <w:jc w:val="both"/>
        <w:rPr>
          <w:rFonts w:ascii="Verdana" w:eastAsia="Verdana" w:hAnsi="Verdana" w:cs="Verdana"/>
        </w:rPr>
      </w:pPr>
    </w:p>
    <w:p w14:paraId="74D0C772" w14:textId="77777777" w:rsidR="000565B4" w:rsidRPr="000565B4" w:rsidRDefault="000565B4" w:rsidP="000565B4">
      <w:pPr>
        <w:spacing w:after="0" w:line="240" w:lineRule="auto"/>
        <w:rPr>
          <w:rFonts w:ascii="Verdana" w:eastAsia="Verdana" w:hAnsi="Verdana" w:cs="Verdana"/>
        </w:rPr>
      </w:pPr>
      <w:r w:rsidRPr="000565B4">
        <w:rPr>
          <w:rFonts w:ascii="Verdana" w:eastAsia="Verdana" w:hAnsi="Verdana" w:cs="Verdana"/>
        </w:rPr>
        <w:t xml:space="preserve">Evalúa el servicio que ofrece la Agencia por el canal de atención de PQRSD en el siguiente </w:t>
      </w:r>
      <w:proofErr w:type="gramStart"/>
      <w:r w:rsidRPr="000565B4">
        <w:rPr>
          <w:rFonts w:ascii="Verdana" w:eastAsia="Verdana" w:hAnsi="Verdana" w:cs="Verdana"/>
        </w:rPr>
        <w:t>enlace :</w:t>
      </w:r>
      <w:proofErr w:type="gramEnd"/>
      <w:hyperlink r:id="rId20">
        <w:r w:rsidRPr="000565B4">
          <w:rPr>
            <w:rFonts w:ascii="Verdana" w:eastAsia="Verdana" w:hAnsi="Verdana" w:cs="Verdana"/>
            <w:color w:val="0000FF"/>
            <w:u w:val="single"/>
          </w:rPr>
          <w:t>https://forms.office.com/r/pPHyWVs2SZ</w:t>
        </w:r>
      </w:hyperlink>
      <w:r w:rsidRPr="000565B4">
        <w:rPr>
          <w:rFonts w:ascii="Verdana" w:eastAsia="Verdana" w:hAnsi="Verdana" w:cs="Verdana"/>
        </w:rPr>
        <w:t xml:space="preserve"> .¡Ayúdanos a mejorar porque el compromiso es de todos!</w:t>
      </w:r>
    </w:p>
    <w:p w14:paraId="08804472" w14:textId="77777777" w:rsidR="000565B4" w:rsidRPr="000565B4" w:rsidRDefault="000565B4" w:rsidP="000565B4">
      <w:pPr>
        <w:spacing w:after="0" w:line="240" w:lineRule="auto"/>
        <w:rPr>
          <w:rFonts w:ascii="Verdana" w:eastAsia="Verdana" w:hAnsi="Verdana" w:cs="Verdana"/>
        </w:rPr>
      </w:pPr>
    </w:p>
    <w:p w14:paraId="3BCE8FC6"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Por último, lo invitamos a seguirnos en las redes sociales en las cuales se difunde información institucional: </w:t>
      </w:r>
    </w:p>
    <w:p w14:paraId="7E6E67E8" w14:textId="77777777" w:rsidR="000565B4" w:rsidRPr="000565B4" w:rsidRDefault="000565B4" w:rsidP="000565B4">
      <w:pPr>
        <w:spacing w:after="0" w:line="240" w:lineRule="auto"/>
        <w:jc w:val="both"/>
        <w:rPr>
          <w:rFonts w:ascii="Verdana" w:eastAsia="Verdana" w:hAnsi="Verdana" w:cs="Verdana"/>
        </w:rPr>
      </w:pPr>
    </w:p>
    <w:p w14:paraId="6C952C56"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Twitter: </w:t>
      </w:r>
      <w:r w:rsidRPr="000565B4">
        <w:rPr>
          <w:rFonts w:ascii="Verdana" w:eastAsia="Verdana" w:hAnsi="Verdana" w:cs="Verdana"/>
          <w:color w:val="0000FF"/>
          <w:u w:val="single"/>
        </w:rPr>
        <w:t>@colombiacompra</w:t>
      </w:r>
      <w:r w:rsidRPr="000565B4">
        <w:rPr>
          <w:rFonts w:ascii="Verdana" w:eastAsia="Verdana" w:hAnsi="Verdana" w:cs="Verdana"/>
        </w:rPr>
        <w:t xml:space="preserve"> </w:t>
      </w:r>
    </w:p>
    <w:p w14:paraId="31D2BF3A"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Facebook: </w:t>
      </w:r>
      <w:proofErr w:type="spellStart"/>
      <w:r w:rsidRPr="000565B4">
        <w:rPr>
          <w:rFonts w:ascii="Verdana" w:eastAsia="Verdana" w:hAnsi="Verdana" w:cs="Verdana"/>
          <w:color w:val="0000FF"/>
          <w:u w:val="single"/>
        </w:rPr>
        <w:t>ColombiaCompraEficiente</w:t>
      </w:r>
      <w:proofErr w:type="spellEnd"/>
    </w:p>
    <w:p w14:paraId="7CFEE1C4"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LinkedIn: </w:t>
      </w:r>
      <w:r w:rsidRPr="000565B4">
        <w:rPr>
          <w:rFonts w:ascii="Verdana" w:eastAsia="Verdana" w:hAnsi="Verdana" w:cs="Verdana"/>
          <w:color w:val="0000FF"/>
          <w:u w:val="single"/>
        </w:rPr>
        <w:t>Agencia Nacional de Contratación Pública - Colombia Compra Eficiente</w:t>
      </w:r>
      <w:r w:rsidRPr="000565B4">
        <w:rPr>
          <w:rFonts w:ascii="Verdana" w:eastAsia="Verdana" w:hAnsi="Verdana" w:cs="Verdana"/>
        </w:rPr>
        <w:t xml:space="preserve"> Instagram: </w:t>
      </w:r>
      <w:r w:rsidRPr="000565B4">
        <w:rPr>
          <w:rFonts w:ascii="Verdana" w:eastAsia="Verdana" w:hAnsi="Verdana" w:cs="Verdana"/>
          <w:color w:val="0000FF"/>
          <w:u w:val="single"/>
        </w:rPr>
        <w:t>@colombiacompraeficiente_cce</w:t>
      </w:r>
    </w:p>
    <w:p w14:paraId="59282A44" w14:textId="77777777" w:rsidR="000565B4" w:rsidRPr="000565B4" w:rsidRDefault="000565B4" w:rsidP="000565B4">
      <w:pPr>
        <w:spacing w:after="0" w:line="240" w:lineRule="auto"/>
        <w:jc w:val="both"/>
        <w:rPr>
          <w:rFonts w:ascii="Verdana" w:eastAsia="Verdana" w:hAnsi="Verdana" w:cs="Verdana"/>
        </w:rPr>
      </w:pPr>
    </w:p>
    <w:p w14:paraId="74EA5B86"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DC6284D" w14:textId="77777777" w:rsidR="000565B4" w:rsidRPr="000565B4" w:rsidRDefault="000565B4" w:rsidP="000565B4">
      <w:pPr>
        <w:spacing w:after="0" w:line="256" w:lineRule="auto"/>
        <w:jc w:val="both"/>
        <w:rPr>
          <w:rFonts w:ascii="Verdana" w:eastAsia="Verdana" w:hAnsi="Verdana" w:cs="Verdana"/>
        </w:rPr>
      </w:pPr>
    </w:p>
    <w:p w14:paraId="1604FF4C"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Atentamente,</w:t>
      </w:r>
    </w:p>
    <w:p w14:paraId="58C2BA9C" w14:textId="77777777" w:rsidR="000565B4" w:rsidRPr="000565B4" w:rsidRDefault="000565B4" w:rsidP="000565B4">
      <w:pPr>
        <w:spacing w:after="0" w:line="276" w:lineRule="auto"/>
        <w:jc w:val="both"/>
        <w:rPr>
          <w:rFonts w:ascii="Verdana" w:eastAsia="Verdana" w:hAnsi="Verdana" w:cs="Verdana"/>
        </w:rPr>
      </w:pPr>
    </w:p>
    <w:p w14:paraId="417DCEC2" w14:textId="05A088EF" w:rsidR="000565B4" w:rsidRPr="000565B4" w:rsidRDefault="00587C15" w:rsidP="000565B4">
      <w:pPr>
        <w:spacing w:after="0" w:line="256" w:lineRule="auto"/>
        <w:jc w:val="center"/>
        <w:rPr>
          <w:rFonts w:ascii="Century Gothic" w:eastAsia="Century Gothic" w:hAnsi="Century Gothic" w:cs="Century Gothic"/>
        </w:rPr>
      </w:pPr>
      <w:r w:rsidRPr="002C3AD6">
        <w:rPr>
          <w:rFonts w:ascii="Century Gothic" w:hAnsi="Century Gothic"/>
          <w:noProof/>
          <w:lang w:val="en-US"/>
        </w:rPr>
        <w:drawing>
          <wp:inline distT="0" distB="0" distL="0" distR="0" wp14:anchorId="7AB1F0CB" wp14:editId="176F8FE3">
            <wp:extent cx="3247038" cy="1186774"/>
            <wp:effectExtent l="0" t="0" r="0" b="0"/>
            <wp:docPr id="64273248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58959" cy="1227680"/>
                    </a:xfrm>
                    <a:prstGeom prst="rect">
                      <a:avLst/>
                    </a:prstGeom>
                  </pic:spPr>
                </pic:pic>
              </a:graphicData>
            </a:graphic>
          </wp:inline>
        </w:drawing>
      </w:r>
    </w:p>
    <w:p w14:paraId="1271CB63" w14:textId="77777777" w:rsidR="000565B4" w:rsidRPr="000565B4" w:rsidRDefault="000565B4" w:rsidP="000565B4">
      <w:pPr>
        <w:spacing w:after="0" w:line="256" w:lineRule="auto"/>
        <w:rPr>
          <w:rFonts w:ascii="Century Gothic" w:eastAsia="Century Gothic" w:hAnsi="Century Gothic" w:cs="Century Gothic"/>
          <w:sz w:val="16"/>
          <w:szCs w:val="16"/>
        </w:rPr>
      </w:pPr>
    </w:p>
    <w:tbl>
      <w:tblPr>
        <w:tblW w:w="737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76"/>
        <w:gridCol w:w="6095"/>
      </w:tblGrid>
      <w:tr w:rsidR="000565B4" w:rsidRPr="000565B4" w14:paraId="2108558D" w14:textId="77777777" w:rsidTr="00486E91">
        <w:trPr>
          <w:trHeight w:val="409"/>
        </w:trPr>
        <w:tc>
          <w:tcPr>
            <w:tcW w:w="1276" w:type="dxa"/>
            <w:tcBorders>
              <w:top w:val="nil"/>
              <w:left w:val="nil"/>
              <w:bottom w:val="nil"/>
              <w:right w:val="nil"/>
            </w:tcBorders>
            <w:vAlign w:val="center"/>
          </w:tcPr>
          <w:p w14:paraId="32943F73"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Elaboró: </w:t>
            </w:r>
          </w:p>
        </w:tc>
        <w:tc>
          <w:tcPr>
            <w:tcW w:w="6095" w:type="dxa"/>
            <w:tcBorders>
              <w:top w:val="nil"/>
              <w:left w:val="nil"/>
              <w:bottom w:val="dotted" w:sz="6" w:space="0" w:color="7F7F7F"/>
              <w:right w:val="nil"/>
            </w:tcBorders>
            <w:vAlign w:val="center"/>
          </w:tcPr>
          <w:p w14:paraId="7C52F83D"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José Luis Sánchez Cardona</w:t>
            </w:r>
          </w:p>
          <w:p w14:paraId="160A37B8"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Contratista de la Subdirección de Gestión Contractual</w:t>
            </w:r>
          </w:p>
        </w:tc>
      </w:tr>
      <w:tr w:rsidR="000565B4" w:rsidRPr="000565B4" w14:paraId="6B3CC646" w14:textId="77777777" w:rsidTr="00486E91">
        <w:trPr>
          <w:trHeight w:val="409"/>
        </w:trPr>
        <w:tc>
          <w:tcPr>
            <w:tcW w:w="1276" w:type="dxa"/>
            <w:tcBorders>
              <w:top w:val="nil"/>
              <w:left w:val="nil"/>
              <w:bottom w:val="nil"/>
              <w:right w:val="nil"/>
            </w:tcBorders>
            <w:vAlign w:val="center"/>
          </w:tcPr>
          <w:p w14:paraId="57C6D58B"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Revisó: </w:t>
            </w:r>
          </w:p>
        </w:tc>
        <w:tc>
          <w:tcPr>
            <w:tcW w:w="6095" w:type="dxa"/>
            <w:tcBorders>
              <w:top w:val="dotted" w:sz="6" w:space="0" w:color="7F7F7F"/>
              <w:left w:val="nil"/>
              <w:bottom w:val="dotted" w:sz="6" w:space="0" w:color="7F7F7F"/>
              <w:right w:val="nil"/>
            </w:tcBorders>
            <w:vAlign w:val="center"/>
          </w:tcPr>
          <w:p w14:paraId="01FB0EBD"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Alejandro Raúl Sarmiento Cantillo</w:t>
            </w:r>
          </w:p>
          <w:p w14:paraId="177128F4" w14:textId="77777777" w:rsidR="000565B4" w:rsidRPr="000565B4" w:rsidRDefault="000565B4" w:rsidP="000565B4">
            <w:pPr>
              <w:spacing w:after="0" w:line="256" w:lineRule="auto"/>
            </w:pPr>
            <w:r w:rsidRPr="000565B4">
              <w:rPr>
                <w:rFonts w:ascii="Verdana" w:eastAsia="Verdana" w:hAnsi="Verdana" w:cs="Verdana"/>
                <w:sz w:val="16"/>
                <w:szCs w:val="16"/>
              </w:rPr>
              <w:t xml:space="preserve">Gestor T1-15 de la Subdirección de Gestión Contractual  </w:t>
            </w:r>
          </w:p>
        </w:tc>
      </w:tr>
      <w:tr w:rsidR="000565B4" w:rsidRPr="000565B4" w14:paraId="639FFE8C" w14:textId="77777777" w:rsidTr="00486E91">
        <w:trPr>
          <w:trHeight w:val="389"/>
        </w:trPr>
        <w:tc>
          <w:tcPr>
            <w:tcW w:w="1276" w:type="dxa"/>
            <w:tcBorders>
              <w:top w:val="nil"/>
              <w:left w:val="nil"/>
              <w:bottom w:val="nil"/>
              <w:right w:val="nil"/>
            </w:tcBorders>
            <w:vAlign w:val="center"/>
          </w:tcPr>
          <w:p w14:paraId="158F4DAA"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Aprobó: </w:t>
            </w:r>
          </w:p>
        </w:tc>
        <w:tc>
          <w:tcPr>
            <w:tcW w:w="6095" w:type="dxa"/>
            <w:tcBorders>
              <w:top w:val="dotted" w:sz="6" w:space="0" w:color="7F7F7F"/>
              <w:left w:val="nil"/>
              <w:bottom w:val="dotted" w:sz="6" w:space="0" w:color="7F7F7F"/>
              <w:right w:val="nil"/>
            </w:tcBorders>
            <w:vAlign w:val="center"/>
          </w:tcPr>
          <w:p w14:paraId="35A32B54"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Carolina Quintero Gacharná</w:t>
            </w:r>
          </w:p>
          <w:p w14:paraId="4FC214AD"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Subdirectora de Gestión Contractual ANCP – CCE</w:t>
            </w:r>
          </w:p>
        </w:tc>
      </w:tr>
    </w:tbl>
    <w:p w14:paraId="0BF52890" w14:textId="77777777" w:rsidR="000565B4" w:rsidRPr="000565B4" w:rsidRDefault="000565B4" w:rsidP="000565B4">
      <w:pPr>
        <w:spacing w:after="0" w:line="240" w:lineRule="auto"/>
        <w:jc w:val="both"/>
        <w:rPr>
          <w:rFonts w:ascii="Verdana" w:eastAsia="Verdana" w:hAnsi="Verdana" w:cs="Verdana"/>
        </w:rPr>
      </w:pPr>
    </w:p>
    <w:p w14:paraId="5721DEC6" w14:textId="04FAC3E2" w:rsidR="000565B4" w:rsidRPr="000565B4" w:rsidRDefault="000565B4" w:rsidP="000565B4">
      <w:pPr>
        <w:spacing w:after="0" w:line="240" w:lineRule="auto"/>
        <w:rPr>
          <w:rFonts w:ascii="Verdana" w:eastAsia="Verdana" w:hAnsi="Verdana" w:cs="Verdana"/>
        </w:rPr>
      </w:pPr>
      <w:r w:rsidRPr="000565B4">
        <w:rPr>
          <w:rFonts w:ascii="Verdana" w:eastAsia="Verdana" w:hAnsi="Verdana" w:cs="Verdana"/>
        </w:rPr>
        <w:t> </w:t>
      </w:r>
    </w:p>
    <w:p w14:paraId="44EEDC23" w14:textId="77777777" w:rsidR="00843DAC" w:rsidRPr="000565B4" w:rsidRDefault="00843DAC" w:rsidP="000565B4"/>
    <w:sectPr w:rsidR="00843DAC" w:rsidRPr="000565B4">
      <w:headerReference w:type="default" r:id="rId22"/>
      <w:footerReference w:type="default" r:id="rId23"/>
      <w:pgSz w:w="12240" w:h="15840"/>
      <w:pgMar w:top="1417"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AE1BA" w14:textId="77777777" w:rsidR="00861126" w:rsidRDefault="00861126">
      <w:pPr>
        <w:spacing w:after="0" w:line="240" w:lineRule="auto"/>
      </w:pPr>
      <w:r>
        <w:separator/>
      </w:r>
    </w:p>
  </w:endnote>
  <w:endnote w:type="continuationSeparator" w:id="0">
    <w:p w14:paraId="20F27D4B" w14:textId="77777777" w:rsidR="00861126" w:rsidRDefault="0086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2A8B422-D48F-4D88-A5A6-8C2F1FB3EA9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96A529F-C71C-447A-A8B2-62E6E5F0FFDD}"/>
    <w:embedBold r:id="rId3" w:fontKey="{ABCE0D99-9308-4EC7-A430-56EDA5A450E2}"/>
    <w:embedItalic r:id="rId4" w:fontKey="{9E588452-BA58-4753-BFB3-E375A3F62B1A}"/>
  </w:font>
  <w:font w:name="Geom">
    <w:charset w:val="00"/>
    <w:family w:val="auto"/>
    <w:pitch w:val="default"/>
    <w:embedRegular r:id="rId5" w:fontKey="{0E2E73D4-380C-42EB-8ACC-22CCFE570DFA}"/>
    <w:embedBold r:id="rId6" w:fontKey="{DEAF9E41-3890-42CB-87FE-6FDACB9B7B53}"/>
  </w:font>
  <w:font w:name="Georgia">
    <w:panose1 w:val="02040502050405020303"/>
    <w:charset w:val="00"/>
    <w:family w:val="roman"/>
    <w:pitch w:val="variable"/>
    <w:sig w:usb0="00000287" w:usb1="00000000" w:usb2="00000000" w:usb3="00000000" w:csb0="0000009F" w:csb1="00000000"/>
    <w:embedItalic r:id="rId7" w:fontKey="{441E33CD-6BF8-465D-A14C-CC95B1ECA08B}"/>
  </w:font>
  <w:font w:name="Verdana">
    <w:panose1 w:val="020B0604030504040204"/>
    <w:charset w:val="00"/>
    <w:family w:val="swiss"/>
    <w:pitch w:val="variable"/>
    <w:sig w:usb0="A00006FF" w:usb1="4000205B" w:usb2="00000010" w:usb3="00000000" w:csb0="0000019F" w:csb1="00000000"/>
    <w:embedRegular r:id="rId8" w:fontKey="{710E47B5-DD65-4CEA-A758-B5E061B4854E}"/>
    <w:embedBold r:id="rId9" w:fontKey="{DAA04200-1AD6-445B-890E-2592B19F2277}"/>
    <w:embedItalic r:id="rId10" w:fontKey="{5BEB07E2-5DD6-4936-B30A-876ABFCFC7EB}"/>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1" w:fontKey="{32F2C808-1EBC-4E42-907D-8DE92BB8440E}"/>
  </w:font>
  <w:font w:name="Cambria">
    <w:panose1 w:val="02040503050406030204"/>
    <w:charset w:val="00"/>
    <w:family w:val="roman"/>
    <w:pitch w:val="variable"/>
    <w:sig w:usb0="E00006FF" w:usb1="420024FF" w:usb2="02000000" w:usb3="00000000" w:csb0="0000019F" w:csb1="00000000"/>
    <w:embedRegular r:id="rId12" w:fontKey="{47F016E3-C93B-4F27-A804-BAC9F76680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E154" w14:textId="77777777" w:rsidR="00843DAC" w:rsidRDefault="00843DAC">
    <w:pPr>
      <w:pBdr>
        <w:top w:val="nil"/>
        <w:left w:val="nil"/>
        <w:bottom w:val="nil"/>
        <w:right w:val="nil"/>
        <w:between w:val="nil"/>
      </w:pBdr>
      <w:tabs>
        <w:tab w:val="center" w:pos="4419"/>
        <w:tab w:val="right" w:pos="8838"/>
      </w:tabs>
      <w:spacing w:after="0" w:line="240" w:lineRule="auto"/>
      <w:rPr>
        <w:color w:val="000000"/>
      </w:rPr>
    </w:pPr>
  </w:p>
  <w:p w14:paraId="151E5778" w14:textId="77777777" w:rsidR="00843DAC" w:rsidRDefault="00CA0EDB">
    <w:pPr>
      <w:pBdr>
        <w:top w:val="single" w:sz="4" w:space="1" w:color="000000"/>
      </w:pBdr>
      <w:spacing w:after="0"/>
      <w:rPr>
        <w:rFonts w:ascii="Verdana" w:eastAsia="Verdana" w:hAnsi="Verdana" w:cs="Verdana"/>
        <w:b/>
        <w:bCs/>
        <w:sz w:val="18"/>
        <w:szCs w:val="18"/>
      </w:rPr>
    </w:pPr>
    <w:r>
      <w:rPr>
        <w:rFonts w:ascii="Verdana" w:eastAsia="Verdana" w:hAnsi="Verdana" w:cs="Verdana"/>
        <w:b/>
        <w:bCs/>
        <w:sz w:val="18"/>
        <w:szCs w:val="18"/>
      </w:rPr>
      <w:t xml:space="preserve">Agencia Nacional de Contratación Pública                                              pág. </w:t>
    </w:r>
    <w:r>
      <w:rPr>
        <w:rFonts w:ascii="Verdana" w:eastAsia="Verdana" w:hAnsi="Verdana" w:cs="Verdana"/>
        <w:b/>
        <w:bCs/>
        <w:sz w:val="16"/>
        <w:szCs w:val="16"/>
      </w:rPr>
      <w:fldChar w:fldCharType="begin"/>
    </w:r>
    <w:r>
      <w:rPr>
        <w:rFonts w:ascii="Verdana" w:eastAsia="Verdana" w:hAnsi="Verdana" w:cs="Verdana"/>
        <w:b/>
        <w:bCs/>
        <w:sz w:val="16"/>
        <w:szCs w:val="16"/>
      </w:rPr>
      <w:instrText>PAGE</w:instrText>
    </w:r>
    <w:r>
      <w:rPr>
        <w:rFonts w:ascii="Verdana" w:eastAsia="Verdana" w:hAnsi="Verdana" w:cs="Verdana"/>
        <w:b/>
        <w:bCs/>
        <w:sz w:val="16"/>
        <w:szCs w:val="16"/>
      </w:rPr>
      <w:fldChar w:fldCharType="separate"/>
    </w:r>
    <w:r w:rsidR="006A7B2B">
      <w:rPr>
        <w:rFonts w:ascii="Verdana" w:eastAsia="Verdana" w:hAnsi="Verdana" w:cs="Verdana"/>
        <w:b/>
        <w:bCs/>
        <w:noProof/>
        <w:sz w:val="16"/>
        <w:szCs w:val="16"/>
      </w:rPr>
      <w:t>1</w:t>
    </w:r>
    <w:r>
      <w:rPr>
        <w:rFonts w:ascii="Verdana" w:eastAsia="Verdana" w:hAnsi="Verdana" w:cs="Verdana"/>
        <w:b/>
        <w:bCs/>
        <w:sz w:val="16"/>
        <w:szCs w:val="16"/>
      </w:rPr>
      <w:fldChar w:fldCharType="end"/>
    </w:r>
    <w:r>
      <w:rPr>
        <w:rFonts w:ascii="Verdana" w:eastAsia="Verdana" w:hAnsi="Verdana" w:cs="Verdana"/>
        <w:b/>
        <w:bCs/>
        <w:sz w:val="18"/>
        <w:szCs w:val="18"/>
      </w:rPr>
      <w:t xml:space="preserve">              Colombia Compra Eficiente                                                            </w:t>
    </w:r>
  </w:p>
  <w:p w14:paraId="480E4520" w14:textId="77777777" w:rsidR="00843DAC" w:rsidRDefault="00CA0EDB">
    <w:pPr>
      <w:spacing w:after="0"/>
      <w:jc w:val="both"/>
      <w:rPr>
        <w:rFonts w:ascii="Verdana" w:eastAsia="Verdana" w:hAnsi="Verdana" w:cs="Verdana"/>
        <w:sz w:val="18"/>
        <w:szCs w:val="18"/>
      </w:rPr>
    </w:pPr>
    <w:r>
      <w:rPr>
        <w:rFonts w:ascii="Verdana" w:eastAsia="Verdana" w:hAnsi="Verdana" w:cs="Verdana"/>
        <w:sz w:val="18"/>
        <w:szCs w:val="18"/>
      </w:rPr>
      <w:t>Dirección: Carrera 7 # 26 – 20 - Bogotá, Colombia</w:t>
    </w:r>
  </w:p>
  <w:p w14:paraId="667EAEBF" w14:textId="77777777" w:rsidR="00843DAC" w:rsidRDefault="00CA0EDB">
    <w:pPr>
      <w:spacing w:after="0"/>
      <w:jc w:val="both"/>
      <w:rPr>
        <w:rFonts w:ascii="Verdana" w:eastAsia="Verdana" w:hAnsi="Verdana" w:cs="Verdana"/>
        <w:sz w:val="18"/>
        <w:szCs w:val="18"/>
      </w:rPr>
    </w:pPr>
    <w:r>
      <w:rPr>
        <w:rFonts w:ascii="Verdana" w:eastAsia="Verdana" w:hAnsi="Verdana" w:cs="Verdana"/>
        <w:sz w:val="18"/>
        <w:szCs w:val="18"/>
      </w:rPr>
      <w:t>Mesa de servicio: (+57) 601 7456788</w:t>
    </w:r>
  </w:p>
  <w:p w14:paraId="2502B23A" w14:textId="77777777" w:rsidR="00843DAC" w:rsidRDefault="00CA0EDB">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rPr>
    </w:pPr>
    <w:r>
      <w:rPr>
        <w:rFonts w:ascii="Verdana" w:eastAsia="Verdana" w:hAnsi="Verdana" w:cs="Verdana"/>
        <w:b/>
        <w:bCs/>
        <w:color w:val="000000"/>
        <w:sz w:val="18"/>
        <w:szCs w:val="18"/>
      </w:rPr>
      <w:t xml:space="preserve">Código: </w:t>
    </w:r>
    <w:r>
      <w:rPr>
        <w:rFonts w:ascii="Verdana" w:eastAsia="Verdana" w:hAnsi="Verdana" w:cs="Verdana"/>
        <w:color w:val="000000"/>
        <w:sz w:val="18"/>
        <w:szCs w:val="18"/>
      </w:rPr>
      <w:t xml:space="preserve">CCE-REC-FM-17 </w:t>
    </w:r>
    <w:r>
      <w:rPr>
        <w:rFonts w:ascii="Verdana" w:eastAsia="Verdana" w:hAnsi="Verdana" w:cs="Verdana"/>
        <w:b/>
        <w:bCs/>
        <w:color w:val="000000"/>
        <w:sz w:val="18"/>
        <w:szCs w:val="18"/>
      </w:rPr>
      <w:t xml:space="preserve">V: </w:t>
    </w:r>
    <w:r>
      <w:rPr>
        <w:rFonts w:ascii="Verdana" w:eastAsia="Verdana" w:hAnsi="Verdana" w:cs="Verdana"/>
        <w:sz w:val="18"/>
        <w:szCs w:val="18"/>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AF947" w14:textId="77777777" w:rsidR="00861126" w:rsidRDefault="00861126">
      <w:pPr>
        <w:spacing w:after="0" w:line="240" w:lineRule="auto"/>
      </w:pPr>
      <w:r>
        <w:separator/>
      </w:r>
    </w:p>
  </w:footnote>
  <w:footnote w:type="continuationSeparator" w:id="0">
    <w:p w14:paraId="515398A7" w14:textId="77777777" w:rsidR="00861126" w:rsidRDefault="00861126">
      <w:pPr>
        <w:spacing w:after="0" w:line="240" w:lineRule="auto"/>
      </w:pPr>
      <w:r>
        <w:continuationSeparator/>
      </w:r>
    </w:p>
  </w:footnote>
  <w:footnote w:id="1">
    <w:p w14:paraId="06FE7851"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w:t>
      </w:r>
      <w:r w:rsidRPr="00DE5412">
        <w:rPr>
          <w:rFonts w:ascii="Verdana" w:eastAsia="Verdana" w:hAnsi="Verdana" w:cs="Verdana"/>
          <w:color w:val="000000"/>
          <w:sz w:val="16"/>
          <w:szCs w:val="16"/>
        </w:rPr>
        <w:t>CORTE CONSTITUCIONAL.</w:t>
      </w:r>
      <w:r w:rsidRPr="00F23306">
        <w:rPr>
          <w:rFonts w:ascii="Verdana" w:eastAsia="Verdana" w:hAnsi="Verdana" w:cs="Verdana"/>
          <w:color w:val="000000"/>
          <w:sz w:val="16"/>
          <w:szCs w:val="16"/>
        </w:rPr>
        <w:t xml:space="preserve"> Sentencia C-181 de 1997. M.P. Fabio Morón Díaz. Ver también las Sentencias C-540 de 2001, C-893 de 2003 y C-903 de 2008, entre otras.</w:t>
      </w:r>
    </w:p>
  </w:footnote>
  <w:footnote w:id="2">
    <w:p w14:paraId="6B5A8035"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C-1016 de 2012. M.P. Jorge Iván Palacio.</w:t>
      </w:r>
    </w:p>
  </w:footnote>
  <w:footnote w:id="3">
    <w:p w14:paraId="09F567B8"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w:t>
      </w:r>
      <w:r w:rsidRPr="00DE5412">
        <w:rPr>
          <w:rFonts w:ascii="Verdana" w:eastAsia="Verdana" w:hAnsi="Verdana" w:cs="Verdana"/>
          <w:color w:val="000000"/>
          <w:sz w:val="16"/>
          <w:szCs w:val="16"/>
        </w:rPr>
        <w:t>CONSEJO DE ESTADO.</w:t>
      </w:r>
      <w:r w:rsidRPr="00F23306">
        <w:rPr>
          <w:rFonts w:ascii="Verdana" w:eastAsia="Verdana" w:hAnsi="Verdana" w:cs="Verdana"/>
          <w:color w:val="000000"/>
          <w:sz w:val="16"/>
          <w:szCs w:val="16"/>
        </w:rPr>
        <w:t xml:space="preserve"> Sección Tercera. Subsección A. Sentencia del 13 de noviembre de 2013. Rad. 25.646. C.P. Mauricio Fajardo Gómez. </w:t>
      </w:r>
    </w:p>
  </w:footnote>
  <w:footnote w:id="4">
    <w:p w14:paraId="2698B811"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C-415 de 1994. M.P. Eduardo Cifuentes Muñoz.</w:t>
      </w:r>
    </w:p>
  </w:footnote>
  <w:footnote w:id="5">
    <w:p w14:paraId="4BDA1CD2"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Ibídem.</w:t>
      </w:r>
    </w:p>
  </w:footnote>
  <w:footnote w:id="6">
    <w:p w14:paraId="09908A6C"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C-780 de 2001. M.P. Jaime Córdoba Triviño.</w:t>
      </w:r>
    </w:p>
  </w:footnote>
  <w:footnote w:id="7">
    <w:p w14:paraId="091AF474"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Ley 80 de 1993: “Artículo 8: 1o. Son inhábiles para participar en licitaciones o concursos y para celebrar contratos con las entidades estatales: </w:t>
      </w:r>
    </w:p>
    <w:p w14:paraId="6A20C7DA"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a) Las personas que se hallen inhabilitadas para contratar por la Constitución y las leyes. </w:t>
      </w:r>
    </w:p>
    <w:p w14:paraId="069FDB81"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b) Quienes participaron en las licitaciones o concursos o celebraron los contratos de que trata el literal anterior estando inhabilitados. </w:t>
      </w:r>
    </w:p>
    <w:p w14:paraId="3DB48728"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c) Quienes dieron lugar a la declaratoria de caducidad. </w:t>
      </w:r>
    </w:p>
    <w:p w14:paraId="51B1D236"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d) Quienes en sentencia judicial hayan sido condenados a la pena accesoria de interdicción de derechos y funciones públicas y quienes hayan sido sancionados disciplinariamente con destitución. </w:t>
      </w:r>
    </w:p>
    <w:p w14:paraId="2DDA42CD"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 Quienes sin justa causa se abstengan de suscribir el contrato estatal adjudicado. </w:t>
      </w:r>
    </w:p>
    <w:p w14:paraId="29417C81"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f) Los servidores públicos. </w:t>
      </w:r>
    </w:p>
    <w:p w14:paraId="50522605"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g) Quienes sean cónyuges o compañeros permanentes y quienes se encuentren dentro del segundo grado de consanguinidad o segundo de afinidad con cualquier otra persona que formalmente haya presentado propuesta para una misma licitación o concurso. </w:t>
      </w:r>
    </w:p>
    <w:p w14:paraId="7A8980C1"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081D5E62"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i) Los socios de sociedades de personas a las cuales se haya declarado la caducidad, así como las sociedades de personas de las que aquellos formen parte con posterioridad a dicha declaratoria. </w:t>
      </w:r>
    </w:p>
    <w:p w14:paraId="69BA893A"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342F55AE"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16F6C55C"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excepción de las sociedades anónimas abiertas. 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13FE2966"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w:t>
      </w:r>
    </w:p>
    <w:p w14:paraId="1886F2C4"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2o. Tampoco podrán participar en licitaciones o concursos ni celebrar contratos estatales con la entidad respectiva: </w:t>
      </w:r>
    </w:p>
    <w:p w14:paraId="0C1C1256"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2BF82B82"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6AA9F1E4"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c) El cónyuge, compañero o compañera permanente del servidor público en los niveles directivo, asesor, ejecutivo, o de un miembro de la junta o consejo directivo, o de quien ejerza funciones de control interno o de control fiscal. </w:t>
      </w:r>
    </w:p>
    <w:p w14:paraId="14B1A59A"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7E2ABC64"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 Los miembros de las juntas o consejos directivos. Esta incompatibilidad sólo se predica respecto de la entidad a la cual prestan sus servicios y de las del sector administrativo al que la misma esté adscrita o vinculada. </w:t>
      </w:r>
    </w:p>
    <w:p w14:paraId="488A320D"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 </w:t>
      </w:r>
    </w:p>
  </w:footnote>
  <w:footnote w:id="8">
    <w:p w14:paraId="78AF01F3"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Ibídem. p. 69.</w:t>
      </w:r>
    </w:p>
  </w:footnote>
  <w:footnote w:id="9">
    <w:p w14:paraId="6CEAB053"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T-1039 de 2006. M.P. Humberto Sierra Porto. La Corte Constitucional ha mantenido este criterio en las sentencias: C-903 de 2008. M.P. Jaime Araujo Rentería; C-101 de 2018. M.P. Gloria Stella Ortiz Delgado; entre otras. </w:t>
      </w:r>
    </w:p>
  </w:footnote>
  <w:footnote w:id="10">
    <w:p w14:paraId="027B5379"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Sala de Consulta y Servicio Civil. Concepto del 30 de abril de 2015. Exp. 2251. C.P. Álvaro Namén Vargas.</w:t>
      </w:r>
    </w:p>
  </w:footnote>
  <w:footnote w:id="11">
    <w:p w14:paraId="503DEB0C"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A. Sentencia del 24 de junio de 2015. Exp. 40.635. C.P. Hernán Andrade Rincón (E).</w:t>
      </w:r>
    </w:p>
  </w:footnote>
  <w:footnote w:id="12">
    <w:p w14:paraId="726F1E00"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C. Sentencia del 22 de mayo de 2013. Rad. 24.057. C.P. Olga Mélida Valle De De La Hoz.</w:t>
      </w:r>
    </w:p>
  </w:footnote>
  <w:footnote w:id="13">
    <w:p w14:paraId="2BDED366"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C-415 de 1994. M.P. Eduardo Cifuentes Muñoz.</w:t>
      </w:r>
    </w:p>
  </w:footnote>
  <w:footnote w:id="14">
    <w:p w14:paraId="1E60AB07"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B. Sentencia del 12 de diciembre de 2014. Exp. 26496. C.P. Ramiro Pazos Guerrero. En similar sentido, la doctrina expresa que: “[…] las causales de inhabilidad e incompatibilidad resultan ser las que la ley de manera expresa señala, no siendo factible para las entidades estatales, crearlas en los pliegos de condiciones que elaboran (DAVILA VINUEZA, Luis Guillermo Régimen jurídico de la contratación estatal: aproximación crítica a Ley 80 de 1993. 3ª ed. Bogotá: Legis, 2016. p. 149.</w:t>
      </w:r>
    </w:p>
  </w:footnote>
  <w:footnote w:id="15">
    <w:p w14:paraId="7D8DDD24"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Sala de Consulta y Servicio Civil. Concepto del 29 de abril de 1998. Rad. 1097. C.P. Augusto Trejos Jaramillo.</w:t>
      </w:r>
    </w:p>
  </w:footnote>
  <w:footnote w:id="16">
    <w:p w14:paraId="4669B7B9"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RAMÍREZ GRISALES, Richard. La cesión. Medellín: Librería Jurídica Sánchez, 2014. p. 41. </w:t>
      </w:r>
    </w:p>
  </w:footnote>
  <w:footnote w:id="17">
    <w:p w14:paraId="60BA019B"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Los contratos estatales son </w:t>
      </w:r>
      <w:r w:rsidRPr="00DE5412">
        <w:rPr>
          <w:rFonts w:ascii="Verdana" w:eastAsia="Verdana" w:hAnsi="Verdana" w:cs="Verdana"/>
          <w:i/>
          <w:color w:val="000000"/>
          <w:sz w:val="16"/>
          <w:szCs w:val="16"/>
        </w:rPr>
        <w:t>intuito personae</w:t>
      </w:r>
      <w:r w:rsidRPr="00F23306">
        <w:rPr>
          <w:rFonts w:ascii="Verdana" w:eastAsia="Verdana" w:hAnsi="Verdana" w:cs="Verdana"/>
          <w:color w:val="000000"/>
          <w:sz w:val="16"/>
          <w:szCs w:val="16"/>
        </w:rPr>
        <w:t> y, en consecuencia, una vez celebrados no podrán cederse sin previa autorización escrita de la entidad contratante. </w:t>
      </w:r>
    </w:p>
  </w:footnote>
  <w:footnote w:id="18">
    <w:p w14:paraId="5ADC897F" w14:textId="77777777" w:rsidR="000565B4" w:rsidRPr="00F23306" w:rsidRDefault="000565B4" w:rsidP="000565B4">
      <w:pPr>
        <w:pStyle w:val="Textonotapie"/>
        <w:ind w:firstLine="708"/>
        <w:rPr>
          <w:rFonts w:ascii="Verdana" w:hAnsi="Verdana"/>
          <w:sz w:val="16"/>
          <w:szCs w:val="16"/>
        </w:rPr>
      </w:pPr>
      <w:r w:rsidRPr="00F23306">
        <w:rPr>
          <w:rStyle w:val="Refdenotaalpie"/>
          <w:rFonts w:ascii="Verdana" w:hAnsi="Verdana"/>
          <w:sz w:val="16"/>
          <w:szCs w:val="16"/>
        </w:rPr>
        <w:footnoteRef/>
      </w:r>
      <w:r w:rsidRPr="00F23306">
        <w:rPr>
          <w:rFonts w:ascii="Verdana" w:hAnsi="Verdana"/>
          <w:sz w:val="16"/>
          <w:szCs w:val="16"/>
        </w:rPr>
        <w:t xml:space="preserve"> Corte Constitucional. Sentencia C-221 de 1996. M.P. José Gregorio Hernández Galindo. </w:t>
      </w:r>
    </w:p>
  </w:footnote>
  <w:footnote w:id="19">
    <w:p w14:paraId="5993C672" w14:textId="77777777" w:rsidR="000565B4" w:rsidRPr="00F23306" w:rsidRDefault="000565B4" w:rsidP="000565B4">
      <w:pPr>
        <w:spacing w:after="0" w:line="240" w:lineRule="auto"/>
        <w:ind w:firstLine="708"/>
        <w:rPr>
          <w:rFonts w:ascii="Verdana" w:eastAsia="Verdana" w:hAnsi="Verdana" w:cs="Verdana"/>
          <w:sz w:val="16"/>
          <w:szCs w:val="16"/>
        </w:rPr>
      </w:pPr>
      <w:r w:rsidRPr="00F23306">
        <w:rPr>
          <w:rFonts w:ascii="Verdana" w:hAnsi="Verdana"/>
          <w:sz w:val="16"/>
          <w:szCs w:val="16"/>
          <w:vertAlign w:val="superscript"/>
        </w:rPr>
        <w:footnoteRef/>
      </w:r>
      <w:r w:rsidRPr="00F23306">
        <w:rPr>
          <w:rFonts w:ascii="Verdana" w:hAnsi="Verdana"/>
          <w:sz w:val="16"/>
          <w:szCs w:val="16"/>
        </w:rPr>
        <w:t xml:space="preserve"> </w:t>
      </w:r>
      <w:r w:rsidRPr="00F23306">
        <w:rPr>
          <w:rFonts w:ascii="Verdana" w:eastAsia="Verdana" w:hAnsi="Verdana" w:cs="Verdana"/>
          <w:sz w:val="16"/>
          <w:szCs w:val="16"/>
        </w:rPr>
        <w:t>Concepto C – 100 de 2024; Concepto C-1694 de 2025</w:t>
      </w:r>
    </w:p>
  </w:footnote>
  <w:footnote w:id="20">
    <w:p w14:paraId="1530E02E" w14:textId="77777777" w:rsidR="000565B4" w:rsidRPr="00F23306" w:rsidRDefault="000565B4" w:rsidP="000565B4">
      <w:pPr>
        <w:pBdr>
          <w:top w:val="nil"/>
          <w:left w:val="nil"/>
          <w:bottom w:val="nil"/>
          <w:right w:val="nil"/>
          <w:between w:val="nil"/>
        </w:pBdr>
        <w:spacing w:after="0" w:line="240" w:lineRule="auto"/>
        <w:ind w:firstLine="709"/>
        <w:jc w:val="both"/>
        <w:rPr>
          <w:rFonts w:ascii="Verdana" w:eastAsia="Verdana" w:hAnsi="Verdana" w:cs="Verdana"/>
          <w:sz w:val="16"/>
          <w:szCs w:val="16"/>
        </w:rPr>
      </w:pPr>
      <w:r w:rsidRPr="00F23306">
        <w:rPr>
          <w:rFonts w:ascii="Verdana" w:hAnsi="Verdana"/>
          <w:sz w:val="16"/>
          <w:szCs w:val="16"/>
          <w:vertAlign w:val="superscript"/>
        </w:rPr>
        <w:footnoteRef/>
      </w:r>
      <w:r w:rsidRPr="00F23306">
        <w:rPr>
          <w:rFonts w:ascii="Verdana" w:eastAsia="Century Gothic" w:hAnsi="Verdana" w:cs="Century Gothic"/>
          <w:sz w:val="16"/>
          <w:szCs w:val="16"/>
        </w:rPr>
        <w:t xml:space="preserve"> </w:t>
      </w:r>
      <w:r w:rsidRPr="00F23306">
        <w:rPr>
          <w:rFonts w:ascii="Verdana" w:eastAsia="Verdana" w:hAnsi="Verdana" w:cs="Verdana"/>
          <w:sz w:val="16"/>
          <w:szCs w:val="16"/>
        </w:rPr>
        <w:t>ROPPO, Vincenzo. El contrato. Lima: Gaceta Jurídica, 2009. p. 547.</w:t>
      </w:r>
    </w:p>
  </w:footnote>
  <w:footnote w:id="21">
    <w:p w14:paraId="0F14F33F" w14:textId="77777777" w:rsidR="000565B4" w:rsidRPr="00F23306" w:rsidRDefault="000565B4" w:rsidP="000565B4">
      <w:pPr>
        <w:pBdr>
          <w:top w:val="nil"/>
          <w:left w:val="nil"/>
          <w:bottom w:val="nil"/>
          <w:right w:val="nil"/>
          <w:between w:val="nil"/>
        </w:pBdr>
        <w:spacing w:after="0" w:line="240" w:lineRule="auto"/>
        <w:ind w:firstLine="709"/>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Century Gothic" w:hAnsi="Verdana" w:cs="Century Gothic"/>
          <w:sz w:val="16"/>
          <w:szCs w:val="16"/>
        </w:rPr>
        <w:t xml:space="preserve"> </w:t>
      </w:r>
      <w:r w:rsidRPr="00F23306">
        <w:rPr>
          <w:rFonts w:ascii="Verdana" w:eastAsia="Verdana" w:hAnsi="Verdana" w:cs="Verdana"/>
          <w:i/>
          <w:iCs/>
          <w:sz w:val="16"/>
          <w:szCs w:val="16"/>
        </w:rPr>
        <w:t>Ibidem</w:t>
      </w:r>
      <w:r w:rsidRPr="00F23306">
        <w:rPr>
          <w:rFonts w:ascii="Verdana" w:eastAsia="Verdana" w:hAnsi="Verdana" w:cs="Verdana"/>
          <w:sz w:val="16"/>
          <w:szCs w:val="16"/>
        </w:rPr>
        <w:t>.</w:t>
      </w:r>
    </w:p>
  </w:footnote>
  <w:footnote w:id="22">
    <w:p w14:paraId="31C463A5" w14:textId="77777777" w:rsidR="000565B4" w:rsidRPr="00D964BC" w:rsidRDefault="000565B4" w:rsidP="000565B4">
      <w:pPr>
        <w:pBdr>
          <w:top w:val="nil"/>
          <w:left w:val="nil"/>
          <w:bottom w:val="nil"/>
          <w:right w:val="nil"/>
          <w:between w:val="nil"/>
        </w:pBdr>
        <w:spacing w:after="0" w:line="240" w:lineRule="auto"/>
        <w:ind w:firstLine="709"/>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w:t>
      </w:r>
      <w:r w:rsidRPr="00D964BC">
        <w:rPr>
          <w:rFonts w:ascii="Verdana" w:eastAsia="Verdana" w:hAnsi="Verdana" w:cs="Verdana"/>
          <w:color w:val="000000"/>
          <w:sz w:val="16"/>
          <w:szCs w:val="16"/>
        </w:rPr>
        <w:t xml:space="preserve">HINESTROSA, Fernando. Tratado de las obligaciones: concepto, estructura y vicisitudes. Tercera Edición. Bogotá: Universidad Externado de Colombia, 2007. Libro en formato EPUB. En contraste con la cesión de créditos, “La cesión de contrato […] al permitir la sustitución de una de las partes en el contrato que se ejecuta, valida al tercero cesionario para que adquiera los derechos y las obligaciones que correspondían al contratante cedente como efectos del contrato. Es decir, lo que en realidad se cede, es </w:t>
      </w:r>
      <w:r w:rsidRPr="00D964BC">
        <w:rPr>
          <w:rFonts w:ascii="Verdana" w:eastAsia="Verdana" w:hAnsi="Verdana" w:cs="Verdana"/>
          <w:sz w:val="16"/>
          <w:szCs w:val="16"/>
        </w:rPr>
        <w:t>mucho más que las posiciones o lados activos de las relaciones obligacionales. se cede también el lado pasivo, pues del contrato surgen como efecto obligaciones y derechos para las partes y la cesión de la posición contractual de una de ellas coloca al tercero cesionario en su lugar, en las mismas circunstancias frente al otro contratante” (ARRUBLA PAUCAR, Jaime Alberto. Contratos mercantiles: teoría general del negocio mercantil. Decimocuarta Edición. Bogotá: Legis, 2021. p. 251)</w:t>
      </w:r>
      <w:r w:rsidRPr="00D964BC">
        <w:rPr>
          <w:rFonts w:ascii="Verdana" w:eastAsia="Century Gothic" w:hAnsi="Verdana" w:cs="Century Gothic"/>
          <w:color w:val="000000"/>
          <w:sz w:val="16"/>
          <w:szCs w:val="16"/>
        </w:rPr>
        <w:t xml:space="preserve">.   </w:t>
      </w:r>
    </w:p>
  </w:footnote>
  <w:footnote w:id="23">
    <w:p w14:paraId="562F8DC7"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w:t>
      </w:r>
      <w:r w:rsidRPr="00D964BC">
        <w:rPr>
          <w:rFonts w:ascii="Verdana" w:eastAsia="Verdana" w:hAnsi="Verdana" w:cs="Verdana"/>
          <w:sz w:val="16"/>
          <w:szCs w:val="16"/>
        </w:rPr>
        <w:t>ESCOLA, Jorge. Tratado integral de los contratos administrativos. Volumen I. Buenos Aires: Depalma, 2012. p. 424. No en vano, “Quien contrata con la administración debe reunir condiciones previas, acreditadas por muy distintos medios, relativas a su capacidad técnica, financiera e incluso moral. De esas personas se ha seleccionado aquella que resulta la más conveniente para el caso, y esa persona no puede ser reemplazada por otra, por la sola decisión de ese cocontratante.</w:t>
      </w:r>
    </w:p>
    <w:p w14:paraId="795EE727"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eastAsia="Verdana" w:hAnsi="Verdana" w:cs="Verdana"/>
          <w:sz w:val="16"/>
          <w:szCs w:val="16"/>
        </w:rPr>
        <w:t xml:space="preserve">De ahí que el principio del cumplimiento personal de sus obligaciones por el cocontratante particular es una exigencia del contrato administrativo que resulta de su naturaleza, por lo que su aplicación es ineludible, aun en los casos en que no existen cláusulas expresas que impongan esa prestación personal o que prohíban la cesión o transferencia del contrato o la subcontratación”. </w:t>
      </w:r>
    </w:p>
  </w:footnote>
  <w:footnote w:id="24">
    <w:p w14:paraId="48D6B788"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MARIENHOFF, Miguel S. Tratado de derecho administrativo. Tomo IIIA. Cuarta Edición. Buenos Aires: Abeledo Perrot, 1998. p. 318. Énfasis dentro del texto.</w:t>
      </w:r>
    </w:p>
  </w:footnote>
  <w:footnote w:id="25">
    <w:p w14:paraId="704BB9B0"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RAMÍREZ GRISALES, Richard. La cesión. Serie: Las cláusulas del contrato estatal. Medellín: Centro de Estudios de Derecho Administrativo –CEDA– y Librería Jurídica Sánchez R., 2014. pp. 71-72.</w:t>
      </w:r>
    </w:p>
  </w:footnote>
  <w:footnote w:id="26">
    <w:p w14:paraId="241F9A9D" w14:textId="77777777" w:rsidR="000565B4" w:rsidRPr="00D964BC" w:rsidRDefault="000565B4" w:rsidP="000565B4">
      <w:pPr>
        <w:pBdr>
          <w:top w:val="nil"/>
          <w:left w:val="nil"/>
          <w:bottom w:val="nil"/>
          <w:right w:val="nil"/>
          <w:between w:val="nil"/>
        </w:pBdr>
        <w:spacing w:after="0" w:line="240" w:lineRule="auto"/>
        <w:ind w:firstLine="709"/>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Consejo de Estado, Sección Tercera, Sentencia del 16 de marzo de 2015, Rad. 1999-03028, M.P. Jaime Orlando Santofimio Gamboa.</w:t>
      </w:r>
    </w:p>
  </w:footnote>
  <w:footnote w:id="27">
    <w:p w14:paraId="6B7B2E4F" w14:textId="77777777" w:rsidR="000565B4" w:rsidRPr="00D964BC" w:rsidRDefault="000565B4" w:rsidP="000565B4">
      <w:pPr>
        <w:pBdr>
          <w:top w:val="nil"/>
          <w:left w:val="nil"/>
          <w:bottom w:val="nil"/>
          <w:right w:val="nil"/>
          <w:between w:val="nil"/>
        </w:pBdr>
        <w:spacing w:after="0" w:line="240" w:lineRule="auto"/>
        <w:ind w:firstLine="720"/>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Corte Constitucional. Sentencia C-949 del 5 de septiembre de 2001. M.P. Clara Inés Vargas Hernández.  </w:t>
      </w:r>
    </w:p>
    <w:p w14:paraId="6FAC6C28" w14:textId="77777777" w:rsidR="000565B4" w:rsidRPr="00D964BC" w:rsidRDefault="000565B4" w:rsidP="000565B4">
      <w:pPr>
        <w:pBdr>
          <w:top w:val="nil"/>
          <w:left w:val="nil"/>
          <w:bottom w:val="nil"/>
          <w:right w:val="nil"/>
          <w:between w:val="nil"/>
        </w:pBdr>
        <w:spacing w:after="0" w:line="240" w:lineRule="auto"/>
        <w:ind w:firstLine="720"/>
        <w:jc w:val="both"/>
        <w:rPr>
          <w:rFonts w:ascii="Verdana" w:eastAsia="Verdana" w:hAnsi="Verdana" w:cs="Verdana"/>
          <w:color w:val="000000"/>
          <w:sz w:val="16"/>
          <w:szCs w:val="16"/>
        </w:rPr>
      </w:pPr>
    </w:p>
  </w:footnote>
  <w:footnote w:id="28">
    <w:p w14:paraId="44BE2441"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RAMÍREZ GRISALES, La cesión… Op. cit., pp.159-160. </w:t>
      </w:r>
    </w:p>
  </w:footnote>
  <w:footnote w:id="29">
    <w:p w14:paraId="4D81B6D7" w14:textId="77777777" w:rsidR="000565B4" w:rsidRPr="00D964BC" w:rsidRDefault="000565B4" w:rsidP="000565B4">
      <w:pPr>
        <w:spacing w:after="0" w:line="240" w:lineRule="auto"/>
        <w:ind w:firstLine="708"/>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Verdana" w:hAnsi="Verdana" w:cs="Verdana"/>
          <w:sz w:val="16"/>
          <w:szCs w:val="16"/>
        </w:rPr>
        <w:t xml:space="preserve"> Colombia Compra Eficiente. Concepto C–059 de 2023. </w:t>
      </w:r>
    </w:p>
  </w:footnote>
  <w:footnote w:id="30">
    <w:p w14:paraId="04503F29" w14:textId="77777777" w:rsidR="000565B4" w:rsidRPr="00D964BC" w:rsidRDefault="000565B4" w:rsidP="000565B4">
      <w:pPr>
        <w:spacing w:after="0" w:line="240" w:lineRule="auto"/>
        <w:ind w:firstLine="708"/>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Verdana" w:hAnsi="Verdana" w:cs="Verdana"/>
          <w:sz w:val="16"/>
          <w:szCs w:val="16"/>
        </w:rPr>
        <w:t xml:space="preserve"> Consejo de Estado. Sala de Consulta y Servicio Civil. Concepto del 15 de mayo de 2018.C.P: Álvaro Namén Vargas. Radicación No. 11001-03-06-000-2017-00058-00 (2335). </w:t>
      </w:r>
    </w:p>
  </w:footnote>
  <w:footnote w:id="31">
    <w:p w14:paraId="1593AE56"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CONSEJO DE ESTADO. Sección Tercera. Subsección A. Sentencia del 9 de mayo de 2012. C.P. Mauricio Fajardo Gómez. Exp. 20968. </w:t>
      </w:r>
    </w:p>
  </w:footnote>
  <w:footnote w:id="32">
    <w:p w14:paraId="5D93D3AF" w14:textId="77777777" w:rsidR="000565B4" w:rsidRPr="00D964BC" w:rsidRDefault="000565B4" w:rsidP="000565B4">
      <w:pPr>
        <w:pBdr>
          <w:top w:val="nil"/>
          <w:left w:val="nil"/>
          <w:bottom w:val="nil"/>
          <w:right w:val="nil"/>
          <w:between w:val="nil"/>
        </w:pBdr>
        <w:spacing w:line="240" w:lineRule="auto"/>
        <w:ind w:firstLine="708"/>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Times New Roman" w:hAnsi="Verdana" w:cs="Times New Roman"/>
          <w:color w:val="000000"/>
          <w:sz w:val="16"/>
          <w:szCs w:val="16"/>
        </w:rPr>
        <w:t xml:space="preserve"> </w:t>
      </w:r>
      <w:r w:rsidRPr="00D964BC">
        <w:rPr>
          <w:rFonts w:ascii="Verdana" w:eastAsia="Verdana" w:hAnsi="Verdana" w:cs="Verdana"/>
          <w:color w:val="000000"/>
          <w:sz w:val="16"/>
          <w:szCs w:val="16"/>
        </w:rPr>
        <w:t>C</w:t>
      </w:r>
      <w:r w:rsidRPr="00D964BC">
        <w:rPr>
          <w:rFonts w:ascii="Verdana" w:eastAsia="Verdana" w:hAnsi="Verdana" w:cs="Verdana"/>
          <w:sz w:val="16"/>
          <w:szCs w:val="16"/>
        </w:rPr>
        <w:t>onsejo de Estado.</w:t>
      </w:r>
      <w:r w:rsidRPr="00D964BC">
        <w:rPr>
          <w:rFonts w:ascii="Verdana" w:eastAsia="Verdana" w:hAnsi="Verdana" w:cs="Verdana"/>
          <w:color w:val="000000"/>
          <w:sz w:val="16"/>
          <w:szCs w:val="16"/>
        </w:rPr>
        <w:t xml:space="preserve"> Sección Tercera. Subsección C. Sentencia del 18 de junio de 2025. C</w:t>
      </w:r>
      <w:r w:rsidRPr="00D964BC">
        <w:rPr>
          <w:rFonts w:ascii="Verdana" w:eastAsia="Verdana" w:hAnsi="Verdana" w:cs="Verdana"/>
          <w:sz w:val="16"/>
          <w:szCs w:val="16"/>
        </w:rPr>
        <w:t>. P</w:t>
      </w:r>
      <w:r w:rsidRPr="00D964BC">
        <w:rPr>
          <w:rFonts w:ascii="Verdana" w:eastAsia="Verdana" w:hAnsi="Verdana" w:cs="Verdana"/>
          <w:color w:val="000000"/>
          <w:sz w:val="16"/>
          <w:szCs w:val="16"/>
        </w:rPr>
        <w:t xml:space="preserve">: Nicolás Yepes Corrales. Exp. 66396. </w:t>
      </w:r>
    </w:p>
    <w:p w14:paraId="0B2CD47E" w14:textId="77777777" w:rsidR="000565B4" w:rsidRPr="00D964BC" w:rsidRDefault="000565B4" w:rsidP="000565B4">
      <w:pPr>
        <w:pBdr>
          <w:top w:val="nil"/>
          <w:left w:val="nil"/>
          <w:bottom w:val="nil"/>
          <w:right w:val="nil"/>
          <w:between w:val="nil"/>
        </w:pBdr>
        <w:spacing w:after="0" w:line="240" w:lineRule="auto"/>
        <w:rPr>
          <w:rFonts w:ascii="Verdana" w:hAnsi="Verdana"/>
          <w:color w:val="000000"/>
          <w:sz w:val="16"/>
          <w:szCs w:val="16"/>
        </w:rPr>
      </w:pPr>
    </w:p>
  </w:footnote>
  <w:footnote w:id="33">
    <w:p w14:paraId="51E0992C" w14:textId="77777777" w:rsidR="000565B4" w:rsidRPr="00D964BC" w:rsidRDefault="000565B4" w:rsidP="000565B4">
      <w:pPr>
        <w:pStyle w:val="Textonotapie"/>
        <w:ind w:firstLine="708"/>
        <w:rPr>
          <w:rFonts w:ascii="Verdana" w:hAnsi="Verdana"/>
          <w:sz w:val="16"/>
          <w:szCs w:val="16"/>
        </w:rPr>
      </w:pPr>
      <w:r w:rsidRPr="00D964BC">
        <w:rPr>
          <w:rStyle w:val="Refdenotaalpie"/>
          <w:rFonts w:ascii="Verdana" w:hAnsi="Verdana"/>
          <w:sz w:val="16"/>
          <w:szCs w:val="16"/>
        </w:rPr>
        <w:footnoteRef/>
      </w:r>
      <w:r w:rsidRPr="00D964BC">
        <w:rPr>
          <w:rFonts w:ascii="Verdana" w:hAnsi="Verdana"/>
          <w:sz w:val="16"/>
          <w:szCs w:val="16"/>
        </w:rPr>
        <w:t xml:space="preserve"> EXPÓSITO VÉLEZ, Juan Carlos. Forma y contenido del contrato estatal. Bogotá: Universidad Externado de Colombia. 2013. pp. </w:t>
      </w:r>
      <w:r>
        <w:rPr>
          <w:rFonts w:ascii="Verdana" w:hAnsi="Verdana"/>
          <w:sz w:val="16"/>
          <w:szCs w:val="16"/>
        </w:rPr>
        <w:t>204-205.</w:t>
      </w:r>
    </w:p>
  </w:footnote>
  <w:footnote w:id="34">
    <w:p w14:paraId="30611E0D" w14:textId="77777777" w:rsidR="000565B4" w:rsidRPr="00D964BC" w:rsidRDefault="000565B4" w:rsidP="000565B4">
      <w:pPr>
        <w:pStyle w:val="Textonotapie"/>
        <w:ind w:firstLine="708"/>
        <w:rPr>
          <w:rFonts w:ascii="Verdana" w:hAnsi="Verdana"/>
          <w:sz w:val="16"/>
          <w:szCs w:val="16"/>
          <w:lang w:val="es-ES_tradnl"/>
        </w:rPr>
      </w:pPr>
      <w:r w:rsidRPr="00D964BC">
        <w:rPr>
          <w:rStyle w:val="Refdenotaalpie"/>
          <w:rFonts w:ascii="Verdana" w:hAnsi="Verdana"/>
          <w:sz w:val="16"/>
          <w:szCs w:val="16"/>
        </w:rPr>
        <w:footnoteRef/>
      </w:r>
      <w:r w:rsidRPr="00D964BC">
        <w:rPr>
          <w:rFonts w:ascii="Verdana" w:hAnsi="Verdana"/>
          <w:sz w:val="16"/>
          <w:szCs w:val="16"/>
        </w:rPr>
        <w:t xml:space="preserve"> </w:t>
      </w:r>
      <w:r w:rsidRPr="00D964BC">
        <w:rPr>
          <w:rFonts w:ascii="Verdana" w:hAnsi="Verdana"/>
          <w:sz w:val="16"/>
          <w:szCs w:val="16"/>
          <w:lang w:val="es-ES_tradnl"/>
        </w:rPr>
        <w:t xml:space="preserve">Ibid. </w:t>
      </w:r>
    </w:p>
  </w:footnote>
  <w:footnote w:id="35">
    <w:p w14:paraId="18CAB63C" w14:textId="77777777" w:rsidR="000565B4" w:rsidRPr="007E410B" w:rsidRDefault="000565B4" w:rsidP="000565B4">
      <w:pPr>
        <w:pStyle w:val="Textonotapie"/>
        <w:ind w:firstLine="708"/>
        <w:jc w:val="both"/>
        <w:rPr>
          <w:rFonts w:ascii="Verdana" w:hAnsi="Verdana"/>
          <w:sz w:val="16"/>
          <w:szCs w:val="16"/>
        </w:rPr>
      </w:pPr>
      <w:r w:rsidRPr="007E410B">
        <w:rPr>
          <w:rStyle w:val="Refdenotaalpie"/>
          <w:rFonts w:ascii="Verdana" w:hAnsi="Verdana"/>
          <w:sz w:val="16"/>
          <w:szCs w:val="16"/>
        </w:rPr>
        <w:footnoteRef/>
      </w:r>
      <w:r w:rsidRPr="007E410B">
        <w:rPr>
          <w:rFonts w:ascii="Verdana" w:hAnsi="Verdana"/>
          <w:sz w:val="16"/>
          <w:szCs w:val="16"/>
        </w:rPr>
        <w:t xml:space="preserve"> Sobre la configuración del vicio de falsa motivación, ver, entre otras: </w:t>
      </w:r>
      <w:r w:rsidRPr="00DE5412">
        <w:rPr>
          <w:rFonts w:ascii="Verdana" w:hAnsi="Verdana"/>
          <w:sz w:val="16"/>
          <w:szCs w:val="16"/>
        </w:rPr>
        <w:t>CONSEJO DE ESTADO</w:t>
      </w:r>
      <w:r w:rsidRPr="007E410B">
        <w:rPr>
          <w:rFonts w:ascii="Verdana" w:hAnsi="Verdana"/>
          <w:sz w:val="16"/>
          <w:szCs w:val="16"/>
        </w:rPr>
        <w:t>, Sección Cuarta, sentencia del 23 de junio de 2011, exp. 16.090, C.P. Hugo Fernando Bastidas Bárcenas</w:t>
      </w:r>
      <w:r w:rsidRPr="00DE5412">
        <w:rPr>
          <w:rFonts w:ascii="Verdana" w:hAnsi="Verdana"/>
          <w:sz w:val="16"/>
          <w:szCs w:val="16"/>
        </w:rPr>
        <w:t>; CONSEJO DE ESTADO</w:t>
      </w:r>
      <w:r w:rsidRPr="007E410B">
        <w:rPr>
          <w:rFonts w:ascii="Verdana" w:hAnsi="Verdana"/>
          <w:sz w:val="16"/>
          <w:szCs w:val="16"/>
        </w:rPr>
        <w:t xml:space="preserve">, Sección Tercera, Subsección A, sentencia del 21 de mayo de 2021, exp. 66.756, C.P. José Roberto Sáchica Méndez; y </w:t>
      </w:r>
      <w:r w:rsidRPr="00DE5412">
        <w:rPr>
          <w:rFonts w:ascii="Verdana" w:hAnsi="Verdana"/>
          <w:sz w:val="16"/>
          <w:szCs w:val="16"/>
        </w:rPr>
        <w:t>CONSEJO DE ESTADO</w:t>
      </w:r>
      <w:r w:rsidRPr="007E410B">
        <w:rPr>
          <w:rFonts w:ascii="Verdana" w:hAnsi="Verdana"/>
          <w:sz w:val="16"/>
          <w:szCs w:val="16"/>
        </w:rPr>
        <w:t>, Sección Tercera, Subsección C, sentencia del 8 de junio de 2022, exp. 67.690, C.P. Marta Nubia Velásquez Rico.</w:t>
      </w:r>
    </w:p>
  </w:footnote>
  <w:footnote w:id="36">
    <w:p w14:paraId="33BDE9A6" w14:textId="77777777" w:rsidR="000565B4" w:rsidRPr="007E410B" w:rsidRDefault="000565B4" w:rsidP="000565B4">
      <w:pPr>
        <w:pStyle w:val="Textonotapie"/>
        <w:jc w:val="both"/>
        <w:rPr>
          <w:rFonts w:ascii="Verdana" w:hAnsi="Verdana"/>
          <w:sz w:val="16"/>
          <w:szCs w:val="16"/>
        </w:rPr>
      </w:pPr>
    </w:p>
    <w:p w14:paraId="17B95495" w14:textId="77777777" w:rsidR="000565B4" w:rsidRPr="00DE5412" w:rsidRDefault="000565B4" w:rsidP="000565B4">
      <w:pPr>
        <w:pStyle w:val="Textonotapie"/>
        <w:ind w:firstLine="708"/>
        <w:jc w:val="both"/>
        <w:rPr>
          <w:rFonts w:ascii="Verdana" w:hAnsi="Verdana"/>
          <w:sz w:val="16"/>
          <w:szCs w:val="16"/>
        </w:rPr>
      </w:pPr>
      <w:r w:rsidRPr="007E410B">
        <w:rPr>
          <w:rStyle w:val="Refdenotaalpie"/>
          <w:rFonts w:ascii="Verdana" w:hAnsi="Verdana"/>
          <w:sz w:val="16"/>
          <w:szCs w:val="16"/>
        </w:rPr>
        <w:footnoteRef/>
      </w:r>
      <w:r w:rsidRPr="007E410B">
        <w:rPr>
          <w:rFonts w:ascii="Verdana" w:hAnsi="Verdana"/>
          <w:sz w:val="16"/>
          <w:szCs w:val="16"/>
        </w:rPr>
        <w:t xml:space="preserve"> En relación con los presupuestos para la declaratoria de caducidad del contrato estatal, ver, entre otras:</w:t>
      </w:r>
      <w:r w:rsidRPr="00DE5412">
        <w:rPr>
          <w:rFonts w:ascii="Verdana" w:hAnsi="Verdana"/>
          <w:sz w:val="16"/>
          <w:szCs w:val="16"/>
        </w:rPr>
        <w:t xml:space="preserve"> </w:t>
      </w:r>
      <w:r w:rsidRPr="007E410B">
        <w:rPr>
          <w:rFonts w:ascii="Verdana" w:hAnsi="Verdana"/>
          <w:sz w:val="16"/>
          <w:szCs w:val="16"/>
        </w:rPr>
        <w:t xml:space="preserve">CONSEJO DE ESTADO, Sección Tercera, sentencia del 30 de enero de 2013, exp. 20.342, C.P. Mauricio Fajardo Gómez; CONSEJO DE ESTADO, Sección Tercera, Subsección B, sentencia del 26 de julio de 2021, rad. 47001-23-31-000-2011-00119-01, C.P. María Adriana Marín; y CONSEJO DE ESTADO, Sección Tercera, Subsección C, sentencia del 8 de junio de 2022, exp. 67.690, C.P. Marta Nubia Velásquez Rico. </w:t>
      </w:r>
    </w:p>
    <w:p w14:paraId="3BEE9259" w14:textId="77777777" w:rsidR="000565B4" w:rsidRPr="007E410B" w:rsidRDefault="000565B4" w:rsidP="000565B4">
      <w:pPr>
        <w:pStyle w:val="Textonotapie"/>
        <w:ind w:firstLine="708"/>
        <w:jc w:val="both"/>
        <w:rPr>
          <w:rFonts w:ascii="Verdana" w:hAnsi="Verdana"/>
          <w:sz w:val="16"/>
          <w:szCs w:val="16"/>
        </w:rPr>
      </w:pPr>
    </w:p>
  </w:footnote>
  <w:footnote w:id="37">
    <w:p w14:paraId="4A713F57" w14:textId="77777777" w:rsidR="000565B4" w:rsidRPr="007E410B" w:rsidRDefault="000565B4" w:rsidP="000565B4">
      <w:pPr>
        <w:pStyle w:val="Textonotapie"/>
        <w:ind w:firstLine="708"/>
        <w:jc w:val="both"/>
        <w:rPr>
          <w:rFonts w:ascii="Verdana" w:hAnsi="Verdana"/>
          <w:sz w:val="16"/>
          <w:szCs w:val="16"/>
        </w:rPr>
      </w:pPr>
      <w:r w:rsidRPr="007E410B">
        <w:rPr>
          <w:rStyle w:val="Refdenotaalpie"/>
          <w:rFonts w:ascii="Verdana" w:hAnsi="Verdana"/>
          <w:sz w:val="16"/>
          <w:szCs w:val="16"/>
        </w:rPr>
        <w:footnoteRef/>
      </w:r>
      <w:r w:rsidRPr="007E410B">
        <w:rPr>
          <w:rFonts w:ascii="Verdana" w:hAnsi="Verdana"/>
          <w:sz w:val="16"/>
          <w:szCs w:val="16"/>
        </w:rPr>
        <w:t xml:space="preserve"> En cuanto al principio de legalidad y a la interpretación restrictiva de las potestades excepcionales en la contratación estatal, ver, entre otras: CONSEJO DE ESTADO, Sección Tercera, sentencia del 20 de octubre de 2005, exp. 14.579, C.P. Germán Rodríguez Villamizar; y CONSEJO DE ESTADO, Sala de Consulta y Servicio Civil, Concepto del 6 de abril de 2000, rad. 1.230, C.P. Augusto Trejos Jaramillo, conforme a los cuales el ejercicio de las prerrogativas exorbitantes de la Administración exige habilitación legal expresa y las causales que autorizan la terminación unilateral del contrato estatal son de carácter taxativo, por lo que no admiten interpretación extensiva ni aplicación analógica.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6CCB" w14:textId="77777777" w:rsidR="00843DAC" w:rsidRDefault="00CA0EDB">
    <w:pPr>
      <w:pBdr>
        <w:top w:val="nil"/>
        <w:left w:val="nil"/>
        <w:bottom w:val="nil"/>
        <w:right w:val="nil"/>
        <w:between w:val="nil"/>
      </w:pBdr>
      <w:tabs>
        <w:tab w:val="center" w:pos="4419"/>
        <w:tab w:val="right" w:pos="8838"/>
      </w:tabs>
      <w:spacing w:after="0" w:line="120" w:lineRule="auto"/>
      <w:rPr>
        <w:color w:val="000000"/>
      </w:rPr>
    </w:pPr>
    <w:r>
      <w:rPr>
        <w:rFonts w:ascii="Geom" w:eastAsia="Geom" w:hAnsi="Geom" w:cs="Geom"/>
        <w:b/>
        <w:bCs/>
        <w:noProof/>
        <w:color w:val="002060"/>
        <w:sz w:val="24"/>
        <w:szCs w:val="24"/>
      </w:rPr>
      <w:drawing>
        <wp:anchor distT="0" distB="0" distL="114300" distR="114300" simplePos="0" relativeHeight="251658240" behindDoc="0" locked="0" layoutInCell="1" hidden="0" allowOverlap="1" wp14:anchorId="50DA7FEB" wp14:editId="696A39C1">
          <wp:simplePos x="0" y="0"/>
          <wp:positionH relativeFrom="margin">
            <wp:posOffset>8420100</wp:posOffset>
          </wp:positionH>
          <wp:positionV relativeFrom="margin">
            <wp:posOffset>-1377948</wp:posOffset>
          </wp:positionV>
          <wp:extent cx="665480" cy="30988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5480" cy="3098800"/>
                  </a:xfrm>
                  <a:prstGeom prst="rect">
                    <a:avLst/>
                  </a:prstGeom>
                  <a:ln/>
                </pic:spPr>
              </pic:pic>
            </a:graphicData>
          </a:graphic>
        </wp:anchor>
      </w:drawing>
    </w:r>
    <w:r>
      <w:rPr>
        <w:noProof/>
      </w:rPr>
      <w:drawing>
        <wp:anchor distT="0" distB="0" distL="0" distR="0" simplePos="0" relativeHeight="251659264" behindDoc="1" locked="0" layoutInCell="1" hidden="0" allowOverlap="1" wp14:anchorId="2B3683B8" wp14:editId="6568052E">
          <wp:simplePos x="0" y="0"/>
          <wp:positionH relativeFrom="column">
            <wp:posOffset>1844039</wp:posOffset>
          </wp:positionH>
          <wp:positionV relativeFrom="paragraph">
            <wp:posOffset>-256384</wp:posOffset>
          </wp:positionV>
          <wp:extent cx="1924050" cy="856004"/>
          <wp:effectExtent l="0" t="0" r="0" b="0"/>
          <wp:wrapNone/>
          <wp:docPr id="2" name="image2.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Interfaz de usuario gráfica&#10;&#10;Descripción generada automáticamente"/>
                  <pic:cNvPicPr preferRelativeResize="0"/>
                </pic:nvPicPr>
                <pic:blipFill>
                  <a:blip r:embed="rId2"/>
                  <a:srcRect/>
                  <a:stretch>
                    <a:fillRect/>
                  </a:stretch>
                </pic:blipFill>
                <pic:spPr>
                  <a:xfrm>
                    <a:off x="0" y="0"/>
                    <a:ext cx="1924050" cy="856004"/>
                  </a:xfrm>
                  <a:prstGeom prst="rect">
                    <a:avLst/>
                  </a:prstGeom>
                  <a:ln/>
                </pic:spPr>
              </pic:pic>
            </a:graphicData>
          </a:graphic>
        </wp:anchor>
      </w:drawing>
    </w:r>
  </w:p>
  <w:p w14:paraId="58E8822F" w14:textId="77777777" w:rsidR="00843DAC" w:rsidRDefault="00843DAC">
    <w:pPr>
      <w:pBdr>
        <w:top w:val="nil"/>
        <w:left w:val="nil"/>
        <w:bottom w:val="nil"/>
        <w:right w:val="nil"/>
        <w:between w:val="nil"/>
      </w:pBdr>
      <w:tabs>
        <w:tab w:val="center" w:pos="4419"/>
        <w:tab w:val="right" w:pos="8838"/>
      </w:tabs>
      <w:spacing w:after="0" w:line="240" w:lineRule="auto"/>
      <w:rPr>
        <w:color w:val="000000"/>
      </w:rPr>
    </w:pPr>
  </w:p>
  <w:p w14:paraId="6AD72821" w14:textId="77777777" w:rsidR="00843DAC" w:rsidRDefault="00843DAC">
    <w:pPr>
      <w:spacing w:after="0" w:line="120" w:lineRule="auto"/>
      <w:rPr>
        <w:rFonts w:ascii="Century Gothic" w:eastAsia="Century Gothic" w:hAnsi="Century Gothic" w:cs="Century Gothic"/>
        <w:sz w:val="16"/>
        <w:szCs w:val="16"/>
      </w:rPr>
    </w:pPr>
  </w:p>
  <w:p w14:paraId="5B2B58C5" w14:textId="77777777" w:rsidR="00843DAC" w:rsidRDefault="00843DAC">
    <w:pPr>
      <w:spacing w:after="0" w:line="240" w:lineRule="auto"/>
      <w:rPr>
        <w:rFonts w:ascii="Verdana" w:eastAsia="Verdana" w:hAnsi="Verdana" w:cs="Verdana"/>
        <w:sz w:val="24"/>
        <w:szCs w:val="24"/>
      </w:rPr>
    </w:pPr>
  </w:p>
  <w:p w14:paraId="28F9753B" w14:textId="77777777" w:rsidR="00843DAC" w:rsidRDefault="00843DAC">
    <w:pPr>
      <w:spacing w:after="0" w:line="240" w:lineRule="auto"/>
      <w:rPr>
        <w:rFonts w:ascii="Verdana" w:eastAsia="Verdana" w:hAnsi="Verdana" w:cs="Verdana"/>
        <w:sz w:val="24"/>
        <w:szCs w:val="24"/>
      </w:rPr>
    </w:pPr>
  </w:p>
  <w:p w14:paraId="05130EFC" w14:textId="77777777" w:rsidR="00843DAC" w:rsidRDefault="00CA0EDB">
    <w:pPr>
      <w:spacing w:after="0" w:line="480" w:lineRule="auto"/>
      <w:rPr>
        <w:rFonts w:ascii="Verdana" w:eastAsia="Verdana" w:hAnsi="Verdana" w:cs="Verdana"/>
        <w:b/>
        <w:bCs/>
        <w:sz w:val="24"/>
        <w:szCs w:val="24"/>
      </w:rPr>
    </w:pPr>
    <w:r>
      <w:rPr>
        <w:rFonts w:ascii="Verdana" w:eastAsia="Verdana" w:hAnsi="Verdana" w:cs="Verdana"/>
        <w:b/>
        <w:bCs/>
        <w:sz w:val="24"/>
        <w:szCs w:val="24"/>
      </w:rPr>
      <w:t>FORMATO DE RESPUESTA 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732"/>
    <w:multiLevelType w:val="multilevel"/>
    <w:tmpl w:val="706074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B471867"/>
    <w:multiLevelType w:val="multilevel"/>
    <w:tmpl w:val="9E14F608"/>
    <w:lvl w:ilvl="0">
      <w:start w:val="1"/>
      <w:numFmt w:val="bullet"/>
      <w:lvlText w:val="●"/>
      <w:lvlJc w:val="left"/>
      <w:pPr>
        <w:ind w:left="785" w:hanging="360"/>
      </w:pPr>
      <w:rPr>
        <w:rFonts w:ascii="Noto Sans Symbols" w:eastAsia="Noto Sans Symbols" w:hAnsi="Noto Sans Symbols" w:cs="Noto Sans Symbols"/>
        <w:color w:val="000000"/>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 w15:restartNumberingAfterBreak="0">
    <w:nsid w:val="1E9E3F36"/>
    <w:multiLevelType w:val="hybridMultilevel"/>
    <w:tmpl w:val="9132CD72"/>
    <w:lvl w:ilvl="0" w:tplc="1CCE837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4605003"/>
    <w:multiLevelType w:val="multilevel"/>
    <w:tmpl w:val="79040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67442087">
    <w:abstractNumId w:val="3"/>
  </w:num>
  <w:num w:numId="2" w16cid:durableId="1227230317">
    <w:abstractNumId w:val="1"/>
  </w:num>
  <w:num w:numId="3" w16cid:durableId="659309883">
    <w:abstractNumId w:val="0"/>
  </w:num>
  <w:num w:numId="4" w16cid:durableId="2107188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AC"/>
    <w:rsid w:val="0000494B"/>
    <w:rsid w:val="0001324F"/>
    <w:rsid w:val="00014FC4"/>
    <w:rsid w:val="00015385"/>
    <w:rsid w:val="00034DC2"/>
    <w:rsid w:val="0003537D"/>
    <w:rsid w:val="000565B4"/>
    <w:rsid w:val="00086199"/>
    <w:rsid w:val="000A41BF"/>
    <w:rsid w:val="000B182B"/>
    <w:rsid w:val="000B27F2"/>
    <w:rsid w:val="000D1B48"/>
    <w:rsid w:val="000F3222"/>
    <w:rsid w:val="000F52F3"/>
    <w:rsid w:val="0011143B"/>
    <w:rsid w:val="00126698"/>
    <w:rsid w:val="0016425C"/>
    <w:rsid w:val="001E4738"/>
    <w:rsid w:val="001E6AE5"/>
    <w:rsid w:val="00222386"/>
    <w:rsid w:val="00222E04"/>
    <w:rsid w:val="0022517D"/>
    <w:rsid w:val="00261AF5"/>
    <w:rsid w:val="00262A24"/>
    <w:rsid w:val="00271E8D"/>
    <w:rsid w:val="00272D62"/>
    <w:rsid w:val="002875AA"/>
    <w:rsid w:val="00291BFB"/>
    <w:rsid w:val="002A0808"/>
    <w:rsid w:val="002A2897"/>
    <w:rsid w:val="002D14B9"/>
    <w:rsid w:val="002D2153"/>
    <w:rsid w:val="002E3583"/>
    <w:rsid w:val="0030214F"/>
    <w:rsid w:val="00321D9F"/>
    <w:rsid w:val="00327462"/>
    <w:rsid w:val="00327AC8"/>
    <w:rsid w:val="003427B5"/>
    <w:rsid w:val="00350A9F"/>
    <w:rsid w:val="003812C8"/>
    <w:rsid w:val="003821A6"/>
    <w:rsid w:val="00385265"/>
    <w:rsid w:val="003856C6"/>
    <w:rsid w:val="00385D74"/>
    <w:rsid w:val="00390154"/>
    <w:rsid w:val="003B0957"/>
    <w:rsid w:val="003B1E23"/>
    <w:rsid w:val="003B38FA"/>
    <w:rsid w:val="003C4B86"/>
    <w:rsid w:val="003D32F9"/>
    <w:rsid w:val="003E04FD"/>
    <w:rsid w:val="003E316B"/>
    <w:rsid w:val="003E77FB"/>
    <w:rsid w:val="003E7FD4"/>
    <w:rsid w:val="00411AB2"/>
    <w:rsid w:val="0043205B"/>
    <w:rsid w:val="004451C2"/>
    <w:rsid w:val="00470DC2"/>
    <w:rsid w:val="00473195"/>
    <w:rsid w:val="0047426F"/>
    <w:rsid w:val="00477480"/>
    <w:rsid w:val="00480EEF"/>
    <w:rsid w:val="004A072D"/>
    <w:rsid w:val="004D46D3"/>
    <w:rsid w:val="0050257A"/>
    <w:rsid w:val="00510412"/>
    <w:rsid w:val="005232CA"/>
    <w:rsid w:val="005279D5"/>
    <w:rsid w:val="00557BDA"/>
    <w:rsid w:val="00587C15"/>
    <w:rsid w:val="00592043"/>
    <w:rsid w:val="00594178"/>
    <w:rsid w:val="0062331C"/>
    <w:rsid w:val="006A7B2B"/>
    <w:rsid w:val="006C6B3F"/>
    <w:rsid w:val="006D0E1F"/>
    <w:rsid w:val="006F35B1"/>
    <w:rsid w:val="00726B2E"/>
    <w:rsid w:val="00750B60"/>
    <w:rsid w:val="00751D38"/>
    <w:rsid w:val="00752B93"/>
    <w:rsid w:val="007754E3"/>
    <w:rsid w:val="007A2AE6"/>
    <w:rsid w:val="007C064A"/>
    <w:rsid w:val="00810B59"/>
    <w:rsid w:val="00811026"/>
    <w:rsid w:val="00840DF0"/>
    <w:rsid w:val="00843DAC"/>
    <w:rsid w:val="008512AA"/>
    <w:rsid w:val="0085493A"/>
    <w:rsid w:val="00861126"/>
    <w:rsid w:val="00872DA4"/>
    <w:rsid w:val="008A6781"/>
    <w:rsid w:val="008A7C8A"/>
    <w:rsid w:val="008B2A23"/>
    <w:rsid w:val="008B5F92"/>
    <w:rsid w:val="008B6D1F"/>
    <w:rsid w:val="008E2943"/>
    <w:rsid w:val="00925909"/>
    <w:rsid w:val="00962DC5"/>
    <w:rsid w:val="0097651A"/>
    <w:rsid w:val="0099078E"/>
    <w:rsid w:val="009937E2"/>
    <w:rsid w:val="009A044C"/>
    <w:rsid w:val="009B614C"/>
    <w:rsid w:val="009D1B9D"/>
    <w:rsid w:val="00A01487"/>
    <w:rsid w:val="00A64102"/>
    <w:rsid w:val="00A72869"/>
    <w:rsid w:val="00A86750"/>
    <w:rsid w:val="00A87B65"/>
    <w:rsid w:val="00A919EB"/>
    <w:rsid w:val="00AB0195"/>
    <w:rsid w:val="00AD1D84"/>
    <w:rsid w:val="00B06D4E"/>
    <w:rsid w:val="00B142D1"/>
    <w:rsid w:val="00B26AEF"/>
    <w:rsid w:val="00B35AD3"/>
    <w:rsid w:val="00B62BE7"/>
    <w:rsid w:val="00B74B07"/>
    <w:rsid w:val="00B80C4F"/>
    <w:rsid w:val="00B956FC"/>
    <w:rsid w:val="00BA6B60"/>
    <w:rsid w:val="00BB2DF9"/>
    <w:rsid w:val="00BB734C"/>
    <w:rsid w:val="00BC0E84"/>
    <w:rsid w:val="00BE229C"/>
    <w:rsid w:val="00C15824"/>
    <w:rsid w:val="00C30F11"/>
    <w:rsid w:val="00C4001F"/>
    <w:rsid w:val="00C84353"/>
    <w:rsid w:val="00C90DD6"/>
    <w:rsid w:val="00C95CB0"/>
    <w:rsid w:val="00C95DD6"/>
    <w:rsid w:val="00CA0EDB"/>
    <w:rsid w:val="00CD4F3A"/>
    <w:rsid w:val="00CE23CC"/>
    <w:rsid w:val="00D102AC"/>
    <w:rsid w:val="00D1175F"/>
    <w:rsid w:val="00D14375"/>
    <w:rsid w:val="00D46A92"/>
    <w:rsid w:val="00D51A28"/>
    <w:rsid w:val="00D76462"/>
    <w:rsid w:val="00D81923"/>
    <w:rsid w:val="00D964BC"/>
    <w:rsid w:val="00E1743D"/>
    <w:rsid w:val="00E17CB2"/>
    <w:rsid w:val="00E23338"/>
    <w:rsid w:val="00E34E8E"/>
    <w:rsid w:val="00E47A7F"/>
    <w:rsid w:val="00E5559A"/>
    <w:rsid w:val="00E75187"/>
    <w:rsid w:val="00E945C9"/>
    <w:rsid w:val="00EA790B"/>
    <w:rsid w:val="00ED50A7"/>
    <w:rsid w:val="00ED6335"/>
    <w:rsid w:val="00F1675F"/>
    <w:rsid w:val="00F23306"/>
    <w:rsid w:val="00F424DE"/>
    <w:rsid w:val="00F42CB5"/>
    <w:rsid w:val="00F660C5"/>
    <w:rsid w:val="00F8084F"/>
    <w:rsid w:val="00F87E22"/>
    <w:rsid w:val="00FB59C8"/>
    <w:rsid w:val="00FD4A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7F69"/>
  <w15:docId w15:val="{B608B1AF-286C-9442-9FB9-539B64C6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9D"/>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0" w:line="240" w:lineRule="auto"/>
    </w:pPr>
    <w:rPr>
      <w:rFonts w:ascii="Geom" w:eastAsia="Geom" w:hAnsi="Geom" w:cs="Geom"/>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557BDA"/>
    <w:pPr>
      <w:ind w:left="720"/>
      <w:contextualSpacing/>
    </w:pPr>
  </w:style>
  <w:style w:type="paragraph" w:styleId="Textonotapie">
    <w:name w:val="footnote text"/>
    <w:basedOn w:val="Normal"/>
    <w:link w:val="TextonotapieCar"/>
    <w:uiPriority w:val="99"/>
    <w:semiHidden/>
    <w:unhideWhenUsed/>
    <w:rsid w:val="00F167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675F"/>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F1675F"/>
    <w:rPr>
      <w:vertAlign w:val="superscript"/>
    </w:rPr>
  </w:style>
  <w:style w:type="paragraph" w:styleId="Textoindependiente">
    <w:name w:val="Body Text"/>
    <w:basedOn w:val="Normal"/>
    <w:link w:val="TextoindependienteCar"/>
    <w:uiPriority w:val="1"/>
    <w:qFormat/>
    <w:rsid w:val="0011143B"/>
    <w:pPr>
      <w:widowControl w:val="0"/>
      <w:autoSpaceDE w:val="0"/>
      <w:autoSpaceDN w:val="0"/>
      <w:spacing w:after="0" w:line="240" w:lineRule="auto"/>
    </w:pPr>
    <w:rPr>
      <w:rFonts w:ascii="Verdana" w:eastAsia="Verdana" w:hAnsi="Verdana" w:cs="Verdana"/>
      <w:lang w:val="es-ES" w:eastAsia="en-US"/>
    </w:rPr>
  </w:style>
  <w:style w:type="character" w:customStyle="1" w:styleId="TextoindependienteCar">
    <w:name w:val="Texto independiente Car"/>
    <w:basedOn w:val="Fuentedeprrafopredeter"/>
    <w:link w:val="Textoindependiente"/>
    <w:uiPriority w:val="1"/>
    <w:rsid w:val="0011143B"/>
    <w:rPr>
      <w:rFonts w:ascii="Verdana" w:eastAsia="Verdana" w:hAnsi="Verdana" w:cs="Verdana"/>
      <w:lang w:val="es-ES" w:eastAsia="en-US"/>
    </w:rPr>
  </w:style>
  <w:style w:type="paragraph" w:styleId="Revisin">
    <w:name w:val="Revision"/>
    <w:hidden/>
    <w:uiPriority w:val="99"/>
    <w:semiHidden/>
    <w:rsid w:val="00262A24"/>
    <w:pPr>
      <w:spacing w:after="0" w:line="240" w:lineRule="auto"/>
    </w:pPr>
  </w:style>
  <w:style w:type="paragraph" w:styleId="NormalWeb">
    <w:name w:val="Normal (Web)"/>
    <w:basedOn w:val="Normal"/>
    <w:uiPriority w:val="99"/>
    <w:semiHidden/>
    <w:unhideWhenUsed/>
    <w:rsid w:val="00594178"/>
    <w:rPr>
      <w:rFonts w:ascii="Times New Roman" w:hAnsi="Times New Roman" w:cs="Times New Roman"/>
      <w:sz w:val="24"/>
      <w:szCs w:val="24"/>
    </w:rPr>
  </w:style>
  <w:style w:type="paragraph" w:customStyle="1" w:styleId="Appelnotedebasde">
    <w:name w:val="Appel note de bas de..."/>
    <w:basedOn w:val="Normal"/>
    <w:link w:val="Refdenotaalpie"/>
    <w:uiPriority w:val="99"/>
    <w:rsid w:val="000D1B48"/>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tencionciudadano@invias.gov.co"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DhrqkWZrQnE0ULO6sP8F/XWcwQ==">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5C5C23-F728-4138-9D77-C4F509B714D5}">
  <ds:schemaRefs>
    <ds:schemaRef ds:uri="http://schemas.microsoft.com/sharepoint/v3/contenttype/forms"/>
  </ds:schemaRefs>
</ds:datastoreItem>
</file>

<file path=customXml/itemProps3.xml><?xml version="1.0" encoding="utf-8"?>
<ds:datastoreItem xmlns:ds="http://schemas.openxmlformats.org/officeDocument/2006/customXml" ds:itemID="{E841B4D8-EC5E-4E63-84EC-D0FA01ECD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BE7636-05B8-4144-92B0-E12F923E268B}">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5.xml><?xml version="1.0" encoding="utf-8"?>
<ds:datastoreItem xmlns:ds="http://schemas.openxmlformats.org/officeDocument/2006/customXml" ds:itemID="{13981143-74FB-6341-B424-71CE589C8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51</Pages>
  <Words>18733</Words>
  <Characters>103037</Characters>
  <Application>Microsoft Office Word</Application>
  <DocSecurity>0</DocSecurity>
  <Lines>858</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Sanchez</dc:creator>
  <cp:lastModifiedBy>Sergio Andrés Rivera Cano</cp:lastModifiedBy>
  <cp:revision>11</cp:revision>
  <dcterms:created xsi:type="dcterms:W3CDTF">2026-07-24T18:07:00Z</dcterms:created>
  <dcterms:modified xsi:type="dcterms:W3CDTF">2026-07-25T18:15:00Z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MediaServiceImageTags</vt:lpwstr>
  </property>
</Properties>
</file>