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AA89" w14:textId="77777777" w:rsidR="00F74645" w:rsidRPr="00F74645" w:rsidRDefault="00F74645" w:rsidP="00F74645">
      <w:pPr>
        <w:jc w:val="both"/>
        <w:rPr>
          <w:rFonts w:ascii="Verdana" w:eastAsia="Calibri" w:hAnsi="Verdana" w:cs="Arial"/>
          <w:b/>
          <w:bCs/>
          <w:lang w:val="es-MX" w:eastAsia="es-ES"/>
        </w:rPr>
      </w:pPr>
      <w:r w:rsidRPr="00F74645">
        <w:rPr>
          <w:rFonts w:ascii="Verdana" w:eastAsia="Calibri" w:hAnsi="Verdana" w:cs="Arial"/>
          <w:b/>
          <w:bCs/>
          <w:lang w:val="es-MX" w:eastAsia="es-ES"/>
        </w:rPr>
        <w:t xml:space="preserve">FIDUCIA MERCANTIL – Concepto – Características </w:t>
      </w:r>
    </w:p>
    <w:p w14:paraId="0616209E" w14:textId="77777777" w:rsidR="00F74645" w:rsidRPr="00F74645" w:rsidRDefault="00F74645" w:rsidP="00F74645">
      <w:pPr>
        <w:spacing w:after="0" w:line="240" w:lineRule="auto"/>
        <w:contextualSpacing/>
        <w:jc w:val="both"/>
        <w:rPr>
          <w:rFonts w:ascii="Verdana" w:eastAsia="Calibri" w:hAnsi="Verdana" w:cs="Arial"/>
          <w:sz w:val="20"/>
          <w:szCs w:val="20"/>
          <w:lang w:val="es-ES_tradnl"/>
        </w:rPr>
      </w:pPr>
      <w:r w:rsidRPr="00F74645">
        <w:rPr>
          <w:rFonts w:ascii="Verdana" w:eastAsia="MS Mincho" w:hAnsi="Verdana" w:cs="Arial"/>
          <w:sz w:val="20"/>
          <w:szCs w:val="20"/>
          <w:lang w:val="es-ES" w:eastAsia="es-CO"/>
        </w:rPr>
        <w:t xml:space="preserve">El artículo 1226 del Código de Comercio define el contrato de </w:t>
      </w:r>
      <w:r w:rsidRPr="00F74645">
        <w:rPr>
          <w:rFonts w:ascii="Verdana" w:eastAsia="MS Mincho" w:hAnsi="Verdana" w:cs="Arial"/>
          <w:i/>
          <w:iCs/>
          <w:sz w:val="20"/>
          <w:szCs w:val="20"/>
          <w:lang w:val="es-ES" w:eastAsia="es-CO"/>
        </w:rPr>
        <w:t>fiducia mercantil</w:t>
      </w:r>
      <w:r w:rsidRPr="00F74645">
        <w:rPr>
          <w:rFonts w:ascii="Verdana" w:eastAsia="MS Mincho" w:hAnsi="Verdana" w:cs="Arial"/>
          <w:sz w:val="20"/>
          <w:szCs w:val="20"/>
          <w:lang w:val="es-ES" w:eastAsia="es-CO"/>
        </w:rPr>
        <w:t xml:space="preserve"> así: </w:t>
      </w:r>
      <w:r w:rsidRPr="00F74645">
        <w:rPr>
          <w:rFonts w:ascii="Verdana" w:eastAsia="Calibri" w:hAnsi="Verdana" w:cs="Arial"/>
          <w:sz w:val="20"/>
          <w:szCs w:val="20"/>
          <w:lang w:val="es-ES_tradnl"/>
        </w:rPr>
        <w:t>“La fiducia mercantil es un negocio jurídico en virtud del cual una persona, llamada fiduciante o fideicomitente, transfiere uno o más bienes especificados a otra, llamada fiduciario, quien se obliga a administrarlos o enajenarlos para cumplir una finalidad determinada por el constituyente, en provecho de éste o de un tercero llamado beneficiario o</w:t>
      </w:r>
      <w:r w:rsidRPr="00F74645">
        <w:rPr>
          <w:rFonts w:ascii="Verdana" w:eastAsia="Calibri" w:hAnsi="Verdana" w:cs="Arial"/>
          <w:spacing w:val="-5"/>
          <w:sz w:val="20"/>
          <w:szCs w:val="20"/>
          <w:lang w:val="es-ES_tradnl"/>
        </w:rPr>
        <w:t xml:space="preserve"> </w:t>
      </w:r>
      <w:r w:rsidRPr="00F74645">
        <w:rPr>
          <w:rFonts w:ascii="Verdana" w:eastAsia="Calibri" w:hAnsi="Verdana" w:cs="Arial"/>
          <w:sz w:val="20"/>
          <w:szCs w:val="20"/>
          <w:lang w:val="es-ES_tradnl"/>
        </w:rPr>
        <w:t>fideicomisario.</w:t>
      </w:r>
      <w:r w:rsidRPr="00F74645">
        <w:rPr>
          <w:rFonts w:ascii="Verdana" w:eastAsia="MS Mincho" w:hAnsi="Verdana" w:cs="Arial"/>
          <w:sz w:val="20"/>
          <w:szCs w:val="20"/>
          <w:lang w:val="es-ES" w:eastAsia="es-CO"/>
        </w:rPr>
        <w:t xml:space="preserve"> </w:t>
      </w:r>
      <w:r w:rsidRPr="00F74645">
        <w:rPr>
          <w:rFonts w:ascii="Verdana" w:eastAsia="Calibri" w:hAnsi="Verdana" w:cs="Arial"/>
          <w:sz w:val="20"/>
          <w:szCs w:val="20"/>
          <w:lang w:val="es-ES_tradnl"/>
        </w:rPr>
        <w:t>Una persona puede ser al mismo tiempo fiduciante y beneficiario.</w:t>
      </w:r>
      <w:r w:rsidRPr="00F74645">
        <w:rPr>
          <w:rFonts w:ascii="Verdana" w:eastAsia="MS Mincho" w:hAnsi="Verdana" w:cs="Arial"/>
          <w:sz w:val="20"/>
          <w:szCs w:val="20"/>
          <w:lang w:val="es-ES_tradnl" w:eastAsia="es-CO"/>
        </w:rPr>
        <w:t xml:space="preserve"> </w:t>
      </w:r>
      <w:r w:rsidRPr="00F74645">
        <w:rPr>
          <w:rFonts w:ascii="Verdana" w:eastAsia="Calibri" w:hAnsi="Verdana" w:cs="Arial"/>
          <w:sz w:val="20"/>
          <w:szCs w:val="20"/>
          <w:lang w:val="es-ES_tradnl"/>
        </w:rPr>
        <w:t>Solo los establecimientos de crédito y las sociedades fiduciarias, especialmente autorizados por la Superintendencia Bancaria, podrán tener la calidad de fiduciarios”.</w:t>
      </w:r>
    </w:p>
    <w:p w14:paraId="19EDEE85" w14:textId="77777777" w:rsidR="00F74645" w:rsidRPr="00F74645" w:rsidRDefault="00F74645" w:rsidP="00F74645">
      <w:pPr>
        <w:spacing w:after="0" w:line="240" w:lineRule="auto"/>
        <w:contextualSpacing/>
        <w:jc w:val="both"/>
        <w:rPr>
          <w:rFonts w:ascii="Verdana" w:eastAsia="MS Mincho" w:hAnsi="Verdana" w:cs="Arial"/>
          <w:sz w:val="20"/>
          <w:szCs w:val="20"/>
          <w:lang w:val="es-ES" w:eastAsia="es-CO"/>
        </w:rPr>
      </w:pPr>
    </w:p>
    <w:p w14:paraId="57E422BB" w14:textId="77777777" w:rsidR="00F74645" w:rsidRPr="00F74645" w:rsidRDefault="00F74645" w:rsidP="00F74645">
      <w:pPr>
        <w:spacing w:after="0" w:line="240" w:lineRule="auto"/>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 son elementos característicos del negocio jurídico de la fiducia mercantil: (i) la existencia de al menos dos sujetos: fiduciante y fiduciario; y (</w:t>
      </w:r>
      <w:proofErr w:type="spellStart"/>
      <w:r w:rsidRPr="00F74645">
        <w:rPr>
          <w:rFonts w:ascii="Verdana" w:eastAsia="MS Mincho" w:hAnsi="Verdana" w:cs="Arial"/>
          <w:sz w:val="20"/>
          <w:szCs w:val="20"/>
          <w:lang w:val="es-ES" w:eastAsia="es-CO"/>
        </w:rPr>
        <w:t>ii</w:t>
      </w:r>
      <w:proofErr w:type="spellEnd"/>
      <w:r w:rsidRPr="00F74645">
        <w:rPr>
          <w:rFonts w:ascii="Verdana" w:eastAsia="MS Mincho" w:hAnsi="Verdana" w:cs="Arial"/>
          <w:sz w:val="20"/>
          <w:szCs w:val="20"/>
          <w:lang w:val="es-ES" w:eastAsia="es-CO"/>
        </w:rPr>
        <w:t>) la transferencia de los bienes fideicomitidos para cumplir una finalidad determinada en provecho del fiduciante o de un tercero.</w:t>
      </w:r>
    </w:p>
    <w:p w14:paraId="66154589" w14:textId="77777777" w:rsidR="00F74645" w:rsidRPr="00F74645" w:rsidRDefault="00F74645" w:rsidP="00F74645">
      <w:pPr>
        <w:spacing w:after="0"/>
        <w:rPr>
          <w:rFonts w:ascii="Verdana" w:hAnsi="Verdana"/>
          <w:lang w:val="es-ES"/>
        </w:rPr>
      </w:pPr>
    </w:p>
    <w:p w14:paraId="59197E4C" w14:textId="77777777" w:rsidR="00F74645" w:rsidRPr="00F74645" w:rsidRDefault="00F74645" w:rsidP="00F74645">
      <w:pPr>
        <w:jc w:val="both"/>
        <w:rPr>
          <w:rFonts w:ascii="Verdana" w:eastAsia="Calibri" w:hAnsi="Verdana" w:cs="Arial"/>
          <w:b/>
          <w:bCs/>
          <w:lang w:val="es-MX" w:eastAsia="es-ES"/>
        </w:rPr>
      </w:pPr>
      <w:r w:rsidRPr="00F74645">
        <w:rPr>
          <w:rFonts w:ascii="Verdana" w:eastAsia="Calibri" w:hAnsi="Verdana" w:cs="Arial"/>
          <w:b/>
          <w:bCs/>
          <w:lang w:val="es-MX" w:eastAsia="es-ES"/>
        </w:rPr>
        <w:t xml:space="preserve">FIDUCIA MERCANTIL – Encargo fiduciario – Patrimonio autónomo </w:t>
      </w:r>
    </w:p>
    <w:p w14:paraId="3E4B3847" w14:textId="38EAE8BD" w:rsidR="00F74645" w:rsidRPr="007519DE" w:rsidRDefault="00F74645" w:rsidP="00F74645">
      <w:pPr>
        <w:spacing w:after="0" w:line="240" w:lineRule="auto"/>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 xml:space="preserve">La fiducia mercantil así entendida puede consistir en (i) un </w:t>
      </w:r>
      <w:r w:rsidRPr="00F74645">
        <w:rPr>
          <w:rFonts w:ascii="Verdana" w:eastAsia="MS Mincho" w:hAnsi="Verdana" w:cs="Arial"/>
          <w:i/>
          <w:iCs/>
          <w:sz w:val="20"/>
          <w:szCs w:val="20"/>
          <w:lang w:val="es-ES" w:eastAsia="es-CO"/>
        </w:rPr>
        <w:t>encargo fiduciario</w:t>
      </w:r>
      <w:r w:rsidRPr="00F74645">
        <w:rPr>
          <w:rFonts w:ascii="Verdana" w:eastAsia="MS Mincho" w:hAnsi="Verdana" w:cs="Arial"/>
          <w:sz w:val="20"/>
          <w:szCs w:val="20"/>
          <w:lang w:val="es-ES" w:eastAsia="es-CO"/>
        </w:rPr>
        <w:t xml:space="preserve"> o en la constitución de un (</w:t>
      </w:r>
      <w:proofErr w:type="spellStart"/>
      <w:r w:rsidRPr="00F74645">
        <w:rPr>
          <w:rFonts w:ascii="Verdana" w:eastAsia="MS Mincho" w:hAnsi="Verdana" w:cs="Arial"/>
          <w:sz w:val="20"/>
          <w:szCs w:val="20"/>
          <w:lang w:val="es-ES" w:eastAsia="es-CO"/>
        </w:rPr>
        <w:t>ii</w:t>
      </w:r>
      <w:proofErr w:type="spellEnd"/>
      <w:r w:rsidRPr="00F74645">
        <w:rPr>
          <w:rFonts w:ascii="Verdana" w:eastAsia="MS Mincho" w:hAnsi="Verdana" w:cs="Arial"/>
          <w:sz w:val="20"/>
          <w:szCs w:val="20"/>
          <w:lang w:val="es-ES" w:eastAsia="es-CO"/>
        </w:rPr>
        <w:t xml:space="preserve">) </w:t>
      </w:r>
      <w:r w:rsidRPr="00F74645">
        <w:rPr>
          <w:rFonts w:ascii="Verdana" w:eastAsia="MS Mincho" w:hAnsi="Verdana" w:cs="Arial"/>
          <w:i/>
          <w:iCs/>
          <w:sz w:val="20"/>
          <w:szCs w:val="20"/>
          <w:lang w:val="es-ES" w:eastAsia="es-CO"/>
        </w:rPr>
        <w:t>patrimonio autónomo</w:t>
      </w:r>
      <w:r w:rsidRPr="00F74645">
        <w:rPr>
          <w:rFonts w:ascii="Verdana" w:eastAsia="MS Mincho" w:hAnsi="Verdana" w:cs="Arial"/>
          <w:sz w:val="20"/>
          <w:szCs w:val="20"/>
          <w:lang w:val="es-ES" w:eastAsia="es-CO"/>
        </w:rPr>
        <w:t xml:space="preserve">. De acuerdo con la Superintendencia Financiera se entiende por </w:t>
      </w:r>
      <w:r w:rsidRPr="00F74645">
        <w:rPr>
          <w:rFonts w:ascii="Verdana" w:eastAsia="MS Mincho" w:hAnsi="Verdana" w:cs="Arial"/>
          <w:i/>
          <w:iCs/>
          <w:sz w:val="20"/>
          <w:szCs w:val="20"/>
          <w:lang w:val="es-ES" w:eastAsia="es-CO"/>
        </w:rPr>
        <w:t>encargo fiduciario</w:t>
      </w:r>
      <w:r w:rsidRPr="00F74645">
        <w:rPr>
          <w:rFonts w:ascii="Verdana" w:eastAsia="MS Mincho" w:hAnsi="Verdana" w:cs="Arial"/>
          <w:sz w:val="20"/>
          <w:szCs w:val="20"/>
          <w:lang w:val="es-ES" w:eastAsia="es-CO"/>
        </w:rPr>
        <w:t xml:space="preserve"> </w:t>
      </w:r>
      <w:r w:rsidRPr="00F74645">
        <w:rPr>
          <w:rFonts w:ascii="Verdana" w:eastAsia="MS Mincho" w:hAnsi="Verdana" w:cs="Arial"/>
          <w:sz w:val="20"/>
          <w:szCs w:val="20"/>
        </w:rPr>
        <w:t xml:space="preserve">el contrato en virtud del cual el fideicomitente entrega al fiduciario bienes determinados con el propósito de cumplir la finalidad específica acordada, sin transferir la propiedad de estos. En este sentido, es una figura que se caracteriza específicamente porque los bienes fideicomitidos no salen del patrimonio del fideicomitente, sino que siguen siendo de su propiedad, aunque el fiduciario tenga la facultad para administrarlos. Se deriva de lo anterior, que en estos casos tampoco se crea un patrimonio autónomo o distinto al del fideicomitente o el fiduciario. </w:t>
      </w:r>
    </w:p>
    <w:p w14:paraId="66BAE19E" w14:textId="77777777" w:rsidR="00F74645" w:rsidRPr="00F74645" w:rsidRDefault="00F74645" w:rsidP="00F74645">
      <w:pPr>
        <w:spacing w:after="0" w:line="240" w:lineRule="auto"/>
        <w:jc w:val="both"/>
        <w:rPr>
          <w:rFonts w:ascii="Verdana" w:eastAsia="MS Mincho" w:hAnsi="Verdana" w:cs="Arial"/>
          <w:sz w:val="20"/>
          <w:szCs w:val="20"/>
        </w:rPr>
      </w:pPr>
    </w:p>
    <w:p w14:paraId="2A6E64D5" w14:textId="77777777" w:rsidR="00F74645" w:rsidRPr="00F74645" w:rsidRDefault="00F74645" w:rsidP="00F74645">
      <w:pPr>
        <w:spacing w:after="0" w:line="240" w:lineRule="auto"/>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 xml:space="preserve">En el caso de los </w:t>
      </w:r>
      <w:r w:rsidRPr="00F74645">
        <w:rPr>
          <w:rFonts w:ascii="Verdana" w:eastAsia="MS Mincho" w:hAnsi="Verdana" w:cs="Arial"/>
          <w:i/>
          <w:iCs/>
          <w:sz w:val="20"/>
          <w:szCs w:val="20"/>
          <w:lang w:val="es-ES" w:eastAsia="es-CO"/>
        </w:rPr>
        <w:t>patrimonios autónomos</w:t>
      </w:r>
      <w:r w:rsidRPr="00F74645">
        <w:rPr>
          <w:rFonts w:ascii="Verdana" w:eastAsia="MS Mincho" w:hAnsi="Verdana" w:cs="Arial"/>
          <w:sz w:val="20"/>
          <w:szCs w:val="20"/>
          <w:lang w:val="es-ES" w:eastAsia="es-CO"/>
        </w:rPr>
        <w:t xml:space="preserve"> constituidos en virtud de una fiducia mercantil, el constituyente o fiduciario transfiere a la fiduciaria un conjunto de bienes que conforman y se </w:t>
      </w:r>
      <w:proofErr w:type="gramStart"/>
      <w:r w:rsidRPr="00F74645">
        <w:rPr>
          <w:rFonts w:ascii="Verdana" w:eastAsia="MS Mincho" w:hAnsi="Verdana" w:cs="Arial"/>
          <w:sz w:val="20"/>
          <w:szCs w:val="20"/>
          <w:lang w:val="es-ES" w:eastAsia="es-CO"/>
        </w:rPr>
        <w:t>denominan como</w:t>
      </w:r>
      <w:proofErr w:type="gramEnd"/>
      <w:r w:rsidRPr="00F74645">
        <w:rPr>
          <w:rFonts w:ascii="Verdana" w:eastAsia="MS Mincho" w:hAnsi="Verdana" w:cs="Arial"/>
          <w:sz w:val="20"/>
          <w:szCs w:val="20"/>
          <w:lang w:val="es-ES" w:eastAsia="es-CO"/>
        </w:rPr>
        <w:t xml:space="preserve"> patrimonio autónomo. El Código de Comercio establece que estos patrimonios autónomos no tienen el carácter de personas jurídicas o naturales, pues son negocios fiduciarios que se encuentran conformados por los bienes que son transferidos.</w:t>
      </w:r>
      <w:r w:rsidRPr="00F74645">
        <w:rPr>
          <w:rFonts w:ascii="Verdana" w:eastAsia="MS Mincho" w:hAnsi="Verdana" w:cs="Arial"/>
          <w:sz w:val="20"/>
          <w:szCs w:val="20"/>
          <w:lang w:eastAsia="es-CO"/>
        </w:rPr>
        <w:t xml:space="preserve"> Sin embargo, los bienes “</w:t>
      </w:r>
      <w:r w:rsidRPr="00F74645">
        <w:rPr>
          <w:rFonts w:ascii="Verdana" w:eastAsia="MS Mincho" w:hAnsi="Verdana" w:cs="Arial"/>
          <w:sz w:val="20"/>
          <w:szCs w:val="20"/>
          <w:lang w:val="es-ES" w:eastAsia="es-CO"/>
        </w:rPr>
        <w:t>salen real y jurídicamente del patrimonio del fideicomitente (titular del dominio) y están afectos al cumplimiento de las finalidades señaladas en el acto constitutivo”</w:t>
      </w:r>
      <w:r w:rsidRPr="00F74645">
        <w:rPr>
          <w:rFonts w:ascii="Verdana" w:eastAsia="MS Mincho" w:hAnsi="Verdana" w:cs="Arial"/>
          <w:i/>
          <w:iCs/>
          <w:sz w:val="20"/>
          <w:szCs w:val="20"/>
          <w:lang w:val="es-ES" w:eastAsia="es-CO"/>
        </w:rPr>
        <w:t>.</w:t>
      </w:r>
      <w:r w:rsidRPr="00F74645">
        <w:rPr>
          <w:rFonts w:ascii="Verdana" w:eastAsia="MS Mincho" w:hAnsi="Verdana" w:cs="Arial"/>
          <w:sz w:val="20"/>
          <w:szCs w:val="20"/>
          <w:lang w:val="es-ES" w:eastAsia="es-CO"/>
        </w:rPr>
        <w:t xml:space="preserve"> Entonces, existe una distinción clara entre los bienes que conforman el patrimonio del fiduciario, aquellos que hacen parte del patrimonio autónomo, y los que integran el patrimonio o los activos de la fiduciaria. Ya que existen tres patrimonios independientes, los bienes transferidos</w:t>
      </w:r>
      <w:r w:rsidRPr="00F74645">
        <w:rPr>
          <w:rFonts w:ascii="Verdana" w:eastAsia="MS Mincho" w:hAnsi="Verdana" w:cs="Arial"/>
          <w:i/>
          <w:iCs/>
          <w:sz w:val="20"/>
          <w:szCs w:val="20"/>
          <w:lang w:val="es-ES" w:eastAsia="es-CO"/>
        </w:rPr>
        <w:t xml:space="preserve"> “</w:t>
      </w:r>
      <w:r w:rsidRPr="00F74645">
        <w:rPr>
          <w:rFonts w:ascii="Verdana" w:eastAsia="MS Mincho" w:hAnsi="Verdana" w:cs="Arial"/>
          <w:sz w:val="20"/>
          <w:szCs w:val="20"/>
          <w:lang w:val="es-ES" w:eastAsia="es-CO"/>
        </w:rPr>
        <w:t>son excluidos de la garantía general de los acreedores del fiduciario y fideicomitente y garantizan las obligaciones que contraiga el patrimonio autónomo en el logro de la finalidad de la fiducia (…)”.</w:t>
      </w:r>
    </w:p>
    <w:p w14:paraId="681F1193" w14:textId="77777777" w:rsidR="00F74645" w:rsidRPr="00F74645" w:rsidRDefault="00F74645" w:rsidP="00F74645">
      <w:pPr>
        <w:spacing w:after="0" w:line="240" w:lineRule="auto"/>
        <w:jc w:val="both"/>
        <w:rPr>
          <w:rFonts w:ascii="Verdana" w:eastAsia="MS Mincho" w:hAnsi="Verdana" w:cs="Arial"/>
          <w:sz w:val="20"/>
          <w:szCs w:val="20"/>
          <w:lang w:val="es-ES" w:eastAsia="es-CO"/>
        </w:rPr>
      </w:pPr>
    </w:p>
    <w:p w14:paraId="0AF21836" w14:textId="77777777" w:rsidR="00F74645" w:rsidRPr="00F74645" w:rsidRDefault="00F74645" w:rsidP="00F74645">
      <w:pPr>
        <w:jc w:val="both"/>
        <w:rPr>
          <w:rFonts w:ascii="Verdana" w:eastAsia="Calibri" w:hAnsi="Verdana" w:cs="Arial"/>
          <w:b/>
          <w:bCs/>
          <w:lang w:val="es-MX" w:eastAsia="es-ES"/>
        </w:rPr>
      </w:pPr>
      <w:r w:rsidRPr="00F74645">
        <w:rPr>
          <w:rFonts w:ascii="Verdana" w:eastAsia="Calibri" w:hAnsi="Verdana" w:cs="Arial"/>
          <w:b/>
          <w:bCs/>
          <w:lang w:val="es-MX" w:eastAsia="es-ES"/>
        </w:rPr>
        <w:t xml:space="preserve">FIDUCIA PÚBLICA – Características </w:t>
      </w:r>
    </w:p>
    <w:p w14:paraId="04978100" w14:textId="77777777" w:rsidR="00F74645" w:rsidRPr="00F74645" w:rsidRDefault="00F74645" w:rsidP="00F74645">
      <w:pPr>
        <w:spacing w:after="0" w:line="240" w:lineRule="auto"/>
        <w:jc w:val="both"/>
        <w:rPr>
          <w:rFonts w:ascii="Verdana" w:eastAsia="MS Mincho" w:hAnsi="Verdana" w:cs="Arial"/>
          <w:sz w:val="20"/>
          <w:szCs w:val="20"/>
          <w:lang w:val="es-ES_tradnl" w:eastAsia="es-CO"/>
        </w:rPr>
      </w:pPr>
      <w:r w:rsidRPr="00F74645">
        <w:rPr>
          <w:rFonts w:ascii="Verdana" w:eastAsia="MS Mincho" w:hAnsi="Verdana" w:cs="Arial"/>
          <w:sz w:val="20"/>
          <w:szCs w:val="20"/>
          <w:lang w:val="es-ES_tradnl" w:eastAsia="es-CO"/>
        </w:rPr>
        <w:lastRenderedPageBreak/>
        <w:t xml:space="preserve">[…] la </w:t>
      </w:r>
      <w:r w:rsidRPr="00F74645">
        <w:rPr>
          <w:rFonts w:ascii="Verdana" w:eastAsia="MS Mincho" w:hAnsi="Verdana" w:cs="Arial"/>
          <w:i/>
          <w:iCs/>
          <w:sz w:val="20"/>
          <w:szCs w:val="20"/>
          <w:lang w:val="es-ES_tradnl" w:eastAsia="es-CO"/>
        </w:rPr>
        <w:t>fiducia pública</w:t>
      </w:r>
      <w:r w:rsidRPr="00F74645">
        <w:rPr>
          <w:rFonts w:ascii="Verdana" w:eastAsia="MS Mincho" w:hAnsi="Verdana" w:cs="Arial"/>
          <w:sz w:val="20"/>
          <w:szCs w:val="20"/>
          <w:lang w:val="es-ES_tradnl" w:eastAsia="es-CO"/>
        </w:rPr>
        <w:t xml:space="preserve"> se diferencia de la </w:t>
      </w:r>
      <w:r w:rsidRPr="00F74645">
        <w:rPr>
          <w:rFonts w:ascii="Verdana" w:eastAsia="MS Mincho" w:hAnsi="Verdana" w:cs="Arial"/>
          <w:i/>
          <w:iCs/>
          <w:sz w:val="20"/>
          <w:szCs w:val="20"/>
          <w:lang w:val="es-ES_tradnl" w:eastAsia="es-CO"/>
        </w:rPr>
        <w:t>fiducia mercantil</w:t>
      </w:r>
      <w:r w:rsidRPr="00F74645">
        <w:rPr>
          <w:rFonts w:ascii="Verdana" w:eastAsia="MS Mincho" w:hAnsi="Verdana" w:cs="Arial"/>
          <w:sz w:val="20"/>
          <w:szCs w:val="20"/>
          <w:lang w:val="es-ES_tradnl" w:eastAsia="es-CO"/>
        </w:rPr>
        <w:t xml:space="preserve"> en que en ningún caso implicará la transferencia de dominio sobre bienes o recursos estatales, ni podrá constituir un patrimonio autónomo al de la respectiva entidad.</w:t>
      </w:r>
    </w:p>
    <w:p w14:paraId="433C8503" w14:textId="77777777" w:rsidR="00F74645" w:rsidRPr="00F74645" w:rsidRDefault="00F74645" w:rsidP="00F74645">
      <w:pPr>
        <w:spacing w:after="0" w:line="240" w:lineRule="auto"/>
        <w:jc w:val="both"/>
        <w:rPr>
          <w:rFonts w:ascii="Verdana" w:eastAsia="MS Mincho" w:hAnsi="Verdana" w:cs="Arial"/>
          <w:sz w:val="20"/>
          <w:szCs w:val="20"/>
          <w:lang w:val="es-ES_tradnl" w:eastAsia="es-CO"/>
        </w:rPr>
      </w:pPr>
    </w:p>
    <w:p w14:paraId="03C79DC8" w14:textId="77777777" w:rsidR="00F74645" w:rsidRPr="00F74645" w:rsidRDefault="00F74645" w:rsidP="00F74645">
      <w:pPr>
        <w:spacing w:after="0" w:line="240" w:lineRule="auto"/>
        <w:jc w:val="both"/>
        <w:rPr>
          <w:rFonts w:ascii="Verdana" w:eastAsia="Calibri" w:hAnsi="Verdana" w:cs="Arial"/>
          <w:sz w:val="20"/>
          <w:szCs w:val="20"/>
          <w:lang w:val="es-MX" w:eastAsia="es-ES"/>
        </w:rPr>
      </w:pPr>
      <w:r w:rsidRPr="00F74645">
        <w:rPr>
          <w:rFonts w:ascii="Verdana" w:eastAsia="Calibri" w:hAnsi="Verdana" w:cs="Arial"/>
          <w:sz w:val="20"/>
          <w:szCs w:val="20"/>
          <w:lang w:val="es-MX" w:eastAsia="es-ES"/>
        </w:rPr>
        <w:t xml:space="preserve">[…] </w:t>
      </w:r>
    </w:p>
    <w:p w14:paraId="1BFCC565" w14:textId="77777777" w:rsidR="00F74645" w:rsidRPr="00F74645" w:rsidRDefault="00F74645" w:rsidP="00F74645">
      <w:pPr>
        <w:spacing w:after="0" w:line="240" w:lineRule="auto"/>
        <w:jc w:val="both"/>
        <w:rPr>
          <w:rFonts w:ascii="Verdana" w:eastAsia="Calibri" w:hAnsi="Verdana" w:cs="Arial"/>
          <w:sz w:val="20"/>
          <w:szCs w:val="20"/>
          <w:lang w:val="es-MX" w:eastAsia="es-ES"/>
        </w:rPr>
      </w:pPr>
    </w:p>
    <w:p w14:paraId="4B2D6EF6" w14:textId="77777777" w:rsidR="00F74645" w:rsidRPr="00F74645" w:rsidRDefault="00F74645" w:rsidP="00F74645">
      <w:pPr>
        <w:spacing w:after="0" w:line="240" w:lineRule="auto"/>
        <w:jc w:val="both"/>
        <w:rPr>
          <w:rFonts w:ascii="Verdana" w:eastAsia="MS Mincho" w:hAnsi="Verdana" w:cs="Arial"/>
          <w:sz w:val="20"/>
          <w:szCs w:val="20"/>
          <w:lang w:eastAsia="es-CO"/>
        </w:rPr>
      </w:pPr>
      <w:r w:rsidRPr="00F74645">
        <w:rPr>
          <w:rFonts w:ascii="Verdana" w:eastAsia="MS Mincho" w:hAnsi="Verdana" w:cs="Arial"/>
          <w:sz w:val="20"/>
          <w:szCs w:val="20"/>
          <w:lang w:val="es-ES" w:eastAsia="es-CO"/>
        </w:rPr>
        <w:t xml:space="preserve">Según lo anterior, en virtud del </w:t>
      </w:r>
      <w:r w:rsidRPr="00F74645">
        <w:rPr>
          <w:rFonts w:ascii="Verdana" w:eastAsia="MS Mincho" w:hAnsi="Verdana" w:cs="Arial"/>
          <w:sz w:val="20"/>
          <w:szCs w:val="20"/>
          <w:lang w:eastAsia="es-CO"/>
        </w:rPr>
        <w:t>numeral 5 del artículo 32 de la Ley 80 de 1993, las normas establecidas en el Código de Comercio sobre la fiducia mercantil serán aplicables a la fiducia pública siempre que sean compatibles con lo dispuesto en ese Estatuto. En este sentido, la Sala de Consulta y Servicio Civil del Consejo de Estado señala que se deberán aplicar las normas de los artículos 1226 a 1244 del Código de Comercio a las fiducias públicas con las siguientes salvedades:</w:t>
      </w:r>
    </w:p>
    <w:p w14:paraId="2906A0D8" w14:textId="77777777" w:rsidR="00F74645" w:rsidRPr="00F74645" w:rsidRDefault="00F74645" w:rsidP="00F74645">
      <w:pPr>
        <w:spacing w:after="0" w:line="240" w:lineRule="auto"/>
        <w:jc w:val="both"/>
        <w:rPr>
          <w:rFonts w:ascii="Verdana" w:eastAsia="MS Mincho" w:hAnsi="Verdana" w:cs="Arial"/>
          <w:sz w:val="20"/>
          <w:szCs w:val="20"/>
          <w:lang w:eastAsia="es-CO"/>
        </w:rPr>
      </w:pPr>
    </w:p>
    <w:p w14:paraId="7E555143" w14:textId="77777777" w:rsidR="00F74645" w:rsidRPr="00F74645" w:rsidRDefault="00F74645" w:rsidP="00F74645">
      <w:pPr>
        <w:spacing w:after="0" w:line="240" w:lineRule="auto"/>
        <w:jc w:val="both"/>
        <w:rPr>
          <w:rFonts w:ascii="Verdana" w:eastAsia="Calibri" w:hAnsi="Verdana" w:cs="Arial"/>
          <w:sz w:val="20"/>
          <w:szCs w:val="20"/>
          <w:lang w:val="es-MX" w:eastAsia="es-ES"/>
        </w:rPr>
      </w:pPr>
      <w:r w:rsidRPr="00F74645">
        <w:rPr>
          <w:rFonts w:ascii="Verdana" w:eastAsia="Calibri" w:hAnsi="Verdana" w:cs="Arial"/>
          <w:sz w:val="20"/>
          <w:szCs w:val="20"/>
          <w:lang w:val="es-MX" w:eastAsia="es-ES"/>
        </w:rPr>
        <w:t xml:space="preserve">i. La fiducia pública no implica en ningún caso la transferencia de la propiedad de los bienes o recursos fideicomitidos. </w:t>
      </w:r>
    </w:p>
    <w:p w14:paraId="2A1B6C88" w14:textId="77777777" w:rsidR="00F74645" w:rsidRPr="00F74645" w:rsidRDefault="00F74645" w:rsidP="00F74645">
      <w:pPr>
        <w:spacing w:after="0" w:line="240" w:lineRule="auto"/>
        <w:jc w:val="both"/>
        <w:rPr>
          <w:rFonts w:ascii="Verdana" w:eastAsia="Calibri" w:hAnsi="Verdana" w:cs="Arial"/>
          <w:sz w:val="20"/>
          <w:szCs w:val="20"/>
          <w:lang w:val="es-MX" w:eastAsia="es-ES"/>
        </w:rPr>
      </w:pPr>
      <w:proofErr w:type="spellStart"/>
      <w:r w:rsidRPr="00F74645">
        <w:rPr>
          <w:rFonts w:ascii="Verdana" w:eastAsia="Calibri" w:hAnsi="Verdana" w:cs="Arial"/>
          <w:sz w:val="20"/>
          <w:szCs w:val="20"/>
          <w:lang w:val="es-MX" w:eastAsia="es-ES"/>
        </w:rPr>
        <w:t>ii</w:t>
      </w:r>
      <w:proofErr w:type="spellEnd"/>
      <w:r w:rsidRPr="00F74645">
        <w:rPr>
          <w:rFonts w:ascii="Verdana" w:eastAsia="Calibri" w:hAnsi="Verdana" w:cs="Arial"/>
          <w:sz w:val="20"/>
          <w:szCs w:val="20"/>
          <w:lang w:val="es-MX" w:eastAsia="es-ES"/>
        </w:rPr>
        <w:t xml:space="preserve">. Tampoco constituye un patrimonio autónomo afecto a la finalidad de la fiducia, en manos de la sociedad fiduciaria. </w:t>
      </w:r>
    </w:p>
    <w:p w14:paraId="791F542D" w14:textId="77777777" w:rsidR="00F74645" w:rsidRPr="00F74645" w:rsidRDefault="00F74645" w:rsidP="00F74645">
      <w:pPr>
        <w:spacing w:after="0" w:line="240" w:lineRule="auto"/>
        <w:jc w:val="both"/>
        <w:rPr>
          <w:rFonts w:ascii="Verdana" w:eastAsia="Calibri" w:hAnsi="Verdana" w:cs="Arial"/>
          <w:sz w:val="20"/>
          <w:szCs w:val="20"/>
          <w:lang w:val="es-MX" w:eastAsia="es-ES"/>
        </w:rPr>
      </w:pPr>
      <w:proofErr w:type="spellStart"/>
      <w:r w:rsidRPr="00F74645">
        <w:rPr>
          <w:rFonts w:ascii="Verdana" w:eastAsia="Calibri" w:hAnsi="Verdana" w:cs="Arial"/>
          <w:sz w:val="20"/>
          <w:szCs w:val="20"/>
          <w:lang w:val="es-MX" w:eastAsia="es-ES"/>
        </w:rPr>
        <w:t>iii</w:t>
      </w:r>
      <w:proofErr w:type="spellEnd"/>
      <w:r w:rsidRPr="00F74645">
        <w:rPr>
          <w:rFonts w:ascii="Verdana" w:eastAsia="Calibri" w:hAnsi="Verdana" w:cs="Arial"/>
          <w:sz w:val="20"/>
          <w:szCs w:val="20"/>
          <w:lang w:val="es-MX" w:eastAsia="es-ES"/>
        </w:rPr>
        <w:t>. La adjudicación de los subcontratos debe ser realizada por la entidad estatal fideicomitente.</w:t>
      </w:r>
    </w:p>
    <w:p w14:paraId="41ED3A15" w14:textId="77777777" w:rsidR="00F74645" w:rsidRPr="00F74645" w:rsidRDefault="00F74645" w:rsidP="00F74645">
      <w:pPr>
        <w:spacing w:after="0" w:line="240" w:lineRule="auto"/>
        <w:jc w:val="both"/>
        <w:rPr>
          <w:rFonts w:ascii="Verdana" w:eastAsia="Calibri" w:hAnsi="Verdana" w:cs="Arial"/>
          <w:sz w:val="20"/>
          <w:szCs w:val="20"/>
          <w:lang w:val="es-MX" w:eastAsia="es-ES"/>
        </w:rPr>
      </w:pPr>
      <w:proofErr w:type="spellStart"/>
      <w:r w:rsidRPr="00F74645">
        <w:rPr>
          <w:rFonts w:ascii="Verdana" w:eastAsia="Calibri" w:hAnsi="Verdana" w:cs="Arial"/>
          <w:sz w:val="20"/>
          <w:szCs w:val="20"/>
          <w:lang w:val="es-MX" w:eastAsia="es-ES"/>
        </w:rPr>
        <w:t>iv</w:t>
      </w:r>
      <w:proofErr w:type="spellEnd"/>
      <w:r w:rsidRPr="00F74645">
        <w:rPr>
          <w:rFonts w:ascii="Verdana" w:eastAsia="Calibri" w:hAnsi="Verdana" w:cs="Arial"/>
          <w:sz w:val="20"/>
          <w:szCs w:val="20"/>
          <w:lang w:val="es-MX" w:eastAsia="es-ES"/>
        </w:rPr>
        <w:t xml:space="preserve">. No se puede pactar que la comisión de la sociedad fiduciaria sea tomada de los rendimientos del fideicomiso, salvo que éstos se encuentren presupuestados. </w:t>
      </w:r>
    </w:p>
    <w:p w14:paraId="44DA1BA9" w14:textId="77777777" w:rsidR="00F74645" w:rsidRPr="00F74645" w:rsidRDefault="00F74645" w:rsidP="00F74645">
      <w:pPr>
        <w:spacing w:after="0" w:line="240" w:lineRule="auto"/>
        <w:jc w:val="both"/>
        <w:rPr>
          <w:rFonts w:ascii="Verdana" w:eastAsia="Calibri" w:hAnsi="Verdana" w:cs="Arial"/>
          <w:sz w:val="20"/>
          <w:szCs w:val="20"/>
          <w:lang w:val="es-MX" w:eastAsia="es-ES"/>
        </w:rPr>
      </w:pPr>
      <w:r w:rsidRPr="00F74645">
        <w:rPr>
          <w:rFonts w:ascii="Verdana" w:eastAsia="Calibri" w:hAnsi="Verdana" w:cs="Arial"/>
          <w:sz w:val="20"/>
          <w:szCs w:val="20"/>
          <w:lang w:val="es-MX" w:eastAsia="es-ES"/>
        </w:rPr>
        <w:t>v. El procedimiento de contratación de cualquiera de los negocios fiduciarios señalados en el artículo 32, es decir, el encargo fiduciario y la fiducia pública, por parte de las entidades estatales, debe ser la licitación pública o el concurso establecido en el parágrafo del artículo 30 de la Ley 80 de 1993.</w:t>
      </w:r>
    </w:p>
    <w:p w14:paraId="7E63E8AC" w14:textId="77777777" w:rsidR="00F74645" w:rsidRPr="00F74645" w:rsidRDefault="00F74645" w:rsidP="00F74645">
      <w:pPr>
        <w:spacing w:after="0" w:line="240" w:lineRule="auto"/>
        <w:jc w:val="both"/>
        <w:rPr>
          <w:rFonts w:ascii="Verdana" w:eastAsia="Calibri" w:hAnsi="Verdana" w:cs="Arial"/>
          <w:sz w:val="20"/>
          <w:szCs w:val="20"/>
          <w:lang w:val="es-MX" w:eastAsia="es-ES"/>
        </w:rPr>
      </w:pPr>
    </w:p>
    <w:p w14:paraId="59E21D39" w14:textId="77777777" w:rsidR="00F74645" w:rsidRPr="00F74645" w:rsidRDefault="00F74645" w:rsidP="00F74645">
      <w:pPr>
        <w:spacing w:after="0" w:line="240" w:lineRule="auto"/>
        <w:jc w:val="both"/>
        <w:rPr>
          <w:rFonts w:ascii="Verdana" w:eastAsia="Calibri" w:hAnsi="Verdana" w:cs="Arial"/>
          <w:sz w:val="20"/>
          <w:szCs w:val="20"/>
          <w:lang w:val="es-ES" w:eastAsia="es-ES"/>
        </w:rPr>
      </w:pPr>
      <w:r w:rsidRPr="00F74645">
        <w:rPr>
          <w:rFonts w:ascii="Verdana" w:eastAsia="Calibri" w:hAnsi="Verdana" w:cs="Arial"/>
          <w:sz w:val="20"/>
          <w:szCs w:val="20"/>
          <w:lang w:eastAsia="es-ES"/>
        </w:rPr>
        <w:t>Lo anterior debe entenderse armonizado con el régimen de selección vigente, pues el concurso a que se refería el parágrafo del artículo 30 de la Ley 80 de 1993 fue sustituido por las modalidades de selección previstas en el artículo 2 de la Ley 1150 de 2007; por tanto, la escogencia de la sociedad fiduciaria se adelantará según la cuantía y el objeto del respectivo negocio, sin perjuicio de la inversión directa de los excedentes de tesorería en fondos comunes ordinarios autorizada por el mismo numeral 5 del artículo 32.</w:t>
      </w:r>
    </w:p>
    <w:p w14:paraId="5287EE98" w14:textId="77777777" w:rsidR="00F74645" w:rsidRPr="00F74645" w:rsidRDefault="00F74645" w:rsidP="00F74645">
      <w:pPr>
        <w:jc w:val="both"/>
        <w:rPr>
          <w:rFonts w:ascii="Verdana" w:eastAsia="Calibri" w:hAnsi="Verdana" w:cs="Arial"/>
          <w:b/>
          <w:bCs/>
          <w:sz w:val="20"/>
          <w:szCs w:val="20"/>
          <w:lang w:val="es-ES" w:eastAsia="es-ES"/>
        </w:rPr>
      </w:pPr>
    </w:p>
    <w:p w14:paraId="43D923B9" w14:textId="77777777" w:rsidR="00F74645" w:rsidRPr="00F74645" w:rsidRDefault="00F74645" w:rsidP="00F74645">
      <w:pPr>
        <w:jc w:val="both"/>
        <w:rPr>
          <w:rFonts w:ascii="Verdana" w:eastAsia="Calibri" w:hAnsi="Verdana" w:cs="Arial"/>
          <w:b/>
          <w:bCs/>
          <w:lang w:val="es-MX" w:eastAsia="es-ES"/>
        </w:rPr>
      </w:pPr>
      <w:r w:rsidRPr="00F74645">
        <w:rPr>
          <w:rFonts w:ascii="Verdana" w:eastAsia="Calibri" w:hAnsi="Verdana" w:cs="Arial"/>
          <w:b/>
          <w:bCs/>
          <w:lang w:val="es-MX" w:eastAsia="es-ES"/>
        </w:rPr>
        <w:t>FIDUCIA PÚBLICA – Encargo fiduciario – Patrimonio autónomo – Diferencias – Finalidad</w:t>
      </w:r>
    </w:p>
    <w:p w14:paraId="7C3C3643" w14:textId="77777777" w:rsidR="00F74645" w:rsidRPr="00F74645" w:rsidRDefault="00F74645" w:rsidP="00F74645">
      <w:pPr>
        <w:spacing w:after="0" w:line="240" w:lineRule="auto"/>
        <w:jc w:val="both"/>
        <w:rPr>
          <w:rFonts w:ascii="Verdana" w:eastAsia="MS Mincho" w:hAnsi="Verdana" w:cs="Arial"/>
          <w:sz w:val="20"/>
          <w:szCs w:val="20"/>
          <w:lang w:val="es-ES_tradnl" w:eastAsia="es-CO"/>
        </w:rPr>
      </w:pPr>
      <w:r w:rsidRPr="00F74645">
        <w:rPr>
          <w:rFonts w:ascii="Verdana" w:hAnsi="Verdana" w:cs="Arial"/>
          <w:color w:val="000000"/>
          <w:sz w:val="20"/>
          <w:szCs w:val="20"/>
          <w:shd w:val="clear" w:color="auto" w:fill="FFFFFF"/>
        </w:rPr>
        <w:t>[…] la autorización d</w:t>
      </w:r>
      <w:r w:rsidRPr="00F74645">
        <w:rPr>
          <w:rFonts w:ascii="Verdana" w:eastAsia="MS Mincho" w:hAnsi="Verdana" w:cs="Arial"/>
          <w:sz w:val="20"/>
          <w:szCs w:val="20"/>
          <w:lang w:eastAsia="es-CO"/>
        </w:rPr>
        <w:t xml:space="preserve">el numeral 5 del artículo 32 de la Ley 80 de 1993 para celebrar encargos fiduciarios y contratos de fiducia pública, tiene como límite que las entidades no pueden transferir el dominio sobre los bienes o recursos estatales, </w:t>
      </w:r>
      <w:r w:rsidRPr="00F74645">
        <w:rPr>
          <w:rFonts w:ascii="Verdana" w:eastAsia="MS Mincho" w:hAnsi="Verdana" w:cs="Arial"/>
          <w:i/>
          <w:iCs/>
          <w:sz w:val="20"/>
          <w:szCs w:val="20"/>
          <w:lang w:eastAsia="es-CO"/>
        </w:rPr>
        <w:t>ni constituir patrimonios autónomos</w:t>
      </w:r>
      <w:r w:rsidRPr="00F74645">
        <w:rPr>
          <w:rFonts w:ascii="Verdana" w:eastAsia="MS Mincho" w:hAnsi="Verdana" w:cs="Arial"/>
          <w:sz w:val="20"/>
          <w:szCs w:val="20"/>
          <w:lang w:eastAsia="es-CO"/>
        </w:rPr>
        <w:t>.</w:t>
      </w:r>
      <w:r w:rsidRPr="00F74645">
        <w:rPr>
          <w:rFonts w:ascii="Verdana" w:eastAsia="MS Mincho" w:hAnsi="Verdana" w:cs="Arial"/>
          <w:sz w:val="20"/>
          <w:szCs w:val="20"/>
          <w:lang w:val="es-ES_tradnl" w:eastAsia="es-CO"/>
        </w:rPr>
        <w:t xml:space="preserve"> La Sala de Consulta y Servicio Civil del Consejo de Estado, en concepto del 4 de marzo de 1998, consideró que la Ley 80 de 1993 tiene como objetivo restringir los negocios fiduciarios que pueden celebrar las entidades estatales. Por ello, señaló que la constitución de patrimonios autónomos por parte de entidades estatales solamente debe darse </w:t>
      </w:r>
      <w:r w:rsidRPr="00F74645">
        <w:rPr>
          <w:rFonts w:ascii="Verdana" w:eastAsia="MS Mincho" w:hAnsi="Verdana" w:cs="Arial"/>
          <w:i/>
          <w:iCs/>
          <w:sz w:val="20"/>
          <w:szCs w:val="20"/>
          <w:lang w:val="es-ES_tradnl" w:eastAsia="es-CO"/>
        </w:rPr>
        <w:t>en virtud de una autorización legal</w:t>
      </w:r>
      <w:r w:rsidRPr="00F74645">
        <w:rPr>
          <w:rFonts w:ascii="Verdana" w:eastAsia="MS Mincho" w:hAnsi="Verdana" w:cs="Arial"/>
          <w:sz w:val="20"/>
          <w:szCs w:val="20"/>
          <w:lang w:val="es-ES_tradnl" w:eastAsia="es-CO"/>
        </w:rPr>
        <w:t xml:space="preserve">, como es </w:t>
      </w:r>
      <w:r w:rsidRPr="00F74645">
        <w:rPr>
          <w:rFonts w:ascii="Verdana" w:eastAsia="MS Mincho" w:hAnsi="Verdana" w:cs="Arial"/>
          <w:sz w:val="20"/>
          <w:szCs w:val="20"/>
          <w:lang w:val="es-ES_tradnl" w:eastAsia="es-CO"/>
        </w:rPr>
        <w:lastRenderedPageBreak/>
        <w:t>el caso de los procesos de titularización de activos e inversiones, tal como lo autoriza expresamente el parágrafo 2 del artículo 41 de la Ley 80 de 1993.</w:t>
      </w:r>
    </w:p>
    <w:p w14:paraId="2CFAA22D" w14:textId="77777777" w:rsidR="00F74645" w:rsidRPr="00F74645" w:rsidRDefault="00F74645" w:rsidP="00F74645">
      <w:pPr>
        <w:spacing w:after="0" w:line="240" w:lineRule="auto"/>
        <w:jc w:val="both"/>
        <w:rPr>
          <w:rFonts w:ascii="Verdana" w:eastAsia="MS Mincho" w:hAnsi="Verdana" w:cs="Arial"/>
          <w:sz w:val="20"/>
          <w:szCs w:val="20"/>
          <w:lang w:val="es-ES_tradnl" w:eastAsia="es-CO"/>
        </w:rPr>
      </w:pPr>
    </w:p>
    <w:p w14:paraId="262C5950" w14:textId="77777777" w:rsidR="00F74645" w:rsidRPr="00F74645" w:rsidRDefault="00F74645" w:rsidP="00F74645">
      <w:pPr>
        <w:spacing w:after="0" w:line="240" w:lineRule="auto"/>
        <w:jc w:val="both"/>
        <w:rPr>
          <w:rFonts w:ascii="Verdana" w:eastAsia="MS Mincho" w:hAnsi="Verdana" w:cs="Arial"/>
          <w:sz w:val="20"/>
          <w:szCs w:val="20"/>
          <w:lang w:val="es-ES_tradnl" w:eastAsia="es-CO"/>
        </w:rPr>
      </w:pPr>
      <w:r w:rsidRPr="00F74645">
        <w:rPr>
          <w:rFonts w:ascii="Verdana" w:eastAsia="MS Mincho" w:hAnsi="Verdana" w:cs="Arial"/>
          <w:sz w:val="20"/>
          <w:szCs w:val="20"/>
          <w:lang w:val="es-ES_tradnl" w:eastAsia="es-CO"/>
        </w:rPr>
        <w:t xml:space="preserve">[…] </w:t>
      </w:r>
    </w:p>
    <w:p w14:paraId="0E6B180D" w14:textId="77777777" w:rsidR="00F74645" w:rsidRPr="00F74645" w:rsidRDefault="00F74645" w:rsidP="00F74645">
      <w:pPr>
        <w:spacing w:after="0" w:line="240" w:lineRule="auto"/>
        <w:jc w:val="both"/>
        <w:rPr>
          <w:rFonts w:ascii="Verdana" w:eastAsia="MS Mincho" w:hAnsi="Verdana" w:cs="Arial"/>
          <w:sz w:val="20"/>
          <w:szCs w:val="20"/>
          <w:lang w:val="es-ES_tradnl" w:eastAsia="es-CO"/>
        </w:rPr>
      </w:pPr>
    </w:p>
    <w:p w14:paraId="3D8650DD" w14:textId="77777777" w:rsidR="00F74645" w:rsidRPr="00F74645" w:rsidRDefault="00F74645" w:rsidP="00F74645">
      <w:pPr>
        <w:spacing w:after="0" w:line="240" w:lineRule="auto"/>
        <w:jc w:val="both"/>
        <w:rPr>
          <w:rFonts w:ascii="Verdana" w:eastAsia="MS Mincho" w:hAnsi="Verdana" w:cs="Arial"/>
          <w:sz w:val="20"/>
          <w:szCs w:val="20"/>
          <w:lang w:eastAsia="es-CO"/>
        </w:rPr>
      </w:pPr>
      <w:r w:rsidRPr="00F74645">
        <w:rPr>
          <w:rFonts w:ascii="Verdana" w:eastAsia="MS Mincho" w:hAnsi="Verdana" w:cs="Arial"/>
          <w:sz w:val="20"/>
          <w:szCs w:val="20"/>
          <w:lang w:eastAsia="es-CO"/>
        </w:rPr>
        <w:t>Sobre la finalidad de celebración de estos negocios fiduciarios, el Consejo de Estado precisó lo siguiente:</w:t>
      </w:r>
    </w:p>
    <w:p w14:paraId="64D8F338" w14:textId="77777777" w:rsidR="00F74645" w:rsidRPr="00F74645" w:rsidRDefault="00F74645" w:rsidP="00F74645">
      <w:pPr>
        <w:spacing w:after="0" w:line="240" w:lineRule="auto"/>
        <w:ind w:left="709" w:right="709"/>
        <w:jc w:val="both"/>
        <w:rPr>
          <w:rFonts w:ascii="Verdana" w:eastAsia="MS Mincho" w:hAnsi="Verdana" w:cs="Arial"/>
          <w:sz w:val="20"/>
          <w:szCs w:val="20"/>
          <w:lang w:eastAsia="es-CO"/>
        </w:rPr>
      </w:pPr>
    </w:p>
    <w:p w14:paraId="71F78960" w14:textId="77777777" w:rsidR="00F74645" w:rsidRPr="00F74645" w:rsidRDefault="00F74645" w:rsidP="00F74645">
      <w:pPr>
        <w:spacing w:after="0" w:line="240" w:lineRule="auto"/>
        <w:ind w:left="709" w:right="709"/>
        <w:jc w:val="both"/>
        <w:rPr>
          <w:rFonts w:ascii="Verdana" w:eastAsia="MS Mincho" w:hAnsi="Verdana" w:cs="Arial"/>
          <w:sz w:val="20"/>
          <w:szCs w:val="20"/>
          <w:lang w:eastAsia="es-CO"/>
        </w:rPr>
      </w:pPr>
      <w:r w:rsidRPr="00F74645">
        <w:rPr>
          <w:rFonts w:ascii="Verdana" w:eastAsia="MS Mincho" w:hAnsi="Verdana" w:cs="Arial"/>
          <w:sz w:val="20"/>
          <w:szCs w:val="20"/>
          <w:lang w:eastAsia="es-CO"/>
        </w:rPr>
        <w:t xml:space="preserve">“Igualmente se tiene presente que el encargo fiduciario, la fiducia mercantil y la fiducia pública prevista en la Ley 80 de 1993 son modalidades del contrato fiduciario que revisten particularidades </w:t>
      </w:r>
      <w:proofErr w:type="gramStart"/>
      <w:r w:rsidRPr="00F74645">
        <w:rPr>
          <w:rFonts w:ascii="Verdana" w:eastAsia="MS Mincho" w:hAnsi="Verdana" w:cs="Arial"/>
          <w:sz w:val="20"/>
          <w:szCs w:val="20"/>
          <w:lang w:eastAsia="es-CO"/>
        </w:rPr>
        <w:t>diferentes</w:t>
      </w:r>
      <w:proofErr w:type="gramEnd"/>
      <w:r w:rsidRPr="00F74645">
        <w:rPr>
          <w:rFonts w:ascii="Verdana" w:eastAsia="MS Mincho" w:hAnsi="Verdana" w:cs="Arial"/>
          <w:sz w:val="20"/>
          <w:szCs w:val="20"/>
          <w:lang w:eastAsia="es-CO"/>
        </w:rPr>
        <w:t xml:space="preserve"> pero gozan de unas características comunes, especialmente aquella que se refiere a la nota esencial exigida por la ley en relación con la identificación de la finalidad o destinación específica para la cual se celebra el negocio fiduciario. Por esta característica, aunada a la de la entrega de bienes para ejecutar el referido fin, se puede observar que la fiducia es un contrato instrumental, un medio de apoyo para tratar de lograr un fin, el cual está categorizado en la legislación como un servicio financiero, aunque -como bien puede observarse- el objeto del contrato no se restringe necesariamente al manejo de dinero o valores y se puede extender a otro tipo de actividades en relación con los bienes materia de la gestión, dentro de la limitante que supone la propia capacidad legal del </w:t>
      </w:r>
      <w:proofErr w:type="spellStart"/>
      <w:r w:rsidRPr="00F74645">
        <w:rPr>
          <w:rFonts w:ascii="Verdana" w:eastAsia="MS Mincho" w:hAnsi="Verdana" w:cs="Arial"/>
          <w:sz w:val="20"/>
          <w:szCs w:val="20"/>
          <w:lang w:eastAsia="es-CO"/>
        </w:rPr>
        <w:t>encargante</w:t>
      </w:r>
      <w:proofErr w:type="spellEnd"/>
      <w:r w:rsidRPr="00F74645">
        <w:rPr>
          <w:rFonts w:ascii="Verdana" w:eastAsia="MS Mincho" w:hAnsi="Verdana" w:cs="Arial"/>
          <w:sz w:val="20"/>
          <w:szCs w:val="20"/>
          <w:lang w:eastAsia="es-CO"/>
        </w:rPr>
        <w:t xml:space="preserve"> o fideicomitente”.</w:t>
      </w:r>
    </w:p>
    <w:p w14:paraId="405E2681" w14:textId="77777777" w:rsidR="00F74645" w:rsidRPr="00F74645" w:rsidRDefault="00F74645" w:rsidP="00F74645">
      <w:pPr>
        <w:spacing w:after="0" w:line="240" w:lineRule="auto"/>
        <w:ind w:left="709" w:right="709"/>
        <w:jc w:val="both"/>
        <w:rPr>
          <w:rFonts w:ascii="Verdana" w:eastAsia="MS Mincho" w:hAnsi="Verdana" w:cs="Arial"/>
          <w:sz w:val="20"/>
          <w:szCs w:val="20"/>
          <w:lang w:eastAsia="es-CO"/>
        </w:rPr>
      </w:pPr>
    </w:p>
    <w:p w14:paraId="76F7FBCD" w14:textId="77777777" w:rsidR="00F74645" w:rsidRPr="00F74645" w:rsidRDefault="00F74645" w:rsidP="00F74645">
      <w:pPr>
        <w:spacing w:after="0" w:line="240" w:lineRule="auto"/>
        <w:jc w:val="both"/>
        <w:rPr>
          <w:rFonts w:ascii="Verdana" w:eastAsia="MS Mincho" w:hAnsi="Verdana" w:cs="Arial"/>
          <w:sz w:val="20"/>
          <w:szCs w:val="20"/>
          <w:lang w:eastAsia="es-CO"/>
        </w:rPr>
      </w:pPr>
      <w:r w:rsidRPr="00F74645">
        <w:rPr>
          <w:rFonts w:ascii="Verdana" w:eastAsia="MS Mincho" w:hAnsi="Verdana" w:cs="Arial"/>
          <w:sz w:val="20"/>
          <w:szCs w:val="20"/>
          <w:lang w:eastAsia="es-CO"/>
        </w:rPr>
        <w:t xml:space="preserve">Conforme a lo anterior, se puede afirmar que estos negocios tienen por finalidad servir como un mecanismo de apoyo para la consecución de los propósitos de la entidad estatal que implica administración de recursos, así como también puede comprender la realización de diversas actividades relacionadas con estos siempre dentro de los límites fijados por el tipo de contrato celebrado y por la capacidad legal del fideicomitente. </w:t>
      </w:r>
    </w:p>
    <w:p w14:paraId="2283D89E" w14:textId="77777777" w:rsidR="00F74645" w:rsidRPr="00F74645" w:rsidRDefault="00F74645" w:rsidP="00F74645">
      <w:pPr>
        <w:spacing w:after="0" w:line="240" w:lineRule="auto"/>
        <w:jc w:val="both"/>
        <w:rPr>
          <w:rFonts w:ascii="Verdana" w:eastAsia="MS Mincho" w:hAnsi="Verdana" w:cs="Arial"/>
          <w:sz w:val="20"/>
          <w:szCs w:val="20"/>
          <w:lang w:eastAsia="es-CO"/>
        </w:rPr>
      </w:pPr>
    </w:p>
    <w:p w14:paraId="773FC86C" w14:textId="320C9407" w:rsidR="00F74645" w:rsidRPr="00F74645" w:rsidRDefault="00F74645" w:rsidP="00F74645">
      <w:pPr>
        <w:spacing w:after="0" w:line="240" w:lineRule="auto"/>
        <w:jc w:val="both"/>
        <w:rPr>
          <w:rFonts w:ascii="Verdana" w:eastAsia="MS Mincho" w:hAnsi="Verdana" w:cs="Arial"/>
          <w:b/>
          <w:bCs/>
          <w:sz w:val="20"/>
          <w:szCs w:val="20"/>
        </w:rPr>
      </w:pPr>
      <w:r w:rsidRPr="00F74645">
        <w:rPr>
          <w:rFonts w:ascii="Verdana" w:eastAsia="Geomanist Light" w:hAnsi="Verdana" w:cs="Arial"/>
          <w:b/>
          <w:bCs/>
          <w:lang w:val="es-ES"/>
        </w:rPr>
        <w:t xml:space="preserve">MECANISMOS DE SEGUIMIENTO – </w:t>
      </w:r>
      <w:r w:rsidR="00BE09F8">
        <w:rPr>
          <w:rFonts w:ascii="Verdana" w:eastAsia="Geomanist Light" w:hAnsi="Verdana" w:cs="Arial"/>
          <w:b/>
          <w:bCs/>
          <w:lang w:val="es-ES"/>
        </w:rPr>
        <w:t>C</w:t>
      </w:r>
      <w:r w:rsidRPr="00F74645">
        <w:rPr>
          <w:rFonts w:ascii="Verdana" w:eastAsia="Geomanist Light" w:hAnsi="Verdana" w:cs="Arial"/>
          <w:b/>
          <w:bCs/>
          <w:lang w:val="es-ES"/>
        </w:rPr>
        <w:t>ontrol y vigilancia – Rendi</w:t>
      </w:r>
      <w:r w:rsidR="00297D04">
        <w:rPr>
          <w:rFonts w:ascii="Verdana" w:eastAsia="Geomanist Light" w:hAnsi="Verdana" w:cs="Arial"/>
          <w:b/>
          <w:bCs/>
          <w:lang w:val="es-ES"/>
        </w:rPr>
        <w:t>ción de cuentas</w:t>
      </w:r>
    </w:p>
    <w:p w14:paraId="64F8C501" w14:textId="77777777" w:rsidR="00F74645" w:rsidRPr="00F74645" w:rsidRDefault="00F74645" w:rsidP="00F74645">
      <w:pPr>
        <w:spacing w:after="0" w:line="240" w:lineRule="auto"/>
        <w:rPr>
          <w:rFonts w:ascii="Verdana" w:eastAsia="MS Mincho" w:hAnsi="Verdana" w:cs="Arial"/>
          <w:sz w:val="20"/>
          <w:szCs w:val="20"/>
        </w:rPr>
      </w:pPr>
    </w:p>
    <w:p w14:paraId="36AA9540" w14:textId="77777777" w:rsidR="00F74645" w:rsidRPr="00F74645" w:rsidRDefault="00F74645" w:rsidP="00F74645">
      <w:pPr>
        <w:spacing w:after="0" w:line="240" w:lineRule="auto"/>
        <w:jc w:val="both"/>
        <w:rPr>
          <w:rFonts w:ascii="Verdana" w:eastAsia="MS Mincho" w:hAnsi="Verdana" w:cs="Arial"/>
          <w:sz w:val="20"/>
          <w:szCs w:val="20"/>
        </w:rPr>
      </w:pPr>
      <w:r w:rsidRPr="00F74645">
        <w:rPr>
          <w:rFonts w:ascii="Verdana" w:eastAsia="MS Mincho" w:hAnsi="Verdana" w:cs="Arial"/>
          <w:sz w:val="20"/>
          <w:szCs w:val="20"/>
        </w:rPr>
        <w:t>En los casos en que la administración de recursos públicos se realice mediante fiducia pública o encargo fiduciario, son procedentes los mecanismos de control y vigilancia propios de las actuaciones sometidas al EGCAP, dado que no existe transferencia del dominio de los recursos. En estos supuestos, las Entidades Estatales mantienen el control y la vigilancia de la correcta ejecución de los recursos entregados.</w:t>
      </w:r>
    </w:p>
    <w:p w14:paraId="492C8294" w14:textId="77777777" w:rsidR="00F74645" w:rsidRPr="00F74645" w:rsidRDefault="00F74645" w:rsidP="00F74645">
      <w:pPr>
        <w:spacing w:after="0" w:line="240" w:lineRule="auto"/>
        <w:jc w:val="both"/>
        <w:rPr>
          <w:rFonts w:ascii="Verdana" w:eastAsia="MS Mincho" w:hAnsi="Verdana" w:cs="Arial"/>
          <w:sz w:val="20"/>
          <w:szCs w:val="20"/>
        </w:rPr>
      </w:pPr>
    </w:p>
    <w:p w14:paraId="4B9A48CC" w14:textId="77777777" w:rsidR="00F74645" w:rsidRPr="00F74645" w:rsidRDefault="00F74645" w:rsidP="00F74645">
      <w:pPr>
        <w:spacing w:after="0" w:line="240" w:lineRule="auto"/>
        <w:jc w:val="both"/>
        <w:rPr>
          <w:rFonts w:ascii="Verdana" w:eastAsia="MS Mincho" w:hAnsi="Verdana" w:cs="Arial"/>
          <w:sz w:val="20"/>
          <w:szCs w:val="20"/>
        </w:rPr>
      </w:pPr>
      <w:r w:rsidRPr="00F74645">
        <w:rPr>
          <w:rFonts w:ascii="Verdana" w:eastAsia="MS Mincho" w:hAnsi="Verdana" w:cs="Arial"/>
          <w:sz w:val="20"/>
          <w:szCs w:val="20"/>
        </w:rPr>
        <w:t xml:space="preserve">El deber de rendición de cuentas es común a estos negocios fiduciarios: la sociedad fiduciaria tiene el deber indelegable de rendir cuentas comprobadas de su gestión al beneficiario cada seis meses, conforme al artículo 1234 del Código de Comercio, y el fideicomitente conserva el derecho de exigir dicha rendición de cuentas según el artículo 1236 del mismo Código. Este mecanismo cobra especial relevancia cuando la ley autoriza constituir un patrimonio autónomo mediante fiducia mercantil, pues allí la transferencia de la propiedad de los bienes no elimina la obligación de vigilancia de la Entidad Estatal. </w:t>
      </w:r>
      <w:r w:rsidRPr="00F74645">
        <w:rPr>
          <w:rFonts w:ascii="Verdana" w:eastAsia="MS Mincho" w:hAnsi="Verdana" w:cs="Arial"/>
          <w:sz w:val="20"/>
          <w:szCs w:val="20"/>
        </w:rPr>
        <w:lastRenderedPageBreak/>
        <w:t>Adicionalmente, la Contraloría General de la República ha precisado que la transferencia de recursos mediante un negocio fiduciario tiene carácter instrumental, de manera que el administrador no tiene facultad de disponer libremente de los recursos públicos, los cuales son en todo caso objeto de control fiscal.</w:t>
      </w:r>
    </w:p>
    <w:p w14:paraId="78E79C90" w14:textId="77777777" w:rsidR="00F74645" w:rsidRPr="00F74645" w:rsidRDefault="00F74645" w:rsidP="00F74645">
      <w:pPr>
        <w:spacing w:after="0" w:line="240" w:lineRule="auto"/>
        <w:jc w:val="both"/>
        <w:rPr>
          <w:rFonts w:ascii="Verdana" w:eastAsia="MS Mincho" w:hAnsi="Verdana" w:cs="Arial"/>
          <w:sz w:val="20"/>
          <w:szCs w:val="20"/>
        </w:rPr>
      </w:pPr>
    </w:p>
    <w:p w14:paraId="686E3413" w14:textId="77777777" w:rsidR="00F74645" w:rsidRPr="00F74645" w:rsidRDefault="00F74645" w:rsidP="00F74645">
      <w:pPr>
        <w:spacing w:after="0" w:line="240" w:lineRule="auto"/>
        <w:rPr>
          <w:rFonts w:ascii="Verdana" w:hAnsi="Verdana"/>
          <w:lang w:val="es-ES"/>
        </w:rPr>
      </w:pPr>
    </w:p>
    <w:p w14:paraId="66D0AF2A" w14:textId="77777777" w:rsidR="00F74645" w:rsidRPr="00F74645" w:rsidRDefault="00F74645" w:rsidP="00F74645">
      <w:pPr>
        <w:spacing w:after="0" w:line="240" w:lineRule="auto"/>
        <w:rPr>
          <w:rFonts w:ascii="Verdana" w:hAnsi="Verdana"/>
          <w:lang w:val="es-ES"/>
        </w:rPr>
      </w:pPr>
    </w:p>
    <w:p w14:paraId="0C20AAC9" w14:textId="77777777" w:rsidR="008D0B17" w:rsidRDefault="008D0B17" w:rsidP="00F74645">
      <w:pPr>
        <w:spacing w:after="0" w:line="240" w:lineRule="auto"/>
        <w:rPr>
          <w:rFonts w:ascii="Verdana" w:hAnsi="Verdana"/>
          <w:lang w:val="es-ES"/>
        </w:rPr>
      </w:pPr>
    </w:p>
    <w:p w14:paraId="4E57D9EE" w14:textId="77777777" w:rsidR="008D0B17" w:rsidRDefault="008D0B17" w:rsidP="00F74645">
      <w:pPr>
        <w:spacing w:after="0" w:line="240" w:lineRule="auto"/>
        <w:rPr>
          <w:rFonts w:ascii="Verdana" w:hAnsi="Verdana"/>
          <w:lang w:val="es-ES"/>
        </w:rPr>
      </w:pPr>
    </w:p>
    <w:p w14:paraId="7325C029" w14:textId="77777777" w:rsidR="008D0B17" w:rsidRDefault="008D0B17" w:rsidP="00F74645">
      <w:pPr>
        <w:spacing w:after="0" w:line="240" w:lineRule="auto"/>
        <w:rPr>
          <w:rFonts w:ascii="Verdana" w:hAnsi="Verdana"/>
          <w:lang w:val="es-ES"/>
        </w:rPr>
      </w:pPr>
    </w:p>
    <w:p w14:paraId="4F3489D9" w14:textId="77777777" w:rsidR="008D0B17" w:rsidRDefault="008D0B17" w:rsidP="00F74645">
      <w:pPr>
        <w:spacing w:after="0" w:line="240" w:lineRule="auto"/>
        <w:rPr>
          <w:rFonts w:ascii="Verdana" w:hAnsi="Verdana"/>
          <w:lang w:val="es-ES"/>
        </w:rPr>
      </w:pPr>
    </w:p>
    <w:p w14:paraId="66003A68" w14:textId="77777777" w:rsidR="008D0B17" w:rsidRDefault="008D0B17" w:rsidP="00F74645">
      <w:pPr>
        <w:spacing w:after="0" w:line="240" w:lineRule="auto"/>
        <w:rPr>
          <w:rFonts w:ascii="Verdana" w:hAnsi="Verdana"/>
          <w:lang w:val="es-ES"/>
        </w:rPr>
      </w:pPr>
    </w:p>
    <w:p w14:paraId="35DE0C52" w14:textId="77777777" w:rsidR="008D0B17" w:rsidRDefault="008D0B17" w:rsidP="00F74645">
      <w:pPr>
        <w:spacing w:after="0" w:line="240" w:lineRule="auto"/>
        <w:rPr>
          <w:rFonts w:ascii="Verdana" w:hAnsi="Verdana"/>
          <w:lang w:val="es-ES"/>
        </w:rPr>
      </w:pPr>
    </w:p>
    <w:p w14:paraId="5A7B8E61" w14:textId="77777777" w:rsidR="008D0B17" w:rsidRDefault="008D0B17" w:rsidP="00F74645">
      <w:pPr>
        <w:spacing w:after="0" w:line="240" w:lineRule="auto"/>
        <w:rPr>
          <w:rFonts w:ascii="Verdana" w:hAnsi="Verdana"/>
          <w:lang w:val="es-ES"/>
        </w:rPr>
      </w:pPr>
    </w:p>
    <w:p w14:paraId="392E6A35" w14:textId="77777777" w:rsidR="008D0B17" w:rsidRDefault="008D0B17" w:rsidP="00F74645">
      <w:pPr>
        <w:spacing w:after="0" w:line="240" w:lineRule="auto"/>
        <w:rPr>
          <w:rFonts w:ascii="Verdana" w:hAnsi="Verdana"/>
          <w:lang w:val="es-ES"/>
        </w:rPr>
      </w:pPr>
    </w:p>
    <w:p w14:paraId="44C4624D" w14:textId="77777777" w:rsidR="008D0B17" w:rsidRDefault="008D0B17" w:rsidP="00F74645">
      <w:pPr>
        <w:spacing w:after="0" w:line="240" w:lineRule="auto"/>
        <w:rPr>
          <w:rFonts w:ascii="Verdana" w:hAnsi="Verdana"/>
          <w:lang w:val="es-ES"/>
        </w:rPr>
      </w:pPr>
    </w:p>
    <w:p w14:paraId="28539C9C" w14:textId="77777777" w:rsidR="008D0B17" w:rsidRDefault="008D0B17" w:rsidP="00F74645">
      <w:pPr>
        <w:spacing w:after="0" w:line="240" w:lineRule="auto"/>
        <w:rPr>
          <w:rFonts w:ascii="Verdana" w:hAnsi="Verdana"/>
          <w:lang w:val="es-ES"/>
        </w:rPr>
      </w:pPr>
    </w:p>
    <w:p w14:paraId="1D417D96" w14:textId="77777777" w:rsidR="008D0B17" w:rsidRDefault="008D0B17" w:rsidP="00F74645">
      <w:pPr>
        <w:spacing w:after="0" w:line="240" w:lineRule="auto"/>
        <w:rPr>
          <w:rFonts w:ascii="Verdana" w:hAnsi="Verdana"/>
          <w:lang w:val="es-ES"/>
        </w:rPr>
      </w:pPr>
    </w:p>
    <w:p w14:paraId="474F77C1" w14:textId="77777777" w:rsidR="008D0B17" w:rsidRDefault="008D0B17" w:rsidP="00F74645">
      <w:pPr>
        <w:spacing w:after="0" w:line="240" w:lineRule="auto"/>
        <w:rPr>
          <w:rFonts w:ascii="Verdana" w:hAnsi="Verdana"/>
          <w:lang w:val="es-ES"/>
        </w:rPr>
      </w:pPr>
    </w:p>
    <w:p w14:paraId="1C5A33A5" w14:textId="77777777" w:rsidR="008D0B17" w:rsidRDefault="008D0B17" w:rsidP="00F74645">
      <w:pPr>
        <w:spacing w:after="0" w:line="240" w:lineRule="auto"/>
        <w:rPr>
          <w:rFonts w:ascii="Verdana" w:hAnsi="Verdana"/>
          <w:lang w:val="es-ES"/>
        </w:rPr>
      </w:pPr>
    </w:p>
    <w:p w14:paraId="6F8FE531" w14:textId="77777777" w:rsidR="008D0B17" w:rsidRDefault="008D0B17" w:rsidP="00F74645">
      <w:pPr>
        <w:spacing w:after="0" w:line="240" w:lineRule="auto"/>
        <w:rPr>
          <w:rFonts w:ascii="Verdana" w:hAnsi="Verdana"/>
          <w:lang w:val="es-ES"/>
        </w:rPr>
      </w:pPr>
    </w:p>
    <w:p w14:paraId="252B0182" w14:textId="77777777" w:rsidR="008D0B17" w:rsidRDefault="008D0B17" w:rsidP="00F74645">
      <w:pPr>
        <w:spacing w:after="0" w:line="240" w:lineRule="auto"/>
        <w:rPr>
          <w:rFonts w:ascii="Verdana" w:hAnsi="Verdana"/>
          <w:lang w:val="es-ES"/>
        </w:rPr>
      </w:pPr>
    </w:p>
    <w:p w14:paraId="6EEA537C" w14:textId="77777777" w:rsidR="008D0B17" w:rsidRDefault="008D0B17" w:rsidP="00F74645">
      <w:pPr>
        <w:spacing w:after="0" w:line="240" w:lineRule="auto"/>
        <w:rPr>
          <w:rFonts w:ascii="Verdana" w:hAnsi="Verdana"/>
          <w:lang w:val="es-ES"/>
        </w:rPr>
      </w:pPr>
    </w:p>
    <w:p w14:paraId="25F5CBC3" w14:textId="77777777" w:rsidR="008D0B17" w:rsidRDefault="008D0B17" w:rsidP="00F74645">
      <w:pPr>
        <w:spacing w:after="0" w:line="240" w:lineRule="auto"/>
        <w:rPr>
          <w:rFonts w:ascii="Verdana" w:hAnsi="Verdana"/>
          <w:lang w:val="es-ES"/>
        </w:rPr>
      </w:pPr>
    </w:p>
    <w:p w14:paraId="6CA72F0D" w14:textId="77777777" w:rsidR="008D0B17" w:rsidRDefault="008D0B17" w:rsidP="00F74645">
      <w:pPr>
        <w:spacing w:after="0" w:line="240" w:lineRule="auto"/>
        <w:rPr>
          <w:rFonts w:ascii="Verdana" w:hAnsi="Verdana"/>
          <w:lang w:val="es-ES"/>
        </w:rPr>
      </w:pPr>
    </w:p>
    <w:p w14:paraId="74591416" w14:textId="77777777" w:rsidR="008D0B17" w:rsidRDefault="008D0B17" w:rsidP="00F74645">
      <w:pPr>
        <w:spacing w:after="0" w:line="240" w:lineRule="auto"/>
        <w:rPr>
          <w:rFonts w:ascii="Verdana" w:hAnsi="Verdana"/>
          <w:lang w:val="es-ES"/>
        </w:rPr>
      </w:pPr>
    </w:p>
    <w:p w14:paraId="654A3C7E" w14:textId="77777777" w:rsidR="008D0B17" w:rsidRDefault="008D0B17" w:rsidP="00F74645">
      <w:pPr>
        <w:spacing w:after="0" w:line="240" w:lineRule="auto"/>
        <w:rPr>
          <w:rFonts w:ascii="Verdana" w:hAnsi="Verdana"/>
          <w:lang w:val="es-ES"/>
        </w:rPr>
      </w:pPr>
    </w:p>
    <w:p w14:paraId="479A65D5" w14:textId="77777777" w:rsidR="008D0B17" w:rsidRDefault="008D0B17" w:rsidP="00F74645">
      <w:pPr>
        <w:spacing w:after="0" w:line="240" w:lineRule="auto"/>
        <w:rPr>
          <w:rFonts w:ascii="Verdana" w:hAnsi="Verdana"/>
          <w:lang w:val="es-ES"/>
        </w:rPr>
      </w:pPr>
    </w:p>
    <w:p w14:paraId="3063C861" w14:textId="77777777" w:rsidR="008D0B17" w:rsidRDefault="008D0B17" w:rsidP="00F74645">
      <w:pPr>
        <w:spacing w:after="0" w:line="240" w:lineRule="auto"/>
        <w:rPr>
          <w:rFonts w:ascii="Verdana" w:hAnsi="Verdana"/>
          <w:lang w:val="es-ES"/>
        </w:rPr>
      </w:pPr>
    </w:p>
    <w:p w14:paraId="61CC7CF1" w14:textId="77777777" w:rsidR="008D0B17" w:rsidRDefault="008D0B17" w:rsidP="00F74645">
      <w:pPr>
        <w:spacing w:after="0" w:line="240" w:lineRule="auto"/>
        <w:rPr>
          <w:rFonts w:ascii="Verdana" w:hAnsi="Verdana"/>
          <w:lang w:val="es-ES"/>
        </w:rPr>
      </w:pPr>
    </w:p>
    <w:p w14:paraId="07D0CC2C" w14:textId="77777777" w:rsidR="008D0B17" w:rsidRDefault="008D0B17" w:rsidP="00F74645">
      <w:pPr>
        <w:spacing w:after="0" w:line="240" w:lineRule="auto"/>
        <w:rPr>
          <w:rFonts w:ascii="Verdana" w:hAnsi="Verdana"/>
          <w:lang w:val="es-ES"/>
        </w:rPr>
      </w:pPr>
    </w:p>
    <w:p w14:paraId="4DEB533A" w14:textId="77777777" w:rsidR="008D0B17" w:rsidRDefault="008D0B17" w:rsidP="00F74645">
      <w:pPr>
        <w:spacing w:after="0" w:line="240" w:lineRule="auto"/>
        <w:rPr>
          <w:rFonts w:ascii="Verdana" w:hAnsi="Verdana"/>
          <w:lang w:val="es-ES"/>
        </w:rPr>
      </w:pPr>
    </w:p>
    <w:p w14:paraId="7A5F16C3" w14:textId="77777777" w:rsidR="008D0B17" w:rsidRDefault="008D0B17" w:rsidP="00F74645">
      <w:pPr>
        <w:spacing w:after="0" w:line="240" w:lineRule="auto"/>
        <w:rPr>
          <w:rFonts w:ascii="Verdana" w:hAnsi="Verdana"/>
          <w:lang w:val="es-ES"/>
        </w:rPr>
      </w:pPr>
    </w:p>
    <w:p w14:paraId="70AD2823" w14:textId="77777777" w:rsidR="008D0B17" w:rsidRDefault="008D0B17" w:rsidP="00F74645">
      <w:pPr>
        <w:spacing w:after="0" w:line="240" w:lineRule="auto"/>
        <w:rPr>
          <w:rFonts w:ascii="Verdana" w:hAnsi="Verdana"/>
          <w:lang w:val="es-ES"/>
        </w:rPr>
      </w:pPr>
    </w:p>
    <w:p w14:paraId="48D50155" w14:textId="77777777" w:rsidR="008D0B17" w:rsidRDefault="008D0B17" w:rsidP="00F74645">
      <w:pPr>
        <w:spacing w:after="0" w:line="240" w:lineRule="auto"/>
        <w:rPr>
          <w:rFonts w:ascii="Verdana" w:hAnsi="Verdana"/>
          <w:lang w:val="es-ES"/>
        </w:rPr>
      </w:pPr>
    </w:p>
    <w:p w14:paraId="705C43E2" w14:textId="77777777" w:rsidR="008D0B17" w:rsidRDefault="008D0B17" w:rsidP="00F74645">
      <w:pPr>
        <w:spacing w:after="0" w:line="240" w:lineRule="auto"/>
        <w:rPr>
          <w:rFonts w:ascii="Verdana" w:hAnsi="Verdana"/>
          <w:lang w:val="es-ES"/>
        </w:rPr>
      </w:pPr>
    </w:p>
    <w:p w14:paraId="40F83A28" w14:textId="77777777" w:rsidR="008D0B17" w:rsidRDefault="008D0B17" w:rsidP="00F74645">
      <w:pPr>
        <w:spacing w:after="0" w:line="240" w:lineRule="auto"/>
        <w:rPr>
          <w:rFonts w:ascii="Verdana" w:hAnsi="Verdana"/>
          <w:lang w:val="es-ES"/>
        </w:rPr>
      </w:pPr>
    </w:p>
    <w:p w14:paraId="49FA21D4" w14:textId="77777777" w:rsidR="008D0B17" w:rsidRDefault="008D0B17" w:rsidP="00F74645">
      <w:pPr>
        <w:spacing w:after="0" w:line="240" w:lineRule="auto"/>
        <w:rPr>
          <w:rFonts w:ascii="Verdana" w:hAnsi="Verdana"/>
          <w:lang w:val="es-ES"/>
        </w:rPr>
      </w:pPr>
    </w:p>
    <w:p w14:paraId="78F6CDF6" w14:textId="77777777" w:rsidR="008D0B17" w:rsidRDefault="008D0B17" w:rsidP="00F74645">
      <w:pPr>
        <w:spacing w:after="0" w:line="240" w:lineRule="auto"/>
        <w:rPr>
          <w:rFonts w:ascii="Verdana" w:hAnsi="Verdana"/>
          <w:lang w:val="es-ES"/>
        </w:rPr>
      </w:pPr>
    </w:p>
    <w:p w14:paraId="01FAB5B9" w14:textId="77777777" w:rsidR="008D0B17" w:rsidRDefault="008D0B17" w:rsidP="00F74645">
      <w:pPr>
        <w:spacing w:after="0" w:line="240" w:lineRule="auto"/>
        <w:rPr>
          <w:rFonts w:ascii="Verdana" w:hAnsi="Verdana"/>
          <w:lang w:val="es-ES"/>
        </w:rPr>
      </w:pPr>
    </w:p>
    <w:p w14:paraId="29268673" w14:textId="77777777" w:rsidR="008D0B17" w:rsidRDefault="008D0B17" w:rsidP="00F74645">
      <w:pPr>
        <w:spacing w:after="0" w:line="240" w:lineRule="auto"/>
        <w:rPr>
          <w:rFonts w:ascii="Verdana" w:hAnsi="Verdana"/>
          <w:lang w:val="es-ES"/>
        </w:rPr>
      </w:pPr>
    </w:p>
    <w:p w14:paraId="7E70A8AD" w14:textId="77777777" w:rsidR="00BE09F8" w:rsidRDefault="00BE09F8" w:rsidP="00F74645">
      <w:pPr>
        <w:spacing w:after="0" w:line="240" w:lineRule="auto"/>
        <w:rPr>
          <w:rFonts w:ascii="Verdana" w:hAnsi="Verdana"/>
          <w:lang w:val="es-ES"/>
        </w:rPr>
      </w:pPr>
    </w:p>
    <w:p w14:paraId="6EDCDE88" w14:textId="27979D0C" w:rsidR="00F74645" w:rsidRPr="00F74645" w:rsidRDefault="00F74645" w:rsidP="00F74645">
      <w:pPr>
        <w:spacing w:after="0" w:line="240" w:lineRule="auto"/>
        <w:rPr>
          <w:rFonts w:ascii="Verdana" w:eastAsia="Geomanist Light" w:hAnsi="Verdana" w:cs="Arial"/>
          <w:color w:val="201F1E"/>
        </w:rPr>
      </w:pPr>
      <w:r w:rsidRPr="00F74645">
        <w:rPr>
          <w:rFonts w:ascii="Verdana" w:hAnsi="Verdana"/>
          <w:lang w:val="es-ES"/>
        </w:rPr>
        <w:lastRenderedPageBreak/>
        <w:t xml:space="preserve">Bogotá D.C., </w:t>
      </w:r>
      <w:r w:rsidR="007519DE">
        <w:rPr>
          <w:rFonts w:ascii="Verdana" w:eastAsia="Geomanist Light" w:hAnsi="Verdana" w:cs="Arial"/>
          <w:color w:val="201F1E"/>
        </w:rPr>
        <w:t>28 de julio de 2026</w:t>
      </w:r>
    </w:p>
    <w:p w14:paraId="2A520669" w14:textId="77777777" w:rsidR="00F74645" w:rsidRPr="00F74645" w:rsidRDefault="00F74645" w:rsidP="00F74645">
      <w:pPr>
        <w:spacing w:after="0"/>
        <w:rPr>
          <w:rFonts w:ascii="Verdana" w:hAnsi="Verdana"/>
          <w:lang w:val="es-ES"/>
        </w:rPr>
      </w:pPr>
    </w:p>
    <w:p w14:paraId="27CCBF7D" w14:textId="23561B97" w:rsidR="00F74645" w:rsidRPr="00F74645" w:rsidRDefault="007519DE" w:rsidP="007519DE">
      <w:pPr>
        <w:spacing w:after="0"/>
        <w:jc w:val="right"/>
        <w:rPr>
          <w:rFonts w:ascii="Verdana" w:hAnsi="Verdana"/>
          <w:lang w:val="es-ES"/>
        </w:rPr>
      </w:pPr>
      <w:r w:rsidRPr="007519DE">
        <w:rPr>
          <w:rFonts w:ascii="Verdana" w:hAnsi="Verdana"/>
          <w:noProof/>
          <w:lang w:val="es-ES"/>
        </w:rPr>
        <w:drawing>
          <wp:anchor distT="0" distB="0" distL="114300" distR="114300" simplePos="0" relativeHeight="251658240" behindDoc="0" locked="0" layoutInCell="1" allowOverlap="1" wp14:anchorId="74871103" wp14:editId="58816FDC">
            <wp:simplePos x="0" y="0"/>
            <wp:positionH relativeFrom="column">
              <wp:posOffset>3019425</wp:posOffset>
            </wp:positionH>
            <wp:positionV relativeFrom="paragraph">
              <wp:posOffset>-3810</wp:posOffset>
            </wp:positionV>
            <wp:extent cx="2583180" cy="861060"/>
            <wp:effectExtent l="0" t="0" r="7620" b="0"/>
            <wp:wrapSquare wrapText="bothSides"/>
            <wp:docPr id="6337667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3180" cy="861060"/>
                    </a:xfrm>
                    <a:prstGeom prst="rect">
                      <a:avLst/>
                    </a:prstGeom>
                    <a:noFill/>
                    <a:ln>
                      <a:noFill/>
                    </a:ln>
                  </pic:spPr>
                </pic:pic>
              </a:graphicData>
            </a:graphic>
          </wp:anchor>
        </w:drawing>
      </w:r>
    </w:p>
    <w:p w14:paraId="74DAF3FA" w14:textId="77777777" w:rsidR="00F74645" w:rsidRPr="00F74645" w:rsidRDefault="00F74645" w:rsidP="00F74645">
      <w:pPr>
        <w:spacing w:after="0" w:line="240" w:lineRule="auto"/>
        <w:rPr>
          <w:rFonts w:ascii="Verdana" w:eastAsia="Calibri" w:hAnsi="Verdana" w:cs="Arial"/>
          <w:color w:val="000000" w:themeColor="text1"/>
          <w:lang w:val="es-ES" w:eastAsia="es-ES"/>
        </w:rPr>
      </w:pPr>
      <w:bookmarkStart w:id="0" w:name="_Hlk143780582"/>
      <w:r w:rsidRPr="00F74645">
        <w:rPr>
          <w:rFonts w:ascii="Verdana" w:eastAsia="Calibri" w:hAnsi="Verdana" w:cs="Arial"/>
          <w:color w:val="000000" w:themeColor="text1"/>
          <w:lang w:val="es-ES" w:eastAsia="es-ES"/>
        </w:rPr>
        <w:t>Señor</w:t>
      </w:r>
    </w:p>
    <w:p w14:paraId="0ECEA84C" w14:textId="77777777" w:rsidR="00F74645" w:rsidRPr="00F74645" w:rsidRDefault="00F74645" w:rsidP="00F74645">
      <w:pPr>
        <w:spacing w:after="0" w:line="240" w:lineRule="auto"/>
        <w:rPr>
          <w:rFonts w:ascii="Verdana" w:hAnsi="Verdana"/>
          <w:b/>
          <w:bCs/>
        </w:rPr>
      </w:pPr>
      <w:r w:rsidRPr="00F74645">
        <w:rPr>
          <w:rFonts w:ascii="Verdana" w:hAnsi="Verdana"/>
          <w:b/>
          <w:bCs/>
        </w:rPr>
        <w:t xml:space="preserve">Sergio Andrés G. Mahecha Forero </w:t>
      </w:r>
    </w:p>
    <w:p w14:paraId="291B236F" w14:textId="77777777" w:rsidR="00F74645" w:rsidRPr="00F74645" w:rsidRDefault="00F74645" w:rsidP="00F74645">
      <w:pPr>
        <w:spacing w:after="0" w:line="240" w:lineRule="auto"/>
        <w:rPr>
          <w:rFonts w:ascii="Verdana" w:hAnsi="Verdana"/>
          <w:lang w:val="es-ES"/>
        </w:rPr>
      </w:pPr>
      <w:hyperlink r:id="rId12" w:history="1">
        <w:r w:rsidRPr="00F74645">
          <w:rPr>
            <w:rFonts w:ascii="Verdana" w:hAnsi="Verdana"/>
            <w:color w:val="0000FF"/>
            <w:u w:val="single"/>
          </w:rPr>
          <w:t>Pmp.sergiom@gmail.com</w:t>
        </w:r>
      </w:hyperlink>
      <w:r w:rsidRPr="00F74645">
        <w:rPr>
          <w:rFonts w:ascii="Verdana" w:hAnsi="Verdana"/>
        </w:rPr>
        <w:t xml:space="preserve"> </w:t>
      </w:r>
    </w:p>
    <w:p w14:paraId="112B192B" w14:textId="77777777" w:rsidR="00F74645" w:rsidRPr="00F74645" w:rsidRDefault="00F74645" w:rsidP="00F74645">
      <w:pPr>
        <w:spacing w:after="0"/>
        <w:rPr>
          <w:rFonts w:ascii="Verdana" w:eastAsia="Calibri" w:hAnsi="Verdana" w:cs="Arial"/>
          <w:color w:val="000000" w:themeColor="text1"/>
          <w:lang w:val="es-ES" w:eastAsia="es-ES"/>
        </w:rPr>
      </w:pPr>
      <w:r w:rsidRPr="00F74645">
        <w:rPr>
          <w:rFonts w:ascii="Verdana" w:hAnsi="Verdana"/>
          <w:lang w:val="es-ES"/>
        </w:rPr>
        <w:t>Bogotá D.C.</w:t>
      </w:r>
    </w:p>
    <w:tbl>
      <w:tblPr>
        <w:tblStyle w:val="Tablaconcuadrcula"/>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521"/>
      </w:tblGrid>
      <w:tr w:rsidR="00F74645" w:rsidRPr="00F74645" w14:paraId="49DC7A5A" w14:textId="77777777" w:rsidTr="00595869">
        <w:trPr>
          <w:trHeight w:val="300"/>
        </w:trPr>
        <w:tc>
          <w:tcPr>
            <w:tcW w:w="2410" w:type="dxa"/>
          </w:tcPr>
          <w:p w14:paraId="3D7130CE" w14:textId="77777777" w:rsidR="00F74645" w:rsidRPr="00F74645" w:rsidRDefault="00F74645" w:rsidP="00F74645">
            <w:pPr>
              <w:ind w:left="-142"/>
              <w:jc w:val="both"/>
              <w:rPr>
                <w:rFonts w:ascii="Verdana" w:eastAsia="Calibri" w:hAnsi="Verdana" w:cs="Arial"/>
                <w:b/>
                <w:bCs/>
                <w:color w:val="000000" w:themeColor="text1"/>
                <w:lang w:val="es-ES" w:eastAsia="es-ES_tradnl"/>
              </w:rPr>
            </w:pPr>
          </w:p>
        </w:tc>
        <w:tc>
          <w:tcPr>
            <w:tcW w:w="6521" w:type="dxa"/>
          </w:tcPr>
          <w:p w14:paraId="3A6A32CA" w14:textId="77777777" w:rsidR="00F74645" w:rsidRPr="00F74645" w:rsidRDefault="00F74645" w:rsidP="00F74645">
            <w:pPr>
              <w:ind w:left="3"/>
              <w:jc w:val="both"/>
              <w:rPr>
                <w:rFonts w:ascii="Verdana" w:eastAsia="Calibri" w:hAnsi="Verdana" w:cs="Arial"/>
                <w:b/>
                <w:bCs/>
                <w:color w:val="000000" w:themeColor="text1"/>
                <w:lang w:val="es-ES" w:eastAsia="es-ES"/>
              </w:rPr>
            </w:pPr>
          </w:p>
          <w:p w14:paraId="172B5510" w14:textId="77777777" w:rsidR="00F74645" w:rsidRPr="00F74645" w:rsidRDefault="00F74645" w:rsidP="00F74645">
            <w:pPr>
              <w:ind w:left="3"/>
              <w:jc w:val="both"/>
              <w:rPr>
                <w:rFonts w:ascii="Verdana" w:eastAsia="Calibri" w:hAnsi="Verdana" w:cs="Arial"/>
                <w:b/>
                <w:bCs/>
                <w:color w:val="000000" w:themeColor="text1"/>
                <w:lang w:val="es-ES" w:eastAsia="es-ES"/>
              </w:rPr>
            </w:pPr>
            <w:r w:rsidRPr="00F74645">
              <w:rPr>
                <w:rFonts w:ascii="Verdana" w:eastAsia="Calibri" w:hAnsi="Verdana" w:cs="Arial"/>
                <w:b/>
                <w:bCs/>
                <w:color w:val="000000" w:themeColor="text1"/>
                <w:lang w:val="es-ES" w:eastAsia="es-ES"/>
              </w:rPr>
              <w:t>Concepto C-1077 de 2026</w:t>
            </w:r>
          </w:p>
          <w:p w14:paraId="746B0CF1" w14:textId="77777777" w:rsidR="00F74645" w:rsidRPr="00F74645" w:rsidRDefault="00F74645" w:rsidP="00F74645">
            <w:pPr>
              <w:ind w:left="3"/>
              <w:jc w:val="both"/>
              <w:rPr>
                <w:rFonts w:ascii="Verdana" w:eastAsia="Calibri" w:hAnsi="Verdana" w:cs="Arial"/>
                <w:b/>
                <w:bCs/>
                <w:color w:val="000000" w:themeColor="text1"/>
                <w:lang w:val="es-ES" w:eastAsia="es-ES"/>
              </w:rPr>
            </w:pPr>
          </w:p>
        </w:tc>
      </w:tr>
      <w:tr w:rsidR="00F74645" w:rsidRPr="00F74645" w14:paraId="0B43676C" w14:textId="77777777" w:rsidTr="00595869">
        <w:trPr>
          <w:trHeight w:val="300"/>
        </w:trPr>
        <w:tc>
          <w:tcPr>
            <w:tcW w:w="2410" w:type="dxa"/>
          </w:tcPr>
          <w:p w14:paraId="2A4EB1D4" w14:textId="77777777" w:rsidR="00F74645" w:rsidRPr="00F74645" w:rsidRDefault="00F74645" w:rsidP="00F74645">
            <w:pPr>
              <w:ind w:left="424" w:hanging="422"/>
              <w:jc w:val="both"/>
              <w:rPr>
                <w:rFonts w:ascii="Verdana" w:eastAsia="Calibri" w:hAnsi="Verdana" w:cs="Arial"/>
                <w:color w:val="000000" w:themeColor="text1"/>
                <w:lang w:val="es-ES" w:eastAsia="es-ES_tradnl"/>
              </w:rPr>
            </w:pPr>
            <w:r w:rsidRPr="00F74645">
              <w:rPr>
                <w:rFonts w:ascii="Verdana" w:eastAsia="Calibri" w:hAnsi="Verdana" w:cs="Arial"/>
                <w:b/>
                <w:color w:val="000000" w:themeColor="text1"/>
                <w:lang w:val="es-ES" w:eastAsia="es-ES_tradnl"/>
              </w:rPr>
              <w:t>Temas:</w:t>
            </w:r>
            <w:r w:rsidRPr="00F74645">
              <w:rPr>
                <w:rFonts w:ascii="Verdana" w:eastAsia="Calibri" w:hAnsi="Verdana" w:cs="Arial"/>
                <w:color w:val="000000" w:themeColor="text1"/>
                <w:lang w:val="es-ES" w:eastAsia="es-ES_tradnl"/>
              </w:rPr>
              <w:t xml:space="preserve">                  </w:t>
            </w:r>
          </w:p>
        </w:tc>
        <w:tc>
          <w:tcPr>
            <w:tcW w:w="6521" w:type="dxa"/>
          </w:tcPr>
          <w:p w14:paraId="2808D168" w14:textId="47933CB6" w:rsidR="00F74645" w:rsidRPr="00F74645" w:rsidRDefault="00F74645" w:rsidP="00F74645">
            <w:pPr>
              <w:spacing w:line="276" w:lineRule="auto"/>
              <w:jc w:val="both"/>
              <w:rPr>
                <w:rFonts w:ascii="Verdana" w:eastAsia="Geomanist Light" w:hAnsi="Verdana" w:cs="Arial"/>
                <w:lang w:val="es-ES"/>
              </w:rPr>
            </w:pPr>
            <w:r w:rsidRPr="00F74645">
              <w:rPr>
                <w:rFonts w:ascii="Verdana" w:eastAsia="Geomanist Light" w:hAnsi="Verdana" w:cs="Arial"/>
                <w:lang w:val="es-ES"/>
              </w:rPr>
              <w:t>FIDUCIA MERCANTIL – Concepto – Características / FIDUCIA MERCANTIL – Encargo fiduciario – Patrimonio autónomo / FIDUCIA PÚBLICA – Características / FIDUCIA PÚBLICA – Encargo fiduciario – Patrimonio autónomo – Diferencias – Finalidad /MECANISMOS DE SEGUIMIENTO – control y vigilancia – Rendi</w:t>
            </w:r>
            <w:r w:rsidR="00297D04">
              <w:rPr>
                <w:rFonts w:ascii="Verdana" w:eastAsia="Geomanist Light" w:hAnsi="Verdana" w:cs="Arial"/>
                <w:lang w:val="es-ES"/>
              </w:rPr>
              <w:t>ción de cuentas</w:t>
            </w:r>
          </w:p>
          <w:p w14:paraId="75564FE1" w14:textId="77777777" w:rsidR="00F74645" w:rsidRPr="00F74645" w:rsidRDefault="00F74645" w:rsidP="00F74645">
            <w:pPr>
              <w:spacing w:line="276" w:lineRule="auto"/>
              <w:jc w:val="both"/>
              <w:rPr>
                <w:rFonts w:ascii="Verdana" w:eastAsia="Calibri" w:hAnsi="Verdana" w:cs="Arial"/>
                <w:color w:val="000000" w:themeColor="text1"/>
                <w:lang w:val="es-ES" w:eastAsia="es-ES"/>
              </w:rPr>
            </w:pPr>
          </w:p>
        </w:tc>
      </w:tr>
      <w:tr w:rsidR="00F74645" w:rsidRPr="00F74645" w14:paraId="0FAAE0C8" w14:textId="77777777" w:rsidTr="00595869">
        <w:tc>
          <w:tcPr>
            <w:tcW w:w="2410" w:type="dxa"/>
          </w:tcPr>
          <w:p w14:paraId="33E3574D" w14:textId="77777777" w:rsidR="00F74645" w:rsidRPr="00F74645" w:rsidRDefault="00F74645" w:rsidP="00F74645">
            <w:pPr>
              <w:ind w:left="561" w:hanging="561"/>
              <w:jc w:val="both"/>
              <w:rPr>
                <w:rFonts w:ascii="Verdana" w:eastAsia="Calibri" w:hAnsi="Verdana" w:cs="Arial"/>
                <w:b/>
                <w:bCs/>
                <w:color w:val="000000" w:themeColor="text1"/>
                <w:lang w:val="es-ES" w:eastAsia="es-ES"/>
              </w:rPr>
            </w:pPr>
            <w:r w:rsidRPr="00F74645">
              <w:rPr>
                <w:rFonts w:ascii="Verdana" w:eastAsia="Calibri" w:hAnsi="Verdana" w:cs="Arial"/>
                <w:b/>
                <w:bCs/>
                <w:color w:val="000000" w:themeColor="text1"/>
                <w:lang w:val="es-ES" w:eastAsia="es-ES"/>
              </w:rPr>
              <w:t xml:space="preserve">Radicación:              </w:t>
            </w:r>
          </w:p>
        </w:tc>
        <w:tc>
          <w:tcPr>
            <w:tcW w:w="6521" w:type="dxa"/>
          </w:tcPr>
          <w:p w14:paraId="3399003D" w14:textId="77777777" w:rsidR="00F74645" w:rsidRPr="00F74645" w:rsidRDefault="00F74645" w:rsidP="00F74645">
            <w:pPr>
              <w:ind w:left="3"/>
              <w:jc w:val="both"/>
              <w:rPr>
                <w:rFonts w:ascii="Verdana" w:eastAsia="Calibri" w:hAnsi="Verdana" w:cs="Arial"/>
                <w:color w:val="000000" w:themeColor="text1"/>
                <w:lang w:val="es-ES" w:eastAsia="es-ES"/>
              </w:rPr>
            </w:pPr>
            <w:r w:rsidRPr="00F74645">
              <w:rPr>
                <w:rFonts w:ascii="Verdana" w:eastAsia="Calibri" w:hAnsi="Verdana" w:cs="Arial"/>
                <w:color w:val="000000" w:themeColor="text1"/>
                <w:lang w:val="es-ES" w:eastAsia="es-ES"/>
              </w:rPr>
              <w:t>Respuesta a consultas con radicados Nos. 1_2026_07_06_008955 y 1_2026_07_07_008987 (acumuladas)</w:t>
            </w:r>
          </w:p>
        </w:tc>
      </w:tr>
    </w:tbl>
    <w:p w14:paraId="297E0A1C" w14:textId="77777777" w:rsidR="00F74645" w:rsidRPr="00F74645" w:rsidRDefault="00F74645" w:rsidP="00F74645">
      <w:pPr>
        <w:spacing w:after="0" w:line="276" w:lineRule="auto"/>
        <w:jc w:val="both"/>
        <w:rPr>
          <w:rFonts w:ascii="Verdana" w:eastAsia="Calibri" w:hAnsi="Verdana" w:cs="Arial"/>
          <w:color w:val="000000" w:themeColor="text1"/>
          <w:lang w:val="es-ES" w:eastAsia="es-ES"/>
        </w:rPr>
      </w:pPr>
    </w:p>
    <w:p w14:paraId="6356A983" w14:textId="77777777" w:rsidR="00F74645" w:rsidRPr="00F74645" w:rsidRDefault="00F74645" w:rsidP="00F74645">
      <w:pPr>
        <w:spacing w:after="0" w:line="276" w:lineRule="auto"/>
        <w:jc w:val="both"/>
        <w:rPr>
          <w:rFonts w:ascii="Verdana" w:eastAsia="Calibri" w:hAnsi="Verdana" w:cs="Arial"/>
          <w:color w:val="000000" w:themeColor="text1"/>
          <w:lang w:val="es-ES" w:eastAsia="es-ES"/>
        </w:rPr>
      </w:pPr>
      <w:r w:rsidRPr="00F74645">
        <w:rPr>
          <w:rFonts w:ascii="Verdana" w:eastAsia="Calibri" w:hAnsi="Verdana" w:cs="Arial"/>
          <w:color w:val="000000" w:themeColor="text1"/>
          <w:lang w:val="es-ES" w:eastAsia="es-ES"/>
        </w:rPr>
        <w:t xml:space="preserve">Estimado señor Mahecha: </w:t>
      </w:r>
    </w:p>
    <w:p w14:paraId="0EB20286" w14:textId="77777777" w:rsidR="00F74645" w:rsidRPr="00F74645" w:rsidRDefault="00F74645" w:rsidP="00F74645">
      <w:pPr>
        <w:tabs>
          <w:tab w:val="left" w:pos="3768"/>
        </w:tabs>
        <w:spacing w:after="0" w:line="276" w:lineRule="auto"/>
        <w:jc w:val="both"/>
        <w:rPr>
          <w:rFonts w:ascii="Verdana" w:eastAsia="Calibri" w:hAnsi="Verdana" w:cs="Arial"/>
          <w:color w:val="000000" w:themeColor="text1"/>
          <w:lang w:val="es-ES" w:eastAsia="es-ES"/>
        </w:rPr>
      </w:pPr>
      <w:r w:rsidRPr="00F74645">
        <w:rPr>
          <w:rFonts w:ascii="Verdana" w:eastAsia="Calibri" w:hAnsi="Verdana" w:cs="Arial"/>
          <w:color w:val="000000" w:themeColor="text1"/>
          <w:lang w:val="es-ES" w:eastAsia="es-ES"/>
        </w:rPr>
        <w:tab/>
      </w:r>
    </w:p>
    <w:p w14:paraId="5E1792CA" w14:textId="77777777" w:rsidR="00F74645" w:rsidRPr="00F74645" w:rsidRDefault="00F74645" w:rsidP="00F74645">
      <w:pPr>
        <w:spacing w:after="0" w:line="276" w:lineRule="auto"/>
        <w:jc w:val="both"/>
        <w:rPr>
          <w:rFonts w:ascii="Verdana" w:eastAsia="Calibri" w:hAnsi="Verdana" w:cs="Arial"/>
          <w:color w:val="000000" w:themeColor="text1"/>
          <w:lang w:val="es-ES" w:eastAsia="es-ES"/>
        </w:rPr>
      </w:pPr>
      <w:r w:rsidRPr="00F74645">
        <w:rPr>
          <w:rFonts w:ascii="Verdana" w:eastAsia="Calibri" w:hAnsi="Verdana" w:cs="Arial"/>
          <w:color w:val="000000" w:themeColor="text1"/>
          <w:lang w:val="es-ES" w:eastAsia="es-ES"/>
        </w:rPr>
        <w:t>En ejercicio de la competencia otorgada por los artículos 3, numeral 5º, y 11, numeral 8º, del Decreto Ley 4170 de 2011,</w:t>
      </w:r>
      <w:r w:rsidRPr="00F74645">
        <w:rPr>
          <w:rFonts w:ascii="Verdana" w:eastAsia="Arial MT" w:hAnsi="Verdana" w:cs="Arial MT"/>
          <w:lang w:val="es-ES" w:eastAsia="es-ES"/>
        </w:rPr>
        <w:t xml:space="preserve"> </w:t>
      </w:r>
      <w:r w:rsidRPr="00F74645">
        <w:rPr>
          <w:rFonts w:ascii="Verdana" w:eastAsia="Calibri" w:hAnsi="Verdana" w:cs="Arial"/>
        </w:rPr>
        <w:t>así como lo establecido en la Resolución No. 469 del 2025 expedida por esta Entidad</w:t>
      </w:r>
      <w:r w:rsidRPr="00F74645">
        <w:rPr>
          <w:rFonts w:ascii="Verdana" w:hAnsi="Verdana" w:cs="Arial"/>
        </w:rPr>
        <w:t xml:space="preserve">, </w:t>
      </w:r>
      <w:r w:rsidRPr="00F74645">
        <w:rPr>
          <w:rFonts w:ascii="Verdana" w:eastAsia="Calibri" w:hAnsi="Verdana" w:cs="Arial"/>
          <w:color w:val="000000" w:themeColor="text1"/>
          <w:lang w:val="es-ES" w:eastAsia="es-ES"/>
        </w:rPr>
        <w:t xml:space="preserve">la Agencia Nacional de Contratación Pública – Colombia Compra Eficiente responde los puntos 1, 3, 4, 5 y 6 de su petición remitida por competencia por la Procuraduría General de la Nación, en la cual pregunta lo siguiente: </w:t>
      </w:r>
    </w:p>
    <w:p w14:paraId="49672D7E" w14:textId="77777777" w:rsidR="00F74645" w:rsidRPr="00F74645" w:rsidRDefault="00F74645" w:rsidP="00F74645">
      <w:pPr>
        <w:tabs>
          <w:tab w:val="left" w:pos="142"/>
          <w:tab w:val="left" w:pos="284"/>
        </w:tabs>
        <w:spacing w:after="0" w:line="276" w:lineRule="auto"/>
        <w:contextualSpacing/>
        <w:jc w:val="both"/>
        <w:rPr>
          <w:rFonts w:ascii="Verdana" w:eastAsia="Century Gothic" w:hAnsi="Verdana" w:cs="Century Gothic"/>
          <w:b/>
          <w:color w:val="000000" w:themeColor="text1"/>
          <w:sz w:val="20"/>
          <w:szCs w:val="20"/>
          <w:lang w:val="es-ES"/>
        </w:rPr>
      </w:pPr>
    </w:p>
    <w:p w14:paraId="16491A03" w14:textId="77777777" w:rsidR="00F74645" w:rsidRPr="00F74645" w:rsidRDefault="00F74645" w:rsidP="00F74645">
      <w:pPr>
        <w:spacing w:after="0"/>
        <w:ind w:left="709" w:right="709"/>
        <w:jc w:val="both"/>
        <w:rPr>
          <w:rFonts w:ascii="Verdana" w:eastAsia="Century Gothic" w:hAnsi="Verdana" w:cs="Century Gothic"/>
          <w:iCs/>
          <w:color w:val="000000" w:themeColor="text1"/>
          <w:sz w:val="20"/>
          <w:szCs w:val="20"/>
          <w:lang w:val="es-ES"/>
        </w:rPr>
      </w:pPr>
      <w:r w:rsidRPr="00F74645">
        <w:rPr>
          <w:rFonts w:ascii="Verdana" w:eastAsia="Century Gothic" w:hAnsi="Verdana" w:cs="Century Gothic"/>
          <w:iCs/>
          <w:color w:val="000000" w:themeColor="text1"/>
          <w:sz w:val="20"/>
          <w:szCs w:val="20"/>
          <w:lang w:val="es-ES"/>
        </w:rPr>
        <w:t xml:space="preserve">“[…] </w:t>
      </w:r>
    </w:p>
    <w:p w14:paraId="0D779366" w14:textId="77777777" w:rsidR="00F74645" w:rsidRPr="00F74645" w:rsidRDefault="00F74645" w:rsidP="00F74645">
      <w:pPr>
        <w:spacing w:after="0"/>
        <w:ind w:left="709" w:right="709"/>
        <w:jc w:val="both"/>
        <w:rPr>
          <w:rFonts w:ascii="Verdana" w:eastAsia="Century Gothic" w:hAnsi="Verdana" w:cs="Century Gothic"/>
          <w:i/>
          <w:color w:val="000000" w:themeColor="text1"/>
          <w:sz w:val="20"/>
          <w:szCs w:val="20"/>
          <w:lang w:val="es-ES"/>
        </w:rPr>
      </w:pPr>
    </w:p>
    <w:p w14:paraId="3F5E6D45"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Pregunta 1: ¿Cuál es, desde la perspectiva disciplinaria, el estándar de conducta exigible a una sociedad fiduciaria que administra recursos públicos para un proyecto de infraestructura? ¿Debe la fiduciaria actuar como un mero "pagador documental" (verificar la existencia formal de certificaciones de avance firmadas por el interventor de la entidad) o debe actuar como un "gestor fiscal activo" (realizar verificaciones sustanciales de la realidad física de la obra</w:t>
      </w:r>
      <w:proofErr w:type="gramStart"/>
      <w:r w:rsidRPr="00F74645">
        <w:rPr>
          <w:rFonts w:ascii="Verdana" w:hAnsi="Verdana"/>
          <w:sz w:val="20"/>
          <w:szCs w:val="20"/>
        </w:rPr>
        <w:t>)?.</w:t>
      </w:r>
      <w:proofErr w:type="gramEnd"/>
      <w:r w:rsidRPr="00F74645">
        <w:rPr>
          <w:rFonts w:ascii="Verdana" w:hAnsi="Verdana"/>
          <w:sz w:val="20"/>
          <w:szCs w:val="20"/>
        </w:rPr>
        <w:t xml:space="preserve"> En el caso que solo sea un pagador. ¿Cuál </w:t>
      </w:r>
      <w:r w:rsidRPr="00F74645">
        <w:rPr>
          <w:rFonts w:ascii="Verdana" w:hAnsi="Verdana"/>
          <w:sz w:val="20"/>
          <w:szCs w:val="20"/>
        </w:rPr>
        <w:lastRenderedPageBreak/>
        <w:t>es la ventaja o beneficios que a la luz de la normativa vigente la entidad estatal obtiene al invertir recursos del estado en los servicios fiduciarios para el desarrollo de los contratos de construcción de infraestructura?</w:t>
      </w:r>
    </w:p>
    <w:p w14:paraId="2492D945" w14:textId="77777777" w:rsidR="00F74645" w:rsidRPr="00F74645" w:rsidRDefault="00F74645" w:rsidP="00F74645">
      <w:pPr>
        <w:spacing w:after="0"/>
        <w:ind w:left="709" w:right="709"/>
        <w:jc w:val="both"/>
        <w:rPr>
          <w:rFonts w:ascii="Verdana" w:eastAsia="Century Gothic" w:hAnsi="Verdana" w:cs="Century Gothic"/>
          <w:iCs/>
          <w:color w:val="000000" w:themeColor="text1"/>
          <w:sz w:val="20"/>
          <w:szCs w:val="20"/>
          <w:lang w:val="es-ES"/>
        </w:rPr>
      </w:pPr>
      <w:r w:rsidRPr="00F74645">
        <w:rPr>
          <w:rFonts w:ascii="Verdana" w:eastAsia="Century Gothic" w:hAnsi="Verdana" w:cs="Century Gothic"/>
          <w:iCs/>
          <w:color w:val="000000" w:themeColor="text1"/>
          <w:sz w:val="20"/>
          <w:szCs w:val="20"/>
          <w:lang w:val="es-ES"/>
        </w:rPr>
        <w:t xml:space="preserve">[…] </w:t>
      </w:r>
    </w:p>
    <w:p w14:paraId="30A5E071" w14:textId="77777777" w:rsidR="00F74645" w:rsidRPr="00F74645" w:rsidRDefault="00F74645" w:rsidP="00F74645">
      <w:pPr>
        <w:spacing w:after="0"/>
        <w:ind w:left="709" w:right="709"/>
        <w:jc w:val="both"/>
        <w:rPr>
          <w:rFonts w:ascii="Verdana" w:hAnsi="Verdana"/>
          <w:sz w:val="20"/>
          <w:szCs w:val="20"/>
        </w:rPr>
      </w:pPr>
    </w:p>
    <w:p w14:paraId="66A0279D"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Pregunta 3: ¿Existe algún deber de alerta para la fiduciaria cuando existen indicios razonables de que los informes del interventor de la entidad no corresponden a la realidad física de la obra (por ejemplo, discrepancias evidentes entre el porcentaje de avance certificado y el plazo transcurrido, o informes contradictorios de veedurías ciudadanas)? ¿La omisión de investigar dichos indicios constituye una falta disciplinaria? </w:t>
      </w:r>
    </w:p>
    <w:p w14:paraId="291CA6B3" w14:textId="77777777" w:rsidR="00F74645" w:rsidRPr="00F74645" w:rsidRDefault="00F74645" w:rsidP="00F74645">
      <w:pPr>
        <w:spacing w:after="0"/>
        <w:ind w:left="709" w:right="709"/>
        <w:jc w:val="both"/>
        <w:rPr>
          <w:rFonts w:ascii="Verdana" w:hAnsi="Verdana"/>
          <w:sz w:val="20"/>
          <w:szCs w:val="20"/>
        </w:rPr>
      </w:pPr>
    </w:p>
    <w:p w14:paraId="4B33F3BF"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B. Sobre la ausencia de supervisión técnica especializada Pregunta </w:t>
      </w:r>
    </w:p>
    <w:p w14:paraId="231AD49C" w14:textId="77777777" w:rsidR="00F74645" w:rsidRPr="00F74645" w:rsidRDefault="00F74645" w:rsidP="00F74645">
      <w:pPr>
        <w:spacing w:after="0"/>
        <w:ind w:left="709" w:right="709"/>
        <w:jc w:val="both"/>
        <w:rPr>
          <w:rFonts w:ascii="Verdana" w:hAnsi="Verdana"/>
          <w:sz w:val="20"/>
          <w:szCs w:val="20"/>
        </w:rPr>
      </w:pPr>
    </w:p>
    <w:p w14:paraId="575B1F90"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4: La Ley 1474 de 2011, artículo 83, exige interventoría para los contratos de obra pública, pero esta es una obligación de la entidad estatal contratante, no de la fiduciaria. Cuando la entidad estatal contrata una interventoría, ¿la fiduciaria está eximida de cualquier deber de supervisión técnica adicional, o tiene un deber independiente de verificar la idoneidad del interventor contratado por la entidad? Pregunta </w:t>
      </w:r>
    </w:p>
    <w:p w14:paraId="5DD6CEAC" w14:textId="77777777" w:rsidR="00F74645" w:rsidRPr="00F74645" w:rsidRDefault="00F74645" w:rsidP="00F74645">
      <w:pPr>
        <w:spacing w:after="0"/>
        <w:ind w:left="709" w:right="709"/>
        <w:jc w:val="both"/>
        <w:rPr>
          <w:rFonts w:ascii="Verdana" w:hAnsi="Verdana"/>
          <w:sz w:val="20"/>
          <w:szCs w:val="20"/>
        </w:rPr>
      </w:pPr>
    </w:p>
    <w:p w14:paraId="14C383E3"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5: En un escenario donde la entidad estatal no contrata la interventoría exigida por la Ley 1474 de 2011 (incumplimiento de la entidad), y la fiduciaria tampoco implementa ningún mecanismo de supervisión técnica especializada, ¿puede la fiduciaria o sus administradores ser investigados disciplinariamente por omisión? ¿La responsabilidad de la entidad exonera a la fiduciaria o es concurrente? Pregunta </w:t>
      </w:r>
    </w:p>
    <w:p w14:paraId="2BA7686B" w14:textId="77777777" w:rsidR="00F74645" w:rsidRPr="00F74645" w:rsidRDefault="00F74645" w:rsidP="00F74645">
      <w:pPr>
        <w:spacing w:after="0"/>
        <w:ind w:left="709" w:right="709"/>
        <w:jc w:val="both"/>
        <w:rPr>
          <w:rFonts w:ascii="Verdana" w:hAnsi="Verdana"/>
          <w:sz w:val="20"/>
          <w:szCs w:val="20"/>
        </w:rPr>
      </w:pPr>
    </w:p>
    <w:p w14:paraId="505D9940"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6: ¿Qué documentos o evidencias debe mantener una fiduciaria en su expediente para acreditar, ante un eventual proceso disciplinario, que actuó con la debida diligencia en la verificación de las condiciones de desembolso? Sírvase referirse específicamente a: </w:t>
      </w:r>
    </w:p>
    <w:p w14:paraId="31CD17EC" w14:textId="77777777" w:rsidR="00F74645" w:rsidRPr="00F74645" w:rsidRDefault="00F74645" w:rsidP="00F74645">
      <w:pPr>
        <w:spacing w:after="0"/>
        <w:ind w:left="709" w:right="709"/>
        <w:jc w:val="both"/>
        <w:rPr>
          <w:rFonts w:ascii="Verdana" w:hAnsi="Verdana"/>
          <w:sz w:val="20"/>
          <w:szCs w:val="20"/>
        </w:rPr>
      </w:pPr>
    </w:p>
    <w:p w14:paraId="241B9340"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 Informes de interventoría de la entidad (verificados formalmente). </w:t>
      </w:r>
    </w:p>
    <w:p w14:paraId="50ECC1E9" w14:textId="77777777" w:rsidR="00F74645" w:rsidRPr="00F74645" w:rsidRDefault="00F74645" w:rsidP="00F74645">
      <w:pPr>
        <w:spacing w:after="0"/>
        <w:ind w:left="709" w:right="709"/>
        <w:jc w:val="both"/>
        <w:rPr>
          <w:rFonts w:ascii="Verdana" w:hAnsi="Verdana"/>
          <w:sz w:val="20"/>
          <w:szCs w:val="20"/>
        </w:rPr>
      </w:pPr>
      <w:r w:rsidRPr="00F74645">
        <w:rPr>
          <w:rFonts w:ascii="Verdana" w:hAnsi="Verdana"/>
          <w:sz w:val="20"/>
          <w:szCs w:val="20"/>
        </w:rPr>
        <w:t xml:space="preserve">• Verificaciones adicionales realizadas por la fiduciaria (visitas de campo, cruce de información, etc.). </w:t>
      </w:r>
    </w:p>
    <w:p w14:paraId="25D7E24F" w14:textId="77777777" w:rsidR="00F74645" w:rsidRPr="00F74645" w:rsidRDefault="00F74645" w:rsidP="00F74645">
      <w:pPr>
        <w:spacing w:after="0"/>
        <w:ind w:left="709" w:right="709"/>
        <w:jc w:val="both"/>
        <w:rPr>
          <w:rFonts w:ascii="Verdana" w:eastAsia="Century Gothic" w:hAnsi="Verdana" w:cs="Century Gothic"/>
          <w:i/>
          <w:color w:val="000000" w:themeColor="text1"/>
          <w:sz w:val="20"/>
          <w:szCs w:val="20"/>
          <w:lang w:val="es-ES"/>
        </w:rPr>
      </w:pPr>
      <w:r w:rsidRPr="00F74645">
        <w:rPr>
          <w:rFonts w:ascii="Verdana" w:hAnsi="Verdana"/>
          <w:sz w:val="20"/>
          <w:szCs w:val="20"/>
        </w:rPr>
        <w:t>• Actas de comités fiduciarios donde se discutan inconsistencias detectadas.</w:t>
      </w:r>
      <w:r w:rsidRPr="00F74645">
        <w:rPr>
          <w:rFonts w:ascii="Verdana" w:hAnsi="Verdana"/>
          <w:sz w:val="20"/>
          <w:szCs w:val="20"/>
          <w:lang w:val="es-ES"/>
        </w:rPr>
        <w:t>”</w:t>
      </w:r>
    </w:p>
    <w:p w14:paraId="6611C24B" w14:textId="77777777" w:rsidR="00F74645" w:rsidRPr="00F74645" w:rsidRDefault="00F74645" w:rsidP="00F74645">
      <w:pPr>
        <w:spacing w:after="0" w:line="276" w:lineRule="auto"/>
        <w:ind w:right="709"/>
        <w:jc w:val="both"/>
        <w:rPr>
          <w:rFonts w:ascii="Verdana" w:eastAsia="Calibri" w:hAnsi="Verdana" w:cs="Arial"/>
          <w:lang w:val="es-ES"/>
        </w:rPr>
      </w:pPr>
    </w:p>
    <w:p w14:paraId="5257B008" w14:textId="77777777" w:rsidR="00F74645" w:rsidRPr="00F74645" w:rsidRDefault="00F74645" w:rsidP="00F74645">
      <w:pPr>
        <w:spacing w:after="120" w:line="276" w:lineRule="auto"/>
        <w:ind w:firstLine="708"/>
        <w:jc w:val="both"/>
        <w:rPr>
          <w:rFonts w:ascii="Verdana" w:eastAsia="Calibri" w:hAnsi="Verdana" w:cs="Arial"/>
          <w:color w:val="000000" w:themeColor="text1"/>
          <w:lang w:val="es-ES" w:eastAsia="es-ES"/>
        </w:rPr>
      </w:pPr>
      <w:r w:rsidRPr="00F74645">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w:t>
      </w:r>
      <w:r w:rsidRPr="00F74645">
        <w:rPr>
          <w:rFonts w:ascii="Verdana" w:eastAsia="Calibri" w:hAnsi="Verdana" w:cs="Arial"/>
          <w:color w:val="000000" w:themeColor="text1"/>
          <w:lang w:val="es-ES" w:eastAsia="es-ES"/>
        </w:rPr>
        <w:lastRenderedPageBreak/>
        <w:t xml:space="preserve">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74645">
        <w:rPr>
          <w:lang w:val="es-ES"/>
        </w:rPr>
        <w:tab/>
      </w:r>
    </w:p>
    <w:p w14:paraId="0908F542" w14:textId="77777777" w:rsidR="00F74645" w:rsidRPr="00F74645" w:rsidRDefault="00F74645" w:rsidP="00F74645">
      <w:pPr>
        <w:spacing w:after="0" w:line="276" w:lineRule="auto"/>
        <w:ind w:firstLine="709"/>
        <w:jc w:val="both"/>
        <w:rPr>
          <w:rFonts w:ascii="Verdana" w:eastAsia="Calibri" w:hAnsi="Verdana" w:cs="Arial"/>
          <w:color w:val="000000" w:themeColor="text1"/>
          <w:lang w:val="es-ES" w:eastAsia="es-ES"/>
        </w:rPr>
      </w:pPr>
      <w:r w:rsidRPr="00F74645">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37B589FE" w14:textId="77777777" w:rsidR="00F74645" w:rsidRPr="00F74645" w:rsidRDefault="00F74645" w:rsidP="00F74645">
      <w:pPr>
        <w:spacing w:after="0" w:line="276" w:lineRule="auto"/>
        <w:jc w:val="both"/>
        <w:rPr>
          <w:rFonts w:ascii="Verdana" w:eastAsia="Calibri" w:hAnsi="Verdana" w:cs="Arial"/>
          <w:color w:val="000000" w:themeColor="text1"/>
          <w:lang w:val="es-ES" w:eastAsia="es-ES"/>
        </w:rPr>
      </w:pPr>
    </w:p>
    <w:p w14:paraId="4A7BA4C6" w14:textId="77777777" w:rsidR="00F74645" w:rsidRPr="00F74645" w:rsidRDefault="00F74645" w:rsidP="00F74645">
      <w:pPr>
        <w:numPr>
          <w:ilvl w:val="0"/>
          <w:numId w:val="17"/>
        </w:numPr>
        <w:tabs>
          <w:tab w:val="left" w:pos="142"/>
          <w:tab w:val="left" w:pos="284"/>
        </w:tabs>
        <w:spacing w:after="0" w:line="276" w:lineRule="auto"/>
        <w:contextualSpacing/>
        <w:jc w:val="both"/>
        <w:rPr>
          <w:rFonts w:ascii="Verdana" w:eastAsia="Century Gothic" w:hAnsi="Verdana" w:cs="Century Gothic"/>
          <w:b/>
          <w:color w:val="000000" w:themeColor="text1"/>
          <w:lang w:val="es-ES"/>
        </w:rPr>
      </w:pPr>
      <w:r w:rsidRPr="00F74645">
        <w:rPr>
          <w:rFonts w:ascii="Verdana" w:eastAsia="Century Gothic" w:hAnsi="Verdana" w:cs="Century Gothic"/>
          <w:b/>
          <w:color w:val="000000" w:themeColor="text1"/>
          <w:lang w:val="es-ES"/>
        </w:rPr>
        <w:t>Problema planteado:</w:t>
      </w:r>
    </w:p>
    <w:p w14:paraId="046D0F0F" w14:textId="77777777" w:rsidR="00F74645" w:rsidRPr="00F74645" w:rsidRDefault="00F74645" w:rsidP="00F74645">
      <w:pPr>
        <w:tabs>
          <w:tab w:val="left" w:pos="426"/>
        </w:tabs>
        <w:spacing w:after="0" w:line="276" w:lineRule="auto"/>
        <w:jc w:val="both"/>
        <w:rPr>
          <w:rFonts w:ascii="Verdana" w:eastAsia="Century Gothic" w:hAnsi="Verdana" w:cs="Century Gothic"/>
          <w:color w:val="000000" w:themeColor="text1"/>
          <w:lang w:val="es-ES"/>
        </w:rPr>
      </w:pPr>
    </w:p>
    <w:p w14:paraId="66E75EBB" w14:textId="77777777" w:rsidR="00F74645" w:rsidRPr="00F74645" w:rsidRDefault="00F74645" w:rsidP="00F74645">
      <w:pPr>
        <w:spacing w:after="0" w:line="276" w:lineRule="auto"/>
        <w:jc w:val="both"/>
        <w:rPr>
          <w:rFonts w:ascii="Verdana" w:eastAsia="Century Gothic" w:hAnsi="Verdana" w:cs="Century Gothic"/>
          <w:color w:val="000000" w:themeColor="text1"/>
          <w:lang w:val="es-ES"/>
        </w:rPr>
      </w:pPr>
      <w:r w:rsidRPr="00F74645">
        <w:rPr>
          <w:rFonts w:ascii="Verdana" w:eastAsia="Century Gothic" w:hAnsi="Verdana" w:cs="Century Gothic"/>
          <w:color w:val="000000" w:themeColor="text1"/>
          <w:lang w:val="es-ES"/>
        </w:rPr>
        <w:t xml:space="preserve">De acuerdo con el contenido de su solicitud, esta Agencia resolverá los siguientes problemas jurídicos: i) ¿Cuál es el marco jurídico de los contratos de fiducia pública que pueden celebrar las Entidades Estatales sometidas al EGCAP? y </w:t>
      </w:r>
      <w:proofErr w:type="spellStart"/>
      <w:r w:rsidRPr="00F74645">
        <w:rPr>
          <w:rFonts w:ascii="Verdana" w:eastAsia="Century Gothic" w:hAnsi="Verdana" w:cs="Century Gothic"/>
          <w:color w:val="000000" w:themeColor="text1"/>
          <w:lang w:val="es-ES"/>
        </w:rPr>
        <w:t>ii</w:t>
      </w:r>
      <w:proofErr w:type="spellEnd"/>
      <w:r w:rsidRPr="00F74645">
        <w:rPr>
          <w:rFonts w:ascii="Verdana" w:eastAsia="Century Gothic" w:hAnsi="Verdana" w:cs="Century Gothic"/>
          <w:color w:val="000000" w:themeColor="text1"/>
          <w:lang w:val="es-ES"/>
        </w:rPr>
        <w:t>) ¿Qué mecanismos de seguimiento son aplicables en un contrato de fiducia pública o encargo fiduciario celebrado por una Entidad Estatal?</w:t>
      </w:r>
    </w:p>
    <w:p w14:paraId="552A132F" w14:textId="77777777" w:rsidR="00F74645" w:rsidRPr="00F74645" w:rsidRDefault="00F74645" w:rsidP="00F74645">
      <w:pPr>
        <w:spacing w:after="0" w:line="276" w:lineRule="auto"/>
        <w:jc w:val="both"/>
        <w:rPr>
          <w:rFonts w:ascii="Verdana" w:eastAsia="Calibri" w:hAnsi="Verdana" w:cs="Arial"/>
          <w:color w:val="000000" w:themeColor="text1"/>
          <w:lang w:val="es-ES"/>
        </w:rPr>
      </w:pPr>
    </w:p>
    <w:p w14:paraId="4A2ED774" w14:textId="77777777" w:rsidR="00F74645" w:rsidRPr="00F74645" w:rsidRDefault="00F74645" w:rsidP="00F74645">
      <w:pPr>
        <w:numPr>
          <w:ilvl w:val="0"/>
          <w:numId w:val="17"/>
        </w:numPr>
        <w:tabs>
          <w:tab w:val="left" w:pos="142"/>
          <w:tab w:val="left" w:pos="284"/>
        </w:tabs>
        <w:spacing w:after="0" w:line="276" w:lineRule="auto"/>
        <w:contextualSpacing/>
        <w:jc w:val="both"/>
        <w:rPr>
          <w:rFonts w:ascii="Verdana" w:eastAsia="Century Gothic" w:hAnsi="Verdana" w:cs="Century Gothic"/>
          <w:b/>
          <w:color w:val="000000" w:themeColor="text1"/>
          <w:lang w:val="es-ES"/>
        </w:rPr>
      </w:pPr>
      <w:r w:rsidRPr="00F74645">
        <w:rPr>
          <w:rFonts w:ascii="Verdana" w:eastAsia="Century Gothic" w:hAnsi="Verdana" w:cs="Century Gothic"/>
          <w:b/>
          <w:color w:val="000000" w:themeColor="text1"/>
          <w:lang w:val="es-ES"/>
        </w:rPr>
        <w:t>Respuesta:</w:t>
      </w:r>
    </w:p>
    <w:p w14:paraId="020C4DC4" w14:textId="77777777" w:rsidR="00F74645" w:rsidRPr="00F74645" w:rsidRDefault="00F74645" w:rsidP="00F74645">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74645" w:rsidRPr="00F74645" w14:paraId="43B86653" w14:textId="77777777" w:rsidTr="00595869">
        <w:tc>
          <w:tcPr>
            <w:tcW w:w="8828" w:type="dxa"/>
          </w:tcPr>
          <w:p w14:paraId="2D101CC4" w14:textId="77777777" w:rsidR="00F74645" w:rsidRPr="00F74645" w:rsidRDefault="00F74645" w:rsidP="00F74645">
            <w:pPr>
              <w:spacing w:after="120" w:line="276" w:lineRule="auto"/>
              <w:jc w:val="both"/>
              <w:rPr>
                <w:rFonts w:ascii="Verdana" w:eastAsia="Times New Roman" w:hAnsi="Verdana" w:cs="Arial"/>
                <w:bCs/>
                <w:lang w:val="es-ES" w:eastAsia="es-CO"/>
              </w:rPr>
            </w:pPr>
            <w:r w:rsidRPr="00F74645">
              <w:rPr>
                <w:rFonts w:ascii="Verdana" w:eastAsia="Times New Roman" w:hAnsi="Verdana" w:cs="Arial"/>
                <w:bCs/>
                <w:lang w:val="es-ES" w:eastAsia="es-CO"/>
              </w:rPr>
              <w:t xml:space="preserve">i. Las Entidades Estatales sometidas al Estatuto General de Contratación de la Administración Pública pueden celebrar contratos de </w:t>
            </w:r>
            <w:r w:rsidRPr="00F74645">
              <w:rPr>
                <w:rFonts w:ascii="Verdana" w:eastAsia="Times New Roman" w:hAnsi="Verdana" w:cs="Arial"/>
                <w:bCs/>
                <w:i/>
                <w:iCs/>
                <w:lang w:val="es-ES" w:eastAsia="es-CO"/>
              </w:rPr>
              <w:t>fiducia pública</w:t>
            </w:r>
            <w:r w:rsidRPr="00F74645">
              <w:rPr>
                <w:rFonts w:ascii="Verdana" w:eastAsia="Times New Roman" w:hAnsi="Verdana" w:cs="Arial"/>
                <w:bCs/>
                <w:lang w:val="es-ES" w:eastAsia="es-CO"/>
              </w:rPr>
              <w:t xml:space="preserve"> y </w:t>
            </w:r>
            <w:r w:rsidRPr="00F74645">
              <w:rPr>
                <w:rFonts w:ascii="Verdana" w:eastAsia="Times New Roman" w:hAnsi="Verdana" w:cs="Arial"/>
                <w:bCs/>
                <w:i/>
                <w:iCs/>
                <w:lang w:val="es-ES" w:eastAsia="es-CO"/>
              </w:rPr>
              <w:t>encargos fiduciarios</w:t>
            </w:r>
            <w:r w:rsidRPr="00F74645">
              <w:rPr>
                <w:rFonts w:ascii="Verdana" w:eastAsia="Times New Roman" w:hAnsi="Verdana" w:cs="Arial"/>
                <w:bCs/>
                <w:lang w:val="es-ES" w:eastAsia="es-CO"/>
              </w:rPr>
              <w:t xml:space="preserve">, en los términos del numeral 5 del artículo 32 de la Ley 80 de 1993. Ambas figuras se caracterizan porque en ningún caso implican la transferencia del dominio sobre los bienes o recursos estatales, ni dan lugar a la constitución de un patrimonio autónomo. Los encargos fiduciarios, adicionalmente, tienen un objeto restringido: solo pueden celebrarse para administrar o manejar los recursos vinculados a contratos que las Entidades Estatales celebren, así como </w:t>
            </w:r>
            <w:r w:rsidRPr="00F74645">
              <w:rPr>
                <w:rFonts w:ascii="Verdana" w:eastAsia="Times New Roman" w:hAnsi="Verdana" w:cs="Arial"/>
                <w:bCs/>
                <w:lang w:val="es-ES" w:eastAsia="es-CO"/>
              </w:rPr>
              <w:lastRenderedPageBreak/>
              <w:t>para los fondos destinados a la cancelación de obligaciones derivadas de contratos estatales.</w:t>
            </w:r>
          </w:p>
          <w:p w14:paraId="5E2C4666" w14:textId="77777777" w:rsidR="00F74645" w:rsidRPr="00F74645" w:rsidRDefault="00F74645" w:rsidP="00F74645">
            <w:pPr>
              <w:spacing w:after="120" w:line="276" w:lineRule="auto"/>
              <w:ind w:firstLine="743"/>
              <w:jc w:val="both"/>
              <w:rPr>
                <w:rFonts w:ascii="Verdana" w:eastAsia="Times New Roman" w:hAnsi="Verdana" w:cs="Arial"/>
                <w:bCs/>
                <w:lang w:val="es-ES" w:eastAsia="es-CO"/>
              </w:rPr>
            </w:pPr>
            <w:r w:rsidRPr="00F74645">
              <w:rPr>
                <w:rFonts w:ascii="Verdana" w:eastAsia="Times New Roman" w:hAnsi="Verdana" w:cs="Arial"/>
                <w:bCs/>
                <w:lang w:val="es-ES" w:eastAsia="es-CO"/>
              </w:rPr>
              <w:t xml:space="preserve">En consecuencia, las Entidades Estatales sometidas al EGCAP solo pueden constituir patrimonios autónomos en virtud de una autorización legal expresa, caso en el cual la figura contractual aplicable es la </w:t>
            </w:r>
            <w:r w:rsidRPr="00F74645">
              <w:rPr>
                <w:rFonts w:ascii="Verdana" w:eastAsia="Times New Roman" w:hAnsi="Verdana" w:cs="Arial"/>
                <w:bCs/>
                <w:i/>
                <w:iCs/>
                <w:lang w:val="es-ES" w:eastAsia="es-CO"/>
              </w:rPr>
              <w:t>fiducia mercantil</w:t>
            </w:r>
            <w:r w:rsidRPr="00F74645">
              <w:rPr>
                <w:rFonts w:ascii="Verdana" w:eastAsia="Times New Roman" w:hAnsi="Verdana" w:cs="Arial"/>
                <w:bCs/>
                <w:lang w:val="es-ES" w:eastAsia="es-CO"/>
              </w:rPr>
              <w:t xml:space="preserve"> regulada en el Código de Comercio, que es un contrato autónomo e independiente de la fiducia pública. Esta Agencia comparte la posición de la Sala de Consulta y Servicio Civil del Consejo de Estado en el sentido de que, en ausencia de dicha autorización legal, la Entidad Estatal deberá acudir exclusivamente a la fiducia pública o al encargo fiduciario, figuras en las que mantiene la propiedad de los recursos y el control sobre los recursos públicos.</w:t>
            </w:r>
          </w:p>
          <w:p w14:paraId="63959490" w14:textId="77777777" w:rsidR="00F74645" w:rsidRPr="00F74645" w:rsidRDefault="00F74645" w:rsidP="00F74645">
            <w:pPr>
              <w:spacing w:after="120" w:line="276" w:lineRule="auto"/>
              <w:ind w:firstLine="709"/>
              <w:jc w:val="both"/>
              <w:rPr>
                <w:rFonts w:ascii="Verdana" w:eastAsiaTheme="minorEastAsia" w:hAnsi="Verdana"/>
                <w:lang w:eastAsia="es-CO"/>
              </w:rPr>
            </w:pPr>
            <w:r w:rsidRPr="00F74645">
              <w:rPr>
                <w:rFonts w:ascii="Verdana" w:eastAsiaTheme="minorEastAsia" w:hAnsi="Verdana"/>
                <w:lang w:eastAsia="es-CO"/>
              </w:rPr>
              <w:t xml:space="preserve">En este contexto, de cara a las consultas planteadas, se precisa que la celebración del encargo fiduciario relacionados con los contratos de infraestructura y de construcción pública permite implementar un esquema especializado para la administración, custodia y desembolso de los recursos, con arreglo a las reglas e instrucciones definidas en el respectivo contrato fiduciario. Sin embargo, este mecanismo no comporta la transferencia de las funciones de dirección, seguimiento y control que corresponden a la entidad estatal respecto de los recursos públicos, la cual conserva la responsabilidad de verificar el cumplimiento de las condiciones contractuales que sustentan los pagos y de impartir, directamente o a través de las instancias previstas en el negocio fiduciario, las instrucciones necesarias para su autorización, según corresponda. </w:t>
            </w:r>
          </w:p>
          <w:p w14:paraId="7C714C86" w14:textId="77777777" w:rsidR="00F74645" w:rsidRPr="00F74645" w:rsidRDefault="00F74645" w:rsidP="00F74645">
            <w:pPr>
              <w:spacing w:after="120" w:line="276" w:lineRule="auto"/>
              <w:ind w:firstLine="709"/>
              <w:jc w:val="both"/>
              <w:rPr>
                <w:rFonts w:ascii="Verdana" w:eastAsiaTheme="minorEastAsia" w:hAnsi="Verdana"/>
                <w:lang w:eastAsia="es-CO"/>
              </w:rPr>
            </w:pPr>
            <w:r w:rsidRPr="00F74645">
              <w:rPr>
                <w:rFonts w:ascii="Verdana" w:eastAsiaTheme="minorEastAsia" w:hAnsi="Verdana"/>
                <w:lang w:eastAsia="es-CO"/>
              </w:rPr>
              <w:t xml:space="preserve">De esta manera, en el respectivo contrato se debe determinar el alcance de la gestión encomendada a la sociedad fiduciaria, las condiciones para la administración de los recursos, los procedimientos para la realización de los desembolsos y las obligaciones específicas que esta debe cumplir respecto de los pagos derivados del contrato en atención a su naturaleza. Para tales efectos, se aplicarán las disposiciones del Código de Comercio que regulan el contrato de fiducia mercantil en cuanto no sean incompatibles con lo previsto en el numeral 5 del artículo 32 de la Ley 80 de 1993. Tal es el caso de los arts. 1227, 1228, 1231, 1232, 1233 (en lo pertinente), 1234, 1235, 1236 y 1239 a 1244. En consecuencia, las actuaciones de la fiduciaria se encuentran delimitadas por lo dispuesto en el contrato, las establecidas en el Código de </w:t>
            </w:r>
            <w:r w:rsidRPr="00F74645">
              <w:rPr>
                <w:rFonts w:ascii="Verdana" w:eastAsiaTheme="minorEastAsia" w:hAnsi="Verdana"/>
                <w:lang w:eastAsia="es-CO"/>
              </w:rPr>
              <w:lastRenderedPageBreak/>
              <w:t xml:space="preserve">Comercio que apliquen y por las decisiones adoptadas por los órganos de dirección previstos en el propio negocio fiduciario, según corresponda. </w:t>
            </w:r>
          </w:p>
          <w:p w14:paraId="2191A652" w14:textId="77777777" w:rsidR="00F74645" w:rsidRPr="00F74645" w:rsidRDefault="00F74645" w:rsidP="00F74645">
            <w:pPr>
              <w:spacing w:after="120" w:line="276" w:lineRule="auto"/>
              <w:ind w:firstLine="709"/>
              <w:jc w:val="both"/>
              <w:rPr>
                <w:rFonts w:ascii="Verdana" w:eastAsiaTheme="minorEastAsia" w:hAnsi="Verdana"/>
                <w:lang w:eastAsia="es-CO"/>
              </w:rPr>
            </w:pPr>
            <w:r w:rsidRPr="00F74645">
              <w:rPr>
                <w:rFonts w:ascii="Verdana" w:eastAsiaTheme="minorEastAsia" w:hAnsi="Verdana"/>
                <w:lang w:eastAsia="es-CO"/>
              </w:rPr>
              <w:t xml:space="preserve">Bajo esta lógica, no deben confundirse las actividades de interventoría que debe efectuar la entidad estatal en el desarrollo de un contrato de infraestructura o construcción pública, con las actividades que realiza la sociedad fiduciaria en ejecución del contrato de fiducia pública o de encargo fiduciario. En efecto, aunque en el marco del negocio fiduciario la sociedad fiduciaria asume obligaciones relacionadas con la administración, custodia y desembolso de los recursos en los términos pactados por las partes, ello no implica que deba ejercer las funciones de interventoría previstas en el artículo 83 de la Ley 1474 de 2011. Estas funciones comprenden el seguimiento técnico, administrativo, financiero, contable y jurídico de la ejecución del contrato, con el fin de verificar el cumplimiento de las obligaciones a cargo del contratista, lo cual difiere de las propias del encargo fiduciario. Por consiguiente, la gestión inherente a la administración y pago de los recursos en el marco del negocio fiduciario no comprende, por sí misma, la realización de actividades de verificación técnica de la obra propias de la interventoría, pues estas obedecen a un contrato distinto y a una finalidad diferente. </w:t>
            </w:r>
          </w:p>
          <w:p w14:paraId="6BA65228" w14:textId="77777777" w:rsidR="00F74645" w:rsidRPr="00F74645" w:rsidRDefault="00F74645" w:rsidP="00F74645">
            <w:pPr>
              <w:spacing w:after="120" w:line="276" w:lineRule="auto"/>
              <w:jc w:val="both"/>
              <w:rPr>
                <w:rFonts w:ascii="Verdana" w:eastAsia="Times New Roman" w:hAnsi="Verdana" w:cs="Arial"/>
                <w:bCs/>
                <w:lang w:val="es-ES" w:eastAsia="es-CO"/>
              </w:rPr>
            </w:pPr>
            <w:proofErr w:type="spellStart"/>
            <w:r w:rsidRPr="00F74645">
              <w:rPr>
                <w:rFonts w:ascii="Verdana" w:eastAsia="Times New Roman" w:hAnsi="Verdana" w:cs="Arial"/>
                <w:bCs/>
                <w:lang w:val="es-ES" w:eastAsia="es-CO"/>
              </w:rPr>
              <w:t>ii</w:t>
            </w:r>
            <w:proofErr w:type="spellEnd"/>
            <w:r w:rsidRPr="00F74645">
              <w:rPr>
                <w:rFonts w:ascii="Verdana" w:eastAsia="Times New Roman" w:hAnsi="Verdana" w:cs="Arial"/>
                <w:bCs/>
                <w:lang w:val="es-ES" w:eastAsia="es-CO"/>
              </w:rPr>
              <w:t>. En los casos en que la administración de recursos públicos se realice mediante fiducia pública o encargo fiduciario, son procedentes los mecanismos de control y vigilancia propios de las actuaciones sometidas al EGCAP, dado que no existe transferencia del dominio de los recursos. En estos supuestos, las Entidades Estatales mantienen el control y la vigilancia de la correcta ejecución de los recursos entregados.</w:t>
            </w:r>
          </w:p>
          <w:p w14:paraId="66AAB57A" w14:textId="77777777" w:rsidR="00F74645" w:rsidRPr="00F74645" w:rsidRDefault="00F74645" w:rsidP="00F74645">
            <w:pPr>
              <w:spacing w:after="120" w:line="276" w:lineRule="auto"/>
              <w:ind w:firstLine="743"/>
              <w:jc w:val="both"/>
              <w:rPr>
                <w:rFonts w:ascii="Verdana" w:eastAsia="Times New Roman" w:hAnsi="Verdana" w:cs="Arial"/>
                <w:bCs/>
                <w:lang w:val="es-ES" w:eastAsia="es-CO"/>
              </w:rPr>
            </w:pPr>
            <w:r w:rsidRPr="00F74645">
              <w:rPr>
                <w:rFonts w:ascii="Verdana" w:eastAsia="Times New Roman" w:hAnsi="Verdana" w:cs="Arial"/>
                <w:bCs/>
                <w:lang w:eastAsia="es-CO"/>
              </w:rPr>
              <w:t>El deber de rendición de cuentas es común a estos negocios fiduciarios: la sociedad fiduciaria tiene el deber indelegable de rendir cuentas</w:t>
            </w:r>
            <w:r w:rsidRPr="00F74645">
              <w:rPr>
                <w:rFonts w:ascii="Verdana" w:eastAsia="Times New Roman" w:hAnsi="Verdana" w:cs="Arial"/>
                <w:bCs/>
                <w:lang w:val="es-ES" w:eastAsia="es-CO"/>
              </w:rPr>
              <w:t xml:space="preserve"> comprobadas de su gestión al beneficiario cada seis meses, conforme al artículo 1234 del Código de Comercio, y el fideicomitente conserva el derecho de exigir dicha rendición de cuentas según el artículo 1236 del mismo Código. </w:t>
            </w:r>
            <w:r w:rsidRPr="00F74645">
              <w:rPr>
                <w:rFonts w:ascii="Verdana" w:eastAsia="Times New Roman" w:hAnsi="Verdana" w:cs="Arial"/>
                <w:bCs/>
                <w:lang w:eastAsia="es-CO"/>
              </w:rPr>
              <w:t>Este mecanismo cobra especial relevancia cuando la ley autoriza constituir un patrimonio autónomo mediante fiducia mercantil, pues allí la transferencia de la propiedad de los bienes no elimina la obligación de vigilancia de la Entidad Estatal.</w:t>
            </w:r>
            <w:r w:rsidRPr="00F74645">
              <w:rPr>
                <w:rFonts w:ascii="Verdana" w:eastAsia="Times New Roman" w:hAnsi="Verdana" w:cs="Arial"/>
                <w:bCs/>
                <w:lang w:val="es-ES" w:eastAsia="es-CO"/>
              </w:rPr>
              <w:t xml:space="preserve"> Adicionalmente, la Contraloría General de la República ha precisado que la transferencia de recursos mediante un negocio fiduciario tiene carácter instrumental, de manera que el administrador no tiene facultad de disponer </w:t>
            </w:r>
            <w:r w:rsidRPr="00F74645">
              <w:rPr>
                <w:rFonts w:ascii="Verdana" w:eastAsia="Times New Roman" w:hAnsi="Verdana" w:cs="Arial"/>
                <w:bCs/>
                <w:lang w:val="es-ES" w:eastAsia="es-CO"/>
              </w:rPr>
              <w:lastRenderedPageBreak/>
              <w:t>libremente de los recursos públicos, los cuales son en todo caso objeto de control fiscal.</w:t>
            </w:r>
          </w:p>
          <w:p w14:paraId="3E00E75B" w14:textId="77777777" w:rsidR="00F74645" w:rsidRPr="00F74645" w:rsidRDefault="00F74645" w:rsidP="00F74645">
            <w:pPr>
              <w:spacing w:after="120" w:line="276" w:lineRule="auto"/>
              <w:ind w:firstLine="743"/>
              <w:jc w:val="both"/>
              <w:rPr>
                <w:rFonts w:ascii="Verdana" w:eastAsia="Times New Roman" w:hAnsi="Verdana" w:cs="Arial"/>
                <w:bCs/>
                <w:lang w:val="es-ES" w:eastAsia="es-CO"/>
              </w:rPr>
            </w:pPr>
            <w:r w:rsidRPr="00F74645">
              <w:rPr>
                <w:rFonts w:ascii="Verdana" w:hAnsi="Verdana"/>
                <w:color w:val="000000"/>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143A56F2" w14:textId="77777777" w:rsidR="00F74645" w:rsidRPr="00F74645" w:rsidRDefault="00F74645" w:rsidP="00F74645">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1D263EC2" w14:textId="77777777" w:rsidR="00F74645" w:rsidRPr="00F74645" w:rsidRDefault="00F74645" w:rsidP="00F74645">
      <w:pPr>
        <w:numPr>
          <w:ilvl w:val="0"/>
          <w:numId w:val="17"/>
        </w:numPr>
        <w:tabs>
          <w:tab w:val="left" w:pos="142"/>
          <w:tab w:val="left" w:pos="284"/>
        </w:tabs>
        <w:spacing w:after="0" w:line="276" w:lineRule="auto"/>
        <w:contextualSpacing/>
        <w:jc w:val="both"/>
        <w:rPr>
          <w:rFonts w:ascii="Verdana" w:eastAsia="Century Gothic" w:hAnsi="Verdana" w:cs="Century Gothic"/>
          <w:b/>
          <w:color w:val="000000" w:themeColor="text1"/>
          <w:lang w:val="es-ES"/>
        </w:rPr>
      </w:pPr>
      <w:r w:rsidRPr="00F74645">
        <w:rPr>
          <w:rFonts w:ascii="Verdana" w:eastAsia="Century Gothic" w:hAnsi="Verdana" w:cs="Century Gothic"/>
          <w:b/>
          <w:color w:val="000000" w:themeColor="text1"/>
          <w:lang w:val="es-ES"/>
        </w:rPr>
        <w:t>Razones de la respuesta:</w:t>
      </w:r>
    </w:p>
    <w:p w14:paraId="5F425ED5" w14:textId="77777777" w:rsidR="00F74645" w:rsidRPr="00F74645" w:rsidRDefault="00F74645" w:rsidP="00F74645">
      <w:pPr>
        <w:tabs>
          <w:tab w:val="left" w:pos="142"/>
          <w:tab w:val="left" w:pos="284"/>
        </w:tabs>
        <w:spacing w:after="0" w:line="276" w:lineRule="auto"/>
        <w:ind w:left="720"/>
        <w:contextualSpacing/>
        <w:jc w:val="both"/>
        <w:rPr>
          <w:rFonts w:ascii="Verdana" w:eastAsia="Century Gothic" w:hAnsi="Verdana" w:cs="Century Gothic"/>
          <w:b/>
          <w:color w:val="000000" w:themeColor="text1"/>
          <w:lang w:val="es-ES"/>
        </w:rPr>
      </w:pPr>
    </w:p>
    <w:p w14:paraId="103D00BA" w14:textId="77777777" w:rsidR="00F74645" w:rsidRPr="00F74645" w:rsidRDefault="00F74645" w:rsidP="00F74645">
      <w:pPr>
        <w:spacing w:before="120" w:after="120" w:line="276" w:lineRule="auto"/>
        <w:jc w:val="both"/>
        <w:rPr>
          <w:rFonts w:ascii="Verdana" w:eastAsia="Calibri" w:hAnsi="Verdana" w:cs="Arial"/>
          <w:color w:val="000000" w:themeColor="text1"/>
          <w:lang w:val="es-ES"/>
        </w:rPr>
      </w:pPr>
      <w:r w:rsidRPr="00F74645">
        <w:rPr>
          <w:rFonts w:ascii="Verdana" w:eastAsia="Calibri" w:hAnsi="Verdana" w:cs="Arial"/>
          <w:color w:val="000000" w:themeColor="text1"/>
          <w:lang w:val="es-ES"/>
        </w:rPr>
        <w:t xml:space="preserve">Lo anterior se sustenta en las siguientes consideraciones: </w:t>
      </w:r>
    </w:p>
    <w:p w14:paraId="0F518FE7" w14:textId="77777777" w:rsidR="00F74645" w:rsidRPr="00F74645" w:rsidRDefault="00F74645" w:rsidP="00F74645">
      <w:pPr>
        <w:spacing w:before="120" w:after="0" w:line="276" w:lineRule="auto"/>
        <w:contextualSpacing/>
        <w:jc w:val="both"/>
        <w:rPr>
          <w:rFonts w:ascii="Verdana" w:eastAsia="MS Mincho" w:hAnsi="Verdana" w:cs="Arial"/>
          <w:lang w:val="es-ES" w:eastAsia="es-CO"/>
        </w:rPr>
      </w:pPr>
      <w:bookmarkStart w:id="1" w:name="_Hlk102983874"/>
      <w:bookmarkStart w:id="2" w:name="_Hlk102388095"/>
      <w:r w:rsidRPr="00F74645">
        <w:rPr>
          <w:rFonts w:ascii="Verdana" w:eastAsia="Calibri" w:hAnsi="Verdana" w:cs="Arial"/>
          <w:color w:val="000000" w:themeColor="text1"/>
          <w:lang w:val="es-ES"/>
        </w:rPr>
        <w:t>i.</w:t>
      </w:r>
      <w:r w:rsidRPr="00F74645">
        <w:rPr>
          <w:rFonts w:ascii="Verdana" w:eastAsia="Verdana" w:hAnsi="Verdana" w:cs="Verdana"/>
          <w:lang w:val="es-ES"/>
        </w:rPr>
        <w:t xml:space="preserve"> </w:t>
      </w:r>
      <w:r w:rsidRPr="00F74645">
        <w:rPr>
          <w:rFonts w:ascii="Verdana" w:eastAsia="MS Mincho" w:hAnsi="Verdana" w:cs="Arial"/>
          <w:lang w:val="es-ES" w:eastAsia="es-CO"/>
        </w:rPr>
        <w:t xml:space="preserve">El artículo 1226 del Código de Comercio define el contrato de </w:t>
      </w:r>
      <w:r w:rsidRPr="00F74645">
        <w:rPr>
          <w:rFonts w:ascii="Verdana" w:eastAsia="MS Mincho" w:hAnsi="Verdana" w:cs="Arial"/>
          <w:i/>
          <w:iCs/>
          <w:lang w:val="es-ES" w:eastAsia="es-CO"/>
        </w:rPr>
        <w:t>fiducia mercantil</w:t>
      </w:r>
      <w:r w:rsidRPr="00F74645">
        <w:rPr>
          <w:rFonts w:ascii="Verdana" w:eastAsia="MS Mincho" w:hAnsi="Verdana" w:cs="Arial"/>
          <w:lang w:val="es-ES" w:eastAsia="es-CO"/>
        </w:rPr>
        <w:t xml:space="preserve"> así: </w:t>
      </w:r>
    </w:p>
    <w:p w14:paraId="470A4A76" w14:textId="77777777" w:rsidR="00F74645" w:rsidRPr="00F74645" w:rsidRDefault="00F74645" w:rsidP="00F74645">
      <w:pPr>
        <w:spacing w:after="0" w:line="240" w:lineRule="auto"/>
        <w:contextualSpacing/>
        <w:jc w:val="both"/>
        <w:rPr>
          <w:rFonts w:ascii="Verdana" w:eastAsia="Calibri" w:hAnsi="Verdana" w:cs="Arial"/>
          <w:lang w:val="es-ES"/>
        </w:rPr>
      </w:pPr>
    </w:p>
    <w:p w14:paraId="70D77DE3" w14:textId="77777777" w:rsidR="00F74645" w:rsidRPr="00F74645" w:rsidRDefault="00F74645" w:rsidP="00F74645">
      <w:pPr>
        <w:spacing w:after="0" w:line="240" w:lineRule="auto"/>
        <w:ind w:left="709" w:right="709"/>
        <w:contextualSpacing/>
        <w:jc w:val="both"/>
        <w:rPr>
          <w:rFonts w:ascii="Verdana" w:eastAsia="Calibri" w:hAnsi="Verdana" w:cs="Arial"/>
          <w:sz w:val="20"/>
          <w:szCs w:val="20"/>
          <w:lang w:val="es-ES"/>
        </w:rPr>
      </w:pPr>
      <w:r w:rsidRPr="00F74645">
        <w:rPr>
          <w:rFonts w:ascii="Verdana" w:eastAsia="Calibri" w:hAnsi="Verdana" w:cs="Arial"/>
          <w:sz w:val="20"/>
          <w:szCs w:val="20"/>
          <w:lang w:val="es-ES"/>
        </w:rPr>
        <w:t>“La fiducia mercantil es un negocio jurídico en virtud del cual una persona, llamada fiduciante o fideicomitente, transfiere uno o más bienes especificados a otra, llamada fiduciario, quien se obliga a administrarlos o enajenarlos para cumplir una finalidad determinada por el constituyente, en provecho de éste o de un tercero llamado beneficiario o</w:t>
      </w:r>
      <w:r w:rsidRPr="00F74645">
        <w:rPr>
          <w:rFonts w:ascii="Verdana" w:eastAsia="Calibri" w:hAnsi="Verdana" w:cs="Arial"/>
          <w:spacing w:val="-5"/>
          <w:sz w:val="20"/>
          <w:szCs w:val="20"/>
          <w:lang w:val="es-ES"/>
        </w:rPr>
        <w:t xml:space="preserve"> </w:t>
      </w:r>
      <w:r w:rsidRPr="00F74645">
        <w:rPr>
          <w:rFonts w:ascii="Verdana" w:eastAsia="Calibri" w:hAnsi="Verdana" w:cs="Arial"/>
          <w:sz w:val="20"/>
          <w:szCs w:val="20"/>
          <w:lang w:val="es-ES"/>
        </w:rPr>
        <w:t>fideicomisario.</w:t>
      </w:r>
    </w:p>
    <w:p w14:paraId="16055252" w14:textId="77777777" w:rsidR="00F74645" w:rsidRPr="00F74645" w:rsidRDefault="00F74645" w:rsidP="00F74645">
      <w:pPr>
        <w:spacing w:after="0" w:line="240" w:lineRule="auto"/>
        <w:ind w:left="709" w:right="709"/>
        <w:contextualSpacing/>
        <w:jc w:val="both"/>
        <w:rPr>
          <w:rFonts w:ascii="Verdana" w:eastAsia="Calibri" w:hAnsi="Verdana" w:cs="Arial"/>
          <w:sz w:val="20"/>
          <w:szCs w:val="20"/>
          <w:lang w:val="es-ES"/>
        </w:rPr>
      </w:pPr>
      <w:r w:rsidRPr="00F74645">
        <w:rPr>
          <w:rFonts w:ascii="Verdana" w:eastAsia="Calibri" w:hAnsi="Verdana" w:cs="Arial"/>
          <w:sz w:val="20"/>
          <w:szCs w:val="20"/>
          <w:lang w:val="es-ES"/>
        </w:rPr>
        <w:t>Una persona puede ser al mismo tiempo fiduciante y beneficiario.</w:t>
      </w:r>
    </w:p>
    <w:p w14:paraId="6533DA25" w14:textId="77777777" w:rsidR="00F74645" w:rsidRPr="00F74645" w:rsidRDefault="00F74645" w:rsidP="00F74645">
      <w:pPr>
        <w:spacing w:after="0" w:line="240" w:lineRule="auto"/>
        <w:ind w:left="709" w:right="709"/>
        <w:contextualSpacing/>
        <w:jc w:val="both"/>
        <w:rPr>
          <w:rFonts w:ascii="Verdana" w:eastAsia="Calibri" w:hAnsi="Verdana" w:cs="Arial"/>
          <w:sz w:val="20"/>
          <w:szCs w:val="20"/>
          <w:lang w:val="es-ES"/>
        </w:rPr>
      </w:pPr>
    </w:p>
    <w:p w14:paraId="1144ACCA" w14:textId="77777777" w:rsidR="00F74645" w:rsidRPr="00F74645" w:rsidRDefault="00F74645" w:rsidP="00F74645">
      <w:pPr>
        <w:spacing w:after="0" w:line="240" w:lineRule="auto"/>
        <w:ind w:left="709" w:right="709"/>
        <w:contextualSpacing/>
        <w:jc w:val="both"/>
        <w:rPr>
          <w:rFonts w:ascii="Verdana" w:eastAsia="Calibri" w:hAnsi="Verdana" w:cs="Arial"/>
          <w:sz w:val="21"/>
          <w:szCs w:val="21"/>
          <w:lang w:val="es-ES"/>
        </w:rPr>
      </w:pPr>
      <w:r w:rsidRPr="00F74645">
        <w:rPr>
          <w:rFonts w:ascii="Verdana" w:eastAsia="Calibri" w:hAnsi="Verdana" w:cs="Arial"/>
          <w:sz w:val="20"/>
          <w:szCs w:val="20"/>
          <w:lang w:val="es-ES"/>
        </w:rPr>
        <w:t>Solo los establecimientos de crédito y las sociedades fiduciarias, especialmente autorizados por la Superintendencia Bancaria, podrán tener la calidad de fiduciarios</w:t>
      </w:r>
      <w:r w:rsidRPr="00F74645">
        <w:rPr>
          <w:rFonts w:ascii="Verdana" w:eastAsia="Calibri" w:hAnsi="Verdana" w:cs="Arial"/>
          <w:sz w:val="21"/>
          <w:szCs w:val="21"/>
          <w:lang w:val="es-ES"/>
        </w:rPr>
        <w:t>”.</w:t>
      </w:r>
    </w:p>
    <w:p w14:paraId="12A571B7" w14:textId="77777777" w:rsidR="00F74645" w:rsidRPr="00F74645" w:rsidRDefault="00F74645" w:rsidP="00F74645">
      <w:pPr>
        <w:spacing w:before="2" w:after="0" w:line="276" w:lineRule="auto"/>
        <w:jc w:val="both"/>
        <w:rPr>
          <w:rFonts w:ascii="Verdana" w:eastAsia="MS Mincho" w:hAnsi="Verdana" w:cs="Arial"/>
          <w:lang w:val="es-ES" w:eastAsia="es-CO"/>
        </w:rPr>
      </w:pPr>
    </w:p>
    <w:p w14:paraId="70083306" w14:textId="77777777" w:rsidR="00F74645" w:rsidRPr="00F74645" w:rsidRDefault="00F74645" w:rsidP="00F74645">
      <w:pPr>
        <w:spacing w:after="12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Con base en esta norma, son elementos característicos del negocio jurídico de la fiducia mercantil: (i) la existencia de al menos dos sujetos: fiduciante y fiduciario; y (</w:t>
      </w:r>
      <w:proofErr w:type="spellStart"/>
      <w:r w:rsidRPr="00F74645">
        <w:rPr>
          <w:rFonts w:ascii="Verdana" w:eastAsia="MS Mincho" w:hAnsi="Verdana" w:cs="Arial"/>
          <w:lang w:val="es-ES" w:eastAsia="es-CO"/>
        </w:rPr>
        <w:t>ii</w:t>
      </w:r>
      <w:proofErr w:type="spellEnd"/>
      <w:r w:rsidRPr="00F74645">
        <w:rPr>
          <w:rFonts w:ascii="Verdana" w:eastAsia="MS Mincho" w:hAnsi="Verdana" w:cs="Arial"/>
          <w:lang w:val="es-ES" w:eastAsia="es-CO"/>
        </w:rPr>
        <w:t xml:space="preserve">) la transferencia de los bienes fideicomitidos para cumplir una finalidad determinada en provecho del fiduciante o de un tercero. </w:t>
      </w:r>
    </w:p>
    <w:p w14:paraId="059A5A34" w14:textId="77777777" w:rsidR="00F74645" w:rsidRPr="00F74645" w:rsidRDefault="00F74645" w:rsidP="00F74645">
      <w:pPr>
        <w:spacing w:after="12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 xml:space="preserve">La fiducia mercantil así entendida puede consistir en (i) un </w:t>
      </w:r>
      <w:r w:rsidRPr="00F74645">
        <w:rPr>
          <w:rFonts w:ascii="Verdana" w:eastAsia="MS Mincho" w:hAnsi="Verdana" w:cs="Arial"/>
          <w:i/>
          <w:iCs/>
          <w:lang w:val="es-ES" w:eastAsia="es-CO"/>
        </w:rPr>
        <w:t>encargo fiduciario</w:t>
      </w:r>
      <w:r w:rsidRPr="00F74645">
        <w:rPr>
          <w:rFonts w:ascii="Verdana" w:eastAsia="MS Mincho" w:hAnsi="Verdana" w:cs="Arial"/>
          <w:lang w:val="es-ES" w:eastAsia="es-CO"/>
        </w:rPr>
        <w:t xml:space="preserve"> o en la constitución de un (</w:t>
      </w:r>
      <w:proofErr w:type="spellStart"/>
      <w:r w:rsidRPr="00F74645">
        <w:rPr>
          <w:rFonts w:ascii="Verdana" w:eastAsia="MS Mincho" w:hAnsi="Verdana" w:cs="Arial"/>
          <w:lang w:val="es-ES" w:eastAsia="es-CO"/>
        </w:rPr>
        <w:t>ii</w:t>
      </w:r>
      <w:proofErr w:type="spellEnd"/>
      <w:r w:rsidRPr="00F74645">
        <w:rPr>
          <w:rFonts w:ascii="Verdana" w:eastAsia="MS Mincho" w:hAnsi="Verdana" w:cs="Arial"/>
          <w:lang w:val="es-ES" w:eastAsia="es-CO"/>
        </w:rPr>
        <w:t xml:space="preserve">) </w:t>
      </w:r>
      <w:r w:rsidRPr="00F74645">
        <w:rPr>
          <w:rFonts w:ascii="Verdana" w:eastAsia="MS Mincho" w:hAnsi="Verdana" w:cs="Arial"/>
          <w:i/>
          <w:iCs/>
          <w:lang w:val="es-ES" w:eastAsia="es-CO"/>
        </w:rPr>
        <w:t>patrimonio autónomo</w:t>
      </w:r>
      <w:r w:rsidRPr="00F74645">
        <w:rPr>
          <w:rFonts w:ascii="Verdana" w:eastAsia="MS Mincho" w:hAnsi="Verdana" w:cs="Arial"/>
          <w:lang w:val="es-ES" w:eastAsia="es-CO"/>
        </w:rPr>
        <w:t xml:space="preserve">. De acuerdo con </w:t>
      </w:r>
      <w:r w:rsidRPr="00F74645">
        <w:rPr>
          <w:rFonts w:ascii="Verdana" w:eastAsia="MS Mincho" w:hAnsi="Verdana" w:cs="Arial"/>
          <w:lang w:val="es-ES" w:eastAsia="es-CO"/>
        </w:rPr>
        <w:lastRenderedPageBreak/>
        <w:t xml:space="preserve">la Superintendencia Financiera se entiende por </w:t>
      </w:r>
      <w:r w:rsidRPr="00F74645">
        <w:rPr>
          <w:rFonts w:ascii="Verdana" w:eastAsia="MS Mincho" w:hAnsi="Verdana" w:cs="Arial"/>
          <w:i/>
          <w:iCs/>
          <w:lang w:val="es-ES" w:eastAsia="es-CO"/>
        </w:rPr>
        <w:t>encargo fiduciario</w:t>
      </w:r>
      <w:r w:rsidRPr="00F74645">
        <w:rPr>
          <w:rFonts w:ascii="Verdana" w:eastAsia="MS Mincho" w:hAnsi="Verdana" w:cs="Arial"/>
          <w:lang w:val="es-ES" w:eastAsia="es-CO"/>
        </w:rPr>
        <w:t xml:space="preserve"> </w:t>
      </w:r>
      <w:r w:rsidRPr="00F74645">
        <w:rPr>
          <w:rFonts w:ascii="Verdana" w:eastAsia="MS Mincho" w:hAnsi="Verdana" w:cs="Arial"/>
          <w:lang w:val="es-ES"/>
        </w:rPr>
        <w:t xml:space="preserve">el contrato en virtud del cual el fideicomitente entrega al fiduciario bienes determinados con el </w:t>
      </w:r>
      <w:proofErr w:type="spellStart"/>
      <w:r w:rsidRPr="00F74645">
        <w:rPr>
          <w:rFonts w:ascii="Verdana" w:eastAsia="MS Mincho" w:hAnsi="Verdana" w:cs="Arial"/>
          <w:lang w:val="es-ES"/>
        </w:rPr>
        <w:t>propósito</w:t>
      </w:r>
      <w:proofErr w:type="spellEnd"/>
      <w:r w:rsidRPr="00F74645">
        <w:rPr>
          <w:rFonts w:ascii="Verdana" w:eastAsia="MS Mincho" w:hAnsi="Verdana" w:cs="Arial"/>
          <w:lang w:val="es-ES"/>
        </w:rPr>
        <w:t xml:space="preserve"> de cumplir la finalidad específica acordada, sin transferir la propiedad de estos</w:t>
      </w:r>
      <w:r w:rsidRPr="00F74645">
        <w:rPr>
          <w:rFonts w:ascii="Verdana" w:eastAsia="MS Mincho" w:hAnsi="Verdana" w:cs="Arial"/>
          <w:vertAlign w:val="superscript"/>
          <w:lang w:val="es-ES"/>
        </w:rPr>
        <w:footnoteReference w:id="2"/>
      </w:r>
      <w:r w:rsidRPr="00F74645">
        <w:rPr>
          <w:rFonts w:ascii="Verdana" w:eastAsia="MS Mincho" w:hAnsi="Verdana" w:cs="Arial"/>
          <w:lang w:val="es-ES"/>
        </w:rPr>
        <w:t xml:space="preserve">. En este sentido, es una figura que se caracteriza específicamente porque los bienes fideicomitidos no salen del patrimonio del fideicomitente, sino que siguen siendo de su propiedad, aunque el fiduciario tenga la facultad para administrarlos. Se deriva de lo anterior, que en estos casos tampoco se crea un patrimonio autónomo o distinto al del fideicomitente o el fiduciario. </w:t>
      </w:r>
    </w:p>
    <w:p w14:paraId="0D833B76" w14:textId="77777777" w:rsidR="00F74645" w:rsidRPr="00F74645" w:rsidRDefault="00F74645" w:rsidP="00F74645">
      <w:pPr>
        <w:spacing w:before="120" w:after="12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 xml:space="preserve">En el caso de los </w:t>
      </w:r>
      <w:r w:rsidRPr="00F74645">
        <w:rPr>
          <w:rFonts w:ascii="Verdana" w:eastAsia="MS Mincho" w:hAnsi="Verdana" w:cs="Arial"/>
          <w:i/>
          <w:iCs/>
          <w:lang w:val="es-ES" w:eastAsia="es-CO"/>
        </w:rPr>
        <w:t>patrimonios autónomos</w:t>
      </w:r>
      <w:r w:rsidRPr="00F74645">
        <w:rPr>
          <w:rFonts w:ascii="Verdana" w:eastAsia="MS Mincho" w:hAnsi="Verdana" w:cs="Arial"/>
          <w:lang w:val="es-ES" w:eastAsia="es-CO"/>
        </w:rPr>
        <w:t xml:space="preserve"> constituidos en virtud de una fiducia mercantil, el constituyente o fiduciario transfiere a la fiduciaria un conjunto de bienes que conforman y se </w:t>
      </w:r>
      <w:proofErr w:type="gramStart"/>
      <w:r w:rsidRPr="00F74645">
        <w:rPr>
          <w:rFonts w:ascii="Verdana" w:eastAsia="MS Mincho" w:hAnsi="Verdana" w:cs="Arial"/>
          <w:lang w:val="es-ES" w:eastAsia="es-CO"/>
        </w:rPr>
        <w:t>denominan como</w:t>
      </w:r>
      <w:proofErr w:type="gramEnd"/>
      <w:r w:rsidRPr="00F74645">
        <w:rPr>
          <w:rFonts w:ascii="Verdana" w:eastAsia="MS Mincho" w:hAnsi="Verdana" w:cs="Arial"/>
          <w:lang w:val="es-ES" w:eastAsia="es-CO"/>
        </w:rPr>
        <w:t xml:space="preserve"> patrimonio autónomo. </w:t>
      </w:r>
      <w:r w:rsidRPr="00F74645">
        <w:rPr>
          <w:rFonts w:ascii="Verdana" w:eastAsia="MS Mincho" w:hAnsi="Verdana" w:cs="Arial"/>
          <w:lang w:eastAsia="es-CO"/>
        </w:rPr>
        <w:t>Se ha entendido que</w:t>
      </w:r>
      <w:r w:rsidRPr="00F74645">
        <w:rPr>
          <w:rFonts w:ascii="Verdana" w:eastAsia="MS Mincho" w:hAnsi="Verdana" w:cs="Arial"/>
          <w:lang w:val="es-ES" w:eastAsia="es-CO"/>
        </w:rPr>
        <w:t xml:space="preserve"> estos patrimonios autónomos no tienen el carácter de personas jurídicas o naturales, pues son negocios fiduciarios que se encuentran conformados por los bienes que son transferidos. Sin embargo, los bienes “salen real y jurídicamente del patrimonio del fideicomitente (titular del dominio) y están afectos al cumplimiento de las finalidades señaladas en el acto constitutivo</w:t>
      </w:r>
      <w:r w:rsidRPr="00F74645">
        <w:rPr>
          <w:rFonts w:ascii="Verdana" w:eastAsia="MS Mincho" w:hAnsi="Verdana" w:cs="Arial"/>
          <w:i/>
          <w:iCs/>
          <w:lang w:val="es-ES" w:eastAsia="es-CO"/>
        </w:rPr>
        <w:t>”</w:t>
      </w:r>
      <w:r w:rsidRPr="00F74645">
        <w:rPr>
          <w:rFonts w:ascii="Verdana" w:eastAsia="MS Mincho" w:hAnsi="Verdana" w:cs="Arial"/>
          <w:i/>
          <w:iCs/>
          <w:vertAlign w:val="superscript"/>
          <w:lang w:val="es-ES" w:eastAsia="es-CO"/>
        </w:rPr>
        <w:footnoteReference w:id="3"/>
      </w:r>
      <w:r w:rsidRPr="00F74645">
        <w:rPr>
          <w:rFonts w:ascii="Verdana" w:eastAsia="MS Mincho" w:hAnsi="Verdana" w:cs="Arial"/>
          <w:i/>
          <w:iCs/>
          <w:lang w:val="es-ES" w:eastAsia="es-CO"/>
        </w:rPr>
        <w:t>.</w:t>
      </w:r>
      <w:r w:rsidRPr="00F74645">
        <w:rPr>
          <w:rFonts w:ascii="Verdana" w:eastAsia="MS Mincho" w:hAnsi="Verdana" w:cs="Arial"/>
          <w:lang w:val="es-ES" w:eastAsia="es-CO"/>
        </w:rPr>
        <w:t xml:space="preserve"> Entonces, existe una distinción clara entre los bienes que conforman el patrimonio del fideicomitente, aquellos que hacen parte del patrimonio autónomo, y los que integran el patrimonio o los activos de la fiduciaria. Ya que existen tres patrimonios independientes, los bienes transferidos</w:t>
      </w:r>
      <w:r w:rsidRPr="00F74645">
        <w:rPr>
          <w:rFonts w:ascii="Verdana" w:eastAsia="MS Mincho" w:hAnsi="Verdana" w:cs="Arial"/>
          <w:i/>
          <w:iCs/>
          <w:lang w:val="es-ES" w:eastAsia="es-CO"/>
        </w:rPr>
        <w:t xml:space="preserve"> “</w:t>
      </w:r>
      <w:r w:rsidRPr="00F74645">
        <w:rPr>
          <w:rFonts w:ascii="Verdana" w:eastAsia="MS Mincho" w:hAnsi="Verdana" w:cs="Arial"/>
          <w:lang w:val="es-ES" w:eastAsia="es-CO"/>
        </w:rPr>
        <w:t>son excluidos de la garantía general de los acreedores del fiduciario y fideicomitente y garantizan las obligaciones que contraiga el patrimonio autónomo en el logro de la finalidad de la fiducia […]</w:t>
      </w:r>
      <w:r w:rsidRPr="00F74645">
        <w:rPr>
          <w:rFonts w:ascii="Verdana" w:eastAsia="MS Mincho" w:hAnsi="Verdana" w:cs="Arial"/>
          <w:vertAlign w:val="superscript"/>
          <w:lang w:val="es-ES" w:eastAsia="es-CO"/>
        </w:rPr>
        <w:footnoteReference w:id="4"/>
      </w:r>
      <w:r w:rsidRPr="00F74645">
        <w:rPr>
          <w:rFonts w:ascii="Verdana" w:eastAsia="MS Mincho" w:hAnsi="Verdana" w:cs="Arial"/>
          <w:lang w:val="es-ES" w:eastAsia="es-CO"/>
        </w:rPr>
        <w:t>”.</w:t>
      </w:r>
    </w:p>
    <w:p w14:paraId="7E8CC4AD" w14:textId="77777777" w:rsidR="00F74645" w:rsidRPr="00F74645" w:rsidRDefault="00F74645" w:rsidP="00F74645">
      <w:pPr>
        <w:spacing w:before="120" w:after="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 xml:space="preserve">El contrato de fiducia mercantil establecido en el Código de Comercio, entendido como encargo fiduciario o patrimonio autónomo, es diferente al contrato de </w:t>
      </w:r>
      <w:r w:rsidRPr="00F74645">
        <w:rPr>
          <w:rFonts w:ascii="Verdana" w:eastAsia="MS Mincho" w:hAnsi="Verdana" w:cs="Arial"/>
          <w:i/>
          <w:iCs/>
          <w:lang w:val="es-ES" w:eastAsia="es-CO"/>
        </w:rPr>
        <w:t>fiducia pública</w:t>
      </w:r>
      <w:r w:rsidRPr="00F74645">
        <w:rPr>
          <w:rFonts w:ascii="Verdana" w:eastAsia="MS Mincho" w:hAnsi="Verdana" w:cs="Arial"/>
          <w:lang w:val="es-ES" w:eastAsia="es-CO"/>
        </w:rPr>
        <w:t>. Esta figura fue creada en virtud de la Ley 80 de 1993, la cual estableció en el numeral 5º del artículo 32 lo siguiente:</w:t>
      </w:r>
    </w:p>
    <w:p w14:paraId="7962247E" w14:textId="77777777" w:rsidR="00F74645" w:rsidRPr="00F74645" w:rsidRDefault="00F74645" w:rsidP="00F74645">
      <w:pPr>
        <w:spacing w:after="0" w:line="276" w:lineRule="auto"/>
        <w:ind w:firstLine="709"/>
        <w:jc w:val="both"/>
        <w:rPr>
          <w:rFonts w:ascii="Verdana" w:eastAsia="MS Mincho" w:hAnsi="Verdana" w:cs="Arial"/>
          <w:i/>
          <w:iCs/>
          <w:lang w:val="es-ES" w:eastAsia="es-CO"/>
        </w:rPr>
      </w:pPr>
    </w:p>
    <w:p w14:paraId="451EFB85" w14:textId="77777777" w:rsidR="00F74645" w:rsidRPr="00F74645" w:rsidRDefault="00F74645" w:rsidP="00F74645">
      <w:pPr>
        <w:spacing w:after="120" w:line="276" w:lineRule="auto"/>
        <w:ind w:firstLine="709"/>
        <w:jc w:val="both"/>
        <w:rPr>
          <w:rFonts w:ascii="Verdana" w:eastAsia="MS Mincho" w:hAnsi="Verdana" w:cs="Arial"/>
          <w:sz w:val="20"/>
          <w:szCs w:val="20"/>
          <w:lang w:val="es-ES" w:eastAsia="es-CO"/>
        </w:rPr>
      </w:pPr>
      <w:r w:rsidRPr="00F74645">
        <w:rPr>
          <w:rFonts w:ascii="Verdana" w:eastAsia="MS Mincho" w:hAnsi="Verdana" w:cs="Arial"/>
          <w:i/>
          <w:iCs/>
          <w:sz w:val="20"/>
          <w:szCs w:val="20"/>
          <w:lang w:val="es-ES" w:eastAsia="es-CO"/>
        </w:rPr>
        <w:t>“</w:t>
      </w:r>
      <w:r w:rsidRPr="00F74645">
        <w:rPr>
          <w:rFonts w:ascii="Verdana" w:eastAsia="MS Mincho" w:hAnsi="Verdana" w:cs="Arial"/>
          <w:sz w:val="20"/>
          <w:szCs w:val="20"/>
          <w:lang w:val="es-ES" w:eastAsia="es-CO"/>
        </w:rPr>
        <w:t>5o. Encargos Fiduciarios y Fiducia Pública.</w:t>
      </w:r>
    </w:p>
    <w:p w14:paraId="50A3FFFF" w14:textId="77777777" w:rsidR="00F74645" w:rsidRPr="00F74645" w:rsidRDefault="00F74645" w:rsidP="00F74645">
      <w:pPr>
        <w:spacing w:before="120" w:after="120" w:line="240" w:lineRule="auto"/>
        <w:ind w:left="709" w:right="709"/>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lastRenderedPageBreak/>
        <w:t>[…] Los encargos fiduciarios y los contratos de fiducia pública sólo podrán celebrarse por las entidades estatales con estricta sujeción a lo dispuesto en el presente estatuto, únicamente para objetos y con plazos precisamente determinados. En ningún caso las entidades públicas fideicomitentes podrán delegar en las sociedades fiduciarias la adjudicación de los contratos que se celebren en desarrollo del encargo o de la fiducia pública, ni pactar su remuneración con cargo a los rendimientos del fideicomiso, salvo que éstos se encuentren presupuestados. </w:t>
      </w:r>
    </w:p>
    <w:p w14:paraId="3EA0BBF1" w14:textId="77777777" w:rsidR="00F74645" w:rsidRPr="00F74645" w:rsidRDefault="00F74645" w:rsidP="00F74645">
      <w:pPr>
        <w:spacing w:before="120" w:after="120" w:line="240" w:lineRule="auto"/>
        <w:ind w:left="709" w:right="709"/>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 xml:space="preserve">[…] La selección de las sociedades fiduciarias a contratar, sea pública o privada, se hará con rigurosa observancia del procedimiento de licitación o concurso previsto en esta ley. No obstante, los excedentes de tesorería de las entidades </w:t>
      </w:r>
      <w:proofErr w:type="gramStart"/>
      <w:r w:rsidRPr="00F74645">
        <w:rPr>
          <w:rFonts w:ascii="Verdana" w:eastAsia="MS Mincho" w:hAnsi="Verdana" w:cs="Arial"/>
          <w:sz w:val="20"/>
          <w:szCs w:val="20"/>
          <w:lang w:val="es-ES" w:eastAsia="es-CO"/>
        </w:rPr>
        <w:t>estatales,</w:t>
      </w:r>
      <w:proofErr w:type="gramEnd"/>
      <w:r w:rsidRPr="00F74645">
        <w:rPr>
          <w:rFonts w:ascii="Verdana" w:eastAsia="MS Mincho" w:hAnsi="Verdana" w:cs="Arial"/>
          <w:sz w:val="20"/>
          <w:szCs w:val="20"/>
          <w:lang w:val="es-ES" w:eastAsia="es-CO"/>
        </w:rPr>
        <w:t xml:space="preserve"> se podrán invertir directamente en fondos comunes ordinarios administrados por sociedades fiduciarias, sin necesidad de acudir a un proceso de licitación pública.  </w:t>
      </w:r>
    </w:p>
    <w:p w14:paraId="3756F261" w14:textId="77777777" w:rsidR="00F74645" w:rsidRPr="00F74645" w:rsidRDefault="00F74645" w:rsidP="00F74645">
      <w:pPr>
        <w:spacing w:before="120" w:after="120" w:line="240" w:lineRule="auto"/>
        <w:ind w:left="709" w:right="709"/>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Los actos y contratos que se realicen en desarrollo de un contrato de fiducia pública o encargo fiduciario cumplirán estrictamente con las normas previstas en este estatuto, así como con las disposiciones fiscales, presupuestales, de interventoría y de control a las cuales esté sujeta la entidad estatal fideicomitente. </w:t>
      </w:r>
    </w:p>
    <w:p w14:paraId="1D9D474F" w14:textId="77777777" w:rsidR="00F74645" w:rsidRPr="00F74645" w:rsidRDefault="00F74645" w:rsidP="00F74645">
      <w:pPr>
        <w:spacing w:after="0" w:line="240" w:lineRule="auto"/>
        <w:ind w:left="709" w:right="709"/>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 xml:space="preserve">[…] La fiducia que se autoriza para el sector público en esta ley, </w:t>
      </w:r>
      <w:r w:rsidRPr="00F74645">
        <w:rPr>
          <w:rFonts w:ascii="Verdana" w:eastAsia="MS Mincho" w:hAnsi="Verdana" w:cs="Arial"/>
          <w:i/>
          <w:iCs/>
          <w:sz w:val="20"/>
          <w:szCs w:val="20"/>
          <w:u w:val="single"/>
          <w:lang w:val="es-ES" w:eastAsia="es-CO"/>
        </w:rPr>
        <w:t>nunca implicará transferencia de dominio sobre bienes o recursos estatales, ni constituirá patrimonio autónomo del propio de la respectiva entidad oficial</w:t>
      </w:r>
      <w:r w:rsidRPr="00F74645">
        <w:rPr>
          <w:rFonts w:ascii="Verdana" w:eastAsia="MS Mincho" w:hAnsi="Verdana" w:cs="Arial"/>
          <w:sz w:val="20"/>
          <w:szCs w:val="20"/>
          <w:lang w:val="es-ES" w:eastAsia="es-CO"/>
        </w:rPr>
        <w:t>, sin perjuicio de las responsabilidades propias del ordenador del gasto”. [Énfasis fuera del texto original]</w:t>
      </w:r>
    </w:p>
    <w:p w14:paraId="35C573E6" w14:textId="77777777" w:rsidR="00F74645" w:rsidRPr="00F74645" w:rsidRDefault="00F74645" w:rsidP="00F74645">
      <w:pPr>
        <w:spacing w:after="0" w:line="240" w:lineRule="auto"/>
        <w:ind w:firstLine="709"/>
        <w:jc w:val="both"/>
        <w:rPr>
          <w:rFonts w:ascii="Verdana" w:eastAsia="MS Mincho" w:hAnsi="Verdana" w:cs="Arial"/>
          <w:lang w:val="es-ES" w:eastAsia="es-CO"/>
        </w:rPr>
      </w:pPr>
    </w:p>
    <w:p w14:paraId="72FBFBFE" w14:textId="77777777" w:rsidR="00F74645" w:rsidRPr="00F74645" w:rsidRDefault="00F74645" w:rsidP="00F74645">
      <w:pPr>
        <w:spacing w:after="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 xml:space="preserve">En efecto, la </w:t>
      </w:r>
      <w:r w:rsidRPr="00F74645">
        <w:rPr>
          <w:rFonts w:ascii="Verdana" w:eastAsia="MS Mincho" w:hAnsi="Verdana" w:cs="Arial"/>
          <w:i/>
          <w:iCs/>
          <w:lang w:val="es-ES" w:eastAsia="es-CO"/>
        </w:rPr>
        <w:t>fiducia pública</w:t>
      </w:r>
      <w:r w:rsidRPr="00F74645">
        <w:rPr>
          <w:rFonts w:ascii="Verdana" w:eastAsia="MS Mincho" w:hAnsi="Verdana" w:cs="Arial"/>
          <w:lang w:val="es-ES" w:eastAsia="es-CO"/>
        </w:rPr>
        <w:t xml:space="preserve"> se diferencia de la </w:t>
      </w:r>
      <w:r w:rsidRPr="00F74645">
        <w:rPr>
          <w:rFonts w:ascii="Verdana" w:eastAsia="MS Mincho" w:hAnsi="Verdana" w:cs="Arial"/>
          <w:i/>
          <w:iCs/>
          <w:lang w:val="es-ES" w:eastAsia="es-CO"/>
        </w:rPr>
        <w:t>fiducia mercantil</w:t>
      </w:r>
      <w:r w:rsidRPr="00F74645">
        <w:rPr>
          <w:rFonts w:ascii="Verdana" w:eastAsia="MS Mincho" w:hAnsi="Verdana" w:cs="Arial"/>
          <w:lang w:val="es-ES" w:eastAsia="es-CO"/>
        </w:rPr>
        <w:t xml:space="preserve"> en que en ningún caso implicará la transferencia de dominio sobre bienes o recursos estatales, ni podrá constituir un patrimonio autónomo al de la respectiva entidad. Así lo consideró la Corte Constitucional, en la sentencia C-086 de 1995 al señalar que la Ley 80 de 1993 creó un contrato nuevo, autónomo e independiente a la fiducia mercantil del Código de</w:t>
      </w:r>
      <w:r w:rsidRPr="00F74645">
        <w:rPr>
          <w:rFonts w:ascii="Verdana" w:eastAsia="MS Mincho" w:hAnsi="Verdana" w:cs="Arial"/>
          <w:spacing w:val="-27"/>
          <w:lang w:val="es-ES" w:eastAsia="es-CO"/>
        </w:rPr>
        <w:t xml:space="preserve"> </w:t>
      </w:r>
      <w:r w:rsidRPr="00F74645">
        <w:rPr>
          <w:rFonts w:ascii="Verdana" w:eastAsia="MS Mincho" w:hAnsi="Verdana" w:cs="Arial"/>
          <w:lang w:val="es-ES" w:eastAsia="es-CO"/>
        </w:rPr>
        <w:t>Comercio</w:t>
      </w:r>
      <w:r w:rsidRPr="00F74645">
        <w:rPr>
          <w:rFonts w:ascii="Verdana" w:eastAsia="MS Mincho" w:hAnsi="Verdana" w:cs="Arial"/>
          <w:vertAlign w:val="superscript"/>
          <w:lang w:val="es-ES" w:eastAsia="es-CO"/>
        </w:rPr>
        <w:footnoteReference w:id="5"/>
      </w:r>
      <w:r w:rsidRPr="00F74645">
        <w:rPr>
          <w:rFonts w:ascii="Verdana" w:eastAsia="MS Mincho" w:hAnsi="Verdana" w:cs="Arial"/>
          <w:lang w:val="es-ES" w:eastAsia="es-CO"/>
        </w:rPr>
        <w:t xml:space="preserve">: </w:t>
      </w:r>
    </w:p>
    <w:p w14:paraId="47FF3D61" w14:textId="77777777" w:rsidR="00F74645" w:rsidRPr="00F74645" w:rsidRDefault="00F74645" w:rsidP="00F74645">
      <w:pPr>
        <w:spacing w:after="0" w:line="240" w:lineRule="auto"/>
        <w:ind w:left="709" w:right="709"/>
        <w:jc w:val="both"/>
        <w:rPr>
          <w:rFonts w:ascii="Verdana" w:eastAsia="MS Mincho" w:hAnsi="Verdana" w:cs="Arial"/>
          <w:sz w:val="21"/>
          <w:szCs w:val="21"/>
          <w:lang w:val="es-ES" w:eastAsia="es-CO"/>
        </w:rPr>
      </w:pPr>
    </w:p>
    <w:p w14:paraId="25E280B1" w14:textId="77777777" w:rsidR="00F74645" w:rsidRPr="00F74645" w:rsidRDefault="00F74645" w:rsidP="00F74645">
      <w:pPr>
        <w:spacing w:after="0" w:line="240" w:lineRule="auto"/>
        <w:ind w:left="709" w:right="709"/>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 xml:space="preserve">“[…] el Estatuto General de Contratación Administrativa creó un nuevo tipo de contrato, sin definirlo, denominado "fiducia pública", el cual no se relaciona con el contrato de fiducia mercantil contenido en el Código de Comercio y en las disposiciones propias del sistema financiero. Se trata, pues, de un contrato autónomo e independiente, más parecido a un encargo fiduciario que a una fiducia (por el no traspaso de la propiedad, ni la constitución de un patrimonio autónomo), al que le serán aplicables </w:t>
      </w:r>
      <w:r w:rsidRPr="00F74645">
        <w:rPr>
          <w:rFonts w:ascii="Verdana" w:eastAsia="MS Mincho" w:hAnsi="Verdana" w:cs="Arial"/>
          <w:sz w:val="20"/>
          <w:szCs w:val="20"/>
          <w:lang w:val="es-ES" w:eastAsia="es-CO"/>
        </w:rPr>
        <w:lastRenderedPageBreak/>
        <w:t xml:space="preserve">las normas del Código de Comercio sobre fiducia mercantil, "en cuanto sean compatibles con lo dispuesto en esta ley". </w:t>
      </w:r>
    </w:p>
    <w:p w14:paraId="7D6FC097" w14:textId="77777777" w:rsidR="00F74645" w:rsidRPr="00F74645" w:rsidRDefault="00F74645" w:rsidP="00F74645">
      <w:pPr>
        <w:spacing w:before="120" w:after="0" w:line="240" w:lineRule="auto"/>
        <w:ind w:left="709" w:right="709"/>
        <w:jc w:val="both"/>
        <w:rPr>
          <w:rFonts w:ascii="Verdana" w:eastAsia="MS Mincho" w:hAnsi="Verdana" w:cs="Arial"/>
          <w:sz w:val="20"/>
          <w:szCs w:val="20"/>
          <w:lang w:val="es-ES" w:eastAsia="es-CO"/>
        </w:rPr>
      </w:pPr>
      <w:r w:rsidRPr="00F74645">
        <w:rPr>
          <w:rFonts w:ascii="Verdana" w:eastAsia="MS Mincho" w:hAnsi="Verdana" w:cs="Arial"/>
          <w:sz w:val="20"/>
          <w:szCs w:val="20"/>
          <w:lang w:val="es-ES" w:eastAsia="es-CO"/>
        </w:rPr>
        <w:t>Así, por ejemplo, al establecer la Ley 80 que el contrato de fiducia pública no comporta la transferencia de dominio ni la constitución de un patrimonio autónomo, entonces no le serán aplicables las normas correspondientes contenidas en el Código de Comercio, sin que ello signifique que se altera la naturaleza del contrato de fiducia mercantil. En otras palabras, esta Corporación encuentra que, en la actualidad, las entidades estatales podrán celebrar el contrato de fiducia pública en los términos del numeral 5o. del artículo 32, o el contrato de fiducia mercantil de acuerdo con lo dispuesto en el Código de Comercio y en las normas generales de contratación administrativa previstas en la citada Ley 80 de 1993”.</w:t>
      </w:r>
    </w:p>
    <w:p w14:paraId="433C6D32" w14:textId="77777777" w:rsidR="00F74645" w:rsidRPr="00F74645" w:rsidRDefault="00F74645" w:rsidP="00F74645">
      <w:pPr>
        <w:tabs>
          <w:tab w:val="left" w:pos="426"/>
        </w:tabs>
        <w:spacing w:after="0" w:line="276" w:lineRule="auto"/>
        <w:jc w:val="both"/>
        <w:rPr>
          <w:rFonts w:ascii="Verdana" w:eastAsia="Arial" w:hAnsi="Verdana" w:cs="Arial"/>
          <w:lang w:val="es-ES" w:eastAsia="es-ES" w:bidi="es-ES"/>
        </w:rPr>
      </w:pPr>
    </w:p>
    <w:p w14:paraId="0035F940" w14:textId="77777777" w:rsidR="00F74645" w:rsidRPr="00F74645" w:rsidRDefault="00F74645" w:rsidP="00F74645">
      <w:pPr>
        <w:spacing w:after="120" w:line="276" w:lineRule="auto"/>
        <w:ind w:firstLine="708"/>
        <w:jc w:val="both"/>
        <w:rPr>
          <w:rFonts w:ascii="Verdana" w:eastAsia="MS Mincho" w:hAnsi="Verdana" w:cs="Arial"/>
          <w:lang w:val="es-ES" w:eastAsia="es-CO"/>
        </w:rPr>
      </w:pPr>
      <w:r w:rsidRPr="00F74645">
        <w:rPr>
          <w:rFonts w:ascii="Verdana" w:eastAsia="MS Mincho" w:hAnsi="Verdana" w:cs="Arial"/>
          <w:lang w:val="es-ES" w:eastAsia="es-CO"/>
        </w:rPr>
        <w:t>Según lo anterior, en virtud del numeral 5 del artículo 32 de la Ley 80 de 1993, las normas establecidas en el Código de Comercio sobre la fiducia mercantil serán aplicables a la fiducia pública siempre que sean compatibles con lo dispuesto en ese Estatuto. En este sentido, la Sala de Consulta y Servicio Civil del Consejo de Estado señala que se deberán aplicar las normas de los artículos 1226 a 1244 del Código de Comercio a las fiducias públicas con las siguientes salvedades</w:t>
      </w:r>
      <w:r w:rsidRPr="00F74645">
        <w:rPr>
          <w:rFonts w:ascii="Verdana" w:eastAsia="MS Mincho" w:hAnsi="Verdana" w:cs="Arial"/>
          <w:vertAlign w:val="superscript"/>
          <w:lang w:val="es-ES" w:eastAsia="es-CO"/>
        </w:rPr>
        <w:footnoteReference w:id="6"/>
      </w:r>
      <w:r w:rsidRPr="00F74645">
        <w:rPr>
          <w:rFonts w:ascii="Verdana" w:eastAsia="MS Mincho" w:hAnsi="Verdana" w:cs="Arial"/>
          <w:lang w:val="es-ES" w:eastAsia="es-CO"/>
        </w:rPr>
        <w:t>:</w:t>
      </w:r>
    </w:p>
    <w:p w14:paraId="31A7B6CF" w14:textId="77777777" w:rsidR="00F74645" w:rsidRPr="00F74645" w:rsidRDefault="00F74645" w:rsidP="00F74645">
      <w:pPr>
        <w:numPr>
          <w:ilvl w:val="0"/>
          <w:numId w:val="19"/>
        </w:numPr>
        <w:spacing w:after="120" w:line="276" w:lineRule="auto"/>
        <w:ind w:hanging="229"/>
        <w:contextualSpacing/>
        <w:jc w:val="both"/>
        <w:rPr>
          <w:rFonts w:ascii="Verdana" w:eastAsia="MS Mincho" w:hAnsi="Verdana" w:cs="Arial"/>
          <w:lang w:val="es-ES" w:eastAsia="es-CO"/>
        </w:rPr>
      </w:pPr>
      <w:r w:rsidRPr="00F74645">
        <w:rPr>
          <w:rFonts w:ascii="Verdana" w:eastAsia="MS Mincho" w:hAnsi="Verdana" w:cs="Arial"/>
          <w:lang w:val="es-ES" w:eastAsia="es-CO"/>
        </w:rPr>
        <w:t>La fiducia pública no implica en ningún caso la transferencia de la propiedad de los bienes o recursos fideicomitidos. </w:t>
      </w:r>
    </w:p>
    <w:p w14:paraId="0A1D03A3" w14:textId="77777777" w:rsidR="00F74645" w:rsidRPr="00F74645" w:rsidRDefault="00F74645" w:rsidP="00F74645">
      <w:pPr>
        <w:numPr>
          <w:ilvl w:val="0"/>
          <w:numId w:val="19"/>
        </w:numPr>
        <w:spacing w:after="120" w:line="276" w:lineRule="auto"/>
        <w:ind w:hanging="229"/>
        <w:contextualSpacing/>
        <w:jc w:val="both"/>
        <w:rPr>
          <w:rFonts w:ascii="Verdana" w:eastAsia="MS Mincho" w:hAnsi="Verdana" w:cs="Arial"/>
          <w:lang w:val="es-ES" w:eastAsia="es-CO"/>
        </w:rPr>
      </w:pPr>
      <w:r w:rsidRPr="00F74645">
        <w:rPr>
          <w:rFonts w:ascii="Verdana" w:eastAsia="MS Mincho" w:hAnsi="Verdana" w:cs="Arial"/>
          <w:lang w:val="es-ES" w:eastAsia="es-CO"/>
        </w:rPr>
        <w:t>Tampoco constituye un patrimonio autónomo afecto a la finalidad de la fiducia, en manos de la sociedad fiduciaria. </w:t>
      </w:r>
    </w:p>
    <w:p w14:paraId="16213D50" w14:textId="77777777" w:rsidR="00F74645" w:rsidRPr="00F74645" w:rsidRDefault="00F74645" w:rsidP="00F74645">
      <w:pPr>
        <w:numPr>
          <w:ilvl w:val="0"/>
          <w:numId w:val="19"/>
        </w:numPr>
        <w:spacing w:after="120" w:line="276" w:lineRule="auto"/>
        <w:ind w:left="1134" w:hanging="371"/>
        <w:contextualSpacing/>
        <w:jc w:val="both"/>
        <w:rPr>
          <w:rFonts w:ascii="Verdana" w:eastAsia="MS Mincho" w:hAnsi="Verdana" w:cs="Arial"/>
          <w:lang w:val="es-ES" w:eastAsia="es-CO"/>
        </w:rPr>
      </w:pPr>
      <w:r w:rsidRPr="00F74645">
        <w:rPr>
          <w:rFonts w:ascii="Verdana" w:eastAsia="MS Mincho" w:hAnsi="Verdana" w:cs="Arial"/>
          <w:lang w:val="es-ES" w:eastAsia="es-CO"/>
        </w:rPr>
        <w:t>La adjudicación de los subcontratos debe ser realizada por la entidad estatal fideicomitente.</w:t>
      </w:r>
    </w:p>
    <w:p w14:paraId="1439E947" w14:textId="77777777" w:rsidR="00F74645" w:rsidRPr="00F74645" w:rsidRDefault="00F74645" w:rsidP="00F74645">
      <w:pPr>
        <w:numPr>
          <w:ilvl w:val="0"/>
          <w:numId w:val="19"/>
        </w:numPr>
        <w:spacing w:after="120" w:line="276" w:lineRule="auto"/>
        <w:ind w:hanging="371"/>
        <w:contextualSpacing/>
        <w:jc w:val="both"/>
        <w:rPr>
          <w:rFonts w:ascii="Verdana" w:eastAsia="MS Mincho" w:hAnsi="Verdana" w:cs="Arial"/>
          <w:lang w:val="es-ES" w:eastAsia="es-CO"/>
        </w:rPr>
      </w:pPr>
      <w:r w:rsidRPr="00F74645">
        <w:rPr>
          <w:rFonts w:ascii="Verdana" w:eastAsia="MS Mincho" w:hAnsi="Verdana" w:cs="Arial"/>
          <w:lang w:val="es-ES" w:eastAsia="es-CO"/>
        </w:rPr>
        <w:t xml:space="preserve">No se puede pactar que la comisión de la sociedad fiduciaria sea tomada de los rendimientos del fideicomiso, salvo que éstos se encuentren presupuestados. </w:t>
      </w:r>
    </w:p>
    <w:p w14:paraId="0CB6F9A6" w14:textId="77777777" w:rsidR="00F74645" w:rsidRPr="00F74645" w:rsidRDefault="00F74645" w:rsidP="00F74645">
      <w:pPr>
        <w:numPr>
          <w:ilvl w:val="0"/>
          <w:numId w:val="19"/>
        </w:numPr>
        <w:spacing w:after="120" w:line="276" w:lineRule="auto"/>
        <w:ind w:hanging="371"/>
        <w:contextualSpacing/>
        <w:jc w:val="both"/>
        <w:rPr>
          <w:rFonts w:ascii="Verdana" w:eastAsia="MS Mincho" w:hAnsi="Verdana" w:cs="Arial"/>
          <w:lang w:val="es-ES" w:eastAsia="es-CO"/>
        </w:rPr>
      </w:pPr>
      <w:r w:rsidRPr="00F74645">
        <w:rPr>
          <w:rFonts w:ascii="Verdana" w:eastAsia="MS Mincho" w:hAnsi="Verdana" w:cs="Arial"/>
          <w:lang w:val="es-ES" w:eastAsia="es-CO"/>
        </w:rPr>
        <w:t>El procedimiento de contratación de cualquiera de los negocios fiduciarios señalados en el artículo 32, es decir, el encargo fiduciario y la fiducia pública, por parte de las entidades estatales, debe ser la licitación pública o el concurso establecido en el parágrafo del artículo 30 de la Ley 80 de 1993.</w:t>
      </w:r>
    </w:p>
    <w:p w14:paraId="62941943" w14:textId="77777777" w:rsidR="00F74645" w:rsidRPr="00F74645" w:rsidRDefault="00F74645" w:rsidP="00F74645">
      <w:pPr>
        <w:spacing w:after="120" w:line="276" w:lineRule="auto"/>
        <w:ind w:firstLine="357"/>
        <w:jc w:val="both"/>
        <w:rPr>
          <w:rFonts w:ascii="Verdana" w:eastAsia="MS Mincho" w:hAnsi="Verdana" w:cs="Arial"/>
          <w:lang w:val="es-ES" w:eastAsia="es-CO"/>
        </w:rPr>
      </w:pPr>
    </w:p>
    <w:p w14:paraId="669A15E0" w14:textId="77777777" w:rsidR="00F74645" w:rsidRPr="00F74645" w:rsidRDefault="00F74645" w:rsidP="00F74645">
      <w:pPr>
        <w:spacing w:after="120" w:line="276" w:lineRule="auto"/>
        <w:ind w:firstLine="708"/>
        <w:jc w:val="both"/>
        <w:rPr>
          <w:rFonts w:ascii="Verdana" w:eastAsia="MS Mincho" w:hAnsi="Verdana" w:cs="Arial"/>
          <w:lang w:val="es-ES" w:eastAsia="es-CO"/>
        </w:rPr>
      </w:pPr>
      <w:r w:rsidRPr="00F74645">
        <w:rPr>
          <w:rFonts w:ascii="Verdana" w:eastAsia="MS Mincho" w:hAnsi="Verdana" w:cs="Arial"/>
          <w:lang w:eastAsia="es-CO"/>
        </w:rPr>
        <w:lastRenderedPageBreak/>
        <w:t>Lo anterior debe entenderse armonizado con el régimen de selección vigente, pues el concurso a que se refería el parágrafo del artículo 30 de la Ley 80 de 1993 fue sustituido por las modalidades de selección previstas en el artículo 2 de la Ley 1150 de 2007; por tanto, la escogencia de la sociedad fiduciaria se adelantará según la cuantía y el objeto del respectivo negocio, sin perjuicio de la inversión directa de los excedentes de tesorería en fondos comunes ordinarios autorizada por el mismo numeral 5 del artículo 32.</w:t>
      </w:r>
    </w:p>
    <w:p w14:paraId="404619DA" w14:textId="77777777" w:rsidR="00F74645" w:rsidRPr="00F74645" w:rsidRDefault="00F74645" w:rsidP="00F74645">
      <w:pPr>
        <w:spacing w:after="120" w:line="276" w:lineRule="auto"/>
        <w:ind w:firstLine="357"/>
        <w:jc w:val="both"/>
        <w:rPr>
          <w:rFonts w:ascii="Verdana" w:eastAsia="MS Mincho" w:hAnsi="Verdana" w:cs="Arial"/>
          <w:lang w:val="es-ES" w:eastAsia="es-CO"/>
        </w:rPr>
      </w:pPr>
      <w:r w:rsidRPr="00F74645">
        <w:rPr>
          <w:rFonts w:ascii="Verdana" w:eastAsia="MS Mincho" w:hAnsi="Verdana" w:cs="Arial"/>
          <w:lang w:val="es-ES" w:eastAsia="es-CO"/>
        </w:rPr>
        <w:t>Adicionalmente la Corte</w:t>
      </w:r>
      <w:r w:rsidRPr="00F74645">
        <w:rPr>
          <w:rFonts w:ascii="Verdana" w:eastAsia="MS Mincho" w:hAnsi="Verdana" w:cs="Arial"/>
          <w:vertAlign w:val="superscript"/>
          <w:lang w:val="es-ES" w:eastAsia="es-CO"/>
        </w:rPr>
        <w:footnoteReference w:id="7"/>
      </w:r>
      <w:r w:rsidRPr="00F74645">
        <w:rPr>
          <w:rFonts w:ascii="Verdana" w:eastAsia="MS Mincho" w:hAnsi="Verdana" w:cs="Arial"/>
          <w:lang w:val="es-ES" w:eastAsia="es-CO"/>
        </w:rPr>
        <w:t xml:space="preserve"> se refirió a las diferencias existentes entre la fiducia mercantil y la fiducia pública, además de que</w:t>
      </w:r>
      <w:r w:rsidRPr="00F74645">
        <w:rPr>
          <w:rFonts w:ascii="Verdana" w:eastAsia="MS Mincho" w:hAnsi="Verdana" w:cs="Arial"/>
          <w:b/>
          <w:bCs/>
          <w:lang w:val="es-ES" w:eastAsia="es-CO"/>
        </w:rPr>
        <w:t xml:space="preserve"> </w:t>
      </w:r>
      <w:r w:rsidRPr="00F74645">
        <w:rPr>
          <w:rFonts w:ascii="Verdana" w:eastAsia="MS Mincho" w:hAnsi="Verdana" w:cs="Arial"/>
          <w:lang w:val="es-ES" w:eastAsia="es-CO"/>
        </w:rPr>
        <w:t>el contrato de fiducia pública no permite la transferencia del dominio de los bienes, ni se constituye un patrimonio autónomo diferente al propio, las entidades no pueden delegar en sociedades fiduciarias la adjudicación de contratos que resulten necesarios para el desarrollo de la fiducia pública. En segundo lugar, los contratos de fiducia pública deben tener un objeto y plazo determinados. Finalmente, la Contraloría General de la República, así como las contralorías departamentales, distritales y municipales, deben ejercer control sobre las actuaciones de la fiduciaria en relación con la ejecución de recursos públicos, además de la vigilancia que ejerza la Superintendencia Financiera sobre las sociedades fiduciarias.</w:t>
      </w:r>
    </w:p>
    <w:p w14:paraId="5C5A941D" w14:textId="77777777" w:rsidR="00F74645" w:rsidRPr="00F74645" w:rsidRDefault="00F74645" w:rsidP="00F74645">
      <w:pPr>
        <w:spacing w:after="12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 xml:space="preserve">Por otra parte, es necesario subrayar que el numeral 5 del artículo 32 de la Ley 80 de 1993 señaló que las entidades estatales pueden celebrar no solo contratos de fiducia pública, sino también </w:t>
      </w:r>
      <w:r w:rsidRPr="00F74645">
        <w:rPr>
          <w:rFonts w:ascii="Verdana" w:eastAsia="MS Mincho" w:hAnsi="Verdana" w:cs="Arial"/>
          <w:i/>
          <w:iCs/>
          <w:lang w:val="es-ES" w:eastAsia="es-CO"/>
        </w:rPr>
        <w:t>encargos fiduciarios</w:t>
      </w:r>
      <w:r w:rsidRPr="00F74645">
        <w:rPr>
          <w:rFonts w:ascii="Verdana" w:eastAsia="MS Mincho" w:hAnsi="Verdana" w:cs="Arial"/>
          <w:lang w:val="es-ES" w:eastAsia="es-CO"/>
        </w:rPr>
        <w:t xml:space="preserve">. Al respecto, la Corte Constitucional ha señalado que la fiducia pública es parecida a un </w:t>
      </w:r>
      <w:r w:rsidRPr="00F74645">
        <w:rPr>
          <w:rFonts w:ascii="Verdana" w:eastAsia="MS Mincho" w:hAnsi="Verdana" w:cs="Arial"/>
          <w:i/>
          <w:iCs/>
          <w:lang w:val="es-ES" w:eastAsia="es-CO"/>
        </w:rPr>
        <w:t>encargo fiduciario</w:t>
      </w:r>
      <w:r w:rsidRPr="00F74645">
        <w:rPr>
          <w:rFonts w:ascii="Verdana" w:eastAsia="MS Mincho" w:hAnsi="Verdana" w:cs="Arial"/>
          <w:lang w:val="es-ES" w:eastAsia="es-CO"/>
        </w:rPr>
        <w:t xml:space="preserve"> debido a que no existe un traspaso de la propiedad de los bienes. No obstante, ambas figuras son distintas. </w:t>
      </w:r>
    </w:p>
    <w:p w14:paraId="19F10729" w14:textId="77777777" w:rsidR="00F74645" w:rsidRPr="00F74645" w:rsidRDefault="00F74645" w:rsidP="00F74645">
      <w:pPr>
        <w:spacing w:after="12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Sobre la distinción, el Consejo de Estado ha resaltado que la fiducia pública es un contrato nuevo y autónomo, y que el inciso primero del numeral 5 del artículo 32 de la Ley 80 de 1993 limita el objeto del encargo fiduciario que se realice en este contexto a la administración o el manejo de los recursos vinculados a los contratos que tales entidades celebren, sin perjuicio de lo previsto en el numeral 20 del artículo </w:t>
      </w:r>
      <w:hyperlink r:id="rId13" w:anchor="25" w:history="1">
        <w:r w:rsidRPr="00F74645">
          <w:rPr>
            <w:rFonts w:ascii="Verdana" w:eastAsia="MS Mincho" w:hAnsi="Verdana" w:cs="Arial"/>
            <w:lang w:val="es-ES" w:eastAsia="es-CO"/>
          </w:rPr>
          <w:t>25</w:t>
        </w:r>
      </w:hyperlink>
      <w:r w:rsidRPr="00F74645">
        <w:rPr>
          <w:rFonts w:ascii="Verdana" w:eastAsia="MS Mincho" w:hAnsi="Verdana" w:cs="Arial"/>
          <w:lang w:val="es-ES" w:eastAsia="es-CO"/>
        </w:rPr>
        <w:t xml:space="preserve"> de dicha ley. Así lo consideró al señalar lo siguiente: </w:t>
      </w:r>
    </w:p>
    <w:p w14:paraId="4EAC7594"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r w:rsidRPr="00F74645">
        <w:rPr>
          <w:rFonts w:ascii="Verdana" w:eastAsia="Calibri" w:hAnsi="Verdana" w:cs="Arial"/>
          <w:sz w:val="20"/>
          <w:szCs w:val="20"/>
          <w:lang w:val="es-ES"/>
        </w:rPr>
        <w:t xml:space="preserve">“Una interpretación armónica de las normas de la ley 80 sobre el tema, conduce a establecer dos modalidades de negocio fiduciario que pueden contratar las entidades estatales, a saber: </w:t>
      </w:r>
    </w:p>
    <w:p w14:paraId="492785C2"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p>
    <w:p w14:paraId="0C4338E6"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r w:rsidRPr="00F74645">
        <w:rPr>
          <w:rFonts w:ascii="Verdana" w:eastAsia="Calibri" w:hAnsi="Verdana" w:cs="Arial"/>
          <w:sz w:val="20"/>
          <w:szCs w:val="20"/>
          <w:lang w:val="es-ES"/>
        </w:rPr>
        <w:t xml:space="preserve">Los </w:t>
      </w:r>
      <w:r w:rsidRPr="00F74645">
        <w:rPr>
          <w:rFonts w:ascii="Verdana" w:eastAsia="Calibri" w:hAnsi="Verdana" w:cs="Arial"/>
          <w:i/>
          <w:iCs/>
          <w:sz w:val="20"/>
          <w:szCs w:val="20"/>
          <w:lang w:val="es-ES"/>
        </w:rPr>
        <w:t>encargos fiduciarios</w:t>
      </w:r>
      <w:r w:rsidRPr="00F74645">
        <w:rPr>
          <w:rFonts w:ascii="Verdana" w:eastAsia="Calibri" w:hAnsi="Verdana" w:cs="Arial"/>
          <w:sz w:val="20"/>
          <w:szCs w:val="20"/>
          <w:lang w:val="es-ES"/>
        </w:rPr>
        <w:t xml:space="preserve">, figura en la cual no hay transferencia de la propiedad de los bienes fideicomitidos. La ley 80 de 1993 la autoriza </w:t>
      </w:r>
      <w:r w:rsidRPr="00F74645">
        <w:rPr>
          <w:rFonts w:ascii="Verdana" w:eastAsia="Calibri" w:hAnsi="Verdana" w:cs="Arial"/>
          <w:i/>
          <w:iCs/>
          <w:sz w:val="20"/>
          <w:szCs w:val="20"/>
          <w:lang w:val="es-ES"/>
        </w:rPr>
        <w:t>solamente para administrar o manejar los recursos vinculados a contratos que las entidades estatales celebren</w:t>
      </w:r>
      <w:r w:rsidRPr="00F74645">
        <w:rPr>
          <w:rFonts w:ascii="Verdana" w:eastAsia="Calibri" w:hAnsi="Verdana" w:cs="Arial"/>
          <w:sz w:val="20"/>
          <w:szCs w:val="20"/>
          <w:lang w:val="es-ES"/>
        </w:rPr>
        <w:t xml:space="preserve"> (art. 32-5º inc. 3º), lo cual se encuentra en consonancia con la disposición según la cual los pagos correspondientes a los contratos celebrados por las entidades para la prestación de los servicios de salud, se pueden hacer mediante encargos fiduciarios (art. 24-1º letra l ) y con aquella que establece que los fondos destinados a la cancelación de obligaciones derivadas de contratos estatales pueden ser entregados en administración fiduciaria (art. 25-20). </w:t>
      </w:r>
    </w:p>
    <w:p w14:paraId="09EA85BB"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p>
    <w:p w14:paraId="051916ED"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r w:rsidRPr="00F74645">
        <w:rPr>
          <w:rFonts w:ascii="Verdana" w:eastAsia="Calibri" w:hAnsi="Verdana" w:cs="Arial"/>
          <w:sz w:val="20"/>
          <w:szCs w:val="20"/>
          <w:lang w:val="es-ES"/>
        </w:rPr>
        <w:t xml:space="preserve">La </w:t>
      </w:r>
      <w:r w:rsidRPr="00F74645">
        <w:rPr>
          <w:rFonts w:ascii="Verdana" w:eastAsia="Calibri" w:hAnsi="Verdana" w:cs="Arial"/>
          <w:i/>
          <w:iCs/>
          <w:sz w:val="20"/>
          <w:szCs w:val="20"/>
          <w:lang w:val="es-ES"/>
        </w:rPr>
        <w:t>fiducia pública</w:t>
      </w:r>
      <w:r w:rsidRPr="00F74645">
        <w:rPr>
          <w:rFonts w:ascii="Verdana" w:eastAsia="Calibri" w:hAnsi="Verdana" w:cs="Arial"/>
          <w:sz w:val="20"/>
          <w:szCs w:val="20"/>
          <w:lang w:val="es-ES"/>
        </w:rPr>
        <w:t>, la cual constituye una nueva figura jurídica, creada por la ley 80 de 1993, y que si bien porta el nombre de fiducia se diferencia en varios elementos esenciales de la tradicional fiducia mercantil”</w:t>
      </w:r>
      <w:r w:rsidRPr="00F74645">
        <w:rPr>
          <w:rFonts w:ascii="Verdana" w:eastAsia="Calibri" w:hAnsi="Verdana" w:cs="Arial"/>
          <w:sz w:val="20"/>
          <w:szCs w:val="20"/>
          <w:vertAlign w:val="superscript"/>
          <w:lang w:val="es-ES"/>
        </w:rPr>
        <w:footnoteReference w:id="8"/>
      </w:r>
      <w:r w:rsidRPr="00F74645">
        <w:rPr>
          <w:rFonts w:ascii="Verdana" w:eastAsia="Calibri" w:hAnsi="Verdana" w:cs="Arial"/>
          <w:sz w:val="20"/>
          <w:szCs w:val="20"/>
          <w:lang w:val="es-ES"/>
        </w:rPr>
        <w:t>. (Cursiva fuera del original)</w:t>
      </w:r>
    </w:p>
    <w:p w14:paraId="2E913A38" w14:textId="77777777" w:rsidR="00F74645" w:rsidRPr="00F74645" w:rsidRDefault="00F74645" w:rsidP="00F74645">
      <w:pPr>
        <w:spacing w:after="120" w:line="240" w:lineRule="auto"/>
        <w:ind w:left="709" w:right="709" w:firstLine="709"/>
        <w:jc w:val="both"/>
        <w:rPr>
          <w:rFonts w:ascii="Verdana" w:eastAsia="MS Mincho" w:hAnsi="Verdana" w:cs="Arial"/>
          <w:sz w:val="21"/>
          <w:szCs w:val="21"/>
          <w:lang w:val="es-ES" w:eastAsia="es-CO"/>
        </w:rPr>
      </w:pPr>
    </w:p>
    <w:p w14:paraId="1473520F" w14:textId="77777777" w:rsidR="00F74645" w:rsidRPr="00F74645" w:rsidRDefault="00F74645" w:rsidP="00F74645">
      <w:pPr>
        <w:spacing w:after="120" w:line="276" w:lineRule="auto"/>
        <w:ind w:firstLine="708"/>
        <w:jc w:val="both"/>
        <w:rPr>
          <w:rFonts w:ascii="Verdana" w:eastAsia="MS Mincho" w:hAnsi="Verdana" w:cs="Arial"/>
          <w:lang w:val="es-ES" w:eastAsia="es-CO"/>
        </w:rPr>
      </w:pPr>
      <w:r w:rsidRPr="00F74645">
        <w:rPr>
          <w:rFonts w:ascii="Verdana" w:eastAsia="MS Mincho" w:hAnsi="Verdana" w:cs="Arial"/>
          <w:lang w:val="es-ES" w:eastAsia="es-CO"/>
        </w:rPr>
        <w:t xml:space="preserve">De esta manera, las entidades estatales pueden suscribir contratos de </w:t>
      </w:r>
      <w:r w:rsidRPr="00F74645">
        <w:rPr>
          <w:rFonts w:ascii="Verdana" w:eastAsia="MS Mincho" w:hAnsi="Verdana" w:cs="Arial"/>
          <w:i/>
          <w:iCs/>
          <w:lang w:val="es-ES" w:eastAsia="es-CO"/>
        </w:rPr>
        <w:t>fiducia pública</w:t>
      </w:r>
      <w:r w:rsidRPr="00F74645">
        <w:rPr>
          <w:rFonts w:ascii="Verdana" w:eastAsia="MS Mincho" w:hAnsi="Verdana" w:cs="Arial"/>
          <w:lang w:val="es-ES" w:eastAsia="es-CO"/>
        </w:rPr>
        <w:t xml:space="preserve"> y </w:t>
      </w:r>
      <w:r w:rsidRPr="00F74645">
        <w:rPr>
          <w:rFonts w:ascii="Verdana" w:eastAsia="MS Mincho" w:hAnsi="Verdana" w:cs="Arial"/>
          <w:i/>
          <w:iCs/>
          <w:lang w:val="es-ES" w:eastAsia="es-CO"/>
        </w:rPr>
        <w:t>encargos fiduciarios</w:t>
      </w:r>
      <w:r w:rsidRPr="00F74645">
        <w:rPr>
          <w:rFonts w:ascii="Verdana" w:eastAsia="MS Mincho" w:hAnsi="Verdana" w:cs="Arial"/>
          <w:lang w:val="es-ES" w:eastAsia="es-CO"/>
        </w:rPr>
        <w:t xml:space="preserve">, teniendo en cuenta que estos últimos se limitan a </w:t>
      </w:r>
      <w:r w:rsidRPr="00F74645">
        <w:rPr>
          <w:rFonts w:ascii="Verdana" w:eastAsia="Calibri" w:hAnsi="Verdana" w:cs="Arial"/>
          <w:lang w:val="es-ES"/>
        </w:rPr>
        <w:t>la administración o el manejo de los recursos vinculados a los contratos que tales entidades celebren</w:t>
      </w:r>
      <w:r w:rsidRPr="00F74645">
        <w:rPr>
          <w:rFonts w:ascii="Verdana" w:eastAsia="MS Mincho" w:hAnsi="Verdana" w:cs="Arial"/>
          <w:lang w:val="es-ES" w:eastAsia="es-CO"/>
        </w:rPr>
        <w:t xml:space="preserve">, así como a los pagos correspondientes a los contratos celebrados por las entidades para la prestación de los servicios de salud y para los fondos destinados a la cancelación de obligaciones derivadas de contratos estatales, los cuales pueden ser entregados en administración fiduciaria. </w:t>
      </w:r>
    </w:p>
    <w:p w14:paraId="271FC984" w14:textId="77777777" w:rsidR="00F74645" w:rsidRPr="00F74645" w:rsidRDefault="00F74645" w:rsidP="00F74645">
      <w:pPr>
        <w:spacing w:after="120" w:line="276" w:lineRule="auto"/>
        <w:ind w:firstLine="708"/>
        <w:jc w:val="both"/>
        <w:rPr>
          <w:rFonts w:ascii="Verdana" w:eastAsia="MS Mincho" w:hAnsi="Verdana" w:cs="Arial"/>
          <w:lang w:val="es-ES" w:eastAsia="es-CO"/>
        </w:rPr>
      </w:pPr>
      <w:r w:rsidRPr="00F74645">
        <w:rPr>
          <w:rFonts w:ascii="Verdana" w:eastAsia="MS Mincho" w:hAnsi="Verdana" w:cs="Arial"/>
          <w:lang w:val="es-ES" w:eastAsia="es-CO"/>
        </w:rPr>
        <w:t>Ahora bien,</w:t>
      </w:r>
      <w:r w:rsidRPr="00F74645">
        <w:rPr>
          <w:rFonts w:ascii="Arial" w:hAnsi="Arial" w:cs="Arial"/>
          <w:color w:val="000000"/>
          <w:shd w:val="clear" w:color="auto" w:fill="FFFFFF"/>
          <w:lang w:val="es-ES"/>
        </w:rPr>
        <w:t xml:space="preserve"> </w:t>
      </w:r>
      <w:r w:rsidRPr="00F74645">
        <w:rPr>
          <w:rFonts w:ascii="Verdana" w:hAnsi="Verdana" w:cs="Arial"/>
          <w:color w:val="000000"/>
          <w:shd w:val="clear" w:color="auto" w:fill="FFFFFF"/>
          <w:lang w:val="es-ES"/>
        </w:rPr>
        <w:t>la autorización d</w:t>
      </w:r>
      <w:r w:rsidRPr="00F74645">
        <w:rPr>
          <w:rFonts w:ascii="Verdana" w:eastAsia="MS Mincho" w:hAnsi="Verdana" w:cs="Arial"/>
          <w:lang w:val="es-ES" w:eastAsia="es-CO"/>
        </w:rPr>
        <w:t xml:space="preserve">el numeral 5 del artículo 32 de la Ley 80 de 1993 para celebrar encargos fiduciarios y contratos de fiducia pública, tiene como límite que las entidades no pueden transferir el dominio sobre los bienes o recursos estatales, </w:t>
      </w:r>
      <w:r w:rsidRPr="00F74645">
        <w:rPr>
          <w:rFonts w:ascii="Verdana" w:eastAsia="MS Mincho" w:hAnsi="Verdana" w:cs="Arial"/>
          <w:i/>
          <w:iCs/>
          <w:lang w:val="es-ES" w:eastAsia="es-CO"/>
        </w:rPr>
        <w:t>ni constituir patrimonios autónomos</w:t>
      </w:r>
      <w:r w:rsidRPr="00F74645">
        <w:rPr>
          <w:rFonts w:ascii="Verdana" w:eastAsia="MS Mincho" w:hAnsi="Verdana" w:cs="Arial"/>
          <w:lang w:val="es-ES" w:eastAsia="es-CO"/>
        </w:rPr>
        <w:t>. La Sala de Consulta y Servicio Civil del Consejo de Estado, en concepto del 4 de marzo de 1998</w:t>
      </w:r>
      <w:r w:rsidRPr="00F74645">
        <w:rPr>
          <w:rFonts w:ascii="Verdana" w:eastAsia="MS Mincho" w:hAnsi="Verdana" w:cs="Arial"/>
          <w:vertAlign w:val="superscript"/>
          <w:lang w:val="es-ES" w:eastAsia="es-CO"/>
        </w:rPr>
        <w:footnoteReference w:id="9"/>
      </w:r>
      <w:r w:rsidRPr="00F74645">
        <w:rPr>
          <w:rFonts w:ascii="Verdana" w:eastAsia="MS Mincho" w:hAnsi="Verdana" w:cs="Arial"/>
          <w:lang w:val="es-ES" w:eastAsia="es-CO"/>
        </w:rPr>
        <w:t xml:space="preserve">, consideró que la Ley 80 de 1993 tiene como objetivo restringir los negocios fiduciarios que pueden celebrar las Entidades Estatales. Por ello, señaló que la constitución de patrimonios autónomos por parte de entidades estatales solamente debe darse </w:t>
      </w:r>
      <w:r w:rsidRPr="00F74645">
        <w:rPr>
          <w:rFonts w:ascii="Verdana" w:eastAsia="MS Mincho" w:hAnsi="Verdana" w:cs="Arial"/>
          <w:i/>
          <w:iCs/>
          <w:lang w:val="es-ES" w:eastAsia="es-CO"/>
        </w:rPr>
        <w:t>en virtud de una autorización legal</w:t>
      </w:r>
      <w:r w:rsidRPr="00F74645">
        <w:rPr>
          <w:rFonts w:ascii="Verdana" w:eastAsia="MS Mincho" w:hAnsi="Verdana" w:cs="Arial"/>
          <w:lang w:val="es-ES" w:eastAsia="es-CO"/>
        </w:rPr>
        <w:t xml:space="preserve">, como es el caso de </w:t>
      </w:r>
      <w:r w:rsidRPr="00F74645">
        <w:rPr>
          <w:rFonts w:ascii="Verdana" w:eastAsia="MS Mincho" w:hAnsi="Verdana" w:cs="Arial"/>
          <w:lang w:val="es-ES" w:eastAsia="es-CO"/>
        </w:rPr>
        <w:lastRenderedPageBreak/>
        <w:t>los procesos de titularización de activos e inversiones, tal como lo autoriza expresamente el parágrafo 2 del artículo 41 de la Ley 80 de 1993</w:t>
      </w:r>
      <w:r w:rsidRPr="00F74645">
        <w:rPr>
          <w:rFonts w:ascii="Verdana" w:eastAsia="MS Mincho" w:hAnsi="Verdana" w:cs="Arial"/>
          <w:vertAlign w:val="superscript"/>
          <w:lang w:val="es-ES" w:eastAsia="es-CO"/>
        </w:rPr>
        <w:footnoteReference w:id="10"/>
      </w:r>
      <w:r w:rsidRPr="00F74645">
        <w:rPr>
          <w:rFonts w:ascii="Verdana" w:eastAsia="MS Mincho" w:hAnsi="Verdana" w:cs="Arial"/>
          <w:lang w:val="es-ES" w:eastAsia="es-CO"/>
        </w:rPr>
        <w:t>.</w:t>
      </w:r>
    </w:p>
    <w:p w14:paraId="09828C0C" w14:textId="77777777" w:rsidR="00F74645" w:rsidRPr="00F74645" w:rsidRDefault="00F74645" w:rsidP="00F74645">
      <w:pPr>
        <w:spacing w:after="120" w:line="276" w:lineRule="auto"/>
        <w:ind w:firstLine="709"/>
        <w:jc w:val="both"/>
        <w:rPr>
          <w:rFonts w:ascii="Verdana" w:eastAsia="MS Mincho" w:hAnsi="Verdana" w:cs="Arial"/>
          <w:lang w:val="es-ES" w:eastAsia="es-CO"/>
        </w:rPr>
      </w:pPr>
      <w:r w:rsidRPr="00F74645">
        <w:rPr>
          <w:rFonts w:ascii="Verdana" w:eastAsia="MS Mincho" w:hAnsi="Verdana" w:cs="Arial"/>
          <w:lang w:val="es-ES" w:eastAsia="es-CO"/>
        </w:rPr>
        <w:t>La Agencia Nacional de Contratación Pública – Colombia Compra Eficiente comparte esta posición, y por tanto considera que la constitución de patrimonios autónomos, por parte de Entidades Estatales solo puede darse en virtud de una disposición legal expresa. En este sentido, la Agencia ha manifestado que es posible que una Entidad Estatal celebre un contrato de fiducia mercantil y con él se constituya un patrimonio autónomo, siempre que una norma especial lo autorice. Esta fiducia mercantil será, en cualquier caso, diferente a la fiducia pública definida en el artículo 32 de la Ley 80 de 1993, y se rige por las disposiciones comerciales y civiles pertinentes, salvo en los aspectos particularmente regulados en la Ley 80 de 1993.</w:t>
      </w:r>
    </w:p>
    <w:p w14:paraId="70435996"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MS Mincho" w:hAnsi="Verdana" w:cs="Arial"/>
          <w:lang w:val="es-ES" w:eastAsia="es-CO"/>
        </w:rPr>
        <w:t>A modo de ejemplo, en respuesta a la consulta con radicado No. 4201912000004359 y con radicado de salida No. 2201913000005645 del 8 de agosto de 2019, esta Agencia estudió el artículo 67 de la Ley 1955 de 2019</w:t>
      </w:r>
      <w:r w:rsidRPr="00F74645">
        <w:rPr>
          <w:rFonts w:ascii="Verdana" w:eastAsia="MS Mincho" w:hAnsi="Verdana"/>
          <w:vertAlign w:val="superscript"/>
          <w:lang w:val="es-ES" w:eastAsia="es-CO"/>
        </w:rPr>
        <w:footnoteReference w:id="11"/>
      </w:r>
      <w:r w:rsidRPr="00F74645">
        <w:rPr>
          <w:rFonts w:ascii="Verdana" w:eastAsia="MS Mincho" w:hAnsi="Verdana" w:cs="Arial"/>
          <w:lang w:val="es-ES" w:eastAsia="es-CO"/>
        </w:rPr>
        <w:t xml:space="preserve">, norma que expresamente autoriza celebrar un contrato de fiducia mercantil, pues dispone que los recursos del proyecto Aeropuerto del Café – AEROCAFÉ se ejecutarán a través de un patrimonio autónomo, constituido por la Aeronáutica </w:t>
      </w:r>
      <w:r w:rsidRPr="00F74645">
        <w:rPr>
          <w:rFonts w:ascii="Verdana" w:eastAsia="MS Mincho" w:hAnsi="Verdana" w:cs="Arial"/>
          <w:lang w:val="es-ES" w:eastAsia="es-CO"/>
        </w:rPr>
        <w:lastRenderedPageBreak/>
        <w:t>Civil. En relación con ese caso, afirmó que la constitución y administración del patrimonio autónomo no puede darse en abstracto, sino atendiendo rigurosamente la ley que lo autoriza: “Dado que la ley ha determinado que la Aeronáutica Civil es la encargada de constituir un patrimonio autónomo para administrar los recursos de AEROCAFE, en caso de suscribir un contrato de fiducia mercantil debe circunscribirse estrictamente a lo definido en la Ley”.</w:t>
      </w:r>
      <w:r w:rsidRPr="00F74645">
        <w:rPr>
          <w:rFonts w:ascii="Verdana" w:eastAsiaTheme="minorEastAsia" w:hAnsi="Verdana" w:cs="Arial"/>
          <w:lang w:val="es-ES" w:eastAsia="es-CO"/>
        </w:rPr>
        <w:t xml:space="preserve"> De igual forma, encontró que la misma Ley 1955 de 2019 define el régimen de contratación derivado del patrimonio autónomo para el proyecto AEROCAFE, pues el artículo 67 dispone que “El régimen de contratación y administración de sus recursos se regirá por el derecho privado, con plena observancia de los principios de transparencia, economía, igualdad y publicidad, definidos por la Constitución y la Ley”.</w:t>
      </w:r>
      <w:r w:rsidRPr="00F74645">
        <w:t xml:space="preserve"> </w:t>
      </w:r>
      <w:r w:rsidRPr="00F74645">
        <w:rPr>
          <w:rFonts w:ascii="Verdana" w:eastAsiaTheme="minorEastAsia" w:hAnsi="Verdana" w:cs="Arial"/>
          <w:lang w:eastAsia="es-CO"/>
        </w:rPr>
        <w:t>En la misma línea, la Corte Constitucional, en la Sentencia C-438 de 2017, reconoció que la fiducia mercantil es la institución que permite conformar un patrimonio autónomo afectado a una finalidad específica cuando una norma especial así lo autoriza.</w:t>
      </w:r>
    </w:p>
    <w:p w14:paraId="62D0B64B"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s="Arial"/>
          <w:lang w:val="es-ES" w:eastAsia="es-CO"/>
        </w:rPr>
        <w:t>Por ello, debe destacarse que en caso de que no exista norma que autorice la fiducia mercantil, se está ante un negocio fiduciario, llámese fiducia pública o encargo fiduciario, que debe respetar lo establecido por el numeral 5 del artículo 32 de la Ley 80 de 1993, por lo que nunca implicará la transferencia de dominio sobre los bienes o recursos estatales, ni constituirá un patrimonio autónomo. Adicionalmente, los actos y contratos que se realicen en desarrollo de un contrato de fiducia pública o encargo fiduciario cumplirán estrictamente con las normas previstas en el Estatuto General de Contratación de la Administración Pública, así como con las disposiciones fiscales, presupuestales, de interventoría y de control a las cuales se someta la Entidad Estatal fideicomitente.</w:t>
      </w:r>
    </w:p>
    <w:p w14:paraId="7BEE3D2D"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s="Arial"/>
          <w:lang w:val="es-ES" w:eastAsia="es-CO"/>
        </w:rPr>
        <w:t xml:space="preserve">En suma, las Entidades Estatales pueden entregar el manejo de recursos ya sea por fiducia pública o encargo fiduciario. Sin embargo, el inciso 7 del numeral 5 del artículo 32 de la Ley 80 de 1993 prohíbe que se constituya patrimonio autónomo en virtud de estos negocios fiduciarios. En estos casos, la Entidad Estatal mantiene la propiedad de los recursos y por ello conserva el control sobre ellos. Solo en supuestos excepcionales, en los que exista autorización legal expresa, ciertas Entidades Estatales podrán transferir la propiedad de recursos públicos a un patrimonio autónomo. En cualquier caso, incluso esta transferencia de propiedad debe tener una finalidad específica y la entidad mantiene la obligación de vigilar que se cumplan los fines estatales que motivaron la contratación, conservando el deber de vigilancia sobre el </w:t>
      </w:r>
      <w:r w:rsidRPr="00F74645">
        <w:rPr>
          <w:rFonts w:ascii="Verdana" w:eastAsiaTheme="minorEastAsia" w:hAnsi="Verdana" w:cs="Arial"/>
          <w:lang w:val="es-ES" w:eastAsia="es-CO"/>
        </w:rPr>
        <w:lastRenderedPageBreak/>
        <w:t xml:space="preserve">cumplimiento de dicha finalidad, sin perjuicio del control fiscal que recae sobre tales recursos. </w:t>
      </w:r>
    </w:p>
    <w:p w14:paraId="7DADD0B2"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s="Arial"/>
          <w:lang w:eastAsia="es-CO"/>
        </w:rPr>
        <w:t>Sobre la finalidad de celebración de estos negocios fiduciarios, el Consejo de Estado precisó lo siguiente:</w:t>
      </w:r>
    </w:p>
    <w:p w14:paraId="102C257E"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p>
    <w:p w14:paraId="08A70AC0"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r w:rsidRPr="00F74645">
        <w:rPr>
          <w:rFonts w:ascii="Verdana" w:eastAsia="Calibri" w:hAnsi="Verdana" w:cs="Arial"/>
          <w:sz w:val="20"/>
          <w:szCs w:val="20"/>
          <w:lang w:val="es-ES"/>
        </w:rPr>
        <w:t xml:space="preserve">“Igualmente se tiene presente que el encargo fiduciario, la fiducia mercantil y la fiducia pública prevista en la Ley 80 de 1993 son modalidades del contrato fiduciario que revisten particularidades </w:t>
      </w:r>
      <w:proofErr w:type="gramStart"/>
      <w:r w:rsidRPr="00F74645">
        <w:rPr>
          <w:rFonts w:ascii="Verdana" w:eastAsia="Calibri" w:hAnsi="Verdana" w:cs="Arial"/>
          <w:sz w:val="20"/>
          <w:szCs w:val="20"/>
          <w:lang w:val="es-ES"/>
        </w:rPr>
        <w:t>diferentes</w:t>
      </w:r>
      <w:proofErr w:type="gramEnd"/>
      <w:r w:rsidRPr="00F74645">
        <w:rPr>
          <w:rFonts w:ascii="Verdana" w:eastAsia="Calibri" w:hAnsi="Verdana" w:cs="Arial"/>
          <w:sz w:val="20"/>
          <w:szCs w:val="20"/>
          <w:lang w:val="es-ES"/>
        </w:rPr>
        <w:t xml:space="preserve"> pero gozan de unas características comunes, especialmente aquella que se refiere a la nota esencial exigida por la ley en relación con la identificación de la finalidad o destinación específica para la cual se celebra el negocio fiduciario. Por esta característica, aunada a la de la entrega de bienes para ejecutar el referido fin, se puede observar que la fiducia es un contrato instrumental, un medio de apoyo para tratar de lograr un fin, el cual está categorizado en la legislación como un servicio financiero, aunque -como bien puede observarse- el objeto del contrato no se restringe necesariamente al manejo de dinero o valores y se puede extender a otro tipo de actividades en relación con los bienes materia de la gestión, dentro de la limitante que supone la propia capacidad legal del </w:t>
      </w:r>
      <w:proofErr w:type="spellStart"/>
      <w:r w:rsidRPr="00F74645">
        <w:rPr>
          <w:rFonts w:ascii="Verdana" w:eastAsia="Calibri" w:hAnsi="Verdana" w:cs="Arial"/>
          <w:sz w:val="20"/>
          <w:szCs w:val="20"/>
          <w:lang w:val="es-ES"/>
        </w:rPr>
        <w:t>encargante</w:t>
      </w:r>
      <w:proofErr w:type="spellEnd"/>
      <w:r w:rsidRPr="00F74645">
        <w:rPr>
          <w:rFonts w:ascii="Verdana" w:eastAsia="Calibri" w:hAnsi="Verdana" w:cs="Arial"/>
          <w:sz w:val="20"/>
          <w:szCs w:val="20"/>
          <w:lang w:val="es-ES"/>
        </w:rPr>
        <w:t xml:space="preserve"> o fideicomitente</w:t>
      </w:r>
      <w:r w:rsidRPr="00F74645">
        <w:rPr>
          <w:rFonts w:ascii="Verdana" w:eastAsia="Calibri" w:hAnsi="Verdana" w:cs="Arial"/>
          <w:sz w:val="20"/>
          <w:szCs w:val="20"/>
          <w:vertAlign w:val="superscript"/>
          <w:lang w:val="es-ES"/>
        </w:rPr>
        <w:footnoteReference w:id="12"/>
      </w:r>
      <w:r w:rsidRPr="00F74645">
        <w:rPr>
          <w:rFonts w:ascii="Verdana" w:eastAsia="Calibri" w:hAnsi="Verdana" w:cs="Arial"/>
          <w:sz w:val="20"/>
          <w:szCs w:val="20"/>
          <w:lang w:val="es-ES"/>
        </w:rPr>
        <w:t>”.</w:t>
      </w:r>
    </w:p>
    <w:p w14:paraId="0B540F2A" w14:textId="77777777" w:rsidR="00F74645" w:rsidRPr="00F74645" w:rsidRDefault="00F74645" w:rsidP="00F74645">
      <w:pPr>
        <w:spacing w:after="0" w:line="240" w:lineRule="auto"/>
        <w:ind w:left="709" w:right="709"/>
        <w:jc w:val="both"/>
        <w:rPr>
          <w:rFonts w:ascii="Verdana" w:eastAsia="Calibri" w:hAnsi="Verdana" w:cs="Arial"/>
          <w:sz w:val="20"/>
          <w:szCs w:val="20"/>
          <w:lang w:val="es-ES"/>
        </w:rPr>
      </w:pPr>
    </w:p>
    <w:p w14:paraId="32D68691" w14:textId="77777777" w:rsidR="00F74645" w:rsidRPr="00F74645" w:rsidRDefault="00F74645" w:rsidP="00F74645">
      <w:pPr>
        <w:spacing w:before="120" w:after="0" w:line="276" w:lineRule="auto"/>
        <w:ind w:firstLine="709"/>
        <w:jc w:val="both"/>
        <w:rPr>
          <w:rFonts w:eastAsiaTheme="minorEastAsia"/>
          <w:lang w:eastAsia="es-CO"/>
        </w:rPr>
      </w:pPr>
      <w:r w:rsidRPr="00F74645">
        <w:rPr>
          <w:rFonts w:ascii="Verdana" w:eastAsiaTheme="minorEastAsia" w:hAnsi="Verdana" w:cs="Arial"/>
          <w:lang w:val="es-ES" w:eastAsia="es-CO"/>
        </w:rPr>
        <w:t>Conforme a lo anterior, se puede afirmar que estos negocios tienen por finalidad servir como un mecanismo de apoyo para la consecución de los propósitos de la entidad estatal que implica administración de recursos, así como también puede comprender la realización de diversas actividades relacionadas con estos siempre dentro de los límites fijados por el tipo de contrato celebrado y por la capacidad legal del fideicomitente.</w:t>
      </w:r>
      <w:r w:rsidRPr="00F74645">
        <w:rPr>
          <w:rFonts w:eastAsiaTheme="minorEastAsia"/>
          <w:lang w:eastAsia="es-CO"/>
        </w:rPr>
        <w:t xml:space="preserve"> </w:t>
      </w:r>
    </w:p>
    <w:p w14:paraId="6AF52704" w14:textId="77777777" w:rsidR="00F74645" w:rsidRPr="00F74645" w:rsidRDefault="00F74645" w:rsidP="00F74645">
      <w:pPr>
        <w:spacing w:before="120" w:after="0" w:line="276" w:lineRule="auto"/>
        <w:ind w:firstLine="709"/>
        <w:jc w:val="both"/>
        <w:rPr>
          <w:rFonts w:ascii="Verdana" w:eastAsiaTheme="minorEastAsia" w:hAnsi="Verdana"/>
          <w:lang w:eastAsia="es-CO"/>
        </w:rPr>
      </w:pPr>
      <w:r w:rsidRPr="00F74645">
        <w:rPr>
          <w:rFonts w:ascii="Verdana" w:eastAsiaTheme="minorEastAsia" w:hAnsi="Verdana"/>
          <w:lang w:eastAsia="es-CO"/>
        </w:rPr>
        <w:t xml:space="preserve">En este contexto, de cara a las consultas planteadas, se precisa que la celebración del encargo fiduciario relacionado con los contratos de infraestructura y de construcción pública permite implementar un esquema especializado para la administración, custodia y desembolso de los recursos, con arreglo a las reglas e instrucciones definidas en el respectivo contrato fiduciario. Sin embargo, este mecanismo no comporta la transferencia de las funciones de dirección, seguimiento y control que corresponden a la entidad estatal respecto de los recursos públicos, la cual conserva la responsabilidad de verificar el cumplimiento de las condiciones contractuales que sustentan los pagos y de </w:t>
      </w:r>
      <w:r w:rsidRPr="00F74645">
        <w:rPr>
          <w:rFonts w:ascii="Verdana" w:eastAsiaTheme="minorEastAsia" w:hAnsi="Verdana"/>
          <w:lang w:eastAsia="es-CO"/>
        </w:rPr>
        <w:lastRenderedPageBreak/>
        <w:t xml:space="preserve">impartir, directamente o a través de las instancias previstas en el negocio fiduciario, las instrucciones necesarias para su autorización, según corresponda. </w:t>
      </w:r>
    </w:p>
    <w:p w14:paraId="59E6A316" w14:textId="77777777" w:rsidR="00F74645" w:rsidRPr="00F74645" w:rsidRDefault="00F74645" w:rsidP="00F74645">
      <w:pPr>
        <w:spacing w:before="120" w:after="0" w:line="276" w:lineRule="auto"/>
        <w:ind w:firstLine="709"/>
        <w:jc w:val="both"/>
        <w:rPr>
          <w:rFonts w:ascii="Verdana" w:eastAsiaTheme="minorEastAsia" w:hAnsi="Verdana"/>
          <w:lang w:eastAsia="es-CO"/>
        </w:rPr>
      </w:pPr>
      <w:r w:rsidRPr="00F74645">
        <w:rPr>
          <w:rFonts w:ascii="Verdana" w:eastAsiaTheme="minorEastAsia" w:hAnsi="Verdana"/>
          <w:lang w:eastAsia="es-CO"/>
        </w:rPr>
        <w:t>De esta manera, en el respectivo contrato se debe determinar el alcance de la gestión encomendada a la sociedad fiduciaria, las condiciones para la administración de los recursos, los procedimientos para la realización de los desembolsos y las obligaciones específicas que esta debe cumplir respecto de los pagos derivados del contrato. Para tales efectos, se aplicarán las disposiciones del Código de Comercio que regulan el contrato de fiducia mercantil en cuanto no sean incompatibles con lo previsto en el numeral 5 del artículo 32 de la Ley 80 de 1993. Tal es el caso de los arts. 1227, 1228, 1231, 1232, 1233 (en lo pertinente), 1234, 1235, 1236 y 1239 a 1244</w:t>
      </w:r>
      <w:r w:rsidRPr="00F74645">
        <w:rPr>
          <w:rFonts w:ascii="Verdana" w:eastAsiaTheme="minorEastAsia" w:hAnsi="Verdana"/>
          <w:vertAlign w:val="superscript"/>
          <w:lang w:eastAsia="es-CO"/>
        </w:rPr>
        <w:footnoteReference w:id="13"/>
      </w:r>
      <w:r w:rsidRPr="00F74645">
        <w:rPr>
          <w:rFonts w:ascii="Verdana" w:eastAsiaTheme="minorEastAsia" w:hAnsi="Verdana"/>
          <w:lang w:eastAsia="es-CO"/>
        </w:rPr>
        <w:t xml:space="preserve">. En consecuencia, las actuaciones de la fiduciaria se encuentran delimitadas por lo dispuesto en el contrato, las establecidas en el Código de Comercio que apliquen y por las decisiones adoptadas por los órganos de dirección previstos en el propio negocio fiduciario, según corresponda. </w:t>
      </w:r>
    </w:p>
    <w:p w14:paraId="000B6CB8" w14:textId="77777777" w:rsidR="00F74645" w:rsidRPr="00F74645" w:rsidRDefault="00F74645" w:rsidP="00F74645">
      <w:pPr>
        <w:spacing w:before="120" w:after="0" w:line="276" w:lineRule="auto"/>
        <w:ind w:firstLine="709"/>
        <w:jc w:val="both"/>
        <w:rPr>
          <w:rFonts w:ascii="Verdana" w:eastAsiaTheme="minorEastAsia" w:hAnsi="Verdana"/>
          <w:lang w:eastAsia="es-CO"/>
        </w:rPr>
      </w:pPr>
      <w:r w:rsidRPr="00F74645">
        <w:rPr>
          <w:rFonts w:ascii="Verdana" w:eastAsiaTheme="minorEastAsia" w:hAnsi="Verdana"/>
          <w:lang w:eastAsia="es-CO"/>
        </w:rPr>
        <w:t>Al respecto, se destaca que en la práctica es común que estos contratos contemplen la conformación de un comité fiduciario u otra instancia equivalente de dirección, cuya función consiste, entre otras, en impartir las instrucciones necesarias para la administración de los recursos y autorizar los desembolsos que deba efectuar la sociedad fiduciaria en atención a su naturaleza. De esta manera, la fiduciaria realiza los pagos en cumplimiento de las instrucciones impartidas conforme al procedimiento establecido en el contrato y una vez acreditados los requisitos exigidos para cada desembolso.</w:t>
      </w:r>
    </w:p>
    <w:p w14:paraId="51568DA2" w14:textId="77777777" w:rsidR="00F74645" w:rsidRPr="00F74645" w:rsidRDefault="00F74645" w:rsidP="00F74645">
      <w:pPr>
        <w:spacing w:before="120" w:after="0" w:line="276" w:lineRule="auto"/>
        <w:ind w:firstLine="709"/>
        <w:jc w:val="both"/>
        <w:rPr>
          <w:rFonts w:ascii="Verdana" w:eastAsiaTheme="minorEastAsia" w:hAnsi="Verdana"/>
          <w:lang w:eastAsia="es-CO"/>
        </w:rPr>
      </w:pPr>
      <w:r w:rsidRPr="00F74645">
        <w:rPr>
          <w:rFonts w:ascii="Verdana" w:eastAsiaTheme="minorEastAsia" w:hAnsi="Verdana"/>
          <w:lang w:eastAsia="es-CO"/>
        </w:rPr>
        <w:t xml:space="preserve">Bajo esta lógica, no deben confundirse las actividades de interventoría que debe efectuar la entidad estatal en el desarrollo de un contrato de infraestructura o construcción pública, con las actividades que realiza la sociedad fiduciaria en ejecución del contrato de fiducia pública o de encargo fiduciario. En efecto, aunque en el marco del negocio fiduciario la sociedad fiduciaria asume obligaciones relacionadas con la administración, custodia y desembolso de los recursos en los términos pactados por las partes, ello no implica que deba ejercer las funciones de interventoría previstas en el artículo 83 de la Ley 1474 de 2011. Estas funciones comprenden el seguimiento técnico, administrativo, financiero, contable y jurídico de la ejecución del contrato, con el fin de verificar el </w:t>
      </w:r>
      <w:r w:rsidRPr="00F74645">
        <w:rPr>
          <w:rFonts w:ascii="Verdana" w:eastAsiaTheme="minorEastAsia" w:hAnsi="Verdana"/>
          <w:lang w:eastAsia="es-CO"/>
        </w:rPr>
        <w:lastRenderedPageBreak/>
        <w:t xml:space="preserve">cumplimiento de las obligaciones a cargo del contratista, lo cual difiere de las propias del encargo fiduciario. Por consiguiente, la gestión inherente a la administración y pago de los recursos en el marco del negocio fiduciario no comprende, por sí misma, la realización de actividades de verificación técnica de la obra propias de la interventoría, pues estas obedecen a un contrato distinto y a una finalidad diferente. </w:t>
      </w:r>
    </w:p>
    <w:p w14:paraId="008461F0" w14:textId="77777777" w:rsidR="00F74645" w:rsidRPr="00F74645" w:rsidRDefault="00F74645" w:rsidP="00F74645">
      <w:pPr>
        <w:spacing w:before="120" w:after="0" w:line="276" w:lineRule="auto"/>
        <w:ind w:firstLine="709"/>
        <w:jc w:val="both"/>
        <w:rPr>
          <w:rFonts w:ascii="Verdana" w:eastAsiaTheme="minorEastAsia" w:hAnsi="Verdana"/>
          <w:lang w:eastAsia="es-CO"/>
        </w:rPr>
      </w:pPr>
      <w:r w:rsidRPr="00F74645">
        <w:rPr>
          <w:rFonts w:ascii="Verdana" w:eastAsiaTheme="minorEastAsia" w:hAnsi="Verdana"/>
          <w:lang w:eastAsia="es-CO"/>
        </w:rPr>
        <w:t>Lo anterior no obsta para que, en ejercicio de las obligaciones que le corresponden como administradora de los recursos, la sociedad fiduciaria actúe con la diligencia exigible a la naturaleza del negocio fiduciario. En esa medida, si durante la ejecución del contrato advierte inconsistencias, irregularidades o circunstancias que razonablemente puedan comprometer el cumplimiento de las instrucciones impartidas o la adecuada destinación de los recursos cuya administración le fue confiada, deberá proceder conforme a las obligaciones previstas en el respectivo encargo fiduciario. Ello podrá comprender, por ejemplo, poner tales circunstancias en conocimiento de la entidad estatal, solicitar las aclaraciones o soportes correspondientes o requerir las instrucciones que procedan antes de efectuar el respectivo desembolso. Sin embargo, se precisa que estas actuaciones, no constituyen un ejercicio de las funciones de interventoría, sino el cumplimiento diligente de las obligaciones contractuales propias de la sociedad fiduciaria.</w:t>
      </w:r>
    </w:p>
    <w:p w14:paraId="71ADEC62" w14:textId="77777777" w:rsidR="00F74645" w:rsidRPr="00F74645" w:rsidRDefault="00F74645" w:rsidP="00F74645">
      <w:pPr>
        <w:spacing w:before="120" w:after="0" w:line="276" w:lineRule="auto"/>
        <w:ind w:firstLine="709"/>
        <w:jc w:val="both"/>
        <w:rPr>
          <w:rFonts w:ascii="Verdana" w:eastAsiaTheme="minorEastAsia" w:hAnsi="Verdana"/>
          <w:lang w:eastAsia="es-CO"/>
        </w:rPr>
      </w:pPr>
      <w:r w:rsidRPr="00F74645">
        <w:rPr>
          <w:rFonts w:ascii="Verdana" w:eastAsiaTheme="minorEastAsia" w:hAnsi="Verdana"/>
          <w:lang w:eastAsia="es-CO"/>
        </w:rPr>
        <w:t>En este sentido, la sociedad fiduciaria podrá apoyarse en los distintos documentos que se generen durante la ejecución del contrato como lo son, a modo enunciativo, los informes, certificaciones, actas o demás documentos que, de acuerdo con el contrato fiduciario, constituyan el soporte para autorizar los desembolsos. En consecuencia, la debida diligencia de la sociedad fiduciaria debe valorarse a partir del cumplimiento de las obligaciones contractuales, los documentos que acrediten los desembolsos y los procedimientos e instrucciones establecidos en el respectivo negocio fiduciario.</w:t>
      </w:r>
    </w:p>
    <w:p w14:paraId="38524E49" w14:textId="77777777" w:rsidR="00F74645" w:rsidRPr="00F74645" w:rsidRDefault="00F74645" w:rsidP="00F74645">
      <w:pPr>
        <w:spacing w:before="120" w:after="0" w:line="276" w:lineRule="auto"/>
        <w:jc w:val="both"/>
        <w:rPr>
          <w:rFonts w:ascii="Verdana" w:eastAsiaTheme="minorEastAsia" w:hAnsi="Verdana" w:cs="Arial"/>
          <w:lang w:val="es-ES" w:eastAsia="es-CO"/>
        </w:rPr>
      </w:pPr>
      <w:proofErr w:type="spellStart"/>
      <w:r w:rsidRPr="00F74645">
        <w:rPr>
          <w:rFonts w:ascii="Verdana" w:eastAsia="Arial" w:hAnsi="Verdana" w:cs="Arial"/>
          <w:bCs/>
          <w:color w:val="000000" w:themeColor="text1"/>
          <w:lang w:val="es-ES" w:eastAsia="es-CO"/>
        </w:rPr>
        <w:t>ii</w:t>
      </w:r>
      <w:proofErr w:type="spellEnd"/>
      <w:r w:rsidRPr="00F74645">
        <w:rPr>
          <w:rFonts w:ascii="Verdana" w:eastAsia="Arial" w:hAnsi="Verdana" w:cs="Arial"/>
          <w:bCs/>
          <w:color w:val="000000" w:themeColor="text1"/>
          <w:lang w:val="es-ES" w:eastAsia="es-CO"/>
        </w:rPr>
        <w:t xml:space="preserve">. Ahora bien, sobre las implicaciones de potencial control fiscal, disciplinario o penal de las actuaciones relacionadas con la actividad contractual que se adelante en desarrollo de la fiducia </w:t>
      </w:r>
      <w:proofErr w:type="spellStart"/>
      <w:r w:rsidRPr="00F74645">
        <w:rPr>
          <w:rFonts w:ascii="Verdana" w:eastAsia="Arial" w:hAnsi="Verdana" w:cs="Arial"/>
          <w:bCs/>
          <w:color w:val="000000" w:themeColor="text1"/>
          <w:lang w:val="es-ES" w:eastAsia="es-CO"/>
        </w:rPr>
        <w:t>publica</w:t>
      </w:r>
      <w:proofErr w:type="spellEnd"/>
      <w:r w:rsidRPr="00F74645">
        <w:rPr>
          <w:rFonts w:ascii="Verdana" w:eastAsia="Arial" w:hAnsi="Verdana" w:cs="Arial"/>
          <w:bCs/>
          <w:color w:val="000000" w:themeColor="text1"/>
          <w:lang w:val="es-ES" w:eastAsia="es-CO"/>
        </w:rPr>
        <w:t xml:space="preserve"> o encargo fiduciario, será procedente y se mantiene el sistema de responsabilidad y control que rige todas las actuaciones de las Entidades Estatales sometidas al Estatuto General de Contratación. En el caso de la fiducia mercantil, se reitera que, aunque la ley autorice la transferencia de la propiedad de los bienes estatales a un patrimonio </w:t>
      </w:r>
      <w:r w:rsidRPr="00F74645">
        <w:rPr>
          <w:rFonts w:ascii="Verdana" w:eastAsia="Arial" w:hAnsi="Verdana" w:cs="Arial"/>
          <w:bCs/>
          <w:color w:val="000000" w:themeColor="text1"/>
          <w:lang w:val="es-ES" w:eastAsia="es-CO"/>
        </w:rPr>
        <w:lastRenderedPageBreak/>
        <w:t xml:space="preserve">autónomo, la entidad </w:t>
      </w:r>
      <w:r w:rsidRPr="00F74645">
        <w:rPr>
          <w:rFonts w:ascii="Verdana" w:eastAsiaTheme="minorEastAsia" w:hAnsi="Verdana" w:cs="Arial"/>
          <w:lang w:val="es-ES" w:eastAsia="es-CO"/>
        </w:rPr>
        <w:t>mantiene la obligación de vigilar que se cumplan los fines estatales que motivaron la contratación, conservando el control de los recursos entregados.</w:t>
      </w:r>
    </w:p>
    <w:p w14:paraId="48920E13"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s="Arial"/>
          <w:lang w:val="es-ES" w:eastAsia="es-CO"/>
        </w:rPr>
        <w:t>Se deriva de lo explicado anteriormente que, en los casos en que no existe transferencia del dominio de los recursos, es procedente la aplicación de los mecanismos de control y vigilancia que son propios de las actuaciones sometidas al EGCAP. Este será el caso cuando la administración de los recursos públicos se realice mediante una fiducia pública o un encargo fiduciario, en los términos antes explicados. En estos supuestos, como se explicó las Entidades Estatales mantienen el control y vigilancia de la correcta ejecución de los recursos entregados. Sin embargo, la responsabilidad disciplinaria o fiscal por hechos relacionados dependerá de cada situación particular, y del ejercicio de la competencia de los organismos de control respectivos.</w:t>
      </w:r>
    </w:p>
    <w:p w14:paraId="2632DAA7"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s="Arial"/>
          <w:lang w:val="es-ES" w:eastAsia="es-CO"/>
        </w:rPr>
        <w:t>Con respecto a los casos en que la ley permite a las entidades estatales la creación de patrimonios autónomos, es necesario advertir que la Contraloría General de la República, en concepto con radicado 2006EE62754 del 6 de diciembre de 2006, reiterado en concepto OJ-CGR 084 de 2017</w:t>
      </w:r>
      <w:r w:rsidRPr="00F74645">
        <w:rPr>
          <w:rFonts w:ascii="Verdana" w:eastAsiaTheme="minorEastAsia" w:hAnsi="Verdana" w:cs="Arial"/>
          <w:vertAlign w:val="superscript"/>
          <w:lang w:val="es-ES" w:eastAsia="es-CO"/>
        </w:rPr>
        <w:footnoteReference w:id="14"/>
      </w:r>
      <w:r w:rsidRPr="00F74645">
        <w:rPr>
          <w:rFonts w:ascii="Verdana" w:eastAsiaTheme="minorEastAsia" w:hAnsi="Verdana" w:cs="Arial"/>
          <w:lang w:val="es-ES" w:eastAsia="es-CO"/>
        </w:rPr>
        <w:t>, ha considerado que la transferencia de recursos mediante un negocio fiduciario no implica que la fiduciaria obtenga el dominio pleno de ellos</w:t>
      </w:r>
      <w:r w:rsidRPr="00F74645">
        <w:rPr>
          <w:rFonts w:ascii="Verdana" w:eastAsiaTheme="minorEastAsia" w:hAnsi="Verdana" w:cs="Arial"/>
          <w:vertAlign w:val="superscript"/>
          <w:lang w:val="es-ES" w:eastAsia="es-CO"/>
        </w:rPr>
        <w:footnoteReference w:id="15"/>
      </w:r>
      <w:r w:rsidRPr="00F74645">
        <w:rPr>
          <w:rFonts w:ascii="Verdana" w:eastAsiaTheme="minorEastAsia" w:hAnsi="Verdana" w:cs="Arial"/>
          <w:lang w:val="es-ES" w:eastAsia="es-CO"/>
        </w:rPr>
        <w:t>, sino que tiene un carácter instrumental. En este sentido, en los patrimonios autónomos, el administrador no tiene facultad de disponer libremente de los recursos públicos y éstos serán objeto de control</w:t>
      </w:r>
      <w:r w:rsidRPr="00F74645">
        <w:rPr>
          <w:rFonts w:ascii="Verdana" w:eastAsiaTheme="minorEastAsia" w:hAnsi="Verdana" w:cs="Arial"/>
          <w:vertAlign w:val="superscript"/>
          <w:lang w:val="es-ES" w:eastAsia="es-CO"/>
        </w:rPr>
        <w:footnoteReference w:id="16"/>
      </w:r>
      <w:r w:rsidRPr="00F74645">
        <w:rPr>
          <w:rFonts w:ascii="Verdana" w:eastAsiaTheme="minorEastAsia" w:hAnsi="Verdana" w:cs="Arial"/>
          <w:lang w:val="es-ES" w:eastAsia="es-CO"/>
        </w:rPr>
        <w:t>.</w:t>
      </w:r>
    </w:p>
    <w:p w14:paraId="07FAF3CA"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s="Arial"/>
          <w:lang w:val="es-ES" w:eastAsia="es-CO"/>
        </w:rPr>
        <w:lastRenderedPageBreak/>
        <w:t>Es importante resaltar que en los contratos de fiducia mercantil es deber indelegable de la sociedad fiduciaria “rendir cuentas comprobadas de su gestión al beneficiario cada seis meses”, tal como lo establece el artículo 1234 del Código de Comercio</w:t>
      </w:r>
      <w:r w:rsidRPr="00F74645">
        <w:rPr>
          <w:rFonts w:ascii="Verdana" w:eastAsiaTheme="minorEastAsia" w:hAnsi="Verdana"/>
          <w:vertAlign w:val="superscript"/>
          <w:lang w:val="es-ES" w:eastAsia="es-CO"/>
        </w:rPr>
        <w:footnoteReference w:id="17"/>
      </w:r>
      <w:r w:rsidRPr="00F74645">
        <w:rPr>
          <w:rFonts w:ascii="Verdana" w:eastAsiaTheme="minorEastAsia" w:hAnsi="Verdana" w:cs="Arial"/>
          <w:lang w:val="es-ES" w:eastAsia="es-CO"/>
        </w:rPr>
        <w:t>. Simultáneamente, el fideicomitente tiene el derecho de “exigir rendición de cuentas”, según lo establece el artículo 1236 del mismo Código</w:t>
      </w:r>
      <w:r w:rsidRPr="00F74645">
        <w:rPr>
          <w:rFonts w:ascii="Verdana" w:eastAsiaTheme="minorEastAsia" w:hAnsi="Verdana"/>
          <w:vertAlign w:val="superscript"/>
          <w:lang w:val="es-ES" w:eastAsia="es-CO"/>
        </w:rPr>
        <w:footnoteReference w:id="18"/>
      </w:r>
      <w:r w:rsidRPr="00F74645">
        <w:rPr>
          <w:rFonts w:ascii="Verdana" w:eastAsiaTheme="minorEastAsia" w:hAnsi="Verdana" w:cs="Arial"/>
          <w:lang w:val="es-ES" w:eastAsia="es-CO"/>
        </w:rPr>
        <w:t>. En este contexto, la entidad no pierde la vigilancia sobre los recursos públicos y la fiduciaria tiene el deber de gestionarlos en la forma acordada. Esto pues, en los contratos de fiducia existe una determinación precisa del uso que debe darse a los recursos que se transfieren. Es por esta razón que el artículo 1227 del Código de Comercio señala que los bienes solo garantizan las obligaciones contraídas en cumplimiento de la finalidad perseguida; y que, según el artículo 1234, la fiduciaria tiene el deber de “invertir los bienes en la forma y con los requisitos previstos en el acto constitutivo, salvo que se le haya permitido obrar del modo que más conveniente le parezca”</w:t>
      </w:r>
      <w:r w:rsidRPr="00F74645">
        <w:rPr>
          <w:rFonts w:ascii="Verdana" w:eastAsiaTheme="minorEastAsia" w:hAnsi="Verdana" w:cs="Arial"/>
          <w:vertAlign w:val="superscript"/>
          <w:lang w:val="es-ES" w:eastAsia="es-CO"/>
        </w:rPr>
        <w:footnoteReference w:id="19"/>
      </w:r>
      <w:r w:rsidRPr="00F74645">
        <w:rPr>
          <w:rFonts w:ascii="Verdana" w:eastAsiaTheme="minorEastAsia" w:hAnsi="Verdana" w:cs="Arial"/>
          <w:lang w:val="es-ES" w:eastAsia="es-CO"/>
        </w:rPr>
        <w:t xml:space="preserve">. En el caso de los patrimonios autónomos, el fiduciario que actúa como vocero y administrador </w:t>
      </w:r>
      <w:r w:rsidRPr="00F74645">
        <w:rPr>
          <w:rFonts w:ascii="Verdana" w:eastAsiaTheme="minorEastAsia" w:hAnsi="Verdana" w:cs="Arial"/>
          <w:i/>
          <w:iCs/>
          <w:lang w:val="es-ES" w:eastAsia="es-CO"/>
        </w:rPr>
        <w:t>“</w:t>
      </w:r>
      <w:r w:rsidRPr="00F74645">
        <w:rPr>
          <w:rFonts w:ascii="Verdana" w:eastAsia="MS Mincho" w:hAnsi="Verdana" w:cs="Arial"/>
          <w:lang w:val="es-ES" w:eastAsia="es-CO"/>
        </w:rPr>
        <w:t>celebrará y ejecutará diligentemente todos los actos jurídicos necesarios para lograr la finalidad del fideicomiso, comprometiendo al patrimonio autónomo dentro de los términos señalados en el acto constitutivo de la fiducia”</w:t>
      </w:r>
      <w:r w:rsidRPr="00F74645">
        <w:rPr>
          <w:rFonts w:ascii="Verdana" w:eastAsia="MS Mincho" w:hAnsi="Verdana" w:cs="Arial"/>
          <w:vertAlign w:val="superscript"/>
          <w:lang w:val="es-ES" w:eastAsia="es-CO"/>
        </w:rPr>
        <w:footnoteReference w:id="20"/>
      </w:r>
      <w:r w:rsidRPr="00F74645">
        <w:rPr>
          <w:rFonts w:ascii="Verdana" w:eastAsia="MS Mincho" w:hAnsi="Verdana" w:cs="Arial"/>
          <w:i/>
          <w:iCs/>
          <w:lang w:val="es-ES" w:eastAsia="es-CO"/>
        </w:rPr>
        <w:t>.</w:t>
      </w:r>
      <w:r w:rsidRPr="00F74645">
        <w:rPr>
          <w:rFonts w:ascii="Verdana" w:eastAsiaTheme="minorEastAsia" w:hAnsi="Verdana" w:cs="Arial"/>
          <w:lang w:val="es-ES" w:eastAsia="es-CO"/>
        </w:rPr>
        <w:t xml:space="preserve"> </w:t>
      </w:r>
    </w:p>
    <w:p w14:paraId="41674BEC" w14:textId="77777777" w:rsidR="00F74645" w:rsidRPr="00F74645" w:rsidRDefault="00F74645" w:rsidP="00F74645">
      <w:pPr>
        <w:spacing w:before="120" w:after="0" w:line="276" w:lineRule="auto"/>
        <w:ind w:firstLine="709"/>
        <w:jc w:val="both"/>
        <w:rPr>
          <w:rFonts w:ascii="Verdana" w:eastAsiaTheme="minorEastAsia" w:hAnsi="Verdana" w:cs="Arial"/>
          <w:lang w:val="es-ES" w:eastAsia="es-CO"/>
        </w:rPr>
      </w:pPr>
      <w:r w:rsidRPr="00F74645">
        <w:rPr>
          <w:rFonts w:ascii="Verdana" w:eastAsiaTheme="minorEastAsia" w:hAnsi="Verdana"/>
          <w:color w:val="000000"/>
          <w:lang w:val="es-ES" w:eastAsia="es-CO"/>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p w14:paraId="32D877C6" w14:textId="77777777" w:rsidR="00F74645" w:rsidRPr="00F74645" w:rsidRDefault="00F74645" w:rsidP="00F74645">
      <w:pPr>
        <w:spacing w:after="0" w:line="276" w:lineRule="auto"/>
        <w:jc w:val="both"/>
        <w:rPr>
          <w:rFonts w:ascii="Verdana" w:eastAsia="Calibri" w:hAnsi="Verdana" w:cs="Arial"/>
          <w:lang w:val="es-ES"/>
        </w:rPr>
      </w:pPr>
    </w:p>
    <w:bookmarkEnd w:id="1"/>
    <w:bookmarkEnd w:id="2"/>
    <w:p w14:paraId="3577B502" w14:textId="77777777" w:rsidR="00F74645" w:rsidRPr="00F74645" w:rsidRDefault="00F74645" w:rsidP="00F74645">
      <w:pPr>
        <w:numPr>
          <w:ilvl w:val="0"/>
          <w:numId w:val="17"/>
        </w:numPr>
        <w:tabs>
          <w:tab w:val="left" w:pos="142"/>
          <w:tab w:val="left" w:pos="284"/>
        </w:tabs>
        <w:spacing w:after="0" w:line="276" w:lineRule="auto"/>
        <w:contextualSpacing/>
        <w:jc w:val="both"/>
        <w:rPr>
          <w:rFonts w:ascii="Verdana" w:eastAsia="Century Gothic" w:hAnsi="Verdana" w:cs="Century Gothic"/>
          <w:b/>
          <w:color w:val="000000" w:themeColor="text1"/>
          <w:lang w:val="es-ES"/>
        </w:rPr>
      </w:pPr>
      <w:r w:rsidRPr="00F74645">
        <w:rPr>
          <w:rFonts w:ascii="Verdana" w:eastAsia="Century Gothic" w:hAnsi="Verdana" w:cs="Century Gothic"/>
          <w:b/>
          <w:color w:val="000000" w:themeColor="text1"/>
          <w:lang w:val="es-ES"/>
        </w:rPr>
        <w:t>Referencias normativas, jurisprudenciales y otras fuentes:</w:t>
      </w:r>
    </w:p>
    <w:p w14:paraId="4C67CB8B" w14:textId="77777777" w:rsidR="00F74645" w:rsidRPr="00F74645" w:rsidRDefault="00F74645" w:rsidP="00F74645">
      <w:pPr>
        <w:widowControl w:val="0"/>
        <w:autoSpaceDE w:val="0"/>
        <w:autoSpaceDN w:val="0"/>
        <w:spacing w:after="0" w:line="276" w:lineRule="auto"/>
        <w:jc w:val="both"/>
        <w:rPr>
          <w:rFonts w:ascii="Verdana" w:hAnsi="Verdana" w:cs="Arial"/>
          <w:color w:val="000000" w:themeColor="tex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74645" w:rsidRPr="00F74645" w14:paraId="5F55B1A6" w14:textId="77777777" w:rsidTr="00595869">
        <w:trPr>
          <w:trHeight w:val="870"/>
        </w:trPr>
        <w:tc>
          <w:tcPr>
            <w:tcW w:w="8647" w:type="dxa"/>
          </w:tcPr>
          <w:p w14:paraId="44F867B7"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cs="Arial"/>
                <w:color w:val="000000" w:themeColor="text1"/>
                <w:lang w:val="es-ES"/>
              </w:rPr>
              <w:t xml:space="preserve">Código de Comercio, artículos </w:t>
            </w:r>
            <w:r w:rsidRPr="00F74645">
              <w:rPr>
                <w:rFonts w:ascii="Verdana" w:eastAsia="MS Mincho" w:hAnsi="Verdana" w:cs="Arial"/>
                <w:lang w:val="es-ES" w:eastAsia="es-CO"/>
              </w:rPr>
              <w:t>1226 al 1244</w:t>
            </w:r>
          </w:p>
          <w:p w14:paraId="08AFB79E"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eastAsia="MS Mincho" w:hAnsi="Verdana" w:cs="Arial"/>
                <w:lang w:val="es-ES" w:eastAsia="es-CO"/>
              </w:rPr>
              <w:t>Ley 80 de 1993, artículo 32, numeral 5.</w:t>
            </w:r>
          </w:p>
          <w:p w14:paraId="5823DD99"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lang w:val="es-ES"/>
              </w:rPr>
              <w:t>Corte Constitucional, Sentencia C-086 de 1995, MP. Dr. Vladimiro Naranjo Mesa.</w:t>
            </w:r>
          </w:p>
          <w:p w14:paraId="72F90F12"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lang w:val="es-ES"/>
              </w:rPr>
              <w:t>Corte Constitucional, Sentencia C-438 de 2017, M.P.</w:t>
            </w:r>
            <w:r w:rsidRPr="00F74645">
              <w:rPr>
                <w:rFonts w:ascii="Verdana" w:hAnsi="Verdana"/>
                <w:color w:val="2D2D2D"/>
                <w:shd w:val="clear" w:color="auto" w:fill="FFFFFF"/>
                <w:lang w:val="es-ES"/>
              </w:rPr>
              <w:t xml:space="preserve"> </w:t>
            </w:r>
            <w:r w:rsidRPr="00F74645">
              <w:rPr>
                <w:rFonts w:ascii="Verdana" w:hAnsi="Verdana"/>
                <w:lang w:val="es-ES"/>
              </w:rPr>
              <w:t>Gloria Stella Ortiz Delgado.</w:t>
            </w:r>
          </w:p>
          <w:p w14:paraId="57C4133C"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cs="Arial"/>
                <w:lang w:val="es-ES"/>
              </w:rPr>
              <w:t xml:space="preserve">Consejo de Estado. </w:t>
            </w:r>
            <w:r w:rsidRPr="00F74645">
              <w:rPr>
                <w:rFonts w:ascii="Verdana" w:eastAsia="MS Mincho" w:hAnsi="Verdana" w:cs="Arial"/>
                <w:lang w:val="es-ES" w:eastAsia="es-CO"/>
              </w:rPr>
              <w:t>Sala de Consulta y Servicio Civil. Concepto del 4 de marzo de 1998. Radicado Nro. 1.074. CP.: Cesar Hoyos Salazar.</w:t>
            </w:r>
          </w:p>
          <w:p w14:paraId="1822BBA4"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cs="Arial"/>
                <w:color w:val="000000" w:themeColor="text1"/>
              </w:rPr>
              <w:t>Consejo de Estado, Sección Tercera, Sentencia del 26 de agosto de 2015, rad. núm. 11001-03-26-000 2010-00027-00(38637). C.P Hernán Andrade Rincón (E)</w:t>
            </w:r>
          </w:p>
          <w:p w14:paraId="07854A10"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cs="Arial"/>
                <w:color w:val="000000" w:themeColor="text1"/>
                <w:lang w:val="es-ES"/>
              </w:rPr>
              <w:t>Consejo de Estado, Sala de Consulta y Servicio Civil, Concepto 30 de junio de 2022, rad. 00005. C.P: Édgar González López</w:t>
            </w:r>
          </w:p>
          <w:p w14:paraId="1F77063B"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lang w:val="es-ES"/>
              </w:rPr>
              <w:t xml:space="preserve">Superintendencia Financiera, Circular Básica Jurídica (C.E. 029/14), Título II Instrucciones generales relativas a las operaciones de las sociedades de servicios financieros, Capítulo I: Disposiciones Especiales Aplicables A Los Negocios Fiduciarios. Disponible en: </w:t>
            </w:r>
            <w:hyperlink r:id="rId14" w:history="1">
              <w:r w:rsidRPr="00F74645">
                <w:rPr>
                  <w:rFonts w:ascii="Verdana" w:hAnsi="Verdana"/>
                  <w:color w:val="0000FF"/>
                  <w:u w:val="single"/>
                  <w:lang w:val="es-ES"/>
                </w:rPr>
                <w:t>https://www.superfinanciera.gov.co/publicaciones/10083443/normativanormativa-generalcircular-basica-juridica-ce-10083443/</w:t>
              </w:r>
            </w:hyperlink>
            <w:r w:rsidRPr="00F74645">
              <w:rPr>
                <w:rFonts w:ascii="Verdana" w:hAnsi="Verdana"/>
                <w:lang w:val="es-ES"/>
              </w:rPr>
              <w:t xml:space="preserve"> </w:t>
            </w:r>
          </w:p>
          <w:p w14:paraId="3436C4AD" w14:textId="77777777" w:rsidR="00F74645" w:rsidRPr="00F74645" w:rsidRDefault="00F74645" w:rsidP="00F74645">
            <w:pPr>
              <w:widowControl w:val="0"/>
              <w:numPr>
                <w:ilvl w:val="0"/>
                <w:numId w:val="16"/>
              </w:numPr>
              <w:autoSpaceDE w:val="0"/>
              <w:autoSpaceDN w:val="0"/>
              <w:snapToGrid w:val="0"/>
              <w:spacing w:before="120" w:line="276" w:lineRule="auto"/>
              <w:ind w:left="714" w:hanging="357"/>
              <w:contextualSpacing/>
              <w:jc w:val="both"/>
              <w:rPr>
                <w:rFonts w:ascii="Verdana" w:hAnsi="Verdana" w:cs="Arial"/>
                <w:color w:val="000000" w:themeColor="text1"/>
                <w:lang w:val="es-ES"/>
              </w:rPr>
            </w:pPr>
            <w:r w:rsidRPr="00F74645">
              <w:rPr>
                <w:rFonts w:ascii="Verdana" w:hAnsi="Verdana"/>
                <w:lang w:val="es-ES"/>
              </w:rPr>
              <w:t xml:space="preserve">Concepto 060361 del 19 de febrero de 2021, citado en el concepto 220225937 de 2022 Secretaría Jurídica Distrital. Disponible en: </w:t>
            </w:r>
            <w:hyperlink r:id="rId15" w:anchor="_edn1" w:history="1">
              <w:r w:rsidRPr="00F74645">
                <w:rPr>
                  <w:rFonts w:ascii="Verdana" w:hAnsi="Verdana"/>
                  <w:color w:val="0000FF"/>
                  <w:u w:val="single"/>
                  <w:lang w:val="es-ES"/>
                </w:rPr>
                <w:t>https://www.alcaldiabogota.gov.co/sisjur/normas/Norma1.jsp?i=125418&amp;dt=S#_edn1</w:t>
              </w:r>
            </w:hyperlink>
          </w:p>
          <w:p w14:paraId="3423E003" w14:textId="77777777" w:rsidR="00F74645" w:rsidRPr="00F74645" w:rsidRDefault="00F74645" w:rsidP="00F74645">
            <w:pPr>
              <w:widowControl w:val="0"/>
              <w:numPr>
                <w:ilvl w:val="0"/>
                <w:numId w:val="16"/>
              </w:numPr>
              <w:autoSpaceDE w:val="0"/>
              <w:autoSpaceDN w:val="0"/>
              <w:snapToGrid w:val="0"/>
              <w:spacing w:line="276" w:lineRule="auto"/>
              <w:ind w:left="714" w:hanging="357"/>
              <w:contextualSpacing/>
              <w:jc w:val="both"/>
              <w:rPr>
                <w:rFonts w:ascii="Verdana" w:hAnsi="Verdana" w:cs="Arial"/>
                <w:lang w:val="es-ES"/>
              </w:rPr>
            </w:pPr>
            <w:r w:rsidRPr="00F74645">
              <w:rPr>
                <w:rFonts w:ascii="Verdana" w:hAnsi="Verdana"/>
                <w:lang w:val="es-ES"/>
              </w:rPr>
              <w:t>Contraloría General de la República, C</w:t>
            </w:r>
            <w:r w:rsidRPr="00F74645">
              <w:rPr>
                <w:rFonts w:ascii="Verdana" w:hAnsi="Verdana" w:cs="Arial"/>
                <w:lang w:val="es-ES"/>
              </w:rPr>
              <w:t>oncepto con radicado 2006EE62754 del 6 de diciembre de 2006, reiterado en concepto OJ-CGR 084 de 2017, Disponible en:</w:t>
            </w:r>
            <w:r w:rsidRPr="00F74645">
              <w:rPr>
                <w:rFonts w:ascii="Verdana" w:hAnsi="Verdana"/>
                <w:lang w:val="es-ES"/>
              </w:rPr>
              <w:t xml:space="preserve"> </w:t>
            </w:r>
            <w:hyperlink r:id="rId16" w:history="1">
              <w:r w:rsidRPr="00F74645">
                <w:rPr>
                  <w:rFonts w:ascii="Verdana" w:hAnsi="Verdana"/>
                  <w:color w:val="0000FF"/>
                  <w:u w:val="single"/>
                  <w:lang w:val="es-ES"/>
                </w:rPr>
                <w:t>https://relatoria.blob.core.windows.net/$web/files/conceptos-juridicos/CGR-OJ-0084-2017.PDF</w:t>
              </w:r>
            </w:hyperlink>
          </w:p>
        </w:tc>
      </w:tr>
    </w:tbl>
    <w:p w14:paraId="758D0FFB" w14:textId="77777777" w:rsidR="00F74645" w:rsidRPr="00F74645" w:rsidRDefault="00F74645" w:rsidP="00F74645">
      <w:pPr>
        <w:widowControl w:val="0"/>
        <w:autoSpaceDE w:val="0"/>
        <w:autoSpaceDN w:val="0"/>
        <w:spacing w:after="0" w:line="276" w:lineRule="auto"/>
        <w:jc w:val="both"/>
        <w:rPr>
          <w:rFonts w:ascii="Verdana" w:hAnsi="Verdana" w:cs="Arial"/>
          <w:color w:val="000000" w:themeColor="text1"/>
          <w:lang w:val="es-ES"/>
        </w:rPr>
      </w:pPr>
    </w:p>
    <w:p w14:paraId="3FAB18DA" w14:textId="77777777" w:rsidR="00F74645" w:rsidRPr="00F74645" w:rsidRDefault="00F74645" w:rsidP="00F74645">
      <w:pPr>
        <w:tabs>
          <w:tab w:val="left" w:pos="142"/>
          <w:tab w:val="left" w:pos="284"/>
        </w:tabs>
        <w:spacing w:after="0" w:line="276" w:lineRule="auto"/>
        <w:jc w:val="both"/>
        <w:rPr>
          <w:rFonts w:ascii="Verdana" w:eastAsia="Century Gothic" w:hAnsi="Verdana" w:cs="Century Gothic"/>
          <w:b/>
          <w:color w:val="000000" w:themeColor="text1"/>
          <w:lang w:val="es-ES"/>
        </w:rPr>
      </w:pPr>
      <w:r w:rsidRPr="00F74645">
        <w:rPr>
          <w:rFonts w:ascii="Verdana" w:eastAsia="Century Gothic" w:hAnsi="Verdana" w:cs="Century Gothic"/>
          <w:b/>
          <w:color w:val="000000" w:themeColor="text1"/>
          <w:lang w:val="es-ES"/>
        </w:rPr>
        <w:t>5.Doctrina de la Agencia Nacional de Contratación Pública:</w:t>
      </w:r>
    </w:p>
    <w:p w14:paraId="21E54906" w14:textId="77777777" w:rsidR="00F74645" w:rsidRPr="00F74645" w:rsidRDefault="00F74645" w:rsidP="00F74645">
      <w:pPr>
        <w:widowControl w:val="0"/>
        <w:autoSpaceDE w:val="0"/>
        <w:autoSpaceDN w:val="0"/>
        <w:spacing w:after="0" w:line="276" w:lineRule="auto"/>
        <w:jc w:val="both"/>
        <w:rPr>
          <w:rFonts w:ascii="Verdana" w:hAnsi="Verdana" w:cs="Arial"/>
          <w:color w:val="000000" w:themeColor="text1"/>
          <w:lang w:val="es-ES"/>
        </w:rPr>
      </w:pPr>
    </w:p>
    <w:p w14:paraId="742F3F3F" w14:textId="77777777" w:rsidR="00F74645" w:rsidRPr="00F74645" w:rsidRDefault="00F74645" w:rsidP="00F74645">
      <w:pPr>
        <w:jc w:val="both"/>
        <w:rPr>
          <w:rFonts w:ascii="Arial" w:eastAsia="Calibri" w:hAnsi="Arial" w:cs="Arial"/>
          <w:b/>
          <w:bCs/>
          <w:color w:val="000000" w:themeColor="text1"/>
          <w:lang w:val="es-ES"/>
        </w:rPr>
      </w:pPr>
      <w:r w:rsidRPr="00F74645">
        <w:rPr>
          <w:rFonts w:ascii="Verdana" w:eastAsia="Calibri" w:hAnsi="Verdana" w:cs="Arial"/>
          <w:lang w:val="es-ES"/>
        </w:rPr>
        <w:t xml:space="preserve">La Agencia Nacional de Contratación Pública – Colombia Compra Eficiente se ha referido </w:t>
      </w:r>
      <w:r w:rsidRPr="00F74645">
        <w:rPr>
          <w:rFonts w:ascii="Verdana" w:hAnsi="Verdana" w:cs="Arial"/>
          <w:color w:val="000000" w:themeColor="text1"/>
          <w:lang w:val="es-ES"/>
        </w:rPr>
        <w:t xml:space="preserve">sobre el contrato de fiducia mercantil y la capacidad contractual del patrimonio autónomo derivado de dicho contrato en los conceptos con radicado No. 2201913000005645 del 8 de agosto de 2019, 2201913000008612 del 19 </w:t>
      </w:r>
      <w:r w:rsidRPr="00F74645">
        <w:rPr>
          <w:rFonts w:ascii="Verdana" w:hAnsi="Verdana" w:cs="Arial"/>
          <w:color w:val="000000" w:themeColor="text1"/>
          <w:lang w:val="es-ES"/>
        </w:rPr>
        <w:lastRenderedPageBreak/>
        <w:t xml:space="preserve">de noviembre de 2019, </w:t>
      </w:r>
      <w:r w:rsidRPr="00F74645">
        <w:rPr>
          <w:rFonts w:ascii="Verdana" w:eastAsia="Calibri" w:hAnsi="Verdana" w:cs="Arial"/>
          <w:color w:val="000000" w:themeColor="text1"/>
          <w:lang w:val="es-ES"/>
        </w:rPr>
        <w:t xml:space="preserve">C-483 del 5 de agosto 2022, el </w:t>
      </w:r>
      <w:r w:rsidRPr="00F74645">
        <w:rPr>
          <w:rFonts w:ascii="Verdana" w:hAnsi="Verdana"/>
          <w:color w:val="000000" w:themeColor="text1"/>
          <w:shd w:val="clear" w:color="auto" w:fill="FFFFFF"/>
          <w:lang w:val="es-ES"/>
        </w:rPr>
        <w:t xml:space="preserve">C-059 del 22 de mayo de 2024, </w:t>
      </w:r>
      <w:r w:rsidRPr="00F74645">
        <w:rPr>
          <w:rFonts w:ascii="Verdana" w:eastAsia="Calibri" w:hAnsi="Verdana" w:cs="Arial"/>
          <w:color w:val="000000" w:themeColor="text1"/>
          <w:lang w:val="es-ES" w:eastAsia="es-ES"/>
        </w:rPr>
        <w:t xml:space="preserve">C- 355 de 2025, C-395 del 24 de abril de 2026 </w:t>
      </w:r>
      <w:r w:rsidRPr="00F74645">
        <w:rPr>
          <w:rFonts w:ascii="Verdana" w:hAnsi="Verdana"/>
          <w:color w:val="000000" w:themeColor="text1"/>
          <w:shd w:val="clear" w:color="auto" w:fill="FFFFFF"/>
          <w:lang w:val="es-ES"/>
        </w:rPr>
        <w:t>entre otros.</w:t>
      </w:r>
      <w:r w:rsidRPr="00F74645">
        <w:rPr>
          <w:rFonts w:ascii="Verdana" w:hAnsi="Verdana" w:cs="Arial"/>
          <w:shd w:val="clear" w:color="auto" w:fill="FFFFFF"/>
          <w:lang w:val="es-ES"/>
        </w:rPr>
        <w:t xml:space="preserve"> Estos</w:t>
      </w:r>
      <w:r w:rsidRPr="00F74645">
        <w:rPr>
          <w:rFonts w:ascii="Verdana" w:hAnsi="Verdana"/>
          <w:lang w:val="es-ES"/>
        </w:rPr>
        <w:t xml:space="preserve"> y otros se encuentran disponibles para consulta en el Sistema de relatoría de la Agencia, al cual se puede acceder a través del siguiente enlace:</w:t>
      </w:r>
      <w:r w:rsidRPr="00F74645">
        <w:rPr>
          <w:rFonts w:ascii="Verdana" w:hAnsi="Verdana" w:cs="Arial"/>
          <w:shd w:val="clear" w:color="auto" w:fill="FFFFFF"/>
          <w:lang w:val="es-ES"/>
        </w:rPr>
        <w:t xml:space="preserve"> </w:t>
      </w:r>
      <w:hyperlink r:id="rId17" w:history="1">
        <w:r w:rsidRPr="00F74645">
          <w:rPr>
            <w:rFonts w:ascii="Verdana" w:hAnsi="Verdana" w:cs="Arial"/>
            <w:color w:val="0000FF"/>
            <w:u w:val="single"/>
            <w:shd w:val="clear" w:color="auto" w:fill="FFFFFF"/>
            <w:lang w:val="es-ES"/>
          </w:rPr>
          <w:t>https://relatoria.colombiacompra.gov.co/busqueda/concept os</w:t>
        </w:r>
      </w:hyperlink>
      <w:r w:rsidRPr="00F74645">
        <w:rPr>
          <w:rFonts w:ascii="Verdana" w:hAnsi="Verdana" w:cs="Arial"/>
          <w:shd w:val="clear" w:color="auto" w:fill="FFFFFF"/>
          <w:lang w:val="es-ES"/>
        </w:rPr>
        <w:t>.</w:t>
      </w:r>
      <w:r w:rsidRPr="00F74645">
        <w:rPr>
          <w:rFonts w:ascii="Verdana" w:hAnsi="Verdana" w:cs="Arial"/>
          <w:color w:val="FF0000"/>
          <w:shd w:val="clear" w:color="auto" w:fill="FFFFFF"/>
          <w:lang w:val="es-ES"/>
        </w:rPr>
        <w:t xml:space="preserve"> </w:t>
      </w:r>
      <w:r w:rsidRPr="00F74645">
        <w:rPr>
          <w:rFonts w:ascii="Verdana" w:hAnsi="Verdana" w:cs="Arial"/>
          <w:color w:val="000000" w:themeColor="text1"/>
          <w:shd w:val="clear" w:color="auto" w:fill="FFFFFF"/>
          <w:lang w:val="es-ES"/>
        </w:rPr>
        <w:t>  </w:t>
      </w:r>
    </w:p>
    <w:bookmarkEnd w:id="0"/>
    <w:p w14:paraId="539A4C72" w14:textId="77777777" w:rsidR="00F74645" w:rsidRPr="00F74645" w:rsidRDefault="00F74645" w:rsidP="00F74645">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8"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6173954B" w14:textId="77777777" w:rsidR="00F74645" w:rsidRPr="00F74645" w:rsidRDefault="00F74645" w:rsidP="00F7464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9"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2A333CF5" w14:textId="77777777" w:rsidR="00F74645" w:rsidRPr="00F74645" w:rsidRDefault="00F74645" w:rsidP="00F7464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w:t>
      </w:r>
      <w:r w:rsidRPr="00F74645">
        <w:rPr>
          <w:rFonts w:ascii="Verdana" w:eastAsia="Times New Roman" w:hAnsi="Verdana" w:cs="Times New Roman"/>
          <w:color w:val="000000"/>
          <w:lang w:eastAsia="es-CO"/>
        </w:rPr>
        <w:lastRenderedPageBreak/>
        <w:t>disciplinarias de omitir este deber. Consúltala aquí: </w:t>
      </w:r>
      <w:hyperlink r:id="rId20"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0AB64D43" w14:textId="77777777" w:rsidR="00F74645" w:rsidRPr="00F74645" w:rsidRDefault="00F74645" w:rsidP="00F7464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21"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0EBEB70B" w14:textId="77777777" w:rsidR="00F74645" w:rsidRPr="00F74645" w:rsidRDefault="00F74645" w:rsidP="00F74645">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4580E136" w14:textId="77777777" w:rsidR="00F74645" w:rsidRPr="00F74645" w:rsidRDefault="00F74645" w:rsidP="00F74645">
      <w:pPr>
        <w:spacing w:after="0" w:line="276" w:lineRule="auto"/>
        <w:jc w:val="both"/>
        <w:rPr>
          <w:rFonts w:ascii="Verdana" w:hAnsi="Verdana"/>
          <w:lang w:val="es-ES"/>
        </w:rPr>
      </w:pPr>
    </w:p>
    <w:p w14:paraId="7C4CA1A4" w14:textId="77777777" w:rsidR="00F74645" w:rsidRPr="00F74645" w:rsidRDefault="00F74645" w:rsidP="00F74645">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22E2064B" w14:textId="77777777" w:rsidR="00F74645" w:rsidRPr="00F74645" w:rsidRDefault="00F74645" w:rsidP="00F74645">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54182C82" w14:textId="77777777" w:rsidR="00F74645" w:rsidRPr="00F74645" w:rsidRDefault="00F74645" w:rsidP="00F74645">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3E705915" w14:textId="77777777" w:rsidR="00F74645" w:rsidRPr="00F74645" w:rsidRDefault="00F74645" w:rsidP="00F74645">
      <w:pPr>
        <w:spacing w:after="0" w:line="276" w:lineRule="auto"/>
        <w:jc w:val="both"/>
        <w:rPr>
          <w:rFonts w:ascii="Verdana" w:hAnsi="Verdana"/>
          <w:lang w:val="es-ES"/>
        </w:rPr>
      </w:pPr>
    </w:p>
    <w:p w14:paraId="77165D02" w14:textId="77777777" w:rsidR="00F74645" w:rsidRPr="00F74645" w:rsidRDefault="00F74645" w:rsidP="00F74645">
      <w:pPr>
        <w:spacing w:before="120" w:after="0" w:line="276" w:lineRule="auto"/>
        <w:jc w:val="both"/>
        <w:rPr>
          <w:rFonts w:ascii="Verdana" w:hAnsi="Verdana"/>
        </w:rPr>
      </w:pPr>
      <w:r w:rsidRPr="00F74645">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FFB0286" w14:textId="77777777" w:rsidR="00F74645" w:rsidRPr="00F74645" w:rsidRDefault="00F74645" w:rsidP="00F74645">
      <w:pPr>
        <w:spacing w:after="0" w:line="276" w:lineRule="auto"/>
        <w:jc w:val="both"/>
        <w:rPr>
          <w:rFonts w:ascii="Verdana" w:eastAsia="Calibri" w:hAnsi="Verdana" w:cs="Times New Roman"/>
        </w:rPr>
      </w:pPr>
    </w:p>
    <w:p w14:paraId="4B9C9EA1" w14:textId="77777777" w:rsidR="00F74645" w:rsidRPr="00F74645" w:rsidRDefault="00F74645" w:rsidP="00F74645">
      <w:pPr>
        <w:spacing w:after="0" w:line="276" w:lineRule="auto"/>
        <w:jc w:val="both"/>
        <w:rPr>
          <w:rFonts w:ascii="Verdana" w:eastAsia="Calibri" w:hAnsi="Verdana" w:cs="Times New Roman"/>
        </w:rPr>
      </w:pPr>
      <w:r w:rsidRPr="00F74645">
        <w:rPr>
          <w:rFonts w:ascii="Verdana" w:eastAsia="Calibri" w:hAnsi="Verdana" w:cs="Times New Roman"/>
        </w:rPr>
        <w:t>Atentamente,</w:t>
      </w:r>
    </w:p>
    <w:p w14:paraId="527E590F" w14:textId="77777777" w:rsidR="00F74645" w:rsidRPr="00F74645" w:rsidRDefault="00F74645" w:rsidP="00F74645">
      <w:pPr>
        <w:spacing w:after="0" w:line="276" w:lineRule="auto"/>
        <w:jc w:val="both"/>
        <w:rPr>
          <w:rFonts w:ascii="Verdana" w:eastAsia="Calibri" w:hAnsi="Verdana" w:cs="Times New Roman"/>
        </w:rPr>
      </w:pPr>
    </w:p>
    <w:p w14:paraId="542B74BB" w14:textId="4E1065AD" w:rsidR="00F74645" w:rsidRPr="00F74645" w:rsidRDefault="008D0B17" w:rsidP="00F74645">
      <w:pPr>
        <w:spacing w:after="0" w:line="276" w:lineRule="auto"/>
        <w:jc w:val="center"/>
        <w:rPr>
          <w:rFonts w:ascii="Verdana" w:eastAsia="Calibri" w:hAnsi="Verdana" w:cs="Times New Roman"/>
        </w:rPr>
      </w:pPr>
      <w:r>
        <w:rPr>
          <w:noProof/>
        </w:rPr>
        <w:drawing>
          <wp:inline distT="0" distB="0" distL="0" distR="0" wp14:anchorId="6619700B" wp14:editId="78EC39CC">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2"/>
                    <a:stretch>
                      <a:fillRect/>
                    </a:stretch>
                  </pic:blipFill>
                  <pic:spPr>
                    <a:xfrm>
                      <a:off x="0" y="0"/>
                      <a:ext cx="3771900" cy="1400175"/>
                    </a:xfrm>
                    <a:prstGeom prst="rect">
                      <a:avLst/>
                    </a:prstGeom>
                  </pic:spPr>
                </pic:pic>
              </a:graphicData>
            </a:graphic>
          </wp:inline>
        </w:drawing>
      </w:r>
    </w:p>
    <w:p w14:paraId="222A136F" w14:textId="77777777" w:rsidR="00F74645" w:rsidRPr="00F74645" w:rsidRDefault="00F74645" w:rsidP="00F74645">
      <w:pPr>
        <w:spacing w:after="0" w:line="276" w:lineRule="auto"/>
        <w:jc w:val="center"/>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74645" w:rsidRPr="00F74645" w14:paraId="4135E177" w14:textId="77777777" w:rsidTr="00595869">
        <w:trPr>
          <w:trHeight w:val="315"/>
        </w:trPr>
        <w:tc>
          <w:tcPr>
            <w:tcW w:w="893" w:type="dxa"/>
            <w:vAlign w:val="center"/>
            <w:hideMark/>
          </w:tcPr>
          <w:p w14:paraId="43385993" w14:textId="77777777" w:rsidR="00F74645" w:rsidRPr="00F74645" w:rsidRDefault="00F74645" w:rsidP="00F74645">
            <w:pPr>
              <w:contextualSpacing/>
              <w:rPr>
                <w:rFonts w:ascii="Verdana" w:hAnsi="Verdana" w:cs="Arial"/>
                <w:sz w:val="16"/>
                <w:szCs w:val="16"/>
                <w:lang w:eastAsia="es-ES"/>
              </w:rPr>
            </w:pPr>
            <w:r w:rsidRPr="00F74645">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63D1247B" w14:textId="77777777" w:rsidR="00F74645" w:rsidRPr="00F74645" w:rsidRDefault="00F74645" w:rsidP="00F74645">
            <w:pPr>
              <w:contextualSpacing/>
              <w:rPr>
                <w:rFonts w:ascii="Verdana" w:hAnsi="Verdana"/>
                <w:sz w:val="16"/>
                <w:szCs w:val="16"/>
              </w:rPr>
            </w:pPr>
            <w:r w:rsidRPr="00F74645">
              <w:rPr>
                <w:rFonts w:ascii="Verdana" w:hAnsi="Verdana"/>
                <w:sz w:val="16"/>
                <w:szCs w:val="16"/>
              </w:rPr>
              <w:t>Tatiana Baquero Iguarán</w:t>
            </w:r>
          </w:p>
          <w:p w14:paraId="697178D8" w14:textId="77777777" w:rsidR="00F74645" w:rsidRPr="00F74645" w:rsidRDefault="00F74645" w:rsidP="00F74645">
            <w:pPr>
              <w:contextualSpacing/>
              <w:rPr>
                <w:rFonts w:ascii="Verdana" w:eastAsia="Arial" w:hAnsi="Verdana" w:cs="Arial"/>
                <w:sz w:val="16"/>
                <w:szCs w:val="16"/>
              </w:rPr>
            </w:pPr>
            <w:r w:rsidRPr="00F74645">
              <w:rPr>
                <w:rFonts w:ascii="Verdana" w:hAnsi="Verdana"/>
                <w:sz w:val="16"/>
                <w:szCs w:val="16"/>
              </w:rPr>
              <w:lastRenderedPageBreak/>
              <w:t>Contratista de la Subdirección de Gestión Contractual</w:t>
            </w:r>
          </w:p>
        </w:tc>
      </w:tr>
      <w:tr w:rsidR="00F74645" w:rsidRPr="00F74645" w14:paraId="2953ABB8" w14:textId="77777777" w:rsidTr="00595869">
        <w:trPr>
          <w:trHeight w:val="330"/>
        </w:trPr>
        <w:tc>
          <w:tcPr>
            <w:tcW w:w="893" w:type="dxa"/>
            <w:vAlign w:val="center"/>
            <w:hideMark/>
          </w:tcPr>
          <w:p w14:paraId="4B177AC1" w14:textId="77777777" w:rsidR="00F74645" w:rsidRPr="00F74645" w:rsidRDefault="00F74645" w:rsidP="00F74645">
            <w:pPr>
              <w:contextualSpacing/>
              <w:rPr>
                <w:rFonts w:ascii="Verdana" w:hAnsi="Verdana" w:cs="Arial"/>
                <w:sz w:val="16"/>
                <w:szCs w:val="16"/>
                <w:lang w:eastAsia="es-ES"/>
              </w:rPr>
            </w:pPr>
            <w:r w:rsidRPr="00F74645">
              <w:rPr>
                <w:rFonts w:ascii="Verdana" w:hAnsi="Verdana" w:cs="Arial"/>
                <w:sz w:val="16"/>
                <w:szCs w:val="16"/>
                <w:lang w:eastAsia="es-ES"/>
              </w:rPr>
              <w:lastRenderedPageBreak/>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ECD26DD" w14:textId="77777777" w:rsidR="00F74645" w:rsidRPr="00F74645" w:rsidRDefault="00F74645" w:rsidP="00F74645">
            <w:pPr>
              <w:textAlignment w:val="baseline"/>
              <w:rPr>
                <w:rFonts w:ascii="Verdana" w:eastAsia="Times New Roman" w:hAnsi="Verdana" w:cs="Arial"/>
                <w:sz w:val="16"/>
                <w:szCs w:val="16"/>
                <w:lang w:val="es-ES_tradnl"/>
              </w:rPr>
            </w:pPr>
            <w:r w:rsidRPr="00F74645">
              <w:rPr>
                <w:rFonts w:ascii="Verdana" w:eastAsia="Times New Roman" w:hAnsi="Verdana" w:cs="Arial"/>
                <w:sz w:val="16"/>
                <w:szCs w:val="16"/>
                <w:lang w:val="es-ES_tradnl"/>
              </w:rPr>
              <w:t>Alejandro Sarmiento Cantillo</w:t>
            </w:r>
          </w:p>
          <w:p w14:paraId="7F58C393" w14:textId="77777777" w:rsidR="00F74645" w:rsidRPr="00F74645" w:rsidRDefault="00F74645" w:rsidP="00F74645">
            <w:pPr>
              <w:contextualSpacing/>
              <w:textAlignment w:val="baseline"/>
              <w:rPr>
                <w:rFonts w:ascii="Verdana" w:eastAsia="Times New Roman" w:hAnsi="Verdana" w:cs="Segoe UI"/>
                <w:sz w:val="16"/>
                <w:szCs w:val="16"/>
                <w:lang w:eastAsia="es-ES_tradnl"/>
              </w:rPr>
            </w:pPr>
            <w:r w:rsidRPr="00F74645">
              <w:rPr>
                <w:rFonts w:ascii="Verdana" w:hAnsi="Verdana" w:cs="Arial"/>
                <w:sz w:val="16"/>
                <w:szCs w:val="16"/>
                <w:lang w:val="es-ES_tradnl"/>
              </w:rPr>
              <w:t>Gestor T1 ‒ 15 de la Subdirección de Gestión Contractual</w:t>
            </w:r>
          </w:p>
          <w:p w14:paraId="0B53CFB3" w14:textId="77777777" w:rsidR="00F74645" w:rsidRPr="00F74645" w:rsidRDefault="00F74645" w:rsidP="00F74645">
            <w:pPr>
              <w:contextualSpacing/>
              <w:textAlignment w:val="baseline"/>
              <w:rPr>
                <w:rFonts w:ascii="Verdana" w:eastAsia="Times New Roman" w:hAnsi="Verdana" w:cs="Segoe UI"/>
                <w:sz w:val="16"/>
                <w:szCs w:val="16"/>
                <w:lang w:eastAsia="es-ES_tradnl"/>
              </w:rPr>
            </w:pPr>
          </w:p>
        </w:tc>
      </w:tr>
      <w:tr w:rsidR="00F74645" w:rsidRPr="00F74645" w14:paraId="5256DC1E" w14:textId="77777777" w:rsidTr="00595869">
        <w:trPr>
          <w:trHeight w:val="300"/>
        </w:trPr>
        <w:tc>
          <w:tcPr>
            <w:tcW w:w="893" w:type="dxa"/>
            <w:vAlign w:val="center"/>
          </w:tcPr>
          <w:p w14:paraId="09EF7356" w14:textId="77777777" w:rsidR="00F74645" w:rsidRPr="00F74645" w:rsidRDefault="00F74645" w:rsidP="00F74645">
            <w:pPr>
              <w:contextualSpacing/>
              <w:rPr>
                <w:rFonts w:ascii="Verdana" w:hAnsi="Verdana" w:cs="Arial"/>
                <w:sz w:val="16"/>
                <w:szCs w:val="16"/>
                <w:lang w:eastAsia="es-ES"/>
              </w:rPr>
            </w:pPr>
            <w:r w:rsidRPr="00F74645">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2285447" w14:textId="77777777" w:rsidR="00F74645" w:rsidRPr="00F74645" w:rsidRDefault="00F74645" w:rsidP="00F74645">
            <w:pPr>
              <w:contextualSpacing/>
              <w:rPr>
                <w:rFonts w:ascii="Verdana" w:eastAsia="Calibri" w:hAnsi="Verdana" w:cs="Arial"/>
                <w:sz w:val="16"/>
                <w:szCs w:val="16"/>
                <w:lang w:eastAsia="es-ES"/>
              </w:rPr>
            </w:pPr>
            <w:r w:rsidRPr="00F74645">
              <w:rPr>
                <w:rFonts w:ascii="Verdana" w:eastAsia="Calibri" w:hAnsi="Verdana" w:cs="Arial"/>
                <w:sz w:val="16"/>
                <w:szCs w:val="16"/>
                <w:lang w:eastAsia="es-ES"/>
              </w:rPr>
              <w:t>Carolina Quintero Gacharná</w:t>
            </w:r>
          </w:p>
          <w:p w14:paraId="2035FDD0" w14:textId="77777777" w:rsidR="00F74645" w:rsidRPr="00F74645" w:rsidRDefault="00F74645" w:rsidP="00F74645">
            <w:pPr>
              <w:contextualSpacing/>
              <w:rPr>
                <w:rFonts w:ascii="Verdana" w:eastAsia="Calibri" w:hAnsi="Verdana" w:cs="Arial"/>
                <w:sz w:val="16"/>
                <w:szCs w:val="16"/>
                <w:lang w:eastAsia="es-ES"/>
              </w:rPr>
            </w:pPr>
            <w:r w:rsidRPr="00F74645">
              <w:rPr>
                <w:rFonts w:ascii="Verdana" w:eastAsia="Calibri" w:hAnsi="Verdana" w:cs="Arial"/>
                <w:sz w:val="16"/>
                <w:szCs w:val="16"/>
                <w:lang w:eastAsia="es-ES"/>
              </w:rPr>
              <w:t>Subdirectora de Gestión Contractual ANCP – CCE</w:t>
            </w:r>
          </w:p>
        </w:tc>
      </w:tr>
    </w:tbl>
    <w:p w14:paraId="694756A5" w14:textId="77777777" w:rsidR="00F74645" w:rsidRPr="00F74645" w:rsidRDefault="00F74645" w:rsidP="00F74645">
      <w:pPr>
        <w:rPr>
          <w:lang w:val="es-ES"/>
        </w:rPr>
      </w:pPr>
    </w:p>
    <w:p w14:paraId="70D3D96C" w14:textId="07549850" w:rsidR="00F74645" w:rsidRPr="00F74645" w:rsidRDefault="00F74645" w:rsidP="00F74645"/>
    <w:p w14:paraId="0A48EA24" w14:textId="77777777" w:rsidR="00F74645" w:rsidRPr="00F74645" w:rsidRDefault="00F74645" w:rsidP="00F74645"/>
    <w:p w14:paraId="2A4B1BC1" w14:textId="77777777" w:rsidR="00F74645" w:rsidRPr="00F74645" w:rsidRDefault="00F74645" w:rsidP="00F74645"/>
    <w:p w14:paraId="1E748931" w14:textId="77777777" w:rsidR="00F74645" w:rsidRPr="00F74645" w:rsidRDefault="00F74645" w:rsidP="00F74645"/>
    <w:p w14:paraId="0F293BF4" w14:textId="4159D1B5" w:rsidR="00127233" w:rsidRPr="00F74645" w:rsidRDefault="00127233" w:rsidP="00F74645"/>
    <w:sectPr w:rsidR="00127233" w:rsidRPr="00F74645"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580F1" w14:textId="77777777" w:rsidR="00556758" w:rsidRDefault="00556758" w:rsidP="004A1847">
      <w:pPr>
        <w:spacing w:after="0" w:line="240" w:lineRule="auto"/>
      </w:pPr>
      <w:r>
        <w:separator/>
      </w:r>
    </w:p>
  </w:endnote>
  <w:endnote w:type="continuationSeparator" w:id="0">
    <w:p w14:paraId="18732C2E" w14:textId="77777777" w:rsidR="00556758" w:rsidRDefault="00556758" w:rsidP="004A1847">
      <w:pPr>
        <w:spacing w:after="0" w:line="240" w:lineRule="auto"/>
      </w:pPr>
      <w:r>
        <w:continuationSeparator/>
      </w:r>
    </w:p>
  </w:endnote>
  <w:endnote w:type="continuationNotice" w:id="1">
    <w:p w14:paraId="68DC7966" w14:textId="77777777" w:rsidR="00556758" w:rsidRDefault="00556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2605" w14:textId="77777777" w:rsidR="00556758" w:rsidRDefault="00556758" w:rsidP="004A1847">
      <w:pPr>
        <w:spacing w:after="0" w:line="240" w:lineRule="auto"/>
      </w:pPr>
      <w:r>
        <w:separator/>
      </w:r>
    </w:p>
  </w:footnote>
  <w:footnote w:type="continuationSeparator" w:id="0">
    <w:p w14:paraId="3AFE2B92" w14:textId="77777777" w:rsidR="00556758" w:rsidRDefault="00556758" w:rsidP="004A1847">
      <w:pPr>
        <w:spacing w:after="0" w:line="240" w:lineRule="auto"/>
      </w:pPr>
      <w:r>
        <w:continuationSeparator/>
      </w:r>
    </w:p>
  </w:footnote>
  <w:footnote w:type="continuationNotice" w:id="1">
    <w:p w14:paraId="2A7D6100" w14:textId="77777777" w:rsidR="00556758" w:rsidRDefault="00556758">
      <w:pPr>
        <w:spacing w:after="0" w:line="240" w:lineRule="auto"/>
      </w:pPr>
    </w:p>
  </w:footnote>
  <w:footnote w:id="2">
    <w:p w14:paraId="77CE0295" w14:textId="77777777" w:rsidR="00F74645" w:rsidRPr="005D21B9" w:rsidRDefault="00F74645" w:rsidP="00F74645">
      <w:pPr>
        <w:pStyle w:val="Textonotapie"/>
        <w:ind w:firstLine="708"/>
        <w:jc w:val="both"/>
        <w:rPr>
          <w:rFonts w:ascii="Verdana" w:hAnsi="Verdana"/>
          <w:sz w:val="16"/>
          <w:szCs w:val="16"/>
        </w:rPr>
      </w:pPr>
      <w:r w:rsidRPr="005D21B9">
        <w:rPr>
          <w:rStyle w:val="Refdenotaalpie"/>
          <w:rFonts w:ascii="Verdana" w:hAnsi="Verdana"/>
          <w:sz w:val="16"/>
          <w:szCs w:val="16"/>
        </w:rPr>
        <w:footnoteRef/>
      </w:r>
      <w:r w:rsidRPr="005D21B9">
        <w:rPr>
          <w:rFonts w:ascii="Verdana" w:hAnsi="Verdana"/>
          <w:sz w:val="16"/>
          <w:szCs w:val="16"/>
        </w:rPr>
        <w:t xml:space="preserve"> Superintendencia Financiera, Circular Básica Jurídica (C.E. 029/14), Título II Instrucciones generales relativas a las operaciones de las sociedades de servicios financieros, </w:t>
      </w:r>
      <w:proofErr w:type="spellStart"/>
      <w:r w:rsidRPr="005D21B9">
        <w:rPr>
          <w:rFonts w:ascii="Verdana" w:hAnsi="Verdana"/>
          <w:sz w:val="16"/>
          <w:szCs w:val="16"/>
        </w:rPr>
        <w:t>Capítulo</w:t>
      </w:r>
      <w:proofErr w:type="spellEnd"/>
      <w:r w:rsidRPr="005D21B9">
        <w:rPr>
          <w:rFonts w:ascii="Verdana" w:hAnsi="Verdana"/>
          <w:sz w:val="16"/>
          <w:szCs w:val="16"/>
        </w:rPr>
        <w:t xml:space="preserve"> I: Disposiciones Especiales Aplicables A Los Negocios Fiduciarios. Disponible en: </w:t>
      </w:r>
      <w:hyperlink r:id="rId1" w:history="1">
        <w:r w:rsidRPr="005D21B9">
          <w:rPr>
            <w:rStyle w:val="Hipervnculo"/>
            <w:rFonts w:ascii="Verdana" w:hAnsi="Verdana"/>
            <w:sz w:val="16"/>
            <w:szCs w:val="16"/>
          </w:rPr>
          <w:t>https://www.superfinanciera.gov.co/publicaciones/10083443/normativanormativa-generalcircular-basica-juridica-ce-10083443/</w:t>
        </w:r>
      </w:hyperlink>
      <w:r w:rsidRPr="005D21B9">
        <w:rPr>
          <w:rFonts w:ascii="Verdana" w:hAnsi="Verdana"/>
          <w:sz w:val="16"/>
          <w:szCs w:val="16"/>
        </w:rPr>
        <w:t xml:space="preserve"> </w:t>
      </w:r>
    </w:p>
  </w:footnote>
  <w:footnote w:id="3">
    <w:p w14:paraId="3545FBD3" w14:textId="77777777" w:rsidR="00F74645" w:rsidRPr="005D21B9" w:rsidRDefault="00F74645" w:rsidP="00F74645">
      <w:pPr>
        <w:pStyle w:val="Textonotapie"/>
        <w:ind w:firstLine="708"/>
        <w:contextualSpacing/>
        <w:jc w:val="both"/>
        <w:rPr>
          <w:rFonts w:ascii="Verdana" w:hAnsi="Verdana"/>
          <w:sz w:val="16"/>
          <w:szCs w:val="16"/>
        </w:rPr>
      </w:pPr>
      <w:r w:rsidRPr="005D21B9">
        <w:rPr>
          <w:rStyle w:val="Refdenotaalpie"/>
          <w:rFonts w:ascii="Verdana" w:hAnsi="Verdana"/>
          <w:sz w:val="16"/>
          <w:szCs w:val="16"/>
        </w:rPr>
        <w:footnoteRef/>
      </w:r>
      <w:r w:rsidRPr="005D21B9">
        <w:rPr>
          <w:rFonts w:ascii="Verdana" w:hAnsi="Verdana"/>
          <w:sz w:val="16"/>
          <w:szCs w:val="16"/>
        </w:rPr>
        <w:t xml:space="preserve"> </w:t>
      </w:r>
      <w:r w:rsidRPr="005D21B9">
        <w:rPr>
          <w:rFonts w:ascii="Verdana" w:hAnsi="Verdana"/>
          <w:sz w:val="16"/>
          <w:szCs w:val="16"/>
          <w:lang w:val="es-CO"/>
        </w:rPr>
        <w:t xml:space="preserve">Concepto 060361 del 19 de febrero de 2021, citado en el concepto </w:t>
      </w:r>
      <w:r w:rsidRPr="005D21B9">
        <w:rPr>
          <w:rFonts w:ascii="Verdana" w:hAnsi="Verdana"/>
          <w:sz w:val="16"/>
          <w:szCs w:val="16"/>
        </w:rPr>
        <w:t>220225937 de 2022 Secretaría Jurídica Distrital - Subsecretaría Jurídica Distrital. Disponible en: https://www.alcaldiabogota.gov.co/sisjur/normas/Norma1.jsp?i=125418&amp;dt=S#_edn1</w:t>
      </w:r>
    </w:p>
  </w:footnote>
  <w:footnote w:id="4">
    <w:p w14:paraId="58DAA47E" w14:textId="77777777" w:rsidR="00F74645" w:rsidRPr="005D21B9" w:rsidRDefault="00F74645" w:rsidP="00F74645">
      <w:pPr>
        <w:pStyle w:val="Textonotapie"/>
        <w:ind w:firstLine="708"/>
        <w:contextualSpacing/>
        <w:jc w:val="both"/>
        <w:rPr>
          <w:rFonts w:ascii="Verdana" w:hAnsi="Verdana"/>
          <w:sz w:val="16"/>
          <w:szCs w:val="16"/>
          <w:lang w:val="es-ES"/>
        </w:rPr>
      </w:pPr>
      <w:r w:rsidRPr="005D21B9">
        <w:rPr>
          <w:rStyle w:val="Refdenotaalpie"/>
          <w:rFonts w:ascii="Verdana" w:hAnsi="Verdana"/>
          <w:sz w:val="16"/>
          <w:szCs w:val="16"/>
        </w:rPr>
        <w:footnoteRef/>
      </w:r>
      <w:r w:rsidRPr="005D21B9">
        <w:rPr>
          <w:rFonts w:ascii="Verdana" w:hAnsi="Verdana"/>
          <w:sz w:val="16"/>
          <w:szCs w:val="16"/>
        </w:rPr>
        <w:t xml:space="preserve"> </w:t>
      </w:r>
      <w:r w:rsidRPr="005D21B9">
        <w:rPr>
          <w:rFonts w:ascii="Verdana" w:hAnsi="Verdana"/>
          <w:sz w:val="16"/>
          <w:szCs w:val="16"/>
          <w:lang w:val="es-ES"/>
        </w:rPr>
        <w:t xml:space="preserve">Ídem. </w:t>
      </w:r>
    </w:p>
  </w:footnote>
  <w:footnote w:id="5">
    <w:p w14:paraId="56E5639E" w14:textId="77777777" w:rsidR="00F74645" w:rsidRPr="005D21B9" w:rsidRDefault="00F74645" w:rsidP="00F74645">
      <w:pPr>
        <w:pStyle w:val="Textoindependiente"/>
        <w:spacing w:after="0" w:line="240" w:lineRule="auto"/>
        <w:ind w:firstLine="708"/>
        <w:contextualSpacing/>
        <w:jc w:val="both"/>
        <w:rPr>
          <w:rFonts w:ascii="Verdana" w:hAnsi="Verdana"/>
          <w:sz w:val="16"/>
          <w:szCs w:val="16"/>
        </w:rPr>
      </w:pPr>
      <w:r w:rsidRPr="005D21B9">
        <w:rPr>
          <w:rStyle w:val="Refdenotaalpie"/>
          <w:rFonts w:ascii="Verdana" w:hAnsi="Verdana"/>
          <w:sz w:val="16"/>
          <w:szCs w:val="16"/>
        </w:rPr>
        <w:footnoteRef/>
      </w:r>
      <w:r w:rsidRPr="005D21B9">
        <w:rPr>
          <w:rFonts w:ascii="Verdana" w:hAnsi="Verdana"/>
          <w:sz w:val="16"/>
          <w:szCs w:val="16"/>
        </w:rPr>
        <w:t xml:space="preserve"> Corte Constitucional, Sentencia C-086 de 1995, MP. Dr. Vladimiro Naranjo Mesa.</w:t>
      </w:r>
    </w:p>
  </w:footnote>
  <w:footnote w:id="6">
    <w:p w14:paraId="392B892D" w14:textId="77777777" w:rsidR="00F74645" w:rsidRPr="005D21B9" w:rsidRDefault="00F74645" w:rsidP="00F74645">
      <w:pPr>
        <w:pStyle w:val="Textonotapie"/>
        <w:ind w:firstLine="709"/>
        <w:jc w:val="both"/>
        <w:rPr>
          <w:sz w:val="16"/>
          <w:szCs w:val="16"/>
          <w:lang w:val="es-CO"/>
        </w:rPr>
      </w:pPr>
      <w:r w:rsidRPr="005D21B9">
        <w:rPr>
          <w:rStyle w:val="Refdenotaalpie"/>
          <w:sz w:val="16"/>
          <w:szCs w:val="16"/>
        </w:rPr>
        <w:footnoteRef/>
      </w:r>
      <w:r w:rsidRPr="005D21B9">
        <w:rPr>
          <w:sz w:val="16"/>
          <w:szCs w:val="16"/>
        </w:rPr>
        <w:t xml:space="preserve"> </w:t>
      </w:r>
      <w:r w:rsidRPr="005D21B9">
        <w:rPr>
          <w:rFonts w:ascii="Verdana" w:hAnsi="Verdana" w:cs="Arial"/>
          <w:sz w:val="16"/>
          <w:szCs w:val="16"/>
        </w:rPr>
        <w:t xml:space="preserve">Consejo de Estado. </w:t>
      </w:r>
      <w:r w:rsidRPr="005D21B9">
        <w:rPr>
          <w:rFonts w:ascii="Verdana" w:eastAsia="MS Mincho" w:hAnsi="Verdana" w:cs="Arial"/>
          <w:sz w:val="16"/>
          <w:szCs w:val="16"/>
          <w:lang w:val="es-ES_tradnl" w:eastAsia="es-CO"/>
        </w:rPr>
        <w:t>Sala de Consulta y Servicio Civil. Concepto del 4 de marzo de 1998. Radicado Nro. 1.074. CP.: Cesar Hoyos Salazar.</w:t>
      </w:r>
    </w:p>
  </w:footnote>
  <w:footnote w:id="7">
    <w:p w14:paraId="563A68F3" w14:textId="77777777" w:rsidR="00F74645" w:rsidRPr="005D21B9" w:rsidRDefault="00F74645" w:rsidP="00F74645">
      <w:pPr>
        <w:pStyle w:val="Textonotapie"/>
        <w:ind w:firstLine="708"/>
        <w:contextualSpacing/>
        <w:jc w:val="both"/>
        <w:rPr>
          <w:rFonts w:ascii="Verdana" w:hAnsi="Verdana"/>
          <w:sz w:val="16"/>
          <w:szCs w:val="16"/>
          <w:lang w:val="es-ES"/>
        </w:rPr>
      </w:pPr>
      <w:r w:rsidRPr="005D21B9">
        <w:rPr>
          <w:rStyle w:val="Refdenotaalpie"/>
          <w:rFonts w:ascii="Verdana" w:hAnsi="Verdana"/>
          <w:sz w:val="16"/>
          <w:szCs w:val="16"/>
        </w:rPr>
        <w:footnoteRef/>
      </w:r>
      <w:r w:rsidRPr="005D21B9">
        <w:rPr>
          <w:rFonts w:ascii="Verdana" w:hAnsi="Verdana"/>
          <w:sz w:val="16"/>
          <w:szCs w:val="16"/>
        </w:rPr>
        <w:t xml:space="preserve"> </w:t>
      </w:r>
      <w:r w:rsidRPr="005D21B9">
        <w:rPr>
          <w:rFonts w:ascii="Verdana" w:hAnsi="Verdana"/>
          <w:sz w:val="16"/>
          <w:szCs w:val="16"/>
          <w:lang w:val="es-ES"/>
        </w:rPr>
        <w:t xml:space="preserve">Citada en la Sentencia </w:t>
      </w:r>
      <w:r w:rsidRPr="005D21B9">
        <w:rPr>
          <w:rFonts w:ascii="Verdana" w:hAnsi="Verdana"/>
          <w:sz w:val="16"/>
          <w:szCs w:val="16"/>
          <w:lang w:val="es-CO"/>
        </w:rPr>
        <w:t>C-438 de 2017, M.P.</w:t>
      </w:r>
      <w:r w:rsidRPr="005D21B9">
        <w:rPr>
          <w:rFonts w:ascii="Verdana" w:hAnsi="Verdana"/>
          <w:color w:val="2D2D2D"/>
          <w:sz w:val="16"/>
          <w:szCs w:val="16"/>
          <w:shd w:val="clear" w:color="auto" w:fill="FFFFFF"/>
          <w:lang w:val="es-CO"/>
        </w:rPr>
        <w:t xml:space="preserve"> </w:t>
      </w:r>
      <w:r w:rsidRPr="005D21B9">
        <w:rPr>
          <w:rFonts w:ascii="Verdana" w:hAnsi="Verdana"/>
          <w:sz w:val="16"/>
          <w:szCs w:val="16"/>
          <w:lang w:val="es-CO"/>
        </w:rPr>
        <w:t>Gloria Stella Ortiz Delgado.</w:t>
      </w:r>
    </w:p>
  </w:footnote>
  <w:footnote w:id="8">
    <w:p w14:paraId="19D917CF" w14:textId="77777777" w:rsidR="00F74645" w:rsidRPr="005D21B9" w:rsidRDefault="00F74645" w:rsidP="00F74645">
      <w:pPr>
        <w:pStyle w:val="Textonotapie"/>
        <w:ind w:firstLine="709"/>
        <w:contextualSpacing/>
        <w:jc w:val="both"/>
        <w:rPr>
          <w:rFonts w:ascii="Verdana" w:eastAsia="MS Mincho" w:hAnsi="Verdana" w:cs="Arial"/>
          <w:sz w:val="16"/>
          <w:szCs w:val="16"/>
          <w:lang w:val="es-ES_tradnl" w:eastAsia="es-CO"/>
        </w:rPr>
      </w:pPr>
      <w:r w:rsidRPr="005D21B9">
        <w:rPr>
          <w:rStyle w:val="Refdenotaalpie"/>
          <w:rFonts w:ascii="Verdana" w:hAnsi="Verdana" w:cs="Arial"/>
          <w:sz w:val="16"/>
          <w:szCs w:val="16"/>
        </w:rPr>
        <w:footnoteRef/>
      </w:r>
      <w:r w:rsidRPr="005D21B9">
        <w:rPr>
          <w:rFonts w:ascii="Verdana" w:hAnsi="Verdana" w:cs="Arial"/>
          <w:sz w:val="16"/>
          <w:szCs w:val="16"/>
        </w:rPr>
        <w:t xml:space="preserve"> Consejo de Estado. </w:t>
      </w:r>
      <w:r w:rsidRPr="005D21B9">
        <w:rPr>
          <w:rFonts w:ascii="Verdana" w:eastAsia="MS Mincho" w:hAnsi="Verdana" w:cs="Arial"/>
          <w:sz w:val="16"/>
          <w:szCs w:val="16"/>
          <w:lang w:val="es-ES_tradnl" w:eastAsia="es-CO"/>
        </w:rPr>
        <w:t>Sala de Consulta y Servicio Civil. Concepto del 4 de marzo de 1998. Radicado Nro. 1.074. CP.: Cesar Hoyos Salazar.</w:t>
      </w:r>
    </w:p>
    <w:p w14:paraId="38731865" w14:textId="77777777" w:rsidR="00F74645" w:rsidRPr="005D21B9" w:rsidRDefault="00F74645" w:rsidP="00F74645">
      <w:pPr>
        <w:pStyle w:val="Textonotapie"/>
        <w:ind w:firstLine="709"/>
        <w:contextualSpacing/>
        <w:jc w:val="both"/>
        <w:rPr>
          <w:rFonts w:ascii="Verdana" w:hAnsi="Verdana" w:cs="Arial"/>
          <w:sz w:val="16"/>
          <w:szCs w:val="16"/>
          <w:lang w:val="es-CO"/>
        </w:rPr>
      </w:pPr>
    </w:p>
  </w:footnote>
  <w:footnote w:id="9">
    <w:p w14:paraId="327BBD60" w14:textId="77777777" w:rsidR="00F74645" w:rsidRPr="005D21B9" w:rsidRDefault="00F74645" w:rsidP="00F74645">
      <w:pPr>
        <w:pStyle w:val="Textonotapie"/>
        <w:ind w:firstLine="708"/>
        <w:contextualSpacing/>
        <w:jc w:val="both"/>
        <w:rPr>
          <w:rFonts w:ascii="Verdana" w:hAnsi="Verdana"/>
          <w:sz w:val="16"/>
          <w:szCs w:val="16"/>
          <w:lang w:val="es-ES"/>
        </w:rPr>
      </w:pPr>
      <w:r w:rsidRPr="005D21B9">
        <w:rPr>
          <w:rStyle w:val="Refdenotaalpie"/>
          <w:rFonts w:ascii="Verdana" w:hAnsi="Verdana"/>
          <w:sz w:val="16"/>
          <w:szCs w:val="16"/>
        </w:rPr>
        <w:footnoteRef/>
      </w:r>
      <w:r w:rsidRPr="005D21B9">
        <w:rPr>
          <w:rFonts w:ascii="Verdana" w:hAnsi="Verdana"/>
          <w:sz w:val="16"/>
          <w:szCs w:val="16"/>
        </w:rPr>
        <w:t xml:space="preserve"> Ibidem</w:t>
      </w:r>
    </w:p>
  </w:footnote>
  <w:footnote w:id="10">
    <w:p w14:paraId="501CC7D1" w14:textId="77777777" w:rsidR="00F74645" w:rsidRPr="005D21B9" w:rsidRDefault="00F74645" w:rsidP="00F74645">
      <w:pPr>
        <w:pStyle w:val="Textoindependiente"/>
        <w:spacing w:after="0" w:line="240" w:lineRule="auto"/>
        <w:ind w:firstLine="709"/>
        <w:contextualSpacing/>
        <w:jc w:val="both"/>
        <w:rPr>
          <w:rFonts w:ascii="Verdana" w:hAnsi="Verdana"/>
          <w:sz w:val="16"/>
          <w:szCs w:val="16"/>
        </w:rPr>
      </w:pPr>
      <w:r w:rsidRPr="005D21B9">
        <w:rPr>
          <w:rStyle w:val="Refdenotaalpie"/>
          <w:rFonts w:ascii="Verdana" w:hAnsi="Verdana"/>
          <w:sz w:val="16"/>
          <w:szCs w:val="16"/>
        </w:rPr>
        <w:footnoteRef/>
      </w:r>
      <w:r w:rsidRPr="005D21B9">
        <w:rPr>
          <w:rFonts w:ascii="Verdana" w:hAnsi="Verdana"/>
          <w:sz w:val="16"/>
          <w:szCs w:val="16"/>
        </w:rPr>
        <w:t xml:space="preserve"> El concepto citado</w:t>
      </w:r>
      <w:r w:rsidRPr="005D21B9">
        <w:rPr>
          <w:rFonts w:ascii="Verdana" w:hAnsi="Verdana"/>
          <w:spacing w:val="-8"/>
          <w:sz w:val="16"/>
          <w:szCs w:val="16"/>
        </w:rPr>
        <w:t xml:space="preserve"> </w:t>
      </w:r>
      <w:r w:rsidRPr="005D21B9">
        <w:rPr>
          <w:rFonts w:ascii="Verdana" w:hAnsi="Verdana"/>
          <w:sz w:val="16"/>
          <w:szCs w:val="16"/>
        </w:rPr>
        <w:t>afirmó: “No obstante, lo expresado por la Corte Constitucional, para la Sala la primera parte del texto del inciso 1º del numeral 5º del artículo 32 de la ley 80 de 1993, aunque declarado inexequible, sí indica que el espíritu de la ley era limitar la contratación de las entidades estatales a sólo dos figuras fiduciarias: la fiducia pública y el encargo fiduciario. Esta apreciación la refuerza el inciso 8º de la misma norma, por cuanto al expresar “La fiducia que se autoriza para el sector público en esta ley …”, y un poco más adelante, en la parte final “A la fiducia pública le será aplicables las normas del Código de Comercio sobre fiducia mercantil, en cuanto sean compatibles con lo dispuesto en esta ley”, indica en forma nítida que el contrato de fiducia a que se refiere es a la pública y no a la mercantil. Por consiguiente, no autorizó dicha ley la fiducia mercantil con aplicación de las normas de la ley 80, sino al revés, la fiducia pública con aplicación de las compatibles del Código de Comercio[...].</w:t>
      </w:r>
    </w:p>
    <w:p w14:paraId="7B2A82C0"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Fonts w:ascii="Verdana" w:hAnsi="Verdana" w:cs="Arial"/>
          <w:sz w:val="16"/>
          <w:szCs w:val="16"/>
        </w:rPr>
        <w:t>Sin embargo, para casos especiales la ley puede autorizar la celebración por entidades estatales de la fiducia mercantil. La propia ley 80 de 1993 en su artículo 41 parágrafo 2º inciso 2º consigna la posibilidad de constituir patrimonios autónomos para el desarrollo de procesos de titularización de activos e inversiones y para el pago de pasivos laborales.</w:t>
      </w:r>
    </w:p>
  </w:footnote>
  <w:footnote w:id="11">
    <w:p w14:paraId="28E6FA2F"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Style w:val="Refdenotaalpie"/>
          <w:rFonts w:ascii="Verdana" w:hAnsi="Verdana" w:cs="Arial"/>
          <w:sz w:val="16"/>
          <w:szCs w:val="16"/>
        </w:rPr>
        <w:footnoteRef/>
      </w:r>
      <w:r w:rsidRPr="005D21B9">
        <w:rPr>
          <w:rFonts w:ascii="Verdana" w:hAnsi="Verdana" w:cs="Arial"/>
          <w:sz w:val="16"/>
          <w:szCs w:val="16"/>
        </w:rPr>
        <w:t xml:space="preserve"> “Artículo 67. Aeropuerto del Café – AEROCAFÉ. Los recursos destinados al desarrollo del Proyecto del Aeropuerto del Café – AEROCAFÉ, serán ejecutados a través de un patrimonio autónomo que para tal efecto constituya la Aeronáutica Civil.</w:t>
      </w:r>
    </w:p>
    <w:p w14:paraId="4018AF6C"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Fonts w:ascii="Verdana" w:hAnsi="Verdana" w:cs="Arial"/>
          <w:sz w:val="16"/>
          <w:szCs w:val="16"/>
        </w:rPr>
        <w:t>El patrimonio autónomo podrá recibir aportes del Gobierno nacional, del departamento de Caldas y de sus municipios; y aceptar donaciones del sector público o privado, nacional e internacional. Así mismo, podrá celebrar operaciones de financiamiento interno o externo a nombre del patrimonio autónomo para lo cual la Nación o las entidades territoriales podrán otorgar los avales o garantías respectivas, hasta por el monto de los aportes que cada uno se haya comprometido.</w:t>
      </w:r>
    </w:p>
    <w:p w14:paraId="0E0E8D9E"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Fonts w:ascii="Verdana" w:hAnsi="Verdana" w:cs="Arial"/>
          <w:sz w:val="16"/>
          <w:szCs w:val="16"/>
        </w:rPr>
        <w:t>El régimen de contratación y administración de sus recursos se regirá por el derecho privado, con plena observancia de los principios de transparencia, economía, igualdad y publicidad, definidos por la Constitución y la Ley. El control fiscal de los recursos lo ejercerá la Contraloría General de la República”.</w:t>
      </w:r>
    </w:p>
    <w:p w14:paraId="5F5B8F88" w14:textId="77777777" w:rsidR="00F74645" w:rsidRPr="005D21B9" w:rsidRDefault="00F74645" w:rsidP="00F74645">
      <w:pPr>
        <w:pStyle w:val="Textonotapie"/>
        <w:ind w:firstLine="709"/>
        <w:contextualSpacing/>
        <w:jc w:val="both"/>
        <w:rPr>
          <w:rFonts w:ascii="Verdana" w:hAnsi="Verdana" w:cs="Arial"/>
          <w:sz w:val="16"/>
          <w:szCs w:val="16"/>
          <w:lang w:val="es-CO"/>
        </w:rPr>
      </w:pPr>
    </w:p>
  </w:footnote>
  <w:footnote w:id="12">
    <w:p w14:paraId="569E49E5" w14:textId="77777777" w:rsidR="00F74645" w:rsidRPr="005D21B9" w:rsidRDefault="00F74645" w:rsidP="00F74645">
      <w:pPr>
        <w:pStyle w:val="Textonotapie"/>
        <w:ind w:firstLine="709"/>
        <w:jc w:val="both"/>
        <w:rPr>
          <w:sz w:val="16"/>
          <w:szCs w:val="16"/>
          <w:lang w:val="es-CO"/>
        </w:rPr>
      </w:pPr>
      <w:r w:rsidRPr="005D21B9">
        <w:rPr>
          <w:rStyle w:val="Refdenotaalpie"/>
          <w:sz w:val="16"/>
          <w:szCs w:val="16"/>
        </w:rPr>
        <w:footnoteRef/>
      </w:r>
      <w:r w:rsidRPr="005D21B9">
        <w:rPr>
          <w:sz w:val="16"/>
          <w:szCs w:val="16"/>
        </w:rPr>
        <w:t xml:space="preserve"> </w:t>
      </w:r>
      <w:r w:rsidRPr="005D21B9">
        <w:rPr>
          <w:rFonts w:ascii="Verdana" w:hAnsi="Verdana"/>
          <w:sz w:val="16"/>
          <w:szCs w:val="16"/>
        </w:rPr>
        <w:t>Consejo de Estado, Sección Tercera, Sentencia del 26 de agosto de 2015, rad. núm. 11001-03-26-000 2010-00027-00(38637). C.P Hernán Andrade Rincón (E)</w:t>
      </w:r>
    </w:p>
  </w:footnote>
  <w:footnote w:id="13">
    <w:p w14:paraId="1185A8D7" w14:textId="77777777" w:rsidR="00F74645" w:rsidRPr="005D21B9" w:rsidRDefault="00F74645" w:rsidP="00F74645">
      <w:pPr>
        <w:pStyle w:val="Textonotapie"/>
        <w:ind w:firstLine="709"/>
        <w:jc w:val="both"/>
        <w:rPr>
          <w:sz w:val="16"/>
          <w:szCs w:val="16"/>
          <w:lang w:val="es-CO"/>
        </w:rPr>
      </w:pPr>
      <w:r w:rsidRPr="005D21B9">
        <w:rPr>
          <w:rStyle w:val="Refdenotaalpie"/>
          <w:sz w:val="16"/>
          <w:szCs w:val="16"/>
        </w:rPr>
        <w:footnoteRef/>
      </w:r>
      <w:r w:rsidRPr="005D21B9">
        <w:rPr>
          <w:sz w:val="16"/>
          <w:szCs w:val="16"/>
        </w:rPr>
        <w:t xml:space="preserve"> </w:t>
      </w:r>
      <w:r w:rsidRPr="005D21B9">
        <w:rPr>
          <w:rFonts w:ascii="Verdana" w:hAnsi="Verdana"/>
          <w:sz w:val="16"/>
          <w:szCs w:val="16"/>
        </w:rPr>
        <w:t xml:space="preserve">Consejo de Estado, Sala de Consulta y Servicio Civil, Concepto 30 de junio de 2022, </w:t>
      </w:r>
      <w:r w:rsidRPr="00DD4FAE">
        <w:rPr>
          <w:rFonts w:ascii="Verdana" w:hAnsi="Verdana"/>
          <w:sz w:val="16"/>
          <w:szCs w:val="16"/>
        </w:rPr>
        <w:t xml:space="preserve">rad. 00005. C.P: Édgar González López. </w:t>
      </w:r>
      <w:r w:rsidRPr="00DD4FAE">
        <w:rPr>
          <w:rFonts w:ascii="Verdana" w:hAnsi="Verdana"/>
          <w:sz w:val="16"/>
          <w:szCs w:val="16"/>
          <w:lang w:val="es-CO"/>
        </w:rPr>
        <w:t>Citado en pie de página 25</w:t>
      </w:r>
    </w:p>
  </w:footnote>
  <w:footnote w:id="14">
    <w:p w14:paraId="4FAB00FE" w14:textId="77777777" w:rsidR="00F74645" w:rsidRPr="005D21B9" w:rsidRDefault="00F74645" w:rsidP="00F74645">
      <w:pPr>
        <w:pStyle w:val="Textonotapie"/>
        <w:ind w:firstLine="709"/>
        <w:contextualSpacing/>
        <w:jc w:val="both"/>
        <w:rPr>
          <w:rFonts w:ascii="Verdana" w:hAnsi="Verdana" w:cs="Arial"/>
          <w:color w:val="000000" w:themeColor="text1"/>
          <w:sz w:val="16"/>
          <w:szCs w:val="16"/>
          <w:u w:val="single" w:color="404040"/>
        </w:rPr>
      </w:pPr>
      <w:r w:rsidRPr="005D21B9">
        <w:rPr>
          <w:rFonts w:ascii="Verdana" w:hAnsi="Verdana" w:cs="Arial"/>
          <w:color w:val="000000" w:themeColor="text1"/>
          <w:sz w:val="16"/>
          <w:szCs w:val="16"/>
        </w:rPr>
        <w:t xml:space="preserve">     </w:t>
      </w:r>
      <w:r w:rsidRPr="005D21B9">
        <w:rPr>
          <w:rStyle w:val="Refdenotaalpie"/>
          <w:rFonts w:ascii="Verdana" w:hAnsi="Verdana" w:cs="Arial"/>
          <w:color w:val="000000" w:themeColor="text1"/>
          <w:sz w:val="16"/>
          <w:szCs w:val="16"/>
        </w:rPr>
        <w:footnoteRef/>
      </w:r>
      <w:r w:rsidRPr="005D21B9">
        <w:rPr>
          <w:rFonts w:ascii="Verdana" w:hAnsi="Verdana" w:cs="Arial"/>
          <w:color w:val="000000" w:themeColor="text1"/>
          <w:sz w:val="16"/>
          <w:szCs w:val="16"/>
        </w:rPr>
        <w:t xml:space="preserve"> En sitio web: </w:t>
      </w:r>
      <w:hyperlink r:id="rId2" w:history="1">
        <w:r w:rsidRPr="005D21B9">
          <w:rPr>
            <w:rStyle w:val="Hipervnculo"/>
            <w:rFonts w:ascii="Verdana" w:hAnsi="Verdana" w:cs="Arial"/>
            <w:color w:val="000000" w:themeColor="text1"/>
            <w:sz w:val="16"/>
            <w:szCs w:val="16"/>
          </w:rPr>
          <w:t>https://relatoria.blob.core.windows.net/$web/files/conceptos-juridicos/CGR-OJ-0084-2017.PDF</w:t>
        </w:r>
      </w:hyperlink>
      <w:r>
        <w:rPr>
          <w:sz w:val="16"/>
          <w:szCs w:val="16"/>
        </w:rPr>
        <w:t xml:space="preserve"> </w:t>
      </w:r>
    </w:p>
  </w:footnote>
  <w:footnote w:id="15">
    <w:p w14:paraId="6E51F5A6"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Fonts w:ascii="Verdana" w:hAnsi="Verdana" w:cs="Arial"/>
          <w:color w:val="000000" w:themeColor="text1"/>
          <w:sz w:val="16"/>
          <w:szCs w:val="16"/>
        </w:rPr>
        <w:t xml:space="preserve">    </w:t>
      </w:r>
      <w:r w:rsidRPr="005D21B9">
        <w:rPr>
          <w:rStyle w:val="Refdenotaalpie"/>
          <w:rFonts w:ascii="Verdana" w:hAnsi="Verdana" w:cs="Arial"/>
          <w:color w:val="000000" w:themeColor="text1"/>
          <w:sz w:val="16"/>
          <w:szCs w:val="16"/>
        </w:rPr>
        <w:footnoteRef/>
      </w:r>
      <w:r w:rsidRPr="005D21B9">
        <w:rPr>
          <w:rFonts w:ascii="Verdana" w:hAnsi="Verdana" w:cs="Arial"/>
          <w:color w:val="000000" w:themeColor="text1"/>
          <w:sz w:val="16"/>
          <w:szCs w:val="16"/>
        </w:rPr>
        <w:t xml:space="preserve"> “[…] el artículo 669 del Código Civil instaura que el dominio o propiedad es un derecho real sobre una cosa corporal, para gozar y disponer de ella contra derecho ajeno. Transferir la propiedad de los recursos del Estado sin que </w:t>
      </w:r>
      <w:r w:rsidRPr="005D21B9">
        <w:rPr>
          <w:rFonts w:ascii="Verdana" w:hAnsi="Verdana" w:cs="Arial"/>
          <w:sz w:val="16"/>
          <w:szCs w:val="16"/>
        </w:rPr>
        <w:t>medie la finalidad prescrita por la Constitución para los mismos, indudablemente atenta contra derechos colectivos. Por ello, entre otras cosas, en el contrato de fiducia sobre recursos del Estado no se puede transferir el dominio pleno sobre ese bien que son los recursos públicos. Tampoco será aceptable en el ordenamiento jurídico colombiano que se mantenga izado un acuerdo que pretenda burlar la vigilancia o control</w:t>
      </w:r>
      <w:r w:rsidRPr="005D21B9">
        <w:rPr>
          <w:rFonts w:ascii="Verdana" w:hAnsi="Verdana" w:cs="Arial"/>
          <w:spacing w:val="41"/>
          <w:sz w:val="16"/>
          <w:szCs w:val="16"/>
        </w:rPr>
        <w:t xml:space="preserve"> </w:t>
      </w:r>
      <w:r w:rsidRPr="005D21B9">
        <w:rPr>
          <w:rFonts w:ascii="Verdana" w:hAnsi="Verdana" w:cs="Arial"/>
          <w:sz w:val="16"/>
          <w:szCs w:val="16"/>
        </w:rPr>
        <w:t>sobre</w:t>
      </w:r>
      <w:r w:rsidRPr="005D21B9">
        <w:rPr>
          <w:rFonts w:ascii="Verdana" w:hAnsi="Verdana" w:cs="Arial"/>
          <w:spacing w:val="41"/>
          <w:sz w:val="16"/>
          <w:szCs w:val="16"/>
        </w:rPr>
        <w:t xml:space="preserve"> </w:t>
      </w:r>
      <w:r w:rsidRPr="005D21B9">
        <w:rPr>
          <w:rFonts w:ascii="Verdana" w:hAnsi="Verdana" w:cs="Arial"/>
          <w:sz w:val="16"/>
          <w:szCs w:val="16"/>
        </w:rPr>
        <w:t>recursos</w:t>
      </w:r>
      <w:r w:rsidRPr="005D21B9">
        <w:rPr>
          <w:rFonts w:ascii="Verdana" w:hAnsi="Verdana" w:cs="Arial"/>
          <w:spacing w:val="42"/>
          <w:sz w:val="16"/>
          <w:szCs w:val="16"/>
        </w:rPr>
        <w:t xml:space="preserve"> </w:t>
      </w:r>
      <w:r w:rsidRPr="005D21B9">
        <w:rPr>
          <w:rFonts w:ascii="Verdana" w:hAnsi="Verdana" w:cs="Arial"/>
          <w:sz w:val="16"/>
          <w:szCs w:val="16"/>
        </w:rPr>
        <w:t>del</w:t>
      </w:r>
      <w:r w:rsidRPr="005D21B9">
        <w:rPr>
          <w:rFonts w:ascii="Verdana" w:hAnsi="Verdana" w:cs="Arial"/>
          <w:spacing w:val="41"/>
          <w:sz w:val="16"/>
          <w:szCs w:val="16"/>
        </w:rPr>
        <w:t xml:space="preserve"> </w:t>
      </w:r>
      <w:r w:rsidRPr="005D21B9">
        <w:rPr>
          <w:rFonts w:ascii="Verdana" w:hAnsi="Verdana" w:cs="Arial"/>
          <w:sz w:val="16"/>
          <w:szCs w:val="16"/>
        </w:rPr>
        <w:t>Estado;</w:t>
      </w:r>
      <w:r w:rsidRPr="005D21B9">
        <w:rPr>
          <w:rFonts w:ascii="Verdana" w:hAnsi="Verdana" w:cs="Arial"/>
          <w:spacing w:val="41"/>
          <w:sz w:val="16"/>
          <w:szCs w:val="16"/>
        </w:rPr>
        <w:t xml:space="preserve"> </w:t>
      </w:r>
      <w:r w:rsidRPr="005D21B9">
        <w:rPr>
          <w:rFonts w:ascii="Verdana" w:hAnsi="Verdana" w:cs="Arial"/>
          <w:sz w:val="16"/>
          <w:szCs w:val="16"/>
        </w:rPr>
        <w:t>la</w:t>
      </w:r>
      <w:r w:rsidRPr="005D21B9">
        <w:rPr>
          <w:rFonts w:ascii="Verdana" w:hAnsi="Verdana" w:cs="Arial"/>
          <w:spacing w:val="42"/>
          <w:sz w:val="16"/>
          <w:szCs w:val="16"/>
        </w:rPr>
        <w:t xml:space="preserve"> </w:t>
      </w:r>
      <w:r w:rsidRPr="005D21B9">
        <w:rPr>
          <w:rFonts w:ascii="Verdana" w:hAnsi="Verdana" w:cs="Arial"/>
          <w:sz w:val="16"/>
          <w:szCs w:val="16"/>
        </w:rPr>
        <w:t>simple</w:t>
      </w:r>
      <w:r w:rsidRPr="005D21B9">
        <w:rPr>
          <w:rFonts w:ascii="Verdana" w:hAnsi="Verdana" w:cs="Arial"/>
          <w:spacing w:val="41"/>
          <w:sz w:val="16"/>
          <w:szCs w:val="16"/>
        </w:rPr>
        <w:t xml:space="preserve"> </w:t>
      </w:r>
      <w:r w:rsidRPr="005D21B9">
        <w:rPr>
          <w:rFonts w:ascii="Verdana" w:hAnsi="Verdana" w:cs="Arial"/>
          <w:sz w:val="16"/>
          <w:szCs w:val="16"/>
        </w:rPr>
        <w:t>formalidad</w:t>
      </w:r>
      <w:r w:rsidRPr="005D21B9">
        <w:rPr>
          <w:rFonts w:ascii="Verdana" w:hAnsi="Verdana" w:cs="Arial"/>
          <w:spacing w:val="42"/>
          <w:sz w:val="16"/>
          <w:szCs w:val="16"/>
        </w:rPr>
        <w:t xml:space="preserve"> </w:t>
      </w:r>
      <w:r w:rsidRPr="005D21B9">
        <w:rPr>
          <w:rFonts w:ascii="Verdana" w:hAnsi="Verdana" w:cs="Arial"/>
          <w:sz w:val="16"/>
          <w:szCs w:val="16"/>
        </w:rPr>
        <w:t>sede</w:t>
      </w:r>
      <w:r w:rsidRPr="005D21B9">
        <w:rPr>
          <w:rFonts w:ascii="Verdana" w:hAnsi="Verdana" w:cs="Arial"/>
          <w:spacing w:val="41"/>
          <w:sz w:val="16"/>
          <w:szCs w:val="16"/>
        </w:rPr>
        <w:t xml:space="preserve"> </w:t>
      </w:r>
      <w:r w:rsidRPr="005D21B9">
        <w:rPr>
          <w:rFonts w:ascii="Verdana" w:hAnsi="Verdana" w:cs="Arial"/>
          <w:sz w:val="16"/>
          <w:szCs w:val="16"/>
        </w:rPr>
        <w:t>necesariamente</w:t>
      </w:r>
      <w:r w:rsidRPr="005D21B9">
        <w:rPr>
          <w:rFonts w:ascii="Verdana" w:hAnsi="Verdana" w:cs="Arial"/>
          <w:spacing w:val="41"/>
          <w:sz w:val="16"/>
          <w:szCs w:val="16"/>
        </w:rPr>
        <w:t xml:space="preserve"> </w:t>
      </w:r>
      <w:r w:rsidRPr="005D21B9">
        <w:rPr>
          <w:rFonts w:ascii="Verdana" w:hAnsi="Verdana" w:cs="Arial"/>
          <w:sz w:val="16"/>
          <w:szCs w:val="16"/>
        </w:rPr>
        <w:t>ante</w:t>
      </w:r>
      <w:r w:rsidRPr="005D21B9">
        <w:rPr>
          <w:rFonts w:ascii="Verdana" w:hAnsi="Verdana" w:cs="Arial"/>
          <w:spacing w:val="42"/>
          <w:sz w:val="16"/>
          <w:szCs w:val="16"/>
        </w:rPr>
        <w:t xml:space="preserve"> </w:t>
      </w:r>
      <w:r w:rsidRPr="005D21B9">
        <w:rPr>
          <w:rFonts w:ascii="Verdana" w:hAnsi="Verdana" w:cs="Arial"/>
          <w:sz w:val="16"/>
          <w:szCs w:val="16"/>
        </w:rPr>
        <w:t>la</w:t>
      </w:r>
      <w:r w:rsidRPr="005D21B9">
        <w:rPr>
          <w:rFonts w:ascii="Verdana" w:hAnsi="Verdana" w:cs="Arial"/>
          <w:spacing w:val="44"/>
          <w:sz w:val="16"/>
          <w:szCs w:val="16"/>
        </w:rPr>
        <w:t xml:space="preserve"> </w:t>
      </w:r>
      <w:r w:rsidRPr="005D21B9">
        <w:rPr>
          <w:rFonts w:ascii="Verdana" w:hAnsi="Verdana" w:cs="Arial"/>
          <w:sz w:val="16"/>
          <w:szCs w:val="16"/>
        </w:rPr>
        <w:t>materialidad</w:t>
      </w:r>
      <w:r w:rsidRPr="005D21B9">
        <w:rPr>
          <w:rFonts w:ascii="Verdana" w:hAnsi="Verdana" w:cs="Arial"/>
          <w:spacing w:val="42"/>
          <w:sz w:val="16"/>
          <w:szCs w:val="16"/>
        </w:rPr>
        <w:t xml:space="preserve"> </w:t>
      </w:r>
      <w:r w:rsidRPr="005D21B9">
        <w:rPr>
          <w:rFonts w:ascii="Verdana" w:hAnsi="Verdana" w:cs="Arial"/>
          <w:sz w:val="16"/>
          <w:szCs w:val="16"/>
        </w:rPr>
        <w:t>de</w:t>
      </w:r>
      <w:r w:rsidRPr="005D21B9">
        <w:rPr>
          <w:rFonts w:ascii="Verdana" w:hAnsi="Verdana" w:cs="Arial"/>
          <w:spacing w:val="41"/>
          <w:sz w:val="16"/>
          <w:szCs w:val="16"/>
        </w:rPr>
        <w:t xml:space="preserve"> </w:t>
      </w:r>
      <w:r w:rsidRPr="005D21B9">
        <w:rPr>
          <w:rFonts w:ascii="Verdana" w:hAnsi="Verdana" w:cs="Arial"/>
          <w:sz w:val="16"/>
          <w:szCs w:val="16"/>
        </w:rPr>
        <w:t xml:space="preserve">los hechos, en este orden ha señalado la Honorable Corte Constitucional, que donde quiera que </w:t>
      </w:r>
      <w:proofErr w:type="gramStart"/>
      <w:r w:rsidRPr="005D21B9">
        <w:rPr>
          <w:rFonts w:ascii="Verdana" w:hAnsi="Verdana" w:cs="Arial"/>
          <w:sz w:val="16"/>
          <w:szCs w:val="16"/>
        </w:rPr>
        <w:t>hayan</w:t>
      </w:r>
      <w:proofErr w:type="gramEnd"/>
      <w:r w:rsidRPr="005D21B9">
        <w:rPr>
          <w:rFonts w:ascii="Verdana" w:hAnsi="Verdana" w:cs="Arial"/>
          <w:sz w:val="16"/>
          <w:szCs w:val="16"/>
        </w:rPr>
        <w:t xml:space="preserve"> recursos públicos debe estar siempre presente la vigilancia y el control fiscal”.</w:t>
      </w:r>
    </w:p>
  </w:footnote>
  <w:footnote w:id="16">
    <w:p w14:paraId="5949D84A"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Style w:val="Refdenotaalpie"/>
          <w:rFonts w:ascii="Verdana" w:hAnsi="Verdana" w:cs="Arial"/>
          <w:sz w:val="16"/>
          <w:szCs w:val="16"/>
        </w:rPr>
        <w:footnoteRef/>
      </w:r>
      <w:r w:rsidRPr="005D21B9">
        <w:rPr>
          <w:rFonts w:ascii="Verdana" w:hAnsi="Verdana" w:cs="Arial"/>
          <w:sz w:val="16"/>
          <w:szCs w:val="16"/>
        </w:rPr>
        <w:t xml:space="preserve"> “El Estado transfiere para su administración unos recursos públicos, pero es diáfano que la administración es diferente al dominio. El titular del derecho de dominio sobre los recursos sigue siendo el Estado, sin </w:t>
      </w:r>
      <w:proofErr w:type="gramStart"/>
      <w:r w:rsidRPr="005D21B9">
        <w:rPr>
          <w:rFonts w:ascii="Verdana" w:hAnsi="Verdana" w:cs="Arial"/>
          <w:sz w:val="16"/>
          <w:szCs w:val="16"/>
        </w:rPr>
        <w:t>que</w:t>
      </w:r>
      <w:proofErr w:type="gramEnd"/>
      <w:r w:rsidRPr="005D21B9">
        <w:rPr>
          <w:rFonts w:ascii="Verdana" w:hAnsi="Verdana" w:cs="Arial"/>
          <w:sz w:val="16"/>
          <w:szCs w:val="16"/>
        </w:rPr>
        <w:t xml:space="preserve"> por el hecho de realizar un contrato de fiducia, que es esencialmente instrumental, pierda tal calidad. El artículo 1244 del Código de Comercio es ilustrativo para esclarecer este punto: “Será ineficaz toda estipulación que disponga que el fiduciario adquirirá definitivamente, por causa del negocio fiduciario, el dominio de los bienes fideicomitidos”.</w:t>
      </w:r>
    </w:p>
    <w:p w14:paraId="00FB79CF" w14:textId="77777777" w:rsidR="00F74645" w:rsidRPr="005D21B9" w:rsidRDefault="00F74645" w:rsidP="00F74645">
      <w:pPr>
        <w:pStyle w:val="Textonotapie"/>
        <w:ind w:firstLine="709"/>
        <w:contextualSpacing/>
        <w:jc w:val="both"/>
        <w:rPr>
          <w:rFonts w:ascii="Verdana" w:hAnsi="Verdana" w:cs="Arial"/>
          <w:sz w:val="16"/>
          <w:szCs w:val="16"/>
        </w:rPr>
      </w:pPr>
      <w:r w:rsidRPr="005D21B9">
        <w:rPr>
          <w:rFonts w:ascii="Verdana" w:hAnsi="Verdana" w:cs="Arial"/>
          <w:sz w:val="16"/>
          <w:szCs w:val="16"/>
        </w:rPr>
        <w:t xml:space="preserve">La razón de ser de la fiducia mercantil en este </w:t>
      </w:r>
      <w:proofErr w:type="gramStart"/>
      <w:r w:rsidRPr="005D21B9">
        <w:rPr>
          <w:rFonts w:ascii="Verdana" w:hAnsi="Verdana" w:cs="Arial"/>
          <w:sz w:val="16"/>
          <w:szCs w:val="16"/>
        </w:rPr>
        <w:t>caso,</w:t>
      </w:r>
      <w:proofErr w:type="gramEnd"/>
      <w:r w:rsidRPr="005D21B9">
        <w:rPr>
          <w:rFonts w:ascii="Verdana" w:hAnsi="Verdana" w:cs="Arial"/>
          <w:sz w:val="16"/>
          <w:szCs w:val="16"/>
        </w:rPr>
        <w:t xml:space="preserve"> es acudir a un administrador de los recursos públicos, no transferir sobre los mismos el derecho de propiedad o dominio”.</w:t>
      </w:r>
    </w:p>
  </w:footnote>
  <w:footnote w:id="17">
    <w:p w14:paraId="4A7CB564"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Style w:val="Refdenotaalpie"/>
          <w:rFonts w:ascii="Verdana" w:hAnsi="Verdana" w:cs="Arial"/>
          <w:sz w:val="16"/>
          <w:szCs w:val="16"/>
        </w:rPr>
        <w:footnoteRef/>
      </w:r>
      <w:r w:rsidRPr="005D21B9">
        <w:rPr>
          <w:rFonts w:ascii="Verdana" w:hAnsi="Verdana" w:cs="Arial"/>
          <w:sz w:val="16"/>
          <w:szCs w:val="16"/>
        </w:rPr>
        <w:t xml:space="preserve"> “Artículo 1234. Otros deberes indelegables del fiduciario. Son deberes indelegables del fiduciario, además de los previstos en el acto constitutivo, los </w:t>
      </w:r>
      <w:proofErr w:type="gramStart"/>
      <w:r w:rsidRPr="005D21B9">
        <w:rPr>
          <w:rFonts w:ascii="Verdana" w:hAnsi="Verdana" w:cs="Arial"/>
          <w:sz w:val="16"/>
          <w:szCs w:val="16"/>
        </w:rPr>
        <w:t>siguientes:[</w:t>
      </w:r>
      <w:proofErr w:type="gramEnd"/>
      <w:r w:rsidRPr="005D21B9">
        <w:rPr>
          <w:rFonts w:ascii="Verdana" w:hAnsi="Verdana" w:cs="Arial"/>
          <w:sz w:val="16"/>
          <w:szCs w:val="16"/>
        </w:rPr>
        <w:t>…].</w:t>
      </w:r>
    </w:p>
    <w:p w14:paraId="2D47AA34" w14:textId="77777777" w:rsidR="00F74645" w:rsidRPr="005D21B9" w:rsidRDefault="00F74645" w:rsidP="00F74645">
      <w:pPr>
        <w:spacing w:after="0" w:line="240" w:lineRule="auto"/>
        <w:ind w:firstLine="709"/>
        <w:contextualSpacing/>
        <w:jc w:val="both"/>
        <w:rPr>
          <w:rFonts w:ascii="Verdana" w:hAnsi="Verdana" w:cs="Arial"/>
          <w:sz w:val="16"/>
          <w:szCs w:val="16"/>
        </w:rPr>
      </w:pPr>
      <w:r w:rsidRPr="005D21B9">
        <w:rPr>
          <w:rFonts w:ascii="Verdana" w:hAnsi="Verdana" w:cs="Arial"/>
          <w:sz w:val="16"/>
          <w:szCs w:val="16"/>
        </w:rPr>
        <w:t>8) Rendir cuentas comprobadas de su gestión al beneficiario cada seis meses”.</w:t>
      </w:r>
    </w:p>
  </w:footnote>
  <w:footnote w:id="18">
    <w:p w14:paraId="315948E9" w14:textId="77777777" w:rsidR="00F74645" w:rsidRPr="005D21B9" w:rsidRDefault="00F74645" w:rsidP="00F74645">
      <w:pPr>
        <w:spacing w:after="0" w:line="240" w:lineRule="auto"/>
        <w:ind w:left="708"/>
        <w:contextualSpacing/>
        <w:jc w:val="both"/>
        <w:rPr>
          <w:rFonts w:ascii="Verdana" w:hAnsi="Verdana" w:cs="Arial"/>
          <w:sz w:val="16"/>
          <w:szCs w:val="16"/>
        </w:rPr>
      </w:pPr>
      <w:r w:rsidRPr="005D21B9">
        <w:rPr>
          <w:rStyle w:val="Refdenotaalpie"/>
          <w:rFonts w:ascii="Verdana" w:hAnsi="Verdana" w:cs="Arial"/>
          <w:sz w:val="16"/>
          <w:szCs w:val="16"/>
        </w:rPr>
        <w:footnoteRef/>
      </w:r>
      <w:r w:rsidRPr="005D21B9">
        <w:rPr>
          <w:rFonts w:ascii="Verdana" w:hAnsi="Verdana" w:cs="Arial"/>
          <w:sz w:val="16"/>
          <w:szCs w:val="16"/>
        </w:rPr>
        <w:t xml:space="preserve"> </w:t>
      </w:r>
      <w:proofErr w:type="gramStart"/>
      <w:r w:rsidRPr="005D21B9">
        <w:rPr>
          <w:rFonts w:ascii="Verdana" w:hAnsi="Verdana" w:cs="Arial"/>
          <w:sz w:val="16"/>
          <w:szCs w:val="16"/>
        </w:rPr>
        <w:t>”Artículo</w:t>
      </w:r>
      <w:proofErr w:type="gramEnd"/>
      <w:r w:rsidRPr="005D21B9">
        <w:rPr>
          <w:rFonts w:ascii="Verdana" w:hAnsi="Verdana" w:cs="Arial"/>
          <w:sz w:val="16"/>
          <w:szCs w:val="16"/>
        </w:rPr>
        <w:t xml:space="preserve"> 1236. derechos del fiduciante. Al fiduciante le corresponderán los siguientes </w:t>
      </w:r>
      <w:proofErr w:type="gramStart"/>
      <w:r w:rsidRPr="005D21B9">
        <w:rPr>
          <w:rFonts w:ascii="Verdana" w:hAnsi="Verdana" w:cs="Arial"/>
          <w:sz w:val="16"/>
          <w:szCs w:val="16"/>
        </w:rPr>
        <w:t>derechos:[</w:t>
      </w:r>
      <w:proofErr w:type="gramEnd"/>
      <w:r w:rsidRPr="005D21B9">
        <w:rPr>
          <w:rFonts w:ascii="Verdana" w:hAnsi="Verdana" w:cs="Arial"/>
          <w:sz w:val="16"/>
          <w:szCs w:val="16"/>
        </w:rPr>
        <w:t>…]</w:t>
      </w:r>
    </w:p>
    <w:p w14:paraId="494ED914" w14:textId="77777777" w:rsidR="00F74645" w:rsidRPr="005D21B9" w:rsidRDefault="00F74645" w:rsidP="00F74645">
      <w:pPr>
        <w:pStyle w:val="Textonotapie"/>
        <w:ind w:firstLine="708"/>
        <w:contextualSpacing/>
        <w:jc w:val="both"/>
        <w:rPr>
          <w:rFonts w:ascii="Verdana" w:hAnsi="Verdana" w:cs="Arial"/>
          <w:sz w:val="16"/>
          <w:szCs w:val="16"/>
          <w:lang w:val="es-CO"/>
        </w:rPr>
      </w:pPr>
      <w:r w:rsidRPr="005D21B9">
        <w:rPr>
          <w:rFonts w:ascii="Verdana" w:hAnsi="Verdana" w:cs="Arial"/>
          <w:sz w:val="16"/>
          <w:szCs w:val="16"/>
        </w:rPr>
        <w:t>4) Exigir rendición de cuentas”.</w:t>
      </w:r>
    </w:p>
  </w:footnote>
  <w:footnote w:id="19">
    <w:p w14:paraId="70EAA436" w14:textId="77777777" w:rsidR="00F74645" w:rsidRPr="005D21B9" w:rsidRDefault="00F74645" w:rsidP="00F74645">
      <w:pPr>
        <w:pStyle w:val="Textonotapie"/>
        <w:ind w:firstLine="708"/>
        <w:jc w:val="both"/>
        <w:rPr>
          <w:sz w:val="16"/>
          <w:szCs w:val="16"/>
        </w:rPr>
      </w:pPr>
      <w:r w:rsidRPr="005D21B9">
        <w:rPr>
          <w:rStyle w:val="Refdenotaalpie"/>
          <w:rFonts w:ascii="Verdana" w:hAnsi="Verdana"/>
          <w:sz w:val="16"/>
          <w:szCs w:val="16"/>
        </w:rPr>
        <w:footnoteRef/>
      </w:r>
      <w:r w:rsidRPr="005D21B9">
        <w:rPr>
          <w:rFonts w:ascii="Verdana" w:hAnsi="Verdana"/>
          <w:sz w:val="16"/>
          <w:szCs w:val="16"/>
        </w:rPr>
        <w:t xml:space="preserve"> </w:t>
      </w:r>
      <w:r w:rsidRPr="005D21B9">
        <w:rPr>
          <w:rFonts w:ascii="Verdana" w:hAnsi="Verdana" w:cs="Arial"/>
          <w:sz w:val="16"/>
          <w:szCs w:val="16"/>
          <w:lang w:val="es-CO"/>
        </w:rPr>
        <w:t>Citado en Concepto 220225937 de 2022 de la Secretaría Jurídica Distrital, Disponible en: https://www.alcaldiabogota.gov.co/sisjur/normas/Norma1.jsp?i=125418&amp;dt=S#_edn5</w:t>
      </w:r>
    </w:p>
  </w:footnote>
  <w:footnote w:id="20">
    <w:p w14:paraId="74AAA48C" w14:textId="77777777" w:rsidR="00F74645" w:rsidRPr="005D21B9" w:rsidRDefault="00F74645" w:rsidP="00F74645">
      <w:pPr>
        <w:pStyle w:val="Textonotapie"/>
        <w:ind w:firstLine="708"/>
        <w:jc w:val="both"/>
        <w:rPr>
          <w:sz w:val="16"/>
          <w:szCs w:val="16"/>
          <w:lang w:val="es-ES"/>
        </w:rPr>
      </w:pPr>
      <w:r w:rsidRPr="005D21B9">
        <w:rPr>
          <w:rStyle w:val="Refdenotaalpie"/>
          <w:sz w:val="16"/>
          <w:szCs w:val="16"/>
        </w:rPr>
        <w:footnoteRef/>
      </w:r>
      <w:r w:rsidRPr="005D21B9">
        <w:rPr>
          <w:sz w:val="16"/>
          <w:szCs w:val="16"/>
        </w:rPr>
        <w:t xml:space="preserve"> </w:t>
      </w:r>
      <w:r w:rsidRPr="005D21B9">
        <w:rPr>
          <w:rFonts w:ascii="Verdana" w:hAnsi="Verdana" w:cs="Arial"/>
          <w:sz w:val="16"/>
          <w:szCs w:val="16"/>
          <w:lang w:val="es-CO"/>
        </w:rPr>
        <w:t>Departamento Administrativo de la Función Púbica- DAFP, Concepto 060361 del 19 de febrero de 2021. Citado en Concepto 220225937 de 2022 Secretaría Jurídica Distrital.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D750F8C"/>
    <w:multiLevelType w:val="hybridMultilevel"/>
    <w:tmpl w:val="878C7514"/>
    <w:lvl w:ilvl="0" w:tplc="240A001B">
      <w:start w:val="1"/>
      <w:numFmt w:val="lowerRoman"/>
      <w:lvlText w:val="%1."/>
      <w:lvlJc w:val="right"/>
      <w:pPr>
        <w:ind w:left="1080" w:hanging="72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D7635D"/>
    <w:multiLevelType w:val="hybridMultilevel"/>
    <w:tmpl w:val="878C7514"/>
    <w:lvl w:ilvl="0" w:tplc="FFFFFFFF">
      <w:start w:val="1"/>
      <w:numFmt w:val="lowerRoman"/>
      <w:lvlText w:val="%1."/>
      <w:lvlJc w:val="righ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4"/>
  </w:num>
  <w:num w:numId="8" w16cid:durableId="152644682">
    <w:abstractNumId w:val="14"/>
  </w:num>
  <w:num w:numId="9" w16cid:durableId="1317221377">
    <w:abstractNumId w:val="6"/>
  </w:num>
  <w:num w:numId="10" w16cid:durableId="1471245386">
    <w:abstractNumId w:val="13"/>
  </w:num>
  <w:num w:numId="11" w16cid:durableId="289172385">
    <w:abstractNumId w:val="7"/>
  </w:num>
  <w:num w:numId="12" w16cid:durableId="1470781324">
    <w:abstractNumId w:val="0"/>
  </w:num>
  <w:num w:numId="13" w16cid:durableId="1512908409">
    <w:abstractNumId w:val="2"/>
  </w:num>
  <w:num w:numId="14" w16cid:durableId="895897244">
    <w:abstractNumId w:val="16"/>
  </w:num>
  <w:num w:numId="15" w16cid:durableId="390349800">
    <w:abstractNumId w:val="11"/>
  </w:num>
  <w:num w:numId="16" w16cid:durableId="153255849">
    <w:abstractNumId w:val="8"/>
  </w:num>
  <w:num w:numId="17" w16cid:durableId="1337683695">
    <w:abstractNumId w:val="9"/>
  </w:num>
  <w:num w:numId="18" w16cid:durableId="393510479">
    <w:abstractNumId w:val="10"/>
  </w:num>
  <w:num w:numId="19" w16cid:durableId="1002050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11D6"/>
    <w:rsid w:val="000114C9"/>
    <w:rsid w:val="00016F78"/>
    <w:rsid w:val="00022AF3"/>
    <w:rsid w:val="00044066"/>
    <w:rsid w:val="00046945"/>
    <w:rsid w:val="00053FAA"/>
    <w:rsid w:val="00061B2A"/>
    <w:rsid w:val="000657F9"/>
    <w:rsid w:val="00075159"/>
    <w:rsid w:val="00075FF0"/>
    <w:rsid w:val="00082362"/>
    <w:rsid w:val="00087C93"/>
    <w:rsid w:val="000A1A30"/>
    <w:rsid w:val="000A683E"/>
    <w:rsid w:val="000B19B9"/>
    <w:rsid w:val="000C373E"/>
    <w:rsid w:val="000C508E"/>
    <w:rsid w:val="000D0334"/>
    <w:rsid w:val="000D4217"/>
    <w:rsid w:val="000D5DA7"/>
    <w:rsid w:val="000F6486"/>
    <w:rsid w:val="00105C10"/>
    <w:rsid w:val="00107DB7"/>
    <w:rsid w:val="0011288F"/>
    <w:rsid w:val="00116940"/>
    <w:rsid w:val="00125105"/>
    <w:rsid w:val="00127233"/>
    <w:rsid w:val="00151C7C"/>
    <w:rsid w:val="0015699B"/>
    <w:rsid w:val="001A33BF"/>
    <w:rsid w:val="001A48E1"/>
    <w:rsid w:val="001C1FBF"/>
    <w:rsid w:val="001D0187"/>
    <w:rsid w:val="001D79D7"/>
    <w:rsid w:val="001E3AD7"/>
    <w:rsid w:val="001E3C48"/>
    <w:rsid w:val="001E4177"/>
    <w:rsid w:val="001F0B24"/>
    <w:rsid w:val="001F7DC6"/>
    <w:rsid w:val="00203095"/>
    <w:rsid w:val="002049E2"/>
    <w:rsid w:val="00211A3D"/>
    <w:rsid w:val="0022400B"/>
    <w:rsid w:val="00240510"/>
    <w:rsid w:val="002421BB"/>
    <w:rsid w:val="0024365D"/>
    <w:rsid w:val="002510E6"/>
    <w:rsid w:val="00255BF8"/>
    <w:rsid w:val="0025796E"/>
    <w:rsid w:val="002607DD"/>
    <w:rsid w:val="00265877"/>
    <w:rsid w:val="002707A2"/>
    <w:rsid w:val="00286E12"/>
    <w:rsid w:val="002951A0"/>
    <w:rsid w:val="002962BC"/>
    <w:rsid w:val="00297D04"/>
    <w:rsid w:val="002A093D"/>
    <w:rsid w:val="002A0DD0"/>
    <w:rsid w:val="002A1D07"/>
    <w:rsid w:val="002A49AC"/>
    <w:rsid w:val="002A5759"/>
    <w:rsid w:val="002A64FD"/>
    <w:rsid w:val="002C3DA2"/>
    <w:rsid w:val="002C7A84"/>
    <w:rsid w:val="002D7887"/>
    <w:rsid w:val="002E2BF8"/>
    <w:rsid w:val="002E414E"/>
    <w:rsid w:val="002E460B"/>
    <w:rsid w:val="002E4FD9"/>
    <w:rsid w:val="0030657A"/>
    <w:rsid w:val="00310485"/>
    <w:rsid w:val="00311FD6"/>
    <w:rsid w:val="00320E99"/>
    <w:rsid w:val="00322A85"/>
    <w:rsid w:val="00322DA9"/>
    <w:rsid w:val="00323B89"/>
    <w:rsid w:val="00324168"/>
    <w:rsid w:val="00330834"/>
    <w:rsid w:val="00332E23"/>
    <w:rsid w:val="00343BB0"/>
    <w:rsid w:val="003448F4"/>
    <w:rsid w:val="00374F5E"/>
    <w:rsid w:val="00377E3E"/>
    <w:rsid w:val="00387C93"/>
    <w:rsid w:val="00393709"/>
    <w:rsid w:val="003A02D9"/>
    <w:rsid w:val="003A779E"/>
    <w:rsid w:val="003B2E20"/>
    <w:rsid w:val="003B600B"/>
    <w:rsid w:val="003C49B0"/>
    <w:rsid w:val="003C76E9"/>
    <w:rsid w:val="003D0F4D"/>
    <w:rsid w:val="003D5B0D"/>
    <w:rsid w:val="003E0499"/>
    <w:rsid w:val="003E4957"/>
    <w:rsid w:val="003E4F80"/>
    <w:rsid w:val="003E6439"/>
    <w:rsid w:val="003F3941"/>
    <w:rsid w:val="00406575"/>
    <w:rsid w:val="00414C74"/>
    <w:rsid w:val="00420AA5"/>
    <w:rsid w:val="0042722E"/>
    <w:rsid w:val="00441E45"/>
    <w:rsid w:val="0044528D"/>
    <w:rsid w:val="004453D8"/>
    <w:rsid w:val="00466E39"/>
    <w:rsid w:val="00474F0B"/>
    <w:rsid w:val="00485614"/>
    <w:rsid w:val="004A1847"/>
    <w:rsid w:val="004A305D"/>
    <w:rsid w:val="004B47C0"/>
    <w:rsid w:val="004B7618"/>
    <w:rsid w:val="004C4653"/>
    <w:rsid w:val="004E7C91"/>
    <w:rsid w:val="004F21C4"/>
    <w:rsid w:val="004F685F"/>
    <w:rsid w:val="00504262"/>
    <w:rsid w:val="00506BBD"/>
    <w:rsid w:val="00530A5A"/>
    <w:rsid w:val="005314A7"/>
    <w:rsid w:val="00531C6B"/>
    <w:rsid w:val="005566E8"/>
    <w:rsid w:val="00556758"/>
    <w:rsid w:val="00562208"/>
    <w:rsid w:val="00567FD9"/>
    <w:rsid w:val="00574867"/>
    <w:rsid w:val="0058195A"/>
    <w:rsid w:val="005866A7"/>
    <w:rsid w:val="00591460"/>
    <w:rsid w:val="00596D59"/>
    <w:rsid w:val="005A22AC"/>
    <w:rsid w:val="005A65E0"/>
    <w:rsid w:val="005B4D48"/>
    <w:rsid w:val="005C3777"/>
    <w:rsid w:val="005C5CDC"/>
    <w:rsid w:val="005D21B9"/>
    <w:rsid w:val="005D41F4"/>
    <w:rsid w:val="005D476C"/>
    <w:rsid w:val="005E3C48"/>
    <w:rsid w:val="005E3E59"/>
    <w:rsid w:val="005F1D27"/>
    <w:rsid w:val="005F6194"/>
    <w:rsid w:val="005F770E"/>
    <w:rsid w:val="006200BF"/>
    <w:rsid w:val="00621433"/>
    <w:rsid w:val="006219F8"/>
    <w:rsid w:val="006302F7"/>
    <w:rsid w:val="006371F6"/>
    <w:rsid w:val="00646B9F"/>
    <w:rsid w:val="00664D06"/>
    <w:rsid w:val="00665D70"/>
    <w:rsid w:val="00673D29"/>
    <w:rsid w:val="0067785A"/>
    <w:rsid w:val="006900D9"/>
    <w:rsid w:val="00697992"/>
    <w:rsid w:val="006A01C2"/>
    <w:rsid w:val="006C0DCC"/>
    <w:rsid w:val="006D0694"/>
    <w:rsid w:val="006D0815"/>
    <w:rsid w:val="006D18A7"/>
    <w:rsid w:val="006D4EEE"/>
    <w:rsid w:val="00706C16"/>
    <w:rsid w:val="007152E1"/>
    <w:rsid w:val="00716BAF"/>
    <w:rsid w:val="007229D5"/>
    <w:rsid w:val="0073106A"/>
    <w:rsid w:val="00731E1E"/>
    <w:rsid w:val="007340C3"/>
    <w:rsid w:val="007467F9"/>
    <w:rsid w:val="007519DE"/>
    <w:rsid w:val="0075235A"/>
    <w:rsid w:val="007550CA"/>
    <w:rsid w:val="0075522C"/>
    <w:rsid w:val="00756841"/>
    <w:rsid w:val="007649AB"/>
    <w:rsid w:val="00771D0C"/>
    <w:rsid w:val="00774F00"/>
    <w:rsid w:val="00776D65"/>
    <w:rsid w:val="00777DB2"/>
    <w:rsid w:val="007833AC"/>
    <w:rsid w:val="007A2E35"/>
    <w:rsid w:val="007B1E35"/>
    <w:rsid w:val="007B268C"/>
    <w:rsid w:val="007B64CE"/>
    <w:rsid w:val="007B7171"/>
    <w:rsid w:val="007C0C0F"/>
    <w:rsid w:val="007C3DC2"/>
    <w:rsid w:val="007C6828"/>
    <w:rsid w:val="007C6FA9"/>
    <w:rsid w:val="007D7B30"/>
    <w:rsid w:val="007E5497"/>
    <w:rsid w:val="007E7A2F"/>
    <w:rsid w:val="007F2404"/>
    <w:rsid w:val="007F2515"/>
    <w:rsid w:val="00806F5F"/>
    <w:rsid w:val="00810BF7"/>
    <w:rsid w:val="00820278"/>
    <w:rsid w:val="008258C9"/>
    <w:rsid w:val="00832957"/>
    <w:rsid w:val="00844AE9"/>
    <w:rsid w:val="00854F19"/>
    <w:rsid w:val="008555C7"/>
    <w:rsid w:val="00867F95"/>
    <w:rsid w:val="00874039"/>
    <w:rsid w:val="00874BF5"/>
    <w:rsid w:val="00882E83"/>
    <w:rsid w:val="008843B6"/>
    <w:rsid w:val="00885F03"/>
    <w:rsid w:val="00891928"/>
    <w:rsid w:val="008A0C9C"/>
    <w:rsid w:val="008A446D"/>
    <w:rsid w:val="008B25F1"/>
    <w:rsid w:val="008C25B4"/>
    <w:rsid w:val="008D0B17"/>
    <w:rsid w:val="008D180B"/>
    <w:rsid w:val="008D3695"/>
    <w:rsid w:val="008E200D"/>
    <w:rsid w:val="008E47B1"/>
    <w:rsid w:val="008F0EA7"/>
    <w:rsid w:val="008F589C"/>
    <w:rsid w:val="0090562A"/>
    <w:rsid w:val="009238DF"/>
    <w:rsid w:val="00923EEF"/>
    <w:rsid w:val="00925CD0"/>
    <w:rsid w:val="009419F9"/>
    <w:rsid w:val="00943CD1"/>
    <w:rsid w:val="0095685E"/>
    <w:rsid w:val="00961B09"/>
    <w:rsid w:val="009650E9"/>
    <w:rsid w:val="00965334"/>
    <w:rsid w:val="00966543"/>
    <w:rsid w:val="00966E3B"/>
    <w:rsid w:val="0097093E"/>
    <w:rsid w:val="009842C7"/>
    <w:rsid w:val="00990423"/>
    <w:rsid w:val="00990C3A"/>
    <w:rsid w:val="0099485A"/>
    <w:rsid w:val="009A0DFA"/>
    <w:rsid w:val="009A1C6F"/>
    <w:rsid w:val="009B2D26"/>
    <w:rsid w:val="009C71FA"/>
    <w:rsid w:val="009C72E7"/>
    <w:rsid w:val="009C7F7E"/>
    <w:rsid w:val="009D3058"/>
    <w:rsid w:val="009E2B94"/>
    <w:rsid w:val="009F1559"/>
    <w:rsid w:val="009F21CC"/>
    <w:rsid w:val="009F3A13"/>
    <w:rsid w:val="00A0160B"/>
    <w:rsid w:val="00A10CC2"/>
    <w:rsid w:val="00A122D3"/>
    <w:rsid w:val="00A14468"/>
    <w:rsid w:val="00A146AC"/>
    <w:rsid w:val="00A14C65"/>
    <w:rsid w:val="00A14EC7"/>
    <w:rsid w:val="00A17F13"/>
    <w:rsid w:val="00A20739"/>
    <w:rsid w:val="00A23AF9"/>
    <w:rsid w:val="00A2511F"/>
    <w:rsid w:val="00A307F5"/>
    <w:rsid w:val="00A33C78"/>
    <w:rsid w:val="00A3679A"/>
    <w:rsid w:val="00A368DD"/>
    <w:rsid w:val="00A84A79"/>
    <w:rsid w:val="00A97736"/>
    <w:rsid w:val="00AA64FF"/>
    <w:rsid w:val="00AB0ADB"/>
    <w:rsid w:val="00AB19B0"/>
    <w:rsid w:val="00AB4488"/>
    <w:rsid w:val="00AB68B9"/>
    <w:rsid w:val="00AC51B6"/>
    <w:rsid w:val="00AE03DC"/>
    <w:rsid w:val="00AE490C"/>
    <w:rsid w:val="00AF4A7D"/>
    <w:rsid w:val="00AF77D8"/>
    <w:rsid w:val="00B00832"/>
    <w:rsid w:val="00B00C0E"/>
    <w:rsid w:val="00B01B1A"/>
    <w:rsid w:val="00B0381D"/>
    <w:rsid w:val="00B06404"/>
    <w:rsid w:val="00B44A47"/>
    <w:rsid w:val="00B57650"/>
    <w:rsid w:val="00B65ABE"/>
    <w:rsid w:val="00B66CF1"/>
    <w:rsid w:val="00B72CD3"/>
    <w:rsid w:val="00B72FFF"/>
    <w:rsid w:val="00BB689B"/>
    <w:rsid w:val="00BC3D36"/>
    <w:rsid w:val="00BC6C45"/>
    <w:rsid w:val="00BD54A6"/>
    <w:rsid w:val="00BD7F72"/>
    <w:rsid w:val="00BE09F8"/>
    <w:rsid w:val="00BF7425"/>
    <w:rsid w:val="00C02158"/>
    <w:rsid w:val="00C02755"/>
    <w:rsid w:val="00C02C9A"/>
    <w:rsid w:val="00C04FB3"/>
    <w:rsid w:val="00C11D8B"/>
    <w:rsid w:val="00C12F7C"/>
    <w:rsid w:val="00C15139"/>
    <w:rsid w:val="00C15764"/>
    <w:rsid w:val="00C17E7E"/>
    <w:rsid w:val="00C260BC"/>
    <w:rsid w:val="00C26502"/>
    <w:rsid w:val="00C330EB"/>
    <w:rsid w:val="00C439E8"/>
    <w:rsid w:val="00C50D69"/>
    <w:rsid w:val="00C5365C"/>
    <w:rsid w:val="00C72EBD"/>
    <w:rsid w:val="00C754BE"/>
    <w:rsid w:val="00C76B1C"/>
    <w:rsid w:val="00C82631"/>
    <w:rsid w:val="00C85967"/>
    <w:rsid w:val="00C917E0"/>
    <w:rsid w:val="00C925AC"/>
    <w:rsid w:val="00CA29CE"/>
    <w:rsid w:val="00CA456A"/>
    <w:rsid w:val="00CB6357"/>
    <w:rsid w:val="00CC1B26"/>
    <w:rsid w:val="00CD3586"/>
    <w:rsid w:val="00CD5BAA"/>
    <w:rsid w:val="00CD7FF3"/>
    <w:rsid w:val="00CE199F"/>
    <w:rsid w:val="00D0089A"/>
    <w:rsid w:val="00D0693E"/>
    <w:rsid w:val="00D361FD"/>
    <w:rsid w:val="00D423A2"/>
    <w:rsid w:val="00D44E26"/>
    <w:rsid w:val="00D520D8"/>
    <w:rsid w:val="00D601E5"/>
    <w:rsid w:val="00D63AC2"/>
    <w:rsid w:val="00D64227"/>
    <w:rsid w:val="00D7383B"/>
    <w:rsid w:val="00D76123"/>
    <w:rsid w:val="00D7788A"/>
    <w:rsid w:val="00D91C12"/>
    <w:rsid w:val="00D9679E"/>
    <w:rsid w:val="00DA231B"/>
    <w:rsid w:val="00DA7E47"/>
    <w:rsid w:val="00DB249D"/>
    <w:rsid w:val="00DB616D"/>
    <w:rsid w:val="00DC39FC"/>
    <w:rsid w:val="00DC4450"/>
    <w:rsid w:val="00DC4FAA"/>
    <w:rsid w:val="00DC6551"/>
    <w:rsid w:val="00DD2AB1"/>
    <w:rsid w:val="00DD4FAE"/>
    <w:rsid w:val="00DD72C0"/>
    <w:rsid w:val="00DE48F3"/>
    <w:rsid w:val="00DF5254"/>
    <w:rsid w:val="00DF77BF"/>
    <w:rsid w:val="00E02524"/>
    <w:rsid w:val="00E03D06"/>
    <w:rsid w:val="00E053C5"/>
    <w:rsid w:val="00E06EAD"/>
    <w:rsid w:val="00E16408"/>
    <w:rsid w:val="00E20894"/>
    <w:rsid w:val="00E245AB"/>
    <w:rsid w:val="00E2764C"/>
    <w:rsid w:val="00E27F2E"/>
    <w:rsid w:val="00E50AFE"/>
    <w:rsid w:val="00E548E8"/>
    <w:rsid w:val="00E75C92"/>
    <w:rsid w:val="00E76150"/>
    <w:rsid w:val="00E771DC"/>
    <w:rsid w:val="00E8772A"/>
    <w:rsid w:val="00E90F6B"/>
    <w:rsid w:val="00E92C27"/>
    <w:rsid w:val="00EA0E3D"/>
    <w:rsid w:val="00EA77B0"/>
    <w:rsid w:val="00EC1382"/>
    <w:rsid w:val="00EC38A7"/>
    <w:rsid w:val="00EC7A05"/>
    <w:rsid w:val="00ED1571"/>
    <w:rsid w:val="00ED58E7"/>
    <w:rsid w:val="00EE1AA8"/>
    <w:rsid w:val="00F10162"/>
    <w:rsid w:val="00F23FEA"/>
    <w:rsid w:val="00F31EDC"/>
    <w:rsid w:val="00F462B3"/>
    <w:rsid w:val="00F5664F"/>
    <w:rsid w:val="00F666C4"/>
    <w:rsid w:val="00F74645"/>
    <w:rsid w:val="00F76AFC"/>
    <w:rsid w:val="00F84572"/>
    <w:rsid w:val="00F95378"/>
    <w:rsid w:val="00FA47C0"/>
    <w:rsid w:val="00FB0EDD"/>
    <w:rsid w:val="00FB2E68"/>
    <w:rsid w:val="00FB41DE"/>
    <w:rsid w:val="00FB5DD1"/>
    <w:rsid w:val="00FC2B5D"/>
    <w:rsid w:val="00FF1449"/>
    <w:rsid w:val="00FF1CA5"/>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F1D27"/>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F1D27"/>
    <w:rPr>
      <w:rFonts w:ascii="Geomanist Light" w:hAnsi="Geomanist Light"/>
      <w:lang w:val="es-ES"/>
    </w:rPr>
  </w:style>
  <w:style w:type="paragraph" w:styleId="Textoindependiente">
    <w:name w:val="Body Text"/>
    <w:basedOn w:val="Normal"/>
    <w:link w:val="TextoindependienteCar"/>
    <w:uiPriority w:val="99"/>
    <w:unhideWhenUsed/>
    <w:rsid w:val="005F1D27"/>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5F1D27"/>
    <w:rPr>
      <w:rFonts w:eastAsiaTheme="minorEastAsia"/>
      <w:lang w:eastAsia="es-CO"/>
    </w:rPr>
  </w:style>
  <w:style w:type="character" w:customStyle="1" w:styleId="s15">
    <w:name w:val="s15"/>
    <w:basedOn w:val="Fuentedeprrafopredeter"/>
    <w:rsid w:val="00966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ley_0080_1993.html" TargetMode="External"/><Relationship Id="rId18"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7" Type="http://schemas.openxmlformats.org/officeDocument/2006/relationships/settings" Target="settings.xml"/><Relationship Id="rId12" Type="http://schemas.openxmlformats.org/officeDocument/2006/relationships/hyperlink" Target="mailto:Pmp.sergiom@gmail.com" TargetMode="External"/><Relationship Id="rId17" Type="http://schemas.openxmlformats.org/officeDocument/2006/relationships/hyperlink" Target="https://relatoria.colombiacompra.gov.co/busqueda/concept%20o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latoria.blob.core.windows.net/$web/files/conceptos-juridicos/CGR-OJ-0084-2017.PDF" TargetMode="External"/><Relationship Id="rId20"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lcaldiabogota.gov.co/sisjur/normas/Norma1.jsp?i=125418&amp;dt=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perfinanciera.gov.co/publicaciones/10083443/normativanormativa-generalcircular-basica-juridica-ce-10083443/"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relatoria.blob.core.windows.net/$web/files/conceptos-juridicos/CGR-OJ-0084-2017.PDF" TargetMode="External"/><Relationship Id="rId1" Type="http://schemas.openxmlformats.org/officeDocument/2006/relationships/hyperlink" Target="https://www.superfinanciera.gov.co/publicaciones/10083443/normativanormativa-generalcircular-basica-juridica-ce-1008344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666BC-3680-4515-A74A-8AA0502EC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4B67E2CB-7B71-43EE-8189-E1F455B50914}">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26</Pages>
  <Words>8937</Words>
  <Characters>49155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57977</CharactersWithSpaces>
  <SharedDoc>false</SharedDoc>
  <HLinks>
    <vt:vector size="54" baseType="variant">
      <vt:variant>
        <vt:i4>7209021</vt:i4>
      </vt:variant>
      <vt:variant>
        <vt:i4>18</vt:i4>
      </vt:variant>
      <vt:variant>
        <vt:i4>0</vt:i4>
      </vt:variant>
      <vt:variant>
        <vt:i4>5</vt:i4>
      </vt:variant>
      <vt:variant>
        <vt:lpwstr>https://relatoria.colombiacompra.gov.co/busqueda/concept os</vt:lpwstr>
      </vt:variant>
      <vt:variant>
        <vt:lpwstr/>
      </vt:variant>
      <vt:variant>
        <vt:i4>6488123</vt:i4>
      </vt:variant>
      <vt:variant>
        <vt:i4>15</vt:i4>
      </vt:variant>
      <vt:variant>
        <vt:i4>0</vt:i4>
      </vt:variant>
      <vt:variant>
        <vt:i4>5</vt:i4>
      </vt:variant>
      <vt:variant>
        <vt:lpwstr>https://relatoria.blob.core.windows.net/$web/files/conceptos-juridicos/CGR-OJ-0084-2017.PDF</vt:lpwstr>
      </vt:variant>
      <vt:variant>
        <vt:lpwstr/>
      </vt:variant>
      <vt:variant>
        <vt:i4>99</vt:i4>
      </vt:variant>
      <vt:variant>
        <vt:i4>12</vt:i4>
      </vt:variant>
      <vt:variant>
        <vt:i4>0</vt:i4>
      </vt:variant>
      <vt:variant>
        <vt:i4>5</vt:i4>
      </vt:variant>
      <vt:variant>
        <vt:lpwstr>https://www.alcaldiabogota.gov.co/sisjur/normas/Norma1.jsp?i=125418&amp;dt=S</vt:lpwstr>
      </vt:variant>
      <vt:variant>
        <vt:lpwstr>_edn1</vt:lpwstr>
      </vt:variant>
      <vt:variant>
        <vt:i4>1966105</vt:i4>
      </vt:variant>
      <vt:variant>
        <vt:i4>9</vt:i4>
      </vt:variant>
      <vt:variant>
        <vt:i4>0</vt:i4>
      </vt:variant>
      <vt:variant>
        <vt:i4>5</vt:i4>
      </vt:variant>
      <vt:variant>
        <vt:lpwstr>https://www.superfinanciera.gov.co/publicaciones/10083443/normativanormativa-generalcircular-basica-juridica-ce-10083443/</vt:lpwstr>
      </vt:variant>
      <vt:variant>
        <vt:lpwstr/>
      </vt:variant>
      <vt:variant>
        <vt:i4>786452</vt:i4>
      </vt:variant>
      <vt:variant>
        <vt:i4>6</vt:i4>
      </vt:variant>
      <vt:variant>
        <vt:i4>0</vt:i4>
      </vt:variant>
      <vt:variant>
        <vt:i4>5</vt:i4>
      </vt:variant>
      <vt:variant>
        <vt:lpwstr>http://www.secretariasenado.gov.co/senado/basedoc/ley_0080_1993.html</vt:lpwstr>
      </vt:variant>
      <vt:variant>
        <vt:lpwstr>25</vt:lpwstr>
      </vt:variant>
      <vt:variant>
        <vt:i4>4849713</vt:i4>
      </vt:variant>
      <vt:variant>
        <vt:i4>3</vt:i4>
      </vt:variant>
      <vt:variant>
        <vt:i4>0</vt:i4>
      </vt:variant>
      <vt:variant>
        <vt:i4>5</vt:i4>
      </vt:variant>
      <vt:variant>
        <vt:lpwstr>mailto:unidadcumplimiento@choco.gov.co</vt:lpwstr>
      </vt:variant>
      <vt:variant>
        <vt:lpwstr/>
      </vt:variant>
      <vt:variant>
        <vt:i4>3801112</vt:i4>
      </vt:variant>
      <vt:variant>
        <vt:i4>0</vt:i4>
      </vt:variant>
      <vt:variant>
        <vt:i4>0</vt:i4>
      </vt:variant>
      <vt:variant>
        <vt:i4>5</vt:i4>
      </vt:variant>
      <vt:variant>
        <vt:lpwstr>mailto:agenciacomercializacion.gerencia@choco.gov.co</vt:lpwstr>
      </vt:variant>
      <vt:variant>
        <vt:lpwstr/>
      </vt:variant>
      <vt:variant>
        <vt:i4>6488123</vt:i4>
      </vt:variant>
      <vt:variant>
        <vt:i4>3</vt:i4>
      </vt:variant>
      <vt:variant>
        <vt:i4>0</vt:i4>
      </vt:variant>
      <vt:variant>
        <vt:i4>5</vt:i4>
      </vt:variant>
      <vt:variant>
        <vt:lpwstr>https://relatoria.blob.core.windows.net/$web/files/conceptos-juridicos/CGR-OJ-0084-2017.PDF</vt:lpwstr>
      </vt:variant>
      <vt:variant>
        <vt:lpwstr/>
      </vt:variant>
      <vt:variant>
        <vt:i4>1966105</vt:i4>
      </vt:variant>
      <vt:variant>
        <vt:i4>0</vt:i4>
      </vt:variant>
      <vt:variant>
        <vt:i4>0</vt:i4>
      </vt:variant>
      <vt:variant>
        <vt:i4>5</vt:i4>
      </vt:variant>
      <vt:variant>
        <vt:lpwstr>https://www.superfinanciera.gov.co/publicaciones/10083443/normativanormativa-generalcircular-basica-juridica-ce-10083443/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2026-07-29T16:36:00Z</dcterms:created>
  <dcterms:modified xsi:type="dcterms:W3CDTF">2026-07-29T22:19:00Z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