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040B5" w14:textId="77777777" w:rsidR="0087031A" w:rsidRDefault="0087031A" w:rsidP="0087031A">
      <w:pPr>
        <w:spacing w:after="0" w:line="240" w:lineRule="auto"/>
        <w:contextualSpacing/>
        <w:jc w:val="both"/>
        <w:rPr>
          <w:rFonts w:ascii="Verdana" w:eastAsia="Calibri" w:hAnsi="Verdana" w:cs="Arial"/>
          <w:b/>
          <w:noProof/>
          <w:lang w:val="es-ES_tradnl" w:eastAsia="es-ES_tradnl"/>
        </w:rPr>
      </w:pPr>
      <w:bookmarkStart w:id="0" w:name="_Hlk181166130"/>
      <w:bookmarkStart w:id="1" w:name="_Hlk143780582"/>
    </w:p>
    <w:p w14:paraId="70AF4295" w14:textId="1EB0704B" w:rsidR="0087031A" w:rsidRPr="000E1704" w:rsidRDefault="0087031A" w:rsidP="0087031A">
      <w:pPr>
        <w:spacing w:line="276" w:lineRule="auto"/>
        <w:jc w:val="both"/>
        <w:rPr>
          <w:rFonts w:ascii="Verdana" w:eastAsia="Calibri" w:hAnsi="Verdana" w:cs="Arial"/>
          <w:b/>
          <w:lang w:val="es-MX"/>
        </w:rPr>
      </w:pPr>
      <w:r w:rsidRPr="000E1704">
        <w:rPr>
          <w:rFonts w:ascii="Verdana" w:eastAsia="Calibri" w:hAnsi="Verdana" w:cs="Arial"/>
          <w:b/>
          <w:lang w:val="es-MX"/>
        </w:rPr>
        <w:t>REQUISITOS DE EJECUCIÓN – Diferencias entre requisitos de perfeccionamiento y ejecución – Requisitos de ejecución legales y convencionales</w:t>
      </w:r>
    </w:p>
    <w:p w14:paraId="0E9A3E60" w14:textId="77777777" w:rsidR="0087031A" w:rsidRPr="009A02D4" w:rsidRDefault="0087031A" w:rsidP="0087031A">
      <w:pPr>
        <w:spacing w:after="0"/>
        <w:jc w:val="both"/>
        <w:rPr>
          <w:rFonts w:ascii="Verdana" w:eastAsia="Calibri" w:hAnsi="Verdana" w:cs="Arial"/>
          <w:sz w:val="20"/>
          <w:szCs w:val="20"/>
          <w:lang w:val="es-ES" w:eastAsia="es-ES"/>
        </w:rPr>
      </w:pPr>
      <w:r w:rsidRPr="009A02D4">
        <w:rPr>
          <w:rFonts w:ascii="Verdana" w:eastAsia="Calibri" w:hAnsi="Verdana" w:cs="Arial"/>
          <w:sz w:val="20"/>
          <w:szCs w:val="20"/>
          <w:lang w:val="es-ES" w:eastAsia="es-ES"/>
        </w:rPr>
        <w:t xml:space="preserve"> En consecuencia, a pesar de que están facultadas para acordar cláusulas accidentales en el negocio jurídico, estas no pueden ir en contra de los mandatos contenidos en el Estatuto General de Contratación de la Administración Pública. En tal sentido, teniendo en cuenta que el artículo 41 de la Ley 80 de 1993 establece que los requisitos legales de ejecución de los contratos estatales son la aprobación de las garantías, la apropiación presupuestal y la acreditación del cumplimiento de las obligaciones con el Sistema de Seguridad Social Integral, las partes no pueden establecer que el contrato estatal comenzará su ejecución cuando se firme el acta de inicio pretermitiendo las tres exigencias legales. </w:t>
      </w:r>
    </w:p>
    <w:p w14:paraId="4E57A03F" w14:textId="77777777" w:rsidR="0087031A" w:rsidRPr="009A02D4" w:rsidRDefault="0087031A" w:rsidP="0087031A">
      <w:pPr>
        <w:spacing w:after="0"/>
        <w:jc w:val="both"/>
        <w:rPr>
          <w:rFonts w:ascii="Verdana" w:eastAsia="Calibri" w:hAnsi="Verdana" w:cs="Arial"/>
          <w:sz w:val="20"/>
          <w:szCs w:val="20"/>
          <w:lang w:val="es-ES" w:eastAsia="es-ES"/>
        </w:rPr>
      </w:pPr>
    </w:p>
    <w:p w14:paraId="12AB73A5" w14:textId="77777777" w:rsidR="0087031A" w:rsidRDefault="0087031A" w:rsidP="0087031A">
      <w:pPr>
        <w:spacing w:after="0"/>
        <w:jc w:val="both"/>
        <w:rPr>
          <w:rFonts w:ascii="Verdana" w:eastAsia="Calibri" w:hAnsi="Verdana" w:cs="Arial"/>
          <w:sz w:val="20"/>
          <w:szCs w:val="20"/>
          <w:lang w:val="es-ES" w:eastAsia="es-ES"/>
        </w:rPr>
      </w:pPr>
      <w:r w:rsidRPr="009A02D4">
        <w:rPr>
          <w:rFonts w:ascii="Verdana" w:eastAsia="Calibri" w:hAnsi="Verdana" w:cs="Arial"/>
          <w:sz w:val="20"/>
          <w:szCs w:val="20"/>
          <w:lang w:val="es-ES" w:eastAsia="es-ES"/>
        </w:rPr>
        <w:t>Además, el artículo 6 de la Constitución dispone que «Los particulares sólo son responsables ante las autoridades por infringir la Constitución y las leyes» y que «Los servidores públicos lo son por la misma causa y por omisión o extralimitación en el ejercicio de sus funciones». Por tanto, no se puede suscribir el acta de inicio, estableciendo como fecha de inicio del contrato un día en el que aún no se hayan cumplido los requisitos de ejecución establecidos en el artículo 41 de la Ley 80 de 1993, porque ello implica una infracción de la ley.</w:t>
      </w:r>
    </w:p>
    <w:p w14:paraId="568043DA" w14:textId="77777777" w:rsidR="0087031A" w:rsidRPr="009A02D4" w:rsidRDefault="0087031A" w:rsidP="0087031A">
      <w:pPr>
        <w:spacing w:after="0"/>
        <w:jc w:val="both"/>
        <w:rPr>
          <w:rFonts w:ascii="Verdana" w:eastAsia="Calibri" w:hAnsi="Verdana" w:cs="Arial"/>
          <w:sz w:val="20"/>
          <w:szCs w:val="20"/>
          <w:lang w:val="es-ES" w:eastAsia="es-ES"/>
        </w:rPr>
      </w:pPr>
    </w:p>
    <w:p w14:paraId="11B7E3E8" w14:textId="77777777" w:rsidR="0087031A" w:rsidRPr="009A02D4" w:rsidRDefault="0087031A" w:rsidP="0087031A">
      <w:pPr>
        <w:spacing w:line="276" w:lineRule="auto"/>
        <w:jc w:val="both"/>
        <w:rPr>
          <w:rFonts w:ascii="Verdana" w:eastAsia="Calibri" w:hAnsi="Verdana" w:cs="Arial"/>
          <w:b/>
          <w:lang w:val="es-MX"/>
        </w:rPr>
      </w:pPr>
      <w:r w:rsidRPr="000E1704">
        <w:rPr>
          <w:rFonts w:ascii="Verdana" w:eastAsia="Calibri" w:hAnsi="Verdana" w:cs="Arial"/>
          <w:b/>
          <w:lang w:val="es-MX"/>
        </w:rPr>
        <w:t>ACTA DE INICIO – Definición – Marco normativo</w:t>
      </w:r>
    </w:p>
    <w:p w14:paraId="56AEE95C" w14:textId="77777777" w:rsidR="0087031A" w:rsidRPr="009A02D4" w:rsidRDefault="0087031A" w:rsidP="0087031A">
      <w:pPr>
        <w:spacing w:line="276" w:lineRule="auto"/>
        <w:jc w:val="both"/>
        <w:rPr>
          <w:rFonts w:ascii="Verdana" w:eastAsia="Calibri" w:hAnsi="Verdana" w:cs="Arial"/>
          <w:sz w:val="20"/>
          <w:szCs w:val="20"/>
          <w:lang w:val="es-ES" w:eastAsia="es-ES"/>
        </w:rPr>
      </w:pPr>
      <w:r w:rsidRPr="009A02D4">
        <w:rPr>
          <w:rFonts w:ascii="Verdana" w:eastAsia="Calibri" w:hAnsi="Verdana" w:cs="Arial"/>
          <w:sz w:val="20"/>
          <w:szCs w:val="20"/>
          <w:lang w:val="es-ES" w:eastAsia="es-ES"/>
        </w:rPr>
        <w:t>El acta de inicio constituye un requisito de ejecución convencional, que se pacta en la minuta del contrato o que el contratista acepta, adhiriéndose al clausulado del pliego de condiciones o documento equivalente. Sin embargo, en el lenguaje de la contratación estatal, el acta de inicio es un documento en el que se fija la fecha en la que comienza el cómputo del plazo del contrato, una vez cumplidos los requisitos legales para el inicio de la ejecución del contrato. Es por ello, que la suscripción del acta de inicio usualmente se pacta en la cláusula del plazo, estableciendo que la fecha de la firma de tal documento será el hito que determinará desde cuándo comenzarán a contabilizarse los días, meses o años que se hayan estipulado como período para el cumplimiento del objeto del contrato. El fundamento legal que habilita a las partes para establecer la suscripción del acta de inicio como un requisito de ejecución convencional, se encuentra en el segundo inciso del artículo 40 de la Ley 80 de 1993.</w:t>
      </w:r>
    </w:p>
    <w:p w14:paraId="0F3B6377" w14:textId="77777777" w:rsidR="0087031A" w:rsidRPr="000E1704" w:rsidRDefault="0087031A" w:rsidP="0087031A">
      <w:pPr>
        <w:spacing w:after="0"/>
        <w:ind w:firstLine="708"/>
        <w:jc w:val="both"/>
        <w:rPr>
          <w:rFonts w:ascii="Verdana" w:eastAsia="Calibri" w:hAnsi="Verdana" w:cs="Arial"/>
          <w:b/>
          <w:lang w:val="es-ES" w:eastAsia="es-ES"/>
        </w:rPr>
      </w:pPr>
    </w:p>
    <w:p w14:paraId="74637510" w14:textId="77777777" w:rsidR="0087031A" w:rsidRDefault="0087031A" w:rsidP="0087031A">
      <w:pPr>
        <w:spacing w:after="0" w:line="240" w:lineRule="auto"/>
        <w:jc w:val="both"/>
        <w:rPr>
          <w:rFonts w:ascii="Verdana" w:eastAsia="Aptos" w:hAnsi="Verdana" w:cs="Times New Roman"/>
          <w:sz w:val="20"/>
          <w:szCs w:val="20"/>
        </w:rPr>
      </w:pPr>
    </w:p>
    <w:p w14:paraId="268EE6CB" w14:textId="77777777" w:rsidR="0087031A" w:rsidRDefault="0087031A" w:rsidP="0087031A">
      <w:pPr>
        <w:spacing w:after="0" w:line="240" w:lineRule="auto"/>
        <w:jc w:val="both"/>
        <w:rPr>
          <w:rFonts w:ascii="Verdana" w:eastAsia="Aptos" w:hAnsi="Verdana" w:cs="Times New Roman"/>
          <w:sz w:val="20"/>
          <w:szCs w:val="20"/>
        </w:rPr>
      </w:pPr>
    </w:p>
    <w:p w14:paraId="654801DB" w14:textId="411D1C59" w:rsidR="006663DD" w:rsidRDefault="00A52432" w:rsidP="00A52432">
      <w:pPr>
        <w:spacing w:after="0"/>
        <w:rPr>
          <w:rFonts w:ascii="Verdana" w:hAnsi="Verdana"/>
        </w:rPr>
      </w:pPr>
      <w:bookmarkStart w:id="2" w:name="_Hlk180638295"/>
      <w:bookmarkEnd w:id="0"/>
      <w:r w:rsidRPr="00A52432">
        <w:rPr>
          <w:rFonts w:ascii="Verdana" w:eastAsia="Geomanist Light" w:hAnsi="Verdana" w:cs="Arial"/>
          <w:color w:val="000000" w:themeColor="text1"/>
          <w:lang w:val="es-MX"/>
        </w:rPr>
        <w:t>Bogotá D.C., 14 de Julio de 2026</w:t>
      </w:r>
    </w:p>
    <w:p w14:paraId="5F5D01DF" w14:textId="271C62A1" w:rsidR="006663DD" w:rsidRDefault="006663DD" w:rsidP="00A52432">
      <w:pPr>
        <w:spacing w:after="0"/>
        <w:jc w:val="right"/>
        <w:rPr>
          <w:rFonts w:ascii="Verdana" w:hAnsi="Verdana"/>
        </w:rPr>
      </w:pPr>
    </w:p>
    <w:p w14:paraId="6CB80055" w14:textId="1AA8ADBF" w:rsidR="0087031A" w:rsidRDefault="00E108B3" w:rsidP="0087031A">
      <w:pPr>
        <w:spacing w:after="0"/>
        <w:rPr>
          <w:rFonts w:ascii="Verdana" w:hAnsi="Verdana"/>
        </w:rPr>
      </w:pPr>
      <w:r w:rsidRPr="00A52432">
        <w:rPr>
          <w:rFonts w:ascii="Verdana" w:hAnsi="Verdana"/>
          <w:noProof/>
        </w:rPr>
        <w:lastRenderedPageBreak/>
        <w:drawing>
          <wp:anchor distT="0" distB="0" distL="114300" distR="114300" simplePos="0" relativeHeight="251662336" behindDoc="0" locked="0" layoutInCell="1" allowOverlap="1" wp14:anchorId="24176EC3" wp14:editId="541E3A06">
            <wp:simplePos x="0" y="0"/>
            <wp:positionH relativeFrom="margin">
              <wp:align>right</wp:align>
            </wp:positionH>
            <wp:positionV relativeFrom="paragraph">
              <wp:posOffset>11127</wp:posOffset>
            </wp:positionV>
            <wp:extent cx="2521585" cy="890270"/>
            <wp:effectExtent l="0" t="0" r="0" b="5080"/>
            <wp:wrapSquare wrapText="bothSides"/>
            <wp:docPr id="14565241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524189" name=""/>
                    <pic:cNvPicPr/>
                  </pic:nvPicPr>
                  <pic:blipFill>
                    <a:blip r:embed="rId10">
                      <a:extLst>
                        <a:ext uri="{28A0092B-C50C-407E-A947-70E740481C1C}">
                          <a14:useLocalDpi xmlns:a14="http://schemas.microsoft.com/office/drawing/2010/main" val="0"/>
                        </a:ext>
                      </a:extLst>
                    </a:blip>
                    <a:stretch>
                      <a:fillRect/>
                    </a:stretch>
                  </pic:blipFill>
                  <pic:spPr>
                    <a:xfrm>
                      <a:off x="0" y="0"/>
                      <a:ext cx="2521585" cy="890270"/>
                    </a:xfrm>
                    <a:prstGeom prst="rect">
                      <a:avLst/>
                    </a:prstGeom>
                  </pic:spPr>
                </pic:pic>
              </a:graphicData>
            </a:graphic>
            <wp14:sizeRelH relativeFrom="margin">
              <wp14:pctWidth>0</wp14:pctWidth>
            </wp14:sizeRelH>
            <wp14:sizeRelV relativeFrom="margin">
              <wp14:pctHeight>0</wp14:pctHeight>
            </wp14:sizeRelV>
          </wp:anchor>
        </w:drawing>
      </w:r>
    </w:p>
    <w:p w14:paraId="69F1A09B" w14:textId="77777777" w:rsidR="0087031A" w:rsidRPr="00766E19" w:rsidRDefault="0087031A" w:rsidP="0087031A">
      <w:pPr>
        <w:spacing w:after="0" w:line="240" w:lineRule="auto"/>
        <w:jc w:val="both"/>
        <w:rPr>
          <w:rFonts w:ascii="Verdana" w:eastAsia="Calibri" w:hAnsi="Verdana" w:cs="Arial"/>
          <w:lang w:eastAsia="es-ES"/>
        </w:rPr>
      </w:pPr>
      <w:bookmarkStart w:id="3" w:name="_Hlk181166167"/>
      <w:r w:rsidRPr="00766E19">
        <w:rPr>
          <w:rFonts w:ascii="Verdana" w:eastAsia="Calibri" w:hAnsi="Verdana" w:cs="Arial"/>
          <w:lang w:eastAsia="es-ES"/>
        </w:rPr>
        <w:t>Señor</w:t>
      </w:r>
      <w:r w:rsidRPr="00766E19">
        <w:rPr>
          <w:rFonts w:ascii="Verdana" w:eastAsia="Calibri" w:hAnsi="Verdana" w:cs="Arial"/>
          <w:lang w:eastAsia="es-ES"/>
        </w:rPr>
        <w:tab/>
      </w:r>
    </w:p>
    <w:p w14:paraId="5871346A" w14:textId="77777777" w:rsidR="000656DE" w:rsidRPr="00766E19" w:rsidRDefault="000656DE" w:rsidP="0087031A">
      <w:pPr>
        <w:spacing w:after="0" w:line="240" w:lineRule="auto"/>
        <w:rPr>
          <w:rFonts w:ascii="Verdana" w:eastAsia="Calibri" w:hAnsi="Verdana" w:cs="Arial"/>
          <w:b/>
          <w:bCs/>
          <w:lang w:eastAsia="es-ES"/>
        </w:rPr>
      </w:pPr>
      <w:r w:rsidRPr="00766E19">
        <w:rPr>
          <w:rFonts w:ascii="Verdana" w:eastAsia="Calibri" w:hAnsi="Verdana" w:cs="Arial"/>
          <w:b/>
          <w:bCs/>
          <w:lang w:eastAsia="es-ES"/>
        </w:rPr>
        <w:t>DAYVER ESKEY MOSQUERA MORENO</w:t>
      </w:r>
    </w:p>
    <w:p w14:paraId="6365CAFA" w14:textId="370D072B" w:rsidR="00766E19" w:rsidRDefault="00766E19" w:rsidP="0087031A">
      <w:pPr>
        <w:spacing w:after="0" w:line="240" w:lineRule="auto"/>
      </w:pPr>
      <w:hyperlink r:id="rId11" w:history="1">
        <w:r w:rsidRPr="00766E19">
          <w:rPr>
            <w:rStyle w:val="Hipervnculo"/>
            <w:rFonts w:ascii="Verdana" w:hAnsi="Verdana"/>
          </w:rPr>
          <w:t>dayver.mosquera@dsts.com.co</w:t>
        </w:r>
      </w:hyperlink>
    </w:p>
    <w:p w14:paraId="0A426C1F" w14:textId="2C6E9629" w:rsidR="00751B94" w:rsidRPr="00766E19" w:rsidRDefault="00751B94" w:rsidP="0087031A">
      <w:pPr>
        <w:spacing w:after="0" w:line="240" w:lineRule="auto"/>
        <w:rPr>
          <w:rFonts w:ascii="Verdana" w:hAnsi="Verdana"/>
        </w:rPr>
      </w:pPr>
      <w:hyperlink r:id="rId12" w:history="1">
        <w:r w:rsidRPr="00B14E78">
          <w:rPr>
            <w:rStyle w:val="Hipervnculo"/>
          </w:rPr>
          <w:t>dsts2017@hotmail.com</w:t>
        </w:r>
      </w:hyperlink>
      <w:r>
        <w:t xml:space="preserve"> </w:t>
      </w:r>
    </w:p>
    <w:p w14:paraId="20ECB200" w14:textId="23A30D1D" w:rsidR="0087031A" w:rsidRPr="00766E19" w:rsidRDefault="00751B94" w:rsidP="0087031A">
      <w:pPr>
        <w:spacing w:after="0" w:line="240" w:lineRule="auto"/>
        <w:rPr>
          <w:rFonts w:ascii="Verdana" w:eastAsia="Calibri" w:hAnsi="Verdana" w:cs="Arial"/>
          <w:color w:val="000000"/>
          <w:lang w:val="es-ES_tradnl" w:eastAsia="es-ES_tradnl"/>
        </w:rPr>
      </w:pPr>
      <w:r>
        <w:rPr>
          <w:rFonts w:ascii="Verdana" w:eastAsia="Calibri" w:hAnsi="Verdana" w:cs="Arial"/>
          <w:color w:val="000000"/>
          <w:lang w:val="es-ES_tradnl" w:eastAsia="es-ES_tradnl"/>
        </w:rPr>
        <w:t>Medellín, Antioquia</w:t>
      </w:r>
    </w:p>
    <w:p w14:paraId="33757F92" w14:textId="77777777" w:rsidR="0087031A" w:rsidRPr="00FE3DEC" w:rsidRDefault="0087031A" w:rsidP="0087031A">
      <w:pPr>
        <w:spacing w:after="0" w:line="240" w:lineRule="auto"/>
        <w:rPr>
          <w:rFonts w:ascii="Verdana" w:eastAsia="Calibri" w:hAnsi="Verdana" w:cs="Arial"/>
          <w:color w:val="000000"/>
          <w:lang w:val="es-ES_tradnl"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468"/>
        <w:gridCol w:w="336"/>
      </w:tblGrid>
      <w:tr w:rsidR="0087031A" w:rsidRPr="00593A5F" w14:paraId="28AFEB3E" w14:textId="77777777" w:rsidTr="00580B7F">
        <w:trPr>
          <w:trHeight w:val="884"/>
        </w:trPr>
        <w:tc>
          <w:tcPr>
            <w:tcW w:w="2410" w:type="dxa"/>
          </w:tcPr>
          <w:p w14:paraId="3DABC826" w14:textId="77777777" w:rsidR="0087031A" w:rsidRPr="00E5644F" w:rsidRDefault="0087031A" w:rsidP="00580B7F">
            <w:pPr>
              <w:jc w:val="both"/>
              <w:rPr>
                <w:rFonts w:ascii="Verdana" w:eastAsia="Calibri" w:hAnsi="Verdana" w:cs="Arial"/>
                <w:b/>
                <w:bCs/>
                <w:color w:val="7030A0"/>
                <w:lang w:val="es-ES_tradnl" w:eastAsia="es-ES_tradnl"/>
              </w:rPr>
            </w:pPr>
          </w:p>
        </w:tc>
        <w:tc>
          <w:tcPr>
            <w:tcW w:w="6804" w:type="dxa"/>
            <w:gridSpan w:val="2"/>
          </w:tcPr>
          <w:p w14:paraId="022A37EB" w14:textId="11E4629D" w:rsidR="0087031A" w:rsidRPr="00E5644F" w:rsidRDefault="0087031A" w:rsidP="00580B7F">
            <w:pPr>
              <w:jc w:val="both"/>
              <w:rPr>
                <w:rFonts w:ascii="Verdana" w:eastAsia="Calibri" w:hAnsi="Verdana" w:cs="Arial"/>
                <w:b/>
                <w:bCs/>
                <w:color w:val="7030A0"/>
                <w:lang w:val="es-ES" w:eastAsia="es-ES"/>
              </w:rPr>
            </w:pPr>
            <w:r w:rsidRPr="00E5644F">
              <w:rPr>
                <w:rFonts w:ascii="Verdana" w:eastAsia="Calibri" w:hAnsi="Verdana" w:cs="Arial"/>
                <w:b/>
                <w:bCs/>
                <w:lang w:val="es-ES" w:eastAsia="es-ES"/>
              </w:rPr>
              <w:t>Concepto C-</w:t>
            </w:r>
            <w:r w:rsidR="005E2F1D">
              <w:rPr>
                <w:rFonts w:ascii="Verdana" w:eastAsia="Calibri" w:hAnsi="Verdana" w:cs="Arial"/>
                <w:b/>
                <w:bCs/>
                <w:lang w:val="es-ES" w:eastAsia="es-ES"/>
              </w:rPr>
              <w:t>1080</w:t>
            </w:r>
            <w:r>
              <w:rPr>
                <w:rFonts w:ascii="Verdana" w:eastAsia="Calibri" w:hAnsi="Verdana" w:cs="Arial"/>
                <w:b/>
                <w:bCs/>
                <w:lang w:val="es-ES" w:eastAsia="es-ES"/>
              </w:rPr>
              <w:t xml:space="preserve"> </w:t>
            </w:r>
            <w:r w:rsidRPr="00E5644F">
              <w:rPr>
                <w:rFonts w:ascii="Verdana" w:eastAsia="Calibri" w:hAnsi="Verdana" w:cs="Arial"/>
                <w:b/>
                <w:bCs/>
                <w:lang w:val="es-ES" w:eastAsia="es-ES"/>
              </w:rPr>
              <w:t>de 202</w:t>
            </w:r>
            <w:r w:rsidR="00664900">
              <w:rPr>
                <w:rFonts w:ascii="Verdana" w:eastAsia="Calibri" w:hAnsi="Verdana" w:cs="Arial"/>
                <w:b/>
                <w:bCs/>
                <w:lang w:val="es-ES" w:eastAsia="es-ES"/>
              </w:rPr>
              <w:t>6</w:t>
            </w:r>
          </w:p>
        </w:tc>
      </w:tr>
      <w:tr w:rsidR="0087031A" w:rsidRPr="00A52DE7" w14:paraId="38B6D2DC" w14:textId="77777777" w:rsidTr="00580B7F">
        <w:trPr>
          <w:trHeight w:val="884"/>
        </w:trPr>
        <w:tc>
          <w:tcPr>
            <w:tcW w:w="2410" w:type="dxa"/>
          </w:tcPr>
          <w:p w14:paraId="7FE07E31" w14:textId="77777777" w:rsidR="0087031A" w:rsidRPr="00593A5F" w:rsidRDefault="0087031A" w:rsidP="00580B7F">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804" w:type="dxa"/>
            <w:gridSpan w:val="2"/>
          </w:tcPr>
          <w:p w14:paraId="62561862" w14:textId="1F3C9452" w:rsidR="0087031A" w:rsidRDefault="0087031A" w:rsidP="00CD7324">
            <w:pPr>
              <w:spacing w:line="276" w:lineRule="auto"/>
              <w:jc w:val="both"/>
              <w:rPr>
                <w:rFonts w:ascii="Verdana" w:eastAsia="Calibri" w:hAnsi="Verdana" w:cs="Arial"/>
                <w:lang w:val="es-MX"/>
              </w:rPr>
            </w:pPr>
            <w:r w:rsidRPr="00515AC9">
              <w:rPr>
                <w:rFonts w:ascii="Verdana" w:eastAsia="Calibri" w:hAnsi="Verdana" w:cs="Arial"/>
                <w:lang w:val="es-MX"/>
              </w:rPr>
              <w:t xml:space="preserve">REQUISITOS DE EJECUCIÓN – Diferencias entre requisitos de perfeccionamiento y ejecución – Requisitos de ejecución legales y convencionales </w:t>
            </w:r>
            <w:r w:rsidR="00E108B3" w:rsidRPr="00E108B3">
              <w:rPr>
                <w:rFonts w:ascii="Verdana" w:eastAsia="Calibri" w:hAnsi="Verdana" w:cs="Arial"/>
                <w:b/>
                <w:bCs/>
                <w:lang w:val="es-ES"/>
              </w:rPr>
              <w:t>–</w:t>
            </w:r>
            <w:r>
              <w:rPr>
                <w:rFonts w:ascii="Verdana" w:eastAsia="Calibri" w:hAnsi="Verdana" w:cs="Arial"/>
                <w:lang w:val="es-MX"/>
              </w:rPr>
              <w:t xml:space="preserve"> </w:t>
            </w:r>
            <w:r w:rsidRPr="000E1704">
              <w:rPr>
                <w:rFonts w:ascii="Verdana" w:eastAsia="Calibri" w:hAnsi="Verdana" w:cs="Arial"/>
                <w:lang w:val="es-MX"/>
              </w:rPr>
              <w:t>ACTA DE INICIO – Definición – Marco normativo</w:t>
            </w:r>
          </w:p>
          <w:p w14:paraId="1BF247BD" w14:textId="77777777" w:rsidR="0087031A" w:rsidRPr="00A52DE7" w:rsidRDefault="0087031A" w:rsidP="00580B7F">
            <w:pPr>
              <w:jc w:val="both"/>
              <w:rPr>
                <w:rFonts w:ascii="Verdana" w:eastAsia="Calibri" w:hAnsi="Verdana" w:cs="Arial"/>
                <w:b/>
                <w:highlight w:val="yellow"/>
                <w:lang w:val="es-ES" w:eastAsia="es-ES"/>
              </w:rPr>
            </w:pPr>
          </w:p>
        </w:tc>
      </w:tr>
      <w:tr w:rsidR="0087031A" w:rsidRPr="00593A5F" w14:paraId="14D6DDF3" w14:textId="77777777" w:rsidTr="00580B7F">
        <w:tc>
          <w:tcPr>
            <w:tcW w:w="2410" w:type="dxa"/>
          </w:tcPr>
          <w:p w14:paraId="58C41A69" w14:textId="77777777" w:rsidR="0087031A" w:rsidRPr="006730E9" w:rsidRDefault="0087031A" w:rsidP="00580B7F">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804" w:type="dxa"/>
            <w:gridSpan w:val="2"/>
          </w:tcPr>
          <w:p w14:paraId="76361BD6" w14:textId="2A9B5DA1" w:rsidR="0087031A" w:rsidRPr="006730E9" w:rsidRDefault="0087031A" w:rsidP="00580B7F">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000656DE" w:rsidRPr="000656DE">
              <w:rPr>
                <w:rFonts w:ascii="Verdana" w:eastAsia="Calibri" w:hAnsi="Verdana" w:cs="Arial"/>
                <w:lang w:val="es-ES_tradnl" w:eastAsia="es-ES_tradnl"/>
              </w:rPr>
              <w:t>1_2026_05_29_007252</w:t>
            </w:r>
            <w:r w:rsidR="00766E19">
              <w:rPr>
                <w:rFonts w:ascii="Verdana" w:eastAsia="Calibri" w:hAnsi="Verdana" w:cs="Arial"/>
                <w:lang w:val="es-ES_tradnl" w:eastAsia="es-ES_tradnl"/>
              </w:rPr>
              <w:t xml:space="preserve"> </w:t>
            </w:r>
          </w:p>
        </w:tc>
      </w:tr>
      <w:tr w:rsidR="0087031A" w:rsidRPr="00DB23D2" w14:paraId="2A2E2921" w14:textId="77777777" w:rsidTr="00580B7F">
        <w:trPr>
          <w:gridAfter w:val="1"/>
          <w:wAfter w:w="336" w:type="dxa"/>
          <w:trHeight w:val="233"/>
        </w:trPr>
        <w:tc>
          <w:tcPr>
            <w:tcW w:w="8878" w:type="dxa"/>
            <w:gridSpan w:val="2"/>
          </w:tcPr>
          <w:p w14:paraId="120D7AD6" w14:textId="77777777" w:rsidR="0087031A" w:rsidRPr="00DB23D2" w:rsidRDefault="0087031A" w:rsidP="00580B7F">
            <w:pPr>
              <w:spacing w:after="120" w:line="276" w:lineRule="auto"/>
              <w:jc w:val="both"/>
              <w:rPr>
                <w:rFonts w:ascii="Verdana" w:eastAsia="Calibri" w:hAnsi="Verdana" w:cs="Arial"/>
                <w:lang w:val="es-ES_tradnl" w:eastAsia="es-ES"/>
              </w:rPr>
            </w:pPr>
          </w:p>
        </w:tc>
      </w:tr>
    </w:tbl>
    <w:p w14:paraId="47EC921B" w14:textId="77777777" w:rsidR="0087031A" w:rsidRPr="006730E9" w:rsidRDefault="0087031A" w:rsidP="0087031A">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o </w:t>
      </w:r>
      <w:r w:rsidRPr="006730E9">
        <w:rPr>
          <w:rFonts w:ascii="Verdana" w:eastAsia="Calibri" w:hAnsi="Verdana" w:cs="Arial"/>
          <w:lang w:val="es-ES" w:eastAsia="es-ES"/>
        </w:rPr>
        <w:t>señor</w:t>
      </w:r>
      <w:r>
        <w:rPr>
          <w:rFonts w:ascii="Verdana" w:eastAsia="Calibri" w:hAnsi="Verdana" w:cs="Arial"/>
          <w:lang w:val="es-ES" w:eastAsia="es-ES"/>
        </w:rPr>
        <w:t xml:space="preserve"> Velasco;</w:t>
      </w:r>
    </w:p>
    <w:p w14:paraId="59ADFBB6" w14:textId="77777777" w:rsidR="0087031A" w:rsidRDefault="0087031A" w:rsidP="0087031A">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029E5029" w14:textId="4467DE62" w:rsidR="0087031A" w:rsidRPr="006730E9" w:rsidRDefault="0087031A" w:rsidP="0087031A">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 xml:space="preserve">la Agencia Nacional de Contratación Pública – Colombia Compra Eficiente– responde su solicitud </w:t>
      </w:r>
      <w:r>
        <w:rPr>
          <w:rFonts w:ascii="Verdana" w:eastAsia="Calibri" w:hAnsi="Verdana" w:cs="Arial"/>
          <w:lang w:val="es-ES" w:eastAsia="es-ES"/>
        </w:rPr>
        <w:t xml:space="preserve">radicada en esta entidad </w:t>
      </w:r>
      <w:r w:rsidRPr="00E5644F">
        <w:rPr>
          <w:rFonts w:ascii="Verdana" w:eastAsia="Calibri" w:hAnsi="Verdana" w:cs="Arial"/>
          <w:lang w:val="es-ES" w:eastAsia="es-ES"/>
        </w:rPr>
        <w:t xml:space="preserve">el </w:t>
      </w:r>
      <w:r>
        <w:rPr>
          <w:rFonts w:ascii="Verdana" w:eastAsia="Calibri" w:hAnsi="Verdana" w:cs="Arial"/>
          <w:lang w:val="es-ES" w:eastAsia="es-ES"/>
        </w:rPr>
        <w:t>2</w:t>
      </w:r>
      <w:r w:rsidR="00766E19">
        <w:rPr>
          <w:rFonts w:ascii="Verdana" w:eastAsia="Calibri" w:hAnsi="Verdana" w:cs="Arial"/>
          <w:lang w:val="es-ES" w:eastAsia="es-ES"/>
        </w:rPr>
        <w:t>9</w:t>
      </w:r>
      <w:r>
        <w:rPr>
          <w:rFonts w:ascii="Verdana" w:eastAsia="Calibri" w:hAnsi="Verdana" w:cs="Arial"/>
          <w:lang w:val="es-ES" w:eastAsia="es-ES"/>
        </w:rPr>
        <w:t xml:space="preserve"> </w:t>
      </w:r>
      <w:r w:rsidRPr="00E5644F">
        <w:rPr>
          <w:rFonts w:ascii="Verdana" w:eastAsia="Calibri" w:hAnsi="Verdana" w:cs="Arial"/>
          <w:lang w:val="es-ES" w:eastAsia="es-ES"/>
        </w:rPr>
        <w:t xml:space="preserve">de </w:t>
      </w:r>
      <w:r>
        <w:rPr>
          <w:rFonts w:ascii="Verdana" w:eastAsia="Calibri" w:hAnsi="Verdana" w:cs="Arial"/>
          <w:lang w:val="es-ES" w:eastAsia="es-ES"/>
        </w:rPr>
        <w:t>mayo</w:t>
      </w:r>
      <w:r w:rsidRPr="00E5644F">
        <w:rPr>
          <w:rFonts w:ascii="Verdana" w:eastAsia="Calibri" w:hAnsi="Verdana" w:cs="Arial"/>
          <w:lang w:val="es-ES" w:eastAsia="es-ES"/>
        </w:rPr>
        <w:t xml:space="preserve"> de</w:t>
      </w:r>
      <w:r>
        <w:rPr>
          <w:rFonts w:ascii="Verdana" w:eastAsia="Calibri" w:hAnsi="Verdana" w:cs="Arial"/>
          <w:lang w:val="es-ES" w:eastAsia="es-ES"/>
        </w:rPr>
        <w:t xml:space="preserve"> </w:t>
      </w:r>
      <w:r w:rsidRPr="00E5644F">
        <w:rPr>
          <w:rFonts w:ascii="Verdana" w:eastAsia="Calibri" w:hAnsi="Verdana" w:cs="Arial"/>
          <w:lang w:val="es-ES" w:eastAsia="es-ES"/>
        </w:rPr>
        <w:t>20</w:t>
      </w:r>
      <w:r w:rsidR="00766E19">
        <w:rPr>
          <w:rFonts w:ascii="Verdana" w:eastAsia="Calibri" w:hAnsi="Verdana" w:cs="Arial"/>
          <w:lang w:val="es-ES" w:eastAsia="es-ES"/>
        </w:rPr>
        <w:t>26</w:t>
      </w:r>
      <w:r w:rsidRPr="00E5644F">
        <w:rPr>
          <w:rFonts w:ascii="Verdana" w:eastAsia="Calibri" w:hAnsi="Verdana" w:cs="Arial"/>
          <w:lang w:val="es-ES" w:eastAsia="es-ES"/>
        </w:rPr>
        <w:t>, en</w:t>
      </w:r>
      <w:r w:rsidRPr="006730E9">
        <w:rPr>
          <w:rFonts w:ascii="Verdana" w:eastAsia="Calibri" w:hAnsi="Verdana" w:cs="Arial"/>
          <w:lang w:val="es-ES" w:eastAsia="es-ES"/>
        </w:rPr>
        <w:t xml:space="preserve"> la cual manifiesta lo siguiente: </w:t>
      </w:r>
    </w:p>
    <w:p w14:paraId="0E75DC9C" w14:textId="77777777" w:rsidR="0087031A" w:rsidRPr="00326382" w:rsidRDefault="0087031A" w:rsidP="0087031A">
      <w:pPr>
        <w:spacing w:after="0" w:line="240" w:lineRule="auto"/>
        <w:ind w:left="709" w:right="474"/>
        <w:jc w:val="both"/>
        <w:rPr>
          <w:rFonts w:ascii="Verdana" w:hAnsi="Verdana" w:cs="Arial"/>
          <w:sz w:val="20"/>
          <w:szCs w:val="20"/>
          <w:shd w:val="clear" w:color="auto" w:fill="FFFFFF"/>
        </w:rPr>
      </w:pPr>
      <w:bookmarkStart w:id="4" w:name="_Hlk95313578"/>
    </w:p>
    <w:bookmarkEnd w:id="4"/>
    <w:p w14:paraId="55A848A2" w14:textId="0C044AD1" w:rsidR="0087031A" w:rsidRPr="00664900" w:rsidRDefault="0087031A" w:rsidP="00664900">
      <w:pPr>
        <w:ind w:left="709" w:right="616" w:firstLine="284"/>
        <w:jc w:val="both"/>
        <w:rPr>
          <w:i/>
          <w:iCs/>
        </w:rPr>
      </w:pPr>
      <w:r>
        <w:rPr>
          <w:rFonts w:ascii="Verdana" w:eastAsia="Century Gothic" w:hAnsi="Verdana" w:cs="Century Gothic"/>
          <w:i/>
          <w:iCs/>
        </w:rPr>
        <w:t xml:space="preserve"> </w:t>
      </w:r>
      <w:r w:rsidRPr="00CD7324">
        <w:rPr>
          <w:rFonts w:ascii="Verdana" w:eastAsia="Century Gothic" w:hAnsi="Verdana" w:cs="Century Gothic"/>
          <w:i/>
          <w:iCs/>
          <w:sz w:val="20"/>
          <w:szCs w:val="20"/>
        </w:rPr>
        <w:t>“</w:t>
      </w:r>
      <w:proofErr w:type="gramStart"/>
      <w:r w:rsidR="00664900" w:rsidRPr="009872BD">
        <w:rPr>
          <w:i/>
          <w:iCs/>
        </w:rPr>
        <w:t>1.¿</w:t>
      </w:r>
      <w:proofErr w:type="gramEnd"/>
      <w:r w:rsidR="00664900" w:rsidRPr="009872BD">
        <w:rPr>
          <w:i/>
          <w:iCs/>
        </w:rPr>
        <w:t xml:space="preserve">En un contrato adjudicado mediante resolución de adjudicación y que fue el resultado de una selección abreviada es o no es necesario firmar el acta de inicio y que esta sea cargada en el </w:t>
      </w:r>
      <w:proofErr w:type="spellStart"/>
      <w:r w:rsidR="00664900" w:rsidRPr="009872BD">
        <w:rPr>
          <w:i/>
          <w:iCs/>
        </w:rPr>
        <w:t>Secop</w:t>
      </w:r>
      <w:proofErr w:type="spellEnd"/>
      <w:r w:rsidR="00664900" w:rsidRPr="009872BD">
        <w:rPr>
          <w:i/>
          <w:iCs/>
        </w:rPr>
        <w:t xml:space="preserve"> para darle inicio formal a la ejecución contractual? / 2. ¿Puede considerarse y contabilizar el inicio de la ejecución contractual simplemente con la firma electrónica de las partes del contrato en la plataforma </w:t>
      </w:r>
      <w:proofErr w:type="spellStart"/>
      <w:r w:rsidR="00664900" w:rsidRPr="009872BD">
        <w:rPr>
          <w:i/>
          <w:iCs/>
        </w:rPr>
        <w:t>secop</w:t>
      </w:r>
      <w:proofErr w:type="spellEnd"/>
      <w:r w:rsidR="00664900" w:rsidRPr="009872BD">
        <w:rPr>
          <w:i/>
          <w:iCs/>
        </w:rPr>
        <w:t xml:space="preserve"> 2 o dar por iniciado el contrato la entidad contratante de manera unilateral en cualquier momento sin considerar el contratista? / 3. ¿Puede la entidad </w:t>
      </w:r>
      <w:proofErr w:type="gramStart"/>
      <w:r w:rsidR="00664900" w:rsidRPr="009872BD">
        <w:rPr>
          <w:i/>
          <w:iCs/>
        </w:rPr>
        <w:t>dar inicio a</w:t>
      </w:r>
      <w:proofErr w:type="gramEnd"/>
      <w:r w:rsidR="00664900" w:rsidRPr="009872BD">
        <w:rPr>
          <w:i/>
          <w:iCs/>
        </w:rPr>
        <w:t xml:space="preserve"> la ejecución contractual y firmarse acta de inicio sin que esta haya cargado a la plataforma </w:t>
      </w:r>
      <w:proofErr w:type="spellStart"/>
      <w:r w:rsidR="00664900" w:rsidRPr="009872BD">
        <w:rPr>
          <w:i/>
          <w:iCs/>
        </w:rPr>
        <w:t>secop</w:t>
      </w:r>
      <w:proofErr w:type="spellEnd"/>
      <w:r w:rsidR="00664900" w:rsidRPr="009872BD">
        <w:rPr>
          <w:i/>
          <w:iCs/>
        </w:rPr>
        <w:t xml:space="preserve"> 2 en el contrato el registro presupuestal RP? / 4. ¿En un caso específico en el que el CDP tiene una fecha de vencimiento inferior al termino de ejecución contractual y no existe registro presupuestal-RP o la entidad no lo ha dado </w:t>
      </w:r>
      <w:r w:rsidR="00664900" w:rsidRPr="009872BD">
        <w:rPr>
          <w:i/>
          <w:iCs/>
        </w:rPr>
        <w:lastRenderedPageBreak/>
        <w:t xml:space="preserve">a conocer y/o no lo ha subido a la plataforma puede considerarse que el contrato se encuentra en ejecución? </w:t>
      </w:r>
    </w:p>
    <w:p w14:paraId="33F745EB" w14:textId="77777777" w:rsidR="0087031A" w:rsidRPr="00AA3B9F" w:rsidRDefault="0087031A" w:rsidP="0087031A">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304224C2" w14:textId="77777777" w:rsidR="0087031A" w:rsidRPr="00AA3B9F" w:rsidRDefault="0087031A" w:rsidP="0087031A">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r w:rsidRPr="00E21BD1">
        <w:t xml:space="preserve"> </w:t>
      </w:r>
    </w:p>
    <w:p w14:paraId="7488FEE4" w14:textId="77777777" w:rsidR="0087031A" w:rsidRDefault="0087031A" w:rsidP="0087031A">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46A7578E" w14:textId="77777777" w:rsidR="0087031A" w:rsidRDefault="0087031A" w:rsidP="0087031A">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1CD6BDA0" w14:textId="77777777" w:rsidR="0087031A" w:rsidRDefault="0087031A" w:rsidP="0087031A">
      <w:pPr>
        <w:pStyle w:val="Prrafodelista"/>
        <w:tabs>
          <w:tab w:val="left" w:pos="142"/>
          <w:tab w:val="left" w:pos="284"/>
        </w:tabs>
        <w:spacing w:after="0" w:line="276" w:lineRule="auto"/>
        <w:ind w:left="0"/>
        <w:jc w:val="both"/>
        <w:rPr>
          <w:rFonts w:ascii="Verdana" w:eastAsia="Century Gothic" w:hAnsi="Verdana" w:cs="Century Gothic"/>
          <w:b/>
          <w:bCs/>
        </w:rPr>
      </w:pPr>
    </w:p>
    <w:p w14:paraId="1E4495B5" w14:textId="14D46850" w:rsidR="0087031A" w:rsidRPr="008623DE" w:rsidRDefault="0087031A" w:rsidP="008623DE">
      <w:pPr>
        <w:tabs>
          <w:tab w:val="left" w:pos="142"/>
          <w:tab w:val="left" w:pos="284"/>
        </w:tabs>
        <w:spacing w:after="0" w:line="276" w:lineRule="auto"/>
        <w:ind w:firstLine="709"/>
        <w:jc w:val="both"/>
        <w:rPr>
          <w:rFonts w:ascii="Verdana" w:eastAsia="Calibri" w:hAnsi="Verdana" w:cs="Arial"/>
          <w:lang w:val="es-ES" w:eastAsia="es-ES"/>
        </w:rPr>
      </w:pPr>
      <w:r w:rsidRPr="008623DE">
        <w:rPr>
          <w:rFonts w:ascii="Verdana" w:eastAsia="Calibri" w:hAnsi="Verdana" w:cs="Arial"/>
          <w:lang w:eastAsia="es-ES"/>
        </w:rPr>
        <w:t>De acuerdo con el contenido de su solicitud, esta Agencia resolverá los siguientes problemas jurídicos:</w:t>
      </w:r>
      <w:bookmarkStart w:id="5" w:name="_Hlk196737317"/>
      <w:r w:rsidR="008623DE" w:rsidRPr="008623DE">
        <w:rPr>
          <w:rFonts w:ascii="Verdana" w:eastAsia="Calibri" w:hAnsi="Verdana" w:cs="Arial"/>
          <w:lang w:eastAsia="es-ES"/>
        </w:rPr>
        <w:t xml:space="preserve"> i. ¿Cuáles son los requisitos de perfeccionamiento y de ejecución del contrato estatal, y qué papel juegan el acta de inicio y el registro presupuestal en el inicio de la ejecución contractual?, </w:t>
      </w:r>
      <w:proofErr w:type="spellStart"/>
      <w:r w:rsidR="008623DE" w:rsidRPr="008623DE">
        <w:rPr>
          <w:rFonts w:ascii="Verdana" w:eastAsia="Calibri" w:hAnsi="Verdana" w:cs="Arial"/>
          <w:lang w:eastAsia="es-ES"/>
        </w:rPr>
        <w:t>ii</w:t>
      </w:r>
      <w:proofErr w:type="spellEnd"/>
      <w:r w:rsidR="008623DE" w:rsidRPr="008623DE">
        <w:rPr>
          <w:rFonts w:ascii="Verdana" w:eastAsia="Calibri" w:hAnsi="Verdana" w:cs="Arial"/>
          <w:lang w:eastAsia="es-ES"/>
        </w:rPr>
        <w:t>. ¿Puede iniciarse la ejecución de un contrato estatal sin registro presupuestal y qué consecuencias jurídicas se derivan de la ejecución de un contrato sin este requisito?</w:t>
      </w:r>
    </w:p>
    <w:p w14:paraId="4A6260EE" w14:textId="77777777" w:rsidR="008623DE" w:rsidRDefault="008623DE" w:rsidP="008623DE">
      <w:pPr>
        <w:pStyle w:val="Prrafodelista"/>
        <w:tabs>
          <w:tab w:val="left" w:pos="142"/>
          <w:tab w:val="left" w:pos="284"/>
        </w:tabs>
        <w:spacing w:after="0" w:line="276" w:lineRule="auto"/>
        <w:jc w:val="both"/>
        <w:rPr>
          <w:rFonts w:ascii="Verdana" w:eastAsia="Calibri" w:hAnsi="Verdana" w:cs="Arial"/>
          <w:lang w:val="es-CO" w:eastAsia="es-ES"/>
        </w:rPr>
      </w:pPr>
    </w:p>
    <w:bookmarkEnd w:id="5"/>
    <w:p w14:paraId="4830150C" w14:textId="77777777" w:rsidR="0087031A" w:rsidRPr="00593A5F" w:rsidRDefault="0087031A" w:rsidP="0087031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77A45475" w14:textId="77777777" w:rsidR="0087031A" w:rsidRPr="00593A5F" w:rsidRDefault="0087031A" w:rsidP="0087031A">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7031A" w:rsidRPr="00593A5F" w14:paraId="12E3C4B8" w14:textId="77777777" w:rsidTr="00580B7F">
        <w:tc>
          <w:tcPr>
            <w:tcW w:w="8828" w:type="dxa"/>
          </w:tcPr>
          <w:p w14:paraId="1BFB3D61" w14:textId="4C0F2ECC" w:rsidR="00CD7007" w:rsidRPr="00A37F1F" w:rsidRDefault="00CD7007" w:rsidP="00A37F1F">
            <w:pPr>
              <w:pStyle w:val="Prrafodelista"/>
              <w:numPr>
                <w:ilvl w:val="0"/>
                <w:numId w:val="19"/>
              </w:numPr>
              <w:spacing w:after="120" w:line="276" w:lineRule="auto"/>
              <w:ind w:left="26" w:firstLine="0"/>
              <w:jc w:val="both"/>
              <w:rPr>
                <w:rFonts w:ascii="Verdana" w:eastAsia="Calibri" w:hAnsi="Verdana" w:cs="Arial"/>
                <w:lang w:eastAsia="es-ES"/>
              </w:rPr>
            </w:pPr>
            <w:r w:rsidRPr="00A37F1F">
              <w:rPr>
                <w:rFonts w:ascii="Verdana" w:eastAsia="Calibri" w:hAnsi="Verdana" w:cs="Arial"/>
                <w:lang w:eastAsia="es-ES"/>
              </w:rPr>
              <w:t xml:space="preserve">El acta de inicio no es un requisito legal, sino convencional de ejecución. Su exigencia depende de que las partes la hayan pactado en el contrato. Cuando el contrato establece que el plazo se cuenta a partir de la suscripción </w:t>
            </w:r>
            <w:r w:rsidRPr="00A37F1F">
              <w:rPr>
                <w:rFonts w:ascii="Verdana" w:eastAsia="Calibri" w:hAnsi="Verdana" w:cs="Arial"/>
                <w:lang w:eastAsia="es-ES"/>
              </w:rPr>
              <w:lastRenderedPageBreak/>
              <w:t xml:space="preserve">del acta de inicio, esta se vuelve el hito determinante del inicio de la ejecución por voluntad de las partes, y debe suscribirse y cargarse en el SECOP para dar inicio formal a la ejecución. </w:t>
            </w:r>
          </w:p>
          <w:p w14:paraId="106E71B5" w14:textId="15298EBE" w:rsidR="00CD7007" w:rsidRPr="00CD7007" w:rsidRDefault="00CD7007" w:rsidP="00CD7007">
            <w:pPr>
              <w:spacing w:after="120" w:line="276" w:lineRule="auto"/>
              <w:jc w:val="both"/>
              <w:rPr>
                <w:rFonts w:ascii="Verdana" w:eastAsia="Calibri" w:hAnsi="Verdana" w:cs="Arial"/>
                <w:lang w:val="es-ES" w:eastAsia="es-ES"/>
              </w:rPr>
            </w:pPr>
            <w:r w:rsidRPr="00CD7007">
              <w:rPr>
                <w:rFonts w:ascii="Verdana" w:eastAsia="Calibri" w:hAnsi="Verdana" w:cs="Arial"/>
                <w:lang w:val="es-ES" w:eastAsia="es-ES"/>
              </w:rPr>
              <w:t xml:space="preserve">La firma electrónica de las partes en SECOP II corresponde al perfeccionamiento del contrato —su existencia—, no al inicio de la ejecución. La entidad no puede dar por iniciada la ejecución de manera unilateral y en cualquier momento sin el cumplimiento de los requisitos legales de ejecución (garantías, registro presupuestal y seguridad social) y, cuando se </w:t>
            </w:r>
            <w:r>
              <w:rPr>
                <w:rFonts w:ascii="Verdana" w:eastAsia="Calibri" w:hAnsi="Verdana" w:cs="Arial"/>
                <w:lang w:val="es-ES" w:eastAsia="es-ES"/>
              </w:rPr>
              <w:t>haya pactado</w:t>
            </w:r>
            <w:r w:rsidRPr="00CD7007">
              <w:rPr>
                <w:rFonts w:ascii="Verdana" w:eastAsia="Calibri" w:hAnsi="Verdana" w:cs="Arial"/>
                <w:lang w:val="es-ES" w:eastAsia="es-ES"/>
              </w:rPr>
              <w:t>, sin la suscripción del acta de inicio por ambas partes.</w:t>
            </w:r>
          </w:p>
          <w:p w14:paraId="780CDA75" w14:textId="174AEAAD" w:rsidR="00CD7007" w:rsidRPr="00CD7007" w:rsidRDefault="00CD7007" w:rsidP="00CD7007">
            <w:pPr>
              <w:spacing w:after="120" w:line="276" w:lineRule="auto"/>
              <w:jc w:val="both"/>
              <w:rPr>
                <w:rFonts w:ascii="Verdana" w:eastAsia="Calibri" w:hAnsi="Verdana" w:cs="Arial"/>
                <w:lang w:val="es-ES" w:eastAsia="es-ES"/>
              </w:rPr>
            </w:pPr>
            <w:r w:rsidRPr="00CD7007">
              <w:rPr>
                <w:rFonts w:ascii="Verdana" w:eastAsia="Calibri" w:hAnsi="Verdana" w:cs="Arial"/>
                <w:lang w:val="es-ES" w:eastAsia="es-ES"/>
              </w:rPr>
              <w:t>No puede darse inicio válido a la ejecución ni suscribirse acta de inicio sin que se haya expedido el registro presupuestal, por ser este un requisito legal de ejecución conforme al artículo 41 de la Ley 80 de 1993</w:t>
            </w:r>
            <w:r>
              <w:rPr>
                <w:rFonts w:ascii="Verdana" w:eastAsia="Calibri" w:hAnsi="Verdana" w:cs="Arial"/>
                <w:lang w:val="es-ES" w:eastAsia="es-ES"/>
              </w:rPr>
              <w:t xml:space="preserve">. </w:t>
            </w:r>
          </w:p>
          <w:p w14:paraId="2025B311" w14:textId="034AC94D" w:rsidR="00CD7007" w:rsidRPr="00A37F1F" w:rsidRDefault="00CD7007" w:rsidP="00A37F1F">
            <w:pPr>
              <w:pStyle w:val="Prrafodelista"/>
              <w:numPr>
                <w:ilvl w:val="0"/>
                <w:numId w:val="19"/>
              </w:numPr>
              <w:spacing w:after="120" w:line="276" w:lineRule="auto"/>
              <w:ind w:left="0" w:firstLine="26"/>
              <w:jc w:val="both"/>
              <w:rPr>
                <w:rFonts w:ascii="Verdana" w:eastAsia="Calibri" w:hAnsi="Verdana" w:cs="Arial"/>
                <w:lang w:eastAsia="es-ES"/>
              </w:rPr>
            </w:pPr>
            <w:r w:rsidRPr="00A37F1F">
              <w:rPr>
                <w:rFonts w:ascii="Verdana" w:eastAsia="Calibri" w:hAnsi="Verdana" w:cs="Arial"/>
                <w:lang w:eastAsia="es-ES"/>
              </w:rPr>
              <w:t>La ejecución de un contrato sin registro presupuestal configura una irregularidad. Conforme al artículo 71 del Decreto 111 de 1996 y a la jurisprudencia del Consejo de Estado, la sanción por omitir el registro presupuestal no afecta la existencia ni la validez del contrato, sino que genera responsabilidad personal —disciplinaria, penal, fiscal e incluso patrimonial— del servidor público que omita el requisit</w:t>
            </w:r>
            <w:r w:rsidR="00773BB8">
              <w:rPr>
                <w:rFonts w:ascii="Verdana" w:eastAsia="Calibri" w:hAnsi="Verdana" w:cs="Arial"/>
                <w:lang w:eastAsia="es-ES"/>
              </w:rPr>
              <w:t>o</w:t>
            </w:r>
            <w:r w:rsidRPr="00A37F1F">
              <w:rPr>
                <w:rFonts w:ascii="Verdana" w:eastAsia="Calibri" w:hAnsi="Verdana" w:cs="Arial"/>
                <w:lang w:eastAsia="es-ES"/>
              </w:rPr>
              <w:t>. El contrato no queda viciado de nulidad por esta causa, sin perjuicio del derecho del contratista de buena fe a que se reconozcan las prestaciones efectivamente ejecutadas, cuestión que corresponde dirimir a las autoridades judiciales en caso de controversia. Debe precisarse que el registro presupuestal es el requisito legal de ejecución cuya ausencia impide el inicio válido de la ejecución contractual.</w:t>
            </w:r>
          </w:p>
          <w:p w14:paraId="615350B1" w14:textId="6FEE9BA7" w:rsidR="00CD7007" w:rsidRDefault="00CD7007" w:rsidP="00CD7007">
            <w:pPr>
              <w:spacing w:after="120" w:line="276" w:lineRule="auto"/>
              <w:jc w:val="both"/>
              <w:rPr>
                <w:rFonts w:ascii="Verdana" w:eastAsia="Calibri" w:hAnsi="Verdana" w:cs="Arial"/>
                <w:lang w:val="es-ES" w:eastAsia="es-ES"/>
              </w:rPr>
            </w:pPr>
            <w:r w:rsidRPr="00CD7007">
              <w:rPr>
                <w:rFonts w:ascii="Verdana" w:eastAsia="Calibri" w:hAnsi="Verdana" w:cs="Arial"/>
                <w:lang w:val="es-ES" w:eastAsia="es-ES"/>
              </w:rPr>
              <w:t>Aun cuando el clausulado del contrato establezca el acta de inicio, el registro presupuestal y las garantías como requisitos de perfeccionamiento y ejecución, la ejecución adelantada sin el cumplimiento de estos requisitos es irregular. La existencia del contrato no se ve afectada, pero se generan responsabilidades personales del servidor público responsable.</w:t>
            </w:r>
          </w:p>
          <w:p w14:paraId="1ABB9002" w14:textId="5F8DE42B" w:rsidR="00773BB8" w:rsidRPr="00773BB8" w:rsidRDefault="00773BB8" w:rsidP="00773BB8">
            <w:pPr>
              <w:spacing w:after="120" w:line="276" w:lineRule="auto"/>
              <w:jc w:val="both"/>
              <w:rPr>
                <w:rFonts w:ascii="Verdana" w:eastAsia="Calibri" w:hAnsi="Verdana" w:cs="Arial"/>
                <w:lang w:val="es-ES" w:eastAsia="es-ES"/>
              </w:rPr>
            </w:pPr>
            <w:r w:rsidRPr="00773BB8">
              <w:rPr>
                <w:rFonts w:ascii="Verdana" w:eastAsia="Calibri" w:hAnsi="Verdana" w:cs="Arial"/>
                <w:lang w:val="es-ES" w:eastAsia="es-ES"/>
              </w:rPr>
              <w:t xml:space="preserve">La ejecución de un contrato estatal no puede iniciar válidamente sin el registro presupuestal, por ser este un requisito legal de ejecución conforme al artículo 41 de la Ley 80 de 1993. El Concepto C-106 de 2026 precisa que un contrato estatal existe, así no se haya expedido el registro presupuestal, pero no puede comenzar a ejecutarse; y si aun así el contrato inicia, se incurre en un incumplimiento de obligaciones normativas, lo cual puede generar </w:t>
            </w:r>
            <w:r w:rsidRPr="00773BB8">
              <w:rPr>
                <w:rFonts w:ascii="Verdana" w:eastAsia="Calibri" w:hAnsi="Verdana" w:cs="Arial"/>
                <w:lang w:val="es-ES" w:eastAsia="es-ES"/>
              </w:rPr>
              <w:lastRenderedPageBreak/>
              <w:t>responsabilidades subjetivas en los servidores públicos, pero no por ello el contrato deja de existir o queda viciado de nulidad.</w:t>
            </w:r>
          </w:p>
          <w:p w14:paraId="28905D64" w14:textId="2817C4C8" w:rsidR="00773BB8" w:rsidRPr="00773BB8" w:rsidRDefault="00773BB8" w:rsidP="00773BB8">
            <w:pPr>
              <w:spacing w:after="120" w:line="276" w:lineRule="auto"/>
              <w:jc w:val="both"/>
              <w:rPr>
                <w:rFonts w:ascii="Verdana" w:eastAsia="Calibri" w:hAnsi="Verdana" w:cs="Arial"/>
                <w:lang w:val="es-ES" w:eastAsia="es-ES"/>
              </w:rPr>
            </w:pPr>
            <w:r w:rsidRPr="00773BB8">
              <w:rPr>
                <w:rFonts w:ascii="Verdana" w:eastAsia="Calibri" w:hAnsi="Verdana" w:cs="Arial"/>
                <w:lang w:val="es-ES" w:eastAsia="es-ES"/>
              </w:rPr>
              <w:t>Sobre las consecuencias de ejecutar sin registro presupuestal, los Conceptos C-844 de 2024 y C-1039 de 2024 de esta Agencia, con fundamento en la jurisprudencia del Consejo de Estado (sentencia del 12 de agosto de 2014) y en el artículo 71 del Decreto 111 de 1996, precisan que la sanción por omitir la obligación de contar con el registro presupuestal no afecta el contrato mismo, sino que es de tipo personal: responde el funcionario que omita dicho requisito, y el modo de responsabilidad es de carácter disciplinario, penal y fiscal, incluso patrimonial, en consideración al alcance personal de la conducta</w:t>
            </w:r>
            <w:r>
              <w:rPr>
                <w:rFonts w:ascii="Verdana" w:eastAsia="Calibri" w:hAnsi="Verdana" w:cs="Arial"/>
                <w:lang w:val="es-ES" w:eastAsia="es-ES"/>
              </w:rPr>
              <w:t>.</w:t>
            </w:r>
          </w:p>
          <w:p w14:paraId="2EBEF8FE" w14:textId="16B59974" w:rsidR="00A37F1F" w:rsidRPr="005E2F1D" w:rsidRDefault="00773BB8" w:rsidP="005E2F1D">
            <w:pPr>
              <w:spacing w:after="120" w:line="276" w:lineRule="auto"/>
              <w:jc w:val="both"/>
              <w:rPr>
                <w:rFonts w:ascii="Verdana" w:eastAsia="Calibri" w:hAnsi="Verdana" w:cs="Arial"/>
                <w:lang w:val="es-ES" w:eastAsia="es-ES"/>
              </w:rPr>
            </w:pPr>
            <w:r w:rsidRPr="00773BB8">
              <w:rPr>
                <w:rFonts w:ascii="Verdana" w:eastAsia="Calibri" w:hAnsi="Verdana" w:cs="Arial"/>
                <w:lang w:val="es-ES" w:eastAsia="es-ES"/>
              </w:rPr>
              <w:t>Conviene precisar la distinción entre los dos instrumentos presupuestales. El certificado de disponibilidad presupuestal</w:t>
            </w:r>
            <w:r>
              <w:rPr>
                <w:rFonts w:ascii="Verdana" w:eastAsia="Calibri" w:hAnsi="Verdana" w:cs="Arial"/>
                <w:lang w:val="es-ES" w:eastAsia="es-ES"/>
              </w:rPr>
              <w:t xml:space="preserve"> </w:t>
            </w:r>
            <w:r w:rsidRPr="00773BB8">
              <w:rPr>
                <w:rFonts w:ascii="Verdana" w:eastAsia="Calibri" w:hAnsi="Verdana" w:cs="Arial"/>
                <w:lang w:val="es-ES" w:eastAsia="es-ES"/>
              </w:rPr>
              <w:t>es el documento de la etapa precontractual que garantiza la existencia de apropiación libre para respaldar el proceso de contratación; su vigencia corresponde a la de la respectiva anualidad fiscal, en virtud del principio de anualidad del presupuesto (artículo 14 del Decreto 111 de 1996), sin que se trate de un documento sujeto a un plazo de caducidad propio. El registro presupuestal, por su parte, es el instrumento que compromete de manera definitiva los recursos con destino al cumplimiento de las obligaciones pecuniarias del contrato, garantizando que los recursos no se desvíen a otro fin</w:t>
            </w:r>
            <w:r>
              <w:rPr>
                <w:rFonts w:ascii="Verdana" w:eastAsia="Calibri" w:hAnsi="Verdana" w:cs="Arial"/>
                <w:lang w:val="es-ES" w:eastAsia="es-ES"/>
              </w:rPr>
              <w:t xml:space="preserve">. </w:t>
            </w:r>
            <w:r w:rsidRPr="00773BB8">
              <w:rPr>
                <w:rFonts w:ascii="Verdana" w:eastAsia="Calibri" w:hAnsi="Verdana" w:cs="Arial"/>
                <w:lang w:val="es-ES" w:eastAsia="es-ES"/>
              </w:rPr>
              <w:t xml:space="preserve"> Lo determinante para el inicio de la ejecución es la existencia del registro presupuestal, cuya ausencia impide iniciar válidamente la ejecución y genera la responsabilidad personal del servidor público ya señalada, sin afectar la existencia del contrato ni, en principio, el derecho del contratista de buena fe a percibir la remuneración por las prestaciones efectivamente ejecutadas —cuestión que, en caso de controversia, corresponde dirimir a las autoridades judiciales—.</w:t>
            </w:r>
            <w:r w:rsidR="00A37F1F" w:rsidRPr="005E2F1D">
              <w:rPr>
                <w:rFonts w:ascii="Verdana" w:eastAsia="Calibri" w:hAnsi="Verdana" w:cs="Arial"/>
                <w:lang w:eastAsia="es-ES"/>
              </w:rPr>
              <w:t xml:space="preserve"> </w:t>
            </w:r>
          </w:p>
          <w:p w14:paraId="590CBB75" w14:textId="2909299C" w:rsidR="0087031A" w:rsidRPr="00DB4737" w:rsidRDefault="00F3779B" w:rsidP="00CD7007">
            <w:pPr>
              <w:spacing w:after="120" w:line="276" w:lineRule="auto"/>
              <w:ind w:firstLine="709"/>
              <w:jc w:val="both"/>
              <w:rPr>
                <w:rFonts w:ascii="Verdana" w:eastAsia="Calibri" w:hAnsi="Verdana" w:cs="Times New Roman"/>
                <w:lang w:val="es-ES"/>
              </w:rPr>
            </w:pPr>
            <w:r>
              <w:rPr>
                <w:rFonts w:ascii="Verdana" w:eastAsia="Calibri" w:hAnsi="Verdana" w:cs="Arial"/>
                <w:lang w:val="es-ES" w:eastAsia="es-ES"/>
              </w:rPr>
              <w:t>Sin perjuicio de lo anterior</w:t>
            </w:r>
            <w:r w:rsidR="0087031A">
              <w:rPr>
                <w:rFonts w:ascii="Verdana" w:eastAsia="Calibri" w:hAnsi="Verdana" w:cs="Times New Roman"/>
                <w:lang w:val="es-ES"/>
              </w:rPr>
              <w:t>,</w:t>
            </w:r>
            <w:r w:rsidR="0087031A" w:rsidRPr="00DB4737">
              <w:rPr>
                <w:rFonts w:ascii="Verdana" w:eastAsia="Calibri" w:hAnsi="Verdana" w:cs="Times New Roman"/>
                <w:lang w:val="es-ES"/>
              </w:rPr>
              <w:t xml:space="preserve"> debe advertirse que el análisis en torno </w:t>
            </w:r>
            <w:r w:rsidR="0087031A">
              <w:rPr>
                <w:rFonts w:ascii="Verdana" w:eastAsia="Calibri" w:hAnsi="Verdana" w:cs="Times New Roman"/>
                <w:lang w:val="es-ES"/>
              </w:rPr>
              <w:t>a un proceso de contratación especifico debe</w:t>
            </w:r>
            <w:r w:rsidR="0087031A" w:rsidRPr="0012388D">
              <w:rPr>
                <w:rFonts w:ascii="Verdana" w:eastAsia="Calibri" w:hAnsi="Verdana" w:cs="Times New Roman"/>
                <w:lang w:val="es-ES"/>
              </w:rPr>
              <w:t xml:space="preserve"> ser realizado por quienes tengan interés en ello.</w:t>
            </w:r>
            <w:r w:rsidR="0087031A"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rsidR="0087031A">
              <w:t xml:space="preserve"> </w:t>
            </w:r>
          </w:p>
          <w:p w14:paraId="4D8F70B6" w14:textId="77777777" w:rsidR="0087031A" w:rsidRPr="00831CDD" w:rsidRDefault="0087031A" w:rsidP="00CD7324">
            <w:pPr>
              <w:spacing w:line="276" w:lineRule="auto"/>
              <w:ind w:firstLine="709"/>
              <w:contextualSpacing/>
              <w:jc w:val="both"/>
              <w:rPr>
                <w:rFonts w:ascii="Verdana" w:hAnsi="Verdana" w:cs="Arial"/>
                <w:bCs/>
                <w:color w:val="000000" w:themeColor="text1"/>
              </w:rPr>
            </w:pPr>
            <w:r w:rsidRPr="00DB4737">
              <w:rPr>
                <w:rFonts w:ascii="Verdana" w:eastAsia="Calibri" w:hAnsi="Verdana" w:cs="Times New Roman"/>
                <w:lang w:val="es-ES"/>
              </w:rPr>
              <w:lastRenderedPageBreak/>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r w:rsidR="0087031A" w:rsidRPr="00593A5F" w14:paraId="2EC3A9A4" w14:textId="77777777" w:rsidTr="00580B7F">
        <w:tc>
          <w:tcPr>
            <w:tcW w:w="8828" w:type="dxa"/>
          </w:tcPr>
          <w:p w14:paraId="46FE8F13" w14:textId="77777777" w:rsidR="0087031A" w:rsidRPr="002973E9" w:rsidRDefault="0087031A" w:rsidP="00580B7F">
            <w:pPr>
              <w:spacing w:line="276" w:lineRule="auto"/>
              <w:jc w:val="both"/>
              <w:rPr>
                <w:rFonts w:ascii="Verdana" w:eastAsia="Calibri" w:hAnsi="Verdana" w:cs="Arial"/>
                <w:lang w:val="es-ES"/>
              </w:rPr>
            </w:pPr>
          </w:p>
        </w:tc>
      </w:tr>
    </w:tbl>
    <w:p w14:paraId="234FB4F9" w14:textId="77777777" w:rsidR="0087031A" w:rsidRDefault="0087031A" w:rsidP="0087031A">
      <w:pPr>
        <w:tabs>
          <w:tab w:val="left" w:pos="142"/>
          <w:tab w:val="left" w:pos="284"/>
        </w:tabs>
        <w:spacing w:after="0" w:line="276" w:lineRule="auto"/>
        <w:jc w:val="both"/>
        <w:rPr>
          <w:rFonts w:ascii="Verdana" w:eastAsia="Century Gothic" w:hAnsi="Verdana" w:cs="Century Gothic"/>
          <w:b/>
          <w:bCs/>
          <w:lang w:val="es-ES"/>
        </w:rPr>
      </w:pPr>
    </w:p>
    <w:p w14:paraId="43DE775E" w14:textId="77777777" w:rsidR="0087031A" w:rsidRPr="00593A5F" w:rsidRDefault="0087031A" w:rsidP="0087031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489632DB" w14:textId="77777777" w:rsidR="0087031A" w:rsidRDefault="0087031A" w:rsidP="0087031A">
      <w:pPr>
        <w:spacing w:after="120" w:line="276" w:lineRule="auto"/>
        <w:ind w:firstLine="708"/>
        <w:jc w:val="both"/>
        <w:rPr>
          <w:rFonts w:ascii="Verdana" w:eastAsia="Calibri" w:hAnsi="Verdana" w:cs="Arial"/>
          <w:lang w:val="es-ES"/>
        </w:rPr>
      </w:pPr>
    </w:p>
    <w:p w14:paraId="4529D001" w14:textId="77777777" w:rsidR="0087031A" w:rsidRPr="00515AC9" w:rsidRDefault="0087031A" w:rsidP="00CD7324">
      <w:pPr>
        <w:spacing w:after="120" w:line="276" w:lineRule="auto"/>
        <w:jc w:val="both"/>
        <w:rPr>
          <w:rFonts w:ascii="Verdana" w:eastAsia="Calibri" w:hAnsi="Verdana" w:cs="Arial"/>
          <w:lang w:val="es-ES"/>
        </w:rPr>
      </w:pPr>
      <w:r w:rsidRPr="573DC269">
        <w:rPr>
          <w:rFonts w:ascii="Verdana" w:eastAsia="Calibri" w:hAnsi="Verdana" w:cs="Arial"/>
          <w:lang w:val="es-ES"/>
        </w:rPr>
        <w:t>El Estatuto General de Contratación de la Administración Pública – en adelante EGCAP – prevé dos tipos de exigencias en relación con los contratos estatales: (i) las relacionadas con el perfeccionamiento y (</w:t>
      </w:r>
      <w:proofErr w:type="spellStart"/>
      <w:r w:rsidRPr="573DC269">
        <w:rPr>
          <w:rFonts w:ascii="Verdana" w:eastAsia="Calibri" w:hAnsi="Verdana" w:cs="Arial"/>
          <w:lang w:val="es-ES"/>
        </w:rPr>
        <w:t>ii</w:t>
      </w:r>
      <w:proofErr w:type="spellEnd"/>
      <w:r w:rsidRPr="573DC269">
        <w:rPr>
          <w:rFonts w:ascii="Verdana" w:eastAsia="Calibri" w:hAnsi="Verdana" w:cs="Arial"/>
          <w:lang w:val="es-ES"/>
        </w:rPr>
        <w:t xml:space="preserve">) las que tienen que ver con la ejecución. Si bien ambas se complementan y marcan el origen de la fase contractual –o de ejecución–, es importante distinguirlas, ya que las consecuencias jurídicas que generan son diferentes. </w:t>
      </w:r>
    </w:p>
    <w:p w14:paraId="701D8509" w14:textId="77777777" w:rsidR="0087031A" w:rsidRDefault="0087031A" w:rsidP="2A933081">
      <w:pPr>
        <w:spacing w:after="120" w:line="276" w:lineRule="auto"/>
        <w:ind w:firstLine="709"/>
        <w:jc w:val="both"/>
        <w:rPr>
          <w:rFonts w:ascii="Verdana" w:eastAsia="Calibri" w:hAnsi="Verdana" w:cs="Arial"/>
          <w:lang w:val="es-ES"/>
        </w:rPr>
      </w:pPr>
      <w:r w:rsidRPr="2A933081">
        <w:rPr>
          <w:rFonts w:ascii="Verdana" w:eastAsia="Calibri" w:hAnsi="Verdana" w:cs="Arial"/>
          <w:lang w:val="es-ES"/>
        </w:rPr>
        <w:t xml:space="preserve">Los </w:t>
      </w:r>
      <w:r w:rsidRPr="2A933081">
        <w:rPr>
          <w:rFonts w:ascii="Verdana" w:eastAsia="Calibri" w:hAnsi="Verdana" w:cs="Arial"/>
          <w:i/>
          <w:iCs/>
          <w:lang w:val="es-ES"/>
        </w:rPr>
        <w:t>requisitos de perfeccionamiento</w:t>
      </w:r>
      <w:r w:rsidRPr="2A933081">
        <w:rPr>
          <w:rFonts w:ascii="Verdana" w:eastAsia="Calibri" w:hAnsi="Verdana" w:cs="Arial"/>
          <w:lang w:val="es-ES"/>
        </w:rPr>
        <w:t xml:space="preserve"> del contrato estatal son mandatos normativos que determinan cuándo se entiende celebrado. Es decir, se trata de prescripciones que establecen en qué momento existe el contrato. Según el artículo 1.501 del Código Civil, todo contrato se caracteriza por tener tres tipos de elementos: los de la esencia, los de la naturaleza y los accidentales. </w:t>
      </w:r>
    </w:p>
    <w:p w14:paraId="37859FD5" w14:textId="77777777" w:rsidR="0087031A" w:rsidRPr="00515AC9" w:rsidRDefault="0087031A" w:rsidP="0087031A">
      <w:pPr>
        <w:spacing w:after="120" w:line="276" w:lineRule="auto"/>
        <w:ind w:firstLine="709"/>
        <w:jc w:val="both"/>
        <w:rPr>
          <w:rFonts w:ascii="Verdana" w:eastAsia="Calibri" w:hAnsi="Verdana" w:cs="Arial"/>
          <w:lang w:val="es-ES_tradnl"/>
        </w:rPr>
      </w:pPr>
      <w:r w:rsidRPr="00515AC9">
        <w:rPr>
          <w:rFonts w:ascii="Verdana" w:eastAsia="Calibri" w:hAnsi="Verdana" w:cs="Arial"/>
          <w:lang w:val="es-ES_tradnl"/>
        </w:rPr>
        <w:t xml:space="preserve">Los de la </w:t>
      </w:r>
      <w:r w:rsidRPr="00515AC9">
        <w:rPr>
          <w:rFonts w:ascii="Verdana" w:eastAsia="Calibri" w:hAnsi="Verdana" w:cs="Arial"/>
          <w:i/>
          <w:iCs/>
          <w:lang w:val="es-ES_tradnl"/>
        </w:rPr>
        <w:t>esencia</w:t>
      </w:r>
      <w:r w:rsidRPr="00515AC9">
        <w:rPr>
          <w:rFonts w:ascii="Verdana" w:eastAsia="Calibri" w:hAnsi="Verdana" w:cs="Arial"/>
          <w:lang w:val="es-ES_tradnl"/>
        </w:rPr>
        <w:t xml:space="preserve"> son aquellos que, al cumplirse, marcan la existencia del contrato y le otorgan su identidad o tipología, permitiendo que no se confunda con otro contrato. Los de la </w:t>
      </w:r>
      <w:r w:rsidRPr="00515AC9">
        <w:rPr>
          <w:rFonts w:ascii="Verdana" w:eastAsia="Calibri" w:hAnsi="Verdana" w:cs="Arial"/>
          <w:i/>
          <w:iCs/>
          <w:lang w:val="es-ES_tradnl"/>
        </w:rPr>
        <w:t>naturaleza</w:t>
      </w:r>
      <w:r w:rsidRPr="00515AC9">
        <w:rPr>
          <w:rFonts w:ascii="Verdana" w:eastAsia="Calibri" w:hAnsi="Verdana" w:cs="Arial"/>
          <w:lang w:val="es-ES_tradnl"/>
        </w:rPr>
        <w:t xml:space="preserve"> son aquellos que, no siendo esenciales al contrato, se entienden incorporados por ministerio de la ley, aun ante el silencio de las partes. Y los </w:t>
      </w:r>
      <w:r w:rsidRPr="00515AC9">
        <w:rPr>
          <w:rFonts w:ascii="Verdana" w:eastAsia="Calibri" w:hAnsi="Verdana" w:cs="Arial"/>
          <w:i/>
          <w:iCs/>
          <w:lang w:val="es-ES_tradnl"/>
        </w:rPr>
        <w:t>accidentales</w:t>
      </w:r>
      <w:r w:rsidRPr="00515AC9">
        <w:rPr>
          <w:rFonts w:ascii="Verdana" w:eastAsia="Calibri" w:hAnsi="Verdana" w:cs="Arial"/>
          <w:lang w:val="es-ES_tradnl"/>
        </w:rPr>
        <w:t xml:space="preserve"> son los que las partes agregan en ejercicio de su autonomía de la voluntad, ya que no son ni esenciales, ni de la naturaleza del contrato</w:t>
      </w:r>
      <w:r w:rsidRPr="00515AC9">
        <w:rPr>
          <w:rStyle w:val="Refdenotaalpie"/>
          <w:rFonts w:ascii="Verdana" w:hAnsi="Verdana" w:cs="Arial"/>
        </w:rPr>
        <w:footnoteReference w:id="1"/>
      </w:r>
      <w:r w:rsidRPr="00515AC9">
        <w:rPr>
          <w:rFonts w:ascii="Verdana" w:eastAsia="Calibri" w:hAnsi="Verdana" w:cs="Arial"/>
          <w:lang w:val="es-ES_tradnl"/>
        </w:rPr>
        <w:t>. Los requisitos de perfeccionamiento del contrato estatal ingresan dentro de los elementos de la esencia.</w:t>
      </w:r>
    </w:p>
    <w:p w14:paraId="1C518812" w14:textId="77777777" w:rsidR="0087031A" w:rsidRPr="00515AC9" w:rsidRDefault="0087031A" w:rsidP="0087031A">
      <w:pPr>
        <w:spacing w:after="120" w:line="276" w:lineRule="auto"/>
        <w:ind w:firstLine="709"/>
        <w:jc w:val="both"/>
        <w:rPr>
          <w:rFonts w:ascii="Verdana" w:eastAsia="Calibri" w:hAnsi="Verdana" w:cs="Arial"/>
          <w:lang w:val="es-ES_tradnl"/>
        </w:rPr>
      </w:pPr>
      <w:r w:rsidRPr="00515AC9">
        <w:rPr>
          <w:rFonts w:ascii="Verdana" w:eastAsia="Calibri" w:hAnsi="Verdana" w:cs="Arial"/>
          <w:lang w:val="es-ES_tradnl"/>
        </w:rPr>
        <w:lastRenderedPageBreak/>
        <w:t xml:space="preserve">Además, los contratos –en términos generales– pueden ser: consensuales, reales o solemnes. Son </w:t>
      </w:r>
      <w:r w:rsidRPr="00515AC9">
        <w:rPr>
          <w:rFonts w:ascii="Verdana" w:eastAsia="Calibri" w:hAnsi="Verdana" w:cs="Arial"/>
          <w:i/>
          <w:iCs/>
          <w:lang w:val="es-ES_tradnl"/>
        </w:rPr>
        <w:t>consensuales</w:t>
      </w:r>
      <w:r w:rsidRPr="00515AC9">
        <w:rPr>
          <w:rFonts w:ascii="Verdana" w:eastAsia="Calibri" w:hAnsi="Verdana" w:cs="Arial"/>
          <w:lang w:val="es-ES_tradnl"/>
        </w:rPr>
        <w:t xml:space="preserve"> los que se perfeccionan con el consentimiento informal, pues no requieren de formalidades especiales. Son </w:t>
      </w:r>
      <w:r w:rsidRPr="00515AC9">
        <w:rPr>
          <w:rFonts w:ascii="Verdana" w:eastAsia="Calibri" w:hAnsi="Verdana" w:cs="Arial"/>
          <w:i/>
          <w:iCs/>
          <w:lang w:val="es-ES_tradnl"/>
        </w:rPr>
        <w:t>reales</w:t>
      </w:r>
      <w:r w:rsidRPr="00515AC9">
        <w:rPr>
          <w:rFonts w:ascii="Verdana" w:eastAsia="Calibri" w:hAnsi="Verdana" w:cs="Arial"/>
          <w:lang w:val="es-ES_tradnl"/>
        </w:rPr>
        <w:t xml:space="preserve"> aquellos que existen solo con la tradición o entrega de una cosa. Por su parte, son </w:t>
      </w:r>
      <w:r w:rsidRPr="00515AC9">
        <w:rPr>
          <w:rFonts w:ascii="Verdana" w:eastAsia="Calibri" w:hAnsi="Verdana" w:cs="Arial"/>
          <w:i/>
          <w:iCs/>
          <w:lang w:val="es-ES_tradnl"/>
        </w:rPr>
        <w:t>solemnes</w:t>
      </w:r>
      <w:r w:rsidRPr="00515AC9">
        <w:rPr>
          <w:rFonts w:ascii="Verdana" w:eastAsia="Calibri" w:hAnsi="Verdana" w:cs="Arial"/>
          <w:lang w:val="es-ES_tradnl"/>
        </w:rPr>
        <w:t xml:space="preserve"> aquellos contratos cuyo perfeccionamiento está revestido del cumplimiento de exigencias formales o ritualidades específicas</w:t>
      </w:r>
      <w:r w:rsidRPr="00515AC9">
        <w:rPr>
          <w:rStyle w:val="Refdenotaalpie"/>
          <w:rFonts w:ascii="Verdana" w:hAnsi="Verdana" w:cs="Arial"/>
        </w:rPr>
        <w:footnoteReference w:id="2"/>
      </w:r>
      <w:r w:rsidRPr="00515AC9">
        <w:rPr>
          <w:rFonts w:ascii="Verdana" w:eastAsia="Calibri" w:hAnsi="Verdana" w:cs="Arial"/>
          <w:lang w:val="es-ES_tradnl"/>
        </w:rPr>
        <w:t xml:space="preserve">. Pues bien, los contratos estatales regulados por el </w:t>
      </w:r>
      <w:r>
        <w:rPr>
          <w:rFonts w:ascii="Verdana" w:eastAsia="Calibri" w:hAnsi="Verdana" w:cs="Arial"/>
          <w:lang w:val="es-ES_tradnl"/>
        </w:rPr>
        <w:t>EGCAP</w:t>
      </w:r>
      <w:r w:rsidRPr="00515AC9">
        <w:rPr>
          <w:rFonts w:ascii="Verdana" w:eastAsia="Calibri" w:hAnsi="Verdana" w:cs="Arial"/>
          <w:lang w:val="es-ES_tradnl"/>
        </w:rPr>
        <w:t>, por regla general, son solemnes, ya que solo se entienden celebrados si se cumplen ciertas formalidades. Esta regla general solo tiene una excepción, como se explicará.</w:t>
      </w:r>
    </w:p>
    <w:p w14:paraId="7EDDDE45" w14:textId="77777777" w:rsidR="0087031A" w:rsidRDefault="0087031A" w:rsidP="0087031A">
      <w:pPr>
        <w:spacing w:after="120" w:line="276" w:lineRule="auto"/>
        <w:ind w:firstLine="709"/>
        <w:jc w:val="both"/>
        <w:rPr>
          <w:rFonts w:ascii="Verdana" w:eastAsia="Calibri" w:hAnsi="Verdana" w:cs="Arial"/>
          <w:lang w:val="es-ES_tradnl"/>
        </w:rPr>
      </w:pPr>
      <w:r w:rsidRPr="00515AC9">
        <w:rPr>
          <w:rFonts w:ascii="Verdana" w:eastAsia="Calibri" w:hAnsi="Verdana" w:cs="Arial"/>
          <w:lang w:val="es-ES_tradnl"/>
        </w:rPr>
        <w:t xml:space="preserve">En efecto, el primer inciso del artículo 41 de la Ley 80 de 1993 establece que </w:t>
      </w:r>
      <w:r>
        <w:rPr>
          <w:rFonts w:ascii="Verdana" w:eastAsia="Calibri" w:hAnsi="Verdana" w:cs="Arial"/>
          <w:lang w:val="es-ES_tradnl"/>
        </w:rPr>
        <w:t>“</w:t>
      </w:r>
      <w:r w:rsidRPr="00515AC9">
        <w:rPr>
          <w:rFonts w:ascii="Verdana" w:eastAsia="Calibri" w:hAnsi="Verdana" w:cs="Arial"/>
          <w:i/>
          <w:iCs/>
          <w:lang w:val="es-ES_tradnl"/>
        </w:rPr>
        <w:t>Los contratos del Estado se perfeccionan cuando se logre acuerdo sobre el objeto y la contraprestación y éste se eleve a escrito</w:t>
      </w:r>
      <w:r>
        <w:rPr>
          <w:rFonts w:ascii="Verdana" w:eastAsia="Calibri" w:hAnsi="Verdana" w:cs="Arial"/>
          <w:lang w:val="es-ES_tradnl"/>
        </w:rPr>
        <w:t>”</w:t>
      </w:r>
      <w:r w:rsidRPr="00515AC9">
        <w:rPr>
          <w:rFonts w:ascii="Verdana" w:eastAsia="Calibri" w:hAnsi="Verdana" w:cs="Arial"/>
          <w:lang w:val="es-ES_tradnl"/>
        </w:rPr>
        <w:t xml:space="preserve">. Como se advierte, el legislador dispuso que para que el contrato estatal exista, no solo debe haber un acuerdo sobre la obligación principal del negocio –es decir, sobre el </w:t>
      </w:r>
      <w:r>
        <w:rPr>
          <w:rFonts w:ascii="Verdana" w:eastAsia="Calibri" w:hAnsi="Verdana" w:cs="Arial"/>
          <w:lang w:val="es-ES_tradnl"/>
        </w:rPr>
        <w:t>“</w:t>
      </w:r>
      <w:r w:rsidRPr="00515AC9">
        <w:rPr>
          <w:rFonts w:ascii="Verdana" w:eastAsia="Calibri" w:hAnsi="Verdana" w:cs="Arial"/>
          <w:lang w:val="es-ES_tradnl"/>
        </w:rPr>
        <w:t>objeto</w:t>
      </w:r>
      <w:r>
        <w:rPr>
          <w:rFonts w:ascii="Verdana" w:eastAsia="Calibri" w:hAnsi="Verdana" w:cs="Arial"/>
          <w:lang w:val="es-ES_tradnl"/>
        </w:rPr>
        <w:t>”</w:t>
      </w:r>
      <w:r w:rsidRPr="00515AC9">
        <w:rPr>
          <w:rFonts w:ascii="Verdana" w:eastAsia="Calibri" w:hAnsi="Verdana" w:cs="Arial"/>
          <w:lang w:val="es-ES_tradnl"/>
        </w:rPr>
        <w:t xml:space="preserve">– y sobre la contraprestación, sino que se debe plasmar por escrito. </w:t>
      </w:r>
    </w:p>
    <w:p w14:paraId="20A50510" w14:textId="77777777" w:rsidR="0087031A" w:rsidRPr="00515AC9" w:rsidRDefault="0087031A" w:rsidP="0087031A">
      <w:pPr>
        <w:spacing w:after="120" w:line="276" w:lineRule="auto"/>
        <w:ind w:firstLine="709"/>
        <w:jc w:val="both"/>
        <w:rPr>
          <w:rFonts w:ascii="Verdana" w:eastAsia="Calibri" w:hAnsi="Verdana" w:cs="Arial"/>
          <w:lang w:val="es-ES_tradnl"/>
        </w:rPr>
      </w:pPr>
      <w:r w:rsidRPr="00515AC9">
        <w:rPr>
          <w:rFonts w:ascii="Verdana" w:eastAsia="Calibri" w:hAnsi="Verdana" w:cs="Arial"/>
          <w:lang w:val="es-ES_tradnl"/>
        </w:rPr>
        <w:t xml:space="preserve">Tal circunstancia le ha permitido a la doctrina concluir que el contrato estatal regulado en el Estatuto General de Contratación de la Administración Pública es </w:t>
      </w:r>
      <w:r>
        <w:rPr>
          <w:rFonts w:ascii="Verdana" w:eastAsia="Calibri" w:hAnsi="Verdana" w:cs="Arial"/>
          <w:lang w:val="es-ES_tradnl"/>
        </w:rPr>
        <w:t>“</w:t>
      </w:r>
      <w:r w:rsidRPr="00515AC9">
        <w:rPr>
          <w:rFonts w:ascii="Verdana" w:eastAsia="Calibri" w:hAnsi="Verdana" w:cs="Arial"/>
          <w:lang w:val="es-ES_tradnl"/>
        </w:rPr>
        <w:t xml:space="preserve">[…] </w:t>
      </w:r>
      <w:r w:rsidRPr="00515AC9">
        <w:rPr>
          <w:rFonts w:ascii="Verdana" w:eastAsia="Calibri" w:hAnsi="Verdana" w:cs="Arial"/>
          <w:i/>
          <w:iCs/>
          <w:lang w:val="es-ES_tradnl"/>
        </w:rPr>
        <w:t xml:space="preserve">principalmente, solemne, ya que la manifestación de voluntad, si no se expresa bajo la forma ad </w:t>
      </w:r>
      <w:proofErr w:type="spellStart"/>
      <w:r w:rsidRPr="00515AC9">
        <w:rPr>
          <w:rFonts w:ascii="Verdana" w:eastAsia="Calibri" w:hAnsi="Verdana" w:cs="Arial"/>
          <w:i/>
          <w:iCs/>
          <w:lang w:val="es-ES_tradnl"/>
        </w:rPr>
        <w:t>solemnitatem</w:t>
      </w:r>
      <w:proofErr w:type="spellEnd"/>
      <w:r w:rsidRPr="00515AC9">
        <w:rPr>
          <w:rFonts w:ascii="Verdana" w:eastAsia="Calibri" w:hAnsi="Verdana" w:cs="Arial"/>
          <w:i/>
          <w:iCs/>
          <w:lang w:val="es-ES_tradnl"/>
        </w:rPr>
        <w:t xml:space="preserve"> o ad </w:t>
      </w:r>
      <w:proofErr w:type="spellStart"/>
      <w:r w:rsidRPr="00515AC9">
        <w:rPr>
          <w:rFonts w:ascii="Verdana" w:eastAsia="Calibri" w:hAnsi="Verdana" w:cs="Arial"/>
          <w:i/>
          <w:iCs/>
          <w:lang w:val="es-ES_tradnl"/>
        </w:rPr>
        <w:t>substantiam</w:t>
      </w:r>
      <w:proofErr w:type="spellEnd"/>
      <w:r w:rsidRPr="00515AC9">
        <w:rPr>
          <w:rFonts w:ascii="Verdana" w:eastAsia="Calibri" w:hAnsi="Verdana" w:cs="Arial"/>
          <w:i/>
          <w:iCs/>
          <w:lang w:val="es-ES_tradnl"/>
        </w:rPr>
        <w:t xml:space="preserve"> </w:t>
      </w:r>
      <w:proofErr w:type="spellStart"/>
      <w:r w:rsidRPr="00515AC9">
        <w:rPr>
          <w:rFonts w:ascii="Verdana" w:eastAsia="Calibri" w:hAnsi="Verdana" w:cs="Arial"/>
          <w:i/>
          <w:iCs/>
          <w:lang w:val="es-ES_tradnl"/>
        </w:rPr>
        <w:t>actus</w:t>
      </w:r>
      <w:proofErr w:type="spellEnd"/>
      <w:r w:rsidRPr="00515AC9">
        <w:rPr>
          <w:rFonts w:ascii="Verdana" w:eastAsia="Calibri" w:hAnsi="Verdana" w:cs="Arial"/>
          <w:i/>
          <w:iCs/>
          <w:lang w:val="es-ES_tradnl"/>
        </w:rPr>
        <w:t xml:space="preserve"> exigida por la ley, es inexistente, es decir, se entiende que el contrato jamás ha sido creado para el mundo jurídico</w:t>
      </w:r>
      <w:r>
        <w:rPr>
          <w:rFonts w:ascii="Verdana" w:eastAsia="Calibri" w:hAnsi="Verdana" w:cs="Arial"/>
          <w:i/>
          <w:iCs/>
          <w:lang w:val="es-ES_tradnl"/>
        </w:rPr>
        <w:t>”</w:t>
      </w:r>
      <w:r w:rsidRPr="00515AC9">
        <w:rPr>
          <w:rStyle w:val="Refdenotaalpie"/>
          <w:rFonts w:ascii="Verdana" w:hAnsi="Verdana" w:cs="Arial"/>
        </w:rPr>
        <w:footnoteReference w:id="3"/>
      </w:r>
      <w:r w:rsidRPr="00515AC9">
        <w:rPr>
          <w:rFonts w:ascii="Verdana" w:eastAsia="Calibri" w:hAnsi="Verdana" w:cs="Arial"/>
          <w:lang w:val="es-ES_tradnl"/>
        </w:rPr>
        <w:t xml:space="preserve">. </w:t>
      </w:r>
    </w:p>
    <w:p w14:paraId="75C0045C" w14:textId="77777777" w:rsidR="0087031A" w:rsidRPr="00515AC9" w:rsidRDefault="0087031A" w:rsidP="0087031A">
      <w:pPr>
        <w:spacing w:after="120" w:line="276" w:lineRule="auto"/>
        <w:ind w:firstLine="709"/>
        <w:jc w:val="both"/>
        <w:rPr>
          <w:rFonts w:ascii="Verdana" w:eastAsia="Calibri" w:hAnsi="Verdana" w:cs="Arial"/>
          <w:lang w:val="es-ES"/>
        </w:rPr>
      </w:pPr>
      <w:r w:rsidRPr="573DC269">
        <w:rPr>
          <w:rFonts w:ascii="Verdana" w:eastAsia="Calibri" w:hAnsi="Verdana" w:cs="Arial"/>
          <w:lang w:val="es-ES"/>
        </w:rPr>
        <w:t>La excepción a la anterior regla se encuentra en el cuarto inciso del mismo artículo, según el cual, “</w:t>
      </w:r>
      <w:r w:rsidRPr="573DC269">
        <w:rPr>
          <w:rFonts w:ascii="Verdana" w:eastAsia="Calibri" w:hAnsi="Verdana" w:cs="Arial"/>
          <w:i/>
          <w:iCs/>
          <w:lang w:val="es-ES"/>
        </w:rPr>
        <w:t>En caso de situaciones de urgencia manifiesta a que se refiere el artículo </w:t>
      </w:r>
      <w:hyperlink r:id="rId13" w:anchor="42" w:history="1">
        <w:r w:rsidRPr="00B41137">
          <w:rPr>
            <w:rStyle w:val="Hipervnculo"/>
            <w:rFonts w:ascii="Verdana" w:eastAsia="Calibri" w:hAnsi="Verdana" w:cs="Arial"/>
            <w:i/>
            <w:iCs/>
            <w:color w:val="auto"/>
            <w:u w:val="none"/>
            <w:lang w:val="es-ES"/>
          </w:rPr>
          <w:t>42</w:t>
        </w:r>
      </w:hyperlink>
      <w:r w:rsidRPr="573DC269">
        <w:rPr>
          <w:rFonts w:ascii="Verdana" w:eastAsia="Calibri" w:hAnsi="Verdana" w:cs="Arial"/>
          <w:i/>
          <w:iCs/>
          <w:lang w:val="es-ES"/>
        </w:rPr>
        <w:t> de esta ley que no permitan la suscripción de contrato escrito, se prescindirá de éste y aún del acuerdo acerca de la remuneración, no obstante, deberá dejarse constancia escrita de la autorización impartida por la entidad estatal contratante</w:t>
      </w:r>
      <w:r w:rsidRPr="573DC269">
        <w:rPr>
          <w:rFonts w:ascii="Verdana" w:eastAsia="Calibri" w:hAnsi="Verdana" w:cs="Arial"/>
          <w:lang w:val="es-ES"/>
        </w:rPr>
        <w:t>”. En otras palabras, por regla general, los contratos estatales deben constar por escrito, salvo que se presente una situación de urgencia manifiesta en la que no haya tiempo de cumplir con esta formalidad.</w:t>
      </w:r>
    </w:p>
    <w:p w14:paraId="62743D8C" w14:textId="77777777" w:rsidR="0087031A" w:rsidRPr="00515AC9" w:rsidRDefault="0087031A" w:rsidP="0087031A">
      <w:pPr>
        <w:spacing w:after="0"/>
        <w:ind w:firstLine="708"/>
        <w:jc w:val="both"/>
        <w:rPr>
          <w:rFonts w:ascii="Verdana" w:eastAsia="Calibri" w:hAnsi="Verdana" w:cs="Arial"/>
        </w:rPr>
      </w:pPr>
      <w:r>
        <w:rPr>
          <w:rFonts w:ascii="Verdana" w:eastAsia="Calibri" w:hAnsi="Verdana" w:cs="Arial"/>
          <w:lang w:val="es-ES_tradnl"/>
        </w:rPr>
        <w:lastRenderedPageBreak/>
        <w:t>Ahora bien, en relación con</w:t>
      </w:r>
      <w:r w:rsidRPr="00515AC9">
        <w:rPr>
          <w:rFonts w:ascii="Verdana" w:eastAsia="Calibri" w:hAnsi="Verdana" w:cs="Arial"/>
          <w:lang w:val="es-ES_tradnl"/>
        </w:rPr>
        <w:t xml:space="preserve"> los </w:t>
      </w:r>
      <w:r w:rsidRPr="00515AC9">
        <w:rPr>
          <w:rFonts w:ascii="Verdana" w:eastAsia="Calibri" w:hAnsi="Verdana" w:cs="Arial"/>
          <w:i/>
          <w:iCs/>
          <w:lang w:val="es-ES_tradnl"/>
        </w:rPr>
        <w:t>requisitos de ejecución</w:t>
      </w:r>
      <w:r>
        <w:rPr>
          <w:rFonts w:ascii="Verdana" w:eastAsia="Calibri" w:hAnsi="Verdana" w:cs="Arial"/>
          <w:lang w:val="es-ES_tradnl"/>
        </w:rPr>
        <w:t xml:space="preserve"> debe señalarse que, estos</w:t>
      </w:r>
      <w:r w:rsidRPr="00515AC9">
        <w:rPr>
          <w:rFonts w:ascii="Verdana" w:eastAsia="Calibri" w:hAnsi="Verdana" w:cs="Arial"/>
          <w:lang w:val="es-ES_tradnl"/>
        </w:rPr>
        <w:t xml:space="preserve"> posibilitan el inicio de la fase de realización de las actividades pactadas en el contrato, es decir, el cumplimiento del objeto del negocio jurídico. A partir de esta distinción, es posible encontrar contratos estatales –perfeccionados– respecto de los cuales aún falte satisfacer uno o varios requisitos de ejecución</w:t>
      </w:r>
      <w:r>
        <w:rPr>
          <w:rFonts w:ascii="Verdana" w:eastAsia="Calibri" w:hAnsi="Verdana" w:cs="Arial"/>
          <w:lang w:val="es-ES_tradnl"/>
        </w:rPr>
        <w:t xml:space="preserve">. </w:t>
      </w:r>
      <w:r w:rsidRPr="00515AC9">
        <w:rPr>
          <w:rFonts w:ascii="Verdana" w:eastAsia="Calibri" w:hAnsi="Verdana" w:cs="Arial"/>
          <w:lang w:val="es-ES_tradnl"/>
        </w:rPr>
        <w:t xml:space="preserve">Sobre el particular, </w:t>
      </w:r>
      <w:r w:rsidRPr="00515AC9">
        <w:rPr>
          <w:rFonts w:ascii="Verdana" w:eastAsia="Calibri" w:hAnsi="Verdana" w:cs="Arial"/>
        </w:rPr>
        <w:t>el Consejo de Estado aclaró la diferencia entre el perfeccionamiento y la ejecución del contrato, de la siguiente manera:</w:t>
      </w:r>
    </w:p>
    <w:p w14:paraId="206A1514" w14:textId="77777777" w:rsidR="0087031A" w:rsidRPr="00515AC9" w:rsidRDefault="0087031A" w:rsidP="0087031A">
      <w:pPr>
        <w:spacing w:after="0"/>
        <w:jc w:val="both"/>
        <w:rPr>
          <w:rFonts w:ascii="Verdana" w:eastAsia="Calibri" w:hAnsi="Verdana" w:cs="Arial"/>
        </w:rPr>
      </w:pPr>
    </w:p>
    <w:p w14:paraId="20B7655A" w14:textId="77777777" w:rsidR="0087031A" w:rsidRPr="00B41137" w:rsidRDefault="0087031A" w:rsidP="0087031A">
      <w:pPr>
        <w:spacing w:after="0"/>
        <w:ind w:left="708" w:right="709"/>
        <w:jc w:val="both"/>
        <w:rPr>
          <w:rFonts w:ascii="Verdana" w:eastAsia="Calibri" w:hAnsi="Verdana" w:cs="Arial"/>
          <w:sz w:val="20"/>
          <w:szCs w:val="20"/>
          <w:lang w:val="es-ES_tradnl"/>
        </w:rPr>
      </w:pPr>
      <w:r w:rsidRPr="00B41137">
        <w:rPr>
          <w:rFonts w:ascii="Verdana" w:eastAsia="Calibri" w:hAnsi="Verdana" w:cs="Arial"/>
          <w:sz w:val="20"/>
          <w:szCs w:val="20"/>
          <w:lang w:val="es-ES_tradnl"/>
        </w:rPr>
        <w:t>“</w:t>
      </w:r>
      <w:r w:rsidRPr="00B41137">
        <w:rPr>
          <w:rFonts w:ascii="Verdana" w:eastAsia="Calibri" w:hAnsi="Verdana" w:cs="Arial"/>
          <w:i/>
          <w:iCs/>
          <w:sz w:val="20"/>
          <w:szCs w:val="20"/>
        </w:rPr>
        <w:t xml:space="preserve">La Sala concluyó y ahora se reitera que i) la existencia del contrato no difiere de la perfección, esto es cumplidos los elementos esenciales que dan lugar al contrato no queda sino aceptar la relación jurídico contractual; </w:t>
      </w:r>
      <w:proofErr w:type="spellStart"/>
      <w:r w:rsidRPr="00B41137">
        <w:rPr>
          <w:rFonts w:ascii="Verdana" w:eastAsia="Calibri" w:hAnsi="Verdana" w:cs="Arial"/>
          <w:i/>
          <w:iCs/>
          <w:sz w:val="20"/>
          <w:szCs w:val="20"/>
        </w:rPr>
        <w:t>ii</w:t>
      </w:r>
      <w:proofErr w:type="spellEnd"/>
      <w:r w:rsidRPr="00B41137">
        <w:rPr>
          <w:rFonts w:ascii="Verdana" w:eastAsia="Calibri" w:hAnsi="Verdana" w:cs="Arial"/>
          <w:i/>
          <w:iCs/>
          <w:sz w:val="20"/>
          <w:szCs w:val="20"/>
        </w:rPr>
        <w:t xml:space="preserve">) por virtud de lo dispuesto en la Ley 80 de 1993 el contrato estatal existe, esto es, “se perfecciona” cuando “se logra acuerdo sobre el objeto y la contraprestación y éste se eleve a escrito”; </w:t>
      </w:r>
      <w:proofErr w:type="spellStart"/>
      <w:r w:rsidRPr="00B41137">
        <w:rPr>
          <w:rFonts w:ascii="Verdana" w:eastAsia="Calibri" w:hAnsi="Verdana" w:cs="Arial"/>
          <w:i/>
          <w:iCs/>
          <w:sz w:val="20"/>
          <w:szCs w:val="20"/>
        </w:rPr>
        <w:t>iii</w:t>
      </w:r>
      <w:proofErr w:type="spellEnd"/>
      <w:r w:rsidRPr="00B41137">
        <w:rPr>
          <w:rFonts w:ascii="Verdana" w:eastAsia="Calibri" w:hAnsi="Verdana" w:cs="Arial"/>
          <w:i/>
          <w:iCs/>
          <w:sz w:val="20"/>
          <w:szCs w:val="20"/>
        </w:rPr>
        <w:t xml:space="preserve">) es ejecutable cuando se cumplen las condiciones previstas en el inciso segundo del artículo 41 de la ley, interpretado en concordancia con lo dispuesto en el artículo 49 de la Ley 179 de 1994, compilado en el artículo 71 del Estatuto Orgánico de Presupuesto, Decreto Ley 111 de 1996 y </w:t>
      </w:r>
      <w:proofErr w:type="spellStart"/>
      <w:r w:rsidRPr="00B41137">
        <w:rPr>
          <w:rFonts w:ascii="Verdana" w:eastAsia="Calibri" w:hAnsi="Verdana" w:cs="Arial"/>
          <w:i/>
          <w:iCs/>
          <w:sz w:val="20"/>
          <w:szCs w:val="20"/>
        </w:rPr>
        <w:t>iv</w:t>
      </w:r>
      <w:proofErr w:type="spellEnd"/>
      <w:r w:rsidRPr="00B41137">
        <w:rPr>
          <w:rFonts w:ascii="Verdana" w:eastAsia="Calibri" w:hAnsi="Verdana" w:cs="Arial"/>
          <w:i/>
          <w:iCs/>
          <w:sz w:val="20"/>
          <w:szCs w:val="20"/>
        </w:rPr>
        <w:t>) el requisito relativo al registro presupuestal no es una condición de existencia del contrato estatal, es un requisito de ejecución</w:t>
      </w:r>
      <w:r w:rsidRPr="00B41137">
        <w:rPr>
          <w:rFonts w:ascii="Verdana" w:eastAsia="Calibri" w:hAnsi="Verdana" w:cs="Arial"/>
          <w:sz w:val="20"/>
          <w:szCs w:val="20"/>
        </w:rPr>
        <w:t>”</w:t>
      </w:r>
      <w:r w:rsidRPr="00B41137">
        <w:rPr>
          <w:rStyle w:val="Refdenotaalpie"/>
          <w:rFonts w:ascii="Verdana" w:hAnsi="Verdana" w:cs="Arial"/>
          <w:sz w:val="20"/>
          <w:szCs w:val="20"/>
        </w:rPr>
        <w:footnoteReference w:id="4"/>
      </w:r>
      <w:r w:rsidRPr="00B41137">
        <w:rPr>
          <w:rFonts w:ascii="Verdana" w:eastAsia="Calibri" w:hAnsi="Verdana" w:cs="Arial"/>
          <w:i/>
          <w:iCs/>
          <w:sz w:val="20"/>
          <w:szCs w:val="20"/>
        </w:rPr>
        <w:t>.</w:t>
      </w:r>
    </w:p>
    <w:p w14:paraId="36B7F34E" w14:textId="77777777" w:rsidR="0087031A" w:rsidRPr="00515AC9" w:rsidRDefault="0087031A" w:rsidP="0087031A">
      <w:pPr>
        <w:spacing w:after="0" w:line="276" w:lineRule="auto"/>
        <w:ind w:left="708"/>
        <w:jc w:val="both"/>
        <w:rPr>
          <w:rFonts w:ascii="Verdana" w:eastAsia="Calibri" w:hAnsi="Verdana" w:cs="Arial"/>
          <w:i/>
          <w:iCs/>
        </w:rPr>
      </w:pPr>
    </w:p>
    <w:p w14:paraId="49FDC75C" w14:textId="77777777" w:rsidR="0087031A" w:rsidRPr="00515AC9" w:rsidRDefault="0087031A" w:rsidP="0087031A">
      <w:pPr>
        <w:spacing w:after="120"/>
        <w:ind w:firstLine="708"/>
        <w:jc w:val="both"/>
        <w:rPr>
          <w:rFonts w:ascii="Verdana" w:eastAsia="Calibri" w:hAnsi="Verdana" w:cs="Arial"/>
          <w:lang w:val="es-ES"/>
        </w:rPr>
      </w:pPr>
      <w:r w:rsidRPr="00B41137">
        <w:rPr>
          <w:rFonts w:ascii="Verdana" w:eastAsia="Calibri" w:hAnsi="Verdana" w:cs="Arial"/>
          <w:lang w:val="es-ES"/>
        </w:rPr>
        <w:t>En</w:t>
      </w:r>
      <w:r w:rsidRPr="573DC269">
        <w:rPr>
          <w:rFonts w:ascii="Verdana" w:eastAsia="Calibri" w:hAnsi="Verdana" w:cs="Arial"/>
          <w:lang w:val="es-ES"/>
        </w:rPr>
        <w:t xml:space="preserve"> ese orden, los requisitos de ejecución de los contratos estatales pueden ser “legales” o “convencionales”. Los primeros son aquellos que se encuentran previstos en la ley. Los segundos son estipulados por las partes. En otros términos, los requisitos </w:t>
      </w:r>
      <w:r w:rsidRPr="573DC269">
        <w:rPr>
          <w:rFonts w:ascii="Verdana" w:eastAsia="Calibri" w:hAnsi="Verdana" w:cs="Arial"/>
          <w:i/>
          <w:iCs/>
          <w:lang w:val="es-ES"/>
        </w:rPr>
        <w:t>legales</w:t>
      </w:r>
      <w:r w:rsidRPr="573DC269">
        <w:rPr>
          <w:rFonts w:ascii="Verdana" w:eastAsia="Calibri" w:hAnsi="Verdana" w:cs="Arial"/>
          <w:lang w:val="es-ES"/>
        </w:rPr>
        <w:t xml:space="preserve"> de ejecución son elementos de la </w:t>
      </w:r>
      <w:r w:rsidRPr="573DC269">
        <w:rPr>
          <w:rFonts w:ascii="Verdana" w:eastAsia="Calibri" w:hAnsi="Verdana" w:cs="Arial"/>
          <w:i/>
          <w:iCs/>
          <w:lang w:val="es-ES"/>
        </w:rPr>
        <w:t>naturaleza</w:t>
      </w:r>
      <w:r w:rsidRPr="573DC269">
        <w:rPr>
          <w:rFonts w:ascii="Verdana" w:eastAsia="Calibri" w:hAnsi="Verdana" w:cs="Arial"/>
          <w:lang w:val="es-ES"/>
        </w:rPr>
        <w:t xml:space="preserve">, mientras que los requisitos </w:t>
      </w:r>
      <w:r w:rsidRPr="573DC269">
        <w:rPr>
          <w:rFonts w:ascii="Verdana" w:eastAsia="Calibri" w:hAnsi="Verdana" w:cs="Arial"/>
          <w:i/>
          <w:iCs/>
          <w:lang w:val="es-ES"/>
        </w:rPr>
        <w:t>convencionales</w:t>
      </w:r>
      <w:r w:rsidRPr="573DC269">
        <w:rPr>
          <w:rFonts w:ascii="Verdana" w:eastAsia="Calibri" w:hAnsi="Verdana" w:cs="Arial"/>
          <w:lang w:val="es-ES"/>
        </w:rPr>
        <w:t xml:space="preserve"> de ejecución son elementos </w:t>
      </w:r>
      <w:r w:rsidRPr="573DC269">
        <w:rPr>
          <w:rFonts w:ascii="Verdana" w:eastAsia="Calibri" w:hAnsi="Verdana" w:cs="Arial"/>
          <w:i/>
          <w:iCs/>
          <w:lang w:val="es-ES"/>
        </w:rPr>
        <w:t>accidentales</w:t>
      </w:r>
      <w:r w:rsidRPr="573DC269">
        <w:rPr>
          <w:rFonts w:ascii="Verdana" w:eastAsia="Calibri" w:hAnsi="Verdana" w:cs="Arial"/>
          <w:lang w:val="es-ES"/>
        </w:rPr>
        <w:t xml:space="preserve">. Teniendo en cuenta que en la consulta se indaga por el acta de inicio, es importante precisar si se trata de un requisito de ejecución legal o convencional. </w:t>
      </w:r>
    </w:p>
    <w:p w14:paraId="27D5EDF7" w14:textId="77777777" w:rsidR="0087031A" w:rsidRPr="00515AC9" w:rsidRDefault="0087031A" w:rsidP="0087031A">
      <w:pPr>
        <w:spacing w:after="0"/>
        <w:ind w:firstLine="708"/>
        <w:jc w:val="both"/>
        <w:rPr>
          <w:rFonts w:ascii="Verdana" w:eastAsia="Calibri" w:hAnsi="Verdana" w:cs="Arial"/>
          <w:lang w:val="es-ES_tradnl"/>
        </w:rPr>
      </w:pPr>
      <w:r w:rsidRPr="00515AC9">
        <w:rPr>
          <w:rFonts w:ascii="Verdana" w:eastAsia="Calibri" w:hAnsi="Verdana" w:cs="Arial"/>
          <w:lang w:val="es-ES_tradnl"/>
        </w:rPr>
        <w:t>Para dilucidar lo anterior, conviene hacer referencia al segundo inciso del artículo 41 de la Ley 80 de 1993</w:t>
      </w:r>
      <w:r w:rsidRPr="00515AC9">
        <w:rPr>
          <w:rFonts w:ascii="Verdana" w:eastAsia="Calibri" w:hAnsi="Verdana" w:cs="Arial"/>
        </w:rPr>
        <w:t>, modificado por el artículo 23 de la Ley 1150 de 2007</w:t>
      </w:r>
      <w:r w:rsidRPr="00515AC9">
        <w:rPr>
          <w:rFonts w:ascii="Verdana" w:eastAsia="Calibri" w:hAnsi="Verdana" w:cs="Arial"/>
          <w:lang w:val="es-ES_tradnl"/>
        </w:rPr>
        <w:t xml:space="preserve">. Esta disposición normativa establece los requisitos </w:t>
      </w:r>
      <w:r w:rsidRPr="00515AC9">
        <w:rPr>
          <w:rFonts w:ascii="Verdana" w:eastAsia="Calibri" w:hAnsi="Verdana" w:cs="Arial"/>
          <w:i/>
          <w:iCs/>
          <w:lang w:val="es-ES_tradnl"/>
        </w:rPr>
        <w:t xml:space="preserve">legales </w:t>
      </w:r>
      <w:r w:rsidRPr="00515AC9">
        <w:rPr>
          <w:rFonts w:ascii="Verdana" w:eastAsia="Calibri" w:hAnsi="Verdana" w:cs="Arial"/>
          <w:lang w:val="es-ES_tradnl"/>
        </w:rPr>
        <w:t>de la siguiente manera:</w:t>
      </w:r>
    </w:p>
    <w:p w14:paraId="5516D287" w14:textId="77777777" w:rsidR="0087031A" w:rsidRPr="00515AC9" w:rsidRDefault="0087031A" w:rsidP="0087031A">
      <w:pPr>
        <w:spacing w:after="0" w:line="276" w:lineRule="auto"/>
        <w:jc w:val="both"/>
        <w:rPr>
          <w:rFonts w:ascii="Verdana" w:eastAsia="Calibri" w:hAnsi="Verdana" w:cs="Arial"/>
          <w:i/>
          <w:iCs/>
        </w:rPr>
      </w:pPr>
    </w:p>
    <w:p w14:paraId="67976EEA" w14:textId="77777777" w:rsidR="0087031A" w:rsidRPr="00B41137" w:rsidRDefault="0087031A" w:rsidP="0087031A">
      <w:pPr>
        <w:spacing w:after="0" w:line="240" w:lineRule="auto"/>
        <w:ind w:left="709" w:right="709"/>
        <w:jc w:val="both"/>
        <w:rPr>
          <w:rFonts w:ascii="Verdana" w:eastAsia="Calibri" w:hAnsi="Verdana" w:cs="Arial"/>
          <w:sz w:val="20"/>
          <w:szCs w:val="20"/>
        </w:rPr>
      </w:pPr>
      <w:r w:rsidRPr="00B41137">
        <w:rPr>
          <w:rFonts w:ascii="Verdana" w:eastAsia="Calibri" w:hAnsi="Verdana" w:cs="Arial"/>
          <w:sz w:val="20"/>
          <w:szCs w:val="20"/>
        </w:rPr>
        <w:t xml:space="preserve">“Para la ejecución se requerirá de la aprobación de la garantía y de la existencia de las disponibilidades presupuestales correspondientes, salvo que se trate de la contratación con recursos de vigencias fiscales futuras </w:t>
      </w:r>
      <w:r w:rsidRPr="00B41137">
        <w:rPr>
          <w:rFonts w:ascii="Verdana" w:eastAsia="Calibri" w:hAnsi="Verdana" w:cs="Arial"/>
          <w:sz w:val="20"/>
          <w:szCs w:val="20"/>
        </w:rPr>
        <w:lastRenderedPageBreak/>
        <w:t xml:space="preserve">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 </w:t>
      </w:r>
    </w:p>
    <w:p w14:paraId="3786FA19" w14:textId="77777777" w:rsidR="0087031A" w:rsidRPr="00515AC9" w:rsidRDefault="0087031A" w:rsidP="0087031A">
      <w:pPr>
        <w:spacing w:after="0" w:line="276" w:lineRule="auto"/>
        <w:jc w:val="both"/>
        <w:rPr>
          <w:rFonts w:ascii="Verdana" w:eastAsia="Calibri" w:hAnsi="Verdana" w:cs="Arial"/>
          <w:lang w:val="es-ES_tradnl"/>
        </w:rPr>
      </w:pPr>
    </w:p>
    <w:p w14:paraId="50356AEC" w14:textId="77777777" w:rsidR="0087031A" w:rsidRPr="00515AC9" w:rsidRDefault="0087031A" w:rsidP="0087031A">
      <w:pPr>
        <w:spacing w:after="120" w:line="276" w:lineRule="auto"/>
        <w:ind w:firstLine="708"/>
        <w:jc w:val="both"/>
        <w:rPr>
          <w:rFonts w:ascii="Verdana" w:eastAsia="Calibri" w:hAnsi="Verdana" w:cs="Arial"/>
          <w:lang w:val="es-ES"/>
        </w:rPr>
      </w:pPr>
      <w:r w:rsidRPr="573DC269">
        <w:rPr>
          <w:rFonts w:ascii="Verdana" w:eastAsia="Calibri" w:hAnsi="Verdana" w:cs="Arial"/>
          <w:lang w:val="es-ES"/>
        </w:rPr>
        <w:t xml:space="preserve">Como puede observarse, los requisitos </w:t>
      </w:r>
      <w:r w:rsidRPr="573DC269">
        <w:rPr>
          <w:rFonts w:ascii="Verdana" w:eastAsia="Calibri" w:hAnsi="Verdana" w:cs="Arial"/>
          <w:i/>
          <w:iCs/>
          <w:lang w:val="es-ES"/>
        </w:rPr>
        <w:t>legales</w:t>
      </w:r>
      <w:r w:rsidRPr="573DC269">
        <w:rPr>
          <w:rFonts w:ascii="Verdana" w:eastAsia="Calibri" w:hAnsi="Verdana" w:cs="Arial"/>
          <w:lang w:val="es-ES"/>
        </w:rPr>
        <w:t xml:space="preserve"> de ejecución son: (i) la aprobación de las garantías exigidas en el contrato, (</w:t>
      </w:r>
      <w:proofErr w:type="spellStart"/>
      <w:r w:rsidRPr="573DC269">
        <w:rPr>
          <w:rFonts w:ascii="Verdana" w:eastAsia="Calibri" w:hAnsi="Verdana" w:cs="Arial"/>
          <w:lang w:val="es-ES"/>
        </w:rPr>
        <w:t>ii</w:t>
      </w:r>
      <w:proofErr w:type="spellEnd"/>
      <w:r w:rsidRPr="573DC269">
        <w:rPr>
          <w:rFonts w:ascii="Verdana" w:eastAsia="Calibri" w:hAnsi="Verdana" w:cs="Arial"/>
          <w:lang w:val="es-ES"/>
        </w:rPr>
        <w:t>) la existencia de la apropiación presupuestal correspondiente y (</w:t>
      </w:r>
      <w:proofErr w:type="spellStart"/>
      <w:r w:rsidRPr="573DC269">
        <w:rPr>
          <w:rFonts w:ascii="Verdana" w:eastAsia="Calibri" w:hAnsi="Verdana" w:cs="Arial"/>
          <w:lang w:val="es-ES"/>
        </w:rPr>
        <w:t>iii</w:t>
      </w:r>
      <w:proofErr w:type="spellEnd"/>
      <w:r w:rsidRPr="573DC269">
        <w:rPr>
          <w:rFonts w:ascii="Verdana" w:eastAsia="Calibri" w:hAnsi="Verdana" w:cs="Arial"/>
          <w:lang w:val="es-ES"/>
        </w:rPr>
        <w:t xml:space="preserve">) la acreditación del cumplimiento de las obligaciones con el Sistema de Seguridad Social Integral. </w:t>
      </w:r>
      <w:r>
        <w:tab/>
      </w:r>
    </w:p>
    <w:p w14:paraId="2C53B168" w14:textId="77777777" w:rsidR="0087031A" w:rsidRPr="00515AC9" w:rsidRDefault="0087031A" w:rsidP="0087031A">
      <w:pPr>
        <w:spacing w:after="120" w:line="276" w:lineRule="auto"/>
        <w:ind w:firstLine="708"/>
        <w:jc w:val="both"/>
        <w:rPr>
          <w:rFonts w:ascii="Verdana" w:eastAsia="Calibri" w:hAnsi="Verdana" w:cs="Arial"/>
          <w:lang w:val="es-ES"/>
        </w:rPr>
      </w:pPr>
      <w:r w:rsidRPr="573DC269">
        <w:rPr>
          <w:rFonts w:ascii="Verdana" w:eastAsia="Calibri" w:hAnsi="Verdana" w:cs="Arial"/>
          <w:lang w:val="es-ES"/>
        </w:rPr>
        <w:t xml:space="preserve">Por su parte, serán requisitos </w:t>
      </w:r>
      <w:r w:rsidRPr="573DC269">
        <w:rPr>
          <w:rFonts w:ascii="Verdana" w:eastAsia="Calibri" w:hAnsi="Verdana" w:cs="Arial"/>
          <w:i/>
          <w:iCs/>
          <w:lang w:val="es-ES"/>
        </w:rPr>
        <w:t xml:space="preserve">convencionales </w:t>
      </w:r>
      <w:r w:rsidRPr="573DC269">
        <w:rPr>
          <w:rFonts w:ascii="Verdana" w:eastAsia="Calibri" w:hAnsi="Verdana" w:cs="Arial"/>
          <w:lang w:val="es-ES"/>
        </w:rPr>
        <w:t>aquellos que no se encuentran consagrados en la ley, sino que se pactan en la minuta del contrato o que el contratista acepta al momento de adherirse al clausulado del pliego de condiciones o documento equivalente.</w:t>
      </w:r>
    </w:p>
    <w:p w14:paraId="21C9BC2C" w14:textId="77777777" w:rsidR="0087031A" w:rsidRPr="00515AC9" w:rsidRDefault="0087031A" w:rsidP="0087031A">
      <w:pPr>
        <w:spacing w:after="120" w:line="276" w:lineRule="auto"/>
        <w:ind w:firstLine="708"/>
        <w:jc w:val="both"/>
        <w:rPr>
          <w:rFonts w:ascii="Verdana" w:eastAsia="Calibri" w:hAnsi="Verdana" w:cs="Arial"/>
          <w:lang w:val="es-ES_tradnl"/>
        </w:rPr>
      </w:pPr>
      <w:r w:rsidRPr="00515AC9">
        <w:rPr>
          <w:rFonts w:ascii="Verdana" w:eastAsia="Calibri" w:hAnsi="Verdana" w:cs="Arial"/>
          <w:lang w:val="es-ES_tradnl"/>
        </w:rPr>
        <w:t>Lo que tienen en común tales requisitos es que deben cumplirse para que inicie la ejecución del contrato, sin que por ello puedan considerarse elementos de la esencia –de perfeccionamiento– del negocio jurídico, ni de su validez. En otras palabras, un contrato estatal existe, así no se haya aprobado las garantías, o expedido el registro presupuestal, o a pesar de que el contratista no esté al día en el cumplimiento de sus obligaciones con el Sistema de Seguridad Social Integral, pero no puede comenzar a ejecutarse. Si aun así el contrato estatal inicia, se incurre en un incumplimiento de obligaciones normativas –que son elementos de la naturaleza del contrato–, lo cual puede generar responsabilidades subjetivas en los servidores públicos, pero no por ello el contrato estatal deja de existir o queda viciado de nulidad</w:t>
      </w:r>
      <w:r w:rsidRPr="00515AC9">
        <w:rPr>
          <w:rStyle w:val="Refdenotaalpie"/>
          <w:rFonts w:ascii="Verdana" w:hAnsi="Verdana" w:cs="Arial"/>
        </w:rPr>
        <w:footnoteReference w:id="5"/>
      </w:r>
      <w:r w:rsidRPr="00515AC9">
        <w:rPr>
          <w:rFonts w:ascii="Verdana" w:eastAsia="Calibri" w:hAnsi="Verdana" w:cs="Arial"/>
          <w:lang w:val="es-ES_tradnl"/>
        </w:rPr>
        <w:t>.</w:t>
      </w:r>
    </w:p>
    <w:p w14:paraId="5344B235" w14:textId="77777777" w:rsidR="0087031A" w:rsidRPr="000E1704" w:rsidRDefault="0087031A" w:rsidP="0087031A">
      <w:pPr>
        <w:widowControl w:val="0"/>
        <w:autoSpaceDE w:val="0"/>
        <w:autoSpaceDN w:val="0"/>
        <w:spacing w:after="120" w:line="276" w:lineRule="auto"/>
        <w:ind w:firstLine="708"/>
        <w:jc w:val="both"/>
        <w:rPr>
          <w:rFonts w:ascii="Verdana" w:eastAsia="Calibri" w:hAnsi="Verdana" w:cs="Arial"/>
          <w:lang w:val="es-ES"/>
        </w:rPr>
      </w:pPr>
      <w:r w:rsidRPr="000E1704">
        <w:rPr>
          <w:rFonts w:ascii="Verdana" w:eastAsia="Calibri" w:hAnsi="Verdana" w:cs="Arial"/>
          <w:lang w:val="es-ES"/>
        </w:rPr>
        <w:t xml:space="preserve">Al no ser un requisito legal de ejecución de los contratos estatales –pues no se encuentra consagrado en la ley–, el acta de inicio constituye un requisito de ejecución convencional, que se pacta en la minuta del contrato o que el contratista acepta, adhiriéndose al clausulado del pliego de condiciones o documento equivalente. </w:t>
      </w:r>
    </w:p>
    <w:p w14:paraId="0D758D60" w14:textId="77777777" w:rsidR="0087031A" w:rsidRPr="000E1704" w:rsidRDefault="0087031A" w:rsidP="0087031A">
      <w:pPr>
        <w:widowControl w:val="0"/>
        <w:autoSpaceDE w:val="0"/>
        <w:autoSpaceDN w:val="0"/>
        <w:spacing w:after="120" w:line="276" w:lineRule="auto"/>
        <w:ind w:firstLine="708"/>
        <w:jc w:val="both"/>
        <w:rPr>
          <w:rFonts w:ascii="Verdana" w:eastAsia="Calibri" w:hAnsi="Verdana" w:cs="Arial"/>
          <w:lang w:val="es-ES"/>
        </w:rPr>
      </w:pPr>
      <w:r w:rsidRPr="000E1704">
        <w:rPr>
          <w:rFonts w:ascii="Verdana" w:eastAsia="Calibri" w:hAnsi="Verdana" w:cs="Arial"/>
          <w:lang w:val="es-ES"/>
        </w:rPr>
        <w:lastRenderedPageBreak/>
        <w:t xml:space="preserve">En el lenguaje de la contratación estatal, el acta de inicio es un documento en el que se fija la fecha en la que comienza el cómputo del plazo del contrato, una vez cumplido los requisitos legales para la ejecución del contrato. Por tanto, si bien no la exige la ley ni el reglamento, obedece a una buena práctica contractual, ya que brinda certeza acerca del inicio de la ejecución del contrato. Es por ello </w:t>
      </w:r>
      <w:proofErr w:type="gramStart"/>
      <w:r w:rsidRPr="000E1704">
        <w:rPr>
          <w:rFonts w:ascii="Verdana" w:eastAsia="Calibri" w:hAnsi="Verdana" w:cs="Arial"/>
          <w:lang w:val="es-ES"/>
        </w:rPr>
        <w:t>que</w:t>
      </w:r>
      <w:proofErr w:type="gramEnd"/>
      <w:r>
        <w:rPr>
          <w:rFonts w:ascii="Verdana" w:eastAsia="Calibri" w:hAnsi="Verdana" w:cs="Arial"/>
          <w:lang w:val="es-ES"/>
        </w:rPr>
        <w:t>,</w:t>
      </w:r>
      <w:r w:rsidRPr="000E1704">
        <w:rPr>
          <w:rFonts w:ascii="Verdana" w:eastAsia="Calibri" w:hAnsi="Verdana" w:cs="Arial"/>
          <w:lang w:val="es-ES"/>
        </w:rPr>
        <w:t xml:space="preserve"> la suscripción del acta de inicio usualmente se pacta en la cláusula del plazo, estableciendo que la fecha de la firma de tal documento será el hito que determinará desde cuándo comenzarán a contabilizarse los días, meses o años que se hayan estipulado como período para el cumplimiento del objeto del contrato. </w:t>
      </w:r>
    </w:p>
    <w:p w14:paraId="71BD417C" w14:textId="77777777" w:rsidR="0087031A" w:rsidRDefault="0087031A" w:rsidP="0087031A">
      <w:pPr>
        <w:widowControl w:val="0"/>
        <w:autoSpaceDE w:val="0"/>
        <w:autoSpaceDN w:val="0"/>
        <w:spacing w:after="120" w:line="276" w:lineRule="auto"/>
        <w:ind w:firstLine="708"/>
        <w:jc w:val="both"/>
        <w:rPr>
          <w:rFonts w:ascii="Verdana" w:eastAsia="Calibri" w:hAnsi="Verdana" w:cs="Arial"/>
          <w:lang w:val="es-ES"/>
        </w:rPr>
      </w:pPr>
      <w:r w:rsidRPr="000E1704">
        <w:rPr>
          <w:rFonts w:ascii="Verdana" w:eastAsia="Calibri" w:hAnsi="Verdana" w:cs="Arial"/>
          <w:lang w:val="es-ES"/>
        </w:rPr>
        <w:t xml:space="preserve">El fundamento legal que habilita a las partes para establecer la suscripción del acta de inicio como un requisito de ejecución convencional se encuentra en el segundo inciso del artículo 40 de la Ley 80 de 1993, el cual indica que </w:t>
      </w:r>
      <w:r>
        <w:rPr>
          <w:rFonts w:ascii="Verdana" w:eastAsia="Calibri" w:hAnsi="Verdana" w:cs="Arial"/>
          <w:lang w:val="es-ES"/>
        </w:rPr>
        <w:t>“</w:t>
      </w:r>
      <w:r w:rsidRPr="000E1704">
        <w:rPr>
          <w:rFonts w:ascii="Verdana" w:eastAsia="Calibri" w:hAnsi="Verdana" w:cs="Arial"/>
          <w:lang w:val="es-ES"/>
        </w:rPr>
        <w:t>Las entidades podrán celebrar los contratos y acuerdos que permitan la autonomía de la voluntad y requieran el cumplimiento de los fines estatales</w:t>
      </w:r>
      <w:r>
        <w:rPr>
          <w:rFonts w:ascii="Verdana" w:eastAsia="Calibri" w:hAnsi="Verdana" w:cs="Arial"/>
          <w:lang w:val="es-ES"/>
        </w:rPr>
        <w:t>”</w:t>
      </w:r>
      <w:r w:rsidRPr="00515AC9">
        <w:rPr>
          <w:rFonts w:ascii="Verdana" w:eastAsia="Calibri" w:hAnsi="Verdana" w:cs="Arial"/>
          <w:lang w:val="es-ES"/>
        </w:rPr>
        <w:t xml:space="preserve">. </w:t>
      </w:r>
    </w:p>
    <w:p w14:paraId="0486394C" w14:textId="77777777" w:rsidR="0087031A" w:rsidRPr="000E1704" w:rsidRDefault="0087031A" w:rsidP="0087031A">
      <w:pPr>
        <w:widowControl w:val="0"/>
        <w:autoSpaceDE w:val="0"/>
        <w:autoSpaceDN w:val="0"/>
        <w:spacing w:after="120" w:line="276" w:lineRule="auto"/>
        <w:ind w:firstLine="708"/>
        <w:jc w:val="both"/>
        <w:rPr>
          <w:rFonts w:ascii="Verdana" w:eastAsia="Calibri" w:hAnsi="Verdana" w:cs="Arial"/>
          <w:lang w:val="es-ES"/>
        </w:rPr>
      </w:pPr>
      <w:r w:rsidRPr="000E1704">
        <w:rPr>
          <w:rFonts w:ascii="Verdana" w:eastAsia="Calibri" w:hAnsi="Verdana" w:cs="Arial"/>
          <w:lang w:val="es-ES"/>
        </w:rPr>
        <w:t xml:space="preserve">Sin embargo, en el ejercicio de la autonomía de la voluntad las partes del contrato deben respetar las normas de orden público. En consecuencia, a pesar de que están facultadas para acordar cláusulas accidentales en el negocio jurídico, estas no pueden ir en contra de los mandatos contenidos en el </w:t>
      </w:r>
      <w:r>
        <w:rPr>
          <w:rFonts w:ascii="Verdana" w:eastAsia="Calibri" w:hAnsi="Verdana" w:cs="Arial"/>
          <w:lang w:val="es-ES"/>
        </w:rPr>
        <w:t>EGCAP</w:t>
      </w:r>
      <w:r w:rsidRPr="00515AC9">
        <w:rPr>
          <w:rFonts w:ascii="Verdana" w:eastAsia="Calibri" w:hAnsi="Verdana" w:cs="Arial"/>
          <w:lang w:val="es-ES"/>
        </w:rPr>
        <w:t>.</w:t>
      </w:r>
      <w:r w:rsidRPr="000E1704">
        <w:rPr>
          <w:rFonts w:ascii="Verdana" w:eastAsia="Calibri" w:hAnsi="Verdana" w:cs="Arial"/>
          <w:lang w:val="es-ES"/>
        </w:rPr>
        <w:t xml:space="preserve"> En tal sentido, teniendo en cuenta que el artículo 41 de la Ley 80 de 1993 establece que los requisitos legales de ejecución de los contratos estatales son la aprobación de las garantías, la apropiación presupuestal y la acreditación del cumplimiento de las obligaciones con el Sistema de Seguridad Social Integral, las partes no pueden establecer que el contrato estatal comenzará su ejecución cuando se firme el acta de inicio pretermitiendo las tres exigencias legales. </w:t>
      </w:r>
    </w:p>
    <w:p w14:paraId="2C50C6D7" w14:textId="77777777" w:rsidR="0087031A" w:rsidRPr="000E1704" w:rsidRDefault="0087031A" w:rsidP="0087031A">
      <w:pPr>
        <w:widowControl w:val="0"/>
        <w:autoSpaceDE w:val="0"/>
        <w:autoSpaceDN w:val="0"/>
        <w:spacing w:after="120" w:line="276" w:lineRule="auto"/>
        <w:ind w:firstLine="708"/>
        <w:jc w:val="both"/>
        <w:rPr>
          <w:rFonts w:ascii="Verdana" w:eastAsia="Calibri" w:hAnsi="Verdana" w:cs="Arial"/>
          <w:lang w:val="es-ES"/>
        </w:rPr>
      </w:pPr>
      <w:r w:rsidRPr="000E1704">
        <w:rPr>
          <w:rFonts w:ascii="Verdana" w:eastAsia="Calibri" w:hAnsi="Verdana" w:cs="Arial"/>
          <w:lang w:val="es-ES"/>
        </w:rPr>
        <w:t>Dicho de otra manera, el acta de inicio puede ser pactada como requisito para el comienzo del cómputo del plazo, pero la fecha que se defina en ella para iniciar la ejecución del contrato no puede ser anterior al cumplimiento de los requisitos de ejecución establecidos en la ley. Verbigracia, si las garantías no han sido aprobadas por la entidad estatal, aún no se puede suscribir el acta de inicio, pues de lo contrario las partes estarían contrariando normas de orden público, que, como bien se ha señalado, son indisponibles. O si la fecha de expedición del registro presupuestal es el día de hoy, no puede establecerse como fecha de inicio de ejecución del contrato el día de ayer, porque lo que eso estaría indicando es que el contrato estatal comenzó su ejecución sin la apropiación presupuestal suficiente.</w:t>
      </w:r>
    </w:p>
    <w:p w14:paraId="31E902B8" w14:textId="6A0F4082" w:rsidR="0087031A" w:rsidRPr="000E1704" w:rsidRDefault="0087031A" w:rsidP="0087031A">
      <w:pPr>
        <w:widowControl w:val="0"/>
        <w:autoSpaceDE w:val="0"/>
        <w:autoSpaceDN w:val="0"/>
        <w:spacing w:after="120" w:line="276" w:lineRule="auto"/>
        <w:ind w:firstLine="708"/>
        <w:jc w:val="both"/>
        <w:rPr>
          <w:rFonts w:ascii="Verdana" w:eastAsia="Calibri" w:hAnsi="Verdana" w:cs="Arial"/>
          <w:lang w:val="es-ES"/>
        </w:rPr>
      </w:pPr>
      <w:r w:rsidRPr="000E1704">
        <w:rPr>
          <w:rFonts w:ascii="Verdana" w:eastAsia="Calibri" w:hAnsi="Verdana" w:cs="Arial"/>
          <w:lang w:val="es-ES"/>
        </w:rPr>
        <w:lastRenderedPageBreak/>
        <w:t xml:space="preserve">Además, el artículo 6 de la Constitución dispone que </w:t>
      </w:r>
      <w:r w:rsidR="00567A42">
        <w:rPr>
          <w:rFonts w:ascii="Verdana" w:eastAsia="Calibri" w:hAnsi="Verdana" w:cs="Arial"/>
          <w:lang w:val="es-ES"/>
        </w:rPr>
        <w:t>“</w:t>
      </w:r>
      <w:r w:rsidRPr="000E1704">
        <w:rPr>
          <w:rFonts w:ascii="Verdana" w:eastAsia="Calibri" w:hAnsi="Verdana" w:cs="Arial"/>
          <w:lang w:val="es-ES"/>
        </w:rPr>
        <w:t>Los particulares sólo son responsables ante las autoridades por infringir la Constitución y las leyes</w:t>
      </w:r>
      <w:r w:rsidR="00567A42">
        <w:rPr>
          <w:rFonts w:ascii="Verdana" w:eastAsia="Calibri" w:hAnsi="Verdana" w:cs="Arial"/>
          <w:lang w:val="es-ES"/>
        </w:rPr>
        <w:t>”</w:t>
      </w:r>
      <w:r w:rsidRPr="000E1704">
        <w:rPr>
          <w:rFonts w:ascii="Verdana" w:eastAsia="Calibri" w:hAnsi="Verdana" w:cs="Arial"/>
          <w:lang w:val="es-ES"/>
        </w:rPr>
        <w:t xml:space="preserve"> y que </w:t>
      </w:r>
      <w:r>
        <w:rPr>
          <w:rFonts w:ascii="Verdana" w:eastAsia="Calibri" w:hAnsi="Verdana" w:cs="Arial"/>
          <w:lang w:val="es-ES"/>
        </w:rPr>
        <w:t>“</w:t>
      </w:r>
      <w:r w:rsidRPr="000E1704">
        <w:rPr>
          <w:rFonts w:ascii="Verdana" w:eastAsia="Calibri" w:hAnsi="Verdana" w:cs="Arial"/>
          <w:lang w:val="es-ES"/>
        </w:rPr>
        <w:t>Los servidores públicos lo son por la misma causa y por omisión o extralimitación en el ejercicio de sus funciones</w:t>
      </w:r>
      <w:r>
        <w:rPr>
          <w:rFonts w:ascii="Verdana" w:eastAsia="Calibri" w:hAnsi="Verdana" w:cs="Arial"/>
          <w:lang w:val="es-ES"/>
        </w:rPr>
        <w:t>”</w:t>
      </w:r>
      <w:r w:rsidRPr="000E1704">
        <w:rPr>
          <w:rFonts w:ascii="Verdana" w:eastAsia="Calibri" w:hAnsi="Verdana" w:cs="Arial"/>
          <w:lang w:val="es-ES"/>
        </w:rPr>
        <w:t>. Por tanto, no se puede suscribir el acta de inicio, estableciendo como fecha de inicio del contrato un día en el que aún no se hayan cumplido los requisitos de ejecución establecidos en el artículo 41 de la Ley 80 de 1993, porque ello implica una infracción de la ley.</w:t>
      </w:r>
    </w:p>
    <w:p w14:paraId="531A13CD" w14:textId="77777777" w:rsidR="0087031A" w:rsidRPr="000E1704" w:rsidRDefault="0087031A" w:rsidP="0087031A">
      <w:pPr>
        <w:widowControl w:val="0"/>
        <w:autoSpaceDE w:val="0"/>
        <w:autoSpaceDN w:val="0"/>
        <w:spacing w:after="0" w:line="276" w:lineRule="auto"/>
        <w:ind w:firstLine="708"/>
        <w:jc w:val="both"/>
        <w:rPr>
          <w:rFonts w:ascii="Verdana" w:eastAsia="Calibri" w:hAnsi="Verdana" w:cs="Arial"/>
          <w:lang w:val="es-ES"/>
        </w:rPr>
      </w:pPr>
      <w:r w:rsidRPr="000E1704">
        <w:rPr>
          <w:rFonts w:ascii="Verdana" w:eastAsia="Calibri" w:hAnsi="Verdana" w:cs="Arial"/>
          <w:lang w:val="es-ES"/>
        </w:rPr>
        <w:t>Finalmente, a juicio del Consejo de Estado, una vez se pacte el acta de inicio como requisito de ejecución del contrato, su ausencia tiene como consecuencia la falta de autorización para desplegar cualquier actividad contractual. Por ende, concluye el alto tribunal en sentencia del 3 de abril de 2020</w:t>
      </w:r>
      <w:r w:rsidRPr="000E1704">
        <w:rPr>
          <w:rStyle w:val="Refdenotaalpie"/>
          <w:rFonts w:ascii="Verdana" w:eastAsia="Calibri" w:hAnsi="Verdana" w:cs="Arial"/>
          <w:lang w:val="es-ES"/>
        </w:rPr>
        <w:footnoteReference w:id="6"/>
      </w:r>
      <w:r w:rsidRPr="000E1704">
        <w:rPr>
          <w:rFonts w:ascii="Verdana" w:eastAsia="Calibri" w:hAnsi="Verdana" w:cs="Arial"/>
          <w:lang w:val="es-ES"/>
        </w:rPr>
        <w:t>, la eventual ejecución del contrato en estos casos no merecería reconocimiento pecuniario:</w:t>
      </w:r>
    </w:p>
    <w:p w14:paraId="2A7679D6" w14:textId="77777777" w:rsidR="0087031A" w:rsidRPr="000E1704" w:rsidRDefault="0087031A" w:rsidP="0087031A">
      <w:pPr>
        <w:widowControl w:val="0"/>
        <w:autoSpaceDE w:val="0"/>
        <w:autoSpaceDN w:val="0"/>
        <w:spacing w:after="0" w:line="276" w:lineRule="auto"/>
        <w:jc w:val="both"/>
        <w:rPr>
          <w:rFonts w:ascii="Verdana" w:eastAsia="Calibri" w:hAnsi="Verdana" w:cs="Arial"/>
          <w:lang w:val="es-ES"/>
        </w:rPr>
      </w:pPr>
    </w:p>
    <w:p w14:paraId="1E2CE2D5" w14:textId="77777777" w:rsidR="0087031A" w:rsidRPr="00B41137" w:rsidRDefault="0087031A" w:rsidP="0087031A">
      <w:pPr>
        <w:widowControl w:val="0"/>
        <w:autoSpaceDE w:val="0"/>
        <w:autoSpaceDN w:val="0"/>
        <w:spacing w:after="0" w:line="240" w:lineRule="auto"/>
        <w:ind w:left="709" w:right="709"/>
        <w:jc w:val="both"/>
        <w:rPr>
          <w:rFonts w:ascii="Verdana" w:eastAsia="Calibri" w:hAnsi="Verdana" w:cs="Arial"/>
          <w:sz w:val="20"/>
          <w:szCs w:val="20"/>
          <w:lang w:val="es-ES"/>
        </w:rPr>
      </w:pPr>
      <w:r w:rsidRPr="00B41137">
        <w:rPr>
          <w:rFonts w:ascii="Verdana" w:eastAsia="Calibri" w:hAnsi="Verdana" w:cs="Arial"/>
          <w:sz w:val="20"/>
          <w:szCs w:val="20"/>
          <w:lang w:val="es-ES"/>
        </w:rPr>
        <w:t xml:space="preserve">“Pese a declararse en esta oportunidad la nulidad del acto de terminación unilateral del convenio, la Sala encuentra que no está llamada a prosperar la pretensión de incumplimiento ni el consecuencial reconocimiento de los perjuicios reclamados por la parte demandante […] [L]as partes no suscribieron el acta para dar inicio a la ejecución del convenio y la entidad demandada no impartió autorización que avalara las actividades de la fundación cooperante encaminadas a la ejecución prematura de sus obligaciones. </w:t>
      </w:r>
      <w:proofErr w:type="gramStart"/>
      <w:r w:rsidRPr="00B41137">
        <w:rPr>
          <w:rFonts w:ascii="Verdana" w:eastAsia="Calibri" w:hAnsi="Verdana" w:cs="Arial"/>
          <w:sz w:val="20"/>
          <w:szCs w:val="20"/>
          <w:lang w:val="es-ES"/>
        </w:rPr>
        <w:t>En razón de</w:t>
      </w:r>
      <w:proofErr w:type="gramEnd"/>
      <w:r w:rsidRPr="00B41137">
        <w:rPr>
          <w:rFonts w:ascii="Verdana" w:eastAsia="Calibri" w:hAnsi="Verdana" w:cs="Arial"/>
          <w:sz w:val="20"/>
          <w:szCs w:val="20"/>
          <w:lang w:val="es-ES"/>
        </w:rPr>
        <w:t xml:space="preserve"> lo anterior, pese a la declaratoria de nulidad del acta de terminación unilateral del convenio 497 de 2007, no es dable acceder a la pretensión de incumplimiento, en tanto no se suscribió el acta de inicio convenida por las partes como requisito para su ejecución, lo cual significa </w:t>
      </w:r>
      <w:proofErr w:type="gramStart"/>
      <w:r w:rsidRPr="00B41137">
        <w:rPr>
          <w:rFonts w:ascii="Verdana" w:eastAsia="Calibri" w:hAnsi="Verdana" w:cs="Arial"/>
          <w:sz w:val="20"/>
          <w:szCs w:val="20"/>
          <w:lang w:val="es-ES"/>
        </w:rPr>
        <w:t>que</w:t>
      </w:r>
      <w:proofErr w:type="gramEnd"/>
      <w:r w:rsidRPr="00B41137">
        <w:rPr>
          <w:rFonts w:ascii="Verdana" w:eastAsia="Calibri" w:hAnsi="Verdana" w:cs="Arial"/>
          <w:sz w:val="20"/>
          <w:szCs w:val="20"/>
          <w:lang w:val="es-ES"/>
        </w:rPr>
        <w:t xml:space="preserve"> al momento de la terminación unilateral, no contaba el demandante con autorización para ejecutar las obligaciones contraídas con ocasión del contrato. En este orden, ante la ausencia de autorización, cualquier actividad desplegada por el cooperante no resultaría merecedora de reconocimiento pecuniario”.</w:t>
      </w:r>
    </w:p>
    <w:p w14:paraId="3B06C1EC" w14:textId="77777777" w:rsidR="0087031A" w:rsidRPr="000E1704" w:rsidRDefault="0087031A" w:rsidP="0087031A">
      <w:pPr>
        <w:widowControl w:val="0"/>
        <w:autoSpaceDE w:val="0"/>
        <w:autoSpaceDN w:val="0"/>
        <w:spacing w:after="0" w:line="276" w:lineRule="auto"/>
        <w:jc w:val="both"/>
        <w:rPr>
          <w:rFonts w:ascii="Verdana" w:eastAsia="Calibri" w:hAnsi="Verdana" w:cs="Arial"/>
          <w:lang w:val="es-ES"/>
        </w:rPr>
      </w:pPr>
    </w:p>
    <w:p w14:paraId="0D4A4B96" w14:textId="77777777" w:rsidR="0087031A" w:rsidRDefault="0087031A" w:rsidP="00CD7324">
      <w:pPr>
        <w:widowControl w:val="0"/>
        <w:autoSpaceDE w:val="0"/>
        <w:autoSpaceDN w:val="0"/>
        <w:spacing w:after="120" w:line="276" w:lineRule="auto"/>
        <w:ind w:firstLine="709"/>
        <w:jc w:val="both"/>
        <w:rPr>
          <w:rFonts w:ascii="Verdana" w:eastAsia="Calibri" w:hAnsi="Verdana" w:cs="Arial"/>
          <w:lang w:val="es-ES"/>
        </w:rPr>
      </w:pPr>
      <w:r w:rsidRPr="000E1704">
        <w:rPr>
          <w:rFonts w:ascii="Verdana" w:eastAsia="Calibri" w:hAnsi="Verdana" w:cs="Arial"/>
          <w:lang w:val="es-ES"/>
        </w:rPr>
        <w:t xml:space="preserve">No obstante, lo anterior, si se cumplen los requisitos legales consagrados en el mencionado el artículo 41 y se inicia la ejecución sin firmar el acta de inicio, bajo una justa causa, nada obsta para que la entidad contratante determine según sean las circunstancias del caso concreto, omitir el requisito y continuar con la ejecución. Lo anterior, en atención a que se trata de un requisito que más que exigir una condición o calidad adicional por parte del contratista, solo </w:t>
      </w:r>
      <w:r w:rsidRPr="000E1704">
        <w:rPr>
          <w:rFonts w:ascii="Verdana" w:eastAsia="Calibri" w:hAnsi="Verdana" w:cs="Arial"/>
          <w:lang w:val="es-ES"/>
        </w:rPr>
        <w:lastRenderedPageBreak/>
        <w:t>pretende dar claridad del momento en que inicia la ejecución del contrato de cara a sus efectos jurídicos y prácticos, lo cual también cuenta con otros medios de prueba. Será la Entidad Estatal entonces la que en principio defina, conforme a las circunstancias del caso en concreto, si el incumplimiento es relevante y si es susceptible de alguna medida sancionatoria que se encuentre previamente pactada.</w:t>
      </w:r>
    </w:p>
    <w:p w14:paraId="76426C97" w14:textId="77777777" w:rsidR="0087031A" w:rsidRDefault="0087031A" w:rsidP="00CD7324">
      <w:pPr>
        <w:widowControl w:val="0"/>
        <w:autoSpaceDE w:val="0"/>
        <w:autoSpaceDN w:val="0"/>
        <w:spacing w:after="120" w:line="276" w:lineRule="auto"/>
        <w:ind w:firstLine="709"/>
        <w:jc w:val="both"/>
        <w:rPr>
          <w:rFonts w:ascii="Verdana" w:eastAsia="Calibri" w:hAnsi="Verdana" w:cs="Arial"/>
        </w:rPr>
      </w:pPr>
      <w:r w:rsidRPr="00BE1034">
        <w:rPr>
          <w:rFonts w:ascii="Verdana" w:eastAsia="Calibri" w:hAnsi="Verdana" w:cs="Arial"/>
        </w:rPr>
        <w:t xml:space="preserve">Así, para el caso </w:t>
      </w:r>
      <w:r>
        <w:rPr>
          <w:rFonts w:ascii="Verdana" w:eastAsia="Calibri" w:hAnsi="Verdana" w:cs="Arial"/>
        </w:rPr>
        <w:t>indicado en el problema jurídico planteado</w:t>
      </w:r>
      <w:r w:rsidRPr="00BE1034">
        <w:rPr>
          <w:rFonts w:ascii="Verdana" w:eastAsia="Calibri" w:hAnsi="Verdana" w:cs="Arial"/>
        </w:rPr>
        <w:t xml:space="preserve">, si se </w:t>
      </w:r>
      <w:r>
        <w:rPr>
          <w:rFonts w:ascii="Verdana" w:eastAsia="Calibri" w:hAnsi="Verdana" w:cs="Arial"/>
        </w:rPr>
        <w:t>pactó</w:t>
      </w:r>
      <w:r w:rsidRPr="00BE1034">
        <w:rPr>
          <w:rFonts w:ascii="Verdana" w:eastAsia="Calibri" w:hAnsi="Verdana" w:cs="Arial"/>
        </w:rPr>
        <w:t xml:space="preserve"> expresamente </w:t>
      </w:r>
      <w:r>
        <w:rPr>
          <w:rFonts w:ascii="Verdana" w:eastAsia="Calibri" w:hAnsi="Verdana" w:cs="Arial"/>
        </w:rPr>
        <w:t>en la minuta del contrato o en los documentos del proceso</w:t>
      </w:r>
      <w:r w:rsidRPr="00515AC9">
        <w:rPr>
          <w:rFonts w:ascii="Verdana" w:eastAsia="Calibri" w:hAnsi="Verdana" w:cs="Arial"/>
        </w:rPr>
        <w:t xml:space="preserve"> </w:t>
      </w:r>
      <w:r w:rsidRPr="00BE1034">
        <w:rPr>
          <w:rFonts w:ascii="Verdana" w:eastAsia="Calibri" w:hAnsi="Verdana" w:cs="Arial"/>
        </w:rPr>
        <w:t xml:space="preserve">el acta de inicio como requisito convencional de ejecución, la entidad </w:t>
      </w:r>
      <w:r>
        <w:rPr>
          <w:rFonts w:ascii="Verdana" w:eastAsia="Calibri" w:hAnsi="Verdana" w:cs="Arial"/>
        </w:rPr>
        <w:t>debió</w:t>
      </w:r>
      <w:r w:rsidRPr="00BE1034">
        <w:rPr>
          <w:rFonts w:ascii="Verdana" w:eastAsia="Calibri" w:hAnsi="Verdana" w:cs="Arial"/>
        </w:rPr>
        <w:t xml:space="preserve"> suscribirla antes de permitir cualquier actuación contractual. No obstante, si por causas justificadas no se </w:t>
      </w:r>
      <w:r>
        <w:rPr>
          <w:rFonts w:ascii="Verdana" w:eastAsia="Calibri" w:hAnsi="Verdana" w:cs="Arial"/>
        </w:rPr>
        <w:t xml:space="preserve">suscribió </w:t>
      </w:r>
      <w:r w:rsidRPr="00BE1034">
        <w:rPr>
          <w:rFonts w:ascii="Verdana" w:eastAsia="Calibri" w:hAnsi="Verdana" w:cs="Arial"/>
        </w:rPr>
        <w:t>el acta</w:t>
      </w:r>
      <w:r>
        <w:rPr>
          <w:rFonts w:ascii="Verdana" w:eastAsia="Calibri" w:hAnsi="Verdana" w:cs="Arial"/>
        </w:rPr>
        <w:t>,</w:t>
      </w:r>
      <w:r w:rsidRPr="00BE1034">
        <w:rPr>
          <w:rFonts w:ascii="Verdana" w:eastAsia="Calibri" w:hAnsi="Verdana" w:cs="Arial"/>
        </w:rPr>
        <w:t xml:space="preserve"> pero existen medios de prueba suficientes sobre el cumplimiento de los requisitos legales y el inicio material de la ejecución, no se configura una</w:t>
      </w:r>
      <w:r>
        <w:rPr>
          <w:rFonts w:ascii="Verdana" w:eastAsia="Calibri" w:hAnsi="Verdana" w:cs="Arial"/>
        </w:rPr>
        <w:t xml:space="preserve"> omisión a los requisitos de ejecución del contrato</w:t>
      </w:r>
      <w:r w:rsidRPr="00BE1034">
        <w:rPr>
          <w:rFonts w:ascii="Verdana" w:eastAsia="Calibri" w:hAnsi="Verdana" w:cs="Arial"/>
        </w:rPr>
        <w:t>.</w:t>
      </w:r>
    </w:p>
    <w:p w14:paraId="38172237" w14:textId="77777777" w:rsidR="0087031A" w:rsidRPr="00DB4737" w:rsidRDefault="0087031A" w:rsidP="00CD7324">
      <w:pPr>
        <w:spacing w:after="120" w:line="276" w:lineRule="auto"/>
        <w:ind w:firstLine="709"/>
        <w:contextualSpacing/>
        <w:jc w:val="both"/>
        <w:rPr>
          <w:rFonts w:ascii="Verdana" w:eastAsia="Calibri" w:hAnsi="Verdana" w:cs="Times New Roman"/>
          <w:lang w:val="es-ES"/>
        </w:rPr>
      </w:pPr>
      <w:r>
        <w:rPr>
          <w:rFonts w:ascii="Verdana" w:eastAsia="Calibri" w:hAnsi="Verdana" w:cs="Arial"/>
          <w:bCs/>
          <w:color w:val="000000" w:themeColor="text1"/>
        </w:rPr>
        <w:t>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0E8C2216" w14:textId="77777777" w:rsidR="0087031A" w:rsidRDefault="0087031A" w:rsidP="00CD7324">
      <w:pPr>
        <w:widowControl w:val="0"/>
        <w:autoSpaceDE w:val="0"/>
        <w:autoSpaceDN w:val="0"/>
        <w:spacing w:after="120" w:line="276" w:lineRule="auto"/>
        <w:ind w:firstLine="709"/>
        <w:jc w:val="both"/>
        <w:rPr>
          <w:rFonts w:ascii="Verdana" w:eastAsia="Calibri" w:hAnsi="Verdana" w:cs="Arial"/>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sidRPr="00BE1034">
        <w:rPr>
          <w:rFonts w:ascii="Verdana" w:eastAsia="Calibri" w:hAnsi="Verdana" w:cs="Arial"/>
        </w:rPr>
        <w:t xml:space="preserve"> </w:t>
      </w:r>
    </w:p>
    <w:p w14:paraId="31046229" w14:textId="77777777" w:rsidR="0087031A" w:rsidRDefault="0087031A" w:rsidP="0087031A">
      <w:pPr>
        <w:spacing w:after="0" w:line="276" w:lineRule="auto"/>
        <w:jc w:val="both"/>
        <w:rPr>
          <w:rFonts w:ascii="Verdana" w:eastAsia="Calibri" w:hAnsi="Verdana" w:cs="Arial"/>
          <w:lang w:val="es-ES"/>
        </w:rPr>
      </w:pPr>
    </w:p>
    <w:p w14:paraId="10369344" w14:textId="77777777" w:rsidR="0087031A" w:rsidRPr="0060676F" w:rsidRDefault="0087031A" w:rsidP="0087031A">
      <w:pPr>
        <w:pStyle w:val="Prrafodelista"/>
        <w:numPr>
          <w:ilvl w:val="0"/>
          <w:numId w:val="16"/>
        </w:numPr>
        <w:spacing w:after="120" w:line="276" w:lineRule="auto"/>
        <w:ind w:left="284"/>
        <w:jc w:val="both"/>
        <w:rPr>
          <w:rFonts w:ascii="Verdana" w:eastAsia="Century Gothic" w:hAnsi="Verdana" w:cs="Century Gothic"/>
          <w:b/>
          <w:bCs/>
        </w:rPr>
      </w:pPr>
      <w:r w:rsidRPr="0060676F">
        <w:rPr>
          <w:rFonts w:ascii="Verdana" w:eastAsia="Century Gothic" w:hAnsi="Verdana" w:cs="Century Gothic"/>
          <w:b/>
          <w:bCs/>
        </w:rPr>
        <w:t>Referencias normativas, jurisprudenciales y otras fuentes:</w:t>
      </w:r>
    </w:p>
    <w:p w14:paraId="18BC5F6A" w14:textId="77777777" w:rsidR="0087031A" w:rsidRPr="00593A5F" w:rsidRDefault="0087031A" w:rsidP="0087031A">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7031A" w:rsidRPr="00593A5F" w14:paraId="42DD39C5" w14:textId="77777777" w:rsidTr="00580B7F">
        <w:trPr>
          <w:trHeight w:val="870"/>
        </w:trPr>
        <w:tc>
          <w:tcPr>
            <w:tcW w:w="8647" w:type="dxa"/>
          </w:tcPr>
          <w:p w14:paraId="0DA51278" w14:textId="7835AE75" w:rsidR="0087031A" w:rsidRPr="00B41137" w:rsidRDefault="0087031A" w:rsidP="0087031A">
            <w:pPr>
              <w:pStyle w:val="Textoindependiente"/>
              <w:widowControl w:val="0"/>
              <w:numPr>
                <w:ilvl w:val="0"/>
                <w:numId w:val="18"/>
              </w:numPr>
              <w:tabs>
                <w:tab w:val="left" w:pos="816"/>
              </w:tabs>
              <w:autoSpaceDE w:val="0"/>
              <w:autoSpaceDN w:val="0"/>
              <w:spacing w:after="0" w:line="276" w:lineRule="auto"/>
              <w:ind w:right="108"/>
              <w:jc w:val="both"/>
              <w:rPr>
                <w:rFonts w:ascii="Verdana" w:hAnsi="Verdana" w:cs="Arial"/>
              </w:rPr>
            </w:pPr>
            <w:r w:rsidRPr="00B45E74">
              <w:rPr>
                <w:rFonts w:ascii="Verdana" w:hAnsi="Verdana" w:cs="Arial"/>
              </w:rPr>
              <w:t xml:space="preserve">Código Civil: Artículo 1500. </w:t>
            </w:r>
          </w:p>
          <w:p w14:paraId="10C23879" w14:textId="77777777" w:rsidR="0087031A" w:rsidRPr="000E1704" w:rsidRDefault="0087031A" w:rsidP="0087031A">
            <w:pPr>
              <w:pStyle w:val="Textoindependiente"/>
              <w:widowControl w:val="0"/>
              <w:numPr>
                <w:ilvl w:val="0"/>
                <w:numId w:val="18"/>
              </w:numPr>
              <w:tabs>
                <w:tab w:val="left" w:pos="816"/>
              </w:tabs>
              <w:autoSpaceDE w:val="0"/>
              <w:autoSpaceDN w:val="0"/>
              <w:spacing w:after="0" w:line="276" w:lineRule="auto"/>
              <w:ind w:right="108"/>
              <w:jc w:val="both"/>
              <w:rPr>
                <w:rFonts w:ascii="Verdana" w:hAnsi="Verdana" w:cs="Arial"/>
              </w:rPr>
            </w:pPr>
            <w:r w:rsidRPr="000E1704">
              <w:rPr>
                <w:rFonts w:ascii="Verdana" w:eastAsia="Times New Roman" w:hAnsi="Verdana" w:cs="Arial"/>
                <w:lang w:eastAsia="es-ES_tradnl"/>
              </w:rPr>
              <w:t>Ley 1150 de 2007.</w:t>
            </w:r>
            <w:r w:rsidRPr="000E1704">
              <w:rPr>
                <w:rFonts w:ascii="Verdana" w:eastAsia="Times New Roman" w:hAnsi="Verdana" w:cs="Arial"/>
                <w:lang w:val="es-ES_tradnl" w:eastAsia="es-ES_tradnl"/>
              </w:rPr>
              <w:t xml:space="preserve"> </w:t>
            </w:r>
            <w:r w:rsidRPr="000E1704">
              <w:rPr>
                <w:rFonts w:ascii="Verdana" w:eastAsia="Times New Roman" w:hAnsi="Verdana" w:cs="Arial"/>
                <w:lang w:eastAsia="es-ES_tradnl"/>
              </w:rPr>
              <w:t xml:space="preserve">Artículo 23. </w:t>
            </w:r>
          </w:p>
          <w:p w14:paraId="05FD3A40" w14:textId="6FAA3EAB" w:rsidR="0087031A" w:rsidRPr="00B41137" w:rsidRDefault="0087031A" w:rsidP="0087031A">
            <w:pPr>
              <w:pStyle w:val="Textoindependiente"/>
              <w:widowControl w:val="0"/>
              <w:numPr>
                <w:ilvl w:val="0"/>
                <w:numId w:val="18"/>
              </w:numPr>
              <w:tabs>
                <w:tab w:val="left" w:pos="816"/>
              </w:tabs>
              <w:autoSpaceDE w:val="0"/>
              <w:autoSpaceDN w:val="0"/>
              <w:spacing w:after="0" w:line="276" w:lineRule="auto"/>
              <w:ind w:right="108"/>
              <w:jc w:val="both"/>
              <w:rPr>
                <w:rFonts w:ascii="Verdana" w:hAnsi="Verdana" w:cs="Arial"/>
              </w:rPr>
            </w:pPr>
            <w:r w:rsidRPr="000E1704">
              <w:rPr>
                <w:rFonts w:ascii="Verdana" w:eastAsia="Times New Roman" w:hAnsi="Verdana" w:cs="Arial"/>
                <w:lang w:val="es-ES_tradnl" w:eastAsia="es-ES_tradnl"/>
              </w:rPr>
              <w:t>Ley 80 de 1993.</w:t>
            </w:r>
            <w:r w:rsidR="0033493C">
              <w:rPr>
                <w:rFonts w:ascii="Verdana" w:eastAsia="Times New Roman" w:hAnsi="Verdana" w:cs="Arial"/>
                <w:lang w:val="es-ES_tradnl" w:eastAsia="es-ES_tradnl"/>
              </w:rPr>
              <w:t xml:space="preserve"> </w:t>
            </w:r>
            <w:r w:rsidRPr="000E1704">
              <w:rPr>
                <w:rFonts w:ascii="Verdana" w:eastAsia="Times New Roman" w:hAnsi="Verdana" w:cs="Arial"/>
                <w:lang w:val="es-ES_tradnl" w:eastAsia="es-ES_tradnl"/>
              </w:rPr>
              <w:t xml:space="preserve">Articulo 40 y 41. </w:t>
            </w:r>
          </w:p>
          <w:p w14:paraId="5EB056E1" w14:textId="77777777" w:rsidR="0087031A" w:rsidRPr="00B45E74" w:rsidRDefault="0087031A" w:rsidP="0087031A">
            <w:pPr>
              <w:pStyle w:val="Textoindependiente"/>
              <w:widowControl w:val="0"/>
              <w:numPr>
                <w:ilvl w:val="0"/>
                <w:numId w:val="18"/>
              </w:numPr>
              <w:tabs>
                <w:tab w:val="left" w:pos="816"/>
              </w:tabs>
              <w:autoSpaceDE w:val="0"/>
              <w:autoSpaceDN w:val="0"/>
              <w:spacing w:after="0" w:line="276" w:lineRule="auto"/>
              <w:ind w:right="108"/>
              <w:jc w:val="both"/>
              <w:rPr>
                <w:rFonts w:ascii="Verdana" w:hAnsi="Verdana" w:cs="Arial"/>
              </w:rPr>
            </w:pPr>
            <w:r w:rsidRPr="00B41137">
              <w:rPr>
                <w:rFonts w:ascii="Verdana" w:hAnsi="Verdana" w:cs="Arial"/>
                <w:color w:val="000000" w:themeColor="text1"/>
              </w:rPr>
              <w:lastRenderedPageBreak/>
              <w:t xml:space="preserve">Consejo de Estado. Sección tercera. Sentencia del 10 de mayo de 2018. </w:t>
            </w:r>
            <w:proofErr w:type="spellStart"/>
            <w:r w:rsidRPr="00B41137">
              <w:rPr>
                <w:rFonts w:ascii="Verdana" w:hAnsi="Verdana" w:cs="Arial"/>
                <w:color w:val="000000" w:themeColor="text1"/>
              </w:rPr>
              <w:t>Exp</w:t>
            </w:r>
            <w:proofErr w:type="spellEnd"/>
            <w:r w:rsidRPr="00B41137">
              <w:rPr>
                <w:rFonts w:ascii="Verdana" w:hAnsi="Verdana" w:cs="Arial"/>
                <w:color w:val="000000" w:themeColor="text1"/>
              </w:rPr>
              <w:t>. 41.186. C.P. Stella Conto Díaz del Castillo.</w:t>
            </w:r>
          </w:p>
          <w:p w14:paraId="2E01E755" w14:textId="77777777" w:rsidR="0087031A" w:rsidRPr="00B41137" w:rsidRDefault="0087031A" w:rsidP="0087031A">
            <w:pPr>
              <w:pStyle w:val="Textoindependiente"/>
              <w:widowControl w:val="0"/>
              <w:numPr>
                <w:ilvl w:val="0"/>
                <w:numId w:val="18"/>
              </w:numPr>
              <w:tabs>
                <w:tab w:val="left" w:pos="816"/>
              </w:tabs>
              <w:autoSpaceDE w:val="0"/>
              <w:autoSpaceDN w:val="0"/>
              <w:spacing w:after="0" w:line="276" w:lineRule="auto"/>
              <w:ind w:right="108"/>
              <w:jc w:val="both"/>
              <w:rPr>
                <w:rFonts w:ascii="Verdana" w:hAnsi="Verdana" w:cs="Arial"/>
              </w:rPr>
            </w:pPr>
            <w:r w:rsidRPr="00B41137">
              <w:rPr>
                <w:rFonts w:ascii="Verdana" w:hAnsi="Verdana" w:cs="Arial"/>
                <w:lang w:val="es-ES"/>
              </w:rPr>
              <w:t xml:space="preserve">Consejo de Estado. Sección Tercera. Subsección C. Sentencia del 12 de agosto de 2014. Consejero Ponente: Enrique Gil Botero. Expediente: </w:t>
            </w:r>
            <w:r w:rsidRPr="00B41137">
              <w:rPr>
                <w:rFonts w:ascii="Verdana" w:hAnsi="Verdana" w:cs="Arial"/>
                <w:iCs/>
              </w:rPr>
              <w:t>28.565.</w:t>
            </w:r>
          </w:p>
          <w:p w14:paraId="1A146972" w14:textId="77777777" w:rsidR="0087031A" w:rsidRPr="00B41137" w:rsidRDefault="0087031A" w:rsidP="0087031A">
            <w:pPr>
              <w:pStyle w:val="Textoindependiente"/>
              <w:widowControl w:val="0"/>
              <w:numPr>
                <w:ilvl w:val="0"/>
                <w:numId w:val="18"/>
              </w:numPr>
              <w:tabs>
                <w:tab w:val="left" w:pos="816"/>
              </w:tabs>
              <w:autoSpaceDE w:val="0"/>
              <w:autoSpaceDN w:val="0"/>
              <w:spacing w:after="0" w:line="276" w:lineRule="auto"/>
              <w:ind w:right="108"/>
              <w:jc w:val="both"/>
              <w:rPr>
                <w:rFonts w:ascii="Verdana" w:hAnsi="Verdana" w:cs="Arial"/>
              </w:rPr>
            </w:pPr>
            <w:r w:rsidRPr="00B41137">
              <w:rPr>
                <w:rFonts w:ascii="Verdana" w:hAnsi="Verdana" w:cs="Arial"/>
                <w:lang w:val="es-ES"/>
              </w:rPr>
              <w:t xml:space="preserve">Consejo de Estado. Sección Tercera. Subsección B. Sentencia del 3 de abril de 2020. Consejero Ponente: Ramiro Pazos Guerrero. Expediente: 46.963. </w:t>
            </w:r>
          </w:p>
          <w:p w14:paraId="1C1DEB6B" w14:textId="77777777" w:rsidR="0087031A" w:rsidRPr="00332677" w:rsidRDefault="0087031A" w:rsidP="0087031A">
            <w:pPr>
              <w:pStyle w:val="Prrafodelista"/>
              <w:widowControl w:val="0"/>
              <w:numPr>
                <w:ilvl w:val="0"/>
                <w:numId w:val="18"/>
              </w:numPr>
              <w:autoSpaceDE w:val="0"/>
              <w:autoSpaceDN w:val="0"/>
              <w:spacing w:after="120"/>
              <w:contextualSpacing w:val="0"/>
              <w:jc w:val="both"/>
              <w:rPr>
                <w:rFonts w:ascii="Verdana" w:hAnsi="Verdana" w:cs="Arial"/>
              </w:rPr>
            </w:pPr>
            <w:r w:rsidRPr="00B41137">
              <w:rPr>
                <w:rFonts w:ascii="Verdana" w:hAnsi="Verdana" w:cs="Arial"/>
              </w:rPr>
              <w:t>EXPÓSITO VÉLEZ, Juan Carlos. Forma y contenido del contrato estatal. Bogotá: Universidad Externado de Colombia, 2013. pp. 28-29.</w:t>
            </w:r>
          </w:p>
        </w:tc>
      </w:tr>
    </w:tbl>
    <w:p w14:paraId="3BFE0280" w14:textId="77777777" w:rsidR="0087031A" w:rsidRDefault="0087031A" w:rsidP="0087031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AB2AA5D" w14:textId="77777777" w:rsidR="0087031A" w:rsidRDefault="0087031A" w:rsidP="0087031A">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533E7EA9" w14:textId="77777777" w:rsidR="0087031A" w:rsidRPr="00593A5F" w:rsidRDefault="0087031A" w:rsidP="0087031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F8E012C" w14:textId="0377678E" w:rsidR="0087031A" w:rsidRPr="00AE7E03" w:rsidRDefault="0087031A" w:rsidP="0087031A">
      <w:pPr>
        <w:widowControl w:val="0"/>
        <w:autoSpaceDE w:val="0"/>
        <w:autoSpaceDN w:val="0"/>
        <w:spacing w:after="0" w:line="276" w:lineRule="auto"/>
        <w:jc w:val="both"/>
        <w:rPr>
          <w:rFonts w:ascii="Verdana" w:eastAsia="Arial" w:hAnsi="Verdana" w:cs="Arial"/>
          <w:lang w:val="es-MX" w:eastAsia="es-ES_tradnl"/>
        </w:rPr>
      </w:pPr>
      <w:r w:rsidRPr="000E1704">
        <w:rPr>
          <w:rFonts w:ascii="Verdana" w:eastAsia="Calibri" w:hAnsi="Verdana" w:cs="Arial"/>
          <w:lang w:val="es-ES"/>
        </w:rPr>
        <w:t>La Agencia Nacional de Contratación Pública – Colombia Compra Eficiente analizó el acta de inicio como requisito de ejecución convencional del contrato Estatal en los conceptos C- 053 del 7 de mayo de 2024, C – 638 de 2022, C-797 del 22 de enero de 2021, C-797 de 2020 638 de 10 de octubre de 2022, 053 del 13 de mayo de 2024</w:t>
      </w:r>
      <w:r>
        <w:rPr>
          <w:rFonts w:ascii="Verdana" w:eastAsia="Calibri" w:hAnsi="Verdana" w:cs="Arial"/>
          <w:lang w:val="es-ES"/>
        </w:rPr>
        <w:t xml:space="preserve"> y C-464 del 16 de mayo de 025</w:t>
      </w:r>
      <w:r w:rsidR="00664900">
        <w:rPr>
          <w:rFonts w:ascii="Verdana" w:eastAsia="Calibri" w:hAnsi="Verdana" w:cs="Arial"/>
          <w:lang w:val="es-ES"/>
        </w:rPr>
        <w:t xml:space="preserve">, </w:t>
      </w:r>
      <w:r w:rsidR="00664900" w:rsidRPr="00664900">
        <w:rPr>
          <w:rFonts w:ascii="Verdana" w:eastAsia="Calibri" w:hAnsi="Verdana" w:cs="Arial"/>
          <w:lang w:val="es-ES"/>
        </w:rPr>
        <w:t>C-539 de 2024, C-545 de 2024, C-844 de 2024, C-1039 de 2024, C-536 de 2025, C-625 de 2025, C-835 de 2025, C-1481 de 2025, C-106 de 2026 y C-134 de 2026</w:t>
      </w:r>
      <w:r>
        <w:rPr>
          <w:rFonts w:ascii="Verdana" w:eastAsia="Calibri" w:hAnsi="Verdana" w:cs="Arial"/>
          <w:lang w:val="es-ES" w:eastAsia="es-ES_tradnl"/>
        </w:rPr>
        <w:t>;</w:t>
      </w:r>
      <w:r w:rsidRPr="00185EE9">
        <w:rPr>
          <w:rFonts w:ascii="Verdana" w:eastAsia="Calibri" w:hAnsi="Verdana" w:cs="Times New Roman"/>
        </w:rPr>
        <w:t xml:space="preserve"> </w:t>
      </w:r>
      <w:r>
        <w:rPr>
          <w:rFonts w:ascii="Verdana" w:eastAsia="Calibri" w:hAnsi="Verdana" w:cs="Times New Roman"/>
        </w:rPr>
        <w:t xml:space="preserve">estos </w:t>
      </w:r>
      <w:r w:rsidRPr="00185EE9">
        <w:rPr>
          <w:rFonts w:ascii="Verdana" w:eastAsia="Calibri" w:hAnsi="Verdana" w:cs="Times New Roman"/>
        </w:rPr>
        <w:t>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25CFBE6B" w14:textId="77777777" w:rsidR="0087031A" w:rsidRPr="0065720B" w:rsidRDefault="0087031A" w:rsidP="0087031A">
      <w:pPr>
        <w:widowControl w:val="0"/>
        <w:autoSpaceDE w:val="0"/>
        <w:autoSpaceDN w:val="0"/>
        <w:spacing w:after="0" w:line="276" w:lineRule="auto"/>
        <w:jc w:val="both"/>
        <w:rPr>
          <w:rStyle w:val="normaltextrun"/>
          <w:rFonts w:ascii="Verdana" w:eastAsia="Calibri" w:hAnsi="Verdana" w:cs="Arial"/>
          <w:lang w:val="es-ES_tradnl" w:eastAsia="en-GB"/>
        </w:rPr>
      </w:pPr>
      <w:hyperlink r:id="rId14" w:history="1">
        <w:r w:rsidRPr="00191357">
          <w:rPr>
            <w:rStyle w:val="Hipervnculo"/>
            <w:rFonts w:ascii="Verdana" w:eastAsia="Calibri" w:hAnsi="Verdana" w:cs="Times New Roman"/>
            <w:lang w:val="es-ES"/>
          </w:rPr>
          <w:t>https://relatoria.colombiacompra.gov.co/busqueda/conceptos</w:t>
        </w:r>
      </w:hyperlink>
      <w:r w:rsidRPr="00185EE9">
        <w:rPr>
          <w:rFonts w:ascii="Verdana" w:eastAsia="Calibri" w:hAnsi="Verdana" w:cs="Times New Roman"/>
        </w:rPr>
        <w:t>.</w:t>
      </w:r>
    </w:p>
    <w:p w14:paraId="0208491B" w14:textId="77777777" w:rsidR="0087031A" w:rsidRPr="00505CD6" w:rsidRDefault="0087031A" w:rsidP="0087031A">
      <w:pPr>
        <w:widowControl w:val="0"/>
        <w:autoSpaceDE w:val="0"/>
        <w:autoSpaceDN w:val="0"/>
        <w:spacing w:after="0" w:line="276" w:lineRule="auto"/>
        <w:jc w:val="both"/>
        <w:rPr>
          <w:rFonts w:ascii="Verdana" w:hAnsi="Verdana" w:cs="Arial"/>
          <w:color w:val="000000" w:themeColor="text1"/>
          <w:shd w:val="clear" w:color="auto" w:fill="FFFFFF"/>
        </w:rPr>
      </w:pPr>
    </w:p>
    <w:bookmarkEnd w:id="1"/>
    <w:bookmarkEnd w:id="2"/>
    <w:bookmarkEnd w:id="3"/>
    <w:p w14:paraId="4E844C0B" w14:textId="77777777" w:rsidR="00664900" w:rsidRPr="00B80E48" w:rsidRDefault="00664900" w:rsidP="00664900">
      <w:pPr>
        <w:spacing w:after="0" w:line="240" w:lineRule="auto"/>
        <w:jc w:val="both"/>
        <w:rPr>
          <w:rFonts w:ascii="Verdana" w:hAnsi="Verdana"/>
        </w:rPr>
      </w:pPr>
      <w:r w:rsidRPr="00B80E48">
        <w:rPr>
          <w:rFonts w:ascii="Verdana" w:hAnsi="Verdana"/>
        </w:rPr>
        <w:t xml:space="preserve">La sostenibilidad no es una opción, es una obligación. Por ello, la Agencia Nacional de Contratación Pública –Colombia Compra Eficiente– te invita a realizar el </w:t>
      </w:r>
      <w:r w:rsidRPr="00B80E48">
        <w:rPr>
          <w:rFonts w:ascii="Verdana" w:hAnsi="Verdana"/>
          <w:b/>
          <w:bCs/>
        </w:rPr>
        <w:t>Curso de Contratación Pública Sostenible y Socialmente Responsable</w:t>
      </w:r>
      <w:r w:rsidRPr="00B80E48">
        <w:rPr>
          <w:rFonts w:ascii="Verdana" w:hAnsi="Verdana"/>
        </w:rPr>
        <w:t xml:space="preserve">,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 </w:t>
      </w:r>
    </w:p>
    <w:p w14:paraId="44661804" w14:textId="77777777" w:rsidR="00664900" w:rsidRPr="00B80E48" w:rsidRDefault="00664900" w:rsidP="00664900">
      <w:pPr>
        <w:spacing w:after="0" w:line="240" w:lineRule="auto"/>
        <w:jc w:val="both"/>
        <w:rPr>
          <w:rFonts w:ascii="Verdana" w:hAnsi="Verdana"/>
        </w:rPr>
      </w:pPr>
      <w:hyperlink r:id="rId15" w:history="1">
        <w:r w:rsidRPr="00E87EB0">
          <w:rPr>
            <w:rStyle w:val="Hipervnculo"/>
            <w:rFonts w:ascii="Verdana" w:hAnsi="Verdana"/>
          </w:rPr>
          <w:t>https://formacionvirtual.colombiacompra.gov.co/mod/page/view.php?id=3718</w:t>
        </w:r>
      </w:hyperlink>
      <w:r>
        <w:rPr>
          <w:rFonts w:ascii="Verdana" w:hAnsi="Verdana"/>
        </w:rPr>
        <w:t xml:space="preserve"> </w:t>
      </w:r>
      <w:r w:rsidRPr="00B80E48">
        <w:rPr>
          <w:rFonts w:ascii="Verdana" w:hAnsi="Verdana"/>
        </w:rPr>
        <w:t xml:space="preserve"> </w:t>
      </w:r>
    </w:p>
    <w:p w14:paraId="1BB41903" w14:textId="77777777" w:rsidR="00664900" w:rsidRPr="00B80E48" w:rsidRDefault="00664900" w:rsidP="00664900">
      <w:pPr>
        <w:spacing w:after="0" w:line="240" w:lineRule="auto"/>
        <w:jc w:val="both"/>
        <w:rPr>
          <w:rFonts w:ascii="Verdana" w:hAnsi="Verdana"/>
        </w:rPr>
      </w:pPr>
    </w:p>
    <w:p w14:paraId="67304D79" w14:textId="77777777" w:rsidR="00664900" w:rsidRPr="00B80E48" w:rsidRDefault="00664900" w:rsidP="00664900">
      <w:pPr>
        <w:spacing w:after="0" w:line="240" w:lineRule="auto"/>
        <w:jc w:val="both"/>
        <w:rPr>
          <w:rFonts w:ascii="Verdana" w:hAnsi="Verdana"/>
        </w:rPr>
      </w:pPr>
      <w:r w:rsidRPr="00B80E48">
        <w:rPr>
          <w:rFonts w:ascii="Verdana" w:hAnsi="Verdana"/>
        </w:rPr>
        <w:t xml:space="preserve">De otro lado, te contamos que esta Agencia ha da un paso decisivo en la estandarización y modernización del </w:t>
      </w:r>
      <w:r w:rsidRPr="00B80E48">
        <w:rPr>
          <w:rFonts w:ascii="Verdana" w:hAnsi="Verdana"/>
          <w:b/>
          <w:bCs/>
        </w:rPr>
        <w:t xml:space="preserve">sector  social </w:t>
      </w:r>
      <w:r w:rsidRPr="00B80E48">
        <w:rPr>
          <w:rFonts w:ascii="Verdana" w:hAnsi="Verdana"/>
        </w:rPr>
        <w:t xml:space="preserve">con la expedición de las </w:t>
      </w:r>
      <w:r w:rsidRPr="00B80E48">
        <w:rPr>
          <w:rFonts w:ascii="Verdana" w:hAnsi="Verdana"/>
          <w:b/>
          <w:bCs/>
        </w:rPr>
        <w:t xml:space="preserve">Resoluciones 539, 540, 541, 952 y 953 de 2025, mediante las cuales adoptó Documentos Tipo </w:t>
      </w:r>
      <w:r w:rsidRPr="00B80E48">
        <w:rPr>
          <w:rFonts w:ascii="Verdana" w:hAnsi="Verdana"/>
        </w:rPr>
        <w:t xml:space="preserve">para las modalidades de selección de </w:t>
      </w:r>
      <w:r w:rsidRPr="00B80E48">
        <w:rPr>
          <w:rFonts w:ascii="Verdana" w:hAnsi="Verdana"/>
          <w:b/>
          <w:bCs/>
        </w:rPr>
        <w:t xml:space="preserve">licitación </w:t>
      </w:r>
      <w:r w:rsidRPr="00B80E48">
        <w:rPr>
          <w:rFonts w:ascii="Verdana" w:hAnsi="Verdana"/>
          <w:b/>
          <w:bCs/>
        </w:rPr>
        <w:lastRenderedPageBreak/>
        <w:t>pública (versión 2), selección abreviada de menor cuantía, mínima cuantía, consultoría e interventoría</w:t>
      </w:r>
      <w:r w:rsidRPr="00B80E48">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6" w:history="1">
        <w:r w:rsidRPr="00E87EB0">
          <w:rPr>
            <w:rStyle w:val="Hipervnculo"/>
            <w:rFonts w:ascii="Verdana" w:hAnsi="Verdana"/>
          </w:rPr>
          <w:t>https://www.colombiacompra.gov.co/normativa-y-relatoria/documentos-tipo</w:t>
        </w:r>
      </w:hyperlink>
      <w:r>
        <w:rPr>
          <w:rFonts w:ascii="Verdana" w:hAnsi="Verdana"/>
        </w:rPr>
        <w:t xml:space="preserve"> </w:t>
      </w:r>
      <w:r w:rsidRPr="00B80E48">
        <w:rPr>
          <w:rFonts w:ascii="Verdana" w:hAnsi="Verdana"/>
        </w:rPr>
        <w:t xml:space="preserve"> </w:t>
      </w:r>
    </w:p>
    <w:p w14:paraId="4318FC70" w14:textId="77777777" w:rsidR="00664900" w:rsidRPr="00B80E48" w:rsidRDefault="00664900" w:rsidP="00664900">
      <w:pPr>
        <w:spacing w:after="0" w:line="240" w:lineRule="auto"/>
        <w:jc w:val="both"/>
        <w:rPr>
          <w:rFonts w:ascii="Verdana" w:hAnsi="Verdana"/>
        </w:rPr>
      </w:pPr>
    </w:p>
    <w:p w14:paraId="30993A97" w14:textId="77777777" w:rsidR="00664900" w:rsidRPr="00B80E48" w:rsidRDefault="00664900" w:rsidP="00664900">
      <w:pPr>
        <w:spacing w:after="0" w:line="240" w:lineRule="auto"/>
        <w:jc w:val="both"/>
        <w:rPr>
          <w:rFonts w:ascii="Verdana" w:hAnsi="Verdana"/>
        </w:rPr>
      </w:pPr>
      <w:r w:rsidRPr="00B80E48">
        <w:rPr>
          <w:rFonts w:ascii="Verdana" w:hAnsi="Verdana"/>
        </w:rPr>
        <w:t xml:space="preserve">Si quieres conocer más sobre la aplicación de Documentos Tipo puedes consultar la última versión de la </w:t>
      </w:r>
      <w:r w:rsidRPr="00B80E48">
        <w:rPr>
          <w:rFonts w:ascii="Verdana" w:hAnsi="Verdana"/>
          <w:b/>
          <w:bCs/>
        </w:rPr>
        <w:t>Guía para la comprensión e implementación de los Documentos Tipo de obra pública de infraestructura de transporte</w:t>
      </w:r>
      <w:r w:rsidRPr="00B80E48">
        <w:rPr>
          <w:rFonts w:ascii="Verdana" w:hAnsi="Verdana"/>
        </w:rPr>
        <w:t xml:space="preserve">. En esta actualización se incorporaron orientaciones prácticas dirigidas a entidades públicas, proveedores, organismos de control y demás interesados, con el propósito de facilitar la adecuada implementación de estos instrumentos en los procesos contractuales. </w:t>
      </w:r>
      <w:proofErr w:type="gramStart"/>
      <w:r w:rsidRPr="00B80E48">
        <w:rPr>
          <w:rFonts w:ascii="Verdana" w:hAnsi="Verdana"/>
        </w:rPr>
        <w:t>Además</w:t>
      </w:r>
      <w:proofErr w:type="gramEnd"/>
      <w:r w:rsidRPr="00B80E48">
        <w:rPr>
          <w:rFonts w:ascii="Verdana" w:hAnsi="Verdana"/>
        </w:rPr>
        <w:t xml:space="preserve"> se incluyeron lineamientos que orientan la implementación de los criterios ambientales y sociales incluidos en los documentos tipo: Consulta la guía aquí: </w:t>
      </w:r>
    </w:p>
    <w:p w14:paraId="01698DE6" w14:textId="77777777" w:rsidR="00664900" w:rsidRDefault="00664900" w:rsidP="00664900">
      <w:pPr>
        <w:spacing w:after="0" w:line="240" w:lineRule="auto"/>
        <w:jc w:val="both"/>
        <w:rPr>
          <w:rFonts w:ascii="Verdana" w:hAnsi="Verdana"/>
        </w:rPr>
      </w:pPr>
      <w:hyperlink r:id="rId17" w:history="1">
        <w:r w:rsidRPr="00E87EB0">
          <w:rPr>
            <w:rStyle w:val="Hipervnculo"/>
            <w:rFonts w:ascii="Verdana" w:hAnsi="Verdana"/>
          </w:rPr>
          <w:t>https://www.colombiacompra.gov.co/archivos/manual/guia-para-la-comprension-e-implementacion-de-los-documentos-tipo-de-obra-publica-de-infraestructura-de-transporte-bajo-las-diferentes-modalidades-de-contratacion-vigentes</w:t>
        </w:r>
      </w:hyperlink>
      <w:r>
        <w:rPr>
          <w:rFonts w:ascii="Verdana" w:hAnsi="Verdana"/>
        </w:rPr>
        <w:t xml:space="preserve"> </w:t>
      </w:r>
    </w:p>
    <w:p w14:paraId="49755844" w14:textId="77777777" w:rsidR="00664900" w:rsidRPr="00CC5C68" w:rsidRDefault="00664900" w:rsidP="00664900">
      <w:pPr>
        <w:spacing w:after="0" w:line="240" w:lineRule="auto"/>
        <w:jc w:val="both"/>
        <w:rPr>
          <w:rFonts w:ascii="Verdana" w:hAnsi="Verdana"/>
        </w:rPr>
      </w:pPr>
    </w:p>
    <w:p w14:paraId="35C80CE2" w14:textId="77777777" w:rsidR="00664900" w:rsidRPr="00CC5C68" w:rsidRDefault="00664900" w:rsidP="00664900">
      <w:pPr>
        <w:spacing w:after="0" w:line="240" w:lineRule="auto"/>
        <w:jc w:val="both"/>
        <w:rPr>
          <w:rFonts w:ascii="Verdana" w:hAnsi="Verdana"/>
        </w:rPr>
      </w:pPr>
      <w:r w:rsidRPr="00CC5C68">
        <w:rPr>
          <w:rFonts w:ascii="Verdana" w:hAnsi="Verdana"/>
        </w:rPr>
        <w:t xml:space="preserve">Por último, lo invitamos a seguirnos en las redes sociales en las cuales se difunde información institucional: </w:t>
      </w:r>
    </w:p>
    <w:p w14:paraId="56A319C9" w14:textId="77777777" w:rsidR="00664900" w:rsidRPr="00CC5C68" w:rsidRDefault="00664900" w:rsidP="00664900">
      <w:pPr>
        <w:spacing w:after="0" w:line="240" w:lineRule="auto"/>
        <w:jc w:val="both"/>
        <w:rPr>
          <w:rFonts w:ascii="Verdana" w:hAnsi="Verdana"/>
        </w:rPr>
      </w:pPr>
    </w:p>
    <w:p w14:paraId="4A210C23" w14:textId="77777777" w:rsidR="00664900" w:rsidRPr="00CC5C68" w:rsidRDefault="00664900" w:rsidP="00664900">
      <w:pPr>
        <w:spacing w:after="0" w:line="240" w:lineRule="auto"/>
        <w:jc w:val="both"/>
        <w:rPr>
          <w:rFonts w:ascii="Verdana" w:hAnsi="Verdana"/>
        </w:rPr>
      </w:pPr>
      <w:r w:rsidRPr="00CC5C68">
        <w:rPr>
          <w:rFonts w:ascii="Verdana" w:hAnsi="Verdana"/>
        </w:rPr>
        <w:t xml:space="preserve">Twitter: </w:t>
      </w:r>
      <w:r w:rsidRPr="00CC5C68">
        <w:rPr>
          <w:rStyle w:val="Hipervnculo"/>
          <w:rFonts w:ascii="Verdana" w:hAnsi="Verdana"/>
          <w:color w:val="4472C4" w:themeColor="accent1"/>
        </w:rPr>
        <w:t>@colombiacompra</w:t>
      </w:r>
      <w:r w:rsidRPr="00CC5C68">
        <w:rPr>
          <w:rFonts w:ascii="Verdana" w:hAnsi="Verdana"/>
          <w:color w:val="4472C4" w:themeColor="accent1"/>
        </w:rPr>
        <w:t xml:space="preserve"> </w:t>
      </w:r>
    </w:p>
    <w:p w14:paraId="70DB6591" w14:textId="77777777" w:rsidR="00664900" w:rsidRPr="00CC5C68" w:rsidRDefault="00664900" w:rsidP="00664900">
      <w:pPr>
        <w:spacing w:after="0" w:line="240" w:lineRule="auto"/>
        <w:jc w:val="both"/>
        <w:rPr>
          <w:rFonts w:ascii="Verdana" w:hAnsi="Verdana"/>
        </w:rPr>
      </w:pPr>
      <w:r w:rsidRPr="00CC5C68">
        <w:rPr>
          <w:rFonts w:ascii="Verdana" w:hAnsi="Verdana"/>
        </w:rPr>
        <w:t xml:space="preserve">Facebook: </w:t>
      </w:r>
      <w:proofErr w:type="spellStart"/>
      <w:r w:rsidRPr="00CC5C68">
        <w:rPr>
          <w:rStyle w:val="Hipervnculo"/>
          <w:rFonts w:ascii="Verdana" w:hAnsi="Verdana"/>
          <w:color w:val="4472C4" w:themeColor="accent1"/>
        </w:rPr>
        <w:t>ColombiaCompraEficiente</w:t>
      </w:r>
      <w:proofErr w:type="spellEnd"/>
    </w:p>
    <w:p w14:paraId="2BD45720" w14:textId="77777777" w:rsidR="00664900" w:rsidRPr="00CC5C68" w:rsidRDefault="00664900" w:rsidP="00664900">
      <w:pPr>
        <w:spacing w:after="0" w:line="240" w:lineRule="auto"/>
        <w:jc w:val="both"/>
        <w:rPr>
          <w:rFonts w:ascii="Verdana" w:hAnsi="Verdana"/>
        </w:rPr>
      </w:pPr>
      <w:r w:rsidRPr="00CC5C68">
        <w:rPr>
          <w:rFonts w:ascii="Verdana" w:hAnsi="Verdana"/>
        </w:rPr>
        <w:t xml:space="preserve">LinkedIn: </w:t>
      </w:r>
      <w:r w:rsidRPr="00CC5C68">
        <w:rPr>
          <w:rStyle w:val="Hipervnculo"/>
          <w:rFonts w:ascii="Verdana" w:hAnsi="Verdana"/>
          <w:color w:val="4472C4" w:themeColor="accent1"/>
        </w:rPr>
        <w:t>Agencia Nacional de Contratación Pública - Colombia Compra Eficiente</w:t>
      </w:r>
      <w:r w:rsidRPr="00CC5C68">
        <w:rPr>
          <w:rFonts w:ascii="Verdana" w:hAnsi="Verdana"/>
          <w:color w:val="4472C4" w:themeColor="accent1"/>
        </w:rPr>
        <w:t xml:space="preserve"> </w:t>
      </w:r>
      <w:r w:rsidRPr="00CC5C68">
        <w:rPr>
          <w:rFonts w:ascii="Verdana" w:hAnsi="Verdana"/>
        </w:rPr>
        <w:t xml:space="preserve">Instagram: </w:t>
      </w:r>
      <w:r w:rsidRPr="00CC5C68">
        <w:rPr>
          <w:rStyle w:val="Hipervnculo"/>
          <w:rFonts w:ascii="Verdana" w:hAnsi="Verdana"/>
          <w:color w:val="4472C4" w:themeColor="accent1"/>
        </w:rPr>
        <w:t>@colombiacompraeficiente_cce</w:t>
      </w:r>
    </w:p>
    <w:p w14:paraId="0C1F2C3D" w14:textId="77777777" w:rsidR="00664900" w:rsidRPr="0044528D" w:rsidRDefault="00664900" w:rsidP="00664900">
      <w:pPr>
        <w:widowControl w:val="0"/>
        <w:autoSpaceDE w:val="0"/>
        <w:autoSpaceDN w:val="0"/>
        <w:spacing w:after="0" w:line="276" w:lineRule="auto"/>
        <w:jc w:val="both"/>
        <w:rPr>
          <w:rFonts w:ascii="Verdana" w:hAnsi="Verdana"/>
        </w:rPr>
      </w:pPr>
    </w:p>
    <w:p w14:paraId="22F0C9D3" w14:textId="77777777" w:rsidR="00664900" w:rsidRPr="00CC5C68" w:rsidRDefault="00664900" w:rsidP="00664900">
      <w:pPr>
        <w:widowControl w:val="0"/>
        <w:autoSpaceDE w:val="0"/>
        <w:autoSpaceDN w:val="0"/>
        <w:spacing w:after="0" w:line="276" w:lineRule="auto"/>
        <w:jc w:val="both"/>
        <w:rPr>
          <w:rFonts w:ascii="Verdana" w:hAnsi="Verdana" w:cs="Arial"/>
          <w:lang w:val="es-ES_tradnl"/>
        </w:rPr>
      </w:pPr>
      <w:r w:rsidRPr="00CC5C68">
        <w:rPr>
          <w:rFonts w:ascii="Verdana" w:hAnsi="Verdana" w:cs="Arial"/>
        </w:rPr>
        <w:t xml:space="preserve">Este concepto tiene el alcance previsto en el artículo 28 del Código de Procedimiento Administrativo y de lo Contencioso Administrativo </w:t>
      </w:r>
      <w:r w:rsidRPr="00CC5C68">
        <w:rPr>
          <w:rFonts w:ascii="Verdana" w:hAnsi="Verdana" w:cs="Arial"/>
          <w:lang w:val="es-ES_tradnl"/>
        </w:rPr>
        <w:t>y las expresiones aquí utilizadas con mayúscula inicial deben ser entendidas con el significado que les otorga el artículo 2.2.1.1.1.3.1. del Decreto 1082 de 2015.</w:t>
      </w:r>
    </w:p>
    <w:p w14:paraId="0A7B56D5" w14:textId="77777777" w:rsidR="00664900" w:rsidRPr="00CC5C68" w:rsidRDefault="00664900" w:rsidP="00664900">
      <w:pPr>
        <w:spacing w:after="0" w:line="276" w:lineRule="auto"/>
        <w:ind w:firstLine="709"/>
        <w:jc w:val="both"/>
        <w:rPr>
          <w:rFonts w:ascii="Verdana" w:eastAsia="Times New Roman" w:hAnsi="Verdana" w:cs="Arial"/>
          <w:szCs w:val="24"/>
          <w:lang w:val="es-ES_tradnl" w:eastAsia="es-ES_tradnl"/>
        </w:rPr>
      </w:pPr>
    </w:p>
    <w:p w14:paraId="38BEDF2E" w14:textId="77777777" w:rsidR="00664900" w:rsidRDefault="00664900" w:rsidP="00664900">
      <w:pPr>
        <w:spacing w:after="0" w:line="276" w:lineRule="auto"/>
        <w:jc w:val="both"/>
        <w:rPr>
          <w:rFonts w:ascii="Verdana" w:eastAsia="Times New Roman" w:hAnsi="Verdana" w:cs="Arial"/>
          <w:lang w:val="es-ES_tradnl" w:eastAsia="es-CO"/>
        </w:rPr>
      </w:pPr>
      <w:bookmarkStart w:id="6" w:name="_Hlk117695077"/>
      <w:r w:rsidRPr="00CC5C68">
        <w:rPr>
          <w:rFonts w:ascii="Verdana" w:eastAsia="Times New Roman" w:hAnsi="Verdana" w:cs="Arial"/>
          <w:lang w:val="es-ES_tradnl" w:eastAsia="es-CO"/>
        </w:rPr>
        <w:t>Atentamente,</w:t>
      </w:r>
    </w:p>
    <w:p w14:paraId="0B00CD62" w14:textId="77777777" w:rsidR="00664900" w:rsidRPr="00CC5C68" w:rsidRDefault="00664900" w:rsidP="00664900">
      <w:pPr>
        <w:spacing w:after="0" w:line="276" w:lineRule="auto"/>
        <w:jc w:val="both"/>
        <w:rPr>
          <w:rFonts w:ascii="Verdana" w:eastAsia="Times New Roman" w:hAnsi="Verdana" w:cs="Arial"/>
          <w:lang w:val="es-ES_tradnl" w:eastAsia="es-CO"/>
        </w:rPr>
      </w:pPr>
    </w:p>
    <w:bookmarkEnd w:id="6"/>
    <w:p w14:paraId="0D84AB3A" w14:textId="77777777" w:rsidR="00664900" w:rsidRDefault="00664900" w:rsidP="00664900">
      <w:pPr>
        <w:spacing w:after="18" w:line="240" w:lineRule="auto"/>
        <w:jc w:val="center"/>
        <w:rPr>
          <w:rFonts w:ascii="Verdana" w:eastAsia="Times New Roman" w:hAnsi="Verdana" w:cs="Arial"/>
          <w:sz w:val="24"/>
          <w:szCs w:val="24"/>
          <w:lang w:eastAsia="es-CO"/>
        </w:rPr>
      </w:pPr>
    </w:p>
    <w:p w14:paraId="35A9766F" w14:textId="51133DB4" w:rsidR="00664900" w:rsidRDefault="00664900" w:rsidP="00664900">
      <w:pPr>
        <w:spacing w:after="18" w:line="240" w:lineRule="auto"/>
        <w:jc w:val="center"/>
        <w:rPr>
          <w:rFonts w:ascii="Verdana" w:eastAsia="Times New Roman" w:hAnsi="Verdana" w:cs="Arial"/>
          <w:sz w:val="24"/>
          <w:szCs w:val="24"/>
          <w:lang w:eastAsia="es-CO"/>
        </w:rPr>
      </w:pPr>
    </w:p>
    <w:p w14:paraId="4580DBAB" w14:textId="79961BBA" w:rsidR="00664900" w:rsidRDefault="00A52432" w:rsidP="00664900">
      <w:pPr>
        <w:spacing w:after="18" w:line="240" w:lineRule="auto"/>
        <w:jc w:val="center"/>
        <w:rPr>
          <w:rFonts w:ascii="Verdana" w:eastAsia="Times New Roman" w:hAnsi="Verdana" w:cs="Arial"/>
          <w:sz w:val="24"/>
          <w:szCs w:val="24"/>
          <w:lang w:eastAsia="es-CO"/>
        </w:rPr>
      </w:pPr>
      <w:r>
        <w:rPr>
          <w:noProof/>
        </w:rPr>
        <w:lastRenderedPageBreak/>
        <w:drawing>
          <wp:inline distT="0" distB="0" distL="0" distR="0" wp14:anchorId="10BBD414" wp14:editId="44227959">
            <wp:extent cx="3104515" cy="1336040"/>
            <wp:effectExtent l="0" t="0" r="0" b="0"/>
            <wp:docPr id="9034402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04515" cy="1336040"/>
                    </a:xfrm>
                    <a:prstGeom prst="rect">
                      <a:avLst/>
                    </a:prstGeom>
                    <a:noFill/>
                    <a:ln>
                      <a:noFill/>
                    </a:ln>
                  </pic:spPr>
                </pic:pic>
              </a:graphicData>
            </a:graphic>
          </wp:inline>
        </w:drawing>
      </w:r>
    </w:p>
    <w:p w14:paraId="44FA19A7" w14:textId="77777777" w:rsidR="00664900" w:rsidRPr="00CC5C68" w:rsidRDefault="00664900" w:rsidP="00664900">
      <w:pPr>
        <w:spacing w:after="18" w:line="240" w:lineRule="auto"/>
        <w:jc w:val="center"/>
        <w:rPr>
          <w:rFonts w:ascii="Verdana" w:eastAsia="Times New Roman" w:hAnsi="Verdana" w:cs="Arial"/>
          <w:sz w:val="24"/>
          <w:szCs w:val="24"/>
          <w:lang w:eastAsia="es-CO"/>
        </w:rPr>
      </w:pP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664900" w:rsidRPr="00CC5C68" w14:paraId="7332CE6B" w14:textId="77777777" w:rsidTr="2A933081">
        <w:trPr>
          <w:trHeight w:val="286"/>
        </w:trPr>
        <w:tc>
          <w:tcPr>
            <w:tcW w:w="893" w:type="dxa"/>
            <w:vAlign w:val="center"/>
            <w:hideMark/>
          </w:tcPr>
          <w:p w14:paraId="41315A2A" w14:textId="77777777" w:rsidR="00664900" w:rsidRPr="00CC5C68" w:rsidRDefault="00664900" w:rsidP="003B1880">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Elaboró:</w:t>
            </w:r>
          </w:p>
        </w:tc>
        <w:tc>
          <w:tcPr>
            <w:tcW w:w="4777" w:type="dxa"/>
            <w:vAlign w:val="center"/>
            <w:hideMark/>
          </w:tcPr>
          <w:p w14:paraId="1D5CCEEF" w14:textId="77777777" w:rsidR="00664900" w:rsidRPr="00CC5C68" w:rsidRDefault="00664900" w:rsidP="2A933081">
            <w:pPr>
              <w:rPr>
                <w:rFonts w:ascii="Verdana" w:eastAsia="Times New Roman" w:hAnsi="Verdana" w:cs="Arial"/>
                <w:sz w:val="16"/>
                <w:szCs w:val="16"/>
                <w:lang w:val="es-ES" w:eastAsia="es-ES"/>
              </w:rPr>
            </w:pPr>
            <w:r w:rsidRPr="2A933081">
              <w:rPr>
                <w:rFonts w:ascii="Verdana" w:eastAsia="Times New Roman" w:hAnsi="Verdana" w:cs="Arial"/>
                <w:sz w:val="16"/>
                <w:szCs w:val="16"/>
                <w:lang w:val="es-ES" w:eastAsia="es-ES"/>
              </w:rPr>
              <w:t xml:space="preserve">Camilo José Martínez Martínez </w:t>
            </w:r>
          </w:p>
          <w:p w14:paraId="0C7B59DB" w14:textId="77777777" w:rsidR="00664900" w:rsidRPr="00CC5C68" w:rsidRDefault="00664900" w:rsidP="003B1880">
            <w:pPr>
              <w:rPr>
                <w:rFonts w:ascii="Verdana" w:eastAsia="Times New Roman" w:hAnsi="Verdana" w:cs="Arial"/>
                <w:sz w:val="14"/>
                <w:szCs w:val="14"/>
                <w:lang w:eastAsia="es-ES"/>
              </w:rPr>
            </w:pPr>
            <w:r>
              <w:rPr>
                <w:rFonts w:ascii="Verdana" w:eastAsia="Times New Roman" w:hAnsi="Verdana" w:cs="Arial"/>
                <w:sz w:val="16"/>
                <w:szCs w:val="16"/>
                <w:lang w:eastAsia="es-ES"/>
              </w:rPr>
              <w:t xml:space="preserve">Contratista </w:t>
            </w:r>
            <w:r w:rsidRPr="00CC5C68">
              <w:rPr>
                <w:rFonts w:ascii="Verdana" w:eastAsia="Times New Roman" w:hAnsi="Verdana" w:cs="Arial"/>
                <w:sz w:val="16"/>
                <w:szCs w:val="16"/>
                <w:lang w:eastAsia="es-ES"/>
              </w:rPr>
              <w:t>de la Subdirección de Gestión Contractual</w:t>
            </w:r>
          </w:p>
        </w:tc>
      </w:tr>
      <w:tr w:rsidR="00664900" w:rsidRPr="00CC5C68" w14:paraId="2B18D29D" w14:textId="77777777" w:rsidTr="2A933081">
        <w:trPr>
          <w:trHeight w:val="299"/>
        </w:trPr>
        <w:tc>
          <w:tcPr>
            <w:tcW w:w="893" w:type="dxa"/>
            <w:vAlign w:val="center"/>
            <w:hideMark/>
          </w:tcPr>
          <w:p w14:paraId="7F25D0FC" w14:textId="77777777" w:rsidR="00664900" w:rsidRPr="00CC5C68" w:rsidRDefault="00664900" w:rsidP="003B1880">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Revisó:</w:t>
            </w:r>
          </w:p>
        </w:tc>
        <w:tc>
          <w:tcPr>
            <w:tcW w:w="4777" w:type="dxa"/>
            <w:vAlign w:val="center"/>
            <w:hideMark/>
          </w:tcPr>
          <w:p w14:paraId="01799EAE" w14:textId="0F313D30" w:rsidR="00664900" w:rsidRDefault="00664900" w:rsidP="003B1880">
            <w:pPr>
              <w:rPr>
                <w:rFonts w:ascii="Verdana" w:eastAsia="Times New Roman" w:hAnsi="Verdana" w:cs="Arial"/>
                <w:sz w:val="16"/>
                <w:szCs w:val="16"/>
                <w:lang w:val="es-ES" w:eastAsia="es-ES"/>
              </w:rPr>
            </w:pPr>
            <w:r w:rsidRPr="00664900">
              <w:rPr>
                <w:rFonts w:ascii="Verdana" w:eastAsia="Times New Roman" w:hAnsi="Verdana" w:cs="Arial"/>
                <w:sz w:val="16"/>
                <w:szCs w:val="16"/>
                <w:lang w:val="es-ES" w:eastAsia="es-ES"/>
              </w:rPr>
              <w:t>Juan David Cárdenas</w:t>
            </w:r>
          </w:p>
          <w:p w14:paraId="72BBD64A" w14:textId="38C53B1D" w:rsidR="00664900" w:rsidRPr="00CC5C68" w:rsidRDefault="00664900" w:rsidP="003B1880">
            <w:pPr>
              <w:rPr>
                <w:rFonts w:ascii="Verdana" w:eastAsia="Times New Roman" w:hAnsi="Verdana" w:cs="Arial"/>
                <w:sz w:val="14"/>
                <w:szCs w:val="14"/>
                <w:lang w:eastAsia="es-ES"/>
              </w:rPr>
            </w:pPr>
            <w:r>
              <w:rPr>
                <w:rFonts w:ascii="Verdana" w:eastAsia="Times New Roman" w:hAnsi="Verdana" w:cs="Arial"/>
                <w:sz w:val="16"/>
                <w:szCs w:val="16"/>
                <w:lang w:eastAsia="es-ES"/>
              </w:rPr>
              <w:t>Contratista</w:t>
            </w:r>
            <w:r w:rsidRPr="00CC5C68">
              <w:rPr>
                <w:rFonts w:ascii="Verdana" w:eastAsia="Times New Roman" w:hAnsi="Verdana" w:cs="Arial"/>
                <w:sz w:val="16"/>
                <w:szCs w:val="16"/>
                <w:lang w:eastAsia="es-ES"/>
              </w:rPr>
              <w:t xml:space="preserve"> de la Subdirección de Gestión Contractual</w:t>
            </w:r>
          </w:p>
        </w:tc>
      </w:tr>
      <w:tr w:rsidR="00664900" w:rsidRPr="00CC5C68" w14:paraId="305A5C7C" w14:textId="77777777" w:rsidTr="2A933081">
        <w:trPr>
          <w:trHeight w:val="272"/>
        </w:trPr>
        <w:tc>
          <w:tcPr>
            <w:tcW w:w="893" w:type="dxa"/>
            <w:vAlign w:val="center"/>
            <w:hideMark/>
          </w:tcPr>
          <w:p w14:paraId="7254A2EE" w14:textId="77777777" w:rsidR="00664900" w:rsidRPr="00CC5C68" w:rsidRDefault="00664900" w:rsidP="003B1880">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Aprobó:</w:t>
            </w:r>
          </w:p>
        </w:tc>
        <w:tc>
          <w:tcPr>
            <w:tcW w:w="4777" w:type="dxa"/>
            <w:vAlign w:val="center"/>
            <w:hideMark/>
          </w:tcPr>
          <w:p w14:paraId="33FB72C2" w14:textId="77777777" w:rsidR="00664900" w:rsidRPr="00CC5C68" w:rsidRDefault="00664900" w:rsidP="003B1880">
            <w:pPr>
              <w:rPr>
                <w:rFonts w:ascii="Verdana" w:eastAsia="Times New Roman" w:hAnsi="Verdana" w:cs="Arial"/>
                <w:sz w:val="16"/>
                <w:szCs w:val="16"/>
                <w:lang w:eastAsia="es-ES"/>
              </w:rPr>
            </w:pPr>
            <w:r w:rsidRPr="00CC5C68">
              <w:rPr>
                <w:rFonts w:ascii="Verdana" w:eastAsia="Times New Roman" w:hAnsi="Verdana" w:cs="Arial"/>
                <w:sz w:val="16"/>
                <w:szCs w:val="16"/>
                <w:lang w:eastAsia="es-ES"/>
              </w:rPr>
              <w:t>Carolina Quintero Gacharná</w:t>
            </w:r>
          </w:p>
          <w:p w14:paraId="506E3E56" w14:textId="77777777" w:rsidR="00664900" w:rsidRPr="00CC5C68" w:rsidRDefault="00664900" w:rsidP="003B1880">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Subdirectora de Gestión Contractual ANCP – CCE</w:t>
            </w:r>
          </w:p>
        </w:tc>
      </w:tr>
    </w:tbl>
    <w:p w14:paraId="159AC276" w14:textId="77777777" w:rsidR="00664900" w:rsidRPr="00CC5C68" w:rsidRDefault="00664900" w:rsidP="00664900">
      <w:pPr>
        <w:spacing w:after="0" w:line="276" w:lineRule="auto"/>
        <w:jc w:val="both"/>
        <w:rPr>
          <w:rFonts w:ascii="Verdana" w:eastAsia="Times New Roman" w:hAnsi="Verdana" w:cs="Arial"/>
          <w:lang w:val="es-ES_tradnl"/>
        </w:rPr>
      </w:pPr>
    </w:p>
    <w:p w14:paraId="6D22F24B" w14:textId="77777777" w:rsidR="00664900" w:rsidRPr="00CC5C68" w:rsidRDefault="00664900" w:rsidP="00664900">
      <w:pPr>
        <w:spacing w:after="0" w:line="240" w:lineRule="auto"/>
        <w:rPr>
          <w:rFonts w:ascii="Verdana" w:eastAsia="Times New Roman" w:hAnsi="Verdana" w:cs="Arial"/>
          <w:sz w:val="24"/>
          <w:szCs w:val="24"/>
          <w:lang w:eastAsia="es-ES_tradnl"/>
        </w:rPr>
      </w:pPr>
    </w:p>
    <w:p w14:paraId="70B627BF" w14:textId="77777777" w:rsidR="00664900" w:rsidRPr="00CC5C68" w:rsidRDefault="00664900" w:rsidP="00664900">
      <w:pPr>
        <w:rPr>
          <w:rFonts w:ascii="Verdana" w:hAnsi="Verdana"/>
        </w:rPr>
      </w:pPr>
    </w:p>
    <w:p w14:paraId="171FB802" w14:textId="77777777" w:rsidR="00664900" w:rsidRPr="002A2C48" w:rsidRDefault="00664900" w:rsidP="00664900"/>
    <w:p w14:paraId="52428FC3" w14:textId="20CFA714" w:rsidR="00664900" w:rsidRPr="00DE435A" w:rsidRDefault="00664900" w:rsidP="00664900">
      <w:pPr>
        <w:widowControl w:val="0"/>
        <w:autoSpaceDE w:val="0"/>
        <w:autoSpaceDN w:val="0"/>
        <w:spacing w:after="0" w:line="276" w:lineRule="auto"/>
        <w:jc w:val="both"/>
        <w:rPr>
          <w:lang w:val="es-ES"/>
        </w:rPr>
      </w:pPr>
    </w:p>
    <w:sectPr w:rsidR="00664900" w:rsidRPr="00DE435A"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1FABD" w14:textId="77777777" w:rsidR="00CC4343" w:rsidRDefault="00CC4343" w:rsidP="004A1847">
      <w:pPr>
        <w:spacing w:after="0" w:line="240" w:lineRule="auto"/>
      </w:pPr>
      <w:r>
        <w:separator/>
      </w:r>
    </w:p>
  </w:endnote>
  <w:endnote w:type="continuationSeparator" w:id="0">
    <w:p w14:paraId="08194719" w14:textId="77777777" w:rsidR="00CC4343" w:rsidRDefault="00CC4343"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A8A25" w14:textId="77777777" w:rsidR="00CC4343" w:rsidRDefault="00CC4343" w:rsidP="004A1847">
      <w:pPr>
        <w:spacing w:after="0" w:line="240" w:lineRule="auto"/>
      </w:pPr>
      <w:r>
        <w:separator/>
      </w:r>
    </w:p>
  </w:footnote>
  <w:footnote w:type="continuationSeparator" w:id="0">
    <w:p w14:paraId="4041EA31" w14:textId="77777777" w:rsidR="00CC4343" w:rsidRDefault="00CC4343" w:rsidP="004A1847">
      <w:pPr>
        <w:spacing w:after="0" w:line="240" w:lineRule="auto"/>
      </w:pPr>
      <w:r>
        <w:continuationSeparator/>
      </w:r>
    </w:p>
  </w:footnote>
  <w:footnote w:id="1">
    <w:p w14:paraId="2F04B2F7" w14:textId="77777777" w:rsidR="0087031A" w:rsidRPr="00CA1F2A" w:rsidRDefault="0087031A" w:rsidP="00CD7324">
      <w:pPr>
        <w:spacing w:after="0" w:line="240" w:lineRule="auto"/>
        <w:ind w:firstLine="708"/>
        <w:jc w:val="both"/>
        <w:rPr>
          <w:rFonts w:ascii="Verdana" w:hAnsi="Verdana" w:cs="Arial"/>
          <w:sz w:val="16"/>
          <w:szCs w:val="16"/>
          <w:lang w:val="es-ES"/>
        </w:rPr>
      </w:pPr>
      <w:r w:rsidRPr="00CA1F2A">
        <w:rPr>
          <w:rStyle w:val="Refdenotaalpie"/>
          <w:rFonts w:ascii="Verdana" w:hAnsi="Verdana" w:cs="Arial"/>
          <w:sz w:val="16"/>
          <w:szCs w:val="16"/>
        </w:rPr>
        <w:footnoteRef/>
      </w:r>
      <w:r w:rsidRPr="00CA1F2A">
        <w:rPr>
          <w:rFonts w:ascii="Verdana" w:hAnsi="Verdana" w:cs="Arial"/>
          <w:sz w:val="16"/>
          <w:szCs w:val="16"/>
        </w:rPr>
        <w:t xml:space="preserve"> </w:t>
      </w:r>
      <w:r w:rsidRPr="00CA1F2A">
        <w:rPr>
          <w:rFonts w:ascii="Verdana" w:hAnsi="Verdana" w:cs="Arial"/>
          <w:sz w:val="16"/>
          <w:szCs w:val="16"/>
          <w:lang w:val="es-ES"/>
        </w:rPr>
        <w:t>En efecto, este enunciado normativo establece: “Se distinguen en cada contrato las cosas que son de su esencia, las que son de su naturaleza, y las puramente accidentales. Son de la esencia de un contrato aquellas cosas sin las cuales, o no produce efecto alguno, o degeneran en otro contrato diferente; son de la naturaleza de un contrato las que no siendo esenciales en él, se entienden pertenecerle, sin necesidad de una cláusula especial; y son accidentales a un contrato aquellas que ni esencial ni naturalmente le pertenecen, y que se le agregan por medio de cláusulas especiales”.</w:t>
      </w:r>
    </w:p>
    <w:p w14:paraId="62526793" w14:textId="1A396E3A" w:rsidR="0087031A" w:rsidRPr="00CA1F2A" w:rsidRDefault="002B5862" w:rsidP="0087031A">
      <w:pPr>
        <w:spacing w:after="0" w:line="240" w:lineRule="auto"/>
        <w:jc w:val="both"/>
        <w:rPr>
          <w:rFonts w:ascii="Verdana" w:hAnsi="Verdana" w:cs="Arial"/>
          <w:sz w:val="16"/>
          <w:szCs w:val="16"/>
          <w:lang w:val="es-ES"/>
        </w:rPr>
      </w:pPr>
      <w:r>
        <w:rPr>
          <w:rFonts w:ascii="Verdana" w:hAnsi="Verdana" w:cs="Arial"/>
          <w:sz w:val="16"/>
          <w:szCs w:val="16"/>
          <w:lang w:val="es-ES"/>
        </w:rPr>
        <w:tab/>
      </w:r>
    </w:p>
  </w:footnote>
  <w:footnote w:id="2">
    <w:p w14:paraId="0E5C54F0" w14:textId="77777777" w:rsidR="0087031A" w:rsidRPr="00CA1F2A" w:rsidRDefault="0087031A" w:rsidP="00CD7324">
      <w:pPr>
        <w:spacing w:after="0" w:line="240" w:lineRule="auto"/>
        <w:ind w:firstLine="708"/>
        <w:jc w:val="both"/>
        <w:rPr>
          <w:rFonts w:ascii="Verdana" w:hAnsi="Verdana" w:cs="Arial"/>
          <w:sz w:val="16"/>
          <w:szCs w:val="16"/>
          <w:lang w:val="es-ES"/>
        </w:rPr>
      </w:pPr>
      <w:r w:rsidRPr="00CA1F2A">
        <w:rPr>
          <w:rStyle w:val="Refdenotaalpie"/>
          <w:rFonts w:ascii="Verdana" w:hAnsi="Verdana" w:cs="Arial"/>
          <w:sz w:val="16"/>
          <w:szCs w:val="16"/>
        </w:rPr>
        <w:footnoteRef/>
      </w:r>
      <w:r w:rsidRPr="00CA1F2A">
        <w:rPr>
          <w:rFonts w:ascii="Verdana" w:hAnsi="Verdana" w:cs="Arial"/>
          <w:sz w:val="16"/>
          <w:szCs w:val="16"/>
        </w:rPr>
        <w:t xml:space="preserve"> </w:t>
      </w:r>
      <w:r w:rsidRPr="00CA1F2A">
        <w:rPr>
          <w:rFonts w:ascii="Verdana" w:hAnsi="Verdana" w:cs="Arial"/>
          <w:sz w:val="16"/>
          <w:szCs w:val="16"/>
          <w:lang w:val="es-ES"/>
        </w:rPr>
        <w:t>En efecto, el artículo 1.500 del Código Civil expresa: “El contrato es real cuando, para que sea perfecto, es necesaria la tradición de la cosa a que se refiere; es solemne cuando está sujeto a la observancia de ciertas formalidades especiales, de manera que sin ellas no produce ningún efecto civil; y es consensual cuando se perfecciona por el solo consentimiento”.</w:t>
      </w:r>
    </w:p>
    <w:p w14:paraId="07332933" w14:textId="77777777" w:rsidR="0087031A" w:rsidRPr="00CA1F2A" w:rsidRDefault="0087031A" w:rsidP="0087031A">
      <w:pPr>
        <w:spacing w:after="0" w:line="240" w:lineRule="auto"/>
        <w:jc w:val="both"/>
        <w:rPr>
          <w:rFonts w:ascii="Verdana" w:hAnsi="Verdana" w:cs="Arial"/>
          <w:sz w:val="16"/>
          <w:szCs w:val="16"/>
          <w:lang w:val="es-ES"/>
        </w:rPr>
      </w:pPr>
    </w:p>
  </w:footnote>
  <w:footnote w:id="3">
    <w:p w14:paraId="50C02ADF" w14:textId="77777777" w:rsidR="0087031A" w:rsidRPr="00CA1F2A" w:rsidRDefault="0087031A" w:rsidP="00CD7324">
      <w:pPr>
        <w:pStyle w:val="Textonotapie"/>
        <w:ind w:firstLine="708"/>
        <w:jc w:val="both"/>
        <w:rPr>
          <w:rFonts w:ascii="Verdana" w:hAnsi="Verdana" w:cs="Arial"/>
          <w:sz w:val="16"/>
          <w:szCs w:val="16"/>
          <w:lang w:val="es-ES"/>
        </w:rPr>
      </w:pPr>
      <w:r w:rsidRPr="00CA1F2A">
        <w:rPr>
          <w:rStyle w:val="Refdenotaalpie"/>
          <w:rFonts w:ascii="Verdana" w:hAnsi="Verdana" w:cs="Arial"/>
          <w:sz w:val="16"/>
          <w:szCs w:val="16"/>
        </w:rPr>
        <w:footnoteRef/>
      </w:r>
      <w:r w:rsidRPr="00CA1F2A">
        <w:rPr>
          <w:rFonts w:ascii="Verdana" w:hAnsi="Verdana" w:cs="Arial"/>
          <w:sz w:val="16"/>
          <w:szCs w:val="16"/>
        </w:rPr>
        <w:t xml:space="preserve"> </w:t>
      </w:r>
      <w:r w:rsidRPr="00CA1F2A">
        <w:rPr>
          <w:rFonts w:ascii="Verdana" w:hAnsi="Verdana" w:cs="Arial"/>
          <w:sz w:val="16"/>
          <w:szCs w:val="16"/>
          <w:lang w:val="es-ES"/>
        </w:rPr>
        <w:t>EXPÓSITO VÉLEZ, Juan Carlos. Forma y contenido del contrato estatal. Bogotá: Universidad Externado de Colombia, 2013. pp. 28-29.</w:t>
      </w:r>
    </w:p>
    <w:p w14:paraId="77398054" w14:textId="77777777" w:rsidR="0087031A" w:rsidRPr="00CA1F2A" w:rsidRDefault="0087031A" w:rsidP="0087031A">
      <w:pPr>
        <w:pStyle w:val="Textonotapie"/>
        <w:jc w:val="both"/>
        <w:rPr>
          <w:rFonts w:ascii="Verdana" w:hAnsi="Verdana" w:cs="Arial"/>
          <w:sz w:val="16"/>
          <w:szCs w:val="16"/>
          <w:lang w:val="es-ES"/>
        </w:rPr>
      </w:pPr>
    </w:p>
  </w:footnote>
  <w:footnote w:id="4">
    <w:p w14:paraId="73FD161E" w14:textId="0AD12484" w:rsidR="0087031A" w:rsidRPr="00CA1F2A" w:rsidRDefault="0087031A" w:rsidP="00CD7324">
      <w:pPr>
        <w:pStyle w:val="Textonotapie"/>
        <w:ind w:firstLine="708"/>
        <w:jc w:val="both"/>
        <w:rPr>
          <w:rFonts w:ascii="Verdana" w:hAnsi="Verdana" w:cs="Arial"/>
          <w:color w:val="000000" w:themeColor="text1"/>
          <w:sz w:val="16"/>
          <w:szCs w:val="16"/>
        </w:rPr>
      </w:pPr>
      <w:r w:rsidRPr="00CA1F2A">
        <w:rPr>
          <w:rStyle w:val="Refdenotaalpie"/>
          <w:rFonts w:ascii="Verdana" w:hAnsi="Verdana" w:cs="Arial"/>
          <w:sz w:val="16"/>
          <w:szCs w:val="16"/>
        </w:rPr>
        <w:footnoteRef/>
      </w:r>
      <w:r w:rsidRPr="00CA1F2A">
        <w:rPr>
          <w:rFonts w:ascii="Verdana" w:hAnsi="Verdana" w:cs="Arial"/>
          <w:color w:val="000000" w:themeColor="text1"/>
          <w:sz w:val="16"/>
          <w:szCs w:val="16"/>
        </w:rPr>
        <w:t xml:space="preserve"> </w:t>
      </w:r>
      <w:r w:rsidR="002B5862" w:rsidRPr="00CA1F2A">
        <w:rPr>
          <w:rFonts w:ascii="Verdana" w:hAnsi="Verdana" w:cs="Arial"/>
          <w:color w:val="000000" w:themeColor="text1"/>
          <w:sz w:val="16"/>
          <w:szCs w:val="16"/>
        </w:rPr>
        <w:t>CONSEJO DE ESTADO</w:t>
      </w:r>
      <w:r w:rsidRPr="00CA1F2A">
        <w:rPr>
          <w:rFonts w:ascii="Verdana" w:hAnsi="Verdana" w:cs="Arial"/>
          <w:color w:val="000000" w:themeColor="text1"/>
          <w:sz w:val="16"/>
          <w:szCs w:val="16"/>
        </w:rPr>
        <w:t>. Sección tercera. Sentencia del 10 de mayo de 2018. Exp. 41.186. C.P. Stella Conto Díaz del Castillo.</w:t>
      </w:r>
    </w:p>
    <w:p w14:paraId="4F4663A0" w14:textId="77777777" w:rsidR="0087031A" w:rsidRPr="00CA1F2A" w:rsidRDefault="0087031A" w:rsidP="0087031A">
      <w:pPr>
        <w:pStyle w:val="Textonotapie"/>
        <w:jc w:val="both"/>
        <w:rPr>
          <w:rFonts w:ascii="Verdana" w:hAnsi="Verdana" w:cs="Arial"/>
          <w:color w:val="000000" w:themeColor="text1"/>
          <w:sz w:val="16"/>
          <w:szCs w:val="16"/>
          <w:lang w:val="es-ES"/>
        </w:rPr>
      </w:pPr>
    </w:p>
  </w:footnote>
  <w:footnote w:id="5">
    <w:p w14:paraId="5A68CC29" w14:textId="4DA741CF" w:rsidR="0087031A" w:rsidRPr="00CA1F2A" w:rsidRDefault="0087031A" w:rsidP="00CD7324">
      <w:pPr>
        <w:pStyle w:val="Textonotapie"/>
        <w:ind w:firstLine="708"/>
        <w:jc w:val="both"/>
        <w:rPr>
          <w:rFonts w:ascii="Verdana" w:hAnsi="Verdana" w:cs="Arial"/>
          <w:iCs/>
          <w:sz w:val="16"/>
          <w:szCs w:val="16"/>
        </w:rPr>
      </w:pPr>
      <w:r w:rsidRPr="00CA1F2A">
        <w:rPr>
          <w:rStyle w:val="Refdenotaalpie"/>
          <w:rFonts w:ascii="Verdana" w:hAnsi="Verdana" w:cs="Arial"/>
          <w:sz w:val="16"/>
          <w:szCs w:val="16"/>
        </w:rPr>
        <w:footnoteRef/>
      </w:r>
      <w:r w:rsidRPr="00CA1F2A">
        <w:rPr>
          <w:rFonts w:ascii="Verdana" w:hAnsi="Verdana" w:cs="Arial"/>
          <w:sz w:val="16"/>
          <w:szCs w:val="16"/>
        </w:rPr>
        <w:t xml:space="preserve"> </w:t>
      </w:r>
      <w:r w:rsidRPr="00CA1F2A">
        <w:rPr>
          <w:rFonts w:ascii="Verdana" w:eastAsia="Calibri" w:hAnsi="Verdana" w:cs="Arial"/>
          <w:color w:val="000000"/>
          <w:sz w:val="16"/>
          <w:szCs w:val="16"/>
          <w:lang w:val="es-ES_tradnl" w:eastAsia="en-GB"/>
        </w:rPr>
        <w:t xml:space="preserve">A esta conclusión llegó la Sección Tercera del </w:t>
      </w:r>
      <w:r w:rsidR="002B5862" w:rsidRPr="00CA1F2A">
        <w:rPr>
          <w:rFonts w:ascii="Verdana" w:eastAsia="Calibri" w:hAnsi="Verdana" w:cs="Arial"/>
          <w:color w:val="000000"/>
          <w:sz w:val="16"/>
          <w:szCs w:val="16"/>
          <w:lang w:val="es-ES_tradnl" w:eastAsia="en-GB"/>
        </w:rPr>
        <w:t xml:space="preserve">CONSEJO DE ESTADO </w:t>
      </w:r>
      <w:r w:rsidRPr="00CA1F2A">
        <w:rPr>
          <w:rFonts w:ascii="Verdana" w:eastAsia="Calibri" w:hAnsi="Verdana" w:cs="Arial"/>
          <w:color w:val="000000"/>
          <w:sz w:val="16"/>
          <w:szCs w:val="16"/>
          <w:lang w:val="es-ES_tradnl" w:eastAsia="en-GB"/>
        </w:rPr>
        <w:t xml:space="preserve">en la sentencia del 12 de agosto de 2014, luego de distinguir los requisitos de perfeccionamiento respecto de los requisitos de ejecución de los contratos estatales. En tal oportunidad el órgano judicial se preguntó, dentro de las consideraciones, si la ausencia de registro presupuestal tenía como efecto que un contrato de prestación de servicios profesionales se considerara inexistente o viciado de nulidad absoluta. La respuesta del alto tribunal es que no se genera inexistencia ni vicio de nulidad absoluta, sino una eventual responsabilidad en los servidores públicos que incumplieron tal requisito presupuestal. </w:t>
      </w:r>
      <w:r w:rsidRPr="00CA1F2A">
        <w:rPr>
          <w:rFonts w:ascii="Verdana" w:hAnsi="Verdana" w:cs="Arial"/>
          <w:sz w:val="16"/>
          <w:szCs w:val="16"/>
          <w:lang w:val="es-ES"/>
        </w:rPr>
        <w:t xml:space="preserve">Consejo de Estado. Sección Tercera. Subsección C. Sentencia del 12 de agosto de 2014. Consejero Ponente: Enrique Gil Botero. Expediente: </w:t>
      </w:r>
      <w:r w:rsidRPr="00CA1F2A">
        <w:rPr>
          <w:rFonts w:ascii="Verdana" w:hAnsi="Verdana" w:cs="Arial"/>
          <w:iCs/>
          <w:sz w:val="16"/>
          <w:szCs w:val="16"/>
        </w:rPr>
        <w:t>28.565.</w:t>
      </w:r>
    </w:p>
    <w:p w14:paraId="016D3556" w14:textId="77777777" w:rsidR="0087031A" w:rsidRPr="00CA1F2A" w:rsidRDefault="0087031A" w:rsidP="0087031A">
      <w:pPr>
        <w:pStyle w:val="Textonotapie"/>
        <w:jc w:val="both"/>
        <w:rPr>
          <w:rFonts w:ascii="Verdana" w:hAnsi="Verdana" w:cs="Arial"/>
          <w:sz w:val="16"/>
          <w:szCs w:val="16"/>
          <w:lang w:val="es-ES"/>
        </w:rPr>
      </w:pPr>
    </w:p>
  </w:footnote>
  <w:footnote w:id="6">
    <w:p w14:paraId="55A3E20F" w14:textId="4F335671" w:rsidR="0087031A" w:rsidRPr="00CA1F2A" w:rsidRDefault="0087031A" w:rsidP="00CD7324">
      <w:pPr>
        <w:pStyle w:val="Textonotapie"/>
        <w:ind w:firstLine="708"/>
        <w:jc w:val="both"/>
        <w:rPr>
          <w:rFonts w:ascii="Verdana" w:hAnsi="Verdana" w:cs="Arial"/>
          <w:sz w:val="16"/>
          <w:szCs w:val="16"/>
          <w:lang w:val="es-ES"/>
        </w:rPr>
      </w:pPr>
      <w:r w:rsidRPr="00CA1F2A">
        <w:rPr>
          <w:rStyle w:val="Refdenotaalpie"/>
          <w:rFonts w:ascii="Verdana" w:hAnsi="Verdana"/>
          <w:sz w:val="16"/>
          <w:szCs w:val="16"/>
        </w:rPr>
        <w:footnoteRef/>
      </w:r>
      <w:r w:rsidRPr="00CA1F2A">
        <w:rPr>
          <w:rFonts w:ascii="Verdana" w:hAnsi="Verdana"/>
          <w:sz w:val="16"/>
          <w:szCs w:val="16"/>
        </w:rPr>
        <w:t xml:space="preserve"> </w:t>
      </w:r>
      <w:r w:rsidR="002B5862" w:rsidRPr="00CA1F2A">
        <w:rPr>
          <w:rFonts w:ascii="Verdana" w:hAnsi="Verdana" w:cs="Arial"/>
          <w:sz w:val="16"/>
          <w:szCs w:val="16"/>
          <w:lang w:val="es-ES"/>
        </w:rPr>
        <w:t>CONSEJO DE ESTADO</w:t>
      </w:r>
      <w:r w:rsidRPr="00CA1F2A">
        <w:rPr>
          <w:rFonts w:ascii="Verdana" w:hAnsi="Verdana" w:cs="Arial"/>
          <w:sz w:val="16"/>
          <w:szCs w:val="16"/>
          <w:lang w:val="es-ES"/>
        </w:rPr>
        <w:t>. Sección Tercera. Subsección B. Sentencia del 3 de abril de 2020. Consejero Ponente: Ramiro Pazos Guerrero. Expediente: 46.963.</w:t>
      </w:r>
    </w:p>
    <w:p w14:paraId="0B242DAC" w14:textId="77777777" w:rsidR="0087031A" w:rsidRPr="00CA1F2A" w:rsidRDefault="0087031A" w:rsidP="0087031A">
      <w:pPr>
        <w:pStyle w:val="Textonotapie"/>
        <w:jc w:val="both"/>
        <w:rPr>
          <w:rFonts w:ascii="Verdana" w:hAnsi="Verdana"/>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770E7ECD">
          <wp:simplePos x="0" y="0"/>
          <wp:positionH relativeFrom="margin">
            <wp:align>center</wp:align>
          </wp:positionH>
          <wp:positionV relativeFrom="paragraph">
            <wp:posOffset>-138611</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6543F162" w14:textId="77777777" w:rsidR="002B5862" w:rsidRDefault="002B5862">
    <w:pPr>
      <w:pStyle w:val="Encabezado"/>
    </w:pPr>
  </w:p>
  <w:p w14:paraId="4711D484" w14:textId="77777777" w:rsidR="002B5862" w:rsidRDefault="002B5862">
    <w:pPr>
      <w:pStyle w:val="Encabezado"/>
    </w:pPr>
  </w:p>
  <w:p w14:paraId="3D79C711" w14:textId="77777777" w:rsidR="002B5862" w:rsidRDefault="002B586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65pt;height:10.6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CC34153"/>
    <w:multiLevelType w:val="hybridMultilevel"/>
    <w:tmpl w:val="31EEC6C4"/>
    <w:lvl w:ilvl="0" w:tplc="8632B054">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1380713882">
    <w:abstractNumId w:val="0"/>
  </w:num>
  <w:num w:numId="17" w16cid:durableId="1982299905">
    <w:abstractNumId w:val="16"/>
  </w:num>
  <w:num w:numId="18" w16cid:durableId="691802391">
    <w:abstractNumId w:val="10"/>
  </w:num>
  <w:num w:numId="19" w16cid:durableId="3387742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1BC5"/>
    <w:rsid w:val="00027730"/>
    <w:rsid w:val="00046945"/>
    <w:rsid w:val="00061B2A"/>
    <w:rsid w:val="000656DE"/>
    <w:rsid w:val="0007444E"/>
    <w:rsid w:val="00082362"/>
    <w:rsid w:val="000A683E"/>
    <w:rsid w:val="000B19B9"/>
    <w:rsid w:val="000D0334"/>
    <w:rsid w:val="000F6486"/>
    <w:rsid w:val="00107C06"/>
    <w:rsid w:val="00125105"/>
    <w:rsid w:val="00127233"/>
    <w:rsid w:val="001511A0"/>
    <w:rsid w:val="001A7ADC"/>
    <w:rsid w:val="001B0A93"/>
    <w:rsid w:val="001D53F6"/>
    <w:rsid w:val="001E4177"/>
    <w:rsid w:val="001F7DC6"/>
    <w:rsid w:val="00237609"/>
    <w:rsid w:val="002421BB"/>
    <w:rsid w:val="00244237"/>
    <w:rsid w:val="0025796E"/>
    <w:rsid w:val="00261338"/>
    <w:rsid w:val="002707A2"/>
    <w:rsid w:val="002951A0"/>
    <w:rsid w:val="002962BC"/>
    <w:rsid w:val="002965E2"/>
    <w:rsid w:val="002A093D"/>
    <w:rsid w:val="002A0DD0"/>
    <w:rsid w:val="002A47A6"/>
    <w:rsid w:val="002A49AC"/>
    <w:rsid w:val="002A64FD"/>
    <w:rsid w:val="002B5862"/>
    <w:rsid w:val="002C5070"/>
    <w:rsid w:val="002C7A84"/>
    <w:rsid w:val="002E4FD9"/>
    <w:rsid w:val="00322A85"/>
    <w:rsid w:val="00324168"/>
    <w:rsid w:val="0033493C"/>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F21C4"/>
    <w:rsid w:val="004F685F"/>
    <w:rsid w:val="00510130"/>
    <w:rsid w:val="005566E8"/>
    <w:rsid w:val="005637B7"/>
    <w:rsid w:val="00567A42"/>
    <w:rsid w:val="00574867"/>
    <w:rsid w:val="00591460"/>
    <w:rsid w:val="005B3816"/>
    <w:rsid w:val="005C3777"/>
    <w:rsid w:val="005C5CDC"/>
    <w:rsid w:val="005D476C"/>
    <w:rsid w:val="005D639B"/>
    <w:rsid w:val="005E2F1D"/>
    <w:rsid w:val="006219F8"/>
    <w:rsid w:val="00664900"/>
    <w:rsid w:val="00665D70"/>
    <w:rsid w:val="006663DD"/>
    <w:rsid w:val="006900D9"/>
    <w:rsid w:val="006E228F"/>
    <w:rsid w:val="00706C16"/>
    <w:rsid w:val="0073695B"/>
    <w:rsid w:val="00751B94"/>
    <w:rsid w:val="00756841"/>
    <w:rsid w:val="007649AB"/>
    <w:rsid w:val="00766E19"/>
    <w:rsid w:val="00771D0C"/>
    <w:rsid w:val="00773BB8"/>
    <w:rsid w:val="007833AC"/>
    <w:rsid w:val="007911EE"/>
    <w:rsid w:val="00795E3D"/>
    <w:rsid w:val="007B268C"/>
    <w:rsid w:val="007B7171"/>
    <w:rsid w:val="007C0C0F"/>
    <w:rsid w:val="007C3DC2"/>
    <w:rsid w:val="007E5497"/>
    <w:rsid w:val="00806F5F"/>
    <w:rsid w:val="00820278"/>
    <w:rsid w:val="008623DE"/>
    <w:rsid w:val="00867F95"/>
    <w:rsid w:val="0087031A"/>
    <w:rsid w:val="0087082B"/>
    <w:rsid w:val="008766BF"/>
    <w:rsid w:val="00880A26"/>
    <w:rsid w:val="008843B6"/>
    <w:rsid w:val="00891928"/>
    <w:rsid w:val="008947AF"/>
    <w:rsid w:val="008A446D"/>
    <w:rsid w:val="008C3FEC"/>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047BF"/>
    <w:rsid w:val="00A122D3"/>
    <w:rsid w:val="00A17F13"/>
    <w:rsid w:val="00A20739"/>
    <w:rsid w:val="00A33C78"/>
    <w:rsid w:val="00A37F1F"/>
    <w:rsid w:val="00A52432"/>
    <w:rsid w:val="00AB0ADB"/>
    <w:rsid w:val="00AE025B"/>
    <w:rsid w:val="00B01B1A"/>
    <w:rsid w:val="00B66319"/>
    <w:rsid w:val="00B72CD3"/>
    <w:rsid w:val="00B72FFF"/>
    <w:rsid w:val="00B73F90"/>
    <w:rsid w:val="00B74A3A"/>
    <w:rsid w:val="00BC3D36"/>
    <w:rsid w:val="00BD7F72"/>
    <w:rsid w:val="00C04FB3"/>
    <w:rsid w:val="00C330EB"/>
    <w:rsid w:val="00C41061"/>
    <w:rsid w:val="00C754BE"/>
    <w:rsid w:val="00C76B1C"/>
    <w:rsid w:val="00CB6357"/>
    <w:rsid w:val="00CC1B26"/>
    <w:rsid w:val="00CC4343"/>
    <w:rsid w:val="00CD7007"/>
    <w:rsid w:val="00CD7324"/>
    <w:rsid w:val="00D423A2"/>
    <w:rsid w:val="00D520D8"/>
    <w:rsid w:val="00D63AC2"/>
    <w:rsid w:val="00D7383B"/>
    <w:rsid w:val="00D9004D"/>
    <w:rsid w:val="00DA231B"/>
    <w:rsid w:val="00DC39FC"/>
    <w:rsid w:val="00DE435A"/>
    <w:rsid w:val="00DF5254"/>
    <w:rsid w:val="00E108B3"/>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3779B"/>
    <w:rsid w:val="00F462B3"/>
    <w:rsid w:val="00F5664F"/>
    <w:rsid w:val="00F666C4"/>
    <w:rsid w:val="00F76AFC"/>
    <w:rsid w:val="00FA47C0"/>
    <w:rsid w:val="00FB5DD1"/>
    <w:rsid w:val="00FC2B5D"/>
    <w:rsid w:val="00FF1449"/>
    <w:rsid w:val="165E9519"/>
    <w:rsid w:val="2A933081"/>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7031A"/>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7031A"/>
    <w:rPr>
      <w:rFonts w:ascii="Geomanist Light" w:hAnsi="Geomanist Light"/>
      <w:lang w:val="es-ES"/>
    </w:rPr>
  </w:style>
  <w:style w:type="paragraph" w:styleId="Textoindependiente">
    <w:name w:val="Body Text"/>
    <w:basedOn w:val="Normal"/>
    <w:link w:val="TextoindependienteCar"/>
    <w:uiPriority w:val="1"/>
    <w:unhideWhenUsed/>
    <w:qFormat/>
    <w:rsid w:val="0087031A"/>
    <w:pPr>
      <w:spacing w:after="120"/>
    </w:pPr>
  </w:style>
  <w:style w:type="character" w:customStyle="1" w:styleId="TextoindependienteCar">
    <w:name w:val="Texto independiente Car"/>
    <w:basedOn w:val="Fuentedeprrafopredeter"/>
    <w:link w:val="Textoindependiente"/>
    <w:uiPriority w:val="1"/>
    <w:rsid w:val="0087031A"/>
  </w:style>
  <w:style w:type="table" w:customStyle="1" w:styleId="Tablaconcuadrcula1">
    <w:name w:val="Tabla con cuadrícula1"/>
    <w:basedOn w:val="Tablanormal"/>
    <w:next w:val="Tablaconcuadrcula"/>
    <w:uiPriority w:val="59"/>
    <w:rsid w:val="0066490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214086">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095517070">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ecretariasenado.gov.co/senado/basedoc/ley_0080_1993.html"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dsts2017@hotmail.com" TargetMode="External"/><Relationship Id="rId17"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 Type="http://schemas.openxmlformats.org/officeDocument/2006/relationships/customXml" Target="../customXml/item2.xml"/><Relationship Id="rId16" Type="http://schemas.openxmlformats.org/officeDocument/2006/relationships/hyperlink" Target="https://www.colombiacompra.gov.co/normativa-y-relatoria/documentos-tipo"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yver.mosquera@dsts.com.co" TargetMode="External"/><Relationship Id="rId5" Type="http://schemas.openxmlformats.org/officeDocument/2006/relationships/styles" Target="styles.xml"/><Relationship Id="rId15" Type="http://schemas.openxmlformats.org/officeDocument/2006/relationships/hyperlink" Target="https://formacionvirtual.colombiacompra.gov.co/mod/page/view.php?id=3718"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642C79C-AF50-46FB-8DBE-CD218F149B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15</Pages>
  <Words>5043</Words>
  <Characters>27741</Characters>
  <Application>Microsoft Office Word</Application>
  <DocSecurity>0</DocSecurity>
  <Lines>231</Lines>
  <Paragraphs>65</Paragraphs>
  <ScaleCrop>false</ScaleCrop>
  <Company/>
  <LinksUpToDate>false</LinksUpToDate>
  <CharactersWithSpaces>32719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2026-08-20T15:30:00Z</dcterms:created>
  <dcterms:modified xsi:type="dcterms:W3CDTF">2026-08-20T15:30:00Z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