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AFE0D" w14:textId="77777777" w:rsidR="00E72DCA" w:rsidRPr="00AF1555" w:rsidRDefault="00E72DCA" w:rsidP="00E72DCA">
      <w:pPr>
        <w:spacing w:after="0" w:line="240" w:lineRule="auto"/>
        <w:jc w:val="both"/>
        <w:rPr>
          <w:rFonts w:ascii="Verdana" w:eastAsia="Calibri" w:hAnsi="Verdana" w:cs="Arial"/>
          <w:b/>
          <w:color w:val="000000" w:themeColor="text1"/>
          <w:lang w:val="es-ES"/>
        </w:rPr>
      </w:pPr>
      <w:r>
        <w:rPr>
          <w:rFonts w:ascii="Verdana" w:eastAsia="Calibri" w:hAnsi="Verdana" w:cs="Arial"/>
          <w:b/>
          <w:color w:val="000000" w:themeColor="text1"/>
          <w:lang w:val="es-ES"/>
        </w:rPr>
        <w:t>EGCAP</w:t>
      </w:r>
      <w:r w:rsidRPr="00E95799">
        <w:rPr>
          <w:rFonts w:ascii="Verdana" w:eastAsia="Calibri" w:hAnsi="Verdana" w:cs="Arial"/>
          <w:b/>
          <w:color w:val="000000" w:themeColor="text1"/>
          <w:lang w:val="es-ES"/>
        </w:rPr>
        <w:t xml:space="preserve"> – </w:t>
      </w:r>
      <w:r>
        <w:rPr>
          <w:rFonts w:ascii="Verdana" w:eastAsia="Calibri" w:hAnsi="Verdana" w:cs="Arial"/>
          <w:b/>
          <w:color w:val="000000" w:themeColor="text1"/>
          <w:lang w:val="es-ES"/>
        </w:rPr>
        <w:t>Ámbito de aplicación</w:t>
      </w:r>
      <w:r w:rsidRPr="00E95799">
        <w:rPr>
          <w:rFonts w:ascii="Verdana" w:eastAsia="Calibri" w:hAnsi="Verdana" w:cs="Arial"/>
          <w:b/>
          <w:color w:val="000000" w:themeColor="text1"/>
          <w:lang w:val="es-ES"/>
        </w:rPr>
        <w:t xml:space="preserve"> – </w:t>
      </w:r>
      <w:r>
        <w:rPr>
          <w:rFonts w:ascii="Verdana" w:eastAsia="Calibri" w:hAnsi="Verdana" w:cs="Arial"/>
          <w:b/>
          <w:color w:val="000000" w:themeColor="text1"/>
          <w:lang w:val="es-ES"/>
        </w:rPr>
        <w:t>Entidades estatales</w:t>
      </w:r>
      <w:r w:rsidRPr="00AF1555">
        <w:rPr>
          <w:rFonts w:ascii="Verdana" w:eastAsia="Calibri" w:hAnsi="Verdana" w:cs="Arial"/>
          <w:b/>
          <w:color w:val="000000" w:themeColor="text1"/>
          <w:lang w:val="es-ES"/>
        </w:rPr>
        <w:t xml:space="preserve"> </w:t>
      </w:r>
    </w:p>
    <w:p w14:paraId="3B50FA96" w14:textId="77777777" w:rsidR="00E72DCA" w:rsidRPr="00AF1555" w:rsidRDefault="00E72DCA" w:rsidP="00E72DCA">
      <w:pPr>
        <w:spacing w:after="0" w:line="240" w:lineRule="auto"/>
        <w:jc w:val="both"/>
        <w:rPr>
          <w:rFonts w:ascii="Verdana" w:eastAsia="Calibri" w:hAnsi="Verdana" w:cs="Arial"/>
          <w:bCs/>
          <w:color w:val="000000" w:themeColor="text1"/>
          <w:sz w:val="20"/>
          <w:szCs w:val="20"/>
          <w:lang w:val="es-ES"/>
        </w:rPr>
      </w:pPr>
    </w:p>
    <w:p w14:paraId="2CAA195F" w14:textId="77777777" w:rsidR="00E72DCA" w:rsidRDefault="00E72DCA" w:rsidP="00E72DCA">
      <w:pPr>
        <w:spacing w:after="0" w:line="240" w:lineRule="auto"/>
        <w:jc w:val="both"/>
        <w:rPr>
          <w:rFonts w:ascii="Verdana" w:eastAsia="Calibri" w:hAnsi="Verdana" w:cs="Arial"/>
          <w:bCs/>
          <w:color w:val="000000" w:themeColor="text1"/>
          <w:sz w:val="20"/>
          <w:szCs w:val="20"/>
          <w:lang w:val="es-ES" w:eastAsia="es-ES_tradnl"/>
        </w:rPr>
      </w:pPr>
      <w:r w:rsidRPr="0006328C">
        <w:rPr>
          <w:rFonts w:ascii="Verdana" w:eastAsia="Calibri" w:hAnsi="Verdana" w:cs="Arial"/>
          <w:bCs/>
          <w:color w:val="000000" w:themeColor="text1"/>
          <w:sz w:val="20"/>
          <w:szCs w:val="20"/>
          <w:lang w:val="es-ES" w:eastAsia="es-ES_tradnl"/>
        </w:rPr>
        <w:t xml:space="preserve">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w:t>
      </w:r>
      <w:r w:rsidRPr="0006328C">
        <w:rPr>
          <w:rFonts w:ascii="Verdana" w:eastAsia="Calibri" w:hAnsi="Verdana" w:cs="Arial"/>
          <w:bCs/>
          <w:i/>
          <w:iCs/>
          <w:color w:val="000000" w:themeColor="text1"/>
          <w:sz w:val="20"/>
          <w:szCs w:val="20"/>
          <w:lang w:val="es-ES" w:eastAsia="es-ES_tradnl"/>
        </w:rPr>
        <w:t>entidades estatales</w:t>
      </w:r>
      <w:r w:rsidRPr="0006328C">
        <w:rPr>
          <w:rFonts w:ascii="Verdana" w:eastAsia="Calibri" w:hAnsi="Verdana" w:cs="Arial"/>
          <w:bCs/>
          <w:color w:val="000000" w:themeColor="text1"/>
          <w:sz w:val="20"/>
          <w:szCs w:val="20"/>
          <w:lang w:val="es-ES" w:eastAsia="es-ES_tradnl"/>
        </w:rPr>
        <w:t xml:space="preserve">, esto es, aquellas previstas en los literales a) y b) del numeral 1 del artículo 2 </w:t>
      </w:r>
      <w:r w:rsidRPr="0006328C">
        <w:rPr>
          <w:rFonts w:ascii="Verdana" w:eastAsia="Calibri" w:hAnsi="Verdana" w:cs="Arial"/>
          <w:bCs/>
          <w:i/>
          <w:iCs/>
          <w:color w:val="000000" w:themeColor="text1"/>
          <w:sz w:val="20"/>
          <w:szCs w:val="20"/>
          <w:lang w:val="es-ES" w:eastAsia="es-ES_tradnl"/>
        </w:rPr>
        <w:t>ibidem</w:t>
      </w:r>
      <w:r w:rsidRPr="0006328C">
        <w:rPr>
          <w:rFonts w:ascii="Verdana" w:eastAsia="Calibri" w:hAnsi="Verdana" w:cs="Arial"/>
          <w:bCs/>
          <w:color w:val="000000" w:themeColor="text1"/>
          <w:sz w:val="20"/>
          <w:szCs w:val="20"/>
          <w:lang w:val="es-ES" w:eastAsia="es-ES_tradnl"/>
        </w:rPr>
        <w:t xml:space="preserve">. La norma citada define la competencia contractual en los siguientes términos: </w:t>
      </w:r>
    </w:p>
    <w:p w14:paraId="149C12ED" w14:textId="77777777" w:rsidR="00E72DCA" w:rsidRPr="0006328C" w:rsidRDefault="00E72DCA" w:rsidP="00E72DCA">
      <w:pPr>
        <w:spacing w:after="0" w:line="240" w:lineRule="auto"/>
        <w:jc w:val="both"/>
        <w:rPr>
          <w:rFonts w:ascii="Verdana" w:eastAsia="Calibri" w:hAnsi="Verdana" w:cs="Arial"/>
          <w:bCs/>
          <w:color w:val="000000" w:themeColor="text1"/>
          <w:sz w:val="20"/>
          <w:szCs w:val="20"/>
          <w:lang w:val="es-ES" w:eastAsia="es-ES_tradnl"/>
        </w:rPr>
      </w:pPr>
    </w:p>
    <w:p w14:paraId="428ED787" w14:textId="77777777" w:rsidR="00E72DCA" w:rsidRPr="00604392" w:rsidRDefault="00E72DCA" w:rsidP="00E72DCA">
      <w:pPr>
        <w:spacing w:after="0" w:line="240" w:lineRule="auto"/>
        <w:jc w:val="both"/>
        <w:rPr>
          <w:rFonts w:ascii="Verdana" w:eastAsia="Calibri" w:hAnsi="Verdana" w:cs="Arial"/>
          <w:bCs/>
          <w:color w:val="000000" w:themeColor="text1"/>
          <w:sz w:val="20"/>
          <w:szCs w:val="20"/>
          <w:lang w:val="es-ES" w:eastAsia="es-ES_tradnl"/>
        </w:rPr>
      </w:pPr>
      <w:r w:rsidRPr="0006328C">
        <w:rPr>
          <w:rFonts w:ascii="Verdana" w:eastAsia="Calibri" w:hAnsi="Verdana" w:cs="Arial"/>
          <w:bCs/>
          <w:color w:val="000000" w:themeColor="text1"/>
          <w:sz w:val="20"/>
          <w:szCs w:val="20"/>
          <w:lang w:val="es-ES" w:eastAsia="es-ES_tradnl"/>
        </w:rPr>
        <w:t xml:space="preserve">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w:t>
      </w:r>
    </w:p>
    <w:p w14:paraId="7CEF302E" w14:textId="77777777" w:rsidR="00E72DCA" w:rsidRPr="00EB0B5F" w:rsidRDefault="00E72DCA" w:rsidP="00E72DCA">
      <w:pPr>
        <w:spacing w:after="0" w:line="240" w:lineRule="auto"/>
        <w:jc w:val="both"/>
        <w:rPr>
          <w:rFonts w:ascii="Verdana" w:eastAsia="Calibri" w:hAnsi="Verdana" w:cs="Arial"/>
          <w:iCs/>
          <w:color w:val="000000" w:themeColor="text1"/>
          <w:sz w:val="20"/>
          <w:szCs w:val="20"/>
          <w:lang w:eastAsia="es-ES_tradnl"/>
        </w:rPr>
      </w:pPr>
    </w:p>
    <w:p w14:paraId="7F184241" w14:textId="77777777" w:rsidR="00E72DCA" w:rsidRPr="00396DBB" w:rsidRDefault="00E72DCA" w:rsidP="00E72DCA">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CONTRATACIÓN DIRECTA</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Ley 1150 de 2007 – Artículo 2.4 – Literal d) – Alcance   </w:t>
      </w:r>
      <w:r w:rsidRPr="00396DBB">
        <w:rPr>
          <w:rFonts w:ascii="Verdana" w:eastAsia="Calibri" w:hAnsi="Verdana" w:cs="Arial"/>
          <w:b/>
          <w:color w:val="000000" w:themeColor="text1"/>
          <w:lang w:val="es-ES_tradnl"/>
        </w:rPr>
        <w:t xml:space="preserve"> </w:t>
      </w:r>
    </w:p>
    <w:p w14:paraId="60B2A6E1" w14:textId="77777777" w:rsidR="00E72DCA" w:rsidRPr="00396DBB" w:rsidRDefault="00E72DCA" w:rsidP="00E72DCA">
      <w:pPr>
        <w:spacing w:after="0" w:line="240" w:lineRule="auto"/>
        <w:jc w:val="both"/>
        <w:rPr>
          <w:rFonts w:ascii="Verdana" w:eastAsia="Calibri" w:hAnsi="Verdana" w:cs="Arial"/>
          <w:bCs/>
          <w:color w:val="000000" w:themeColor="text1"/>
          <w:sz w:val="20"/>
          <w:szCs w:val="20"/>
          <w:lang w:val="es-ES_tradnl"/>
        </w:rPr>
      </w:pPr>
    </w:p>
    <w:p w14:paraId="40B8FBE7" w14:textId="77777777" w:rsidR="00E72DCA" w:rsidRDefault="00E72DCA" w:rsidP="00E72DCA">
      <w:pPr>
        <w:spacing w:after="0" w:line="240" w:lineRule="auto"/>
        <w:jc w:val="both"/>
        <w:rPr>
          <w:rFonts w:ascii="Verdana" w:hAnsi="Verdana" w:cs="Arial"/>
          <w:color w:val="000000" w:themeColor="text1"/>
          <w:sz w:val="20"/>
          <w:szCs w:val="20"/>
          <w:lang w:val="es-ES"/>
        </w:rPr>
      </w:pPr>
      <w:r>
        <w:rPr>
          <w:rFonts w:ascii="Verdana" w:hAnsi="Verdana" w:cs="Arial"/>
          <w:color w:val="000000" w:themeColor="text1"/>
          <w:sz w:val="20"/>
          <w:szCs w:val="20"/>
          <w:lang w:val="es-ES"/>
        </w:rPr>
        <w:t>El</w:t>
      </w:r>
      <w:r w:rsidRPr="00604392">
        <w:rPr>
          <w:rFonts w:ascii="Verdana" w:hAnsi="Verdana" w:cs="Arial"/>
          <w:color w:val="000000" w:themeColor="text1"/>
          <w:sz w:val="20"/>
          <w:szCs w:val="20"/>
          <w:lang w:val="es-ES"/>
        </w:rPr>
        <w:t xml:space="preserve"> literal d) del artículo 2.4 de la Ley 1150 de 2007 permite la selección directa tratándose de la contratación de bienes y servicios en el sector defensa, que necesiten reserva para su adquisición. Dichas causales se sujetan al cumplimiento de dos (2) requisitos: uno de carácter orgánico y otro de carácter material. Por un lado, los bienes o servicios deben ser adquiridos por entidades del sector defensa y, por otro, su adquisición debe ser reservada.</w:t>
      </w:r>
    </w:p>
    <w:p w14:paraId="13A4918E" w14:textId="77777777" w:rsidR="00E72DCA" w:rsidRPr="00604392" w:rsidRDefault="00E72DCA" w:rsidP="00E72DCA">
      <w:pPr>
        <w:spacing w:after="0" w:line="240" w:lineRule="auto"/>
        <w:jc w:val="both"/>
        <w:rPr>
          <w:rFonts w:ascii="Verdana" w:hAnsi="Verdana" w:cs="Arial"/>
          <w:color w:val="000000" w:themeColor="text1"/>
          <w:sz w:val="20"/>
          <w:szCs w:val="20"/>
          <w:lang w:val="es-ES"/>
        </w:rPr>
      </w:pPr>
    </w:p>
    <w:p w14:paraId="2B70B6C0" w14:textId="77777777" w:rsidR="00E72DCA" w:rsidRPr="006A61B6" w:rsidRDefault="00E72DCA" w:rsidP="00E72DCA">
      <w:pPr>
        <w:spacing w:after="0" w:line="240" w:lineRule="auto"/>
        <w:jc w:val="both"/>
        <w:rPr>
          <w:rFonts w:ascii="Verdana" w:hAnsi="Verdana" w:cs="Arial"/>
          <w:bCs/>
          <w:color w:val="000000" w:themeColor="text1"/>
          <w:sz w:val="20"/>
          <w:szCs w:val="20"/>
          <w:lang w:val="es-ES_tradnl"/>
        </w:rPr>
      </w:pPr>
      <w:r w:rsidRPr="00604392">
        <w:rPr>
          <w:rFonts w:ascii="Verdana" w:hAnsi="Verdana" w:cs="Arial"/>
          <w:color w:val="000000" w:themeColor="text1"/>
          <w:sz w:val="20"/>
          <w:szCs w:val="20"/>
          <w:lang w:val="es-ES"/>
        </w:rPr>
        <w:t>Como indica el artículo 2.2.1.2.1.4.6 del Decreto 1082 de 2015, “Las Entidades Estatales no están obligadas a publicar los Documentos del Proceso para adquirir bienes y servicios en el Sector Defensa, la Dirección Nacional de Inteligencia y la Unidad Nacional de Protección que requieren reserva. En estos procesos de contratación la adquisición debe hacerse en condiciones de mercado sin que sea necesario recibir varias ofertas”. Por tanto, si no coexisten los requisitos de carácter orgánico y material en las condiciones que se explican en el presente oficio, deben privilegiarse los procedimientos de selección con pluralidad de oferentes, especialmente, cuando la contratación directa es excepcional y, por tanto, las causales son de interpretación estricta.</w:t>
      </w:r>
    </w:p>
    <w:p w14:paraId="1E1FA624" w14:textId="77777777" w:rsidR="00E72DCA" w:rsidRPr="00EB0B5F" w:rsidRDefault="00E72DCA" w:rsidP="00E72DCA">
      <w:pPr>
        <w:spacing w:after="0" w:line="240" w:lineRule="auto"/>
        <w:jc w:val="both"/>
        <w:rPr>
          <w:rFonts w:ascii="Verdana" w:eastAsia="Calibri" w:hAnsi="Verdana" w:cs="Arial"/>
          <w:iCs/>
          <w:color w:val="000000" w:themeColor="text1"/>
          <w:sz w:val="20"/>
          <w:szCs w:val="20"/>
          <w:lang w:eastAsia="es-ES_tradnl"/>
        </w:rPr>
      </w:pPr>
    </w:p>
    <w:p w14:paraId="3F356402" w14:textId="77777777" w:rsidR="00E72DCA" w:rsidRPr="00396DBB" w:rsidRDefault="00E72DCA" w:rsidP="00E72DCA">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SECTOR DEFENSA</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Estructura – Entidades adscritas – Entidades vinculadas   </w:t>
      </w:r>
      <w:r w:rsidRPr="00396DBB">
        <w:rPr>
          <w:rFonts w:ascii="Verdana" w:eastAsia="Calibri" w:hAnsi="Verdana" w:cs="Arial"/>
          <w:b/>
          <w:color w:val="000000" w:themeColor="text1"/>
          <w:lang w:val="es-ES_tradnl"/>
        </w:rPr>
        <w:t xml:space="preserve"> </w:t>
      </w:r>
    </w:p>
    <w:p w14:paraId="7E4A6BA7" w14:textId="77777777" w:rsidR="00E72DCA" w:rsidRPr="00396DBB" w:rsidRDefault="00E72DCA" w:rsidP="00E72DCA">
      <w:pPr>
        <w:spacing w:after="0" w:line="240" w:lineRule="auto"/>
        <w:jc w:val="both"/>
        <w:rPr>
          <w:rFonts w:ascii="Verdana" w:eastAsia="Calibri" w:hAnsi="Verdana" w:cs="Arial"/>
          <w:bCs/>
          <w:color w:val="000000" w:themeColor="text1"/>
          <w:sz w:val="20"/>
          <w:szCs w:val="20"/>
          <w:lang w:val="es-ES_tradnl"/>
        </w:rPr>
      </w:pPr>
    </w:p>
    <w:p w14:paraId="0810D816" w14:textId="77777777" w:rsidR="00E72DCA" w:rsidRDefault="00E72DCA" w:rsidP="00E72DCA">
      <w:pPr>
        <w:spacing w:after="0" w:line="240" w:lineRule="auto"/>
        <w:jc w:val="both"/>
        <w:rPr>
          <w:rFonts w:ascii="Verdana" w:hAnsi="Verdana" w:cs="Arial"/>
          <w:color w:val="000000" w:themeColor="text1"/>
          <w:sz w:val="20"/>
          <w:szCs w:val="20"/>
        </w:rPr>
      </w:pPr>
      <w:r w:rsidRPr="00AF6312">
        <w:rPr>
          <w:rFonts w:ascii="Verdana" w:hAnsi="Verdana" w:cs="Arial"/>
          <w:color w:val="000000" w:themeColor="text1"/>
          <w:sz w:val="20"/>
          <w:szCs w:val="20"/>
        </w:rPr>
        <w:t xml:space="preserve">Respecto a la estructura administrativa del sector de defensa nacional, el Decreto 1070 de 2015 ubica al ministerio respectivo como cabeza del mismo –artículo 1.1.1.1–. Al ministerio se encuentran adscritas la Superintendencia de Vigilancia y Seguridad Privada –artículo 1.2.1.1.1–; la Caja de Retiro de las Fuerzas Militares, la Caja de Sueldos de </w:t>
      </w:r>
      <w:r w:rsidRPr="00AF6312">
        <w:rPr>
          <w:rFonts w:ascii="Verdana" w:hAnsi="Verdana" w:cs="Arial"/>
          <w:color w:val="000000" w:themeColor="text1"/>
          <w:sz w:val="20"/>
          <w:szCs w:val="20"/>
        </w:rPr>
        <w:lastRenderedPageBreak/>
        <w:t>Retiro de la Policía Nacional, el Hospital Militar Central, la Agencia Logística de las Fuerzas Militares, el Fondo Rotatorio de la Policía Nacional, el Instituto de Casas Fiscales del Ejército, el Club Militar, y la Defensa Civil Colombiana –artículo 1.2.1.2.1–. También están vinculadas la Industria Militar y la Caja Promotora de Vivienda Militar y de Policía –artículo 1.2.2.1.1–; el Servicio Aéreo a Territorios Nacionales S.A, la Corporación de la Industria Aeronáutica Colombiana S.A y la Sociedad Hotelera S.A –artículo 1.2.2.2.1–; así como la Corporación de Ciencia y Tecnología para el Desarrollo de la Industria Naval, Marítima y Fluvial y la Corporación de Alta Tecnología para la Defensa –artículo 1.2.3.1–</w:t>
      </w:r>
    </w:p>
    <w:p w14:paraId="093E858F" w14:textId="77777777" w:rsidR="00E72DCA" w:rsidRPr="00AF6312" w:rsidRDefault="00E72DCA" w:rsidP="00E72DCA">
      <w:pPr>
        <w:spacing w:after="0" w:line="240" w:lineRule="auto"/>
        <w:jc w:val="both"/>
        <w:rPr>
          <w:rFonts w:ascii="Verdana" w:hAnsi="Verdana" w:cs="Arial"/>
          <w:color w:val="000000" w:themeColor="text1"/>
          <w:sz w:val="20"/>
          <w:szCs w:val="20"/>
        </w:rPr>
      </w:pPr>
    </w:p>
    <w:p w14:paraId="3E966FF4" w14:textId="77777777" w:rsidR="00E72DCA" w:rsidRDefault="00E72DCA" w:rsidP="00E72DCA">
      <w:pPr>
        <w:spacing w:after="0" w:line="240" w:lineRule="auto"/>
        <w:jc w:val="both"/>
        <w:rPr>
          <w:rFonts w:ascii="Verdana" w:hAnsi="Verdana" w:cs="Arial"/>
          <w:color w:val="000000" w:themeColor="text1"/>
          <w:sz w:val="20"/>
          <w:szCs w:val="20"/>
        </w:rPr>
      </w:pPr>
      <w:r w:rsidRPr="00AF6312">
        <w:rPr>
          <w:rFonts w:ascii="Verdana" w:hAnsi="Verdana" w:cs="Arial"/>
          <w:color w:val="000000" w:themeColor="text1"/>
          <w:sz w:val="20"/>
          <w:szCs w:val="20"/>
        </w:rPr>
        <w:t xml:space="preserve">Sin perjuicio de lo regulado en el artículo 14 de la ley 1150 de 2007 sobre régimen del régimen contractual de las empresas industriales y comerciales del estado, las sociedades de economía mixta, sus filiales y empresas con participación mayoritaria del Estado, el artículo 16 </w:t>
      </w:r>
      <w:r w:rsidRPr="00AF6312">
        <w:rPr>
          <w:rFonts w:ascii="Verdana" w:hAnsi="Verdana" w:cs="Arial"/>
          <w:i/>
          <w:iCs/>
          <w:color w:val="000000" w:themeColor="text1"/>
          <w:sz w:val="20"/>
          <w:szCs w:val="20"/>
        </w:rPr>
        <w:t>ibidem</w:t>
      </w:r>
      <w:r w:rsidRPr="00AF6312">
        <w:rPr>
          <w:rFonts w:ascii="Verdana" w:hAnsi="Verdana" w:cs="Arial"/>
          <w:color w:val="000000" w:themeColor="text1"/>
          <w:sz w:val="20"/>
          <w:szCs w:val="20"/>
        </w:rPr>
        <w:t xml:space="preserve"> indica lo siguiente: “Los contratos que celebren </w:t>
      </w:r>
      <w:proofErr w:type="spellStart"/>
      <w:r w:rsidRPr="00AF6312">
        <w:rPr>
          <w:rFonts w:ascii="Verdana" w:hAnsi="Verdana" w:cs="Arial"/>
          <w:color w:val="000000" w:themeColor="text1"/>
          <w:sz w:val="20"/>
          <w:szCs w:val="20"/>
        </w:rPr>
        <w:t>Satena</w:t>
      </w:r>
      <w:proofErr w:type="spellEnd"/>
      <w:r w:rsidRPr="00AF6312">
        <w:rPr>
          <w:rFonts w:ascii="Verdana" w:hAnsi="Verdana" w:cs="Arial"/>
          <w:color w:val="000000" w:themeColor="text1"/>
          <w:sz w:val="20"/>
          <w:szCs w:val="20"/>
        </w:rPr>
        <w:t>, Indumil, El Hotel Tequendama, la Corporación de Ciencia y Tecnología para el desarrollo de la industria naval, marítima y fluvial –</w:t>
      </w:r>
      <w:proofErr w:type="spellStart"/>
      <w:r w:rsidRPr="00AF6312">
        <w:rPr>
          <w:rFonts w:ascii="Verdana" w:hAnsi="Verdana" w:cs="Arial"/>
          <w:color w:val="000000" w:themeColor="text1"/>
          <w:sz w:val="20"/>
          <w:szCs w:val="20"/>
        </w:rPr>
        <w:t>Cotecmar</w:t>
      </w:r>
      <w:proofErr w:type="spellEnd"/>
      <w:r w:rsidRPr="00AF6312">
        <w:rPr>
          <w:rFonts w:ascii="Verdana" w:hAnsi="Verdana" w:cs="Arial"/>
          <w:color w:val="000000" w:themeColor="text1"/>
          <w:sz w:val="20"/>
          <w:szCs w:val="20"/>
        </w:rPr>
        <w:t>– y la Corporación de la Industria Aeronáutica Colombiana –CIAC–, no estarán sujetos a las disposiciones del Estatuto General de Contratación de la Administración Pública y se regirán por las disposiciones legales y reglamentarias aplicables a su actividad”. Luego, la causal de contratación directa del literal d) del artículo 2.4 de la Ley 1150 de 2007 se circunscribe principalmente a las entidades del sector defensa regidas por la Ley 80 de 1993.</w:t>
      </w:r>
    </w:p>
    <w:p w14:paraId="2C51B58A" w14:textId="77777777" w:rsidR="00E72DCA" w:rsidRDefault="00E72DCA" w:rsidP="00E72DCA">
      <w:pPr>
        <w:spacing w:after="0" w:line="240" w:lineRule="auto"/>
        <w:jc w:val="both"/>
        <w:rPr>
          <w:rFonts w:ascii="Verdana" w:hAnsi="Verdana" w:cs="Arial"/>
          <w:color w:val="000000" w:themeColor="text1"/>
          <w:sz w:val="20"/>
          <w:szCs w:val="20"/>
          <w:lang w:val="es-ES"/>
        </w:rPr>
      </w:pPr>
    </w:p>
    <w:p w14:paraId="55AE3710" w14:textId="77777777" w:rsidR="00E72DCA" w:rsidRPr="00396DBB" w:rsidRDefault="00E72DCA" w:rsidP="00E72DCA">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SEGURIDAD Y DEFENSA NACIONAL</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 xml:space="preserve">Concepto jurídico indeterminado   </w:t>
      </w:r>
      <w:r w:rsidRPr="00396DBB">
        <w:rPr>
          <w:rFonts w:ascii="Verdana" w:eastAsia="Calibri" w:hAnsi="Verdana" w:cs="Arial"/>
          <w:b/>
          <w:color w:val="000000" w:themeColor="text1"/>
          <w:lang w:val="es-ES_tradnl"/>
        </w:rPr>
        <w:t xml:space="preserve"> </w:t>
      </w:r>
    </w:p>
    <w:p w14:paraId="1783490A" w14:textId="77777777" w:rsidR="00E72DCA" w:rsidRPr="00396DBB" w:rsidRDefault="00E72DCA" w:rsidP="00E72DCA">
      <w:pPr>
        <w:spacing w:after="0" w:line="240" w:lineRule="auto"/>
        <w:jc w:val="both"/>
        <w:rPr>
          <w:rFonts w:ascii="Verdana" w:eastAsia="Calibri" w:hAnsi="Verdana" w:cs="Arial"/>
          <w:bCs/>
          <w:color w:val="000000" w:themeColor="text1"/>
          <w:sz w:val="20"/>
          <w:szCs w:val="20"/>
          <w:lang w:val="es-ES_tradnl"/>
        </w:rPr>
      </w:pPr>
    </w:p>
    <w:p w14:paraId="2295D183" w14:textId="77777777" w:rsidR="00E72DCA" w:rsidRPr="006A61B6" w:rsidRDefault="00E72DCA" w:rsidP="00E72DCA">
      <w:pPr>
        <w:spacing w:after="0" w:line="240" w:lineRule="auto"/>
        <w:jc w:val="both"/>
        <w:rPr>
          <w:rFonts w:ascii="Verdana" w:hAnsi="Verdana" w:cs="Arial"/>
          <w:bCs/>
          <w:color w:val="000000" w:themeColor="text1"/>
          <w:sz w:val="20"/>
          <w:szCs w:val="20"/>
          <w:lang w:val="es-ES_tradnl"/>
        </w:rPr>
      </w:pPr>
      <w:r>
        <w:rPr>
          <w:rFonts w:ascii="Verdana" w:hAnsi="Verdana" w:cs="Arial"/>
          <w:color w:val="000000" w:themeColor="text1"/>
          <w:sz w:val="20"/>
          <w:szCs w:val="20"/>
          <w:lang w:val="es-ES"/>
        </w:rPr>
        <w:t>E</w:t>
      </w:r>
      <w:r w:rsidRPr="00AF6312">
        <w:rPr>
          <w:rFonts w:ascii="Verdana" w:hAnsi="Verdana" w:cs="Arial"/>
          <w:color w:val="000000" w:themeColor="text1"/>
          <w:sz w:val="20"/>
          <w:szCs w:val="20"/>
          <w:lang w:val="es-ES"/>
        </w:rPr>
        <w:t>s la necesidad de la reserva de los documentos del proceso la que habilita la causal de contratación directa para las entidades de sector defensa sometida al EGCAP. Dicha reserva por lo general se refiere a temas de defensa y seguridad nacional. Este concepto no tiene una definición legal en el Estatuto General de Contratación de la Administración Pública. En tal sentido, es un concepto jurídico indeterminado cuya noción se basa en la idea de que el Estado y sus autoridades tienen la responsabilidad de construir estrategias y realizar acciones para proteger a los ciudadanos, garantizar el orden público, el funcionamiento de las instituciones legítimamente constituidas y la soberanía sobre el territorio</w:t>
      </w:r>
      <w:r w:rsidRPr="00604392">
        <w:rPr>
          <w:rFonts w:ascii="Verdana" w:hAnsi="Verdana" w:cs="Arial"/>
          <w:color w:val="000000" w:themeColor="text1"/>
          <w:sz w:val="20"/>
          <w:szCs w:val="20"/>
          <w:lang w:val="es-ES"/>
        </w:rPr>
        <w:t>.</w:t>
      </w:r>
    </w:p>
    <w:p w14:paraId="68935000" w14:textId="77777777" w:rsidR="00E72DCA" w:rsidRDefault="00E72DCA" w:rsidP="00E72DCA">
      <w:pPr>
        <w:spacing w:after="0" w:line="240" w:lineRule="auto"/>
        <w:jc w:val="both"/>
        <w:rPr>
          <w:rFonts w:ascii="Verdana" w:hAnsi="Verdana" w:cs="Arial"/>
          <w:color w:val="000000" w:themeColor="text1"/>
          <w:sz w:val="20"/>
          <w:szCs w:val="20"/>
          <w:lang w:val="es-ES"/>
        </w:rPr>
      </w:pPr>
    </w:p>
    <w:p w14:paraId="7670FFCA" w14:textId="77777777" w:rsidR="00E72DCA" w:rsidRPr="00396DBB" w:rsidRDefault="00E72DCA" w:rsidP="00E72DCA">
      <w:pPr>
        <w:spacing w:after="0" w:line="240" w:lineRule="auto"/>
        <w:jc w:val="both"/>
        <w:rPr>
          <w:rFonts w:ascii="Verdana" w:eastAsia="Calibri" w:hAnsi="Verdana" w:cs="Arial"/>
          <w:b/>
          <w:color w:val="000000" w:themeColor="text1"/>
          <w:lang w:val="es-ES_tradnl"/>
        </w:rPr>
      </w:pPr>
      <w:r>
        <w:rPr>
          <w:rFonts w:ascii="Verdana" w:eastAsia="Calibri" w:hAnsi="Verdana" w:cs="Arial"/>
          <w:b/>
          <w:color w:val="000000" w:themeColor="text1"/>
          <w:lang w:val="es-ES_tradnl"/>
        </w:rPr>
        <w:t>INDUSTRIA MILITAR</w:t>
      </w:r>
      <w:r w:rsidRPr="00396DBB">
        <w:rPr>
          <w:rFonts w:ascii="Verdana" w:eastAsia="Calibri" w:hAnsi="Verdana" w:cs="Arial"/>
          <w:b/>
          <w:color w:val="000000" w:themeColor="text1"/>
          <w:lang w:val="es-ES_tradnl"/>
        </w:rPr>
        <w:t xml:space="preserve"> – </w:t>
      </w:r>
      <w:r>
        <w:rPr>
          <w:rFonts w:ascii="Verdana" w:eastAsia="Calibri" w:hAnsi="Verdana" w:cs="Arial"/>
          <w:b/>
          <w:color w:val="000000" w:themeColor="text1"/>
          <w:lang w:val="es-ES_tradnl"/>
        </w:rPr>
        <w:t>A</w:t>
      </w:r>
      <w:r w:rsidRPr="001D0962">
        <w:rPr>
          <w:rFonts w:ascii="Verdana" w:eastAsia="Calibri" w:hAnsi="Verdana" w:cs="Arial"/>
          <w:b/>
          <w:color w:val="000000" w:themeColor="text1"/>
          <w:lang w:val="es-ES_tradnl"/>
        </w:rPr>
        <w:t xml:space="preserve">rmas, municiones, explosivos </w:t>
      </w:r>
      <w:r>
        <w:rPr>
          <w:rFonts w:ascii="Verdana" w:eastAsia="Calibri" w:hAnsi="Verdana" w:cs="Arial"/>
          <w:b/>
          <w:color w:val="000000" w:themeColor="text1"/>
          <w:lang w:val="es-ES_tradnl"/>
        </w:rPr>
        <w:t xml:space="preserve">– Monopolio armamentístico    </w:t>
      </w:r>
      <w:r w:rsidRPr="00396DBB">
        <w:rPr>
          <w:rFonts w:ascii="Verdana" w:eastAsia="Calibri" w:hAnsi="Verdana" w:cs="Arial"/>
          <w:b/>
          <w:color w:val="000000" w:themeColor="text1"/>
          <w:lang w:val="es-ES_tradnl"/>
        </w:rPr>
        <w:t xml:space="preserve"> </w:t>
      </w:r>
    </w:p>
    <w:p w14:paraId="6811E8E2" w14:textId="77777777" w:rsidR="00E72DCA" w:rsidRPr="00396DBB" w:rsidRDefault="00E72DCA" w:rsidP="00E72DCA">
      <w:pPr>
        <w:spacing w:after="0" w:line="240" w:lineRule="auto"/>
        <w:jc w:val="both"/>
        <w:rPr>
          <w:rFonts w:ascii="Verdana" w:eastAsia="Calibri" w:hAnsi="Verdana" w:cs="Arial"/>
          <w:bCs/>
          <w:color w:val="000000" w:themeColor="text1"/>
          <w:sz w:val="20"/>
          <w:szCs w:val="20"/>
          <w:lang w:val="es-ES_tradnl"/>
        </w:rPr>
      </w:pPr>
    </w:p>
    <w:p w14:paraId="122013BA" w14:textId="77777777" w:rsidR="00E72DCA" w:rsidRDefault="00E72DCA" w:rsidP="00E72DCA">
      <w:pPr>
        <w:spacing w:after="0" w:line="240" w:lineRule="auto"/>
        <w:jc w:val="both"/>
        <w:rPr>
          <w:rFonts w:ascii="Verdana" w:hAnsi="Verdana" w:cs="Arial"/>
          <w:color w:val="000000" w:themeColor="text1"/>
          <w:sz w:val="20"/>
          <w:szCs w:val="20"/>
          <w:lang w:val="es-ES"/>
        </w:rPr>
      </w:pPr>
      <w:r w:rsidRPr="00386DC8">
        <w:rPr>
          <w:rFonts w:ascii="Verdana" w:hAnsi="Verdana" w:cs="Arial"/>
          <w:color w:val="000000" w:themeColor="text1"/>
          <w:sz w:val="20"/>
          <w:szCs w:val="20"/>
          <w:lang w:val="es-ES"/>
        </w:rPr>
        <w:t xml:space="preserve">en desarrollo del monopolio armamentístico del artículo 223 constitucional, es necesario tener en cuenta que corresponde a la Industria Militar “Producir, importar y abastecer de armas, municiones, explosivos, equipos y elementos complementarios a las Fuerzas Militares, a la Policía Nacional </w:t>
      </w:r>
      <w:r>
        <w:rPr>
          <w:rFonts w:ascii="Verdana" w:hAnsi="Verdana" w:cs="Arial"/>
          <w:color w:val="000000" w:themeColor="text1"/>
          <w:sz w:val="20"/>
          <w:szCs w:val="20"/>
          <w:lang w:val="es-ES"/>
        </w:rPr>
        <w:t>y a otros organismos estatales</w:t>
      </w:r>
      <w:r w:rsidRPr="00386DC8">
        <w:rPr>
          <w:rFonts w:ascii="Verdana" w:hAnsi="Verdana" w:cs="Arial"/>
          <w:color w:val="000000" w:themeColor="text1"/>
          <w:sz w:val="20"/>
          <w:szCs w:val="20"/>
          <w:lang w:val="es-ES"/>
        </w:rPr>
        <w:t>” –literal b) del artículo 3 del Decreto Ley 2346 de 1971, modificado por el artículo 1 del Decreto Ley 2069 de 1984–. Como Indumil es una empresa industrial y comercial del Estado conforme al artículo 2 del Acuerdo 586 del 10 de junio de 2022, los contratos celebrados con alguna de las entidades previstas en la Ley 80 de 1993 son interadministrativos. Es decir, aplica la contratación directa tanto por el literal c) del artículo 2.4 de la Ley 80 de 1993 como por el artículo 2.2.1.2.1.4.4 del Decreto 1082 de 2015.</w:t>
      </w:r>
    </w:p>
    <w:p w14:paraId="73A17014" w14:textId="77777777" w:rsidR="00E72DCA" w:rsidRPr="00386DC8" w:rsidRDefault="00E72DCA" w:rsidP="00E72DCA">
      <w:pPr>
        <w:spacing w:after="0" w:line="240" w:lineRule="auto"/>
        <w:jc w:val="both"/>
        <w:rPr>
          <w:rFonts w:ascii="Verdana" w:hAnsi="Verdana" w:cs="Arial"/>
          <w:color w:val="000000" w:themeColor="text1"/>
          <w:sz w:val="20"/>
          <w:szCs w:val="20"/>
          <w:lang w:val="es-ES"/>
        </w:rPr>
      </w:pPr>
    </w:p>
    <w:p w14:paraId="1355A13C" w14:textId="77777777" w:rsidR="00E72DCA" w:rsidRPr="006A61B6" w:rsidRDefault="00E72DCA" w:rsidP="00E72DCA">
      <w:pPr>
        <w:spacing w:after="0" w:line="240" w:lineRule="auto"/>
        <w:jc w:val="both"/>
        <w:rPr>
          <w:rFonts w:ascii="Verdana" w:hAnsi="Verdana" w:cs="Arial"/>
          <w:bCs/>
          <w:color w:val="000000" w:themeColor="text1"/>
          <w:sz w:val="20"/>
          <w:szCs w:val="20"/>
          <w:lang w:val="es-ES_tradnl"/>
        </w:rPr>
      </w:pPr>
      <w:r w:rsidRPr="00386DC8">
        <w:rPr>
          <w:rFonts w:ascii="Verdana" w:hAnsi="Verdana" w:cs="Arial"/>
          <w:color w:val="000000" w:themeColor="text1"/>
          <w:sz w:val="20"/>
          <w:szCs w:val="20"/>
          <w:lang w:val="es-ES"/>
        </w:rPr>
        <w:t xml:space="preserve">De </w:t>
      </w:r>
      <w:r>
        <w:rPr>
          <w:rFonts w:ascii="Verdana" w:hAnsi="Verdana" w:cs="Arial"/>
          <w:color w:val="000000" w:themeColor="text1"/>
          <w:sz w:val="20"/>
          <w:szCs w:val="20"/>
          <w:lang w:val="es-ES"/>
        </w:rPr>
        <w:t>la literalidad de la</w:t>
      </w:r>
      <w:r w:rsidRPr="00386DC8">
        <w:rPr>
          <w:rFonts w:ascii="Verdana" w:hAnsi="Verdana" w:cs="Arial"/>
          <w:color w:val="000000" w:themeColor="text1"/>
          <w:sz w:val="20"/>
          <w:szCs w:val="20"/>
          <w:lang w:val="es-ES"/>
        </w:rPr>
        <w:t xml:space="preserve"> norma citada, la Agencia no observa una autorización expresa para acudir a otros proveedores o causales de contratación cuando Indumil “[…] no tenga la capacidad de producción o venta, no asegure la calidad requerida para los elementos o condicione la oportunidad en la entrega de los bienes […]” o “[…] no entregue, entregue de manera parcial o inexacta, de forma inoportuna o condicionada la información técnica, económica, comercial o cualquier otra requerida para la estructuración y adelanto de procesos de contratación […]”. No obstante, dentro del marco de los principios de la función administrativa y de la contratación estatal, lo cierto es que las entidades públicas son autónomas y responsables tanto de la estructuración de sus procesos como de determinar la modalidad de selección aplicable para suplir sus necesidades</w:t>
      </w:r>
      <w:r w:rsidRPr="00604392">
        <w:rPr>
          <w:rFonts w:ascii="Verdana" w:hAnsi="Verdana" w:cs="Arial"/>
          <w:color w:val="000000" w:themeColor="text1"/>
          <w:sz w:val="20"/>
          <w:szCs w:val="20"/>
          <w:lang w:val="es-ES"/>
        </w:rPr>
        <w:t>.</w:t>
      </w:r>
    </w:p>
    <w:p w14:paraId="571738E9" w14:textId="77777777" w:rsidR="00E72DCA" w:rsidRPr="002C0402" w:rsidRDefault="00E72DCA" w:rsidP="00E72DCA">
      <w:pPr>
        <w:spacing w:after="0" w:line="240" w:lineRule="auto"/>
        <w:jc w:val="both"/>
        <w:textAlignment w:val="baseline"/>
        <w:rPr>
          <w:rFonts w:ascii="Verdana" w:hAnsi="Verdana" w:cs="Arial"/>
          <w:bCs/>
          <w:sz w:val="20"/>
          <w:szCs w:val="20"/>
          <w:lang w:val="es-ES_tradnl" w:eastAsia="es-CO"/>
        </w:rPr>
      </w:pPr>
      <w:r w:rsidRPr="002C0402">
        <w:rPr>
          <w:rFonts w:ascii="Verdana" w:hAnsi="Verdana" w:cs="Arial"/>
          <w:bCs/>
          <w:sz w:val="20"/>
          <w:szCs w:val="20"/>
          <w:lang w:val="es-ES_tradnl" w:eastAsia="es-CO"/>
        </w:rPr>
        <w:t xml:space="preserve">  </w:t>
      </w:r>
    </w:p>
    <w:p w14:paraId="30EF32BD" w14:textId="77777777" w:rsidR="00E72DCA" w:rsidRDefault="00E72DCA" w:rsidP="00E72DCA">
      <w:pPr>
        <w:spacing w:after="0" w:line="240" w:lineRule="auto"/>
        <w:rPr>
          <w:rFonts w:ascii="Verdana" w:eastAsia="Calibri" w:hAnsi="Verdana" w:cs="Arial"/>
          <w:b/>
          <w:color w:val="000000" w:themeColor="text1"/>
          <w:lang w:val="es-ES"/>
        </w:rPr>
      </w:pPr>
    </w:p>
    <w:p w14:paraId="637A4C4F" w14:textId="77777777" w:rsidR="00E72DCA" w:rsidRDefault="00E72DCA" w:rsidP="00E72DCA">
      <w:pPr>
        <w:spacing w:after="0" w:line="240" w:lineRule="auto"/>
        <w:rPr>
          <w:rFonts w:ascii="Verdana" w:eastAsia="Calibri" w:hAnsi="Verdana" w:cs="Arial"/>
          <w:b/>
          <w:color w:val="000000" w:themeColor="text1"/>
          <w:lang w:val="es-ES"/>
        </w:rPr>
      </w:pPr>
    </w:p>
    <w:p w14:paraId="65CE4FC2" w14:textId="77777777" w:rsidR="00E72DCA" w:rsidRDefault="00E72DCA" w:rsidP="00E72DCA">
      <w:pPr>
        <w:spacing w:after="0" w:line="240" w:lineRule="auto"/>
        <w:rPr>
          <w:rFonts w:ascii="Verdana" w:eastAsia="Calibri" w:hAnsi="Verdana" w:cs="Arial"/>
          <w:b/>
          <w:color w:val="000000" w:themeColor="text1"/>
          <w:lang w:val="es-ES"/>
        </w:rPr>
      </w:pPr>
    </w:p>
    <w:p w14:paraId="36D6B63F" w14:textId="77777777" w:rsidR="00E72DCA" w:rsidRDefault="00E72DCA" w:rsidP="00E72DCA">
      <w:pPr>
        <w:spacing w:after="0" w:line="240" w:lineRule="auto"/>
        <w:rPr>
          <w:rFonts w:ascii="Verdana" w:eastAsia="Calibri" w:hAnsi="Verdana" w:cs="Arial"/>
          <w:b/>
          <w:color w:val="000000" w:themeColor="text1"/>
          <w:lang w:val="es-ES"/>
        </w:rPr>
      </w:pPr>
    </w:p>
    <w:p w14:paraId="661A5086" w14:textId="77777777" w:rsidR="00E72DCA" w:rsidRDefault="00E72DCA" w:rsidP="00E72DCA">
      <w:pPr>
        <w:spacing w:after="0" w:line="240" w:lineRule="auto"/>
        <w:rPr>
          <w:rFonts w:ascii="Verdana" w:eastAsia="Calibri" w:hAnsi="Verdana" w:cs="Arial"/>
          <w:b/>
          <w:color w:val="000000" w:themeColor="text1"/>
          <w:lang w:val="es-ES"/>
        </w:rPr>
      </w:pPr>
    </w:p>
    <w:p w14:paraId="1A900304" w14:textId="77777777" w:rsidR="00E72DCA" w:rsidRDefault="00E72DCA" w:rsidP="00E72DCA">
      <w:pPr>
        <w:spacing w:after="0" w:line="240" w:lineRule="auto"/>
        <w:rPr>
          <w:rFonts w:ascii="Verdana" w:eastAsia="Calibri" w:hAnsi="Verdana" w:cs="Arial"/>
          <w:b/>
          <w:color w:val="000000" w:themeColor="text1"/>
          <w:lang w:val="es-ES"/>
        </w:rPr>
      </w:pPr>
    </w:p>
    <w:p w14:paraId="21D07E3B" w14:textId="77777777" w:rsidR="00E72DCA" w:rsidRDefault="00E72DCA" w:rsidP="00E72DCA">
      <w:pPr>
        <w:spacing w:after="0" w:line="240" w:lineRule="auto"/>
        <w:rPr>
          <w:rFonts w:ascii="Verdana" w:eastAsia="Calibri" w:hAnsi="Verdana" w:cs="Arial"/>
          <w:b/>
          <w:color w:val="000000" w:themeColor="text1"/>
          <w:lang w:val="es-ES"/>
        </w:rPr>
      </w:pPr>
    </w:p>
    <w:p w14:paraId="568765BD" w14:textId="77777777" w:rsidR="00E72DCA" w:rsidRDefault="00E72DCA" w:rsidP="00E72DCA">
      <w:pPr>
        <w:spacing w:after="0" w:line="240" w:lineRule="auto"/>
        <w:rPr>
          <w:rFonts w:ascii="Verdana" w:eastAsia="Calibri" w:hAnsi="Verdana" w:cs="Arial"/>
          <w:b/>
          <w:color w:val="000000" w:themeColor="text1"/>
          <w:lang w:val="es-ES"/>
        </w:rPr>
      </w:pPr>
    </w:p>
    <w:p w14:paraId="2356E85E" w14:textId="77777777" w:rsidR="00E72DCA" w:rsidRDefault="00E72DCA" w:rsidP="00E72DCA">
      <w:pPr>
        <w:spacing w:after="0" w:line="240" w:lineRule="auto"/>
        <w:rPr>
          <w:rFonts w:ascii="Verdana" w:eastAsia="Calibri" w:hAnsi="Verdana" w:cs="Arial"/>
          <w:b/>
          <w:color w:val="000000" w:themeColor="text1"/>
          <w:lang w:val="es-ES"/>
        </w:rPr>
      </w:pPr>
    </w:p>
    <w:p w14:paraId="581D166B" w14:textId="77777777" w:rsidR="00E72DCA" w:rsidRDefault="00E72DCA" w:rsidP="00E72DCA">
      <w:pPr>
        <w:spacing w:after="0" w:line="240" w:lineRule="auto"/>
        <w:rPr>
          <w:rFonts w:ascii="Verdana" w:eastAsia="Calibri" w:hAnsi="Verdana" w:cs="Arial"/>
          <w:b/>
          <w:color w:val="000000" w:themeColor="text1"/>
          <w:lang w:val="es-ES"/>
        </w:rPr>
      </w:pPr>
    </w:p>
    <w:p w14:paraId="6EF1F084" w14:textId="77777777" w:rsidR="00E72DCA" w:rsidRDefault="00E72DCA" w:rsidP="00E72DCA">
      <w:pPr>
        <w:spacing w:after="0" w:line="240" w:lineRule="auto"/>
        <w:rPr>
          <w:rFonts w:ascii="Verdana" w:eastAsia="Calibri" w:hAnsi="Verdana" w:cs="Arial"/>
          <w:b/>
          <w:color w:val="000000" w:themeColor="text1"/>
          <w:lang w:val="es-ES"/>
        </w:rPr>
      </w:pPr>
    </w:p>
    <w:p w14:paraId="52A4FC80" w14:textId="77777777" w:rsidR="00E72DCA" w:rsidRDefault="00E72DCA" w:rsidP="00E72DCA">
      <w:pPr>
        <w:spacing w:after="0" w:line="240" w:lineRule="auto"/>
        <w:rPr>
          <w:rFonts w:ascii="Verdana" w:eastAsia="Calibri" w:hAnsi="Verdana" w:cs="Arial"/>
          <w:b/>
          <w:color w:val="000000" w:themeColor="text1"/>
          <w:lang w:val="es-ES"/>
        </w:rPr>
      </w:pPr>
    </w:p>
    <w:p w14:paraId="1E77A0C8" w14:textId="77777777" w:rsidR="00E72DCA" w:rsidRDefault="00E72DCA" w:rsidP="00E72DCA">
      <w:pPr>
        <w:spacing w:after="0" w:line="240" w:lineRule="auto"/>
        <w:rPr>
          <w:rFonts w:ascii="Verdana" w:eastAsia="Calibri" w:hAnsi="Verdana" w:cs="Arial"/>
          <w:b/>
          <w:color w:val="000000" w:themeColor="text1"/>
          <w:lang w:val="es-ES"/>
        </w:rPr>
      </w:pPr>
    </w:p>
    <w:p w14:paraId="6E5FC9CF" w14:textId="77777777" w:rsidR="00E72DCA" w:rsidRDefault="00E72DCA" w:rsidP="00E72DCA">
      <w:pPr>
        <w:spacing w:after="0" w:line="240" w:lineRule="auto"/>
        <w:rPr>
          <w:rFonts w:ascii="Verdana" w:eastAsia="Geomanist Light" w:hAnsi="Verdana" w:cs="Arial"/>
          <w:color w:val="000000" w:themeColor="text1"/>
          <w:lang w:val="es-MX"/>
        </w:rPr>
      </w:pPr>
    </w:p>
    <w:p w14:paraId="6BCDEA08" w14:textId="77777777" w:rsidR="00E72DCA" w:rsidRDefault="00E72DCA" w:rsidP="00E72DCA">
      <w:pPr>
        <w:spacing w:after="0" w:line="240" w:lineRule="auto"/>
        <w:rPr>
          <w:rFonts w:ascii="Verdana" w:eastAsia="Geomanist Light" w:hAnsi="Verdana" w:cs="Arial"/>
          <w:color w:val="000000" w:themeColor="text1"/>
          <w:lang w:val="es-MX"/>
        </w:rPr>
      </w:pPr>
    </w:p>
    <w:p w14:paraId="55981B08" w14:textId="77777777" w:rsidR="00E72DCA" w:rsidRDefault="00E72DCA" w:rsidP="00E72DCA">
      <w:pPr>
        <w:spacing w:after="0" w:line="240" w:lineRule="auto"/>
        <w:rPr>
          <w:rFonts w:ascii="Verdana" w:eastAsia="Geomanist Light" w:hAnsi="Verdana" w:cs="Arial"/>
          <w:color w:val="000000" w:themeColor="text1"/>
          <w:lang w:val="es-MX"/>
        </w:rPr>
      </w:pPr>
    </w:p>
    <w:p w14:paraId="4751F1ED" w14:textId="77777777" w:rsidR="00E72DCA" w:rsidRDefault="00E72DCA" w:rsidP="00E72DCA">
      <w:pPr>
        <w:spacing w:after="0" w:line="240" w:lineRule="auto"/>
        <w:rPr>
          <w:rFonts w:ascii="Verdana" w:eastAsia="Geomanist Light" w:hAnsi="Verdana" w:cs="Arial"/>
          <w:color w:val="000000" w:themeColor="text1"/>
          <w:lang w:val="es-MX"/>
        </w:rPr>
      </w:pPr>
    </w:p>
    <w:p w14:paraId="2DBAD9C8" w14:textId="77777777" w:rsidR="00E72DCA" w:rsidRDefault="00E72DCA" w:rsidP="00E72DCA">
      <w:pPr>
        <w:spacing w:after="0" w:line="240" w:lineRule="auto"/>
        <w:rPr>
          <w:rFonts w:ascii="Verdana" w:eastAsia="Geomanist Light" w:hAnsi="Verdana" w:cs="Arial"/>
          <w:color w:val="000000" w:themeColor="text1"/>
          <w:lang w:val="es-MX"/>
        </w:rPr>
      </w:pPr>
    </w:p>
    <w:p w14:paraId="74418879" w14:textId="77777777" w:rsidR="00E72DCA" w:rsidRDefault="00E72DCA" w:rsidP="00E72DCA">
      <w:pPr>
        <w:spacing w:after="0" w:line="240" w:lineRule="auto"/>
        <w:rPr>
          <w:rFonts w:ascii="Verdana" w:eastAsia="Geomanist Light" w:hAnsi="Verdana" w:cs="Arial"/>
          <w:color w:val="000000" w:themeColor="text1"/>
          <w:lang w:val="es-MX"/>
        </w:rPr>
      </w:pPr>
    </w:p>
    <w:p w14:paraId="111D7A5A" w14:textId="77777777" w:rsidR="00E72DCA" w:rsidRDefault="00E72DCA" w:rsidP="00E72DCA">
      <w:pPr>
        <w:spacing w:after="0" w:line="240" w:lineRule="auto"/>
        <w:rPr>
          <w:rFonts w:ascii="Verdana" w:eastAsia="Geomanist Light" w:hAnsi="Verdana" w:cs="Arial"/>
          <w:color w:val="000000" w:themeColor="text1"/>
          <w:lang w:val="es-MX"/>
        </w:rPr>
      </w:pPr>
    </w:p>
    <w:p w14:paraId="32EB93DB" w14:textId="77777777" w:rsidR="00E72DCA" w:rsidRDefault="00E72DCA" w:rsidP="00E72DCA">
      <w:pPr>
        <w:spacing w:after="0" w:line="240" w:lineRule="auto"/>
        <w:rPr>
          <w:rFonts w:ascii="Verdana" w:eastAsia="Geomanist Light" w:hAnsi="Verdana" w:cs="Arial"/>
          <w:color w:val="000000" w:themeColor="text1"/>
          <w:lang w:val="es-MX"/>
        </w:rPr>
      </w:pPr>
    </w:p>
    <w:p w14:paraId="12940523" w14:textId="77777777" w:rsidR="00E72DCA" w:rsidRDefault="00E72DCA" w:rsidP="00E72DCA">
      <w:pPr>
        <w:spacing w:after="0" w:line="240" w:lineRule="auto"/>
        <w:rPr>
          <w:rFonts w:ascii="Verdana" w:eastAsia="Geomanist Light" w:hAnsi="Verdana" w:cs="Arial"/>
          <w:color w:val="000000" w:themeColor="text1"/>
          <w:lang w:val="es-MX"/>
        </w:rPr>
      </w:pPr>
    </w:p>
    <w:p w14:paraId="5395DB9E" w14:textId="77777777" w:rsidR="00E72DCA" w:rsidRDefault="00E72DCA" w:rsidP="00E72DCA">
      <w:pPr>
        <w:spacing w:after="0" w:line="240" w:lineRule="auto"/>
        <w:rPr>
          <w:rFonts w:ascii="Verdana" w:eastAsia="Geomanist Light" w:hAnsi="Verdana" w:cs="Arial"/>
          <w:color w:val="000000" w:themeColor="text1"/>
          <w:lang w:val="es-MX"/>
        </w:rPr>
      </w:pPr>
    </w:p>
    <w:p w14:paraId="37171650" w14:textId="77777777" w:rsidR="00E72DCA" w:rsidRDefault="00E72DCA" w:rsidP="00E72DCA">
      <w:pPr>
        <w:spacing w:after="0" w:line="240" w:lineRule="auto"/>
        <w:rPr>
          <w:rFonts w:ascii="Verdana" w:eastAsia="Geomanist Light" w:hAnsi="Verdana" w:cs="Arial"/>
          <w:color w:val="000000" w:themeColor="text1"/>
          <w:lang w:val="es-MX"/>
        </w:rPr>
      </w:pPr>
    </w:p>
    <w:p w14:paraId="0BBFD3B5" w14:textId="77777777" w:rsidR="00E72DCA" w:rsidRDefault="00E72DCA" w:rsidP="00E72DCA">
      <w:pPr>
        <w:spacing w:after="0" w:line="240" w:lineRule="auto"/>
        <w:rPr>
          <w:rFonts w:ascii="Verdana" w:eastAsia="Geomanist Light" w:hAnsi="Verdana" w:cs="Arial"/>
          <w:color w:val="000000" w:themeColor="text1"/>
          <w:lang w:val="es-MX"/>
        </w:rPr>
      </w:pPr>
    </w:p>
    <w:p w14:paraId="5786248B" w14:textId="77777777" w:rsidR="00E72DCA" w:rsidRDefault="00E72DCA" w:rsidP="00C71B18">
      <w:pPr>
        <w:spacing w:after="0" w:line="240" w:lineRule="auto"/>
        <w:rPr>
          <w:rFonts w:ascii="Verdana" w:eastAsia="Geomanist Light" w:hAnsi="Verdana" w:cs="Arial"/>
          <w:color w:val="000000" w:themeColor="text1"/>
          <w:lang w:val="es-MX"/>
        </w:rPr>
      </w:pPr>
    </w:p>
    <w:p w14:paraId="13848F73" w14:textId="77777777" w:rsidR="00E72DCA" w:rsidRDefault="00E72DCA" w:rsidP="00C71B18">
      <w:pPr>
        <w:spacing w:after="0" w:line="240" w:lineRule="auto"/>
        <w:rPr>
          <w:rFonts w:ascii="Verdana" w:eastAsia="Geomanist Light" w:hAnsi="Verdana" w:cs="Arial"/>
          <w:color w:val="000000" w:themeColor="text1"/>
          <w:lang w:val="es-MX"/>
        </w:rPr>
      </w:pPr>
    </w:p>
    <w:p w14:paraId="15E1AE75" w14:textId="77777777" w:rsidR="00E72DCA" w:rsidRDefault="00E72DCA" w:rsidP="00C71B18">
      <w:pPr>
        <w:spacing w:after="0" w:line="240" w:lineRule="auto"/>
        <w:rPr>
          <w:rFonts w:ascii="Verdana" w:eastAsia="Geomanist Light" w:hAnsi="Verdana" w:cs="Arial"/>
          <w:color w:val="000000" w:themeColor="text1"/>
          <w:lang w:val="es-MX"/>
        </w:rPr>
      </w:pPr>
    </w:p>
    <w:p w14:paraId="0FBCDA2D" w14:textId="77777777" w:rsidR="00E72DCA" w:rsidRDefault="00E72DCA" w:rsidP="00C71B18">
      <w:pPr>
        <w:spacing w:after="0" w:line="240" w:lineRule="auto"/>
        <w:rPr>
          <w:rFonts w:ascii="Verdana" w:eastAsia="Geomanist Light" w:hAnsi="Verdana" w:cs="Arial"/>
          <w:color w:val="000000" w:themeColor="text1"/>
          <w:lang w:val="es-MX"/>
        </w:rPr>
      </w:pPr>
    </w:p>
    <w:p w14:paraId="2FC4F546" w14:textId="77777777" w:rsidR="00DA7C9C" w:rsidRDefault="00DA7C9C" w:rsidP="00C71B18">
      <w:pPr>
        <w:spacing w:after="0" w:line="240" w:lineRule="auto"/>
        <w:rPr>
          <w:rFonts w:ascii="Verdana" w:eastAsia="Geomanist Light" w:hAnsi="Verdana" w:cs="Arial"/>
          <w:color w:val="000000" w:themeColor="text1"/>
          <w:lang w:val="es-MX"/>
        </w:rPr>
      </w:pPr>
    </w:p>
    <w:p w14:paraId="1C3E008E" w14:textId="77777777" w:rsidR="00DA7C9C" w:rsidRDefault="00DA7C9C" w:rsidP="00C71B18">
      <w:pPr>
        <w:spacing w:after="0" w:line="240" w:lineRule="auto"/>
        <w:rPr>
          <w:rFonts w:ascii="Verdana" w:eastAsia="Geomanist Light" w:hAnsi="Verdana" w:cs="Arial"/>
          <w:color w:val="000000" w:themeColor="text1"/>
          <w:lang w:val="es-MX"/>
        </w:rPr>
      </w:pPr>
    </w:p>
    <w:p w14:paraId="16200773" w14:textId="320245D6" w:rsidR="00C71B18" w:rsidRPr="00593A5F" w:rsidRDefault="00C71B18" w:rsidP="00C71B18">
      <w:pPr>
        <w:spacing w:after="0" w:line="240" w:lineRule="auto"/>
        <w:rPr>
          <w:rFonts w:ascii="Verdana" w:eastAsia="Geomanist Light" w:hAnsi="Verdana" w:cs="Arial"/>
          <w:color w:val="201F1E"/>
          <w:lang w:val="es-MX"/>
        </w:rPr>
      </w:pPr>
      <w:r w:rsidRPr="00593A5F">
        <w:rPr>
          <w:rFonts w:ascii="Verdana" w:eastAsia="Geomanist Light" w:hAnsi="Verdana" w:cs="Arial"/>
          <w:color w:val="000000" w:themeColor="text1"/>
          <w:lang w:val="es-MX"/>
        </w:rPr>
        <w:lastRenderedPageBreak/>
        <w:t>Bogotá D.C., </w:t>
      </w:r>
      <w:r w:rsidR="003C66EF" w:rsidRPr="003C66EF">
        <w:rPr>
          <w:rFonts w:ascii="Verdana" w:eastAsia="Geomanist Light" w:hAnsi="Verdana" w:cs="Arial"/>
          <w:color w:val="000000" w:themeColor="text1"/>
          <w:lang w:val="es-MX"/>
        </w:rPr>
        <w:t>28 de Julio de 2026</w:t>
      </w:r>
    </w:p>
    <w:p w14:paraId="65CA7442" w14:textId="77777777" w:rsidR="00C71B18" w:rsidRDefault="00C71B18" w:rsidP="00C71B18">
      <w:pPr>
        <w:spacing w:after="0" w:line="240" w:lineRule="auto"/>
        <w:jc w:val="both"/>
        <w:rPr>
          <w:rFonts w:ascii="Verdana" w:eastAsia="Calibri" w:hAnsi="Verdana" w:cs="Arial"/>
          <w:color w:val="000000"/>
          <w:lang w:val="es-ES"/>
        </w:rPr>
      </w:pPr>
    </w:p>
    <w:p w14:paraId="638A7579" w14:textId="641BEE5B" w:rsidR="003C66EF" w:rsidRDefault="003C66EF" w:rsidP="003C66EF">
      <w:pPr>
        <w:spacing w:after="0" w:line="240" w:lineRule="auto"/>
        <w:jc w:val="right"/>
        <w:rPr>
          <w:rFonts w:ascii="Verdana" w:eastAsia="Calibri" w:hAnsi="Verdana" w:cs="Arial"/>
          <w:color w:val="000000"/>
          <w:lang w:val="es-ES"/>
        </w:rPr>
      </w:pPr>
    </w:p>
    <w:p w14:paraId="22DAEBA2" w14:textId="1E9408A1" w:rsidR="00C71B18" w:rsidRPr="00593A5F" w:rsidRDefault="00DA7C9C" w:rsidP="00C71B18">
      <w:pPr>
        <w:spacing w:after="0" w:line="240" w:lineRule="auto"/>
        <w:jc w:val="both"/>
        <w:rPr>
          <w:rFonts w:ascii="Verdana" w:eastAsia="Calibri" w:hAnsi="Verdana" w:cs="Arial"/>
          <w:color w:val="000000"/>
          <w:lang w:val="es-ES"/>
        </w:rPr>
      </w:pPr>
      <w:r w:rsidRPr="003C66EF">
        <w:rPr>
          <w:rFonts w:ascii="Verdana" w:eastAsia="Calibri" w:hAnsi="Verdana" w:cs="Arial"/>
          <w:noProof/>
          <w:color w:val="000000"/>
          <w:lang w:val="es-ES"/>
        </w:rPr>
        <w:drawing>
          <wp:anchor distT="0" distB="0" distL="114300" distR="114300" simplePos="0" relativeHeight="251658240" behindDoc="0" locked="0" layoutInCell="1" allowOverlap="1" wp14:anchorId="39A19B11" wp14:editId="7B42EB62">
            <wp:simplePos x="0" y="0"/>
            <wp:positionH relativeFrom="margin">
              <wp:align>right</wp:align>
            </wp:positionH>
            <wp:positionV relativeFrom="paragraph">
              <wp:posOffset>8890</wp:posOffset>
            </wp:positionV>
            <wp:extent cx="2772410" cy="850265"/>
            <wp:effectExtent l="0" t="0" r="8890" b="6985"/>
            <wp:wrapSquare wrapText="bothSides"/>
            <wp:docPr id="8512910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91055" name=""/>
                    <pic:cNvPicPr/>
                  </pic:nvPicPr>
                  <pic:blipFill>
                    <a:blip r:embed="rId10">
                      <a:extLst>
                        <a:ext uri="{28A0092B-C50C-407E-A947-70E740481C1C}">
                          <a14:useLocalDpi xmlns:a14="http://schemas.microsoft.com/office/drawing/2010/main" val="0"/>
                        </a:ext>
                      </a:extLst>
                    </a:blip>
                    <a:stretch>
                      <a:fillRect/>
                    </a:stretch>
                  </pic:blipFill>
                  <pic:spPr>
                    <a:xfrm>
                      <a:off x="0" y="0"/>
                      <a:ext cx="2772410" cy="850265"/>
                    </a:xfrm>
                    <a:prstGeom prst="rect">
                      <a:avLst/>
                    </a:prstGeom>
                  </pic:spPr>
                </pic:pic>
              </a:graphicData>
            </a:graphic>
            <wp14:sizeRelH relativeFrom="margin">
              <wp14:pctWidth>0</wp14:pctWidth>
            </wp14:sizeRelH>
            <wp14:sizeRelV relativeFrom="margin">
              <wp14:pctHeight>0</wp14:pctHeight>
            </wp14:sizeRelV>
          </wp:anchor>
        </w:drawing>
      </w:r>
    </w:p>
    <w:p w14:paraId="438E6FA8" w14:textId="77777777" w:rsidR="00C71B18" w:rsidRPr="00B96799" w:rsidRDefault="00C71B18" w:rsidP="00C71B18">
      <w:pPr>
        <w:spacing w:after="0" w:line="240" w:lineRule="auto"/>
        <w:jc w:val="both"/>
        <w:rPr>
          <w:rFonts w:ascii="Verdana" w:eastAsia="Calibri" w:hAnsi="Verdana" w:cs="Arial"/>
          <w:lang w:val="es-ES" w:eastAsia="es-ES"/>
        </w:rPr>
      </w:pPr>
      <w:r>
        <w:rPr>
          <w:rFonts w:ascii="Verdana" w:eastAsia="Calibri" w:hAnsi="Verdana" w:cs="Arial"/>
          <w:lang w:val="es-ES" w:eastAsia="es-ES"/>
        </w:rPr>
        <w:t>Coronel</w:t>
      </w:r>
    </w:p>
    <w:p w14:paraId="4A5E56A6" w14:textId="77777777" w:rsidR="00C71B18" w:rsidRDefault="00C71B18" w:rsidP="00C71B18">
      <w:pPr>
        <w:spacing w:after="0" w:line="240" w:lineRule="auto"/>
        <w:rPr>
          <w:rFonts w:ascii="Verdana" w:eastAsia="Calibri" w:hAnsi="Verdana" w:cs="Arial"/>
          <w:b/>
          <w:lang w:val="es-ES_tradnl" w:eastAsia="es-ES_tradnl"/>
        </w:rPr>
      </w:pPr>
      <w:r w:rsidRPr="0000738D">
        <w:rPr>
          <w:rFonts w:ascii="Verdana" w:eastAsia="Calibri" w:hAnsi="Verdana" w:cs="Arial"/>
          <w:b/>
          <w:lang w:val="es-ES_tradnl" w:eastAsia="es-ES_tradnl"/>
        </w:rPr>
        <w:t>Wilson Gilberto Barrios Perdomo</w:t>
      </w:r>
      <w:r w:rsidRPr="008777D5">
        <w:rPr>
          <w:rFonts w:ascii="Verdana" w:eastAsia="Calibri" w:hAnsi="Verdana" w:cs="Arial"/>
          <w:b/>
          <w:lang w:val="es-ES_tradnl" w:eastAsia="es-ES_tradnl"/>
        </w:rPr>
        <w:t xml:space="preserve"> </w:t>
      </w:r>
    </w:p>
    <w:p w14:paraId="202EF73F" w14:textId="77777777" w:rsidR="00C71B18" w:rsidRPr="0000738D" w:rsidRDefault="00C71B18" w:rsidP="00C71B18">
      <w:pPr>
        <w:spacing w:after="0" w:line="240" w:lineRule="auto"/>
        <w:rPr>
          <w:rFonts w:ascii="Verdana" w:eastAsia="Calibri" w:hAnsi="Verdana" w:cs="Arial"/>
          <w:lang w:val="es-ES" w:eastAsia="es-ES"/>
        </w:rPr>
      </w:pPr>
      <w:hyperlink r:id="rId11" w:history="1">
        <w:r w:rsidRPr="00815213">
          <w:rPr>
            <w:rStyle w:val="Hipervnculo"/>
            <w:rFonts w:ascii="Verdana" w:hAnsi="Verdana"/>
          </w:rPr>
          <w:t>dilof.garma-adq@policia.gov.co</w:t>
        </w:r>
      </w:hyperlink>
      <w:r>
        <w:rPr>
          <w:rFonts w:ascii="Verdana" w:hAnsi="Verdana"/>
        </w:rPr>
        <w:t xml:space="preserve"> </w:t>
      </w:r>
      <w:r w:rsidRPr="0000738D">
        <w:rPr>
          <w:rFonts w:ascii="Verdana" w:hAnsi="Verdana"/>
        </w:rPr>
        <w:t xml:space="preserve">                    </w:t>
      </w:r>
      <w:r w:rsidRPr="0000738D">
        <w:rPr>
          <w:rFonts w:ascii="Verdana" w:eastAsia="Calibri" w:hAnsi="Verdana" w:cs="Arial"/>
          <w:lang w:val="es-ES" w:eastAsia="es-ES"/>
        </w:rPr>
        <w:t xml:space="preserve">    </w:t>
      </w:r>
    </w:p>
    <w:p w14:paraId="44CFF6AA" w14:textId="77777777" w:rsidR="00C71B18" w:rsidRDefault="00C71B18" w:rsidP="00C71B18">
      <w:pPr>
        <w:spacing w:after="0" w:line="240" w:lineRule="auto"/>
        <w:rPr>
          <w:rFonts w:ascii="Verdana" w:eastAsia="Calibri" w:hAnsi="Verdana" w:cs="Arial"/>
          <w:lang w:val="es-ES" w:eastAsia="es-ES"/>
        </w:rPr>
      </w:pPr>
      <w:r w:rsidRPr="00593A5F">
        <w:rPr>
          <w:rFonts w:ascii="Verdana" w:eastAsia="Geomanist Light" w:hAnsi="Verdana" w:cs="Arial"/>
          <w:color w:val="000000" w:themeColor="text1"/>
          <w:lang w:val="es-MX"/>
        </w:rPr>
        <w:t>Bogotá D.C.</w:t>
      </w:r>
      <w:r>
        <w:rPr>
          <w:rFonts w:ascii="Verdana" w:eastAsia="Calibri" w:hAnsi="Verdana" w:cs="Arial"/>
          <w:lang w:val="es-ES" w:eastAsia="es-ES"/>
        </w:rPr>
        <w:t xml:space="preserve"> </w:t>
      </w:r>
    </w:p>
    <w:p w14:paraId="7936BC3C" w14:textId="77777777" w:rsidR="00C71B18" w:rsidRPr="00593A5F" w:rsidRDefault="00C71B18" w:rsidP="00C71B18">
      <w:pPr>
        <w:spacing w:after="0" w:line="240" w:lineRule="auto"/>
        <w:rPr>
          <w:rFonts w:ascii="Verdana" w:eastAsia="Calibri" w:hAnsi="Verdana" w:cs="Arial"/>
          <w:b/>
          <w:bCs/>
          <w:color w:val="000000"/>
          <w:lang w:val="es-ES_tradnl" w:eastAsia="es-ES_tradnl"/>
        </w:rPr>
      </w:pPr>
    </w:p>
    <w:p w14:paraId="43E039E4" w14:textId="77777777" w:rsidR="00C71B18" w:rsidRPr="00593A5F" w:rsidRDefault="00C71B18" w:rsidP="00C71B18">
      <w:pPr>
        <w:spacing w:after="0" w:line="240" w:lineRule="auto"/>
        <w:rPr>
          <w:rFonts w:ascii="Verdana" w:eastAsia="Calibri" w:hAnsi="Verdana" w:cs="Arial"/>
          <w:b/>
          <w:bCs/>
          <w:color w:val="000000"/>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71B18" w:rsidRPr="00593A5F" w14:paraId="1C475202" w14:textId="77777777" w:rsidTr="00121654">
        <w:trPr>
          <w:trHeight w:val="884"/>
        </w:trPr>
        <w:tc>
          <w:tcPr>
            <w:tcW w:w="2689" w:type="dxa"/>
          </w:tcPr>
          <w:p w14:paraId="0C19AF7B" w14:textId="77777777" w:rsidR="00C71B18" w:rsidRPr="00C00976" w:rsidRDefault="00C71B18" w:rsidP="00121654">
            <w:pPr>
              <w:jc w:val="both"/>
              <w:rPr>
                <w:rFonts w:ascii="Verdana" w:eastAsia="Calibri" w:hAnsi="Verdana" w:cs="Arial"/>
                <w:b/>
                <w:bCs/>
                <w:color w:val="7030A0"/>
                <w:lang w:val="es-ES_tradnl" w:eastAsia="es-ES_tradnl"/>
              </w:rPr>
            </w:pPr>
          </w:p>
        </w:tc>
        <w:tc>
          <w:tcPr>
            <w:tcW w:w="6100" w:type="dxa"/>
          </w:tcPr>
          <w:p w14:paraId="506DB861" w14:textId="7FE7A8BF" w:rsidR="00C71B18" w:rsidRPr="00C00976" w:rsidRDefault="00C71B18" w:rsidP="00121654">
            <w:pPr>
              <w:jc w:val="both"/>
              <w:rPr>
                <w:rFonts w:ascii="Verdana" w:eastAsia="Calibri" w:hAnsi="Verdana" w:cs="Arial"/>
                <w:b/>
                <w:bCs/>
                <w:color w:val="7030A0"/>
                <w:lang w:val="es-ES" w:eastAsia="es-ES"/>
              </w:rPr>
            </w:pPr>
            <w:r w:rsidRPr="008E6AD9">
              <w:rPr>
                <w:rFonts w:ascii="Verdana" w:eastAsia="Calibri" w:hAnsi="Verdana" w:cs="Arial"/>
                <w:b/>
                <w:bCs/>
                <w:lang w:val="es-ES" w:eastAsia="es-ES"/>
              </w:rPr>
              <w:t>Concepto C</w:t>
            </w:r>
            <w:r w:rsidR="00DA7C9C">
              <w:rPr>
                <w:rFonts w:ascii="Verdana" w:eastAsia="Calibri" w:hAnsi="Verdana" w:cs="Arial"/>
                <w:b/>
                <w:bCs/>
                <w:lang w:val="es-ES" w:eastAsia="es-ES"/>
              </w:rPr>
              <w:t>-</w:t>
            </w:r>
            <w:r>
              <w:rPr>
                <w:rFonts w:ascii="Verdana" w:eastAsia="Calibri" w:hAnsi="Verdana" w:cs="Arial"/>
                <w:b/>
                <w:bCs/>
                <w:lang w:val="es-ES" w:eastAsia="es-ES"/>
              </w:rPr>
              <w:t xml:space="preserve">1089 </w:t>
            </w:r>
            <w:r w:rsidRPr="008E6AD9">
              <w:rPr>
                <w:rFonts w:ascii="Verdana" w:eastAsia="Calibri" w:hAnsi="Verdana" w:cs="Arial"/>
                <w:b/>
                <w:bCs/>
                <w:lang w:val="es-ES" w:eastAsia="es-ES"/>
              </w:rPr>
              <w:t>de 202</w:t>
            </w:r>
            <w:r>
              <w:rPr>
                <w:rFonts w:ascii="Verdana" w:eastAsia="Calibri" w:hAnsi="Verdana" w:cs="Arial"/>
                <w:b/>
                <w:bCs/>
                <w:lang w:val="es-ES" w:eastAsia="es-ES"/>
              </w:rPr>
              <w:t>6</w:t>
            </w:r>
          </w:p>
        </w:tc>
      </w:tr>
      <w:tr w:rsidR="00C71B18" w:rsidRPr="00593A5F" w14:paraId="1804E4D0" w14:textId="77777777" w:rsidTr="00121654">
        <w:trPr>
          <w:trHeight w:val="884"/>
        </w:trPr>
        <w:tc>
          <w:tcPr>
            <w:tcW w:w="2689" w:type="dxa"/>
          </w:tcPr>
          <w:p w14:paraId="7721D85C" w14:textId="77777777" w:rsidR="00C71B18" w:rsidRPr="00593A5F" w:rsidRDefault="00C71B18" w:rsidP="00121654">
            <w:pPr>
              <w:jc w:val="both"/>
              <w:rPr>
                <w:rFonts w:ascii="Verdana" w:eastAsia="Calibri" w:hAnsi="Verdana" w:cs="Arial"/>
                <w:color w:val="000000"/>
                <w:lang w:val="es-ES_tradnl" w:eastAsia="es-ES_tradnl"/>
              </w:rPr>
            </w:pPr>
            <w:r w:rsidRPr="00593A5F">
              <w:rPr>
                <w:rFonts w:ascii="Verdana" w:eastAsia="Calibri" w:hAnsi="Verdana" w:cs="Arial"/>
                <w:b/>
                <w:color w:val="000000"/>
                <w:lang w:val="es-ES_tradnl" w:eastAsia="es-ES_tradnl"/>
              </w:rPr>
              <w:t>Temas:</w:t>
            </w:r>
            <w:r w:rsidRPr="00593A5F">
              <w:rPr>
                <w:rFonts w:ascii="Verdana" w:eastAsia="Calibri" w:hAnsi="Verdana" w:cs="Arial"/>
                <w:color w:val="000000"/>
                <w:lang w:val="es-ES_tradnl" w:eastAsia="es-ES_tradnl"/>
              </w:rPr>
              <w:t xml:space="preserve">                   </w:t>
            </w:r>
          </w:p>
        </w:tc>
        <w:tc>
          <w:tcPr>
            <w:tcW w:w="6100" w:type="dxa"/>
          </w:tcPr>
          <w:p w14:paraId="6876461E" w14:textId="77777777" w:rsidR="00C71B18" w:rsidRPr="00A11406" w:rsidRDefault="00C71B18" w:rsidP="00121654">
            <w:pPr>
              <w:spacing w:line="276" w:lineRule="auto"/>
              <w:jc w:val="both"/>
              <w:rPr>
                <w:rFonts w:ascii="Verdana" w:eastAsia="Calibri" w:hAnsi="Verdana" w:cs="Arial"/>
                <w:lang w:val="es-ES" w:eastAsia="es-ES"/>
              </w:rPr>
            </w:pPr>
            <w:r w:rsidRPr="00623E39">
              <w:rPr>
                <w:rFonts w:ascii="Verdana" w:eastAsia="Calibri" w:hAnsi="Verdana" w:cs="Arial"/>
                <w:lang w:val="es-ES" w:eastAsia="es-ES"/>
              </w:rPr>
              <w:t>EGCAP – Ámbito de aplicación – Entidades estatales / CONTRATACIÓN DIRECTA – Ley 1150 de 2007 – Artículo 2.4 – Literal d) – Alcance / SECTOR DEFENSA – Estructura – Entidades adscritas – Entidades vinculadas / SEGURIDAD Y DEFENSA NACIONAL – Concepto jurídico indeterminado</w:t>
            </w:r>
            <w:r>
              <w:rPr>
                <w:rFonts w:ascii="Verdana" w:eastAsia="Calibri" w:hAnsi="Verdana" w:cs="Arial"/>
                <w:lang w:val="es-ES" w:eastAsia="es-ES"/>
              </w:rPr>
              <w:t xml:space="preserve"> / </w:t>
            </w:r>
            <w:r w:rsidRPr="001D0962">
              <w:rPr>
                <w:rFonts w:ascii="Verdana" w:eastAsia="Calibri" w:hAnsi="Verdana" w:cs="Arial"/>
                <w:lang w:val="es-ES" w:eastAsia="es-ES"/>
              </w:rPr>
              <w:t xml:space="preserve">INDUSTRIA MILITAR – Armas, municiones, explosivos – Monopolio armamentístico     </w:t>
            </w:r>
            <w:r w:rsidRPr="009673B4">
              <w:rPr>
                <w:rFonts w:ascii="Verdana" w:eastAsia="Calibri" w:hAnsi="Verdana" w:cs="Arial"/>
                <w:lang w:val="es-ES" w:eastAsia="es-ES"/>
              </w:rPr>
              <w:t xml:space="preserve">  </w:t>
            </w:r>
            <w:r w:rsidRPr="00B24DBE">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r w:rsidRPr="00BE364D">
              <w:rPr>
                <w:rFonts w:ascii="Verdana" w:eastAsia="Calibri" w:hAnsi="Verdana" w:cs="Arial"/>
                <w:lang w:val="es-ES" w:eastAsia="es-ES"/>
              </w:rPr>
              <w:t xml:space="preserve">  </w:t>
            </w:r>
            <w:r w:rsidRPr="00E23D97">
              <w:rPr>
                <w:rFonts w:ascii="Verdana" w:eastAsia="Calibri" w:hAnsi="Verdana" w:cs="Arial"/>
                <w:lang w:val="es-ES" w:eastAsia="es-ES"/>
              </w:rPr>
              <w:t xml:space="preserve"> </w:t>
            </w:r>
            <w:r w:rsidRPr="009E03E6">
              <w:rPr>
                <w:rFonts w:ascii="Verdana" w:eastAsia="Calibri" w:hAnsi="Verdana" w:cs="Arial"/>
                <w:lang w:val="es-ES" w:eastAsia="es-ES"/>
              </w:rPr>
              <w:t xml:space="preserve">  </w:t>
            </w:r>
            <w:r w:rsidRPr="006E6F30">
              <w:rPr>
                <w:rFonts w:ascii="Verdana" w:eastAsia="Calibri" w:hAnsi="Verdana" w:cs="Arial"/>
                <w:lang w:val="es-ES" w:eastAsia="es-ES"/>
              </w:rPr>
              <w:t xml:space="preserve"> </w:t>
            </w:r>
            <w:r w:rsidRPr="00FA3A97">
              <w:rPr>
                <w:rFonts w:ascii="Verdana" w:eastAsia="Calibri" w:hAnsi="Verdana" w:cs="Arial"/>
                <w:lang w:val="es-ES" w:eastAsia="es-ES"/>
              </w:rPr>
              <w:t xml:space="preserve">  </w:t>
            </w:r>
          </w:p>
          <w:p w14:paraId="1C6CE11D" w14:textId="77777777" w:rsidR="00C71B18" w:rsidRPr="00593A5F" w:rsidRDefault="00C71B18" w:rsidP="00121654">
            <w:pPr>
              <w:spacing w:line="276" w:lineRule="auto"/>
              <w:jc w:val="both"/>
              <w:rPr>
                <w:rFonts w:ascii="Verdana" w:eastAsia="Calibri" w:hAnsi="Verdana" w:cs="Arial"/>
                <w:lang w:val="es-ES" w:eastAsia="es-ES"/>
              </w:rPr>
            </w:pPr>
            <w:r w:rsidRPr="00A11406">
              <w:rPr>
                <w:rFonts w:ascii="Verdana" w:eastAsia="Calibri" w:hAnsi="Verdana" w:cs="Arial"/>
                <w:lang w:val="es-ES" w:eastAsia="es-ES"/>
              </w:rPr>
              <w:t xml:space="preserve"> </w:t>
            </w:r>
            <w:r w:rsidRPr="00D1484F">
              <w:rPr>
                <w:rFonts w:ascii="Verdana" w:eastAsia="Calibri" w:hAnsi="Verdana" w:cs="Arial"/>
                <w:lang w:val="es-ES" w:eastAsia="es-ES"/>
              </w:rPr>
              <w:t xml:space="preserve"> </w:t>
            </w:r>
          </w:p>
        </w:tc>
      </w:tr>
      <w:tr w:rsidR="00C71B18" w:rsidRPr="008E6AD9" w14:paraId="2460BBE3" w14:textId="77777777" w:rsidTr="00121654">
        <w:tc>
          <w:tcPr>
            <w:tcW w:w="2689" w:type="dxa"/>
          </w:tcPr>
          <w:p w14:paraId="0ECAB9C9" w14:textId="77777777" w:rsidR="00C71B18" w:rsidRPr="008E6AD9" w:rsidRDefault="00C71B18" w:rsidP="00121654">
            <w:pPr>
              <w:jc w:val="both"/>
              <w:rPr>
                <w:rFonts w:ascii="Verdana" w:eastAsia="Calibri" w:hAnsi="Verdana" w:cs="Arial"/>
                <w:b/>
                <w:lang w:val="es-ES_tradnl" w:eastAsia="es-ES_tradnl"/>
              </w:rPr>
            </w:pPr>
            <w:r w:rsidRPr="008E6AD9">
              <w:rPr>
                <w:rFonts w:ascii="Verdana" w:eastAsia="Calibri" w:hAnsi="Verdana" w:cs="Arial"/>
                <w:b/>
                <w:lang w:val="es-ES_tradnl" w:eastAsia="es-ES_tradnl"/>
              </w:rPr>
              <w:t>Radicación:</w:t>
            </w:r>
            <w:r w:rsidRPr="008E6AD9">
              <w:rPr>
                <w:rFonts w:ascii="Verdana" w:eastAsia="Calibri" w:hAnsi="Verdana" w:cs="Arial"/>
                <w:lang w:val="es-ES_tradnl" w:eastAsia="es-ES_tradnl"/>
              </w:rPr>
              <w:t xml:space="preserve">               </w:t>
            </w:r>
          </w:p>
        </w:tc>
        <w:tc>
          <w:tcPr>
            <w:tcW w:w="6100" w:type="dxa"/>
          </w:tcPr>
          <w:p w14:paraId="12460CAB" w14:textId="77777777" w:rsidR="00C71B18" w:rsidRPr="00B92340" w:rsidRDefault="00C71B18" w:rsidP="00121654">
            <w:pPr>
              <w:spacing w:line="276" w:lineRule="auto"/>
              <w:jc w:val="both"/>
              <w:rPr>
                <w:rFonts w:ascii="Verdana" w:eastAsia="Calibri" w:hAnsi="Verdana" w:cs="Arial"/>
                <w:lang w:val="es-ES_tradnl" w:eastAsia="es-ES_tradnl"/>
              </w:rPr>
            </w:pPr>
            <w:r w:rsidRPr="008E6AD9">
              <w:rPr>
                <w:rFonts w:ascii="Verdana" w:eastAsia="Calibri" w:hAnsi="Verdana" w:cs="Arial"/>
                <w:lang w:val="es-ES_tradnl" w:eastAsia="es-ES_tradnl"/>
              </w:rPr>
              <w:t xml:space="preserve">Respuesta a </w:t>
            </w:r>
            <w:r>
              <w:rPr>
                <w:rFonts w:ascii="Verdana" w:eastAsia="Calibri" w:hAnsi="Verdana" w:cs="Arial"/>
                <w:lang w:val="es-ES_tradnl" w:eastAsia="es-ES_tradnl"/>
              </w:rPr>
              <w:t xml:space="preserve">las </w:t>
            </w:r>
            <w:r w:rsidRPr="008E6AD9">
              <w:rPr>
                <w:rFonts w:ascii="Verdana" w:eastAsia="Calibri" w:hAnsi="Verdana" w:cs="Arial"/>
                <w:lang w:val="es-ES_tradnl" w:eastAsia="es-ES_tradnl"/>
              </w:rPr>
              <w:t>consulta</w:t>
            </w:r>
            <w:r>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con radicado</w:t>
            </w:r>
            <w:r>
              <w:rPr>
                <w:rFonts w:ascii="Verdana" w:eastAsia="Calibri" w:hAnsi="Verdana" w:cs="Arial"/>
                <w:lang w:val="es-ES_tradnl" w:eastAsia="es-ES_tradnl"/>
              </w:rPr>
              <w:t>s</w:t>
            </w:r>
            <w:r w:rsidRPr="008E6AD9">
              <w:rPr>
                <w:rFonts w:ascii="Verdana" w:eastAsia="Calibri" w:hAnsi="Verdana" w:cs="Arial"/>
                <w:lang w:val="es-ES_tradnl" w:eastAsia="es-ES_tradnl"/>
              </w:rPr>
              <w:t xml:space="preserve"> No.</w:t>
            </w:r>
            <w:r>
              <w:rPr>
                <w:rFonts w:ascii="Verdana" w:eastAsia="Calibri" w:hAnsi="Verdana" w:cs="Arial"/>
                <w:lang w:val="es-ES_tradnl" w:eastAsia="es-ES_tradnl"/>
              </w:rPr>
              <w:t xml:space="preserve"> </w:t>
            </w:r>
            <w:r w:rsidRPr="00E9070C">
              <w:rPr>
                <w:rFonts w:ascii="Verdana" w:eastAsia="Calibri" w:hAnsi="Verdana" w:cs="Arial"/>
                <w:lang w:val="es-ES_tradnl" w:eastAsia="es-ES_tradnl"/>
              </w:rPr>
              <w:t>1_2026_07_07_009031</w:t>
            </w:r>
            <w:r>
              <w:rPr>
                <w:rFonts w:ascii="Verdana" w:eastAsia="Calibri" w:hAnsi="Verdana" w:cs="Arial"/>
                <w:lang w:val="es-ES_tradnl" w:eastAsia="es-ES_tradnl"/>
              </w:rPr>
              <w:t xml:space="preserve">, </w:t>
            </w:r>
            <w:r w:rsidRPr="00E9070C">
              <w:rPr>
                <w:rFonts w:ascii="Verdana" w:eastAsia="Calibri" w:hAnsi="Verdana" w:cs="Arial"/>
                <w:lang w:val="es-ES_tradnl" w:eastAsia="es-ES_tradnl"/>
              </w:rPr>
              <w:t xml:space="preserve">1_2026_07_07_009035 </w:t>
            </w:r>
            <w:r>
              <w:rPr>
                <w:rFonts w:ascii="Verdana" w:eastAsia="Calibri" w:hAnsi="Verdana" w:cs="Arial"/>
                <w:lang w:val="es-ES_tradnl" w:eastAsia="es-ES_tradnl"/>
              </w:rPr>
              <w:t xml:space="preserve">y </w:t>
            </w:r>
            <w:r w:rsidRPr="00E9070C">
              <w:rPr>
                <w:rFonts w:ascii="Verdana" w:eastAsia="Calibri" w:hAnsi="Verdana" w:cs="Arial"/>
                <w:lang w:val="es-ES_tradnl" w:eastAsia="es-ES_tradnl"/>
              </w:rPr>
              <w:t>1_2026_07_09_009114</w:t>
            </w:r>
            <w:r w:rsidRPr="008E6AD9">
              <w:rPr>
                <w:rFonts w:ascii="Verdana" w:eastAsia="Calibri" w:hAnsi="Verdana" w:cs="Arial"/>
                <w:lang w:val="es-ES_tradnl" w:eastAsia="es-ES_tradnl"/>
              </w:rPr>
              <w:t xml:space="preserve"> </w:t>
            </w:r>
            <w:r>
              <w:rPr>
                <w:rFonts w:ascii="Verdana" w:eastAsia="Calibri" w:hAnsi="Verdana" w:cs="Arial"/>
                <w:lang w:val="es-ES_tradnl" w:eastAsia="es-ES_tradnl"/>
              </w:rPr>
              <w:t xml:space="preserve">–Acumulados–                                   </w:t>
            </w:r>
          </w:p>
        </w:tc>
      </w:tr>
    </w:tbl>
    <w:p w14:paraId="2E14BD0C" w14:textId="77777777" w:rsidR="00C71B18" w:rsidRPr="00593A5F" w:rsidRDefault="00C71B18" w:rsidP="00C71B18">
      <w:pPr>
        <w:spacing w:after="0" w:line="240" w:lineRule="auto"/>
        <w:jc w:val="both"/>
        <w:rPr>
          <w:rFonts w:ascii="Verdana" w:eastAsia="Calibri" w:hAnsi="Verdana" w:cs="Arial"/>
          <w:color w:val="000000"/>
          <w:lang w:val="es-ES_tradnl" w:eastAsia="es-ES_tradnl"/>
        </w:rPr>
      </w:pPr>
    </w:p>
    <w:p w14:paraId="6CA53712" w14:textId="77777777" w:rsidR="00C71B18" w:rsidRPr="00593A5F" w:rsidRDefault="00C71B18" w:rsidP="00C71B18">
      <w:pPr>
        <w:spacing w:after="0" w:line="240" w:lineRule="auto"/>
        <w:jc w:val="both"/>
        <w:rPr>
          <w:rFonts w:ascii="Verdana" w:eastAsia="Calibri" w:hAnsi="Verdana" w:cs="Arial"/>
          <w:color w:val="000000"/>
          <w:lang w:val="es-ES_tradnl" w:eastAsia="es-ES_tradnl"/>
        </w:rPr>
      </w:pPr>
    </w:p>
    <w:p w14:paraId="193E92D8" w14:textId="74C6C694" w:rsidR="00C71B18" w:rsidRPr="008E6AD9" w:rsidRDefault="00C71B18" w:rsidP="00C71B18">
      <w:pPr>
        <w:spacing w:after="0" w:line="276" w:lineRule="auto"/>
        <w:jc w:val="both"/>
        <w:rPr>
          <w:rFonts w:ascii="Verdana" w:eastAsia="Calibri" w:hAnsi="Verdana" w:cs="Arial"/>
          <w:lang w:val="es-ES" w:eastAsia="es-ES"/>
        </w:rPr>
      </w:pPr>
      <w:r w:rsidRPr="008E6AD9">
        <w:rPr>
          <w:rFonts w:ascii="Verdana" w:eastAsia="Calibri" w:hAnsi="Verdana" w:cs="Arial"/>
          <w:lang w:val="es-ES" w:eastAsia="es-ES"/>
        </w:rPr>
        <w:t>Estimad</w:t>
      </w:r>
      <w:r>
        <w:rPr>
          <w:rFonts w:ascii="Verdana" w:eastAsia="Calibri" w:hAnsi="Verdana" w:cs="Arial"/>
          <w:lang w:val="es-ES" w:eastAsia="es-ES"/>
        </w:rPr>
        <w:t>o</w:t>
      </w:r>
      <w:r w:rsidRPr="008E6AD9">
        <w:rPr>
          <w:rFonts w:ascii="Verdana" w:eastAsia="Calibri" w:hAnsi="Verdana" w:cs="Arial"/>
          <w:lang w:val="es-ES" w:eastAsia="es-ES"/>
        </w:rPr>
        <w:t xml:space="preserve"> </w:t>
      </w:r>
      <w:r w:rsidR="00DA7C9C">
        <w:rPr>
          <w:rFonts w:ascii="Verdana" w:eastAsia="Calibri" w:hAnsi="Verdana" w:cs="Arial"/>
          <w:lang w:val="es-ES" w:eastAsia="es-ES"/>
        </w:rPr>
        <w:t>coronel</w:t>
      </w:r>
      <w:r>
        <w:rPr>
          <w:rFonts w:ascii="Verdana" w:eastAsia="Calibri" w:hAnsi="Verdana" w:cs="Arial"/>
          <w:lang w:val="es-ES" w:eastAsia="es-ES"/>
        </w:rPr>
        <w:t xml:space="preserve"> </w:t>
      </w:r>
      <w:r w:rsidRPr="0023071C">
        <w:rPr>
          <w:rFonts w:ascii="Verdana" w:eastAsia="Calibri" w:hAnsi="Verdana" w:cs="Arial"/>
          <w:lang w:val="es-ES" w:eastAsia="es-ES"/>
        </w:rPr>
        <w:t>Barrios Perdomo</w:t>
      </w:r>
      <w:r w:rsidRPr="008E6AD9">
        <w:rPr>
          <w:rFonts w:ascii="Verdana" w:eastAsia="Calibri" w:hAnsi="Verdana" w:cs="Arial"/>
          <w:lang w:val="es-ES" w:eastAsia="es-ES"/>
        </w:rPr>
        <w:t xml:space="preserve">: </w:t>
      </w:r>
    </w:p>
    <w:p w14:paraId="10943220" w14:textId="77777777" w:rsidR="00C71B18" w:rsidRDefault="00C71B18" w:rsidP="00C71B18">
      <w:pPr>
        <w:tabs>
          <w:tab w:val="left" w:pos="3768"/>
        </w:tabs>
        <w:spacing w:after="0" w:line="276" w:lineRule="auto"/>
        <w:jc w:val="both"/>
        <w:rPr>
          <w:rFonts w:ascii="Verdana" w:eastAsia="Calibri" w:hAnsi="Verdana" w:cs="Arial"/>
          <w:color w:val="000000" w:themeColor="text1"/>
          <w:lang w:val="es-ES" w:eastAsia="es-ES"/>
        </w:rPr>
      </w:pPr>
      <w:r>
        <w:rPr>
          <w:rFonts w:ascii="Verdana" w:eastAsia="Calibri" w:hAnsi="Verdana" w:cs="Arial"/>
          <w:color w:val="000000" w:themeColor="text1"/>
          <w:lang w:val="es-ES" w:eastAsia="es-ES"/>
        </w:rPr>
        <w:tab/>
      </w:r>
    </w:p>
    <w:p w14:paraId="2053BE4F" w14:textId="77777777" w:rsidR="00C71B18" w:rsidRPr="00593A5F" w:rsidRDefault="00C71B18" w:rsidP="00C71B18">
      <w:pPr>
        <w:spacing w:after="0" w:line="276" w:lineRule="auto"/>
        <w:jc w:val="both"/>
        <w:rPr>
          <w:rFonts w:ascii="Verdana" w:eastAsia="Calibri" w:hAnsi="Verdana" w:cs="Arial"/>
          <w:color w:val="7030A0"/>
          <w:lang w:val="es-ES" w:eastAsia="es-ES"/>
        </w:rPr>
      </w:pPr>
      <w:r w:rsidRPr="00593A5F">
        <w:rPr>
          <w:rFonts w:ascii="Verdana" w:eastAsia="Calibri" w:hAnsi="Verdana" w:cs="Arial"/>
          <w:color w:val="000000" w:themeColor="text1"/>
          <w:lang w:val="es-ES" w:eastAsia="es-ES"/>
        </w:rPr>
        <w:t>En ejercicio de la competencia otorgada por los artículos 3, numeral 5º, y 11, numeral 8º, del Decreto Ley 4170 de 2011,</w:t>
      </w:r>
      <w:r w:rsidRPr="00593A5F">
        <w:rPr>
          <w:rFonts w:ascii="Verdana" w:eastAsia="Arial MT" w:hAnsi="Verdana" w:cs="Arial MT"/>
          <w:lang w:val="es-ES" w:eastAsia="es-ES"/>
        </w:rPr>
        <w:t xml:space="preserve"> </w:t>
      </w:r>
      <w:r w:rsidRPr="003B6F24">
        <w:rPr>
          <w:rFonts w:ascii="Verdana" w:hAnsi="Verdana" w:cs="Arial"/>
        </w:rPr>
        <w:t>así como lo establecido en el artículo 4 de la Resolución 469 de 2025 expedida por esta Entidad</w:t>
      </w:r>
      <w:r w:rsidRPr="00593A5F">
        <w:rPr>
          <w:rFonts w:ascii="Verdana" w:hAnsi="Verdana" w:cs="Arial"/>
        </w:rPr>
        <w:t xml:space="preserve">, </w:t>
      </w:r>
      <w:r w:rsidRPr="00593A5F">
        <w:rPr>
          <w:rFonts w:ascii="Verdana" w:eastAsia="Calibri" w:hAnsi="Verdana" w:cs="Arial"/>
          <w:color w:val="000000" w:themeColor="text1"/>
          <w:lang w:val="es-ES" w:eastAsia="es-ES"/>
        </w:rPr>
        <w:t>la Agencia Nacional de Contratación Pública – Colombia Compra Eficiente responde su</w:t>
      </w:r>
      <w:r>
        <w:rPr>
          <w:rFonts w:ascii="Verdana" w:eastAsia="Calibri" w:hAnsi="Verdana" w:cs="Arial"/>
          <w:color w:val="000000" w:themeColor="text1"/>
          <w:lang w:val="es-ES" w:eastAsia="es-ES"/>
        </w:rPr>
        <w:t>s</w:t>
      </w:r>
      <w:r w:rsidRPr="00593A5F">
        <w:rPr>
          <w:rFonts w:ascii="Verdana" w:eastAsia="Calibri" w:hAnsi="Verdana" w:cs="Arial"/>
          <w:color w:val="000000" w:themeColor="text1"/>
          <w:lang w:val="es-ES" w:eastAsia="es-ES"/>
        </w:rPr>
        <w:t xml:space="preserve"> solicitud</w:t>
      </w:r>
      <w:r>
        <w:rPr>
          <w:rFonts w:ascii="Verdana" w:eastAsia="Calibri" w:hAnsi="Verdana" w:cs="Arial"/>
          <w:color w:val="000000" w:themeColor="text1"/>
          <w:lang w:val="es-ES" w:eastAsia="es-ES"/>
        </w:rPr>
        <w:t>es</w:t>
      </w:r>
      <w:r w:rsidRPr="00593A5F">
        <w:rPr>
          <w:rFonts w:ascii="Verdana" w:eastAsia="Calibri" w:hAnsi="Verdana" w:cs="Arial"/>
          <w:color w:val="000000" w:themeColor="text1"/>
          <w:lang w:val="es-ES" w:eastAsia="es-ES"/>
        </w:rPr>
        <w:t xml:space="preserve"> de</w:t>
      </w:r>
      <w:r>
        <w:rPr>
          <w:rFonts w:ascii="Verdana" w:eastAsia="Calibri" w:hAnsi="Verdana" w:cs="Arial"/>
          <w:color w:val="000000" w:themeColor="text1"/>
          <w:lang w:val="es-ES" w:eastAsia="es-ES"/>
        </w:rPr>
        <w:t xml:space="preserve"> consulta de </w:t>
      </w:r>
      <w:r w:rsidRPr="008E6AD9">
        <w:rPr>
          <w:rFonts w:ascii="Verdana" w:eastAsia="Calibri" w:hAnsi="Verdana" w:cs="Arial"/>
          <w:lang w:val="es-ES" w:eastAsia="es-ES"/>
        </w:rPr>
        <w:t>fecha</w:t>
      </w:r>
      <w:r>
        <w:rPr>
          <w:rFonts w:ascii="Verdana" w:eastAsia="Calibri" w:hAnsi="Verdana" w:cs="Arial"/>
          <w:lang w:val="es-ES" w:eastAsia="es-ES"/>
        </w:rPr>
        <w:t>s 7 y 9 de julio de 2026, donde manifiesta que</w:t>
      </w:r>
      <w:r w:rsidRPr="008E6AD9">
        <w:rPr>
          <w:rFonts w:ascii="Verdana" w:eastAsia="Calibri" w:hAnsi="Verdana" w:cs="Arial"/>
          <w:lang w:val="es-ES" w:eastAsia="es-ES"/>
        </w:rPr>
        <w:t xml:space="preserve">: </w:t>
      </w:r>
    </w:p>
    <w:p w14:paraId="47B89785" w14:textId="77777777" w:rsidR="00C71B18" w:rsidRPr="00272A7B" w:rsidRDefault="00C71B18" w:rsidP="00C71B18">
      <w:pPr>
        <w:pStyle w:val="Prrafodelista"/>
        <w:tabs>
          <w:tab w:val="left" w:pos="142"/>
          <w:tab w:val="left" w:pos="284"/>
        </w:tabs>
        <w:spacing w:after="0" w:line="276" w:lineRule="auto"/>
        <w:ind w:left="0"/>
        <w:jc w:val="both"/>
        <w:rPr>
          <w:rFonts w:ascii="Verdana" w:eastAsia="Century Gothic" w:hAnsi="Verdana" w:cs="Century Gothic"/>
          <w:b/>
          <w:bCs/>
        </w:rPr>
      </w:pPr>
    </w:p>
    <w:p w14:paraId="0F999359" w14:textId="77777777" w:rsidR="00C71B18" w:rsidRPr="000D3BD7" w:rsidRDefault="00C71B18" w:rsidP="00C71B18">
      <w:pPr>
        <w:spacing w:after="120" w:line="240" w:lineRule="auto"/>
        <w:ind w:left="709" w:right="709"/>
        <w:jc w:val="both"/>
        <w:rPr>
          <w:rFonts w:ascii="Verdana" w:eastAsia="Century Gothic" w:hAnsi="Verdana" w:cs="Century Gothic"/>
          <w:sz w:val="20"/>
          <w:szCs w:val="20"/>
          <w:lang w:val="es-ES"/>
        </w:rPr>
      </w:pPr>
      <w:bookmarkStart w:id="0" w:name="_Hlk95313578"/>
      <w:r w:rsidRPr="001904AF">
        <w:rPr>
          <w:rFonts w:ascii="Verdana" w:eastAsia="Century Gothic" w:hAnsi="Verdana" w:cs="Century Gothic"/>
          <w:sz w:val="20"/>
          <w:szCs w:val="20"/>
          <w:lang w:val="es-ES"/>
        </w:rPr>
        <w:t>“</w:t>
      </w:r>
      <w:bookmarkEnd w:id="0"/>
      <w:r w:rsidRPr="000D3BD7">
        <w:rPr>
          <w:rFonts w:ascii="Verdana" w:eastAsia="Century Gothic" w:hAnsi="Verdana" w:cs="Century Gothic"/>
          <w:sz w:val="20"/>
          <w:szCs w:val="20"/>
          <w:lang w:val="es-ES"/>
        </w:rPr>
        <w:t xml:space="preserve">En ejercicio de la actividad contractual de la Policía Nacional de Colombia durante la vigencia 2026, con el objetivo de adquirir diversos bienes para el componente de armamento de la institución, la entidad se encuentra desarrollando actividades de planeación contractual necesarias para la </w:t>
      </w:r>
      <w:r w:rsidRPr="000D3BD7">
        <w:rPr>
          <w:rFonts w:ascii="Verdana" w:eastAsia="Century Gothic" w:hAnsi="Verdana" w:cs="Century Gothic"/>
          <w:sz w:val="20"/>
          <w:szCs w:val="20"/>
          <w:lang w:val="es-ES"/>
        </w:rPr>
        <w:lastRenderedPageBreak/>
        <w:t xml:space="preserve">estructuración de los respectivos procesos de compra, procesos que, por la naturaleza de los elementos a adquirir (Armamento, municiones y explosivos) exigen un tratamiento contractual especial, ya que, cualquier bien existente dentro del mercado no satisface las necesidades tenidas, y, por razones de orden normativo, en Colombia existe un monopolio de fabricación y comercialización de material bélico. </w:t>
      </w:r>
    </w:p>
    <w:p w14:paraId="11B6827E" w14:textId="77777777" w:rsidR="00C71B18" w:rsidRPr="000D3BD7" w:rsidRDefault="00C71B18" w:rsidP="00C71B18">
      <w:pPr>
        <w:spacing w:after="120" w:line="240" w:lineRule="auto"/>
        <w:ind w:left="709" w:right="709"/>
        <w:jc w:val="both"/>
        <w:rPr>
          <w:rFonts w:ascii="Verdana" w:eastAsia="Century Gothic" w:hAnsi="Verdana" w:cs="Century Gothic"/>
          <w:sz w:val="20"/>
          <w:szCs w:val="20"/>
          <w:lang w:val="es-ES"/>
        </w:rPr>
      </w:pPr>
      <w:r w:rsidRPr="000D3BD7">
        <w:rPr>
          <w:rFonts w:ascii="Verdana" w:eastAsia="Century Gothic" w:hAnsi="Verdana" w:cs="Century Gothic"/>
          <w:sz w:val="20"/>
          <w:szCs w:val="20"/>
          <w:lang w:val="es-ES"/>
        </w:rPr>
        <w:t xml:space="preserve">Por lo anterior, se manifiesta y solicita lo siguiente: </w:t>
      </w:r>
    </w:p>
    <w:p w14:paraId="21B8E85A" w14:textId="77777777" w:rsidR="00C71B18" w:rsidRPr="000D3BD7" w:rsidRDefault="00C71B18" w:rsidP="00C71B18">
      <w:pPr>
        <w:spacing w:after="120" w:line="240" w:lineRule="auto"/>
        <w:ind w:left="709" w:right="709"/>
        <w:jc w:val="both"/>
        <w:rPr>
          <w:rFonts w:ascii="Verdana" w:eastAsia="Century Gothic" w:hAnsi="Verdana" w:cs="Century Gothic"/>
          <w:sz w:val="20"/>
          <w:szCs w:val="20"/>
          <w:lang w:val="es-ES"/>
        </w:rPr>
      </w:pPr>
      <w:r w:rsidRPr="000D3BD7">
        <w:rPr>
          <w:rFonts w:ascii="Verdana" w:eastAsia="Century Gothic" w:hAnsi="Verdana" w:cs="Century Gothic"/>
          <w:sz w:val="20"/>
          <w:szCs w:val="20"/>
          <w:lang w:val="es-ES"/>
        </w:rPr>
        <w:t xml:space="preserve">Primeramente, se indica, que la Policía Nacional es una entidad sometida al Estatuto General de Contratación de la Administración Pública - EGCAP. En segundo orden, se precisa, que para la adquisición de armamento, municiones y explosivos nuestro proveedor natural lo es la INDUSTRIA MILITAR - INDUMIL, entidad que, de acuerdo con el artículo 223 de la Constitución Política de Colombia, la Ley 61 de 1993, el Decreto 1684 de 1985, y el Decreto 2593. de. 1993, representa y desarrolla en Colombia el monopolio para la fabricación y comercialización de armas municiones y explosivos. </w:t>
      </w:r>
    </w:p>
    <w:p w14:paraId="4DB69099" w14:textId="77777777" w:rsidR="00C71B18" w:rsidRPr="000D3BD7" w:rsidRDefault="00C71B18" w:rsidP="00C71B18">
      <w:pPr>
        <w:spacing w:after="120" w:line="240" w:lineRule="auto"/>
        <w:ind w:left="709" w:right="709"/>
        <w:jc w:val="both"/>
        <w:rPr>
          <w:rFonts w:ascii="Verdana" w:eastAsia="Century Gothic" w:hAnsi="Verdana" w:cs="Century Gothic"/>
          <w:sz w:val="20"/>
          <w:szCs w:val="20"/>
          <w:lang w:val="es-ES"/>
        </w:rPr>
      </w:pPr>
      <w:r w:rsidRPr="000D3BD7">
        <w:rPr>
          <w:rFonts w:ascii="Verdana" w:eastAsia="Century Gothic" w:hAnsi="Verdana" w:cs="Century Gothic"/>
          <w:sz w:val="20"/>
          <w:szCs w:val="20"/>
          <w:lang w:val="es-ES"/>
        </w:rPr>
        <w:t xml:space="preserve">Sin embargo, pese a múltiples solicitudes elevadas a dicha entidad (INDUMIL) para la obtención de información técnica, económica y comercial necesaria para la elaboración de los respectivos estudios previos, el análisis del sector, matrices de riesgos, entre otros documentos, y la determinación de presupuestos oficiales, no ha sido posible contar con las respuestas y cotizaciones requeridas, situación que limita el desarrollo eficiente, eficaz y oportuno de las actividades, fases y etapas precontractuales requeridas para satisfacer necesidades en materia abastecimiento bélico estratégico. </w:t>
      </w:r>
    </w:p>
    <w:p w14:paraId="6FD6177E" w14:textId="77777777" w:rsidR="00C71B18" w:rsidRPr="000D3BD7" w:rsidRDefault="00C71B18" w:rsidP="00C71B18">
      <w:pPr>
        <w:spacing w:after="120" w:line="240" w:lineRule="auto"/>
        <w:ind w:left="709" w:right="709"/>
        <w:jc w:val="both"/>
        <w:rPr>
          <w:rFonts w:ascii="Verdana" w:eastAsia="Century Gothic" w:hAnsi="Verdana" w:cs="Century Gothic"/>
          <w:sz w:val="20"/>
          <w:szCs w:val="20"/>
          <w:lang w:val="es-ES"/>
        </w:rPr>
      </w:pPr>
      <w:r w:rsidRPr="000D3BD7">
        <w:rPr>
          <w:rFonts w:ascii="Verdana" w:eastAsia="Century Gothic" w:hAnsi="Verdana" w:cs="Century Gothic"/>
          <w:sz w:val="20"/>
          <w:szCs w:val="20"/>
          <w:lang w:val="es-ES"/>
        </w:rPr>
        <w:t xml:space="preserve">Lo anterior reviste especial relevancia, si se considera que conforme con el artículo 2 del Decreto Ley 2535 de 1993, se establece la exclusividad del gobierno para introducir al país, exportar, fabricar y comercializar armas, municiones y explosivos, así como ejercer el control sobre dichas actividades, situación que genera una condición particular de mercado respecto de este tipo de bienes, y reduce la posibilidad de contar con múltiples fuentes de información para la construcción de los estudios y documentos previos que soportan la contratación estatal de entidades, que como la Policía Nacional, adquieren armas, municiones y explosivos. </w:t>
      </w:r>
    </w:p>
    <w:p w14:paraId="03503BC8" w14:textId="77777777" w:rsidR="00C71B18" w:rsidRDefault="00C71B18" w:rsidP="00C71B18">
      <w:pPr>
        <w:spacing w:after="120" w:line="240" w:lineRule="auto"/>
        <w:ind w:left="709" w:right="709"/>
        <w:jc w:val="both"/>
        <w:rPr>
          <w:rFonts w:ascii="Verdana" w:eastAsia="Century Gothic" w:hAnsi="Verdana" w:cs="Century Gothic"/>
          <w:sz w:val="20"/>
          <w:szCs w:val="20"/>
          <w:lang w:val="es-ES"/>
        </w:rPr>
      </w:pPr>
      <w:r w:rsidRPr="000D3BD7">
        <w:rPr>
          <w:rFonts w:ascii="Verdana" w:eastAsia="Century Gothic" w:hAnsi="Verdana" w:cs="Century Gothic"/>
          <w:sz w:val="20"/>
          <w:szCs w:val="20"/>
          <w:lang w:val="es-ES"/>
        </w:rPr>
        <w:t>En virtud de lo expuesto, y teniendo en cuenta la competencia de la Agencia Nacional de Contratación Pública Colombia Compra Eficiente como ente rector del Sistema de Compra Pública en Colombia de acuerdo con el Decreto 4170 de 2011, la Policía Nacional, respetuosamente, solicita se conceptúe sobre la manera de adquirir material bélico como armamento, munición y explosivos, por parte de entidades sometidas al Estatuto General de Contratación de la Administración Pública - EGCAP, como la Policía Nacional, especialmente en cuanto a los siguientes aspectos:</w:t>
      </w:r>
    </w:p>
    <w:p w14:paraId="381216A3" w14:textId="77777777" w:rsidR="00C71B18" w:rsidRPr="00701601" w:rsidRDefault="00C71B18" w:rsidP="00C71B18">
      <w:pPr>
        <w:spacing w:after="120" w:line="240" w:lineRule="auto"/>
        <w:ind w:left="709" w:right="709"/>
        <w:jc w:val="both"/>
        <w:rPr>
          <w:rFonts w:ascii="Verdana" w:eastAsia="Century Gothic" w:hAnsi="Verdana" w:cs="Century Gothic"/>
          <w:sz w:val="20"/>
          <w:szCs w:val="20"/>
          <w:lang w:val="es-ES"/>
        </w:rPr>
      </w:pPr>
      <w:r w:rsidRPr="00701601">
        <w:rPr>
          <w:rFonts w:ascii="Verdana" w:eastAsia="Century Gothic" w:hAnsi="Verdana" w:cs="Century Gothic"/>
          <w:sz w:val="20"/>
          <w:szCs w:val="20"/>
          <w:lang w:val="es-ES"/>
        </w:rPr>
        <w:lastRenderedPageBreak/>
        <w:t xml:space="preserve">i) De acuerdo con el articulo 223 de la Constitución Política de Colombia, la Ley 61 de 1993, el Decreto 1684 de 1985, el Decreto 2535 de 1993, el Acuerdo 439 de 2001 de INDUMIL, y las demás normas concordantes, la compra de dichos elementos ¿Debe realizarse obligatoriamente con la Industria Militar- INDUMIL? </w:t>
      </w:r>
    </w:p>
    <w:p w14:paraId="28FB40C9" w14:textId="77777777" w:rsidR="00C71B18" w:rsidRPr="00701601" w:rsidRDefault="00C71B18" w:rsidP="00C71B18">
      <w:pPr>
        <w:spacing w:after="120" w:line="240" w:lineRule="auto"/>
        <w:ind w:left="709" w:right="709"/>
        <w:jc w:val="both"/>
        <w:rPr>
          <w:rFonts w:ascii="Verdana" w:eastAsia="Century Gothic" w:hAnsi="Verdana" w:cs="Century Gothic"/>
          <w:sz w:val="20"/>
          <w:szCs w:val="20"/>
          <w:lang w:val="es-ES"/>
        </w:rPr>
      </w:pPr>
      <w:proofErr w:type="spellStart"/>
      <w:r w:rsidRPr="00701601">
        <w:rPr>
          <w:rFonts w:ascii="Verdana" w:eastAsia="Century Gothic" w:hAnsi="Verdana" w:cs="Century Gothic"/>
          <w:sz w:val="20"/>
          <w:szCs w:val="20"/>
          <w:lang w:val="es-ES"/>
        </w:rPr>
        <w:t>ii</w:t>
      </w:r>
      <w:proofErr w:type="spellEnd"/>
      <w:r w:rsidRPr="00701601">
        <w:rPr>
          <w:rFonts w:ascii="Verdana" w:eastAsia="Century Gothic" w:hAnsi="Verdana" w:cs="Century Gothic"/>
          <w:sz w:val="20"/>
          <w:szCs w:val="20"/>
          <w:lang w:val="es-ES"/>
        </w:rPr>
        <w:t xml:space="preserve">) En caso de que la Industria Militar - INDUMIL, no tenga la capacidad de producción o venta, no asegure la calidad requerida para los elementos o condicione la oportunidad en la entrega de los bienes, ¿es posible realizar el proceso de compra con otros proveedores del mercado y/o en otras modalidades y causales de contratación?, y ¿Cómo debe procederse en este caso? </w:t>
      </w:r>
    </w:p>
    <w:p w14:paraId="49F13A22" w14:textId="77777777" w:rsidR="00C71B18" w:rsidRPr="00701601" w:rsidRDefault="00C71B18" w:rsidP="00C71B18">
      <w:pPr>
        <w:spacing w:after="120" w:line="240" w:lineRule="auto"/>
        <w:ind w:left="709" w:right="709"/>
        <w:jc w:val="both"/>
        <w:rPr>
          <w:rFonts w:ascii="Verdana" w:eastAsia="Century Gothic" w:hAnsi="Verdana" w:cs="Century Gothic"/>
          <w:sz w:val="20"/>
          <w:szCs w:val="20"/>
          <w:lang w:val="es-ES"/>
        </w:rPr>
      </w:pPr>
      <w:proofErr w:type="spellStart"/>
      <w:r w:rsidRPr="00701601">
        <w:rPr>
          <w:rFonts w:ascii="Verdana" w:eastAsia="Century Gothic" w:hAnsi="Verdana" w:cs="Century Gothic"/>
          <w:sz w:val="20"/>
          <w:szCs w:val="20"/>
          <w:lang w:val="es-ES"/>
        </w:rPr>
        <w:t>iii</w:t>
      </w:r>
      <w:proofErr w:type="spellEnd"/>
      <w:r w:rsidRPr="00701601">
        <w:rPr>
          <w:rFonts w:ascii="Verdana" w:eastAsia="Century Gothic" w:hAnsi="Verdana" w:cs="Century Gothic"/>
          <w:sz w:val="20"/>
          <w:szCs w:val="20"/>
          <w:lang w:val="es-ES"/>
        </w:rPr>
        <w:t xml:space="preserve">) En caso de que la Industria Militar - INDUMIL, no entregue, entregue de manera parcial o inexacta, de forma inoportuna o condicionada la información técnica, económica, comercial o cualquier otra requerida para la estructuración y adelanto de procesos de contratación, ¿Puede continuarse dichos procesos con otros proveedores del mercado y/o en otras modalidades у causales de selección?, ¿Cómo debe procederse en este caso?, y ¿Bastaría con que transcurra el término de 10 días hábiles de que trata la Ley 1437 de 2011, sin obtener respuesta a una solicitud de información, para proseguir con el proceso sin la participación de la INDUMIL?. </w:t>
      </w:r>
    </w:p>
    <w:p w14:paraId="464FFF65" w14:textId="77777777" w:rsidR="00C71B18" w:rsidRPr="008E6AD9" w:rsidRDefault="00C71B18" w:rsidP="00C71B18">
      <w:pPr>
        <w:spacing w:after="0" w:line="240" w:lineRule="auto"/>
        <w:ind w:left="709" w:right="709"/>
        <w:jc w:val="both"/>
        <w:rPr>
          <w:rFonts w:ascii="Verdana" w:eastAsia="Century Gothic" w:hAnsi="Verdana" w:cs="Century Gothic"/>
          <w:b/>
          <w:bCs/>
        </w:rPr>
      </w:pPr>
      <w:proofErr w:type="spellStart"/>
      <w:r w:rsidRPr="00701601">
        <w:rPr>
          <w:rFonts w:ascii="Verdana" w:eastAsia="Century Gothic" w:hAnsi="Verdana" w:cs="Century Gothic"/>
          <w:sz w:val="20"/>
          <w:szCs w:val="20"/>
          <w:lang w:val="es-ES"/>
        </w:rPr>
        <w:t>iv</w:t>
      </w:r>
      <w:proofErr w:type="spellEnd"/>
      <w:r w:rsidRPr="00701601">
        <w:rPr>
          <w:rFonts w:ascii="Verdana" w:eastAsia="Century Gothic" w:hAnsi="Verdana" w:cs="Century Gothic"/>
          <w:sz w:val="20"/>
          <w:szCs w:val="20"/>
          <w:lang w:val="es-ES"/>
        </w:rPr>
        <w:t>) De acuerdo con el Estatuto General de Contratación de la Administración Pública - EGCAP, ¿Cuál es la modalidad y causal de selección que debe aplicarse para la adquisición de armamento, municiones y explosivos; o por su naturaleza, ¿Existiría un régimen especial o exceptuado para la compra de este tipo de bienes?</w:t>
      </w:r>
      <w:r>
        <w:rPr>
          <w:rFonts w:ascii="Verdana" w:eastAsia="Century Gothic" w:hAnsi="Verdana" w:cs="Century Gothic"/>
          <w:sz w:val="20"/>
          <w:szCs w:val="20"/>
          <w:lang w:val="es-ES"/>
        </w:rPr>
        <w:t>”.</w:t>
      </w:r>
    </w:p>
    <w:p w14:paraId="0605A5C1" w14:textId="77777777" w:rsidR="00C71B18" w:rsidRDefault="00C71B18" w:rsidP="00C71B18">
      <w:pPr>
        <w:spacing w:after="0" w:line="276" w:lineRule="auto"/>
        <w:ind w:firstLine="709"/>
        <w:jc w:val="both"/>
        <w:rPr>
          <w:rFonts w:ascii="Verdana" w:eastAsia="Calibri" w:hAnsi="Verdana" w:cs="Arial"/>
          <w:color w:val="000000"/>
          <w:lang w:val="es-ES" w:eastAsia="es-ES"/>
        </w:rPr>
      </w:pPr>
    </w:p>
    <w:p w14:paraId="21B48B59" w14:textId="77777777" w:rsidR="00C71B18" w:rsidRPr="00A652FF" w:rsidRDefault="00C71B18" w:rsidP="00C71B18">
      <w:pPr>
        <w:spacing w:after="120" w:line="276" w:lineRule="auto"/>
        <w:ind w:firstLine="709"/>
        <w:jc w:val="both"/>
        <w:rPr>
          <w:rFonts w:ascii="Verdana" w:eastAsia="Calibri" w:hAnsi="Verdana" w:cs="Arial"/>
          <w:color w:val="000000"/>
          <w:lang w:val="es-ES" w:eastAsia="es-ES"/>
        </w:rPr>
      </w:pPr>
      <w:r>
        <w:rPr>
          <w:rFonts w:ascii="Verdana" w:eastAsia="Calibri" w:hAnsi="Verdana" w:cs="Arial"/>
          <w:color w:val="000000"/>
          <w:lang w:val="es-ES" w:eastAsia="es-ES"/>
        </w:rPr>
        <w:t>De manera preliminar</w:t>
      </w:r>
      <w:r w:rsidRPr="00593A5F">
        <w:rPr>
          <w:rFonts w:ascii="Verdana" w:eastAsia="Calibri" w:hAnsi="Verdana" w:cs="Arial"/>
          <w:color w:val="000000"/>
          <w:lang w:val="es-ES" w:eastAsia="es-ES"/>
        </w:rPr>
        <w:t>, resulta necesario acotar que esta entidad s</w:t>
      </w:r>
      <w:r>
        <w:rPr>
          <w:rFonts w:ascii="Verdana" w:eastAsia="Calibri" w:hAnsi="Verdana" w:cs="Arial"/>
          <w:color w:val="000000"/>
          <w:lang w:val="es-ES" w:eastAsia="es-ES"/>
        </w:rPr>
        <w:t>ó</w:t>
      </w:r>
      <w:r w:rsidRPr="00593A5F">
        <w:rPr>
          <w:rFonts w:ascii="Verdana" w:eastAsia="Calibri" w:hAnsi="Verdana" w:cs="Arial"/>
          <w:color w:val="000000"/>
          <w:lang w:val="es-ES" w:eastAsia="es-ES"/>
        </w:rPr>
        <w:t xml:space="preserve">lo tiene competencia para responder consultas sobre la aplicación de normas de carácter general en materia de compras y contratación pública. En ese sentido, resolver casos particulares desborda las atribuciones asignadas por el legislador extraordinario, que no concibió a Colombia Compra Eficiente como una autoridad para solucionar problemas jurídicos </w:t>
      </w:r>
      <w:r>
        <w:rPr>
          <w:rFonts w:ascii="Verdana" w:eastAsia="Calibri" w:hAnsi="Verdana" w:cs="Arial"/>
          <w:color w:val="000000"/>
          <w:lang w:val="es-ES" w:eastAsia="es-ES"/>
        </w:rPr>
        <w:t>concretos</w:t>
      </w:r>
      <w:r w:rsidRPr="00593A5F">
        <w:rPr>
          <w:rFonts w:ascii="Verdana" w:eastAsia="Calibri" w:hAnsi="Verdana" w:cs="Arial"/>
          <w:color w:val="000000"/>
          <w:lang w:val="es-ES" w:eastAsia="es-ES"/>
        </w:rPr>
        <w:t xml:space="preserve">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93A5F">
        <w:rPr>
          <w:rFonts w:ascii="Verdana" w:eastAsia="Calibri" w:hAnsi="Verdana" w:cs="Arial"/>
          <w:color w:val="000000"/>
          <w:szCs w:val="24"/>
          <w:lang w:val="es-ES_tradnl" w:eastAsia="es-ES_tradnl"/>
        </w:rPr>
        <w:tab/>
      </w:r>
    </w:p>
    <w:p w14:paraId="26528B95" w14:textId="77777777" w:rsidR="00C71B18" w:rsidRDefault="00C71B18" w:rsidP="00C71B18">
      <w:pPr>
        <w:spacing w:after="0" w:line="276" w:lineRule="auto"/>
        <w:ind w:firstLine="709"/>
        <w:jc w:val="both"/>
        <w:rPr>
          <w:rFonts w:ascii="Verdana" w:eastAsia="Calibri" w:hAnsi="Verdana" w:cs="Arial"/>
          <w:color w:val="000000"/>
          <w:lang w:val="es-ES" w:eastAsia="es-ES"/>
        </w:rPr>
      </w:pPr>
      <w:r w:rsidRPr="00593A5F">
        <w:rPr>
          <w:rFonts w:ascii="Verdana" w:eastAsia="Calibri" w:hAnsi="Verdana" w:cs="Arial"/>
          <w:color w:val="000000"/>
          <w:lang w:val="es-ES" w:eastAsia="es-ES"/>
        </w:rPr>
        <w:lastRenderedPageBreak/>
        <w:t>Conforme lo expuesto, en aras de satisfacer el derecho fundamental de petición se resolverá su consulta dentro de los límites de la referida competencia consultiva, esto es, haciendo abstracción de la</w:t>
      </w:r>
      <w:r>
        <w:rPr>
          <w:rFonts w:ascii="Verdana" w:eastAsia="Calibri" w:hAnsi="Verdana" w:cs="Arial"/>
          <w:color w:val="000000"/>
          <w:lang w:val="es-ES" w:eastAsia="es-ES"/>
        </w:rPr>
        <w:t>s circunstancias</w:t>
      </w:r>
      <w:r w:rsidRPr="00593A5F">
        <w:rPr>
          <w:rFonts w:ascii="Verdana" w:eastAsia="Calibri" w:hAnsi="Verdana" w:cs="Arial"/>
          <w:color w:val="000000"/>
          <w:lang w:val="es-ES" w:eastAsia="es-ES"/>
        </w:rPr>
        <w:t xml:space="preserve"> </w:t>
      </w:r>
      <w:r>
        <w:rPr>
          <w:rFonts w:ascii="Verdana" w:eastAsia="Calibri" w:hAnsi="Verdana" w:cs="Arial"/>
          <w:color w:val="000000"/>
          <w:lang w:val="es-ES" w:eastAsia="es-ES"/>
        </w:rPr>
        <w:t>específicas que la hayan motivado</w:t>
      </w:r>
      <w:r w:rsidRPr="00593A5F">
        <w:rPr>
          <w:rFonts w:ascii="Verdana" w:eastAsia="Calibri" w:hAnsi="Verdana" w:cs="Arial"/>
          <w:color w:val="000000"/>
          <w:lang w:val="es-ES" w:eastAsia="es-ES"/>
        </w:rPr>
        <w:t xml:space="preserve">, pero haciendo unas consideraciones sobre las normas generales relacionadas con </w:t>
      </w:r>
      <w:r>
        <w:rPr>
          <w:rFonts w:ascii="Verdana" w:eastAsia="Calibri" w:hAnsi="Verdana" w:cs="Arial"/>
          <w:color w:val="000000"/>
          <w:lang w:val="es-ES" w:eastAsia="es-ES"/>
        </w:rPr>
        <w:t>el</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problema</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jurídico</w:t>
      </w:r>
      <w:r w:rsidRPr="00247BDE">
        <w:rPr>
          <w:rFonts w:ascii="Verdana" w:eastAsia="Calibri" w:hAnsi="Verdana" w:cs="Arial"/>
          <w:color w:val="7030A0"/>
          <w:lang w:val="es-ES" w:eastAsia="es-ES"/>
        </w:rPr>
        <w:t xml:space="preserve"> </w:t>
      </w:r>
      <w:r>
        <w:rPr>
          <w:rFonts w:ascii="Verdana" w:eastAsia="Calibri" w:hAnsi="Verdana" w:cs="Arial"/>
          <w:color w:val="000000"/>
          <w:lang w:val="es-ES" w:eastAsia="es-ES"/>
        </w:rPr>
        <w:t>de su</w:t>
      </w:r>
      <w:r w:rsidRPr="00593A5F">
        <w:rPr>
          <w:rFonts w:ascii="Verdana" w:eastAsia="Calibri" w:hAnsi="Verdana" w:cs="Arial"/>
          <w:color w:val="000000"/>
          <w:lang w:val="es-ES" w:eastAsia="es-ES"/>
        </w:rPr>
        <w:t xml:space="preserve"> consulta.</w:t>
      </w:r>
      <w:r>
        <w:rPr>
          <w:rFonts w:ascii="Verdana" w:eastAsia="Calibri" w:hAnsi="Verdana" w:cs="Arial"/>
          <w:color w:val="000000"/>
          <w:lang w:val="es-ES" w:eastAsia="es-ES"/>
        </w:rPr>
        <w:t xml:space="preserve"> </w:t>
      </w:r>
      <w:r w:rsidRPr="00593A5F">
        <w:rPr>
          <w:rFonts w:ascii="Verdana" w:eastAsia="Calibri" w:hAnsi="Verdana" w:cs="Arial"/>
          <w:color w:val="000000"/>
          <w:lang w:val="es-ES" w:eastAsia="es-ES"/>
        </w:rPr>
        <w:t xml:space="preserve"> </w:t>
      </w:r>
    </w:p>
    <w:p w14:paraId="47C19A16" w14:textId="77777777" w:rsidR="00C71B18" w:rsidRPr="00593A5F" w:rsidRDefault="00C71B18" w:rsidP="00C71B18">
      <w:pPr>
        <w:spacing w:after="0" w:line="276" w:lineRule="auto"/>
        <w:ind w:firstLine="709"/>
        <w:jc w:val="both"/>
        <w:rPr>
          <w:rFonts w:ascii="Verdana" w:eastAsia="Calibri" w:hAnsi="Verdana" w:cs="Arial"/>
          <w:color w:val="000000"/>
          <w:lang w:val="es-ES" w:eastAsia="es-ES"/>
        </w:rPr>
      </w:pPr>
    </w:p>
    <w:p w14:paraId="6941185A" w14:textId="77777777" w:rsidR="00C71B18" w:rsidRPr="00593A5F" w:rsidRDefault="00C71B18" w:rsidP="00C71B18">
      <w:pPr>
        <w:pStyle w:val="Prrafodelista"/>
        <w:numPr>
          <w:ilvl w:val="0"/>
          <w:numId w:val="16"/>
        </w:numPr>
        <w:tabs>
          <w:tab w:val="left" w:pos="142"/>
          <w:tab w:val="left" w:pos="284"/>
        </w:tabs>
        <w:spacing w:after="0" w:line="276" w:lineRule="auto"/>
        <w:ind w:left="0" w:firstLine="0"/>
        <w:jc w:val="both"/>
        <w:rPr>
          <w:rFonts w:ascii="Verdana" w:eastAsia="Century Gothic" w:hAnsi="Verdana" w:cs="Century Gothic"/>
          <w:b/>
          <w:bCs/>
        </w:rPr>
      </w:pPr>
      <w:r w:rsidRPr="00593A5F">
        <w:rPr>
          <w:rFonts w:ascii="Verdana" w:eastAsia="Century Gothic" w:hAnsi="Verdana" w:cs="Century Gothic"/>
          <w:b/>
          <w:bCs/>
        </w:rPr>
        <w:t>Problema planteado:</w:t>
      </w:r>
    </w:p>
    <w:p w14:paraId="01503726" w14:textId="77777777" w:rsidR="00C71B18" w:rsidRPr="00593A5F" w:rsidRDefault="00C71B18" w:rsidP="00C71B18">
      <w:pPr>
        <w:tabs>
          <w:tab w:val="left" w:pos="426"/>
        </w:tabs>
        <w:spacing w:after="0" w:line="276" w:lineRule="auto"/>
        <w:jc w:val="both"/>
        <w:rPr>
          <w:rFonts w:ascii="Verdana" w:eastAsia="Century Gothic" w:hAnsi="Verdana" w:cs="Century Gothic"/>
          <w:lang w:val="es-ES"/>
        </w:rPr>
      </w:pPr>
    </w:p>
    <w:p w14:paraId="7D606958" w14:textId="7AE30E7F" w:rsidR="00C71B18" w:rsidRPr="00593A5F" w:rsidRDefault="00C71B18" w:rsidP="00C71B18">
      <w:pPr>
        <w:spacing w:after="0" w:line="276" w:lineRule="auto"/>
        <w:jc w:val="both"/>
        <w:rPr>
          <w:rFonts w:ascii="Verdana" w:eastAsia="Century Gothic" w:hAnsi="Verdana" w:cs="Century Gothic"/>
        </w:rPr>
      </w:pPr>
      <w:r w:rsidRPr="00906BE9">
        <w:rPr>
          <w:rFonts w:ascii="Verdana" w:eastAsia="Century Gothic" w:hAnsi="Verdana" w:cs="Century Gothic"/>
        </w:rPr>
        <w:t xml:space="preserve">De acuerdo con el contenido de su solicitud, esta Agencia resolverá </w:t>
      </w:r>
      <w:r>
        <w:rPr>
          <w:rFonts w:ascii="Verdana" w:eastAsia="Century Gothic" w:hAnsi="Verdana" w:cs="Century Gothic"/>
        </w:rPr>
        <w:t>el</w:t>
      </w:r>
      <w:r w:rsidRPr="00906BE9">
        <w:rPr>
          <w:rFonts w:ascii="Verdana" w:eastAsia="Century Gothic" w:hAnsi="Verdana" w:cs="Century Gothic"/>
        </w:rPr>
        <w:t xml:space="preserve"> siguiente</w:t>
      </w:r>
      <w:r>
        <w:rPr>
          <w:rFonts w:ascii="Verdana" w:eastAsia="Century Gothic" w:hAnsi="Verdana" w:cs="Century Gothic"/>
        </w:rPr>
        <w:t xml:space="preserve"> </w:t>
      </w:r>
      <w:r w:rsidRPr="00906BE9">
        <w:rPr>
          <w:rFonts w:ascii="Verdana" w:eastAsia="Century Gothic" w:hAnsi="Verdana" w:cs="Century Gothic"/>
        </w:rPr>
        <w:t>problema jurídico:</w:t>
      </w:r>
      <w:r>
        <w:rPr>
          <w:rFonts w:ascii="Verdana" w:eastAsia="Century Gothic" w:hAnsi="Verdana" w:cs="Century Gothic"/>
        </w:rPr>
        <w:t xml:space="preserve"> </w:t>
      </w:r>
      <w:r w:rsidRPr="0004358B">
        <w:rPr>
          <w:rFonts w:ascii="Verdana" w:eastAsia="Century Gothic" w:hAnsi="Verdana" w:cs="Century Gothic"/>
        </w:rPr>
        <w:t>¿</w:t>
      </w:r>
      <w:r w:rsidR="00762089" w:rsidRPr="00762089">
        <w:rPr>
          <w:rFonts w:ascii="Verdana" w:eastAsia="Century Gothic" w:hAnsi="Verdana" w:cs="Century Gothic"/>
        </w:rPr>
        <w:t>Cuál es el régimen jurídico aplicable a la adquisición de armamento, municiones y explosivos por entidades sometidas al Estatuto General de Contratación de la Administración Pública, y cuáles son las consecuencias jurídicas derivadas de la existencia del monopolio estatal sobre su fabricación y comercialización?</w:t>
      </w:r>
    </w:p>
    <w:p w14:paraId="76B64C2E" w14:textId="77777777" w:rsidR="00C71B18" w:rsidRPr="004B140F" w:rsidRDefault="00C71B18" w:rsidP="00C71B18">
      <w:pPr>
        <w:spacing w:after="0" w:line="276" w:lineRule="auto"/>
        <w:jc w:val="both"/>
        <w:rPr>
          <w:rFonts w:ascii="Verdana" w:eastAsia="Calibri" w:hAnsi="Verdana" w:cs="Arial"/>
          <w:color w:val="7030A0"/>
        </w:rPr>
      </w:pPr>
    </w:p>
    <w:p w14:paraId="4A9565A4" w14:textId="77777777" w:rsidR="00C71B18" w:rsidRPr="00593A5F" w:rsidRDefault="00C71B18" w:rsidP="00C71B1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Respuesta:</w:t>
      </w:r>
    </w:p>
    <w:p w14:paraId="606911D4" w14:textId="77777777" w:rsidR="00C71B18" w:rsidRPr="00593A5F" w:rsidRDefault="00C71B18" w:rsidP="00C71B18">
      <w:pPr>
        <w:tabs>
          <w:tab w:val="left" w:pos="142"/>
          <w:tab w:val="left" w:pos="284"/>
        </w:tabs>
        <w:spacing w:after="0" w:line="276" w:lineRule="auto"/>
        <w:jc w:val="both"/>
        <w:rPr>
          <w:rFonts w:ascii="Verdana" w:eastAsia="Century Gothic" w:hAnsi="Verdana" w:cs="Century Gothic"/>
          <w:b/>
          <w:bCs/>
          <w:lang w:val="es-ES"/>
        </w:rPr>
      </w:pPr>
    </w:p>
    <w:tbl>
      <w:tblPr>
        <w:tblStyle w:val="Tablaconcuadrcula"/>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71B18" w:rsidRPr="00593A5F" w14:paraId="4D0D5FAE" w14:textId="77777777" w:rsidTr="00121654">
        <w:trPr>
          <w:jc w:val="center"/>
        </w:trPr>
        <w:tc>
          <w:tcPr>
            <w:tcW w:w="8828" w:type="dxa"/>
          </w:tcPr>
          <w:p w14:paraId="39DDD645" w14:textId="77777777" w:rsidR="00C71B18" w:rsidRDefault="00C71B18" w:rsidP="00121654">
            <w:pPr>
              <w:spacing w:after="120" w:line="276" w:lineRule="auto"/>
              <w:jc w:val="both"/>
              <w:rPr>
                <w:rFonts w:ascii="Verdana" w:hAnsi="Verdana" w:cs="Arial"/>
                <w:bCs/>
                <w:lang w:val="es-MX"/>
              </w:rPr>
            </w:pPr>
            <w:bookmarkStart w:id="1" w:name="_Hlk171694685"/>
            <w:r w:rsidRPr="000955E3">
              <w:rPr>
                <w:rFonts w:ascii="Verdana" w:eastAsia="Calibri" w:hAnsi="Verdana" w:cs="Arial"/>
                <w:bCs/>
                <w:color w:val="000000" w:themeColor="text1"/>
              </w:rPr>
              <w:t>Conforme a la interpretación general de las normas del sistema de compras públicas</w:t>
            </w:r>
            <w:r w:rsidRPr="000955E3">
              <w:rPr>
                <w:rFonts w:ascii="Verdana" w:eastAsia="Arial" w:hAnsi="Verdana" w:cs="Arial"/>
                <w:lang w:val="es-MX" w:eastAsia="es-ES" w:bidi="es-ES"/>
              </w:rPr>
              <w:t>,</w:t>
            </w:r>
            <w:r>
              <w:rPr>
                <w:rFonts w:ascii="Verdana" w:eastAsia="Arial" w:hAnsi="Verdana" w:cs="Arial"/>
                <w:lang w:val="es-MX" w:eastAsia="es-ES" w:bidi="es-ES"/>
              </w:rPr>
              <w:t xml:space="preserve"> </w:t>
            </w:r>
            <w:r>
              <w:rPr>
                <w:rFonts w:ascii="Verdana" w:hAnsi="Verdana" w:cs="Arial"/>
                <w:lang w:val="es-ES"/>
              </w:rPr>
              <w:t>p</w:t>
            </w:r>
            <w:r w:rsidRPr="00B47324">
              <w:rPr>
                <w:rFonts w:ascii="Verdana" w:hAnsi="Verdana" w:cs="Arial"/>
                <w:lang w:val="es-ES"/>
              </w:rPr>
              <w:t xml:space="preserve">ara las entidades </w:t>
            </w:r>
            <w:r>
              <w:rPr>
                <w:rFonts w:ascii="Verdana" w:hAnsi="Verdana" w:cs="Arial"/>
                <w:lang w:val="es-ES"/>
              </w:rPr>
              <w:t>sometidas a la Ley 80 de 1993,</w:t>
            </w:r>
            <w:r w:rsidRPr="00B47324">
              <w:rPr>
                <w:rFonts w:ascii="Verdana" w:hAnsi="Verdana" w:cs="Arial"/>
                <w:lang w:val="es-ES"/>
              </w:rPr>
              <w:t xml:space="preserve"> los procesos de selección se rigen por el artículo 2 de la Ley 1150 de 2007. El </w:t>
            </w:r>
            <w:r w:rsidRPr="00B47324">
              <w:rPr>
                <w:rFonts w:ascii="Verdana" w:hAnsi="Verdana" w:cs="Arial"/>
                <w:bCs/>
                <w:lang w:val="es-MX"/>
              </w:rPr>
              <w:t>numeral</w:t>
            </w:r>
            <w:r w:rsidRPr="00666B6A">
              <w:rPr>
                <w:rFonts w:ascii="Verdana" w:hAnsi="Verdana" w:cs="Arial"/>
                <w:bCs/>
                <w:lang w:val="es-MX"/>
              </w:rPr>
              <w:t xml:space="preserve"> uno, inciso primero, dispone que “La escogencia del contratista se 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 En este contexto, salvo norma especial que ordene la celebración del negocio jurídico por selección abreviada, concurso de méritos, mínima cuantía o contratación directa, debe aplicarse la regla general de licitación pública.</w:t>
            </w:r>
          </w:p>
          <w:p w14:paraId="0E71F042" w14:textId="77777777" w:rsidR="00C71B18" w:rsidRDefault="00C71B18" w:rsidP="00121654">
            <w:pPr>
              <w:tabs>
                <w:tab w:val="left" w:pos="426"/>
              </w:tabs>
              <w:spacing w:after="120" w:line="276" w:lineRule="auto"/>
              <w:ind w:firstLine="737"/>
              <w:jc w:val="both"/>
              <w:rPr>
                <w:rFonts w:ascii="Verdana" w:eastAsia="Calibri" w:hAnsi="Verdana" w:cs="Arial"/>
                <w:bCs/>
                <w:color w:val="000000" w:themeColor="text1"/>
                <w:lang w:val="es-ES_tradnl"/>
              </w:rPr>
            </w:pPr>
            <w:r>
              <w:rPr>
                <w:rFonts w:ascii="Verdana" w:eastAsia="Times New Roman" w:hAnsi="Verdana" w:cs="Arial"/>
                <w:lang w:eastAsia="es-MX"/>
              </w:rPr>
              <w:t xml:space="preserve">Ahora bien, </w:t>
            </w:r>
            <w:r>
              <w:rPr>
                <w:rFonts w:ascii="Verdana" w:eastAsia="Calibri" w:hAnsi="Verdana" w:cs="Arial"/>
                <w:bCs/>
                <w:color w:val="000000" w:themeColor="text1"/>
                <w:lang w:val="es-ES_tradnl"/>
              </w:rPr>
              <w:t>l</w:t>
            </w:r>
            <w:r w:rsidRPr="00915E9F">
              <w:rPr>
                <w:rFonts w:ascii="Verdana" w:eastAsia="Calibri" w:hAnsi="Verdana" w:cs="Arial"/>
                <w:bCs/>
                <w:color w:val="000000" w:themeColor="text1"/>
                <w:lang w:val="es-ES_tradnl"/>
              </w:rPr>
              <w:t xml:space="preserve">a adquisición de bienes o servicios requeridos para la actividad de defensa y seguridad nacional, en la redacción original de la Ley 80 de 1993, se consideró una causal de contratación directa. </w:t>
            </w:r>
            <w:r w:rsidRPr="0068083E">
              <w:rPr>
                <w:rFonts w:ascii="Verdana" w:eastAsia="Calibri" w:hAnsi="Verdana" w:cs="Arial"/>
                <w:bCs/>
                <w:color w:val="000000" w:themeColor="text1"/>
                <w:lang w:val="es-ES_tradnl"/>
              </w:rPr>
              <w:t>El artículo 32 de la Ley 1150 de 2007 derogó el artículo 24</w:t>
            </w:r>
            <w:r>
              <w:rPr>
                <w:rFonts w:ascii="Verdana" w:eastAsia="Calibri" w:hAnsi="Verdana" w:cs="Arial"/>
                <w:bCs/>
                <w:color w:val="000000" w:themeColor="text1"/>
                <w:lang w:val="es-ES_tradnl"/>
              </w:rPr>
              <w:t>.1</w:t>
            </w:r>
            <w:r w:rsidRPr="0068083E">
              <w:rPr>
                <w:rFonts w:ascii="Verdana" w:eastAsia="Calibri" w:hAnsi="Verdana" w:cs="Arial"/>
                <w:bCs/>
                <w:color w:val="000000" w:themeColor="text1"/>
                <w:lang w:val="es-ES_tradnl"/>
              </w:rPr>
              <w:t xml:space="preserve"> de la Ley 80 de 1993</w:t>
            </w:r>
            <w:r>
              <w:rPr>
                <w:rFonts w:ascii="Verdana" w:eastAsia="Calibri" w:hAnsi="Verdana" w:cs="Arial"/>
                <w:bCs/>
                <w:color w:val="000000" w:themeColor="text1"/>
                <w:lang w:val="es-ES_tradnl"/>
              </w:rPr>
              <w:t xml:space="preserve">, </w:t>
            </w:r>
            <w:r w:rsidRPr="0068083E">
              <w:rPr>
                <w:rFonts w:ascii="Verdana" w:eastAsia="Calibri" w:hAnsi="Verdana" w:cs="Arial"/>
                <w:bCs/>
                <w:color w:val="000000" w:themeColor="text1"/>
                <w:lang w:val="es-ES_tradnl"/>
              </w:rPr>
              <w:t xml:space="preserve">causal que pasó a ser de </w:t>
            </w:r>
            <w:r w:rsidRPr="0068083E">
              <w:rPr>
                <w:rFonts w:ascii="Verdana" w:eastAsia="Calibri" w:hAnsi="Verdana" w:cs="Arial"/>
                <w:bCs/>
                <w:i/>
                <w:iCs/>
                <w:color w:val="000000" w:themeColor="text1"/>
                <w:lang w:val="es-ES_tradnl"/>
              </w:rPr>
              <w:t>selección abreviada</w:t>
            </w:r>
            <w:r w:rsidRPr="0068083E">
              <w:rPr>
                <w:rFonts w:ascii="Verdana" w:eastAsia="Calibri" w:hAnsi="Verdana" w:cs="Arial"/>
                <w:bCs/>
                <w:color w:val="000000" w:themeColor="text1"/>
                <w:lang w:val="es-ES_tradnl"/>
              </w:rPr>
              <w:t>, de conformidad con el</w:t>
            </w:r>
            <w:r>
              <w:rPr>
                <w:rFonts w:ascii="Verdana" w:eastAsia="Calibri" w:hAnsi="Verdana" w:cs="Arial"/>
                <w:bCs/>
                <w:color w:val="000000" w:themeColor="text1"/>
                <w:lang w:val="es-ES_tradnl"/>
              </w:rPr>
              <w:t xml:space="preserve"> literal i) del</w:t>
            </w:r>
            <w:r w:rsidRPr="0068083E">
              <w:rPr>
                <w:rFonts w:ascii="Verdana" w:eastAsia="Calibri" w:hAnsi="Verdana" w:cs="Arial"/>
                <w:bCs/>
                <w:color w:val="000000" w:themeColor="text1"/>
                <w:lang w:val="es-ES_tradnl"/>
              </w:rPr>
              <w:t xml:space="preserve"> artículo 2</w:t>
            </w:r>
            <w:r>
              <w:rPr>
                <w:rFonts w:ascii="Verdana" w:eastAsia="Calibri" w:hAnsi="Verdana" w:cs="Arial"/>
                <w:bCs/>
                <w:color w:val="000000" w:themeColor="text1"/>
                <w:lang w:val="es-ES_tradnl"/>
              </w:rPr>
              <w:t>.2</w:t>
            </w:r>
            <w:r w:rsidRPr="0068083E">
              <w:rPr>
                <w:rFonts w:ascii="Verdana" w:eastAsia="Calibri" w:hAnsi="Verdana" w:cs="Arial"/>
                <w:bCs/>
                <w:color w:val="000000" w:themeColor="text1"/>
                <w:lang w:val="es-ES_tradnl"/>
              </w:rPr>
              <w:t xml:space="preserve"> de la mencionada Ley 1150</w:t>
            </w:r>
            <w:r>
              <w:rPr>
                <w:rFonts w:ascii="Verdana" w:eastAsia="Calibri" w:hAnsi="Verdana" w:cs="Arial"/>
                <w:bCs/>
                <w:color w:val="000000" w:themeColor="text1"/>
                <w:lang w:val="es-ES_tradnl"/>
              </w:rPr>
              <w:t xml:space="preserve"> de 2007</w:t>
            </w:r>
            <w:r w:rsidRPr="0068083E">
              <w:rPr>
                <w:rFonts w:ascii="Verdana" w:eastAsia="Calibri" w:hAnsi="Verdana" w:cs="Arial"/>
                <w:bCs/>
                <w:color w:val="000000" w:themeColor="text1"/>
                <w:lang w:val="es-ES_tradnl"/>
              </w:rPr>
              <w:t xml:space="preserve">, salvo los que requieran reserva para </w:t>
            </w:r>
            <w:r w:rsidRPr="0068083E">
              <w:rPr>
                <w:rFonts w:ascii="Verdana" w:eastAsia="Calibri" w:hAnsi="Verdana" w:cs="Arial"/>
                <w:bCs/>
                <w:color w:val="000000" w:themeColor="text1"/>
                <w:lang w:val="es-ES_tradnl"/>
              </w:rPr>
              <w:lastRenderedPageBreak/>
              <w:t>su adquisición, frente a los cuales mantuvo, en</w:t>
            </w:r>
            <w:r>
              <w:rPr>
                <w:rFonts w:ascii="Verdana" w:eastAsia="Calibri" w:hAnsi="Verdana" w:cs="Arial"/>
                <w:bCs/>
                <w:color w:val="000000" w:themeColor="text1"/>
                <w:lang w:val="es-ES_tradnl"/>
              </w:rPr>
              <w:t xml:space="preserve"> el </w:t>
            </w:r>
            <w:r w:rsidRPr="0068083E">
              <w:rPr>
                <w:rFonts w:ascii="Verdana" w:eastAsia="Calibri" w:hAnsi="Verdana" w:cs="Arial"/>
                <w:bCs/>
                <w:color w:val="000000" w:themeColor="text1"/>
                <w:lang w:val="es-ES_tradnl"/>
              </w:rPr>
              <w:t>litera</w:t>
            </w:r>
            <w:r>
              <w:rPr>
                <w:rFonts w:ascii="Verdana" w:eastAsia="Calibri" w:hAnsi="Verdana" w:cs="Arial"/>
                <w:bCs/>
                <w:color w:val="000000" w:themeColor="text1"/>
                <w:lang w:val="es-ES_tradnl"/>
              </w:rPr>
              <w:t>l</w:t>
            </w:r>
            <w:r w:rsidRPr="0068083E">
              <w:rPr>
                <w:rFonts w:ascii="Verdana" w:eastAsia="Calibri" w:hAnsi="Verdana" w:cs="Arial"/>
                <w:bCs/>
                <w:color w:val="000000" w:themeColor="text1"/>
                <w:lang w:val="es-ES_tradnl"/>
              </w:rPr>
              <w:t xml:space="preserve"> d) </w:t>
            </w:r>
            <w:r>
              <w:rPr>
                <w:rFonts w:ascii="Verdana" w:eastAsia="Calibri" w:hAnsi="Verdana" w:cs="Arial"/>
                <w:bCs/>
                <w:color w:val="000000" w:themeColor="text1"/>
                <w:lang w:val="es-ES_tradnl"/>
              </w:rPr>
              <w:t>d</w:t>
            </w:r>
            <w:r w:rsidRPr="0068083E">
              <w:rPr>
                <w:rFonts w:ascii="Verdana" w:eastAsia="Calibri" w:hAnsi="Verdana" w:cs="Arial"/>
                <w:bCs/>
                <w:color w:val="000000" w:themeColor="text1"/>
                <w:lang w:val="es-ES_tradnl"/>
              </w:rPr>
              <w:t>el artículo 2</w:t>
            </w:r>
            <w:r>
              <w:rPr>
                <w:rFonts w:ascii="Verdana" w:eastAsia="Calibri" w:hAnsi="Verdana" w:cs="Arial"/>
                <w:bCs/>
                <w:color w:val="000000" w:themeColor="text1"/>
                <w:lang w:val="es-ES_tradnl"/>
              </w:rPr>
              <w:t xml:space="preserve">.4 </w:t>
            </w:r>
            <w:r w:rsidRPr="00340449">
              <w:rPr>
                <w:rFonts w:ascii="Verdana" w:eastAsia="Calibri" w:hAnsi="Verdana" w:cs="Arial"/>
                <w:bCs/>
                <w:i/>
                <w:iCs/>
                <w:color w:val="000000" w:themeColor="text1"/>
                <w:lang w:val="es-ES_tradnl"/>
              </w:rPr>
              <w:t>ibidem</w:t>
            </w:r>
            <w:r w:rsidRPr="0068083E">
              <w:rPr>
                <w:rFonts w:ascii="Verdana" w:eastAsia="Calibri" w:hAnsi="Verdana" w:cs="Arial"/>
                <w:bCs/>
                <w:color w:val="000000" w:themeColor="text1"/>
                <w:lang w:val="es-ES_tradnl"/>
              </w:rPr>
              <w:t xml:space="preserve">, la posibilidad de </w:t>
            </w:r>
            <w:r w:rsidRPr="0068083E">
              <w:rPr>
                <w:rFonts w:ascii="Verdana" w:eastAsia="Calibri" w:hAnsi="Verdana" w:cs="Arial"/>
                <w:bCs/>
                <w:i/>
                <w:iCs/>
                <w:color w:val="000000" w:themeColor="text1"/>
                <w:lang w:val="es-ES_tradnl"/>
              </w:rPr>
              <w:t>contratación directa</w:t>
            </w:r>
            <w:r>
              <w:rPr>
                <w:rFonts w:ascii="Verdana" w:eastAsia="Calibri" w:hAnsi="Verdana" w:cs="Arial"/>
                <w:bCs/>
                <w:color w:val="000000" w:themeColor="text1"/>
                <w:lang w:val="es-ES_tradnl"/>
              </w:rPr>
              <w:t>.</w:t>
            </w:r>
          </w:p>
          <w:p w14:paraId="441AC9A0" w14:textId="73B0241B" w:rsidR="00C71B18" w:rsidRPr="002A22D8" w:rsidRDefault="00C71B18" w:rsidP="00121654">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De las causales de selección abreviada y de contratación de directa de los numerales 2 –literal i)– y 4 –literal d)– del artículo 2 de la Ley 1150 de 2007 se infiere que la adquisición o suministro de bienes y servicios para la defensa y seguridad nacional se somete al EGCAP, lo que descarta la existencia de un régimen especial o exceptuado para estos efectos. </w:t>
            </w:r>
          </w:p>
          <w:p w14:paraId="52B5DB10" w14:textId="77777777" w:rsidR="00C71B18" w:rsidRDefault="00C71B18" w:rsidP="00121654">
            <w:pPr>
              <w:tabs>
                <w:tab w:val="left" w:pos="709"/>
              </w:tabs>
              <w:spacing w:after="180" w:line="276" w:lineRule="auto"/>
              <w:ind w:firstLine="737"/>
              <w:jc w:val="both"/>
              <w:rPr>
                <w:rFonts w:ascii="Verdana" w:hAnsi="Verdana" w:cs="Arial"/>
                <w:color w:val="000000" w:themeColor="text1"/>
              </w:rPr>
            </w:pPr>
            <w:r>
              <w:rPr>
                <w:rFonts w:ascii="Verdana" w:hAnsi="Verdana" w:cs="Arial"/>
                <w:color w:val="000000" w:themeColor="text1"/>
              </w:rPr>
              <w:t>Por lo demás, en desarrollo del monopolio armamentístico del artículo 223 constitucional, es necesario tener en cuenta que corresponde a la Industria Militar “</w:t>
            </w:r>
            <w:r w:rsidRPr="00D84C06">
              <w:rPr>
                <w:rFonts w:ascii="Verdana" w:hAnsi="Verdana" w:cs="Arial"/>
                <w:color w:val="000000" w:themeColor="text1"/>
              </w:rPr>
              <w:t xml:space="preserve">Producir, importar y abastecer de armas, municiones, explosivos, equipos y elementos complementarios a las Fuerzas Militares, a la Policía Nacional </w:t>
            </w:r>
            <w:r>
              <w:rPr>
                <w:rFonts w:ascii="Verdana" w:hAnsi="Verdana" w:cs="Arial"/>
                <w:color w:val="000000" w:themeColor="text1"/>
              </w:rPr>
              <w:t xml:space="preserve">y a otros organismos estatales” –literal b) del artículo 3 del Decreto Ley 2346 de 1971, modificado por el artículo 1 del Decreto Ley 2069 de 1984–. Como Indumil es una empresa industrial y comercial del Estado conforme al artículo 2 del Acuerdo 586 del 10 de junio de 2022, los contratos celebrados con alguna de las entidades previstas en la Ley 80 de 1993 son interadministrativos. Es decir, aplica la contratación directa tanto por el literal c) del artículo 2.4 de la Ley 80 de 1993 como por el artículo </w:t>
            </w:r>
            <w:r w:rsidRPr="00240F22">
              <w:rPr>
                <w:rFonts w:ascii="Verdana" w:hAnsi="Verdana" w:cs="Arial"/>
                <w:color w:val="000000" w:themeColor="text1"/>
              </w:rPr>
              <w:t>2.2.1.2.1.4.4</w:t>
            </w:r>
            <w:r>
              <w:rPr>
                <w:rFonts w:ascii="Verdana" w:hAnsi="Verdana" w:cs="Arial"/>
                <w:color w:val="000000" w:themeColor="text1"/>
              </w:rPr>
              <w:t xml:space="preserve"> del Decreto 1082 de 2015.</w:t>
            </w:r>
          </w:p>
          <w:p w14:paraId="25A1C9C8" w14:textId="77777777" w:rsidR="00C71B18" w:rsidRPr="00E936D8" w:rsidRDefault="00C71B18" w:rsidP="00121654">
            <w:pPr>
              <w:tabs>
                <w:tab w:val="left" w:pos="709"/>
              </w:tabs>
              <w:spacing w:after="180" w:line="276" w:lineRule="auto"/>
              <w:jc w:val="both"/>
              <w:rPr>
                <w:rFonts w:ascii="Verdana" w:hAnsi="Verdana" w:cs="Arial"/>
                <w:color w:val="000000" w:themeColor="text1"/>
              </w:rPr>
            </w:pPr>
            <w:r>
              <w:rPr>
                <w:rFonts w:ascii="Verdana" w:hAnsi="Verdana" w:cs="Arial"/>
                <w:color w:val="000000" w:themeColor="text1"/>
              </w:rPr>
              <w:tab/>
              <w:t xml:space="preserve">De la literalidad de la norma citada, la Agencia no observa una autorización expresa para acudir a otros proveedores o causales de contratación cuando Indumil “[…] </w:t>
            </w:r>
            <w:r w:rsidRPr="00293F20">
              <w:rPr>
                <w:rFonts w:ascii="Verdana" w:hAnsi="Verdana" w:cs="Arial"/>
                <w:color w:val="000000" w:themeColor="text1"/>
              </w:rPr>
              <w:t>no tenga la capacidad de producción o venta, no asegure la calidad requerida para los elementos o condicione la oportunidad en la entrega de los bienes</w:t>
            </w:r>
            <w:r>
              <w:rPr>
                <w:rFonts w:ascii="Verdana" w:hAnsi="Verdana" w:cs="Arial"/>
                <w:color w:val="000000" w:themeColor="text1"/>
              </w:rPr>
              <w:t xml:space="preserve"> […]” o “[…] </w:t>
            </w:r>
            <w:r w:rsidRPr="00293F20">
              <w:rPr>
                <w:rFonts w:ascii="Verdana" w:hAnsi="Verdana" w:cs="Arial"/>
                <w:color w:val="000000" w:themeColor="text1"/>
              </w:rPr>
              <w:t>no entregue, entregue de manera parcial o inexacta, de forma inoportuna o condicionada la información técnica, económica, comercial o cualquier otra requerida para la estructuración y adelanto de procesos de contratación</w:t>
            </w:r>
            <w:r>
              <w:rPr>
                <w:rFonts w:ascii="Verdana" w:hAnsi="Verdana" w:cs="Arial"/>
                <w:color w:val="000000" w:themeColor="text1"/>
              </w:rPr>
              <w:t xml:space="preserve"> […]”. </w:t>
            </w:r>
            <w:r w:rsidRPr="00710C1B">
              <w:rPr>
                <w:rFonts w:ascii="Verdana" w:hAnsi="Verdana" w:cs="Arial"/>
                <w:color w:val="000000" w:themeColor="text1"/>
              </w:rPr>
              <w:t>No obstante,</w:t>
            </w:r>
            <w:r>
              <w:rPr>
                <w:rFonts w:ascii="Verdana" w:hAnsi="Verdana" w:cs="Arial"/>
                <w:color w:val="000000" w:themeColor="text1"/>
              </w:rPr>
              <w:t xml:space="preserve"> dentro del marco de los principios de la función administrativa y de la contratación estatal, </w:t>
            </w:r>
            <w:r w:rsidRPr="00710C1B">
              <w:rPr>
                <w:rFonts w:ascii="Verdana" w:hAnsi="Verdana" w:cs="Arial"/>
                <w:color w:val="000000" w:themeColor="text1"/>
              </w:rPr>
              <w:t>lo cierto es que las entidades públicas son autónomas y responsables tanto de la estructuración de sus procesos como de determinar la modalidad de selección aplicable para suplir sus necesidades.</w:t>
            </w:r>
            <w:r>
              <w:rPr>
                <w:rFonts w:ascii="Verdana" w:hAnsi="Verdana" w:cs="Arial"/>
                <w:color w:val="000000" w:themeColor="text1"/>
              </w:rPr>
              <w:t xml:space="preserve"> </w:t>
            </w:r>
          </w:p>
          <w:p w14:paraId="68F4A8C9" w14:textId="3425CA5D" w:rsidR="00632E76" w:rsidRPr="00E936D8" w:rsidRDefault="00632E76" w:rsidP="00272673">
            <w:pPr>
              <w:tabs>
                <w:tab w:val="left" w:pos="709"/>
              </w:tabs>
              <w:spacing w:after="180" w:line="276" w:lineRule="auto"/>
              <w:ind w:firstLine="709"/>
              <w:jc w:val="both"/>
              <w:rPr>
                <w:rFonts w:ascii="Verdana" w:hAnsi="Verdana" w:cs="Arial"/>
                <w:color w:val="000000" w:themeColor="text1"/>
              </w:rPr>
            </w:pPr>
            <w:r w:rsidRPr="00632E76">
              <w:rPr>
                <w:rFonts w:ascii="Verdana" w:hAnsi="Verdana" w:cs="Arial"/>
                <w:color w:val="000000" w:themeColor="text1"/>
              </w:rPr>
              <w:t xml:space="preserve">La inexistencia de una autorización legal expresa para acudir a un proveedor distinto de la Industria Militar no significa, por sí sola, que la entidad quede jurídicamente imposibilitada para satisfacer una necesidad pública </w:t>
            </w:r>
            <w:r w:rsidRPr="00632E76">
              <w:rPr>
                <w:rFonts w:ascii="Verdana" w:hAnsi="Verdana" w:cs="Arial"/>
                <w:color w:val="000000" w:themeColor="text1"/>
              </w:rPr>
              <w:lastRenderedPageBreak/>
              <w:t>esencial. Si en un caso concreto se acredita la imposibilidad material o jurídica de obtener el suministro por parte de Indumil, corresponderá a la entidad contratante analizar, dentro del marco constitucional y legal aplicable, si existen mecanismos jurídicos que permitan garantizar la continuidad del servicio y el cumplimiento de los fines esenciales del Estado, decisión que deberá adoptarse bajo su responsabilidad y con fundamento en el ordenamiento vigente.</w:t>
            </w:r>
          </w:p>
          <w:p w14:paraId="4AC6D6BF" w14:textId="77777777" w:rsidR="00C71B18" w:rsidRPr="00A47393" w:rsidRDefault="00C71B18" w:rsidP="00121654">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929361A" w14:textId="77777777" w:rsidR="00C71B18" w:rsidRPr="00395055" w:rsidRDefault="00C71B18" w:rsidP="00121654">
            <w:pPr>
              <w:tabs>
                <w:tab w:val="left" w:pos="426"/>
              </w:tabs>
              <w:spacing w:line="276" w:lineRule="auto"/>
              <w:ind w:firstLine="737"/>
              <w:jc w:val="both"/>
              <w:rPr>
                <w:rFonts w:ascii="Verdana" w:eastAsia="Calibri" w:hAnsi="Verdana" w:cs="Arial"/>
                <w:bCs/>
                <w:color w:val="000000" w:themeColor="text1"/>
              </w:rPr>
            </w:pPr>
            <w:r w:rsidRPr="00A47393">
              <w:rPr>
                <w:rFonts w:ascii="Verdana" w:eastAsia="Calibri" w:hAnsi="Verdana" w:cs="Arial"/>
                <w:bCs/>
                <w:color w:val="000000" w:themeColor="text1"/>
              </w:rPr>
              <w:t>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w:t>
            </w:r>
          </w:p>
        </w:tc>
      </w:tr>
    </w:tbl>
    <w:p w14:paraId="151C870E" w14:textId="77777777" w:rsidR="00C71B18" w:rsidRPr="00593A5F" w:rsidRDefault="00C71B18" w:rsidP="00C71B18">
      <w:pPr>
        <w:tabs>
          <w:tab w:val="left" w:pos="142"/>
          <w:tab w:val="left" w:pos="284"/>
        </w:tabs>
        <w:spacing w:after="0" w:line="276" w:lineRule="auto"/>
        <w:jc w:val="both"/>
        <w:rPr>
          <w:rFonts w:ascii="Verdana" w:eastAsia="Century Gothic" w:hAnsi="Verdana" w:cs="Century Gothic"/>
          <w:b/>
          <w:bCs/>
          <w:lang w:val="es-ES"/>
        </w:rPr>
      </w:pPr>
    </w:p>
    <w:bookmarkEnd w:id="1"/>
    <w:p w14:paraId="0275ECB2" w14:textId="77777777" w:rsidR="00C71B18" w:rsidRPr="00593A5F" w:rsidRDefault="00C71B18" w:rsidP="00C71B1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Razones de la respuesta:</w:t>
      </w:r>
    </w:p>
    <w:p w14:paraId="01061C85" w14:textId="77777777" w:rsidR="00C71B18" w:rsidRPr="00593A5F" w:rsidRDefault="00C71B18" w:rsidP="00C71B18">
      <w:pPr>
        <w:spacing w:after="0" w:line="276" w:lineRule="auto"/>
        <w:jc w:val="both"/>
        <w:rPr>
          <w:rFonts w:ascii="Verdana" w:eastAsia="Calibri" w:hAnsi="Verdana" w:cs="Arial"/>
          <w:color w:val="7030A0"/>
          <w:lang w:val="es-ES"/>
        </w:rPr>
      </w:pPr>
    </w:p>
    <w:p w14:paraId="6280C21B" w14:textId="77777777" w:rsidR="00C71B18" w:rsidRDefault="00C71B18" w:rsidP="00C71B18">
      <w:pPr>
        <w:spacing w:after="0" w:line="276" w:lineRule="auto"/>
        <w:jc w:val="both"/>
        <w:rPr>
          <w:rFonts w:ascii="Verdana" w:eastAsia="Calibri" w:hAnsi="Verdana" w:cs="Arial"/>
          <w:lang w:val="es-ES"/>
        </w:rPr>
      </w:pPr>
      <w:r w:rsidRPr="00B96799">
        <w:rPr>
          <w:rFonts w:ascii="Verdana" w:eastAsia="Calibri" w:hAnsi="Verdana" w:cs="Arial"/>
          <w:lang w:val="es-ES"/>
        </w:rPr>
        <w:t>Lo anterior se sustenta en las siguientes consideraciones:</w:t>
      </w:r>
    </w:p>
    <w:p w14:paraId="00A36198" w14:textId="77777777" w:rsidR="00C71B18" w:rsidRPr="00415608" w:rsidRDefault="00C71B18" w:rsidP="00C71B18">
      <w:pPr>
        <w:spacing w:after="0" w:line="276" w:lineRule="auto"/>
        <w:jc w:val="both"/>
        <w:rPr>
          <w:rFonts w:ascii="Verdana" w:eastAsia="Calibri" w:hAnsi="Verdana" w:cs="Arial"/>
          <w:lang w:val="es-ES"/>
        </w:rPr>
      </w:pPr>
    </w:p>
    <w:p w14:paraId="16E3B826" w14:textId="77777777" w:rsidR="00C71B18" w:rsidRPr="00666B6A" w:rsidRDefault="00C71B18" w:rsidP="00C71B18">
      <w:pPr>
        <w:spacing w:after="120" w:line="276" w:lineRule="auto"/>
        <w:jc w:val="both"/>
        <w:rPr>
          <w:rFonts w:ascii="Verdana" w:hAnsi="Verdana" w:cs="Arial"/>
          <w:lang w:val="es-ES"/>
        </w:rPr>
      </w:pPr>
      <w:r w:rsidRPr="00666B6A">
        <w:rPr>
          <w:rFonts w:ascii="Verdana" w:hAnsi="Verdana" w:cs="Arial"/>
          <w:lang w:val="es-ES"/>
        </w:rPr>
        <w:t xml:space="preserve">De acuerdo con el inciso final del artículo 150 superior, corresponde al Congreso de la República expedir el Estatuto General de Contratación de la Administración Pública y, en especial, de la Administración Nacional. Esta competencia fue ejercida con la expedición de la Ley 80 de 1993, la cual rige para las </w:t>
      </w:r>
      <w:r w:rsidRPr="00666B6A">
        <w:rPr>
          <w:rFonts w:ascii="Verdana" w:hAnsi="Verdana" w:cs="Arial"/>
          <w:i/>
          <w:iCs/>
          <w:lang w:val="es-ES"/>
        </w:rPr>
        <w:t xml:space="preserve">entidades </w:t>
      </w:r>
      <w:r w:rsidRPr="00666B6A">
        <w:rPr>
          <w:rFonts w:ascii="Verdana" w:hAnsi="Verdana" w:cs="Arial"/>
          <w:i/>
          <w:iCs/>
          <w:lang w:val="es-ES"/>
        </w:rPr>
        <w:lastRenderedPageBreak/>
        <w:t>estatales</w:t>
      </w:r>
      <w:r w:rsidRPr="00666B6A">
        <w:rPr>
          <w:rFonts w:ascii="Verdana" w:hAnsi="Verdana" w:cs="Arial"/>
          <w:lang w:val="es-ES"/>
        </w:rPr>
        <w:t xml:space="preserve">, esto es, aquellas previstas en los literales a) y b) del numeral 1 del artículo 2 </w:t>
      </w:r>
      <w:r w:rsidRPr="00666B6A">
        <w:rPr>
          <w:rFonts w:ascii="Verdana" w:hAnsi="Verdana" w:cs="Arial"/>
          <w:i/>
          <w:iCs/>
          <w:lang w:val="es-ES"/>
        </w:rPr>
        <w:t>ibidem</w:t>
      </w:r>
      <w:r w:rsidRPr="00666B6A">
        <w:rPr>
          <w:rFonts w:ascii="Verdana" w:hAnsi="Verdana" w:cs="Arial"/>
          <w:lang w:val="es-ES"/>
        </w:rPr>
        <w:t xml:space="preserve">. La norma citada define la competencia contractual en los siguientes términos: </w:t>
      </w:r>
    </w:p>
    <w:p w14:paraId="391C3890" w14:textId="77777777" w:rsidR="00C71B18" w:rsidRPr="00666B6A" w:rsidRDefault="00C71B18" w:rsidP="00C71B18">
      <w:pPr>
        <w:spacing w:after="120" w:line="276" w:lineRule="auto"/>
        <w:ind w:firstLine="708"/>
        <w:jc w:val="both"/>
        <w:rPr>
          <w:rFonts w:ascii="Verdana" w:hAnsi="Verdana" w:cs="Arial"/>
          <w:lang w:val="es-ES"/>
        </w:rPr>
      </w:pPr>
      <w:r w:rsidRPr="00666B6A">
        <w:rPr>
          <w:rFonts w:ascii="Verdana" w:hAnsi="Verdana" w:cs="Arial"/>
          <w:lang w:val="es-ES"/>
        </w:rPr>
        <w:t xml:space="preserve">El literal a) aplica a las entidades con personería jurídica. Alude a la Nación, las regiones, los departamentos, las provincias, el distrito capital y los distritos especiales, las áreas metropolitanas, las asociaciones de municipios, los territorios indígenas y los municipios; los establecimientos públicos, las empresas industriales y comerciales del Estado, las sociedades de economía mixta en las que el Estado tenga participación superior al cincuenta por ciento (50%), así como las entidades descentralizadas indirectas y las demás personas jurídicas en las que exista dicha participación pública mayoritaria, cualquiera sea la denominación que ellas adopten, en todos los órdenes y niveles.  </w:t>
      </w:r>
    </w:p>
    <w:p w14:paraId="0AB2B87B" w14:textId="77777777" w:rsidR="00C71B18" w:rsidRDefault="00C71B18" w:rsidP="00C71B18">
      <w:pPr>
        <w:spacing w:after="120" w:line="276" w:lineRule="auto"/>
        <w:ind w:firstLine="709"/>
        <w:jc w:val="both"/>
        <w:rPr>
          <w:rFonts w:ascii="Verdana" w:hAnsi="Verdana" w:cs="Arial"/>
          <w:lang w:val="es-ES"/>
        </w:rPr>
      </w:pPr>
      <w:r w:rsidRPr="00666B6A">
        <w:rPr>
          <w:rFonts w:ascii="Verdana" w:hAnsi="Verdana" w:cs="Arial"/>
          <w:lang w:val="es-ES"/>
        </w:rPr>
        <w:t>En contraste, el literal b) rige para las autoridades que carecen de personería, pero a las que el ordenamiento les otorga “capacidad” para celebrar contratos. Estas entidades son el Senado de la República, la Cámara de Representantes, el Consejo Superior de la Judicatura, la Fiscalía General de la Nación, la Contraloría General de la República, las contralorías departamentales, distritales y municipales, la Procuraduría General de la Nación, la Registraduría Nacional del Estado Civil, los ministerios, los departamentos administrativos, las superintendencias, las unidades administrativas especiales y, en general, los organismos o dependencias del Estado a los que la ley otorgue capacidad para celebrar contratos. De acuerdo con el artículo 352 superior, este último apartado debe armonizarse con el artículo 110 del Decreto</w:t>
      </w:r>
      <w:r>
        <w:rPr>
          <w:rFonts w:ascii="Verdana" w:hAnsi="Verdana" w:cs="Arial"/>
          <w:lang w:val="es-ES"/>
        </w:rPr>
        <w:t xml:space="preserve"> Ley</w:t>
      </w:r>
      <w:r w:rsidRPr="00666B6A">
        <w:rPr>
          <w:rFonts w:ascii="Verdana" w:hAnsi="Verdana" w:cs="Arial"/>
          <w:lang w:val="es-ES"/>
        </w:rPr>
        <w:t xml:space="preserve"> 111 de 1996, modificado por el artículo 124 de la Ley 1957 de 2019</w:t>
      </w:r>
      <w:r w:rsidRPr="00666B6A">
        <w:rPr>
          <w:rStyle w:val="Refdenotaalpie"/>
          <w:rFonts w:ascii="Verdana" w:hAnsi="Verdana" w:cs="Arial"/>
          <w:lang w:val="es-ES"/>
        </w:rPr>
        <w:footnoteReference w:id="1"/>
      </w:r>
      <w:r w:rsidRPr="00666B6A">
        <w:rPr>
          <w:rFonts w:ascii="Verdana" w:hAnsi="Verdana" w:cs="Arial"/>
          <w:lang w:val="es-ES"/>
        </w:rPr>
        <w:t xml:space="preserve">. </w:t>
      </w:r>
    </w:p>
    <w:p w14:paraId="055BFF7C" w14:textId="77777777" w:rsidR="00C71B18" w:rsidRDefault="00C71B18" w:rsidP="00C71B18">
      <w:pPr>
        <w:spacing w:after="120" w:line="276" w:lineRule="auto"/>
        <w:ind w:firstLine="709"/>
        <w:jc w:val="both"/>
        <w:rPr>
          <w:rFonts w:ascii="Verdana" w:hAnsi="Verdana" w:cs="Arial"/>
          <w:bCs/>
          <w:lang w:val="es-MX"/>
        </w:rPr>
      </w:pPr>
      <w:r>
        <w:rPr>
          <w:rFonts w:ascii="Verdana" w:hAnsi="Verdana" w:cs="Arial"/>
          <w:lang w:val="es-ES"/>
        </w:rPr>
        <w:t>En este contexto, p</w:t>
      </w:r>
      <w:r w:rsidRPr="00B47324">
        <w:rPr>
          <w:rFonts w:ascii="Verdana" w:hAnsi="Verdana" w:cs="Arial"/>
          <w:lang w:val="es-ES"/>
        </w:rPr>
        <w:t xml:space="preserve">ara las entidades </w:t>
      </w:r>
      <w:r>
        <w:rPr>
          <w:rFonts w:ascii="Verdana" w:hAnsi="Verdana" w:cs="Arial"/>
          <w:lang w:val="es-ES"/>
        </w:rPr>
        <w:t>sometidas a la Ley 80 de 1993,</w:t>
      </w:r>
      <w:r w:rsidRPr="00B47324">
        <w:rPr>
          <w:rFonts w:ascii="Verdana" w:hAnsi="Verdana" w:cs="Arial"/>
          <w:lang w:val="es-ES"/>
        </w:rPr>
        <w:t xml:space="preserve"> los procesos de selección se rigen por el artículo 2 de la Ley 1150 de 2007. El </w:t>
      </w:r>
      <w:r w:rsidRPr="00B47324">
        <w:rPr>
          <w:rFonts w:ascii="Verdana" w:hAnsi="Verdana" w:cs="Arial"/>
          <w:bCs/>
          <w:lang w:val="es-MX"/>
        </w:rPr>
        <w:t>numeral</w:t>
      </w:r>
      <w:r w:rsidRPr="00666B6A">
        <w:rPr>
          <w:rFonts w:ascii="Verdana" w:hAnsi="Verdana" w:cs="Arial"/>
          <w:bCs/>
          <w:lang w:val="es-MX"/>
        </w:rPr>
        <w:t xml:space="preserve"> uno, inciso primero, dispone que “La escogencia del contratista se </w:t>
      </w:r>
      <w:r w:rsidRPr="00666B6A">
        <w:rPr>
          <w:rFonts w:ascii="Verdana" w:hAnsi="Verdana" w:cs="Arial"/>
          <w:bCs/>
          <w:lang w:val="es-MX"/>
        </w:rPr>
        <w:lastRenderedPageBreak/>
        <w:t xml:space="preserve">efectuará por </w:t>
      </w:r>
      <w:r w:rsidRPr="00666B6A">
        <w:rPr>
          <w:rFonts w:ascii="Verdana" w:hAnsi="Verdana" w:cs="Arial"/>
          <w:bCs/>
          <w:i/>
          <w:iCs/>
          <w:lang w:val="es-MX"/>
        </w:rPr>
        <w:t>regla general</w:t>
      </w:r>
      <w:r w:rsidRPr="00666B6A">
        <w:rPr>
          <w:rFonts w:ascii="Verdana" w:hAnsi="Verdana" w:cs="Arial"/>
          <w:bCs/>
          <w:lang w:val="es-MX"/>
        </w:rPr>
        <w:t xml:space="preserve"> a través de licitación pública, con las </w:t>
      </w:r>
      <w:r w:rsidRPr="00666B6A">
        <w:rPr>
          <w:rFonts w:ascii="Verdana" w:hAnsi="Verdana" w:cs="Arial"/>
          <w:bCs/>
          <w:i/>
          <w:iCs/>
          <w:lang w:val="es-MX"/>
        </w:rPr>
        <w:t>excepciones</w:t>
      </w:r>
      <w:r w:rsidRPr="00666B6A">
        <w:rPr>
          <w:rFonts w:ascii="Verdana" w:hAnsi="Verdana" w:cs="Arial"/>
          <w:bCs/>
          <w:lang w:val="es-MX"/>
        </w:rPr>
        <w:t xml:space="preserve"> que se señalan en los numerales 2, 3 y 4 del presente artículo” (Énfasis fuera de texto), norma que sustituye el derogado numeral 1 del artículo 24 de la Ley 80 de 1993 sobre el principio de transparencia</w:t>
      </w:r>
      <w:r w:rsidRPr="00666B6A">
        <w:rPr>
          <w:rFonts w:ascii="Verdana" w:hAnsi="Verdana" w:cs="Arial"/>
          <w:bCs/>
          <w:vertAlign w:val="superscript"/>
          <w:lang w:val="es-MX"/>
        </w:rPr>
        <w:footnoteReference w:id="2"/>
      </w:r>
      <w:r w:rsidRPr="00666B6A">
        <w:rPr>
          <w:rFonts w:ascii="Verdana" w:hAnsi="Verdana" w:cs="Arial"/>
          <w:bCs/>
          <w:lang w:val="es-MX"/>
        </w:rPr>
        <w:t>. En este contexto, salvo norma especial que ordene la celebración del negocio jurídico por selección abreviada, concurso de méritos, mínima cuantía o contratación directa, debe aplicarse la regla general de licitación pública</w:t>
      </w:r>
      <w:r w:rsidRPr="00666B6A">
        <w:rPr>
          <w:rFonts w:ascii="Verdana" w:hAnsi="Verdana" w:cs="Arial"/>
          <w:bCs/>
          <w:vertAlign w:val="superscript"/>
          <w:lang w:val="es-MX"/>
        </w:rPr>
        <w:footnoteReference w:id="3"/>
      </w:r>
      <w:r w:rsidRPr="00666B6A">
        <w:rPr>
          <w:rFonts w:ascii="Verdana" w:hAnsi="Verdana" w:cs="Arial"/>
          <w:bCs/>
          <w:lang w:val="es-MX"/>
        </w:rPr>
        <w:t>.</w:t>
      </w:r>
    </w:p>
    <w:p w14:paraId="3564DF63" w14:textId="77777777" w:rsidR="00C71B18" w:rsidRPr="00480D85" w:rsidRDefault="00C71B18" w:rsidP="00C71B18">
      <w:pPr>
        <w:spacing w:after="120" w:line="276" w:lineRule="auto"/>
        <w:ind w:firstLine="708"/>
        <w:jc w:val="both"/>
        <w:rPr>
          <w:rFonts w:ascii="Verdana" w:hAnsi="Verdana" w:cs="Arial"/>
          <w:lang w:val="es-ES" w:eastAsia="es-MX"/>
        </w:rPr>
      </w:pPr>
      <w:r w:rsidRPr="00480D85">
        <w:rPr>
          <w:rFonts w:ascii="Verdana" w:eastAsia="Times New Roman" w:hAnsi="Verdana" w:cs="Arial"/>
          <w:lang w:eastAsia="es-MX"/>
        </w:rPr>
        <w:t>La exposición de motivos de la Ley 1150 de 2007 señala las razones por las cuales se establecieron estos procedimientos, pues “[…] las experiencias exitosas a nivel internacional demuestran que el criterio de distinción que debe gobernar un esquema contractual eficiente es el de modular las modalidades de selección en razón a las características del objeto”</w:t>
      </w:r>
      <w:r w:rsidRPr="00480D85">
        <w:rPr>
          <w:rFonts w:ascii="Verdana" w:eastAsia="Times New Roman" w:hAnsi="Verdana" w:cs="Arial"/>
          <w:vertAlign w:val="superscript"/>
          <w:lang w:eastAsia="es-MX"/>
        </w:rPr>
        <w:footnoteReference w:id="4"/>
      </w:r>
      <w:r w:rsidRPr="00480D85">
        <w:rPr>
          <w:rFonts w:ascii="Verdana" w:eastAsia="Times New Roman" w:hAnsi="Verdana" w:cs="Arial"/>
          <w:lang w:eastAsia="es-MX"/>
        </w:rPr>
        <w:t>.</w:t>
      </w:r>
      <w:r w:rsidRPr="00480D85">
        <w:rPr>
          <w:rFonts w:ascii="Verdana" w:hAnsi="Verdana" w:cs="Arial"/>
          <w:lang w:eastAsia="es-MX"/>
        </w:rPr>
        <w:t xml:space="preserve"> Así, la</w:t>
      </w:r>
      <w:r>
        <w:rPr>
          <w:rFonts w:ascii="Verdana" w:hAnsi="Verdana" w:cs="Arial"/>
          <w:lang w:eastAsia="es-MX"/>
        </w:rPr>
        <w:t>s</w:t>
      </w:r>
      <w:r w:rsidRPr="00480D85">
        <w:rPr>
          <w:rFonts w:ascii="Verdana" w:hAnsi="Verdana" w:cs="Arial"/>
          <w:lang w:eastAsia="es-MX"/>
        </w:rPr>
        <w:t xml:space="preserve"> </w:t>
      </w:r>
      <w:r w:rsidRPr="00480D85">
        <w:rPr>
          <w:rFonts w:ascii="Verdana" w:eastAsia="Times New Roman" w:hAnsi="Verdana" w:cs="Arial"/>
          <w:lang w:eastAsia="es-MX"/>
        </w:rPr>
        <w:t xml:space="preserve">modalidades pueden dividirse en i) competitivas y </w:t>
      </w:r>
      <w:proofErr w:type="spellStart"/>
      <w:r w:rsidRPr="00480D85">
        <w:rPr>
          <w:rFonts w:ascii="Verdana" w:eastAsia="Times New Roman" w:hAnsi="Verdana" w:cs="Arial"/>
          <w:lang w:eastAsia="es-MX"/>
        </w:rPr>
        <w:t>ii</w:t>
      </w:r>
      <w:proofErr w:type="spellEnd"/>
      <w:r w:rsidRPr="00480D85">
        <w:rPr>
          <w:rFonts w:ascii="Verdana" w:eastAsia="Times New Roman" w:hAnsi="Verdana" w:cs="Arial"/>
          <w:lang w:eastAsia="es-MX"/>
        </w:rPr>
        <w:t xml:space="preserve">) no competitivas. Sobre el particular, la guía de competencia en las compras públicas de la Agencia Nacional de Contratación Pública – Colombia Compra Eficiente señala que “[…] la competencia, entendida como rivalidad efectiva entre empresas de un mismo mercado, incentiva la </w:t>
      </w:r>
      <w:r w:rsidRPr="00480D85">
        <w:rPr>
          <w:rFonts w:ascii="Verdana" w:eastAsia="Times New Roman" w:hAnsi="Verdana" w:cs="Arial"/>
          <w:lang w:eastAsia="es-MX"/>
        </w:rPr>
        <w:lastRenderedPageBreak/>
        <w:t>reducción de precios, el aumento de la calidad, la lucha contra la corrupción y la innovación por parte del sector privado”</w:t>
      </w:r>
      <w:r w:rsidRPr="00480D85">
        <w:rPr>
          <w:rFonts w:ascii="Verdana" w:eastAsia="Times New Roman" w:hAnsi="Verdana" w:cs="Arial"/>
          <w:vertAlign w:val="superscript"/>
          <w:lang w:eastAsia="es-MX"/>
        </w:rPr>
        <w:footnoteReference w:id="5"/>
      </w:r>
      <w:r w:rsidRPr="00480D85">
        <w:rPr>
          <w:rFonts w:ascii="Verdana" w:eastAsia="Times New Roman" w:hAnsi="Verdana" w:cs="Arial"/>
          <w:lang w:eastAsia="es-MX"/>
        </w:rPr>
        <w:t xml:space="preserve">. </w:t>
      </w:r>
    </w:p>
    <w:p w14:paraId="79DA9A4D" w14:textId="77777777" w:rsidR="00C71B18" w:rsidRPr="00480D85" w:rsidRDefault="00C71B18" w:rsidP="00C71B18">
      <w:pPr>
        <w:spacing w:after="120" w:line="276" w:lineRule="auto"/>
        <w:ind w:firstLine="709"/>
        <w:jc w:val="both"/>
        <w:rPr>
          <w:rFonts w:ascii="Verdana" w:eastAsia="Times New Roman" w:hAnsi="Verdana" w:cs="Arial"/>
          <w:lang w:eastAsia="es-MX"/>
        </w:rPr>
      </w:pPr>
      <w:r w:rsidRPr="00480D85">
        <w:rPr>
          <w:rFonts w:ascii="Verdana" w:eastAsia="Times New Roman" w:hAnsi="Verdana" w:cs="Arial"/>
          <w:lang w:eastAsia="es-MX"/>
        </w:rPr>
        <w:t>Por ejemplo, procesos como la licitación pública y el concurso de méritos son modalidades de selección abiertas a competencia, pues en ellas tiene lugar la participación de varios proponentes en una fase pública de presentación de ofertas. Esto permite que todas las personas interesadas concurran al proceso en igualdad de condiciones y compitan en el mismo. En contraste, la contratación directa es una modalidad no competitiva, es decir, no está abierta al público para que los proponentes presenten sus ofertas. En esta modalidad la entidad estatal determina, de forma directa y no pública, la persona que puede participar y que será seleccionada.</w:t>
      </w:r>
    </w:p>
    <w:p w14:paraId="525E64CC" w14:textId="77777777" w:rsidR="00C71B18" w:rsidRPr="00480D85" w:rsidRDefault="00C71B18" w:rsidP="00C71B18">
      <w:pPr>
        <w:spacing w:after="120" w:line="276" w:lineRule="auto"/>
        <w:ind w:firstLine="708"/>
        <w:jc w:val="both"/>
        <w:rPr>
          <w:rFonts w:ascii="Verdana" w:eastAsia="Times New Roman" w:hAnsi="Verdana" w:cs="Arial"/>
          <w:lang w:eastAsia="es-MX"/>
        </w:rPr>
      </w:pPr>
      <w:r w:rsidRPr="00480D85">
        <w:rPr>
          <w:rFonts w:ascii="Verdana" w:eastAsia="Times New Roman" w:hAnsi="Verdana" w:cs="Arial"/>
          <w:lang w:eastAsia="es-MX"/>
        </w:rPr>
        <w:t>Lo expuesto se complementa con lo explicado por la Corte Constitucional en Sentencia C-713 de 2009, la cual estudió la constitucionalidad de los artículos 2 ‒parcial‒ y 5 ‒parcial‒ de la Ley 1150 de 2007. En esa decisi</w:t>
      </w:r>
      <w:r w:rsidRPr="00480D85">
        <w:rPr>
          <w:rFonts w:ascii="Verdana" w:eastAsia="Times New Roman" w:hAnsi="Verdana" w:cs="Century Gothic"/>
          <w:lang w:eastAsia="es-MX"/>
        </w:rPr>
        <w:t>ó</w:t>
      </w:r>
      <w:r w:rsidRPr="00480D85">
        <w:rPr>
          <w:rFonts w:ascii="Verdana" w:eastAsia="Times New Roman" w:hAnsi="Verdana" w:cs="Arial"/>
          <w:lang w:eastAsia="es-MX"/>
        </w:rPr>
        <w:t>n judicial se desarrollaron los principios de libre concurrencia y selecci</w:t>
      </w:r>
      <w:r w:rsidRPr="00480D85">
        <w:rPr>
          <w:rFonts w:ascii="Verdana" w:eastAsia="Times New Roman" w:hAnsi="Verdana" w:cs="Century Gothic"/>
          <w:lang w:eastAsia="es-MX"/>
        </w:rPr>
        <w:t>ó</w:t>
      </w:r>
      <w:r w:rsidRPr="00480D85">
        <w:rPr>
          <w:rFonts w:ascii="Verdana" w:eastAsia="Times New Roman" w:hAnsi="Verdana" w:cs="Arial"/>
          <w:lang w:eastAsia="es-MX"/>
        </w:rPr>
        <w:t>n objetiva en la contrataci</w:t>
      </w:r>
      <w:r w:rsidRPr="00480D85">
        <w:rPr>
          <w:rFonts w:ascii="Verdana" w:eastAsia="Times New Roman" w:hAnsi="Verdana" w:cs="Century Gothic"/>
          <w:lang w:eastAsia="es-MX"/>
        </w:rPr>
        <w:t>ó</w:t>
      </w:r>
      <w:r w:rsidRPr="00480D85">
        <w:rPr>
          <w:rFonts w:ascii="Verdana" w:eastAsia="Times New Roman" w:hAnsi="Verdana" w:cs="Arial"/>
          <w:lang w:eastAsia="es-MX"/>
        </w:rPr>
        <w:t>n p</w:t>
      </w:r>
      <w:r w:rsidRPr="00480D85">
        <w:rPr>
          <w:rFonts w:ascii="Verdana" w:eastAsia="Times New Roman" w:hAnsi="Verdana" w:cs="Century Gothic"/>
          <w:lang w:eastAsia="es-MX"/>
        </w:rPr>
        <w:t>ú</w:t>
      </w:r>
      <w:r w:rsidRPr="00480D85">
        <w:rPr>
          <w:rFonts w:ascii="Verdana" w:eastAsia="Times New Roman" w:hAnsi="Verdana" w:cs="Arial"/>
          <w:lang w:eastAsia="es-MX"/>
        </w:rPr>
        <w:t>blica, como expresiones del derecho a la igualdad de oportunidades para quienes tengan inter</w:t>
      </w:r>
      <w:r w:rsidRPr="00480D85">
        <w:rPr>
          <w:rFonts w:ascii="Verdana" w:eastAsia="Times New Roman" w:hAnsi="Verdana" w:cs="Century Gothic"/>
          <w:lang w:eastAsia="es-MX"/>
        </w:rPr>
        <w:t>é</w:t>
      </w:r>
      <w:r w:rsidRPr="00480D85">
        <w:rPr>
          <w:rFonts w:ascii="Verdana" w:eastAsia="Times New Roman" w:hAnsi="Verdana" w:cs="Arial"/>
          <w:lang w:eastAsia="es-MX"/>
        </w:rPr>
        <w:t>s en participar en la contrataci</w:t>
      </w:r>
      <w:r w:rsidRPr="00480D85">
        <w:rPr>
          <w:rFonts w:ascii="Verdana" w:eastAsia="Times New Roman" w:hAnsi="Verdana" w:cs="Century Gothic"/>
          <w:lang w:eastAsia="es-MX"/>
        </w:rPr>
        <w:t>ó</w:t>
      </w:r>
      <w:r w:rsidRPr="00480D85">
        <w:rPr>
          <w:rFonts w:ascii="Verdana" w:eastAsia="Times New Roman" w:hAnsi="Verdana" w:cs="Arial"/>
          <w:lang w:eastAsia="es-MX"/>
        </w:rPr>
        <w:t>n estatal.</w:t>
      </w:r>
      <w:r>
        <w:rPr>
          <w:rFonts w:ascii="Verdana" w:eastAsia="Times New Roman" w:hAnsi="Verdana" w:cs="Arial"/>
          <w:lang w:eastAsia="es-MX"/>
        </w:rPr>
        <w:t xml:space="preserve"> </w:t>
      </w:r>
      <w:r w:rsidRPr="00480D85">
        <w:rPr>
          <w:rFonts w:ascii="Verdana" w:eastAsia="Times New Roman" w:hAnsi="Verdana" w:cs="Arial"/>
          <w:lang w:eastAsia="es-MX"/>
        </w:rPr>
        <w:t>La materializaci</w:t>
      </w:r>
      <w:r w:rsidRPr="00480D85">
        <w:rPr>
          <w:rFonts w:ascii="Verdana" w:eastAsia="Times New Roman" w:hAnsi="Verdana" w:cs="Century Gothic"/>
          <w:lang w:eastAsia="es-MX"/>
        </w:rPr>
        <w:t>ó</w:t>
      </w:r>
      <w:r w:rsidRPr="00480D85">
        <w:rPr>
          <w:rFonts w:ascii="Verdana" w:eastAsia="Times New Roman" w:hAnsi="Verdana" w:cs="Arial"/>
          <w:lang w:eastAsia="es-MX"/>
        </w:rPr>
        <w:t>n de esos principios pretende que no exista discriminaci</w:t>
      </w:r>
      <w:r w:rsidRPr="00480D85">
        <w:rPr>
          <w:rFonts w:ascii="Verdana" w:eastAsia="Times New Roman" w:hAnsi="Verdana" w:cs="Century Gothic"/>
          <w:lang w:eastAsia="es-MX"/>
        </w:rPr>
        <w:t>ó</w:t>
      </w:r>
      <w:r w:rsidRPr="00480D85">
        <w:rPr>
          <w:rFonts w:ascii="Verdana" w:eastAsia="Times New Roman" w:hAnsi="Verdana" w:cs="Arial"/>
          <w:lang w:eastAsia="es-MX"/>
        </w:rPr>
        <w:t>n y que las entidades no impongan limitaciones a través de reglas que impidan la concurrencia para obtener mejores condiciones de contratación. Sin embargo, se admiten excepciones que busquen condiciones del contratista que sean favorables a los intereses del Estado y aseguren la transparencia del procedimiento como las inhabilidades e incompatibilidades</w:t>
      </w:r>
      <w:r w:rsidRPr="00480D85">
        <w:rPr>
          <w:rFonts w:ascii="Verdana" w:eastAsia="Times New Roman" w:hAnsi="Verdana" w:cs="Arial"/>
          <w:vertAlign w:val="superscript"/>
          <w:lang w:eastAsia="es-MX"/>
        </w:rPr>
        <w:footnoteReference w:id="6"/>
      </w:r>
      <w:r w:rsidRPr="00480D85">
        <w:rPr>
          <w:rFonts w:ascii="Verdana" w:eastAsia="Times New Roman" w:hAnsi="Verdana" w:cs="Arial"/>
          <w:lang w:eastAsia="es-MX"/>
        </w:rPr>
        <w:t>.</w:t>
      </w:r>
    </w:p>
    <w:p w14:paraId="0A4DC473" w14:textId="77777777" w:rsidR="00C71B18" w:rsidRPr="00480D85" w:rsidRDefault="00C71B18" w:rsidP="00C71B18">
      <w:pPr>
        <w:spacing w:after="120" w:line="276" w:lineRule="auto"/>
        <w:ind w:firstLine="708"/>
        <w:jc w:val="both"/>
        <w:rPr>
          <w:rFonts w:ascii="Verdana" w:eastAsia="Times New Roman" w:hAnsi="Verdana" w:cs="Arial"/>
          <w:lang w:eastAsia="es-MX"/>
        </w:rPr>
      </w:pPr>
      <w:r w:rsidRPr="00480D85">
        <w:rPr>
          <w:rFonts w:ascii="Verdana" w:eastAsia="Times New Roman" w:hAnsi="Verdana" w:cs="Arial"/>
          <w:lang w:eastAsia="es-MX"/>
        </w:rPr>
        <w:t xml:space="preserve">Así las cosas, la contratación directa es una excepción al principio de libre concurrencia y competencia, que se aplica en los procesos de contratación, para que cualquier persona interesada en satisfacer la necesidad de una entidad pueda presentar una oferta. Por ello, es de aplicación restrictiva, esto es, solo procede por las causales señaladas taxativamente en el numeral 4 del artículo 2 de la Ley 1150 de 2007. En tal sentido, su aplicación no puede efectuarse por fuera del contenido normativo citado, ni operar más allá de lo que la misma </w:t>
      </w:r>
      <w:r w:rsidRPr="00480D85">
        <w:rPr>
          <w:rFonts w:ascii="Verdana" w:eastAsia="Times New Roman" w:hAnsi="Verdana" w:cs="Arial"/>
          <w:lang w:eastAsia="es-MX"/>
        </w:rPr>
        <w:lastRenderedPageBreak/>
        <w:t xml:space="preserve">norma dispone, dentro del contexto del ordenamiento jurídico de la contratación estatal. </w:t>
      </w:r>
    </w:p>
    <w:p w14:paraId="64761730" w14:textId="77777777" w:rsidR="00C71B18" w:rsidRPr="00480D85" w:rsidRDefault="00C71B18" w:rsidP="00C71B18">
      <w:pPr>
        <w:spacing w:after="120" w:line="276" w:lineRule="auto"/>
        <w:ind w:right="45" w:firstLine="709"/>
        <w:jc w:val="both"/>
        <w:rPr>
          <w:rFonts w:ascii="Verdana" w:eastAsia="Times New Roman" w:hAnsi="Verdana" w:cs="Arial"/>
          <w:lang w:eastAsia="es-MX"/>
        </w:rPr>
      </w:pPr>
      <w:r w:rsidRPr="00480D85">
        <w:rPr>
          <w:rFonts w:ascii="Verdana" w:eastAsia="Times New Roman" w:hAnsi="Verdana" w:cs="Arial"/>
          <w:lang w:eastAsia="es-MX"/>
        </w:rPr>
        <w:t>Igualmente, esta excepción al deber de procurar la pluralidad de ofertas es considerada por el Consejo de Estado como un método que permite satisfacer la selección objetiva. De esta manera, aunque en la contratación directa no es necesaria la comparación de ofertas, no desconoce lo previsto en el artículo 5 de la Ley 1150 de 2007. Por ello, la jurisprudencia explica que: “[…] se ha aceptado que la selección objetiva fundada en el ofrecimiento más favorable no depende únicamente del cotejo entre ofertas sino también de métodos que, aun prescindiendo de dicha comparación, garanticen que la respectiva escogencia se ajuste a los criterios legales de selección objetiva, a los precios o condiciones del mercado y a los estudios y deducciones de la entidad o de los organismos consultores o asesores designados para ello”</w:t>
      </w:r>
      <w:r w:rsidRPr="00480D85">
        <w:rPr>
          <w:rFonts w:ascii="Verdana" w:eastAsia="Times New Roman" w:hAnsi="Verdana" w:cs="Arial"/>
          <w:vertAlign w:val="superscript"/>
          <w:lang w:eastAsia="es-MX"/>
        </w:rPr>
        <w:footnoteReference w:id="7"/>
      </w:r>
      <w:r w:rsidRPr="00480D85">
        <w:rPr>
          <w:rFonts w:ascii="Verdana" w:eastAsia="Times New Roman" w:hAnsi="Verdana" w:cs="Arial"/>
          <w:lang w:eastAsia="es-MX"/>
        </w:rPr>
        <w:t>.</w:t>
      </w:r>
    </w:p>
    <w:p w14:paraId="21647B1C" w14:textId="77777777" w:rsidR="00C71B18" w:rsidRPr="00480D85" w:rsidRDefault="00C71B18" w:rsidP="00C71B18">
      <w:pPr>
        <w:spacing w:after="0" w:line="276" w:lineRule="auto"/>
        <w:ind w:firstLine="708"/>
        <w:jc w:val="both"/>
        <w:rPr>
          <w:rFonts w:ascii="Verdana" w:eastAsia="Times New Roman" w:hAnsi="Verdana" w:cs="Arial"/>
          <w:lang w:eastAsia="es-MX"/>
        </w:rPr>
      </w:pPr>
      <w:r w:rsidRPr="00480D85">
        <w:rPr>
          <w:rFonts w:ascii="Verdana" w:eastAsia="Times New Roman" w:hAnsi="Verdana" w:cs="Arial"/>
          <w:lang w:eastAsia="es-MX"/>
        </w:rPr>
        <w:t>De este modo, en la contratación directa no es necesario que la entidad reciba más de una oferta, pues la contratación se realiza con quien la entidad escoja libremente, bajo criterios que permitan adoptar una decisión objetiva en procura del cumplimiento de las necesidades de la administración</w:t>
      </w:r>
      <w:r w:rsidRPr="00480D85">
        <w:rPr>
          <w:rFonts w:ascii="Verdana" w:eastAsia="Times New Roman" w:hAnsi="Verdana" w:cs="Arial"/>
          <w:vertAlign w:val="superscript"/>
          <w:lang w:eastAsia="es-MX"/>
        </w:rPr>
        <w:footnoteReference w:id="8"/>
      </w:r>
      <w:r w:rsidRPr="00480D85">
        <w:rPr>
          <w:rFonts w:ascii="Verdana" w:eastAsia="Times New Roman" w:hAnsi="Verdana" w:cs="Arial"/>
          <w:lang w:eastAsia="es-MX"/>
        </w:rPr>
        <w:t>. Esta contratación puede estar fundada en que el proponente es único</w:t>
      </w:r>
      <w:r>
        <w:rPr>
          <w:rFonts w:ascii="Verdana" w:eastAsia="Times New Roman" w:hAnsi="Verdana" w:cs="Arial"/>
          <w:lang w:eastAsia="es-MX"/>
        </w:rPr>
        <w:t>, existe alguna situación de urgencia manifiesta</w:t>
      </w:r>
      <w:r w:rsidRPr="00480D85">
        <w:rPr>
          <w:rFonts w:ascii="Verdana" w:eastAsia="Times New Roman" w:hAnsi="Verdana" w:cs="Arial"/>
          <w:lang w:eastAsia="es-MX"/>
        </w:rPr>
        <w:t xml:space="preserve"> o el legislador privilegió algunos objetos contractuales u oferentes para contratarlos de manera directa, teniendo en cuenta las causales expresamente señaladas en la ley. </w:t>
      </w:r>
    </w:p>
    <w:p w14:paraId="26D39F84" w14:textId="47661752" w:rsidR="00C71B18" w:rsidRPr="00480D85" w:rsidRDefault="00C71B18" w:rsidP="00C71B18">
      <w:pPr>
        <w:spacing w:before="120" w:after="120" w:line="276" w:lineRule="auto"/>
        <w:ind w:firstLine="709"/>
        <w:jc w:val="both"/>
        <w:rPr>
          <w:rFonts w:ascii="Verdana" w:eastAsia="Times New Roman" w:hAnsi="Verdana" w:cs="Arial"/>
          <w:lang w:eastAsia="es-MX"/>
        </w:rPr>
      </w:pPr>
      <w:r w:rsidRPr="00480D85">
        <w:rPr>
          <w:rFonts w:ascii="Verdana" w:eastAsia="Times New Roman" w:hAnsi="Verdana" w:cs="Arial"/>
          <w:lang w:eastAsia="es-MX"/>
        </w:rPr>
        <w:lastRenderedPageBreak/>
        <w:t xml:space="preserve">Todo lo anterior implica que el proceso de contratación directa sea simplificado, corto, ágil y expedito, por no exigir el agotamiento de una convocatoria pública o la realización de un proceso competitivo. Sin embargo, estas características no eximen a las entidades estatales de garantizar los principios rectores de la contratación pública. Por ello, cabe destacar que existe otra diferencia fundamental con las modalidades de selección competitivas mencionadas: </w:t>
      </w:r>
      <w:r w:rsidR="00025857" w:rsidRPr="00025857">
        <w:rPr>
          <w:rFonts w:ascii="Verdana" w:eastAsia="Times New Roman" w:hAnsi="Verdana" w:cs="Arial"/>
          <w:lang w:eastAsia="es-MX"/>
        </w:rPr>
        <w:t>La modalidad de contratación directa no supone un procedimiento competitivo entre varias ofertas ni exige pluralidad de proponentes, sin perjuicio de que la entidad pueda obtener información del mercado cuando ello resulte necesario para estructurar adecuadamente el proceso contractual</w:t>
      </w:r>
      <w:r w:rsidRPr="00480D85">
        <w:rPr>
          <w:rFonts w:ascii="Verdana" w:eastAsia="Times New Roman" w:hAnsi="Verdana" w:cs="Arial"/>
          <w:lang w:eastAsia="es-MX"/>
        </w:rPr>
        <w:t>. Sobre este particular el Consejo de Estado explica que “Se define la expresión contratación directa entendida como cualquier mecanismo de escogencia del contratista en el que se prescinde de la licitación o concurso, sin que se tenga en cuenta por el legislador estatutario el régimen de contratación aplicable, ya sea contenido en el Estatuto General de Contratación de la Administración Pública - ley 80 de 1993 -, o uno especial en razón del objeto del contrato o del órgano que contrata”</w:t>
      </w:r>
      <w:r w:rsidRPr="00480D85">
        <w:rPr>
          <w:rFonts w:ascii="Verdana" w:eastAsia="Times New Roman" w:hAnsi="Verdana" w:cs="Arial"/>
          <w:vertAlign w:val="superscript"/>
          <w:lang w:eastAsia="es-MX"/>
        </w:rPr>
        <w:footnoteReference w:id="9"/>
      </w:r>
      <w:r w:rsidRPr="00480D85">
        <w:rPr>
          <w:rFonts w:ascii="Verdana" w:eastAsia="Times New Roman" w:hAnsi="Verdana" w:cs="Arial"/>
          <w:lang w:eastAsia="es-MX"/>
        </w:rPr>
        <w:t>.</w:t>
      </w:r>
    </w:p>
    <w:p w14:paraId="1F9B433A" w14:textId="77777777" w:rsidR="00C71B18" w:rsidRDefault="00C71B18" w:rsidP="00C71B18">
      <w:pPr>
        <w:spacing w:after="120" w:line="276" w:lineRule="auto"/>
        <w:ind w:firstLine="709"/>
        <w:jc w:val="both"/>
        <w:rPr>
          <w:rFonts w:ascii="Verdana" w:eastAsia="Times New Roman" w:hAnsi="Verdana" w:cs="Arial"/>
          <w:lang w:eastAsia="es-MX"/>
        </w:rPr>
      </w:pPr>
      <w:r w:rsidRPr="00480D85">
        <w:rPr>
          <w:rFonts w:ascii="Verdana" w:eastAsia="Times New Roman" w:hAnsi="Verdana" w:cs="Arial"/>
          <w:lang w:eastAsia="es-MX"/>
        </w:rPr>
        <w:t xml:space="preserve">Por consiguiente, en la contratación directa la entidad no establece puntaje para ponderar ofertas, porque se presenta una sola </w:t>
      </w:r>
      <w:r>
        <w:rPr>
          <w:rFonts w:ascii="Verdana" w:eastAsia="Times New Roman" w:hAnsi="Verdana" w:cs="Arial"/>
          <w:lang w:eastAsia="es-MX"/>
        </w:rPr>
        <w:t>propuesta</w:t>
      </w:r>
      <w:r w:rsidRPr="00480D85">
        <w:rPr>
          <w:rFonts w:ascii="Verdana" w:eastAsia="Times New Roman" w:hAnsi="Verdana" w:cs="Arial"/>
          <w:lang w:eastAsia="es-MX"/>
        </w:rPr>
        <w:t>, la cual corresponde a la de la persona a quien la entidad invitó y seleccionó en forma directa. En todo caso, se debe garantizar el cumplimiento de los principios de la función administrativa y la gestión fiscal consagrados en los artículos 209 y 267 de la Constitución Política.</w:t>
      </w:r>
    </w:p>
    <w:p w14:paraId="226ECB5C" w14:textId="77777777" w:rsidR="00C71B18" w:rsidRPr="00480D85"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Ahora bien, </w:t>
      </w:r>
      <w:r>
        <w:rPr>
          <w:rFonts w:ascii="Verdana" w:eastAsia="Calibri" w:hAnsi="Verdana" w:cs="Arial"/>
          <w:bCs/>
          <w:color w:val="000000" w:themeColor="text1"/>
          <w:lang w:val="es-ES_tradnl"/>
        </w:rPr>
        <w:t>l</w:t>
      </w:r>
      <w:r w:rsidRPr="00915E9F">
        <w:rPr>
          <w:rFonts w:ascii="Verdana" w:eastAsia="Calibri" w:hAnsi="Verdana" w:cs="Arial"/>
          <w:bCs/>
          <w:color w:val="000000" w:themeColor="text1"/>
          <w:lang w:val="es-ES_tradnl"/>
        </w:rPr>
        <w:t>a adquisición de bienes o servicios requeridos para la actividad de defensa y seguridad nacional, en la redacción original de la Ley 80 de 1993, se consideró una causal de contratación directa</w:t>
      </w:r>
      <w:r w:rsidRPr="00915E9F">
        <w:rPr>
          <w:rStyle w:val="Refdenotaalpie"/>
          <w:rFonts w:ascii="Verdana" w:eastAsia="Calibri" w:hAnsi="Verdana" w:cs="Arial"/>
          <w:bCs/>
          <w:color w:val="000000" w:themeColor="text1"/>
          <w:lang w:val="es-ES_tradnl"/>
        </w:rPr>
        <w:footnoteReference w:id="10"/>
      </w:r>
      <w:r w:rsidRPr="00915E9F">
        <w:rPr>
          <w:rFonts w:ascii="Verdana" w:eastAsia="Calibri" w:hAnsi="Verdana" w:cs="Arial"/>
          <w:bCs/>
          <w:color w:val="000000" w:themeColor="text1"/>
          <w:lang w:val="es-ES_tradnl"/>
        </w:rPr>
        <w:t xml:space="preserve">. </w:t>
      </w:r>
      <w:r w:rsidRPr="0068083E">
        <w:rPr>
          <w:rFonts w:ascii="Verdana" w:eastAsia="Calibri" w:hAnsi="Verdana" w:cs="Arial"/>
          <w:bCs/>
          <w:color w:val="000000" w:themeColor="text1"/>
          <w:lang w:val="es-ES_tradnl"/>
        </w:rPr>
        <w:t>El artículo 32 de la Ley 1150 de 2007 derogó el artículo 24</w:t>
      </w:r>
      <w:r>
        <w:rPr>
          <w:rFonts w:ascii="Verdana" w:eastAsia="Calibri" w:hAnsi="Verdana" w:cs="Arial"/>
          <w:bCs/>
          <w:color w:val="000000" w:themeColor="text1"/>
          <w:lang w:val="es-ES_tradnl"/>
        </w:rPr>
        <w:t>.1</w:t>
      </w:r>
      <w:r w:rsidRPr="0068083E">
        <w:rPr>
          <w:rFonts w:ascii="Verdana" w:eastAsia="Calibri" w:hAnsi="Verdana" w:cs="Arial"/>
          <w:bCs/>
          <w:color w:val="000000" w:themeColor="text1"/>
          <w:lang w:val="es-ES_tradnl"/>
        </w:rPr>
        <w:t xml:space="preserve"> de la Ley 80 de 1993</w:t>
      </w:r>
      <w:r>
        <w:rPr>
          <w:rFonts w:ascii="Verdana" w:eastAsia="Calibri" w:hAnsi="Verdana" w:cs="Arial"/>
          <w:bCs/>
          <w:color w:val="000000" w:themeColor="text1"/>
          <w:lang w:val="es-ES_tradnl"/>
        </w:rPr>
        <w:t xml:space="preserve">, </w:t>
      </w:r>
      <w:r w:rsidRPr="0068083E">
        <w:rPr>
          <w:rFonts w:ascii="Verdana" w:eastAsia="Calibri" w:hAnsi="Verdana" w:cs="Arial"/>
          <w:bCs/>
          <w:color w:val="000000" w:themeColor="text1"/>
          <w:lang w:val="es-ES_tradnl"/>
        </w:rPr>
        <w:t xml:space="preserve">causal que pasó a ser de </w:t>
      </w:r>
      <w:r w:rsidRPr="0068083E">
        <w:rPr>
          <w:rFonts w:ascii="Verdana" w:eastAsia="Calibri" w:hAnsi="Verdana" w:cs="Arial"/>
          <w:bCs/>
          <w:i/>
          <w:iCs/>
          <w:color w:val="000000" w:themeColor="text1"/>
          <w:lang w:val="es-ES_tradnl"/>
        </w:rPr>
        <w:t>selección abreviada</w:t>
      </w:r>
      <w:r w:rsidRPr="0068083E">
        <w:rPr>
          <w:rFonts w:ascii="Verdana" w:eastAsia="Calibri" w:hAnsi="Verdana" w:cs="Arial"/>
          <w:bCs/>
          <w:color w:val="000000" w:themeColor="text1"/>
          <w:lang w:val="es-ES_tradnl"/>
        </w:rPr>
        <w:t>, de conformidad con el</w:t>
      </w:r>
      <w:r>
        <w:rPr>
          <w:rFonts w:ascii="Verdana" w:eastAsia="Calibri" w:hAnsi="Verdana" w:cs="Arial"/>
          <w:bCs/>
          <w:color w:val="000000" w:themeColor="text1"/>
          <w:lang w:val="es-ES_tradnl"/>
        </w:rPr>
        <w:t xml:space="preserve"> literal i) del</w:t>
      </w:r>
      <w:r w:rsidRPr="0068083E">
        <w:rPr>
          <w:rFonts w:ascii="Verdana" w:eastAsia="Calibri" w:hAnsi="Verdana" w:cs="Arial"/>
          <w:bCs/>
          <w:color w:val="000000" w:themeColor="text1"/>
          <w:lang w:val="es-ES_tradnl"/>
        </w:rPr>
        <w:t xml:space="preserve"> artículo 2</w:t>
      </w:r>
      <w:r>
        <w:rPr>
          <w:rFonts w:ascii="Verdana" w:eastAsia="Calibri" w:hAnsi="Verdana" w:cs="Arial"/>
          <w:bCs/>
          <w:color w:val="000000" w:themeColor="text1"/>
          <w:lang w:val="es-ES_tradnl"/>
        </w:rPr>
        <w:t>.2</w:t>
      </w:r>
      <w:r w:rsidRPr="0068083E">
        <w:rPr>
          <w:rFonts w:ascii="Verdana" w:eastAsia="Calibri" w:hAnsi="Verdana" w:cs="Arial"/>
          <w:bCs/>
          <w:color w:val="000000" w:themeColor="text1"/>
          <w:lang w:val="es-ES_tradnl"/>
        </w:rPr>
        <w:t xml:space="preserve"> de la mencionada Ley 1150</w:t>
      </w:r>
      <w:r>
        <w:rPr>
          <w:rFonts w:ascii="Verdana" w:eastAsia="Calibri" w:hAnsi="Verdana" w:cs="Arial"/>
          <w:bCs/>
          <w:color w:val="000000" w:themeColor="text1"/>
          <w:lang w:val="es-ES_tradnl"/>
        </w:rPr>
        <w:t xml:space="preserve"> de 2007</w:t>
      </w:r>
      <w:r w:rsidRPr="0068083E">
        <w:rPr>
          <w:rFonts w:ascii="Verdana" w:eastAsia="Calibri" w:hAnsi="Verdana" w:cs="Arial"/>
          <w:bCs/>
          <w:color w:val="000000" w:themeColor="text1"/>
          <w:lang w:val="es-ES_tradnl"/>
        </w:rPr>
        <w:t>, salvo los que requieran reserva para su adquisición, frente a los cuales mantuvo, en</w:t>
      </w:r>
      <w:r>
        <w:rPr>
          <w:rFonts w:ascii="Verdana" w:eastAsia="Calibri" w:hAnsi="Verdana" w:cs="Arial"/>
          <w:bCs/>
          <w:color w:val="000000" w:themeColor="text1"/>
          <w:lang w:val="es-ES_tradnl"/>
        </w:rPr>
        <w:t xml:space="preserve"> el </w:t>
      </w:r>
      <w:r w:rsidRPr="0068083E">
        <w:rPr>
          <w:rFonts w:ascii="Verdana" w:eastAsia="Calibri" w:hAnsi="Verdana" w:cs="Arial"/>
          <w:bCs/>
          <w:color w:val="000000" w:themeColor="text1"/>
          <w:lang w:val="es-ES_tradnl"/>
        </w:rPr>
        <w:t>litera</w:t>
      </w:r>
      <w:r>
        <w:rPr>
          <w:rFonts w:ascii="Verdana" w:eastAsia="Calibri" w:hAnsi="Verdana" w:cs="Arial"/>
          <w:bCs/>
          <w:color w:val="000000" w:themeColor="text1"/>
          <w:lang w:val="es-ES_tradnl"/>
        </w:rPr>
        <w:t>l</w:t>
      </w:r>
      <w:r w:rsidRPr="0068083E">
        <w:rPr>
          <w:rFonts w:ascii="Verdana" w:eastAsia="Calibri" w:hAnsi="Verdana" w:cs="Arial"/>
          <w:bCs/>
          <w:color w:val="000000" w:themeColor="text1"/>
          <w:lang w:val="es-ES_tradnl"/>
        </w:rPr>
        <w:t xml:space="preserve"> d) </w:t>
      </w:r>
      <w:r>
        <w:rPr>
          <w:rFonts w:ascii="Verdana" w:eastAsia="Calibri" w:hAnsi="Verdana" w:cs="Arial"/>
          <w:bCs/>
          <w:color w:val="000000" w:themeColor="text1"/>
          <w:lang w:val="es-ES_tradnl"/>
        </w:rPr>
        <w:t>d</w:t>
      </w:r>
      <w:r w:rsidRPr="0068083E">
        <w:rPr>
          <w:rFonts w:ascii="Verdana" w:eastAsia="Calibri" w:hAnsi="Verdana" w:cs="Arial"/>
          <w:bCs/>
          <w:color w:val="000000" w:themeColor="text1"/>
          <w:lang w:val="es-ES_tradnl"/>
        </w:rPr>
        <w:t>el artículo 2</w:t>
      </w:r>
      <w:r>
        <w:rPr>
          <w:rFonts w:ascii="Verdana" w:eastAsia="Calibri" w:hAnsi="Verdana" w:cs="Arial"/>
          <w:bCs/>
          <w:color w:val="000000" w:themeColor="text1"/>
          <w:lang w:val="es-ES_tradnl"/>
        </w:rPr>
        <w:t xml:space="preserve">.4 </w:t>
      </w:r>
      <w:r w:rsidRPr="00340449">
        <w:rPr>
          <w:rFonts w:ascii="Verdana" w:eastAsia="Calibri" w:hAnsi="Verdana" w:cs="Arial"/>
          <w:bCs/>
          <w:i/>
          <w:iCs/>
          <w:color w:val="000000" w:themeColor="text1"/>
          <w:lang w:val="es-ES_tradnl"/>
        </w:rPr>
        <w:t>ibidem</w:t>
      </w:r>
      <w:r w:rsidRPr="0068083E">
        <w:rPr>
          <w:rFonts w:ascii="Verdana" w:eastAsia="Calibri" w:hAnsi="Verdana" w:cs="Arial"/>
          <w:bCs/>
          <w:color w:val="000000" w:themeColor="text1"/>
          <w:lang w:val="es-ES_tradnl"/>
        </w:rPr>
        <w:t xml:space="preserve">, la posibilidad de </w:t>
      </w:r>
      <w:r w:rsidRPr="0068083E">
        <w:rPr>
          <w:rFonts w:ascii="Verdana" w:eastAsia="Calibri" w:hAnsi="Verdana" w:cs="Arial"/>
          <w:bCs/>
          <w:i/>
          <w:iCs/>
          <w:color w:val="000000" w:themeColor="text1"/>
          <w:lang w:val="es-ES_tradnl"/>
        </w:rPr>
        <w:t>contratación directa</w:t>
      </w:r>
      <w:r w:rsidRPr="00DE2F55">
        <w:rPr>
          <w:rStyle w:val="Refdenotaalpie"/>
          <w:rFonts w:ascii="Verdana" w:eastAsia="Times New Roman" w:hAnsi="Verdana" w:cs="Arial"/>
          <w:lang w:eastAsia="es-MX"/>
        </w:rPr>
        <w:footnoteReference w:id="11"/>
      </w:r>
      <w:r w:rsidRPr="0068083E">
        <w:rPr>
          <w:rFonts w:ascii="Verdana" w:eastAsia="Calibri" w:hAnsi="Verdana" w:cs="Arial"/>
          <w:bCs/>
          <w:color w:val="000000" w:themeColor="text1"/>
          <w:lang w:val="es-ES_tradnl"/>
        </w:rPr>
        <w:t>.</w:t>
      </w:r>
      <w:r>
        <w:rPr>
          <w:rFonts w:ascii="Verdana" w:eastAsia="Times New Roman" w:hAnsi="Verdana" w:cs="Arial"/>
          <w:lang w:eastAsia="es-MX"/>
        </w:rPr>
        <w:t xml:space="preserve"> </w:t>
      </w:r>
    </w:p>
    <w:p w14:paraId="0F7C403F"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lastRenderedPageBreak/>
        <w:t>Esta última permite la selección directa tratándose de la</w:t>
      </w:r>
      <w:r w:rsidRPr="00DB1EA1">
        <w:rPr>
          <w:rFonts w:ascii="Verdana" w:eastAsia="Times New Roman" w:hAnsi="Verdana" w:cs="Arial"/>
          <w:lang w:eastAsia="es-MX"/>
        </w:rPr>
        <w:t xml:space="preserve"> contratación de bienes y servicios en el sector </w:t>
      </w:r>
      <w:r>
        <w:rPr>
          <w:rFonts w:ascii="Verdana" w:eastAsia="Times New Roman" w:hAnsi="Verdana" w:cs="Arial"/>
          <w:lang w:eastAsia="es-MX"/>
        </w:rPr>
        <w:t>d</w:t>
      </w:r>
      <w:r w:rsidRPr="00DB1EA1">
        <w:rPr>
          <w:rFonts w:ascii="Verdana" w:eastAsia="Times New Roman" w:hAnsi="Verdana" w:cs="Arial"/>
          <w:lang w:eastAsia="es-MX"/>
        </w:rPr>
        <w:t>efensa que necesiten reserva para su adquisición</w:t>
      </w:r>
      <w:r>
        <w:rPr>
          <w:rFonts w:ascii="Verdana" w:eastAsia="Times New Roman" w:hAnsi="Verdana" w:cs="Arial"/>
          <w:lang w:eastAsia="es-MX"/>
        </w:rPr>
        <w:t>. Dicha causal se sujetan al cumplimiento de dos (2) requisitos: uno de carácter orgánico y otro de carácter material. Por un lado, los bienes o servicios deben ser adquiridos por entidades del sector defensa y, por otro, su adquisición debe ser reservada.</w:t>
      </w:r>
    </w:p>
    <w:p w14:paraId="2CB970BA" w14:textId="77777777" w:rsidR="00C71B18" w:rsidRDefault="00C71B18" w:rsidP="00C71B18">
      <w:pPr>
        <w:spacing w:after="120" w:line="276" w:lineRule="auto"/>
        <w:ind w:firstLine="709"/>
        <w:jc w:val="both"/>
        <w:rPr>
          <w:rFonts w:ascii="Verdana" w:eastAsia="Times New Roman" w:hAnsi="Verdana" w:cs="Arial"/>
          <w:lang w:eastAsia="es-MX"/>
        </w:rPr>
      </w:pPr>
      <w:r w:rsidRPr="00DB1EA1">
        <w:rPr>
          <w:rFonts w:ascii="Verdana" w:eastAsia="Times New Roman" w:hAnsi="Verdana" w:cs="Arial"/>
          <w:i/>
          <w:iCs/>
          <w:lang w:eastAsia="es-MX"/>
        </w:rPr>
        <w:t xml:space="preserve">En lo que respecta </w:t>
      </w:r>
      <w:r>
        <w:rPr>
          <w:rFonts w:ascii="Verdana" w:eastAsia="Times New Roman" w:hAnsi="Verdana" w:cs="Arial"/>
          <w:i/>
          <w:iCs/>
          <w:lang w:eastAsia="es-MX"/>
        </w:rPr>
        <w:t>al requisito</w:t>
      </w:r>
      <w:r w:rsidRPr="00DB1EA1">
        <w:rPr>
          <w:rFonts w:ascii="Verdana" w:eastAsia="Times New Roman" w:hAnsi="Verdana" w:cs="Arial"/>
          <w:i/>
          <w:iCs/>
          <w:lang w:eastAsia="es-MX"/>
        </w:rPr>
        <w:t xml:space="preserve"> orgánico</w:t>
      </w:r>
      <w:r>
        <w:rPr>
          <w:rFonts w:ascii="Verdana" w:eastAsia="Times New Roman" w:hAnsi="Verdana" w:cs="Arial"/>
          <w:lang w:eastAsia="es-MX"/>
        </w:rPr>
        <w:t>, para entender qué entidades conforman el sector de defensa nacional, es necesario remitirse al artículo 42 de la Ley 489 de 1998. Dicha norma dispone que “</w:t>
      </w:r>
      <w:r w:rsidRPr="00535337">
        <w:rPr>
          <w:rFonts w:ascii="Verdana" w:eastAsia="Times New Roman" w:hAnsi="Verdana" w:cs="Arial"/>
          <w:lang w:eastAsia="es-MX"/>
        </w:rPr>
        <w:t>El Sector Administrativo está integrado por el Ministerio o Departamento Administrativo, las superintendencias y demás entidades que la ley definan como adscritas o vinculadas a aquéllos según correspondiere a cada área</w:t>
      </w:r>
      <w:r>
        <w:rPr>
          <w:rFonts w:ascii="Verdana" w:eastAsia="Times New Roman" w:hAnsi="Verdana" w:cs="Arial"/>
          <w:lang w:eastAsia="es-MX"/>
        </w:rPr>
        <w:t>”</w:t>
      </w:r>
      <w:r w:rsidRPr="00535337">
        <w:rPr>
          <w:rFonts w:ascii="Verdana" w:eastAsia="Times New Roman" w:hAnsi="Verdana" w:cs="Arial"/>
          <w:lang w:eastAsia="es-MX"/>
        </w:rPr>
        <w:t>.</w:t>
      </w:r>
      <w:r>
        <w:rPr>
          <w:rFonts w:ascii="Verdana" w:eastAsia="Times New Roman" w:hAnsi="Verdana" w:cs="Arial"/>
          <w:lang w:eastAsia="es-MX"/>
        </w:rPr>
        <w:t xml:space="preserve"> En la misma línea, el parágrafo del artículo 50 </w:t>
      </w:r>
      <w:r w:rsidRPr="00535337">
        <w:rPr>
          <w:rFonts w:ascii="Verdana" w:eastAsia="Times New Roman" w:hAnsi="Verdana" w:cs="Arial"/>
          <w:i/>
          <w:iCs/>
          <w:lang w:eastAsia="es-MX"/>
        </w:rPr>
        <w:t>ibidem</w:t>
      </w:r>
      <w:r>
        <w:rPr>
          <w:rFonts w:ascii="Verdana" w:eastAsia="Times New Roman" w:hAnsi="Verdana" w:cs="Arial"/>
          <w:lang w:eastAsia="es-MX"/>
        </w:rPr>
        <w:t xml:space="preserve"> indica lo siguiente: “</w:t>
      </w:r>
      <w:r w:rsidRPr="00535337">
        <w:rPr>
          <w:rFonts w:ascii="Verdana" w:eastAsia="Times New Roman" w:hAnsi="Verdana" w:cs="Arial"/>
          <w:lang w:eastAsia="es-MX"/>
        </w:rPr>
        <w:t>Las superintendencias, los establecimientos públicos y las unidades administrativas especiales estarán adscritos a los ministerios o departamentos administrativos; las empresas industriales y comerciales del Estado y las sociedades de economía mixta estarán vinculadas a aquellos; los demás organismos y entidades estarán adscritos o vinculados, según lo determine su acto de creación</w:t>
      </w:r>
      <w:r>
        <w:rPr>
          <w:rFonts w:ascii="Verdana" w:eastAsia="Times New Roman" w:hAnsi="Verdana" w:cs="Arial"/>
          <w:lang w:eastAsia="es-MX"/>
        </w:rPr>
        <w:t>”</w:t>
      </w:r>
      <w:r w:rsidRPr="00535337">
        <w:rPr>
          <w:rFonts w:ascii="Verdana" w:eastAsia="Times New Roman" w:hAnsi="Verdana" w:cs="Arial"/>
          <w:lang w:eastAsia="es-MX"/>
        </w:rPr>
        <w:t>.</w:t>
      </w:r>
      <w:r>
        <w:rPr>
          <w:rFonts w:ascii="Verdana" w:eastAsia="Times New Roman" w:hAnsi="Verdana" w:cs="Arial"/>
          <w:lang w:eastAsia="es-MX"/>
        </w:rPr>
        <w:t xml:space="preserve"> </w:t>
      </w:r>
    </w:p>
    <w:p w14:paraId="6126601E"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Respecto a la estructura administrativa del sector de defensa nacional, el Decreto 1070 de 2015 ubica al ministerio respectivo como cabeza del mismo –artículo </w:t>
      </w:r>
      <w:r w:rsidRPr="003B03E0">
        <w:rPr>
          <w:rFonts w:ascii="Verdana" w:eastAsia="Times New Roman" w:hAnsi="Verdana" w:cs="Arial"/>
          <w:lang w:eastAsia="es-MX"/>
        </w:rPr>
        <w:t>1.1.1.1</w:t>
      </w:r>
      <w:r>
        <w:rPr>
          <w:rFonts w:ascii="Verdana" w:eastAsia="Times New Roman" w:hAnsi="Verdana" w:cs="Arial"/>
          <w:lang w:eastAsia="es-MX"/>
        </w:rPr>
        <w:t xml:space="preserve">–. Al ministerio se encuentran adscritas la </w:t>
      </w:r>
      <w:r w:rsidRPr="00B53481">
        <w:rPr>
          <w:rFonts w:ascii="Verdana" w:eastAsia="Times New Roman" w:hAnsi="Verdana" w:cs="Arial"/>
          <w:lang w:eastAsia="es-MX"/>
        </w:rPr>
        <w:t>Superintendencia de Vigilancia y Seguridad Privada</w:t>
      </w:r>
      <w:r>
        <w:rPr>
          <w:rFonts w:ascii="Verdana" w:eastAsia="Times New Roman" w:hAnsi="Verdana" w:cs="Arial"/>
          <w:lang w:eastAsia="es-MX"/>
        </w:rPr>
        <w:t xml:space="preserve"> –artículo </w:t>
      </w:r>
      <w:r w:rsidRPr="00B53481">
        <w:rPr>
          <w:rFonts w:ascii="Verdana" w:eastAsia="Times New Roman" w:hAnsi="Verdana" w:cs="Arial"/>
          <w:lang w:eastAsia="es-MX"/>
        </w:rPr>
        <w:t>1.2.1.1.1</w:t>
      </w:r>
      <w:r>
        <w:rPr>
          <w:rFonts w:ascii="Verdana" w:eastAsia="Times New Roman" w:hAnsi="Verdana" w:cs="Arial"/>
          <w:lang w:eastAsia="es-MX"/>
        </w:rPr>
        <w:t xml:space="preserve">–; la </w:t>
      </w:r>
      <w:r w:rsidRPr="00B53481">
        <w:rPr>
          <w:rFonts w:ascii="Verdana" w:eastAsia="Times New Roman" w:hAnsi="Verdana" w:cs="Arial"/>
          <w:lang w:eastAsia="es-MX"/>
        </w:rPr>
        <w:t>Caja de Retiro de las Fuerzas Militares</w:t>
      </w:r>
      <w:r>
        <w:rPr>
          <w:rFonts w:ascii="Verdana" w:eastAsia="Times New Roman" w:hAnsi="Verdana" w:cs="Arial"/>
          <w:lang w:eastAsia="es-MX"/>
        </w:rPr>
        <w:t xml:space="preserve">, la </w:t>
      </w:r>
      <w:r w:rsidRPr="00B53481">
        <w:rPr>
          <w:rFonts w:ascii="Verdana" w:eastAsia="Times New Roman" w:hAnsi="Verdana" w:cs="Arial"/>
          <w:lang w:eastAsia="es-MX"/>
        </w:rPr>
        <w:t>Caja de Sueldos de Retiro de la Policía Naciona</w:t>
      </w:r>
      <w:r>
        <w:rPr>
          <w:rFonts w:ascii="Verdana" w:eastAsia="Times New Roman" w:hAnsi="Verdana" w:cs="Arial"/>
          <w:lang w:eastAsia="es-MX"/>
        </w:rPr>
        <w:t xml:space="preserve">l, el </w:t>
      </w:r>
      <w:r w:rsidRPr="00B53481">
        <w:rPr>
          <w:rFonts w:ascii="Verdana" w:eastAsia="Times New Roman" w:hAnsi="Verdana" w:cs="Arial"/>
          <w:lang w:eastAsia="es-MX"/>
        </w:rPr>
        <w:t>Hospital Militar Central</w:t>
      </w:r>
      <w:r>
        <w:rPr>
          <w:rFonts w:ascii="Verdana" w:eastAsia="Times New Roman" w:hAnsi="Verdana" w:cs="Arial"/>
          <w:lang w:eastAsia="es-MX"/>
        </w:rPr>
        <w:t xml:space="preserve">, la </w:t>
      </w:r>
      <w:r w:rsidRPr="00B53481">
        <w:rPr>
          <w:rFonts w:ascii="Verdana" w:eastAsia="Times New Roman" w:hAnsi="Verdana" w:cs="Arial"/>
          <w:lang w:eastAsia="es-MX"/>
        </w:rPr>
        <w:t>Agencia Logística de las Fuerzas Militares</w:t>
      </w:r>
      <w:r>
        <w:rPr>
          <w:rFonts w:ascii="Verdana" w:eastAsia="Times New Roman" w:hAnsi="Verdana" w:cs="Arial"/>
          <w:lang w:eastAsia="es-MX"/>
        </w:rPr>
        <w:t xml:space="preserve">, el </w:t>
      </w:r>
      <w:r w:rsidRPr="00B53481">
        <w:rPr>
          <w:rFonts w:ascii="Verdana" w:eastAsia="Times New Roman" w:hAnsi="Verdana" w:cs="Arial"/>
          <w:lang w:eastAsia="es-MX"/>
        </w:rPr>
        <w:t>Fondo Rotatorio de la Policía Nacional</w:t>
      </w:r>
      <w:r>
        <w:rPr>
          <w:rFonts w:ascii="Verdana" w:eastAsia="Times New Roman" w:hAnsi="Verdana" w:cs="Arial"/>
          <w:lang w:eastAsia="es-MX"/>
        </w:rPr>
        <w:t xml:space="preserve">, el </w:t>
      </w:r>
      <w:r w:rsidRPr="00B53481">
        <w:rPr>
          <w:rFonts w:ascii="Verdana" w:eastAsia="Times New Roman" w:hAnsi="Verdana" w:cs="Arial"/>
          <w:lang w:eastAsia="es-MX"/>
        </w:rPr>
        <w:t>Instituto de Casas Fiscales del Ejército</w:t>
      </w:r>
      <w:r>
        <w:rPr>
          <w:rFonts w:ascii="Verdana" w:eastAsia="Times New Roman" w:hAnsi="Verdana" w:cs="Arial"/>
          <w:lang w:eastAsia="es-MX"/>
        </w:rPr>
        <w:t xml:space="preserve">, el </w:t>
      </w:r>
      <w:r w:rsidRPr="00B53481">
        <w:rPr>
          <w:rFonts w:ascii="Verdana" w:eastAsia="Times New Roman" w:hAnsi="Verdana" w:cs="Arial"/>
          <w:lang w:eastAsia="es-MX"/>
        </w:rPr>
        <w:t>Club Militar</w:t>
      </w:r>
      <w:r>
        <w:rPr>
          <w:rFonts w:ascii="Verdana" w:eastAsia="Times New Roman" w:hAnsi="Verdana" w:cs="Arial"/>
          <w:lang w:eastAsia="es-MX"/>
        </w:rPr>
        <w:t xml:space="preserve">, y la </w:t>
      </w:r>
      <w:r w:rsidRPr="00B53481">
        <w:rPr>
          <w:rFonts w:ascii="Verdana" w:eastAsia="Times New Roman" w:hAnsi="Verdana" w:cs="Arial"/>
          <w:lang w:eastAsia="es-MX"/>
        </w:rPr>
        <w:t>Defensa Civil Colombiana</w:t>
      </w:r>
      <w:r>
        <w:rPr>
          <w:rFonts w:ascii="Verdana" w:eastAsia="Times New Roman" w:hAnsi="Verdana" w:cs="Arial"/>
          <w:lang w:eastAsia="es-MX"/>
        </w:rPr>
        <w:t xml:space="preserve"> –artículo </w:t>
      </w:r>
      <w:r w:rsidRPr="00B53481">
        <w:rPr>
          <w:rFonts w:ascii="Verdana" w:eastAsia="Times New Roman" w:hAnsi="Verdana" w:cs="Arial"/>
          <w:lang w:eastAsia="es-MX"/>
        </w:rPr>
        <w:t>1.2.1.2.1</w:t>
      </w:r>
      <w:r>
        <w:rPr>
          <w:rFonts w:ascii="Verdana" w:eastAsia="Times New Roman" w:hAnsi="Verdana" w:cs="Arial"/>
          <w:lang w:eastAsia="es-MX"/>
        </w:rPr>
        <w:t xml:space="preserve">–. También están vinculadas la </w:t>
      </w:r>
      <w:r w:rsidRPr="00B53481">
        <w:rPr>
          <w:rFonts w:ascii="Verdana" w:eastAsia="Times New Roman" w:hAnsi="Verdana" w:cs="Arial"/>
          <w:lang w:eastAsia="es-MX"/>
        </w:rPr>
        <w:t>Industria Militar</w:t>
      </w:r>
      <w:r>
        <w:rPr>
          <w:rFonts w:ascii="Verdana" w:eastAsia="Times New Roman" w:hAnsi="Verdana" w:cs="Arial"/>
          <w:lang w:eastAsia="es-MX"/>
        </w:rPr>
        <w:t xml:space="preserve"> y la </w:t>
      </w:r>
      <w:r w:rsidRPr="00B53481">
        <w:rPr>
          <w:rFonts w:ascii="Verdana" w:eastAsia="Times New Roman" w:hAnsi="Verdana" w:cs="Arial"/>
          <w:lang w:eastAsia="es-MX"/>
        </w:rPr>
        <w:t>Caja Promotora de Vivienda Militar y de Policía</w:t>
      </w:r>
      <w:r>
        <w:rPr>
          <w:rFonts w:ascii="Verdana" w:eastAsia="Times New Roman" w:hAnsi="Verdana" w:cs="Arial"/>
          <w:lang w:eastAsia="es-MX"/>
        </w:rPr>
        <w:t xml:space="preserve"> –artículo </w:t>
      </w:r>
      <w:r w:rsidRPr="00B53481">
        <w:rPr>
          <w:rFonts w:ascii="Verdana" w:eastAsia="Times New Roman" w:hAnsi="Verdana" w:cs="Arial"/>
          <w:lang w:eastAsia="es-MX"/>
        </w:rPr>
        <w:t>1.2.2.1.1</w:t>
      </w:r>
      <w:r>
        <w:rPr>
          <w:rFonts w:ascii="Verdana" w:eastAsia="Times New Roman" w:hAnsi="Verdana" w:cs="Arial"/>
          <w:lang w:eastAsia="es-MX"/>
        </w:rPr>
        <w:t xml:space="preserve">–; el </w:t>
      </w:r>
      <w:r w:rsidRPr="00B53481">
        <w:rPr>
          <w:rFonts w:ascii="Verdana" w:eastAsia="Times New Roman" w:hAnsi="Verdana" w:cs="Arial"/>
          <w:lang w:eastAsia="es-MX"/>
        </w:rPr>
        <w:t>Servicio Aéreo a Territorios Nacionales S.A</w:t>
      </w:r>
      <w:r>
        <w:rPr>
          <w:rFonts w:ascii="Verdana" w:eastAsia="Times New Roman" w:hAnsi="Verdana" w:cs="Arial"/>
          <w:lang w:eastAsia="es-MX"/>
        </w:rPr>
        <w:t xml:space="preserve">, la </w:t>
      </w:r>
      <w:r w:rsidRPr="00B53481">
        <w:rPr>
          <w:rFonts w:ascii="Verdana" w:eastAsia="Times New Roman" w:hAnsi="Verdana" w:cs="Arial"/>
          <w:lang w:eastAsia="es-MX"/>
        </w:rPr>
        <w:t>Corporación de la Industria Aeronáutica Colombiana S.A</w:t>
      </w:r>
      <w:r>
        <w:rPr>
          <w:rFonts w:ascii="Verdana" w:eastAsia="Times New Roman" w:hAnsi="Verdana" w:cs="Arial"/>
          <w:lang w:eastAsia="es-MX"/>
        </w:rPr>
        <w:t xml:space="preserve"> y la </w:t>
      </w:r>
      <w:r w:rsidRPr="00B53481">
        <w:rPr>
          <w:rFonts w:ascii="Verdana" w:eastAsia="Times New Roman" w:hAnsi="Verdana" w:cs="Arial"/>
          <w:lang w:eastAsia="es-MX"/>
        </w:rPr>
        <w:t>Sociedad Hotelera S.A</w:t>
      </w:r>
      <w:r>
        <w:rPr>
          <w:rFonts w:ascii="Verdana" w:eastAsia="Times New Roman" w:hAnsi="Verdana" w:cs="Arial"/>
          <w:lang w:eastAsia="es-MX"/>
        </w:rPr>
        <w:t xml:space="preserve"> –artículo </w:t>
      </w:r>
      <w:r w:rsidRPr="00B53481">
        <w:rPr>
          <w:rFonts w:ascii="Verdana" w:eastAsia="Times New Roman" w:hAnsi="Verdana" w:cs="Arial"/>
          <w:lang w:eastAsia="es-MX"/>
        </w:rPr>
        <w:t>1.2.2.2.1</w:t>
      </w:r>
      <w:r>
        <w:rPr>
          <w:rFonts w:ascii="Verdana" w:eastAsia="Times New Roman" w:hAnsi="Verdana" w:cs="Arial"/>
          <w:lang w:eastAsia="es-MX"/>
        </w:rPr>
        <w:t xml:space="preserve">–; así como la </w:t>
      </w:r>
      <w:r w:rsidRPr="001F0185">
        <w:rPr>
          <w:rFonts w:ascii="Verdana" w:eastAsia="Times New Roman" w:hAnsi="Verdana" w:cs="Arial"/>
          <w:lang w:eastAsia="es-MX"/>
        </w:rPr>
        <w:t>Corporación de Ciencia y Tecnología para el Desarrollo de la Industria Naval, Marítima y Fluvial</w:t>
      </w:r>
      <w:r>
        <w:rPr>
          <w:rFonts w:ascii="Verdana" w:eastAsia="Times New Roman" w:hAnsi="Verdana" w:cs="Arial"/>
          <w:lang w:eastAsia="es-MX"/>
        </w:rPr>
        <w:t xml:space="preserve"> y la </w:t>
      </w:r>
      <w:r w:rsidRPr="001F0185">
        <w:rPr>
          <w:rFonts w:ascii="Verdana" w:eastAsia="Times New Roman" w:hAnsi="Verdana" w:cs="Arial"/>
          <w:lang w:eastAsia="es-MX"/>
        </w:rPr>
        <w:t>Corporación de Alta Tecnología para la Defensa</w:t>
      </w:r>
      <w:r>
        <w:rPr>
          <w:rFonts w:ascii="Verdana" w:eastAsia="Times New Roman" w:hAnsi="Verdana" w:cs="Arial"/>
          <w:lang w:eastAsia="es-MX"/>
        </w:rPr>
        <w:t xml:space="preserve"> –artículo </w:t>
      </w:r>
      <w:r w:rsidRPr="001F0185">
        <w:rPr>
          <w:rFonts w:ascii="Verdana" w:eastAsia="Times New Roman" w:hAnsi="Verdana" w:cs="Arial"/>
          <w:lang w:eastAsia="es-MX"/>
        </w:rPr>
        <w:t>1.2.3.1</w:t>
      </w:r>
      <w:r>
        <w:rPr>
          <w:rFonts w:ascii="Verdana" w:eastAsia="Times New Roman" w:hAnsi="Verdana" w:cs="Arial"/>
          <w:lang w:eastAsia="es-MX"/>
        </w:rPr>
        <w:t>–.</w:t>
      </w:r>
    </w:p>
    <w:p w14:paraId="184242DB"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lastRenderedPageBreak/>
        <w:t>Sin perjuicio de lo regulado en el artículo 14 de la ley 1150 de 2007 sobre régimen d</w:t>
      </w:r>
      <w:r w:rsidRPr="001F0185">
        <w:rPr>
          <w:rFonts w:ascii="Verdana" w:eastAsia="Times New Roman" w:hAnsi="Verdana" w:cs="Arial"/>
          <w:lang w:eastAsia="es-MX"/>
        </w:rPr>
        <w:t>el régimen contractual de las empresas industriales y comerciales del estado, las sociedades de economía mixta, sus filiales y empresas con participación mayoritaria del Estado</w:t>
      </w:r>
      <w:r>
        <w:rPr>
          <w:rFonts w:ascii="Verdana" w:eastAsia="Times New Roman" w:hAnsi="Verdana" w:cs="Arial"/>
          <w:lang w:eastAsia="es-MX"/>
        </w:rPr>
        <w:t xml:space="preserve">, el artículo 16 </w:t>
      </w:r>
      <w:r w:rsidRPr="001F0185">
        <w:rPr>
          <w:rFonts w:ascii="Verdana" w:eastAsia="Times New Roman" w:hAnsi="Verdana" w:cs="Arial"/>
          <w:i/>
          <w:iCs/>
          <w:lang w:eastAsia="es-MX"/>
        </w:rPr>
        <w:t>ibidem</w:t>
      </w:r>
      <w:r>
        <w:rPr>
          <w:rFonts w:ascii="Verdana" w:eastAsia="Times New Roman" w:hAnsi="Verdana" w:cs="Arial"/>
          <w:lang w:eastAsia="es-MX"/>
        </w:rPr>
        <w:t xml:space="preserve"> indica lo siguiente: “</w:t>
      </w:r>
      <w:r w:rsidRPr="001F0185">
        <w:rPr>
          <w:rFonts w:ascii="Verdana" w:eastAsia="Times New Roman" w:hAnsi="Verdana" w:cs="Arial"/>
          <w:lang w:eastAsia="es-MX"/>
        </w:rPr>
        <w:t xml:space="preserve">Los contratos que celebren </w:t>
      </w:r>
      <w:proofErr w:type="spellStart"/>
      <w:r w:rsidRPr="001F0185">
        <w:rPr>
          <w:rFonts w:ascii="Verdana" w:eastAsia="Times New Roman" w:hAnsi="Verdana" w:cs="Arial"/>
          <w:lang w:eastAsia="es-MX"/>
        </w:rPr>
        <w:t>Satena</w:t>
      </w:r>
      <w:proofErr w:type="spellEnd"/>
      <w:r w:rsidRPr="001F0185">
        <w:rPr>
          <w:rFonts w:ascii="Verdana" w:eastAsia="Times New Roman" w:hAnsi="Verdana" w:cs="Arial"/>
          <w:lang w:eastAsia="es-MX"/>
        </w:rPr>
        <w:t>, Indumil, El Hotel Tequendama, la Corporación de Ciencia y Tecnología para el desarrollo de la industria naval, marítima y fluvial –</w:t>
      </w:r>
      <w:proofErr w:type="spellStart"/>
      <w:r w:rsidRPr="001F0185">
        <w:rPr>
          <w:rFonts w:ascii="Verdana" w:eastAsia="Times New Roman" w:hAnsi="Verdana" w:cs="Arial"/>
          <w:lang w:eastAsia="es-MX"/>
        </w:rPr>
        <w:t>Cotecmar</w:t>
      </w:r>
      <w:proofErr w:type="spellEnd"/>
      <w:r w:rsidRPr="001F0185">
        <w:rPr>
          <w:rFonts w:ascii="Verdana" w:eastAsia="Times New Roman" w:hAnsi="Verdana" w:cs="Arial"/>
          <w:lang w:eastAsia="es-MX"/>
        </w:rPr>
        <w:t>– y la Corporación de la Industria Aeronáutica Colombiana –CIAC–, no estarán sujetos a las disposiciones del Estatuto General de Contratación de la Administración Pública y se regirán por las disposiciones legales y reglamentarias aplicables a su actividad</w:t>
      </w:r>
      <w:r>
        <w:rPr>
          <w:rFonts w:ascii="Verdana" w:eastAsia="Times New Roman" w:hAnsi="Verdana" w:cs="Arial"/>
          <w:lang w:eastAsia="es-MX"/>
        </w:rPr>
        <w:t>”</w:t>
      </w:r>
      <w:r w:rsidRPr="001F0185">
        <w:rPr>
          <w:rFonts w:ascii="Verdana" w:eastAsia="Times New Roman" w:hAnsi="Verdana" w:cs="Arial"/>
          <w:lang w:eastAsia="es-MX"/>
        </w:rPr>
        <w:t>.</w:t>
      </w:r>
      <w:r>
        <w:rPr>
          <w:rFonts w:ascii="Verdana" w:eastAsia="Times New Roman" w:hAnsi="Verdana" w:cs="Arial"/>
          <w:lang w:eastAsia="es-MX"/>
        </w:rPr>
        <w:t xml:space="preserve"> Luego, la causal de contratación directa del literal d) del artículo 2.4 de la Ley 1150 de 2007 se circunscribe principalmente a las entidades del sector defensa regidas por la Ley 80 de 1993. </w:t>
      </w:r>
    </w:p>
    <w:p w14:paraId="410B8AE0" w14:textId="77777777" w:rsidR="00C71B18" w:rsidRDefault="00C71B18" w:rsidP="00C71B18">
      <w:pPr>
        <w:spacing w:after="120" w:line="276" w:lineRule="auto"/>
        <w:ind w:firstLine="709"/>
        <w:jc w:val="both"/>
        <w:rPr>
          <w:rFonts w:ascii="Verdana" w:eastAsia="Times New Roman" w:hAnsi="Verdana" w:cs="Arial"/>
          <w:lang w:eastAsia="es-MX"/>
        </w:rPr>
      </w:pPr>
      <w:r w:rsidRPr="0023720F">
        <w:rPr>
          <w:rFonts w:ascii="Verdana" w:eastAsia="Times New Roman" w:hAnsi="Verdana" w:cs="Arial"/>
          <w:i/>
          <w:iCs/>
          <w:lang w:eastAsia="es-MX"/>
        </w:rPr>
        <w:t>En lo que respecta al criterio material</w:t>
      </w:r>
      <w:r>
        <w:rPr>
          <w:rFonts w:ascii="Verdana" w:eastAsia="Times New Roman" w:hAnsi="Verdana" w:cs="Arial"/>
          <w:lang w:eastAsia="es-MX"/>
        </w:rPr>
        <w:t>, no es suficiente que una entidad de sector defensa sometida al EGCAP adquiera bienes o servicios, pues éstos deben requerir reserva en su adquisición. En principio, dicha categoría de bienes y servicios fue desarrollada en el inciso segundo del artículo 78 del Decreto 1510 de 2013</w:t>
      </w:r>
      <w:r>
        <w:rPr>
          <w:rStyle w:val="Refdenotaalpie"/>
          <w:rFonts w:ascii="Verdana" w:eastAsia="Times New Roman" w:hAnsi="Verdana" w:cs="Arial"/>
          <w:lang w:eastAsia="es-MX"/>
        </w:rPr>
        <w:footnoteReference w:id="12"/>
      </w:r>
      <w:r>
        <w:rPr>
          <w:rFonts w:ascii="Verdana" w:eastAsia="Times New Roman" w:hAnsi="Verdana" w:cs="Arial"/>
          <w:lang w:eastAsia="es-MX"/>
        </w:rPr>
        <w:t xml:space="preserve">. Sin embargo, el listado fue anulado por la Subsección A de la Sección </w:t>
      </w:r>
      <w:r>
        <w:rPr>
          <w:rFonts w:ascii="Verdana" w:eastAsia="Times New Roman" w:hAnsi="Verdana" w:cs="Arial"/>
          <w:lang w:eastAsia="es-MX"/>
        </w:rPr>
        <w:lastRenderedPageBreak/>
        <w:t xml:space="preserve">Tercera del Consejo de Estado en Sentencia del 24 de mayo de 2018, </w:t>
      </w:r>
      <w:proofErr w:type="spellStart"/>
      <w:r>
        <w:rPr>
          <w:rFonts w:ascii="Verdana" w:eastAsia="Times New Roman" w:hAnsi="Verdana" w:cs="Arial"/>
          <w:lang w:eastAsia="es-MX"/>
        </w:rPr>
        <w:t>Exp</w:t>
      </w:r>
      <w:proofErr w:type="spellEnd"/>
      <w:r>
        <w:rPr>
          <w:rFonts w:ascii="Verdana" w:eastAsia="Times New Roman" w:hAnsi="Verdana" w:cs="Arial"/>
          <w:lang w:eastAsia="es-MX"/>
        </w:rPr>
        <w:t xml:space="preserve">. 50222, con ponencia de la Consejera </w:t>
      </w:r>
      <w:r w:rsidRPr="00D25821">
        <w:rPr>
          <w:rFonts w:ascii="Verdana" w:eastAsia="Times New Roman" w:hAnsi="Verdana" w:cs="Arial"/>
          <w:lang w:eastAsia="es-MX"/>
        </w:rPr>
        <w:t>Marta Nubia Velásquez Rico</w:t>
      </w:r>
      <w:r>
        <w:rPr>
          <w:rFonts w:ascii="Verdana" w:eastAsia="Times New Roman" w:hAnsi="Verdana" w:cs="Arial"/>
          <w:lang w:eastAsia="es-MX"/>
        </w:rPr>
        <w:t xml:space="preserve">, bajo el argumento de que el Gobierno Nacional “[…] </w:t>
      </w:r>
      <w:r w:rsidRPr="008F68A8">
        <w:rPr>
          <w:rFonts w:ascii="Verdana" w:eastAsia="Times New Roman" w:hAnsi="Verdana" w:cs="Arial"/>
          <w:lang w:eastAsia="es-MX"/>
        </w:rPr>
        <w:t>desbordó la potestad reglamentaria al limitar el derecho fundamental de acceso a la información pública tratándose de bienes y servicios a adquirir por vía de la modalidad de selección de la contratación directa, limitación que por corresponder a la reserva legal, está en cabeza del legislador</w:t>
      </w:r>
      <w:r>
        <w:rPr>
          <w:rFonts w:ascii="Verdana" w:eastAsia="Times New Roman" w:hAnsi="Verdana" w:cs="Arial"/>
          <w:lang w:eastAsia="es-MX"/>
        </w:rPr>
        <w:t>”.</w:t>
      </w:r>
    </w:p>
    <w:p w14:paraId="72DB7981"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Aunque existe un listado en el artículo 1 del Decreto 695 de 1983, compilado en el artículo </w:t>
      </w:r>
      <w:r w:rsidRPr="00564AC4">
        <w:rPr>
          <w:rFonts w:ascii="Verdana" w:eastAsia="Times New Roman" w:hAnsi="Verdana" w:cs="Arial"/>
          <w:lang w:eastAsia="es-MX"/>
        </w:rPr>
        <w:t>1.3.1.14.18</w:t>
      </w:r>
      <w:r>
        <w:rPr>
          <w:rFonts w:ascii="Verdana" w:eastAsia="Times New Roman" w:hAnsi="Verdana" w:cs="Arial"/>
          <w:lang w:eastAsia="es-MX"/>
        </w:rPr>
        <w:t xml:space="preserve"> del Decreto 1625 de 2016, “P</w:t>
      </w:r>
      <w:r w:rsidRPr="00564AC4">
        <w:rPr>
          <w:rFonts w:ascii="Verdana" w:eastAsia="Times New Roman" w:hAnsi="Verdana" w:cs="Arial"/>
          <w:lang w:eastAsia="es-MX"/>
        </w:rPr>
        <w:t>or medio del cual se expide el Decreto Único Reglamentario en materia tributaria</w:t>
      </w:r>
      <w:r>
        <w:rPr>
          <w:rFonts w:ascii="Verdana" w:eastAsia="Times New Roman" w:hAnsi="Verdana" w:cs="Arial"/>
          <w:lang w:eastAsia="es-MX"/>
        </w:rPr>
        <w:t xml:space="preserve">”, esta norma fue expedida por el Gobierno Nacional en ejercicio de la potestad reglamentaria para determinar: i) los bienes importados que no causan impuesto sobre las ventas conforme al inciso segundo del artículo 17 del Decreto Legislativo 2368 </w:t>
      </w:r>
      <w:r>
        <w:rPr>
          <w:rFonts w:ascii="Verdana" w:eastAsia="Times New Roman" w:hAnsi="Verdana" w:cs="Arial"/>
          <w:lang w:eastAsia="es-MX"/>
        </w:rPr>
        <w:lastRenderedPageBreak/>
        <w:t>de 1974</w:t>
      </w:r>
      <w:r>
        <w:rPr>
          <w:rStyle w:val="Refdenotaalpie"/>
          <w:rFonts w:ascii="Verdana" w:eastAsia="Times New Roman" w:hAnsi="Verdana" w:cs="Arial"/>
          <w:lang w:eastAsia="es-MX"/>
        </w:rPr>
        <w:footnoteReference w:id="13"/>
      </w:r>
      <w:r>
        <w:rPr>
          <w:rFonts w:ascii="Verdana" w:eastAsia="Times New Roman" w:hAnsi="Verdana" w:cs="Arial"/>
          <w:lang w:eastAsia="es-MX"/>
        </w:rPr>
        <w:t xml:space="preserve"> y </w:t>
      </w:r>
      <w:proofErr w:type="spellStart"/>
      <w:r>
        <w:rPr>
          <w:rFonts w:ascii="Verdana" w:eastAsia="Times New Roman" w:hAnsi="Verdana" w:cs="Arial"/>
          <w:lang w:eastAsia="es-MX"/>
        </w:rPr>
        <w:t>ii</w:t>
      </w:r>
      <w:proofErr w:type="spellEnd"/>
      <w:r>
        <w:rPr>
          <w:rFonts w:ascii="Verdana" w:eastAsia="Times New Roman" w:hAnsi="Verdana" w:cs="Arial"/>
          <w:lang w:eastAsia="es-MX"/>
        </w:rPr>
        <w:t>) el alcance de la causal de contratación directa del otrora artículo 259 del Decreto Ley 222 de 1983</w:t>
      </w:r>
      <w:r>
        <w:rPr>
          <w:rStyle w:val="Refdenotaalpie"/>
          <w:rFonts w:ascii="Verdana" w:eastAsia="Times New Roman" w:hAnsi="Verdana" w:cs="Arial"/>
          <w:lang w:eastAsia="es-MX"/>
        </w:rPr>
        <w:footnoteReference w:id="14"/>
      </w:r>
      <w:r>
        <w:rPr>
          <w:rFonts w:ascii="Verdana" w:eastAsia="Times New Roman" w:hAnsi="Verdana" w:cs="Arial"/>
          <w:lang w:eastAsia="es-MX"/>
        </w:rPr>
        <w:t xml:space="preserve">. </w:t>
      </w:r>
    </w:p>
    <w:p w14:paraId="68D14AAA"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De estas dos (2) finalidades sólo subsiste la primera, pues –al recoger la lista del artículo 1 del Decreto 695 de 1983– el artículo </w:t>
      </w:r>
      <w:r w:rsidRPr="00564AC4">
        <w:rPr>
          <w:rFonts w:ascii="Verdana" w:eastAsia="Times New Roman" w:hAnsi="Verdana" w:cs="Arial"/>
          <w:lang w:eastAsia="es-MX"/>
        </w:rPr>
        <w:t>1.3.1.14.18</w:t>
      </w:r>
      <w:r>
        <w:rPr>
          <w:rFonts w:ascii="Verdana" w:eastAsia="Times New Roman" w:hAnsi="Verdana" w:cs="Arial"/>
          <w:lang w:eastAsia="es-MX"/>
        </w:rPr>
        <w:t xml:space="preserve"> se encuentra en el capítulo 14 del título 1 de la parte 3 del libro 1 del Decreto 1625 de 2016, por el cual se definen las i</w:t>
      </w:r>
      <w:r w:rsidRPr="00031AE7">
        <w:rPr>
          <w:rFonts w:ascii="Verdana" w:eastAsia="Times New Roman" w:hAnsi="Verdana" w:cs="Arial"/>
          <w:lang w:eastAsia="es-MX"/>
        </w:rPr>
        <w:t xml:space="preserve">mportaciones que no causan </w:t>
      </w:r>
      <w:r>
        <w:rPr>
          <w:rFonts w:ascii="Verdana" w:eastAsia="Times New Roman" w:hAnsi="Verdana" w:cs="Arial"/>
          <w:lang w:eastAsia="es-MX"/>
        </w:rPr>
        <w:t>IVA. Este tema es ajeno a la contratación estatal, además de que el Decreto Ley 222 de 1983 fue derogado por el artículo 81 de la Ley 80 de 1993. Por tanto, el artículo 1 del Decreto 695 de 1983 no delimita el alcance de la causal de contratación directa del literal d) del artículo 2.4 de la Ley 1150 de 2007, especialmente, cuando la Sentencia del 24 de mayo de 2018 exige que las reservas sean objeto de desarrollo legal.</w:t>
      </w:r>
    </w:p>
    <w:p w14:paraId="402A3EE3"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En todo caso, la nulidad del inciso segundo del artículo 78 del Decreto 1510 de 2013 o la imposibilidad de aplicar el artículo 1 del Decreto 695 de 1983 fuera del ámbito tributario no condicionan la vigencia de la causal </w:t>
      </w:r>
      <w:r w:rsidRPr="00E479E8">
        <w:rPr>
          <w:rFonts w:ascii="Verdana" w:eastAsia="Times New Roman" w:hAnsi="Verdana" w:cs="Arial"/>
          <w:i/>
          <w:iCs/>
          <w:lang w:eastAsia="es-MX"/>
        </w:rPr>
        <w:t>sub examine</w:t>
      </w:r>
      <w:r>
        <w:rPr>
          <w:rFonts w:ascii="Verdana" w:eastAsia="Times New Roman" w:hAnsi="Verdana" w:cs="Arial"/>
          <w:lang w:eastAsia="es-MX"/>
        </w:rPr>
        <w:t>, la cual rige sin necesidad de desarrollo reglamentario. Por un lado, mientras el parágrafo transitorio del artículo 2 de la Ley 1150 de 2007 dispone que “</w:t>
      </w:r>
      <w:r w:rsidRPr="00B64014">
        <w:rPr>
          <w:rFonts w:ascii="Verdana" w:eastAsia="Times New Roman" w:hAnsi="Verdana" w:cs="Arial"/>
          <w:lang w:eastAsia="es-MX"/>
        </w:rPr>
        <w:t>Hasta tanto el Gobierno Nacional no expidiere el reglamento respectivo, no se podrá hacer uso de la selección abreviada como modalidad de selección</w:t>
      </w:r>
      <w:r>
        <w:rPr>
          <w:rFonts w:ascii="Verdana" w:eastAsia="Times New Roman" w:hAnsi="Verdana" w:cs="Arial"/>
          <w:lang w:eastAsia="es-MX"/>
        </w:rPr>
        <w:t xml:space="preserve">”, una condición similar no se predica del literal d) del artículo 2.4 </w:t>
      </w:r>
      <w:r w:rsidRPr="00B64014">
        <w:rPr>
          <w:rFonts w:ascii="Verdana" w:eastAsia="Times New Roman" w:hAnsi="Verdana" w:cs="Arial"/>
          <w:i/>
          <w:iCs/>
          <w:lang w:eastAsia="es-MX"/>
        </w:rPr>
        <w:t>ibidem</w:t>
      </w:r>
      <w:r w:rsidRPr="00B64014">
        <w:rPr>
          <w:rFonts w:ascii="Verdana" w:eastAsia="Times New Roman" w:hAnsi="Verdana" w:cs="Arial"/>
          <w:lang w:eastAsia="es-MX"/>
        </w:rPr>
        <w:t>.</w:t>
      </w:r>
      <w:r>
        <w:rPr>
          <w:rFonts w:ascii="Verdana" w:eastAsia="Times New Roman" w:hAnsi="Verdana" w:cs="Arial"/>
          <w:lang w:eastAsia="es-MX"/>
        </w:rPr>
        <w:t xml:space="preserve"> </w:t>
      </w:r>
    </w:p>
    <w:p w14:paraId="2FBB7038" w14:textId="77777777" w:rsidR="00C71B1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lastRenderedPageBreak/>
        <w:t xml:space="preserve">Por otra parte, la Sentencia del 24 de mayo de 2018 explica que “[…] </w:t>
      </w:r>
      <w:r w:rsidRPr="0067726C">
        <w:rPr>
          <w:rFonts w:ascii="Verdana" w:eastAsia="Times New Roman" w:hAnsi="Verdana" w:cs="Arial"/>
          <w:lang w:eastAsia="es-MX"/>
        </w:rPr>
        <w:t>para el caso de lo establecido en la letra d) del número 4 del artículo 2 de la Ley 1150 de 2007, debe entenderse la existencia de un reenvío a las normas de orden legal que establecen los eventos en que por causa de la protección de derechos fundamentales o bienes constitucionales debe reservarse la información contractual que corresponda</w:t>
      </w:r>
      <w:r>
        <w:rPr>
          <w:rFonts w:ascii="Verdana" w:eastAsia="Times New Roman" w:hAnsi="Verdana" w:cs="Arial"/>
          <w:lang w:eastAsia="es-MX"/>
        </w:rPr>
        <w:t>”</w:t>
      </w:r>
      <w:r w:rsidRPr="0067726C">
        <w:rPr>
          <w:rFonts w:ascii="Verdana" w:eastAsia="Times New Roman" w:hAnsi="Verdana" w:cs="Arial"/>
          <w:lang w:eastAsia="es-MX"/>
        </w:rPr>
        <w:t>.</w:t>
      </w:r>
      <w:r>
        <w:rPr>
          <w:rFonts w:ascii="Verdana" w:eastAsia="Times New Roman" w:hAnsi="Verdana" w:cs="Arial"/>
          <w:lang w:eastAsia="es-MX"/>
        </w:rPr>
        <w:t xml:space="preserve"> Luego, el reglamento no puede intervenir en el desarrollo de las reservas a través de una norma igual o semejante a la anulada por la Subsección A de la Sección Tercera del Consejo de Estado, pues ello implica desconocer las prohibiciones de los artículo 9.6 y 237 del Código Procedimiento Administrativo y Contencioso Administrativo</w:t>
      </w:r>
      <w:r>
        <w:rPr>
          <w:rStyle w:val="Refdenotaalpie"/>
          <w:rFonts w:ascii="Verdana" w:eastAsia="Times New Roman" w:hAnsi="Verdana" w:cs="Arial"/>
          <w:lang w:eastAsia="es-MX"/>
        </w:rPr>
        <w:footnoteReference w:id="15"/>
      </w:r>
      <w:r>
        <w:rPr>
          <w:rFonts w:ascii="Verdana" w:eastAsia="Times New Roman" w:hAnsi="Verdana" w:cs="Arial"/>
          <w:lang w:eastAsia="es-MX"/>
        </w:rPr>
        <w:t xml:space="preserve">. </w:t>
      </w:r>
    </w:p>
    <w:p w14:paraId="44CCE172" w14:textId="77777777" w:rsidR="00C71B18" w:rsidRPr="00AD6B46" w:rsidRDefault="00C71B18" w:rsidP="00C71B18">
      <w:pPr>
        <w:spacing w:after="0" w:line="276" w:lineRule="auto"/>
        <w:ind w:firstLine="708"/>
        <w:jc w:val="both"/>
        <w:rPr>
          <w:rFonts w:ascii="Verdana" w:eastAsia="Calibri" w:hAnsi="Verdana" w:cs="Arial"/>
          <w:color w:val="000000"/>
        </w:rPr>
      </w:pPr>
      <w:r>
        <w:rPr>
          <w:rFonts w:ascii="Verdana" w:eastAsia="Calibri" w:hAnsi="Verdana" w:cs="Arial"/>
          <w:color w:val="000000"/>
        </w:rPr>
        <w:t>En consecuencia, conforme a la directriz jurisprudencial del párrafo precedente</w:t>
      </w:r>
      <w:r w:rsidRPr="00AD6B46">
        <w:rPr>
          <w:rFonts w:ascii="Verdana" w:eastAsia="Calibri" w:hAnsi="Verdana" w:cs="Arial"/>
          <w:color w:val="000000"/>
        </w:rPr>
        <w:t xml:space="preserve">, </w:t>
      </w:r>
      <w:r>
        <w:rPr>
          <w:rFonts w:ascii="Verdana" w:eastAsia="Calibri" w:hAnsi="Verdana" w:cs="Arial"/>
          <w:color w:val="000000"/>
        </w:rPr>
        <w:t xml:space="preserve">es necesario tener en cuenta que </w:t>
      </w:r>
      <w:r w:rsidRPr="00AD6B46">
        <w:rPr>
          <w:rFonts w:ascii="Verdana" w:eastAsia="Calibri" w:hAnsi="Verdana" w:cs="Arial"/>
          <w:color w:val="000000"/>
        </w:rPr>
        <w:t xml:space="preserve">la Ley Estatutaria 1712 de 2014 define en el artículo 5° dos tipos de información que tendrá el carácter reservado, como es la información pública clasificada y la información pública reservada: </w:t>
      </w:r>
    </w:p>
    <w:p w14:paraId="02F1A8BC" w14:textId="77777777" w:rsidR="00C71B18" w:rsidRPr="004D1947" w:rsidRDefault="00C71B18" w:rsidP="00C71B18">
      <w:pPr>
        <w:spacing w:after="0" w:line="276" w:lineRule="auto"/>
        <w:ind w:right="709"/>
        <w:jc w:val="both"/>
        <w:rPr>
          <w:rFonts w:ascii="Verdana" w:eastAsia="Calibri" w:hAnsi="Verdana" w:cs="Arial"/>
          <w:color w:val="000000"/>
        </w:rPr>
      </w:pPr>
    </w:p>
    <w:p w14:paraId="0BE2F15E" w14:textId="77777777" w:rsidR="00C71B18" w:rsidRPr="004D1947" w:rsidRDefault="00C71B18" w:rsidP="00C71B18">
      <w:pPr>
        <w:spacing w:after="0" w:line="240" w:lineRule="auto"/>
        <w:ind w:left="709" w:right="709"/>
        <w:jc w:val="both"/>
        <w:rPr>
          <w:rFonts w:ascii="Verdana" w:eastAsia="Calibri" w:hAnsi="Verdana" w:cs="Arial"/>
          <w:color w:val="000000"/>
          <w:sz w:val="20"/>
          <w:szCs w:val="20"/>
        </w:rPr>
      </w:pPr>
      <w:r w:rsidRPr="004D1947">
        <w:rPr>
          <w:rFonts w:ascii="Verdana" w:eastAsia="Calibri" w:hAnsi="Verdana" w:cs="Arial"/>
          <w:bCs/>
          <w:color w:val="000000"/>
          <w:sz w:val="20"/>
          <w:szCs w:val="20"/>
        </w:rPr>
        <w:t xml:space="preserve">“Artículo 6°. </w:t>
      </w:r>
      <w:r w:rsidRPr="004D1947">
        <w:rPr>
          <w:rFonts w:ascii="Verdana" w:eastAsia="Calibri" w:hAnsi="Verdana" w:cs="Arial"/>
          <w:i/>
          <w:iCs/>
          <w:color w:val="000000"/>
          <w:sz w:val="20"/>
          <w:szCs w:val="20"/>
        </w:rPr>
        <w:t>Definiciones</w:t>
      </w:r>
      <w:r w:rsidRPr="004D1947">
        <w:rPr>
          <w:rFonts w:ascii="Verdana" w:eastAsia="Calibri" w:hAnsi="Verdana" w:cs="Arial"/>
          <w:color w:val="000000"/>
          <w:sz w:val="20"/>
          <w:szCs w:val="20"/>
        </w:rPr>
        <w:t xml:space="preserve">. </w:t>
      </w:r>
    </w:p>
    <w:p w14:paraId="1C52580D" w14:textId="77777777" w:rsidR="00C71B18" w:rsidRPr="004D1947" w:rsidRDefault="00C71B18" w:rsidP="00C71B18">
      <w:pPr>
        <w:spacing w:after="120" w:line="240" w:lineRule="auto"/>
        <w:ind w:left="709" w:right="709"/>
        <w:jc w:val="both"/>
        <w:rPr>
          <w:rFonts w:ascii="Verdana" w:eastAsia="Calibri" w:hAnsi="Verdana" w:cs="Arial"/>
          <w:color w:val="000000"/>
          <w:sz w:val="20"/>
          <w:szCs w:val="20"/>
        </w:rPr>
      </w:pPr>
      <w:r w:rsidRPr="004D1947">
        <w:rPr>
          <w:rFonts w:ascii="Verdana" w:eastAsia="Calibri" w:hAnsi="Verdana" w:cs="Arial"/>
          <w:bCs/>
          <w:color w:val="000000"/>
          <w:sz w:val="20"/>
          <w:szCs w:val="20"/>
        </w:rPr>
        <w:t>[</w:t>
      </w:r>
      <w:r w:rsidRPr="004D1947">
        <w:rPr>
          <w:rFonts w:ascii="Verdana" w:eastAsia="Calibri" w:hAnsi="Verdana" w:cs="Arial"/>
          <w:color w:val="000000"/>
          <w:sz w:val="20"/>
          <w:szCs w:val="20"/>
        </w:rPr>
        <w:t>…]</w:t>
      </w:r>
    </w:p>
    <w:p w14:paraId="1E08BE56" w14:textId="77777777" w:rsidR="00C71B18" w:rsidRPr="004D1947" w:rsidRDefault="00C71B18" w:rsidP="00C71B18">
      <w:pPr>
        <w:spacing w:after="120" w:line="240" w:lineRule="auto"/>
        <w:ind w:left="709" w:right="709"/>
        <w:jc w:val="both"/>
        <w:rPr>
          <w:rFonts w:ascii="Verdana" w:eastAsia="Calibri" w:hAnsi="Verdana" w:cs="Arial"/>
          <w:color w:val="000000"/>
          <w:sz w:val="20"/>
          <w:szCs w:val="20"/>
        </w:rPr>
      </w:pPr>
      <w:r w:rsidRPr="004D1947">
        <w:rPr>
          <w:rFonts w:ascii="Verdana" w:eastAsia="Calibri" w:hAnsi="Verdana" w:cs="Arial"/>
          <w:color w:val="000000"/>
          <w:sz w:val="20"/>
          <w:szCs w:val="20"/>
        </w:rPr>
        <w:t>c) </w:t>
      </w:r>
      <w:r w:rsidRPr="004D1947">
        <w:rPr>
          <w:rFonts w:ascii="Verdana" w:eastAsia="Calibri" w:hAnsi="Verdana" w:cs="Arial"/>
          <w:bCs/>
          <w:color w:val="000000"/>
          <w:sz w:val="20"/>
          <w:szCs w:val="20"/>
        </w:rPr>
        <w:t>Información pública clasificada. </w:t>
      </w:r>
      <w:r w:rsidRPr="004D1947">
        <w:rPr>
          <w:rFonts w:ascii="Verdana" w:eastAsia="Calibri" w:hAnsi="Verdana" w:cs="Arial"/>
          <w:color w:val="000000"/>
          <w:sz w:val="20"/>
          <w:szCs w:val="20"/>
        </w:rPr>
        <w:t>Es aquella información que estando en poder o custodia de un sujeto obligado en su calidad de tal, pertenece al ámbito propio, particular y privado o semiprivado de una persona natural o jurídica por lo que su acceso podrá ser negado o exceptuado, siempre que se trate de las circunstancias legítimas y necesarias y los derechos particulares o privados consagrados en el artículo 18 de esta ley; </w:t>
      </w:r>
    </w:p>
    <w:p w14:paraId="507AA8BE" w14:textId="77777777" w:rsidR="00C71B18" w:rsidRPr="004D1947" w:rsidRDefault="00C71B18" w:rsidP="00C71B18">
      <w:pPr>
        <w:spacing w:after="0" w:line="240" w:lineRule="auto"/>
        <w:ind w:left="709" w:right="709"/>
        <w:jc w:val="both"/>
        <w:rPr>
          <w:rFonts w:ascii="Verdana" w:eastAsia="Calibri" w:hAnsi="Verdana" w:cs="Arial"/>
          <w:color w:val="000000"/>
          <w:sz w:val="20"/>
          <w:szCs w:val="20"/>
        </w:rPr>
      </w:pPr>
      <w:r w:rsidRPr="004D1947">
        <w:rPr>
          <w:rFonts w:ascii="Verdana" w:eastAsia="Calibri" w:hAnsi="Verdana" w:cs="Arial"/>
          <w:color w:val="000000"/>
          <w:sz w:val="20"/>
          <w:szCs w:val="20"/>
        </w:rPr>
        <w:t>d) </w:t>
      </w:r>
      <w:r w:rsidRPr="004D1947">
        <w:rPr>
          <w:rFonts w:ascii="Verdana" w:eastAsia="Calibri" w:hAnsi="Verdana" w:cs="Arial"/>
          <w:bCs/>
          <w:color w:val="000000"/>
          <w:sz w:val="20"/>
          <w:szCs w:val="20"/>
        </w:rPr>
        <w:t>Información pública reservada. </w:t>
      </w:r>
      <w:r w:rsidRPr="004D1947">
        <w:rPr>
          <w:rFonts w:ascii="Verdana" w:eastAsia="Calibri" w:hAnsi="Verdana" w:cs="Arial"/>
          <w:color w:val="000000"/>
          <w:sz w:val="20"/>
          <w:szCs w:val="20"/>
        </w:rPr>
        <w:t>Es aquella información que estando en poder o custodia de un sujeto obligado en su calidad de tal, es exceptuada de acceso a la ciudadanía por daño a intereses públicos y bajo cumplimiento de la totalidad de los requisitos consagrados en el artículo 19 de esta ley”. </w:t>
      </w:r>
    </w:p>
    <w:p w14:paraId="0CA86BC3" w14:textId="77777777" w:rsidR="00C71B18" w:rsidRPr="00AD6B46" w:rsidRDefault="00C71B18" w:rsidP="00C71B18">
      <w:pPr>
        <w:spacing w:after="0" w:line="276" w:lineRule="auto"/>
        <w:jc w:val="both"/>
        <w:rPr>
          <w:rFonts w:ascii="Verdana" w:eastAsia="Calibri" w:hAnsi="Verdana" w:cs="Arial"/>
          <w:color w:val="000000"/>
        </w:rPr>
      </w:pPr>
    </w:p>
    <w:p w14:paraId="343AD4D5" w14:textId="77777777" w:rsidR="00C71B18" w:rsidRPr="00AD6B46" w:rsidRDefault="00C71B18" w:rsidP="00C71B18">
      <w:pPr>
        <w:spacing w:after="120" w:line="276" w:lineRule="auto"/>
        <w:ind w:firstLine="708"/>
        <w:jc w:val="both"/>
        <w:rPr>
          <w:rFonts w:ascii="Verdana" w:eastAsia="Calibri" w:hAnsi="Verdana" w:cs="Arial"/>
          <w:color w:val="000000"/>
        </w:rPr>
      </w:pPr>
      <w:r w:rsidRPr="00AD6B46">
        <w:rPr>
          <w:rFonts w:ascii="Verdana" w:eastAsia="Calibri" w:hAnsi="Verdana" w:cs="Arial"/>
          <w:color w:val="000000"/>
        </w:rPr>
        <w:lastRenderedPageBreak/>
        <w:t>Estos dos tipos de información están contenidos en los artículos 18</w:t>
      </w:r>
      <w:r w:rsidRPr="00AD6B46">
        <w:rPr>
          <w:rFonts w:ascii="Verdana" w:eastAsia="Calibri" w:hAnsi="Verdana" w:cs="Arial"/>
          <w:color w:val="000000"/>
          <w:vertAlign w:val="superscript"/>
        </w:rPr>
        <w:footnoteReference w:id="16"/>
      </w:r>
      <w:r w:rsidRPr="00AD6B46">
        <w:rPr>
          <w:rFonts w:ascii="Verdana" w:eastAsia="Calibri" w:hAnsi="Verdana" w:cs="Arial"/>
          <w:color w:val="000000"/>
        </w:rPr>
        <w:t xml:space="preserve"> y 19 de la Ley 1712 de 2014</w:t>
      </w:r>
      <w:r w:rsidRPr="00AD6B46">
        <w:rPr>
          <w:rFonts w:ascii="Verdana" w:eastAsia="Calibri" w:hAnsi="Verdana" w:cs="Arial"/>
          <w:color w:val="000000"/>
          <w:vertAlign w:val="superscript"/>
        </w:rPr>
        <w:footnoteReference w:id="17"/>
      </w:r>
      <w:r w:rsidRPr="00AD6B46">
        <w:rPr>
          <w:rFonts w:ascii="Verdana" w:eastAsia="Calibri" w:hAnsi="Verdana" w:cs="Arial"/>
          <w:color w:val="000000"/>
        </w:rPr>
        <w:t xml:space="preserve">. Lo anterior significa que, respecto de datos que contengan información clasificada por protección de derechos particulares o reservada por defensa de intereses públicos, las entidades deberán proceder de conformidad con lo dispuesto en la Ley 1712 de 2014 y sus decretos reglamentarios sobre el manejo de la información que está sometida a reserva. </w:t>
      </w:r>
    </w:p>
    <w:p w14:paraId="5003C3AC" w14:textId="77777777" w:rsidR="00C71B18" w:rsidRDefault="00C71B18" w:rsidP="00C71B18">
      <w:pPr>
        <w:spacing w:after="120" w:line="276" w:lineRule="auto"/>
        <w:ind w:firstLine="709"/>
        <w:jc w:val="both"/>
        <w:rPr>
          <w:rFonts w:ascii="Verdana" w:eastAsia="Times New Roman" w:hAnsi="Verdana" w:cs="Arial"/>
          <w:lang w:eastAsia="es-MX"/>
        </w:rPr>
      </w:pPr>
      <w:r w:rsidRPr="00AD6B46">
        <w:rPr>
          <w:rFonts w:ascii="Verdana" w:eastAsia="Calibri" w:hAnsi="Verdana" w:cs="Arial"/>
          <w:color w:val="000000"/>
        </w:rPr>
        <w:t>En esta misma línea, el artículo 24 de la Ley 1437 de 2011 sustituido por el artículo 2 de la Ley 1755 de 2015 establece algunas materias que son sujetas de reserva de información</w:t>
      </w:r>
      <w:r w:rsidRPr="00AD6B46">
        <w:rPr>
          <w:rFonts w:ascii="Verdana" w:eastAsia="Calibri" w:hAnsi="Verdana" w:cs="Arial"/>
          <w:color w:val="000000"/>
          <w:vertAlign w:val="superscript"/>
        </w:rPr>
        <w:footnoteReference w:id="18"/>
      </w:r>
      <w:r w:rsidRPr="00AD6B46">
        <w:rPr>
          <w:rFonts w:ascii="Verdana" w:eastAsia="Calibri" w:hAnsi="Verdana" w:cs="Arial"/>
          <w:color w:val="000000"/>
        </w:rPr>
        <w:t xml:space="preserve">. De tal forma, que las reservas de información no </w:t>
      </w:r>
      <w:r w:rsidRPr="00AD6B46">
        <w:rPr>
          <w:rFonts w:ascii="Verdana" w:eastAsia="Calibri" w:hAnsi="Verdana" w:cs="Arial"/>
          <w:color w:val="000000"/>
        </w:rPr>
        <w:lastRenderedPageBreak/>
        <w:t xml:space="preserve">están solo reguladas en la Ley 1712 de 2014 y en el artículo 24 de la Ley 1437 de 2011 sustituido por el artículo 2 de la Ley 1755 de 2015, pues existen otras normatividades, como la Ley 1581 de 2012, Ley 1621 de 2013, entre otras, que establecen reservas a la información pública.  </w:t>
      </w:r>
      <w:r>
        <w:rPr>
          <w:rFonts w:ascii="Verdana" w:eastAsia="Times New Roman" w:hAnsi="Verdana" w:cs="Arial"/>
          <w:lang w:eastAsia="es-MX"/>
        </w:rPr>
        <w:t xml:space="preserve"> </w:t>
      </w:r>
    </w:p>
    <w:p w14:paraId="3B768496" w14:textId="77777777" w:rsidR="00C71B18" w:rsidRDefault="00C71B18" w:rsidP="00C71B18">
      <w:pPr>
        <w:spacing w:after="0" w:line="276" w:lineRule="auto"/>
        <w:ind w:firstLine="709"/>
        <w:jc w:val="both"/>
        <w:rPr>
          <w:rFonts w:ascii="Verdana" w:hAnsi="Verdana" w:cs="Arial"/>
          <w:color w:val="000000" w:themeColor="text1"/>
          <w:lang w:val="es-ES_tradnl"/>
        </w:rPr>
      </w:pPr>
      <w:r>
        <w:rPr>
          <w:rFonts w:ascii="Verdana" w:eastAsia="Times New Roman" w:hAnsi="Verdana" w:cs="Arial"/>
          <w:lang w:eastAsia="es-MX"/>
        </w:rPr>
        <w:t xml:space="preserve">En este contexto, es la necesidad de la reserva de los documentos del proceso la que habilita la causal de contratación directa para las entidades de sector defensa sometida al EGCAP. Dicha reserva por lo general se refiere a temas de defensa y seguridad nacional. </w:t>
      </w:r>
      <w:r w:rsidRPr="003E5E57">
        <w:rPr>
          <w:rFonts w:ascii="Verdana" w:eastAsia="Calibri" w:hAnsi="Verdana" w:cs="Arial"/>
          <w:color w:val="000000"/>
          <w:lang w:val="es-ES"/>
        </w:rPr>
        <w:t>Este concepto no tiene una definición legal en el Estatuto General de Contratación de la Administración Pública. En tal sentido, es un concepto jurídico indeterminado cuya noción se basa en la idea de que el Estado y sus autoridades tienen la responsabilidad de construir estrategias y realizar acciones para proteger a los ciudadanos, garantizar el orden público, el funcionamiento de las instituciones legítimamente constituidas y la soberanía sobre el territorio</w:t>
      </w:r>
      <w:r w:rsidRPr="003E5E57">
        <w:rPr>
          <w:rFonts w:ascii="Verdana" w:eastAsia="Calibri" w:hAnsi="Verdana" w:cs="Arial"/>
          <w:color w:val="000000"/>
          <w:vertAlign w:val="superscript"/>
          <w:lang w:val="es-ES"/>
        </w:rPr>
        <w:footnoteReference w:id="19"/>
      </w:r>
      <w:r w:rsidRPr="003E5E57">
        <w:rPr>
          <w:rFonts w:ascii="Verdana" w:eastAsia="Calibri" w:hAnsi="Verdana" w:cs="Arial"/>
          <w:color w:val="000000"/>
          <w:lang w:val="es-ES"/>
        </w:rPr>
        <w:t>.</w:t>
      </w:r>
      <w:r>
        <w:rPr>
          <w:rFonts w:ascii="Verdana" w:eastAsia="Calibri" w:hAnsi="Verdana" w:cs="Arial"/>
          <w:color w:val="000000"/>
          <w:lang w:val="es-ES"/>
        </w:rPr>
        <w:t xml:space="preserve"> </w:t>
      </w:r>
      <w:r w:rsidRPr="003E5E57">
        <w:rPr>
          <w:rFonts w:ascii="Verdana" w:hAnsi="Verdana" w:cs="Arial"/>
          <w:color w:val="000000" w:themeColor="text1"/>
          <w:lang w:val="es-ES_tradnl"/>
        </w:rPr>
        <w:t xml:space="preserve">Al </w:t>
      </w:r>
      <w:r w:rsidRPr="003E5E57">
        <w:rPr>
          <w:rFonts w:ascii="Verdana" w:eastAsia="Calibri" w:hAnsi="Verdana" w:cs="Arial"/>
          <w:color w:val="000000"/>
          <w:lang w:val="es-ES"/>
        </w:rPr>
        <w:t xml:space="preserve">respecto, </w:t>
      </w:r>
      <w:r w:rsidRPr="003E5E57">
        <w:rPr>
          <w:rFonts w:ascii="Verdana" w:hAnsi="Verdana" w:cs="Arial"/>
          <w:color w:val="000000" w:themeColor="text1"/>
          <w:lang w:val="es-ES_tradnl"/>
        </w:rPr>
        <w:t xml:space="preserve">en </w:t>
      </w:r>
      <w:r>
        <w:rPr>
          <w:rFonts w:ascii="Verdana" w:hAnsi="Verdana" w:cs="Arial"/>
          <w:color w:val="000000" w:themeColor="text1"/>
          <w:lang w:val="es-ES_tradnl"/>
        </w:rPr>
        <w:t>S</w:t>
      </w:r>
      <w:r w:rsidRPr="003E5E57">
        <w:rPr>
          <w:rFonts w:ascii="Verdana" w:hAnsi="Verdana" w:cs="Arial"/>
          <w:color w:val="000000" w:themeColor="text1"/>
          <w:lang w:val="es-ES_tradnl"/>
        </w:rPr>
        <w:t>entencia del 26 de julio de 2011, la Sección Tercera sostuvo:</w:t>
      </w:r>
    </w:p>
    <w:p w14:paraId="4CC945EF" w14:textId="77777777" w:rsidR="00C71B18" w:rsidRPr="00F00B09" w:rsidRDefault="00C71B18" w:rsidP="00C71B18">
      <w:pPr>
        <w:spacing w:after="0" w:line="276" w:lineRule="auto"/>
        <w:ind w:firstLine="709"/>
        <w:jc w:val="both"/>
        <w:rPr>
          <w:rFonts w:ascii="Verdana" w:eastAsia="Calibri" w:hAnsi="Verdana" w:cs="Arial"/>
          <w:color w:val="000000"/>
          <w:lang w:val="es-ES"/>
        </w:rPr>
      </w:pPr>
    </w:p>
    <w:p w14:paraId="608CBAB0" w14:textId="77777777" w:rsidR="00C71B18" w:rsidRPr="003E5E57" w:rsidRDefault="00C71B18" w:rsidP="00C71B18">
      <w:pPr>
        <w:spacing w:after="0" w:line="240" w:lineRule="auto"/>
        <w:ind w:left="709" w:right="709"/>
        <w:jc w:val="both"/>
        <w:rPr>
          <w:rFonts w:ascii="Verdana" w:hAnsi="Verdana" w:cs="Arial"/>
          <w:bCs/>
          <w:sz w:val="20"/>
          <w:szCs w:val="20"/>
        </w:rPr>
      </w:pPr>
      <w:r w:rsidRPr="003E5E57">
        <w:rPr>
          <w:rFonts w:ascii="Verdana" w:hAnsi="Verdana" w:cs="Arial"/>
          <w:bCs/>
          <w:sz w:val="20"/>
          <w:szCs w:val="20"/>
        </w:rPr>
        <w:t xml:space="preserve">“[…] en vigencia de la ley 80 original –que rigió el proceso de selección </w:t>
      </w:r>
      <w:r w:rsidRPr="003E5E57">
        <w:rPr>
          <w:rFonts w:ascii="Verdana" w:hAnsi="Verdana" w:cs="Arial"/>
          <w:bCs/>
          <w:i/>
          <w:sz w:val="20"/>
          <w:szCs w:val="20"/>
        </w:rPr>
        <w:t>sub iudice</w:t>
      </w:r>
      <w:r w:rsidRPr="003E5E57">
        <w:rPr>
          <w:rFonts w:ascii="Verdana" w:hAnsi="Verdana" w:cs="Arial"/>
          <w:bCs/>
          <w:sz w:val="20"/>
          <w:szCs w:val="20"/>
        </w:rPr>
        <w:t xml:space="preserve">- la noción de bienes para la defensa y seguridad nacional fue un concepto jurídico indeterminado, </w:t>
      </w:r>
      <w:r w:rsidRPr="003E5E57">
        <w:rPr>
          <w:rFonts w:ascii="Verdana" w:hAnsi="Verdana" w:cs="Arial"/>
          <w:bCs/>
          <w:i/>
          <w:iCs/>
          <w:sz w:val="20"/>
          <w:szCs w:val="20"/>
        </w:rPr>
        <w:t>cuyo alcance, como acontece normalmente con estas nociones vagas y amplias, suele quedar en manos del operador jurídico del caso, que tiene el deber de precisar su contenido para aplicarlo al asunto concreto</w:t>
      </w:r>
      <w:r w:rsidRPr="003E5E57">
        <w:rPr>
          <w:rFonts w:ascii="Verdana" w:hAnsi="Verdana" w:cs="Arial"/>
          <w:bCs/>
          <w:sz w:val="20"/>
          <w:szCs w:val="20"/>
        </w:rPr>
        <w:t>. Claro está que luego procede el control judicial sobre los actos que definen el tema, y será el juez quien determinará la corrección o incorrección que la administración hace de su alcance</w:t>
      </w:r>
      <w:r w:rsidRPr="003E5E57">
        <w:rPr>
          <w:rFonts w:ascii="Verdana" w:hAnsi="Verdana"/>
          <w:sz w:val="20"/>
          <w:szCs w:val="20"/>
          <w:vertAlign w:val="superscript"/>
        </w:rPr>
        <w:footnoteReference w:id="20"/>
      </w:r>
      <w:r w:rsidRPr="003E5E57">
        <w:rPr>
          <w:rFonts w:ascii="Verdana" w:hAnsi="Verdana" w:cs="Arial"/>
          <w:bCs/>
          <w:sz w:val="20"/>
          <w:szCs w:val="20"/>
        </w:rPr>
        <w:t xml:space="preserve">”. </w:t>
      </w:r>
      <w:r>
        <w:rPr>
          <w:rFonts w:ascii="Verdana" w:hAnsi="Verdana" w:cs="Arial"/>
          <w:bCs/>
          <w:sz w:val="20"/>
          <w:szCs w:val="20"/>
        </w:rPr>
        <w:t>(</w:t>
      </w:r>
      <w:r w:rsidRPr="003E5E57">
        <w:rPr>
          <w:rFonts w:ascii="Verdana" w:hAnsi="Verdana" w:cs="Arial"/>
          <w:bCs/>
          <w:sz w:val="20"/>
          <w:szCs w:val="20"/>
        </w:rPr>
        <w:t>Énfasis por fuera de texto</w:t>
      </w:r>
      <w:r>
        <w:rPr>
          <w:rFonts w:ascii="Verdana" w:hAnsi="Verdana" w:cs="Arial"/>
          <w:bCs/>
          <w:sz w:val="20"/>
          <w:szCs w:val="20"/>
        </w:rPr>
        <w:t>)</w:t>
      </w:r>
    </w:p>
    <w:p w14:paraId="11E2DC1D" w14:textId="77777777" w:rsidR="00C71B18" w:rsidRPr="003E5E57" w:rsidRDefault="00C71B18" w:rsidP="00C71B18">
      <w:pPr>
        <w:spacing w:after="0" w:line="240" w:lineRule="auto"/>
        <w:ind w:left="709" w:right="709"/>
        <w:jc w:val="both"/>
        <w:rPr>
          <w:rFonts w:ascii="Verdana" w:hAnsi="Verdana" w:cs="Arial"/>
          <w:bCs/>
          <w:sz w:val="20"/>
          <w:szCs w:val="20"/>
        </w:rPr>
      </w:pPr>
    </w:p>
    <w:p w14:paraId="472306C6" w14:textId="77777777" w:rsidR="00C71B18" w:rsidRDefault="00C71B18" w:rsidP="00C71B18">
      <w:pPr>
        <w:spacing w:after="0" w:line="276" w:lineRule="auto"/>
        <w:ind w:firstLine="709"/>
        <w:jc w:val="both"/>
        <w:rPr>
          <w:rFonts w:ascii="Verdana" w:hAnsi="Verdana" w:cs="Arial"/>
          <w:color w:val="000000" w:themeColor="text1"/>
          <w:lang w:val="es-ES_tradnl"/>
        </w:rPr>
      </w:pPr>
      <w:r w:rsidRPr="003E5E57">
        <w:rPr>
          <w:rFonts w:ascii="Verdana" w:eastAsia="Calibri" w:hAnsi="Verdana" w:cs="Arial"/>
          <w:color w:val="000000"/>
          <w:lang w:val="es-ES"/>
        </w:rPr>
        <w:t xml:space="preserve">Asimismo, </w:t>
      </w:r>
      <w:r w:rsidRPr="003E5E57">
        <w:rPr>
          <w:rFonts w:ascii="Verdana" w:hAnsi="Verdana" w:cs="Arial"/>
          <w:color w:val="000000" w:themeColor="text1"/>
          <w:lang w:val="es-ES_tradnl"/>
        </w:rPr>
        <w:t xml:space="preserve">en la </w:t>
      </w:r>
      <w:r>
        <w:rPr>
          <w:rFonts w:ascii="Verdana" w:hAnsi="Verdana" w:cs="Arial"/>
          <w:color w:val="000000" w:themeColor="text1"/>
          <w:lang w:val="es-ES_tradnl"/>
        </w:rPr>
        <w:t>S</w:t>
      </w:r>
      <w:r w:rsidRPr="003E5E57">
        <w:rPr>
          <w:rFonts w:ascii="Verdana" w:hAnsi="Verdana" w:cs="Arial"/>
          <w:color w:val="000000" w:themeColor="text1"/>
          <w:lang w:val="es-ES_tradnl"/>
        </w:rPr>
        <w:t>entencia del 23 de julio de 2015, la Sección Tercera indicó:</w:t>
      </w:r>
    </w:p>
    <w:p w14:paraId="25C7A349" w14:textId="77777777" w:rsidR="00C71B18" w:rsidRPr="003E5E57" w:rsidRDefault="00C71B18" w:rsidP="00C71B18">
      <w:pPr>
        <w:spacing w:after="0" w:line="276" w:lineRule="auto"/>
        <w:ind w:firstLine="709"/>
        <w:jc w:val="both"/>
        <w:rPr>
          <w:rFonts w:ascii="Verdana" w:hAnsi="Verdana" w:cs="Arial"/>
          <w:color w:val="000000" w:themeColor="text1"/>
          <w:lang w:val="es-ES_tradnl"/>
        </w:rPr>
      </w:pPr>
    </w:p>
    <w:p w14:paraId="76CFFAB0" w14:textId="77777777" w:rsidR="00C71B18" w:rsidRPr="003E5E57" w:rsidRDefault="00C71B18" w:rsidP="00C71B18">
      <w:pPr>
        <w:spacing w:after="120" w:line="240" w:lineRule="auto"/>
        <w:ind w:left="709" w:right="709"/>
        <w:jc w:val="both"/>
        <w:rPr>
          <w:rFonts w:ascii="Verdana" w:hAnsi="Verdana" w:cs="Arial"/>
          <w:sz w:val="20"/>
          <w:szCs w:val="20"/>
          <w:lang w:val="es-ES" w:eastAsia="es-ES"/>
        </w:rPr>
      </w:pPr>
      <w:r>
        <w:rPr>
          <w:rFonts w:ascii="Verdana" w:hAnsi="Verdana" w:cs="Arial"/>
          <w:sz w:val="20"/>
          <w:szCs w:val="20"/>
          <w:lang w:val="es-ES" w:eastAsia="es-ES"/>
        </w:rPr>
        <w:t>“</w:t>
      </w:r>
      <w:r w:rsidRPr="003E5E57">
        <w:rPr>
          <w:rFonts w:ascii="Verdana" w:hAnsi="Verdana" w:cs="Arial"/>
          <w:sz w:val="20"/>
          <w:szCs w:val="20"/>
          <w:lang w:val="es-ES" w:eastAsia="es-ES"/>
        </w:rPr>
        <w:t xml:space="preserve">La defensa y seguridad nacional son </w:t>
      </w:r>
      <w:r w:rsidRPr="003E5E57">
        <w:rPr>
          <w:rFonts w:ascii="Verdana" w:hAnsi="Verdana" w:cs="Arial"/>
          <w:i/>
          <w:sz w:val="20"/>
          <w:szCs w:val="20"/>
          <w:lang w:val="es-ES" w:eastAsia="es-ES"/>
        </w:rPr>
        <w:t>conceptos normativos indeterminados</w:t>
      </w:r>
      <w:r w:rsidRPr="003E5E57">
        <w:rPr>
          <w:rFonts w:ascii="Verdana" w:hAnsi="Verdana" w:cs="Arial"/>
          <w:sz w:val="20"/>
          <w:szCs w:val="20"/>
          <w:lang w:val="es-ES" w:eastAsia="es-ES"/>
        </w:rPr>
        <w:t xml:space="preserve"> que adquieren significación conforme el contexto social, cultural y económico que, en cualquier caso, reflejará las necesidades de una colectividad en una circunstancia espacio-temporal definida. Como concepto anfibológico requiere de un contexto específico que permita nutrirlo de contenido, de suerte que cada realidad social le dará un sentido particular. Son conceptos simbióticos pues se sirven mutuamente y la acción de uno afecta al otro, por manera que su adecuado entendimiento merece un tratamiento unívoco. </w:t>
      </w:r>
    </w:p>
    <w:p w14:paraId="23D1239B" w14:textId="77777777" w:rsidR="00C71B18" w:rsidRPr="003E5E57" w:rsidRDefault="00C71B18" w:rsidP="00C71B18">
      <w:pPr>
        <w:spacing w:after="0" w:line="240" w:lineRule="auto"/>
        <w:ind w:left="709" w:right="709"/>
        <w:jc w:val="both"/>
        <w:rPr>
          <w:rFonts w:ascii="Verdana" w:hAnsi="Verdana" w:cs="Arial"/>
          <w:sz w:val="20"/>
          <w:szCs w:val="20"/>
          <w:lang w:val="es-ES_tradnl" w:eastAsia="es-ES"/>
        </w:rPr>
      </w:pPr>
      <w:r w:rsidRPr="003E5E57">
        <w:rPr>
          <w:rFonts w:ascii="Verdana" w:hAnsi="Verdana" w:cs="Arial"/>
          <w:sz w:val="20"/>
          <w:szCs w:val="20"/>
          <w:lang w:val="es-ES_tradnl" w:eastAsia="es-ES"/>
        </w:rPr>
        <w:t xml:space="preserve">El núcleo básico de la expresión se encuentra en la razón misma del Estado, como pacto político garante de la vida, honra y bienes de las personas, por manera que a través de la defensa y seguridad nacional se busca obtener el bienestar de los ciudadanos y la estabilidad misma del Estado. Es un concepto base sobre el que se construye la estrategia del Estado para proteger a los ciudadanos y rebaza, en mucho, </w:t>
      </w:r>
      <w:r w:rsidRPr="003E5E57">
        <w:rPr>
          <w:rFonts w:ascii="Verdana" w:hAnsi="Verdana" w:cs="Arial"/>
          <w:i/>
          <w:sz w:val="20"/>
          <w:szCs w:val="20"/>
          <w:lang w:val="es-ES_tradnl" w:eastAsia="es-ES"/>
        </w:rPr>
        <w:t>el criterio conforme al cual la seguridad es apenas un conjunto de dispositivos para la guerra</w:t>
      </w:r>
      <w:r w:rsidRPr="003E5E57">
        <w:rPr>
          <w:rFonts w:ascii="Verdana" w:hAnsi="Verdana" w:cs="Arial"/>
          <w:sz w:val="20"/>
          <w:szCs w:val="20"/>
          <w:lang w:val="es-ES_tradnl" w:eastAsia="es-ES"/>
        </w:rPr>
        <w:t>: es un fenómeno que, dadas las condiciones actuales de nuestras sociedades, puede referir, incluso, a asuntos económicos, energéticos, ambientales y hasta de salud pública</w:t>
      </w:r>
      <w:r>
        <w:rPr>
          <w:rFonts w:ascii="Verdana" w:hAnsi="Verdana" w:cs="Arial"/>
          <w:sz w:val="20"/>
          <w:szCs w:val="20"/>
          <w:lang w:val="es-ES_tradnl" w:eastAsia="es-ES"/>
        </w:rPr>
        <w:t>”</w:t>
      </w:r>
      <w:r w:rsidRPr="003E5E57">
        <w:rPr>
          <w:rFonts w:ascii="Verdana" w:hAnsi="Verdana"/>
          <w:sz w:val="20"/>
          <w:szCs w:val="20"/>
          <w:vertAlign w:val="superscript"/>
        </w:rPr>
        <w:footnoteReference w:id="21"/>
      </w:r>
      <w:r w:rsidRPr="003E5E57">
        <w:rPr>
          <w:rFonts w:ascii="Verdana" w:hAnsi="Verdana" w:cs="Arial"/>
          <w:sz w:val="20"/>
          <w:szCs w:val="20"/>
          <w:lang w:val="es-ES_tradnl" w:eastAsia="es-ES"/>
        </w:rPr>
        <w:t>.</w:t>
      </w:r>
    </w:p>
    <w:p w14:paraId="294FB9EA" w14:textId="77777777" w:rsidR="00C71B18" w:rsidRPr="003E5E57" w:rsidRDefault="00C71B18" w:rsidP="00C71B18">
      <w:pPr>
        <w:spacing w:after="0" w:line="276" w:lineRule="auto"/>
        <w:ind w:firstLine="709"/>
        <w:jc w:val="both"/>
        <w:rPr>
          <w:rFonts w:ascii="Verdana" w:eastAsia="Calibri" w:hAnsi="Verdana" w:cs="Arial"/>
          <w:color w:val="000000"/>
          <w:lang w:val="es-ES"/>
        </w:rPr>
      </w:pPr>
    </w:p>
    <w:p w14:paraId="729C2038" w14:textId="77777777" w:rsidR="00C71B18" w:rsidRDefault="00C71B18" w:rsidP="00C71B18">
      <w:pPr>
        <w:spacing w:after="120" w:line="276" w:lineRule="auto"/>
        <w:ind w:firstLine="709"/>
        <w:jc w:val="both"/>
        <w:rPr>
          <w:rFonts w:ascii="Verdana" w:eastAsia="Times New Roman" w:hAnsi="Verdana" w:cs="Arial"/>
          <w:lang w:eastAsia="es-MX"/>
        </w:rPr>
      </w:pPr>
      <w:r w:rsidRPr="003E5E57">
        <w:rPr>
          <w:rFonts w:ascii="Verdana" w:eastAsia="Calibri" w:hAnsi="Verdana" w:cs="Arial"/>
          <w:color w:val="000000"/>
          <w:lang w:val="es-ES"/>
        </w:rPr>
        <w:t>Con base en lo anterior,</w:t>
      </w:r>
      <w:r>
        <w:rPr>
          <w:rFonts w:ascii="Verdana" w:eastAsia="Calibri" w:hAnsi="Verdana" w:cs="Arial"/>
          <w:color w:val="000000"/>
          <w:lang w:val="es-ES"/>
        </w:rPr>
        <w:t xml:space="preserve"> </w:t>
      </w:r>
      <w:r>
        <w:rPr>
          <w:rFonts w:ascii="Verdana" w:eastAsia="Times New Roman" w:hAnsi="Verdana" w:cs="Arial"/>
          <w:lang w:eastAsia="es-MX"/>
        </w:rPr>
        <w:t>la</w:t>
      </w:r>
      <w:r w:rsidRPr="00DB1EA1">
        <w:rPr>
          <w:rFonts w:ascii="Verdana" w:eastAsia="Times New Roman" w:hAnsi="Verdana" w:cs="Arial"/>
          <w:lang w:eastAsia="es-MX"/>
        </w:rPr>
        <w:t xml:space="preserve"> contratación de bienes y servicios en el sector </w:t>
      </w:r>
      <w:r>
        <w:rPr>
          <w:rFonts w:ascii="Verdana" w:eastAsia="Times New Roman" w:hAnsi="Verdana" w:cs="Arial"/>
          <w:lang w:eastAsia="es-MX"/>
        </w:rPr>
        <w:t>d</w:t>
      </w:r>
      <w:r w:rsidRPr="00DB1EA1">
        <w:rPr>
          <w:rFonts w:ascii="Verdana" w:eastAsia="Times New Roman" w:hAnsi="Verdana" w:cs="Arial"/>
          <w:lang w:eastAsia="es-MX"/>
        </w:rPr>
        <w:t xml:space="preserve">efensa </w:t>
      </w:r>
      <w:r>
        <w:rPr>
          <w:rFonts w:ascii="Verdana" w:eastAsia="Times New Roman" w:hAnsi="Verdana" w:cs="Arial"/>
          <w:lang w:eastAsia="es-MX"/>
        </w:rPr>
        <w:t xml:space="preserve">que no requieran reserva, están fuera del literal d) del artículo 2.4 de la Ley 1150 de 2007. Es lo que sucede, por ejemplo, con el suministro de papelería y los servicios de cafetería, pues son necesidades trasversales a todas las entidades públicas con independencia de su ubicación en la estructura del Estado. De lo contrario, como indica el artículo </w:t>
      </w:r>
      <w:r w:rsidRPr="002A22D8">
        <w:rPr>
          <w:rFonts w:ascii="Verdana" w:eastAsia="Times New Roman" w:hAnsi="Verdana" w:cs="Arial"/>
          <w:lang w:eastAsia="es-MX"/>
        </w:rPr>
        <w:t>2.2.1.2.1.4.6</w:t>
      </w:r>
      <w:r>
        <w:rPr>
          <w:rFonts w:ascii="Verdana" w:eastAsia="Times New Roman" w:hAnsi="Verdana" w:cs="Arial"/>
          <w:lang w:eastAsia="es-MX"/>
        </w:rPr>
        <w:t xml:space="preserve"> del Decreto 1082 de 2015, “</w:t>
      </w:r>
      <w:r w:rsidRPr="002A22D8">
        <w:rPr>
          <w:rFonts w:ascii="Verdana" w:eastAsia="Times New Roman" w:hAnsi="Verdana" w:cs="Arial"/>
          <w:lang w:eastAsia="es-MX"/>
        </w:rPr>
        <w:t>Las Entidades Estatales no están obligadas a publicar los Documentos del Proceso para adquirir bienes y servicios en el Sector Defensa, la Dirección Nacional de Inteligencia y la Unidad Nacional de Protección que requieren reserva. En estos procesos de contratación la adquisición debe hacerse en condiciones de mercado sin que sea necesario recibir varias ofertas</w:t>
      </w:r>
      <w:r>
        <w:rPr>
          <w:rFonts w:ascii="Verdana" w:eastAsia="Times New Roman" w:hAnsi="Verdana" w:cs="Arial"/>
          <w:lang w:eastAsia="es-MX"/>
        </w:rPr>
        <w:t>”</w:t>
      </w:r>
      <w:r w:rsidRPr="002A22D8">
        <w:rPr>
          <w:rFonts w:ascii="Verdana" w:eastAsia="Times New Roman" w:hAnsi="Verdana" w:cs="Arial"/>
          <w:lang w:eastAsia="es-MX"/>
        </w:rPr>
        <w:t>.</w:t>
      </w:r>
      <w:r>
        <w:rPr>
          <w:rFonts w:ascii="Verdana" w:eastAsia="Times New Roman" w:hAnsi="Verdana" w:cs="Arial"/>
          <w:lang w:eastAsia="es-MX"/>
        </w:rPr>
        <w:t xml:space="preserve"> </w:t>
      </w:r>
      <w:r w:rsidRPr="00DB1EA1">
        <w:rPr>
          <w:rFonts w:ascii="Verdana" w:eastAsia="Times New Roman" w:hAnsi="Verdana" w:cs="Arial"/>
          <w:lang w:eastAsia="es-MX"/>
        </w:rPr>
        <w:t xml:space="preserve">Por tanto, </w:t>
      </w:r>
      <w:r>
        <w:rPr>
          <w:rFonts w:ascii="Verdana" w:eastAsia="Times New Roman" w:hAnsi="Verdana" w:cs="Arial"/>
          <w:lang w:eastAsia="es-MX"/>
        </w:rPr>
        <w:t xml:space="preserve">si no coexisten los requisitos de carácter orgánico y material en la causal </w:t>
      </w:r>
      <w:r w:rsidRPr="002A22D8">
        <w:rPr>
          <w:rFonts w:ascii="Verdana" w:eastAsia="Times New Roman" w:hAnsi="Verdana" w:cs="Arial"/>
          <w:i/>
          <w:iCs/>
          <w:lang w:eastAsia="es-MX"/>
        </w:rPr>
        <w:t>sub examine</w:t>
      </w:r>
      <w:r w:rsidRPr="00DB1EA1">
        <w:rPr>
          <w:rFonts w:ascii="Verdana" w:eastAsia="Times New Roman" w:hAnsi="Verdana" w:cs="Arial"/>
          <w:lang w:eastAsia="es-MX"/>
        </w:rPr>
        <w:t xml:space="preserve">, deben privilegiarse los procedimientos de selección con pluralidad de </w:t>
      </w:r>
      <w:r w:rsidRPr="00DB1EA1">
        <w:rPr>
          <w:rFonts w:ascii="Verdana" w:eastAsia="Times New Roman" w:hAnsi="Verdana" w:cs="Arial"/>
          <w:lang w:eastAsia="es-MX"/>
        </w:rPr>
        <w:lastRenderedPageBreak/>
        <w:t>oferentes, especialmente, cuando la contratación directa es excepcional y, por tanto, las causales son de interpretación estricta.</w:t>
      </w:r>
      <w:r>
        <w:rPr>
          <w:rFonts w:ascii="Verdana" w:eastAsia="Times New Roman" w:hAnsi="Verdana" w:cs="Arial"/>
          <w:lang w:eastAsia="es-MX"/>
        </w:rPr>
        <w:t xml:space="preserve">  </w:t>
      </w:r>
    </w:p>
    <w:p w14:paraId="6A8CF8DB" w14:textId="77777777" w:rsidR="00C71B18" w:rsidRPr="002A22D8" w:rsidRDefault="00C71B18" w:rsidP="00C71B18">
      <w:pPr>
        <w:spacing w:after="120" w:line="276" w:lineRule="auto"/>
        <w:ind w:firstLine="709"/>
        <w:jc w:val="both"/>
        <w:rPr>
          <w:rFonts w:ascii="Verdana" w:eastAsia="Times New Roman" w:hAnsi="Verdana" w:cs="Arial"/>
          <w:lang w:eastAsia="es-MX"/>
        </w:rPr>
      </w:pPr>
      <w:r>
        <w:rPr>
          <w:rFonts w:ascii="Verdana" w:eastAsia="Times New Roman" w:hAnsi="Verdana" w:cs="Arial"/>
          <w:lang w:eastAsia="es-MX"/>
        </w:rPr>
        <w:t xml:space="preserve">De las causales de selección abreviada y de contratación de directa de los numerales 2 –literal i)– y 4 –literal d)– del artículo 2 de la Ley 1150 de 2007 se  infiere que la adquisición o suministro de bienes y servicios para la defensa y seguridad nacional se somete al EGCAP, lo que descarta la existencia de un régimen especial o exceptuado para estos efectos. </w:t>
      </w:r>
    </w:p>
    <w:p w14:paraId="3D33D4C8" w14:textId="77777777" w:rsidR="00C71B18" w:rsidRDefault="00C71B18" w:rsidP="00C71B18">
      <w:pPr>
        <w:tabs>
          <w:tab w:val="left" w:pos="709"/>
        </w:tabs>
        <w:spacing w:after="180" w:line="276" w:lineRule="auto"/>
        <w:jc w:val="both"/>
        <w:rPr>
          <w:rFonts w:ascii="Verdana" w:hAnsi="Verdana" w:cs="Arial"/>
          <w:color w:val="000000" w:themeColor="text1"/>
        </w:rPr>
      </w:pPr>
      <w:r>
        <w:rPr>
          <w:rFonts w:ascii="Verdana" w:hAnsi="Verdana" w:cs="Arial"/>
          <w:color w:val="000000" w:themeColor="text1"/>
        </w:rPr>
        <w:tab/>
        <w:t>Por lo demás, en desarrollo del monopolio armamentístico del artículo 223 constitucional, es necesario tener en cuenta que corresponde a la Industria Militar “</w:t>
      </w:r>
      <w:r w:rsidRPr="00D84C06">
        <w:rPr>
          <w:rFonts w:ascii="Verdana" w:hAnsi="Verdana" w:cs="Arial"/>
          <w:color w:val="000000" w:themeColor="text1"/>
        </w:rPr>
        <w:t xml:space="preserve">Producir, importar y abastecer de armas, municiones, explosivos, equipos y elementos complementarios a las Fuerzas Militares, a la Policía Nacional </w:t>
      </w:r>
      <w:r>
        <w:rPr>
          <w:rFonts w:ascii="Verdana" w:hAnsi="Verdana" w:cs="Arial"/>
          <w:color w:val="000000" w:themeColor="text1"/>
        </w:rPr>
        <w:t xml:space="preserve">y a otros organismos estatales” –literal b) del artículo 3 del Decreto Ley 2346 de 1971, modificado por el artículo 1 del Decreto Ley 2069 de 1984–. Como Indumil es una empresa industrial y comercial del Estado conforme al artículo 2 del Acuerdo 586 del 10 de junio de 2022, los contratos celebrados con alguna de las entidades previstas en la Ley 80 de 1993 son interadministrativos. Es decir, aplica la contratación directa tanto por el literal c) del artículo 2.4 de la Ley 80 de 1993 como por el artículo </w:t>
      </w:r>
      <w:r w:rsidRPr="00240F22">
        <w:rPr>
          <w:rFonts w:ascii="Verdana" w:hAnsi="Verdana" w:cs="Arial"/>
          <w:color w:val="000000" w:themeColor="text1"/>
        </w:rPr>
        <w:t>2.2.1.2.1.4.4</w:t>
      </w:r>
      <w:r>
        <w:rPr>
          <w:rFonts w:ascii="Verdana" w:hAnsi="Verdana" w:cs="Arial"/>
          <w:color w:val="000000" w:themeColor="text1"/>
        </w:rPr>
        <w:t xml:space="preserve"> del Decreto 1082 de 2015.</w:t>
      </w:r>
    </w:p>
    <w:p w14:paraId="0876D3BA" w14:textId="77777777" w:rsidR="00C71B18" w:rsidRPr="00E936D8" w:rsidRDefault="00C71B18" w:rsidP="00C71B18">
      <w:pPr>
        <w:tabs>
          <w:tab w:val="left" w:pos="709"/>
        </w:tabs>
        <w:spacing w:after="180" w:line="276" w:lineRule="auto"/>
        <w:jc w:val="both"/>
        <w:rPr>
          <w:rFonts w:ascii="Verdana" w:hAnsi="Verdana" w:cs="Arial"/>
          <w:color w:val="000000" w:themeColor="text1"/>
        </w:rPr>
      </w:pPr>
      <w:r>
        <w:rPr>
          <w:rFonts w:ascii="Verdana" w:hAnsi="Verdana" w:cs="Arial"/>
          <w:color w:val="000000" w:themeColor="text1"/>
        </w:rPr>
        <w:tab/>
        <w:t xml:space="preserve">De la literalidad de la norma citada, la Agencia no observa una autorización expresa para acudir a otros proveedores o causales de contratación cuando Indumil “[…] </w:t>
      </w:r>
      <w:r w:rsidRPr="00293F20">
        <w:rPr>
          <w:rFonts w:ascii="Verdana" w:hAnsi="Verdana" w:cs="Arial"/>
          <w:color w:val="000000" w:themeColor="text1"/>
        </w:rPr>
        <w:t>no tenga la capacidad de producción o venta, no asegure la calidad requerida para los elementos o condicione la oportunidad en la entrega de los bienes</w:t>
      </w:r>
      <w:r>
        <w:rPr>
          <w:rFonts w:ascii="Verdana" w:hAnsi="Verdana" w:cs="Arial"/>
          <w:color w:val="000000" w:themeColor="text1"/>
        </w:rPr>
        <w:t xml:space="preserve"> […]” o “[…] </w:t>
      </w:r>
      <w:r w:rsidRPr="00293F20">
        <w:rPr>
          <w:rFonts w:ascii="Verdana" w:hAnsi="Verdana" w:cs="Arial"/>
          <w:color w:val="000000" w:themeColor="text1"/>
        </w:rPr>
        <w:t>no entregue, entregue de manera parcial o inexacta, de forma inoportuna o condicionada la información técnica, económica, comercial o cualquier otra requerida para la estructuración y adelanto de procesos de contratación</w:t>
      </w:r>
      <w:r>
        <w:rPr>
          <w:rFonts w:ascii="Verdana" w:hAnsi="Verdana" w:cs="Arial"/>
          <w:color w:val="000000" w:themeColor="text1"/>
        </w:rPr>
        <w:t xml:space="preserve"> […]”. </w:t>
      </w:r>
      <w:r w:rsidRPr="00710C1B">
        <w:rPr>
          <w:rFonts w:ascii="Verdana" w:hAnsi="Verdana" w:cs="Arial"/>
          <w:color w:val="000000" w:themeColor="text1"/>
        </w:rPr>
        <w:t>No obstante,</w:t>
      </w:r>
      <w:r>
        <w:rPr>
          <w:rFonts w:ascii="Verdana" w:hAnsi="Verdana" w:cs="Arial"/>
          <w:color w:val="000000" w:themeColor="text1"/>
        </w:rPr>
        <w:t xml:space="preserve"> dentro del marco de los principios de la función administrativa y de la contratación estatal, </w:t>
      </w:r>
      <w:r w:rsidRPr="00710C1B">
        <w:rPr>
          <w:rFonts w:ascii="Verdana" w:hAnsi="Verdana" w:cs="Arial"/>
          <w:color w:val="000000" w:themeColor="text1"/>
        </w:rPr>
        <w:t>lo cierto es que las entidades públicas son autónomas y responsables tanto de la estructuración de sus procesos como de determinar la modalidad de selección aplicable para suplir sus necesidades.</w:t>
      </w:r>
      <w:r>
        <w:rPr>
          <w:rFonts w:ascii="Verdana" w:hAnsi="Verdana" w:cs="Arial"/>
          <w:color w:val="000000" w:themeColor="text1"/>
        </w:rPr>
        <w:t xml:space="preserve"> </w:t>
      </w:r>
    </w:p>
    <w:p w14:paraId="51A53C98" w14:textId="77777777" w:rsidR="00C71B18" w:rsidRPr="00A47393" w:rsidRDefault="00C71B18" w:rsidP="00C71B18">
      <w:pPr>
        <w:tabs>
          <w:tab w:val="left" w:pos="709"/>
        </w:tabs>
        <w:spacing w:after="18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Al margen de la explicación precedente debe advertirse que el análisis requerido para resolver problemas específicos en torno a la gestión contractual de las entidades públicas debe ser realizado por quienes tengan interés en ello, de acuerdo con lo explicado la aclaración preliminar del presente oficio. De esta </w:t>
      </w:r>
      <w:r w:rsidRPr="00A47393">
        <w:rPr>
          <w:rFonts w:ascii="Verdana" w:eastAsia="Calibri" w:hAnsi="Verdana" w:cs="Arial"/>
          <w:bCs/>
          <w:color w:val="000000" w:themeColor="text1"/>
        </w:rPr>
        <w:lastRenderedPageBreak/>
        <w:t>manera, las afirmaciones aquí realizadas no pueden ser interpretadas como juicios de valor sobre circunstancias concretas relacionadas con los hechos que motivan la consulta. Por lo anterior, previo concepto de sus asesores, la solución de situaciones particulares corresponde a los interesados adoptar la decisión correspondiente y, en caso de conflicto, a las autoridades judiciales, fiscales y disciplinarias.</w:t>
      </w:r>
    </w:p>
    <w:p w14:paraId="4B126BA2" w14:textId="77777777" w:rsidR="00C71B18" w:rsidRPr="00185EE9" w:rsidRDefault="00C71B18" w:rsidP="00C71B18">
      <w:pPr>
        <w:tabs>
          <w:tab w:val="left" w:pos="709"/>
        </w:tabs>
        <w:spacing w:after="0" w:line="276" w:lineRule="auto"/>
        <w:jc w:val="both"/>
        <w:rPr>
          <w:rFonts w:ascii="Verdana" w:eastAsia="Calibri" w:hAnsi="Verdana" w:cs="Arial"/>
          <w:bCs/>
          <w:color w:val="000000" w:themeColor="text1"/>
        </w:rPr>
      </w:pPr>
      <w:r>
        <w:rPr>
          <w:rFonts w:ascii="Verdana" w:eastAsia="Calibri" w:hAnsi="Verdana" w:cs="Arial"/>
          <w:bCs/>
          <w:color w:val="000000" w:themeColor="text1"/>
        </w:rPr>
        <w:tab/>
      </w:r>
      <w:r w:rsidRPr="00A47393">
        <w:rPr>
          <w:rFonts w:ascii="Verdana" w:eastAsia="Calibri" w:hAnsi="Verdana" w:cs="Arial"/>
          <w:bCs/>
          <w:color w:val="000000" w:themeColor="text1"/>
        </w:rPr>
        <w:t xml:space="preserve">Dentro de este marco, la entidad contratante definirá en cada caso concreto lo relacionado con el tema objeto de consulta. Al tratarse de un análisis que debe realizarse en el procedimiento contractual específico, la Agencia no puede definir un criterio universal y absoluto por vía consultiva, sino que brinda elementos de carácter general para que los partícipes del sistema de compras y contratación pública adopten la decisión que corresponda, lo cual es acorde con el principio de juridicidad. Así, cada entidad definirá la forma de adelantar su gestión contractual, sin que sea atribución de Colombia Compra Eficiente validar sus actuaciones.  </w:t>
      </w:r>
      <w:r w:rsidRPr="00185EE9">
        <w:rPr>
          <w:rFonts w:ascii="Verdana" w:eastAsia="Calibri" w:hAnsi="Verdana" w:cs="Arial"/>
          <w:bCs/>
          <w:color w:val="000000" w:themeColor="text1"/>
        </w:rPr>
        <w:t xml:space="preserve"> </w:t>
      </w:r>
    </w:p>
    <w:p w14:paraId="1CB80C95" w14:textId="77777777" w:rsidR="00C71B18" w:rsidRPr="00182C89" w:rsidRDefault="00C71B18" w:rsidP="00C71B18">
      <w:pPr>
        <w:tabs>
          <w:tab w:val="left" w:pos="709"/>
        </w:tabs>
        <w:spacing w:after="0" w:line="276" w:lineRule="auto"/>
        <w:jc w:val="both"/>
        <w:rPr>
          <w:rFonts w:ascii="Verdana" w:eastAsia="Calibri" w:hAnsi="Verdana" w:cs="Arial"/>
          <w:color w:val="000000" w:themeColor="text1"/>
        </w:rPr>
      </w:pPr>
    </w:p>
    <w:p w14:paraId="5BC764BA" w14:textId="77777777" w:rsidR="00C71B18" w:rsidRPr="00593A5F" w:rsidRDefault="00C71B18" w:rsidP="00C71B1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93A5F">
        <w:rPr>
          <w:rFonts w:ascii="Verdana" w:eastAsia="Century Gothic" w:hAnsi="Verdana" w:cs="Century Gothic"/>
          <w:b/>
          <w:bCs/>
        </w:rPr>
        <w:t>Referencias normativas:</w:t>
      </w:r>
    </w:p>
    <w:p w14:paraId="0B70210B" w14:textId="77777777" w:rsidR="00C71B18" w:rsidRPr="00593A5F" w:rsidRDefault="00C71B18" w:rsidP="00C71B18">
      <w:pPr>
        <w:widowControl w:val="0"/>
        <w:autoSpaceDE w:val="0"/>
        <w:autoSpaceDN w:val="0"/>
        <w:spacing w:after="0" w:line="276" w:lineRule="auto"/>
        <w:jc w:val="both"/>
        <w:rPr>
          <w:rFonts w:ascii="Verdana" w:hAnsi="Verdana" w:cs="Arial"/>
        </w:rPr>
      </w:pPr>
    </w:p>
    <w:tbl>
      <w:tblPr>
        <w:tblStyle w:val="Tablaconcuadrcula"/>
        <w:tblW w:w="8647"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71B18" w:rsidRPr="002407CE" w14:paraId="4B8FB719" w14:textId="77777777" w:rsidTr="00121654">
        <w:trPr>
          <w:trHeight w:val="56"/>
          <w:jc w:val="center"/>
        </w:trPr>
        <w:tc>
          <w:tcPr>
            <w:tcW w:w="8647" w:type="dxa"/>
          </w:tcPr>
          <w:p w14:paraId="67B064EE" w14:textId="77777777" w:rsidR="00C71B18"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Constitución Política de Colombia, artículos 150, 223 y 352.</w:t>
            </w:r>
          </w:p>
          <w:p w14:paraId="751CF8AB" w14:textId="77777777" w:rsidR="00C71B18"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Decreto Ley 2346 de 1971, artículo 3.</w:t>
            </w:r>
          </w:p>
          <w:p w14:paraId="737C9BC6" w14:textId="77777777" w:rsidR="00C71B18"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742595">
              <w:rPr>
                <w:rFonts w:ascii="Verdana" w:hAnsi="Verdana" w:cs="Arial"/>
              </w:rPr>
              <w:t>Decreto Legislativo 2368 de 1974</w:t>
            </w:r>
            <w:r>
              <w:rPr>
                <w:rFonts w:ascii="Verdana" w:hAnsi="Verdana" w:cs="Arial"/>
              </w:rPr>
              <w:t>, artículo 17.</w:t>
            </w:r>
          </w:p>
          <w:p w14:paraId="0E70EB1A" w14:textId="77777777" w:rsidR="00C71B18"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DF13C1">
              <w:rPr>
                <w:rFonts w:ascii="Verdana" w:hAnsi="Verdana" w:cs="Arial"/>
              </w:rPr>
              <w:t>Ley 80 de 1993, artículo</w:t>
            </w:r>
            <w:r>
              <w:rPr>
                <w:rFonts w:ascii="Verdana" w:hAnsi="Verdana" w:cs="Arial"/>
              </w:rPr>
              <w:t>s 2 y 81</w:t>
            </w:r>
            <w:r w:rsidRPr="00DF13C1">
              <w:rPr>
                <w:rFonts w:ascii="Verdana" w:hAnsi="Verdana" w:cs="Arial"/>
              </w:rPr>
              <w:t>.</w:t>
            </w:r>
          </w:p>
          <w:p w14:paraId="1CF7F4C7" w14:textId="77777777" w:rsidR="00C71B18" w:rsidRPr="0025696D"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489 de 1998, artículos 42 y 50.</w:t>
            </w:r>
          </w:p>
          <w:p w14:paraId="6F762FD6" w14:textId="77777777" w:rsidR="00C71B18"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Pr>
                <w:rFonts w:ascii="Verdana" w:hAnsi="Verdana" w:cs="Arial"/>
              </w:rPr>
              <w:t>Ley 1150 de 2007, artículos 2, 5, 14 y 16.</w:t>
            </w:r>
          </w:p>
          <w:p w14:paraId="241611C4" w14:textId="77777777" w:rsidR="00C71B18" w:rsidRPr="00036236"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036236">
              <w:rPr>
                <w:rFonts w:ascii="Verdana" w:hAnsi="Verdana" w:cs="Arial"/>
              </w:rPr>
              <w:t>Ley 1437 de 2011, artículo 24.</w:t>
            </w:r>
          </w:p>
          <w:p w14:paraId="7DB44AC4" w14:textId="77777777" w:rsidR="00C71B18" w:rsidRPr="00036236"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036236">
              <w:rPr>
                <w:rFonts w:ascii="Verdana" w:hAnsi="Verdana" w:cs="Arial"/>
              </w:rPr>
              <w:t>Ley 1712 de 2014, artículo 5, 18 y 19.</w:t>
            </w:r>
          </w:p>
          <w:p w14:paraId="08A534BF" w14:textId="77777777" w:rsidR="00C71B18" w:rsidRPr="00036236"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036236">
              <w:rPr>
                <w:rFonts w:ascii="Verdana" w:hAnsi="Verdana" w:cs="Arial"/>
              </w:rPr>
              <w:t>Decreto Ley 111 de 1996, artículo 110.</w:t>
            </w:r>
          </w:p>
          <w:p w14:paraId="44E53A4F" w14:textId="77777777" w:rsidR="00C71B18" w:rsidRPr="00036236"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036236">
              <w:rPr>
                <w:rFonts w:ascii="Verdana" w:hAnsi="Verdana" w:cs="Arial"/>
              </w:rPr>
              <w:t>Decreto 1070 de 2015, artículos 1.2.1.1.1, 1.2.1.2.1, 1.2.2.1.1, 1.2.2.2.1 y 1.2.3.1.</w:t>
            </w:r>
          </w:p>
          <w:p w14:paraId="28FAC802" w14:textId="77777777" w:rsidR="00C71B18" w:rsidRPr="00036236"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036236">
              <w:rPr>
                <w:rFonts w:ascii="Verdana" w:hAnsi="Verdana" w:cs="Arial"/>
              </w:rPr>
              <w:t xml:space="preserve">Decreto 1082 de 2015, artículo </w:t>
            </w:r>
            <w:r w:rsidRPr="00240F22">
              <w:rPr>
                <w:rFonts w:ascii="Verdana" w:hAnsi="Verdana" w:cs="Arial"/>
                <w:color w:val="000000" w:themeColor="text1"/>
              </w:rPr>
              <w:t>2.2.1.2.1.4.4</w:t>
            </w:r>
            <w:r>
              <w:rPr>
                <w:rFonts w:ascii="Verdana" w:hAnsi="Verdana" w:cs="Arial"/>
                <w:color w:val="000000" w:themeColor="text1"/>
              </w:rPr>
              <w:t xml:space="preserve"> y </w:t>
            </w:r>
            <w:r w:rsidRPr="00036236">
              <w:rPr>
                <w:rFonts w:ascii="Verdana" w:hAnsi="Verdana" w:cs="Arial"/>
              </w:rPr>
              <w:t>2.2.1.2.1.4.6.</w:t>
            </w:r>
          </w:p>
          <w:p w14:paraId="37D7D05D" w14:textId="77777777" w:rsidR="00C71B18" w:rsidRPr="00524031" w:rsidRDefault="00C71B18" w:rsidP="00C71B18">
            <w:pPr>
              <w:pStyle w:val="Prrafodelista"/>
              <w:widowControl w:val="0"/>
              <w:numPr>
                <w:ilvl w:val="0"/>
                <w:numId w:val="17"/>
              </w:numPr>
              <w:autoSpaceDE w:val="0"/>
              <w:autoSpaceDN w:val="0"/>
              <w:spacing w:after="120" w:line="276" w:lineRule="auto"/>
              <w:ind w:left="714" w:hanging="357"/>
              <w:contextualSpacing w:val="0"/>
              <w:jc w:val="both"/>
              <w:rPr>
                <w:rFonts w:ascii="Verdana" w:hAnsi="Verdana" w:cs="Arial"/>
              </w:rPr>
            </w:pPr>
            <w:r w:rsidRPr="00036236">
              <w:rPr>
                <w:rFonts w:ascii="Verdana" w:eastAsia="Times New Roman" w:hAnsi="Verdana" w:cs="Arial"/>
                <w:lang w:eastAsia="es-MX"/>
              </w:rPr>
              <w:t>Decreto 1625 de 2016</w:t>
            </w:r>
            <w:r>
              <w:rPr>
                <w:rFonts w:ascii="Verdana" w:eastAsia="Times New Roman" w:hAnsi="Verdana" w:cs="Arial"/>
                <w:lang w:eastAsia="es-MX"/>
              </w:rPr>
              <w:t>,</w:t>
            </w:r>
            <w:r>
              <w:t xml:space="preserve"> </w:t>
            </w:r>
            <w:r w:rsidRPr="00036236">
              <w:rPr>
                <w:rFonts w:ascii="Verdana" w:eastAsia="Times New Roman" w:hAnsi="Verdana" w:cs="Arial"/>
                <w:lang w:eastAsia="es-MX"/>
              </w:rPr>
              <w:t>artículo 1.3.1.14.18</w:t>
            </w:r>
            <w:r>
              <w:rPr>
                <w:rFonts w:ascii="Verdana" w:eastAsia="Times New Roman" w:hAnsi="Verdana" w:cs="Arial"/>
                <w:lang w:eastAsia="es-MX"/>
              </w:rPr>
              <w:t>.</w:t>
            </w:r>
          </w:p>
          <w:p w14:paraId="6D615F3E" w14:textId="77777777" w:rsidR="00C71B18" w:rsidRPr="00B87E7A" w:rsidRDefault="00C71B18" w:rsidP="00C71B18">
            <w:pPr>
              <w:pStyle w:val="Prrafodelista"/>
              <w:widowControl w:val="0"/>
              <w:numPr>
                <w:ilvl w:val="0"/>
                <w:numId w:val="17"/>
              </w:numPr>
              <w:autoSpaceDE w:val="0"/>
              <w:autoSpaceDN w:val="0"/>
              <w:spacing w:line="276" w:lineRule="auto"/>
              <w:ind w:left="714" w:hanging="357"/>
              <w:contextualSpacing w:val="0"/>
              <w:jc w:val="both"/>
              <w:rPr>
                <w:rFonts w:ascii="Verdana" w:hAnsi="Verdana" w:cs="Arial"/>
              </w:rPr>
            </w:pPr>
            <w:r w:rsidRPr="00524031">
              <w:rPr>
                <w:rFonts w:ascii="Verdana" w:eastAsia="Times New Roman" w:hAnsi="Verdana" w:cs="Arial"/>
                <w:lang w:eastAsia="es-MX"/>
              </w:rPr>
              <w:lastRenderedPageBreak/>
              <w:t>Acuerdo 586 de 2022</w:t>
            </w:r>
            <w:r>
              <w:rPr>
                <w:rFonts w:ascii="Verdana" w:eastAsia="Times New Roman" w:hAnsi="Verdana" w:cs="Arial"/>
                <w:lang w:eastAsia="es-MX"/>
              </w:rPr>
              <w:t xml:space="preserve">, artículo 2. </w:t>
            </w:r>
            <w:r w:rsidRPr="00036236">
              <w:rPr>
                <w:rFonts w:ascii="Verdana" w:eastAsia="Times New Roman" w:hAnsi="Verdana" w:cs="Arial"/>
                <w:lang w:eastAsia="es-MX"/>
              </w:rPr>
              <w:t xml:space="preserve"> </w:t>
            </w:r>
            <w:r>
              <w:rPr>
                <w:rFonts w:ascii="Verdana" w:eastAsia="Times New Roman" w:hAnsi="Verdana" w:cs="Arial"/>
                <w:lang w:eastAsia="es-MX"/>
              </w:rPr>
              <w:t xml:space="preserve"> </w:t>
            </w:r>
            <w:r>
              <w:rPr>
                <w:rFonts w:ascii="Verdana" w:hAnsi="Verdana" w:cs="Arial"/>
              </w:rPr>
              <w:t xml:space="preserve"> </w:t>
            </w:r>
          </w:p>
        </w:tc>
      </w:tr>
    </w:tbl>
    <w:p w14:paraId="6370115F" w14:textId="77777777" w:rsidR="00C71B18" w:rsidRPr="002407CE" w:rsidRDefault="00C71B18" w:rsidP="00C71B18">
      <w:pPr>
        <w:widowControl w:val="0"/>
        <w:autoSpaceDE w:val="0"/>
        <w:autoSpaceDN w:val="0"/>
        <w:spacing w:after="0" w:line="276" w:lineRule="auto"/>
        <w:jc w:val="both"/>
        <w:rPr>
          <w:rFonts w:ascii="Verdana" w:hAnsi="Verdana" w:cs="Arial"/>
        </w:rPr>
      </w:pPr>
    </w:p>
    <w:p w14:paraId="5D575ACD" w14:textId="77777777" w:rsidR="00C71B18" w:rsidRPr="00593A5F" w:rsidRDefault="00C71B18" w:rsidP="00C71B18">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Pr>
          <w:rFonts w:ascii="Verdana" w:eastAsia="Century Gothic" w:hAnsi="Verdana" w:cs="Century Gothic"/>
          <w:b/>
          <w:bCs/>
        </w:rPr>
        <w:t>Doctrina de la Agencia Nacional de Contratación Pública</w:t>
      </w:r>
      <w:r w:rsidRPr="00593A5F">
        <w:rPr>
          <w:rFonts w:ascii="Verdana" w:eastAsia="Century Gothic" w:hAnsi="Verdana" w:cs="Century Gothic"/>
          <w:b/>
          <w:bCs/>
        </w:rPr>
        <w:t>:</w:t>
      </w:r>
    </w:p>
    <w:p w14:paraId="7B435CE3" w14:textId="77777777" w:rsidR="00C71B18" w:rsidRPr="00593A5F" w:rsidRDefault="00C71B18" w:rsidP="00C71B18">
      <w:pPr>
        <w:widowControl w:val="0"/>
        <w:autoSpaceDE w:val="0"/>
        <w:autoSpaceDN w:val="0"/>
        <w:spacing w:after="0" w:line="276" w:lineRule="auto"/>
        <w:jc w:val="both"/>
        <w:rPr>
          <w:rFonts w:ascii="Verdana" w:hAnsi="Verdana" w:cs="Arial"/>
        </w:rPr>
      </w:pPr>
    </w:p>
    <w:p w14:paraId="624F5850" w14:textId="77777777" w:rsidR="00C71B18" w:rsidRPr="00ED0098" w:rsidRDefault="00C71B18" w:rsidP="00C71B18">
      <w:pPr>
        <w:widowControl w:val="0"/>
        <w:autoSpaceDE w:val="0"/>
        <w:autoSpaceDN w:val="0"/>
        <w:spacing w:after="0" w:line="276" w:lineRule="auto"/>
        <w:jc w:val="both"/>
        <w:rPr>
          <w:rStyle w:val="normaltextrun"/>
          <w:rFonts w:ascii="Verdana" w:hAnsi="Verdana" w:cs="Arial"/>
          <w:shd w:val="clear" w:color="auto" w:fill="FFFFFF"/>
        </w:rPr>
      </w:pPr>
      <w:r w:rsidRPr="00E278D2">
        <w:rPr>
          <w:rStyle w:val="normaltextrun"/>
          <w:rFonts w:ascii="Verdana" w:hAnsi="Verdana" w:cs="Arial"/>
          <w:shd w:val="clear" w:color="auto" w:fill="FFFFFF"/>
        </w:rPr>
        <w:t>Est</w:t>
      </w:r>
      <w:r>
        <w:rPr>
          <w:rStyle w:val="normaltextrun"/>
          <w:rFonts w:ascii="Verdana" w:hAnsi="Verdana" w:cs="Arial"/>
          <w:shd w:val="clear" w:color="auto" w:fill="FFFFFF"/>
        </w:rPr>
        <w:t>e</w:t>
      </w:r>
      <w:r w:rsidRPr="00E278D2">
        <w:rPr>
          <w:rStyle w:val="normaltextrun"/>
          <w:rFonts w:ascii="Verdana" w:hAnsi="Verdana" w:cs="Arial"/>
          <w:shd w:val="clear" w:color="auto" w:fill="FFFFFF"/>
        </w:rPr>
        <w:t xml:space="preserve"> y otros conceptos</w:t>
      </w:r>
      <w:r>
        <w:rPr>
          <w:rStyle w:val="normaltextrun"/>
          <w:rFonts w:ascii="Verdana" w:hAnsi="Verdana" w:cs="Arial"/>
          <w:shd w:val="clear" w:color="auto" w:fill="FFFFFF"/>
        </w:rPr>
        <w:t xml:space="preserve"> expedidos por la Subdirección</w:t>
      </w:r>
      <w:r w:rsidRPr="00E278D2">
        <w:rPr>
          <w:rStyle w:val="normaltextrun"/>
          <w:rFonts w:ascii="Verdana" w:hAnsi="Verdana" w:cs="Arial"/>
          <w:shd w:val="clear" w:color="auto" w:fill="FFFFFF"/>
        </w:rPr>
        <w:t xml:space="preserve"> se encuentran disponibles para consulta en el Sistema de relatoría de la Agencia</w:t>
      </w:r>
      <w:r w:rsidRPr="00A1554D">
        <w:rPr>
          <w:rFonts w:ascii="Verdana" w:hAnsi="Verdana"/>
        </w:rPr>
        <w:t>, al cual puede acceder</w:t>
      </w:r>
      <w:r>
        <w:rPr>
          <w:rFonts w:ascii="Verdana" w:hAnsi="Verdana"/>
        </w:rPr>
        <w:t>se</w:t>
      </w:r>
      <w:r w:rsidRPr="00A1554D">
        <w:rPr>
          <w:rFonts w:ascii="Verdana" w:hAnsi="Verdana"/>
        </w:rPr>
        <w:t xml:space="preserve"> a través del siguiente enlace:</w:t>
      </w:r>
      <w:r>
        <w:rPr>
          <w:rFonts w:ascii="Verdana" w:hAnsi="Verdana" w:cs="Arial"/>
          <w:shd w:val="clear" w:color="auto" w:fill="FFFFFF"/>
        </w:rPr>
        <w:t xml:space="preserve"> </w:t>
      </w:r>
      <w:hyperlink r:id="rId12" w:history="1">
        <w:r w:rsidRPr="00186F77">
          <w:rPr>
            <w:rStyle w:val="Hipervnculo"/>
            <w:rFonts w:ascii="Verdana" w:hAnsi="Verdana" w:cs="Arial"/>
            <w:shd w:val="clear" w:color="auto" w:fill="FFFFFF"/>
          </w:rPr>
          <w:t>https://relatoria.colombiacompra.gov.co/busqueda/conceptos</w:t>
        </w:r>
      </w:hyperlink>
      <w:r>
        <w:rPr>
          <w:rStyle w:val="normaltextrun"/>
          <w:rFonts w:ascii="Verdana" w:hAnsi="Verdana" w:cs="Arial"/>
          <w:shd w:val="clear" w:color="auto" w:fill="FFFFFF"/>
        </w:rPr>
        <w:t>.</w:t>
      </w:r>
      <w:r w:rsidRPr="008D0AB0">
        <w:rPr>
          <w:rStyle w:val="normaltextrun"/>
          <w:rFonts w:ascii="Verdana" w:hAnsi="Verdana" w:cs="Arial"/>
          <w:shd w:val="clear" w:color="auto" w:fill="FFFFFF"/>
        </w:rPr>
        <w:t xml:space="preserve"> </w:t>
      </w:r>
      <w:r>
        <w:rPr>
          <w:rStyle w:val="normaltextrun"/>
          <w:rFonts w:ascii="Verdana" w:hAnsi="Verdana" w:cs="Arial"/>
          <w:color w:val="FF0000"/>
          <w:shd w:val="clear" w:color="auto" w:fill="FFFFFF"/>
          <w:lang w:val="es-ES"/>
        </w:rPr>
        <w:t xml:space="preserve"> </w:t>
      </w:r>
    </w:p>
    <w:p w14:paraId="18FBEBD4" w14:textId="77777777" w:rsidR="00C71B18" w:rsidRPr="00096788" w:rsidRDefault="00C71B18" w:rsidP="00C71B18">
      <w:pPr>
        <w:widowControl w:val="0"/>
        <w:autoSpaceDE w:val="0"/>
        <w:autoSpaceDN w:val="0"/>
        <w:spacing w:after="0" w:line="276" w:lineRule="auto"/>
        <w:jc w:val="both"/>
        <w:rPr>
          <w:rFonts w:ascii="Verdana" w:hAnsi="Verdana" w:cs="Arial"/>
          <w:color w:val="000000" w:themeColor="text1"/>
          <w:shd w:val="clear" w:color="auto" w:fill="FFFFFF"/>
        </w:rPr>
      </w:pPr>
    </w:p>
    <w:p w14:paraId="1392D3AC" w14:textId="77777777" w:rsidR="00C71B18" w:rsidRDefault="00C71B18" w:rsidP="00C71B18">
      <w:pPr>
        <w:spacing w:after="0"/>
        <w:jc w:val="both"/>
      </w:pPr>
      <w:r w:rsidRPr="009A385A">
        <w:rPr>
          <w:rFonts w:ascii="Verdana" w:hAnsi="Verdana"/>
        </w:rPr>
        <w:t xml:space="preserve">La sostenibilidad no es una opción, es una </w:t>
      </w:r>
      <w:r>
        <w:rPr>
          <w:rFonts w:ascii="Verdana" w:hAnsi="Verdana"/>
        </w:rPr>
        <w:t>obligación</w:t>
      </w:r>
      <w:r w:rsidRPr="009A385A">
        <w:rPr>
          <w:rFonts w:ascii="Verdana" w:hAnsi="Verdana"/>
        </w:rPr>
        <w:t xml:space="preserve">. Por ello, la Agencia Nacional de Contratación Pública –Colombia Compra Eficiente– te invita a realizar el </w:t>
      </w:r>
      <w:r w:rsidRPr="009A385A">
        <w:rPr>
          <w:rFonts w:ascii="Verdana" w:hAnsi="Verdana"/>
          <w:b/>
          <w:bCs/>
        </w:rPr>
        <w:t>Curso de Contratación Pública Sostenible y Socialmente Responsable</w:t>
      </w:r>
      <w:r w:rsidRPr="009A385A">
        <w:rPr>
          <w:rFonts w:ascii="Verdana" w:hAnsi="Verdana"/>
        </w:rPr>
        <w:t xml:space="preserve">, una herramienta clave para fortalecer las capacidades de todos los </w:t>
      </w:r>
      <w:r>
        <w:rPr>
          <w:rFonts w:ascii="Verdana" w:hAnsi="Verdana"/>
        </w:rPr>
        <w:t xml:space="preserve">compradores públicos, proveedores, servidores públicos v para </w:t>
      </w:r>
      <w:r w:rsidRPr="009A385A">
        <w:rPr>
          <w:rFonts w:ascii="Verdana" w:hAnsi="Verdana"/>
        </w:rPr>
        <w:t>generar mayor valor público. Accede al curso</w:t>
      </w:r>
      <w:r>
        <w:rPr>
          <w:rFonts w:ascii="Verdana" w:hAnsi="Verdana"/>
        </w:rPr>
        <w:t xml:space="preserve"> y aprende como implementar criterios sociales y ambientales en las diferentes etapas del proceso de contratación</w:t>
      </w:r>
      <w:r w:rsidRPr="009A385A">
        <w:rPr>
          <w:rFonts w:ascii="Verdana" w:hAnsi="Verdana"/>
        </w:rPr>
        <w:t>:</w:t>
      </w:r>
      <w:r w:rsidRPr="009A385A">
        <w:rPr>
          <w:rFonts w:ascii="Verdana" w:hAnsi="Verdana"/>
        </w:rPr>
        <w:br/>
      </w:r>
      <w:hyperlink r:id="rId13" w:tgtFrame="_new" w:history="1">
        <w:r w:rsidRPr="009A385A">
          <w:rPr>
            <w:rStyle w:val="Hipervnculo"/>
            <w:rFonts w:ascii="Verdana" w:hAnsi="Verdana"/>
          </w:rPr>
          <w:t>https://formacionvirtual.colombiacompra.gov.co/mod/page/view.php?id=3718</w:t>
        </w:r>
      </w:hyperlink>
    </w:p>
    <w:p w14:paraId="02CF350C" w14:textId="77777777" w:rsidR="00C71B18" w:rsidRPr="009A385A" w:rsidRDefault="00C71B18" w:rsidP="00C71B18">
      <w:pPr>
        <w:spacing w:after="0"/>
        <w:jc w:val="both"/>
        <w:rPr>
          <w:rFonts w:ascii="Verdana" w:hAnsi="Verdana"/>
        </w:rPr>
      </w:pPr>
    </w:p>
    <w:p w14:paraId="6232AC61" w14:textId="77777777" w:rsidR="00C71B18" w:rsidRDefault="00C71B18" w:rsidP="00C71B18">
      <w:pPr>
        <w:spacing w:after="0"/>
        <w:jc w:val="both"/>
      </w:pPr>
      <w:r>
        <w:rPr>
          <w:rFonts w:ascii="Verdana" w:hAnsi="Verdana"/>
        </w:rPr>
        <w:t>De otro lado, te contamos que</w:t>
      </w:r>
      <w:r w:rsidRPr="00B36954">
        <w:rPr>
          <w:rFonts w:ascii="Verdana" w:hAnsi="Verdana"/>
        </w:rPr>
        <w:t xml:space="preserve"> </w:t>
      </w:r>
      <w:r>
        <w:rPr>
          <w:rFonts w:ascii="Verdana" w:hAnsi="Verdana"/>
        </w:rPr>
        <w:t>esta</w:t>
      </w:r>
      <w:r w:rsidRPr="00B36954">
        <w:rPr>
          <w:rFonts w:ascii="Verdana" w:hAnsi="Verdana"/>
        </w:rPr>
        <w:t xml:space="preserve"> Agencia </w:t>
      </w:r>
      <w:r>
        <w:rPr>
          <w:rFonts w:ascii="Verdana" w:hAnsi="Verdana"/>
        </w:rPr>
        <w:t xml:space="preserve">ha </w:t>
      </w:r>
      <w:r w:rsidRPr="00635F16">
        <w:rPr>
          <w:rFonts w:ascii="Verdana" w:hAnsi="Verdana"/>
        </w:rPr>
        <w:t xml:space="preserve">da un paso decisivo en la estandarización y modernización del </w:t>
      </w:r>
      <w:r w:rsidRPr="009A385A">
        <w:rPr>
          <w:rFonts w:ascii="Verdana" w:hAnsi="Verdana"/>
          <w:b/>
          <w:bCs/>
        </w:rPr>
        <w:t>sector  social</w:t>
      </w:r>
      <w:r w:rsidRPr="00635F16">
        <w:rPr>
          <w:rFonts w:ascii="Verdana" w:hAnsi="Verdana"/>
        </w:rPr>
        <w:t xml:space="preserve"> con la expedición de las </w:t>
      </w:r>
      <w:r w:rsidRPr="009A385A">
        <w:rPr>
          <w:rFonts w:ascii="Verdana" w:hAnsi="Verdana"/>
          <w:b/>
          <w:bCs/>
        </w:rPr>
        <w:t>Resoluciones 539, 540, 541, 952 y 953 de 2025</w:t>
      </w:r>
      <w:r w:rsidRPr="00635F16">
        <w:rPr>
          <w:rFonts w:ascii="Verdana" w:hAnsi="Verdana"/>
        </w:rPr>
        <w:t xml:space="preserve">, </w:t>
      </w:r>
      <w:r w:rsidRPr="009A385A">
        <w:rPr>
          <w:rFonts w:ascii="Verdana" w:hAnsi="Verdana"/>
          <w:b/>
          <w:bCs/>
        </w:rPr>
        <w:t>mediante las cuales adopt</w:t>
      </w:r>
      <w:r>
        <w:rPr>
          <w:rFonts w:ascii="Verdana" w:hAnsi="Verdana"/>
          <w:b/>
          <w:bCs/>
        </w:rPr>
        <w:t>ó</w:t>
      </w:r>
      <w:r w:rsidRPr="009A385A">
        <w:rPr>
          <w:rFonts w:ascii="Verdana" w:hAnsi="Verdana"/>
          <w:b/>
          <w:bCs/>
        </w:rPr>
        <w:t xml:space="preserve"> Documentos Tipo</w:t>
      </w:r>
      <w:r w:rsidRPr="00635F16">
        <w:rPr>
          <w:rFonts w:ascii="Verdana" w:hAnsi="Verdana"/>
        </w:rPr>
        <w:t xml:space="preserve"> para</w:t>
      </w:r>
      <w:r>
        <w:rPr>
          <w:rFonts w:ascii="Verdana" w:hAnsi="Verdana"/>
        </w:rPr>
        <w:t xml:space="preserve"> las modalidades de selección </w:t>
      </w:r>
      <w:r w:rsidRPr="007D7084">
        <w:rPr>
          <w:rFonts w:ascii="Verdana" w:hAnsi="Verdana"/>
        </w:rPr>
        <w:t>de</w:t>
      </w:r>
      <w:r w:rsidRPr="009A385A">
        <w:rPr>
          <w:rFonts w:ascii="Verdana" w:hAnsi="Verdana"/>
          <w:b/>
          <w:bCs/>
        </w:rPr>
        <w:t xml:space="preserve"> licitación pública (versión 2), selección abreviada de menor cuantía, mínima cuantía, consultoría e interventoría</w:t>
      </w:r>
      <w:r w:rsidRPr="00635F16">
        <w:rPr>
          <w:rFonts w:ascii="Verdana" w:hAnsi="Verdana"/>
        </w:rPr>
        <w:t>, promoviendo procesos más transparentes, eficientes  competitivos</w:t>
      </w:r>
      <w:r>
        <w:rPr>
          <w:rFonts w:ascii="Verdana" w:hAnsi="Verdana"/>
        </w:rPr>
        <w:t xml:space="preserve"> y sostenibles</w:t>
      </w:r>
      <w:r w:rsidRPr="00635F16">
        <w:rPr>
          <w:rFonts w:ascii="Verdana" w:hAnsi="Verdana"/>
        </w:rPr>
        <w:t xml:space="preserve"> en sectores estratégicos como educación, salud, cultura, recreación</w:t>
      </w:r>
      <w:r>
        <w:rPr>
          <w:rFonts w:ascii="Verdana" w:hAnsi="Verdana"/>
        </w:rPr>
        <w:t xml:space="preserve">, </w:t>
      </w:r>
      <w:r w:rsidRPr="00635F16">
        <w:rPr>
          <w:rFonts w:ascii="Verdana" w:hAnsi="Verdana"/>
        </w:rPr>
        <w:t xml:space="preserve">deporte, institucional y vivienda. Consulta y descarga los documentos aquí: </w:t>
      </w:r>
      <w:hyperlink r:id="rId14" w:tgtFrame="_new" w:history="1">
        <w:r w:rsidRPr="00635F16">
          <w:rPr>
            <w:rStyle w:val="Hipervnculo"/>
            <w:rFonts w:ascii="Verdana" w:hAnsi="Verdana"/>
          </w:rPr>
          <w:t>https://www.colombiacompra.gov.co/normativa-y-relatoria/documentos-tipo</w:t>
        </w:r>
      </w:hyperlink>
    </w:p>
    <w:p w14:paraId="4D0BE6B9" w14:textId="77777777" w:rsidR="00C71B18" w:rsidRDefault="00C71B18" w:rsidP="00C71B18">
      <w:pPr>
        <w:spacing w:after="0"/>
        <w:jc w:val="both"/>
        <w:rPr>
          <w:rFonts w:ascii="Verdana" w:hAnsi="Verdana"/>
        </w:rPr>
      </w:pPr>
    </w:p>
    <w:p w14:paraId="5C9F1DBF" w14:textId="77777777" w:rsidR="00C71B18" w:rsidRPr="008E1CD7" w:rsidRDefault="00C71B18" w:rsidP="00C71B18">
      <w:pPr>
        <w:spacing w:after="0"/>
        <w:jc w:val="both"/>
        <w:rPr>
          <w:rFonts w:ascii="Verdana" w:hAnsi="Verdana"/>
        </w:rPr>
      </w:pPr>
      <w:r>
        <w:rPr>
          <w:rFonts w:ascii="Verdana" w:hAnsi="Verdana"/>
        </w:rPr>
        <w:t>Si quieres conocer más sobre la aplicación de Documentos Tipo</w:t>
      </w:r>
      <w:r w:rsidRPr="009A385A">
        <w:rPr>
          <w:rFonts w:ascii="Verdana" w:hAnsi="Verdana"/>
        </w:rPr>
        <w:t xml:space="preserve"> </w:t>
      </w:r>
      <w:r>
        <w:rPr>
          <w:rFonts w:ascii="Verdana" w:hAnsi="Verdana"/>
        </w:rPr>
        <w:t xml:space="preserve">puedes </w:t>
      </w:r>
      <w:r w:rsidRPr="00797327">
        <w:rPr>
          <w:rFonts w:ascii="Verdana" w:hAnsi="Verdana"/>
        </w:rPr>
        <w:t>consulta</w:t>
      </w:r>
      <w:r>
        <w:rPr>
          <w:rFonts w:ascii="Verdana" w:hAnsi="Verdana"/>
        </w:rPr>
        <w:t>r</w:t>
      </w:r>
      <w:r w:rsidRPr="009A385A">
        <w:rPr>
          <w:rFonts w:ascii="Verdana" w:hAnsi="Verdana"/>
        </w:rPr>
        <w:t xml:space="preserve"> la</w:t>
      </w:r>
      <w:r w:rsidRPr="00797327">
        <w:rPr>
          <w:rFonts w:ascii="Verdana" w:hAnsi="Verdana"/>
        </w:rPr>
        <w:t xml:space="preserve"> última versión de la</w:t>
      </w:r>
      <w:r w:rsidRPr="009A385A">
        <w:rPr>
          <w:rFonts w:ascii="Verdana" w:hAnsi="Verdana"/>
        </w:rPr>
        <w:t xml:space="preserve"> </w:t>
      </w:r>
      <w:r w:rsidRPr="009A385A">
        <w:rPr>
          <w:rFonts w:ascii="Verdana" w:hAnsi="Verdana"/>
          <w:b/>
          <w:bCs/>
        </w:rPr>
        <w:t>Guía para la comprensión e implementación de los Documentos Tipo de obra pública de infraestructura de transporte</w:t>
      </w:r>
      <w:r w:rsidRPr="00797327">
        <w:rPr>
          <w:rFonts w:ascii="Verdana" w:hAnsi="Verdana"/>
        </w:rPr>
        <w:t xml:space="preserve">. En </w:t>
      </w:r>
      <w:r>
        <w:rPr>
          <w:rFonts w:ascii="Verdana" w:hAnsi="Verdana"/>
        </w:rPr>
        <w:t xml:space="preserve">esta </w:t>
      </w:r>
      <w:r w:rsidRPr="00797327">
        <w:rPr>
          <w:rFonts w:ascii="Verdana" w:hAnsi="Verdana"/>
        </w:rPr>
        <w:t>actualización</w:t>
      </w:r>
      <w:r>
        <w:rPr>
          <w:rFonts w:ascii="Verdana" w:hAnsi="Verdana"/>
        </w:rPr>
        <w:t xml:space="preserve"> </w:t>
      </w:r>
      <w:r w:rsidRPr="00797327">
        <w:rPr>
          <w:rFonts w:ascii="Verdana" w:hAnsi="Verdana"/>
        </w:rPr>
        <w:t>se incorporaron orientaciones prácticas dirigidas a entidades públicas, proveedores, organismos de control y demás interesados, con el propósito de facilitar la adecuada implementación de est</w:t>
      </w:r>
      <w:r>
        <w:rPr>
          <w:rFonts w:ascii="Verdana" w:hAnsi="Verdana"/>
        </w:rPr>
        <w:t>os</w:t>
      </w:r>
      <w:r w:rsidRPr="00797327">
        <w:rPr>
          <w:rFonts w:ascii="Verdana" w:hAnsi="Verdana"/>
        </w:rPr>
        <w:t xml:space="preserve"> instrumento</w:t>
      </w:r>
      <w:r>
        <w:rPr>
          <w:rFonts w:ascii="Verdana" w:hAnsi="Verdana"/>
        </w:rPr>
        <w:t>s</w:t>
      </w:r>
      <w:r w:rsidRPr="00797327">
        <w:rPr>
          <w:rFonts w:ascii="Verdana" w:hAnsi="Verdana"/>
        </w:rPr>
        <w:t xml:space="preserve"> en los procesos contractuales.</w:t>
      </w:r>
      <w:r w:rsidRPr="009A385A">
        <w:rPr>
          <w:rFonts w:ascii="Verdana" w:hAnsi="Verdana"/>
        </w:rPr>
        <w:t xml:space="preserve"> </w:t>
      </w:r>
      <w:r w:rsidRPr="00797327">
        <w:rPr>
          <w:rFonts w:ascii="Verdana" w:hAnsi="Verdana"/>
        </w:rPr>
        <w:t>Además se incluye</w:t>
      </w:r>
      <w:r>
        <w:rPr>
          <w:rFonts w:ascii="Verdana" w:hAnsi="Verdana"/>
        </w:rPr>
        <w:t>ron</w:t>
      </w:r>
      <w:r w:rsidRPr="00797327">
        <w:rPr>
          <w:rFonts w:ascii="Verdana" w:hAnsi="Verdana"/>
        </w:rPr>
        <w:t xml:space="preserve"> lineamientos que orientan la implementación de los criterios ambientales y sociales incluidos en los documentos tipo: </w:t>
      </w:r>
      <w:r w:rsidRPr="009A385A">
        <w:rPr>
          <w:rFonts w:ascii="Verdana" w:hAnsi="Verdana"/>
        </w:rPr>
        <w:t>Consulta la guía aquí:</w:t>
      </w:r>
      <w:r w:rsidRPr="009A385A">
        <w:rPr>
          <w:rFonts w:ascii="Verdana" w:hAnsi="Verdana"/>
        </w:rPr>
        <w:br/>
      </w:r>
      <w:hyperlink r:id="rId15" w:tgtFrame="_new" w:history="1">
        <w:r w:rsidRPr="009A385A">
          <w:rPr>
            <w:rStyle w:val="Hipervnculo"/>
            <w:rFonts w:ascii="Verdana" w:hAnsi="Verdana"/>
          </w:rPr>
          <w:t>https://www.colombiacompra.gov.co/archivos/manual/guia-para-la-comprension-e-implementacion-de-los-documentos-tipo-de-obra-publica-de-infraestructura-de-transporte-bajo-las-diferentes-modalidades-de-contratacion-vigentes</w:t>
        </w:r>
      </w:hyperlink>
    </w:p>
    <w:p w14:paraId="5F4520B8" w14:textId="77777777" w:rsidR="00C71B18" w:rsidRDefault="00C71B18" w:rsidP="00C71B18">
      <w:pPr>
        <w:shd w:val="clear" w:color="auto" w:fill="FFFFFF"/>
        <w:spacing w:after="0" w:line="276" w:lineRule="auto"/>
        <w:jc w:val="both"/>
        <w:rPr>
          <w:rFonts w:ascii="Verdana" w:hAnsi="Verdana"/>
          <w:color w:val="000000"/>
          <w:u w:val="single"/>
        </w:rPr>
      </w:pPr>
    </w:p>
    <w:p w14:paraId="7A05281A" w14:textId="77777777" w:rsidR="00C71B18" w:rsidRPr="00116940" w:rsidRDefault="00C71B18" w:rsidP="00C71B18">
      <w:pPr>
        <w:spacing w:after="0"/>
        <w:jc w:val="both"/>
        <w:rPr>
          <w:rFonts w:ascii="Verdana" w:hAnsi="Verdana"/>
        </w:rPr>
      </w:pPr>
      <w:r>
        <w:rPr>
          <w:rFonts w:ascii="Verdana" w:hAnsi="Verdana"/>
        </w:rPr>
        <w:t>A</w:t>
      </w:r>
      <w:r w:rsidRPr="00E02524">
        <w:rPr>
          <w:rFonts w:ascii="Verdana" w:hAnsi="Verdana"/>
        </w:rPr>
        <w:t xml:space="preserve">provechamos la oportunidad de manifestar la entera disposición de la </w:t>
      </w:r>
      <w:r w:rsidRPr="00116940">
        <w:rPr>
          <w:rFonts w:ascii="Verdana" w:hAnsi="Verdana"/>
        </w:rPr>
        <w:t xml:space="preserve">Agencia Nacional de Contratación Pública –Colombia Compra Eficiente– para atender las peticiones o solicitudes, así como para brindar el apoyo que se requiera en el marco de nuestras funciones a través de nuestros diferentes canales de atención: </w:t>
      </w:r>
    </w:p>
    <w:p w14:paraId="32E077EA" w14:textId="77777777" w:rsidR="00C71B18" w:rsidRPr="00116940" w:rsidRDefault="00C71B18" w:rsidP="00C71B18">
      <w:pPr>
        <w:spacing w:after="0"/>
        <w:jc w:val="both"/>
        <w:rPr>
          <w:rFonts w:ascii="Verdana" w:hAnsi="Verdana"/>
        </w:rPr>
      </w:pPr>
    </w:p>
    <w:p w14:paraId="68651942" w14:textId="77777777" w:rsidR="00C71B18" w:rsidRPr="00116940" w:rsidRDefault="00C71B18" w:rsidP="00C71B18">
      <w:pPr>
        <w:pStyle w:val="Prrafodelista"/>
        <w:numPr>
          <w:ilvl w:val="0"/>
          <w:numId w:val="15"/>
        </w:numPr>
        <w:spacing w:after="0" w:line="240" w:lineRule="auto"/>
        <w:jc w:val="both"/>
        <w:rPr>
          <w:rFonts w:ascii="Verdana" w:eastAsia="Verdana" w:hAnsi="Verdana" w:cs="Verdana"/>
          <w:color w:val="4472C4" w:themeColor="accent1"/>
          <w:u w:val="single"/>
          <w:lang w:val="es-MX"/>
        </w:rPr>
      </w:pPr>
      <w:r w:rsidRPr="00116940">
        <w:rPr>
          <w:rFonts w:ascii="Verdana" w:eastAsia="Verdana" w:hAnsi="Verdana" w:cs="Verdana"/>
          <w:lang w:val="es-MX"/>
        </w:rPr>
        <w:t xml:space="preserve">Línea nacional gratuita o servicio a la ciudadanía (Mesa de servicio): </w:t>
      </w:r>
      <w:r w:rsidRPr="00116940">
        <w:rPr>
          <w:rStyle w:val="Hipervnculo"/>
          <w:rFonts w:ascii="Verdana" w:hAnsi="Verdana"/>
        </w:rPr>
        <w:t>01800 0520808</w:t>
      </w:r>
    </w:p>
    <w:p w14:paraId="0986DD3C" w14:textId="77777777" w:rsidR="00C71B18" w:rsidRPr="00116940" w:rsidRDefault="00C71B18" w:rsidP="00C71B18">
      <w:pPr>
        <w:pStyle w:val="Prrafodelista"/>
        <w:numPr>
          <w:ilvl w:val="0"/>
          <w:numId w:val="15"/>
        </w:numPr>
        <w:spacing w:after="0"/>
        <w:rPr>
          <w:rFonts w:ascii="Verdana" w:eastAsia="Verdana" w:hAnsi="Verdana" w:cs="Verdana"/>
          <w:color w:val="4472C4" w:themeColor="accent1"/>
          <w:u w:val="single"/>
          <w:lang w:val="es-MX"/>
        </w:rPr>
      </w:pPr>
      <w:r w:rsidRPr="00116940">
        <w:rPr>
          <w:rFonts w:ascii="Verdana" w:eastAsia="Verdana" w:hAnsi="Verdana" w:cs="Verdana"/>
          <w:lang w:val="es-MX"/>
        </w:rPr>
        <w:t>Línea en Bogotá (Mesa de servicio):</w:t>
      </w:r>
      <w:r w:rsidRPr="00116940">
        <w:rPr>
          <w:rStyle w:val="Hipervnculo"/>
          <w:rFonts w:ascii="Verdana" w:hAnsi="Verdana"/>
        </w:rPr>
        <w:t>+57 601 7456788</w:t>
      </w:r>
    </w:p>
    <w:p w14:paraId="15E1FBA0" w14:textId="77777777" w:rsidR="00C71B18" w:rsidRPr="00116940" w:rsidRDefault="00C71B18" w:rsidP="00C71B1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lang w:val="es-MX"/>
        </w:rPr>
        <w:t xml:space="preserve">Correo de radicación de correspondencia: </w:t>
      </w:r>
      <w:hyperlink r:id="rId16">
        <w:r w:rsidRPr="00116940">
          <w:rPr>
            <w:rStyle w:val="Hipervnculo"/>
            <w:rFonts w:ascii="Verdana" w:eastAsia="Verdana" w:hAnsi="Verdana" w:cs="Verdana"/>
            <w:lang w:val="es-MX"/>
          </w:rPr>
          <w:t>ventanilladeradicacion@colombiacompra.gov.co</w:t>
        </w:r>
      </w:hyperlink>
    </w:p>
    <w:p w14:paraId="197EDEC7" w14:textId="77777777" w:rsidR="00C71B18" w:rsidRPr="00116940" w:rsidRDefault="00C71B18" w:rsidP="00C71B18">
      <w:pPr>
        <w:pStyle w:val="Prrafodelista"/>
        <w:numPr>
          <w:ilvl w:val="0"/>
          <w:numId w:val="15"/>
        </w:numPr>
        <w:spacing w:after="0"/>
        <w:rPr>
          <w:rFonts w:ascii="Verdana" w:eastAsia="Verdana" w:hAnsi="Verdana" w:cs="Verdana"/>
          <w:color w:val="0000FF"/>
          <w:u w:val="single"/>
          <w:lang w:val="es-MX"/>
        </w:rPr>
      </w:pPr>
      <w:r w:rsidRPr="00116940">
        <w:rPr>
          <w:rFonts w:ascii="Verdana" w:eastAsia="Verdana" w:hAnsi="Verdana" w:cs="Verdana"/>
        </w:rPr>
        <w:t>Formulario web para</w:t>
      </w:r>
      <w:r w:rsidRPr="00116940">
        <w:rPr>
          <w:rFonts w:ascii="Verdana" w:eastAsia="Verdana" w:hAnsi="Verdana" w:cs="Verdana"/>
          <w:lang w:val="es"/>
        </w:rPr>
        <w:t xml:space="preserve"> PQRSD: </w:t>
      </w:r>
      <w:hyperlink r:id="rId17">
        <w:r w:rsidRPr="00116940">
          <w:rPr>
            <w:rStyle w:val="Hipervnculo"/>
            <w:rFonts w:ascii="Verdana" w:eastAsia="Verdana" w:hAnsi="Verdana" w:cs="Verdana"/>
            <w:lang w:val="es-MX"/>
          </w:rPr>
          <w:t>https://www.colombiacompra.gov.co/pqrsd/informacion-importante-antes-de-formular-una-pqrsd</w:t>
        </w:r>
      </w:hyperlink>
    </w:p>
    <w:p w14:paraId="33352DDE" w14:textId="77777777" w:rsidR="00C71B18" w:rsidRPr="00116940" w:rsidRDefault="00C71B18" w:rsidP="00C71B18">
      <w:pPr>
        <w:spacing w:after="0" w:line="240" w:lineRule="auto"/>
        <w:ind w:left="720"/>
        <w:jc w:val="both"/>
        <w:rPr>
          <w:rFonts w:ascii="Verdana" w:hAnsi="Verdana"/>
        </w:rPr>
      </w:pPr>
    </w:p>
    <w:p w14:paraId="1A2D729F" w14:textId="77777777" w:rsidR="00C71B18" w:rsidRPr="00116940" w:rsidRDefault="00C71B18" w:rsidP="00C71B18">
      <w:pPr>
        <w:spacing w:after="0" w:line="240" w:lineRule="auto"/>
        <w:rPr>
          <w:rFonts w:ascii="Verdana" w:hAnsi="Verdana"/>
        </w:rPr>
      </w:pPr>
      <w:r w:rsidRPr="00116940">
        <w:rPr>
          <w:rFonts w:ascii="Verdana" w:hAnsi="Verdana"/>
        </w:rPr>
        <w:t>Evalúa el servicio que ofrece la Agencia por el canal de atención de PQRSD en el siguiente enlace :</w:t>
      </w:r>
      <w:hyperlink r:id="rId18" w:tgtFrame="_blank" w:tooltip="https://forms.office.com/r/pphywvs2sz" w:history="1">
        <w:r w:rsidRPr="00116940">
          <w:rPr>
            <w:rStyle w:val="Hipervnculo"/>
            <w:rFonts w:ascii="Verdana" w:hAnsi="Verdana"/>
          </w:rPr>
          <w:t>https://forms.office.com/r/pPHyWVs2SZ</w:t>
        </w:r>
      </w:hyperlink>
      <w:r w:rsidRPr="00116940">
        <w:rPr>
          <w:rFonts w:ascii="Verdana" w:hAnsi="Verdana"/>
        </w:rPr>
        <w:t xml:space="preserve"> .¡Ayúdanos a mejorar porque el compromiso es de todos!</w:t>
      </w:r>
    </w:p>
    <w:p w14:paraId="5C92F07D" w14:textId="77777777" w:rsidR="00C71B18" w:rsidRPr="00116940" w:rsidRDefault="00C71B18" w:rsidP="00C71B18">
      <w:pPr>
        <w:spacing w:after="0" w:line="240" w:lineRule="auto"/>
        <w:rPr>
          <w:rFonts w:ascii="Verdana" w:hAnsi="Verdana"/>
        </w:rPr>
      </w:pPr>
    </w:p>
    <w:p w14:paraId="0C20C421" w14:textId="77777777" w:rsidR="00C71B18" w:rsidRPr="00116940" w:rsidRDefault="00C71B18" w:rsidP="00C71B18">
      <w:pPr>
        <w:spacing w:after="0" w:line="240" w:lineRule="auto"/>
        <w:jc w:val="both"/>
        <w:rPr>
          <w:rFonts w:ascii="Verdana" w:hAnsi="Verdana"/>
        </w:rPr>
      </w:pPr>
      <w:r w:rsidRPr="00116940">
        <w:rPr>
          <w:rFonts w:ascii="Verdana" w:hAnsi="Verdana"/>
        </w:rPr>
        <w:t xml:space="preserve">Por último, lo invitamos a seguirnos en las redes sociales en las cuales se difunde información institucional: </w:t>
      </w:r>
    </w:p>
    <w:p w14:paraId="6010DBDC" w14:textId="77777777" w:rsidR="00C71B18" w:rsidRPr="00116940" w:rsidRDefault="00C71B18" w:rsidP="00C71B18">
      <w:pPr>
        <w:spacing w:after="0" w:line="240" w:lineRule="auto"/>
        <w:jc w:val="both"/>
        <w:rPr>
          <w:rFonts w:ascii="Verdana" w:hAnsi="Verdana"/>
        </w:rPr>
      </w:pPr>
    </w:p>
    <w:p w14:paraId="01CF77C5" w14:textId="77777777" w:rsidR="00C71B18" w:rsidRPr="00116940" w:rsidRDefault="00C71B18" w:rsidP="00C71B18">
      <w:pPr>
        <w:spacing w:after="0" w:line="240" w:lineRule="auto"/>
        <w:jc w:val="both"/>
        <w:rPr>
          <w:rFonts w:ascii="Verdana" w:hAnsi="Verdana"/>
        </w:rPr>
      </w:pPr>
      <w:r w:rsidRPr="00116940">
        <w:rPr>
          <w:rFonts w:ascii="Verdana" w:hAnsi="Verdana"/>
        </w:rPr>
        <w:t xml:space="preserve">Twitter: </w:t>
      </w:r>
      <w:r w:rsidRPr="00116940">
        <w:rPr>
          <w:rStyle w:val="Hipervnculo"/>
          <w:rFonts w:ascii="Verdana" w:hAnsi="Verdana"/>
        </w:rPr>
        <w:t>@colombiacompra</w:t>
      </w:r>
      <w:r w:rsidRPr="00116940">
        <w:rPr>
          <w:rFonts w:ascii="Verdana" w:hAnsi="Verdana"/>
        </w:rPr>
        <w:t xml:space="preserve"> </w:t>
      </w:r>
    </w:p>
    <w:p w14:paraId="0F3262D0" w14:textId="77777777" w:rsidR="00C71B18" w:rsidRPr="00116940" w:rsidRDefault="00C71B18" w:rsidP="00C71B18">
      <w:pPr>
        <w:spacing w:after="0" w:line="240" w:lineRule="auto"/>
        <w:jc w:val="both"/>
        <w:rPr>
          <w:rFonts w:ascii="Verdana" w:hAnsi="Verdana"/>
        </w:rPr>
      </w:pPr>
      <w:r w:rsidRPr="00116940">
        <w:rPr>
          <w:rFonts w:ascii="Verdana" w:hAnsi="Verdana"/>
        </w:rPr>
        <w:t xml:space="preserve">Facebook: </w:t>
      </w:r>
      <w:proofErr w:type="spellStart"/>
      <w:r w:rsidRPr="00116940">
        <w:rPr>
          <w:rStyle w:val="Hipervnculo"/>
          <w:rFonts w:ascii="Verdana" w:hAnsi="Verdana"/>
        </w:rPr>
        <w:t>ColombiaCompraEficiente</w:t>
      </w:r>
      <w:proofErr w:type="spellEnd"/>
    </w:p>
    <w:p w14:paraId="1B05796B" w14:textId="77777777" w:rsidR="00C71B18" w:rsidRPr="00116940" w:rsidRDefault="00C71B18" w:rsidP="00C71B18">
      <w:pPr>
        <w:spacing w:after="0" w:line="240" w:lineRule="auto"/>
        <w:jc w:val="both"/>
        <w:rPr>
          <w:rFonts w:ascii="Verdana" w:hAnsi="Verdana"/>
        </w:rPr>
      </w:pPr>
      <w:r w:rsidRPr="00116940">
        <w:rPr>
          <w:rFonts w:ascii="Verdana" w:hAnsi="Verdana"/>
        </w:rPr>
        <w:t xml:space="preserve">LinkedIn: </w:t>
      </w:r>
      <w:r w:rsidRPr="00116940">
        <w:rPr>
          <w:rStyle w:val="Hipervnculo"/>
          <w:rFonts w:ascii="Verdana" w:hAnsi="Verdana"/>
        </w:rPr>
        <w:t>Agencia Nacional de Contratación Pública - Colombia Compra Eficiente</w:t>
      </w:r>
      <w:r w:rsidRPr="00116940">
        <w:rPr>
          <w:rFonts w:ascii="Verdana" w:hAnsi="Verdana"/>
        </w:rPr>
        <w:t xml:space="preserve"> Instagram: </w:t>
      </w:r>
      <w:r w:rsidRPr="00116940">
        <w:rPr>
          <w:rStyle w:val="Hipervnculo"/>
          <w:rFonts w:ascii="Verdana" w:hAnsi="Verdana"/>
        </w:rPr>
        <w:t>@colombiacompraeficiente_cce</w:t>
      </w:r>
    </w:p>
    <w:p w14:paraId="3C0FBCA9" w14:textId="77777777" w:rsidR="00C71B18" w:rsidRPr="009C4035" w:rsidRDefault="00C71B18" w:rsidP="00C71B18">
      <w:pPr>
        <w:widowControl w:val="0"/>
        <w:autoSpaceDE w:val="0"/>
        <w:autoSpaceDN w:val="0"/>
        <w:spacing w:after="120" w:line="276" w:lineRule="auto"/>
        <w:jc w:val="both"/>
        <w:rPr>
          <w:rFonts w:ascii="Verdana" w:hAnsi="Verdana" w:cs="Arial"/>
          <w:color w:val="FF0000"/>
          <w:shd w:val="clear" w:color="auto" w:fill="FFFFFF"/>
          <w:lang w:val="es-ES_tradnl"/>
        </w:rPr>
      </w:pPr>
      <w:r w:rsidRPr="004A73EC">
        <w:rPr>
          <w:rStyle w:val="normaltextrun"/>
          <w:rFonts w:ascii="Verdana" w:hAnsi="Verdana" w:cs="Arial"/>
          <w:color w:val="FF0000"/>
          <w:shd w:val="clear" w:color="auto" w:fill="FFFFFF"/>
          <w:lang w:val="es-ES_tradnl"/>
        </w:rPr>
        <w:t xml:space="preserve">        </w:t>
      </w:r>
    </w:p>
    <w:p w14:paraId="42C5817A" w14:textId="77777777" w:rsidR="00C71B18" w:rsidRPr="00593A5F" w:rsidRDefault="00C71B18" w:rsidP="00C71B18">
      <w:pPr>
        <w:widowControl w:val="0"/>
        <w:autoSpaceDE w:val="0"/>
        <w:autoSpaceDN w:val="0"/>
        <w:spacing w:after="0" w:line="276" w:lineRule="auto"/>
        <w:jc w:val="both"/>
        <w:rPr>
          <w:rFonts w:ascii="Verdana" w:hAnsi="Verdana" w:cs="Arial"/>
          <w:lang w:val="es-ES_tradnl"/>
        </w:rPr>
      </w:pPr>
      <w:r w:rsidRPr="00593A5F">
        <w:rPr>
          <w:rFonts w:ascii="Verdana" w:hAnsi="Verdana" w:cs="Arial"/>
        </w:rPr>
        <w:t xml:space="preserve">Este concepto tiene el alcance previsto en el artículo 28 del Código de Procedimiento Administrativo y de lo Contencioso Administrativo </w:t>
      </w:r>
      <w:r w:rsidRPr="00593A5F">
        <w:rPr>
          <w:rFonts w:ascii="Verdana" w:hAnsi="Verdana" w:cs="Arial"/>
          <w:lang w:val="es-ES_tradnl"/>
        </w:rPr>
        <w:t>y las expresiones aquí utilizadas con mayúscula inicial deben ser entendidas con el significado que les otorga el artículo 2.2.1.1.1.3.1. del Decreto 1082 de 2015.</w:t>
      </w:r>
    </w:p>
    <w:p w14:paraId="2E04F63F" w14:textId="77777777" w:rsidR="00C71B18" w:rsidRPr="00593A5F" w:rsidRDefault="00C71B18" w:rsidP="00C71B18">
      <w:pPr>
        <w:widowControl w:val="0"/>
        <w:autoSpaceDE w:val="0"/>
        <w:autoSpaceDN w:val="0"/>
        <w:spacing w:after="0" w:line="276" w:lineRule="auto"/>
        <w:jc w:val="both"/>
        <w:rPr>
          <w:rFonts w:ascii="Verdana" w:hAnsi="Verdana" w:cs="Arial"/>
        </w:rPr>
      </w:pPr>
    </w:p>
    <w:p w14:paraId="0F6788F6" w14:textId="77777777" w:rsidR="00C71B18" w:rsidRPr="00593A5F" w:rsidRDefault="00C71B18" w:rsidP="00C71B18">
      <w:pPr>
        <w:spacing w:after="0" w:line="240" w:lineRule="auto"/>
        <w:rPr>
          <w:rFonts w:ascii="Verdana" w:hAnsi="Verdana" w:cs="Arial"/>
          <w:lang w:eastAsia="es-CO"/>
        </w:rPr>
      </w:pPr>
      <w:r w:rsidRPr="00593A5F">
        <w:rPr>
          <w:rFonts w:ascii="Verdana" w:eastAsia="Times New Roman" w:hAnsi="Verdana" w:cs="Arial"/>
          <w:lang w:eastAsia="es-CO"/>
        </w:rPr>
        <w:t>Atentamente,</w:t>
      </w:r>
      <w:r w:rsidRPr="00593A5F">
        <w:rPr>
          <w:rFonts w:ascii="Verdana" w:hAnsi="Verdana" w:cs="Arial"/>
          <w:lang w:eastAsia="es-CO"/>
        </w:rPr>
        <w:t xml:space="preserve"> </w:t>
      </w:r>
    </w:p>
    <w:p w14:paraId="11FDF014" w14:textId="16D9D3C8" w:rsidR="00C71B18" w:rsidRPr="00593A5F" w:rsidRDefault="00306CED" w:rsidP="00C71B18">
      <w:pPr>
        <w:spacing w:line="276" w:lineRule="auto"/>
        <w:jc w:val="center"/>
        <w:rPr>
          <w:rFonts w:ascii="Verdana" w:hAnsi="Verdana" w:cs="Arial"/>
          <w:color w:val="000000"/>
          <w:lang w:val="es-ES_tradnl" w:eastAsia="es-CO"/>
        </w:rPr>
      </w:pPr>
      <w:r>
        <w:rPr>
          <w:noProof/>
        </w:rPr>
        <w:lastRenderedPageBreak/>
        <w:drawing>
          <wp:inline distT="0" distB="0" distL="0" distR="0" wp14:anchorId="3D9E4A97" wp14:editId="7CA05FC3">
            <wp:extent cx="3771900" cy="1400175"/>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9"/>
                    <a:stretch>
                      <a:fillRect/>
                    </a:stretch>
                  </pic:blipFill>
                  <pic:spPr>
                    <a:xfrm>
                      <a:off x="0" y="0"/>
                      <a:ext cx="3771900" cy="1400175"/>
                    </a:xfrm>
                    <a:prstGeom prst="rect">
                      <a:avLst/>
                    </a:prstGeom>
                  </pic:spPr>
                </pic:pic>
              </a:graphicData>
            </a:graphic>
          </wp:inline>
        </w:drawing>
      </w:r>
    </w:p>
    <w:tbl>
      <w:tblPr>
        <w:tblStyle w:val="Tablaconcuadrcula"/>
        <w:tblW w:w="6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3"/>
        <w:gridCol w:w="5628"/>
      </w:tblGrid>
      <w:tr w:rsidR="00C71B18" w:rsidRPr="00593A5F" w14:paraId="3F48F0F2" w14:textId="77777777" w:rsidTr="00121654">
        <w:trPr>
          <w:trHeight w:val="315"/>
        </w:trPr>
        <w:tc>
          <w:tcPr>
            <w:tcW w:w="893" w:type="dxa"/>
            <w:vAlign w:val="center"/>
            <w:hideMark/>
          </w:tcPr>
          <w:p w14:paraId="55EFF745" w14:textId="77777777" w:rsidR="00C71B18" w:rsidRPr="003751C7" w:rsidRDefault="00C71B18" w:rsidP="00121654">
            <w:pPr>
              <w:contextualSpacing/>
              <w:rPr>
                <w:rFonts w:ascii="Verdana" w:hAnsi="Verdana" w:cs="Arial"/>
                <w:sz w:val="16"/>
                <w:szCs w:val="16"/>
                <w:lang w:val="es-ES" w:eastAsia="es-ES"/>
              </w:rPr>
            </w:pPr>
            <w:r w:rsidRPr="003751C7">
              <w:rPr>
                <w:rFonts w:ascii="Verdana" w:hAnsi="Verdana" w:cs="Arial"/>
                <w:sz w:val="16"/>
                <w:szCs w:val="16"/>
                <w:lang w:val="es-ES" w:eastAsia="es-ES"/>
              </w:rPr>
              <w:t>Elaboró:</w:t>
            </w:r>
          </w:p>
        </w:tc>
        <w:tc>
          <w:tcPr>
            <w:tcW w:w="5628" w:type="dxa"/>
            <w:tcBorders>
              <w:top w:val="nil"/>
              <w:left w:val="nil"/>
              <w:bottom w:val="dotted" w:sz="4" w:space="0" w:color="7F7F7F" w:themeColor="text1" w:themeTint="80"/>
              <w:right w:val="nil"/>
            </w:tcBorders>
            <w:vAlign w:val="center"/>
            <w:hideMark/>
          </w:tcPr>
          <w:p w14:paraId="71EE0142" w14:textId="77777777" w:rsidR="00C71B18" w:rsidRPr="00254A7A" w:rsidRDefault="00C71B18" w:rsidP="00121654">
            <w:pPr>
              <w:contextualSpacing/>
              <w:rPr>
                <w:rStyle w:val="normaltextrun"/>
                <w:rFonts w:ascii="Verdana" w:hAnsi="Verdana"/>
                <w:sz w:val="16"/>
                <w:szCs w:val="16"/>
              </w:rPr>
            </w:pPr>
            <w:r w:rsidRPr="00254A7A">
              <w:rPr>
                <w:rStyle w:val="normaltextrun"/>
                <w:rFonts w:ascii="Verdana" w:hAnsi="Verdana"/>
                <w:sz w:val="16"/>
                <w:szCs w:val="16"/>
              </w:rPr>
              <w:t>Juan David Montoya Penagos</w:t>
            </w:r>
          </w:p>
          <w:p w14:paraId="52B33018" w14:textId="77777777" w:rsidR="00C71B18" w:rsidRPr="00254A7A" w:rsidRDefault="00C71B18" w:rsidP="00121654">
            <w:pPr>
              <w:contextualSpacing/>
              <w:rPr>
                <w:rFonts w:ascii="Verdana" w:eastAsia="Arial" w:hAnsi="Verdana" w:cs="Arial"/>
                <w:sz w:val="16"/>
                <w:szCs w:val="16"/>
              </w:rPr>
            </w:pPr>
            <w:r w:rsidRPr="00254A7A">
              <w:rPr>
                <w:rStyle w:val="normaltextrun"/>
                <w:rFonts w:ascii="Verdana" w:hAnsi="Verdana"/>
                <w:sz w:val="16"/>
                <w:szCs w:val="16"/>
              </w:rPr>
              <w:t>Contratista de la Subdirección de Gestión Contractual</w:t>
            </w:r>
          </w:p>
        </w:tc>
      </w:tr>
      <w:tr w:rsidR="00C71B18" w:rsidRPr="00593A5F" w14:paraId="1801352A" w14:textId="77777777" w:rsidTr="00121654">
        <w:trPr>
          <w:trHeight w:val="330"/>
        </w:trPr>
        <w:tc>
          <w:tcPr>
            <w:tcW w:w="893" w:type="dxa"/>
            <w:vAlign w:val="center"/>
            <w:hideMark/>
          </w:tcPr>
          <w:p w14:paraId="6C5040CA" w14:textId="77777777" w:rsidR="00C71B18" w:rsidRPr="003751C7" w:rsidRDefault="00C71B18" w:rsidP="00121654">
            <w:pPr>
              <w:contextualSpacing/>
              <w:rPr>
                <w:rFonts w:ascii="Verdana" w:hAnsi="Verdana" w:cs="Arial"/>
                <w:sz w:val="16"/>
                <w:szCs w:val="16"/>
                <w:lang w:val="es-ES" w:eastAsia="es-ES"/>
              </w:rPr>
            </w:pPr>
            <w:r w:rsidRPr="003751C7">
              <w:rPr>
                <w:rFonts w:ascii="Verdana" w:hAnsi="Verdana" w:cs="Arial"/>
                <w:sz w:val="16"/>
                <w:szCs w:val="16"/>
                <w:lang w:val="es-ES" w:eastAsia="es-ES"/>
              </w:rPr>
              <w:t>Revisó:</w:t>
            </w:r>
          </w:p>
        </w:tc>
        <w:tc>
          <w:tcPr>
            <w:tcW w:w="5628" w:type="dxa"/>
            <w:tcBorders>
              <w:top w:val="dotted" w:sz="4" w:space="0" w:color="7F7F7F" w:themeColor="text1" w:themeTint="80"/>
              <w:left w:val="nil"/>
              <w:bottom w:val="dotted" w:sz="4" w:space="0" w:color="7F7F7F" w:themeColor="text1" w:themeTint="80"/>
              <w:right w:val="nil"/>
            </w:tcBorders>
            <w:vAlign w:val="center"/>
            <w:hideMark/>
          </w:tcPr>
          <w:p w14:paraId="5DD26D28" w14:textId="77777777" w:rsidR="00C71B18" w:rsidRPr="000D3BD7" w:rsidRDefault="00C71B18" w:rsidP="00121654">
            <w:pPr>
              <w:pStyle w:val="paragraph"/>
              <w:spacing w:after="0"/>
              <w:contextualSpacing/>
              <w:textAlignment w:val="baseline"/>
              <w:rPr>
                <w:rStyle w:val="normaltextrun"/>
                <w:rFonts w:ascii="Verdana" w:hAnsi="Verdana" w:cs="Arial"/>
                <w:sz w:val="16"/>
                <w:szCs w:val="16"/>
                <w:lang w:val="es-ES_tradnl"/>
              </w:rPr>
            </w:pPr>
            <w:r w:rsidRPr="000D3BD7">
              <w:rPr>
                <w:rStyle w:val="normaltextrun"/>
                <w:rFonts w:ascii="Verdana" w:hAnsi="Verdana" w:cs="Arial"/>
                <w:sz w:val="16"/>
                <w:szCs w:val="16"/>
                <w:lang w:val="es-ES_tradnl"/>
              </w:rPr>
              <w:t>Alejandro Sarmiento Cantillo</w:t>
            </w:r>
          </w:p>
          <w:p w14:paraId="6CB28766" w14:textId="77777777" w:rsidR="00C71B18" w:rsidRPr="00A40FD0" w:rsidRDefault="00C71B18" w:rsidP="00121654">
            <w:pPr>
              <w:pStyle w:val="paragraph"/>
              <w:spacing w:before="0" w:beforeAutospacing="0" w:after="0" w:afterAutospacing="0"/>
              <w:contextualSpacing/>
              <w:textAlignment w:val="baseline"/>
              <w:rPr>
                <w:rFonts w:ascii="Verdana" w:hAnsi="Verdana" w:cs="Segoe UI"/>
                <w:sz w:val="16"/>
                <w:szCs w:val="16"/>
              </w:rPr>
            </w:pPr>
            <w:r w:rsidRPr="000D3BD7">
              <w:rPr>
                <w:rStyle w:val="normaltextrun"/>
                <w:rFonts w:ascii="Verdana" w:hAnsi="Verdana" w:cs="Arial"/>
                <w:sz w:val="16"/>
                <w:szCs w:val="16"/>
                <w:lang w:val="es-ES_tradnl"/>
              </w:rPr>
              <w:t>Gestor T1 ‒ 15 de la Subdirección de Gestión Contractual</w:t>
            </w:r>
          </w:p>
        </w:tc>
      </w:tr>
      <w:tr w:rsidR="00C71B18" w:rsidRPr="00593A5F" w14:paraId="5CD38FF3" w14:textId="77777777" w:rsidTr="00121654">
        <w:trPr>
          <w:trHeight w:val="300"/>
        </w:trPr>
        <w:tc>
          <w:tcPr>
            <w:tcW w:w="893" w:type="dxa"/>
            <w:vAlign w:val="center"/>
          </w:tcPr>
          <w:p w14:paraId="01614F53" w14:textId="77777777" w:rsidR="00C71B18" w:rsidRPr="003751C7" w:rsidRDefault="00C71B18" w:rsidP="00121654">
            <w:pPr>
              <w:contextualSpacing/>
              <w:rPr>
                <w:rFonts w:ascii="Verdana" w:hAnsi="Verdana" w:cs="Arial"/>
                <w:sz w:val="16"/>
                <w:szCs w:val="16"/>
                <w:lang w:val="es-ES" w:eastAsia="es-ES"/>
              </w:rPr>
            </w:pPr>
            <w:r w:rsidRPr="003751C7">
              <w:rPr>
                <w:rFonts w:ascii="Verdana" w:hAnsi="Verdana" w:cs="Arial"/>
                <w:sz w:val="16"/>
                <w:szCs w:val="16"/>
                <w:lang w:val="es-ES" w:eastAsia="es-ES"/>
              </w:rPr>
              <w:t>Aprobó:</w:t>
            </w:r>
          </w:p>
        </w:tc>
        <w:tc>
          <w:tcPr>
            <w:tcW w:w="5628" w:type="dxa"/>
            <w:tcBorders>
              <w:top w:val="dotted" w:sz="4" w:space="0" w:color="7F7F7F" w:themeColor="text1" w:themeTint="80"/>
              <w:left w:val="nil"/>
              <w:bottom w:val="dotted" w:sz="4" w:space="0" w:color="7F7F7F" w:themeColor="text1" w:themeTint="80"/>
              <w:right w:val="nil"/>
            </w:tcBorders>
            <w:vAlign w:val="center"/>
          </w:tcPr>
          <w:p w14:paraId="0D2CC613" w14:textId="77777777" w:rsidR="00C71B18" w:rsidRPr="00FE00BE" w:rsidRDefault="00C71B18" w:rsidP="00121654">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Carolina Quintero Gacharná</w:t>
            </w:r>
          </w:p>
          <w:p w14:paraId="09B76CBF" w14:textId="77777777" w:rsidR="00C71B18" w:rsidRPr="00FE00BE" w:rsidRDefault="00C71B18" w:rsidP="00121654">
            <w:pPr>
              <w:contextualSpacing/>
              <w:rPr>
                <w:rFonts w:ascii="Verdana" w:eastAsia="Calibri" w:hAnsi="Verdana" w:cs="Arial"/>
                <w:sz w:val="16"/>
                <w:szCs w:val="16"/>
                <w:lang w:val="es-ES_tradnl" w:eastAsia="es-ES"/>
              </w:rPr>
            </w:pPr>
            <w:r w:rsidRPr="00FE00BE">
              <w:rPr>
                <w:rFonts w:ascii="Verdana" w:eastAsia="Calibri" w:hAnsi="Verdana" w:cs="Arial"/>
                <w:sz w:val="16"/>
                <w:szCs w:val="16"/>
                <w:lang w:val="es-ES_tradnl" w:eastAsia="es-ES"/>
              </w:rPr>
              <w:t>Subdirectora de Gestión Contractual ANCP – CCE</w:t>
            </w:r>
          </w:p>
        </w:tc>
      </w:tr>
    </w:tbl>
    <w:p w14:paraId="3B463415" w14:textId="77777777" w:rsidR="00C71B18" w:rsidRDefault="00C71B18" w:rsidP="00C71B18"/>
    <w:p w14:paraId="0F48E0D9" w14:textId="2D43BA89" w:rsidR="00C71B18" w:rsidRPr="00543BFE" w:rsidRDefault="00C71B18" w:rsidP="00C71B18"/>
    <w:p w14:paraId="0F293BF4" w14:textId="187A41DC" w:rsidR="00127233" w:rsidRPr="00A252D9" w:rsidRDefault="00127233" w:rsidP="00A252D9"/>
    <w:sectPr w:rsidR="00127233" w:rsidRPr="00A252D9" w:rsidSect="007C0C0F">
      <w:headerReference w:type="default" r:id="rId20"/>
      <w:footerReference w:type="default" r:id="rId21"/>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55566" w14:textId="77777777" w:rsidR="00BC3A5A" w:rsidRDefault="00BC3A5A" w:rsidP="004A1847">
      <w:pPr>
        <w:spacing w:after="0" w:line="240" w:lineRule="auto"/>
      </w:pPr>
      <w:r>
        <w:separator/>
      </w:r>
    </w:p>
  </w:endnote>
  <w:endnote w:type="continuationSeparator" w:id="0">
    <w:p w14:paraId="398B942D" w14:textId="77777777" w:rsidR="00BC3A5A" w:rsidRDefault="00BC3A5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Pr="00272673"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val="pt-BR" w:eastAsia="es-CO"/>
      </w:rPr>
    </w:pPr>
    <w:r w:rsidRPr="00272673">
      <w:rPr>
        <w:rFonts w:ascii="Verdana" w:eastAsia="Verdana" w:hAnsi="Verdana" w:cs="Verdana"/>
        <w:b/>
        <w:color w:val="000000" w:themeColor="text1"/>
        <w:sz w:val="18"/>
        <w:szCs w:val="18"/>
        <w:lang w:val="pt-BR" w:eastAsia="es-CO"/>
      </w:rPr>
      <w:t xml:space="preserve">Código: </w:t>
    </w:r>
    <w:r w:rsidRPr="00272673">
      <w:rPr>
        <w:rFonts w:ascii="Verdana" w:eastAsia="Verdana" w:hAnsi="Verdana" w:cs="Verdana"/>
        <w:color w:val="000000" w:themeColor="text1"/>
        <w:sz w:val="18"/>
        <w:szCs w:val="18"/>
        <w:lang w:val="pt-BR" w:eastAsia="es-CO"/>
      </w:rPr>
      <w:t xml:space="preserve">CCE-REC-FM-17 </w:t>
    </w:r>
    <w:r w:rsidRPr="00272673">
      <w:rPr>
        <w:rFonts w:ascii="Verdana" w:eastAsia="Verdana" w:hAnsi="Verdana" w:cs="Verdana"/>
        <w:b/>
        <w:color w:val="000000" w:themeColor="text1"/>
        <w:sz w:val="18"/>
        <w:szCs w:val="18"/>
        <w:lang w:val="pt-BR" w:eastAsia="es-CO"/>
      </w:rPr>
      <w:t xml:space="preserve">V: </w:t>
    </w:r>
    <w:r w:rsidRPr="00272673">
      <w:rPr>
        <w:rFonts w:ascii="Verdana" w:eastAsia="Verdana" w:hAnsi="Verdana" w:cs="Verdana"/>
        <w:sz w:val="18"/>
        <w:szCs w:val="18"/>
        <w:lang w:val="pt-BR"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7F4F1" w14:textId="77777777" w:rsidR="00BC3A5A" w:rsidRDefault="00BC3A5A" w:rsidP="004A1847">
      <w:pPr>
        <w:spacing w:after="0" w:line="240" w:lineRule="auto"/>
      </w:pPr>
      <w:r>
        <w:separator/>
      </w:r>
    </w:p>
  </w:footnote>
  <w:footnote w:type="continuationSeparator" w:id="0">
    <w:p w14:paraId="373A50CA" w14:textId="77777777" w:rsidR="00BC3A5A" w:rsidRDefault="00BC3A5A" w:rsidP="004A1847">
      <w:pPr>
        <w:spacing w:after="0" w:line="240" w:lineRule="auto"/>
      </w:pPr>
      <w:r>
        <w:continuationSeparator/>
      </w:r>
    </w:p>
  </w:footnote>
  <w:footnote w:id="1">
    <w:p w14:paraId="38778560" w14:textId="77777777" w:rsidR="00C71B18" w:rsidRPr="00480D85" w:rsidRDefault="00C71B18" w:rsidP="00C71B18">
      <w:pPr>
        <w:pStyle w:val="Textonotapie"/>
        <w:ind w:firstLine="708"/>
        <w:jc w:val="both"/>
        <w:rPr>
          <w:rFonts w:ascii="Verdana" w:hAnsi="Verdana"/>
          <w:sz w:val="16"/>
          <w:szCs w:val="16"/>
        </w:rPr>
      </w:pPr>
      <w:r w:rsidRPr="00480D85">
        <w:rPr>
          <w:rStyle w:val="Refdenotaalpie"/>
          <w:rFonts w:ascii="Verdana" w:hAnsi="Verdana"/>
          <w:sz w:val="16"/>
          <w:szCs w:val="16"/>
        </w:rPr>
        <w:footnoteRef/>
      </w:r>
      <w:r w:rsidRPr="00480D85">
        <w:rPr>
          <w:rFonts w:ascii="Verdana" w:hAnsi="Verdana"/>
          <w:sz w:val="16"/>
          <w:szCs w:val="16"/>
        </w:rPr>
        <w:t xml:space="preserve"> En lo pertinente, la norma prescribe que “Los órganos que son una sección en el Presupuesto General de la Nación, tendrán la capacidad de contratar y comprometer a nombre de la persona jurídica de la cual hagan parte, y ordenar el gasto en desarrollo de las apropiaciones incorporadas en la respectiva sección, lo que constituye la autonomía presupuestal a que se refieren la Constitución Política y la ley. Estas facultades estarán en cabeza del jefe de cada órgano quien podrá delegarlas en funcionarios del nivel directivo, o quien haga sus veces, y serán ejercidas teniendo en cuenta las normas consagradas en el Estatuto General de Contratación de la Administración Pública y en las disposiciones legales vigentes.</w:t>
      </w:r>
    </w:p>
    <w:p w14:paraId="5C4479A2" w14:textId="77777777" w:rsidR="00C71B18" w:rsidRPr="00480D85" w:rsidRDefault="00C71B18" w:rsidP="00C71B18">
      <w:pPr>
        <w:pStyle w:val="Textonotapie"/>
        <w:ind w:firstLine="708"/>
        <w:jc w:val="both"/>
        <w:rPr>
          <w:rFonts w:ascii="Verdana" w:hAnsi="Verdana"/>
          <w:sz w:val="16"/>
          <w:szCs w:val="16"/>
        </w:rPr>
      </w:pPr>
      <w:r w:rsidRPr="00480D85">
        <w:rPr>
          <w:rFonts w:ascii="Verdana" w:hAnsi="Verdana"/>
          <w:sz w:val="16"/>
          <w:szCs w:val="16"/>
        </w:rPr>
        <w:t>[…]</w:t>
      </w:r>
    </w:p>
    <w:p w14:paraId="49FB19D0" w14:textId="77777777" w:rsidR="00C71B18" w:rsidRPr="00480D85" w:rsidRDefault="00C71B18" w:rsidP="00C71B18">
      <w:pPr>
        <w:pStyle w:val="Textonotapie"/>
        <w:ind w:firstLine="708"/>
        <w:jc w:val="both"/>
        <w:rPr>
          <w:rFonts w:ascii="Verdana" w:hAnsi="Verdana"/>
          <w:sz w:val="16"/>
          <w:szCs w:val="16"/>
        </w:rPr>
      </w:pPr>
      <w:r w:rsidRPr="00480D85">
        <w:rPr>
          <w:rFonts w:ascii="Verdana" w:hAnsi="Verdana"/>
          <w:sz w:val="16"/>
          <w:szCs w:val="16"/>
        </w:rPr>
        <w:t>En los mismos términos y condiciones tendrán estas capacidades las Superintendencias, Unidades Administrativas Especiales, las Entidades Territoriales, Asambleas y Concejos, las Contralorías y Personerías Territoriales y todos los demás órganos estatales de cualquier nivel que tengan personería jurídica.</w:t>
      </w:r>
    </w:p>
    <w:p w14:paraId="411A11DC" w14:textId="77777777" w:rsidR="00C71B18" w:rsidRPr="00480D85" w:rsidRDefault="00C71B18" w:rsidP="00C71B18">
      <w:pPr>
        <w:pStyle w:val="Textonotapie"/>
        <w:ind w:firstLine="708"/>
        <w:jc w:val="both"/>
        <w:rPr>
          <w:rFonts w:ascii="Verdana" w:hAnsi="Verdana"/>
          <w:sz w:val="16"/>
          <w:szCs w:val="16"/>
        </w:rPr>
      </w:pPr>
      <w:r w:rsidRPr="00480D85">
        <w:rPr>
          <w:rFonts w:ascii="Verdana" w:hAnsi="Verdana"/>
          <w:sz w:val="16"/>
          <w:szCs w:val="16"/>
        </w:rPr>
        <w:t>En todo caso, el Presidente de la República podrá celebrar contratos a nombre de la Nación”.</w:t>
      </w:r>
    </w:p>
  </w:footnote>
  <w:footnote w:id="2">
    <w:p w14:paraId="202C01D6" w14:textId="77777777" w:rsidR="00C71B18" w:rsidRPr="00480D85" w:rsidRDefault="00C71B18" w:rsidP="00C71B18">
      <w:pPr>
        <w:pStyle w:val="Textonotapie"/>
        <w:ind w:firstLine="708"/>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rPr>
        <w:t xml:space="preserve"> El inciso primero de norma disponía que, conforme al principio de transparencia, “</w:t>
      </w:r>
      <w:r w:rsidRPr="00480D85">
        <w:rPr>
          <w:rFonts w:ascii="Verdana" w:hAnsi="Verdana" w:cs="Arial"/>
          <w:i/>
          <w:iCs/>
          <w:sz w:val="16"/>
          <w:szCs w:val="16"/>
        </w:rPr>
        <w:t>La escogencia del contratista se efectuará siempre a través de licitación o concurso públicos</w:t>
      </w:r>
      <w:r w:rsidRPr="00480D85">
        <w:rPr>
          <w:rFonts w:ascii="Verdana" w:hAnsi="Verdana" w:cs="Arial"/>
          <w:sz w:val="16"/>
          <w:szCs w:val="16"/>
        </w:rPr>
        <w:t>, salvo en los siguientes casos en los que se podrá contratar directamente” (Énfasis fuera de texto). La expresión en cursiva fue declarada exequible por la Corte Constitucional mediante la Sentencia C-400 de 1999, con ponencia del Magistrado Vladimiro Naranjo Mesa, y derogado integralmente por el artículo 32 de la Ley 1150 de 2007.</w:t>
      </w:r>
    </w:p>
  </w:footnote>
  <w:footnote w:id="3">
    <w:p w14:paraId="534F2B35" w14:textId="77777777" w:rsidR="00C71B18" w:rsidRPr="00480D85" w:rsidRDefault="00C71B18" w:rsidP="00C71B18">
      <w:pPr>
        <w:pStyle w:val="Textonotapie"/>
        <w:ind w:firstLine="708"/>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rPr>
        <w:t xml:space="preserve"> Sobre la articulación de los diferentes procesos de selección previstos en el artículo 2 de la Ley 1150 de 2007, DÁVILA VINUEZA considera lo siguiente: “En las leyes 80 de 1993 y 1150 de 2007 los demás procedimientos de selección distintos a la licitación pública, se convierten en procedimientos excepcionales y procedentes únicamente en los casos taxativamente contemplados en la ley. Pero la excepción no es respecto de los principios de transparencia, economía y responsabilidad y del deber de selección objetiva como parece lo han entendido algunas entidades estales. Estos principios que […] desarrollan los rectores de la función pública de orden constitucional y legal (art. 209 C.N., y art. 3° Cpaca) son aplicables con todo rigor a los procedimientos de excepción. Siendo ello así, la excepción de que se habla es respecto del proceso licitatorio regulado en el artículo 30 de la Ley 80 de 1993 con las variantes introducidas por el artículo 2°, numeral 1, de la ley 1150 de 2007, en concordancia con el artículo 2.2.1.2.1.1.1 del Decreto 1082 de 2015 (</w:t>
      </w:r>
      <w:r w:rsidRPr="00480D85">
        <w:rPr>
          <w:rFonts w:ascii="Verdana" w:hAnsi="Verdana" w:cs="Arial"/>
          <w:i/>
          <w:iCs/>
          <w:sz w:val="16"/>
          <w:szCs w:val="16"/>
        </w:rPr>
        <w:t>Presentación de la oferta de manera dinámica</w:t>
      </w:r>
      <w:r w:rsidRPr="00480D85">
        <w:rPr>
          <w:rFonts w:ascii="Verdana" w:hAnsi="Verdana" w:cs="Arial"/>
          <w:sz w:val="16"/>
          <w:szCs w:val="16"/>
        </w:rPr>
        <w:t xml:space="preserve">). Es decir, que ante la ausencia de una causal concreta para un determinado evento específico, la selección debe asumir la que el ordenamiento jurídico regula como licitación pública. Por eso es que, además, las causas excepcionales de selección son de interpretación restrictiva y no admiten analogía ni la interpretación extensiva. Genera nulidad absoluta del contrato, por abuso o desviación de poder, y nulidad del acto administrativo de selección cualquier artilugio que implique socavar la principal manifestación del principio de transparencia, cual es la selección por vía de licitación”. (DÁVILA VINUEZA, Luis Guillermo. Régimen jurídico de la contratación estatal. Tercera Edición. Bogotá: Legis, 2016. p. 463).      </w:t>
      </w:r>
    </w:p>
  </w:footnote>
  <w:footnote w:id="4">
    <w:p w14:paraId="1F398080" w14:textId="77777777" w:rsidR="00C71B18" w:rsidRPr="00480D85" w:rsidRDefault="00C71B18" w:rsidP="00C71B18">
      <w:pPr>
        <w:pStyle w:val="Textonotapie"/>
        <w:ind w:firstLine="567"/>
        <w:jc w:val="both"/>
        <w:rPr>
          <w:rFonts w:ascii="Verdana" w:hAnsi="Verdana" w:cs="Arial"/>
          <w:sz w:val="16"/>
          <w:szCs w:val="16"/>
          <w:lang w:val="es-ES"/>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
        </w:rPr>
        <w:t xml:space="preserve">Congreso de la República, Gaceta 466 del 2 de agosto de 2005. Exposición de motivos del Proyecto de Ley 19 de 2005 – Senado. </w:t>
      </w:r>
    </w:p>
  </w:footnote>
  <w:footnote w:id="5">
    <w:p w14:paraId="7C0365B8" w14:textId="77777777" w:rsidR="00C71B18" w:rsidRPr="00480D85" w:rsidRDefault="00C71B18" w:rsidP="00C71B18">
      <w:pPr>
        <w:pStyle w:val="Textonotapie"/>
        <w:ind w:firstLine="567"/>
        <w:jc w:val="both"/>
        <w:rPr>
          <w:rFonts w:ascii="Verdana" w:hAnsi="Verdana" w:cs="Arial"/>
          <w:sz w:val="16"/>
          <w:szCs w:val="16"/>
          <w:lang w:val="es-ES"/>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
        </w:rPr>
        <w:t xml:space="preserve">Agencia Nacional de Contratación Pública – Colombia Compra Eficiente, Guía de Competencia en las Compras Públicas. La Guía puede consultarse en el siguiente enlace: </w:t>
      </w:r>
      <w:hyperlink r:id="rId1" w:history="1">
        <w:r w:rsidRPr="00480D85">
          <w:rPr>
            <w:rStyle w:val="Hipervnculo"/>
            <w:rFonts w:ascii="Verdana" w:hAnsi="Verdana" w:cs="Arial"/>
            <w:sz w:val="16"/>
            <w:szCs w:val="16"/>
            <w:lang w:val="es-ES"/>
          </w:rPr>
          <w:t>https://colombiacompra.gov.co/sites/cce_public/files/cce_documents/cce_guia_competencia_0.pdf</w:t>
        </w:r>
      </w:hyperlink>
      <w:r w:rsidRPr="00480D85">
        <w:rPr>
          <w:rFonts w:ascii="Verdana" w:hAnsi="Verdana" w:cs="Arial"/>
          <w:sz w:val="16"/>
          <w:szCs w:val="16"/>
          <w:lang w:val="es-ES"/>
        </w:rPr>
        <w:t xml:space="preserve">. </w:t>
      </w:r>
    </w:p>
  </w:footnote>
  <w:footnote w:id="6">
    <w:p w14:paraId="29623F07" w14:textId="77777777" w:rsidR="00C71B18" w:rsidRPr="00480D85" w:rsidRDefault="00C71B18" w:rsidP="00C71B18">
      <w:pPr>
        <w:pStyle w:val="Textonotapie"/>
        <w:ind w:firstLine="708"/>
        <w:jc w:val="both"/>
        <w:rPr>
          <w:rFonts w:ascii="Verdana" w:hAnsi="Verdana" w:cs="Arial"/>
          <w:sz w:val="16"/>
          <w:szCs w:val="16"/>
        </w:rPr>
      </w:pPr>
      <w:r w:rsidRPr="00480D85">
        <w:rPr>
          <w:rStyle w:val="Refdenotaalpie"/>
          <w:rFonts w:ascii="Verdana" w:hAnsi="Verdana" w:cs="Arial"/>
          <w:sz w:val="16"/>
          <w:szCs w:val="16"/>
        </w:rPr>
        <w:footnoteRef/>
      </w:r>
      <w:r w:rsidRPr="00272673">
        <w:rPr>
          <w:rFonts w:ascii="Verdana" w:hAnsi="Verdana" w:cs="Arial"/>
          <w:sz w:val="16"/>
          <w:szCs w:val="16"/>
          <w:lang w:val="es-CO"/>
        </w:rPr>
        <w:t xml:space="preserve"> Corte Constitucional. </w:t>
      </w:r>
      <w:r w:rsidRPr="00480D85">
        <w:rPr>
          <w:rFonts w:ascii="Verdana" w:hAnsi="Verdana" w:cs="Arial"/>
          <w:sz w:val="16"/>
          <w:szCs w:val="16"/>
          <w:lang w:val="es-CO"/>
        </w:rPr>
        <w:t xml:space="preserve">Sentencia C-713 del 7 de octubre de 2009. </w:t>
      </w:r>
      <w:r w:rsidRPr="00480D85">
        <w:rPr>
          <w:rFonts w:ascii="Verdana" w:hAnsi="Verdana" w:cs="Arial"/>
          <w:sz w:val="16"/>
          <w:szCs w:val="16"/>
        </w:rPr>
        <w:t>M.P. María Victoria Calle Correa.</w:t>
      </w:r>
    </w:p>
  </w:footnote>
  <w:footnote w:id="7">
    <w:p w14:paraId="3918BAB2" w14:textId="77777777" w:rsidR="00C71B18" w:rsidRPr="00480D85" w:rsidRDefault="00C71B18" w:rsidP="00C71B18">
      <w:pPr>
        <w:pStyle w:val="Textonotapie"/>
        <w:ind w:firstLine="709"/>
        <w:jc w:val="both"/>
        <w:rPr>
          <w:rFonts w:ascii="Verdana" w:hAnsi="Verdana" w:cs="Arial"/>
          <w:sz w:val="16"/>
          <w:szCs w:val="16"/>
        </w:rPr>
      </w:pPr>
      <w:r w:rsidRPr="00480D85">
        <w:rPr>
          <w:rStyle w:val="Refdenotaalpie"/>
          <w:rFonts w:ascii="Verdana" w:hAnsi="Verdana" w:cs="Arial"/>
          <w:sz w:val="16"/>
          <w:szCs w:val="16"/>
        </w:rPr>
        <w:footnoteRef/>
      </w:r>
      <w:r w:rsidRPr="00480D85">
        <w:rPr>
          <w:rFonts w:ascii="Verdana" w:hAnsi="Verdana" w:cs="Arial"/>
          <w:sz w:val="16"/>
          <w:szCs w:val="16"/>
        </w:rPr>
        <w:t xml:space="preserve"> Consejo de Estado. Sección Tercera. Subsección A. Sentencia del 24 de mayo de 2018. Exp. 50.222. C.P. Marta Nubia Velásquez Rico.</w:t>
      </w:r>
    </w:p>
  </w:footnote>
  <w:footnote w:id="8">
    <w:p w14:paraId="04BF1FA0" w14:textId="77777777" w:rsidR="00C71B18" w:rsidRPr="00480D85" w:rsidRDefault="00C71B18" w:rsidP="00C71B18">
      <w:pPr>
        <w:pStyle w:val="Textonotapie"/>
        <w:ind w:firstLine="708"/>
        <w:jc w:val="both"/>
        <w:rPr>
          <w:rFonts w:ascii="Verdana" w:hAnsi="Verdana" w:cs="Arial"/>
          <w:iCs/>
          <w:sz w:val="16"/>
          <w:szCs w:val="16"/>
          <w:lang w:val="es-ES_tradnl"/>
        </w:rPr>
      </w:pPr>
      <w:r w:rsidRPr="00480D85">
        <w:rPr>
          <w:rStyle w:val="Refdenotaalpie"/>
          <w:rFonts w:ascii="Verdana" w:hAnsi="Verdana" w:cs="Arial"/>
          <w:sz w:val="16"/>
          <w:szCs w:val="16"/>
        </w:rPr>
        <w:footnoteRef/>
      </w:r>
      <w:r w:rsidRPr="00480D85">
        <w:rPr>
          <w:rFonts w:ascii="Verdana" w:hAnsi="Verdana" w:cs="Arial"/>
          <w:sz w:val="16"/>
          <w:szCs w:val="16"/>
        </w:rPr>
        <w:t xml:space="preserve"> </w:t>
      </w:r>
      <w:r w:rsidRPr="00480D85">
        <w:rPr>
          <w:rFonts w:ascii="Verdana" w:hAnsi="Verdana" w:cs="Arial"/>
          <w:sz w:val="16"/>
          <w:szCs w:val="16"/>
          <w:lang w:val="es-ES_tradnl"/>
        </w:rPr>
        <w:t xml:space="preserve">En efecto, de acuerdo con el Consejo de Estado: </w:t>
      </w:r>
      <w:r w:rsidRPr="00480D85">
        <w:rPr>
          <w:rFonts w:ascii="Verdana" w:eastAsia="Times New Roman" w:hAnsi="Verdana" w:cs="Arial"/>
          <w:sz w:val="16"/>
          <w:szCs w:val="16"/>
          <w:lang w:val="es-CO" w:eastAsia="es-MX"/>
        </w:rPr>
        <w:t>“</w:t>
      </w:r>
      <w:r w:rsidRPr="00480D85">
        <w:rPr>
          <w:rFonts w:ascii="Verdana" w:hAnsi="Verdana" w:cs="Arial"/>
          <w:iCs/>
          <w:sz w:val="16"/>
          <w:szCs w:val="16"/>
          <w:lang w:val="es-ES_tradnl"/>
        </w:rPr>
        <w:t>[...] la administración se encuentra en la obligación de establecer, con antelación al inicio del proceso de contratación, los criterios objetivos de la futura contratación, tales como la necesidad a satisfacer y los mejores medios para tales propósitos, el presupuesto estimado de la contratación, el objeto contractual, las prestaciones específicas a cargo de las partes, las condiciones de calidad y oportunidad, así como las calidades del posible contratista. Con fundamento en tal ejercicio de planeación y estructuración de la contratación, la administración cuenta, sin duda, con criterios que le permitirían adoptar una decisión objetiva en relación con aquello que resulte más favorable para el cumplimiento de los fines ínsitos en la contratación.[…] Ante la ausencia de pluralidad de ofertas –situación que, por lo demás debería ser excepcional, así como lo debe ser acudir a la modalidad de contratación directa, pues memórese que la regla general es la licitación pública en garantía de la máxima publicidad y concurrencia en la contratación estatal–, será procedente comparar el único ofrecimiento con los criterios objetivos elaborados por la entidad. En este evento, por lo tanto, los métodos a los que se debe acudir para garantizar la selección objetiva se ven reducidos en comparación con las demás modalidades de contratación, en tanto no hay comparación de ofertas, sin que ello implique que se incumpla con tal regla, pues persiste, necesariamente una confrontación de la única oferta con los estudios previos que elaboró la entidad, lo cual ofrecerá la objetividad necesaria para evitar imparcialidad en la contratación de los bienes o servicios de que se trate</w:t>
      </w:r>
      <w:r w:rsidRPr="00480D85">
        <w:rPr>
          <w:rFonts w:ascii="Verdana" w:eastAsia="Times New Roman" w:hAnsi="Verdana" w:cs="Arial"/>
          <w:sz w:val="16"/>
          <w:szCs w:val="16"/>
          <w:lang w:val="es-CO" w:eastAsia="es-MX"/>
        </w:rPr>
        <w:t>”</w:t>
      </w:r>
      <w:r w:rsidRPr="00480D85">
        <w:rPr>
          <w:rFonts w:ascii="Verdana" w:hAnsi="Verdana" w:cs="Arial"/>
          <w:iCs/>
          <w:sz w:val="16"/>
          <w:szCs w:val="16"/>
          <w:lang w:val="es-ES_tradnl"/>
        </w:rPr>
        <w:t>.</w:t>
      </w:r>
      <w:r w:rsidRPr="00480D85">
        <w:rPr>
          <w:rFonts w:ascii="Verdana" w:hAnsi="Verdana" w:cs="Arial"/>
          <w:sz w:val="16"/>
          <w:szCs w:val="16"/>
        </w:rPr>
        <w:t xml:space="preserve"> Consejo de Estado. Sección Tercera. Sentencia del 23 de julio de 2015. Exp. 36.805. C.P. Hernán Andrade Rincón.</w:t>
      </w:r>
    </w:p>
  </w:footnote>
  <w:footnote w:id="9">
    <w:p w14:paraId="332CF240" w14:textId="77777777" w:rsidR="00C71B18" w:rsidRPr="00480D85" w:rsidRDefault="00C71B18" w:rsidP="00C71B18">
      <w:pPr>
        <w:pStyle w:val="Textonotapie"/>
        <w:ind w:firstLine="708"/>
        <w:jc w:val="both"/>
        <w:rPr>
          <w:rFonts w:ascii="Verdana" w:hAnsi="Verdana" w:cs="Arial"/>
          <w:sz w:val="16"/>
          <w:szCs w:val="16"/>
          <w:lang w:val="es-CO"/>
        </w:rPr>
      </w:pPr>
      <w:r w:rsidRPr="00480D85">
        <w:rPr>
          <w:rStyle w:val="Refdenotaalpie"/>
          <w:rFonts w:ascii="Verdana" w:hAnsi="Verdana" w:cs="Arial"/>
          <w:sz w:val="16"/>
          <w:szCs w:val="16"/>
        </w:rPr>
        <w:footnoteRef/>
      </w:r>
      <w:r w:rsidRPr="00480D85">
        <w:rPr>
          <w:rFonts w:ascii="Verdana" w:hAnsi="Verdana" w:cs="Arial"/>
          <w:sz w:val="16"/>
          <w:szCs w:val="16"/>
        </w:rPr>
        <w:t xml:space="preserve"> Consejo de Estado. Sala de consulta y servicio civil. Sentencia del 20 de febrero de 2006. Exp. 1.727. C.P. Enrique José Arboleda Perdomo.</w:t>
      </w:r>
    </w:p>
  </w:footnote>
  <w:footnote w:id="10">
    <w:p w14:paraId="5E5652C5" w14:textId="77777777" w:rsidR="00C71B18" w:rsidRPr="0022369F" w:rsidRDefault="00C71B18" w:rsidP="00C71B18">
      <w:pPr>
        <w:pStyle w:val="Textonotapie"/>
        <w:ind w:firstLine="709"/>
        <w:jc w:val="both"/>
        <w:rPr>
          <w:rFonts w:ascii="Verdana" w:hAnsi="Verdana" w:cs="Arial"/>
          <w:sz w:val="16"/>
          <w:szCs w:val="16"/>
          <w:lang w:val="es-ES"/>
        </w:rPr>
      </w:pPr>
      <w:r w:rsidRPr="0022369F">
        <w:rPr>
          <w:rStyle w:val="Refdenotaalpie"/>
          <w:rFonts w:ascii="Verdana" w:hAnsi="Verdana" w:cs="Arial"/>
          <w:sz w:val="16"/>
          <w:szCs w:val="16"/>
        </w:rPr>
        <w:footnoteRef/>
      </w:r>
      <w:r w:rsidRPr="0022369F">
        <w:rPr>
          <w:rFonts w:ascii="Verdana" w:hAnsi="Verdana" w:cs="Arial"/>
          <w:sz w:val="16"/>
          <w:szCs w:val="16"/>
        </w:rPr>
        <w:t xml:space="preserve"> </w:t>
      </w:r>
      <w:r w:rsidRPr="0022369F">
        <w:rPr>
          <w:rFonts w:ascii="Verdana" w:hAnsi="Verdana" w:cs="Arial"/>
          <w:sz w:val="16"/>
          <w:szCs w:val="16"/>
          <w:lang w:val="es-ES"/>
        </w:rPr>
        <w:t>En efecto, el artículo 24, numeral 1º, literal i), así lo establecía.</w:t>
      </w:r>
    </w:p>
  </w:footnote>
  <w:footnote w:id="11">
    <w:p w14:paraId="30B24162" w14:textId="77777777" w:rsidR="00C71B18" w:rsidRPr="0022369F" w:rsidRDefault="00C71B18" w:rsidP="00C71B18">
      <w:pPr>
        <w:pStyle w:val="Textonotapie"/>
        <w:ind w:firstLine="708"/>
        <w:jc w:val="both"/>
        <w:rPr>
          <w:rFonts w:ascii="Verdana" w:hAnsi="Verdana"/>
          <w:sz w:val="16"/>
          <w:szCs w:val="16"/>
        </w:rPr>
      </w:pPr>
      <w:r w:rsidRPr="0022369F">
        <w:rPr>
          <w:rStyle w:val="Refdenotaalpie"/>
          <w:rFonts w:ascii="Verdana" w:hAnsi="Verdana"/>
          <w:sz w:val="16"/>
          <w:szCs w:val="16"/>
        </w:rPr>
        <w:footnoteRef/>
      </w:r>
      <w:r w:rsidRPr="0022369F">
        <w:rPr>
          <w:rFonts w:ascii="Verdana" w:hAnsi="Verdana"/>
          <w:sz w:val="16"/>
          <w:szCs w:val="16"/>
        </w:rPr>
        <w:t xml:space="preserve"> Respecto a la causal de selección abrevida del literal i) del artículo 2.2 de la Ley 1150 de 2007, la doctrina explica que “El legislador decidió, entonces, para contribuir a la pulcritud de los procedimientos de selección a cargo del sector defensa, abrir la causal en dos. Por un lado, aquellos bienes que si bien son requeridos para la defensa y seguridad del Estado, pueden tener una contratación pública, los cuales sometió al procedimiento especial de selección abreviada, y los que, por su naturaleza, deben ser adquiridos de forma reservada […]” (Cfr. ESTRADA SÁNCHEZ, Juan Pablo. Contratación directa, convenios interadministrativos y contratos de cooperación internacional. En: Contratación estatal. Estudios sobre la reforma del Estatuto Contractual Ley 1150 de 2007. Bogotá: Universidad Externado de Colombia, 2009. p. 309).</w:t>
      </w:r>
    </w:p>
  </w:footnote>
  <w:footnote w:id="12">
    <w:p w14:paraId="41832312" w14:textId="77777777" w:rsidR="00C71B18" w:rsidRPr="00D25821" w:rsidRDefault="00C71B18" w:rsidP="00C71B18">
      <w:pPr>
        <w:pStyle w:val="Textonotapie"/>
        <w:ind w:firstLine="708"/>
        <w:jc w:val="both"/>
        <w:rPr>
          <w:rFonts w:ascii="Verdana" w:hAnsi="Verdana"/>
          <w:sz w:val="16"/>
          <w:szCs w:val="16"/>
        </w:rPr>
      </w:pPr>
      <w:r w:rsidRPr="00D25821">
        <w:rPr>
          <w:rStyle w:val="Refdenotaalpie"/>
          <w:rFonts w:ascii="Verdana" w:hAnsi="Verdana"/>
          <w:sz w:val="16"/>
          <w:szCs w:val="16"/>
        </w:rPr>
        <w:footnoteRef/>
      </w:r>
      <w:r w:rsidRPr="00D25821">
        <w:rPr>
          <w:rFonts w:ascii="Verdana" w:hAnsi="Verdana"/>
          <w:sz w:val="16"/>
          <w:szCs w:val="16"/>
        </w:rPr>
        <w:t xml:space="preserve"> </w:t>
      </w:r>
      <w:r>
        <w:rPr>
          <w:rFonts w:ascii="Verdana" w:hAnsi="Verdana"/>
          <w:sz w:val="16"/>
          <w:szCs w:val="16"/>
        </w:rPr>
        <w:t xml:space="preserve">En lo pertinente, el </w:t>
      </w:r>
      <w:r w:rsidRPr="00D25821">
        <w:rPr>
          <w:rFonts w:ascii="Verdana" w:hAnsi="Verdana"/>
          <w:sz w:val="16"/>
          <w:szCs w:val="16"/>
        </w:rPr>
        <w:t>artículo 78 del Decreto 1510 de 2013</w:t>
      </w:r>
      <w:r>
        <w:rPr>
          <w:rFonts w:ascii="Verdana" w:hAnsi="Verdana"/>
          <w:sz w:val="16"/>
          <w:szCs w:val="16"/>
        </w:rPr>
        <w:t xml:space="preserve"> disponía que “</w:t>
      </w:r>
      <w:r w:rsidRPr="00D25821">
        <w:rPr>
          <w:rFonts w:ascii="Verdana" w:hAnsi="Verdana"/>
          <w:sz w:val="16"/>
          <w:szCs w:val="16"/>
        </w:rPr>
        <w:t>Los siguientes bienes, obras y servicios requieren reserva para su adquisición:</w:t>
      </w:r>
    </w:p>
    <w:p w14:paraId="5EE5348A"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 Armas, sistemas de armamento y sus repuestos, municiones, elementos para la instrucción de las mismas, manejo, incluyendo los elementos contra motines, torpedos y minas, herramientas y equipos para pruebas y mantenimiento de estos y estas.</w:t>
      </w:r>
    </w:p>
    <w:p w14:paraId="1A1D8B85"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2. Equipos optrónicos y de visión nocturna, sus accesorios, repuestos e implementos necesarios para su funcionamiento.</w:t>
      </w:r>
    </w:p>
    <w:p w14:paraId="7A7E2AAE"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3. Redes, sistemas de información y comunicaciones, incluyendo hardware y software, servicios y accesorios, infraestructura para la ciberdefensa y ciberseguridad informática y física, incluyendo la consultoría, el diseño, las metodologías de análisis, implementación y configuración, requeridos para el Sector Defensa y la Dirección Nacional de Inteligencia.</w:t>
      </w:r>
    </w:p>
    <w:p w14:paraId="55384C59"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4. Naves, artefactos navales y fluviales, y aeronaves, y cualquier otro equipo para el transporte aéreo, marítimo o fluvial requerido para la defensa nacional, así como sus accesorios, repuestos, elementos de su operación y funcionamiento, combustible y lubricantes.</w:t>
      </w:r>
    </w:p>
    <w:p w14:paraId="6BD5C4D3"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5. Vehículos militares y policiales de transporte terrestre, marítimo, fluvial y aéreo con sus accesorios repuestos, combustibles, lubricantes y grasas, necesarios para el transporte de personal y material del Sector Defensa, de la Dirección Nacional de Inteligencia.</w:t>
      </w:r>
    </w:p>
    <w:p w14:paraId="02ECD256"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6. Servicios de transporte especializado que requieren reserva para garantizar la vida y la integridad de personas protegidas por la Unidad Nacional de Protección.</w:t>
      </w:r>
    </w:p>
    <w:p w14:paraId="524DCE23"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7. Material blindado y la adquisición de vehículos para blindar para el Sector Defensa, la Dirección Nacional de Inteligencia y la Unidad Nacional de Protección que requieren reserva.</w:t>
      </w:r>
    </w:p>
    <w:p w14:paraId="0DE9E498"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8. Equipos de detección aérea, de superficie y submarinas, sus repuestos y accesorios, equipos de sintonía y calibración para el Sector Defensa.</w:t>
      </w:r>
    </w:p>
    <w:p w14:paraId="60F35776"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9. Los bienes, obras y servicios relacionados con la señalización y las ayudas de navegación aérea, marítima y fluvial, con sus accesorios, repuestos y demás insumos para su operación, información técnica tendiente a proteger y salvaguardar los límites y fronteras y garantizar la soberanía, la integridad del territorio nacional y el orden constitucional, así como las compras y los contratos relacionados con proyectos de ciencia y tecnología destinados a establecer la conformación física y morfológica del territorio nacional para su defensa.</w:t>
      </w:r>
    </w:p>
    <w:p w14:paraId="726F2534"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10. Los bienes, obras y servicios que tengan por finalidad garantizar la vida e integridad del Comandante Supremo de las Fuerzas Armadas de la República.</w:t>
      </w:r>
    </w:p>
    <w:p w14:paraId="2CF325D7"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11. Los bienes y servicios para la administración, conservación, clasificación, ordenación, guarda y sistematización de los archivos generales como de inteligencia que hacen parte del Departamento Administrativo de Seguridad en supresión y de la Dirección Nacional de Inteligencia.</w:t>
      </w:r>
    </w:p>
    <w:p w14:paraId="06FF7CCE"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12. Los bienes y servicios que por razón de su especificación técnica permiten mantener líneas logísticas estandarizadas con equipamiento existente de la Fuerza Pública, sin consideración de marcas u origen.</w:t>
      </w:r>
    </w:p>
    <w:p w14:paraId="12639A32"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13. Equipo y vestuario con funcionalidades orientadas a la protección personal, balística, nuclear, biológica o química y textiles con acabados funcionales especiales para la confección de vestuario.</w:t>
      </w:r>
    </w:p>
    <w:p w14:paraId="121F1BDA"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14. Las obras públicas que tengan relación directa con la defensa y seguridad nacional, inteligencia y contrainteligencia, la seguridad de las instalaciones, la integridad del personal y de las operaciones de la Fuerza Pública y de la Dirección Nacional de Inteligencia, así como las consultorías e interventorías relacionadas con las mismas.</w:t>
      </w:r>
    </w:p>
    <w:p w14:paraId="4E7C29B3"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15. Los bienes, obras y servicios relacionados con la capacitación, instrucción y entrenamiento del personal de la Fuerza Pública, de la Unidad Nacional de Protección y de la Dirección Nacional de Inteligencia, así como para el diseño de estrategias relacionadas con la defensa, la seguridad nacional, inteligencia y contrainteligencia.</w:t>
      </w:r>
    </w:p>
    <w:p w14:paraId="0C589804"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16. Los bienes, obras y servicios derivados de la compensación a cargo de países y proveedores de los bienes y servicios previstos en el artículo 65 y en el presente artículo. Estos bienes y servicios deben ser adquiridos a través de convenios de cooperación industrial y social, llamados offset, que tienen como propósito incentivar la transferencia de tecnología tanto al sector público como al sector real, así como favorecer el desarrollo industrial y social del país.</w:t>
      </w:r>
    </w:p>
    <w:p w14:paraId="3DCC78B7"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17. Los bienes, obras y servicios para garantizar la defensa y seguridad de la infraestructura petrolera, minera, energética, vial, de comunicaciones y para la erradicación de cultivos ilícitos, incluyendo la dotación de las unidades militares comprometidas en esta tarea y los equipos, elementos y servicios necesarios para garantizar su permanencia y operación en las áreas objeto de protección.</w:t>
      </w:r>
    </w:p>
    <w:p w14:paraId="683FE536"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18. Los servicios de mantenimiento de los bienes, obras y servicios señalados en el presente artículo y las interventorías necesarias para la ejecución de los respectivos contratos.</w:t>
      </w:r>
    </w:p>
    <w:p w14:paraId="7649358F" w14:textId="77777777" w:rsidR="00C71B18" w:rsidRPr="00D25821" w:rsidRDefault="00C71B18" w:rsidP="00C71B18">
      <w:pPr>
        <w:pStyle w:val="Textonotapie"/>
        <w:ind w:firstLine="708"/>
        <w:jc w:val="both"/>
        <w:rPr>
          <w:rFonts w:ascii="Verdana" w:hAnsi="Verdana"/>
          <w:sz w:val="16"/>
          <w:szCs w:val="16"/>
        </w:rPr>
      </w:pPr>
      <w:r w:rsidRPr="00D25821">
        <w:rPr>
          <w:rFonts w:ascii="Verdana" w:hAnsi="Verdana"/>
          <w:sz w:val="16"/>
          <w:szCs w:val="16"/>
        </w:rPr>
        <w:t>19. Los equipos de inteligencia, los estudios de confiabilidad y credibilidad para personal de inteligencia y la consultoría e interventoría en materia de inteligencia.</w:t>
      </w:r>
    </w:p>
    <w:p w14:paraId="7198B332" w14:textId="77777777" w:rsidR="00C71B18" w:rsidRPr="00D25821" w:rsidRDefault="00C71B18" w:rsidP="00C71B18">
      <w:pPr>
        <w:pStyle w:val="Textonotapie"/>
        <w:ind w:firstLine="708"/>
        <w:jc w:val="both"/>
        <w:rPr>
          <w:rFonts w:ascii="Verdana" w:hAnsi="Verdana"/>
          <w:sz w:val="16"/>
          <w:szCs w:val="16"/>
          <w:lang w:val="es-CO"/>
        </w:rPr>
      </w:pPr>
      <w:r w:rsidRPr="00D25821">
        <w:rPr>
          <w:rFonts w:ascii="Verdana" w:hAnsi="Verdana"/>
          <w:sz w:val="16"/>
          <w:szCs w:val="16"/>
        </w:rPr>
        <w:t>20. Los bienes y servicios enumerados en el presente artículo contratados con personas extranjeras de derecho público, o con proveedores autorizados por estas</w:t>
      </w:r>
      <w:r>
        <w:rPr>
          <w:rFonts w:ascii="Verdana" w:hAnsi="Verdana"/>
          <w:sz w:val="16"/>
          <w:szCs w:val="16"/>
        </w:rPr>
        <w:t>”</w:t>
      </w:r>
      <w:r w:rsidRPr="00D25821">
        <w:rPr>
          <w:rFonts w:ascii="Verdana" w:hAnsi="Verdana"/>
          <w:sz w:val="16"/>
          <w:szCs w:val="16"/>
        </w:rPr>
        <w:t>.</w:t>
      </w:r>
    </w:p>
  </w:footnote>
  <w:footnote w:id="13">
    <w:p w14:paraId="0A1F75EF" w14:textId="77777777" w:rsidR="00C71B18" w:rsidRPr="00050EC9" w:rsidRDefault="00C71B18" w:rsidP="00C71B18">
      <w:pPr>
        <w:pStyle w:val="Textonotapie"/>
        <w:ind w:firstLine="708"/>
        <w:jc w:val="both"/>
        <w:rPr>
          <w:rFonts w:ascii="Verdana" w:hAnsi="Verdana"/>
          <w:sz w:val="16"/>
          <w:szCs w:val="16"/>
        </w:rPr>
      </w:pPr>
      <w:r w:rsidRPr="00564AC4">
        <w:rPr>
          <w:rStyle w:val="Refdenotaalpie"/>
          <w:rFonts w:ascii="Verdana" w:hAnsi="Verdana"/>
          <w:sz w:val="16"/>
          <w:szCs w:val="16"/>
        </w:rPr>
        <w:footnoteRef/>
      </w:r>
      <w:r w:rsidRPr="00564AC4">
        <w:rPr>
          <w:rFonts w:ascii="Verdana" w:hAnsi="Verdana"/>
          <w:sz w:val="16"/>
          <w:szCs w:val="16"/>
        </w:rPr>
        <w:t xml:space="preserve"> </w:t>
      </w:r>
      <w:r>
        <w:rPr>
          <w:rFonts w:ascii="Verdana" w:hAnsi="Verdana"/>
          <w:sz w:val="16"/>
          <w:szCs w:val="16"/>
        </w:rPr>
        <w:t>E</w:t>
      </w:r>
      <w:r w:rsidRPr="00050EC9">
        <w:rPr>
          <w:rFonts w:ascii="Verdana" w:hAnsi="Verdana"/>
          <w:sz w:val="16"/>
          <w:szCs w:val="16"/>
        </w:rPr>
        <w:t>l artículo 17 del Decreto Ley 2368 de 1974</w:t>
      </w:r>
      <w:r>
        <w:rPr>
          <w:rFonts w:ascii="Verdana" w:hAnsi="Verdana"/>
          <w:sz w:val="16"/>
          <w:szCs w:val="16"/>
        </w:rPr>
        <w:t xml:space="preserve"> dispone que “</w:t>
      </w:r>
      <w:r w:rsidRPr="00050EC9">
        <w:rPr>
          <w:rFonts w:ascii="Verdana" w:hAnsi="Verdana"/>
          <w:sz w:val="16"/>
          <w:szCs w:val="16"/>
        </w:rPr>
        <w:t>No causan impuesto sobre las ventas la importación de maquinaria pesada para industrias básicas, siempre y cuando dicha maquinaria no sea producible en el país. Para efectos del presente artículo, son industrias básicas las de minería, hidrocarburos, química pesada, siderurgia, metalurgia extractiva y generación y transmisión de energía eléctrica.</w:t>
      </w:r>
    </w:p>
    <w:p w14:paraId="73FC1389" w14:textId="77777777" w:rsidR="00C71B18" w:rsidRPr="00050EC9" w:rsidRDefault="00C71B18" w:rsidP="00C71B18">
      <w:pPr>
        <w:pStyle w:val="Textonotapie"/>
        <w:ind w:firstLine="708"/>
        <w:jc w:val="both"/>
        <w:rPr>
          <w:rFonts w:ascii="Verdana" w:hAnsi="Verdana"/>
          <w:sz w:val="16"/>
          <w:szCs w:val="16"/>
          <w:lang w:val="es-CO"/>
        </w:rPr>
      </w:pPr>
      <w:r w:rsidRPr="00050EC9">
        <w:rPr>
          <w:rFonts w:ascii="Verdana" w:hAnsi="Verdana"/>
          <w:sz w:val="16"/>
          <w:szCs w:val="16"/>
        </w:rPr>
        <w:t>Tampoco lo causan las importaciones de armas y municiones que se hagan para la defensa nacional</w:t>
      </w:r>
      <w:r>
        <w:rPr>
          <w:rFonts w:ascii="Verdana" w:hAnsi="Verdana"/>
          <w:sz w:val="16"/>
          <w:szCs w:val="16"/>
        </w:rPr>
        <w:t>”.</w:t>
      </w:r>
    </w:p>
  </w:footnote>
  <w:footnote w:id="14">
    <w:p w14:paraId="28865413" w14:textId="77777777" w:rsidR="00C71B18" w:rsidRPr="00BF4A70" w:rsidRDefault="00C71B18" w:rsidP="00C71B18">
      <w:pPr>
        <w:pStyle w:val="Textonotapie"/>
        <w:ind w:firstLine="708"/>
        <w:jc w:val="both"/>
        <w:rPr>
          <w:rFonts w:ascii="Verdana" w:hAnsi="Verdana"/>
          <w:sz w:val="16"/>
          <w:szCs w:val="16"/>
        </w:rPr>
      </w:pPr>
      <w:r w:rsidRPr="00564AC4">
        <w:rPr>
          <w:rStyle w:val="Refdenotaalpie"/>
          <w:rFonts w:ascii="Verdana" w:hAnsi="Verdana"/>
          <w:sz w:val="16"/>
          <w:szCs w:val="16"/>
        </w:rPr>
        <w:footnoteRef/>
      </w:r>
      <w:r w:rsidRPr="00564AC4">
        <w:rPr>
          <w:rFonts w:ascii="Verdana" w:hAnsi="Verdana"/>
          <w:sz w:val="16"/>
          <w:szCs w:val="16"/>
        </w:rPr>
        <w:t xml:space="preserve"> </w:t>
      </w:r>
      <w:r>
        <w:rPr>
          <w:rFonts w:ascii="Verdana" w:hAnsi="Verdana"/>
          <w:sz w:val="16"/>
          <w:szCs w:val="16"/>
        </w:rPr>
        <w:t xml:space="preserve">El </w:t>
      </w:r>
      <w:r w:rsidRPr="00050EC9">
        <w:rPr>
          <w:rFonts w:ascii="Verdana" w:hAnsi="Verdana"/>
          <w:sz w:val="16"/>
          <w:szCs w:val="16"/>
        </w:rPr>
        <w:t xml:space="preserve">artículo 259 del </w:t>
      </w:r>
      <w:r>
        <w:rPr>
          <w:rFonts w:ascii="Verdana" w:hAnsi="Verdana"/>
          <w:sz w:val="16"/>
          <w:szCs w:val="16"/>
        </w:rPr>
        <w:t xml:space="preserve">derogado </w:t>
      </w:r>
      <w:r w:rsidRPr="00050EC9">
        <w:rPr>
          <w:rFonts w:ascii="Verdana" w:hAnsi="Verdana"/>
          <w:sz w:val="16"/>
          <w:szCs w:val="16"/>
        </w:rPr>
        <w:t>Decreto Ley 222 de 1983</w:t>
      </w:r>
      <w:r>
        <w:rPr>
          <w:rFonts w:ascii="Verdana" w:hAnsi="Verdana"/>
          <w:sz w:val="16"/>
          <w:szCs w:val="16"/>
        </w:rPr>
        <w:t xml:space="preserve"> disponía que “</w:t>
      </w:r>
      <w:r w:rsidRPr="00BF4A70">
        <w:rPr>
          <w:rFonts w:ascii="Verdana" w:hAnsi="Verdana"/>
          <w:sz w:val="16"/>
          <w:szCs w:val="16"/>
        </w:rPr>
        <w:t>Los contratos que, exclusivamente para la adquisición de material de guerra o reservado, celebren la Nación-Ministerio de Defensa Nacional-, la Industria Militar, el Servicio Aéreo a Territorios Nacionales,-SATENA-y los Fondos Rotatorios de las Fuerzas Armadas y de la Policía Nacional, no requerirán para su validez la licitación pública o privada y se perfeccionarán con el registro presupuestal y la constitución de las garantías a que hubiere lugar. Al mismo procedimiento se someterán los contratos que tengan por objeto asegurar, transportar, mantener o reparar el citado material de guerra.</w:t>
      </w:r>
    </w:p>
    <w:p w14:paraId="4454268F" w14:textId="77777777" w:rsidR="00C71B18" w:rsidRPr="00BF4A70" w:rsidRDefault="00C71B18" w:rsidP="00C71B18">
      <w:pPr>
        <w:pStyle w:val="Textonotapie"/>
        <w:ind w:firstLine="708"/>
        <w:jc w:val="both"/>
        <w:rPr>
          <w:rFonts w:ascii="Verdana" w:hAnsi="Verdana"/>
          <w:sz w:val="16"/>
          <w:szCs w:val="16"/>
        </w:rPr>
      </w:pPr>
      <w:r w:rsidRPr="00BF4A70">
        <w:rPr>
          <w:rFonts w:ascii="Verdana" w:hAnsi="Verdana"/>
          <w:sz w:val="16"/>
          <w:szCs w:val="16"/>
        </w:rPr>
        <w:t>Los contratos aquí previstos de cuantía igual o superior a cincuenta millones de pesos ($ 50.000.000.00) o su equivalente en moneda extranjera, también requerirán para su validez aprobación del Consejo de Ministros y firma del Presidente de la República.</w:t>
      </w:r>
    </w:p>
    <w:p w14:paraId="6B5804A1" w14:textId="77777777" w:rsidR="00C71B18" w:rsidRPr="00050EC9" w:rsidRDefault="00C71B18" w:rsidP="00C71B18">
      <w:pPr>
        <w:pStyle w:val="Textonotapie"/>
        <w:ind w:firstLine="708"/>
        <w:jc w:val="both"/>
        <w:rPr>
          <w:rFonts w:ascii="Verdana" w:hAnsi="Verdana"/>
          <w:sz w:val="16"/>
          <w:szCs w:val="16"/>
          <w:lang w:val="es-CO"/>
        </w:rPr>
      </w:pPr>
      <w:r w:rsidRPr="00BF4A70">
        <w:rPr>
          <w:rFonts w:ascii="Verdana" w:hAnsi="Verdana"/>
          <w:sz w:val="16"/>
          <w:szCs w:val="16"/>
        </w:rPr>
        <w:t>La celebración de contratos de empréstito por parte de las entidades enunciadas en este artículo y para los efectos previstos en el mismo, sólo requerirá autorización previa otorgada mediante resolución ejecutiva originaria del Ministerio de Hacienda y Crédito Público. Los respectivos convenios se perfeccionarán con la firma del Presidente de la República o su delegado, después de su aprobación por el Consejo de Ministros</w:t>
      </w:r>
      <w:r>
        <w:rPr>
          <w:rFonts w:ascii="Verdana" w:hAnsi="Verdana"/>
          <w:sz w:val="16"/>
          <w:szCs w:val="16"/>
        </w:rPr>
        <w:t>”</w:t>
      </w:r>
      <w:r w:rsidRPr="00BF4A70">
        <w:rPr>
          <w:rFonts w:ascii="Verdana" w:hAnsi="Verdana"/>
          <w:sz w:val="16"/>
          <w:szCs w:val="16"/>
        </w:rPr>
        <w:t>.</w:t>
      </w:r>
    </w:p>
  </w:footnote>
  <w:footnote w:id="15">
    <w:p w14:paraId="2AB675AC" w14:textId="77777777" w:rsidR="00C71B18" w:rsidRPr="00EC1BAA" w:rsidRDefault="00C71B18" w:rsidP="00C71B18">
      <w:pPr>
        <w:pStyle w:val="Textonotapie"/>
        <w:ind w:firstLine="708"/>
        <w:jc w:val="both"/>
        <w:rPr>
          <w:rFonts w:ascii="Verdana" w:hAnsi="Verdana"/>
          <w:sz w:val="16"/>
          <w:szCs w:val="16"/>
          <w:lang w:val="es-CO"/>
        </w:rPr>
      </w:pPr>
      <w:r w:rsidRPr="00EC1BAA">
        <w:rPr>
          <w:rStyle w:val="Refdenotaalpie"/>
          <w:rFonts w:ascii="Verdana" w:hAnsi="Verdana"/>
          <w:sz w:val="16"/>
          <w:szCs w:val="16"/>
        </w:rPr>
        <w:footnoteRef/>
      </w:r>
      <w:r w:rsidRPr="00EC1BAA">
        <w:rPr>
          <w:rFonts w:ascii="Verdana" w:hAnsi="Verdana"/>
          <w:sz w:val="16"/>
          <w:szCs w:val="16"/>
        </w:rPr>
        <w:t xml:space="preserve"> </w:t>
      </w:r>
      <w:r>
        <w:rPr>
          <w:rFonts w:ascii="Verdana" w:hAnsi="Verdana"/>
          <w:sz w:val="16"/>
          <w:szCs w:val="16"/>
        </w:rPr>
        <w:t>El artículo 9.6 de la Ley 1437 de 2011 prohíbe a las autoridades públicas “</w:t>
      </w:r>
      <w:r w:rsidRPr="00EC1BAA">
        <w:rPr>
          <w:rFonts w:ascii="Verdana" w:hAnsi="Verdana"/>
          <w:sz w:val="16"/>
          <w:szCs w:val="16"/>
        </w:rPr>
        <w:t>Reproducir actos suspendidos o anulados por la Jurisdicción de lo Contencioso Administrativo cuando no hayan desaparecido los fundamentos legales de la anulación o suspensión</w:t>
      </w:r>
      <w:r>
        <w:rPr>
          <w:rFonts w:ascii="Verdana" w:hAnsi="Verdana"/>
          <w:sz w:val="16"/>
          <w:szCs w:val="16"/>
        </w:rPr>
        <w:t xml:space="preserve">”. Ello se reitera en el artículo 238 </w:t>
      </w:r>
      <w:r w:rsidRPr="00EC1BAA">
        <w:rPr>
          <w:rFonts w:ascii="Verdana" w:hAnsi="Verdana"/>
          <w:i/>
          <w:iCs/>
          <w:sz w:val="16"/>
          <w:szCs w:val="16"/>
        </w:rPr>
        <w:t>ibidem</w:t>
      </w:r>
      <w:r>
        <w:rPr>
          <w:rFonts w:ascii="Verdana" w:hAnsi="Verdana"/>
          <w:sz w:val="16"/>
          <w:szCs w:val="16"/>
        </w:rPr>
        <w:t>, pues “</w:t>
      </w:r>
      <w:r w:rsidRPr="002D75E3">
        <w:rPr>
          <w:rFonts w:ascii="Verdana" w:hAnsi="Verdana"/>
          <w:sz w:val="16"/>
          <w:szCs w:val="16"/>
        </w:rPr>
        <w:t>Ningún acto anulado o suspendido podrá ser reproducido si conserva en esencia las mismas disposiciones anuladas o suspendidas, a menos que con posterioridad a la sentencia o al auto, hayan desaparecido los fundamentos legales de la anulación o suspensión</w:t>
      </w:r>
      <w:r>
        <w:rPr>
          <w:rFonts w:ascii="Verdana" w:hAnsi="Verdana"/>
          <w:sz w:val="16"/>
          <w:szCs w:val="16"/>
        </w:rPr>
        <w:t>”</w:t>
      </w:r>
      <w:r w:rsidRPr="002D75E3">
        <w:rPr>
          <w:rFonts w:ascii="Verdana" w:hAnsi="Verdana"/>
          <w:sz w:val="16"/>
          <w:szCs w:val="16"/>
        </w:rPr>
        <w:t>.</w:t>
      </w:r>
    </w:p>
  </w:footnote>
  <w:footnote w:id="16">
    <w:p w14:paraId="34CD1197" w14:textId="77777777" w:rsidR="00C71B18" w:rsidRPr="002A1671" w:rsidRDefault="00C71B18" w:rsidP="00C71B18">
      <w:pPr>
        <w:pStyle w:val="Textonotapie"/>
        <w:ind w:firstLine="708"/>
        <w:jc w:val="both"/>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18. </w:t>
      </w:r>
      <w:r w:rsidRPr="002A1671">
        <w:rPr>
          <w:rFonts w:ascii="Verdana" w:hAnsi="Verdana"/>
          <w:i/>
          <w:iCs/>
          <w:sz w:val="15"/>
          <w:szCs w:val="15"/>
          <w:lang w:val="es-CO"/>
        </w:rPr>
        <w:t>Información exceptuada por daño de derechos a personas naturales o jurídicas. </w:t>
      </w:r>
      <w:r w:rsidRPr="002A1671">
        <w:rPr>
          <w:rFonts w:ascii="Verdana" w:hAnsi="Verdana"/>
          <w:sz w:val="15"/>
          <w:szCs w:val="15"/>
          <w:lang w:val="es-CO"/>
        </w:rPr>
        <w:t>Es toda aquella información pública clasificada, cuyo acceso podrá ser rechazado o denegado de manera motivada y por escrito, siempre que el acceso pudiere causar un daño a los siguientes derechos: </w:t>
      </w:r>
    </w:p>
    <w:p w14:paraId="3A2899FC" w14:textId="77777777" w:rsidR="00C71B18" w:rsidRPr="002A1671" w:rsidRDefault="00C71B18" w:rsidP="00C71B18">
      <w:pPr>
        <w:pStyle w:val="Textonotapie"/>
        <w:ind w:firstLine="708"/>
        <w:jc w:val="both"/>
        <w:rPr>
          <w:rFonts w:ascii="Verdana" w:hAnsi="Verdana"/>
          <w:sz w:val="15"/>
          <w:szCs w:val="15"/>
          <w:lang w:val="es-CO"/>
        </w:rPr>
      </w:pPr>
      <w:r w:rsidRPr="002A1671">
        <w:rPr>
          <w:rFonts w:ascii="Verdana" w:hAnsi="Verdana"/>
          <w:sz w:val="15"/>
          <w:szCs w:val="15"/>
          <w:lang w:val="es-CO"/>
        </w:rPr>
        <w:t>a) El derecho de toda persona a la intimidad, bajo las limitaciones propias que impone la condición de servidor público, en concordancia con lo estipulado por el artículo 24 de la Ley 1437 de 2011; </w:t>
      </w:r>
    </w:p>
    <w:p w14:paraId="42A82101" w14:textId="77777777" w:rsidR="00C71B18" w:rsidRPr="002A1671" w:rsidRDefault="00C71B18" w:rsidP="00C71B18">
      <w:pPr>
        <w:pStyle w:val="Textonotapie"/>
        <w:ind w:firstLine="708"/>
        <w:jc w:val="both"/>
        <w:rPr>
          <w:rFonts w:ascii="Verdana" w:hAnsi="Verdana"/>
          <w:sz w:val="15"/>
          <w:szCs w:val="15"/>
          <w:lang w:val="es-CO"/>
        </w:rPr>
      </w:pPr>
      <w:r w:rsidRPr="002A1671">
        <w:rPr>
          <w:rFonts w:ascii="Verdana" w:hAnsi="Verdana"/>
          <w:sz w:val="15"/>
          <w:szCs w:val="15"/>
          <w:lang w:val="es-CO"/>
        </w:rPr>
        <w:t>b) El derecho de toda persona a la vida, la salud o la seguridad; </w:t>
      </w:r>
    </w:p>
    <w:p w14:paraId="4706EFA4" w14:textId="77777777" w:rsidR="00C71B18" w:rsidRPr="002A1671" w:rsidRDefault="00C71B18" w:rsidP="00C71B18">
      <w:pPr>
        <w:pStyle w:val="Textonotapie"/>
        <w:ind w:firstLine="708"/>
        <w:jc w:val="both"/>
        <w:rPr>
          <w:rFonts w:ascii="Verdana" w:hAnsi="Verdana"/>
          <w:sz w:val="15"/>
          <w:szCs w:val="15"/>
          <w:lang w:val="es-CO"/>
        </w:rPr>
      </w:pPr>
      <w:r w:rsidRPr="002A1671">
        <w:rPr>
          <w:rFonts w:ascii="Verdana" w:hAnsi="Verdana"/>
          <w:sz w:val="15"/>
          <w:szCs w:val="15"/>
          <w:lang w:val="es-CO"/>
        </w:rPr>
        <w:t>c) Los secretos comerciales, industriales y profesionales, así como los estipulados en el parágrafo del artículo 77 de la Ley 1474 de 2011. </w:t>
      </w:r>
    </w:p>
    <w:p w14:paraId="70243CF8" w14:textId="77777777" w:rsidR="00C71B18" w:rsidRPr="002A1671" w:rsidRDefault="00C71B18" w:rsidP="00C71B18">
      <w:pPr>
        <w:pStyle w:val="Textonotapie"/>
        <w:ind w:firstLine="708"/>
        <w:jc w:val="both"/>
        <w:rPr>
          <w:rFonts w:ascii="Verdana" w:hAnsi="Verdana"/>
          <w:sz w:val="15"/>
          <w:szCs w:val="15"/>
          <w:lang w:val="es-CO"/>
        </w:rPr>
      </w:pPr>
      <w:r w:rsidRPr="002A1671">
        <w:rPr>
          <w:rFonts w:ascii="Verdana" w:hAnsi="Verdana"/>
          <w:sz w:val="15"/>
          <w:szCs w:val="15"/>
          <w:lang w:val="es-CO"/>
        </w:rPr>
        <w:t>Parágrafo. Estas excepciones tienen una duración ilimitada y no deberán aplicarse cuando la persona natural o jurídica ha consentido en la revelación de sus datos personales o privados o bien cuando es claro que la información fue entregada como parte de aquella información que debe estar bajo el régimen de publicidad aplicable.</w:t>
      </w:r>
    </w:p>
  </w:footnote>
  <w:footnote w:id="17">
    <w:p w14:paraId="3943E07E" w14:textId="77777777" w:rsidR="00C71B18" w:rsidRPr="002A1671" w:rsidRDefault="00C71B18" w:rsidP="00C71B18">
      <w:pPr>
        <w:pStyle w:val="Textonotapie"/>
        <w:ind w:firstLine="708"/>
        <w:rPr>
          <w:rFonts w:ascii="Verdana" w:hAnsi="Verdana"/>
          <w:sz w:val="15"/>
          <w:szCs w:val="15"/>
          <w:lang w:val="es-CO"/>
        </w:rPr>
      </w:pPr>
      <w:r w:rsidRPr="002A1671">
        <w:rPr>
          <w:rStyle w:val="Refdenotaalpie"/>
          <w:rFonts w:ascii="Verdana" w:hAnsi="Verdana"/>
          <w:sz w:val="15"/>
          <w:szCs w:val="15"/>
        </w:rPr>
        <w:footnoteRef/>
      </w:r>
      <w:r w:rsidRPr="002A1671">
        <w:rPr>
          <w:rFonts w:ascii="Verdana" w:hAnsi="Verdana"/>
          <w:sz w:val="15"/>
          <w:szCs w:val="15"/>
        </w:rPr>
        <w:t xml:space="preserve"> </w:t>
      </w:r>
      <w:r w:rsidRPr="002A1671">
        <w:rPr>
          <w:rFonts w:ascii="Verdana" w:hAnsi="Verdana"/>
          <w:sz w:val="15"/>
          <w:szCs w:val="15"/>
          <w:lang w:val="es-CO"/>
        </w:rPr>
        <w:t>Artículo 19. </w:t>
      </w:r>
      <w:r w:rsidRPr="002A1671">
        <w:rPr>
          <w:rFonts w:ascii="Verdana" w:hAnsi="Verdana"/>
          <w:i/>
          <w:iCs/>
          <w:sz w:val="15"/>
          <w:szCs w:val="15"/>
          <w:lang w:val="es-CO"/>
        </w:rPr>
        <w:t>Información exceptuada por daño a los intereses públicos. </w:t>
      </w:r>
      <w:r w:rsidRPr="002A1671">
        <w:rPr>
          <w:rFonts w:ascii="Verdana" w:hAnsi="Verdana"/>
          <w:sz w:val="15"/>
          <w:szCs w:val="15"/>
          <w:lang w:val="es-CO"/>
        </w:rPr>
        <w:t>Es toda aquella información pública reservada, cuyo acceso podrá ser rechazado o denegado de manera motivada y por escrito en las siguientes circunstancias, siempre que dicho acceso estuviere expresamente prohibido por una norma legal o constitucional:  </w:t>
      </w:r>
    </w:p>
    <w:p w14:paraId="7C0818E9"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a) La defensa y seguridad nacional; </w:t>
      </w:r>
    </w:p>
    <w:p w14:paraId="5DB0AC5C"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b) La seguridad pública; </w:t>
      </w:r>
    </w:p>
    <w:p w14:paraId="5DD14014"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c) Las relaciones internacionales; </w:t>
      </w:r>
    </w:p>
    <w:p w14:paraId="3F94265E"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d) La prevención, investigación y persecución de los delitos y las faltas disciplinarias, mientras que no se haga efectiva la medida de aseguramiento o se formule pliego de cargos, según el caso; </w:t>
      </w:r>
    </w:p>
    <w:p w14:paraId="3190BB97"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e) El debido proceso y la igualdad de las partes en los procesos judiciales; </w:t>
      </w:r>
    </w:p>
    <w:p w14:paraId="187968B9"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f) La administración efectiva de la justicia; </w:t>
      </w:r>
    </w:p>
    <w:p w14:paraId="04B34505"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g) Los derechos de la infancia y la adolescencia; </w:t>
      </w:r>
    </w:p>
    <w:p w14:paraId="6C6B930D"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h) La estabilidad macroeconómica y financiera del país; </w:t>
      </w:r>
    </w:p>
    <w:p w14:paraId="75F54970"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i) La salud pública. </w:t>
      </w:r>
    </w:p>
    <w:p w14:paraId="5E0F474B" w14:textId="77777777" w:rsidR="00C71B18" w:rsidRPr="002A1671" w:rsidRDefault="00C71B18" w:rsidP="00C71B18">
      <w:pPr>
        <w:pStyle w:val="Textonotapie"/>
        <w:ind w:firstLine="708"/>
        <w:rPr>
          <w:rFonts w:ascii="Verdana" w:hAnsi="Verdana"/>
          <w:sz w:val="15"/>
          <w:szCs w:val="15"/>
          <w:lang w:val="es-CO"/>
        </w:rPr>
      </w:pPr>
      <w:r w:rsidRPr="002A1671">
        <w:rPr>
          <w:rFonts w:ascii="Verdana" w:hAnsi="Verdana"/>
          <w:sz w:val="15"/>
          <w:szCs w:val="15"/>
          <w:lang w:val="es-CO"/>
        </w:rPr>
        <w:t>Parágrafo. Se exceptúan también los documentos que contengan las opiniones o puntos de vista que formen parte del proceso deliberativo de los servidores públicos. </w:t>
      </w:r>
    </w:p>
  </w:footnote>
  <w:footnote w:id="18">
    <w:p w14:paraId="0B2F00F6" w14:textId="77777777" w:rsidR="00C71B18" w:rsidRPr="002A1671" w:rsidRDefault="00C71B18" w:rsidP="00C71B18">
      <w:pPr>
        <w:pStyle w:val="Textonotapie"/>
        <w:ind w:firstLine="709"/>
        <w:jc w:val="both"/>
        <w:rPr>
          <w:rFonts w:ascii="Verdana" w:hAnsi="Verdana"/>
          <w:sz w:val="15"/>
          <w:szCs w:val="15"/>
          <w:lang w:val="es-CO"/>
        </w:rPr>
      </w:pPr>
      <w:r w:rsidRPr="002A1671">
        <w:rPr>
          <w:rStyle w:val="Refdenotaalpie"/>
          <w:sz w:val="15"/>
          <w:szCs w:val="15"/>
        </w:rPr>
        <w:footnoteRef/>
      </w:r>
      <w:r w:rsidRPr="002A1671">
        <w:rPr>
          <w:sz w:val="15"/>
          <w:szCs w:val="15"/>
        </w:rPr>
        <w:t xml:space="preserve"> </w:t>
      </w:r>
      <w:r w:rsidRPr="002A1671">
        <w:rPr>
          <w:rFonts w:ascii="Verdana" w:hAnsi="Verdana"/>
          <w:bCs/>
          <w:sz w:val="15"/>
          <w:szCs w:val="15"/>
          <w:lang w:val="es-CO"/>
        </w:rPr>
        <w:t>Artículo 24. </w:t>
      </w:r>
      <w:r w:rsidRPr="002A1671">
        <w:rPr>
          <w:rFonts w:ascii="Verdana" w:hAnsi="Verdana"/>
          <w:bCs/>
          <w:i/>
          <w:iCs/>
          <w:sz w:val="15"/>
          <w:szCs w:val="15"/>
          <w:lang w:val="es-CO"/>
        </w:rPr>
        <w:t xml:space="preserve">Informaciones y documentos reservados. </w:t>
      </w:r>
      <w:r w:rsidRPr="002A1671">
        <w:rPr>
          <w:rFonts w:ascii="Verdana" w:hAnsi="Verdana"/>
          <w:sz w:val="15"/>
          <w:szCs w:val="15"/>
          <w:lang w:val="es-CO"/>
        </w:rPr>
        <w:t>Solo tendrán carácter reservado las informaciones y documentos expresamente sometidos a reserva por la Constitución Política o la ley, y en especial:</w:t>
      </w:r>
    </w:p>
    <w:p w14:paraId="25448262"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1. Los relacionados con la defensa o seguridad nacionales.</w:t>
      </w:r>
    </w:p>
    <w:p w14:paraId="504AB91A"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2. Las instrucciones en materia diplomática o sobre negociaciones reservadas.  </w:t>
      </w:r>
    </w:p>
    <w:p w14:paraId="5DABE991"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3. Los que involucren derechos a la privacidad e intimidad de las personas, incluidas en las hojas de vida, la historia laboral y los expedientes pensionales y demás registros de personal que obren en los archivos de las instituciones públicas o privadas, así como la historia clínica.  </w:t>
      </w:r>
    </w:p>
    <w:p w14:paraId="272C58B0"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4. Los relativos a las condiciones financieras de las operaciones de crédito público y tesorería que realice la nación, así como a los estudios técnicos de valoración de los activos de la nación. Estos documentos e informaciones estarán sometidos a reserva por un término de seis (6) meses contados a partir de la realización de la respectiva operación.  </w:t>
      </w:r>
    </w:p>
    <w:p w14:paraId="6B5318D3"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S. Los datos referentes a la información financiera y comercial, en los términos de la Ley Estatutaria 1266 de 2008.  </w:t>
      </w:r>
    </w:p>
    <w:p w14:paraId="6DEC3C07"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6. Los protegidos por el secreto comercial o industrial, así como los planes estratégicos de las empresas públicas de servicios públicos.  </w:t>
      </w:r>
    </w:p>
    <w:p w14:paraId="1AC7CF9B"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7. Los amparados por el secreto profesional.  </w:t>
      </w:r>
    </w:p>
    <w:p w14:paraId="7E7438E8" w14:textId="77777777" w:rsidR="00C71B18" w:rsidRPr="002A1671" w:rsidRDefault="00C71B18" w:rsidP="00C71B18">
      <w:pPr>
        <w:pStyle w:val="Textonotapie"/>
        <w:ind w:firstLine="709"/>
        <w:jc w:val="both"/>
        <w:rPr>
          <w:rFonts w:ascii="Verdana" w:hAnsi="Verdana"/>
          <w:sz w:val="15"/>
          <w:szCs w:val="15"/>
          <w:lang w:val="es-CO"/>
        </w:rPr>
      </w:pPr>
      <w:r w:rsidRPr="002A1671">
        <w:rPr>
          <w:rFonts w:ascii="Verdana" w:hAnsi="Verdana"/>
          <w:sz w:val="15"/>
          <w:szCs w:val="15"/>
          <w:lang w:val="es-CO"/>
        </w:rPr>
        <w:t>8. Los datos genéticos humanos.  </w:t>
      </w:r>
    </w:p>
    <w:p w14:paraId="4BB8270C" w14:textId="77777777" w:rsidR="00C71B18" w:rsidRPr="002A1671" w:rsidRDefault="00C71B18" w:rsidP="00C71B18">
      <w:pPr>
        <w:pStyle w:val="Textonotapie"/>
        <w:ind w:firstLine="709"/>
        <w:jc w:val="both"/>
        <w:rPr>
          <w:sz w:val="15"/>
          <w:szCs w:val="15"/>
          <w:lang w:val="es-CO"/>
        </w:rPr>
      </w:pPr>
      <w:r w:rsidRPr="002A1671">
        <w:rPr>
          <w:rFonts w:ascii="Verdana" w:hAnsi="Verdana"/>
          <w:bCs/>
          <w:sz w:val="15"/>
          <w:szCs w:val="15"/>
          <w:lang w:val="es-CO"/>
        </w:rPr>
        <w:t>Parágrafo.</w:t>
      </w:r>
      <w:r w:rsidRPr="002A1671">
        <w:rPr>
          <w:rFonts w:ascii="Verdana" w:hAnsi="Verdana"/>
          <w:sz w:val="15"/>
          <w:szCs w:val="15"/>
          <w:lang w:val="es-CO"/>
        </w:rPr>
        <w:t> Para efecto de la solicitud de información de carácter reservado, enunciada en los numerales 3, 5, 6 y 7 solo podrá ser solicitada por el titular de la información, por sus apoderados o por personas autorizadas con facultad expresa para acceder a esa información. </w:t>
      </w:r>
    </w:p>
  </w:footnote>
  <w:footnote w:id="19">
    <w:p w14:paraId="72BEE07B" w14:textId="77777777" w:rsidR="00C71B18" w:rsidRDefault="00C71B18" w:rsidP="00C71B18">
      <w:pPr>
        <w:pStyle w:val="Textonotapie"/>
        <w:ind w:firstLine="708"/>
        <w:jc w:val="both"/>
        <w:rPr>
          <w:rFonts w:ascii="Verdana" w:eastAsia="Calibri" w:hAnsi="Verdana" w:cs="Arial"/>
          <w:color w:val="000000"/>
          <w:sz w:val="16"/>
          <w:szCs w:val="16"/>
        </w:rPr>
      </w:pPr>
      <w:r w:rsidRPr="00D56A94">
        <w:rPr>
          <w:rStyle w:val="Refdenotaalpie"/>
          <w:rFonts w:ascii="Verdana" w:hAnsi="Verdana" w:cs="Arial"/>
          <w:sz w:val="16"/>
          <w:szCs w:val="16"/>
        </w:rPr>
        <w:footnoteRef/>
      </w:r>
      <w:r w:rsidRPr="00D56A94">
        <w:rPr>
          <w:rFonts w:ascii="Verdana" w:hAnsi="Verdana" w:cs="Arial"/>
          <w:sz w:val="16"/>
          <w:szCs w:val="16"/>
        </w:rPr>
        <w:t xml:space="preserve"> </w:t>
      </w:r>
      <w:r>
        <w:rPr>
          <w:rFonts w:ascii="Verdana" w:eastAsia="Calibri" w:hAnsi="Verdana" w:cs="Arial"/>
          <w:color w:val="000000"/>
          <w:sz w:val="16"/>
          <w:szCs w:val="16"/>
        </w:rPr>
        <w:t>L</w:t>
      </w:r>
      <w:r w:rsidRPr="00D56A94">
        <w:rPr>
          <w:rFonts w:ascii="Verdana" w:eastAsia="Calibri" w:hAnsi="Verdana" w:cs="Arial"/>
          <w:color w:val="000000"/>
          <w:sz w:val="16"/>
          <w:szCs w:val="16"/>
        </w:rPr>
        <w:t xml:space="preserve">a Sección Tercera del Consejo de Estado, en sentencia del 27 de marzo de 2008. Exp. 29.393, C. P. Ruth Stella Correa Palacio, consideró: </w:t>
      </w:r>
      <w:r>
        <w:rPr>
          <w:rFonts w:ascii="Verdana" w:eastAsia="Calibri" w:hAnsi="Verdana" w:cs="Arial"/>
          <w:color w:val="000000"/>
          <w:sz w:val="16"/>
          <w:szCs w:val="16"/>
        </w:rPr>
        <w:t>“</w:t>
      </w:r>
      <w:r w:rsidRPr="00D56A94">
        <w:rPr>
          <w:rFonts w:ascii="Verdana" w:eastAsia="Calibri" w:hAnsi="Verdana" w:cs="Arial"/>
          <w:color w:val="000000"/>
          <w:sz w:val="16"/>
          <w:szCs w:val="16"/>
        </w:rPr>
        <w:t xml:space="preserve">[L]a seguridad y la defensa nacional constituyen sin lugar a dudas presupuesto material de la vigencia efectiva del orden constitucional. Sin embargo no existe norma alguna que defina estos vocablos. Se trata de conceptos que tienen distintas significaciones, en tanto varias nociones los informan. En el caso de la seguridad, además, esta acusa cierto grado de relatividad según la </w:t>
      </w:r>
      <w:r>
        <w:rPr>
          <w:rFonts w:ascii="Verdana" w:eastAsia="Calibri" w:hAnsi="Verdana" w:cs="Arial"/>
          <w:color w:val="000000"/>
          <w:sz w:val="16"/>
          <w:szCs w:val="16"/>
        </w:rPr>
        <w:t>‘</w:t>
      </w:r>
      <w:r w:rsidRPr="00D56A94">
        <w:rPr>
          <w:rFonts w:ascii="Verdana" w:eastAsia="Calibri" w:hAnsi="Verdana" w:cs="Arial"/>
          <w:color w:val="000000"/>
          <w:sz w:val="16"/>
          <w:szCs w:val="16"/>
        </w:rPr>
        <w:t>intensidad en los antagonismos</w:t>
      </w:r>
      <w:r>
        <w:rPr>
          <w:rFonts w:ascii="Verdana" w:eastAsia="Calibri" w:hAnsi="Verdana" w:cs="Arial"/>
          <w:color w:val="000000"/>
          <w:sz w:val="16"/>
          <w:szCs w:val="16"/>
        </w:rPr>
        <w:t>’</w:t>
      </w:r>
      <w:r w:rsidRPr="00D56A94">
        <w:rPr>
          <w:rFonts w:ascii="Verdana" w:eastAsia="Calibri" w:hAnsi="Verdana" w:cs="Arial"/>
          <w:color w:val="000000"/>
          <w:sz w:val="16"/>
          <w:szCs w:val="16"/>
        </w:rPr>
        <w:t xml:space="preserve">, se trata igualmente de un </w:t>
      </w:r>
      <w:r>
        <w:rPr>
          <w:rFonts w:ascii="Verdana" w:eastAsia="Calibri" w:hAnsi="Verdana" w:cs="Arial"/>
          <w:color w:val="000000"/>
          <w:sz w:val="16"/>
          <w:szCs w:val="16"/>
        </w:rPr>
        <w:t>‘</w:t>
      </w:r>
      <w:r w:rsidRPr="00D56A94">
        <w:rPr>
          <w:rFonts w:ascii="Verdana" w:eastAsia="Calibri" w:hAnsi="Verdana" w:cs="Arial"/>
          <w:color w:val="000000"/>
          <w:sz w:val="16"/>
          <w:szCs w:val="16"/>
        </w:rPr>
        <w:t>concepto dinámico</w:t>
      </w:r>
      <w:r>
        <w:rPr>
          <w:rFonts w:ascii="Verdana" w:eastAsia="Calibri" w:hAnsi="Verdana" w:cs="Arial"/>
          <w:color w:val="000000"/>
          <w:sz w:val="16"/>
          <w:szCs w:val="16"/>
        </w:rPr>
        <w:t>’</w:t>
      </w:r>
      <w:r w:rsidRPr="00D56A94">
        <w:rPr>
          <w:rFonts w:ascii="Verdana" w:eastAsia="Calibri" w:hAnsi="Verdana" w:cs="Arial"/>
          <w:color w:val="000000"/>
          <w:sz w:val="16"/>
          <w:szCs w:val="16"/>
        </w:rPr>
        <w:t xml:space="preserve"> que impone la actualización de mecanismos para su efectividad y que encuentra significado en los objetivos que se propone alcanzar el Estado en una época determinada. Noción a la vez relativa y coyuntural, merced a que su contenido jurídico no es inmutable sino que necesariamente sufre constantes transformaciones. En tanto </w:t>
      </w:r>
      <w:r>
        <w:rPr>
          <w:rFonts w:ascii="Verdana" w:eastAsia="Calibri" w:hAnsi="Verdana" w:cs="Arial"/>
          <w:color w:val="000000"/>
          <w:sz w:val="16"/>
          <w:szCs w:val="16"/>
        </w:rPr>
        <w:t>‘</w:t>
      </w:r>
      <w:r w:rsidRPr="00D56A94">
        <w:rPr>
          <w:rFonts w:ascii="Verdana" w:eastAsia="Calibri" w:hAnsi="Verdana" w:cs="Arial"/>
          <w:color w:val="000000"/>
          <w:sz w:val="16"/>
          <w:szCs w:val="16"/>
        </w:rPr>
        <w:t>noción ambigua</w:t>
      </w:r>
      <w:r>
        <w:rPr>
          <w:rFonts w:ascii="Verdana" w:eastAsia="Calibri" w:hAnsi="Verdana" w:cs="Arial"/>
          <w:color w:val="000000"/>
          <w:sz w:val="16"/>
          <w:szCs w:val="16"/>
        </w:rPr>
        <w:t>’</w:t>
      </w:r>
      <w:r w:rsidRPr="00D56A94">
        <w:rPr>
          <w:rFonts w:ascii="Verdana" w:eastAsia="Calibri" w:hAnsi="Verdana" w:cs="Arial"/>
          <w:color w:val="000000"/>
          <w:sz w:val="16"/>
          <w:szCs w:val="16"/>
        </w:rPr>
        <w:t xml:space="preserve"> es difícil de definir la seguridad, pues depende del entorno de cada país (en Canadá por ejemplo suele ser asociada a </w:t>
      </w:r>
      <w:r>
        <w:rPr>
          <w:rFonts w:ascii="Verdana" w:eastAsia="Calibri" w:hAnsi="Verdana" w:cs="Arial"/>
          <w:color w:val="000000"/>
          <w:sz w:val="16"/>
          <w:szCs w:val="16"/>
        </w:rPr>
        <w:t>‘</w:t>
      </w:r>
      <w:r w:rsidRPr="00D56A94">
        <w:rPr>
          <w:rFonts w:ascii="Verdana" w:eastAsia="Calibri" w:hAnsi="Verdana" w:cs="Arial"/>
          <w:color w:val="000000"/>
          <w:sz w:val="16"/>
          <w:szCs w:val="16"/>
        </w:rPr>
        <w:t>estabilidad económica</w:t>
      </w:r>
      <w:r>
        <w:rPr>
          <w:rFonts w:ascii="Verdana" w:eastAsia="Calibri" w:hAnsi="Verdana" w:cs="Arial"/>
          <w:color w:val="000000"/>
          <w:sz w:val="16"/>
          <w:szCs w:val="16"/>
        </w:rPr>
        <w:t>’</w:t>
      </w:r>
      <w:r w:rsidRPr="00D56A94">
        <w:rPr>
          <w:rFonts w:ascii="Verdana" w:eastAsia="Calibri" w:hAnsi="Verdana" w:cs="Arial"/>
          <w:color w:val="000000"/>
          <w:sz w:val="16"/>
          <w:szCs w:val="16"/>
        </w:rPr>
        <w:t>). Con todo, y aunque se trate de una noción en constante cambio según cada país, conviene agregar que se trata del concepto base sobre el que se construye la estrategia para proteger a los ciudadanos</w:t>
      </w:r>
      <w:r>
        <w:rPr>
          <w:rFonts w:ascii="Verdana" w:eastAsia="Calibri" w:hAnsi="Verdana" w:cs="Arial"/>
          <w:color w:val="000000"/>
          <w:sz w:val="16"/>
          <w:szCs w:val="16"/>
        </w:rPr>
        <w:t>”</w:t>
      </w:r>
      <w:r w:rsidRPr="00D56A94">
        <w:rPr>
          <w:rFonts w:ascii="Verdana" w:eastAsia="Calibri" w:hAnsi="Verdana" w:cs="Arial"/>
          <w:color w:val="000000"/>
          <w:sz w:val="16"/>
          <w:szCs w:val="16"/>
        </w:rPr>
        <w:t>.</w:t>
      </w:r>
    </w:p>
    <w:p w14:paraId="1FB6C8D2" w14:textId="77777777" w:rsidR="00C71B18" w:rsidRPr="00D56A94" w:rsidRDefault="00C71B18" w:rsidP="00C71B18">
      <w:pPr>
        <w:pStyle w:val="Textonotapie"/>
        <w:ind w:firstLine="708"/>
        <w:jc w:val="both"/>
        <w:rPr>
          <w:rFonts w:ascii="Verdana" w:eastAsia="Calibri" w:hAnsi="Verdana" w:cs="Arial"/>
          <w:color w:val="000000"/>
          <w:sz w:val="16"/>
          <w:szCs w:val="16"/>
        </w:rPr>
      </w:pPr>
    </w:p>
  </w:footnote>
  <w:footnote w:id="20">
    <w:p w14:paraId="4242D69D" w14:textId="77777777" w:rsidR="00C71B18" w:rsidRPr="00D56A94" w:rsidRDefault="00C71B18" w:rsidP="00C71B18">
      <w:pPr>
        <w:pStyle w:val="Textonotapie"/>
        <w:ind w:firstLine="709"/>
        <w:jc w:val="both"/>
        <w:rPr>
          <w:rFonts w:ascii="Verdana" w:hAnsi="Verdana" w:cs="Arial"/>
          <w:sz w:val="16"/>
          <w:szCs w:val="16"/>
          <w:lang w:val="es-ES"/>
        </w:rPr>
      </w:pPr>
      <w:r w:rsidRPr="00D56A94">
        <w:rPr>
          <w:rStyle w:val="Refdenotaalpie"/>
          <w:rFonts w:ascii="Verdana" w:hAnsi="Verdana"/>
          <w:sz w:val="16"/>
          <w:szCs w:val="16"/>
        </w:rPr>
        <w:footnoteRef/>
      </w:r>
      <w:r w:rsidRPr="00D56A94">
        <w:rPr>
          <w:rFonts w:ascii="Verdana" w:hAnsi="Verdana" w:cs="Arial"/>
          <w:sz w:val="16"/>
          <w:szCs w:val="16"/>
        </w:rPr>
        <w:t xml:space="preserve"> Consejo de Estado. Sección Tercera. Subsección C. Sentencia del 26 de julio de 2011. Consejero Ponente: Enrique Gil Botero. Expediente: </w:t>
      </w:r>
      <w:r w:rsidRPr="00D56A94">
        <w:rPr>
          <w:rFonts w:ascii="Verdana" w:hAnsi="Verdana" w:cs="Arial"/>
          <w:iCs/>
          <w:sz w:val="16"/>
          <w:szCs w:val="16"/>
        </w:rPr>
        <w:t>17661</w:t>
      </w:r>
      <w:r>
        <w:rPr>
          <w:rFonts w:ascii="Verdana" w:hAnsi="Verdana" w:cs="Arial"/>
          <w:iCs/>
          <w:sz w:val="16"/>
          <w:szCs w:val="16"/>
        </w:rPr>
        <w:t>.</w:t>
      </w:r>
    </w:p>
  </w:footnote>
  <w:footnote w:id="21">
    <w:p w14:paraId="193012F7" w14:textId="77777777" w:rsidR="00C71B18" w:rsidRPr="00D56A94" w:rsidRDefault="00C71B18" w:rsidP="00C71B18">
      <w:pPr>
        <w:pStyle w:val="Textonotapie"/>
        <w:ind w:firstLine="709"/>
        <w:jc w:val="both"/>
        <w:rPr>
          <w:rFonts w:ascii="Verdana" w:hAnsi="Verdana" w:cs="Arial"/>
          <w:sz w:val="16"/>
          <w:szCs w:val="16"/>
          <w:lang w:val="es-ES"/>
        </w:rPr>
      </w:pPr>
      <w:r w:rsidRPr="00D56A94">
        <w:rPr>
          <w:rStyle w:val="Refdenotaalpie"/>
          <w:rFonts w:ascii="Verdana" w:hAnsi="Verdana"/>
          <w:sz w:val="16"/>
          <w:szCs w:val="16"/>
        </w:rPr>
        <w:footnoteRef/>
      </w:r>
      <w:r w:rsidRPr="00D56A94">
        <w:rPr>
          <w:rFonts w:ascii="Verdana" w:hAnsi="Verdana" w:cs="Arial"/>
          <w:sz w:val="16"/>
          <w:szCs w:val="16"/>
        </w:rPr>
        <w:t xml:space="preserve"> </w:t>
      </w:r>
      <w:r w:rsidRPr="00D56A94">
        <w:rPr>
          <w:rFonts w:ascii="Verdana" w:hAnsi="Verdana" w:cs="Arial"/>
          <w:sz w:val="16"/>
          <w:szCs w:val="16"/>
          <w:lang w:val="es-ES"/>
        </w:rPr>
        <w:t xml:space="preserve">Consejo de Estado. Sección Tercera. Sala Plena. Sentencia del 23 de julio de 2015. Consejero Ponente: Hernán Andrade Rincón. Expediente: </w:t>
      </w:r>
      <w:r w:rsidRPr="00D56A94">
        <w:rPr>
          <w:rFonts w:ascii="Verdana" w:hAnsi="Verdana" w:cs="Arial"/>
          <w:spacing w:val="4"/>
          <w:sz w:val="16"/>
          <w:szCs w:val="16"/>
          <w:lang w:val="es-ES_tradnl"/>
        </w:rPr>
        <w:t>36805.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0903BF04"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58241"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5824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5pt;height:12.5pt" o:bullet="t">
        <v:imagedata r:id="rId1" o:title="mso1B13"/>
      </v:shape>
    </w:pict>
  </w:numPicBullet>
  <w:abstractNum w:abstractNumId="0" w15:restartNumberingAfterBreak="0">
    <w:nsid w:val="01C06310"/>
    <w:multiLevelType w:val="multilevel"/>
    <w:tmpl w:val="47FE4C7E"/>
    <w:lvl w:ilvl="0">
      <w:start w:val="1"/>
      <w:numFmt w:val="upperRoman"/>
      <w:lvlText w:val="%1."/>
      <w:lvlJc w:val="righ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6790895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25857"/>
    <w:rsid w:val="00046945"/>
    <w:rsid w:val="00061B2A"/>
    <w:rsid w:val="00070316"/>
    <w:rsid w:val="00082362"/>
    <w:rsid w:val="000A683E"/>
    <w:rsid w:val="000B19B9"/>
    <w:rsid w:val="000D0334"/>
    <w:rsid w:val="000D5DA7"/>
    <w:rsid w:val="000F6486"/>
    <w:rsid w:val="00116940"/>
    <w:rsid w:val="00125105"/>
    <w:rsid w:val="00127233"/>
    <w:rsid w:val="00155575"/>
    <w:rsid w:val="0015699B"/>
    <w:rsid w:val="001A33BF"/>
    <w:rsid w:val="001E4177"/>
    <w:rsid w:val="001F0B24"/>
    <w:rsid w:val="001F7DC6"/>
    <w:rsid w:val="0022400B"/>
    <w:rsid w:val="002421BB"/>
    <w:rsid w:val="0025796E"/>
    <w:rsid w:val="002707A2"/>
    <w:rsid w:val="00272673"/>
    <w:rsid w:val="002951A0"/>
    <w:rsid w:val="002962BC"/>
    <w:rsid w:val="002A093D"/>
    <w:rsid w:val="002A0DD0"/>
    <w:rsid w:val="002A378E"/>
    <w:rsid w:val="002A49AC"/>
    <w:rsid w:val="002A5D91"/>
    <w:rsid w:val="002A64FD"/>
    <w:rsid w:val="002C7A84"/>
    <w:rsid w:val="002E2BF8"/>
    <w:rsid w:val="002E4FD9"/>
    <w:rsid w:val="0030657A"/>
    <w:rsid w:val="00306CED"/>
    <w:rsid w:val="00322A85"/>
    <w:rsid w:val="00324168"/>
    <w:rsid w:val="00330834"/>
    <w:rsid w:val="0034459F"/>
    <w:rsid w:val="003448F4"/>
    <w:rsid w:val="00374F5E"/>
    <w:rsid w:val="00377E3E"/>
    <w:rsid w:val="003A779E"/>
    <w:rsid w:val="003B78F8"/>
    <w:rsid w:val="003C66EF"/>
    <w:rsid w:val="003D0F4D"/>
    <w:rsid w:val="003D5B0D"/>
    <w:rsid w:val="003E0499"/>
    <w:rsid w:val="003E48BB"/>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7660D"/>
    <w:rsid w:val="00591460"/>
    <w:rsid w:val="005A65E0"/>
    <w:rsid w:val="005C3777"/>
    <w:rsid w:val="005C5CDC"/>
    <w:rsid w:val="005D476C"/>
    <w:rsid w:val="006200BF"/>
    <w:rsid w:val="006219F8"/>
    <w:rsid w:val="006302F7"/>
    <w:rsid w:val="00632E76"/>
    <w:rsid w:val="00646B9F"/>
    <w:rsid w:val="00665D70"/>
    <w:rsid w:val="006900D9"/>
    <w:rsid w:val="006A7CB6"/>
    <w:rsid w:val="00706C16"/>
    <w:rsid w:val="007340C3"/>
    <w:rsid w:val="0073619E"/>
    <w:rsid w:val="0075235A"/>
    <w:rsid w:val="00756841"/>
    <w:rsid w:val="00762089"/>
    <w:rsid w:val="007649AB"/>
    <w:rsid w:val="00771D0C"/>
    <w:rsid w:val="007833AC"/>
    <w:rsid w:val="007B268C"/>
    <w:rsid w:val="007B7171"/>
    <w:rsid w:val="007C0C0F"/>
    <w:rsid w:val="007C3DC2"/>
    <w:rsid w:val="007D688E"/>
    <w:rsid w:val="007E5497"/>
    <w:rsid w:val="00806F5F"/>
    <w:rsid w:val="00820278"/>
    <w:rsid w:val="008258C9"/>
    <w:rsid w:val="008400AE"/>
    <w:rsid w:val="00844AE9"/>
    <w:rsid w:val="00867F95"/>
    <w:rsid w:val="008843B6"/>
    <w:rsid w:val="00891928"/>
    <w:rsid w:val="008A446D"/>
    <w:rsid w:val="008B25F1"/>
    <w:rsid w:val="008C79AA"/>
    <w:rsid w:val="008D180B"/>
    <w:rsid w:val="008E047A"/>
    <w:rsid w:val="008F0EA7"/>
    <w:rsid w:val="009104CA"/>
    <w:rsid w:val="009135D7"/>
    <w:rsid w:val="00923EEF"/>
    <w:rsid w:val="009419F9"/>
    <w:rsid w:val="0094292F"/>
    <w:rsid w:val="0095685E"/>
    <w:rsid w:val="00961B09"/>
    <w:rsid w:val="00965334"/>
    <w:rsid w:val="0097093E"/>
    <w:rsid w:val="00972088"/>
    <w:rsid w:val="009A0DFA"/>
    <w:rsid w:val="009A1C6F"/>
    <w:rsid w:val="009B2D26"/>
    <w:rsid w:val="009C71FA"/>
    <w:rsid w:val="009C72E7"/>
    <w:rsid w:val="009C7F7E"/>
    <w:rsid w:val="009D3058"/>
    <w:rsid w:val="009F3A13"/>
    <w:rsid w:val="00A122D3"/>
    <w:rsid w:val="00A14468"/>
    <w:rsid w:val="00A17F13"/>
    <w:rsid w:val="00A20739"/>
    <w:rsid w:val="00A23AF9"/>
    <w:rsid w:val="00A252D9"/>
    <w:rsid w:val="00A33C78"/>
    <w:rsid w:val="00AA18C8"/>
    <w:rsid w:val="00AB0ADB"/>
    <w:rsid w:val="00B00C0E"/>
    <w:rsid w:val="00B01B1A"/>
    <w:rsid w:val="00B0381D"/>
    <w:rsid w:val="00B05FB6"/>
    <w:rsid w:val="00B44A47"/>
    <w:rsid w:val="00B72CD3"/>
    <w:rsid w:val="00B72FFF"/>
    <w:rsid w:val="00BC3A5A"/>
    <w:rsid w:val="00BC3D36"/>
    <w:rsid w:val="00BD54A6"/>
    <w:rsid w:val="00BD7F72"/>
    <w:rsid w:val="00BF7425"/>
    <w:rsid w:val="00C04FB3"/>
    <w:rsid w:val="00C11D8B"/>
    <w:rsid w:val="00C15139"/>
    <w:rsid w:val="00C16F9E"/>
    <w:rsid w:val="00C330EB"/>
    <w:rsid w:val="00C50D69"/>
    <w:rsid w:val="00C5365C"/>
    <w:rsid w:val="00C71B18"/>
    <w:rsid w:val="00C754BE"/>
    <w:rsid w:val="00C76B1C"/>
    <w:rsid w:val="00C925AC"/>
    <w:rsid w:val="00CB6357"/>
    <w:rsid w:val="00CC1B26"/>
    <w:rsid w:val="00D361FD"/>
    <w:rsid w:val="00D423A2"/>
    <w:rsid w:val="00D44E26"/>
    <w:rsid w:val="00D520D8"/>
    <w:rsid w:val="00D63AC2"/>
    <w:rsid w:val="00D70825"/>
    <w:rsid w:val="00D73191"/>
    <w:rsid w:val="00D7383B"/>
    <w:rsid w:val="00D7788A"/>
    <w:rsid w:val="00DA231B"/>
    <w:rsid w:val="00DA7C9C"/>
    <w:rsid w:val="00DC39FC"/>
    <w:rsid w:val="00DF5254"/>
    <w:rsid w:val="00E02524"/>
    <w:rsid w:val="00E16408"/>
    <w:rsid w:val="00E20894"/>
    <w:rsid w:val="00E245AB"/>
    <w:rsid w:val="00E250FE"/>
    <w:rsid w:val="00E2764C"/>
    <w:rsid w:val="00E27F2E"/>
    <w:rsid w:val="00E50AFE"/>
    <w:rsid w:val="00E7100B"/>
    <w:rsid w:val="00E72DCA"/>
    <w:rsid w:val="00E75C92"/>
    <w:rsid w:val="00E771DC"/>
    <w:rsid w:val="00E8772A"/>
    <w:rsid w:val="00E90F6B"/>
    <w:rsid w:val="00E916C7"/>
    <w:rsid w:val="00E92C27"/>
    <w:rsid w:val="00EA0E3D"/>
    <w:rsid w:val="00EC38A7"/>
    <w:rsid w:val="00EE1AA8"/>
    <w:rsid w:val="00F23FEA"/>
    <w:rsid w:val="00F31EDC"/>
    <w:rsid w:val="00F462B3"/>
    <w:rsid w:val="00F5664F"/>
    <w:rsid w:val="00F666C4"/>
    <w:rsid w:val="00F76AFC"/>
    <w:rsid w:val="00F901A2"/>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List Paragraph"/>
    <w:basedOn w:val="Normal"/>
    <w:link w:val="PrrafodelistaCar"/>
    <w:uiPriority w:val="1"/>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C71B18"/>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1"/>
    <w:qFormat/>
    <w:locked/>
    <w:rsid w:val="00C71B18"/>
    <w:rPr>
      <w:rFonts w:ascii="Geomanist Light" w:hAnsi="Geomanist Ligh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ormacionvirtual.colombiacompra.gov.co/mod/page/view.php?id=3718" TargetMode="External"/><Relationship Id="rId18" Type="http://schemas.openxmlformats.org/officeDocument/2006/relationships/hyperlink" Target="https://forms.office.com/r/pPHyWVs2SZ"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relatoria.colombiacompra.gov.co/busqueda/conceptos" TargetMode="External"/><Relationship Id="rId17" Type="http://schemas.openxmlformats.org/officeDocument/2006/relationships/hyperlink" Target="https://www.colombiacompra.gov.co/pqrsd/informacion-importante-antes-de-formular-una-pqrsd" TargetMode="External"/><Relationship Id="rId2" Type="http://schemas.openxmlformats.org/officeDocument/2006/relationships/customXml" Target="../customXml/item2.xml"/><Relationship Id="rId16" Type="http://schemas.openxmlformats.org/officeDocument/2006/relationships/hyperlink" Target="mailto:ventanilladeradicacion@colombiacompra.gov.c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lof.garma-adq@policia.gov.co" TargetMode="External"/><Relationship Id="rId5" Type="http://schemas.openxmlformats.org/officeDocument/2006/relationships/styles" Target="styles.xml"/><Relationship Id="rId15"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lombiacompra.gov.co/normativa-y-relatoria/documentos-tipo"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colombiacompra.gov.co/sites/cce_public/files/cce_documents/cce_guia_competencia_0.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2.xml><?xml version="1.0" encoding="utf-8"?>
<ds:datastoreItem xmlns:ds="http://schemas.openxmlformats.org/officeDocument/2006/customXml" ds:itemID="{71A1CEA0-61C5-4FA1-A002-F4AC4B648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6</TotalTime>
  <Pages>27</Pages>
  <Words>8012</Words>
  <Characters>44068</Characters>
  <Application>Microsoft Office Word</Application>
  <DocSecurity>0</DocSecurity>
  <Lines>367</Lines>
  <Paragraphs>103</Paragraphs>
  <ScaleCrop>false</ScaleCrop>
  <Company/>
  <LinksUpToDate>false</LinksUpToDate>
  <CharactersWithSpaces>51977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Sergio Andrés Rivera Cano</cp:lastModifiedBy>
  <cp:revision>7</cp:revision>
  <cp:lastPrinted>2023-01-10T21:18:00Z</cp:lastPrinted>
  <dcterms:created xsi:type="dcterms:W3CDTF">2026-07-28T16:04:00Z</dcterms:created>
  <dcterms:modified xsi:type="dcterms:W3CDTF">2026-07-31T20:15:00Z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