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995BC" w14:textId="77777777" w:rsidR="00F67A3B" w:rsidRPr="00944770" w:rsidRDefault="00F67A3B" w:rsidP="00F67A3B">
      <w:pPr>
        <w:spacing w:after="0" w:line="240" w:lineRule="auto"/>
        <w:jc w:val="both"/>
        <w:rPr>
          <w:rFonts w:ascii="Verdana" w:eastAsia="Calibri" w:hAnsi="Verdana" w:cs="Arial"/>
          <w:b/>
          <w:color w:val="000000" w:themeColor="text1"/>
        </w:rPr>
      </w:pPr>
      <w:r w:rsidRPr="00944770">
        <w:rPr>
          <w:rFonts w:ascii="Verdana" w:eastAsia="Calibri" w:hAnsi="Verdana" w:cs="Arial"/>
          <w:b/>
          <w:color w:val="000000" w:themeColor="text1"/>
        </w:rPr>
        <w:t>CLÁUSULAS EXCEPCIONALES – Multas – Cláusula penal – Imposición unilateral</w:t>
      </w:r>
    </w:p>
    <w:p w14:paraId="33A246E8" w14:textId="77777777" w:rsidR="00F67A3B" w:rsidRPr="00944770" w:rsidRDefault="00F67A3B" w:rsidP="00F67A3B">
      <w:pPr>
        <w:spacing w:after="0" w:line="240" w:lineRule="auto"/>
        <w:jc w:val="both"/>
        <w:rPr>
          <w:rFonts w:ascii="Verdana" w:eastAsia="Calibri" w:hAnsi="Verdana" w:cs="Arial"/>
          <w:b/>
          <w:color w:val="000000" w:themeColor="text1"/>
          <w:sz w:val="20"/>
          <w:szCs w:val="20"/>
        </w:rPr>
      </w:pPr>
    </w:p>
    <w:p w14:paraId="738704A0" w14:textId="77777777" w:rsidR="00F67A3B" w:rsidRPr="00944770" w:rsidRDefault="00F67A3B" w:rsidP="00F67A3B">
      <w:pPr>
        <w:spacing w:after="0" w:line="240" w:lineRule="auto"/>
        <w:jc w:val="both"/>
        <w:rPr>
          <w:rFonts w:ascii="Verdana" w:eastAsia="Calibri" w:hAnsi="Verdana" w:cs="Arial"/>
          <w:color w:val="000000" w:themeColor="text1"/>
          <w:sz w:val="20"/>
          <w:szCs w:val="20"/>
        </w:rPr>
      </w:pPr>
      <w:r w:rsidRPr="00944770">
        <w:rPr>
          <w:rFonts w:ascii="Verdana" w:eastAsia="Calibri" w:hAnsi="Verdana" w:cs="Arial"/>
          <w:color w:val="000000" w:themeColor="text1"/>
          <w:sz w:val="20"/>
          <w:szCs w:val="20"/>
        </w:rPr>
        <w:t>El último grupo de potestades excepcionales –</w:t>
      </w:r>
      <w:r w:rsidRPr="00944770">
        <w:rPr>
          <w:rFonts w:ascii="Verdana" w:eastAsia="Calibri" w:hAnsi="Verdana" w:cs="Arial"/>
          <w:i/>
          <w:iCs/>
          <w:color w:val="000000" w:themeColor="text1"/>
          <w:sz w:val="20"/>
          <w:szCs w:val="20"/>
        </w:rPr>
        <w:t>imposición unilateral</w:t>
      </w:r>
      <w:r w:rsidRPr="00944770">
        <w:rPr>
          <w:rFonts w:ascii="Verdana" w:eastAsia="Calibri" w:hAnsi="Verdana" w:cs="Arial"/>
          <w:color w:val="000000" w:themeColor="text1"/>
          <w:sz w:val="20"/>
          <w:szCs w:val="20"/>
        </w:rPr>
        <w:t xml:space="preserve"> de la multa o la cláusula penal–, por el contrario, cuentan con una particular combinación entre el principio de legalidad y la autonomía de la voluntad, de tal suerte que si bien el legislador autorizó a las entidades para declarar el incumplimiento con la intención de multar al contratista para conminarlo al cumplimiento o para hacer efectiva la cláusula penal, es indispensable que uno u otro caso se hayan pactado en el contrato. No obstante, cumplido el requisito del pacto en el contrato, las entidades estatales sometidas al Estatuto General de Contratación de la Administración Pública –Leyes 80 de 1993 y 1150 de 2007, y sus modificaciones, en adelante EGCAP–, por ministerio de la ley –artículo 17 de la Ley 1150 de 2007–, se entienden investidas de la prerrogativa de imposición unilateral. Se reitera que la exorbitancia de las dos cláusulas transcritas –cláusula penal y multas– se refiere a su imposición unilateral; no a su pacto, que es posible en virtud de las normas civiles y comerciales.</w:t>
      </w:r>
    </w:p>
    <w:p w14:paraId="1DC95FDE" w14:textId="77777777" w:rsidR="00F67A3B" w:rsidRPr="00944770" w:rsidRDefault="00F67A3B" w:rsidP="00F67A3B">
      <w:pPr>
        <w:spacing w:after="0" w:line="240" w:lineRule="auto"/>
        <w:jc w:val="both"/>
        <w:rPr>
          <w:rFonts w:ascii="Verdana" w:eastAsia="Calibri" w:hAnsi="Verdana" w:cs="Arial"/>
          <w:color w:val="000000" w:themeColor="text1"/>
          <w:sz w:val="20"/>
          <w:szCs w:val="20"/>
        </w:rPr>
      </w:pPr>
    </w:p>
    <w:p w14:paraId="516F9726" w14:textId="77777777" w:rsidR="00F67A3B" w:rsidRPr="00944770" w:rsidRDefault="00F67A3B" w:rsidP="00F67A3B">
      <w:pPr>
        <w:spacing w:after="0" w:line="240" w:lineRule="auto"/>
        <w:jc w:val="both"/>
        <w:rPr>
          <w:rFonts w:ascii="Verdana" w:eastAsia="Calibri" w:hAnsi="Verdana" w:cs="Arial"/>
          <w:b/>
          <w:bCs/>
          <w:color w:val="000000" w:themeColor="text1"/>
        </w:rPr>
      </w:pPr>
      <w:r w:rsidRPr="00944770">
        <w:rPr>
          <w:rFonts w:ascii="Verdana" w:eastAsia="Calibri" w:hAnsi="Verdana" w:cs="Arial"/>
          <w:b/>
          <w:bCs/>
          <w:color w:val="000000" w:themeColor="text1"/>
        </w:rPr>
        <w:t xml:space="preserve">PROCEDIMIENTO SANCIONATORIO CONTRACTUAL – Etapas – trámite </w:t>
      </w:r>
    </w:p>
    <w:p w14:paraId="41065BEE" w14:textId="77777777" w:rsidR="00F67A3B" w:rsidRPr="00944770" w:rsidRDefault="00F67A3B" w:rsidP="00F67A3B">
      <w:pPr>
        <w:spacing w:after="0" w:line="240" w:lineRule="auto"/>
        <w:jc w:val="both"/>
        <w:rPr>
          <w:rFonts w:ascii="Verdana" w:eastAsia="Calibri" w:hAnsi="Verdana" w:cs="Arial"/>
          <w:color w:val="000000" w:themeColor="text1"/>
          <w:sz w:val="20"/>
          <w:szCs w:val="20"/>
        </w:rPr>
      </w:pPr>
    </w:p>
    <w:p w14:paraId="2C018C1C" w14:textId="77777777" w:rsidR="00F67A3B" w:rsidRPr="00944770" w:rsidRDefault="00F67A3B" w:rsidP="00F67A3B">
      <w:pPr>
        <w:spacing w:after="0" w:line="240" w:lineRule="auto"/>
        <w:ind w:right="142"/>
        <w:jc w:val="both"/>
        <w:rPr>
          <w:rFonts w:ascii="Verdana" w:hAnsi="Verdana" w:cs="Arial"/>
          <w:iCs/>
          <w:color w:val="000000" w:themeColor="text1"/>
          <w:sz w:val="20"/>
          <w:szCs w:val="20"/>
        </w:rPr>
      </w:pPr>
      <w:r w:rsidRPr="00944770">
        <w:rPr>
          <w:rFonts w:ascii="Verdana" w:hAnsi="Verdana" w:cs="Arial"/>
          <w:iCs/>
          <w:color w:val="000000" w:themeColor="text1"/>
          <w:sz w:val="20"/>
          <w:szCs w:val="20"/>
        </w:rPr>
        <w:t>Igualmente, la Ley 1474 de 2011 contempla la posibilidad de declarar el incumplimiento cuantificando los perjuicios del mismo, claro está, previa citación del contratista y respetando el debido proceso. Al respecto, el artículo 86 de la Ley 1474 de 2011 establece las etapas del procedimiento que se deben seguir:  i) c</w:t>
      </w:r>
      <w:r w:rsidRPr="00944770">
        <w:rPr>
          <w:rFonts w:ascii="Verdana" w:hAnsi="Verdana" w:cs="Arial"/>
          <w:i/>
          <w:iCs/>
          <w:color w:val="000000" w:themeColor="text1"/>
          <w:sz w:val="20"/>
          <w:szCs w:val="20"/>
        </w:rPr>
        <w:t>itación a audiencia</w:t>
      </w:r>
      <w:r w:rsidRPr="00944770">
        <w:rPr>
          <w:rFonts w:ascii="Verdana" w:hAnsi="Verdana" w:cs="Arial"/>
          <w:iCs/>
          <w:color w:val="000000" w:themeColor="text1"/>
          <w:sz w:val="20"/>
          <w:szCs w:val="20"/>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w:t>
      </w:r>
      <w:proofErr w:type="spellStart"/>
      <w:r w:rsidRPr="00944770">
        <w:rPr>
          <w:rFonts w:ascii="Verdana" w:hAnsi="Verdana" w:cs="Arial"/>
          <w:iCs/>
          <w:color w:val="000000" w:themeColor="text1"/>
          <w:sz w:val="20"/>
          <w:szCs w:val="20"/>
        </w:rPr>
        <w:t>ii</w:t>
      </w:r>
      <w:proofErr w:type="spellEnd"/>
      <w:r w:rsidRPr="00944770">
        <w:rPr>
          <w:rFonts w:ascii="Verdana" w:hAnsi="Verdana" w:cs="Arial"/>
          <w:iCs/>
          <w:color w:val="000000" w:themeColor="text1"/>
          <w:sz w:val="20"/>
          <w:szCs w:val="20"/>
        </w:rPr>
        <w:t xml:space="preserve">) </w:t>
      </w:r>
      <w:r w:rsidRPr="00944770">
        <w:rPr>
          <w:rFonts w:ascii="Verdana" w:hAnsi="Verdana" w:cs="Arial"/>
          <w:i/>
          <w:iCs/>
          <w:color w:val="000000" w:themeColor="text1"/>
          <w:sz w:val="20"/>
          <w:szCs w:val="20"/>
        </w:rPr>
        <w:t>Audiencia</w:t>
      </w:r>
      <w:r w:rsidRPr="00944770">
        <w:rPr>
          <w:rFonts w:ascii="Verdana" w:hAnsi="Verdana" w:cs="Arial"/>
          <w:iCs/>
          <w:color w:val="000000" w:themeColor="text1"/>
          <w:sz w:val="20"/>
          <w:szCs w:val="20"/>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w:t>
      </w:r>
      <w:proofErr w:type="spellStart"/>
      <w:r w:rsidRPr="00944770">
        <w:rPr>
          <w:rFonts w:ascii="Verdana" w:hAnsi="Verdana" w:cs="Arial"/>
          <w:iCs/>
          <w:color w:val="000000" w:themeColor="text1"/>
          <w:sz w:val="20"/>
          <w:szCs w:val="20"/>
        </w:rPr>
        <w:t>iii</w:t>
      </w:r>
      <w:proofErr w:type="spellEnd"/>
      <w:r w:rsidRPr="00944770">
        <w:rPr>
          <w:rFonts w:ascii="Verdana" w:hAnsi="Verdana" w:cs="Arial"/>
          <w:iCs/>
          <w:color w:val="000000" w:themeColor="text1"/>
          <w:sz w:val="20"/>
          <w:szCs w:val="20"/>
        </w:rPr>
        <w:t xml:space="preserve">) </w:t>
      </w:r>
      <w:r w:rsidRPr="00944770">
        <w:rPr>
          <w:rFonts w:ascii="Verdana" w:hAnsi="Verdana" w:cs="Arial"/>
          <w:i/>
          <w:iCs/>
          <w:color w:val="000000" w:themeColor="text1"/>
          <w:sz w:val="20"/>
          <w:szCs w:val="20"/>
        </w:rPr>
        <w:t>Decisión</w:t>
      </w:r>
      <w:r w:rsidRPr="00944770">
        <w:rPr>
          <w:rFonts w:ascii="Verdana" w:hAnsi="Verdana" w:cs="Arial"/>
          <w:iCs/>
          <w:color w:val="000000" w:themeColor="text1"/>
          <w:sz w:val="20"/>
          <w:szCs w:val="20"/>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5268CF0F" w14:textId="77777777" w:rsidR="00F67A3B" w:rsidRPr="00944770" w:rsidRDefault="00F67A3B" w:rsidP="00F67A3B">
      <w:pPr>
        <w:spacing w:after="0" w:line="240" w:lineRule="auto"/>
        <w:jc w:val="both"/>
        <w:rPr>
          <w:rFonts w:ascii="Verdana" w:hAnsi="Verdana" w:cs="Arial"/>
          <w:b/>
          <w:bCs/>
          <w:iCs/>
          <w:color w:val="000000" w:themeColor="text1"/>
          <w:sz w:val="20"/>
          <w:szCs w:val="20"/>
        </w:rPr>
      </w:pPr>
    </w:p>
    <w:p w14:paraId="19DC57D4" w14:textId="42883F7F" w:rsidR="00F67A3B" w:rsidRPr="00944770" w:rsidRDefault="00F67A3B" w:rsidP="00F67A3B">
      <w:pPr>
        <w:spacing w:after="0" w:line="240" w:lineRule="auto"/>
        <w:jc w:val="both"/>
        <w:rPr>
          <w:rFonts w:ascii="Verdana" w:eastAsia="Calibri" w:hAnsi="Verdana" w:cs="Arial"/>
          <w:b/>
          <w:color w:val="000000" w:themeColor="text1"/>
        </w:rPr>
      </w:pPr>
      <w:r w:rsidRPr="00944770">
        <w:rPr>
          <w:rFonts w:ascii="Verdana" w:eastAsia="Calibri" w:hAnsi="Verdana" w:cs="Arial"/>
          <w:b/>
          <w:color w:val="000000" w:themeColor="text1"/>
        </w:rPr>
        <w:t xml:space="preserve">CLÁUSULAS PENALES Y MULTAS – Imposición unilateral – Proporcionalidad – Régimen jurídico – Derecho privado </w:t>
      </w:r>
    </w:p>
    <w:p w14:paraId="352230A4" w14:textId="77777777" w:rsidR="00F67A3B" w:rsidRPr="00944770" w:rsidRDefault="00F67A3B" w:rsidP="00F67A3B">
      <w:pPr>
        <w:spacing w:after="0" w:line="240" w:lineRule="auto"/>
        <w:jc w:val="both"/>
        <w:rPr>
          <w:rFonts w:ascii="Verdana" w:eastAsia="Calibri" w:hAnsi="Verdana" w:cs="Arial"/>
          <w:bCs/>
          <w:color w:val="000000" w:themeColor="text1"/>
          <w:sz w:val="20"/>
          <w:szCs w:val="20"/>
        </w:rPr>
      </w:pPr>
    </w:p>
    <w:p w14:paraId="7BB0C822" w14:textId="77777777" w:rsidR="00F67A3B" w:rsidRPr="00944770" w:rsidRDefault="00F67A3B" w:rsidP="00F67A3B">
      <w:pPr>
        <w:spacing w:after="0" w:line="240" w:lineRule="auto"/>
        <w:jc w:val="both"/>
        <w:rPr>
          <w:rFonts w:ascii="Verdana" w:hAnsi="Verdana" w:cs="Arial"/>
          <w:iCs/>
          <w:color w:val="000000" w:themeColor="text1"/>
          <w:sz w:val="20"/>
          <w:szCs w:val="20"/>
          <w:lang w:val="es-ES_tradnl"/>
        </w:rPr>
      </w:pPr>
      <w:r w:rsidRPr="00944770">
        <w:rPr>
          <w:rFonts w:ascii="Verdana" w:hAnsi="Verdana" w:cs="Arial"/>
          <w:iCs/>
          <w:color w:val="000000" w:themeColor="text1"/>
          <w:sz w:val="20"/>
          <w:szCs w:val="20"/>
          <w:lang w:val="es-ES_tradnl"/>
        </w:rPr>
        <w:t xml:space="preserve">[…] Frente a la </w:t>
      </w:r>
      <w:r w:rsidRPr="00944770">
        <w:rPr>
          <w:rFonts w:ascii="Verdana" w:hAnsi="Verdana" w:cs="Arial"/>
          <w:i/>
          <w:color w:val="000000" w:themeColor="text1"/>
          <w:sz w:val="20"/>
          <w:szCs w:val="20"/>
          <w:lang w:val="es-ES_tradnl"/>
        </w:rPr>
        <w:t xml:space="preserve">imposición unilateral </w:t>
      </w:r>
      <w:r w:rsidRPr="00944770">
        <w:rPr>
          <w:rFonts w:ascii="Verdana" w:hAnsi="Verdana" w:cs="Arial"/>
          <w:iCs/>
          <w:color w:val="000000" w:themeColor="text1"/>
          <w:sz w:val="20"/>
          <w:szCs w:val="20"/>
          <w:lang w:val="es-ES_tradnl"/>
        </w:rPr>
        <w:t xml:space="preserve">de las cláusulas penales y de multas, en relación con la graduación de las sanciones en los procedimientos administrativos sancionatorios contractuales, cabe destacar el artículo 50 de la Ley 1437 de 2011 –en adelante, </w:t>
      </w:r>
      <w:r w:rsidRPr="00944770">
        <w:rPr>
          <w:rFonts w:ascii="Verdana" w:hAnsi="Verdana" w:cs="Arial"/>
          <w:iCs/>
          <w:color w:val="000000" w:themeColor="text1"/>
          <w:sz w:val="20"/>
          <w:szCs w:val="20"/>
          <w:lang w:val="es-ES_tradnl"/>
        </w:rPr>
        <w:lastRenderedPageBreak/>
        <w:t>también, CPACA–, norma que contiene “criterios de graduación de las sanciones”. Sin embargo, se debe precisar que solo se puede acudir a los criterios allí establecidos “cuando resultaren aplicables”, lo cual, a nuestro juicio, deriva en la inaplicación de dichos criterios en estos procedimientos contractuales, porque se debe acudir a los criterios establecidos en las disposiciones civiles y comerciales, por disposición de los artículos 13, 32 y 40 de la Ley 80 de 1993. Lo que, a su vez, se sustenta en el parágrafo del artículo 47 del CPACA que establece, en relación con el procedimiento administrativo sancionatorio general, que: “Las actuaciones administrativas contractuales sancionatorias, incluyendo los recursos, se regirán por lo dispuesto en las normas especiales sobre la materia”. De modo que en relación con este aspecto concreto, al existir regulación especial en otras leyes, se deben aplicar dichos criterios de proporcionalidad.</w:t>
      </w:r>
    </w:p>
    <w:p w14:paraId="47FAC845" w14:textId="77777777" w:rsidR="00F67A3B" w:rsidRPr="00944770" w:rsidRDefault="00F67A3B" w:rsidP="00F67A3B">
      <w:pPr>
        <w:spacing w:after="0" w:line="240" w:lineRule="auto"/>
        <w:jc w:val="both"/>
        <w:rPr>
          <w:rFonts w:ascii="Verdana" w:hAnsi="Verdana" w:cs="Arial"/>
          <w:iCs/>
          <w:color w:val="000000" w:themeColor="text1"/>
          <w:sz w:val="20"/>
          <w:szCs w:val="20"/>
          <w:lang w:val="es-ES_tradnl"/>
        </w:rPr>
      </w:pPr>
    </w:p>
    <w:p w14:paraId="7AE1EBEF" w14:textId="77777777" w:rsidR="00F67A3B" w:rsidRPr="00944770" w:rsidRDefault="00F67A3B" w:rsidP="00F67A3B">
      <w:pPr>
        <w:spacing w:after="0" w:line="240" w:lineRule="auto"/>
        <w:jc w:val="both"/>
        <w:rPr>
          <w:rFonts w:ascii="Verdana" w:eastAsia="Calibri" w:hAnsi="Verdana" w:cs="Arial"/>
          <w:bCs/>
          <w:color w:val="000000" w:themeColor="text1"/>
          <w:sz w:val="20"/>
          <w:szCs w:val="20"/>
        </w:rPr>
      </w:pPr>
      <w:r w:rsidRPr="00944770">
        <w:rPr>
          <w:rFonts w:ascii="Verdana" w:hAnsi="Verdana" w:cs="Arial"/>
          <w:iCs/>
          <w:color w:val="000000" w:themeColor="text1"/>
          <w:sz w:val="20"/>
          <w:szCs w:val="20"/>
          <w:lang w:val="es-ES_tradnl"/>
        </w:rPr>
        <w:t xml:space="preserve">En efecto, en el procedimiento sancionatorio contractual las entidades estatales deben actuar de acuerdo con el principio de proporcionalidad para “graduar las sanciones”. En tal sentido, primero se deben atender las circunstancias de cada caso en particular y revisar cuidadosamente la forma como se pactaron las penalidades asociadas al incumplimiento en el contrato. Sin perjuicio de lo anterior, también se deben tener en cuenta las normas de derecho privado a las que remite la Ley 80 de 1993 –art. 32, 40 y 13, particularmente– y que complementan dicho estatuto contractual; de manera que, en relación con el principio de proporcionalidad y la graduación de las sanciones, resulta especialmente relevante destacar los artículos 1596 del Código Civil y 867 del Código de Comercio, los cuales contienen los parámetros para tasar el monto de las </w:t>
      </w:r>
      <w:r w:rsidRPr="00944770">
        <w:rPr>
          <w:rFonts w:ascii="Verdana" w:hAnsi="Verdana" w:cs="Arial"/>
          <w:i/>
          <w:color w:val="000000" w:themeColor="text1"/>
          <w:sz w:val="20"/>
          <w:szCs w:val="20"/>
          <w:lang w:val="es-ES_tradnl"/>
        </w:rPr>
        <w:t xml:space="preserve">penas </w:t>
      </w:r>
      <w:r w:rsidRPr="00944770">
        <w:rPr>
          <w:rFonts w:ascii="Verdana" w:hAnsi="Verdana" w:cs="Arial"/>
          <w:iCs/>
          <w:color w:val="000000" w:themeColor="text1"/>
          <w:sz w:val="20"/>
          <w:szCs w:val="20"/>
          <w:lang w:val="es-ES_tradnl"/>
        </w:rPr>
        <w:t>a imponer pactadas en el contrato; disposiciones que deben ser observadas por las entidades estatales en los procedimientos sancionatorios, so pena de que, en caso de demandarse su nulidad, el juez declare la nulidad parcial de los actos administrativos que aplican dichas cláusulas contractuales.</w:t>
      </w:r>
    </w:p>
    <w:p w14:paraId="463674AD" w14:textId="77777777" w:rsidR="00F67A3B" w:rsidRDefault="00F67A3B" w:rsidP="0051671F">
      <w:pPr>
        <w:spacing w:after="0" w:line="240" w:lineRule="auto"/>
        <w:rPr>
          <w:rFonts w:ascii="Verdana" w:eastAsia="Geomanist Light" w:hAnsi="Verdana" w:cs="Arial"/>
          <w:color w:val="000000" w:themeColor="text1"/>
        </w:rPr>
      </w:pPr>
    </w:p>
    <w:p w14:paraId="50566F34" w14:textId="77777777" w:rsidR="00F67A3B" w:rsidRPr="00377527" w:rsidRDefault="00F67A3B" w:rsidP="00F67A3B">
      <w:pPr>
        <w:spacing w:after="0" w:line="240" w:lineRule="auto"/>
        <w:jc w:val="both"/>
        <w:rPr>
          <w:rFonts w:ascii="Verdana" w:hAnsi="Verdana" w:cs="Arial"/>
          <w:b/>
          <w:bCs/>
          <w:iCs/>
          <w:color w:val="000000" w:themeColor="text1"/>
          <w:lang w:val="es-ES_tradnl"/>
        </w:rPr>
      </w:pPr>
      <w:r w:rsidRPr="00377527">
        <w:rPr>
          <w:rFonts w:ascii="Verdana" w:hAnsi="Verdana" w:cs="Arial"/>
          <w:b/>
          <w:bCs/>
          <w:iCs/>
          <w:color w:val="000000" w:themeColor="text1"/>
          <w:lang w:val="es-ES_tradnl"/>
        </w:rPr>
        <w:t xml:space="preserve">INFORME DE SUPERVISIÓN – Requerimientos previos – Alcance </w:t>
      </w:r>
    </w:p>
    <w:p w14:paraId="3249AAAE" w14:textId="77777777" w:rsidR="00377527" w:rsidRPr="00377527" w:rsidRDefault="00377527" w:rsidP="00F67A3B">
      <w:pPr>
        <w:spacing w:after="0" w:line="240" w:lineRule="auto"/>
        <w:jc w:val="both"/>
        <w:rPr>
          <w:rFonts w:ascii="Verdana" w:hAnsi="Verdana" w:cs="Arial"/>
          <w:iCs/>
          <w:color w:val="000000" w:themeColor="text1"/>
          <w:sz w:val="20"/>
          <w:szCs w:val="20"/>
          <w:lang w:val="es-ES_tradnl"/>
        </w:rPr>
      </w:pPr>
    </w:p>
    <w:p w14:paraId="736BBAE2" w14:textId="25FEDB3D" w:rsidR="00377527" w:rsidRPr="00377527" w:rsidRDefault="00377527" w:rsidP="00F67A3B">
      <w:pPr>
        <w:spacing w:after="0" w:line="240" w:lineRule="auto"/>
        <w:jc w:val="both"/>
        <w:rPr>
          <w:rFonts w:ascii="Verdana" w:hAnsi="Verdana" w:cs="Arial"/>
          <w:iCs/>
          <w:color w:val="000000" w:themeColor="text1"/>
          <w:sz w:val="20"/>
          <w:szCs w:val="20"/>
          <w:lang w:val="es-ES_tradnl"/>
        </w:rPr>
      </w:pPr>
      <w:r>
        <w:rPr>
          <w:rFonts w:ascii="Verdana" w:hAnsi="Verdana" w:cs="Arial"/>
          <w:iCs/>
          <w:color w:val="000000" w:themeColor="text1"/>
          <w:sz w:val="20"/>
          <w:szCs w:val="20"/>
          <w:lang w:val="es-ES_tradnl"/>
        </w:rPr>
        <w:t>El</w:t>
      </w:r>
      <w:r w:rsidRPr="00377527">
        <w:rPr>
          <w:rFonts w:ascii="Verdana" w:hAnsi="Verdana" w:cs="Arial"/>
          <w:iCs/>
          <w:color w:val="000000" w:themeColor="text1"/>
          <w:sz w:val="20"/>
          <w:szCs w:val="20"/>
          <w:lang w:val="es-ES_tradnl"/>
        </w:rPr>
        <w:t xml:space="preserve"> artículo 86 de la Ley 1474 de 2011 no contempla, como requisito de procedibilidad de la actuación, la existencia de requerimientos previos dirigidos al contratista con anterioridad al informe de supervisión o interventoría, pues el derecho de defensa se garantiza a partir de la citación a audiencia, momento en el cual el contratista conoce de manera expresa y detallada los hechos, las normas o cláusulas presuntamente violadas y las consecuencias que podrían derivarse. En consecuencia, la sola ausencia de requerimientos previos no constituye, por sí misma, un vicio del procedimiento ni causal de nulidad del acto administrativo que declare el incumplimiento. Ello no torna jurídicamente indiferente la actuación de la supervisión: el informe constituye el soporte probatorio de la decisión, de modo que su insuficiencia o falta de respaldo material puede derivar en falsa motivación del acto; si el contrato, sus anexos o el manual de supervisión de la entidad prevén requerimientos previos, su omisión comporta la inobservancia de reglas que la propia entidad se dio y puede incidir en la legalidad de la decisión; deben verificarse las reglas sobre constitución en mora del deudor conforme al artículo 1608 del Código Civil, según la naturaleza de la obligación incumplida y lo pactado sobre el plazo; y la conducta precedente de la entidad —en particular la recepción sin objeción </w:t>
      </w:r>
      <w:r w:rsidRPr="00377527">
        <w:rPr>
          <w:rFonts w:ascii="Verdana" w:hAnsi="Verdana" w:cs="Arial"/>
          <w:iCs/>
          <w:color w:val="000000" w:themeColor="text1"/>
          <w:sz w:val="20"/>
          <w:szCs w:val="20"/>
          <w:lang w:val="es-ES_tradnl"/>
        </w:rPr>
        <w:lastRenderedPageBreak/>
        <w:t>de prestaciones ejecutadas de manera tardía o defectuosa— resulta relevante a la luz del principio de buena fe contractual</w:t>
      </w:r>
    </w:p>
    <w:p w14:paraId="350A670A" w14:textId="77777777" w:rsidR="00F67A3B" w:rsidRPr="00377527" w:rsidRDefault="00F67A3B" w:rsidP="00F67A3B">
      <w:pPr>
        <w:spacing w:after="0" w:line="240" w:lineRule="auto"/>
        <w:jc w:val="both"/>
        <w:rPr>
          <w:rFonts w:ascii="Verdana" w:hAnsi="Verdana" w:cs="Arial"/>
          <w:iCs/>
          <w:color w:val="000000" w:themeColor="text1"/>
          <w:sz w:val="20"/>
          <w:szCs w:val="20"/>
          <w:lang w:val="es-ES_tradnl"/>
        </w:rPr>
      </w:pPr>
    </w:p>
    <w:p w14:paraId="7C5F911A" w14:textId="77777777" w:rsidR="00F67A3B" w:rsidRPr="00377527" w:rsidRDefault="00F67A3B" w:rsidP="00F67A3B">
      <w:pPr>
        <w:spacing w:after="0" w:line="240" w:lineRule="auto"/>
        <w:jc w:val="both"/>
        <w:rPr>
          <w:rFonts w:ascii="Verdana" w:hAnsi="Verdana" w:cs="Arial"/>
          <w:b/>
          <w:bCs/>
          <w:iCs/>
          <w:color w:val="000000" w:themeColor="text1"/>
          <w:lang w:val="es-ES_tradnl"/>
        </w:rPr>
      </w:pPr>
      <w:r w:rsidRPr="00377527">
        <w:rPr>
          <w:rFonts w:ascii="Verdana" w:hAnsi="Verdana" w:cs="Arial"/>
          <w:b/>
          <w:bCs/>
          <w:iCs/>
          <w:color w:val="000000" w:themeColor="text1"/>
          <w:lang w:val="es-ES_tradnl"/>
        </w:rPr>
        <w:t>INCUMPLIMIENTO PARCIAL – Reducción proporcional de la pena – Artículo 1596 del Código Civil</w:t>
      </w:r>
    </w:p>
    <w:p w14:paraId="76A64708" w14:textId="77777777" w:rsidR="00377527" w:rsidRDefault="00377527" w:rsidP="00F67A3B">
      <w:pPr>
        <w:spacing w:after="0" w:line="240" w:lineRule="auto"/>
        <w:jc w:val="both"/>
        <w:rPr>
          <w:rFonts w:ascii="Verdana" w:hAnsi="Verdana" w:cs="Arial"/>
          <w:iCs/>
          <w:color w:val="000000" w:themeColor="text1"/>
          <w:sz w:val="20"/>
          <w:szCs w:val="20"/>
          <w:lang w:val="es-ES_tradnl"/>
        </w:rPr>
      </w:pPr>
    </w:p>
    <w:p w14:paraId="6C74248F" w14:textId="05C245FB" w:rsidR="00377527" w:rsidRPr="00377527" w:rsidRDefault="00377527" w:rsidP="00F67A3B">
      <w:pPr>
        <w:spacing w:after="0" w:line="240" w:lineRule="auto"/>
        <w:jc w:val="both"/>
        <w:rPr>
          <w:rFonts w:ascii="Verdana" w:hAnsi="Verdana" w:cs="Arial"/>
          <w:iCs/>
          <w:color w:val="000000" w:themeColor="text1"/>
          <w:sz w:val="20"/>
          <w:szCs w:val="20"/>
          <w:lang w:val="es-ES_tradnl"/>
        </w:rPr>
      </w:pPr>
      <w:r w:rsidRPr="00377527">
        <w:rPr>
          <w:rFonts w:ascii="Verdana" w:hAnsi="Verdana" w:cs="Arial"/>
          <w:iCs/>
          <w:color w:val="000000" w:themeColor="text1"/>
          <w:sz w:val="20"/>
          <w:szCs w:val="20"/>
          <w:lang w:val="es-ES_tradnl"/>
        </w:rPr>
        <w:t>Como la cláusula penal es una tasación anticipada de perjuicios, puede que el monto estipulado sea excesivo, considerando que puede presentarse una ejecución parcial del contrato. En este caso, en congruencia con el precitado artículo 1596 del Código Civil, “Si el deudor cumple solamente una parte de la obligación principal y el acreedor acepta esta parte, tendrá derecho para que se rebaje proporcionalmente la pena estipulada por falta de cumplimiento de la obligación principal”. Conviene subrayar que la norma condiciona la rebaja proporcional a que el acreedor acepte la parte ejecutada: la reducción no opera de manera automática por el solo hecho de existir ejecución parcial, sino que requiere que la entidad haya recibido esa parte del objeto contractual y que dicha recepción resulte útil a la satisfacción de la necesidad que motivó la contratación. A la inversa, si la entidad no acepta la ejecución parcial —señaladamente cuando el objeto es indivisible y solo le sirve su ejecución completa—, la pena se debe íntegramente.  Así, la entidad que pretenda aplicar la cláusula penal deberá determinar los perjuicios en atención a razones objetivas, razonables y proporcionales de acuerdo con lo sucedido.</w:t>
      </w:r>
    </w:p>
    <w:p w14:paraId="52CD84F9" w14:textId="77777777" w:rsidR="00F67A3B" w:rsidRPr="00377527" w:rsidRDefault="00F67A3B" w:rsidP="00F67A3B">
      <w:pPr>
        <w:spacing w:after="0" w:line="240" w:lineRule="auto"/>
        <w:jc w:val="both"/>
        <w:rPr>
          <w:rFonts w:ascii="Verdana" w:hAnsi="Verdana" w:cs="Arial"/>
          <w:iCs/>
          <w:color w:val="000000" w:themeColor="text1"/>
          <w:sz w:val="20"/>
          <w:szCs w:val="20"/>
          <w:lang w:val="es-ES_tradnl"/>
        </w:rPr>
      </w:pPr>
    </w:p>
    <w:p w14:paraId="6CA03337" w14:textId="607BD0F0" w:rsidR="00F67A3B" w:rsidRPr="00377527" w:rsidRDefault="00F67A3B" w:rsidP="00F67A3B">
      <w:pPr>
        <w:spacing w:after="0" w:line="240" w:lineRule="auto"/>
        <w:jc w:val="both"/>
        <w:rPr>
          <w:rFonts w:ascii="Verdana" w:hAnsi="Verdana" w:cs="Arial"/>
          <w:b/>
          <w:bCs/>
          <w:iCs/>
          <w:color w:val="000000" w:themeColor="text1"/>
          <w:lang w:val="es-ES_tradnl"/>
        </w:rPr>
      </w:pPr>
      <w:r w:rsidRPr="00377527">
        <w:rPr>
          <w:rFonts w:ascii="Verdana" w:hAnsi="Verdana" w:cs="Arial"/>
          <w:b/>
          <w:bCs/>
          <w:iCs/>
          <w:color w:val="000000" w:themeColor="text1"/>
          <w:lang w:val="es-ES_tradnl"/>
        </w:rPr>
        <w:t>MULTAS Y CLÁUSULA PENAL – Oportunidad para su imposición</w:t>
      </w:r>
    </w:p>
    <w:p w14:paraId="168D2496" w14:textId="77777777" w:rsidR="00377527" w:rsidRDefault="00377527" w:rsidP="00F67A3B">
      <w:pPr>
        <w:spacing w:after="0" w:line="240" w:lineRule="auto"/>
        <w:jc w:val="both"/>
        <w:rPr>
          <w:rFonts w:ascii="Verdana" w:hAnsi="Verdana" w:cs="Arial"/>
          <w:iCs/>
          <w:color w:val="000000" w:themeColor="text1"/>
          <w:sz w:val="20"/>
          <w:szCs w:val="20"/>
          <w:lang w:val="es-ES_tradnl"/>
        </w:rPr>
      </w:pPr>
    </w:p>
    <w:p w14:paraId="75236C38" w14:textId="784166D9" w:rsidR="00377527" w:rsidRPr="00377527" w:rsidRDefault="00377527" w:rsidP="00F67A3B">
      <w:pPr>
        <w:spacing w:after="0" w:line="240" w:lineRule="auto"/>
        <w:jc w:val="both"/>
        <w:rPr>
          <w:rFonts w:ascii="Verdana" w:hAnsi="Verdana" w:cs="Arial"/>
          <w:iCs/>
          <w:color w:val="000000" w:themeColor="text1"/>
          <w:sz w:val="20"/>
          <w:szCs w:val="20"/>
          <w:lang w:val="es-ES_tradnl"/>
        </w:rPr>
      </w:pPr>
      <w:r w:rsidRPr="00377527">
        <w:rPr>
          <w:rFonts w:ascii="Verdana" w:hAnsi="Verdana" w:cs="Arial"/>
          <w:iCs/>
          <w:color w:val="000000" w:themeColor="text1"/>
          <w:sz w:val="20"/>
          <w:szCs w:val="20"/>
          <w:lang w:val="es-ES_tradnl"/>
        </w:rPr>
        <w:t>El artículo 17 de la Ley 1150 de 2007 condiciona expresamente la imposición unilateral de multas a que se halle pendiente la ejecución de las obligaciones a cargo del contratista, en coherencia con su naturaleza conminatoria: extinguido el plazo de ejecución, el apremio carece de objeto. La cláusula penal pecuniaria, en cambio, opera como tasación anticipada de perjuicios frente a un incumplimiento definitivo, por lo que su imposición unilateral procede mientras la entidad conserve competencia sobre la relación contractual, esto es, hasta la liquidación del contrato; vencida esa oportunidad, la entidad no pierde el derecho al resarcimiento, pero deberá perseguirlo ante el juez del contrato. En consecuencia, mientras el contrato se encuentra en ejecución y la conminación al cumplimiento conserva utilidad, el mecanismo procedente es la multa; configurado el incumplimiento definitivo, procede la cláusula penal pecuniaria, reducida en la proporción que corresponda conforme a lo expuesto.</w:t>
      </w:r>
    </w:p>
    <w:p w14:paraId="357FAD0C" w14:textId="77777777" w:rsidR="00F67A3B" w:rsidRDefault="00F67A3B" w:rsidP="0051671F">
      <w:pPr>
        <w:spacing w:after="0" w:line="240" w:lineRule="auto"/>
        <w:rPr>
          <w:rFonts w:ascii="Verdana" w:eastAsia="Geomanist Light" w:hAnsi="Verdana" w:cs="Arial"/>
          <w:color w:val="000000" w:themeColor="text1"/>
        </w:rPr>
      </w:pPr>
    </w:p>
    <w:p w14:paraId="7048189F" w14:textId="77777777" w:rsidR="00F67A3B" w:rsidRDefault="00F67A3B" w:rsidP="0051671F">
      <w:pPr>
        <w:spacing w:after="0" w:line="240" w:lineRule="auto"/>
        <w:rPr>
          <w:rFonts w:ascii="Verdana" w:eastAsia="Geomanist Light" w:hAnsi="Verdana" w:cs="Arial"/>
          <w:color w:val="000000" w:themeColor="text1"/>
        </w:rPr>
      </w:pPr>
    </w:p>
    <w:p w14:paraId="39C14E45" w14:textId="77777777" w:rsidR="00F67A3B" w:rsidRDefault="00F67A3B" w:rsidP="0051671F">
      <w:pPr>
        <w:spacing w:after="0" w:line="240" w:lineRule="auto"/>
        <w:rPr>
          <w:rFonts w:ascii="Verdana" w:eastAsia="Geomanist Light" w:hAnsi="Verdana" w:cs="Arial"/>
          <w:color w:val="000000" w:themeColor="text1"/>
        </w:rPr>
      </w:pPr>
    </w:p>
    <w:p w14:paraId="252C630D" w14:textId="77777777" w:rsidR="00F67A3B" w:rsidRDefault="00F67A3B" w:rsidP="0051671F">
      <w:pPr>
        <w:spacing w:after="0" w:line="240" w:lineRule="auto"/>
        <w:rPr>
          <w:rFonts w:ascii="Verdana" w:eastAsia="Geomanist Light" w:hAnsi="Verdana" w:cs="Arial"/>
          <w:color w:val="000000" w:themeColor="text1"/>
        </w:rPr>
      </w:pPr>
    </w:p>
    <w:p w14:paraId="6F574F8C" w14:textId="77777777" w:rsidR="00F67A3B" w:rsidRDefault="00F67A3B" w:rsidP="0051671F">
      <w:pPr>
        <w:spacing w:after="0" w:line="240" w:lineRule="auto"/>
        <w:rPr>
          <w:rFonts w:ascii="Verdana" w:eastAsia="Geomanist Light" w:hAnsi="Verdana" w:cs="Arial"/>
          <w:color w:val="000000" w:themeColor="text1"/>
        </w:rPr>
      </w:pPr>
    </w:p>
    <w:p w14:paraId="537B0E21" w14:textId="77777777" w:rsidR="00F67A3B" w:rsidRDefault="00F67A3B" w:rsidP="0051671F">
      <w:pPr>
        <w:spacing w:after="0" w:line="240" w:lineRule="auto"/>
        <w:rPr>
          <w:rFonts w:ascii="Verdana" w:eastAsia="Geomanist Light" w:hAnsi="Verdana" w:cs="Arial"/>
          <w:color w:val="000000" w:themeColor="text1"/>
        </w:rPr>
      </w:pPr>
    </w:p>
    <w:p w14:paraId="6EBE90E5" w14:textId="77777777" w:rsidR="00F67A3B" w:rsidRDefault="00F67A3B" w:rsidP="0051671F">
      <w:pPr>
        <w:spacing w:after="0" w:line="240" w:lineRule="auto"/>
        <w:rPr>
          <w:rFonts w:ascii="Verdana" w:eastAsia="Geomanist Light" w:hAnsi="Verdana" w:cs="Arial"/>
          <w:color w:val="000000" w:themeColor="text1"/>
        </w:rPr>
      </w:pPr>
    </w:p>
    <w:p w14:paraId="78E81B68" w14:textId="77777777" w:rsidR="00377527" w:rsidRDefault="00377527" w:rsidP="0051671F">
      <w:pPr>
        <w:spacing w:after="0" w:line="240" w:lineRule="auto"/>
        <w:rPr>
          <w:rFonts w:ascii="Verdana" w:eastAsia="Geomanist Light" w:hAnsi="Verdana" w:cs="Arial"/>
          <w:color w:val="000000" w:themeColor="text1"/>
        </w:rPr>
      </w:pPr>
    </w:p>
    <w:p w14:paraId="398B3AAA" w14:textId="77777777" w:rsidR="00516D7F" w:rsidRDefault="00516D7F" w:rsidP="0051671F">
      <w:pPr>
        <w:spacing w:after="0" w:line="240" w:lineRule="auto"/>
        <w:rPr>
          <w:rFonts w:ascii="Verdana" w:eastAsia="Geomanist Light" w:hAnsi="Verdana" w:cs="Arial"/>
          <w:color w:val="000000" w:themeColor="text1"/>
          <w:lang w:val="es-MX"/>
        </w:rPr>
      </w:pPr>
    </w:p>
    <w:p w14:paraId="6EFBF21F" w14:textId="617DFE22" w:rsidR="0051671F" w:rsidRPr="00593A5F" w:rsidRDefault="0051671F" w:rsidP="0051671F">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225F45" w:rsidRPr="00225F45">
        <w:rPr>
          <w:rFonts w:ascii="Verdana" w:eastAsia="Geomanist Light" w:hAnsi="Verdana" w:cs="Arial"/>
          <w:color w:val="201F1E"/>
          <w:lang w:val="es-MX"/>
        </w:rPr>
        <w:t>29 de Julio de 2026</w:t>
      </w:r>
    </w:p>
    <w:p w14:paraId="528477F0" w14:textId="14DD4360" w:rsidR="0051671F" w:rsidRDefault="0051671F" w:rsidP="0051671F">
      <w:pPr>
        <w:spacing w:after="0" w:line="240" w:lineRule="auto"/>
        <w:jc w:val="both"/>
        <w:rPr>
          <w:rFonts w:ascii="Verdana" w:eastAsia="Calibri" w:hAnsi="Verdana" w:cs="Arial"/>
          <w:color w:val="000000"/>
          <w:lang w:val="es-ES"/>
        </w:rPr>
      </w:pPr>
    </w:p>
    <w:p w14:paraId="227AC7D9" w14:textId="7809B84C" w:rsidR="00225F45" w:rsidRDefault="00225F45" w:rsidP="00225F45">
      <w:pPr>
        <w:spacing w:after="0" w:line="240" w:lineRule="auto"/>
        <w:jc w:val="right"/>
        <w:rPr>
          <w:rFonts w:ascii="Verdana" w:eastAsia="Calibri" w:hAnsi="Verdana" w:cs="Arial"/>
          <w:color w:val="000000"/>
          <w:lang w:val="es-ES"/>
        </w:rPr>
      </w:pPr>
    </w:p>
    <w:p w14:paraId="3EFA0296" w14:textId="31457CCB" w:rsidR="0051671F" w:rsidRPr="00593A5F" w:rsidRDefault="0051671F" w:rsidP="0051671F">
      <w:pPr>
        <w:spacing w:after="0" w:line="240" w:lineRule="auto"/>
        <w:jc w:val="both"/>
        <w:rPr>
          <w:rFonts w:ascii="Verdana" w:eastAsia="Calibri" w:hAnsi="Verdana" w:cs="Arial"/>
          <w:color w:val="000000"/>
          <w:lang w:val="es-ES"/>
        </w:rPr>
      </w:pPr>
    </w:p>
    <w:p w14:paraId="18420A83" w14:textId="076E7539" w:rsidR="0051671F" w:rsidRPr="00B96799" w:rsidRDefault="00516D7F" w:rsidP="0051671F">
      <w:pPr>
        <w:spacing w:after="0" w:line="240" w:lineRule="auto"/>
        <w:jc w:val="both"/>
        <w:rPr>
          <w:rFonts w:ascii="Verdana" w:eastAsia="Calibri" w:hAnsi="Verdana" w:cs="Arial"/>
          <w:lang w:val="es-ES" w:eastAsia="es-ES"/>
        </w:rPr>
      </w:pPr>
      <w:r w:rsidRPr="00225F45">
        <w:rPr>
          <w:rFonts w:ascii="Verdana" w:eastAsia="Calibri" w:hAnsi="Verdana" w:cs="Arial"/>
          <w:noProof/>
          <w:color w:val="000000"/>
          <w:lang w:val="es-ES"/>
        </w:rPr>
        <w:drawing>
          <wp:anchor distT="0" distB="0" distL="114300" distR="114300" simplePos="0" relativeHeight="251658240" behindDoc="0" locked="0" layoutInCell="1" allowOverlap="1" wp14:anchorId="246C68D2" wp14:editId="0F681893">
            <wp:simplePos x="0" y="0"/>
            <wp:positionH relativeFrom="margin">
              <wp:posOffset>3227705</wp:posOffset>
            </wp:positionH>
            <wp:positionV relativeFrom="paragraph">
              <wp:posOffset>5715</wp:posOffset>
            </wp:positionV>
            <wp:extent cx="2400300" cy="763270"/>
            <wp:effectExtent l="0" t="0" r="0" b="0"/>
            <wp:wrapSquare wrapText="bothSides"/>
            <wp:docPr id="1752706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0686" name=""/>
                    <pic:cNvPicPr/>
                  </pic:nvPicPr>
                  <pic:blipFill>
                    <a:blip r:embed="rId11">
                      <a:extLst>
                        <a:ext uri="{28A0092B-C50C-407E-A947-70E740481C1C}">
                          <a14:useLocalDpi xmlns:a14="http://schemas.microsoft.com/office/drawing/2010/main" val="0"/>
                        </a:ext>
                      </a:extLst>
                    </a:blip>
                    <a:stretch>
                      <a:fillRect/>
                    </a:stretch>
                  </pic:blipFill>
                  <pic:spPr>
                    <a:xfrm>
                      <a:off x="0" y="0"/>
                      <a:ext cx="2400300" cy="763270"/>
                    </a:xfrm>
                    <a:prstGeom prst="rect">
                      <a:avLst/>
                    </a:prstGeom>
                  </pic:spPr>
                </pic:pic>
              </a:graphicData>
            </a:graphic>
            <wp14:sizeRelV relativeFrom="margin">
              <wp14:pctHeight>0</wp14:pctHeight>
            </wp14:sizeRelV>
          </wp:anchor>
        </w:drawing>
      </w:r>
      <w:r w:rsidR="0051671F" w:rsidRPr="00B96799">
        <w:rPr>
          <w:rFonts w:ascii="Verdana" w:eastAsia="Calibri" w:hAnsi="Verdana" w:cs="Arial"/>
          <w:lang w:val="es-ES" w:eastAsia="es-ES"/>
        </w:rPr>
        <w:t>Señor</w:t>
      </w:r>
      <w:r w:rsidR="0051671F">
        <w:rPr>
          <w:rFonts w:ascii="Verdana" w:eastAsia="Calibri" w:hAnsi="Verdana" w:cs="Arial"/>
          <w:lang w:val="es-ES" w:eastAsia="es-ES"/>
        </w:rPr>
        <w:t>a</w:t>
      </w:r>
    </w:p>
    <w:p w14:paraId="389A0B26" w14:textId="77777777" w:rsidR="0051671F" w:rsidRDefault="0051671F" w:rsidP="0051671F">
      <w:pPr>
        <w:spacing w:after="0" w:line="240" w:lineRule="auto"/>
        <w:rPr>
          <w:rFonts w:ascii="Verdana" w:eastAsia="Calibri" w:hAnsi="Verdana" w:cs="Arial"/>
          <w:b/>
          <w:lang w:val="es-ES_tradnl" w:eastAsia="es-ES_tradnl"/>
        </w:rPr>
      </w:pPr>
      <w:r w:rsidRPr="00E0240F">
        <w:rPr>
          <w:rFonts w:ascii="Verdana" w:eastAsia="Calibri" w:hAnsi="Verdana" w:cs="Arial"/>
          <w:b/>
          <w:lang w:val="es-ES_tradnl" w:eastAsia="es-ES_tradnl"/>
        </w:rPr>
        <w:t>María Victoria Bermúdez Espinosa</w:t>
      </w:r>
    </w:p>
    <w:p w14:paraId="08AA7631" w14:textId="77777777" w:rsidR="0051671F" w:rsidRPr="0051106C" w:rsidRDefault="0051671F" w:rsidP="0051671F">
      <w:pPr>
        <w:spacing w:after="0" w:line="240" w:lineRule="auto"/>
        <w:rPr>
          <w:rFonts w:ascii="Verdana" w:eastAsia="Calibri" w:hAnsi="Verdana" w:cs="Arial"/>
          <w:color w:val="4472C4" w:themeColor="accent1"/>
          <w:u w:val="single"/>
          <w:lang w:val="es-ES" w:eastAsia="es-ES"/>
        </w:rPr>
      </w:pPr>
      <w:hyperlink r:id="rId12" w:history="1">
        <w:r w:rsidRPr="002322D4">
          <w:rPr>
            <w:rStyle w:val="Hipervnculo"/>
            <w:rFonts w:ascii="Verdana" w:hAnsi="Verdana"/>
          </w:rPr>
          <w:t>vickytoya09x280@live.com</w:t>
        </w:r>
      </w:hyperlink>
      <w:r>
        <w:rPr>
          <w:rFonts w:ascii="Verdana" w:hAnsi="Verdana"/>
        </w:rPr>
        <w:t xml:space="preserve"> </w:t>
      </w:r>
      <w:r w:rsidRPr="0051106C">
        <w:rPr>
          <w:rFonts w:ascii="Verdana" w:hAnsi="Verdana"/>
        </w:rPr>
        <w:t xml:space="preserve">   </w:t>
      </w:r>
      <w:r w:rsidRPr="0051106C">
        <w:rPr>
          <w:rFonts w:ascii="Verdana" w:eastAsia="Calibri" w:hAnsi="Verdana" w:cs="Arial"/>
          <w:color w:val="4472C4" w:themeColor="accent1"/>
          <w:u w:val="single"/>
          <w:lang w:val="es-ES" w:eastAsia="es-ES"/>
        </w:rPr>
        <w:t xml:space="preserve">  </w:t>
      </w:r>
    </w:p>
    <w:p w14:paraId="0E84F0EC" w14:textId="77777777" w:rsidR="0051671F" w:rsidRDefault="0051671F" w:rsidP="0051671F">
      <w:pPr>
        <w:spacing w:after="0" w:line="240" w:lineRule="auto"/>
        <w:rPr>
          <w:rFonts w:ascii="Verdana" w:eastAsia="Calibri" w:hAnsi="Verdana" w:cs="Arial"/>
          <w:lang w:val="es-ES" w:eastAsia="es-ES"/>
        </w:rPr>
      </w:pPr>
      <w:r w:rsidRPr="00593A5F">
        <w:rPr>
          <w:rFonts w:ascii="Verdana" w:eastAsia="Geomanist Light" w:hAnsi="Verdana" w:cs="Arial"/>
          <w:color w:val="000000" w:themeColor="text1"/>
          <w:lang w:val="es-MX"/>
        </w:rPr>
        <w:t>Bogotá D.C.</w:t>
      </w:r>
    </w:p>
    <w:p w14:paraId="1D1B4D47" w14:textId="77777777" w:rsidR="0051671F" w:rsidRPr="00593A5F" w:rsidRDefault="0051671F" w:rsidP="0051671F">
      <w:pPr>
        <w:spacing w:after="0" w:line="240" w:lineRule="auto"/>
        <w:rPr>
          <w:rFonts w:ascii="Verdana" w:eastAsia="Calibri" w:hAnsi="Verdana" w:cs="Arial"/>
          <w:b/>
          <w:bCs/>
          <w:color w:val="000000"/>
          <w:lang w:val="es-ES_tradnl" w:eastAsia="es-ES_tradnl"/>
        </w:rPr>
      </w:pPr>
    </w:p>
    <w:p w14:paraId="3B705178" w14:textId="77777777" w:rsidR="0051671F" w:rsidRPr="00593A5F" w:rsidRDefault="0051671F" w:rsidP="0051671F">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51671F" w:rsidRPr="00593A5F" w14:paraId="57B8B831" w14:textId="77777777" w:rsidTr="00820CE5">
        <w:trPr>
          <w:trHeight w:val="884"/>
        </w:trPr>
        <w:tc>
          <w:tcPr>
            <w:tcW w:w="2689" w:type="dxa"/>
          </w:tcPr>
          <w:p w14:paraId="5EF236AB" w14:textId="77777777" w:rsidR="0051671F" w:rsidRPr="00C00976" w:rsidRDefault="0051671F" w:rsidP="00820CE5">
            <w:pPr>
              <w:jc w:val="both"/>
              <w:rPr>
                <w:rFonts w:ascii="Verdana" w:eastAsia="Calibri" w:hAnsi="Verdana" w:cs="Arial"/>
                <w:b/>
                <w:bCs/>
                <w:color w:val="7030A0"/>
                <w:lang w:val="es-ES_tradnl" w:eastAsia="es-ES_tradnl"/>
              </w:rPr>
            </w:pPr>
          </w:p>
        </w:tc>
        <w:tc>
          <w:tcPr>
            <w:tcW w:w="6100" w:type="dxa"/>
          </w:tcPr>
          <w:p w14:paraId="0D28224E" w14:textId="1FB320EC" w:rsidR="0051671F" w:rsidRPr="00C00976" w:rsidRDefault="0051671F" w:rsidP="00820CE5">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516D7F">
              <w:rPr>
                <w:rFonts w:ascii="Verdana" w:eastAsia="Calibri" w:hAnsi="Verdana" w:cs="Arial"/>
                <w:b/>
                <w:bCs/>
                <w:lang w:val="es-ES" w:eastAsia="es-ES"/>
              </w:rPr>
              <w:t>-</w:t>
            </w:r>
            <w:r>
              <w:rPr>
                <w:rFonts w:ascii="Verdana" w:eastAsia="Calibri" w:hAnsi="Verdana" w:cs="Arial"/>
                <w:b/>
                <w:bCs/>
                <w:lang w:val="es-ES" w:eastAsia="es-ES"/>
              </w:rPr>
              <w:t>1127</w:t>
            </w:r>
            <w:r w:rsidRPr="008E6AD9">
              <w:rPr>
                <w:rFonts w:ascii="Verdana" w:eastAsia="Calibri" w:hAnsi="Verdana" w:cs="Arial"/>
                <w:b/>
                <w:bCs/>
                <w:lang w:val="es-ES" w:eastAsia="es-ES"/>
              </w:rPr>
              <w:t xml:space="preserve"> de 202</w:t>
            </w:r>
            <w:r>
              <w:rPr>
                <w:rFonts w:ascii="Verdana" w:eastAsia="Calibri" w:hAnsi="Verdana" w:cs="Arial"/>
                <w:b/>
                <w:bCs/>
                <w:lang w:val="es-ES" w:eastAsia="es-ES"/>
              </w:rPr>
              <w:t>6</w:t>
            </w:r>
          </w:p>
        </w:tc>
      </w:tr>
      <w:tr w:rsidR="0051671F" w:rsidRPr="00593A5F" w14:paraId="4366DCE9" w14:textId="77777777" w:rsidTr="00820CE5">
        <w:trPr>
          <w:trHeight w:val="884"/>
        </w:trPr>
        <w:tc>
          <w:tcPr>
            <w:tcW w:w="2689" w:type="dxa"/>
          </w:tcPr>
          <w:p w14:paraId="647F0FEF" w14:textId="77777777" w:rsidR="0051671F" w:rsidRPr="00593A5F" w:rsidRDefault="0051671F" w:rsidP="00820CE5">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79931F62" w14:textId="7B705FE3" w:rsidR="0051671F" w:rsidRPr="00D1484F" w:rsidRDefault="0051671F" w:rsidP="00820CE5">
            <w:pPr>
              <w:spacing w:line="276" w:lineRule="auto"/>
              <w:jc w:val="both"/>
              <w:rPr>
                <w:rFonts w:ascii="Verdana" w:eastAsia="Calibri" w:hAnsi="Verdana" w:cs="Arial"/>
                <w:lang w:val="es-ES" w:eastAsia="es-ES"/>
              </w:rPr>
            </w:pPr>
            <w:r w:rsidRPr="00334B90">
              <w:rPr>
                <w:rFonts w:ascii="Verdana" w:eastAsia="Calibri" w:hAnsi="Verdana" w:cs="Arial"/>
                <w:lang w:val="es-ES" w:eastAsia="es-ES"/>
              </w:rPr>
              <w:t>CLÁUSULAS EXCEPCIONALES – Multas – Cláusula penal – Imposición unilateral / PROCEDIMIENTO SANCIONATORIO CONTRACTUAL – Etapas – trámite / CLÁUSULAS PENALES Y MULTAS – Imposición unilateral – Proporcionalidad – Régimen jurídico – Derecho privado</w:t>
            </w:r>
            <w:r w:rsidRPr="0017427F">
              <w:rPr>
                <w:rFonts w:ascii="Verdana" w:eastAsia="Calibri" w:hAnsi="Verdana" w:cs="Arial"/>
                <w:lang w:val="es-ES" w:eastAsia="es-ES"/>
              </w:rPr>
              <w:t xml:space="preserve"> </w:t>
            </w:r>
            <w:r w:rsidR="001C6E7E">
              <w:rPr>
                <w:rFonts w:ascii="Verdana" w:eastAsia="Calibri" w:hAnsi="Verdana" w:cs="Arial"/>
                <w:lang w:val="es-ES" w:eastAsia="es-ES"/>
              </w:rPr>
              <w:t xml:space="preserve">/ </w:t>
            </w:r>
            <w:r w:rsidR="001C6E7E" w:rsidRPr="001C6E7E">
              <w:rPr>
                <w:rFonts w:ascii="Verdana" w:eastAsia="Calibri" w:hAnsi="Verdana" w:cs="Arial"/>
                <w:lang w:eastAsia="es-ES"/>
              </w:rPr>
              <w:t>INFORME DE SUPERVISIÓN – Requerimientos previos – Alcance / INCUMPLIMIENTO PARCIAL – Reducción proporcional de la pena – Artículo 1596 del Código Civil / MULTAS Y CLÁUSULA PENAL – Oportunidad para su imposición</w:t>
            </w:r>
            <w:r w:rsidRPr="00B97F89">
              <w:rPr>
                <w:rFonts w:ascii="Verdana" w:eastAsia="Calibri" w:hAnsi="Verdana" w:cs="Arial"/>
                <w:lang w:val="es-ES" w:eastAsia="es-ES"/>
              </w:rPr>
              <w:t xml:space="preserve"> </w:t>
            </w:r>
            <w:r w:rsidRPr="00D1484F">
              <w:rPr>
                <w:rFonts w:ascii="Verdana" w:eastAsia="Calibri" w:hAnsi="Verdana" w:cs="Arial"/>
                <w:lang w:val="es-ES" w:eastAsia="es-ES"/>
              </w:rPr>
              <w:t xml:space="preserve"> </w:t>
            </w:r>
          </w:p>
          <w:p w14:paraId="1C27F175" w14:textId="77777777" w:rsidR="0051671F" w:rsidRPr="00593A5F" w:rsidRDefault="0051671F" w:rsidP="00820CE5">
            <w:pPr>
              <w:spacing w:line="276" w:lineRule="auto"/>
              <w:jc w:val="both"/>
              <w:rPr>
                <w:rFonts w:ascii="Verdana" w:eastAsia="Calibri" w:hAnsi="Verdana" w:cs="Arial"/>
                <w:lang w:val="es-ES" w:eastAsia="es-ES"/>
              </w:rPr>
            </w:pPr>
          </w:p>
        </w:tc>
      </w:tr>
      <w:tr w:rsidR="0051671F" w:rsidRPr="008E6AD9" w14:paraId="4C5F9670" w14:textId="77777777" w:rsidTr="00820CE5">
        <w:tc>
          <w:tcPr>
            <w:tcW w:w="2689" w:type="dxa"/>
          </w:tcPr>
          <w:p w14:paraId="5C35B474" w14:textId="77777777" w:rsidR="0051671F" w:rsidRPr="008E6AD9" w:rsidRDefault="0051671F" w:rsidP="00820CE5">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1358AFDE" w14:textId="77777777" w:rsidR="0051671F" w:rsidRPr="008E6AD9" w:rsidRDefault="0051671F" w:rsidP="00820CE5">
            <w:pPr>
              <w:jc w:val="both"/>
              <w:rPr>
                <w:rFonts w:ascii="Verdana" w:eastAsia="Calibri" w:hAnsi="Verdana" w:cs="Arial"/>
                <w:lang w:eastAsia="es-ES_tradnl"/>
              </w:rPr>
            </w:pPr>
            <w:r w:rsidRPr="008E6AD9">
              <w:rPr>
                <w:rFonts w:ascii="Verdana" w:eastAsia="Calibri" w:hAnsi="Verdana" w:cs="Arial"/>
                <w:lang w:val="es-ES_tradnl" w:eastAsia="es-ES_tradnl"/>
              </w:rPr>
              <w:t xml:space="preserve">Respuesta a consulta con radicado No. </w:t>
            </w:r>
            <w:r w:rsidRPr="00E0240F">
              <w:rPr>
                <w:rFonts w:ascii="Verdana" w:eastAsia="Calibri" w:hAnsi="Verdana" w:cs="Arial"/>
                <w:lang w:val="es-ES_tradnl" w:eastAsia="es-ES_tradnl"/>
              </w:rPr>
              <w:t>1_2026_07_15_009352</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0A1B28C6" w14:textId="77777777" w:rsidR="0051671F" w:rsidRPr="00593A5F" w:rsidRDefault="0051671F" w:rsidP="0051671F">
      <w:pPr>
        <w:spacing w:after="0" w:line="240" w:lineRule="auto"/>
        <w:jc w:val="both"/>
        <w:rPr>
          <w:rFonts w:ascii="Verdana" w:eastAsia="Calibri" w:hAnsi="Verdana" w:cs="Arial"/>
          <w:color w:val="000000"/>
          <w:lang w:val="es-ES_tradnl" w:eastAsia="es-ES_tradnl"/>
        </w:rPr>
      </w:pPr>
    </w:p>
    <w:p w14:paraId="4EF7DE7D" w14:textId="77777777" w:rsidR="0051671F" w:rsidRPr="00593A5F" w:rsidRDefault="0051671F" w:rsidP="0051671F">
      <w:pPr>
        <w:spacing w:after="0" w:line="240" w:lineRule="auto"/>
        <w:jc w:val="both"/>
        <w:rPr>
          <w:rFonts w:ascii="Verdana" w:eastAsia="Calibri" w:hAnsi="Verdana" w:cs="Arial"/>
          <w:color w:val="000000"/>
          <w:lang w:val="es-ES_tradnl" w:eastAsia="es-ES_tradnl"/>
        </w:rPr>
      </w:pPr>
    </w:p>
    <w:p w14:paraId="161F41D9" w14:textId="77777777" w:rsidR="0051671F" w:rsidRPr="008E6AD9" w:rsidRDefault="0051671F" w:rsidP="0051671F">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señor</w:t>
      </w:r>
      <w:r>
        <w:rPr>
          <w:rFonts w:ascii="Verdana" w:eastAsia="Calibri" w:hAnsi="Verdana" w:cs="Arial"/>
          <w:lang w:val="es-ES" w:eastAsia="es-ES"/>
        </w:rPr>
        <w:t>a</w:t>
      </w:r>
      <w:r w:rsidRPr="008E6AD9">
        <w:rPr>
          <w:rFonts w:ascii="Verdana" w:eastAsia="Calibri" w:hAnsi="Verdana" w:cs="Arial"/>
          <w:lang w:val="es-ES" w:eastAsia="es-ES"/>
        </w:rPr>
        <w:t xml:space="preserve"> </w:t>
      </w:r>
      <w:r w:rsidRPr="00E0240F">
        <w:rPr>
          <w:rFonts w:ascii="Verdana" w:eastAsia="Calibri" w:hAnsi="Verdana" w:cs="Arial"/>
          <w:lang w:val="es-ES" w:eastAsia="es-ES"/>
        </w:rPr>
        <w:t>Bermúdez Espinosa</w:t>
      </w:r>
      <w:r w:rsidRPr="008E6AD9">
        <w:rPr>
          <w:rFonts w:ascii="Verdana" w:eastAsia="Calibri" w:hAnsi="Verdana" w:cs="Arial"/>
          <w:lang w:val="es-ES" w:eastAsia="es-ES"/>
        </w:rPr>
        <w:t xml:space="preserve">: </w:t>
      </w:r>
    </w:p>
    <w:p w14:paraId="482DCC8A" w14:textId="77777777" w:rsidR="0051671F" w:rsidRDefault="0051671F" w:rsidP="0051671F">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200CB881" w14:textId="574BE4BC" w:rsidR="0051671F" w:rsidRPr="00593A5F" w:rsidRDefault="0051671F" w:rsidP="0051671F">
      <w:pPr>
        <w:spacing w:after="0" w:line="276" w:lineRule="auto"/>
        <w:jc w:val="both"/>
        <w:rPr>
          <w:rFonts w:ascii="Verdana" w:eastAsia="Calibri" w:hAnsi="Verdana" w:cs="Arial"/>
          <w:color w:val="7030A0"/>
          <w:lang w:val="es-ES" w:eastAsia="es-ES"/>
        </w:rPr>
      </w:pPr>
      <w:r w:rsidRPr="00C705FB">
        <w:rPr>
          <w:rFonts w:ascii="Verdana" w:eastAsia="Calibri" w:hAnsi="Verdana" w:cs="Arial"/>
          <w:color w:val="000000" w:themeColor="text1"/>
          <w:lang w:val="es-ES" w:eastAsia="es-ES"/>
        </w:rPr>
        <w:t>En ejercicio de la competencia otorgada</w:t>
      </w:r>
      <w:r w:rsidRPr="00593A5F">
        <w:rPr>
          <w:rFonts w:ascii="Verdana" w:eastAsia="Calibri" w:hAnsi="Verdana" w:cs="Arial"/>
          <w:color w:val="000000" w:themeColor="text1"/>
          <w:lang w:val="es-ES" w:eastAsia="es-ES"/>
        </w:rPr>
        <w:t xml:space="preserve"> por los artículos 3, numeral 5º, y 11, numeral 8º, del Decreto Ley 4170 de 2011,</w:t>
      </w:r>
      <w:r w:rsidRPr="00593A5F">
        <w:rPr>
          <w:rFonts w:ascii="Verdana" w:eastAsia="Arial MT" w:hAnsi="Verdana" w:cs="Arial MT"/>
          <w:lang w:val="es-ES" w:eastAsia="es-ES"/>
        </w:rPr>
        <w:t xml:space="preserve"> </w:t>
      </w:r>
      <w:r w:rsidRPr="00FF469C">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 xml:space="preserve">fecha </w:t>
      </w:r>
      <w:r>
        <w:rPr>
          <w:rFonts w:ascii="Verdana" w:eastAsia="Calibri" w:hAnsi="Verdana" w:cs="Arial"/>
          <w:lang w:val="es-ES" w:eastAsia="es-ES"/>
        </w:rPr>
        <w:t>15 de julio de 2026</w:t>
      </w:r>
      <w:r w:rsidRPr="008E6AD9">
        <w:rPr>
          <w:rFonts w:ascii="Verdana" w:eastAsia="Calibri" w:hAnsi="Verdana" w:cs="Arial"/>
          <w:lang w:val="es-ES" w:eastAsia="es-ES"/>
        </w:rPr>
        <w:t>, en la cua</w:t>
      </w:r>
      <w:r>
        <w:rPr>
          <w:rFonts w:ascii="Verdana" w:eastAsia="Calibri" w:hAnsi="Verdana" w:cs="Arial"/>
          <w:lang w:val="es-ES" w:eastAsia="es-ES"/>
        </w:rPr>
        <w:t xml:space="preserve">l </w:t>
      </w:r>
      <w:r w:rsidR="00145500">
        <w:rPr>
          <w:rFonts w:ascii="Verdana" w:eastAsia="Calibri" w:hAnsi="Verdana" w:cs="Arial"/>
          <w:lang w:val="es-ES" w:eastAsia="es-ES"/>
        </w:rPr>
        <w:t>realiza la</w:t>
      </w:r>
      <w:r w:rsidR="002A74E3">
        <w:rPr>
          <w:rFonts w:ascii="Verdana" w:eastAsia="Calibri" w:hAnsi="Verdana" w:cs="Arial"/>
          <w:lang w:val="es-ES" w:eastAsia="es-ES"/>
        </w:rPr>
        <w:t>s</w:t>
      </w:r>
      <w:r w:rsidR="00145500">
        <w:rPr>
          <w:rFonts w:ascii="Verdana" w:eastAsia="Calibri" w:hAnsi="Verdana" w:cs="Arial"/>
          <w:lang w:val="es-ES" w:eastAsia="es-ES"/>
        </w:rPr>
        <w:t xml:space="preserve"> siguientes preguntas</w:t>
      </w:r>
      <w:r w:rsidRPr="008E6AD9">
        <w:rPr>
          <w:rFonts w:ascii="Verdana" w:eastAsia="Calibri" w:hAnsi="Verdana" w:cs="Arial"/>
          <w:lang w:val="es-ES" w:eastAsia="es-ES"/>
        </w:rPr>
        <w:t xml:space="preserve">: </w:t>
      </w:r>
    </w:p>
    <w:p w14:paraId="230EF5B2" w14:textId="77777777" w:rsidR="0051671F" w:rsidRPr="00272A7B" w:rsidRDefault="0051671F" w:rsidP="0051671F">
      <w:pPr>
        <w:pStyle w:val="Prrafodelista"/>
        <w:tabs>
          <w:tab w:val="left" w:pos="142"/>
          <w:tab w:val="left" w:pos="284"/>
        </w:tabs>
        <w:spacing w:after="0" w:line="276" w:lineRule="auto"/>
        <w:ind w:left="0"/>
        <w:jc w:val="both"/>
        <w:rPr>
          <w:rFonts w:ascii="Verdana" w:eastAsia="Century Gothic" w:hAnsi="Verdana" w:cs="Century Gothic"/>
          <w:b/>
          <w:bCs/>
        </w:rPr>
      </w:pPr>
    </w:p>
    <w:p w14:paraId="0FF4766C" w14:textId="77777777" w:rsidR="0051671F" w:rsidRPr="00E0240F" w:rsidRDefault="0051671F" w:rsidP="0051671F">
      <w:pPr>
        <w:spacing w:after="120" w:line="240" w:lineRule="auto"/>
        <w:ind w:left="709" w:right="709"/>
        <w:jc w:val="both"/>
        <w:rPr>
          <w:rFonts w:ascii="Verdana" w:eastAsia="Century Gothic" w:hAnsi="Verdana" w:cs="Century Gothic"/>
          <w:sz w:val="20"/>
          <w:szCs w:val="20"/>
          <w:lang w:val="es-ES"/>
        </w:rPr>
      </w:pPr>
      <w:bookmarkStart w:id="0" w:name="_Hlk95313578"/>
      <w:r>
        <w:rPr>
          <w:rFonts w:ascii="Verdana" w:eastAsia="Century Gothic" w:hAnsi="Verdana" w:cs="Century Gothic"/>
          <w:sz w:val="20"/>
          <w:szCs w:val="20"/>
          <w:lang w:val="es-ES"/>
        </w:rPr>
        <w:t xml:space="preserve">1. </w:t>
      </w:r>
      <w:r w:rsidRPr="008E6AD9">
        <w:rPr>
          <w:rFonts w:ascii="Verdana" w:eastAsia="Century Gothic" w:hAnsi="Verdana" w:cs="Century Gothic"/>
          <w:sz w:val="20"/>
          <w:szCs w:val="20"/>
          <w:lang w:val="es-ES"/>
        </w:rPr>
        <w:t>“</w:t>
      </w:r>
      <w:r w:rsidRPr="00E0240F">
        <w:rPr>
          <w:rFonts w:ascii="Verdana" w:eastAsia="Century Gothic" w:hAnsi="Verdana" w:cs="Century Gothic"/>
          <w:sz w:val="20"/>
          <w:szCs w:val="20"/>
          <w:lang w:val="es-ES"/>
        </w:rPr>
        <w:t xml:space="preserve">Dentro del desarrollo de un proceso administrativo para declarar el incumplimiento de un contratista (art. 86 Ley 1474/2011) y verificado los soportes del informe por posible incumplimiento presentado por la </w:t>
      </w:r>
      <w:r w:rsidRPr="00E0240F">
        <w:rPr>
          <w:rFonts w:ascii="Verdana" w:eastAsia="Century Gothic" w:hAnsi="Verdana" w:cs="Century Gothic"/>
          <w:sz w:val="20"/>
          <w:szCs w:val="20"/>
          <w:lang w:val="es-ES"/>
        </w:rPr>
        <w:lastRenderedPageBreak/>
        <w:t>supervisión del contrato, se evidencia que esta no realizó requerimientos contractuales previo a la presentación del mencionado informe ¿esta situación puede generar vicios en el proceso administrativos o la nulidad del acto administrativo que declararía el incumplimiento contractual?</w:t>
      </w:r>
      <w:r>
        <w:rPr>
          <w:rFonts w:ascii="Verdana" w:eastAsia="Century Gothic" w:hAnsi="Verdana" w:cs="Century Gothic"/>
          <w:sz w:val="20"/>
          <w:szCs w:val="20"/>
          <w:lang w:val="es-ES"/>
        </w:rPr>
        <w:t>”.</w:t>
      </w:r>
      <w:r w:rsidRPr="00E0240F">
        <w:rPr>
          <w:rFonts w:ascii="Verdana" w:eastAsia="Century Gothic" w:hAnsi="Verdana" w:cs="Century Gothic"/>
          <w:sz w:val="20"/>
          <w:szCs w:val="20"/>
          <w:lang w:val="es-ES"/>
        </w:rPr>
        <w:t xml:space="preserve"> </w:t>
      </w:r>
    </w:p>
    <w:p w14:paraId="306FCF06" w14:textId="77777777" w:rsidR="0051671F" w:rsidRPr="00FF6370" w:rsidRDefault="0051671F" w:rsidP="0051671F">
      <w:pPr>
        <w:spacing w:after="0" w:line="240" w:lineRule="auto"/>
        <w:ind w:left="709" w:right="709"/>
        <w:jc w:val="both"/>
        <w:rPr>
          <w:rFonts w:ascii="Verdana" w:eastAsia="Century Gothic" w:hAnsi="Verdana" w:cs="Century Gothic"/>
          <w:sz w:val="20"/>
          <w:szCs w:val="20"/>
          <w:lang w:val="es-ES"/>
        </w:rPr>
      </w:pPr>
      <w:r>
        <w:rPr>
          <w:rFonts w:ascii="Verdana" w:eastAsia="Century Gothic" w:hAnsi="Verdana" w:cs="Century Gothic"/>
          <w:sz w:val="20"/>
          <w:szCs w:val="20"/>
          <w:lang w:val="es-ES"/>
        </w:rPr>
        <w:t>2. “[…]</w:t>
      </w:r>
      <w:r w:rsidRPr="00E0240F">
        <w:rPr>
          <w:rFonts w:ascii="Verdana" w:eastAsia="Century Gothic" w:hAnsi="Verdana" w:cs="Century Gothic"/>
          <w:sz w:val="20"/>
          <w:szCs w:val="20"/>
          <w:lang w:val="es-ES"/>
        </w:rPr>
        <w:t xml:space="preserve"> ¿Es posible declarar el incumplimiento parcial?, de ser afirmativa la respuesta ¿Cómo se debe aplicar la sanción? ¿Cómo se debe aplicar la cláusula penal por incumplimiento parcial? ¿Existe un cálculo que se pueda aplicar por jurisprudencia o doctrina?</w:t>
      </w:r>
      <w:r w:rsidRPr="008E6AD9">
        <w:rPr>
          <w:rFonts w:ascii="Verdana" w:eastAsia="Century Gothic" w:hAnsi="Verdana" w:cs="Century Gothic"/>
          <w:sz w:val="20"/>
          <w:szCs w:val="20"/>
          <w:lang w:val="es-ES"/>
        </w:rPr>
        <w:t>”</w:t>
      </w:r>
      <w:bookmarkEnd w:id="0"/>
      <w:r w:rsidRPr="008E6AD9">
        <w:rPr>
          <w:rFonts w:ascii="Verdana" w:eastAsia="Century Gothic" w:hAnsi="Verdana" w:cs="Century Gothic"/>
          <w:sz w:val="20"/>
          <w:szCs w:val="20"/>
          <w:lang w:val="es-ES"/>
        </w:rPr>
        <w:t>.</w:t>
      </w:r>
      <w:r>
        <w:rPr>
          <w:rFonts w:ascii="Verdana" w:eastAsia="Century Gothic" w:hAnsi="Verdana" w:cs="Century Gothic"/>
          <w:sz w:val="20"/>
          <w:szCs w:val="20"/>
          <w:lang w:val="es-ES"/>
        </w:rPr>
        <w:t xml:space="preserve"> </w:t>
      </w:r>
    </w:p>
    <w:p w14:paraId="4C65DF16" w14:textId="77777777" w:rsidR="0051671F" w:rsidRPr="008E6AD9" w:rsidRDefault="0051671F" w:rsidP="0051671F">
      <w:pPr>
        <w:pStyle w:val="Prrafodelista"/>
        <w:tabs>
          <w:tab w:val="left" w:pos="142"/>
          <w:tab w:val="left" w:pos="284"/>
        </w:tabs>
        <w:spacing w:after="0" w:line="276" w:lineRule="auto"/>
        <w:ind w:left="0"/>
        <w:jc w:val="both"/>
        <w:rPr>
          <w:rFonts w:ascii="Verdana" w:eastAsia="Century Gothic" w:hAnsi="Verdana" w:cs="Century Gothic"/>
          <w:b/>
          <w:bCs/>
        </w:rPr>
      </w:pPr>
    </w:p>
    <w:p w14:paraId="7B2C3AE3" w14:textId="77777777" w:rsidR="0051671F" w:rsidRPr="00A652FF" w:rsidRDefault="0051671F" w:rsidP="0051671F">
      <w:pPr>
        <w:spacing w:after="12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6ADC05E2" w14:textId="77777777" w:rsidR="0051671F" w:rsidRDefault="0051671F" w:rsidP="0051671F">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particular</w:t>
      </w:r>
      <w:r>
        <w:rPr>
          <w:rFonts w:ascii="Verdana" w:eastAsia="Calibri" w:hAnsi="Verdana" w:cs="Arial"/>
          <w:color w:val="000000"/>
          <w:lang w:val="es-ES" w:eastAsia="es-ES"/>
        </w:rPr>
        <w:t>es</w:t>
      </w:r>
      <w:r w:rsidRPr="00593A5F">
        <w:rPr>
          <w:rFonts w:ascii="Verdana" w:eastAsia="Calibri" w:hAnsi="Verdana" w:cs="Arial"/>
          <w:color w:val="000000"/>
          <w:lang w:val="es-ES" w:eastAsia="es-ES"/>
        </w:rPr>
        <w:t xml:space="preserve"> y concreta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mencionada</w:t>
      </w:r>
      <w:r>
        <w:rPr>
          <w:rFonts w:ascii="Verdana" w:eastAsia="Calibri" w:hAnsi="Verdana" w:cs="Arial"/>
          <w:color w:val="000000"/>
          <w:lang w:val="es-ES" w:eastAsia="es-ES"/>
        </w:rPr>
        <w:t>s</w:t>
      </w:r>
      <w:r w:rsidRPr="00593A5F">
        <w:rPr>
          <w:rFonts w:ascii="Verdana" w:eastAsia="Calibri" w:hAnsi="Verdana" w:cs="Arial"/>
          <w:color w:val="000000"/>
          <w:lang w:val="es-ES" w:eastAsia="es-ES"/>
        </w:rPr>
        <w:t xml:space="preserve"> en su petición,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 </w:t>
      </w:r>
    </w:p>
    <w:p w14:paraId="15DA8CD7" w14:textId="77777777" w:rsidR="0051671F" w:rsidRPr="00593A5F" w:rsidRDefault="0051671F" w:rsidP="0051671F">
      <w:pPr>
        <w:spacing w:after="0" w:line="276" w:lineRule="auto"/>
        <w:ind w:firstLine="709"/>
        <w:jc w:val="both"/>
        <w:rPr>
          <w:rFonts w:ascii="Verdana" w:eastAsia="Calibri" w:hAnsi="Verdana" w:cs="Arial"/>
          <w:color w:val="000000"/>
          <w:lang w:val="es-ES" w:eastAsia="es-ES"/>
        </w:rPr>
      </w:pPr>
    </w:p>
    <w:p w14:paraId="7C59D092" w14:textId="77777777" w:rsidR="0051671F" w:rsidRPr="00593A5F" w:rsidRDefault="0051671F" w:rsidP="0051671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1CA36149" w14:textId="77777777" w:rsidR="0051671F" w:rsidRPr="00593A5F" w:rsidRDefault="0051671F" w:rsidP="0051671F">
      <w:pPr>
        <w:tabs>
          <w:tab w:val="left" w:pos="426"/>
        </w:tabs>
        <w:spacing w:after="0" w:line="276" w:lineRule="auto"/>
        <w:jc w:val="both"/>
        <w:rPr>
          <w:rFonts w:ascii="Verdana" w:eastAsia="Century Gothic" w:hAnsi="Verdana" w:cs="Century Gothic"/>
          <w:lang w:val="es-ES"/>
        </w:rPr>
      </w:pPr>
    </w:p>
    <w:p w14:paraId="42D7E4BE" w14:textId="42AAF1E9" w:rsidR="0051671F" w:rsidRPr="00593A5F" w:rsidRDefault="0051671F" w:rsidP="0051671F">
      <w:pPr>
        <w:spacing w:after="0" w:line="276" w:lineRule="auto"/>
        <w:jc w:val="both"/>
        <w:rPr>
          <w:rFonts w:ascii="Verdana" w:eastAsia="Century Gothic" w:hAnsi="Verdana" w:cs="Century Gothic"/>
        </w:rPr>
      </w:pPr>
      <w:r>
        <w:rPr>
          <w:rFonts w:ascii="Verdana" w:eastAsia="Century Gothic" w:hAnsi="Verdana" w:cs="Century Gothic"/>
        </w:rPr>
        <w:t xml:space="preserve">De acuerdo con el contenido de </w:t>
      </w:r>
      <w:r w:rsidRPr="00593A5F">
        <w:rPr>
          <w:rFonts w:ascii="Verdana" w:eastAsia="Century Gothic" w:hAnsi="Verdana" w:cs="Century Gothic"/>
        </w:rPr>
        <w:t xml:space="preserve">su solicitud, esta Agencia resolverá </w:t>
      </w:r>
      <w:r w:rsidR="00187ED7" w:rsidRPr="00187ED7">
        <w:rPr>
          <w:rFonts w:ascii="Verdana" w:eastAsia="Century Gothic" w:hAnsi="Verdana" w:cs="Century Gothic"/>
        </w:rPr>
        <w:t xml:space="preserve">los siguientes problemas jurídicos: i) ¿la ausencia de requerimientos contractuales previos por parte de la supervisión, con anterioridad a la presentación del informe por posible incumplimiento, constituye un vicio del procedimiento administrativo sancionatorio previsto en el artículo 86 de la Ley 1474 de 2011 o una causal de nulidad del acto administrativo que declara el incumplimiento? y </w:t>
      </w:r>
      <w:proofErr w:type="spellStart"/>
      <w:r w:rsidR="00187ED7" w:rsidRPr="00187ED7">
        <w:rPr>
          <w:rFonts w:ascii="Verdana" w:eastAsia="Century Gothic" w:hAnsi="Verdana" w:cs="Century Gothic"/>
        </w:rPr>
        <w:t>ii</w:t>
      </w:r>
      <w:proofErr w:type="spellEnd"/>
      <w:r w:rsidR="00187ED7" w:rsidRPr="00187ED7">
        <w:rPr>
          <w:rFonts w:ascii="Verdana" w:eastAsia="Century Gothic" w:hAnsi="Verdana" w:cs="Century Gothic"/>
        </w:rPr>
        <w:t xml:space="preserve">) ¿puede declararse el incumplimiento parcial de las obligaciones contractuales y, en tal </w:t>
      </w:r>
      <w:r w:rsidR="00187ED7" w:rsidRPr="00187ED7">
        <w:rPr>
          <w:rFonts w:ascii="Verdana" w:eastAsia="Century Gothic" w:hAnsi="Verdana" w:cs="Century Gothic"/>
        </w:rPr>
        <w:lastRenderedPageBreak/>
        <w:t>caso, cuáles son los parámetros y criterios que deben observar las entidades estatales para aplicar proporcionalmente la cláusula penal pecuniaria?</w:t>
      </w:r>
    </w:p>
    <w:p w14:paraId="6F6F21D7" w14:textId="77777777" w:rsidR="0051671F" w:rsidRPr="00593A5F" w:rsidRDefault="0051671F" w:rsidP="0051671F">
      <w:pPr>
        <w:spacing w:after="0" w:line="276" w:lineRule="auto"/>
        <w:jc w:val="both"/>
        <w:rPr>
          <w:rFonts w:ascii="Verdana" w:eastAsia="Calibri" w:hAnsi="Verdana" w:cs="Arial"/>
          <w:color w:val="7030A0"/>
          <w:lang w:val="es-ES"/>
        </w:rPr>
      </w:pPr>
    </w:p>
    <w:p w14:paraId="157226A0" w14:textId="77777777" w:rsidR="0051671F" w:rsidRPr="00593A5F" w:rsidRDefault="0051671F" w:rsidP="0051671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574082CB" w14:textId="77777777" w:rsidR="0051671F" w:rsidRPr="00593A5F" w:rsidRDefault="0051671F" w:rsidP="0051671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1671F" w:rsidRPr="00593A5F" w14:paraId="3390A0CA" w14:textId="77777777" w:rsidTr="00820CE5">
        <w:trPr>
          <w:jc w:val="center"/>
        </w:trPr>
        <w:tc>
          <w:tcPr>
            <w:tcW w:w="8828" w:type="dxa"/>
          </w:tcPr>
          <w:p w14:paraId="3C217B6F" w14:textId="77777777" w:rsidR="00A22165" w:rsidRPr="00A22165" w:rsidRDefault="00A22165" w:rsidP="00A22165">
            <w:pPr>
              <w:spacing w:after="120" w:line="276" w:lineRule="auto"/>
              <w:jc w:val="both"/>
              <w:rPr>
                <w:rFonts w:ascii="Verdana" w:eastAsia="Calibri" w:hAnsi="Verdana" w:cs="Arial"/>
                <w:lang w:val="es-ES"/>
              </w:rPr>
            </w:pPr>
            <w:r w:rsidRPr="00A22165">
              <w:rPr>
                <w:rFonts w:ascii="Verdana" w:eastAsia="Calibri" w:hAnsi="Verdana" w:cs="Arial"/>
                <w:lang w:val="es-ES"/>
              </w:rPr>
              <w:t xml:space="preserve">Conforme a la interpretación general de las normas del sistema de compras públicas, la Ley 1474 de 2011 permite declarar el incumplimiento y cuantificar los perjuicios, previa citación del contratista y con observancia del debido proceso. El artículo 86 de esa ley estructura el procedimiento en tres etapas: i) citación a audiencia, con mención expresa y detallada de los hechos que la soportan, del informe de interventoría o de supervisión en el que se sustenta la actuación, de las normas o cláusulas posiblemente violadas y de las consecuencias que podrían recaer sobre el contratista; </w:t>
            </w:r>
            <w:proofErr w:type="spellStart"/>
            <w:r w:rsidRPr="00A22165">
              <w:rPr>
                <w:rFonts w:ascii="Verdana" w:eastAsia="Calibri" w:hAnsi="Verdana" w:cs="Arial"/>
                <w:lang w:val="es-ES"/>
              </w:rPr>
              <w:t>ii</w:t>
            </w:r>
            <w:proofErr w:type="spellEnd"/>
            <w:r w:rsidRPr="00A22165">
              <w:rPr>
                <w:rFonts w:ascii="Verdana" w:eastAsia="Calibri" w:hAnsi="Verdana" w:cs="Arial"/>
                <w:lang w:val="es-ES"/>
              </w:rPr>
              <w:t xml:space="preserve">) audiencia, en la que interviene el jefe de la entidad o su delegado y en la que el representante legal del contratista, o quien lo represente, y el garante, cuando sea del caso, presentan sus descargos, aportan y controvierten pruebas y rinden las explicaciones pertinentes; y </w:t>
            </w:r>
            <w:proofErr w:type="spellStart"/>
            <w:r w:rsidRPr="00A22165">
              <w:rPr>
                <w:rFonts w:ascii="Verdana" w:eastAsia="Calibri" w:hAnsi="Verdana" w:cs="Arial"/>
                <w:lang w:val="es-ES"/>
              </w:rPr>
              <w:t>iii</w:t>
            </w:r>
            <w:proofErr w:type="spellEnd"/>
            <w:r w:rsidRPr="00A22165">
              <w:rPr>
                <w:rFonts w:ascii="Verdana" w:eastAsia="Calibri" w:hAnsi="Verdana" w:cs="Arial"/>
                <w:lang w:val="es-ES"/>
              </w:rPr>
              <w:t>) decisión, contenida en resolución motivada en la que se consigne lo ocurrido en la diligencia y lo relativo a la imposición o no de multas y sanciones o a la declaratoria de incumplimiento. Contra esa decisión solo procede el recurso de reposición, que se interpone, sustenta y decide en la misma diligencia, y ambas decisiones se entienden notificadas en audiencia, sin perjuicio del control judicial posterior. El desarrollo de cada etapa se expone en el acápite de razones.</w:t>
            </w:r>
          </w:p>
          <w:p w14:paraId="082F34C4" w14:textId="79B44BF7" w:rsidR="00A22165" w:rsidRDefault="00A22165" w:rsidP="00AE63C3">
            <w:pPr>
              <w:spacing w:after="120" w:line="276" w:lineRule="auto"/>
              <w:ind w:firstLine="709"/>
              <w:jc w:val="both"/>
              <w:rPr>
                <w:rFonts w:ascii="Verdana" w:hAnsi="Verdana" w:cs="Arial"/>
                <w:iCs/>
                <w:color w:val="000000" w:themeColor="text1"/>
              </w:rPr>
            </w:pPr>
            <w:r w:rsidRPr="00A22165">
              <w:rPr>
                <w:rFonts w:ascii="Verdana" w:eastAsia="Calibri" w:hAnsi="Verdana" w:cs="Arial"/>
                <w:lang w:val="es-ES"/>
              </w:rPr>
              <w:t xml:space="preserve">De esa estructura se desprende que el artículo 86 de la Ley 1474 de 2011 no contempla, como requisito de procedibilidad de la actuación, la existencia de requerimientos previos dirigidos al contratista con anterioridad al informe de supervisión o interventoría, pues el derecho de defensa se garantiza a partir de la citación a audiencia, momento en el cual el contratista conoce de manera expresa y detallada los hechos, las normas o cláusulas presuntamente violadas y las consecuencias que podrían derivarse. En consecuencia, la sola ausencia de requerimientos previos no constituye, por sí misma, un vicio del procedimiento ni causal de nulidad del acto administrativo que declare el incumplimiento. Ello no torna jurídicamente indiferente la actuación de la supervisión: el informe constituye el soporte probatorio de la decisión, de modo que su insuficiencia o falta de respaldo material puede derivar en falsa motivación del acto; si el contrato, sus anexos o el manual de </w:t>
            </w:r>
            <w:r w:rsidRPr="00A22165">
              <w:rPr>
                <w:rFonts w:ascii="Verdana" w:eastAsia="Calibri" w:hAnsi="Verdana" w:cs="Arial"/>
                <w:lang w:val="es-ES"/>
              </w:rPr>
              <w:lastRenderedPageBreak/>
              <w:t>supervisión de la entidad prevén requerimientos previos, su omisión comporta la inobservancia de reglas que la propia entidad se dio y puede incidir en la legalidad de la decisión; deben verificarse las reglas sobre constitución en mora del deudor conforme al artículo 1608 del Código Civil, según la naturaleza de la obligación incumplida y lo pactado sobre el plazo; y la conducta precedente de la entidad —en particular la recepción sin objeción de prestaciones ejecutadas de manera tardía o defectuosa— resulta relevante a la luz del principio de buena fe contractual. Estas consideraciones se desarrollan en el acápite siguiente.</w:t>
            </w:r>
          </w:p>
          <w:p w14:paraId="0704004C" w14:textId="77777777" w:rsidR="0051671F" w:rsidRDefault="0051671F" w:rsidP="00820CE5">
            <w:pPr>
              <w:spacing w:after="120" w:line="276" w:lineRule="auto"/>
              <w:ind w:firstLine="709"/>
              <w:jc w:val="both"/>
              <w:rPr>
                <w:rFonts w:ascii="Verdana" w:hAnsi="Verdana" w:cs="Arial"/>
                <w:iCs/>
                <w:color w:val="000000" w:themeColor="text1"/>
                <w:lang w:val="es-ES"/>
              </w:rPr>
            </w:pPr>
            <w:r>
              <w:rPr>
                <w:rFonts w:ascii="Verdana" w:hAnsi="Verdana" w:cs="Arial"/>
                <w:iCs/>
                <w:color w:val="000000" w:themeColor="text1"/>
                <w:lang w:val="es-ES"/>
              </w:rPr>
              <w:t>La norma precitada</w:t>
            </w:r>
            <w:r w:rsidRPr="008356F6">
              <w:rPr>
                <w:rFonts w:ascii="Verdana" w:hAnsi="Verdana" w:cs="Arial"/>
                <w:iCs/>
                <w:color w:val="000000" w:themeColor="text1"/>
                <w:lang w:val="es-ES"/>
              </w:rPr>
              <w:t xml:space="preserve"> no categoriza el tipo de incumplimiento. Como consecuencia, la declaratoria de cualquier incumplimiento, sea este total o parcial, debe hacerse con la debida observancia de las reglas procedimentales </w:t>
            </w:r>
            <w:r>
              <w:rPr>
                <w:rFonts w:ascii="Verdana" w:hAnsi="Verdana" w:cs="Arial"/>
                <w:iCs/>
                <w:color w:val="000000" w:themeColor="text1"/>
                <w:lang w:val="es-ES"/>
              </w:rPr>
              <w:t>mencionadas en el párrafo precedente</w:t>
            </w:r>
            <w:r w:rsidRPr="008356F6">
              <w:rPr>
                <w:rFonts w:ascii="Verdana" w:hAnsi="Verdana" w:cs="Arial"/>
                <w:iCs/>
                <w:color w:val="000000" w:themeColor="text1"/>
                <w:lang w:val="es-ES"/>
              </w:rPr>
              <w:t xml:space="preserve">. Esto es así como consecuencia del </w:t>
            </w:r>
            <w:r>
              <w:rPr>
                <w:rFonts w:ascii="Verdana" w:hAnsi="Verdana" w:cs="Arial"/>
                <w:iCs/>
                <w:color w:val="000000" w:themeColor="text1"/>
                <w:lang w:val="es-ES"/>
              </w:rPr>
              <w:t>“</w:t>
            </w:r>
            <w:r w:rsidRPr="008356F6">
              <w:rPr>
                <w:rFonts w:ascii="Verdana" w:hAnsi="Verdana" w:cs="Arial"/>
                <w:iCs/>
                <w:color w:val="000000" w:themeColor="text1"/>
                <w:lang w:val="es-ES"/>
              </w:rPr>
              <w:t>principio general de interpretación jurídica según el cual donde la norma no distingue, no le corresponde distinguir al intérprete</w:t>
            </w:r>
            <w:r>
              <w:rPr>
                <w:rFonts w:ascii="Verdana" w:hAnsi="Verdana" w:cs="Arial"/>
                <w:iCs/>
                <w:color w:val="000000" w:themeColor="text1"/>
                <w:lang w:val="es-ES"/>
              </w:rPr>
              <w:t>”</w:t>
            </w:r>
            <w:r w:rsidRPr="008356F6">
              <w:rPr>
                <w:rFonts w:ascii="Verdana" w:hAnsi="Verdana" w:cs="Arial"/>
                <w:iCs/>
                <w:color w:val="000000" w:themeColor="text1"/>
                <w:lang w:val="es-ES"/>
              </w:rPr>
              <w:t xml:space="preserve">. A la misma conclusión se arriba si se tiene en consideración la necesidad de respetar el debido proceso en </w:t>
            </w:r>
            <w:r>
              <w:rPr>
                <w:rFonts w:ascii="Verdana" w:hAnsi="Verdana" w:cs="Arial"/>
                <w:iCs/>
                <w:color w:val="000000" w:themeColor="text1"/>
                <w:lang w:val="es-ES"/>
              </w:rPr>
              <w:t>“</w:t>
            </w:r>
            <w:r w:rsidRPr="008356F6">
              <w:rPr>
                <w:rFonts w:ascii="Verdana" w:hAnsi="Verdana" w:cs="Arial"/>
                <w:iCs/>
                <w:color w:val="000000" w:themeColor="text1"/>
                <w:lang w:val="es-ES"/>
              </w:rPr>
              <w:t>todas las actuaciones administrativas</w:t>
            </w:r>
            <w:r>
              <w:rPr>
                <w:rFonts w:ascii="Verdana" w:hAnsi="Verdana" w:cs="Arial"/>
                <w:iCs/>
                <w:color w:val="000000" w:themeColor="text1"/>
                <w:lang w:val="es-ES"/>
              </w:rPr>
              <w:t>”</w:t>
            </w:r>
            <w:r w:rsidRPr="008356F6">
              <w:rPr>
                <w:rFonts w:ascii="Verdana" w:hAnsi="Verdana" w:cs="Arial"/>
                <w:iCs/>
                <w:color w:val="000000" w:themeColor="text1"/>
                <w:lang w:val="es-ES"/>
              </w:rPr>
              <w:t xml:space="preserve"> como lo ordena el artículo 29 Superior. </w:t>
            </w:r>
          </w:p>
          <w:p w14:paraId="3F8C0913" w14:textId="14D34003" w:rsidR="0051671F" w:rsidRPr="00CC2A45" w:rsidRDefault="0051671F" w:rsidP="00820CE5">
            <w:pPr>
              <w:spacing w:line="276" w:lineRule="auto"/>
              <w:ind w:firstLine="737"/>
              <w:contextualSpacing/>
              <w:jc w:val="both"/>
              <w:rPr>
                <w:rFonts w:ascii="Verdana" w:hAnsi="Verdana" w:cs="Arial"/>
              </w:rPr>
            </w:pPr>
            <w:r>
              <w:rPr>
                <w:rFonts w:ascii="Verdana" w:hAnsi="Verdana" w:cs="Arial"/>
                <w:bCs/>
                <w:color w:val="000000" w:themeColor="text1"/>
                <w:lang w:val="es-ES_tradnl"/>
              </w:rPr>
              <w:t>C</w:t>
            </w:r>
            <w:r w:rsidRPr="00CC2A45">
              <w:rPr>
                <w:rFonts w:ascii="Verdana" w:hAnsi="Verdana" w:cs="Arial"/>
                <w:bCs/>
                <w:color w:val="000000" w:themeColor="text1"/>
                <w:lang w:val="es-ES_tradnl"/>
              </w:rPr>
              <w:t xml:space="preserve">omo la cláusula penal es una tasación anticipada de perjuicios, </w:t>
            </w:r>
            <w:r>
              <w:rPr>
                <w:rFonts w:ascii="Verdana" w:hAnsi="Verdana" w:cs="Arial"/>
                <w:bCs/>
                <w:color w:val="000000" w:themeColor="text1"/>
                <w:lang w:val="es-ES_tradnl"/>
              </w:rPr>
              <w:t>puede que</w:t>
            </w:r>
            <w:r w:rsidRPr="00CC2A45">
              <w:rPr>
                <w:rFonts w:ascii="Verdana" w:hAnsi="Verdana" w:cs="Arial"/>
                <w:bCs/>
                <w:color w:val="000000" w:themeColor="text1"/>
                <w:lang w:val="es-ES_tradnl"/>
              </w:rPr>
              <w:t xml:space="preserve"> el monto estipulado </w:t>
            </w:r>
            <w:r>
              <w:rPr>
                <w:rFonts w:ascii="Verdana" w:hAnsi="Verdana" w:cs="Arial"/>
                <w:bCs/>
                <w:color w:val="000000" w:themeColor="text1"/>
                <w:lang w:val="es-ES_tradnl"/>
              </w:rPr>
              <w:t>sea</w:t>
            </w:r>
            <w:r w:rsidRPr="00CC2A45">
              <w:rPr>
                <w:rFonts w:ascii="Verdana" w:hAnsi="Verdana" w:cs="Arial"/>
                <w:bCs/>
                <w:color w:val="000000" w:themeColor="text1"/>
                <w:lang w:val="es-ES_tradnl"/>
              </w:rPr>
              <w:t xml:space="preserve"> excesivo, considerando que puede presentarse una ejecución parcial del contrato</w:t>
            </w:r>
            <w:r>
              <w:rPr>
                <w:rFonts w:ascii="Verdana" w:hAnsi="Verdana" w:cs="Arial"/>
                <w:bCs/>
                <w:color w:val="000000" w:themeColor="text1"/>
                <w:lang w:val="es-ES_tradnl"/>
              </w:rPr>
              <w:t>. En este caso,</w:t>
            </w:r>
            <w:r w:rsidRPr="00CC2A45">
              <w:rPr>
                <w:rFonts w:ascii="Verdana" w:hAnsi="Verdana" w:cs="Arial"/>
                <w:bCs/>
                <w:color w:val="000000" w:themeColor="text1"/>
                <w:lang w:val="es-ES_tradnl"/>
              </w:rPr>
              <w:t xml:space="preserve"> e</w:t>
            </w:r>
            <w:r>
              <w:rPr>
                <w:rFonts w:ascii="Verdana" w:hAnsi="Verdana" w:cs="Arial"/>
                <w:bCs/>
                <w:color w:val="000000" w:themeColor="text1"/>
                <w:lang w:val="es-ES_tradnl"/>
              </w:rPr>
              <w:t xml:space="preserve">n congruencia con el precitado </w:t>
            </w:r>
            <w:r w:rsidRPr="00CC2A45">
              <w:rPr>
                <w:rFonts w:ascii="Verdana" w:hAnsi="Verdana" w:cs="Arial"/>
                <w:bCs/>
                <w:color w:val="000000" w:themeColor="text1"/>
                <w:lang w:val="es-ES_tradnl"/>
              </w:rPr>
              <w:t>artículo 15</w:t>
            </w:r>
            <w:r>
              <w:rPr>
                <w:rFonts w:ascii="Verdana" w:hAnsi="Verdana" w:cs="Arial"/>
                <w:bCs/>
                <w:color w:val="000000" w:themeColor="text1"/>
                <w:lang w:val="es-ES_tradnl"/>
              </w:rPr>
              <w:t>96</w:t>
            </w:r>
            <w:r w:rsidRPr="00CC2A45">
              <w:rPr>
                <w:rFonts w:ascii="Verdana" w:hAnsi="Verdana" w:cs="Arial"/>
                <w:bCs/>
                <w:color w:val="000000" w:themeColor="text1"/>
                <w:lang w:val="es-ES_tradnl"/>
              </w:rPr>
              <w:t xml:space="preserve"> del Código Civil</w:t>
            </w:r>
            <w:r>
              <w:rPr>
                <w:rFonts w:ascii="Verdana" w:hAnsi="Verdana" w:cs="Arial"/>
                <w:bCs/>
                <w:color w:val="000000" w:themeColor="text1"/>
                <w:lang w:val="es-ES_tradnl"/>
              </w:rPr>
              <w:t xml:space="preserve">, </w:t>
            </w:r>
            <w:r>
              <w:rPr>
                <w:rFonts w:ascii="Verdana" w:hAnsi="Verdana" w:cs="Arial"/>
                <w:sz w:val="21"/>
                <w:szCs w:val="21"/>
              </w:rPr>
              <w:t>“</w:t>
            </w:r>
            <w:r w:rsidRPr="00CC2A45">
              <w:rPr>
                <w:rFonts w:ascii="Verdana" w:hAnsi="Verdana" w:cs="Arial"/>
              </w:rPr>
              <w:t>Si el deudor cumple solamente una parte de la obligación principal y el acreedor acepta esta parte, tendrá derecho para que se rebaje proporcionalmente la pena estipulada por falta de cumplimiento de la obligación principal</w:t>
            </w:r>
            <w:r>
              <w:rPr>
                <w:rFonts w:ascii="Verdana" w:hAnsi="Verdana" w:cs="Arial"/>
                <w:sz w:val="21"/>
                <w:szCs w:val="21"/>
              </w:rPr>
              <w:t>”.</w:t>
            </w:r>
            <w:r w:rsidRPr="00CC2A45">
              <w:rPr>
                <w:rFonts w:ascii="Verdana" w:hAnsi="Verdana" w:cs="Arial"/>
                <w:sz w:val="21"/>
                <w:szCs w:val="21"/>
              </w:rPr>
              <w:t xml:space="preserve"> </w:t>
            </w:r>
            <w:r w:rsidR="0055592A" w:rsidRPr="0055592A">
              <w:rPr>
                <w:rFonts w:ascii="Verdana" w:hAnsi="Verdana" w:cs="Arial"/>
                <w:sz w:val="21"/>
                <w:szCs w:val="21"/>
              </w:rPr>
              <w:t>Conviene subrayar que la norma condiciona la rebaja proporcional a que el acreedor acepte la parte ejecutada: la reducción no opera de manera automática por el solo hecho de existir ejecución parcial, sino que requiere que la entidad haya recibido esa parte del objeto contractual y que dicha recepción resulte útil a la satisfacción de la necesidad que motivó la contratación. A la inversa, si la entidad no acepta la ejecución parcial —señaladamente cuando el objeto es indivisible y solo le sirve su ejecución completa—, la pena se debe íntegramente.</w:t>
            </w:r>
            <w:r w:rsidR="0055592A">
              <w:rPr>
                <w:rFonts w:ascii="Verdana" w:hAnsi="Verdana" w:cs="Arial"/>
                <w:sz w:val="21"/>
                <w:szCs w:val="21"/>
              </w:rPr>
              <w:t xml:space="preserve"> </w:t>
            </w:r>
            <w:r w:rsidRPr="00CC2A45">
              <w:rPr>
                <w:rFonts w:ascii="Verdana" w:hAnsi="Verdana" w:cs="Arial"/>
                <w:sz w:val="21"/>
                <w:szCs w:val="21"/>
              </w:rPr>
              <w:t xml:space="preserve"> </w:t>
            </w:r>
            <w:r>
              <w:rPr>
                <w:rFonts w:ascii="Verdana" w:hAnsi="Verdana" w:cs="Arial"/>
              </w:rPr>
              <w:t>Así</w:t>
            </w:r>
            <w:r w:rsidRPr="00CC2A45">
              <w:rPr>
                <w:rFonts w:ascii="Verdana" w:hAnsi="Verdana" w:cs="Arial"/>
              </w:rPr>
              <w:t>, la entidad que pretend</w:t>
            </w:r>
            <w:r>
              <w:rPr>
                <w:rFonts w:ascii="Verdana" w:hAnsi="Verdana" w:cs="Arial"/>
              </w:rPr>
              <w:t>a</w:t>
            </w:r>
            <w:r w:rsidRPr="00CC2A45">
              <w:rPr>
                <w:rFonts w:ascii="Verdana" w:hAnsi="Verdana" w:cs="Arial"/>
              </w:rPr>
              <w:t xml:space="preserve"> </w:t>
            </w:r>
            <w:r>
              <w:rPr>
                <w:rFonts w:ascii="Verdana" w:hAnsi="Verdana" w:cs="Arial"/>
              </w:rPr>
              <w:t>aplicar</w:t>
            </w:r>
            <w:r w:rsidRPr="00CC2A45">
              <w:rPr>
                <w:rFonts w:ascii="Verdana" w:hAnsi="Verdana" w:cs="Arial"/>
              </w:rPr>
              <w:t xml:space="preserve"> la cláusula penal deberá determinar los perjuicios en atención a razones objetivas, razonables y proporcionales de acuerdo </w:t>
            </w:r>
            <w:r w:rsidR="00F83FED">
              <w:rPr>
                <w:rFonts w:ascii="Verdana" w:hAnsi="Verdana" w:cs="Arial"/>
              </w:rPr>
              <w:t xml:space="preserve">con </w:t>
            </w:r>
            <w:r>
              <w:rPr>
                <w:rFonts w:ascii="Verdana" w:hAnsi="Verdana" w:cs="Arial"/>
              </w:rPr>
              <w:t>lo sucedido</w:t>
            </w:r>
            <w:r w:rsidRPr="00CC2A45">
              <w:rPr>
                <w:rFonts w:ascii="Verdana" w:hAnsi="Verdana" w:cs="Arial"/>
              </w:rPr>
              <w:t xml:space="preserve">. </w:t>
            </w:r>
          </w:p>
          <w:p w14:paraId="7A44F0D8" w14:textId="77777777" w:rsidR="0051671F" w:rsidRPr="00430BFF" w:rsidRDefault="0051671F" w:rsidP="00820CE5">
            <w:pPr>
              <w:spacing w:line="276" w:lineRule="auto"/>
              <w:contextualSpacing/>
              <w:jc w:val="both"/>
              <w:rPr>
                <w:rFonts w:ascii="Verdana" w:hAnsi="Verdana" w:cs="Arial"/>
                <w:sz w:val="12"/>
                <w:szCs w:val="12"/>
              </w:rPr>
            </w:pPr>
          </w:p>
          <w:p w14:paraId="5188CC83" w14:textId="73B593B8" w:rsidR="0051671F" w:rsidRPr="00430BFF" w:rsidRDefault="0051671F" w:rsidP="00820CE5">
            <w:pPr>
              <w:spacing w:line="276" w:lineRule="auto"/>
              <w:ind w:firstLine="708"/>
              <w:contextualSpacing/>
              <w:jc w:val="both"/>
              <w:rPr>
                <w:rFonts w:ascii="Verdana" w:hAnsi="Verdana" w:cs="Arial"/>
                <w:bCs/>
                <w:color w:val="000000" w:themeColor="text1"/>
                <w:lang w:val="es-ES_tradnl"/>
              </w:rPr>
            </w:pPr>
            <w:r>
              <w:rPr>
                <w:rFonts w:ascii="Verdana" w:hAnsi="Verdana" w:cs="Arial"/>
                <w:bCs/>
                <w:color w:val="000000" w:themeColor="text1"/>
                <w:lang w:val="es-ES_tradnl"/>
              </w:rPr>
              <w:lastRenderedPageBreak/>
              <w:t>De esta forma</w:t>
            </w:r>
            <w:r w:rsidRPr="00CC2A45">
              <w:rPr>
                <w:rFonts w:ascii="Verdana" w:hAnsi="Verdana" w:cs="Arial"/>
                <w:bCs/>
                <w:color w:val="000000" w:themeColor="text1"/>
                <w:lang w:val="es-ES_tradnl"/>
              </w:rPr>
              <w:t xml:space="preserve">, </w:t>
            </w:r>
            <w:r>
              <w:rPr>
                <w:rFonts w:ascii="Verdana" w:hAnsi="Verdana" w:cs="Arial"/>
                <w:bCs/>
                <w:color w:val="000000" w:themeColor="text1"/>
                <w:lang w:val="es-ES_tradnl"/>
              </w:rPr>
              <w:t xml:space="preserve">cuando </w:t>
            </w:r>
            <w:r w:rsidRPr="00CC2A45">
              <w:rPr>
                <w:rFonts w:ascii="Verdana" w:hAnsi="Verdana" w:cs="Arial"/>
                <w:bCs/>
                <w:color w:val="000000" w:themeColor="text1"/>
                <w:lang w:val="es-ES_tradnl"/>
              </w:rPr>
              <w:t>la Entidad Pública tenga que cuantificar los perjuicios ocasionados por el incumplimiento,</w:t>
            </w:r>
            <w:r>
              <w:rPr>
                <w:rFonts w:ascii="Verdana" w:hAnsi="Verdana" w:cs="Arial"/>
                <w:bCs/>
                <w:color w:val="000000" w:themeColor="text1"/>
                <w:lang w:val="es-ES_tradnl"/>
              </w:rPr>
              <w:t xml:space="preserve"> </w:t>
            </w:r>
            <w:r w:rsidR="00CA7C68">
              <w:rPr>
                <w:rFonts w:ascii="Verdana" w:hAnsi="Verdana" w:cs="Arial"/>
                <w:bCs/>
                <w:color w:val="000000" w:themeColor="text1"/>
                <w:lang w:val="es-ES_tradnl"/>
              </w:rPr>
              <w:t>e</w:t>
            </w:r>
            <w:r>
              <w:rPr>
                <w:rFonts w:ascii="Verdana" w:hAnsi="Verdana" w:cs="Arial"/>
                <w:bCs/>
                <w:color w:val="000000" w:themeColor="text1"/>
                <w:lang w:val="es-ES_tradnl"/>
              </w:rPr>
              <w:t xml:space="preserve">sta </w:t>
            </w:r>
            <w:r w:rsidRPr="00CC2A45">
              <w:rPr>
                <w:rFonts w:ascii="Verdana" w:hAnsi="Verdana" w:cs="Arial"/>
                <w:bCs/>
                <w:color w:val="000000" w:themeColor="text1"/>
                <w:lang w:val="es-ES_tradnl"/>
              </w:rPr>
              <w:t xml:space="preserve">debe atender </w:t>
            </w:r>
            <w:r>
              <w:rPr>
                <w:rFonts w:ascii="Verdana" w:hAnsi="Verdana" w:cs="Arial"/>
                <w:bCs/>
                <w:color w:val="000000" w:themeColor="text1"/>
                <w:lang w:val="es-ES_tradnl"/>
              </w:rPr>
              <w:t>al</w:t>
            </w:r>
            <w:r w:rsidRPr="00CC2A45">
              <w:rPr>
                <w:rFonts w:ascii="Verdana" w:hAnsi="Verdana" w:cs="Arial"/>
                <w:bCs/>
                <w:color w:val="000000" w:themeColor="text1"/>
                <w:lang w:val="es-ES_tradnl"/>
              </w:rPr>
              <w:t xml:space="preserve"> principio de proporcionalidad, y verificar: </w:t>
            </w:r>
            <w:r>
              <w:rPr>
                <w:rFonts w:ascii="Verdana" w:hAnsi="Verdana" w:cs="Arial"/>
                <w:sz w:val="21"/>
                <w:szCs w:val="21"/>
              </w:rPr>
              <w:t>“</w:t>
            </w:r>
            <w:r w:rsidRPr="00CC2A45">
              <w:rPr>
                <w:rFonts w:ascii="Verdana" w:hAnsi="Verdana" w:cs="Arial"/>
              </w:rPr>
              <w:t xml:space="preserve">i) El porcentaje de obra efectivamente ejecutado por el contratista, y </w:t>
            </w:r>
            <w:proofErr w:type="spellStart"/>
            <w:r w:rsidRPr="00CC2A45">
              <w:rPr>
                <w:rFonts w:ascii="Verdana" w:hAnsi="Verdana" w:cs="Arial"/>
              </w:rPr>
              <w:t>ii</w:t>
            </w:r>
            <w:proofErr w:type="spellEnd"/>
            <w:r w:rsidRPr="00CC2A45">
              <w:rPr>
                <w:rFonts w:ascii="Verdana" w:hAnsi="Verdana" w:cs="Arial"/>
              </w:rPr>
              <w:t>) si la entidad pública contratante recibió esta parte del objeto contractual</w:t>
            </w:r>
            <w:r>
              <w:rPr>
                <w:rFonts w:ascii="Verdana" w:hAnsi="Verdana" w:cs="Arial"/>
                <w:sz w:val="21"/>
                <w:szCs w:val="21"/>
              </w:rPr>
              <w:t>”</w:t>
            </w:r>
            <w:r w:rsidRPr="00CC2A45">
              <w:rPr>
                <w:rFonts w:ascii="Verdana" w:hAnsi="Verdana" w:cs="Arial"/>
              </w:rPr>
              <w:t xml:space="preserve">, con la finalidad de aplicar de manera razonada la cláusula penal pecuniaria y no incurrir en excesos. </w:t>
            </w:r>
            <w:r w:rsidR="00CA29F0">
              <w:rPr>
                <w:rFonts w:ascii="Verdana" w:hAnsi="Verdana" w:cs="Arial"/>
              </w:rPr>
              <w:t>N</w:t>
            </w:r>
            <w:r w:rsidR="00CA29F0" w:rsidRPr="00CA29F0">
              <w:rPr>
                <w:rFonts w:ascii="Verdana" w:hAnsi="Verdana" w:cs="Arial"/>
              </w:rPr>
              <w:t>i la jurisprudencia ni la doctrina han decantado una fórmula aritmética de aplicación tarifada para cuantificar la reducción de la pena ante un incumplimiento parcial. Lo que el ordenamiento exige es una decisión motivada que exponga los elementos de juicio objetivos —probatorios, técnicos y jurídicos— que sustentan la proporción aplicada, a partir de la porción efectivamente ejecutada, de su recepción por la entidad y de la utilidad que esta reporte frente al objeto contratado. La ausencia de una fórmula predeterminada no habilita la discrecionalidad: refuerza el deber de motivación</w:t>
            </w:r>
            <w:r w:rsidR="00CA29F0">
              <w:rPr>
                <w:rFonts w:ascii="Verdana" w:hAnsi="Verdana" w:cs="Arial"/>
              </w:rPr>
              <w:t xml:space="preserve">. </w:t>
            </w:r>
          </w:p>
          <w:p w14:paraId="081A8B98" w14:textId="77777777" w:rsidR="0051671F" w:rsidRPr="00430BFF" w:rsidRDefault="0051671F" w:rsidP="00820CE5">
            <w:pPr>
              <w:spacing w:line="276" w:lineRule="auto"/>
              <w:ind w:firstLine="708"/>
              <w:jc w:val="both"/>
              <w:rPr>
                <w:rFonts w:ascii="Verdana" w:hAnsi="Verdana" w:cs="Arial"/>
                <w:iCs/>
                <w:color w:val="000000" w:themeColor="text1"/>
                <w:sz w:val="12"/>
                <w:szCs w:val="12"/>
                <w:lang w:val="es-ES_tradnl"/>
              </w:rPr>
            </w:pPr>
          </w:p>
          <w:p w14:paraId="301B6C83" w14:textId="77777777" w:rsidR="00011261" w:rsidRPr="00011261" w:rsidRDefault="00011261" w:rsidP="00011261">
            <w:pPr>
              <w:spacing w:after="120" w:line="276" w:lineRule="auto"/>
              <w:ind w:firstLine="737"/>
              <w:jc w:val="both"/>
              <w:rPr>
                <w:rFonts w:ascii="Verdana" w:hAnsi="Verdana" w:cs="Arial"/>
                <w:iCs/>
                <w:color w:val="000000" w:themeColor="text1"/>
              </w:rPr>
            </w:pPr>
            <w:r w:rsidRPr="00011261">
              <w:rPr>
                <w:rFonts w:ascii="Verdana" w:hAnsi="Verdana" w:cs="Arial"/>
                <w:iCs/>
                <w:color w:val="000000" w:themeColor="text1"/>
              </w:rPr>
              <w:t>Finalmente, debe distinguirse el instrumento aplicable según el momento en que se advierta el incumplimiento parcial. El artículo 17 de la Ley 1150 de 2007 condiciona expresamente la imposición unilateral de multas a que se halle pendiente la ejecución de las obligaciones a cargo del contratista, en coherencia con su naturaleza conminatoria: extinguido el plazo de ejecución, el apremio carece de objeto. La cláusula penal pecuniaria, en cambio, opera como tasación anticipada de perjuicios frente a un incumplimiento definitivo, por lo que su imposición unilateral procede mientras la entidad conserve competencia sobre la relación contractual, esto es, hasta la liquidación del contrato; vencida esa oportunidad, la entidad no pierde el derecho al resarcimiento, pero deberá perseguirlo ante el juez del contrato. En consecuencia, mientras el contrato se encuentra en ejecución y la conminación al cumplimiento conserva utilidad, el mecanismo procedente es la multa; configurado el incumplimiento definitivo, procede la cláusula penal pecuniaria, reducida en la proporción que corresponda conforme a lo expuesto.</w:t>
            </w:r>
          </w:p>
          <w:p w14:paraId="34486B20" w14:textId="71704032" w:rsidR="00951986" w:rsidRDefault="00951986" w:rsidP="00AE63C3">
            <w:pPr>
              <w:spacing w:after="120" w:line="276" w:lineRule="auto"/>
              <w:ind w:firstLine="737"/>
              <w:jc w:val="both"/>
              <w:rPr>
                <w:rFonts w:ascii="Verdana" w:eastAsia="Calibri" w:hAnsi="Verdana" w:cs="Arial"/>
                <w:lang w:val="es-ES_tradnl"/>
              </w:rPr>
            </w:pPr>
            <w:r w:rsidRPr="00951986">
              <w:rPr>
                <w:rFonts w:ascii="Verdana" w:hAnsi="Verdana" w:cs="Arial"/>
                <w:iCs/>
                <w:color w:val="000000" w:themeColor="text1"/>
              </w:rPr>
              <w:t>Finalmente, debe distinguirse el instrumento aplicable según el momento en que se advierta el incumplimiento parcial. Mientras el contrato se encuentra en ejecución y la conminación al cumplimiento conserva utilidad, el mecanismo procedente es la multa; una vez configurado el incumplimiento definitivo, procede la cláusula penal pecuniaria, reducida en la proporción que corresponda conforme a lo expuesto.</w:t>
            </w:r>
            <w:r w:rsidR="007B0023">
              <w:rPr>
                <w:rFonts w:ascii="Verdana" w:hAnsi="Verdana" w:cs="Arial"/>
                <w:iCs/>
                <w:color w:val="000000" w:themeColor="text1"/>
              </w:rPr>
              <w:t xml:space="preserve"> </w:t>
            </w:r>
            <w:r w:rsidR="007B0023" w:rsidRPr="007B0023">
              <w:rPr>
                <w:rFonts w:ascii="Verdana" w:hAnsi="Verdana" w:cs="Arial"/>
                <w:iCs/>
                <w:color w:val="000000" w:themeColor="text1"/>
              </w:rPr>
              <w:t xml:space="preserve">El artículo 17 de la Ley 1150 de 2007 </w:t>
            </w:r>
            <w:r w:rsidR="007B0023" w:rsidRPr="007B0023">
              <w:rPr>
                <w:rFonts w:ascii="Verdana" w:hAnsi="Verdana" w:cs="Arial"/>
                <w:iCs/>
                <w:color w:val="000000" w:themeColor="text1"/>
              </w:rPr>
              <w:lastRenderedPageBreak/>
              <w:t>condiciona expresamente la imposición unilateral de multas a que se halle pendiente la ejecución de las obligaciones a cargo del contratista, en coherencia con su naturaleza conminatoria: extinguido el plazo de ejecución, el apremio carece de objeto. La cláusula penal pecuniaria, en cambio, opera como tasación anticipada de perjuicios frente a un incumplimiento definitivo, por lo que su imposición unilateral procede mientras la entidad conserve competencia sobre la relación contractual, esto es, hasta la liquidación del contrato; vencida esa oportunidad, la entidad no pierde el derecho al resarcimiento, pero deberá perseguirlo ante el juez del contrato. En consecuencia, mientras el contrato se encuentra en ejecución y la conminación al cumplimiento conserva utilidad, el mecanismo procedente es la multa; configurado el incumplimiento definitivo, procede la cláusula penal pecuniaria, reducida en la proporción que corresponda conforme a lo expuesto.</w:t>
            </w:r>
          </w:p>
          <w:p w14:paraId="661E4D84" w14:textId="4FFC095D" w:rsidR="0051671F" w:rsidRPr="00593A5F" w:rsidRDefault="0051671F" w:rsidP="00820CE5">
            <w:pPr>
              <w:spacing w:line="276" w:lineRule="auto"/>
              <w:ind w:firstLine="737"/>
              <w:jc w:val="both"/>
              <w:rPr>
                <w:rFonts w:ascii="Verdana" w:eastAsia="Calibri" w:hAnsi="Verdana" w:cs="Arial"/>
                <w:color w:val="7030A0"/>
                <w:lang w:val="es-ES"/>
              </w:rPr>
            </w:pPr>
            <w:r w:rsidRPr="000F44CB">
              <w:rPr>
                <w:rFonts w:ascii="Verdana" w:eastAsia="Calibri" w:hAnsi="Verdana" w:cs="Arial"/>
                <w:lang w:val="es-ES"/>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w:t>
            </w:r>
            <w:r w:rsidR="0096769F">
              <w:rPr>
                <w:rFonts w:ascii="Verdana" w:eastAsia="Calibri" w:hAnsi="Verdana" w:cs="Arial"/>
                <w:lang w:val="es-ES"/>
              </w:rPr>
              <w:t xml:space="preserve">en </w:t>
            </w:r>
            <w:r w:rsidRPr="000F44CB">
              <w:rPr>
                <w:rFonts w:ascii="Verdana" w:eastAsia="Calibri" w:hAnsi="Verdana" w:cs="Arial"/>
                <w:lang w:val="es-ES"/>
              </w:rPr>
              <w:t xml:space="preserve">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w:t>
            </w:r>
            <w:r w:rsidRPr="00E853DE">
              <w:rPr>
                <w:rFonts w:ascii="Verdana" w:eastAsia="Calibri" w:hAnsi="Verdana" w:cs="Arial"/>
                <w:bCs/>
                <w:color w:val="000000" w:themeColor="text1"/>
              </w:rPr>
              <w:t xml:space="preserve">sin que sea atribución de Colombia Compra Eficiente </w:t>
            </w:r>
            <w:r>
              <w:rPr>
                <w:rFonts w:ascii="Verdana" w:eastAsia="Calibri" w:hAnsi="Verdana" w:cs="Arial"/>
                <w:bCs/>
                <w:color w:val="000000" w:themeColor="text1"/>
              </w:rPr>
              <w:t>validar sus actuaciones.</w:t>
            </w:r>
          </w:p>
        </w:tc>
      </w:tr>
    </w:tbl>
    <w:p w14:paraId="4E752512" w14:textId="77777777" w:rsidR="0051671F" w:rsidRPr="00593A5F" w:rsidRDefault="0051671F" w:rsidP="0051671F">
      <w:pPr>
        <w:tabs>
          <w:tab w:val="left" w:pos="142"/>
          <w:tab w:val="left" w:pos="284"/>
        </w:tabs>
        <w:spacing w:after="0" w:line="276" w:lineRule="auto"/>
        <w:jc w:val="both"/>
        <w:rPr>
          <w:rFonts w:ascii="Verdana" w:eastAsia="Century Gothic" w:hAnsi="Verdana" w:cs="Century Gothic"/>
          <w:b/>
          <w:bCs/>
          <w:lang w:val="es-ES"/>
        </w:rPr>
      </w:pPr>
    </w:p>
    <w:p w14:paraId="7F1C0C83" w14:textId="77777777" w:rsidR="0051671F" w:rsidRPr="00593A5F" w:rsidRDefault="0051671F" w:rsidP="0051671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7218E9C9" w14:textId="77777777" w:rsidR="0051671F" w:rsidRPr="00593A5F" w:rsidRDefault="0051671F" w:rsidP="0051671F">
      <w:pPr>
        <w:spacing w:after="0" w:line="276" w:lineRule="auto"/>
        <w:jc w:val="both"/>
        <w:rPr>
          <w:rFonts w:ascii="Verdana" w:eastAsia="Calibri" w:hAnsi="Verdana" w:cs="Arial"/>
          <w:color w:val="7030A0"/>
          <w:lang w:val="es-ES"/>
        </w:rPr>
      </w:pPr>
    </w:p>
    <w:p w14:paraId="40CDA8F3" w14:textId="77777777" w:rsidR="0051671F" w:rsidRPr="00B96799" w:rsidRDefault="0051671F" w:rsidP="0051671F">
      <w:pPr>
        <w:spacing w:after="0" w:line="276" w:lineRule="auto"/>
        <w:jc w:val="both"/>
        <w:rPr>
          <w:rFonts w:ascii="Verdana" w:eastAsia="Calibri" w:hAnsi="Verdana" w:cs="Arial"/>
          <w:lang w:val="es-ES"/>
        </w:rPr>
      </w:pPr>
      <w:r w:rsidRPr="00B96799">
        <w:rPr>
          <w:rFonts w:ascii="Verdana" w:eastAsia="Calibri" w:hAnsi="Verdana" w:cs="Arial"/>
          <w:lang w:val="es-ES"/>
        </w:rPr>
        <w:t xml:space="preserve">Lo anterior se sustenta en las siguientes consideraciones: </w:t>
      </w:r>
    </w:p>
    <w:p w14:paraId="2CD73F88" w14:textId="77777777" w:rsidR="0051671F" w:rsidRPr="00593A5F" w:rsidRDefault="0051671F" w:rsidP="0051671F">
      <w:pPr>
        <w:spacing w:after="0" w:line="276" w:lineRule="auto"/>
        <w:jc w:val="both"/>
        <w:rPr>
          <w:rFonts w:ascii="Verdana" w:eastAsia="Calibri" w:hAnsi="Verdana" w:cs="Arial"/>
          <w:color w:val="7030A0"/>
          <w:lang w:val="es-ES"/>
        </w:rPr>
      </w:pPr>
    </w:p>
    <w:p w14:paraId="58AD024C" w14:textId="062D47BA" w:rsidR="0051671F" w:rsidRPr="003423DC" w:rsidRDefault="0051671F" w:rsidP="0051671F">
      <w:pPr>
        <w:spacing w:line="276" w:lineRule="auto"/>
        <w:jc w:val="both"/>
        <w:rPr>
          <w:rFonts w:ascii="Verdana" w:hAnsi="Verdana" w:cs="Arial"/>
          <w:iCs/>
          <w:color w:val="000000" w:themeColor="text1"/>
        </w:rPr>
      </w:pPr>
      <w:bookmarkStart w:id="1" w:name="_Hlk170989338"/>
      <w:r w:rsidRPr="003423DC">
        <w:rPr>
          <w:rFonts w:ascii="Verdana" w:hAnsi="Verdana" w:cs="Arial"/>
          <w:iCs/>
          <w:color w:val="000000" w:themeColor="text1"/>
        </w:rPr>
        <w:t xml:space="preserve">Durante la ejecución de los contratos, las entidades estatales generalmente cuentan con distintas potestades exorbitantes o excepcionales con base en las cuales ejercen la dirección general del contrato y realizan las actividades propias de vigilancia y control, entre otras están: i) las cláusulas excepcionales del artículo 14 de la Ley 80 de 1993, donde se encuentran la terminación unilateral, la interpretación unilateral, la modificación unilateral, la caducidad y la reversión, las cuales se desarrollan en los artículos 15 a 19 </w:t>
      </w:r>
      <w:r w:rsidRPr="003423DC">
        <w:rPr>
          <w:rFonts w:ascii="Verdana" w:hAnsi="Verdana" w:cs="Arial"/>
          <w:i/>
          <w:color w:val="000000" w:themeColor="text1"/>
        </w:rPr>
        <w:t>ibidem</w:t>
      </w:r>
      <w:r w:rsidRPr="003423DC">
        <w:rPr>
          <w:rFonts w:ascii="Verdana" w:hAnsi="Verdana" w:cs="Arial"/>
          <w:iCs/>
          <w:color w:val="000000" w:themeColor="text1"/>
        </w:rPr>
        <w:t xml:space="preserve">; </w:t>
      </w:r>
      <w:proofErr w:type="spellStart"/>
      <w:r w:rsidRPr="003423DC">
        <w:rPr>
          <w:rFonts w:ascii="Verdana" w:hAnsi="Verdana" w:cs="Arial"/>
          <w:iCs/>
          <w:color w:val="000000" w:themeColor="text1"/>
        </w:rPr>
        <w:t>ii</w:t>
      </w:r>
      <w:proofErr w:type="spellEnd"/>
      <w:r w:rsidRPr="003423DC">
        <w:rPr>
          <w:rFonts w:ascii="Verdana" w:hAnsi="Verdana" w:cs="Arial"/>
          <w:iCs/>
          <w:color w:val="000000" w:themeColor="text1"/>
        </w:rPr>
        <w:t xml:space="preserve">) en otras disposiciones también se encuentran establecidas otras potestades exorbitantes, como la liquidación unilateral y la declaratoria unilateral del siniestro; y </w:t>
      </w:r>
      <w:proofErr w:type="spellStart"/>
      <w:r w:rsidRPr="003423DC">
        <w:rPr>
          <w:rFonts w:ascii="Verdana" w:hAnsi="Verdana" w:cs="Arial"/>
          <w:iCs/>
          <w:color w:val="000000" w:themeColor="text1"/>
        </w:rPr>
        <w:t>iii</w:t>
      </w:r>
      <w:proofErr w:type="spellEnd"/>
      <w:r w:rsidRPr="003423DC">
        <w:rPr>
          <w:rFonts w:ascii="Verdana" w:hAnsi="Verdana" w:cs="Arial"/>
          <w:iCs/>
          <w:color w:val="000000" w:themeColor="text1"/>
        </w:rPr>
        <w:t xml:space="preserve">) por </w:t>
      </w:r>
      <w:r w:rsidRPr="003423DC">
        <w:rPr>
          <w:rFonts w:ascii="Verdana" w:hAnsi="Verdana" w:cs="Arial"/>
          <w:iCs/>
          <w:color w:val="000000" w:themeColor="text1"/>
        </w:rPr>
        <w:lastRenderedPageBreak/>
        <w:t xml:space="preserve">sus características, que se enunciarán en este concepto, se tratan en un grupo distinto las cláusulas excepcionales de </w:t>
      </w:r>
      <w:r w:rsidRPr="003423DC">
        <w:rPr>
          <w:rFonts w:ascii="Verdana" w:hAnsi="Verdana" w:cs="Arial"/>
          <w:i/>
          <w:color w:val="000000" w:themeColor="text1"/>
        </w:rPr>
        <w:t>imposición unilateral</w:t>
      </w:r>
      <w:r w:rsidRPr="003423DC">
        <w:rPr>
          <w:rFonts w:ascii="Verdana" w:hAnsi="Verdana" w:cs="Arial"/>
          <w:iCs/>
          <w:color w:val="000000" w:themeColor="text1"/>
        </w:rPr>
        <w:t xml:space="preserve"> de las cláusulas penales y de multas</w:t>
      </w:r>
      <w:r>
        <w:rPr>
          <w:rFonts w:ascii="Verdana" w:hAnsi="Verdana" w:cs="Arial"/>
          <w:iCs/>
          <w:color w:val="000000" w:themeColor="text1"/>
        </w:rPr>
        <w:t>,</w:t>
      </w:r>
      <w:r w:rsidRPr="003423DC">
        <w:rPr>
          <w:rFonts w:ascii="Verdana" w:hAnsi="Verdana" w:cs="Arial"/>
          <w:iCs/>
          <w:color w:val="000000" w:themeColor="text1"/>
        </w:rPr>
        <w:t xml:space="preserve"> aclarando que su exorbitancia se refiere a su imposición unilateral</w:t>
      </w:r>
      <w:r>
        <w:rPr>
          <w:rFonts w:ascii="Verdana" w:hAnsi="Verdana" w:cs="Arial"/>
          <w:iCs/>
          <w:color w:val="000000" w:themeColor="text1"/>
        </w:rPr>
        <w:t>,</w:t>
      </w:r>
      <w:r w:rsidRPr="003423DC">
        <w:rPr>
          <w:rFonts w:ascii="Verdana" w:hAnsi="Verdana" w:cs="Arial"/>
          <w:iCs/>
          <w:color w:val="000000" w:themeColor="text1"/>
        </w:rPr>
        <w:t xml:space="preserve"> no a su pacto, que es posible en virtud de las normas civiles y comerciales.</w:t>
      </w:r>
    </w:p>
    <w:p w14:paraId="003DF8CD" w14:textId="77777777" w:rsidR="0051671F" w:rsidRPr="003423DC" w:rsidRDefault="0051671F" w:rsidP="0051671F">
      <w:pPr>
        <w:spacing w:before="120" w:line="276" w:lineRule="auto"/>
        <w:ind w:firstLine="709"/>
        <w:jc w:val="both"/>
        <w:rPr>
          <w:rFonts w:ascii="Verdana" w:hAnsi="Verdana" w:cs="Arial"/>
          <w:iCs/>
          <w:color w:val="000000" w:themeColor="text1"/>
        </w:rPr>
      </w:pPr>
      <w:r w:rsidRPr="003423DC">
        <w:rPr>
          <w:rFonts w:ascii="Verdana" w:hAnsi="Verdana" w:cs="Arial"/>
          <w:iCs/>
          <w:color w:val="000000" w:themeColor="text1"/>
        </w:rPr>
        <w:t>Las primeras, esto es, las cláusulas excepcionales del artículo 14 de la Ley 80 de 1993, son denominadas por la jurisprudencia del Consejo de Estado y por la doctrina como estipulaciones virtuales en los contratos de concesión, obra, prestación de servicios públicos</w:t>
      </w:r>
      <w:r>
        <w:rPr>
          <w:rFonts w:ascii="Verdana" w:hAnsi="Verdana" w:cs="Arial"/>
          <w:iCs/>
          <w:color w:val="000000" w:themeColor="text1"/>
        </w:rPr>
        <w:t xml:space="preserve">, </w:t>
      </w:r>
      <w:r w:rsidRPr="00816FA4">
        <w:rPr>
          <w:rFonts w:ascii="Verdana" w:hAnsi="Verdana" w:cs="Arial"/>
          <w:iCs/>
          <w:color w:val="000000" w:themeColor="text1"/>
        </w:rPr>
        <w:t>los relacionados con el programa de alimentación escolar</w:t>
      </w:r>
      <w:r w:rsidRPr="003423DC">
        <w:rPr>
          <w:rFonts w:ascii="Verdana" w:hAnsi="Verdana" w:cs="Arial"/>
          <w:iCs/>
          <w:color w:val="000000" w:themeColor="text1"/>
        </w:rPr>
        <w:t xml:space="preserve"> y aquellos que tengan por objeto el ejercicio de una actividad que constituya monopolio estatal, pues en ellos, sin importar si se incorporaron o no dentro del instrumento negocial, se entienden incluidas por el ministerio de la ley, como lo dispone el artículo 14 de la Ley 80 de 1993.</w:t>
      </w:r>
    </w:p>
    <w:p w14:paraId="647E861F" w14:textId="77777777" w:rsidR="0051671F" w:rsidRPr="003423DC" w:rsidRDefault="0051671F" w:rsidP="0051671F">
      <w:pPr>
        <w:spacing w:before="120" w:after="0" w:line="276" w:lineRule="auto"/>
        <w:ind w:firstLine="709"/>
        <w:jc w:val="both"/>
        <w:rPr>
          <w:rFonts w:ascii="Verdana" w:hAnsi="Verdana" w:cs="Arial"/>
          <w:iCs/>
          <w:color w:val="000000" w:themeColor="text1"/>
        </w:rPr>
      </w:pPr>
      <w:r w:rsidRPr="003423DC">
        <w:rPr>
          <w:rFonts w:ascii="Verdana" w:hAnsi="Verdana" w:cs="Arial"/>
          <w:iCs/>
          <w:color w:val="000000" w:themeColor="text1"/>
        </w:rPr>
        <w:t>En relación con dichas cláusulas, al analizarse el régimen sancionatorio contractual, procede destacar la cláusula excepcional de caducidad, pues es la sanción más severa que existe en la contratación estatal, y se impone al contratista cuando incurre en un incumplimiento de sus obligaciones, que afecte de manera grave y directa la ejecución del contrato y evidencie que puede conducir a su paralización. Su propósito consiste en sancionar al contratista y, a su vez, permitirle a la entidad continuar con la ejecución por otros medios, señalados en el artículo 18 de la Ley 80 de 1993. En cuanto a la oportunidad para su imposición, el Consejo de Estado ha precisado:</w:t>
      </w:r>
    </w:p>
    <w:p w14:paraId="64EC2F33" w14:textId="77777777" w:rsidR="0051671F" w:rsidRPr="003423DC" w:rsidRDefault="0051671F" w:rsidP="0051671F">
      <w:pPr>
        <w:spacing w:after="0" w:line="276" w:lineRule="auto"/>
        <w:jc w:val="both"/>
        <w:rPr>
          <w:rFonts w:ascii="Verdana" w:hAnsi="Verdana" w:cs="Arial"/>
          <w:iCs/>
          <w:color w:val="000000" w:themeColor="text1"/>
        </w:rPr>
      </w:pPr>
    </w:p>
    <w:p w14:paraId="53DB9AE2" w14:textId="77777777" w:rsidR="0051671F" w:rsidRPr="00816FA4" w:rsidRDefault="0051671F" w:rsidP="0051671F">
      <w:pPr>
        <w:spacing w:after="0" w:line="240" w:lineRule="auto"/>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w:t>
      </w:r>
      <w:r w:rsidRPr="00816FA4">
        <w:rPr>
          <w:rFonts w:ascii="Verdana" w:hAnsi="Verdana" w:cs="Arial"/>
          <w:iCs/>
          <w:color w:val="000000" w:themeColor="text1"/>
          <w:sz w:val="20"/>
          <w:szCs w:val="20"/>
        </w:rPr>
        <w:t>[…] al tenor de las normas que tipifican la caducidad, de acuerdo con los criterios de interpretación gramatical y teleológico –que aquí claramente coinciden–, constituye un requisito legal para declarar la caducidad del contrato que el plazo de ejecución correspondiente no haya expirado, puesto que si ya expiró sin que el contrato se ejecutara, la declaratoria de caducidad no lograría satisfacer uno de los propósitos principales de la norma, cual es permitir, en los términos del artículo 18 de la Ley 80, que “la entidad contratante tome posesión de la obra o continúe inmediatamente la ejecución del objeto contratado, bien sea a través del garante o de otro contratista…” y conjure, de esta forma, la amenaza que se cierne sobre el interés general, representado en la debida ejecución del objeto contratado”</w:t>
      </w:r>
      <w:r w:rsidRPr="00816FA4">
        <w:rPr>
          <w:rFonts w:ascii="Verdana" w:hAnsi="Verdana" w:cs="Arial"/>
          <w:iCs/>
          <w:color w:val="000000" w:themeColor="text1"/>
          <w:sz w:val="20"/>
          <w:szCs w:val="20"/>
          <w:vertAlign w:val="superscript"/>
        </w:rPr>
        <w:t xml:space="preserve"> </w:t>
      </w:r>
      <w:r w:rsidRPr="00816FA4">
        <w:rPr>
          <w:rFonts w:ascii="Verdana" w:hAnsi="Verdana" w:cs="Arial"/>
          <w:iCs/>
          <w:color w:val="000000" w:themeColor="text1"/>
          <w:sz w:val="20"/>
          <w:szCs w:val="20"/>
          <w:vertAlign w:val="superscript"/>
        </w:rPr>
        <w:footnoteReference w:id="1"/>
      </w:r>
      <w:r w:rsidRPr="00816FA4">
        <w:rPr>
          <w:rFonts w:ascii="Verdana" w:hAnsi="Verdana" w:cs="Arial"/>
          <w:iCs/>
          <w:color w:val="000000" w:themeColor="text1"/>
          <w:sz w:val="20"/>
          <w:szCs w:val="20"/>
        </w:rPr>
        <w:t xml:space="preserve">. </w:t>
      </w:r>
    </w:p>
    <w:p w14:paraId="2AD1A466" w14:textId="77777777" w:rsidR="0051671F" w:rsidRPr="003423DC" w:rsidRDefault="0051671F" w:rsidP="0051671F">
      <w:pPr>
        <w:spacing w:after="0" w:line="276" w:lineRule="auto"/>
        <w:jc w:val="both"/>
        <w:rPr>
          <w:rFonts w:ascii="Verdana" w:hAnsi="Verdana" w:cs="Arial"/>
          <w:iCs/>
          <w:color w:val="000000" w:themeColor="text1"/>
        </w:rPr>
      </w:pPr>
    </w:p>
    <w:p w14:paraId="479C9DCB" w14:textId="4DBEBB0F" w:rsidR="0051671F" w:rsidRPr="003423DC" w:rsidRDefault="0051671F" w:rsidP="0051671F">
      <w:pPr>
        <w:spacing w:line="276" w:lineRule="auto"/>
        <w:ind w:firstLine="708"/>
        <w:jc w:val="both"/>
        <w:rPr>
          <w:rFonts w:ascii="Verdana" w:hAnsi="Verdana" w:cs="Arial"/>
          <w:iCs/>
          <w:color w:val="000000" w:themeColor="text1"/>
        </w:rPr>
      </w:pPr>
      <w:r w:rsidRPr="003423DC">
        <w:rPr>
          <w:rFonts w:ascii="Verdana" w:hAnsi="Verdana" w:cs="Arial"/>
          <w:iCs/>
          <w:color w:val="000000" w:themeColor="text1"/>
        </w:rPr>
        <w:lastRenderedPageBreak/>
        <w:t xml:space="preserve">Las consecuencias jurídicas que se generan con la caducidad son: i) terminación del contrato; </w:t>
      </w:r>
      <w:proofErr w:type="spellStart"/>
      <w:r w:rsidRPr="003423DC">
        <w:rPr>
          <w:rFonts w:ascii="Verdana" w:hAnsi="Verdana" w:cs="Arial"/>
          <w:iCs/>
          <w:color w:val="000000" w:themeColor="text1"/>
        </w:rPr>
        <w:t>ii</w:t>
      </w:r>
      <w:proofErr w:type="spellEnd"/>
      <w:r w:rsidRPr="003423DC">
        <w:rPr>
          <w:rFonts w:ascii="Verdana" w:hAnsi="Verdana" w:cs="Arial"/>
          <w:iCs/>
          <w:color w:val="000000" w:themeColor="text1"/>
        </w:rPr>
        <w:t xml:space="preserve">) iniciación del trámite de liquidación bilateral; </w:t>
      </w:r>
      <w:proofErr w:type="spellStart"/>
      <w:r w:rsidRPr="003423DC">
        <w:rPr>
          <w:rFonts w:ascii="Verdana" w:hAnsi="Verdana" w:cs="Arial"/>
          <w:iCs/>
          <w:color w:val="000000" w:themeColor="text1"/>
        </w:rPr>
        <w:t>iii</w:t>
      </w:r>
      <w:proofErr w:type="spellEnd"/>
      <w:r w:rsidRPr="003423DC">
        <w:rPr>
          <w:rFonts w:ascii="Verdana" w:hAnsi="Verdana" w:cs="Arial"/>
          <w:iCs/>
          <w:color w:val="000000" w:themeColor="text1"/>
        </w:rPr>
        <w:t xml:space="preserve">) inhabilidad sobreviniente por cinco años; </w:t>
      </w:r>
      <w:proofErr w:type="spellStart"/>
      <w:r w:rsidRPr="003423DC">
        <w:rPr>
          <w:rFonts w:ascii="Verdana" w:hAnsi="Verdana" w:cs="Arial"/>
          <w:iCs/>
          <w:color w:val="000000" w:themeColor="text1"/>
        </w:rPr>
        <w:t>iv</w:t>
      </w:r>
      <w:proofErr w:type="spellEnd"/>
      <w:r w:rsidRPr="003423DC">
        <w:rPr>
          <w:rFonts w:ascii="Verdana" w:hAnsi="Verdana" w:cs="Arial"/>
          <w:iCs/>
          <w:color w:val="000000" w:themeColor="text1"/>
        </w:rPr>
        <w:t xml:space="preserve">) efectividad de la garantía única de cumplimiento; y v) reporte al </w:t>
      </w:r>
      <w:r w:rsidR="003D68A2" w:rsidRPr="003423DC">
        <w:rPr>
          <w:rFonts w:ascii="Verdana" w:hAnsi="Verdana" w:cs="Arial"/>
          <w:iCs/>
          <w:color w:val="000000" w:themeColor="text1"/>
        </w:rPr>
        <w:t>SECOP</w:t>
      </w:r>
      <w:r w:rsidRPr="003423DC">
        <w:rPr>
          <w:rFonts w:ascii="Verdana" w:hAnsi="Verdana" w:cs="Arial"/>
          <w:iCs/>
          <w:color w:val="000000" w:themeColor="text1"/>
        </w:rPr>
        <w:t>, Procuraduría General de la Nación y a la Cámara de Comercio donde el contratista esté inscrito con el propósito de incluir la anotación en el Registro Único de Proponentes.</w:t>
      </w:r>
    </w:p>
    <w:p w14:paraId="5E5E4C30" w14:textId="77777777" w:rsidR="0051671F" w:rsidRPr="003423DC" w:rsidRDefault="0051671F" w:rsidP="0051671F">
      <w:pPr>
        <w:spacing w:before="120" w:line="276" w:lineRule="auto"/>
        <w:ind w:firstLine="709"/>
        <w:jc w:val="both"/>
        <w:rPr>
          <w:rFonts w:ascii="Verdana" w:hAnsi="Verdana" w:cs="Arial"/>
          <w:iCs/>
          <w:color w:val="000000" w:themeColor="text1"/>
        </w:rPr>
      </w:pPr>
      <w:r w:rsidRPr="003423DC">
        <w:rPr>
          <w:rFonts w:ascii="Verdana" w:hAnsi="Verdana" w:cs="Arial"/>
          <w:iCs/>
          <w:color w:val="000000" w:themeColor="text1"/>
        </w:rPr>
        <w:t>El último grupo de potestades excepcionales –</w:t>
      </w:r>
      <w:r w:rsidRPr="003423DC">
        <w:rPr>
          <w:rFonts w:ascii="Verdana" w:hAnsi="Verdana" w:cs="Arial"/>
          <w:i/>
          <w:color w:val="000000" w:themeColor="text1"/>
        </w:rPr>
        <w:t>imposición unilateral</w:t>
      </w:r>
      <w:r w:rsidRPr="003423DC">
        <w:rPr>
          <w:rFonts w:ascii="Verdana" w:hAnsi="Verdana" w:cs="Arial"/>
          <w:iCs/>
          <w:color w:val="000000" w:themeColor="text1"/>
        </w:rPr>
        <w:t xml:space="preserve"> de la multa o la cláusula penal–, por el contrario, cuentan con una particular combinación entre el principio de legalidad y la autonomía de la voluntad, de tal suerte que si bien el legislador autorizó a las entidades para declarar el incumplimiento con la intención de multar al contratista para conminarlo al cumplimiento o para hacer efectiva la cláusula penal, es indispensable que uno u otro caso se hayan pactado en el contrato</w:t>
      </w:r>
      <w:r w:rsidRPr="003423DC">
        <w:rPr>
          <w:rFonts w:ascii="Verdana" w:hAnsi="Verdana" w:cs="Arial"/>
          <w:color w:val="000000" w:themeColor="text1"/>
          <w:vertAlign w:val="superscript"/>
        </w:rPr>
        <w:footnoteReference w:id="2"/>
      </w:r>
      <w:r w:rsidRPr="003423DC">
        <w:rPr>
          <w:rFonts w:ascii="Verdana" w:hAnsi="Verdana" w:cs="Arial"/>
          <w:iCs/>
          <w:color w:val="000000" w:themeColor="text1"/>
        </w:rPr>
        <w:t>. No obstante, cumplido el requisito del pacto en el contrato, las entidades estatales sometidas al Estatuto General de Contratación de la Administración Pública –Leyes 80 de 1993 y 1150 de 2007, y sus modificaciones, en adelante EGCAP–, por ministerio de la ley –artículo 17 de la Ley 1150 de 2007–, se entienden investidas de la prerrogativa de imposición unilateral. Se reitera que la exorbitancia de las dos cláusulas transcritas –cláusula penal y multas– se refiere a su imposición unilateral; no a su pacto, que es posible en virtud de las normas civiles y comerciales.</w:t>
      </w:r>
    </w:p>
    <w:p w14:paraId="629DA64D" w14:textId="77777777" w:rsidR="0051671F" w:rsidRPr="003423DC" w:rsidRDefault="0051671F" w:rsidP="0051671F">
      <w:pPr>
        <w:spacing w:before="120" w:after="0" w:line="276" w:lineRule="auto"/>
        <w:ind w:firstLine="709"/>
        <w:jc w:val="both"/>
        <w:rPr>
          <w:rFonts w:ascii="Verdana" w:hAnsi="Verdana" w:cs="Arial"/>
          <w:iCs/>
          <w:color w:val="000000" w:themeColor="text1"/>
        </w:rPr>
      </w:pPr>
      <w:r w:rsidRPr="003423DC">
        <w:rPr>
          <w:rFonts w:ascii="Verdana" w:hAnsi="Verdana" w:cs="Arial"/>
          <w:iCs/>
          <w:color w:val="000000" w:themeColor="text1"/>
        </w:rPr>
        <w:t xml:space="preserve">En efecto, tratándose de las multas, en cumplimiento del principio de tipicidad, las partes deben determinar pormenorizadamente las acciones u omisiones objeto de sanción y el monto de la sanción a imponer, el cual, en todo caso, debe atender los criterios de proporcionalidad y razonabilidad. En esa línea se pronunció la Sección Tercera del Consejo de Estado, en la Sentencia del 15 de noviembre de 2011, expediente 20.916, con ponencia de Olga Mélida Valle de </w:t>
      </w:r>
      <w:proofErr w:type="spellStart"/>
      <w:r w:rsidRPr="003423DC">
        <w:rPr>
          <w:rFonts w:ascii="Verdana" w:hAnsi="Verdana" w:cs="Arial"/>
          <w:iCs/>
          <w:color w:val="000000" w:themeColor="text1"/>
        </w:rPr>
        <w:t>De</w:t>
      </w:r>
      <w:proofErr w:type="spellEnd"/>
      <w:r w:rsidRPr="003423DC">
        <w:rPr>
          <w:rFonts w:ascii="Verdana" w:hAnsi="Verdana" w:cs="Arial"/>
          <w:iCs/>
          <w:color w:val="000000" w:themeColor="text1"/>
        </w:rPr>
        <w:t xml:space="preserve"> La Hoz:</w:t>
      </w:r>
    </w:p>
    <w:p w14:paraId="5501C225" w14:textId="77777777" w:rsidR="0051671F" w:rsidRPr="003423DC" w:rsidRDefault="0051671F" w:rsidP="0051671F">
      <w:pPr>
        <w:pStyle w:val="Prrafodelista"/>
        <w:spacing w:line="276" w:lineRule="auto"/>
        <w:ind w:left="0"/>
        <w:jc w:val="both"/>
        <w:rPr>
          <w:rFonts w:ascii="Verdana" w:hAnsi="Verdana" w:cs="Arial"/>
          <w:iCs/>
          <w:color w:val="000000" w:themeColor="text1"/>
        </w:rPr>
      </w:pPr>
    </w:p>
    <w:p w14:paraId="3F81EE0B" w14:textId="77777777" w:rsidR="0051671F" w:rsidRPr="00816FA4" w:rsidRDefault="0051671F" w:rsidP="0051671F">
      <w:pPr>
        <w:pStyle w:val="Prrafodelista"/>
        <w:ind w:left="709" w:right="758"/>
        <w:jc w:val="both"/>
        <w:rPr>
          <w:rFonts w:ascii="Verdana" w:hAnsi="Verdana" w:cs="Arial"/>
          <w:iCs/>
          <w:color w:val="000000" w:themeColor="text1"/>
          <w:sz w:val="20"/>
          <w:szCs w:val="20"/>
        </w:rPr>
      </w:pPr>
      <w:r w:rsidRPr="00816FA4">
        <w:rPr>
          <w:rFonts w:ascii="Verdana" w:hAnsi="Verdana" w:cs="Arial"/>
          <w:iCs/>
          <w:color w:val="000000" w:themeColor="text1"/>
          <w:sz w:val="20"/>
          <w:szCs w:val="20"/>
        </w:rPr>
        <w:t xml:space="preserve">“De otro lado, según se ha expuesto, otras sanciones contractuales, como la multa y la cláusula penal, mantienen la libertad de pacto, es decir, que la ley no determina las conductas que las originan, y las partes pueden hacerlo con gran libertad -pero tampoco arbitrariamente-. Pese a este relajamiento del principio de legalidad fuerte, en todo caso se conserva el principio de tipicidad, según el cual las partes del negocio deben describir </w:t>
      </w:r>
      <w:r w:rsidRPr="00816FA4">
        <w:rPr>
          <w:rFonts w:ascii="Verdana" w:hAnsi="Verdana" w:cs="Arial"/>
          <w:iCs/>
          <w:color w:val="000000" w:themeColor="text1"/>
          <w:sz w:val="20"/>
          <w:szCs w:val="20"/>
        </w:rPr>
        <w:lastRenderedPageBreak/>
        <w:t xml:space="preserve">la conducta prohibida en la cláusula contractual. Además, también se mantiene el principio que impone que la conducta reprochable se establezca de manera previa a su realización –lex previa–, para evitar la arbitrariedad y el abuso de poder”. </w:t>
      </w:r>
    </w:p>
    <w:p w14:paraId="7695E559" w14:textId="77777777" w:rsidR="0051671F" w:rsidRPr="00816FA4" w:rsidRDefault="0051671F" w:rsidP="0051671F">
      <w:pPr>
        <w:spacing w:after="0" w:line="276" w:lineRule="auto"/>
        <w:ind w:left="709" w:right="758"/>
        <w:jc w:val="both"/>
        <w:rPr>
          <w:rFonts w:ascii="Verdana" w:hAnsi="Verdana" w:cs="Arial"/>
          <w:iCs/>
          <w:color w:val="000000" w:themeColor="text1"/>
          <w:lang w:val="es-MX"/>
        </w:rPr>
      </w:pPr>
    </w:p>
    <w:p w14:paraId="6F8C80DD" w14:textId="77777777" w:rsidR="0051671F" w:rsidRPr="003423DC" w:rsidRDefault="0051671F" w:rsidP="0051671F">
      <w:pPr>
        <w:spacing w:after="0" w:line="276" w:lineRule="auto"/>
        <w:ind w:firstLine="708"/>
        <w:jc w:val="both"/>
        <w:rPr>
          <w:rFonts w:ascii="Verdana" w:hAnsi="Verdana" w:cs="Arial"/>
          <w:iCs/>
          <w:color w:val="000000" w:themeColor="text1"/>
        </w:rPr>
      </w:pPr>
      <w:r w:rsidRPr="003423DC">
        <w:rPr>
          <w:rFonts w:ascii="Verdana" w:hAnsi="Verdana" w:cs="Arial"/>
          <w:iCs/>
          <w:color w:val="000000" w:themeColor="text1"/>
        </w:rPr>
        <w:t xml:space="preserve">De igual forma, en la sentencia del 23 de junio de 2010, expediente 16.367 y ponencia de Enrique Gil Botero, la Sección Tercera del Consejo de Estado indicó que </w:t>
      </w:r>
      <w:r>
        <w:rPr>
          <w:rFonts w:ascii="Verdana" w:hAnsi="Verdana" w:cs="Arial"/>
          <w:iCs/>
          <w:color w:val="000000" w:themeColor="text1"/>
        </w:rPr>
        <w:t>“</w:t>
      </w:r>
      <w:r w:rsidRPr="003423DC">
        <w:rPr>
          <w:rFonts w:ascii="Verdana" w:hAnsi="Verdana" w:cs="Arial"/>
          <w:iCs/>
          <w:color w:val="000000" w:themeColor="text1"/>
        </w:rPr>
        <w:t>el núcleo mínimo de este derecho exige que una norma –legal o contractual– contemple la falta y la sanción. Si ni siquiera lo hace el contrato, la administración no puede imponer sanciones, so pena de violar el debido proceso</w:t>
      </w:r>
      <w:r>
        <w:rPr>
          <w:rFonts w:ascii="Verdana" w:hAnsi="Verdana" w:cs="Arial"/>
          <w:iCs/>
          <w:color w:val="000000" w:themeColor="text1"/>
        </w:rPr>
        <w:t>”</w:t>
      </w:r>
      <w:r w:rsidRPr="003423DC">
        <w:rPr>
          <w:rFonts w:ascii="Verdana" w:hAnsi="Verdana" w:cs="Arial"/>
          <w:iCs/>
          <w:color w:val="000000" w:themeColor="text1"/>
        </w:rPr>
        <w:t>. As</w:t>
      </w:r>
      <w:r>
        <w:rPr>
          <w:rFonts w:ascii="Verdana" w:hAnsi="Verdana" w:cs="Arial"/>
          <w:iCs/>
          <w:color w:val="000000" w:themeColor="text1"/>
        </w:rPr>
        <w:t>i</w:t>
      </w:r>
      <w:r w:rsidRPr="003423DC">
        <w:rPr>
          <w:rFonts w:ascii="Verdana" w:hAnsi="Verdana" w:cs="Arial"/>
          <w:iCs/>
          <w:color w:val="000000" w:themeColor="text1"/>
        </w:rPr>
        <w:t xml:space="preserve">mismo, frente al tema </w:t>
      </w:r>
      <w:r w:rsidRPr="003423DC">
        <w:rPr>
          <w:rFonts w:ascii="Verdana" w:hAnsi="Verdana" w:cs="Arial"/>
          <w:i/>
          <w:color w:val="000000" w:themeColor="text1"/>
        </w:rPr>
        <w:t xml:space="preserve">sub examine, </w:t>
      </w:r>
      <w:r w:rsidRPr="003423DC">
        <w:rPr>
          <w:rFonts w:ascii="Verdana" w:hAnsi="Verdana" w:cs="Arial"/>
          <w:iCs/>
          <w:color w:val="000000" w:themeColor="text1"/>
        </w:rPr>
        <w:t xml:space="preserve">el máximo Tribunal de lo Contencioso Administrativo, en </w:t>
      </w:r>
      <w:r>
        <w:rPr>
          <w:rFonts w:ascii="Verdana" w:hAnsi="Verdana" w:cs="Arial"/>
          <w:iCs/>
          <w:color w:val="000000" w:themeColor="text1"/>
        </w:rPr>
        <w:t>S</w:t>
      </w:r>
      <w:r w:rsidRPr="003423DC">
        <w:rPr>
          <w:rFonts w:ascii="Verdana" w:hAnsi="Verdana" w:cs="Arial"/>
          <w:iCs/>
          <w:color w:val="000000" w:themeColor="text1"/>
        </w:rPr>
        <w:t xml:space="preserve">entencia del 13 de noviembre de 2008, indicó </w:t>
      </w:r>
      <w:r w:rsidRPr="003423DC">
        <w:rPr>
          <w:rFonts w:ascii="Verdana" w:hAnsi="Verdana" w:cs="Arial"/>
          <w:i/>
          <w:color w:val="000000" w:themeColor="text1"/>
        </w:rPr>
        <w:t xml:space="preserve">in extenso </w:t>
      </w:r>
      <w:r w:rsidRPr="003423DC">
        <w:rPr>
          <w:rFonts w:ascii="Verdana" w:hAnsi="Verdana" w:cs="Arial"/>
          <w:iCs/>
          <w:color w:val="000000" w:themeColor="text1"/>
        </w:rPr>
        <w:t>lo siguiente:</w:t>
      </w:r>
    </w:p>
    <w:p w14:paraId="7C388FF3" w14:textId="77777777" w:rsidR="0051671F" w:rsidRPr="003423DC" w:rsidRDefault="0051671F" w:rsidP="0051671F">
      <w:pPr>
        <w:pStyle w:val="Prrafodelista"/>
        <w:spacing w:line="276" w:lineRule="auto"/>
        <w:ind w:left="0"/>
        <w:jc w:val="both"/>
        <w:rPr>
          <w:rFonts w:ascii="Verdana" w:hAnsi="Verdana" w:cs="Arial"/>
          <w:iCs/>
          <w:color w:val="000000" w:themeColor="text1"/>
        </w:rPr>
      </w:pPr>
    </w:p>
    <w:p w14:paraId="20F74C40" w14:textId="77777777" w:rsidR="0051671F" w:rsidRDefault="0051671F" w:rsidP="0051671F">
      <w:pPr>
        <w:pStyle w:val="Prrafodelista"/>
        <w:ind w:left="709" w:right="758"/>
        <w:jc w:val="both"/>
        <w:rPr>
          <w:rFonts w:ascii="Verdana" w:hAnsi="Verdana" w:cs="Arial"/>
          <w:iCs/>
          <w:color w:val="000000" w:themeColor="text1"/>
          <w:sz w:val="20"/>
          <w:szCs w:val="20"/>
        </w:rPr>
      </w:pPr>
      <w:r>
        <w:rPr>
          <w:rFonts w:ascii="Verdana" w:hAnsi="Verdana" w:cs="Arial"/>
          <w:iCs/>
          <w:color w:val="000000" w:themeColor="text1"/>
          <w:sz w:val="20"/>
          <w:szCs w:val="20"/>
        </w:rPr>
        <w:t>“</w:t>
      </w:r>
      <w:r w:rsidRPr="00816FA4">
        <w:rPr>
          <w:rFonts w:ascii="Verdana" w:hAnsi="Verdana" w:cs="Arial"/>
          <w:iCs/>
          <w:color w:val="000000" w:themeColor="text1"/>
          <w:sz w:val="20"/>
          <w:szCs w:val="20"/>
        </w:rPr>
        <w:t>La otra, la débil, donde se enmarcan la mayoría de las sanciones contractuales, hace relación a que lo determinante no es que una Ley sea quien contemple las faltas y las sanciones, sino que sea una norma –por ejemplo, un reglamento- quien en forma previa y clara las estipule. A este grupo pertenecen buena parte de las sanciones administrativas, como las educativas, las cuales no están consagradas en una ley expedida por el legislador o por el ejecutivo al amparo de facultades extraordinarias, sino en simples reglamentos administrativos internos.</w:t>
      </w:r>
    </w:p>
    <w:p w14:paraId="4A34E72D" w14:textId="77777777" w:rsidR="0051671F" w:rsidRPr="00816FA4" w:rsidRDefault="0051671F" w:rsidP="0051671F">
      <w:pPr>
        <w:pStyle w:val="Prrafodelista"/>
        <w:ind w:left="709" w:right="758"/>
        <w:jc w:val="both"/>
        <w:rPr>
          <w:rFonts w:ascii="Verdana" w:hAnsi="Verdana" w:cs="Arial"/>
          <w:iCs/>
          <w:color w:val="000000" w:themeColor="text1"/>
          <w:sz w:val="12"/>
          <w:szCs w:val="12"/>
        </w:rPr>
      </w:pPr>
    </w:p>
    <w:p w14:paraId="6A957E77" w14:textId="77777777" w:rsidR="0051671F" w:rsidRDefault="0051671F" w:rsidP="0051671F">
      <w:pPr>
        <w:pStyle w:val="Prrafodelista"/>
        <w:ind w:left="709" w:right="758"/>
        <w:jc w:val="both"/>
        <w:rPr>
          <w:rFonts w:ascii="Verdana" w:hAnsi="Verdana" w:cs="Arial"/>
          <w:iCs/>
          <w:color w:val="000000" w:themeColor="text1"/>
          <w:sz w:val="20"/>
          <w:szCs w:val="20"/>
        </w:rPr>
      </w:pPr>
      <w:r w:rsidRPr="00816FA4">
        <w:rPr>
          <w:rFonts w:ascii="Verdana" w:hAnsi="Verdana" w:cs="Arial"/>
          <w:iCs/>
          <w:color w:val="000000" w:themeColor="text1"/>
          <w:sz w:val="20"/>
          <w:szCs w:val="20"/>
        </w:rPr>
        <w:t>Algunas de las sanciones contractuales podrían enmarcarse en esta clasificación, pues es claro que la ley –bien la que expide el Congreso o bien los decretos con fuerza de ley– no las contempla de manera directa –salvo excepciones–. Tal es el caso de las multas y de la cláusula penal pecuniaria, que están autorizadas por la ley, pero no previstas en ella, sino en cada contrato, en caso de que las partes las pacten.</w:t>
      </w:r>
    </w:p>
    <w:p w14:paraId="04218243" w14:textId="77777777" w:rsidR="0051671F" w:rsidRPr="00816FA4" w:rsidRDefault="0051671F" w:rsidP="0051671F">
      <w:pPr>
        <w:pStyle w:val="Prrafodelista"/>
        <w:ind w:left="709" w:right="758"/>
        <w:jc w:val="both"/>
        <w:rPr>
          <w:rFonts w:ascii="Verdana" w:hAnsi="Verdana" w:cs="Arial"/>
          <w:iCs/>
          <w:color w:val="000000" w:themeColor="text1"/>
          <w:sz w:val="12"/>
          <w:szCs w:val="12"/>
        </w:rPr>
      </w:pPr>
    </w:p>
    <w:p w14:paraId="148EEE74" w14:textId="77777777" w:rsidR="0051671F" w:rsidRDefault="0051671F" w:rsidP="0051671F">
      <w:pPr>
        <w:pStyle w:val="Prrafodelista"/>
        <w:ind w:left="709" w:right="758"/>
        <w:jc w:val="both"/>
        <w:rPr>
          <w:rFonts w:ascii="Verdana" w:hAnsi="Verdana" w:cs="Arial"/>
          <w:iCs/>
          <w:color w:val="000000" w:themeColor="text1"/>
          <w:sz w:val="20"/>
          <w:szCs w:val="20"/>
        </w:rPr>
      </w:pPr>
      <w:r w:rsidRPr="00816FA4">
        <w:rPr>
          <w:rFonts w:ascii="Verdana" w:hAnsi="Verdana" w:cs="Arial"/>
          <w:iCs/>
          <w:color w:val="000000" w:themeColor="text1"/>
          <w:sz w:val="20"/>
          <w:szCs w:val="20"/>
        </w:rPr>
        <w:t xml:space="preserve">Obsérvese cómo el </w:t>
      </w:r>
      <w:r>
        <w:rPr>
          <w:rFonts w:ascii="Verdana" w:hAnsi="Verdana" w:cs="Arial"/>
          <w:iCs/>
          <w:color w:val="000000" w:themeColor="text1"/>
          <w:sz w:val="20"/>
          <w:szCs w:val="20"/>
        </w:rPr>
        <w:t>‘</w:t>
      </w:r>
      <w:r w:rsidRPr="00816FA4">
        <w:rPr>
          <w:rFonts w:ascii="Verdana" w:hAnsi="Verdana" w:cs="Arial"/>
          <w:iCs/>
          <w:color w:val="000000" w:themeColor="text1"/>
          <w:sz w:val="20"/>
          <w:szCs w:val="20"/>
        </w:rPr>
        <w:t>principio de legalidad</w:t>
      </w:r>
      <w:r>
        <w:rPr>
          <w:rFonts w:ascii="Verdana" w:hAnsi="Verdana" w:cs="Arial"/>
          <w:iCs/>
          <w:color w:val="000000" w:themeColor="text1"/>
          <w:sz w:val="20"/>
          <w:szCs w:val="20"/>
        </w:rPr>
        <w:t>’</w:t>
      </w:r>
      <w:r w:rsidRPr="00816FA4">
        <w:rPr>
          <w:rFonts w:ascii="Verdana" w:hAnsi="Verdana" w:cs="Arial"/>
          <w:iCs/>
          <w:color w:val="000000" w:themeColor="text1"/>
          <w:sz w:val="20"/>
          <w:szCs w:val="20"/>
        </w:rPr>
        <w:t xml:space="preserve"> –es decir, la predeterminación de las conductas en la Ley–, en materia contractual se reduce a la simple </w:t>
      </w:r>
      <w:r>
        <w:rPr>
          <w:rFonts w:ascii="Verdana" w:hAnsi="Verdana" w:cs="Arial"/>
          <w:iCs/>
          <w:color w:val="000000" w:themeColor="text1"/>
          <w:sz w:val="20"/>
          <w:szCs w:val="20"/>
        </w:rPr>
        <w:t>‘</w:t>
      </w:r>
      <w:r w:rsidRPr="00816FA4">
        <w:rPr>
          <w:rFonts w:ascii="Verdana" w:hAnsi="Verdana" w:cs="Arial"/>
          <w:iCs/>
          <w:color w:val="000000" w:themeColor="text1"/>
          <w:sz w:val="20"/>
          <w:szCs w:val="20"/>
        </w:rPr>
        <w:t>tipicidad</w:t>
      </w:r>
      <w:r>
        <w:rPr>
          <w:rFonts w:ascii="Verdana" w:hAnsi="Verdana" w:cs="Arial"/>
          <w:iCs/>
          <w:color w:val="000000" w:themeColor="text1"/>
          <w:sz w:val="20"/>
          <w:szCs w:val="20"/>
        </w:rPr>
        <w:t>’</w:t>
      </w:r>
      <w:r w:rsidRPr="00816FA4">
        <w:rPr>
          <w:rFonts w:ascii="Verdana" w:hAnsi="Verdana" w:cs="Arial"/>
          <w:iCs/>
          <w:color w:val="000000" w:themeColor="text1"/>
          <w:sz w:val="20"/>
          <w:szCs w:val="20"/>
        </w:rPr>
        <w:t xml:space="preserve"> de la conducta –es decir, a la descripción y especificación normativa del comportamiento prohibido–, pues lo determinante no es que la Ley contemple la falta y la sanción, sino que estén previamente definidas en cualquier norma, sin que importe que sea o no una ley quien lo haga.</w:t>
      </w:r>
    </w:p>
    <w:p w14:paraId="4A5E8EC3" w14:textId="77777777" w:rsidR="0051671F" w:rsidRPr="00816FA4" w:rsidRDefault="0051671F" w:rsidP="0051671F">
      <w:pPr>
        <w:pStyle w:val="Prrafodelista"/>
        <w:ind w:left="709" w:right="758"/>
        <w:jc w:val="both"/>
        <w:rPr>
          <w:rFonts w:ascii="Verdana" w:hAnsi="Verdana" w:cs="Arial"/>
          <w:iCs/>
          <w:color w:val="000000" w:themeColor="text1"/>
          <w:sz w:val="12"/>
          <w:szCs w:val="12"/>
        </w:rPr>
      </w:pPr>
    </w:p>
    <w:p w14:paraId="2897B8A4" w14:textId="77777777" w:rsidR="0051671F" w:rsidRPr="00816FA4" w:rsidRDefault="0051671F" w:rsidP="0051671F">
      <w:pPr>
        <w:pStyle w:val="Prrafodelista"/>
        <w:ind w:left="709" w:right="758"/>
        <w:jc w:val="both"/>
        <w:rPr>
          <w:rFonts w:ascii="Verdana" w:hAnsi="Verdana" w:cs="Arial"/>
          <w:iCs/>
          <w:color w:val="000000" w:themeColor="text1"/>
          <w:sz w:val="20"/>
          <w:szCs w:val="20"/>
        </w:rPr>
      </w:pPr>
      <w:r w:rsidRPr="00816FA4">
        <w:rPr>
          <w:rFonts w:ascii="Verdana" w:hAnsi="Verdana" w:cs="Arial"/>
          <w:iCs/>
          <w:color w:val="000000" w:themeColor="text1"/>
          <w:sz w:val="20"/>
          <w:szCs w:val="20"/>
        </w:rPr>
        <w:t xml:space="preserve">Por tanto, en materia contractual opera una especie de combinación entre el principio de legalidad y el de la autonomía de la voluntad: el primero exige que las conductas reprochables entre las partes del contrato se </w:t>
      </w:r>
      <w:r w:rsidRPr="00816FA4">
        <w:rPr>
          <w:rFonts w:ascii="Verdana" w:hAnsi="Verdana" w:cs="Arial"/>
          <w:iCs/>
          <w:color w:val="000000" w:themeColor="text1"/>
          <w:sz w:val="20"/>
          <w:szCs w:val="20"/>
        </w:rPr>
        <w:lastRenderedPageBreak/>
        <w:t>contemplen previamente, con su correspondiente sanción, y el segundo permite que sean las partes –no la ley; pero autorizadas por ella– quienes definan esas conductas y la sanción. Se trata, no cabe duda, de un supuesto de ius puniendi sui generis al que regula el art. 29 CP., en lo que respecta, por lo menos, a la legalidad”</w:t>
      </w:r>
      <w:r w:rsidRPr="00816FA4">
        <w:rPr>
          <w:rStyle w:val="Refdenotaalpie"/>
          <w:rFonts w:ascii="Verdana" w:hAnsi="Verdana" w:cs="Arial"/>
          <w:iCs/>
          <w:color w:val="000000" w:themeColor="text1"/>
          <w:sz w:val="20"/>
          <w:szCs w:val="20"/>
        </w:rPr>
        <w:footnoteReference w:id="3"/>
      </w:r>
      <w:r w:rsidRPr="00816FA4">
        <w:rPr>
          <w:rFonts w:ascii="Verdana" w:hAnsi="Verdana" w:cs="Arial"/>
          <w:iCs/>
          <w:color w:val="000000" w:themeColor="text1"/>
          <w:sz w:val="20"/>
          <w:szCs w:val="20"/>
        </w:rPr>
        <w:t>.</w:t>
      </w:r>
    </w:p>
    <w:p w14:paraId="5F933156" w14:textId="77777777" w:rsidR="0051671F" w:rsidRPr="003423DC" w:rsidRDefault="0051671F" w:rsidP="0051671F">
      <w:pPr>
        <w:pStyle w:val="Prrafodelista"/>
        <w:spacing w:line="276" w:lineRule="auto"/>
        <w:ind w:right="-425"/>
        <w:jc w:val="both"/>
        <w:rPr>
          <w:rFonts w:ascii="Verdana" w:hAnsi="Verdana" w:cs="Arial"/>
          <w:iCs/>
          <w:color w:val="000000" w:themeColor="text1"/>
        </w:rPr>
      </w:pPr>
    </w:p>
    <w:p w14:paraId="2CD88E34" w14:textId="77777777" w:rsidR="0051671F" w:rsidRPr="003423DC" w:rsidRDefault="0051671F" w:rsidP="0051671F">
      <w:pPr>
        <w:spacing w:line="276" w:lineRule="auto"/>
        <w:ind w:firstLine="708"/>
        <w:jc w:val="both"/>
        <w:rPr>
          <w:rFonts w:ascii="Verdana" w:hAnsi="Verdana" w:cs="Arial"/>
          <w:iCs/>
          <w:color w:val="000000" w:themeColor="text1"/>
        </w:rPr>
      </w:pPr>
      <w:r w:rsidRPr="003423DC">
        <w:rPr>
          <w:rFonts w:ascii="Verdana" w:hAnsi="Verdana" w:cs="Arial"/>
          <w:iCs/>
          <w:color w:val="000000" w:themeColor="text1"/>
        </w:rPr>
        <w:t xml:space="preserve">De otro lado, la Corte Constitucional precisó que la tipicidad hacía referencia a </w:t>
      </w:r>
      <w:r>
        <w:rPr>
          <w:rFonts w:ascii="Verdana" w:hAnsi="Verdana" w:cs="Arial"/>
          <w:iCs/>
          <w:color w:val="000000" w:themeColor="text1"/>
        </w:rPr>
        <w:t>“</w:t>
      </w:r>
      <w:r w:rsidRPr="003423DC">
        <w:rPr>
          <w:rFonts w:ascii="Verdana" w:hAnsi="Verdana" w:cs="Arial"/>
          <w:iCs/>
          <w:color w:val="000000" w:themeColor="text1"/>
        </w:rPr>
        <w:t>la exigencia de descripción específica y precisa por la norma creadora de las infracciones y de las sanciones, de las conductas que pueden ser sancionadas y del contenido material de las sanciones que puede imponerse por la comisión de cada conducta, así como la correlación entre unas y otras</w:t>
      </w:r>
      <w:r>
        <w:rPr>
          <w:rFonts w:ascii="Verdana" w:hAnsi="Verdana" w:cs="Arial"/>
          <w:iCs/>
          <w:color w:val="000000" w:themeColor="text1"/>
        </w:rPr>
        <w:t>”</w:t>
      </w:r>
      <w:r w:rsidRPr="003423DC">
        <w:rPr>
          <w:rStyle w:val="Refdenotaalpie"/>
          <w:rFonts w:ascii="Verdana" w:hAnsi="Verdana" w:cs="Arial"/>
          <w:iCs/>
          <w:color w:val="000000" w:themeColor="text1"/>
        </w:rPr>
        <w:footnoteReference w:id="4"/>
      </w:r>
      <w:r w:rsidRPr="003423DC">
        <w:rPr>
          <w:rFonts w:ascii="Verdana" w:hAnsi="Verdana" w:cs="Arial"/>
          <w:iCs/>
          <w:color w:val="000000" w:themeColor="text1"/>
        </w:rPr>
        <w:t>.</w:t>
      </w:r>
      <w:r>
        <w:rPr>
          <w:rFonts w:ascii="Verdana" w:hAnsi="Verdana" w:cs="Arial"/>
          <w:iCs/>
          <w:color w:val="000000" w:themeColor="text1"/>
        </w:rPr>
        <w:t xml:space="preserve"> </w:t>
      </w:r>
      <w:r w:rsidRPr="003423DC">
        <w:rPr>
          <w:rFonts w:ascii="Verdana" w:hAnsi="Verdana" w:cs="Arial"/>
          <w:iCs/>
          <w:color w:val="000000" w:themeColor="text1"/>
        </w:rPr>
        <w:t xml:space="preserve">Por su parte, el artículo 17 de la Ley 1150 de 2007, además de autorizar la imposición unilateral de multas, también precisa que la declaración de incumplimiento tiene como propósito </w:t>
      </w:r>
      <w:r>
        <w:rPr>
          <w:rFonts w:ascii="Verdana" w:hAnsi="Verdana" w:cs="Arial"/>
          <w:iCs/>
          <w:color w:val="000000" w:themeColor="text1"/>
        </w:rPr>
        <w:t>“</w:t>
      </w:r>
      <w:r w:rsidRPr="003423DC">
        <w:rPr>
          <w:rFonts w:ascii="Verdana" w:hAnsi="Verdana" w:cs="Arial"/>
          <w:iCs/>
          <w:color w:val="000000" w:themeColor="text1"/>
        </w:rPr>
        <w:t>hacer efectiva la cláusula penal pecuniaria incluida en el contrato</w:t>
      </w:r>
      <w:r>
        <w:rPr>
          <w:rFonts w:ascii="Verdana" w:hAnsi="Verdana" w:cs="Arial"/>
          <w:iCs/>
          <w:color w:val="000000" w:themeColor="text1"/>
        </w:rPr>
        <w:t>”</w:t>
      </w:r>
      <w:r w:rsidRPr="003423DC">
        <w:rPr>
          <w:rFonts w:ascii="Verdana" w:hAnsi="Verdana" w:cs="Arial"/>
          <w:iCs/>
          <w:color w:val="000000" w:themeColor="text1"/>
        </w:rPr>
        <w:t xml:space="preserve">. </w:t>
      </w:r>
    </w:p>
    <w:p w14:paraId="0AD43231" w14:textId="77777777" w:rsidR="0051671F" w:rsidRPr="003423DC" w:rsidRDefault="0051671F" w:rsidP="0051671F">
      <w:pPr>
        <w:spacing w:before="120" w:line="276" w:lineRule="auto"/>
        <w:ind w:firstLine="709"/>
        <w:jc w:val="both"/>
        <w:rPr>
          <w:rFonts w:ascii="Verdana" w:hAnsi="Verdana" w:cs="Arial"/>
          <w:iCs/>
          <w:color w:val="000000" w:themeColor="text1"/>
        </w:rPr>
      </w:pPr>
      <w:r w:rsidRPr="003423DC">
        <w:rPr>
          <w:rFonts w:ascii="Verdana" w:hAnsi="Verdana" w:cs="Arial"/>
          <w:iCs/>
          <w:color w:val="000000" w:themeColor="text1"/>
        </w:rPr>
        <w:t xml:space="preserve">En este punto, conviene resaltar lo dicho por la Sección Tercera del Consejo de Estado, en relación con las diferencias entre las multas y la cláusula penal, esto es: </w:t>
      </w:r>
      <w:r>
        <w:rPr>
          <w:rFonts w:ascii="Verdana" w:hAnsi="Verdana" w:cs="Arial"/>
          <w:iCs/>
          <w:color w:val="000000" w:themeColor="text1"/>
        </w:rPr>
        <w:t>“A</w:t>
      </w:r>
      <w:r w:rsidRPr="003423DC">
        <w:rPr>
          <w:rFonts w:ascii="Verdana" w:hAnsi="Verdana" w:cs="Arial"/>
          <w:iCs/>
          <w:color w:val="000000" w:themeColor="text1"/>
        </w:rPr>
        <w:t>unque las multas y la cláusula penal pecuniaria tienen una finalidad común –en lo sustancial–, que se concreta en el logro de los objetivos propuestos en el contrato; se diferencian en que la multa por regla general es conminatoria del cumplimiento de las obligaciones en razón al acaecimiento de incumplimientos parciales; la cláusula penal constituye en principio una tasación anticipada de perjuicios, a raíz de la declaratoria de caducidad o del incumplimiento definitivo del contrato</w:t>
      </w:r>
      <w:r>
        <w:rPr>
          <w:rFonts w:ascii="Verdana" w:hAnsi="Verdana" w:cs="Arial"/>
          <w:iCs/>
          <w:color w:val="000000" w:themeColor="text1"/>
        </w:rPr>
        <w:t>”</w:t>
      </w:r>
      <w:r w:rsidRPr="003423DC">
        <w:rPr>
          <w:rFonts w:ascii="Verdana" w:hAnsi="Verdana" w:cs="Arial"/>
          <w:color w:val="000000" w:themeColor="text1"/>
          <w:vertAlign w:val="superscript"/>
        </w:rPr>
        <w:footnoteReference w:id="5"/>
      </w:r>
      <w:r w:rsidRPr="003423DC">
        <w:rPr>
          <w:rFonts w:ascii="Verdana" w:hAnsi="Verdana" w:cs="Arial"/>
          <w:iCs/>
          <w:color w:val="000000" w:themeColor="text1"/>
        </w:rPr>
        <w:t>.</w:t>
      </w:r>
    </w:p>
    <w:p w14:paraId="6F20A274" w14:textId="01A987DD" w:rsidR="0029003C" w:rsidRPr="003423DC" w:rsidRDefault="0029003C" w:rsidP="0051671F">
      <w:pPr>
        <w:spacing w:before="120" w:line="276" w:lineRule="auto"/>
        <w:ind w:firstLine="709"/>
        <w:jc w:val="both"/>
        <w:rPr>
          <w:rFonts w:ascii="Verdana" w:hAnsi="Verdana" w:cs="Arial"/>
          <w:iCs/>
          <w:color w:val="000000" w:themeColor="text1"/>
        </w:rPr>
      </w:pPr>
      <w:r w:rsidRPr="0080794D">
        <w:rPr>
          <w:rFonts w:ascii="Verdana" w:hAnsi="Verdana" w:cs="Arial"/>
          <w:iCs/>
          <w:color w:val="000000" w:themeColor="text1"/>
        </w:rPr>
        <w:t xml:space="preserve">De esa distinción funcional se desprende una consecuencia relevante en materia de oportunidad, que el propio legislador consagró. El artículo 17 de la Ley 1150 de 2007 condiciona expresamente la imposición unilateral de multas a que se halle pendiente la ejecución de las obligaciones a cargo del contratista, en coherencia con su naturaleza conminatoria: extinguido el plazo de ejecución, el apremio carece de objeto y la potestad se agota. La cláusula penal, en cambio, opera como tasación anticipada de perjuicios frente a un incumplimiento definitivo, por lo que su imposición unilateral procede mientras la entidad conserve competencia sobre la relación contractual, esto es, hasta la liquidación </w:t>
      </w:r>
      <w:r w:rsidRPr="0080794D">
        <w:rPr>
          <w:rFonts w:ascii="Verdana" w:hAnsi="Verdana" w:cs="Arial"/>
          <w:iCs/>
          <w:color w:val="000000" w:themeColor="text1"/>
        </w:rPr>
        <w:lastRenderedPageBreak/>
        <w:t>del contrato. Vencida esa oportunidad, la entidad no pierde el derecho al resarcimiento, pero deberá perseguirlo ante el juez del contrato por la vía del medio de control de controversias contractuales. Esta precisión resulta determinante para definir cuál de los dos instrumentos resulta procedente ante un incumplimiento parcial, según el momento en que se advierta.</w:t>
      </w:r>
    </w:p>
    <w:p w14:paraId="0996385A" w14:textId="0D6B8DC1" w:rsidR="0051671F" w:rsidRDefault="0051671F" w:rsidP="0051671F">
      <w:pPr>
        <w:spacing w:before="120" w:line="276" w:lineRule="auto"/>
        <w:ind w:firstLine="709"/>
        <w:jc w:val="both"/>
        <w:rPr>
          <w:rFonts w:ascii="Verdana" w:hAnsi="Verdana" w:cs="Arial"/>
          <w:iCs/>
          <w:color w:val="000000" w:themeColor="text1"/>
        </w:rPr>
      </w:pPr>
      <w:r w:rsidRPr="003423DC">
        <w:rPr>
          <w:rFonts w:ascii="Verdana" w:hAnsi="Verdana" w:cs="Arial"/>
          <w:iCs/>
          <w:color w:val="000000" w:themeColor="text1"/>
        </w:rPr>
        <w:t>Igualmente, la Ley 1474 de 2011 contempla la posibilidad de declarar el incumplimiento cuantificando los perjuicios del mismo, claro está, previa citación del contratista y respetando el debido proceso. Al respecto, el artículo 86 de la Ley 1474 de 2011 establece las etapas del procedimiento que se deben seguir:</w:t>
      </w:r>
      <w:r>
        <w:rPr>
          <w:rFonts w:ascii="Verdana" w:hAnsi="Verdana" w:cs="Arial"/>
          <w:iCs/>
          <w:color w:val="000000" w:themeColor="text1"/>
        </w:rPr>
        <w:t xml:space="preserve"> </w:t>
      </w:r>
      <w:r w:rsidRPr="003423DC">
        <w:rPr>
          <w:rFonts w:ascii="Verdana" w:hAnsi="Verdana" w:cs="Arial"/>
          <w:iCs/>
          <w:color w:val="000000" w:themeColor="text1"/>
        </w:rPr>
        <w:t xml:space="preserve">i) </w:t>
      </w:r>
      <w:r w:rsidRPr="00556A55">
        <w:rPr>
          <w:rFonts w:ascii="Verdana" w:hAnsi="Verdana" w:cs="Arial"/>
          <w:i/>
          <w:color w:val="000000" w:themeColor="text1"/>
        </w:rPr>
        <w:t>citación</w:t>
      </w:r>
      <w:r w:rsidRPr="003423DC">
        <w:rPr>
          <w:rFonts w:ascii="Verdana" w:hAnsi="Verdana" w:cs="Arial"/>
          <w:i/>
          <w:iCs/>
          <w:color w:val="000000" w:themeColor="text1"/>
        </w:rPr>
        <w:t xml:space="preserve"> a audiencia</w:t>
      </w:r>
      <w:r w:rsidRPr="003423DC">
        <w:rPr>
          <w:rFonts w:ascii="Verdana" w:hAnsi="Verdana" w:cs="Arial"/>
          <w:iCs/>
          <w:color w:val="000000" w:themeColor="text1"/>
        </w:rPr>
        <w:t>.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w:t>
      </w:r>
      <w:r>
        <w:rPr>
          <w:rFonts w:ascii="Verdana" w:hAnsi="Verdana" w:cs="Arial"/>
          <w:iCs/>
          <w:color w:val="000000" w:themeColor="text1"/>
        </w:rPr>
        <w:t>;</w:t>
      </w:r>
      <w:r w:rsidRPr="003423DC">
        <w:rPr>
          <w:rFonts w:ascii="Verdana" w:hAnsi="Verdana" w:cs="Arial"/>
          <w:iCs/>
          <w:color w:val="000000" w:themeColor="text1"/>
        </w:rPr>
        <w:t xml:space="preserve"> </w:t>
      </w:r>
      <w:proofErr w:type="spellStart"/>
      <w:r w:rsidRPr="003423DC">
        <w:rPr>
          <w:rFonts w:ascii="Verdana" w:hAnsi="Verdana" w:cs="Arial"/>
          <w:iCs/>
          <w:color w:val="000000" w:themeColor="text1"/>
        </w:rPr>
        <w:t>ii</w:t>
      </w:r>
      <w:proofErr w:type="spellEnd"/>
      <w:r w:rsidRPr="003423DC">
        <w:rPr>
          <w:rFonts w:ascii="Verdana" w:hAnsi="Verdana" w:cs="Arial"/>
          <w:iCs/>
          <w:color w:val="000000" w:themeColor="text1"/>
        </w:rPr>
        <w:t xml:space="preserve">) </w:t>
      </w:r>
      <w:r w:rsidRPr="003423DC">
        <w:rPr>
          <w:rFonts w:ascii="Verdana" w:hAnsi="Verdana" w:cs="Arial"/>
          <w:i/>
          <w:iCs/>
          <w:color w:val="000000" w:themeColor="text1"/>
        </w:rPr>
        <w:t>Audiencia</w:t>
      </w:r>
      <w:r w:rsidRPr="003423DC">
        <w:rPr>
          <w:rFonts w:ascii="Verdana" w:hAnsi="Verdana" w:cs="Arial"/>
          <w:iCs/>
          <w:color w:val="000000" w:themeColor="text1"/>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y </w:t>
      </w:r>
      <w:proofErr w:type="spellStart"/>
      <w:r w:rsidRPr="003423DC">
        <w:rPr>
          <w:rFonts w:ascii="Verdana" w:hAnsi="Verdana" w:cs="Arial"/>
          <w:iCs/>
          <w:color w:val="000000" w:themeColor="text1"/>
        </w:rPr>
        <w:t>iii</w:t>
      </w:r>
      <w:proofErr w:type="spellEnd"/>
      <w:r w:rsidRPr="003423DC">
        <w:rPr>
          <w:rFonts w:ascii="Verdana" w:hAnsi="Verdana" w:cs="Arial"/>
          <w:iCs/>
          <w:color w:val="000000" w:themeColor="text1"/>
        </w:rPr>
        <w:t xml:space="preserve">) </w:t>
      </w:r>
      <w:r w:rsidRPr="003423DC">
        <w:rPr>
          <w:rFonts w:ascii="Verdana" w:hAnsi="Verdana" w:cs="Arial"/>
          <w:i/>
          <w:iCs/>
          <w:color w:val="000000" w:themeColor="text1"/>
        </w:rPr>
        <w:t>Decisión</w:t>
      </w:r>
      <w:r w:rsidRPr="003423DC">
        <w:rPr>
          <w:rFonts w:ascii="Verdana" w:hAnsi="Verdana" w:cs="Arial"/>
          <w:iCs/>
          <w:color w:val="000000" w:themeColor="text1"/>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69AB1EBA" w14:textId="77777777" w:rsidR="006C6473" w:rsidRPr="006C6473" w:rsidRDefault="006C6473" w:rsidP="006C6473">
      <w:pPr>
        <w:spacing w:before="120" w:line="276" w:lineRule="auto"/>
        <w:ind w:firstLine="709"/>
        <w:jc w:val="both"/>
        <w:rPr>
          <w:rFonts w:ascii="Verdana" w:hAnsi="Verdana" w:cs="Arial"/>
          <w:iCs/>
          <w:color w:val="000000" w:themeColor="text1"/>
        </w:rPr>
      </w:pPr>
      <w:r w:rsidRPr="00AE63C3">
        <w:rPr>
          <w:rFonts w:ascii="Verdana" w:hAnsi="Verdana" w:cs="Arial"/>
          <w:iCs/>
          <w:color w:val="000000" w:themeColor="text1"/>
        </w:rPr>
        <w:t>De la enunciación anterior se desprende que el artículo 86 de la Ley 1474 de 2011 no contempla, como requisito de procedibilidad de la actuación, la existencia de requerimientos previos dirigidos al contratista con anterioridad al informe de supervisión o interventoría. El derecho de defensa se garantiza a partir de la citación a audiencia, momento en el cual el contratista conoce de manera expresa y detallada los hechos, las normas o cláusulas presuntamente violadas y las consecuencias que podrían derivarse. En consecuencia, la sola ausencia de requerimientos previos no constituye, por sí misma, un vicio del procedimiento ni causal de nulidad del acto administrativo que declare el incumplimiento.</w:t>
      </w:r>
    </w:p>
    <w:p w14:paraId="64C6B403" w14:textId="77777777" w:rsidR="006C6473" w:rsidRPr="006C6473" w:rsidRDefault="006C6473" w:rsidP="006C6473">
      <w:pPr>
        <w:spacing w:before="120" w:line="276" w:lineRule="auto"/>
        <w:ind w:firstLine="709"/>
        <w:jc w:val="both"/>
        <w:rPr>
          <w:rFonts w:ascii="Verdana" w:hAnsi="Verdana" w:cs="Arial"/>
          <w:iCs/>
          <w:color w:val="000000" w:themeColor="text1"/>
        </w:rPr>
      </w:pPr>
      <w:r w:rsidRPr="00AE63C3">
        <w:rPr>
          <w:rFonts w:ascii="Verdana" w:hAnsi="Verdana" w:cs="Arial"/>
          <w:iCs/>
          <w:color w:val="000000" w:themeColor="text1"/>
        </w:rPr>
        <w:lastRenderedPageBreak/>
        <w:t>Lo anterior no significa que la actuación de la supervisión sea jurídicamente indiferente. En primer lugar, el informe de supervisión o interventoría constituye el soporte probatorio de la actuación, de modo que su insuficiencia o su falta de respaldo material puede derivar en falsa motivación del acto, con independencia de que se hayan surtido formalmente las etapas del artículo 86. En segundo lugar, si el contrato, sus anexos o el manual de supervisión de la entidad prevén requerimientos previos como carga a cargo de la supervisión, su omisión comporta la inobservancia de reglas que la propia entidad se dio y puede incidir en la legalidad de la decisión. En tercer lugar, deben verificarse las reglas sobre constitución en mora del deudor conforme al artículo 1608 del Código Civil, según la naturaleza de la obligación incumplida y lo pactado sobre el plazo. Finalmente, la conducta precedente de la entidad —en particular la recepción sin objeción de prestaciones ejecutadas de manera tardía o defectuosa— resulta relevante a la luz del principio de buena fe contractual. Corresponde a la entidad, en cada caso, valorar estas circunstancias, sin que ello desvirtúe la conclusión general enunciada.</w:t>
      </w:r>
    </w:p>
    <w:p w14:paraId="62FC9129" w14:textId="7ABB7266" w:rsidR="0051671F" w:rsidRPr="009037F6" w:rsidRDefault="0051671F" w:rsidP="0051671F">
      <w:pPr>
        <w:spacing w:before="120" w:after="0" w:line="276" w:lineRule="auto"/>
        <w:ind w:firstLine="708"/>
        <w:jc w:val="both"/>
        <w:rPr>
          <w:rFonts w:ascii="Verdana" w:hAnsi="Verdana" w:cs="Arial"/>
          <w:bCs/>
          <w:color w:val="000000" w:themeColor="text1"/>
        </w:rPr>
      </w:pPr>
      <w:r w:rsidRPr="009037F6">
        <w:rPr>
          <w:rFonts w:ascii="Verdana" w:eastAsia="Calibri" w:hAnsi="Verdana" w:cs="Arial"/>
          <w:color w:val="000000" w:themeColor="text1"/>
          <w:lang w:val="es-ES"/>
        </w:rPr>
        <w:t>En este aspecto, es necesario entender el</w:t>
      </w:r>
      <w:r w:rsidRPr="009037F6">
        <w:rPr>
          <w:rFonts w:ascii="Verdana" w:hAnsi="Verdana" w:cs="Arial"/>
          <w:bCs/>
          <w:color w:val="000000" w:themeColor="text1"/>
        </w:rPr>
        <w:t xml:space="preserve"> incumplimiento del contrato. Para ello, se acude al Diccionario </w:t>
      </w:r>
      <w:r w:rsidR="003D68A2">
        <w:rPr>
          <w:rFonts w:ascii="Verdana" w:hAnsi="Verdana" w:cs="Arial"/>
          <w:bCs/>
          <w:color w:val="000000" w:themeColor="text1"/>
        </w:rPr>
        <w:t>del</w:t>
      </w:r>
      <w:r w:rsidRPr="009037F6">
        <w:rPr>
          <w:rFonts w:ascii="Verdana" w:hAnsi="Verdana" w:cs="Arial"/>
          <w:bCs/>
          <w:color w:val="000000" w:themeColor="text1"/>
        </w:rPr>
        <w:t xml:space="preserve"> Español Jurídico que la define así: “1. </w:t>
      </w:r>
      <w:r w:rsidRPr="009037F6">
        <w:rPr>
          <w:rFonts w:ascii="Verdana" w:hAnsi="Verdana" w:cs="Arial"/>
          <w:bCs/>
          <w:i/>
          <w:iCs/>
          <w:color w:val="000000" w:themeColor="text1"/>
        </w:rPr>
        <w:t>Gral.</w:t>
      </w:r>
      <w:r w:rsidRPr="009037F6">
        <w:rPr>
          <w:rFonts w:ascii="Verdana" w:hAnsi="Verdana" w:cs="Arial"/>
          <w:bCs/>
          <w:color w:val="000000" w:themeColor="text1"/>
        </w:rPr>
        <w:t> Vulneración de lo estipulado en un contrato por una o ambas partes. En derecho civil, el incumplimiento por una de las partes da lugar a la facultad de resolver el contrato por la otra sin perjuicio de las indemnizaciones a que pueda dar lugar”</w:t>
      </w:r>
      <w:r w:rsidRPr="009037F6">
        <w:rPr>
          <w:rFonts w:ascii="Verdana" w:hAnsi="Verdana" w:cs="Arial"/>
          <w:bCs/>
          <w:color w:val="000000" w:themeColor="text1"/>
          <w:vertAlign w:val="superscript"/>
        </w:rPr>
        <w:footnoteReference w:id="6"/>
      </w:r>
      <w:r w:rsidRPr="009037F6">
        <w:rPr>
          <w:rFonts w:ascii="Verdana" w:hAnsi="Verdana" w:cs="Arial"/>
          <w:bCs/>
          <w:color w:val="000000" w:themeColor="text1"/>
        </w:rPr>
        <w:t>. El supuesto más evidente del incumplimiento contractual es la ausencia de la prestación. Al respecto, la doctrina expresa: “[…] cuando un contratista se obliga a prestar un servicio, dar un bien o construir una obra y, al momento de la exigibilidad de estas, no existe ejecución material de aquello que satisface las necesidades de la entidad. En este punto es necesario verificar que el incumplimiento no sea producto de una fuerza mayor o un caso fortuito, pues las obligaciones se extinguen por la imposibilidad de la prestación debida bajo este supuesto”</w:t>
      </w:r>
      <w:r w:rsidRPr="009037F6">
        <w:rPr>
          <w:rFonts w:ascii="Verdana" w:hAnsi="Verdana" w:cs="Arial"/>
          <w:bCs/>
          <w:color w:val="000000" w:themeColor="text1"/>
          <w:vertAlign w:val="superscript"/>
        </w:rPr>
        <w:footnoteReference w:id="7"/>
      </w:r>
      <w:r w:rsidRPr="009037F6">
        <w:rPr>
          <w:rFonts w:ascii="Verdana" w:hAnsi="Verdana" w:cs="Arial"/>
          <w:bCs/>
          <w:color w:val="000000" w:themeColor="text1"/>
        </w:rPr>
        <w:t>. En este escenario, se está ante un incumplimiento absoluto, que es el resultado de la actuación culposa del deudor, sin una causa justificada, no está cumpliendo con los compromisos. De igual manera, la doctrina señala otro tipo de incumplimientos:</w:t>
      </w:r>
    </w:p>
    <w:p w14:paraId="0E59C224" w14:textId="77777777" w:rsidR="0051671F" w:rsidRPr="009037F6" w:rsidRDefault="0051671F" w:rsidP="0051671F">
      <w:pPr>
        <w:spacing w:after="0" w:line="276" w:lineRule="auto"/>
        <w:jc w:val="both"/>
        <w:rPr>
          <w:rFonts w:ascii="Verdana" w:hAnsi="Verdana" w:cs="Arial"/>
          <w:bCs/>
          <w:color w:val="000000" w:themeColor="text1"/>
        </w:rPr>
      </w:pPr>
      <w:r w:rsidRPr="009037F6">
        <w:rPr>
          <w:rFonts w:ascii="Verdana" w:hAnsi="Verdana" w:cs="Arial"/>
          <w:bCs/>
          <w:color w:val="000000" w:themeColor="text1"/>
        </w:rPr>
        <w:lastRenderedPageBreak/>
        <w:t xml:space="preserve"> </w:t>
      </w:r>
    </w:p>
    <w:p w14:paraId="2479964D" w14:textId="77777777" w:rsidR="0051671F" w:rsidRPr="001B0BD1" w:rsidRDefault="0051671F" w:rsidP="0051671F">
      <w:pPr>
        <w:spacing w:after="0" w:line="240" w:lineRule="auto"/>
        <w:ind w:left="709" w:right="709"/>
        <w:jc w:val="both"/>
        <w:rPr>
          <w:rFonts w:ascii="Verdana" w:hAnsi="Verdana" w:cs="Arial"/>
          <w:bCs/>
          <w:color w:val="000000" w:themeColor="text1"/>
          <w:sz w:val="20"/>
          <w:szCs w:val="20"/>
        </w:rPr>
      </w:pPr>
      <w:r w:rsidRPr="001B0BD1">
        <w:rPr>
          <w:rFonts w:ascii="Verdana" w:hAnsi="Verdana" w:cs="Arial"/>
          <w:bCs/>
          <w:color w:val="000000" w:themeColor="text1"/>
          <w:sz w:val="20"/>
          <w:szCs w:val="20"/>
        </w:rPr>
        <w:t>“[…] también existen formas de incumplimiento impropio o relativo. En estos eventos no hay ausencia total de la prestación debida, ya sea porque se ejecutó imperfecta o tardíamente. La primera modalidad de incumplimiento impropio se presenta por incumplimientos cualitativos o cuantitativos. Por ejemplo, la primera surge cuando se contrata la ejecución de una obra y el deudor realiza la entrega con algunos defectos constructivos que impiden el goce satisfactorio; en contraste, la segunda se presenta cuando se requiere el suministro de determinados elementos y el contratista entrega un número menos a los inicialmente solicitados. En ambos casos se trata de incumplimientos parciales, lo cual está en contravía de los dispuesto en el inciso 1.° del artículo 1649 del Código Civil, ya que ‘El deudor no puede obligar al acreedor a que reciba por partes lo que se le deba, salvo el caso de convención contraria; y sin perjuicio de lo que dispongan las leyes en casos especiales’. Por otro lado, la segunda modalidad de incumplimiento impropio surge de la tardanza del deudor en ejecutar sus prestaciones. Si bien no existe renuencia y es posible que satisfaga la prestación debida tanto en términos de calidad como de cantidad, el riesgo es que con el paso del tiempo el acreedor pierda interés en el contrato. En estos eventos, también resulta violentada regla del antecitado inciso 1.° del artículo 1627 del Código Civil, el cual no se solo se refiere al objeto de la obligación en si sino también a las modalidades que influyan en la existencia o la exigibilidad de las prestaciones”</w:t>
      </w:r>
      <w:r w:rsidRPr="001B0BD1">
        <w:rPr>
          <w:rFonts w:ascii="Verdana" w:hAnsi="Verdana" w:cs="Arial"/>
          <w:bCs/>
          <w:color w:val="000000" w:themeColor="text1"/>
          <w:sz w:val="20"/>
          <w:szCs w:val="20"/>
          <w:vertAlign w:val="superscript"/>
        </w:rPr>
        <w:footnoteReference w:id="8"/>
      </w:r>
      <w:r w:rsidRPr="001B0BD1">
        <w:rPr>
          <w:rFonts w:ascii="Verdana" w:hAnsi="Verdana" w:cs="Arial"/>
          <w:bCs/>
          <w:color w:val="000000" w:themeColor="text1"/>
          <w:sz w:val="20"/>
          <w:szCs w:val="20"/>
        </w:rPr>
        <w:t xml:space="preserve">. </w:t>
      </w:r>
    </w:p>
    <w:p w14:paraId="6787DCCA" w14:textId="77777777" w:rsidR="0051671F" w:rsidRPr="009037F6" w:rsidRDefault="0051671F" w:rsidP="0051671F">
      <w:pPr>
        <w:spacing w:after="0" w:line="276" w:lineRule="auto"/>
        <w:jc w:val="both"/>
        <w:rPr>
          <w:rFonts w:ascii="Verdana" w:hAnsi="Verdana" w:cs="Arial"/>
          <w:bCs/>
          <w:color w:val="000000" w:themeColor="text1"/>
        </w:rPr>
      </w:pPr>
    </w:p>
    <w:p w14:paraId="622E22E6" w14:textId="0420B895" w:rsidR="0051671F" w:rsidRDefault="0051671F" w:rsidP="0051671F">
      <w:pPr>
        <w:spacing w:after="0" w:line="276" w:lineRule="auto"/>
        <w:ind w:firstLine="709"/>
        <w:jc w:val="both"/>
        <w:rPr>
          <w:rFonts w:ascii="Verdana" w:hAnsi="Verdana"/>
          <w:lang w:val="es-MX"/>
        </w:rPr>
      </w:pPr>
      <w:r w:rsidRPr="009037F6">
        <w:rPr>
          <w:rFonts w:ascii="Verdana" w:hAnsi="Verdana" w:cs="Arial"/>
          <w:bCs/>
          <w:color w:val="000000" w:themeColor="text1"/>
        </w:rPr>
        <w:t xml:space="preserve">A partir de lo expuesto, el incumplimiento contractual en un sentido práctico es la no sujeción total o parcial de las obligaciones pactadas en el contrato. En efecto, puede evidenciarse un incumplimiento total, así como incumplimientos parciales, derivado de ejecuciones imperfectas, ya sea cuantitativas o cualitativas, o el incumplimiento tardío, esto es, la tardanza en ejecutar sus prestaciones. </w:t>
      </w:r>
      <w:r>
        <w:rPr>
          <w:rFonts w:ascii="Verdana" w:hAnsi="Verdana" w:cs="Arial"/>
          <w:bCs/>
          <w:color w:val="000000" w:themeColor="text1"/>
        </w:rPr>
        <w:t xml:space="preserve">No en vano, el numeral 3 del artículo </w:t>
      </w:r>
      <w:r w:rsidRPr="009037F6">
        <w:rPr>
          <w:rFonts w:ascii="Verdana" w:hAnsi="Verdana"/>
          <w:lang w:val="es-MX"/>
        </w:rPr>
        <w:t>2.2.1.2.3.1.7 del Decreto 1082 de 2015</w:t>
      </w:r>
      <w:r>
        <w:rPr>
          <w:rFonts w:ascii="Verdana" w:hAnsi="Verdana"/>
          <w:lang w:val="es-MX"/>
        </w:rPr>
        <w:t xml:space="preserve"> establece el alcance del amparo de cumplimiento en los siguientes términos:</w:t>
      </w:r>
    </w:p>
    <w:p w14:paraId="1EFDB284" w14:textId="77777777" w:rsidR="0051671F" w:rsidRPr="009037F6" w:rsidRDefault="0051671F" w:rsidP="0051671F">
      <w:pPr>
        <w:spacing w:after="0" w:line="276" w:lineRule="auto"/>
        <w:ind w:firstLine="709"/>
        <w:jc w:val="both"/>
        <w:rPr>
          <w:rFonts w:ascii="Verdana" w:hAnsi="Verdana"/>
          <w:lang w:val="es-MX"/>
        </w:rPr>
      </w:pPr>
    </w:p>
    <w:p w14:paraId="05B62715" w14:textId="77777777" w:rsidR="0051671F" w:rsidRDefault="0051671F" w:rsidP="0051671F">
      <w:pPr>
        <w:spacing w:after="0" w:line="240" w:lineRule="auto"/>
        <w:ind w:left="709" w:right="709"/>
        <w:jc w:val="both"/>
        <w:rPr>
          <w:rFonts w:ascii="Verdana" w:hAnsi="Verdana"/>
          <w:sz w:val="20"/>
          <w:szCs w:val="20"/>
          <w:lang w:val="es-MX"/>
        </w:rPr>
      </w:pPr>
      <w:r w:rsidRPr="009037F6">
        <w:rPr>
          <w:rFonts w:ascii="Verdana" w:hAnsi="Verdana"/>
          <w:sz w:val="20"/>
          <w:szCs w:val="20"/>
          <w:lang w:val="es-MX"/>
        </w:rPr>
        <w:t>“La garantía de cumplimiento del contrato debe cubrir:</w:t>
      </w:r>
      <w:r w:rsidRPr="009037F6">
        <w:rPr>
          <w:rFonts w:ascii="Verdana" w:hAnsi="Verdana"/>
          <w:sz w:val="20"/>
          <w:szCs w:val="20"/>
          <w:lang w:val="es-MX"/>
        </w:rPr>
        <w:br/>
        <w:t>[</w:t>
      </w:r>
      <w:r>
        <w:rPr>
          <w:rFonts w:ascii="Verdana" w:hAnsi="Verdana"/>
          <w:sz w:val="20"/>
          <w:szCs w:val="20"/>
          <w:lang w:val="es-MX"/>
        </w:rPr>
        <w:t>…</w:t>
      </w:r>
      <w:r w:rsidRPr="009037F6">
        <w:rPr>
          <w:rFonts w:ascii="Verdana" w:hAnsi="Verdana"/>
          <w:sz w:val="20"/>
          <w:szCs w:val="20"/>
          <w:lang w:val="es-MX"/>
        </w:rPr>
        <w:t>]</w:t>
      </w:r>
    </w:p>
    <w:p w14:paraId="3805FBCA" w14:textId="77777777" w:rsidR="0051671F" w:rsidRPr="009037F6" w:rsidRDefault="0051671F" w:rsidP="0051671F">
      <w:pPr>
        <w:spacing w:after="120" w:line="240" w:lineRule="auto"/>
        <w:ind w:left="709" w:right="709"/>
        <w:jc w:val="both"/>
        <w:rPr>
          <w:rFonts w:ascii="Verdana" w:hAnsi="Verdana"/>
          <w:sz w:val="20"/>
          <w:szCs w:val="20"/>
          <w:lang w:val="es-MX"/>
        </w:rPr>
      </w:pPr>
      <w:r w:rsidRPr="003B57E2">
        <w:rPr>
          <w:rFonts w:ascii="Verdana" w:hAnsi="Verdana"/>
          <w:sz w:val="12"/>
          <w:szCs w:val="12"/>
          <w:lang w:val="es-MX"/>
        </w:rPr>
        <w:br/>
      </w:r>
      <w:r w:rsidRPr="009037F6">
        <w:rPr>
          <w:rFonts w:ascii="Verdana" w:hAnsi="Verdana"/>
          <w:sz w:val="20"/>
          <w:szCs w:val="20"/>
          <w:lang w:val="es-MX"/>
        </w:rPr>
        <w:t xml:space="preserve">3. Cumplimiento del contrato. Este amparo cubre a la Entidad Estatal de los perjuicios derivados de: </w:t>
      </w:r>
    </w:p>
    <w:p w14:paraId="58993FD6" w14:textId="77777777" w:rsidR="0051671F" w:rsidRDefault="0051671F" w:rsidP="0051671F">
      <w:pPr>
        <w:spacing w:after="0" w:line="240" w:lineRule="auto"/>
        <w:ind w:left="709" w:right="709"/>
        <w:jc w:val="both"/>
        <w:rPr>
          <w:rFonts w:ascii="Verdana" w:hAnsi="Verdana"/>
          <w:sz w:val="20"/>
          <w:szCs w:val="20"/>
          <w:lang w:val="es-MX"/>
        </w:rPr>
      </w:pPr>
      <w:r w:rsidRPr="009037F6">
        <w:rPr>
          <w:rFonts w:ascii="Verdana" w:hAnsi="Verdana"/>
          <w:sz w:val="20"/>
          <w:szCs w:val="20"/>
          <w:lang w:val="es-MX"/>
        </w:rPr>
        <w:t>3.1. El incumplimiento total o parcial del contrato, cuando el incumplimiento es imputable al contratista;</w:t>
      </w:r>
    </w:p>
    <w:p w14:paraId="0A32CB37" w14:textId="77777777" w:rsidR="0051671F" w:rsidRPr="009037F6" w:rsidRDefault="0051671F" w:rsidP="0051671F">
      <w:pPr>
        <w:spacing w:after="120" w:line="240" w:lineRule="auto"/>
        <w:ind w:left="709" w:right="709"/>
        <w:jc w:val="both"/>
        <w:rPr>
          <w:rFonts w:ascii="Verdana" w:hAnsi="Verdana"/>
          <w:sz w:val="20"/>
          <w:szCs w:val="20"/>
          <w:lang w:val="es-MX"/>
        </w:rPr>
      </w:pPr>
      <w:r w:rsidRPr="003B57E2">
        <w:rPr>
          <w:rFonts w:ascii="Verdana" w:hAnsi="Verdana"/>
          <w:sz w:val="12"/>
          <w:szCs w:val="12"/>
          <w:lang w:val="es-MX"/>
        </w:rPr>
        <w:lastRenderedPageBreak/>
        <w:br/>
      </w:r>
      <w:r w:rsidRPr="009037F6">
        <w:rPr>
          <w:rFonts w:ascii="Verdana" w:hAnsi="Verdana"/>
          <w:sz w:val="20"/>
          <w:szCs w:val="20"/>
          <w:lang w:val="es-MX"/>
        </w:rPr>
        <w:t xml:space="preserve">3.2. El cumplimiento tardío o defectuoso del contrato, cuando el incumplimiento es imputable al contratista; </w:t>
      </w:r>
    </w:p>
    <w:p w14:paraId="59AAA19F" w14:textId="77777777" w:rsidR="0051671F" w:rsidRPr="009037F6" w:rsidRDefault="0051671F" w:rsidP="0051671F">
      <w:pPr>
        <w:spacing w:after="0" w:line="240" w:lineRule="auto"/>
        <w:ind w:left="709" w:right="709"/>
        <w:jc w:val="both"/>
        <w:rPr>
          <w:rFonts w:ascii="Verdana" w:hAnsi="Verdana"/>
          <w:sz w:val="20"/>
          <w:szCs w:val="20"/>
          <w:lang w:val="es-MX"/>
        </w:rPr>
      </w:pPr>
      <w:r w:rsidRPr="009037F6">
        <w:rPr>
          <w:rFonts w:ascii="Verdana" w:hAnsi="Verdana"/>
          <w:sz w:val="20"/>
          <w:szCs w:val="20"/>
          <w:lang w:val="es-MX"/>
        </w:rPr>
        <w:t>3.3. Los daños imputables al contratista por entregas parciales de la obra, cuando el contrato no prevé entregas parciales; y</w:t>
      </w:r>
      <w:r w:rsidRPr="009037F6">
        <w:rPr>
          <w:rFonts w:ascii="Verdana" w:hAnsi="Verdana"/>
          <w:sz w:val="20"/>
          <w:szCs w:val="20"/>
          <w:lang w:val="es-MX"/>
        </w:rPr>
        <w:br/>
        <w:t>3.4. El pago del valor de las multas y de la cláusula penal pecuniaria”</w:t>
      </w:r>
      <w:r>
        <w:rPr>
          <w:rFonts w:ascii="Verdana" w:hAnsi="Verdana"/>
          <w:sz w:val="20"/>
          <w:szCs w:val="20"/>
          <w:lang w:val="es-MX"/>
        </w:rPr>
        <w:t>.</w:t>
      </w:r>
      <w:r w:rsidRPr="009037F6">
        <w:rPr>
          <w:rFonts w:ascii="Verdana" w:hAnsi="Verdana"/>
          <w:sz w:val="20"/>
          <w:szCs w:val="20"/>
          <w:lang w:val="es-MX"/>
        </w:rPr>
        <w:t xml:space="preserve"> </w:t>
      </w:r>
    </w:p>
    <w:p w14:paraId="020723C9" w14:textId="77777777" w:rsidR="0051671F" w:rsidRPr="001B0BD1" w:rsidRDefault="0051671F" w:rsidP="0051671F">
      <w:pPr>
        <w:spacing w:after="0" w:line="276" w:lineRule="auto"/>
        <w:jc w:val="both"/>
        <w:rPr>
          <w:rFonts w:ascii="Verdana" w:eastAsia="Calibri" w:hAnsi="Verdana" w:cs="Arial"/>
          <w:color w:val="000000" w:themeColor="text1"/>
          <w:sz w:val="24"/>
          <w:szCs w:val="24"/>
          <w:lang w:val="es-ES"/>
        </w:rPr>
      </w:pPr>
      <w:r>
        <w:rPr>
          <w:rFonts w:ascii="Verdana" w:hAnsi="Verdana" w:cs="Arial"/>
          <w:bCs/>
          <w:color w:val="000000" w:themeColor="text1"/>
        </w:rPr>
        <w:t xml:space="preserve"> </w:t>
      </w:r>
    </w:p>
    <w:p w14:paraId="66F49362" w14:textId="77777777" w:rsidR="0051671F" w:rsidRDefault="0051671F" w:rsidP="0051671F">
      <w:pPr>
        <w:spacing w:after="120" w:line="276" w:lineRule="auto"/>
        <w:ind w:firstLine="708"/>
        <w:jc w:val="both"/>
        <w:rPr>
          <w:rFonts w:ascii="Verdana" w:hAnsi="Verdana" w:cs="Arial"/>
          <w:color w:val="000000" w:themeColor="text1"/>
        </w:rPr>
      </w:pPr>
      <w:r w:rsidRPr="003423DC">
        <w:rPr>
          <w:rFonts w:ascii="Verdana" w:hAnsi="Verdana" w:cs="Arial"/>
          <w:iCs/>
          <w:color w:val="000000" w:themeColor="text1"/>
        </w:rPr>
        <w:t xml:space="preserve">En este sentido, la entidad está facultada para cuantificar los perjuicios causados por el incumplimiento del contratista, previa declaración del mismo y luego de haberse surtido el trámite antes referido. Esta facultad, en palabras de la Corte Constitucional, </w:t>
      </w:r>
      <w:r>
        <w:rPr>
          <w:rFonts w:ascii="Verdana" w:hAnsi="Verdana" w:cs="Arial"/>
          <w:iCs/>
          <w:color w:val="000000" w:themeColor="text1"/>
        </w:rPr>
        <w:t>“</w:t>
      </w:r>
      <w:r w:rsidRPr="003423DC">
        <w:rPr>
          <w:rFonts w:ascii="Verdana" w:hAnsi="Verdana" w:cs="Arial"/>
          <w:iCs/>
          <w:color w:val="000000" w:themeColor="text1"/>
        </w:rPr>
        <w:t>[…] está reglada y se ejerce conforme a un procedimiento administrativo, del que debe darse cuenta en un acto administrativo motivado, de tal suerte que la cuantificación de los perjuicios no obedece a la mera discrecionalidad de la entidad estatal, ni es fruto de su capricho […]</w:t>
      </w:r>
      <w:r>
        <w:rPr>
          <w:rFonts w:ascii="Verdana" w:hAnsi="Verdana" w:cs="Arial"/>
          <w:iCs/>
          <w:color w:val="000000" w:themeColor="text1"/>
        </w:rPr>
        <w:t>”</w:t>
      </w:r>
      <w:r w:rsidRPr="003423DC">
        <w:rPr>
          <w:rStyle w:val="Refdenotaalpie"/>
          <w:rFonts w:ascii="Verdana" w:hAnsi="Verdana" w:cs="Arial"/>
          <w:iCs/>
          <w:color w:val="000000" w:themeColor="text1"/>
        </w:rPr>
        <w:footnoteReference w:id="9"/>
      </w:r>
      <w:r w:rsidRPr="003423DC">
        <w:rPr>
          <w:rFonts w:ascii="Verdana" w:hAnsi="Verdana" w:cs="Arial"/>
          <w:iCs/>
          <w:color w:val="000000" w:themeColor="text1"/>
        </w:rPr>
        <w:t>.</w:t>
      </w:r>
      <w:r w:rsidRPr="003423DC">
        <w:rPr>
          <w:rFonts w:ascii="Verdana" w:hAnsi="Verdana" w:cs="Arial"/>
          <w:color w:val="000000" w:themeColor="text1"/>
        </w:rPr>
        <w:t xml:space="preserve"> </w:t>
      </w:r>
    </w:p>
    <w:p w14:paraId="4FC70DBD" w14:textId="77777777" w:rsidR="0051671F" w:rsidRPr="008356F6" w:rsidRDefault="0051671F" w:rsidP="0051671F">
      <w:pPr>
        <w:spacing w:line="276" w:lineRule="auto"/>
        <w:ind w:firstLine="708"/>
        <w:jc w:val="both"/>
        <w:rPr>
          <w:rFonts w:ascii="Verdana" w:hAnsi="Verdana" w:cs="Arial"/>
          <w:iCs/>
          <w:color w:val="000000" w:themeColor="text1"/>
          <w:lang w:val="es-ES"/>
        </w:rPr>
      </w:pPr>
      <w:r w:rsidRPr="008356F6">
        <w:rPr>
          <w:rFonts w:ascii="Verdana" w:hAnsi="Verdana" w:cs="Arial"/>
          <w:iCs/>
          <w:color w:val="000000" w:themeColor="text1"/>
          <w:lang w:val="es-ES"/>
        </w:rPr>
        <w:t xml:space="preserve">El artículo 86 de la Ley 1474 de 2011 no categoriza el tipo de incumplimiento. Como consecuencia, la declaratoria de cualquier incumplimiento, sea este total o parcial, debe hacerse con la debida observancia de las reglas procedimentales allí establecidas. Esto es así como consecuencia del </w:t>
      </w:r>
      <w:r>
        <w:rPr>
          <w:rFonts w:ascii="Verdana" w:hAnsi="Verdana" w:cs="Arial"/>
          <w:iCs/>
          <w:color w:val="000000" w:themeColor="text1"/>
          <w:lang w:val="es-ES"/>
        </w:rPr>
        <w:t>“</w:t>
      </w:r>
      <w:r w:rsidRPr="008356F6">
        <w:rPr>
          <w:rFonts w:ascii="Verdana" w:hAnsi="Verdana" w:cs="Arial"/>
          <w:iCs/>
          <w:color w:val="000000" w:themeColor="text1"/>
          <w:lang w:val="es-ES"/>
        </w:rPr>
        <w:t>principio general de interpretación jurídica según el cual donde la norma no distingue, no le corresponde distinguir al intérprete</w:t>
      </w:r>
      <w:r>
        <w:rPr>
          <w:rFonts w:ascii="Verdana" w:hAnsi="Verdana" w:cs="Arial"/>
          <w:iCs/>
          <w:color w:val="000000" w:themeColor="text1"/>
          <w:lang w:val="es-ES"/>
        </w:rPr>
        <w:t>”</w:t>
      </w:r>
      <w:r w:rsidRPr="008356F6">
        <w:rPr>
          <w:rStyle w:val="Refdenotaalpie"/>
          <w:rFonts w:ascii="Verdana" w:hAnsi="Verdana" w:cs="Arial"/>
          <w:iCs/>
          <w:color w:val="000000" w:themeColor="text1"/>
          <w:lang w:val="es-ES"/>
        </w:rPr>
        <w:footnoteReference w:id="10"/>
      </w:r>
      <w:r w:rsidRPr="008356F6">
        <w:rPr>
          <w:rFonts w:ascii="Verdana" w:hAnsi="Verdana" w:cs="Arial"/>
          <w:iCs/>
          <w:color w:val="000000" w:themeColor="text1"/>
          <w:lang w:val="es-ES"/>
        </w:rPr>
        <w:t xml:space="preserve">. A la misma conclusión se arriba si se tiene en consideración la necesidad de respetar el debido proceso en </w:t>
      </w:r>
      <w:r>
        <w:rPr>
          <w:rFonts w:ascii="Verdana" w:hAnsi="Verdana" w:cs="Arial"/>
          <w:iCs/>
          <w:color w:val="000000" w:themeColor="text1"/>
          <w:lang w:val="es-ES"/>
        </w:rPr>
        <w:t>“</w:t>
      </w:r>
      <w:r w:rsidRPr="008356F6">
        <w:rPr>
          <w:rFonts w:ascii="Verdana" w:hAnsi="Verdana" w:cs="Arial"/>
          <w:iCs/>
          <w:color w:val="000000" w:themeColor="text1"/>
          <w:lang w:val="es-ES"/>
        </w:rPr>
        <w:t>todas las actuaciones administrativas</w:t>
      </w:r>
      <w:r>
        <w:rPr>
          <w:rFonts w:ascii="Verdana" w:hAnsi="Verdana" w:cs="Arial"/>
          <w:iCs/>
          <w:color w:val="000000" w:themeColor="text1"/>
          <w:lang w:val="es-ES"/>
        </w:rPr>
        <w:t>”</w:t>
      </w:r>
      <w:r w:rsidRPr="008356F6">
        <w:rPr>
          <w:rFonts w:ascii="Verdana" w:hAnsi="Verdana" w:cs="Arial"/>
          <w:iCs/>
          <w:color w:val="000000" w:themeColor="text1"/>
          <w:lang w:val="es-ES"/>
        </w:rPr>
        <w:t xml:space="preserve"> como lo ordena el artículo 29 Superior. </w:t>
      </w:r>
    </w:p>
    <w:p w14:paraId="2266F529" w14:textId="7655D377" w:rsidR="0051671F" w:rsidRPr="002545B6" w:rsidRDefault="0051671F" w:rsidP="0051671F">
      <w:pPr>
        <w:spacing w:before="120" w:line="276" w:lineRule="auto"/>
        <w:ind w:firstLine="708"/>
        <w:jc w:val="both"/>
        <w:rPr>
          <w:rFonts w:ascii="Verdana" w:hAnsi="Verdana" w:cs="Arial"/>
          <w:color w:val="000000" w:themeColor="text1"/>
          <w:lang w:val="es-ES"/>
        </w:rPr>
      </w:pPr>
      <w:r w:rsidRPr="7AFD9743">
        <w:rPr>
          <w:rFonts w:ascii="Verdana" w:hAnsi="Verdana" w:cs="Arial"/>
          <w:color w:val="000000" w:themeColor="text1"/>
          <w:lang w:val="es-ES"/>
        </w:rPr>
        <w:t xml:space="preserve">Frente a la </w:t>
      </w:r>
      <w:r w:rsidRPr="7AFD9743">
        <w:rPr>
          <w:rFonts w:ascii="Verdana" w:hAnsi="Verdana" w:cs="Arial"/>
          <w:i/>
          <w:color w:val="000000" w:themeColor="text1"/>
          <w:lang w:val="es-ES"/>
        </w:rPr>
        <w:t xml:space="preserve">imposición unilateral </w:t>
      </w:r>
      <w:r w:rsidRPr="7AFD9743">
        <w:rPr>
          <w:rFonts w:ascii="Verdana" w:hAnsi="Verdana" w:cs="Arial"/>
          <w:color w:val="000000" w:themeColor="text1"/>
          <w:lang w:val="es-ES"/>
        </w:rPr>
        <w:t>de las cláusulas penales, en relación con la graduación de las sanciones en los procedimientos administrativos sancionatorios contractuales, cabe destacar el artículo 50 de la Ley 1437 de 2011 –en adelante, también, CPACA–, norma que contiene “criterios de graduación de las sanciones”. Sin embargo, se debe precisar que solo se puede acudir a los criterios allí establecidos “cuando resultaren aplicables”, lo cual, a juicio</w:t>
      </w:r>
      <w:r w:rsidR="007355AC" w:rsidRPr="7AFD9743">
        <w:rPr>
          <w:rFonts w:ascii="Verdana" w:hAnsi="Verdana" w:cs="Arial"/>
          <w:color w:val="000000" w:themeColor="text1"/>
          <w:lang w:val="es-ES"/>
        </w:rPr>
        <w:t xml:space="preserve"> de esta Subdirección</w:t>
      </w:r>
      <w:r w:rsidRPr="7AFD9743">
        <w:rPr>
          <w:rFonts w:ascii="Verdana" w:hAnsi="Verdana" w:cs="Arial"/>
          <w:color w:val="000000" w:themeColor="text1"/>
          <w:lang w:val="es-ES"/>
        </w:rPr>
        <w:t xml:space="preserve">, deriva en la inaplicación de dichos criterios en estos procedimientos contractuales, porque se debe acudir a los criterios establecidos en las disposiciones civiles y comerciales, por disposición de los artículos 13, 32 y 40 de la Ley 80 de 1993. Lo que, a su vez, se sustenta en el parágrafo del artículo 47 del CPACA que establece, en relación con el procedimiento </w:t>
      </w:r>
      <w:r w:rsidRPr="7AFD9743">
        <w:rPr>
          <w:rFonts w:ascii="Verdana" w:hAnsi="Verdana" w:cs="Arial"/>
          <w:color w:val="000000" w:themeColor="text1"/>
          <w:lang w:val="es-ES"/>
        </w:rPr>
        <w:lastRenderedPageBreak/>
        <w:t>administrativo sancionatorio general, que: “Las actuaciones administrativas contractuales sancionatorias, incluyendo los recursos, se regirán por lo dispuesto en las normas especiales sobre la materia”. De modo que en relación con este aspecto concreto, al existir regulación especial en otras leyes, se deben aplicar dichos criterios de proporcionalidad</w:t>
      </w:r>
      <w:r w:rsidRPr="7AFD9743">
        <w:rPr>
          <w:rStyle w:val="Refdenotaalpie"/>
          <w:rFonts w:ascii="Verdana" w:hAnsi="Verdana" w:cs="Arial"/>
          <w:color w:val="000000" w:themeColor="text1"/>
          <w:lang w:val="es-ES"/>
        </w:rPr>
        <w:footnoteReference w:id="11"/>
      </w:r>
      <w:r w:rsidRPr="7AFD9743">
        <w:rPr>
          <w:rFonts w:ascii="Verdana" w:hAnsi="Verdana" w:cs="Arial"/>
          <w:color w:val="000000" w:themeColor="text1"/>
          <w:lang w:val="es-ES"/>
        </w:rPr>
        <w:t>.</w:t>
      </w:r>
      <w:r w:rsidR="0070247E" w:rsidRPr="7AFD9743">
        <w:rPr>
          <w:rFonts w:ascii="Verdana" w:hAnsi="Verdana" w:cs="Arial"/>
          <w:color w:val="000000" w:themeColor="text1"/>
          <w:lang w:val="es-ES"/>
        </w:rPr>
        <w:t xml:space="preserve"> Se trata de un criterio interpretativo adoptado en atención a la remisión que el parágrafo del artículo 47 del CPACA hace a las normas especiales y a la existencia de una regulación civil y comercial específica sobre la graduación de la pena, sin perjuicio de que los principios generales que informan la potestad sancionatoria conserven plena vigencia.</w:t>
      </w:r>
    </w:p>
    <w:p w14:paraId="62D7F624" w14:textId="77777777" w:rsidR="0051671F" w:rsidRPr="002545B6" w:rsidRDefault="0051671F" w:rsidP="0051671F">
      <w:pPr>
        <w:spacing w:before="120" w:after="0" w:line="276" w:lineRule="auto"/>
        <w:ind w:firstLine="709"/>
        <w:jc w:val="both"/>
        <w:rPr>
          <w:rFonts w:ascii="Verdana" w:hAnsi="Verdana" w:cs="Arial"/>
          <w:iCs/>
          <w:color w:val="000000" w:themeColor="text1"/>
          <w:lang w:val="es-ES_tradnl"/>
        </w:rPr>
      </w:pPr>
      <w:r w:rsidRPr="002545B6">
        <w:rPr>
          <w:rFonts w:ascii="Verdana" w:hAnsi="Verdana" w:cs="Arial"/>
          <w:iCs/>
          <w:color w:val="000000" w:themeColor="text1"/>
          <w:lang w:val="es-ES_tradnl"/>
        </w:rPr>
        <w:t xml:space="preserve">En efecto, en el procedimiento sancionatorio contractual las entidades estatales deben actuar de acuerdo con el principio de proporcionalidad para </w:t>
      </w:r>
      <w:r>
        <w:rPr>
          <w:rFonts w:ascii="Verdana" w:hAnsi="Verdana" w:cs="Arial"/>
          <w:iCs/>
          <w:color w:val="000000" w:themeColor="text1"/>
          <w:lang w:val="es-ES_tradnl"/>
        </w:rPr>
        <w:t>“</w:t>
      </w:r>
      <w:r w:rsidRPr="002545B6">
        <w:rPr>
          <w:rFonts w:ascii="Verdana" w:hAnsi="Verdana" w:cs="Arial"/>
          <w:iCs/>
          <w:color w:val="000000" w:themeColor="text1"/>
          <w:lang w:val="es-ES_tradnl"/>
        </w:rPr>
        <w:t>graduar las sanciones</w:t>
      </w:r>
      <w:r>
        <w:rPr>
          <w:rFonts w:ascii="Verdana" w:hAnsi="Verdana" w:cs="Arial"/>
          <w:iCs/>
          <w:color w:val="000000" w:themeColor="text1"/>
          <w:lang w:val="es-ES_tradnl"/>
        </w:rPr>
        <w:t>”</w:t>
      </w:r>
      <w:r w:rsidRPr="002545B6">
        <w:rPr>
          <w:rFonts w:ascii="Verdana" w:hAnsi="Verdana" w:cs="Arial"/>
          <w:iCs/>
          <w:color w:val="000000" w:themeColor="text1"/>
          <w:lang w:val="es-ES_tradnl"/>
        </w:rPr>
        <w:t>. En tal sentido, primero se deben atender las circunstancias de cada caso en particular y revisar cuidadosamente la forma como se pactaron las penalidades asociadas al incumplimiento en el contrato. Sin perjuicio de lo anterior, también se deben tener en cuenta las normas de derecho privado a las que remite la Ley 80 de 1993 –art. 13</w:t>
      </w:r>
      <w:r>
        <w:rPr>
          <w:rFonts w:ascii="Verdana" w:hAnsi="Verdana" w:cs="Arial"/>
          <w:iCs/>
          <w:color w:val="000000" w:themeColor="text1"/>
          <w:lang w:val="es-ES_tradnl"/>
        </w:rPr>
        <w:t xml:space="preserve">, </w:t>
      </w:r>
      <w:r w:rsidRPr="002545B6">
        <w:rPr>
          <w:rFonts w:ascii="Verdana" w:hAnsi="Verdana" w:cs="Arial"/>
          <w:iCs/>
          <w:color w:val="000000" w:themeColor="text1"/>
          <w:lang w:val="es-ES_tradnl"/>
        </w:rPr>
        <w:t>32</w:t>
      </w:r>
      <w:r>
        <w:rPr>
          <w:rFonts w:ascii="Verdana" w:hAnsi="Verdana" w:cs="Arial"/>
          <w:iCs/>
          <w:color w:val="000000" w:themeColor="text1"/>
          <w:lang w:val="es-ES_tradnl"/>
        </w:rPr>
        <w:t xml:space="preserve"> y</w:t>
      </w:r>
      <w:r w:rsidRPr="002545B6">
        <w:rPr>
          <w:rFonts w:ascii="Verdana" w:hAnsi="Verdana" w:cs="Arial"/>
          <w:iCs/>
          <w:color w:val="000000" w:themeColor="text1"/>
          <w:lang w:val="es-ES_tradnl"/>
        </w:rPr>
        <w:t xml:space="preserve"> 40, particularmente</w:t>
      </w:r>
      <w:r w:rsidRPr="002545B6">
        <w:rPr>
          <w:rStyle w:val="Refdenotaalpie"/>
          <w:rFonts w:ascii="Verdana" w:hAnsi="Verdana" w:cs="Arial"/>
          <w:iCs/>
          <w:color w:val="000000" w:themeColor="text1"/>
          <w:lang w:val="es-ES_tradnl"/>
        </w:rPr>
        <w:footnoteReference w:id="12"/>
      </w:r>
      <w:r w:rsidRPr="002545B6">
        <w:rPr>
          <w:rFonts w:ascii="Verdana" w:hAnsi="Verdana" w:cs="Arial"/>
          <w:iCs/>
          <w:color w:val="000000" w:themeColor="text1"/>
          <w:lang w:val="es-ES_tradnl"/>
        </w:rPr>
        <w:t>– y que complementan dicho estatuto contractual; de manera que, en relación con el principio de proporcionalidad y la graduación de las sanciones, resulta especialmente relevante destacar los artículos 1596 del Código Civil</w:t>
      </w:r>
      <w:r w:rsidRPr="002545B6">
        <w:rPr>
          <w:rStyle w:val="Refdenotaalpie"/>
          <w:rFonts w:ascii="Verdana" w:hAnsi="Verdana" w:cs="Arial"/>
          <w:iCs/>
          <w:color w:val="000000" w:themeColor="text1"/>
          <w:lang w:val="es-ES_tradnl"/>
        </w:rPr>
        <w:footnoteReference w:id="13"/>
      </w:r>
      <w:r w:rsidRPr="002545B6">
        <w:rPr>
          <w:rFonts w:ascii="Verdana" w:hAnsi="Verdana" w:cs="Arial"/>
          <w:iCs/>
          <w:color w:val="000000" w:themeColor="text1"/>
          <w:lang w:val="es-ES_tradnl"/>
        </w:rPr>
        <w:t xml:space="preserve"> y 867 del Código de Comercio</w:t>
      </w:r>
      <w:r w:rsidRPr="002545B6">
        <w:rPr>
          <w:rStyle w:val="Refdenotaalpie"/>
          <w:rFonts w:ascii="Verdana" w:hAnsi="Verdana" w:cs="Arial"/>
          <w:iCs/>
          <w:color w:val="000000" w:themeColor="text1"/>
          <w:lang w:val="es-ES_tradnl"/>
        </w:rPr>
        <w:footnoteReference w:id="14"/>
      </w:r>
      <w:r w:rsidRPr="002545B6">
        <w:rPr>
          <w:rFonts w:ascii="Verdana" w:hAnsi="Verdana" w:cs="Arial"/>
          <w:iCs/>
          <w:color w:val="000000" w:themeColor="text1"/>
          <w:lang w:val="es-ES_tradnl"/>
        </w:rPr>
        <w:t xml:space="preserve">, los cuales contienen los parámetros para tasar el monto de las </w:t>
      </w:r>
      <w:r w:rsidRPr="002545B6">
        <w:rPr>
          <w:rFonts w:ascii="Verdana" w:hAnsi="Verdana" w:cs="Arial"/>
          <w:i/>
          <w:color w:val="000000" w:themeColor="text1"/>
          <w:lang w:val="es-ES_tradnl"/>
        </w:rPr>
        <w:t xml:space="preserve">penas </w:t>
      </w:r>
      <w:r w:rsidRPr="002545B6">
        <w:rPr>
          <w:rFonts w:ascii="Verdana" w:hAnsi="Verdana" w:cs="Arial"/>
          <w:iCs/>
          <w:color w:val="000000" w:themeColor="text1"/>
          <w:lang w:val="es-ES_tradnl"/>
        </w:rPr>
        <w:t xml:space="preserve">a imponer pactadas en el contrato; disposiciones que deben ser observadas por las entidades estatales en los procedimientos sancionatorios, so pena de que, en caso de demandarse su </w:t>
      </w:r>
      <w:r w:rsidRPr="002545B6">
        <w:rPr>
          <w:rFonts w:ascii="Verdana" w:hAnsi="Verdana" w:cs="Arial"/>
          <w:iCs/>
          <w:color w:val="000000" w:themeColor="text1"/>
          <w:lang w:val="es-ES_tradnl"/>
        </w:rPr>
        <w:lastRenderedPageBreak/>
        <w:t>nulidad, el juez declare la nulidad parcial de los actos administrativos que aplican dichas cláusulas contractuales. Así lo ha señalado la jurisdicción de lo contencioso administrativo:</w:t>
      </w:r>
    </w:p>
    <w:p w14:paraId="120AB187" w14:textId="77777777" w:rsidR="0051671F" w:rsidRPr="002545B6" w:rsidRDefault="0051671F" w:rsidP="0051671F">
      <w:pPr>
        <w:spacing w:after="0" w:line="276" w:lineRule="auto"/>
        <w:ind w:right="142" w:firstLine="709"/>
        <w:jc w:val="both"/>
        <w:rPr>
          <w:rFonts w:ascii="Verdana" w:hAnsi="Verdana" w:cs="Arial"/>
          <w:iCs/>
          <w:color w:val="000000" w:themeColor="text1"/>
          <w:lang w:val="es-ES_tradnl"/>
        </w:rPr>
      </w:pPr>
    </w:p>
    <w:p w14:paraId="3F49317B" w14:textId="77777777" w:rsidR="0051671F" w:rsidRPr="002545B6" w:rsidRDefault="0051671F" w:rsidP="0051671F">
      <w:pPr>
        <w:pStyle w:val="Prrafodelista"/>
        <w:ind w:left="709" w:right="758"/>
        <w:jc w:val="both"/>
        <w:rPr>
          <w:rFonts w:ascii="Verdana" w:hAnsi="Verdana" w:cs="Arial"/>
          <w:iCs/>
          <w:color w:val="000000" w:themeColor="text1"/>
          <w:sz w:val="20"/>
          <w:szCs w:val="20"/>
        </w:rPr>
      </w:pPr>
      <w:r w:rsidRPr="002545B6">
        <w:rPr>
          <w:rFonts w:ascii="Verdana" w:hAnsi="Verdana" w:cs="Arial"/>
          <w:iCs/>
          <w:color w:val="000000" w:themeColor="text1"/>
          <w:sz w:val="20"/>
          <w:szCs w:val="20"/>
        </w:rPr>
        <w:t>“Conforme a lo anterior, se debe tener presente que el decreto-ley 222 de 1983 -al igual que hoy acontece con la Ley 1.150 de 2007-, facultaron a las entidades públicas para que -previo pacto- impusieran y ejecutaran la cláusula penal pecuniaria frente a sus contratistas -al verificar un incumplimiento contractual-. Pero es necesario considerar, igualmente, que la normatividad -arts. 1596 del CC y 867 Co de Co.-, la doctrina y la jurisprudencia del Consejo de Estado, han dispuesto y analizado la posibilidad de graduar -disminuyendo y aumentando- dicha cláusula.</w:t>
      </w:r>
    </w:p>
    <w:p w14:paraId="75FC0051" w14:textId="77777777" w:rsidR="0051671F" w:rsidRPr="002545B6" w:rsidRDefault="0051671F" w:rsidP="0051671F">
      <w:pPr>
        <w:pStyle w:val="Prrafodelista"/>
        <w:ind w:left="709" w:right="758"/>
        <w:jc w:val="both"/>
        <w:rPr>
          <w:rFonts w:ascii="Verdana" w:hAnsi="Verdana" w:cs="Arial"/>
          <w:iCs/>
          <w:color w:val="000000" w:themeColor="text1"/>
          <w:sz w:val="12"/>
          <w:szCs w:val="12"/>
        </w:rPr>
      </w:pPr>
    </w:p>
    <w:p w14:paraId="5FA50BF3" w14:textId="77777777" w:rsidR="0051671F" w:rsidRPr="002545B6" w:rsidRDefault="0051671F" w:rsidP="0051671F">
      <w:pPr>
        <w:pStyle w:val="Prrafodelista"/>
        <w:ind w:left="709" w:right="758"/>
        <w:jc w:val="both"/>
        <w:rPr>
          <w:rFonts w:ascii="Verdana" w:hAnsi="Verdana" w:cs="Arial"/>
          <w:iCs/>
          <w:color w:val="000000" w:themeColor="text1"/>
          <w:sz w:val="20"/>
          <w:szCs w:val="20"/>
        </w:rPr>
      </w:pPr>
      <w:r w:rsidRPr="002545B6">
        <w:rPr>
          <w:rFonts w:ascii="Verdana" w:hAnsi="Verdana" w:cs="Arial"/>
          <w:iCs/>
          <w:color w:val="000000" w:themeColor="text1"/>
          <w:sz w:val="20"/>
          <w:szCs w:val="20"/>
        </w:rPr>
        <w:t>De allí que, si el contratista afectado con la imposición de la cláusula penal considera que el monto establecido por tal concepto es excesivo, injusto o desproporcionado, puede acudir al juez para que revise la decisión administrativa”</w:t>
      </w:r>
      <w:r w:rsidRPr="002545B6">
        <w:rPr>
          <w:rStyle w:val="Refdenotaalpie"/>
          <w:rFonts w:ascii="Verdana" w:hAnsi="Verdana" w:cs="Arial"/>
          <w:iCs/>
          <w:color w:val="000000" w:themeColor="text1"/>
          <w:sz w:val="20"/>
          <w:szCs w:val="20"/>
        </w:rPr>
        <w:footnoteReference w:id="15"/>
      </w:r>
      <w:r w:rsidRPr="002545B6">
        <w:rPr>
          <w:rFonts w:ascii="Verdana" w:hAnsi="Verdana" w:cs="Arial"/>
          <w:iCs/>
          <w:color w:val="000000" w:themeColor="text1"/>
          <w:sz w:val="20"/>
          <w:szCs w:val="20"/>
        </w:rPr>
        <w:t>.</w:t>
      </w:r>
    </w:p>
    <w:p w14:paraId="59C8521A" w14:textId="15C18069" w:rsidR="0051671F" w:rsidRPr="002545B6" w:rsidRDefault="00DC4FA0" w:rsidP="00AE63C3">
      <w:pPr>
        <w:spacing w:after="120" w:line="276" w:lineRule="auto"/>
        <w:ind w:right="142" w:firstLine="709"/>
        <w:jc w:val="both"/>
        <w:rPr>
          <w:rFonts w:ascii="Verdana" w:hAnsi="Verdana" w:cs="Arial"/>
          <w:iCs/>
          <w:color w:val="000000" w:themeColor="text1"/>
          <w:lang w:val="es-ES_tradnl"/>
        </w:rPr>
      </w:pPr>
      <w:r w:rsidRPr="00DC4FA0">
        <w:rPr>
          <w:rFonts w:ascii="Verdana" w:hAnsi="Verdana" w:cs="Arial"/>
          <w:iCs/>
          <w:color w:val="000000" w:themeColor="text1"/>
        </w:rPr>
        <w:t>Estos límites tienen, además, una dimensión cuantitativa expresa. El artículo 867 del Código de Comercio dispone que, cuando la prestación principal esté determinada o sea determinable en una suma cierta de dinero, la pena no podrá ser superior al monto de aquella, y prevé la reducción equitativa cuando la prestación principal no sea determinable en dinero y la pena resulte manifiestamente excesiva. Por su parte, el artículo 1601 del Código Civil contempla la reducción de la pena en los eventos allí previstos. De estas disposiciones se desprende que la proporcionalidad en materia de cláusula penal no es únicamente un principio de ponderación, sino que se traduce en topes normativos concretos que las partes deben respetar al pactar la cláusula y la entidad al aplicarla.</w:t>
      </w:r>
    </w:p>
    <w:p w14:paraId="75028DB4" w14:textId="77777777" w:rsidR="0051671F" w:rsidRDefault="0051671F" w:rsidP="0051671F">
      <w:pPr>
        <w:spacing w:after="120" w:line="276" w:lineRule="auto"/>
        <w:ind w:firstLine="709"/>
        <w:contextualSpacing/>
        <w:jc w:val="both"/>
        <w:rPr>
          <w:rFonts w:ascii="Verdana" w:hAnsi="Verdana" w:cs="Arial"/>
          <w:iCs/>
        </w:rPr>
      </w:pPr>
      <w:r w:rsidRPr="00CC2A45">
        <w:rPr>
          <w:rFonts w:ascii="Verdana" w:hAnsi="Verdana" w:cs="Arial"/>
          <w:iCs/>
          <w:lang w:val="es-ES_tradnl"/>
        </w:rPr>
        <w:t>El principio de proporcionalidad es un principio general del derecho, y se ha resaltado su importancia en el ejercicio de cada una de las actuaciones administrativas</w:t>
      </w:r>
      <w:r>
        <w:rPr>
          <w:rFonts w:ascii="Verdana" w:hAnsi="Verdana" w:cs="Arial"/>
          <w:iCs/>
          <w:lang w:val="es-ES_tradnl"/>
        </w:rPr>
        <w:t xml:space="preserve">. El mismo cumple dos (2) </w:t>
      </w:r>
      <w:r w:rsidRPr="00CC2A45">
        <w:rPr>
          <w:rFonts w:ascii="Verdana" w:hAnsi="Verdana" w:cs="Arial"/>
          <w:iCs/>
          <w:lang w:val="es-ES_tradnl"/>
        </w:rPr>
        <w:t xml:space="preserve">funciones: </w:t>
      </w:r>
      <w:r>
        <w:rPr>
          <w:rFonts w:ascii="Verdana" w:hAnsi="Verdana" w:cs="Arial"/>
          <w:sz w:val="21"/>
          <w:szCs w:val="21"/>
        </w:rPr>
        <w:t>“</w:t>
      </w:r>
      <w:r w:rsidRPr="00CC2A45">
        <w:rPr>
          <w:rFonts w:ascii="Verdana" w:hAnsi="Verdana" w:cs="Arial"/>
          <w:iCs/>
        </w:rPr>
        <w:t xml:space="preserve">i) en primer lugar, sirve de criterio de acción, esto es, como sustento de las actuaciones de los distintos órganos del Estado, el cual se realiza con su observancia y aplicación a cada caso concreto. </w:t>
      </w:r>
      <w:proofErr w:type="spellStart"/>
      <w:r w:rsidRPr="00CC2A45">
        <w:rPr>
          <w:rFonts w:ascii="Verdana" w:hAnsi="Verdana" w:cs="Arial"/>
          <w:iCs/>
        </w:rPr>
        <w:t>ii</w:t>
      </w:r>
      <w:proofErr w:type="spellEnd"/>
      <w:r w:rsidRPr="00CC2A45">
        <w:rPr>
          <w:rFonts w:ascii="Verdana" w:hAnsi="Verdana" w:cs="Arial"/>
          <w:iCs/>
        </w:rPr>
        <w:t xml:space="preserve">) En segundo lugar, es un criterio de control, pues debe </w:t>
      </w:r>
      <w:r w:rsidRPr="00CC2A45">
        <w:rPr>
          <w:rFonts w:ascii="Verdana" w:hAnsi="Verdana" w:cs="Arial"/>
          <w:iCs/>
        </w:rPr>
        <w:lastRenderedPageBreak/>
        <w:t>adoptarlo el juez para efectos de evaluar la proporcionalidad de la respectiva actuación administrativa</w:t>
      </w:r>
      <w:r>
        <w:rPr>
          <w:rFonts w:ascii="Verdana" w:hAnsi="Verdana" w:cs="Arial"/>
          <w:iCs/>
        </w:rPr>
        <w:t>”</w:t>
      </w:r>
      <w:r w:rsidRPr="00CC2A45">
        <w:rPr>
          <w:rStyle w:val="Refdenotaalpie"/>
          <w:rFonts w:ascii="Verdana" w:hAnsi="Verdana" w:cs="Arial"/>
          <w:sz w:val="21"/>
          <w:szCs w:val="21"/>
        </w:rPr>
        <w:footnoteReference w:id="16"/>
      </w:r>
      <w:r w:rsidRPr="00CC2A45">
        <w:rPr>
          <w:rFonts w:ascii="Verdana" w:hAnsi="Verdana" w:cs="Arial"/>
          <w:iCs/>
        </w:rPr>
        <w:t>.</w:t>
      </w:r>
    </w:p>
    <w:p w14:paraId="7E031F8F" w14:textId="77777777" w:rsidR="0051671F" w:rsidRPr="00CC2A45" w:rsidRDefault="0051671F" w:rsidP="0051671F">
      <w:pPr>
        <w:spacing w:after="120" w:line="276" w:lineRule="auto"/>
        <w:ind w:firstLine="709"/>
        <w:contextualSpacing/>
        <w:jc w:val="both"/>
        <w:rPr>
          <w:rFonts w:ascii="Verdana" w:hAnsi="Verdana" w:cs="Arial"/>
          <w:iCs/>
          <w:sz w:val="12"/>
          <w:szCs w:val="12"/>
        </w:rPr>
      </w:pPr>
    </w:p>
    <w:p w14:paraId="58DEA3D0" w14:textId="66B033CE" w:rsidR="0051671F" w:rsidRPr="00CC2A45" w:rsidRDefault="0051671F" w:rsidP="0051671F">
      <w:pPr>
        <w:spacing w:after="0" w:line="276" w:lineRule="auto"/>
        <w:ind w:firstLine="708"/>
        <w:contextualSpacing/>
        <w:jc w:val="both"/>
        <w:rPr>
          <w:rFonts w:ascii="Verdana" w:hAnsi="Verdana" w:cs="Arial"/>
          <w:lang w:val="es-ES"/>
        </w:rPr>
      </w:pPr>
      <w:r w:rsidRPr="7AFD9743">
        <w:rPr>
          <w:rFonts w:ascii="Verdana" w:hAnsi="Verdana" w:cs="Arial"/>
          <w:lang w:val="es-ES"/>
        </w:rPr>
        <w:t xml:space="preserve">La contratación estatal no escapa a la aplicación del principio de proporcionalidad, durante las etapas de estructuración o planeación. A lo largo de la ejecución del contrato, la administración también debe hacer uso razonable y proporcional de todos los instrumentos jurídicos de los cuales puede disponer para el cumplimiento de los fines del </w:t>
      </w:r>
      <w:r w:rsidR="0096769F" w:rsidRPr="7AFD9743">
        <w:rPr>
          <w:rFonts w:ascii="Verdana" w:hAnsi="Verdana" w:cs="Arial"/>
          <w:lang w:val="es-ES"/>
        </w:rPr>
        <w:t>Estado</w:t>
      </w:r>
      <w:r w:rsidRPr="7AFD9743">
        <w:rPr>
          <w:rFonts w:ascii="Verdana" w:hAnsi="Verdana" w:cs="Arial"/>
          <w:lang w:val="es-ES"/>
        </w:rPr>
        <w:t xml:space="preserve">. Es por ello </w:t>
      </w:r>
      <w:proofErr w:type="gramStart"/>
      <w:r w:rsidRPr="7AFD9743">
        <w:rPr>
          <w:rFonts w:ascii="Verdana" w:hAnsi="Verdana" w:cs="Arial"/>
          <w:lang w:val="es-ES"/>
        </w:rPr>
        <w:t>que</w:t>
      </w:r>
      <w:proofErr w:type="gramEnd"/>
      <w:r w:rsidRPr="7AFD9743">
        <w:rPr>
          <w:rFonts w:ascii="Verdana" w:hAnsi="Verdana" w:cs="Arial"/>
          <w:lang w:val="es-ES"/>
        </w:rPr>
        <w:t xml:space="preserve"> frente a la cláusula penal se sostiene que:  </w:t>
      </w:r>
    </w:p>
    <w:p w14:paraId="703F4DEF" w14:textId="77777777" w:rsidR="0051671F" w:rsidRPr="00CC2A45" w:rsidRDefault="0051671F" w:rsidP="0051671F">
      <w:pPr>
        <w:spacing w:after="0" w:line="276" w:lineRule="auto"/>
        <w:contextualSpacing/>
        <w:jc w:val="both"/>
        <w:rPr>
          <w:rFonts w:ascii="Verdana" w:hAnsi="Verdana" w:cs="Arial"/>
          <w:iCs/>
          <w:sz w:val="21"/>
          <w:szCs w:val="21"/>
        </w:rPr>
      </w:pPr>
    </w:p>
    <w:p w14:paraId="479DAED4" w14:textId="77777777" w:rsidR="0051671F" w:rsidRPr="00CC2A45" w:rsidRDefault="0051671F" w:rsidP="0051671F">
      <w:pPr>
        <w:spacing w:after="0" w:line="240" w:lineRule="auto"/>
        <w:ind w:left="709" w:right="709"/>
        <w:contextualSpacing/>
        <w:jc w:val="both"/>
        <w:rPr>
          <w:rFonts w:ascii="Verdana" w:hAnsi="Verdana" w:cs="Arial"/>
          <w:iCs/>
          <w:sz w:val="20"/>
          <w:szCs w:val="20"/>
        </w:rPr>
      </w:pPr>
      <w:r>
        <w:rPr>
          <w:rFonts w:ascii="Verdana" w:hAnsi="Verdana" w:cs="Arial"/>
          <w:iCs/>
          <w:sz w:val="20"/>
          <w:szCs w:val="20"/>
        </w:rPr>
        <w:t>“</w:t>
      </w:r>
      <w:r w:rsidRPr="00CC2A45">
        <w:rPr>
          <w:rFonts w:ascii="Verdana" w:hAnsi="Verdana" w:cs="Arial"/>
          <w:iCs/>
          <w:sz w:val="20"/>
          <w:szCs w:val="20"/>
        </w:rPr>
        <w:t xml:space="preserve">Es dentro de este marco jurídico de principios, valores y reglas constitucionales y legales que encuentra sentido afirmar que la facultad, en el ámbito de libertad negocial de las partes, que establece el legislador para pactar la cláusula penal o la tasación de perjuicios en aquellos casos de incumplimiento no puede ser comprendida como escenario habilitante de discrecionalidad cuando se trata de su aplicación en concreto. </w:t>
      </w:r>
    </w:p>
    <w:p w14:paraId="0748CF2A" w14:textId="77777777" w:rsidR="0051671F" w:rsidRPr="00CC2A45" w:rsidRDefault="0051671F" w:rsidP="0051671F">
      <w:pPr>
        <w:spacing w:after="0" w:line="240" w:lineRule="auto"/>
        <w:ind w:left="709" w:right="709"/>
        <w:contextualSpacing/>
        <w:jc w:val="both"/>
        <w:rPr>
          <w:rFonts w:ascii="Verdana" w:hAnsi="Verdana" w:cs="Arial"/>
          <w:iCs/>
          <w:sz w:val="12"/>
          <w:szCs w:val="12"/>
        </w:rPr>
      </w:pPr>
    </w:p>
    <w:p w14:paraId="0F403110" w14:textId="77777777" w:rsidR="0051671F" w:rsidRPr="00CC2A45" w:rsidRDefault="0051671F" w:rsidP="0051671F">
      <w:pPr>
        <w:spacing w:after="0" w:line="240" w:lineRule="auto"/>
        <w:ind w:left="709" w:right="709"/>
        <w:contextualSpacing/>
        <w:jc w:val="both"/>
        <w:rPr>
          <w:rFonts w:ascii="Verdana" w:hAnsi="Verdana" w:cs="Arial"/>
          <w:iCs/>
          <w:sz w:val="20"/>
          <w:szCs w:val="20"/>
        </w:rPr>
      </w:pPr>
      <w:r w:rsidRPr="00CC2A45">
        <w:rPr>
          <w:rFonts w:ascii="Verdana" w:hAnsi="Verdana" w:cs="Arial"/>
          <w:iCs/>
          <w:sz w:val="20"/>
          <w:szCs w:val="20"/>
        </w:rPr>
        <w:t xml:space="preserve">Dicho con otras palabras, el principio de proporcionalidad compele a la Administración a justificar de manera razonada las decisiones que adopta, no solo desde una perspectiva lógico formal sino, también, considerando su razonabilidad en cada caso en concreto, lo que se traduce en la exposición de elementos de juicio objetivos y razonados (elementos probatorios, jurídicos, técnicos, </w:t>
      </w:r>
      <w:proofErr w:type="spellStart"/>
      <w:r w:rsidRPr="00CC2A45">
        <w:rPr>
          <w:rFonts w:ascii="Verdana" w:hAnsi="Verdana" w:cs="Arial"/>
          <w:iCs/>
          <w:sz w:val="20"/>
          <w:szCs w:val="20"/>
        </w:rPr>
        <w:t>etc</w:t>
      </w:r>
      <w:proofErr w:type="spellEnd"/>
      <w:r w:rsidRPr="00CC2A45">
        <w:rPr>
          <w:rFonts w:ascii="Verdana" w:hAnsi="Verdana" w:cs="Arial"/>
          <w:iCs/>
          <w:sz w:val="20"/>
          <w:szCs w:val="20"/>
        </w:rPr>
        <w:t>), incluso en aquellos escenarios de discrecionalidad.</w:t>
      </w:r>
    </w:p>
    <w:p w14:paraId="2CA6EC22" w14:textId="77777777" w:rsidR="0051671F" w:rsidRPr="00CC2A45" w:rsidRDefault="0051671F" w:rsidP="0051671F">
      <w:pPr>
        <w:spacing w:after="0" w:line="240" w:lineRule="auto"/>
        <w:ind w:left="709" w:right="709"/>
        <w:contextualSpacing/>
        <w:jc w:val="both"/>
        <w:rPr>
          <w:rFonts w:ascii="Verdana" w:hAnsi="Verdana" w:cs="Arial"/>
          <w:iCs/>
          <w:sz w:val="12"/>
          <w:szCs w:val="12"/>
        </w:rPr>
      </w:pPr>
    </w:p>
    <w:p w14:paraId="1ABDAC78" w14:textId="77777777" w:rsidR="0051671F" w:rsidRPr="00CC2A45" w:rsidRDefault="0051671F" w:rsidP="0051671F">
      <w:pPr>
        <w:spacing w:after="0" w:line="240" w:lineRule="auto"/>
        <w:ind w:left="709" w:right="709"/>
        <w:contextualSpacing/>
        <w:jc w:val="both"/>
        <w:rPr>
          <w:rFonts w:ascii="Verdana" w:hAnsi="Verdana" w:cs="Arial"/>
          <w:iCs/>
          <w:sz w:val="21"/>
          <w:szCs w:val="21"/>
        </w:rPr>
      </w:pPr>
      <w:r w:rsidRPr="00CC2A45">
        <w:rPr>
          <w:rFonts w:ascii="Verdana" w:hAnsi="Verdana" w:cs="Arial"/>
          <w:iCs/>
          <w:sz w:val="20"/>
          <w:szCs w:val="20"/>
        </w:rPr>
        <w:t>Todo lo anterior se traduce, entonces, en la razonable, proporcional y razonada aplicación de la cláusula penal y la tasación de perjuicios por parte de la entidad pública, que lleva a plantear, necesariamente, el deber jurídico de motivación de la Administración conforme al cual le corresponde justificar, a partir de referentes objetivos y claros los criterios que le sirven de apoyo para tasar la proporción de aplicación de la cláusula penal conforme a la intensidad y valoración del cumplimiento (o incumplimiento) por parte del contratista</w:t>
      </w:r>
      <w:r>
        <w:rPr>
          <w:rFonts w:ascii="Verdana" w:hAnsi="Verdana" w:cs="Arial"/>
          <w:iCs/>
          <w:sz w:val="20"/>
          <w:szCs w:val="20"/>
        </w:rPr>
        <w:t>”</w:t>
      </w:r>
      <w:r w:rsidRPr="00CC2A45">
        <w:rPr>
          <w:rStyle w:val="Refdenotaalpie"/>
          <w:rFonts w:ascii="Verdana" w:hAnsi="Verdana" w:cs="Arial"/>
          <w:iCs/>
          <w:sz w:val="21"/>
          <w:szCs w:val="21"/>
        </w:rPr>
        <w:footnoteReference w:id="17"/>
      </w:r>
      <w:r>
        <w:rPr>
          <w:rFonts w:ascii="Verdana" w:hAnsi="Verdana" w:cs="Arial"/>
          <w:iCs/>
          <w:sz w:val="20"/>
          <w:szCs w:val="20"/>
        </w:rPr>
        <w:t>.</w:t>
      </w:r>
    </w:p>
    <w:p w14:paraId="798E4272" w14:textId="77777777" w:rsidR="0051671F" w:rsidRPr="00CC2A45" w:rsidRDefault="0051671F" w:rsidP="0051671F">
      <w:pPr>
        <w:spacing w:after="0" w:line="276" w:lineRule="auto"/>
        <w:contextualSpacing/>
        <w:jc w:val="both"/>
        <w:rPr>
          <w:rFonts w:ascii="Verdana" w:hAnsi="Verdana" w:cs="Arial"/>
          <w:iCs/>
        </w:rPr>
      </w:pPr>
    </w:p>
    <w:p w14:paraId="6197FADC" w14:textId="3701F0C8" w:rsidR="0051671F" w:rsidRPr="00CC2A45" w:rsidRDefault="0051671F" w:rsidP="0051671F">
      <w:pPr>
        <w:spacing w:after="0" w:line="276" w:lineRule="auto"/>
        <w:contextualSpacing/>
        <w:jc w:val="both"/>
        <w:rPr>
          <w:rFonts w:ascii="Verdana" w:hAnsi="Verdana" w:cs="Arial"/>
        </w:rPr>
      </w:pPr>
      <w:r w:rsidRPr="00CC2A45">
        <w:rPr>
          <w:rFonts w:ascii="Verdana" w:hAnsi="Verdana" w:cs="Arial"/>
          <w:bCs/>
          <w:color w:val="000000" w:themeColor="text1"/>
          <w:lang w:val="es-ES_tradnl"/>
        </w:rPr>
        <w:tab/>
        <w:t xml:space="preserve">Como la cláusula penal es una tasación anticipada de perjuicios, </w:t>
      </w:r>
      <w:r>
        <w:rPr>
          <w:rFonts w:ascii="Verdana" w:hAnsi="Verdana" w:cs="Arial"/>
          <w:bCs/>
          <w:color w:val="000000" w:themeColor="text1"/>
          <w:lang w:val="es-ES_tradnl"/>
        </w:rPr>
        <w:t>puede que</w:t>
      </w:r>
      <w:r w:rsidRPr="00CC2A45">
        <w:rPr>
          <w:rFonts w:ascii="Verdana" w:hAnsi="Verdana" w:cs="Arial"/>
          <w:bCs/>
          <w:color w:val="000000" w:themeColor="text1"/>
          <w:lang w:val="es-ES_tradnl"/>
        </w:rPr>
        <w:t xml:space="preserve"> el monto estipulado </w:t>
      </w:r>
      <w:r>
        <w:rPr>
          <w:rFonts w:ascii="Verdana" w:hAnsi="Verdana" w:cs="Arial"/>
          <w:bCs/>
          <w:color w:val="000000" w:themeColor="text1"/>
          <w:lang w:val="es-ES_tradnl"/>
        </w:rPr>
        <w:t>sea</w:t>
      </w:r>
      <w:r w:rsidRPr="00CC2A45">
        <w:rPr>
          <w:rFonts w:ascii="Verdana" w:hAnsi="Verdana" w:cs="Arial"/>
          <w:bCs/>
          <w:color w:val="000000" w:themeColor="text1"/>
          <w:lang w:val="es-ES_tradnl"/>
        </w:rPr>
        <w:t xml:space="preserve"> excesivo, considerando que puede presentarse una ejecución parcial del contrato</w:t>
      </w:r>
      <w:r>
        <w:rPr>
          <w:rFonts w:ascii="Verdana" w:hAnsi="Verdana" w:cs="Arial"/>
          <w:bCs/>
          <w:color w:val="000000" w:themeColor="text1"/>
          <w:lang w:val="es-ES_tradnl"/>
        </w:rPr>
        <w:t>. En este caso,</w:t>
      </w:r>
      <w:r w:rsidRPr="00CC2A45">
        <w:rPr>
          <w:rFonts w:ascii="Verdana" w:hAnsi="Verdana" w:cs="Arial"/>
          <w:bCs/>
          <w:color w:val="000000" w:themeColor="text1"/>
          <w:lang w:val="es-ES_tradnl"/>
        </w:rPr>
        <w:t xml:space="preserve"> e</w:t>
      </w:r>
      <w:r>
        <w:rPr>
          <w:rFonts w:ascii="Verdana" w:hAnsi="Verdana" w:cs="Arial"/>
          <w:bCs/>
          <w:color w:val="000000" w:themeColor="text1"/>
          <w:lang w:val="es-ES_tradnl"/>
        </w:rPr>
        <w:t xml:space="preserve">n congruencia con el precitado </w:t>
      </w:r>
      <w:r w:rsidRPr="00CC2A45">
        <w:rPr>
          <w:rFonts w:ascii="Verdana" w:hAnsi="Verdana" w:cs="Arial"/>
          <w:bCs/>
          <w:color w:val="000000" w:themeColor="text1"/>
          <w:lang w:val="es-ES_tradnl"/>
        </w:rPr>
        <w:t>artículo 15</w:t>
      </w:r>
      <w:r>
        <w:rPr>
          <w:rFonts w:ascii="Verdana" w:hAnsi="Verdana" w:cs="Arial"/>
          <w:bCs/>
          <w:color w:val="000000" w:themeColor="text1"/>
          <w:lang w:val="es-ES_tradnl"/>
        </w:rPr>
        <w:t>96</w:t>
      </w:r>
      <w:r w:rsidRPr="00CC2A45">
        <w:rPr>
          <w:rFonts w:ascii="Verdana" w:hAnsi="Verdana" w:cs="Arial"/>
          <w:bCs/>
          <w:color w:val="000000" w:themeColor="text1"/>
          <w:lang w:val="es-ES_tradnl"/>
        </w:rPr>
        <w:t xml:space="preserve"> del Código Civil</w:t>
      </w:r>
      <w:r>
        <w:rPr>
          <w:rFonts w:ascii="Verdana" w:hAnsi="Verdana" w:cs="Arial"/>
          <w:bCs/>
          <w:color w:val="000000" w:themeColor="text1"/>
          <w:lang w:val="es-ES_tradnl"/>
        </w:rPr>
        <w:t xml:space="preserve">, </w:t>
      </w:r>
      <w:r>
        <w:rPr>
          <w:rFonts w:ascii="Verdana" w:hAnsi="Verdana" w:cs="Arial"/>
          <w:sz w:val="21"/>
          <w:szCs w:val="21"/>
        </w:rPr>
        <w:t>“</w:t>
      </w:r>
      <w:r w:rsidRPr="00CC2A45">
        <w:rPr>
          <w:rFonts w:ascii="Verdana" w:hAnsi="Verdana" w:cs="Arial"/>
        </w:rPr>
        <w:t xml:space="preserve">Si el deudor cumple solamente una parte de la obligación principal y el acreedor acepta esta parte, tendrá derecho para que se </w:t>
      </w:r>
      <w:r w:rsidRPr="00CC2A45">
        <w:rPr>
          <w:rFonts w:ascii="Verdana" w:hAnsi="Verdana" w:cs="Arial"/>
        </w:rPr>
        <w:lastRenderedPageBreak/>
        <w:t>rebaje proporcionalmente la pena estipulada por falta de cumplimiento de la obligación principal</w:t>
      </w:r>
      <w:r>
        <w:rPr>
          <w:rFonts w:ascii="Verdana" w:hAnsi="Verdana" w:cs="Arial"/>
          <w:sz w:val="21"/>
          <w:szCs w:val="21"/>
        </w:rPr>
        <w:t>”.</w:t>
      </w:r>
      <w:r w:rsidRPr="00CC2A45">
        <w:rPr>
          <w:rFonts w:ascii="Verdana" w:hAnsi="Verdana" w:cs="Arial"/>
          <w:sz w:val="21"/>
          <w:szCs w:val="21"/>
        </w:rPr>
        <w:t xml:space="preserve"> </w:t>
      </w:r>
      <w:r>
        <w:rPr>
          <w:rFonts w:ascii="Verdana" w:hAnsi="Verdana" w:cs="Arial"/>
        </w:rPr>
        <w:t>Así</w:t>
      </w:r>
      <w:r w:rsidRPr="00CC2A45">
        <w:rPr>
          <w:rFonts w:ascii="Verdana" w:hAnsi="Verdana" w:cs="Arial"/>
        </w:rPr>
        <w:t>, la entidad que pretend</w:t>
      </w:r>
      <w:r>
        <w:rPr>
          <w:rFonts w:ascii="Verdana" w:hAnsi="Verdana" w:cs="Arial"/>
        </w:rPr>
        <w:t>a</w:t>
      </w:r>
      <w:r w:rsidRPr="00CC2A45">
        <w:rPr>
          <w:rFonts w:ascii="Verdana" w:hAnsi="Verdana" w:cs="Arial"/>
        </w:rPr>
        <w:t xml:space="preserve"> </w:t>
      </w:r>
      <w:r>
        <w:rPr>
          <w:rFonts w:ascii="Verdana" w:hAnsi="Verdana" w:cs="Arial"/>
        </w:rPr>
        <w:t>aplicar</w:t>
      </w:r>
      <w:r w:rsidRPr="00CC2A45">
        <w:rPr>
          <w:rFonts w:ascii="Verdana" w:hAnsi="Verdana" w:cs="Arial"/>
        </w:rPr>
        <w:t xml:space="preserve"> la cláusula penal deberá determinar los perjuicios en atención a razones objetivas, razonables y proporcionales de acuerdo </w:t>
      </w:r>
      <w:r w:rsidR="0096769F">
        <w:rPr>
          <w:rFonts w:ascii="Verdana" w:hAnsi="Verdana" w:cs="Arial"/>
        </w:rPr>
        <w:t>con</w:t>
      </w:r>
      <w:r w:rsidRPr="00CC2A45">
        <w:rPr>
          <w:rFonts w:ascii="Verdana" w:hAnsi="Verdana" w:cs="Arial"/>
        </w:rPr>
        <w:t xml:space="preserve"> </w:t>
      </w:r>
      <w:r>
        <w:rPr>
          <w:rFonts w:ascii="Verdana" w:hAnsi="Verdana" w:cs="Arial"/>
        </w:rPr>
        <w:t>lo sucedido</w:t>
      </w:r>
      <w:r w:rsidRPr="00CC2A45">
        <w:rPr>
          <w:rStyle w:val="Refdenotaalpie"/>
          <w:rFonts w:ascii="Verdana" w:hAnsi="Verdana" w:cs="Arial"/>
          <w:sz w:val="21"/>
          <w:szCs w:val="21"/>
        </w:rPr>
        <w:footnoteReference w:id="18"/>
      </w:r>
      <w:r w:rsidRPr="00CC2A45">
        <w:rPr>
          <w:rFonts w:ascii="Verdana" w:hAnsi="Verdana" w:cs="Arial"/>
        </w:rPr>
        <w:t xml:space="preserve">. </w:t>
      </w:r>
    </w:p>
    <w:p w14:paraId="1E7FB5E5" w14:textId="77777777" w:rsidR="0051671F" w:rsidRPr="00430BFF" w:rsidRDefault="0051671F" w:rsidP="0051671F">
      <w:pPr>
        <w:spacing w:after="0" w:line="276" w:lineRule="auto"/>
        <w:contextualSpacing/>
        <w:jc w:val="both"/>
        <w:rPr>
          <w:rFonts w:ascii="Verdana" w:hAnsi="Verdana" w:cs="Arial"/>
          <w:sz w:val="12"/>
          <w:szCs w:val="12"/>
        </w:rPr>
      </w:pPr>
    </w:p>
    <w:p w14:paraId="2471E238" w14:textId="77777777" w:rsidR="0051671F" w:rsidRPr="00CC2A45" w:rsidRDefault="0051671F" w:rsidP="0051671F">
      <w:pPr>
        <w:spacing w:after="0" w:line="276" w:lineRule="auto"/>
        <w:ind w:firstLine="708"/>
        <w:contextualSpacing/>
        <w:jc w:val="both"/>
        <w:rPr>
          <w:rFonts w:ascii="Verdana" w:hAnsi="Verdana" w:cs="Arial"/>
        </w:rPr>
      </w:pPr>
      <w:r w:rsidRPr="00CC2A45">
        <w:rPr>
          <w:rFonts w:ascii="Verdana" w:hAnsi="Verdana" w:cs="Arial"/>
        </w:rPr>
        <w:t xml:space="preserve">La jurisprudencia de la </w:t>
      </w:r>
      <w:r>
        <w:rPr>
          <w:rFonts w:ascii="Verdana" w:hAnsi="Verdana" w:cs="Arial"/>
        </w:rPr>
        <w:t>S</w:t>
      </w:r>
      <w:r w:rsidRPr="00CC2A45">
        <w:rPr>
          <w:rFonts w:ascii="Verdana" w:hAnsi="Verdana" w:cs="Arial"/>
        </w:rPr>
        <w:t xml:space="preserve">ección </w:t>
      </w:r>
      <w:r>
        <w:rPr>
          <w:rFonts w:ascii="Verdana" w:hAnsi="Verdana" w:cs="Arial"/>
        </w:rPr>
        <w:t>T</w:t>
      </w:r>
      <w:r w:rsidRPr="00CC2A45">
        <w:rPr>
          <w:rFonts w:ascii="Verdana" w:hAnsi="Verdana" w:cs="Arial"/>
        </w:rPr>
        <w:t>ercera del Consejo de Estado ha precisado que,  si bien la cláusula penal es un cálculo anticipado de perjuicios, si se incumple el contrato se debe pagar su valor, independiente del monto del perjuicio</w:t>
      </w:r>
      <w:r>
        <w:rPr>
          <w:rFonts w:ascii="Verdana" w:hAnsi="Verdana" w:cs="Arial"/>
        </w:rPr>
        <w:t>. Lo anterior tiene</w:t>
      </w:r>
      <w:r w:rsidRPr="00CC2A45">
        <w:rPr>
          <w:rFonts w:ascii="Verdana" w:hAnsi="Verdana" w:cs="Arial"/>
        </w:rPr>
        <w:t xml:space="preserve"> dos</w:t>
      </w:r>
      <w:r>
        <w:rPr>
          <w:rFonts w:ascii="Verdana" w:hAnsi="Verdana" w:cs="Arial"/>
        </w:rPr>
        <w:t xml:space="preserve"> (2)</w:t>
      </w:r>
      <w:r w:rsidRPr="00CC2A45">
        <w:rPr>
          <w:rFonts w:ascii="Verdana" w:hAnsi="Verdana" w:cs="Arial"/>
        </w:rPr>
        <w:t xml:space="preserve"> excepciones: i) la establecida en el artículo 1600 del Código Civil, según la cual no se puede pedir, a la vez, la pena y la indemnización de perjuicios</w:t>
      </w:r>
      <w:r w:rsidRPr="00430BFF">
        <w:rPr>
          <w:rFonts w:ascii="Verdana" w:hAnsi="Verdana" w:cs="Arial"/>
          <w:bCs/>
        </w:rPr>
        <w:t>, salvo que así se haya pactado expresamente</w:t>
      </w:r>
      <w:r w:rsidRPr="00CC2A45">
        <w:rPr>
          <w:rFonts w:ascii="Verdana" w:hAnsi="Verdana" w:cs="Arial"/>
        </w:rPr>
        <w:t xml:space="preserve">, en cuyo caso se puede perseguir lo uno y lo otro, y </w:t>
      </w:r>
      <w:proofErr w:type="spellStart"/>
      <w:r w:rsidRPr="00CC2A45">
        <w:rPr>
          <w:rFonts w:ascii="Verdana" w:hAnsi="Verdana" w:cs="Arial"/>
        </w:rPr>
        <w:t>ii</w:t>
      </w:r>
      <w:proofErr w:type="spellEnd"/>
      <w:r w:rsidRPr="00CC2A45">
        <w:rPr>
          <w:rFonts w:ascii="Verdana" w:hAnsi="Verdana" w:cs="Arial"/>
        </w:rPr>
        <w:t>) la establecida en el artículo 15</w:t>
      </w:r>
      <w:r>
        <w:rPr>
          <w:rFonts w:ascii="Verdana" w:hAnsi="Verdana" w:cs="Arial"/>
        </w:rPr>
        <w:t>96</w:t>
      </w:r>
      <w:r w:rsidRPr="00CC2A45">
        <w:rPr>
          <w:rFonts w:ascii="Verdana" w:hAnsi="Verdana" w:cs="Arial"/>
        </w:rPr>
        <w:t xml:space="preserve"> del Código Civil, mencionada anteriormente</w:t>
      </w:r>
      <w:r w:rsidRPr="00CC2A45">
        <w:rPr>
          <w:rStyle w:val="Refdenotaalpie"/>
          <w:rFonts w:ascii="Verdana" w:hAnsi="Verdana" w:cs="Arial"/>
        </w:rPr>
        <w:footnoteReference w:id="19"/>
      </w:r>
      <w:r w:rsidRPr="00CC2A45">
        <w:rPr>
          <w:rFonts w:ascii="Verdana" w:hAnsi="Verdana" w:cs="Arial"/>
        </w:rPr>
        <w:t xml:space="preserve">. </w:t>
      </w:r>
    </w:p>
    <w:p w14:paraId="40003185" w14:textId="77777777" w:rsidR="0051671F" w:rsidRPr="00430BFF" w:rsidRDefault="0051671F" w:rsidP="0051671F">
      <w:pPr>
        <w:spacing w:after="0" w:line="276" w:lineRule="auto"/>
        <w:contextualSpacing/>
        <w:jc w:val="both"/>
        <w:rPr>
          <w:rFonts w:ascii="Verdana" w:hAnsi="Verdana" w:cs="Arial"/>
          <w:sz w:val="12"/>
          <w:szCs w:val="12"/>
        </w:rPr>
      </w:pPr>
    </w:p>
    <w:p w14:paraId="6278977A" w14:textId="77777777" w:rsidR="0051671F" w:rsidRPr="00CC2A45" w:rsidRDefault="0051671F" w:rsidP="0051671F">
      <w:pPr>
        <w:spacing w:after="0" w:line="276" w:lineRule="auto"/>
        <w:ind w:firstLine="708"/>
        <w:contextualSpacing/>
        <w:jc w:val="both"/>
        <w:rPr>
          <w:rFonts w:ascii="Verdana" w:hAnsi="Verdana" w:cs="Arial"/>
          <w:sz w:val="21"/>
          <w:szCs w:val="21"/>
        </w:rPr>
      </w:pPr>
      <w:r w:rsidRPr="00CC2A45">
        <w:rPr>
          <w:rFonts w:ascii="Verdana" w:hAnsi="Verdana" w:cs="Arial"/>
        </w:rPr>
        <w:t xml:space="preserve">Ahora bien,  se encuentra la posibilidad de que la cláusula penal se vea reducida en proporción a la parte ejecutada del contrato, pero esto no significa que ese sea el parámetro del daño, porque </w:t>
      </w:r>
      <w:r>
        <w:rPr>
          <w:rFonts w:ascii="Verdana" w:hAnsi="Verdana" w:cs="Arial"/>
          <w:sz w:val="21"/>
          <w:szCs w:val="21"/>
        </w:rPr>
        <w:t>“</w:t>
      </w:r>
      <w:r w:rsidRPr="00CC2A45">
        <w:rPr>
          <w:rFonts w:ascii="Verdana" w:hAnsi="Verdana" w:cs="Arial"/>
        </w:rPr>
        <w:t>puede ocurrir que un contrato se haya cumplido en un 40%, de manera que podría reducirse la sanción en ese porcentaje, pero en tal supuesto bien podría ocurrir que no existan perjuicios, no obstante lo cual el deudor debe pagar la pena en la proporción indicada, como quiera que no es la magnitud del daño lo que define la reducción de la pena, sino la parte de la ejecución del contrato que haya realizado el deudor. Finalmente, cabe agregar que si el objeto del contrato es indivisible, de modo que sólo sirve al contratante su ejecución completa, el valor de la cláusula penal se debe pagar íntegramente; salvo que la administración acepte del contratista la parte ejecutada</w:t>
      </w:r>
      <w:r>
        <w:rPr>
          <w:rFonts w:ascii="Verdana" w:hAnsi="Verdana" w:cs="Arial"/>
          <w:sz w:val="21"/>
          <w:szCs w:val="21"/>
        </w:rPr>
        <w:t>”</w:t>
      </w:r>
      <w:r w:rsidRPr="00CC2A45">
        <w:rPr>
          <w:rStyle w:val="Refdenotaalpie"/>
          <w:rFonts w:ascii="Verdana" w:hAnsi="Verdana" w:cs="Arial"/>
          <w:sz w:val="21"/>
          <w:szCs w:val="21"/>
        </w:rPr>
        <w:footnoteReference w:id="20"/>
      </w:r>
      <w:r>
        <w:rPr>
          <w:rFonts w:ascii="Verdana" w:hAnsi="Verdana" w:cs="Arial"/>
          <w:sz w:val="21"/>
          <w:szCs w:val="21"/>
        </w:rPr>
        <w:t>.</w:t>
      </w:r>
    </w:p>
    <w:p w14:paraId="47580D32" w14:textId="77777777" w:rsidR="0051671F" w:rsidRPr="00430BFF" w:rsidRDefault="0051671F" w:rsidP="0051671F">
      <w:pPr>
        <w:spacing w:after="0" w:line="276" w:lineRule="auto"/>
        <w:ind w:firstLine="708"/>
        <w:contextualSpacing/>
        <w:jc w:val="both"/>
        <w:rPr>
          <w:rFonts w:ascii="Verdana" w:hAnsi="Verdana" w:cs="Arial"/>
          <w:bCs/>
          <w:color w:val="000000" w:themeColor="text1"/>
          <w:sz w:val="12"/>
          <w:szCs w:val="12"/>
          <w:lang w:val="es-ES_tradnl"/>
        </w:rPr>
      </w:pPr>
    </w:p>
    <w:p w14:paraId="17FF03E5" w14:textId="607EEF76" w:rsidR="0051671F" w:rsidRPr="00430BFF" w:rsidRDefault="0051671F" w:rsidP="0051671F">
      <w:pPr>
        <w:spacing w:after="0" w:line="276" w:lineRule="auto"/>
        <w:ind w:firstLine="708"/>
        <w:contextualSpacing/>
        <w:jc w:val="both"/>
        <w:rPr>
          <w:rFonts w:ascii="Verdana" w:hAnsi="Verdana" w:cs="Arial"/>
          <w:bCs/>
          <w:color w:val="000000" w:themeColor="text1"/>
          <w:lang w:val="es-ES_tradnl"/>
        </w:rPr>
      </w:pPr>
      <w:r>
        <w:rPr>
          <w:rFonts w:ascii="Verdana" w:hAnsi="Verdana" w:cs="Arial"/>
          <w:bCs/>
          <w:color w:val="000000" w:themeColor="text1"/>
          <w:lang w:val="es-ES_tradnl"/>
        </w:rPr>
        <w:t>De esta forma</w:t>
      </w:r>
      <w:r w:rsidRPr="00CC2A45">
        <w:rPr>
          <w:rFonts w:ascii="Verdana" w:hAnsi="Verdana" w:cs="Arial"/>
          <w:bCs/>
          <w:color w:val="000000" w:themeColor="text1"/>
          <w:lang w:val="es-ES_tradnl"/>
        </w:rPr>
        <w:t xml:space="preserve">, </w:t>
      </w:r>
      <w:r>
        <w:rPr>
          <w:rFonts w:ascii="Verdana" w:hAnsi="Verdana" w:cs="Arial"/>
          <w:bCs/>
          <w:color w:val="000000" w:themeColor="text1"/>
          <w:lang w:val="es-ES_tradnl"/>
        </w:rPr>
        <w:t xml:space="preserve">cuando </w:t>
      </w:r>
      <w:r w:rsidRPr="00CC2A45">
        <w:rPr>
          <w:rFonts w:ascii="Verdana" w:hAnsi="Verdana" w:cs="Arial"/>
          <w:bCs/>
          <w:color w:val="000000" w:themeColor="text1"/>
          <w:lang w:val="es-ES_tradnl"/>
        </w:rPr>
        <w:t>la Entidad Pública tenga que cuantificar los perjuicios ocasionados por el incumplimiento,</w:t>
      </w:r>
      <w:r>
        <w:rPr>
          <w:rFonts w:ascii="Verdana" w:hAnsi="Verdana" w:cs="Arial"/>
          <w:bCs/>
          <w:color w:val="000000" w:themeColor="text1"/>
          <w:lang w:val="es-ES_tradnl"/>
        </w:rPr>
        <w:t xml:space="preserve"> </w:t>
      </w:r>
      <w:r w:rsidR="00CA7C68">
        <w:rPr>
          <w:rFonts w:ascii="Verdana" w:hAnsi="Verdana" w:cs="Arial"/>
          <w:bCs/>
          <w:color w:val="000000" w:themeColor="text1"/>
          <w:lang w:val="es-ES_tradnl"/>
        </w:rPr>
        <w:t>e</w:t>
      </w:r>
      <w:r>
        <w:rPr>
          <w:rFonts w:ascii="Verdana" w:hAnsi="Verdana" w:cs="Arial"/>
          <w:bCs/>
          <w:color w:val="000000" w:themeColor="text1"/>
          <w:lang w:val="es-ES_tradnl"/>
        </w:rPr>
        <w:t xml:space="preserve">sta </w:t>
      </w:r>
      <w:r w:rsidRPr="00CC2A45">
        <w:rPr>
          <w:rFonts w:ascii="Verdana" w:hAnsi="Verdana" w:cs="Arial"/>
          <w:bCs/>
          <w:color w:val="000000" w:themeColor="text1"/>
          <w:lang w:val="es-ES_tradnl"/>
        </w:rPr>
        <w:t>debe atender a</w:t>
      </w:r>
      <w:r>
        <w:rPr>
          <w:rFonts w:ascii="Verdana" w:hAnsi="Verdana" w:cs="Arial"/>
          <w:bCs/>
          <w:color w:val="000000" w:themeColor="text1"/>
          <w:lang w:val="es-ES_tradnl"/>
        </w:rPr>
        <w:t xml:space="preserve">l principio </w:t>
      </w:r>
      <w:r w:rsidRPr="00CC2A45">
        <w:rPr>
          <w:rFonts w:ascii="Verdana" w:hAnsi="Verdana" w:cs="Arial"/>
          <w:bCs/>
          <w:color w:val="000000" w:themeColor="text1"/>
          <w:lang w:val="es-ES_tradnl"/>
        </w:rPr>
        <w:t xml:space="preserve">de proporcionalidad, y verificar: </w:t>
      </w:r>
      <w:r>
        <w:rPr>
          <w:rFonts w:ascii="Verdana" w:hAnsi="Verdana" w:cs="Arial"/>
          <w:sz w:val="21"/>
          <w:szCs w:val="21"/>
        </w:rPr>
        <w:t>“</w:t>
      </w:r>
      <w:r w:rsidRPr="00CC2A45">
        <w:rPr>
          <w:rFonts w:ascii="Verdana" w:hAnsi="Verdana" w:cs="Arial"/>
        </w:rPr>
        <w:t xml:space="preserve">i) El porcentaje de obra efectivamente ejecutado por el contratista, y </w:t>
      </w:r>
      <w:proofErr w:type="spellStart"/>
      <w:r w:rsidRPr="00CC2A45">
        <w:rPr>
          <w:rFonts w:ascii="Verdana" w:hAnsi="Verdana" w:cs="Arial"/>
        </w:rPr>
        <w:t>ii</w:t>
      </w:r>
      <w:proofErr w:type="spellEnd"/>
      <w:r w:rsidRPr="00CC2A45">
        <w:rPr>
          <w:rFonts w:ascii="Verdana" w:hAnsi="Verdana" w:cs="Arial"/>
        </w:rPr>
        <w:t>) si la entidad pública contratante recibió esta parte del objeto contractual</w:t>
      </w:r>
      <w:r>
        <w:rPr>
          <w:rFonts w:ascii="Verdana" w:hAnsi="Verdana" w:cs="Arial"/>
          <w:sz w:val="21"/>
          <w:szCs w:val="21"/>
        </w:rPr>
        <w:t>”</w:t>
      </w:r>
      <w:r w:rsidRPr="00CC2A45">
        <w:rPr>
          <w:rStyle w:val="Refdenotaalpie"/>
          <w:rFonts w:ascii="Verdana" w:hAnsi="Verdana" w:cs="Arial"/>
          <w:sz w:val="21"/>
          <w:szCs w:val="21"/>
        </w:rPr>
        <w:footnoteReference w:id="21"/>
      </w:r>
      <w:r w:rsidRPr="00CC2A45">
        <w:rPr>
          <w:rFonts w:ascii="Verdana" w:hAnsi="Verdana" w:cs="Arial"/>
        </w:rPr>
        <w:t xml:space="preserve">, con la finalidad de aplicar de manera razonada la cláusula penal pecuniaria y no incurrir en excesos. </w:t>
      </w:r>
    </w:p>
    <w:p w14:paraId="2D451BAB" w14:textId="77777777" w:rsidR="0051671F" w:rsidRPr="00430BFF" w:rsidRDefault="0051671F" w:rsidP="0051671F">
      <w:pPr>
        <w:spacing w:after="0" w:line="276" w:lineRule="auto"/>
        <w:ind w:firstLine="708"/>
        <w:jc w:val="both"/>
        <w:rPr>
          <w:rFonts w:ascii="Verdana" w:hAnsi="Verdana" w:cs="Arial"/>
          <w:iCs/>
          <w:color w:val="000000" w:themeColor="text1"/>
          <w:sz w:val="12"/>
          <w:szCs w:val="12"/>
          <w:lang w:val="es-ES_tradnl"/>
        </w:rPr>
      </w:pPr>
    </w:p>
    <w:p w14:paraId="4F4340CB" w14:textId="4F45AE91" w:rsidR="0051671F" w:rsidRPr="002545B6" w:rsidRDefault="0051671F" w:rsidP="0051671F">
      <w:pPr>
        <w:spacing w:line="276" w:lineRule="auto"/>
        <w:ind w:firstLine="709"/>
        <w:jc w:val="both"/>
        <w:rPr>
          <w:rFonts w:ascii="Verdana" w:hAnsi="Verdana" w:cs="Arial"/>
          <w:iCs/>
          <w:color w:val="000000" w:themeColor="text1"/>
          <w:lang w:val="es-ES_tradnl"/>
        </w:rPr>
      </w:pPr>
      <w:r w:rsidRPr="002545B6">
        <w:rPr>
          <w:rFonts w:ascii="Verdana" w:hAnsi="Verdana" w:cs="Arial"/>
          <w:iCs/>
          <w:color w:val="000000" w:themeColor="text1"/>
          <w:lang w:val="es-ES_tradnl"/>
        </w:rPr>
        <w:lastRenderedPageBreak/>
        <w:t xml:space="preserve">En tal sentido, las disposiciones anteriores constituyen los parámetros que deben observar las entidades estatales al imponer unilateralmente la cláusula penal. Ahora bien, la regla general es que las partes estipulen lo relacionado con la tipificación </w:t>
      </w:r>
      <w:r w:rsidR="0096769F">
        <w:rPr>
          <w:rFonts w:ascii="Verdana" w:hAnsi="Verdana" w:cs="Arial"/>
          <w:iCs/>
          <w:color w:val="000000" w:themeColor="text1"/>
          <w:lang w:val="es-ES_tradnl"/>
        </w:rPr>
        <w:t>de</w:t>
      </w:r>
      <w:r w:rsidRPr="002545B6">
        <w:rPr>
          <w:rFonts w:ascii="Verdana" w:hAnsi="Verdana" w:cs="Arial"/>
          <w:iCs/>
          <w:color w:val="000000" w:themeColor="text1"/>
          <w:lang w:val="es-ES_tradnl"/>
        </w:rPr>
        <w:t xml:space="preserve"> </w:t>
      </w:r>
      <w:r>
        <w:rPr>
          <w:rFonts w:ascii="Verdana" w:hAnsi="Verdana" w:cs="Arial"/>
          <w:iCs/>
          <w:color w:val="000000" w:themeColor="text1"/>
          <w:lang w:val="es-ES_tradnl"/>
        </w:rPr>
        <w:t>las sanciones pecuniarias</w:t>
      </w:r>
      <w:r w:rsidRPr="002545B6">
        <w:rPr>
          <w:rFonts w:ascii="Verdana" w:hAnsi="Verdana" w:cs="Arial"/>
          <w:iCs/>
          <w:color w:val="000000" w:themeColor="text1"/>
          <w:lang w:val="es-ES_tradnl"/>
        </w:rPr>
        <w:t>, incluido lo referente a sus montos, claro está, sin exceder los límites legales y sin incurrir en abuso del derecho. Además, en su pacto y aplicación se deben observar las normas del derecho privado estudiadas previamente.</w:t>
      </w:r>
    </w:p>
    <w:bookmarkEnd w:id="1"/>
    <w:p w14:paraId="62198522" w14:textId="2A3DE51C" w:rsidR="0051671F" w:rsidRDefault="0051671F" w:rsidP="0051671F">
      <w:pPr>
        <w:spacing w:after="120" w:line="276" w:lineRule="auto"/>
        <w:ind w:firstLine="708"/>
        <w:jc w:val="both"/>
        <w:rPr>
          <w:rFonts w:ascii="Verdana" w:eastAsia="Calibri" w:hAnsi="Verdana" w:cs="Arial"/>
          <w:bCs/>
          <w:color w:val="000000" w:themeColor="text1"/>
        </w:rPr>
      </w:pPr>
      <w:r w:rsidRPr="00E853DE">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w:t>
      </w:r>
      <w:r w:rsidR="0096769F">
        <w:rPr>
          <w:rFonts w:ascii="Verdana" w:eastAsia="Calibri" w:hAnsi="Verdana" w:cs="Arial"/>
          <w:bCs/>
          <w:color w:val="000000" w:themeColor="text1"/>
        </w:rPr>
        <w:t>en</w:t>
      </w:r>
      <w:r w:rsidRPr="00E853DE">
        <w:rPr>
          <w:rFonts w:ascii="Verdana" w:eastAsia="Calibri" w:hAnsi="Verdana" w:cs="Arial"/>
          <w:bCs/>
          <w:color w:val="000000" w:themeColor="text1"/>
        </w:rPr>
        <w:t xml:space="preserve">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8155DF2" w14:textId="77777777" w:rsidR="0051671F" w:rsidRPr="008A4AEC" w:rsidRDefault="0051671F" w:rsidP="0051671F">
      <w:pPr>
        <w:widowControl w:val="0"/>
        <w:autoSpaceDE w:val="0"/>
        <w:autoSpaceDN w:val="0"/>
        <w:spacing w:after="0" w:line="276" w:lineRule="auto"/>
        <w:ind w:firstLine="708"/>
        <w:jc w:val="both"/>
        <w:rPr>
          <w:rFonts w:ascii="Verdana" w:hAnsi="Verdana" w:cs="Arial"/>
        </w:rPr>
      </w:pPr>
      <w:r w:rsidRPr="00E853DE">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w:t>
      </w:r>
      <w:r>
        <w:rPr>
          <w:rFonts w:ascii="Verdana" w:eastAsia="Calibri" w:hAnsi="Verdana" w:cs="Arial"/>
          <w:bCs/>
          <w:color w:val="000000" w:themeColor="text1"/>
        </w:rPr>
        <w:t>validar sus actuaciones.</w:t>
      </w:r>
      <w:r w:rsidRPr="00185EE9">
        <w:rPr>
          <w:rFonts w:ascii="Verdana" w:eastAsia="Calibri" w:hAnsi="Verdana" w:cs="Arial"/>
          <w:bCs/>
          <w:color w:val="000000" w:themeColor="text1"/>
        </w:rPr>
        <w:t xml:space="preserve"> </w:t>
      </w:r>
      <w:r w:rsidRPr="00DE3BB8">
        <w:rPr>
          <w:rFonts w:ascii="Verdana" w:hAnsi="Verdana" w:cs="Arial"/>
        </w:rPr>
        <w:t xml:space="preserve"> </w:t>
      </w:r>
      <w:r>
        <w:rPr>
          <w:rFonts w:ascii="Verdana" w:hAnsi="Verdana" w:cs="Arial"/>
        </w:rPr>
        <w:t xml:space="preserve"> </w:t>
      </w:r>
    </w:p>
    <w:p w14:paraId="36C1B24E" w14:textId="77777777" w:rsidR="0051671F" w:rsidRPr="00593A5F" w:rsidRDefault="0051671F" w:rsidP="0051671F">
      <w:pPr>
        <w:widowControl w:val="0"/>
        <w:autoSpaceDE w:val="0"/>
        <w:autoSpaceDN w:val="0"/>
        <w:spacing w:after="0" w:line="276" w:lineRule="auto"/>
        <w:jc w:val="both"/>
        <w:rPr>
          <w:rFonts w:ascii="Verdana" w:hAnsi="Verdana" w:cs="Arial"/>
        </w:rPr>
      </w:pPr>
    </w:p>
    <w:p w14:paraId="3FE22650" w14:textId="77777777" w:rsidR="0051671F" w:rsidRPr="00593A5F" w:rsidRDefault="0051671F" w:rsidP="0051671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1E4ABF1" w14:textId="77777777" w:rsidR="0051671F" w:rsidRPr="00593A5F" w:rsidRDefault="0051671F" w:rsidP="0051671F">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1671F" w:rsidRPr="002407CE" w14:paraId="58FD5D30" w14:textId="77777777" w:rsidTr="00820CE5">
        <w:trPr>
          <w:trHeight w:val="870"/>
          <w:jc w:val="center"/>
        </w:trPr>
        <w:tc>
          <w:tcPr>
            <w:tcW w:w="8647" w:type="dxa"/>
          </w:tcPr>
          <w:p w14:paraId="1CA53770" w14:textId="77777777" w:rsidR="0051671F" w:rsidRDefault="0051671F" w:rsidP="0051671F">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 29.</w:t>
            </w:r>
          </w:p>
          <w:p w14:paraId="094C72F9" w14:textId="77777777" w:rsidR="0051671F" w:rsidRPr="004F2181" w:rsidRDefault="0051671F" w:rsidP="0051671F">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2407CE">
              <w:rPr>
                <w:rFonts w:ascii="Verdana" w:hAnsi="Verdana" w:cs="Arial"/>
              </w:rPr>
              <w:t>Ley</w:t>
            </w:r>
            <w:r>
              <w:rPr>
                <w:rFonts w:ascii="Verdana" w:hAnsi="Verdana" w:cs="Arial"/>
              </w:rPr>
              <w:t xml:space="preserve"> 80 de 1993, artículos 13, 14, 18, 32 y 40.</w:t>
            </w:r>
          </w:p>
          <w:p w14:paraId="54E35F2C" w14:textId="5D9892F1" w:rsidR="0051671F" w:rsidRDefault="0051671F" w:rsidP="0051671F">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Ley 1150 de 2007, artículo</w:t>
            </w:r>
            <w:r w:rsidR="00A22165">
              <w:rPr>
                <w:rFonts w:ascii="Verdana" w:hAnsi="Verdana" w:cs="Arial"/>
              </w:rPr>
              <w:t>s</w:t>
            </w:r>
            <w:r>
              <w:rPr>
                <w:rFonts w:ascii="Verdana" w:hAnsi="Verdana" w:cs="Arial"/>
              </w:rPr>
              <w:t xml:space="preserve"> </w:t>
            </w:r>
            <w:r w:rsidR="00A22165">
              <w:rPr>
                <w:rFonts w:ascii="Verdana" w:hAnsi="Verdana" w:cs="Arial"/>
              </w:rPr>
              <w:t>11 y</w:t>
            </w:r>
            <w:r>
              <w:rPr>
                <w:rFonts w:ascii="Verdana" w:hAnsi="Verdana" w:cs="Arial"/>
              </w:rPr>
              <w:t xml:space="preserve"> 17.</w:t>
            </w:r>
          </w:p>
          <w:p w14:paraId="31C6F4F9" w14:textId="77777777" w:rsidR="0051671F" w:rsidRPr="004F1AC3" w:rsidRDefault="0051671F" w:rsidP="00820CE5">
            <w:pPr>
              <w:pStyle w:val="Prrafodelista"/>
              <w:widowControl w:val="0"/>
              <w:autoSpaceDE w:val="0"/>
              <w:autoSpaceDN w:val="0"/>
              <w:spacing w:after="120" w:line="276" w:lineRule="auto"/>
              <w:ind w:left="714"/>
              <w:jc w:val="both"/>
              <w:rPr>
                <w:rFonts w:ascii="Verdana" w:hAnsi="Verdana" w:cs="Arial"/>
                <w:sz w:val="12"/>
                <w:szCs w:val="12"/>
              </w:rPr>
            </w:pPr>
          </w:p>
          <w:p w14:paraId="38B0D411" w14:textId="77777777" w:rsidR="0051671F" w:rsidRPr="004F1AC3" w:rsidRDefault="0051671F" w:rsidP="0051671F">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Ley 1437 de 2011, artículos 47 y 50.</w:t>
            </w:r>
          </w:p>
          <w:p w14:paraId="72C46152" w14:textId="77777777" w:rsidR="0051671F" w:rsidRPr="004F1AC3" w:rsidRDefault="0051671F" w:rsidP="00820CE5">
            <w:pPr>
              <w:pStyle w:val="Prrafodelista"/>
              <w:widowControl w:val="0"/>
              <w:autoSpaceDE w:val="0"/>
              <w:autoSpaceDN w:val="0"/>
              <w:spacing w:line="276" w:lineRule="auto"/>
              <w:ind w:left="714"/>
              <w:jc w:val="both"/>
              <w:rPr>
                <w:rFonts w:ascii="Verdana" w:hAnsi="Verdana" w:cs="Arial"/>
                <w:sz w:val="12"/>
                <w:szCs w:val="12"/>
              </w:rPr>
            </w:pPr>
          </w:p>
          <w:p w14:paraId="72D67C20" w14:textId="11BC30EE" w:rsidR="0051671F" w:rsidRDefault="0051671F" w:rsidP="0051671F">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lastRenderedPageBreak/>
              <w:t>Ley 1474 de 2011, artículo</w:t>
            </w:r>
            <w:r w:rsidR="001160F2">
              <w:rPr>
                <w:rFonts w:ascii="Verdana" w:hAnsi="Verdana" w:cs="Arial"/>
              </w:rPr>
              <w:t>s</w:t>
            </w:r>
            <w:r>
              <w:rPr>
                <w:rFonts w:ascii="Verdana" w:hAnsi="Verdana" w:cs="Arial"/>
              </w:rPr>
              <w:t xml:space="preserve"> </w:t>
            </w:r>
            <w:r w:rsidR="00384984">
              <w:rPr>
                <w:rFonts w:ascii="Verdana" w:hAnsi="Verdana" w:cs="Arial"/>
              </w:rPr>
              <w:t>83, 84 y</w:t>
            </w:r>
            <w:r>
              <w:rPr>
                <w:rFonts w:ascii="Verdana" w:hAnsi="Verdana" w:cs="Arial"/>
              </w:rPr>
              <w:t xml:space="preserve"> 86.</w:t>
            </w:r>
          </w:p>
          <w:p w14:paraId="2964C2B3" w14:textId="77777777" w:rsidR="0051671F" w:rsidRPr="000672E6" w:rsidRDefault="0051671F" w:rsidP="00820CE5">
            <w:pPr>
              <w:pStyle w:val="Prrafodelista"/>
              <w:rPr>
                <w:rFonts w:ascii="Verdana" w:hAnsi="Verdana" w:cs="Arial"/>
                <w:sz w:val="12"/>
                <w:szCs w:val="12"/>
              </w:rPr>
            </w:pPr>
          </w:p>
          <w:p w14:paraId="198E163C" w14:textId="77777777" w:rsidR="0051671F" w:rsidRPr="004F1AC3" w:rsidRDefault="0051671F" w:rsidP="0051671F">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 xml:space="preserve">Decreto 1082 de 2015, artículo </w:t>
            </w:r>
            <w:r w:rsidRPr="003F6E9A">
              <w:rPr>
                <w:rFonts w:ascii="Verdana" w:hAnsi="Verdana" w:cs="Arial"/>
              </w:rPr>
              <w:t>2.2.1.2.3.1.7</w:t>
            </w:r>
            <w:r>
              <w:rPr>
                <w:rFonts w:ascii="Verdana" w:hAnsi="Verdana" w:cs="Arial"/>
              </w:rPr>
              <w:t>.</w:t>
            </w:r>
          </w:p>
          <w:p w14:paraId="7AF7C107" w14:textId="77777777" w:rsidR="0051671F" w:rsidRPr="004F1AC3" w:rsidRDefault="0051671F" w:rsidP="00820CE5">
            <w:pPr>
              <w:pStyle w:val="Prrafodelista"/>
              <w:widowControl w:val="0"/>
              <w:autoSpaceDE w:val="0"/>
              <w:autoSpaceDN w:val="0"/>
              <w:spacing w:after="120" w:line="276" w:lineRule="auto"/>
              <w:ind w:left="714"/>
              <w:jc w:val="both"/>
              <w:rPr>
                <w:rFonts w:ascii="Verdana" w:hAnsi="Verdana" w:cs="Arial"/>
                <w:sz w:val="12"/>
                <w:szCs w:val="12"/>
              </w:rPr>
            </w:pPr>
          </w:p>
          <w:p w14:paraId="0DB52374" w14:textId="2F90EC95" w:rsidR="0051671F" w:rsidRPr="004F1AC3" w:rsidRDefault="0051671F" w:rsidP="0051671F">
            <w:pPr>
              <w:pStyle w:val="Prrafodelista"/>
              <w:widowControl w:val="0"/>
              <w:numPr>
                <w:ilvl w:val="0"/>
                <w:numId w:val="17"/>
              </w:numPr>
              <w:autoSpaceDE w:val="0"/>
              <w:autoSpaceDN w:val="0"/>
              <w:spacing w:after="120" w:line="276" w:lineRule="auto"/>
              <w:ind w:left="714" w:hanging="357"/>
              <w:jc w:val="both"/>
              <w:rPr>
                <w:rFonts w:ascii="Verdana" w:hAnsi="Verdana" w:cs="Arial"/>
              </w:rPr>
            </w:pPr>
            <w:r>
              <w:rPr>
                <w:rFonts w:ascii="Verdana" w:hAnsi="Verdana" w:cs="Arial"/>
              </w:rPr>
              <w:t>Código Civil, artículos 1596</w:t>
            </w:r>
            <w:r w:rsidR="001160F2">
              <w:rPr>
                <w:rFonts w:ascii="Verdana" w:hAnsi="Verdana" w:cs="Arial"/>
              </w:rPr>
              <w:t>,</w:t>
            </w:r>
            <w:r>
              <w:rPr>
                <w:rFonts w:ascii="Verdana" w:hAnsi="Verdana" w:cs="Arial"/>
              </w:rPr>
              <w:t xml:space="preserve"> 1600</w:t>
            </w:r>
            <w:r w:rsidR="001160F2">
              <w:rPr>
                <w:rFonts w:ascii="Verdana" w:hAnsi="Verdana" w:cs="Arial"/>
              </w:rPr>
              <w:t>, 1601, 1608, y 1649.</w:t>
            </w:r>
          </w:p>
          <w:p w14:paraId="791DE0FE" w14:textId="77777777" w:rsidR="0051671F" w:rsidRPr="004F1AC3" w:rsidRDefault="0051671F" w:rsidP="00820CE5">
            <w:pPr>
              <w:pStyle w:val="Prrafodelista"/>
              <w:widowControl w:val="0"/>
              <w:autoSpaceDE w:val="0"/>
              <w:autoSpaceDN w:val="0"/>
              <w:spacing w:after="120" w:line="276" w:lineRule="auto"/>
              <w:ind w:left="714"/>
              <w:jc w:val="both"/>
              <w:rPr>
                <w:rFonts w:ascii="Verdana" w:hAnsi="Verdana" w:cs="Arial"/>
                <w:sz w:val="12"/>
                <w:szCs w:val="12"/>
              </w:rPr>
            </w:pPr>
          </w:p>
          <w:p w14:paraId="0A4D77E6" w14:textId="77777777" w:rsidR="0051671F" w:rsidRPr="003443F8" w:rsidRDefault="0051671F" w:rsidP="0051671F">
            <w:pPr>
              <w:pStyle w:val="Prrafodelista"/>
              <w:widowControl w:val="0"/>
              <w:numPr>
                <w:ilvl w:val="0"/>
                <w:numId w:val="17"/>
              </w:numPr>
              <w:autoSpaceDE w:val="0"/>
              <w:autoSpaceDN w:val="0"/>
              <w:spacing w:line="276" w:lineRule="auto"/>
              <w:ind w:left="714" w:hanging="357"/>
              <w:jc w:val="both"/>
              <w:rPr>
                <w:rFonts w:ascii="Verdana" w:hAnsi="Verdana" w:cs="Arial"/>
              </w:rPr>
            </w:pPr>
            <w:r>
              <w:rPr>
                <w:rFonts w:ascii="Verdana" w:hAnsi="Verdana" w:cs="Arial"/>
              </w:rPr>
              <w:t>Código de Comercio, artículo 867.</w:t>
            </w:r>
          </w:p>
        </w:tc>
      </w:tr>
    </w:tbl>
    <w:p w14:paraId="0AECE1D8" w14:textId="77777777" w:rsidR="0051671F" w:rsidRPr="002407CE" w:rsidRDefault="0051671F" w:rsidP="0051671F">
      <w:pPr>
        <w:widowControl w:val="0"/>
        <w:autoSpaceDE w:val="0"/>
        <w:autoSpaceDN w:val="0"/>
        <w:spacing w:after="0" w:line="276" w:lineRule="auto"/>
        <w:jc w:val="both"/>
        <w:rPr>
          <w:rFonts w:ascii="Verdana" w:hAnsi="Verdana" w:cs="Arial"/>
        </w:rPr>
      </w:pPr>
    </w:p>
    <w:p w14:paraId="3CA0C20F" w14:textId="77777777" w:rsidR="0051671F" w:rsidRPr="00593A5F" w:rsidRDefault="0051671F" w:rsidP="0051671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E4181D4" w14:textId="77777777" w:rsidR="0051671F" w:rsidRPr="00593A5F" w:rsidRDefault="0051671F" w:rsidP="0051671F">
      <w:pPr>
        <w:widowControl w:val="0"/>
        <w:autoSpaceDE w:val="0"/>
        <w:autoSpaceDN w:val="0"/>
        <w:spacing w:after="0" w:line="276" w:lineRule="auto"/>
        <w:jc w:val="both"/>
        <w:rPr>
          <w:rFonts w:ascii="Verdana" w:hAnsi="Verdana" w:cs="Arial"/>
        </w:rPr>
      </w:pPr>
    </w:p>
    <w:p w14:paraId="321E8DB0" w14:textId="65D0CD1E" w:rsidR="0051671F" w:rsidRDefault="002A74E3" w:rsidP="0051671F">
      <w:pPr>
        <w:widowControl w:val="0"/>
        <w:autoSpaceDE w:val="0"/>
        <w:autoSpaceDN w:val="0"/>
        <w:spacing w:after="0" w:line="276" w:lineRule="auto"/>
        <w:jc w:val="both"/>
        <w:rPr>
          <w:rStyle w:val="normaltextrun"/>
          <w:rFonts w:ascii="Verdana" w:hAnsi="Verdana" w:cs="Arial"/>
          <w:color w:val="FF0000"/>
          <w:shd w:val="clear" w:color="auto" w:fill="FFFFFF"/>
          <w:lang w:val="es-ES"/>
        </w:rPr>
      </w:pPr>
      <w:r w:rsidRPr="002A74E3">
        <w:rPr>
          <w:rFonts w:ascii="Verdana" w:hAnsi="Verdana" w:cs="Arial"/>
          <w:shd w:val="clear" w:color="auto" w:fill="FFFFFF"/>
        </w:rPr>
        <w:t>La Agencia Nacional de Contratación Pública – Colombia Compra Eficiente se ha pronunciado sobre la imposición unilateral de multas y de la cláusula penal pecuniaria y sobre el procedimiento administrativo sancionatorio del artículo 86 de la Ley 1474 de 2011 en los Conceptos</w:t>
      </w:r>
      <w:r>
        <w:rPr>
          <w:rFonts w:ascii="Verdana" w:hAnsi="Verdana" w:cs="Arial"/>
          <w:shd w:val="clear" w:color="auto" w:fill="FFFFFF"/>
        </w:rPr>
        <w:t xml:space="preserve"> </w:t>
      </w:r>
      <w:r w:rsidR="00A67ED9" w:rsidRPr="00A67ED9">
        <w:rPr>
          <w:rFonts w:ascii="Verdana" w:hAnsi="Verdana" w:cs="Arial"/>
          <w:shd w:val="clear" w:color="auto" w:fill="FFFFFF"/>
        </w:rPr>
        <w:t>147 del 17 de marzo de 2020, C-219 del 29 de abril de 2020, C-434 del 29 de julio de 2020, C-569 del 31 de agosto de 2020, C-641 del 4 de noviembre de 2020, C-060 del 8 de marzo de 2021, C-528 del 5 de abril de 2021, C-420 del 25 de agosto de 2022, C- 720 del 25 de enero de 2022, C-085 del 29 de abril  de 2022 C-125 del 23 de marzo de 2022, C-195 del 12 de abril de 2022, C-208 del 26 de abril de 2022, C-238 del 27 de abril de 2022, C-866 del 20 de diciembre de 2022, C-034 de 09 de marzo de 2023, C-140 del 13 de junio de 2023, C-227 del 07 de julio del 2023, C-047 del 25 de abril de 2024, C-361 del 2 de septiembre de 2024, C-886 del 9 de diciembre de 2024 y C-1016 del 31 de diciembre de 2024</w:t>
      </w:r>
      <w:r w:rsidR="002A4EF8">
        <w:rPr>
          <w:rFonts w:ascii="Verdana" w:hAnsi="Verdana" w:cs="Arial"/>
          <w:shd w:val="clear" w:color="auto" w:fill="FFFFFF"/>
        </w:rPr>
        <w:t>.</w:t>
      </w:r>
      <w:r>
        <w:rPr>
          <w:rFonts w:ascii="Verdana" w:hAnsi="Verdana" w:cs="Arial"/>
          <w:shd w:val="clear" w:color="auto" w:fill="FFFFFF"/>
        </w:rPr>
        <w:t xml:space="preserve"> </w:t>
      </w:r>
      <w:r w:rsidR="0051671F" w:rsidRPr="00EA761C">
        <w:rPr>
          <w:rStyle w:val="normaltextrun"/>
          <w:rFonts w:ascii="Verdana" w:hAnsi="Verdana" w:cs="Arial"/>
          <w:shd w:val="clear" w:color="auto" w:fill="FFFFFF"/>
          <w:lang w:val="es-ES"/>
        </w:rPr>
        <w:t>Es</w:t>
      </w:r>
      <w:r w:rsidR="0051671F" w:rsidRPr="00EA761C">
        <w:rPr>
          <w:rFonts w:ascii="Verdana" w:hAnsi="Verdana"/>
        </w:rPr>
        <w:t>t</w:t>
      </w:r>
      <w:r w:rsidR="0051671F">
        <w:rPr>
          <w:rFonts w:ascii="Verdana" w:hAnsi="Verdana"/>
        </w:rPr>
        <w:t>e y otros conceptos de la Subdirección</w:t>
      </w:r>
      <w:r w:rsidR="0051671F" w:rsidRPr="00A1554D">
        <w:rPr>
          <w:rFonts w:ascii="Verdana" w:hAnsi="Verdana"/>
        </w:rPr>
        <w:t xml:space="preserve"> se encuentran disponibles para consulta en el Sistema de </w:t>
      </w:r>
      <w:r w:rsidR="0051671F">
        <w:rPr>
          <w:rFonts w:ascii="Verdana" w:hAnsi="Verdana"/>
        </w:rPr>
        <w:t>r</w:t>
      </w:r>
      <w:r w:rsidR="0051671F" w:rsidRPr="00A1554D">
        <w:rPr>
          <w:rFonts w:ascii="Verdana" w:hAnsi="Verdana"/>
        </w:rPr>
        <w:t>elatoría de la Agencia, al cual puede acceder</w:t>
      </w:r>
      <w:r w:rsidR="0051671F">
        <w:rPr>
          <w:rFonts w:ascii="Verdana" w:hAnsi="Verdana"/>
        </w:rPr>
        <w:t>se</w:t>
      </w:r>
      <w:r w:rsidR="0051671F" w:rsidRPr="00A1554D">
        <w:rPr>
          <w:rFonts w:ascii="Verdana" w:hAnsi="Verdana"/>
        </w:rPr>
        <w:t xml:space="preserve"> a través del siguiente enlace:</w:t>
      </w:r>
      <w:r w:rsidR="0051671F" w:rsidRPr="00A1554D">
        <w:rPr>
          <w:rStyle w:val="normaltextrun"/>
          <w:rFonts w:ascii="Verdana" w:hAnsi="Verdana" w:cs="Arial"/>
          <w:shd w:val="clear" w:color="auto" w:fill="FFFFFF"/>
          <w:lang w:val="es-ES"/>
        </w:rPr>
        <w:t xml:space="preserve"> </w:t>
      </w:r>
      <w:hyperlink r:id="rId13" w:history="1">
        <w:r w:rsidR="0051671F" w:rsidRPr="00A1554D">
          <w:rPr>
            <w:rStyle w:val="Hipervnculo"/>
            <w:rFonts w:ascii="Verdana" w:hAnsi="Verdana" w:cs="Arial"/>
            <w:shd w:val="clear" w:color="auto" w:fill="FFFFFF"/>
            <w:lang w:val="es-ES"/>
          </w:rPr>
          <w:t>https://relatoria.colombiacompra.gov.co/busqueda/conceptos</w:t>
        </w:r>
      </w:hyperlink>
      <w:r w:rsidR="0051671F" w:rsidRPr="00CD3D06">
        <w:rPr>
          <w:rStyle w:val="normaltextrun"/>
          <w:rFonts w:ascii="Verdana" w:hAnsi="Verdana" w:cs="Arial"/>
          <w:shd w:val="clear" w:color="auto" w:fill="FFFFFF"/>
          <w:lang w:val="es-ES"/>
        </w:rPr>
        <w:t>.</w:t>
      </w:r>
      <w:r w:rsidR="0051671F">
        <w:rPr>
          <w:rStyle w:val="normaltextrun"/>
          <w:rFonts w:ascii="Verdana" w:hAnsi="Verdana" w:cs="Arial"/>
          <w:color w:val="FF0000"/>
          <w:shd w:val="clear" w:color="auto" w:fill="FFFFFF"/>
          <w:lang w:val="es-ES"/>
        </w:rPr>
        <w:t xml:space="preserve"> </w:t>
      </w:r>
    </w:p>
    <w:p w14:paraId="592E7386" w14:textId="77777777" w:rsidR="0051671F" w:rsidRDefault="0051671F" w:rsidP="0051671F">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6612CCAB" w14:textId="77777777" w:rsidR="0051671F" w:rsidRDefault="0051671F" w:rsidP="0051671F">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7A42B906" w14:textId="77777777" w:rsidR="0051671F" w:rsidRPr="009A385A" w:rsidRDefault="0051671F" w:rsidP="0051671F">
      <w:pPr>
        <w:spacing w:after="0"/>
        <w:jc w:val="both"/>
        <w:rPr>
          <w:rFonts w:ascii="Verdana" w:hAnsi="Verdana"/>
        </w:rPr>
      </w:pPr>
    </w:p>
    <w:p w14:paraId="6CC11383" w14:textId="77777777" w:rsidR="0051671F" w:rsidRDefault="0051671F" w:rsidP="0051671F">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lastRenderedPageBreak/>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46167DDA" w14:textId="77777777" w:rsidR="0051671F" w:rsidRDefault="0051671F" w:rsidP="0051671F">
      <w:pPr>
        <w:spacing w:after="0"/>
        <w:jc w:val="both"/>
        <w:rPr>
          <w:rFonts w:ascii="Verdana" w:hAnsi="Verdana"/>
        </w:rPr>
      </w:pPr>
    </w:p>
    <w:p w14:paraId="67E6F85F" w14:textId="77777777" w:rsidR="0051671F" w:rsidRPr="008E1CD7" w:rsidRDefault="0051671F" w:rsidP="0051671F">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22D34F19" w14:textId="77777777" w:rsidR="0051671F" w:rsidRDefault="0051671F" w:rsidP="0051671F">
      <w:pPr>
        <w:shd w:val="clear" w:color="auto" w:fill="FFFFFF"/>
        <w:spacing w:after="0" w:line="276" w:lineRule="auto"/>
        <w:jc w:val="both"/>
        <w:rPr>
          <w:rFonts w:ascii="Verdana" w:hAnsi="Verdana"/>
          <w:color w:val="000000"/>
          <w:u w:val="single"/>
        </w:rPr>
      </w:pPr>
    </w:p>
    <w:p w14:paraId="1F8E2BDB" w14:textId="77777777" w:rsidR="0051671F" w:rsidRPr="0038088D" w:rsidRDefault="0051671F" w:rsidP="0051671F">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2C3525C2" w14:textId="77777777" w:rsidR="0051671F" w:rsidRPr="0038088D" w:rsidRDefault="0051671F" w:rsidP="0051671F">
      <w:pPr>
        <w:spacing w:after="0"/>
        <w:jc w:val="both"/>
        <w:rPr>
          <w:rFonts w:ascii="Verdana" w:hAnsi="Verdana"/>
        </w:rPr>
      </w:pPr>
    </w:p>
    <w:p w14:paraId="0DF65BF8" w14:textId="77777777" w:rsidR="0051671F" w:rsidRPr="004C4825" w:rsidRDefault="0051671F" w:rsidP="0051671F">
      <w:pPr>
        <w:pStyle w:val="Prrafodelista"/>
        <w:numPr>
          <w:ilvl w:val="0"/>
          <w:numId w:val="15"/>
        </w:numPr>
        <w:spacing w:after="0" w:line="240" w:lineRule="auto"/>
        <w:jc w:val="both"/>
        <w:rPr>
          <w:rFonts w:ascii="Verdana" w:eastAsia="Verdana" w:hAnsi="Verdana" w:cs="Verdana"/>
          <w:color w:val="4472C4" w:themeColor="accent1"/>
          <w:u w:val="single"/>
        </w:rPr>
      </w:pPr>
      <w:r w:rsidRPr="004C4825">
        <w:rPr>
          <w:rFonts w:ascii="Verdana" w:eastAsia="Verdana" w:hAnsi="Verdana" w:cs="Verdana"/>
        </w:rPr>
        <w:t xml:space="preserve">Línea nacional gratuita o servicio a la ciudadanía (Mesa de servicio): </w:t>
      </w:r>
      <w:r w:rsidRPr="004C4825">
        <w:rPr>
          <w:rStyle w:val="Hipervnculo"/>
          <w:rFonts w:ascii="Verdana" w:hAnsi="Verdana"/>
        </w:rPr>
        <w:t>01800 0520808</w:t>
      </w:r>
    </w:p>
    <w:p w14:paraId="3F33006D" w14:textId="77777777" w:rsidR="0051671F" w:rsidRPr="004C4825" w:rsidRDefault="0051671F" w:rsidP="0051671F">
      <w:pPr>
        <w:pStyle w:val="Prrafodelista"/>
        <w:numPr>
          <w:ilvl w:val="0"/>
          <w:numId w:val="15"/>
        </w:numPr>
        <w:spacing w:after="0"/>
        <w:rPr>
          <w:rFonts w:ascii="Verdana" w:eastAsia="Verdana" w:hAnsi="Verdana" w:cs="Verdana"/>
          <w:color w:val="4472C4" w:themeColor="accent1"/>
          <w:u w:val="single"/>
        </w:rPr>
      </w:pPr>
      <w:r w:rsidRPr="004C4825">
        <w:rPr>
          <w:rFonts w:ascii="Verdana" w:eastAsia="Verdana" w:hAnsi="Verdana" w:cs="Verdana"/>
        </w:rPr>
        <w:t>Línea en Bogotá (Mesa de servicio</w:t>
      </w:r>
      <w:proofErr w:type="gramStart"/>
      <w:r w:rsidRPr="004C4825">
        <w:rPr>
          <w:rFonts w:ascii="Verdana" w:eastAsia="Verdana" w:hAnsi="Verdana" w:cs="Verdana"/>
        </w:rPr>
        <w:t>):</w:t>
      </w:r>
      <w:r w:rsidRPr="004C4825">
        <w:rPr>
          <w:rStyle w:val="Hipervnculo"/>
          <w:rFonts w:ascii="Verdana" w:hAnsi="Verdana"/>
        </w:rPr>
        <w:t>+</w:t>
      </w:r>
      <w:proofErr w:type="gramEnd"/>
      <w:r w:rsidRPr="004C4825">
        <w:rPr>
          <w:rStyle w:val="Hipervnculo"/>
          <w:rFonts w:ascii="Verdana" w:hAnsi="Verdana"/>
        </w:rPr>
        <w:t>57 601 7456788</w:t>
      </w:r>
    </w:p>
    <w:p w14:paraId="22A42C71" w14:textId="77777777" w:rsidR="0051671F" w:rsidRPr="004C4825" w:rsidRDefault="0051671F" w:rsidP="0051671F">
      <w:pPr>
        <w:pStyle w:val="Prrafodelista"/>
        <w:numPr>
          <w:ilvl w:val="0"/>
          <w:numId w:val="15"/>
        </w:numPr>
        <w:spacing w:after="0"/>
        <w:rPr>
          <w:rFonts w:ascii="Verdana" w:eastAsia="Verdana" w:hAnsi="Verdana" w:cs="Verdana"/>
          <w:color w:val="0000FF"/>
          <w:u w:val="single"/>
        </w:rPr>
      </w:pPr>
      <w:r w:rsidRPr="004C4825">
        <w:rPr>
          <w:rFonts w:ascii="Verdana" w:eastAsia="Verdana" w:hAnsi="Verdana" w:cs="Verdana"/>
        </w:rPr>
        <w:t xml:space="preserve">Correo de radicación de correspondencia: </w:t>
      </w:r>
      <w:hyperlink r:id="rId17">
        <w:r w:rsidRPr="004C4825">
          <w:rPr>
            <w:rStyle w:val="Hipervnculo"/>
            <w:rFonts w:ascii="Verdana" w:eastAsia="Verdana" w:hAnsi="Verdana" w:cs="Verdana"/>
          </w:rPr>
          <w:t>ventanilladeradicacion@colombiacompra.gov.co</w:t>
        </w:r>
      </w:hyperlink>
    </w:p>
    <w:p w14:paraId="0F49B289" w14:textId="77777777" w:rsidR="0051671F" w:rsidRPr="004C4825" w:rsidRDefault="0051671F" w:rsidP="0051671F">
      <w:pPr>
        <w:pStyle w:val="Prrafodelista"/>
        <w:numPr>
          <w:ilvl w:val="0"/>
          <w:numId w:val="15"/>
        </w:numPr>
        <w:spacing w:after="0"/>
        <w:rPr>
          <w:rFonts w:ascii="Verdana" w:eastAsia="Verdana" w:hAnsi="Verdana" w:cs="Verdana"/>
          <w:color w:val="0000FF"/>
          <w:u w:val="single"/>
        </w:rPr>
      </w:pPr>
      <w:r w:rsidRPr="004C4825">
        <w:rPr>
          <w:rFonts w:ascii="Verdana" w:eastAsia="Verdana" w:hAnsi="Verdana" w:cs="Verdana"/>
        </w:rPr>
        <w:t>Formulario web para</w:t>
      </w:r>
      <w:r w:rsidRPr="004C4825">
        <w:rPr>
          <w:rFonts w:ascii="Verdana" w:eastAsia="Verdana" w:hAnsi="Verdana" w:cs="Verdana"/>
          <w:lang w:val="es"/>
        </w:rPr>
        <w:t xml:space="preserve"> PQRSD: </w:t>
      </w:r>
      <w:hyperlink r:id="rId18">
        <w:r w:rsidRPr="004C4825">
          <w:rPr>
            <w:rStyle w:val="Hipervnculo"/>
            <w:rFonts w:ascii="Verdana" w:eastAsia="Verdana" w:hAnsi="Verdana" w:cs="Verdana"/>
          </w:rPr>
          <w:t>https://www.colombiacompra.gov.co/pqrsd/informacion-importante-antes-de-formular-una-pqrsd</w:t>
        </w:r>
      </w:hyperlink>
    </w:p>
    <w:p w14:paraId="1952F030" w14:textId="77777777" w:rsidR="0051671F" w:rsidRPr="0038088D" w:rsidRDefault="0051671F" w:rsidP="0051671F">
      <w:pPr>
        <w:spacing w:after="0" w:line="240" w:lineRule="auto"/>
        <w:ind w:left="720"/>
        <w:jc w:val="both"/>
        <w:rPr>
          <w:rFonts w:ascii="Verdana" w:hAnsi="Verdana"/>
        </w:rPr>
      </w:pPr>
    </w:p>
    <w:p w14:paraId="1DD520AE" w14:textId="77777777" w:rsidR="0051671F" w:rsidRPr="0038088D" w:rsidRDefault="0051671F" w:rsidP="0051671F">
      <w:pPr>
        <w:spacing w:after="0" w:line="240" w:lineRule="auto"/>
        <w:rPr>
          <w:rFonts w:ascii="Verdana" w:hAnsi="Verdana"/>
        </w:rPr>
      </w:pPr>
      <w:r w:rsidRPr="0038088D">
        <w:rPr>
          <w:rFonts w:ascii="Verdana" w:hAnsi="Verdana"/>
        </w:rPr>
        <w:lastRenderedPageBreak/>
        <w:t>Evalúa el servicio que ofrece la Agencia por el canal de atención de PQRSD en el siguiente enlace :</w:t>
      </w:r>
      <w:hyperlink r:id="rId19"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14537261" w14:textId="77777777" w:rsidR="0051671F" w:rsidRPr="0038088D" w:rsidRDefault="0051671F" w:rsidP="0051671F">
      <w:pPr>
        <w:spacing w:after="0" w:line="240" w:lineRule="auto"/>
        <w:rPr>
          <w:rFonts w:ascii="Verdana" w:hAnsi="Verdana"/>
        </w:rPr>
      </w:pPr>
    </w:p>
    <w:p w14:paraId="6057AB6F" w14:textId="77777777" w:rsidR="0051671F" w:rsidRPr="0038088D" w:rsidRDefault="0051671F" w:rsidP="0051671F">
      <w:pPr>
        <w:spacing w:after="0" w:line="240"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1E58A402" w14:textId="77777777" w:rsidR="0051671F" w:rsidRPr="00116940" w:rsidRDefault="0051671F" w:rsidP="0051671F">
      <w:pPr>
        <w:spacing w:after="0" w:line="240" w:lineRule="auto"/>
        <w:jc w:val="both"/>
        <w:rPr>
          <w:rFonts w:ascii="Verdana" w:hAnsi="Verdana"/>
        </w:rPr>
      </w:pPr>
    </w:p>
    <w:p w14:paraId="49989CAB" w14:textId="77777777" w:rsidR="0051671F" w:rsidRPr="00116940" w:rsidRDefault="0051671F" w:rsidP="0051671F">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7EBF31F2" w14:textId="77777777" w:rsidR="0051671F" w:rsidRPr="00116940" w:rsidRDefault="0051671F" w:rsidP="0051671F">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7EC0B5A" w14:textId="77777777" w:rsidR="0051671F" w:rsidRPr="00E22E6E" w:rsidRDefault="0051671F" w:rsidP="0051671F">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057C2788" w14:textId="77777777" w:rsidR="0051671F" w:rsidRPr="004C4825" w:rsidRDefault="0051671F" w:rsidP="0051671F">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t xml:space="preserve"> </w:t>
      </w:r>
      <w:r w:rsidRPr="004A73EC">
        <w:rPr>
          <w:rStyle w:val="normaltextrun"/>
          <w:rFonts w:ascii="Verdana" w:hAnsi="Verdana" w:cs="Arial"/>
          <w:color w:val="FF0000"/>
          <w:shd w:val="clear" w:color="auto" w:fill="FFFFFF"/>
          <w:lang w:val="es-ES_tradnl"/>
        </w:rPr>
        <w:t xml:space="preserve">        </w:t>
      </w:r>
    </w:p>
    <w:p w14:paraId="070549DA" w14:textId="77777777" w:rsidR="0051671F" w:rsidRPr="00593A5F" w:rsidRDefault="0051671F" w:rsidP="0051671F">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70EEE192" w14:textId="77777777" w:rsidR="0051671F" w:rsidRPr="00593A5F" w:rsidRDefault="0051671F" w:rsidP="0051671F">
      <w:pPr>
        <w:widowControl w:val="0"/>
        <w:autoSpaceDE w:val="0"/>
        <w:autoSpaceDN w:val="0"/>
        <w:spacing w:after="0" w:line="276" w:lineRule="auto"/>
        <w:jc w:val="both"/>
        <w:rPr>
          <w:rFonts w:ascii="Verdana" w:hAnsi="Verdana" w:cs="Arial"/>
        </w:rPr>
      </w:pPr>
    </w:p>
    <w:p w14:paraId="175092C8" w14:textId="77777777" w:rsidR="0051671F" w:rsidRPr="00593A5F" w:rsidRDefault="0051671F" w:rsidP="0051671F">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91BB5FC" w14:textId="5F03C790" w:rsidR="0051671F" w:rsidRPr="00593A5F" w:rsidRDefault="00ED2FDC" w:rsidP="0051671F">
      <w:pPr>
        <w:spacing w:line="276" w:lineRule="auto"/>
        <w:jc w:val="center"/>
        <w:rPr>
          <w:rFonts w:ascii="Verdana" w:hAnsi="Verdana" w:cs="Arial"/>
          <w:color w:val="000000"/>
          <w:lang w:val="es-ES_tradnl" w:eastAsia="es-CO"/>
        </w:rPr>
      </w:pPr>
      <w:r>
        <w:rPr>
          <w:noProof/>
        </w:rPr>
        <w:drawing>
          <wp:inline distT="0" distB="0" distL="0" distR="0" wp14:anchorId="2F0BB82E" wp14:editId="6FA58085">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1671F" w:rsidRPr="00593A5F" w14:paraId="2E39FFB8" w14:textId="77777777" w:rsidTr="00820CE5">
        <w:trPr>
          <w:trHeight w:val="315"/>
        </w:trPr>
        <w:tc>
          <w:tcPr>
            <w:tcW w:w="893" w:type="dxa"/>
            <w:vAlign w:val="center"/>
            <w:hideMark/>
          </w:tcPr>
          <w:p w14:paraId="07214849" w14:textId="77777777" w:rsidR="0051671F" w:rsidRPr="003751C7" w:rsidRDefault="0051671F"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2DED3CA" w14:textId="77777777" w:rsidR="0051671F" w:rsidRPr="00254A7A" w:rsidRDefault="0051671F" w:rsidP="00820CE5">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596FB9DC" w14:textId="77777777" w:rsidR="0051671F" w:rsidRPr="00254A7A" w:rsidRDefault="0051671F" w:rsidP="00820CE5">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51671F" w:rsidRPr="00593A5F" w14:paraId="493D4B37" w14:textId="77777777" w:rsidTr="00820CE5">
        <w:trPr>
          <w:trHeight w:val="330"/>
        </w:trPr>
        <w:tc>
          <w:tcPr>
            <w:tcW w:w="893" w:type="dxa"/>
            <w:vAlign w:val="center"/>
            <w:hideMark/>
          </w:tcPr>
          <w:p w14:paraId="021404AC" w14:textId="77777777" w:rsidR="0051671F" w:rsidRPr="003751C7" w:rsidRDefault="0051671F"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503F142" w14:textId="77777777" w:rsidR="0051671F" w:rsidRPr="00254A7A" w:rsidRDefault="0051671F" w:rsidP="00820CE5">
            <w:pPr>
              <w:pStyle w:val="paragraph"/>
              <w:spacing w:after="0"/>
              <w:contextualSpacing/>
              <w:textAlignment w:val="baseline"/>
              <w:rPr>
                <w:rStyle w:val="normaltextrun"/>
                <w:rFonts w:ascii="Verdana" w:hAnsi="Verdana" w:cs="Arial"/>
                <w:sz w:val="16"/>
                <w:szCs w:val="16"/>
                <w:lang w:val="es-ES"/>
              </w:rPr>
            </w:pPr>
            <w:r w:rsidRPr="00254A7A">
              <w:rPr>
                <w:rStyle w:val="normaltextrun"/>
                <w:rFonts w:ascii="Verdana" w:hAnsi="Verdana" w:cs="Arial"/>
                <w:sz w:val="16"/>
                <w:szCs w:val="16"/>
                <w:lang w:val="es-ES"/>
              </w:rPr>
              <w:t>Alejandro Sarmiento Cantillo</w:t>
            </w:r>
          </w:p>
          <w:p w14:paraId="134B425B" w14:textId="77777777" w:rsidR="0051671F" w:rsidRPr="00254A7A" w:rsidRDefault="0051671F" w:rsidP="00820CE5">
            <w:pPr>
              <w:pStyle w:val="paragraph"/>
              <w:spacing w:before="0" w:beforeAutospacing="0" w:after="0" w:afterAutospacing="0"/>
              <w:contextualSpacing/>
              <w:textAlignment w:val="baseline"/>
              <w:rPr>
                <w:rFonts w:ascii="Verdana" w:hAnsi="Verdana" w:cs="Segoe UI"/>
                <w:sz w:val="16"/>
                <w:szCs w:val="16"/>
              </w:rPr>
            </w:pPr>
            <w:r w:rsidRPr="00254A7A">
              <w:rPr>
                <w:rStyle w:val="normaltextrun"/>
                <w:rFonts w:ascii="Verdana" w:hAnsi="Verdana" w:cs="Arial"/>
                <w:sz w:val="16"/>
                <w:szCs w:val="16"/>
                <w:lang w:val="es-ES"/>
              </w:rPr>
              <w:t>Gestor T1 ‒ 15 de la Subdirección de Gestión Contractual</w:t>
            </w:r>
            <w:r w:rsidRPr="00254A7A">
              <w:rPr>
                <w:rStyle w:val="eop"/>
                <w:rFonts w:ascii="Verdana" w:hAnsi="Verdana" w:cs="Arial"/>
                <w:sz w:val="16"/>
                <w:szCs w:val="16"/>
              </w:rPr>
              <w:t> </w:t>
            </w:r>
          </w:p>
        </w:tc>
      </w:tr>
      <w:tr w:rsidR="0051671F" w:rsidRPr="00593A5F" w14:paraId="6DCE7258" w14:textId="77777777" w:rsidTr="00820CE5">
        <w:trPr>
          <w:trHeight w:val="300"/>
        </w:trPr>
        <w:tc>
          <w:tcPr>
            <w:tcW w:w="893" w:type="dxa"/>
            <w:vAlign w:val="center"/>
          </w:tcPr>
          <w:p w14:paraId="4F7B529F" w14:textId="77777777" w:rsidR="0051671F" w:rsidRPr="003751C7" w:rsidRDefault="0051671F" w:rsidP="00820CE5">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91D8F34" w14:textId="77777777" w:rsidR="0051671F" w:rsidRPr="003751C7" w:rsidRDefault="0051671F" w:rsidP="00820CE5">
            <w:pPr>
              <w:contextualSpacing/>
              <w:rPr>
                <w:rFonts w:ascii="Verdana" w:eastAsia="Calibri" w:hAnsi="Verdana" w:cs="Arial"/>
                <w:sz w:val="16"/>
                <w:szCs w:val="16"/>
                <w:lang w:val="pt-BR" w:eastAsia="es-ES"/>
              </w:rPr>
            </w:pPr>
            <w:r w:rsidRPr="003751C7">
              <w:rPr>
                <w:rFonts w:ascii="Verdana" w:eastAsia="Calibri" w:hAnsi="Verdana" w:cs="Arial"/>
                <w:sz w:val="16"/>
                <w:szCs w:val="16"/>
                <w:lang w:val="pt-BR" w:eastAsia="es-ES"/>
              </w:rPr>
              <w:t xml:space="preserve">Carolina Quintero </w:t>
            </w:r>
            <w:proofErr w:type="spellStart"/>
            <w:r w:rsidRPr="003751C7">
              <w:rPr>
                <w:rFonts w:ascii="Verdana" w:eastAsia="Calibri" w:hAnsi="Verdana" w:cs="Arial"/>
                <w:sz w:val="16"/>
                <w:szCs w:val="16"/>
                <w:lang w:val="pt-BR" w:eastAsia="es-ES"/>
              </w:rPr>
              <w:t>Gacharná</w:t>
            </w:r>
            <w:proofErr w:type="spellEnd"/>
          </w:p>
          <w:p w14:paraId="0E0B97E2" w14:textId="77777777" w:rsidR="0051671F" w:rsidRPr="003751C7" w:rsidRDefault="0051671F" w:rsidP="00820CE5">
            <w:pPr>
              <w:contextualSpacing/>
              <w:rPr>
                <w:rFonts w:ascii="Verdana" w:eastAsia="Calibri" w:hAnsi="Verdana" w:cs="Arial"/>
                <w:sz w:val="16"/>
                <w:szCs w:val="16"/>
                <w:lang w:val="pt-BR" w:eastAsia="es-ES"/>
              </w:rPr>
            </w:pPr>
            <w:r w:rsidRPr="003751C7">
              <w:rPr>
                <w:rFonts w:ascii="Verdana" w:eastAsia="Calibri" w:hAnsi="Verdana" w:cs="Arial"/>
                <w:sz w:val="16"/>
                <w:szCs w:val="16"/>
                <w:lang w:eastAsia="es-ES"/>
              </w:rPr>
              <w:t>Subdirectora</w:t>
            </w:r>
            <w:r w:rsidRPr="003751C7">
              <w:rPr>
                <w:rFonts w:ascii="Verdana" w:eastAsia="Calibri" w:hAnsi="Verdana" w:cs="Arial"/>
                <w:sz w:val="16"/>
                <w:szCs w:val="16"/>
                <w:lang w:val="pt-BR" w:eastAsia="es-ES"/>
              </w:rPr>
              <w:t xml:space="preserve"> de Gestión </w:t>
            </w:r>
            <w:proofErr w:type="spellStart"/>
            <w:r w:rsidRPr="003751C7">
              <w:rPr>
                <w:rFonts w:ascii="Verdana" w:eastAsia="Calibri" w:hAnsi="Verdana" w:cs="Arial"/>
                <w:sz w:val="16"/>
                <w:szCs w:val="16"/>
                <w:lang w:val="pt-BR" w:eastAsia="es-ES"/>
              </w:rPr>
              <w:t>Contractual</w:t>
            </w:r>
            <w:proofErr w:type="spellEnd"/>
            <w:r w:rsidRPr="003751C7">
              <w:rPr>
                <w:rFonts w:ascii="Verdana" w:eastAsia="Calibri" w:hAnsi="Verdana" w:cs="Arial"/>
                <w:sz w:val="16"/>
                <w:szCs w:val="16"/>
                <w:lang w:val="pt-BR" w:eastAsia="es-ES"/>
              </w:rPr>
              <w:t xml:space="preserve"> ANCP – CCE</w:t>
            </w:r>
          </w:p>
        </w:tc>
      </w:tr>
    </w:tbl>
    <w:p w14:paraId="2405917B" w14:textId="77777777" w:rsidR="0051671F" w:rsidRDefault="0051671F" w:rsidP="0051671F">
      <w:pPr>
        <w:spacing w:after="0" w:line="240" w:lineRule="auto"/>
        <w:rPr>
          <w:rFonts w:ascii="Verdana" w:eastAsia="Times New Roman" w:hAnsi="Verdana" w:cs="Arial"/>
          <w:sz w:val="24"/>
          <w:szCs w:val="24"/>
          <w:lang w:eastAsia="es-ES"/>
        </w:rPr>
      </w:pPr>
    </w:p>
    <w:p w14:paraId="04AAEABD" w14:textId="667BDD31" w:rsidR="0051671F" w:rsidRPr="00593A5F" w:rsidRDefault="0051671F" w:rsidP="0051671F">
      <w:pPr>
        <w:spacing w:after="0" w:line="240" w:lineRule="auto"/>
        <w:rPr>
          <w:rFonts w:ascii="Verdana" w:eastAsia="Times New Roman" w:hAnsi="Verdana" w:cs="Arial"/>
          <w:sz w:val="24"/>
          <w:szCs w:val="24"/>
          <w:lang w:eastAsia="es-ES"/>
        </w:rPr>
      </w:pPr>
    </w:p>
    <w:p w14:paraId="0F293BF4" w14:textId="21F15C25" w:rsidR="00127233" w:rsidRPr="004C531B" w:rsidRDefault="00127233" w:rsidP="004C531B"/>
    <w:sectPr w:rsidR="00127233" w:rsidRPr="004C531B"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8E20" w14:textId="77777777" w:rsidR="000934B9" w:rsidRDefault="000934B9" w:rsidP="004A1847">
      <w:pPr>
        <w:spacing w:after="0" w:line="240" w:lineRule="auto"/>
      </w:pPr>
      <w:r>
        <w:separator/>
      </w:r>
    </w:p>
  </w:endnote>
  <w:endnote w:type="continuationSeparator" w:id="0">
    <w:p w14:paraId="4ABB4FE5" w14:textId="77777777" w:rsidR="000934B9" w:rsidRDefault="000934B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E448E" w14:textId="77777777" w:rsidR="000934B9" w:rsidRDefault="000934B9" w:rsidP="004A1847">
      <w:pPr>
        <w:spacing w:after="0" w:line="240" w:lineRule="auto"/>
      </w:pPr>
      <w:r>
        <w:separator/>
      </w:r>
    </w:p>
  </w:footnote>
  <w:footnote w:type="continuationSeparator" w:id="0">
    <w:p w14:paraId="6E4E4A22" w14:textId="77777777" w:rsidR="000934B9" w:rsidRDefault="000934B9" w:rsidP="004A1847">
      <w:pPr>
        <w:spacing w:after="0" w:line="240" w:lineRule="auto"/>
      </w:pPr>
      <w:r>
        <w:continuationSeparator/>
      </w:r>
    </w:p>
  </w:footnote>
  <w:footnote w:id="1">
    <w:p w14:paraId="697E0788" w14:textId="77777777" w:rsidR="0051671F" w:rsidRPr="00CC2A45" w:rsidRDefault="0051671F" w:rsidP="0051671F">
      <w:pPr>
        <w:pStyle w:val="Textonotapie"/>
        <w:jc w:val="both"/>
        <w:rPr>
          <w:rFonts w:ascii="Verdana" w:hAnsi="Verdana" w:cs="Arial"/>
          <w:iCs/>
          <w:color w:val="000000" w:themeColor="text1"/>
          <w:sz w:val="16"/>
          <w:szCs w:val="16"/>
        </w:rPr>
      </w:pPr>
      <w:r w:rsidRPr="00CC2A45">
        <w:rPr>
          <w:rFonts w:ascii="Verdana" w:hAnsi="Verdana" w:cs="Arial"/>
          <w:iCs/>
          <w:color w:val="000000" w:themeColor="text1"/>
          <w:sz w:val="16"/>
          <w:szCs w:val="16"/>
        </w:rPr>
        <w:tab/>
      </w:r>
      <w:r w:rsidRPr="00CC2A45">
        <w:rPr>
          <w:rFonts w:ascii="Verdana" w:hAnsi="Verdana" w:cs="Arial"/>
          <w:iCs/>
          <w:color w:val="000000" w:themeColor="text1"/>
          <w:sz w:val="16"/>
          <w:szCs w:val="16"/>
          <w:vertAlign w:val="superscript"/>
        </w:rPr>
        <w:footnoteRef/>
      </w:r>
      <w:r w:rsidRPr="00CC2A45">
        <w:rPr>
          <w:rFonts w:ascii="Verdana" w:hAnsi="Verdana" w:cs="Arial"/>
          <w:iCs/>
          <w:color w:val="000000" w:themeColor="text1"/>
          <w:sz w:val="16"/>
          <w:szCs w:val="16"/>
        </w:rPr>
        <w:t xml:space="preserve"> Sección Tercera, Sentencia del 12 de julio de 2012, expediente 15.024 y ponencia de Danilo Rojas Betancourth.</w:t>
      </w:r>
    </w:p>
  </w:footnote>
  <w:footnote w:id="2">
    <w:p w14:paraId="22F3CC18" w14:textId="77777777" w:rsidR="0051671F" w:rsidRPr="00CC2A45" w:rsidRDefault="0051671F" w:rsidP="0051671F">
      <w:pPr>
        <w:pStyle w:val="Textonotapie"/>
        <w:jc w:val="both"/>
        <w:rPr>
          <w:rFonts w:ascii="Verdana" w:hAnsi="Verdana" w:cs="Arial"/>
          <w:color w:val="000000" w:themeColor="text1"/>
          <w:sz w:val="16"/>
          <w:szCs w:val="16"/>
        </w:rPr>
      </w:pPr>
      <w:r w:rsidRPr="00CC2A45">
        <w:rPr>
          <w:rFonts w:ascii="Verdana" w:hAnsi="Verdana" w:cs="Arial"/>
          <w:iCs/>
          <w:color w:val="000000" w:themeColor="text1"/>
          <w:sz w:val="16"/>
          <w:szCs w:val="16"/>
        </w:rPr>
        <w:tab/>
      </w:r>
      <w:r w:rsidRPr="00CC2A45">
        <w:rPr>
          <w:rFonts w:ascii="Verdana" w:hAnsi="Verdana" w:cs="Arial"/>
          <w:iCs/>
          <w:color w:val="000000" w:themeColor="text1"/>
          <w:sz w:val="16"/>
          <w:szCs w:val="16"/>
          <w:vertAlign w:val="superscript"/>
        </w:rPr>
        <w:footnoteRef/>
      </w:r>
      <w:r w:rsidRPr="00CC2A45">
        <w:rPr>
          <w:rFonts w:ascii="Verdana" w:hAnsi="Verdana" w:cs="Arial"/>
          <w:iCs/>
          <w:color w:val="000000" w:themeColor="text1"/>
          <w:sz w:val="16"/>
          <w:szCs w:val="16"/>
        </w:rPr>
        <w:t xml:space="preserve"> Motivo por el cual son típicas cláusulas accidentales dentro de los contratos estatales, en los términos del artículo 1501 del Código Civil.</w:t>
      </w:r>
    </w:p>
  </w:footnote>
  <w:footnote w:id="3">
    <w:p w14:paraId="7DE97D78" w14:textId="77777777" w:rsidR="0051671F" w:rsidRPr="00CC2A45" w:rsidRDefault="0051671F" w:rsidP="0051671F">
      <w:pPr>
        <w:pStyle w:val="Textonotapie"/>
        <w:ind w:firstLine="708"/>
        <w:jc w:val="both"/>
        <w:rPr>
          <w:rFonts w:ascii="Verdana" w:hAnsi="Verdana" w:cs="Arial"/>
          <w:color w:val="000000" w:themeColor="text1"/>
          <w:sz w:val="16"/>
          <w:szCs w:val="16"/>
        </w:rPr>
      </w:pPr>
      <w:r w:rsidRPr="00CC2A45">
        <w:rPr>
          <w:rStyle w:val="Refdenotaalpie"/>
          <w:rFonts w:ascii="Verdana" w:hAnsi="Verdana" w:cs="Arial"/>
          <w:color w:val="000000" w:themeColor="text1"/>
          <w:sz w:val="16"/>
          <w:szCs w:val="16"/>
        </w:rPr>
        <w:footnoteRef/>
      </w:r>
      <w:r w:rsidRPr="00CC2A45">
        <w:rPr>
          <w:rFonts w:ascii="Verdana" w:hAnsi="Verdana" w:cs="Arial"/>
          <w:color w:val="000000" w:themeColor="text1"/>
          <w:sz w:val="16"/>
          <w:szCs w:val="16"/>
        </w:rPr>
        <w:t xml:space="preserve"> CONSEJO DE ESTADO. Sección Tercera. Exp. 17.009. C.P. Enrique Gil Botero.</w:t>
      </w:r>
    </w:p>
  </w:footnote>
  <w:footnote w:id="4">
    <w:p w14:paraId="017F731D" w14:textId="77777777" w:rsidR="0051671F" w:rsidRPr="00CC2A45" w:rsidRDefault="0051671F" w:rsidP="0051671F">
      <w:pPr>
        <w:pStyle w:val="Textonotapie"/>
        <w:ind w:firstLine="708"/>
        <w:jc w:val="both"/>
        <w:rPr>
          <w:rFonts w:ascii="Verdana" w:hAnsi="Verdana" w:cs="Arial"/>
          <w:color w:val="000000" w:themeColor="text1"/>
          <w:sz w:val="16"/>
          <w:szCs w:val="16"/>
        </w:rPr>
      </w:pPr>
      <w:r w:rsidRPr="00CC2A45">
        <w:rPr>
          <w:rStyle w:val="Refdenotaalpie"/>
          <w:rFonts w:ascii="Verdana" w:hAnsi="Verdana" w:cs="Arial"/>
          <w:color w:val="000000" w:themeColor="text1"/>
          <w:sz w:val="16"/>
          <w:szCs w:val="16"/>
        </w:rPr>
        <w:footnoteRef/>
      </w:r>
      <w:r w:rsidRPr="00CC2A45">
        <w:rPr>
          <w:rFonts w:ascii="Verdana" w:hAnsi="Verdana" w:cs="Arial"/>
          <w:color w:val="000000" w:themeColor="text1"/>
          <w:sz w:val="16"/>
          <w:szCs w:val="16"/>
        </w:rPr>
        <w:t xml:space="preserve"> Corte Constitucional. Sentencia C-827 de 2001. M.P. Álvaro Tafur Galvis.</w:t>
      </w:r>
    </w:p>
  </w:footnote>
  <w:footnote w:id="5">
    <w:p w14:paraId="116FBF15" w14:textId="77777777" w:rsidR="0051671F" w:rsidRPr="00CC2A45" w:rsidRDefault="0051671F" w:rsidP="0051671F">
      <w:pPr>
        <w:pStyle w:val="Textonotapie"/>
        <w:jc w:val="both"/>
        <w:rPr>
          <w:rFonts w:ascii="Verdana" w:hAnsi="Verdana" w:cs="Arial"/>
          <w:color w:val="000000" w:themeColor="text1"/>
          <w:sz w:val="16"/>
          <w:szCs w:val="16"/>
        </w:rPr>
      </w:pPr>
      <w:r w:rsidRPr="00CC2A45">
        <w:rPr>
          <w:rFonts w:ascii="Verdana" w:hAnsi="Verdana" w:cs="Arial"/>
          <w:color w:val="000000" w:themeColor="text1"/>
          <w:sz w:val="16"/>
          <w:szCs w:val="16"/>
          <w:vertAlign w:val="superscript"/>
        </w:rPr>
        <w:tab/>
      </w:r>
      <w:r w:rsidRPr="00CC2A45">
        <w:rPr>
          <w:rFonts w:ascii="Verdana" w:hAnsi="Verdana" w:cs="Arial"/>
          <w:color w:val="000000" w:themeColor="text1"/>
          <w:sz w:val="16"/>
          <w:szCs w:val="16"/>
          <w:vertAlign w:val="superscript"/>
        </w:rPr>
        <w:footnoteRef/>
      </w:r>
      <w:r w:rsidRPr="00CC2A45">
        <w:rPr>
          <w:rFonts w:ascii="Verdana" w:hAnsi="Verdana" w:cs="Arial"/>
          <w:color w:val="000000" w:themeColor="text1"/>
          <w:sz w:val="16"/>
          <w:szCs w:val="16"/>
          <w:vertAlign w:val="superscript"/>
        </w:rPr>
        <w:t xml:space="preserve"> </w:t>
      </w:r>
      <w:r w:rsidRPr="00CC2A45">
        <w:rPr>
          <w:rFonts w:ascii="Verdana" w:hAnsi="Verdana" w:cs="Arial"/>
          <w:color w:val="000000" w:themeColor="text1"/>
          <w:sz w:val="16"/>
          <w:szCs w:val="16"/>
        </w:rPr>
        <w:t>Sentencia del 13 de noviembre de 2008, expediente 17.009, C.P. Enrique Gil Botero.</w:t>
      </w:r>
    </w:p>
  </w:footnote>
  <w:footnote w:id="6">
    <w:p w14:paraId="07024E2B" w14:textId="77777777" w:rsidR="0051671F" w:rsidRPr="00CC2A45" w:rsidRDefault="0051671F" w:rsidP="0051671F">
      <w:pPr>
        <w:pStyle w:val="Textonotapie"/>
        <w:ind w:firstLine="708"/>
        <w:rPr>
          <w:rFonts w:ascii="Verdana" w:hAnsi="Verdana"/>
          <w:sz w:val="16"/>
          <w:szCs w:val="16"/>
          <w:lang w:val="es-ES"/>
        </w:rPr>
      </w:pPr>
      <w:r w:rsidRPr="00CC2A45">
        <w:rPr>
          <w:rStyle w:val="Refdenotaalpie"/>
          <w:rFonts w:ascii="Verdana" w:hAnsi="Verdana"/>
          <w:sz w:val="16"/>
          <w:szCs w:val="16"/>
        </w:rPr>
        <w:footnoteRef/>
      </w:r>
      <w:r w:rsidRPr="00CC2A45">
        <w:rPr>
          <w:rFonts w:ascii="Verdana" w:hAnsi="Verdana"/>
          <w:sz w:val="16"/>
          <w:szCs w:val="16"/>
          <w:lang w:val="es-ES"/>
        </w:rPr>
        <w:t xml:space="preserve"> REAL ACADEMIA DE LA LENGUA ESPAÑOLA. Diccionario Panhispánico Jurídico. Disponible en línea: </w:t>
      </w:r>
      <w:hyperlink r:id="rId1" w:history="1">
        <w:r w:rsidRPr="00CC2A45">
          <w:rPr>
            <w:rStyle w:val="Hipervnculo"/>
            <w:rFonts w:ascii="Verdana" w:hAnsi="Verdana"/>
            <w:sz w:val="16"/>
            <w:szCs w:val="16"/>
            <w:lang w:val="es-ES"/>
          </w:rPr>
          <w:t>https://dpej.rae.es/lema/incumplimiento-de-contrato</w:t>
        </w:r>
      </w:hyperlink>
      <w:r w:rsidRPr="00CC2A45">
        <w:rPr>
          <w:rFonts w:ascii="Verdana" w:hAnsi="Verdana"/>
          <w:sz w:val="16"/>
          <w:szCs w:val="16"/>
          <w:lang w:val="es-ES"/>
        </w:rPr>
        <w:t xml:space="preserve"> </w:t>
      </w:r>
    </w:p>
  </w:footnote>
  <w:footnote w:id="7">
    <w:p w14:paraId="7E7D75D0" w14:textId="77777777" w:rsidR="0051671F" w:rsidRPr="00CC2A45" w:rsidRDefault="0051671F" w:rsidP="0051671F">
      <w:pPr>
        <w:pStyle w:val="Textonotapie"/>
        <w:ind w:firstLine="708"/>
        <w:jc w:val="both"/>
        <w:rPr>
          <w:rFonts w:ascii="Verdana" w:hAnsi="Verdana"/>
          <w:sz w:val="16"/>
          <w:szCs w:val="16"/>
          <w:lang w:val="es-ES"/>
        </w:rPr>
      </w:pPr>
      <w:r w:rsidRPr="00CC2A45">
        <w:rPr>
          <w:rStyle w:val="Refdenotaalpie"/>
          <w:rFonts w:ascii="Verdana" w:hAnsi="Verdana"/>
          <w:sz w:val="16"/>
          <w:szCs w:val="16"/>
        </w:rPr>
        <w:footnoteRef/>
      </w:r>
      <w:r w:rsidRPr="00CC2A45">
        <w:rPr>
          <w:rFonts w:ascii="Verdana" w:hAnsi="Verdana"/>
          <w:sz w:val="16"/>
          <w:szCs w:val="16"/>
        </w:rPr>
        <w:t xml:space="preserve"> MONTOYA PENAGOS, Juan David. Terminación unilateral por incumplimiento. Medellín: Librería Jurídica Sánchez S.A.S. y CEDA, 2025. p. 255. </w:t>
      </w:r>
    </w:p>
  </w:footnote>
  <w:footnote w:id="8">
    <w:p w14:paraId="2E1D98DF" w14:textId="77777777" w:rsidR="0051671F" w:rsidRPr="00CC2A45" w:rsidRDefault="0051671F" w:rsidP="0051671F">
      <w:pPr>
        <w:pStyle w:val="Textonotapie"/>
        <w:ind w:firstLine="708"/>
        <w:rPr>
          <w:rFonts w:ascii="Verdana" w:hAnsi="Verdana"/>
          <w:sz w:val="16"/>
          <w:szCs w:val="16"/>
          <w:lang w:val="es-ES"/>
        </w:rPr>
      </w:pPr>
      <w:r w:rsidRPr="00CC2A45">
        <w:rPr>
          <w:rStyle w:val="Refdenotaalpie"/>
          <w:rFonts w:ascii="Verdana" w:hAnsi="Verdana"/>
          <w:sz w:val="16"/>
          <w:szCs w:val="16"/>
        </w:rPr>
        <w:footnoteRef/>
      </w:r>
      <w:r w:rsidRPr="00CC2A45">
        <w:rPr>
          <w:rFonts w:ascii="Verdana" w:hAnsi="Verdana"/>
          <w:sz w:val="16"/>
          <w:szCs w:val="16"/>
        </w:rPr>
        <w:t xml:space="preserve"> Ibídem., p. 256. </w:t>
      </w:r>
    </w:p>
  </w:footnote>
  <w:footnote w:id="9">
    <w:p w14:paraId="407E7F40" w14:textId="77777777" w:rsidR="0051671F" w:rsidRPr="00CC2A45" w:rsidRDefault="0051671F" w:rsidP="0051671F">
      <w:pPr>
        <w:pStyle w:val="Textonotapie"/>
        <w:ind w:firstLine="708"/>
        <w:jc w:val="both"/>
        <w:rPr>
          <w:rFonts w:ascii="Verdana" w:hAnsi="Verdana" w:cs="Arial"/>
          <w:color w:val="000000" w:themeColor="text1"/>
          <w:sz w:val="16"/>
          <w:szCs w:val="16"/>
        </w:rPr>
      </w:pPr>
      <w:r w:rsidRPr="00CC2A45">
        <w:rPr>
          <w:rStyle w:val="Refdenotaalpie"/>
          <w:rFonts w:ascii="Verdana" w:hAnsi="Verdana" w:cs="Arial"/>
          <w:color w:val="000000" w:themeColor="text1"/>
          <w:sz w:val="16"/>
          <w:szCs w:val="16"/>
        </w:rPr>
        <w:footnoteRef/>
      </w:r>
      <w:r w:rsidRPr="00CC2A45">
        <w:rPr>
          <w:rFonts w:ascii="Verdana" w:hAnsi="Verdana" w:cs="Arial"/>
          <w:color w:val="000000" w:themeColor="text1"/>
          <w:sz w:val="16"/>
          <w:szCs w:val="16"/>
        </w:rPr>
        <w:t xml:space="preserve"> Corte Constitucional. Sentencia C-499 de 2015. M.P. Mauricio González Cuervo.</w:t>
      </w:r>
    </w:p>
  </w:footnote>
  <w:footnote w:id="10">
    <w:p w14:paraId="4FE484BA" w14:textId="77777777" w:rsidR="0051671F" w:rsidRPr="00CC2A45" w:rsidRDefault="0051671F" w:rsidP="0051671F">
      <w:pPr>
        <w:pStyle w:val="Textonotapie"/>
        <w:ind w:firstLine="708"/>
        <w:rPr>
          <w:rFonts w:ascii="Verdana" w:hAnsi="Verdana" w:cs="Arial"/>
          <w:sz w:val="16"/>
          <w:szCs w:val="16"/>
          <w:lang w:val="es-ES"/>
        </w:rPr>
      </w:pPr>
      <w:r w:rsidRPr="00CC2A45">
        <w:rPr>
          <w:rStyle w:val="Refdenotaalpie"/>
          <w:rFonts w:ascii="Verdana" w:hAnsi="Verdana" w:cs="Arial"/>
          <w:sz w:val="16"/>
          <w:szCs w:val="16"/>
        </w:rPr>
        <w:footnoteRef/>
      </w:r>
      <w:r w:rsidRPr="00CC2A45">
        <w:rPr>
          <w:rFonts w:ascii="Verdana" w:hAnsi="Verdana" w:cs="Arial"/>
          <w:sz w:val="16"/>
          <w:szCs w:val="16"/>
        </w:rPr>
        <w:t xml:space="preserve"> Corte Constitucional. Sentencia C-317 de 2012. M.P. María Victoria Calle Correa. </w:t>
      </w:r>
    </w:p>
  </w:footnote>
  <w:footnote w:id="11">
    <w:p w14:paraId="0CC4C28B" w14:textId="77777777" w:rsidR="0051671F" w:rsidRPr="00CC2A45" w:rsidRDefault="0051671F" w:rsidP="0051671F">
      <w:pPr>
        <w:pStyle w:val="Textonotapie"/>
        <w:ind w:firstLine="708"/>
        <w:jc w:val="both"/>
        <w:rPr>
          <w:rFonts w:ascii="Verdana" w:hAnsi="Verdana" w:cs="Arial"/>
          <w:sz w:val="16"/>
          <w:szCs w:val="16"/>
          <w:lang w:val="es-CO"/>
        </w:rPr>
      </w:pPr>
      <w:r w:rsidRPr="00CC2A45">
        <w:rPr>
          <w:rStyle w:val="Refdenotaalpie"/>
          <w:rFonts w:ascii="Verdana" w:hAnsi="Verdana"/>
          <w:sz w:val="16"/>
          <w:szCs w:val="16"/>
        </w:rPr>
        <w:footnoteRef/>
      </w:r>
      <w:r w:rsidRPr="00CC2A45">
        <w:rPr>
          <w:rFonts w:ascii="Verdana" w:hAnsi="Verdana"/>
          <w:sz w:val="16"/>
          <w:szCs w:val="16"/>
        </w:rPr>
        <w:t xml:space="preserve"> </w:t>
      </w:r>
      <w:r w:rsidRPr="00CC2A45">
        <w:rPr>
          <w:rFonts w:ascii="Verdana" w:hAnsi="Verdana" w:cs="Arial"/>
          <w:sz w:val="16"/>
          <w:szCs w:val="16"/>
        </w:rPr>
        <w:t>Esta misma interpretación se expuso en el concepto C-211 del 21 de abril de 2020 y conforme a las líneas anteriores se deben entender las consideraciones realizadas en dicho concepto.</w:t>
      </w:r>
    </w:p>
  </w:footnote>
  <w:footnote w:id="12">
    <w:p w14:paraId="73680258" w14:textId="77777777" w:rsidR="0051671F" w:rsidRPr="00CC2A45" w:rsidRDefault="0051671F" w:rsidP="0051671F">
      <w:pPr>
        <w:pStyle w:val="Textonotapie"/>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El inciso primero del último artículo establece: “Artículo 13. </w:t>
      </w:r>
      <w:bookmarkStart w:id="2" w:name="13"/>
      <w:r w:rsidRPr="00CC2A45">
        <w:rPr>
          <w:rFonts w:ascii="Verdana" w:hAnsi="Verdana" w:cs="Arial"/>
          <w:sz w:val="16"/>
          <w:szCs w:val="16"/>
        </w:rPr>
        <w:t>De la normatividad aplicable a los contratos estatales.</w:t>
      </w:r>
      <w:bookmarkEnd w:id="2"/>
      <w:r w:rsidRPr="00CC2A45">
        <w:rPr>
          <w:rFonts w:ascii="Verdana" w:hAnsi="Verdana" w:cs="Arial"/>
          <w:sz w:val="16"/>
          <w:szCs w:val="16"/>
        </w:rPr>
        <w:t> Los contratos que celebren las entidades a que se refiere el artículo </w:t>
      </w:r>
      <w:hyperlink r:id="rId2" w:anchor="2" w:history="1">
        <w:r w:rsidRPr="00CC2A45">
          <w:rPr>
            <w:rFonts w:ascii="Verdana" w:hAnsi="Verdana" w:cs="Arial"/>
            <w:sz w:val="16"/>
            <w:szCs w:val="16"/>
          </w:rPr>
          <w:t>2</w:t>
        </w:r>
      </w:hyperlink>
      <w:r w:rsidRPr="00CC2A45">
        <w:rPr>
          <w:rFonts w:ascii="Verdana" w:hAnsi="Verdana" w:cs="Arial"/>
          <w:sz w:val="16"/>
          <w:szCs w:val="16"/>
        </w:rPr>
        <w:t>o. del presente estatuto se regirán por las disposiciones comerciales y civiles pertinentes, salvo en las materias particularmente reguladas en esta ley”.</w:t>
      </w:r>
    </w:p>
  </w:footnote>
  <w:footnote w:id="13">
    <w:p w14:paraId="782EDE7B" w14:textId="77777777" w:rsidR="0051671F" w:rsidRPr="00CC2A45" w:rsidRDefault="0051671F" w:rsidP="0051671F">
      <w:pPr>
        <w:pStyle w:val="Textonotapie"/>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“Artículo 1596. Rebaja de pena por cumplimiento parcial. Si el deudor cumple solamente una parte de la obligación principal y el acreedor acepta esta parte, tendrá derecho para que se rebaje proporcionalmente la pena estipulada por falta de cumplimiento de la obligación principal”.</w:t>
      </w:r>
    </w:p>
  </w:footnote>
  <w:footnote w:id="14">
    <w:p w14:paraId="3919FFE8" w14:textId="77777777" w:rsidR="0051671F" w:rsidRPr="00CC2A45" w:rsidRDefault="0051671F" w:rsidP="0051671F">
      <w:pPr>
        <w:pStyle w:val="Textonotapie"/>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“Artículo 867. Cuando se estipule el pago de una prestación determinada para el caso de incumplimiento, o de mora, se entenderá que las partes no pueden retractarse. </w:t>
      </w:r>
    </w:p>
    <w:p w14:paraId="357B3E6C" w14:textId="77777777" w:rsidR="0051671F" w:rsidRPr="00CC2A45" w:rsidRDefault="0051671F" w:rsidP="0051671F">
      <w:pPr>
        <w:pStyle w:val="Textonotapie"/>
        <w:ind w:firstLine="708"/>
        <w:jc w:val="both"/>
        <w:rPr>
          <w:rFonts w:ascii="Verdana" w:hAnsi="Verdana" w:cs="Arial"/>
          <w:sz w:val="16"/>
          <w:szCs w:val="16"/>
        </w:rPr>
      </w:pPr>
      <w:r w:rsidRPr="00CC2A45">
        <w:rPr>
          <w:rFonts w:ascii="Verdana" w:hAnsi="Verdana" w:cs="Arial"/>
          <w:sz w:val="16"/>
          <w:szCs w:val="16"/>
        </w:rPr>
        <w:t xml:space="preserve">“Cuando la prestación principal esté determinada o sea determinable en una suma cierta de dinero la pena no podrá ser superior al monto de aquella. </w:t>
      </w:r>
    </w:p>
    <w:p w14:paraId="54169897" w14:textId="77777777" w:rsidR="0051671F" w:rsidRPr="00CC2A45" w:rsidRDefault="0051671F" w:rsidP="0051671F">
      <w:pPr>
        <w:pStyle w:val="Textonotapie"/>
        <w:ind w:firstLine="708"/>
        <w:jc w:val="both"/>
        <w:rPr>
          <w:rFonts w:ascii="Verdana" w:hAnsi="Verdana" w:cs="Arial"/>
          <w:sz w:val="16"/>
          <w:szCs w:val="16"/>
        </w:rPr>
      </w:pPr>
      <w:r w:rsidRPr="00CC2A45">
        <w:rPr>
          <w:rFonts w:ascii="Verdana" w:hAnsi="Verdana" w:cs="Arial"/>
          <w:sz w:val="16"/>
          <w:szCs w:val="16"/>
        </w:rPr>
        <w:t>“</w:t>
      </w:r>
      <w:r w:rsidRPr="00CC2A45">
        <w:rPr>
          <w:rFonts w:ascii="Verdana" w:hAnsi="Verdana" w:cs="Arial"/>
          <w:i/>
          <w:iCs/>
          <w:sz w:val="16"/>
          <w:szCs w:val="16"/>
        </w:rPr>
        <w:t>Cuando la prestación principal no esté determinada ni sea determinable en una suma cierta de dinero, podrá el juez reducir equitativamente la pena, si la considera manifiestamente excesiva habida cuenta del interés que tenga el acreedor en que se cumpla la obligación. Lo mismo hará cuando la obligación principal se haya cumplido en parte</w:t>
      </w:r>
      <w:r w:rsidRPr="00CC2A45">
        <w:rPr>
          <w:rFonts w:ascii="Verdana" w:hAnsi="Verdana" w:cs="Arial"/>
          <w:sz w:val="16"/>
          <w:szCs w:val="16"/>
        </w:rPr>
        <w:t>” (Cursiva fuera del original).</w:t>
      </w:r>
    </w:p>
    <w:p w14:paraId="01E8AD27" w14:textId="77777777" w:rsidR="0051671F" w:rsidRPr="00CC2A45" w:rsidRDefault="0051671F" w:rsidP="0051671F">
      <w:pPr>
        <w:pStyle w:val="Textonotapie"/>
        <w:ind w:firstLine="708"/>
        <w:jc w:val="both"/>
        <w:rPr>
          <w:rFonts w:ascii="Verdana" w:hAnsi="Verdana" w:cs="Arial"/>
          <w:sz w:val="16"/>
          <w:szCs w:val="16"/>
          <w:lang w:val="es-CO"/>
        </w:rPr>
      </w:pPr>
    </w:p>
  </w:footnote>
  <w:footnote w:id="15">
    <w:p w14:paraId="564771E8" w14:textId="77777777" w:rsidR="0051671F" w:rsidRPr="00CC2A45" w:rsidRDefault="0051671F" w:rsidP="0051671F">
      <w:pPr>
        <w:pStyle w:val="Textonotapie"/>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CONSEJO DE ESTADO. Sección Tercera. Sentencia del 13 de noviembre de 2008. Exp: 17.009. C.P. Enrique Gil Botero. </w:t>
      </w:r>
    </w:p>
  </w:footnote>
  <w:footnote w:id="16">
    <w:p w14:paraId="0DE9A8BA" w14:textId="77777777" w:rsidR="0051671F" w:rsidRPr="00CC2A45" w:rsidRDefault="0051671F" w:rsidP="0051671F">
      <w:pPr>
        <w:spacing w:after="0" w:line="240" w:lineRule="auto"/>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CONSEJO DE ESTADO, Sala de lo Contencioso Administrativo, Sección Tercera. Sentencia del 13 de noviembre de 2008, exp. 17009.  </w:t>
      </w:r>
    </w:p>
  </w:footnote>
  <w:footnote w:id="17">
    <w:p w14:paraId="57FAB113" w14:textId="77777777" w:rsidR="0051671F" w:rsidRPr="00CC2A45" w:rsidRDefault="0051671F" w:rsidP="0051671F">
      <w:pPr>
        <w:spacing w:after="0" w:line="240" w:lineRule="auto"/>
        <w:ind w:firstLine="708"/>
        <w:jc w:val="both"/>
        <w:rPr>
          <w:rFonts w:ascii="Verdana" w:hAnsi="Verdana" w:cs="Arial"/>
          <w:sz w:val="16"/>
          <w:szCs w:val="16"/>
        </w:rPr>
      </w:pPr>
      <w:r w:rsidRPr="00CC2A45">
        <w:rPr>
          <w:rStyle w:val="Refdenotaalpie"/>
          <w:rFonts w:ascii="Verdana" w:hAnsi="Verdana" w:cs="Arial"/>
          <w:sz w:val="16"/>
          <w:szCs w:val="16"/>
        </w:rPr>
        <w:footnoteRef/>
      </w:r>
      <w:r w:rsidRPr="00CC2A45">
        <w:rPr>
          <w:rFonts w:ascii="Verdana" w:hAnsi="Verdana" w:cs="Arial"/>
          <w:sz w:val="16"/>
          <w:szCs w:val="16"/>
        </w:rPr>
        <w:t xml:space="preserve"> CONSEJO DE ESTADO, Sala de lo Contencioso Administrativo, Sección Tercera, Subsección C. Sentencia de 26 de noviembre de 2015, exp. 53877.</w:t>
      </w:r>
    </w:p>
  </w:footnote>
  <w:footnote w:id="18">
    <w:p w14:paraId="47680702" w14:textId="77777777" w:rsidR="0051671F" w:rsidRPr="00CC2A45" w:rsidRDefault="0051671F" w:rsidP="0051671F">
      <w:pPr>
        <w:pStyle w:val="Textonotapie"/>
        <w:ind w:firstLine="708"/>
        <w:jc w:val="both"/>
        <w:rPr>
          <w:rFonts w:ascii="Verdana" w:hAnsi="Verdana" w:cs="Arial"/>
          <w:sz w:val="16"/>
          <w:szCs w:val="16"/>
          <w:lang w:val="es-CO"/>
        </w:rPr>
      </w:pPr>
      <w:r w:rsidRPr="00CC2A45">
        <w:rPr>
          <w:rStyle w:val="Refdenotaalpie"/>
          <w:rFonts w:ascii="Verdana" w:hAnsi="Verdana" w:cs="Arial"/>
          <w:sz w:val="16"/>
          <w:szCs w:val="16"/>
        </w:rPr>
        <w:footnoteRef/>
      </w:r>
      <w:r w:rsidRPr="00CC2A45">
        <w:rPr>
          <w:rFonts w:ascii="Verdana" w:hAnsi="Verdana" w:cs="Arial"/>
          <w:sz w:val="16"/>
          <w:szCs w:val="16"/>
        </w:rPr>
        <w:t xml:space="preserve"> CONSEJO DE ESTADO, Sala de lo Contencioso Administrativo, Sección Tercera. Sentencia del 13 de noviembre de 2008, exp. 17009.  </w:t>
      </w:r>
    </w:p>
  </w:footnote>
  <w:footnote w:id="19">
    <w:p w14:paraId="7CE1C126" w14:textId="77777777" w:rsidR="0051671F" w:rsidRPr="00CC2A45" w:rsidRDefault="0051671F" w:rsidP="0051671F">
      <w:pPr>
        <w:pStyle w:val="Textonotapie"/>
        <w:ind w:firstLine="708"/>
        <w:rPr>
          <w:rFonts w:ascii="Verdana" w:hAnsi="Verdana" w:cs="Arial"/>
          <w:sz w:val="16"/>
          <w:szCs w:val="16"/>
          <w:lang w:val="es-CO"/>
        </w:rPr>
      </w:pPr>
      <w:r w:rsidRPr="00CC2A45">
        <w:rPr>
          <w:rStyle w:val="Refdenotaalpie"/>
          <w:rFonts w:ascii="Verdana" w:hAnsi="Verdana" w:cs="Arial"/>
          <w:sz w:val="16"/>
          <w:szCs w:val="16"/>
        </w:rPr>
        <w:footnoteRef/>
      </w:r>
      <w:r w:rsidRPr="00CC2A45">
        <w:rPr>
          <w:rFonts w:ascii="Verdana" w:hAnsi="Verdana" w:cs="Arial"/>
          <w:sz w:val="16"/>
          <w:szCs w:val="16"/>
        </w:rPr>
        <w:t xml:space="preserve"> </w:t>
      </w:r>
      <w:r w:rsidRPr="00CC2A45">
        <w:rPr>
          <w:rFonts w:ascii="Verdana" w:hAnsi="Verdana" w:cs="Arial"/>
          <w:i/>
          <w:iCs/>
          <w:sz w:val="16"/>
          <w:szCs w:val="16"/>
        </w:rPr>
        <w:t>Ibíd</w:t>
      </w:r>
      <w:r>
        <w:rPr>
          <w:rFonts w:ascii="Verdana" w:hAnsi="Verdana" w:cs="Arial"/>
          <w:i/>
          <w:iCs/>
          <w:sz w:val="16"/>
          <w:szCs w:val="16"/>
        </w:rPr>
        <w:t>em</w:t>
      </w:r>
    </w:p>
  </w:footnote>
  <w:footnote w:id="20">
    <w:p w14:paraId="7BBBBE72" w14:textId="77777777" w:rsidR="0051671F" w:rsidRPr="00CC2A45" w:rsidRDefault="0051671F" w:rsidP="0051671F">
      <w:pPr>
        <w:pStyle w:val="Textonotapie"/>
        <w:ind w:firstLine="708"/>
        <w:rPr>
          <w:rFonts w:ascii="Verdana" w:hAnsi="Verdana" w:cs="Arial"/>
          <w:sz w:val="16"/>
          <w:szCs w:val="16"/>
          <w:lang w:val="es-CO"/>
        </w:rPr>
      </w:pPr>
      <w:r w:rsidRPr="00CC2A45">
        <w:rPr>
          <w:rStyle w:val="Refdenotaalpie"/>
          <w:rFonts w:ascii="Verdana" w:hAnsi="Verdana" w:cs="Arial"/>
          <w:sz w:val="16"/>
          <w:szCs w:val="16"/>
        </w:rPr>
        <w:footnoteRef/>
      </w:r>
      <w:r w:rsidRPr="00CC2A45">
        <w:rPr>
          <w:rFonts w:ascii="Verdana" w:hAnsi="Verdana" w:cs="Arial"/>
          <w:sz w:val="16"/>
          <w:szCs w:val="16"/>
        </w:rPr>
        <w:t xml:space="preserve"> </w:t>
      </w:r>
      <w:r w:rsidRPr="00CC2A45">
        <w:rPr>
          <w:rFonts w:ascii="Verdana" w:hAnsi="Verdana" w:cs="Arial"/>
          <w:i/>
          <w:iCs/>
          <w:sz w:val="16"/>
          <w:szCs w:val="16"/>
        </w:rPr>
        <w:t>Ibíd</w:t>
      </w:r>
      <w:r>
        <w:rPr>
          <w:rFonts w:ascii="Verdana" w:hAnsi="Verdana" w:cs="Arial"/>
          <w:i/>
          <w:iCs/>
          <w:sz w:val="16"/>
          <w:szCs w:val="16"/>
        </w:rPr>
        <w:t>em</w:t>
      </w:r>
    </w:p>
  </w:footnote>
  <w:footnote w:id="21">
    <w:p w14:paraId="6C860DFA" w14:textId="77777777" w:rsidR="0051671F" w:rsidRPr="00CC2A45" w:rsidRDefault="0051671F" w:rsidP="0051671F">
      <w:pPr>
        <w:pStyle w:val="Textonotapie"/>
        <w:ind w:firstLine="708"/>
        <w:rPr>
          <w:rFonts w:ascii="Verdana" w:hAnsi="Verdana" w:cs="Arial"/>
          <w:sz w:val="16"/>
          <w:szCs w:val="16"/>
          <w:lang w:val="es-CO"/>
        </w:rPr>
      </w:pPr>
      <w:r w:rsidRPr="00CC2A45">
        <w:rPr>
          <w:rStyle w:val="Refdenotaalpie"/>
          <w:rFonts w:ascii="Verdana" w:hAnsi="Verdana" w:cs="Arial"/>
          <w:sz w:val="16"/>
          <w:szCs w:val="16"/>
        </w:rPr>
        <w:footnoteRef/>
      </w:r>
      <w:r w:rsidRPr="00CC2A45">
        <w:rPr>
          <w:rFonts w:ascii="Verdana" w:hAnsi="Verdana" w:cs="Arial"/>
          <w:sz w:val="16"/>
          <w:szCs w:val="16"/>
        </w:rPr>
        <w:t xml:space="preserve"> </w:t>
      </w:r>
      <w:r w:rsidRPr="00CC2A45">
        <w:rPr>
          <w:rFonts w:ascii="Verdana" w:hAnsi="Verdana" w:cs="Arial"/>
          <w:i/>
          <w:iCs/>
          <w:sz w:val="16"/>
          <w:szCs w:val="16"/>
        </w:rPr>
        <w:t>Ibíd</w:t>
      </w:r>
      <w:r>
        <w:rPr>
          <w:rFonts w:ascii="Verdana" w:hAnsi="Verdana" w:cs="Arial"/>
          <w:i/>
          <w:iCs/>
          <w:sz w:val="16"/>
          <w:szCs w:val="16"/>
        </w:rPr>
        <w: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1261"/>
    <w:rsid w:val="00016F78"/>
    <w:rsid w:val="0004400A"/>
    <w:rsid w:val="00046945"/>
    <w:rsid w:val="00061B2A"/>
    <w:rsid w:val="00082362"/>
    <w:rsid w:val="000934B9"/>
    <w:rsid w:val="000A683E"/>
    <w:rsid w:val="000B19B9"/>
    <w:rsid w:val="000D0334"/>
    <w:rsid w:val="000D5DA7"/>
    <w:rsid w:val="000E0F2A"/>
    <w:rsid w:val="000F6486"/>
    <w:rsid w:val="001160F2"/>
    <w:rsid w:val="00116940"/>
    <w:rsid w:val="00121ED4"/>
    <w:rsid w:val="00125105"/>
    <w:rsid w:val="00127233"/>
    <w:rsid w:val="001378CC"/>
    <w:rsid w:val="00145500"/>
    <w:rsid w:val="0015699B"/>
    <w:rsid w:val="001731FE"/>
    <w:rsid w:val="00187ED7"/>
    <w:rsid w:val="001A33BF"/>
    <w:rsid w:val="001C6E7E"/>
    <w:rsid w:val="001E4177"/>
    <w:rsid w:val="001F0B24"/>
    <w:rsid w:val="001F7DC6"/>
    <w:rsid w:val="0022400B"/>
    <w:rsid w:val="00225F45"/>
    <w:rsid w:val="002421BB"/>
    <w:rsid w:val="0025796E"/>
    <w:rsid w:val="002707A2"/>
    <w:rsid w:val="0029003C"/>
    <w:rsid w:val="002951A0"/>
    <w:rsid w:val="002962BC"/>
    <w:rsid w:val="002A093D"/>
    <w:rsid w:val="002A0DD0"/>
    <w:rsid w:val="002A49AC"/>
    <w:rsid w:val="002A4EF8"/>
    <w:rsid w:val="002A64FD"/>
    <w:rsid w:val="002A74E3"/>
    <w:rsid w:val="002C7A84"/>
    <w:rsid w:val="002E2BF8"/>
    <w:rsid w:val="002E4FD9"/>
    <w:rsid w:val="002F1F19"/>
    <w:rsid w:val="0030657A"/>
    <w:rsid w:val="00322A85"/>
    <w:rsid w:val="00324168"/>
    <w:rsid w:val="00330834"/>
    <w:rsid w:val="00343A5F"/>
    <w:rsid w:val="003448F4"/>
    <w:rsid w:val="00374F5E"/>
    <w:rsid w:val="00377527"/>
    <w:rsid w:val="00377E3E"/>
    <w:rsid w:val="00384984"/>
    <w:rsid w:val="003A779E"/>
    <w:rsid w:val="003D0F4D"/>
    <w:rsid w:val="003D5B0D"/>
    <w:rsid w:val="003D68A2"/>
    <w:rsid w:val="003E0499"/>
    <w:rsid w:val="003E4F80"/>
    <w:rsid w:val="003E6439"/>
    <w:rsid w:val="003F3941"/>
    <w:rsid w:val="004016EA"/>
    <w:rsid w:val="00406575"/>
    <w:rsid w:val="00414C74"/>
    <w:rsid w:val="0042722E"/>
    <w:rsid w:val="0044528D"/>
    <w:rsid w:val="0046351F"/>
    <w:rsid w:val="00466E39"/>
    <w:rsid w:val="00474540"/>
    <w:rsid w:val="004859DD"/>
    <w:rsid w:val="004A1847"/>
    <w:rsid w:val="004A305D"/>
    <w:rsid w:val="004C531B"/>
    <w:rsid w:val="004F21C4"/>
    <w:rsid w:val="004F685F"/>
    <w:rsid w:val="0051671F"/>
    <w:rsid w:val="00516D7F"/>
    <w:rsid w:val="00526453"/>
    <w:rsid w:val="0055592A"/>
    <w:rsid w:val="005566E8"/>
    <w:rsid w:val="00574867"/>
    <w:rsid w:val="00591460"/>
    <w:rsid w:val="005A65E0"/>
    <w:rsid w:val="005B699B"/>
    <w:rsid w:val="005C3777"/>
    <w:rsid w:val="005C4CCD"/>
    <w:rsid w:val="005C5CDC"/>
    <w:rsid w:val="005D476C"/>
    <w:rsid w:val="006200BF"/>
    <w:rsid w:val="006219F8"/>
    <w:rsid w:val="006302F7"/>
    <w:rsid w:val="00646B9F"/>
    <w:rsid w:val="00665D70"/>
    <w:rsid w:val="006900D9"/>
    <w:rsid w:val="006A0E91"/>
    <w:rsid w:val="006C6473"/>
    <w:rsid w:val="0070247E"/>
    <w:rsid w:val="00706C16"/>
    <w:rsid w:val="007340C3"/>
    <w:rsid w:val="007355AC"/>
    <w:rsid w:val="0075235A"/>
    <w:rsid w:val="00756841"/>
    <w:rsid w:val="007649AB"/>
    <w:rsid w:val="00771D0C"/>
    <w:rsid w:val="007833AC"/>
    <w:rsid w:val="007B0023"/>
    <w:rsid w:val="007B268C"/>
    <w:rsid w:val="007B7171"/>
    <w:rsid w:val="007C0C0F"/>
    <w:rsid w:val="007C3DC2"/>
    <w:rsid w:val="007D128E"/>
    <w:rsid w:val="007E5497"/>
    <w:rsid w:val="00806F5F"/>
    <w:rsid w:val="0080794D"/>
    <w:rsid w:val="00820278"/>
    <w:rsid w:val="0082425F"/>
    <w:rsid w:val="008258C9"/>
    <w:rsid w:val="008400AE"/>
    <w:rsid w:val="00844AE9"/>
    <w:rsid w:val="00862E6A"/>
    <w:rsid w:val="00867F95"/>
    <w:rsid w:val="008843B6"/>
    <w:rsid w:val="00885122"/>
    <w:rsid w:val="00891928"/>
    <w:rsid w:val="008A446D"/>
    <w:rsid w:val="008B25F1"/>
    <w:rsid w:val="008D180B"/>
    <w:rsid w:val="008F0EA7"/>
    <w:rsid w:val="00917598"/>
    <w:rsid w:val="00923EEF"/>
    <w:rsid w:val="009419F9"/>
    <w:rsid w:val="00951986"/>
    <w:rsid w:val="0095685E"/>
    <w:rsid w:val="00961B09"/>
    <w:rsid w:val="00965334"/>
    <w:rsid w:val="0096769F"/>
    <w:rsid w:val="0097093E"/>
    <w:rsid w:val="009808C2"/>
    <w:rsid w:val="009837AD"/>
    <w:rsid w:val="009A0DFA"/>
    <w:rsid w:val="009A1C6F"/>
    <w:rsid w:val="009B2D26"/>
    <w:rsid w:val="009C71FA"/>
    <w:rsid w:val="009C72E7"/>
    <w:rsid w:val="009C7F7E"/>
    <w:rsid w:val="009D3058"/>
    <w:rsid w:val="009F3A13"/>
    <w:rsid w:val="00A122D3"/>
    <w:rsid w:val="00A14468"/>
    <w:rsid w:val="00A17F13"/>
    <w:rsid w:val="00A20739"/>
    <w:rsid w:val="00A22165"/>
    <w:rsid w:val="00A23AF9"/>
    <w:rsid w:val="00A33C78"/>
    <w:rsid w:val="00A67ED9"/>
    <w:rsid w:val="00AB0ADB"/>
    <w:rsid w:val="00AC4195"/>
    <w:rsid w:val="00AE63C3"/>
    <w:rsid w:val="00AF6AFA"/>
    <w:rsid w:val="00B00C0E"/>
    <w:rsid w:val="00B01B1A"/>
    <w:rsid w:val="00B0381D"/>
    <w:rsid w:val="00B44A47"/>
    <w:rsid w:val="00B72CD3"/>
    <w:rsid w:val="00B72FFF"/>
    <w:rsid w:val="00BC0949"/>
    <w:rsid w:val="00BC3D36"/>
    <w:rsid w:val="00BD54A6"/>
    <w:rsid w:val="00BD7F72"/>
    <w:rsid w:val="00BF7425"/>
    <w:rsid w:val="00C04FB3"/>
    <w:rsid w:val="00C11D8B"/>
    <w:rsid w:val="00C15139"/>
    <w:rsid w:val="00C25419"/>
    <w:rsid w:val="00C3264E"/>
    <w:rsid w:val="00C330EB"/>
    <w:rsid w:val="00C50D69"/>
    <w:rsid w:val="00C5365C"/>
    <w:rsid w:val="00C64F94"/>
    <w:rsid w:val="00C754BE"/>
    <w:rsid w:val="00C76B1C"/>
    <w:rsid w:val="00C925AC"/>
    <w:rsid w:val="00CA29F0"/>
    <w:rsid w:val="00CA7C68"/>
    <w:rsid w:val="00CB6357"/>
    <w:rsid w:val="00CC1B26"/>
    <w:rsid w:val="00CC1B42"/>
    <w:rsid w:val="00D361FD"/>
    <w:rsid w:val="00D423A2"/>
    <w:rsid w:val="00D44E26"/>
    <w:rsid w:val="00D520D8"/>
    <w:rsid w:val="00D63AC2"/>
    <w:rsid w:val="00D70825"/>
    <w:rsid w:val="00D7383B"/>
    <w:rsid w:val="00D7788A"/>
    <w:rsid w:val="00D82A9B"/>
    <w:rsid w:val="00DA231B"/>
    <w:rsid w:val="00DC39FC"/>
    <w:rsid w:val="00DC4FA0"/>
    <w:rsid w:val="00DC5203"/>
    <w:rsid w:val="00DF5254"/>
    <w:rsid w:val="00E02524"/>
    <w:rsid w:val="00E16408"/>
    <w:rsid w:val="00E20894"/>
    <w:rsid w:val="00E245AB"/>
    <w:rsid w:val="00E250FE"/>
    <w:rsid w:val="00E2764C"/>
    <w:rsid w:val="00E27F2E"/>
    <w:rsid w:val="00E50AFE"/>
    <w:rsid w:val="00E75C92"/>
    <w:rsid w:val="00E771DC"/>
    <w:rsid w:val="00E8772A"/>
    <w:rsid w:val="00E90F6B"/>
    <w:rsid w:val="00E92C27"/>
    <w:rsid w:val="00EA0E3D"/>
    <w:rsid w:val="00EC38A7"/>
    <w:rsid w:val="00ED2FDC"/>
    <w:rsid w:val="00EE1AA8"/>
    <w:rsid w:val="00F23FEA"/>
    <w:rsid w:val="00F31EDC"/>
    <w:rsid w:val="00F462B3"/>
    <w:rsid w:val="00F5664F"/>
    <w:rsid w:val="00F666C4"/>
    <w:rsid w:val="00F67A3B"/>
    <w:rsid w:val="00F76AFC"/>
    <w:rsid w:val="00F83FED"/>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AFD9743"/>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1671F"/>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51671F"/>
    <w:rPr>
      <w:rFonts w:ascii="Geomanist Light" w:hAnsi="Geomanist Light"/>
      <w:lang w:val="es-ES"/>
    </w:rPr>
  </w:style>
  <w:style w:type="character" w:styleId="Refdecomentario">
    <w:name w:val="annotation reference"/>
    <w:basedOn w:val="Fuentedeprrafopredeter"/>
    <w:uiPriority w:val="99"/>
    <w:semiHidden/>
    <w:unhideWhenUsed/>
    <w:rsid w:val="005C4CCD"/>
    <w:rPr>
      <w:sz w:val="16"/>
      <w:szCs w:val="16"/>
    </w:rPr>
  </w:style>
  <w:style w:type="paragraph" w:styleId="Textocomentario">
    <w:name w:val="annotation text"/>
    <w:basedOn w:val="Normal"/>
    <w:link w:val="TextocomentarioCar"/>
    <w:uiPriority w:val="99"/>
    <w:unhideWhenUsed/>
    <w:rsid w:val="005C4CCD"/>
    <w:pPr>
      <w:spacing w:line="240" w:lineRule="auto"/>
    </w:pPr>
    <w:rPr>
      <w:sz w:val="20"/>
      <w:szCs w:val="20"/>
    </w:rPr>
  </w:style>
  <w:style w:type="character" w:customStyle="1" w:styleId="TextocomentarioCar">
    <w:name w:val="Texto comentario Car"/>
    <w:basedOn w:val="Fuentedeprrafopredeter"/>
    <w:link w:val="Textocomentario"/>
    <w:uiPriority w:val="99"/>
    <w:rsid w:val="005C4CCD"/>
    <w:rPr>
      <w:sz w:val="20"/>
      <w:szCs w:val="20"/>
    </w:rPr>
  </w:style>
  <w:style w:type="paragraph" w:styleId="Asuntodelcomentario">
    <w:name w:val="annotation subject"/>
    <w:basedOn w:val="Textocomentario"/>
    <w:next w:val="Textocomentario"/>
    <w:link w:val="AsuntodelcomentarioCar"/>
    <w:uiPriority w:val="99"/>
    <w:semiHidden/>
    <w:unhideWhenUsed/>
    <w:rsid w:val="005C4CCD"/>
    <w:rPr>
      <w:b/>
      <w:bCs/>
    </w:rPr>
  </w:style>
  <w:style w:type="character" w:customStyle="1" w:styleId="AsuntodelcomentarioCar">
    <w:name w:val="Asunto del comentario Car"/>
    <w:basedOn w:val="TextocomentarioCar"/>
    <w:link w:val="Asuntodelcomentario"/>
    <w:uiPriority w:val="99"/>
    <w:semiHidden/>
    <w:rsid w:val="005C4C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ickytoya09x280@live.com"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lombiacompra.gov.co/normativa-y-relatoria/documentos-tipo"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orms.office.com/r/pPHyWVs2S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acionvirtual.colombiacompra.gov.co/mod/page/view.php?id=3718"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ecretariasenado.gov.co/senado/basedoc/ley_0080_1993.html" TargetMode="External"/><Relationship Id="rId1" Type="http://schemas.openxmlformats.org/officeDocument/2006/relationships/hyperlink" Target="https://dpej.rae.es/lema/incumplimiento-de-contrat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BBBDB-DB17-4A10-873C-0D4D8504D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FCAA18-6A36-4A40-909E-68AEA66C8A13}">
  <ds:schemaRefs>
    <ds:schemaRef ds:uri="http://schemas.openxmlformats.org/officeDocument/2006/bibliography"/>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25</Pages>
  <Words>9129</Words>
  <Characters>50211</Characters>
  <Application>Microsoft Office Word</Application>
  <DocSecurity>0</DocSecurity>
  <Lines>418</Lines>
  <Paragraphs>118</Paragraphs>
  <ScaleCrop>false</ScaleCrop>
  <Company/>
  <LinksUpToDate>false</LinksUpToDate>
  <CharactersWithSpaces>59222</CharactersWithSpaces>
  <SharedDoc>false</SharedDoc>
  <HLinks>
    <vt:vector size="60" baseType="variant">
      <vt:variant>
        <vt:i4>4456513</vt:i4>
      </vt:variant>
      <vt:variant>
        <vt:i4>21</vt:i4>
      </vt:variant>
      <vt:variant>
        <vt:i4>0</vt:i4>
      </vt:variant>
      <vt:variant>
        <vt:i4>5</vt:i4>
      </vt:variant>
      <vt:variant>
        <vt:lpwstr>https://forms.office.com/r/pPHyWVs2SZ</vt:lpwstr>
      </vt:variant>
      <vt:variant>
        <vt:lpwstr/>
      </vt:variant>
      <vt:variant>
        <vt:i4>3407926</vt:i4>
      </vt:variant>
      <vt:variant>
        <vt:i4>18</vt:i4>
      </vt:variant>
      <vt:variant>
        <vt:i4>0</vt:i4>
      </vt:variant>
      <vt:variant>
        <vt:i4>5</vt:i4>
      </vt:variant>
      <vt:variant>
        <vt:lpwstr>https://www.colombiacompra.gov.co/pqrsd/informacion-importante-antes-de-formular-una-pqrsd</vt:lpwstr>
      </vt:variant>
      <vt:variant>
        <vt:lpwstr/>
      </vt:variant>
      <vt:variant>
        <vt:i4>4980779</vt:i4>
      </vt:variant>
      <vt:variant>
        <vt:i4>15</vt:i4>
      </vt:variant>
      <vt:variant>
        <vt:i4>0</vt:i4>
      </vt:variant>
      <vt:variant>
        <vt:i4>5</vt:i4>
      </vt:variant>
      <vt:variant>
        <vt:lpwstr>mailto:ventanilladeradicacion@colombiacompra.gov.co</vt:lpwstr>
      </vt:variant>
      <vt:variant>
        <vt:lpwstr/>
      </vt:variant>
      <vt:variant>
        <vt:i4>5505101</vt:i4>
      </vt:variant>
      <vt:variant>
        <vt:i4>12</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6291482</vt:i4>
      </vt:variant>
      <vt:variant>
        <vt:i4>0</vt:i4>
      </vt:variant>
      <vt:variant>
        <vt:i4>0</vt:i4>
      </vt:variant>
      <vt:variant>
        <vt:i4>5</vt:i4>
      </vt:variant>
      <vt:variant>
        <vt:lpwstr>mailto:vickytoya09x280@live.com</vt:lpwstr>
      </vt:variant>
      <vt:variant>
        <vt:lpwstr/>
      </vt:variant>
      <vt:variant>
        <vt:i4>3735572</vt:i4>
      </vt:variant>
      <vt:variant>
        <vt:i4>3</vt:i4>
      </vt:variant>
      <vt:variant>
        <vt:i4>0</vt:i4>
      </vt:variant>
      <vt:variant>
        <vt:i4>5</vt:i4>
      </vt:variant>
      <vt:variant>
        <vt:lpwstr>http://www.secretariasenado.gov.co/senado/basedoc/ley_0080_1993.html</vt:lpwstr>
      </vt:variant>
      <vt:variant>
        <vt:lpwstr>2</vt:lpwstr>
      </vt:variant>
      <vt:variant>
        <vt:i4>6684708</vt:i4>
      </vt:variant>
      <vt:variant>
        <vt:i4>0</vt:i4>
      </vt:variant>
      <vt:variant>
        <vt:i4>0</vt:i4>
      </vt:variant>
      <vt:variant>
        <vt:i4>5</vt:i4>
      </vt:variant>
      <vt:variant>
        <vt:lpwstr>https://dpej.rae.es/lema/incumplimiento-de-contrato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2026-07-28T16:21:00Z</cp:lastPrinted>
  <dcterms:created xsi:type="dcterms:W3CDTF">2026-07-28T16:21:00Z</dcterms:created>
  <dcterms:modified xsi:type="dcterms:W3CDTF">2026-07-31T20:26:00Z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