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2788D" w14:textId="77777777" w:rsidR="008117FA" w:rsidRPr="00AD1F10" w:rsidRDefault="008117FA" w:rsidP="00AD1F10">
      <w:pPr>
        <w:spacing w:after="0" w:line="240" w:lineRule="auto"/>
        <w:rPr>
          <w:rFonts w:ascii="Verdana" w:eastAsia="Aptos" w:hAnsi="Verdana" w:cs="Times New Roman"/>
        </w:rPr>
      </w:pPr>
      <w:bookmarkStart w:id="0" w:name="_Hlk143780582"/>
      <w:r w:rsidRPr="00AD1F10">
        <w:rPr>
          <w:rFonts w:ascii="Verdana" w:eastAsia="Aptos" w:hAnsi="Verdana" w:cs="Times New Roman"/>
          <w:b/>
          <w:bCs/>
          <w:color w:val="000000"/>
        </w:rPr>
        <w:t xml:space="preserve">DOCUMENTOS TIPO – Fundamento normativo – Obligatoriedad </w:t>
      </w:r>
    </w:p>
    <w:p w14:paraId="5EA771B8" w14:textId="77777777" w:rsidR="008117FA" w:rsidRPr="00AD1F10" w:rsidRDefault="008117FA" w:rsidP="00AD1F10">
      <w:pPr>
        <w:spacing w:after="0" w:line="240" w:lineRule="auto"/>
        <w:jc w:val="both"/>
        <w:rPr>
          <w:rFonts w:ascii="Verdana" w:eastAsia="Calibri" w:hAnsi="Verdana" w:cs="Arial"/>
          <w:b/>
          <w:bCs/>
          <w:sz w:val="20"/>
          <w:szCs w:val="20"/>
          <w:lang w:val="es-ES_tradnl"/>
        </w:rPr>
      </w:pPr>
    </w:p>
    <w:p w14:paraId="58C27808" w14:textId="77777777" w:rsidR="008117FA" w:rsidRPr="00AD1F10" w:rsidRDefault="008117FA" w:rsidP="00AD1F10">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 xml:space="preserve">Los documentos tipo expedidos por la Agencia Nacional de Contratación Pública </w:t>
      </w:r>
      <w:r w:rsidRPr="00AD1F10">
        <w:rPr>
          <w:rFonts w:ascii="Verdana" w:eastAsia="Symbol" w:hAnsi="Verdana" w:cs="Symbol"/>
          <w:sz w:val="20"/>
          <w:szCs w:val="20"/>
          <w:shd w:val="clear" w:color="auto" w:fill="FFFFFF"/>
          <w:lang w:val="es-ES_tradnl" w:eastAsia="es-ES_tradnl"/>
        </w:rPr>
        <w:t>-</w:t>
      </w:r>
      <w:r w:rsidRPr="00AD1F10">
        <w:rPr>
          <w:rFonts w:ascii="Verdana" w:eastAsia="Times New Roman" w:hAnsi="Verdana"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3783C318" w14:textId="77777777" w:rsidR="008117FA" w:rsidRPr="00AD1F10" w:rsidRDefault="008117FA" w:rsidP="00AD1F10">
      <w:pPr>
        <w:spacing w:after="0" w:line="240" w:lineRule="auto"/>
        <w:jc w:val="both"/>
        <w:rPr>
          <w:rFonts w:ascii="Verdana" w:eastAsia="Geomanist Light" w:hAnsi="Verdana" w:cs="Arial"/>
          <w:highlight w:val="yellow"/>
          <w:lang w:val="es-ES_tradnl"/>
        </w:rPr>
      </w:pPr>
    </w:p>
    <w:p w14:paraId="54E030AE" w14:textId="77777777" w:rsidR="008117FA" w:rsidRPr="00AD1F10" w:rsidRDefault="008117FA" w:rsidP="00AD1F10">
      <w:pPr>
        <w:spacing w:after="0" w:line="240" w:lineRule="auto"/>
        <w:jc w:val="both"/>
        <w:rPr>
          <w:rFonts w:ascii="Verdana" w:eastAsia="Aptos" w:hAnsi="Verdana" w:cs="Times New Roman"/>
          <w:b/>
          <w:bCs/>
          <w:color w:val="000000"/>
        </w:rPr>
      </w:pPr>
      <w:r w:rsidRPr="00AD1F10">
        <w:rPr>
          <w:rFonts w:ascii="Verdana" w:eastAsia="Aptos" w:hAnsi="Verdana" w:cs="Times New Roman"/>
          <w:b/>
          <w:bCs/>
          <w:color w:val="000000"/>
        </w:rPr>
        <w:t>EXPERIENCIA – Acreditación − documentos tipo − Licitación de obra pública de infraestructura de transporte – Versión 4</w:t>
      </w:r>
    </w:p>
    <w:p w14:paraId="37B86F8F" w14:textId="77777777" w:rsidR="008117FA" w:rsidRPr="00AD1F10" w:rsidRDefault="008117FA" w:rsidP="00AD1F10">
      <w:pPr>
        <w:tabs>
          <w:tab w:val="left" w:pos="0"/>
        </w:tabs>
        <w:spacing w:after="0" w:line="240" w:lineRule="auto"/>
        <w:ind w:left="11"/>
        <w:jc w:val="both"/>
        <w:rPr>
          <w:rFonts w:ascii="Verdana" w:eastAsia="Aptos" w:hAnsi="Verdana" w:cs="Arial"/>
          <w:b/>
          <w:bCs/>
          <w:color w:val="000000"/>
          <w:kern w:val="2"/>
          <w:sz w:val="24"/>
          <w:szCs w:val="24"/>
          <w14:ligatures w14:val="standardContextual"/>
        </w:rPr>
      </w:pPr>
    </w:p>
    <w:p w14:paraId="399C8D74" w14:textId="77777777" w:rsidR="008117FA" w:rsidRPr="00AD1F10" w:rsidRDefault="008117FA" w:rsidP="00AD1F10">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La parte introductoria del pliego de condiciones de los documentos tipo analizados dispone que estos se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4 de la Resolución 465 de 2024, relacionado con la posibilidad de exigir experiencia adicional en determinados supuestos.</w:t>
      </w:r>
    </w:p>
    <w:p w14:paraId="45EB6013" w14:textId="77777777" w:rsidR="008117FA" w:rsidRPr="00AD1F10" w:rsidRDefault="008117FA" w:rsidP="00AD1F10">
      <w:pPr>
        <w:snapToGrid w:val="0"/>
        <w:spacing w:after="0" w:line="240" w:lineRule="auto"/>
        <w:jc w:val="both"/>
        <w:rPr>
          <w:rFonts w:ascii="Verdana" w:eastAsia="Times New Roman" w:hAnsi="Verdana" w:cs="Arial"/>
          <w:sz w:val="20"/>
          <w:szCs w:val="20"/>
          <w:shd w:val="clear" w:color="auto" w:fill="FFFFFF"/>
          <w:lang w:val="es-ES_tradnl" w:eastAsia="es-ES_tradnl"/>
        </w:rPr>
      </w:pPr>
    </w:p>
    <w:p w14:paraId="71D196EF" w14:textId="77777777" w:rsidR="008117FA" w:rsidRPr="00AD1F10" w:rsidRDefault="008117FA" w:rsidP="00AD1F10">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 xml:space="preserve">De acuerdo con las condiciones fijadas en el “Documento Base” de la Resolución No. 465 del 10 de septiembre de 2024,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El número de contratos aportados por el proponente debe certificar un valor mínimo correspondiente a un porcentaje del presupuesto oficial del proceso de obra expresado en SMMLV, cuya verificación se hará de acuerdo con la sumatoria de los valores totales ejecutados de los contratos que cumplan con los requisitos establecidos en el pliego de condiciones. </w:t>
      </w:r>
    </w:p>
    <w:p w14:paraId="10984D75" w14:textId="77777777" w:rsidR="008117FA" w:rsidRPr="00AD1F10" w:rsidRDefault="008117FA" w:rsidP="00AD1F10">
      <w:pPr>
        <w:spacing w:after="0" w:line="240" w:lineRule="auto"/>
        <w:jc w:val="both"/>
        <w:rPr>
          <w:rFonts w:ascii="Verdana" w:eastAsia="Aptos" w:hAnsi="Verdana" w:cs="ArialMT"/>
          <w:sz w:val="20"/>
          <w:szCs w:val="20"/>
          <w:highlight w:val="yellow"/>
        </w:rPr>
      </w:pPr>
    </w:p>
    <w:p w14:paraId="3DE033EE" w14:textId="77777777" w:rsidR="008117FA" w:rsidRPr="00AD1F10" w:rsidRDefault="008117FA" w:rsidP="00AD1F10">
      <w:pPr>
        <w:spacing w:after="0" w:line="240" w:lineRule="auto"/>
        <w:jc w:val="both"/>
        <w:rPr>
          <w:rFonts w:ascii="Verdana" w:eastAsia="Aptos" w:hAnsi="Verdana" w:cs="ArialMT"/>
          <w:b/>
          <w:bCs/>
        </w:rPr>
      </w:pPr>
      <w:r w:rsidRPr="00AD1F10">
        <w:rPr>
          <w:rFonts w:ascii="Verdana" w:eastAsia="Aptos" w:hAnsi="Verdana" w:cs="ArialMT"/>
          <w:b/>
          <w:bCs/>
        </w:rPr>
        <w:t xml:space="preserve">DOCUMENTOS TIPO  – Infraestructura de transporte – Versión 4 – Matriz 1 – Experiencia – Actividad 4.3 – Alcance </w:t>
      </w:r>
    </w:p>
    <w:p w14:paraId="5D3514AA" w14:textId="77777777" w:rsidR="008117FA" w:rsidRPr="00AD1F10" w:rsidRDefault="008117FA" w:rsidP="00AD1F10">
      <w:pPr>
        <w:spacing w:after="0" w:line="240" w:lineRule="auto"/>
        <w:jc w:val="both"/>
        <w:rPr>
          <w:rFonts w:ascii="Verdana" w:eastAsia="Aptos" w:hAnsi="Verdana" w:cs="ArialMT"/>
          <w:sz w:val="20"/>
          <w:szCs w:val="20"/>
          <w:highlight w:val="yellow"/>
        </w:rPr>
      </w:pPr>
    </w:p>
    <w:p w14:paraId="5866AA7A" w14:textId="77777777" w:rsidR="008117FA" w:rsidRPr="00AD1F10" w:rsidRDefault="008117FA" w:rsidP="00AD1F10">
      <w:pPr>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 xml:space="preserve">(…) 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incluye cinco (5) actividades dentro de las cuales, se encuentra la dispuesta en el numeral 4.3 relacionada con “PROYECTOS DE ATENCION, PREVENCIÓN O MITIGACIÓN DE OBRAS </w:t>
      </w:r>
      <w:r w:rsidRPr="00AD1F10">
        <w:rPr>
          <w:rFonts w:ascii="Verdana" w:eastAsia="Times New Roman" w:hAnsi="Verdana" w:cs="Arial"/>
          <w:sz w:val="20"/>
          <w:szCs w:val="20"/>
          <w:shd w:val="clear" w:color="auto" w:fill="FFFFFF"/>
          <w:lang w:val="es-ES_tradnl" w:eastAsia="es-ES_tradnl"/>
        </w:rPr>
        <w:lastRenderedPageBreak/>
        <w:t>DE EMERGENCIAS MEDIANTE OBRAS DE REMOCIÓN DE DERRUMBES”. Para esta actividad, en proyectos de alta 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75A6F9A9" w14:textId="77777777" w:rsidR="008117FA" w:rsidRPr="00AD1F10" w:rsidRDefault="008117FA" w:rsidP="00AD1F10">
      <w:pPr>
        <w:spacing w:after="0" w:line="240" w:lineRule="auto"/>
        <w:ind w:right="709"/>
        <w:jc w:val="both"/>
        <w:rPr>
          <w:rFonts w:ascii="Verdana" w:eastAsia="Times New Roman" w:hAnsi="Verdana" w:cs="Arial"/>
          <w:sz w:val="20"/>
          <w:szCs w:val="20"/>
          <w:shd w:val="clear" w:color="auto" w:fill="FFFFFF"/>
          <w:lang w:val="es-ES_tradnl" w:eastAsia="es-ES_tradnl"/>
        </w:rPr>
      </w:pPr>
    </w:p>
    <w:p w14:paraId="21C4C574" w14:textId="77777777" w:rsidR="008117FA" w:rsidRPr="00AD1F10" w:rsidRDefault="008117FA" w:rsidP="00AD1F10">
      <w:pPr>
        <w:spacing w:after="0" w:line="240" w:lineRule="auto"/>
        <w:ind w:right="709"/>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w:t>
      </w:r>
    </w:p>
    <w:p w14:paraId="14D7ACC3" w14:textId="77777777" w:rsidR="008117FA" w:rsidRPr="00AD1F10" w:rsidRDefault="008117FA" w:rsidP="00AD1F10">
      <w:pPr>
        <w:spacing w:after="0" w:line="240" w:lineRule="auto"/>
        <w:jc w:val="both"/>
        <w:rPr>
          <w:rFonts w:ascii="Verdana" w:eastAsia="Times New Roman" w:hAnsi="Verdana" w:cs="Arial"/>
          <w:sz w:val="20"/>
          <w:szCs w:val="20"/>
          <w:shd w:val="clear" w:color="auto" w:fill="FFFFFF"/>
          <w:lang w:val="es-ES_tradnl" w:eastAsia="es-ES_tradnl"/>
        </w:rPr>
      </w:pPr>
    </w:p>
    <w:p w14:paraId="310B8277" w14:textId="77777777" w:rsidR="008117FA" w:rsidRPr="00AD1F10" w:rsidRDefault="008117FA" w:rsidP="00AD1F10">
      <w:pPr>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De acuerdo con lo señalado en la Matriz 1 – Experiencia, para la actividad 4.3, la experiencia general podrá acreditarse con proyectos que correspondan o hayan contenido actividades de remoción de derrumbes o movimiento de tierras. Particularmente, en relación con el problema jurídico planteado en este concepto, la experiencia general exigida para la actividad 4.3 no se encuentra limitada exclusivamente a contratos ejecutados en infraestructura vial. Esto, considerando que la Matriz 1 – Experiencia no condiciona su acreditación a que las actividades hayan sido desarrolladas en carreteras o vías, sino al cumplimiento de las actividades técnicas requeridas, esto es, remoción de derrumbes o movimiento de tierras. Por tanto, es procedente acreditar la experiencia general con contratos de cualquier tipo de infraestructura u obras civiles, siempre que dichos contratos incluyan las actividades exigidas en la Matriz 1 – Experiencia para la actividad 4.3.</w:t>
      </w:r>
    </w:p>
    <w:p w14:paraId="2198EFF7" w14:textId="77777777" w:rsidR="008117FA" w:rsidRPr="00AD1F10" w:rsidRDefault="008117FA" w:rsidP="00AD1F10">
      <w:pPr>
        <w:spacing w:after="0" w:line="240" w:lineRule="auto"/>
        <w:jc w:val="both"/>
        <w:rPr>
          <w:rFonts w:ascii="Verdana" w:eastAsia="Times New Roman" w:hAnsi="Verdana" w:cs="Arial"/>
          <w:sz w:val="20"/>
          <w:szCs w:val="20"/>
          <w:shd w:val="clear" w:color="auto" w:fill="FFFFFF"/>
          <w:lang w:val="es-ES_tradnl" w:eastAsia="es-ES_tradnl"/>
        </w:rPr>
      </w:pPr>
    </w:p>
    <w:p w14:paraId="033A9D51" w14:textId="77777777" w:rsidR="008117FA" w:rsidRPr="00AD1F10" w:rsidRDefault="008117FA" w:rsidP="00AD1F10">
      <w:pPr>
        <w:spacing w:after="0" w:line="240" w:lineRule="auto"/>
        <w:jc w:val="both"/>
        <w:rPr>
          <w:rFonts w:ascii="Verdana" w:eastAsia="Times New Roman" w:hAnsi="Verdana" w:cs="Arial"/>
          <w:sz w:val="20"/>
          <w:szCs w:val="20"/>
          <w:shd w:val="clear" w:color="auto" w:fill="FFFFFF"/>
          <w:lang w:val="es-ES_tradnl" w:eastAsia="es-ES_tradnl"/>
        </w:rPr>
      </w:pPr>
      <w:r w:rsidRPr="00AD1F10">
        <w:rPr>
          <w:rFonts w:ascii="Verdana" w:eastAsia="Times New Roman" w:hAnsi="Verdana" w:cs="Arial"/>
          <w:sz w:val="20"/>
          <w:szCs w:val="20"/>
          <w:shd w:val="clear" w:color="auto" w:fill="FFFFFF"/>
          <w:lang w:val="es-ES_tradnl" w:eastAsia="es-ES_tradnl"/>
        </w:rPr>
        <w:t xml:space="preserve">Por su parte, para la experiencia específica, por lo menos uno (1) de los contratos aportados como experiencia general debe corresponder a proyectos de atención, prevención o mitigación de emergencias, y el valor ejecutado del ítem de remoción de derrumbes de uno de los contratos debe corresponde como mínimo del XX% del presupuesto oficial. Ahora bien, el porcentaje del presupuesto oficial se determinará por parte de la entidad dependiendo la naturaleza del proyecto. </w:t>
      </w:r>
    </w:p>
    <w:p w14:paraId="7AB1E3F2"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1582AB9D"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50FE5145"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4780967D"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2B1A0BC2"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2141DCDB"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76C28D0E"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20AA4793" w14:textId="77777777" w:rsidR="008117FA" w:rsidRPr="00177704" w:rsidRDefault="008117FA" w:rsidP="008117FA">
      <w:pPr>
        <w:spacing w:after="0" w:line="240" w:lineRule="auto"/>
        <w:jc w:val="both"/>
        <w:rPr>
          <w:rFonts w:ascii="Verdana" w:eastAsia="Times New Roman" w:hAnsi="Verdana" w:cs="Arial"/>
          <w:sz w:val="20"/>
          <w:szCs w:val="20"/>
          <w:shd w:val="clear" w:color="auto" w:fill="FFFFFF"/>
          <w:lang w:val="es-ES_tradnl" w:eastAsia="es-ES_tradnl"/>
        </w:rPr>
      </w:pPr>
    </w:p>
    <w:p w14:paraId="3F88A50C" w14:textId="77777777" w:rsidR="008117FA" w:rsidRPr="008117FA" w:rsidRDefault="008117FA" w:rsidP="008117FA">
      <w:pPr>
        <w:spacing w:after="0" w:line="240" w:lineRule="auto"/>
        <w:jc w:val="both"/>
        <w:rPr>
          <w:rFonts w:ascii="Verdana" w:eastAsia="Aptos" w:hAnsi="Verdana" w:cs="Times New Roman"/>
          <w:kern w:val="2"/>
          <w14:ligatures w14:val="standardContextual"/>
        </w:rPr>
      </w:pPr>
    </w:p>
    <w:p w14:paraId="7830A49C" w14:textId="77777777" w:rsidR="008117FA" w:rsidRPr="008117FA" w:rsidRDefault="008117FA" w:rsidP="008117FA">
      <w:pPr>
        <w:spacing w:after="0" w:line="240" w:lineRule="auto"/>
        <w:jc w:val="both"/>
        <w:rPr>
          <w:rFonts w:ascii="Verdana" w:eastAsia="Aptos" w:hAnsi="Verdana" w:cs="Times New Roman"/>
          <w:kern w:val="2"/>
          <w14:ligatures w14:val="standardContextual"/>
        </w:rPr>
      </w:pPr>
    </w:p>
    <w:p w14:paraId="7D27DA0C" w14:textId="77777777" w:rsidR="008117FA" w:rsidRPr="008117FA" w:rsidRDefault="008117FA" w:rsidP="008117FA">
      <w:pPr>
        <w:spacing w:after="0" w:line="240" w:lineRule="auto"/>
        <w:jc w:val="both"/>
        <w:rPr>
          <w:rFonts w:ascii="Verdana" w:eastAsia="Aptos" w:hAnsi="Verdana" w:cs="Times New Roman"/>
          <w:kern w:val="2"/>
          <w14:ligatures w14:val="standardContextual"/>
        </w:rPr>
      </w:pPr>
    </w:p>
    <w:p w14:paraId="7CE4F56B" w14:textId="77777777" w:rsidR="008117FA" w:rsidRPr="008117FA" w:rsidRDefault="008117FA" w:rsidP="008117FA">
      <w:pPr>
        <w:spacing w:after="0" w:line="240" w:lineRule="auto"/>
        <w:jc w:val="both"/>
        <w:rPr>
          <w:rFonts w:ascii="Verdana" w:eastAsia="Aptos" w:hAnsi="Verdana" w:cs="Times New Roman"/>
          <w:kern w:val="2"/>
          <w14:ligatures w14:val="standardContextual"/>
        </w:rPr>
      </w:pPr>
    </w:p>
    <w:p w14:paraId="76A7FBD6" w14:textId="77777777" w:rsidR="008117FA" w:rsidRPr="008117FA" w:rsidRDefault="008117FA" w:rsidP="008117FA">
      <w:pPr>
        <w:spacing w:after="0" w:line="240" w:lineRule="auto"/>
        <w:jc w:val="both"/>
        <w:rPr>
          <w:rFonts w:ascii="Verdana" w:eastAsia="Aptos" w:hAnsi="Verdana" w:cs="Arial"/>
          <w:color w:val="000000"/>
          <w:highlight w:val="yellow"/>
          <w:lang w:val="es-ES_tradnl"/>
        </w:rPr>
      </w:pPr>
    </w:p>
    <w:p w14:paraId="25752539" w14:textId="77777777" w:rsidR="008117FA" w:rsidRPr="008117FA" w:rsidRDefault="008117FA" w:rsidP="008117FA">
      <w:pPr>
        <w:spacing w:after="0" w:line="240" w:lineRule="auto"/>
        <w:jc w:val="both"/>
        <w:rPr>
          <w:rFonts w:ascii="Verdana" w:eastAsia="Aptos" w:hAnsi="Verdana" w:cs="Arial"/>
          <w:color w:val="000000"/>
          <w:highlight w:val="yellow"/>
          <w:lang w:val="es-ES_tradnl"/>
        </w:rPr>
      </w:pPr>
    </w:p>
    <w:p w14:paraId="39D06A2D" w14:textId="77777777" w:rsidR="00AD1F10" w:rsidRDefault="00AD1F10" w:rsidP="008117FA">
      <w:pPr>
        <w:spacing w:after="0" w:line="240" w:lineRule="auto"/>
        <w:jc w:val="both"/>
        <w:rPr>
          <w:rFonts w:ascii="Verdana" w:eastAsia="Verdana" w:hAnsi="Verdana" w:cs="Verdana"/>
          <w:kern w:val="2"/>
          <w14:ligatures w14:val="standardContextual"/>
        </w:rPr>
      </w:pPr>
      <w:bookmarkStart w:id="1" w:name="_Hlk117695077"/>
    </w:p>
    <w:p w14:paraId="337F0B69" w14:textId="77777777" w:rsidR="00AD1F10" w:rsidRDefault="00AD1F10" w:rsidP="008117FA">
      <w:pPr>
        <w:spacing w:after="0" w:line="240" w:lineRule="auto"/>
        <w:jc w:val="both"/>
        <w:rPr>
          <w:rFonts w:ascii="Verdana" w:eastAsia="Verdana" w:hAnsi="Verdana" w:cs="Verdana"/>
          <w:kern w:val="2"/>
          <w14:ligatures w14:val="standardContextual"/>
        </w:rPr>
      </w:pPr>
    </w:p>
    <w:p w14:paraId="212CBDBF" w14:textId="77777777" w:rsidR="00AD1F10" w:rsidRDefault="00AD1F10" w:rsidP="008117FA">
      <w:pPr>
        <w:spacing w:after="0" w:line="240" w:lineRule="auto"/>
        <w:jc w:val="both"/>
        <w:rPr>
          <w:rFonts w:ascii="Verdana" w:eastAsia="Verdana" w:hAnsi="Verdana" w:cs="Verdana"/>
          <w:kern w:val="2"/>
          <w14:ligatures w14:val="standardContextual"/>
        </w:rPr>
      </w:pPr>
    </w:p>
    <w:p w14:paraId="1A21C584" w14:textId="2BE5925D" w:rsidR="008117FA" w:rsidRDefault="008117FA" w:rsidP="008117FA">
      <w:pPr>
        <w:spacing w:after="0" w:line="240" w:lineRule="auto"/>
        <w:jc w:val="both"/>
        <w:rPr>
          <w:rFonts w:ascii="Verdana" w:eastAsia="Verdana" w:hAnsi="Verdana" w:cs="Verdana"/>
          <w:kern w:val="2"/>
          <w14:ligatures w14:val="standardContextual"/>
        </w:rPr>
      </w:pPr>
      <w:r w:rsidRPr="008117FA">
        <w:rPr>
          <w:rFonts w:ascii="Verdana" w:eastAsia="Verdana" w:hAnsi="Verdana" w:cs="Verdana"/>
          <w:kern w:val="2"/>
          <w14:ligatures w14:val="standardContextual"/>
        </w:rPr>
        <w:lastRenderedPageBreak/>
        <w:t xml:space="preserve">Bogotá D.C., </w:t>
      </w:r>
      <w:r w:rsidR="00894D12">
        <w:rPr>
          <w:rFonts w:ascii="Verdana" w:eastAsia="Verdana" w:hAnsi="Verdana" w:cs="Verdana"/>
          <w:kern w:val="2"/>
          <w14:ligatures w14:val="standardContextual"/>
        </w:rPr>
        <w:t>30 de julio de 2026</w:t>
      </w:r>
    </w:p>
    <w:p w14:paraId="6C626623" w14:textId="6A465259" w:rsidR="00894D12" w:rsidRDefault="00894D12" w:rsidP="008117FA">
      <w:pPr>
        <w:spacing w:after="0" w:line="240" w:lineRule="auto"/>
        <w:jc w:val="both"/>
        <w:rPr>
          <w:rFonts w:ascii="Verdana" w:eastAsia="Verdana" w:hAnsi="Verdana" w:cs="Verdana"/>
          <w:kern w:val="2"/>
          <w14:ligatures w14:val="standardContextual"/>
        </w:rPr>
      </w:pPr>
    </w:p>
    <w:p w14:paraId="7DFF2BD7" w14:textId="791DCBB4" w:rsidR="00894D12" w:rsidRPr="008117FA" w:rsidRDefault="00894D12" w:rsidP="00894D12">
      <w:pPr>
        <w:spacing w:after="0" w:line="240" w:lineRule="auto"/>
        <w:jc w:val="right"/>
        <w:rPr>
          <w:rFonts w:ascii="Verdana" w:eastAsia="Verdana" w:hAnsi="Verdana" w:cs="Verdana"/>
          <w:kern w:val="2"/>
          <w14:ligatures w14:val="standardContextual"/>
        </w:rPr>
      </w:pPr>
    </w:p>
    <w:p w14:paraId="1CA30936" w14:textId="26D20F01" w:rsidR="008117FA" w:rsidRPr="008117FA" w:rsidRDefault="00AD1F10" w:rsidP="008117FA">
      <w:pPr>
        <w:spacing w:after="0" w:line="240" w:lineRule="auto"/>
        <w:jc w:val="both"/>
        <w:rPr>
          <w:rFonts w:ascii="Verdana" w:eastAsia="Calibri" w:hAnsi="Verdana" w:cs="Arial"/>
          <w:lang w:eastAsia="es-ES"/>
        </w:rPr>
      </w:pPr>
      <w:r w:rsidRPr="00894D12">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2DA0C880" wp14:editId="15D0DD1A">
            <wp:simplePos x="0" y="0"/>
            <wp:positionH relativeFrom="margin">
              <wp:align>right</wp:align>
            </wp:positionH>
            <wp:positionV relativeFrom="paragraph">
              <wp:posOffset>10850</wp:posOffset>
            </wp:positionV>
            <wp:extent cx="2414905" cy="812165"/>
            <wp:effectExtent l="0" t="0" r="4445" b="6985"/>
            <wp:wrapSquare wrapText="bothSides"/>
            <wp:docPr id="11297905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9058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14905" cy="812165"/>
                    </a:xfrm>
                    <a:prstGeom prst="rect">
                      <a:avLst/>
                    </a:prstGeom>
                  </pic:spPr>
                </pic:pic>
              </a:graphicData>
            </a:graphic>
            <wp14:sizeRelH relativeFrom="margin">
              <wp14:pctWidth>0</wp14:pctWidth>
            </wp14:sizeRelH>
            <wp14:sizeRelV relativeFrom="margin">
              <wp14:pctHeight>0</wp14:pctHeight>
            </wp14:sizeRelV>
          </wp:anchor>
        </w:drawing>
      </w:r>
    </w:p>
    <w:p w14:paraId="35A50F32" w14:textId="77777777" w:rsidR="008117FA" w:rsidRPr="008117FA" w:rsidRDefault="008117FA" w:rsidP="008117FA">
      <w:pPr>
        <w:spacing w:after="0" w:line="276" w:lineRule="auto"/>
        <w:jc w:val="both"/>
        <w:rPr>
          <w:rFonts w:ascii="Verdana" w:eastAsia="Calibri" w:hAnsi="Verdana" w:cs="Arial"/>
          <w:lang w:eastAsia="es-ES"/>
        </w:rPr>
      </w:pPr>
      <w:r w:rsidRPr="008117FA">
        <w:rPr>
          <w:rFonts w:ascii="Verdana" w:eastAsia="Calibri" w:hAnsi="Verdana" w:cs="Arial"/>
          <w:lang w:val="es-ES_tradnl" w:eastAsia="es-ES"/>
        </w:rPr>
        <w:t>Señora</w:t>
      </w:r>
    </w:p>
    <w:p w14:paraId="1844BBF2" w14:textId="77777777" w:rsidR="008117FA" w:rsidRPr="008117FA" w:rsidRDefault="008117FA" w:rsidP="008117FA">
      <w:pPr>
        <w:spacing w:after="0" w:line="276" w:lineRule="auto"/>
        <w:jc w:val="both"/>
        <w:rPr>
          <w:rFonts w:ascii="Verdana" w:eastAsia="Aptos" w:hAnsi="Verdana" w:cs="Times New Roman"/>
          <w:b/>
          <w:bCs/>
          <w:kern w:val="2"/>
          <w14:ligatures w14:val="standardContextual"/>
        </w:rPr>
      </w:pPr>
      <w:r w:rsidRPr="008117FA">
        <w:rPr>
          <w:rFonts w:ascii="Verdana" w:eastAsia="Aptos" w:hAnsi="Verdana" w:cs="Times New Roman"/>
          <w:b/>
          <w:bCs/>
          <w:kern w:val="2"/>
          <w14:ligatures w14:val="standardContextual"/>
        </w:rPr>
        <w:t>Claudia Milena Ricaurte Rincón</w:t>
      </w:r>
    </w:p>
    <w:p w14:paraId="1FEAF108" w14:textId="77777777" w:rsidR="008117FA" w:rsidRPr="008117FA" w:rsidRDefault="008117FA" w:rsidP="008117FA">
      <w:pPr>
        <w:spacing w:after="0" w:line="276" w:lineRule="auto"/>
        <w:jc w:val="both"/>
        <w:rPr>
          <w:rFonts w:ascii="Verdana" w:eastAsia="Calibri" w:hAnsi="Verdana" w:cs="Arial"/>
        </w:rPr>
      </w:pPr>
      <w:r w:rsidRPr="008117FA">
        <w:rPr>
          <w:rFonts w:ascii="Verdana" w:eastAsia="Calibri" w:hAnsi="Verdana" w:cs="Arial"/>
        </w:rPr>
        <w:t>Villavicencio, Meta</w:t>
      </w:r>
    </w:p>
    <w:p w14:paraId="132D89A4" w14:textId="77777777" w:rsidR="008117FA" w:rsidRPr="008117FA" w:rsidRDefault="008117FA" w:rsidP="008117FA">
      <w:pPr>
        <w:spacing w:after="0" w:line="240" w:lineRule="auto"/>
        <w:jc w:val="both"/>
        <w:rPr>
          <w:rFonts w:ascii="Verdana" w:eastAsia="Calibri" w:hAnsi="Verdana" w:cs="Arial"/>
          <w:b/>
          <w:bCs/>
          <w:lang w:eastAsia="es-ES"/>
        </w:rPr>
      </w:pPr>
    </w:p>
    <w:tbl>
      <w:tblPr>
        <w:tblStyle w:val="Tablaconcuadrcula"/>
        <w:tblW w:w="8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5"/>
        <w:gridCol w:w="6183"/>
      </w:tblGrid>
      <w:tr w:rsidR="008117FA" w:rsidRPr="008117FA" w14:paraId="0FB5CC4D" w14:textId="77777777" w:rsidTr="00933CEA">
        <w:trPr>
          <w:trHeight w:val="910"/>
        </w:trPr>
        <w:tc>
          <w:tcPr>
            <w:tcW w:w="2725" w:type="dxa"/>
          </w:tcPr>
          <w:p w14:paraId="550601DD" w14:textId="77777777" w:rsidR="008117FA" w:rsidRPr="008117FA" w:rsidRDefault="008117FA" w:rsidP="008117FA">
            <w:pPr>
              <w:jc w:val="both"/>
              <w:rPr>
                <w:rFonts w:ascii="Verdana" w:eastAsia="Calibri" w:hAnsi="Verdana" w:cs="Arial"/>
                <w:b/>
                <w:bCs/>
                <w:color w:val="7030A0"/>
                <w:lang w:eastAsia="es-ES_tradnl"/>
              </w:rPr>
            </w:pPr>
          </w:p>
        </w:tc>
        <w:tc>
          <w:tcPr>
            <w:tcW w:w="6183" w:type="dxa"/>
          </w:tcPr>
          <w:p w14:paraId="62825858" w14:textId="77777777" w:rsidR="008117FA" w:rsidRPr="008117FA" w:rsidRDefault="008117FA" w:rsidP="008117FA">
            <w:pPr>
              <w:snapToGrid w:val="0"/>
              <w:jc w:val="both"/>
              <w:rPr>
                <w:rFonts w:ascii="Verdana" w:eastAsia="Calibri" w:hAnsi="Verdana" w:cs="Arial"/>
                <w:b/>
                <w:bCs/>
                <w:lang w:eastAsia="es-ES"/>
              </w:rPr>
            </w:pPr>
            <w:r w:rsidRPr="008117FA">
              <w:rPr>
                <w:rFonts w:ascii="Verdana" w:eastAsia="Calibri" w:hAnsi="Verdana" w:cs="Arial"/>
                <w:b/>
                <w:bCs/>
                <w:lang w:eastAsia="es-ES"/>
              </w:rPr>
              <w:t>Concepto C-1135 de 2026</w:t>
            </w:r>
          </w:p>
          <w:p w14:paraId="3D8418BC" w14:textId="77777777" w:rsidR="008117FA" w:rsidRPr="008117FA" w:rsidRDefault="008117FA" w:rsidP="008117FA">
            <w:pPr>
              <w:snapToGrid w:val="0"/>
              <w:jc w:val="both"/>
              <w:rPr>
                <w:rFonts w:ascii="Verdana" w:eastAsia="Calibri" w:hAnsi="Verdana" w:cs="Arial"/>
                <w:b/>
                <w:bCs/>
                <w:lang w:eastAsia="es-ES"/>
              </w:rPr>
            </w:pPr>
          </w:p>
        </w:tc>
      </w:tr>
      <w:tr w:rsidR="008117FA" w:rsidRPr="008117FA" w14:paraId="15D39F04" w14:textId="77777777" w:rsidTr="00933CEA">
        <w:trPr>
          <w:trHeight w:val="910"/>
        </w:trPr>
        <w:tc>
          <w:tcPr>
            <w:tcW w:w="2725" w:type="dxa"/>
          </w:tcPr>
          <w:p w14:paraId="4C6B5DF2" w14:textId="77777777" w:rsidR="008117FA" w:rsidRPr="008117FA" w:rsidRDefault="008117FA" w:rsidP="008117FA">
            <w:pPr>
              <w:jc w:val="both"/>
              <w:rPr>
                <w:rFonts w:ascii="Verdana" w:eastAsia="Calibri" w:hAnsi="Verdana" w:cs="Arial"/>
                <w:color w:val="000000"/>
                <w:lang w:eastAsia="es-ES_tradnl"/>
              </w:rPr>
            </w:pPr>
            <w:r w:rsidRPr="008117FA">
              <w:rPr>
                <w:rFonts w:ascii="Verdana" w:eastAsia="Calibri" w:hAnsi="Verdana" w:cs="Arial"/>
                <w:b/>
                <w:color w:val="000000"/>
                <w:lang w:eastAsia="es-ES_tradnl"/>
              </w:rPr>
              <w:t>Temas:</w:t>
            </w:r>
            <w:r w:rsidRPr="008117FA">
              <w:rPr>
                <w:rFonts w:ascii="Verdana" w:eastAsia="Calibri" w:hAnsi="Verdana" w:cs="Arial"/>
                <w:color w:val="000000"/>
                <w:lang w:eastAsia="es-ES_tradnl"/>
              </w:rPr>
              <w:t xml:space="preserve">                   </w:t>
            </w:r>
          </w:p>
        </w:tc>
        <w:tc>
          <w:tcPr>
            <w:tcW w:w="6183" w:type="dxa"/>
          </w:tcPr>
          <w:p w14:paraId="4DFFDAB0" w14:textId="77777777" w:rsidR="008117FA" w:rsidRPr="008117FA" w:rsidRDefault="008117FA" w:rsidP="008117FA">
            <w:pPr>
              <w:jc w:val="both"/>
              <w:rPr>
                <w:rFonts w:ascii="Verdana" w:eastAsia="Aptos" w:hAnsi="Verdana" w:cs="ArialMT"/>
                <w:b/>
                <w:bCs/>
              </w:rPr>
            </w:pPr>
            <w:r w:rsidRPr="008117FA">
              <w:rPr>
                <w:rFonts w:ascii="Verdana" w:eastAsia="Aptos" w:hAnsi="Verdana" w:cs="Times New Roman"/>
                <w:color w:val="000000"/>
              </w:rPr>
              <w:t xml:space="preserve">DOCUMENTOS TIPO – Fundamento normativo – Obligatoriedad </w:t>
            </w:r>
            <w:r w:rsidRPr="008117FA">
              <w:rPr>
                <w:rFonts w:ascii="Verdana" w:eastAsia="Aptos" w:hAnsi="Verdana" w:cs="Times New Roman"/>
              </w:rPr>
              <w:t xml:space="preserve">/ </w:t>
            </w:r>
            <w:r w:rsidRPr="008117FA">
              <w:rPr>
                <w:rFonts w:ascii="Verdana" w:eastAsia="Aptos" w:hAnsi="Verdana" w:cs="Times New Roman"/>
                <w:color w:val="000000"/>
              </w:rPr>
              <w:t xml:space="preserve">EXPERIENCIA – Acreditación − documentos tipo − Licitación de obra pública de infraestructura de transporte – Versión 4 / </w:t>
            </w:r>
            <w:r w:rsidRPr="008117FA">
              <w:rPr>
                <w:rFonts w:ascii="Verdana" w:eastAsia="Aptos" w:hAnsi="Verdana" w:cs="ArialMT"/>
              </w:rPr>
              <w:t xml:space="preserve">DOCUMENTOS TIPO  – Infraestructura de transporte – Versión 4 – Matriz 1 – Experiencia – Actividad 4.3 – Alcance </w:t>
            </w:r>
          </w:p>
          <w:p w14:paraId="6B75809B" w14:textId="77777777" w:rsidR="008117FA" w:rsidRPr="008117FA" w:rsidRDefault="008117FA" w:rsidP="008117FA">
            <w:pPr>
              <w:snapToGrid w:val="0"/>
              <w:jc w:val="both"/>
              <w:rPr>
                <w:rFonts w:ascii="Verdana" w:eastAsia="Calibri" w:hAnsi="Verdana" w:cs="Arial"/>
                <w:lang w:eastAsia="es-ES"/>
              </w:rPr>
            </w:pPr>
          </w:p>
        </w:tc>
      </w:tr>
      <w:tr w:rsidR="008117FA" w:rsidRPr="008117FA" w14:paraId="50983DBE" w14:textId="77777777" w:rsidTr="00933CEA">
        <w:trPr>
          <w:trHeight w:val="556"/>
        </w:trPr>
        <w:tc>
          <w:tcPr>
            <w:tcW w:w="2725" w:type="dxa"/>
          </w:tcPr>
          <w:p w14:paraId="728814B9" w14:textId="77777777" w:rsidR="008117FA" w:rsidRPr="008117FA" w:rsidRDefault="008117FA" w:rsidP="008117FA">
            <w:pPr>
              <w:jc w:val="both"/>
              <w:rPr>
                <w:rFonts w:ascii="Verdana" w:eastAsia="Calibri" w:hAnsi="Verdana" w:cs="Arial"/>
                <w:b/>
                <w:bCs/>
                <w:lang w:eastAsia="es-ES_tradnl"/>
              </w:rPr>
            </w:pPr>
            <w:r w:rsidRPr="008117FA">
              <w:rPr>
                <w:rFonts w:ascii="Verdana" w:eastAsia="Calibri" w:hAnsi="Verdana" w:cs="Arial"/>
                <w:b/>
                <w:bCs/>
                <w:lang w:eastAsia="es-ES_tradnl"/>
              </w:rPr>
              <w:t xml:space="preserve">Radicación:               </w:t>
            </w:r>
          </w:p>
        </w:tc>
        <w:tc>
          <w:tcPr>
            <w:tcW w:w="6183" w:type="dxa"/>
          </w:tcPr>
          <w:p w14:paraId="698FE6DB" w14:textId="77777777" w:rsidR="008117FA" w:rsidRPr="008117FA" w:rsidRDefault="008117FA" w:rsidP="008117FA">
            <w:pPr>
              <w:snapToGrid w:val="0"/>
              <w:jc w:val="both"/>
              <w:rPr>
                <w:rFonts w:ascii="Verdana" w:eastAsia="Calibri" w:hAnsi="Verdana" w:cs="Arial"/>
                <w:lang w:eastAsia="es-ES_tradnl"/>
              </w:rPr>
            </w:pPr>
            <w:r w:rsidRPr="008117FA">
              <w:rPr>
                <w:rFonts w:ascii="Verdana" w:eastAsia="Calibri" w:hAnsi="Verdana" w:cs="Arial"/>
                <w:lang w:eastAsia="es-ES_tradnl"/>
              </w:rPr>
              <w:t>Respuesta a consulta con radicado No. 1_2026_07_16_009377</w:t>
            </w:r>
          </w:p>
        </w:tc>
      </w:tr>
    </w:tbl>
    <w:p w14:paraId="7B858839" w14:textId="77777777" w:rsidR="008117FA" w:rsidRPr="008117FA" w:rsidRDefault="008117FA" w:rsidP="008117FA">
      <w:pPr>
        <w:spacing w:after="0" w:line="240" w:lineRule="auto"/>
        <w:jc w:val="both"/>
        <w:rPr>
          <w:rFonts w:ascii="Verdana" w:eastAsia="Calibri" w:hAnsi="Verdana" w:cs="Arial"/>
          <w:b/>
          <w:bCs/>
          <w:lang w:eastAsia="es-ES"/>
        </w:rPr>
      </w:pPr>
      <w:r w:rsidRPr="008117FA">
        <w:rPr>
          <w:rFonts w:ascii="Verdana" w:eastAsia="Calibri" w:hAnsi="Verdana" w:cs="Arial"/>
          <w:b/>
          <w:bCs/>
          <w:lang w:eastAsia="es-ES"/>
        </w:rPr>
        <w:tab/>
      </w:r>
    </w:p>
    <w:p w14:paraId="4CC7E99E" w14:textId="77777777" w:rsidR="008117FA" w:rsidRPr="008117FA" w:rsidRDefault="008117FA" w:rsidP="008117FA">
      <w:pPr>
        <w:spacing w:after="0" w:line="240" w:lineRule="auto"/>
        <w:jc w:val="both"/>
        <w:rPr>
          <w:rFonts w:ascii="Verdana" w:eastAsia="Aptos" w:hAnsi="Verdana" w:cs="Times New Roman"/>
          <w:b/>
          <w:bCs/>
          <w:kern w:val="2"/>
          <w14:ligatures w14:val="standardContextual"/>
        </w:rPr>
      </w:pPr>
      <w:r w:rsidRPr="008117FA">
        <w:rPr>
          <w:rFonts w:ascii="Verdana" w:eastAsia="Calibri" w:hAnsi="Verdana" w:cs="Vrinda"/>
          <w:lang w:val="es-ES" w:eastAsia="es-ES"/>
        </w:rPr>
        <w:t xml:space="preserve">Estimada señora </w:t>
      </w:r>
      <w:r w:rsidRPr="008117FA">
        <w:rPr>
          <w:rFonts w:ascii="Verdana" w:eastAsia="Aptos" w:hAnsi="Verdana" w:cs="Times New Roman"/>
          <w:kern w:val="2"/>
          <w14:ligatures w14:val="standardContextual"/>
        </w:rPr>
        <w:t>Ricaurte Rincón:</w:t>
      </w:r>
    </w:p>
    <w:p w14:paraId="2C5A366E" w14:textId="77777777" w:rsidR="008117FA" w:rsidRPr="008117FA" w:rsidRDefault="008117FA" w:rsidP="008117FA">
      <w:pPr>
        <w:spacing w:after="0" w:line="240" w:lineRule="auto"/>
        <w:jc w:val="both"/>
        <w:rPr>
          <w:rFonts w:ascii="Verdana" w:eastAsia="Aptos" w:hAnsi="Verdana" w:cs="Times New Roman"/>
          <w:b/>
          <w:bCs/>
          <w:kern w:val="2"/>
          <w14:ligatures w14:val="standardContextual"/>
        </w:rPr>
      </w:pPr>
    </w:p>
    <w:p w14:paraId="1BE6E03F" w14:textId="77777777" w:rsidR="008117FA" w:rsidRPr="008117FA" w:rsidRDefault="008117FA" w:rsidP="008117FA">
      <w:pPr>
        <w:spacing w:after="0" w:line="276" w:lineRule="auto"/>
        <w:jc w:val="both"/>
        <w:rPr>
          <w:rFonts w:ascii="Verdana" w:eastAsia="Calibri" w:hAnsi="Verdana" w:cs="Arial"/>
          <w:lang w:val="es-ES" w:eastAsia="es-ES"/>
        </w:rPr>
      </w:pPr>
      <w:r w:rsidRPr="008117FA">
        <w:rPr>
          <w:rFonts w:ascii="Verdana" w:eastAsia="Calibri" w:hAnsi="Verdana" w:cs="Arial"/>
          <w:lang w:val="es-ES" w:eastAsia="es-ES"/>
        </w:rPr>
        <w:t>En ejercicio de la competencia otorgada por los artículos 3, numeral 5º, y 11, numeral 8º, del Decreto Ley 4170 de 2011,</w:t>
      </w:r>
      <w:r w:rsidRPr="008117FA">
        <w:rPr>
          <w:rFonts w:ascii="Verdana" w:eastAsia="Arial MT" w:hAnsi="Verdana" w:cs="Arial MT"/>
          <w:lang w:val="es-ES" w:eastAsia="es-ES"/>
        </w:rPr>
        <w:t xml:space="preserve"> </w:t>
      </w:r>
      <w:r w:rsidRPr="008117FA">
        <w:rPr>
          <w:rFonts w:ascii="Verdana" w:eastAsia="Calibri" w:hAnsi="Verdana" w:cs="Arial"/>
          <w:lang w:eastAsia="es-MX"/>
        </w:rPr>
        <w:t xml:space="preserve">así como lo establecido por la </w:t>
      </w:r>
      <w:r w:rsidRPr="008117FA">
        <w:rPr>
          <w:rFonts w:ascii="Verdana" w:eastAsia="Aptos" w:hAnsi="Verdana" w:cs="Arial"/>
          <w:bCs/>
          <w:lang w:eastAsia="es-ES" w:bidi="es-ES"/>
        </w:rPr>
        <w:t>Resolución 469 de 2025 expedida por esta Entidad</w:t>
      </w:r>
      <w:r w:rsidRPr="008117FA">
        <w:rPr>
          <w:rFonts w:ascii="Verdana" w:eastAsia="Calibri" w:hAnsi="Verdana" w:cs="Arial"/>
          <w:lang w:eastAsia="es-MX"/>
        </w:rPr>
        <w:t xml:space="preserve">, </w:t>
      </w:r>
      <w:r w:rsidRPr="008117FA">
        <w:rPr>
          <w:rFonts w:ascii="Verdana" w:eastAsia="Calibri" w:hAnsi="Verdana" w:cs="Arial"/>
          <w:lang w:val="es-ES" w:eastAsia="es-ES"/>
        </w:rPr>
        <w:t xml:space="preserve">la Agencia Nacional de Contratación Pública – Colombia Compra Eficiente– responde su solicitud de consulta del 16 de julio de 2026, en la cual manifiesta lo siguiente: </w:t>
      </w:r>
    </w:p>
    <w:p w14:paraId="033592E7" w14:textId="77777777" w:rsidR="008117FA" w:rsidRPr="008117FA" w:rsidRDefault="008117FA" w:rsidP="008117FA">
      <w:pPr>
        <w:spacing w:after="0" w:line="276" w:lineRule="auto"/>
        <w:jc w:val="both"/>
        <w:rPr>
          <w:rFonts w:ascii="Verdana" w:eastAsia="Calibri" w:hAnsi="Verdana" w:cs="Vrinda"/>
          <w:lang w:val="es-ES" w:eastAsia="es-ES"/>
        </w:rPr>
      </w:pPr>
    </w:p>
    <w:p w14:paraId="39515C5E" w14:textId="77777777" w:rsidR="008117FA" w:rsidRPr="008117FA" w:rsidRDefault="008117FA" w:rsidP="008117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09" w:right="709"/>
        <w:jc w:val="both"/>
        <w:rPr>
          <w:rFonts w:ascii="Verdana" w:eastAsia="Aptos" w:hAnsi="Verdana" w:cs="Times New Roman"/>
          <w:kern w:val="2"/>
          <w:sz w:val="20"/>
          <w:szCs w:val="20"/>
          <w14:ligatures w14:val="standardContextual"/>
        </w:rPr>
      </w:pPr>
      <w:r w:rsidRPr="008117FA">
        <w:rPr>
          <w:rFonts w:ascii="Verdana" w:eastAsia="Aptos" w:hAnsi="Verdana" w:cs="Arial"/>
          <w:color w:val="000000"/>
          <w:sz w:val="20"/>
          <w:szCs w:val="20"/>
          <w:lang w:val="es-MX"/>
          <w14:ligatures w14:val="standardContextual"/>
        </w:rPr>
        <w:t>“</w:t>
      </w:r>
      <w:r w:rsidRPr="008117FA">
        <w:rPr>
          <w:rFonts w:ascii="Verdana" w:eastAsia="Aptos" w:hAnsi="Verdana" w:cs="Times New Roman"/>
          <w:kern w:val="2"/>
          <w:sz w:val="20"/>
          <w:szCs w:val="20"/>
          <w14:ligatures w14:val="standardContextual"/>
        </w:rPr>
        <w:t xml:space="preserve">Según la Matriz 1 - Experiencia, tomando como actividad principal por contratar, la correspondiente al numeral 4.3 PROYECTOS DE ATENCION, PREVENCIÓN O MITIGACIÓN DE OBRAS DE EMERGENCIAS MEDIANTE OBRAS DE REMOCIÓN DE DERRUMBES. Solicitud de aclaración sobre el alcance de la experiencia general prevista en el numeral 4.3 del Documento Base de Licitación de Obra de Infraestructura de Transporte, Versión4. De manera atenta solicito se sirvan aclarar si la experiencia general exigida en el numeral 4.3 debe limitarse exclusivamente a contratos ejecutados en infraestructura vial o si también se entiende cumplido con contratos de cualquier tipo de infraestructura en obras civiles que hayan correspondido a proyectos de atención, prevención o mitigación </w:t>
      </w:r>
      <w:r w:rsidRPr="008117FA">
        <w:rPr>
          <w:rFonts w:ascii="Verdana" w:eastAsia="Aptos" w:hAnsi="Verdana" w:cs="Times New Roman"/>
          <w:kern w:val="2"/>
          <w:sz w:val="20"/>
          <w:szCs w:val="20"/>
          <w14:ligatures w14:val="standardContextual"/>
        </w:rPr>
        <w:lastRenderedPageBreak/>
        <w:t>de emergencias, que hayan incluido actividades de remoción de derrumbes o movimiento de tierras, independientemente de que dichas obras no correspondan específicamente a vías</w:t>
      </w:r>
      <w:r w:rsidRPr="008117FA">
        <w:rPr>
          <w:rFonts w:ascii="Verdana" w:eastAsia="Aptos" w:hAnsi="Verdana" w:cs="Arial"/>
          <w:color w:val="000000"/>
          <w:sz w:val="20"/>
          <w:szCs w:val="20"/>
          <w:lang w:val="es-MX"/>
          <w14:ligatures w14:val="standardContextual"/>
        </w:rPr>
        <w:t xml:space="preserve">”. </w:t>
      </w:r>
    </w:p>
    <w:p w14:paraId="015161B0" w14:textId="77777777" w:rsidR="008117FA" w:rsidRPr="008117FA" w:rsidRDefault="008117FA" w:rsidP="008117FA">
      <w:pPr>
        <w:spacing w:after="0" w:line="240" w:lineRule="auto"/>
        <w:jc w:val="both"/>
        <w:rPr>
          <w:rFonts w:ascii="Verdana" w:eastAsia="Calibri" w:hAnsi="Verdana" w:cs="Arial"/>
          <w:color w:val="000000"/>
          <w:sz w:val="21"/>
          <w:szCs w:val="21"/>
          <w:lang w:eastAsia="es-ES"/>
        </w:rPr>
      </w:pPr>
    </w:p>
    <w:p w14:paraId="2A1D57C2" w14:textId="77777777" w:rsidR="008117FA" w:rsidRPr="008117FA" w:rsidRDefault="008117FA" w:rsidP="008117FA">
      <w:pPr>
        <w:spacing w:after="120" w:line="276" w:lineRule="auto"/>
        <w:ind w:firstLine="709"/>
        <w:jc w:val="both"/>
        <w:rPr>
          <w:rFonts w:ascii="Verdana" w:eastAsia="Calibri" w:hAnsi="Verdana" w:cs="Arial"/>
          <w:color w:val="000000"/>
          <w:lang w:eastAsia="es-ES"/>
        </w:rPr>
      </w:pPr>
      <w:r w:rsidRPr="008117FA">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8117FA">
        <w:rPr>
          <w:rFonts w:ascii="Verdana" w:eastAsia="Calibri" w:hAnsi="Verdana" w:cs="Arial"/>
          <w:color w:val="000000"/>
          <w:lang w:eastAsia="es-ES"/>
        </w:rPr>
        <w:tab/>
      </w:r>
    </w:p>
    <w:p w14:paraId="42BC7782" w14:textId="77777777" w:rsidR="008117FA" w:rsidRPr="008117FA" w:rsidRDefault="008117FA" w:rsidP="008117FA">
      <w:pPr>
        <w:spacing w:after="120" w:line="276" w:lineRule="auto"/>
        <w:ind w:firstLine="709"/>
        <w:jc w:val="both"/>
        <w:rPr>
          <w:rFonts w:ascii="Verdana" w:eastAsia="Calibri" w:hAnsi="Verdana" w:cs="Arial"/>
          <w:color w:val="000000"/>
          <w:lang w:eastAsia="es-ES"/>
        </w:rPr>
      </w:pPr>
      <w:r w:rsidRPr="008117FA">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534186E3" w14:textId="77777777" w:rsidR="008117FA" w:rsidRPr="008117FA" w:rsidRDefault="008117FA" w:rsidP="008117FA">
      <w:pPr>
        <w:spacing w:after="0" w:line="276" w:lineRule="auto"/>
        <w:jc w:val="both"/>
        <w:rPr>
          <w:rFonts w:ascii="Verdana" w:eastAsia="Calibri" w:hAnsi="Verdana" w:cs="Arial"/>
          <w:color w:val="000000"/>
          <w:lang w:eastAsia="es-ES"/>
        </w:rPr>
      </w:pPr>
    </w:p>
    <w:p w14:paraId="13E08DBB" w14:textId="77777777" w:rsidR="008117FA" w:rsidRPr="008117FA" w:rsidRDefault="008117FA" w:rsidP="008117FA">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8117FA">
        <w:rPr>
          <w:rFonts w:ascii="Verdana" w:eastAsia="Century Gothic" w:hAnsi="Verdana" w:cs="Century Gothic"/>
          <w:b/>
          <w:bCs/>
        </w:rPr>
        <w:t>Problema planteado:</w:t>
      </w:r>
    </w:p>
    <w:p w14:paraId="28A9FB8D" w14:textId="77777777" w:rsidR="008117FA" w:rsidRPr="008117FA" w:rsidRDefault="008117FA" w:rsidP="008117FA">
      <w:pPr>
        <w:tabs>
          <w:tab w:val="left" w:pos="142"/>
          <w:tab w:val="left" w:pos="284"/>
        </w:tabs>
        <w:spacing w:after="0" w:line="276" w:lineRule="auto"/>
        <w:jc w:val="both"/>
        <w:rPr>
          <w:rFonts w:ascii="Verdana" w:eastAsia="Century Gothic" w:hAnsi="Verdana" w:cs="Century Gothic"/>
          <w:b/>
          <w:bCs/>
        </w:rPr>
      </w:pPr>
    </w:p>
    <w:p w14:paraId="1C24280B" w14:textId="77777777" w:rsidR="008117FA" w:rsidRPr="008117FA" w:rsidRDefault="008117FA" w:rsidP="008117FA">
      <w:pPr>
        <w:spacing w:after="0" w:line="276" w:lineRule="auto"/>
        <w:jc w:val="both"/>
        <w:rPr>
          <w:rFonts w:ascii="Verdana" w:eastAsia="Century Gothic" w:hAnsi="Verdana" w:cs="Century Gothic"/>
          <w:lang w:val="es-ES_tradnl"/>
        </w:rPr>
      </w:pPr>
      <w:r w:rsidRPr="008117FA">
        <w:rPr>
          <w:rFonts w:ascii="Verdana" w:eastAsia="Century Gothic" w:hAnsi="Verdana" w:cs="Century Gothic"/>
        </w:rPr>
        <w:t xml:space="preserve">De acuerdo con el contenido de su solicitud, en relación con los </w:t>
      </w:r>
      <w:r w:rsidRPr="008117FA">
        <w:rPr>
          <w:rFonts w:ascii="Verdana" w:eastAsia="Aptos" w:hAnsi="Verdana" w:cs="Times New Roman"/>
        </w:rPr>
        <w:t xml:space="preserve">documentos tipo de licitación de obra pública de infraestructura de transporte – versión 4, </w:t>
      </w:r>
      <w:r w:rsidRPr="008117FA">
        <w:rPr>
          <w:rFonts w:ascii="Verdana" w:eastAsia="Century Gothic" w:hAnsi="Verdana" w:cs="Century Gothic"/>
        </w:rPr>
        <w:t xml:space="preserve">esta Agencia resolverá los siguientes problemas jurídicos: i) ¿Cuál es el alcance de lo dispuesto en la actividad 4.3 de la Matriz 1 – Experiencia en relación con la experiencia general y específica? y </w:t>
      </w:r>
      <w:proofErr w:type="spellStart"/>
      <w:r w:rsidRPr="008117FA">
        <w:rPr>
          <w:rFonts w:ascii="Verdana" w:eastAsia="Century Gothic" w:hAnsi="Verdana" w:cs="Century Gothic"/>
        </w:rPr>
        <w:t>ii</w:t>
      </w:r>
      <w:proofErr w:type="spellEnd"/>
      <w:r w:rsidRPr="008117FA">
        <w:rPr>
          <w:rFonts w:ascii="Verdana" w:eastAsia="Century Gothic" w:hAnsi="Verdana" w:cs="Century Gothic"/>
        </w:rPr>
        <w:t>) ¿</w:t>
      </w:r>
      <w:r w:rsidRPr="008117FA">
        <w:rPr>
          <w:rFonts w:ascii="Verdana" w:eastAsia="Aptos" w:hAnsi="Verdana" w:cs="Times New Roman"/>
          <w:kern w:val="2"/>
          <w14:ligatures w14:val="standardContextual"/>
        </w:rPr>
        <w:t>La experiencia general exigida para la actividad 4.3 de la Matriz 1 – Experiencia debe haberse ejecutado o acreditado necesariamente en proyectos de infraestructura de transporte, o es procedente acreditarla con contratos ejecutados en otro tipo de infraestructura u obras civiles, siempre que cumplan con las actividades técnicas exigidas.</w:t>
      </w:r>
      <w:r w:rsidRPr="008117FA">
        <w:rPr>
          <w:rFonts w:ascii="Verdana" w:eastAsia="Century Gothic" w:hAnsi="Verdana" w:cs="Century Gothic"/>
        </w:rPr>
        <w:t>?</w:t>
      </w:r>
    </w:p>
    <w:p w14:paraId="3220DCFA" w14:textId="77777777" w:rsidR="008117FA" w:rsidRPr="008117FA" w:rsidRDefault="008117FA" w:rsidP="008117FA">
      <w:pPr>
        <w:tabs>
          <w:tab w:val="left" w:pos="142"/>
          <w:tab w:val="left" w:pos="284"/>
        </w:tabs>
        <w:spacing w:after="0" w:line="276" w:lineRule="auto"/>
        <w:jc w:val="both"/>
        <w:rPr>
          <w:rFonts w:ascii="Verdana" w:eastAsia="Calibri" w:hAnsi="Verdana" w:cs="Arial"/>
          <w:color w:val="7030A0"/>
          <w:lang w:val="es-ES_tradnl"/>
        </w:rPr>
      </w:pPr>
    </w:p>
    <w:p w14:paraId="31CA3864" w14:textId="77777777" w:rsidR="008117FA" w:rsidRPr="008117FA" w:rsidRDefault="008117FA" w:rsidP="008117FA">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8117FA">
        <w:rPr>
          <w:rFonts w:ascii="Verdana" w:eastAsia="Century Gothic" w:hAnsi="Verdana" w:cs="Century Gothic"/>
          <w:b/>
          <w:bCs/>
        </w:rPr>
        <w:t>Respuesta:</w:t>
      </w:r>
    </w:p>
    <w:p w14:paraId="35E21870" w14:textId="77777777" w:rsidR="008117FA" w:rsidRPr="008117FA" w:rsidRDefault="008117FA" w:rsidP="008117FA">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117FA" w:rsidRPr="008117FA" w14:paraId="3A421C8F" w14:textId="77777777" w:rsidTr="00933CEA">
        <w:tc>
          <w:tcPr>
            <w:tcW w:w="8828" w:type="dxa"/>
          </w:tcPr>
          <w:p w14:paraId="753E92B5" w14:textId="22A5CCBF" w:rsidR="00287631" w:rsidRDefault="00287631" w:rsidP="008117FA">
            <w:pPr>
              <w:spacing w:line="276" w:lineRule="auto"/>
              <w:jc w:val="both"/>
              <w:rPr>
                <w:rFonts w:ascii="Verdana" w:eastAsia="Calibri" w:hAnsi="Verdana" w:cs="Arial"/>
              </w:rPr>
            </w:pPr>
            <w:r>
              <w:rPr>
                <w:rFonts w:ascii="Verdana" w:eastAsia="Calibri" w:hAnsi="Verdana" w:cs="Arial"/>
              </w:rPr>
              <w:lastRenderedPageBreak/>
              <w:t>Por unidad de materia, los problemas jurídicos uno (1) y dos (2) se responderán de forma conjunta en los siguientes términos:</w:t>
            </w:r>
          </w:p>
          <w:p w14:paraId="188C0D4F" w14:textId="77777777" w:rsidR="00287631" w:rsidRDefault="00287631" w:rsidP="008117FA">
            <w:pPr>
              <w:spacing w:line="276" w:lineRule="auto"/>
              <w:jc w:val="both"/>
              <w:rPr>
                <w:rFonts w:ascii="Verdana" w:eastAsia="Calibri" w:hAnsi="Verdana" w:cs="Arial"/>
              </w:rPr>
            </w:pPr>
          </w:p>
          <w:p w14:paraId="3DD05ECC" w14:textId="7C8F17AC" w:rsidR="008117FA" w:rsidRPr="008117FA" w:rsidRDefault="008117FA" w:rsidP="008117FA">
            <w:pPr>
              <w:spacing w:line="276" w:lineRule="auto"/>
              <w:jc w:val="both"/>
              <w:rPr>
                <w:rFonts w:ascii="Verdana" w:eastAsia="Calibri" w:hAnsi="Verdana" w:cs="Times New Roman"/>
              </w:rPr>
            </w:pPr>
            <w:r w:rsidRPr="008117FA">
              <w:rPr>
                <w:rFonts w:ascii="Verdana" w:eastAsia="Calibri" w:hAnsi="Verdana" w:cs="Arial"/>
              </w:rPr>
              <w:t xml:space="preserve">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w:t>
            </w:r>
            <w:r w:rsidRPr="008117FA">
              <w:rPr>
                <w:rFonts w:ascii="Verdana" w:eastAsia="Aptos" w:hAnsi="Verdana" w:cs="Arial"/>
                <w:color w:val="000000"/>
                <w:lang w:val="es-ES_tradnl"/>
              </w:rPr>
              <w:t>incluye cinco (5) actividades dentro de las cuales, se encuentra la dispuesta en el numeral 4.3 relacionada con “</w:t>
            </w:r>
            <w:r w:rsidRPr="00177704">
              <w:rPr>
                <w:rFonts w:ascii="Verdana" w:eastAsia="Aptos" w:hAnsi="Verdana" w:cs="Times New Roman"/>
              </w:rPr>
              <w:t>PROYECTOS DE ATENCION, PREVENCIÓN O MITIGACIÓN DE OBRAS DE EMERGENCIAS MEDIANTE OBRAS DE REMOCIÓN DE DERRUMBES</w:t>
            </w:r>
            <w:r w:rsidRPr="008117FA">
              <w:rPr>
                <w:rFonts w:ascii="Verdana" w:eastAsia="Aptos" w:hAnsi="Verdana" w:cs="Arial"/>
                <w:color w:val="000000"/>
                <w:lang w:val="es-ES_tradnl"/>
              </w:rPr>
              <w:t xml:space="preserve">”. </w:t>
            </w:r>
            <w:r w:rsidRPr="008117FA">
              <w:rPr>
                <w:rFonts w:ascii="Verdana" w:eastAsia="Aptos" w:hAnsi="Verdana" w:cs="Times New Roman"/>
              </w:rPr>
              <w:t>Para esta actividad, en proyectos de alta 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7DD19757" w14:textId="77777777" w:rsidR="008117FA" w:rsidRPr="008117FA" w:rsidRDefault="008117FA" w:rsidP="008117FA">
            <w:pPr>
              <w:spacing w:line="276" w:lineRule="auto"/>
              <w:ind w:firstLine="709"/>
              <w:jc w:val="both"/>
              <w:rPr>
                <w:rFonts w:ascii="Verdana" w:eastAsia="Aptos" w:hAnsi="Verdana" w:cs="Arial"/>
                <w:color w:val="000000"/>
                <w:lang w:val="es-ES_tradnl"/>
              </w:rPr>
            </w:pPr>
          </w:p>
          <w:p w14:paraId="6CA7DFA3" w14:textId="77777777" w:rsidR="008117FA" w:rsidRPr="008117FA" w:rsidRDefault="008117FA" w:rsidP="008117FA">
            <w:pPr>
              <w:spacing w:after="120"/>
              <w:ind w:left="709" w:right="709"/>
              <w:jc w:val="both"/>
              <w:rPr>
                <w:rFonts w:ascii="Verdana" w:eastAsia="Calibri" w:hAnsi="Verdana" w:cs="Calibri"/>
                <w:b/>
                <w:bCs/>
                <w:i/>
                <w:iCs/>
                <w:sz w:val="21"/>
                <w:szCs w:val="21"/>
                <w:u w:val="single"/>
              </w:rPr>
            </w:pPr>
            <w:r w:rsidRPr="008117FA">
              <w:rPr>
                <w:rFonts w:ascii="Verdana" w:eastAsia="Calibri" w:hAnsi="Verdana" w:cs="Calibri"/>
                <w:b/>
                <w:bCs/>
                <w:sz w:val="21"/>
                <w:szCs w:val="21"/>
                <w:u w:val="single"/>
              </w:rPr>
              <w:t>“</w:t>
            </w:r>
            <w:r w:rsidRPr="008117FA">
              <w:rPr>
                <w:rFonts w:ascii="Verdana" w:eastAsia="Calibri" w:hAnsi="Verdana" w:cs="Calibri"/>
                <w:b/>
                <w:bCs/>
                <w:i/>
                <w:iCs/>
                <w:sz w:val="21"/>
                <w:szCs w:val="21"/>
                <w:u w:val="single"/>
              </w:rPr>
              <w:t>GENERAL</w:t>
            </w:r>
          </w:p>
          <w:p w14:paraId="7F3B53CB" w14:textId="77777777" w:rsidR="008117FA" w:rsidRPr="008117FA" w:rsidRDefault="008117FA" w:rsidP="008117FA">
            <w:pPr>
              <w:spacing w:after="120"/>
              <w:ind w:left="709" w:right="709"/>
              <w:jc w:val="both"/>
              <w:rPr>
                <w:rFonts w:ascii="Verdana" w:eastAsia="Calibri" w:hAnsi="Verdana" w:cs="Times New Roman"/>
                <w:i/>
                <w:iCs/>
                <w:sz w:val="21"/>
                <w:szCs w:val="21"/>
              </w:rPr>
            </w:pPr>
            <w:r w:rsidRPr="008117FA">
              <w:rPr>
                <w:rFonts w:ascii="Verdana" w:eastAsia="Calibri" w:hAnsi="Verdana" w:cs="Times New Roman"/>
                <w:i/>
                <w:iCs/>
                <w:sz w:val="21"/>
                <w:szCs w:val="21"/>
              </w:rPr>
              <w:t>PROYECTOS QUE CORRESPONDAN O HAYAN CONTENIDO ACTIVIDADES DE: REMOCIÓN DE DERRUMBES O MOVIMIENTO DE TIERRAS.</w:t>
            </w:r>
          </w:p>
          <w:p w14:paraId="220A7C06" w14:textId="77777777" w:rsidR="008117FA" w:rsidRPr="008117FA" w:rsidRDefault="008117FA" w:rsidP="008117FA">
            <w:pPr>
              <w:spacing w:after="120"/>
              <w:ind w:left="709" w:right="709"/>
              <w:jc w:val="both"/>
              <w:rPr>
                <w:rFonts w:ascii="Verdana" w:eastAsia="Calibri" w:hAnsi="Verdana" w:cs="Calibri"/>
                <w:i/>
                <w:iCs/>
                <w:sz w:val="21"/>
                <w:szCs w:val="21"/>
              </w:rPr>
            </w:pPr>
            <w:r w:rsidRPr="008117FA">
              <w:rPr>
                <w:rFonts w:ascii="Verdana" w:eastAsia="Calibri" w:hAnsi="Verdana" w:cs="Calibri"/>
                <w:b/>
                <w:bCs/>
                <w:i/>
                <w:iCs/>
                <w:sz w:val="21"/>
                <w:szCs w:val="21"/>
                <w:u w:val="single"/>
              </w:rPr>
              <w:t>ESPECIFICA</w:t>
            </w:r>
          </w:p>
          <w:p w14:paraId="0744AD9A" w14:textId="77777777" w:rsidR="008117FA" w:rsidRPr="008117FA" w:rsidRDefault="008117FA" w:rsidP="008117FA">
            <w:pPr>
              <w:ind w:left="709" w:right="709"/>
              <w:jc w:val="both"/>
              <w:rPr>
                <w:rFonts w:ascii="Verdana" w:eastAsia="Calibri" w:hAnsi="Verdana" w:cs="Calibri"/>
                <w:i/>
                <w:iCs/>
                <w:sz w:val="21"/>
                <w:szCs w:val="21"/>
              </w:rPr>
            </w:pPr>
            <w:r w:rsidRPr="008117FA">
              <w:rPr>
                <w:rFonts w:ascii="Verdana" w:eastAsia="Calibri" w:hAnsi="Verdana" w:cs="Calibri"/>
                <w:i/>
                <w:iCs/>
                <w:sz w:val="21"/>
                <w:szCs w:val="21"/>
              </w:rPr>
              <w:t xml:space="preserve">Por lo menos uno de los contratos aportados como experiencia general, debe haber sido ejecutado en Proyectos de Atención o Prevención o Mitigación de Emergencias y El valor ejecutado del ítem de remoción de derrumbes de uno de los contratos debe corresponder como mínimo del XX% del Presupuesto Oficial. </w:t>
            </w:r>
          </w:p>
          <w:p w14:paraId="70C4A1FE" w14:textId="77777777" w:rsidR="008117FA" w:rsidRPr="008117FA" w:rsidRDefault="008117FA" w:rsidP="008117FA">
            <w:pPr>
              <w:ind w:left="709" w:right="709"/>
              <w:jc w:val="both"/>
              <w:rPr>
                <w:rFonts w:ascii="Verdana" w:eastAsia="Calibri" w:hAnsi="Verdana" w:cs="Calibri"/>
                <w:i/>
                <w:iCs/>
                <w:sz w:val="21"/>
                <w:szCs w:val="21"/>
              </w:rPr>
            </w:pPr>
            <w:r w:rsidRPr="008117FA">
              <w:rPr>
                <w:rFonts w:ascii="Verdana" w:eastAsia="Calibri" w:hAnsi="Verdana" w:cs="Calibri"/>
                <w:i/>
                <w:iCs/>
                <w:sz w:val="21"/>
                <w:szCs w:val="21"/>
              </w:rPr>
              <w:t>[La entidad determinara el XX% del Presupuesto Oficial, dependiendo la naturaleza del proyecto]”.</w:t>
            </w:r>
          </w:p>
          <w:p w14:paraId="42877E31" w14:textId="77777777" w:rsidR="008117FA" w:rsidRPr="008117FA" w:rsidRDefault="008117FA" w:rsidP="008117FA">
            <w:pPr>
              <w:ind w:left="709" w:right="709"/>
              <w:jc w:val="both"/>
              <w:rPr>
                <w:rFonts w:ascii="Verdana" w:eastAsia="Calibri" w:hAnsi="Verdana" w:cs="Calibri"/>
                <w:sz w:val="21"/>
                <w:szCs w:val="21"/>
              </w:rPr>
            </w:pPr>
          </w:p>
          <w:p w14:paraId="6300ED73" w14:textId="77777777" w:rsidR="008117FA" w:rsidRPr="008117FA" w:rsidRDefault="008117FA" w:rsidP="008117FA">
            <w:pPr>
              <w:spacing w:after="120"/>
              <w:ind w:left="709" w:right="709"/>
              <w:jc w:val="both"/>
              <w:rPr>
                <w:rFonts w:ascii="Verdana" w:eastAsia="Calibri" w:hAnsi="Verdana" w:cs="Times New Roman"/>
                <w:i/>
                <w:iCs/>
                <w:sz w:val="21"/>
                <w:szCs w:val="21"/>
              </w:rPr>
            </w:pPr>
            <w:r w:rsidRPr="008117FA">
              <w:rPr>
                <w:rFonts w:ascii="Verdana" w:eastAsia="Calibri" w:hAnsi="Verdana" w:cs="Times New Roman"/>
                <w:i/>
                <w:iCs/>
                <w:sz w:val="21"/>
                <w:szCs w:val="21"/>
              </w:rPr>
              <w:t xml:space="preserve">%: de dimensionamiento: i) &lt; 100 SMMLV, Entre 100 y 1.000 SMMLV: 100%; </w:t>
            </w:r>
            <w:proofErr w:type="spellStart"/>
            <w:r w:rsidRPr="008117FA">
              <w:rPr>
                <w:rFonts w:ascii="Verdana" w:eastAsia="Calibri" w:hAnsi="Verdana" w:cs="Times New Roman"/>
                <w:i/>
                <w:iCs/>
                <w:sz w:val="21"/>
                <w:szCs w:val="21"/>
              </w:rPr>
              <w:t>ii</w:t>
            </w:r>
            <w:proofErr w:type="spellEnd"/>
            <w:r w:rsidRPr="008117FA">
              <w:rPr>
                <w:rFonts w:ascii="Verdana" w:eastAsia="Calibri" w:hAnsi="Verdana" w:cs="Times New Roman"/>
                <w:i/>
                <w:iCs/>
                <w:sz w:val="21"/>
                <w:szCs w:val="21"/>
              </w:rPr>
              <w:t xml:space="preserve">) Entre 1.001 y 13.000 SMMLV, Entre 13.001 y 27.000 SMMLV: 85%; y </w:t>
            </w:r>
            <w:proofErr w:type="spellStart"/>
            <w:r w:rsidRPr="008117FA">
              <w:rPr>
                <w:rFonts w:ascii="Verdana" w:eastAsia="Calibri" w:hAnsi="Verdana" w:cs="Times New Roman"/>
                <w:i/>
                <w:iCs/>
                <w:sz w:val="21"/>
                <w:szCs w:val="21"/>
              </w:rPr>
              <w:t>iii</w:t>
            </w:r>
            <w:proofErr w:type="spellEnd"/>
            <w:r w:rsidRPr="008117FA">
              <w:rPr>
                <w:rFonts w:ascii="Verdana" w:eastAsia="Calibri" w:hAnsi="Verdana" w:cs="Times New Roman"/>
                <w:i/>
                <w:iCs/>
                <w:sz w:val="21"/>
                <w:szCs w:val="21"/>
              </w:rPr>
              <w:t>) Mayor o igual a 27.001 SMMLV: 70%.</w:t>
            </w:r>
          </w:p>
          <w:p w14:paraId="35A231D7" w14:textId="77777777" w:rsidR="008117FA" w:rsidRPr="008117FA" w:rsidRDefault="008117FA" w:rsidP="008117FA">
            <w:pPr>
              <w:ind w:left="709" w:right="709"/>
              <w:jc w:val="both"/>
              <w:rPr>
                <w:rFonts w:ascii="Verdana" w:eastAsia="Calibri" w:hAnsi="Verdana" w:cs="Calibri"/>
                <w:sz w:val="21"/>
                <w:szCs w:val="21"/>
              </w:rPr>
            </w:pPr>
          </w:p>
          <w:p w14:paraId="2A5ECF83" w14:textId="77777777" w:rsidR="008117FA" w:rsidRPr="008117FA" w:rsidRDefault="008117FA" w:rsidP="008117FA">
            <w:pPr>
              <w:spacing w:line="276" w:lineRule="auto"/>
              <w:ind w:firstLine="708"/>
              <w:jc w:val="both"/>
              <w:rPr>
                <w:rFonts w:ascii="Verdana" w:eastAsia="Aptos" w:hAnsi="Verdana" w:cs="Times New Roman"/>
                <w:kern w:val="2"/>
                <w14:ligatures w14:val="standardContextual"/>
              </w:rPr>
            </w:pPr>
            <w:r w:rsidRPr="008117FA">
              <w:rPr>
                <w:rFonts w:ascii="Verdana" w:eastAsia="Aptos" w:hAnsi="Verdana" w:cs="Times New Roman"/>
              </w:rPr>
              <w:t xml:space="preserve">De acuerdo con lo señalado en la Matriz 1 – Experiencia, para la actividad 4.3, la experiencia general podrá acreditarse con proyectos que correspondan o hayan contenido actividades de remoción de derrumbes o </w:t>
            </w:r>
            <w:r w:rsidRPr="008117FA">
              <w:rPr>
                <w:rFonts w:ascii="Verdana" w:eastAsia="Aptos" w:hAnsi="Verdana" w:cs="Times New Roman"/>
              </w:rPr>
              <w:lastRenderedPageBreak/>
              <w:t>movimiento de tierras. Particularmente, en relación con el problema jurídico planteado en este concepto, la experiencia general exigida para la actividad 4.3 no se encuentra limitada exclusivamente a contratos ejecutados en infraestructura vial. Esto, considerando que la Matriz 1 – Experiencia no condiciona su acreditación a que las actividades hayan sido desarrolladas en carreteras o vías, sino al cumplimiento de las actividades técnicas requeridas, esto es, remoción de derrumbes o movimiento de tierras. Por tanto, es procedente acreditar la experiencia general con contratos de cualquier tipo de infraestructura u obras civiles, siempre que dichos contratos incluyan las actividades exigidas en la Matriz 1 – Experiencia para la actividad 4.3.</w:t>
            </w:r>
          </w:p>
          <w:p w14:paraId="124B963B" w14:textId="77777777" w:rsidR="008117FA" w:rsidRPr="008117FA" w:rsidRDefault="008117FA" w:rsidP="008117FA">
            <w:pPr>
              <w:spacing w:before="120" w:after="120" w:line="276" w:lineRule="auto"/>
              <w:ind w:firstLine="708"/>
              <w:jc w:val="both"/>
              <w:rPr>
                <w:rFonts w:ascii="Verdana" w:eastAsia="Aptos" w:hAnsi="Verdana" w:cs="Arial"/>
                <w:color w:val="000000"/>
                <w:lang w:val="es-ES_tradnl" w:eastAsia="es-MX"/>
              </w:rPr>
            </w:pPr>
            <w:r w:rsidRPr="008117FA">
              <w:rPr>
                <w:rFonts w:ascii="Verdana" w:eastAsia="Times New Roman" w:hAnsi="Verdana" w:cs="Times New Roman"/>
                <w:lang w:eastAsia="es-MX"/>
              </w:rPr>
              <w:t xml:space="preserve">Por su parte, para la experiencia específica, por lo menos uno (1) de los contratos aportados como experiencia general debe corresponder a proyectos de atención, prevención o mitigación de emergencias, y el valor ejecutado del ítem de remoción de derrumbes </w:t>
            </w:r>
            <w:r w:rsidRPr="008117FA">
              <w:rPr>
                <w:rFonts w:ascii="Verdana" w:eastAsia="Aptos" w:hAnsi="Verdana" w:cs="Arial"/>
                <w:color w:val="000000"/>
                <w:lang w:val="es-ES_tradnl" w:eastAsia="es-MX"/>
              </w:rPr>
              <w:t xml:space="preserve">de uno de los contratos debe corresponde como mínimo del XX% del presupuesto oficial. Ahora bien, el porcentaje del presupuesto oficial se determinará por parte de la entidad dependiendo la naturaleza del proyecto. </w:t>
            </w:r>
          </w:p>
          <w:p w14:paraId="78CF0D67" w14:textId="77777777" w:rsidR="008117FA" w:rsidRPr="008117FA" w:rsidRDefault="008117FA" w:rsidP="008117FA">
            <w:pPr>
              <w:spacing w:line="276" w:lineRule="auto"/>
              <w:ind w:firstLine="708"/>
              <w:jc w:val="both"/>
              <w:rPr>
                <w:rFonts w:ascii="Verdana" w:eastAsia="Aptos" w:hAnsi="Verdana" w:cs="Times New Roman"/>
              </w:rPr>
            </w:pPr>
            <w:r w:rsidRPr="008117FA">
              <w:rPr>
                <w:rFonts w:ascii="Verdana" w:eastAsia="Aptos" w:hAnsi="Verdana" w:cs="Times New Roman"/>
              </w:rPr>
              <w:t>Así las cosas, el criterio determinante para la acreditación de la experiencia para la actividad 4.3 no es la naturaleza vial de la infraestructura intervenida, sino la efectiva ejecución de las actividades técnicas expresamente definidas en la Matriz 1 – Experiencia y el cumplimiento de los requisitos de experiencia general y específica allí establecidos.</w:t>
            </w:r>
          </w:p>
        </w:tc>
      </w:tr>
    </w:tbl>
    <w:p w14:paraId="154E6242" w14:textId="77777777" w:rsidR="008117FA" w:rsidRPr="008117FA" w:rsidRDefault="008117FA" w:rsidP="008117FA">
      <w:pPr>
        <w:tabs>
          <w:tab w:val="left" w:pos="142"/>
          <w:tab w:val="left" w:pos="284"/>
        </w:tabs>
        <w:spacing w:after="0" w:line="276" w:lineRule="auto"/>
        <w:jc w:val="both"/>
        <w:rPr>
          <w:rFonts w:ascii="Verdana" w:eastAsia="Century Gothic" w:hAnsi="Verdana" w:cs="Century Gothic"/>
          <w:b/>
          <w:bCs/>
        </w:rPr>
      </w:pPr>
    </w:p>
    <w:p w14:paraId="7B1C3C50" w14:textId="77777777" w:rsidR="008117FA" w:rsidRPr="008117FA" w:rsidRDefault="008117FA" w:rsidP="008117FA">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8117FA">
        <w:rPr>
          <w:rFonts w:ascii="Verdana" w:eastAsia="Century Gothic" w:hAnsi="Verdana" w:cs="Century Gothic"/>
          <w:b/>
          <w:bCs/>
        </w:rPr>
        <w:t>Razones de la respuesta:</w:t>
      </w:r>
    </w:p>
    <w:p w14:paraId="0542CE10" w14:textId="77777777" w:rsidR="008117FA" w:rsidRPr="008117FA" w:rsidRDefault="008117FA" w:rsidP="008117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eastAsia="Calibri" w:hAnsi="Verdana" w:cs="Helvetica"/>
          <w:color w:val="000000"/>
          <w:sz w:val="21"/>
          <w:szCs w:val="21"/>
        </w:rPr>
      </w:pPr>
    </w:p>
    <w:p w14:paraId="6EE7FF2C" w14:textId="77777777" w:rsidR="008117FA" w:rsidRPr="008117FA" w:rsidRDefault="008117FA" w:rsidP="008117FA">
      <w:pPr>
        <w:spacing w:after="0" w:line="276" w:lineRule="auto"/>
        <w:jc w:val="both"/>
        <w:rPr>
          <w:rFonts w:ascii="Verdana" w:eastAsia="Calibri" w:hAnsi="Verdana" w:cs="Arial"/>
        </w:rPr>
      </w:pPr>
      <w:r w:rsidRPr="008117FA">
        <w:rPr>
          <w:rFonts w:ascii="Verdana" w:eastAsia="Calibri" w:hAnsi="Verdana" w:cs="Arial"/>
        </w:rPr>
        <w:t xml:space="preserve">Lo anterior se sustenta en las siguientes consideraciones: </w:t>
      </w:r>
    </w:p>
    <w:p w14:paraId="55352023" w14:textId="77777777" w:rsidR="008117FA" w:rsidRPr="008117FA" w:rsidRDefault="008117FA" w:rsidP="008117FA">
      <w:pPr>
        <w:spacing w:after="0" w:line="276" w:lineRule="auto"/>
        <w:jc w:val="both"/>
        <w:rPr>
          <w:rFonts w:ascii="Verdana" w:eastAsia="Calibri" w:hAnsi="Verdana" w:cs="Arial"/>
        </w:rPr>
      </w:pPr>
    </w:p>
    <w:p w14:paraId="721EC0CB" w14:textId="77777777" w:rsidR="008117FA" w:rsidRPr="008117FA" w:rsidRDefault="008117FA" w:rsidP="008117FA">
      <w:pPr>
        <w:spacing w:after="120"/>
        <w:jc w:val="both"/>
        <w:rPr>
          <w:rFonts w:ascii="Verdana" w:eastAsia="Aptos" w:hAnsi="Verdana" w:cs="ArialMT"/>
        </w:rPr>
      </w:pPr>
      <w:r w:rsidRPr="008117FA">
        <w:rPr>
          <w:rFonts w:ascii="Verdana" w:eastAsia="Aptos" w:hAnsi="Verdana" w:cs="Arial"/>
        </w:rPr>
        <w:t xml:space="preserve">i. Los documentos tipo expedidos por la Agencia Nacional de Contratación Pública </w:t>
      </w:r>
      <w:r w:rsidRPr="008117FA">
        <w:rPr>
          <w:rFonts w:ascii="Verdana" w:eastAsia="Aptos" w:hAnsi="Verdana" w:cs="ArialMT"/>
        </w:rPr>
        <w:t xml:space="preserve">– Colombia Compra Eficiente </w:t>
      </w:r>
      <w:r w:rsidRPr="008117FA">
        <w:rPr>
          <w:rFonts w:ascii="Verdana" w:eastAsia="Aptos" w:hAnsi="Verdana" w:cs="Arial"/>
        </w:rPr>
        <w:t>en ejercicio de la potestad otorgada</w:t>
      </w:r>
      <w:r w:rsidRPr="008117FA">
        <w:rPr>
          <w:rFonts w:ascii="Verdana" w:eastAsia="Aptos" w:hAnsi="Verdana" w:cs="ArialMT"/>
        </w:rPr>
        <w:t xml:space="preserve">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Así mismo, los sujetos obligados a su aplicación, no podrán variar los requisitos que en ellos sean fijados, ni </w:t>
      </w:r>
      <w:r w:rsidRPr="008117FA">
        <w:rPr>
          <w:rFonts w:ascii="Verdana" w:eastAsia="Aptos" w:hAnsi="Verdana" w:cs="ArialMT"/>
        </w:rPr>
        <w:lastRenderedPageBreak/>
        <w:t>establecer reglas o requisitos adicionales a los establecidos en estos para la presentación de las ofertas y la acreditación de los requisitos habilitantes.</w:t>
      </w:r>
    </w:p>
    <w:p w14:paraId="20D72309" w14:textId="77777777" w:rsidR="008117FA" w:rsidRPr="008117FA" w:rsidRDefault="008117FA" w:rsidP="008117FA">
      <w:pPr>
        <w:spacing w:after="120"/>
        <w:ind w:firstLine="708"/>
        <w:jc w:val="both"/>
        <w:rPr>
          <w:rFonts w:ascii="Verdana" w:eastAsia="Aptos" w:hAnsi="Verdana" w:cs="ArialMT"/>
        </w:rPr>
      </w:pPr>
      <w:r w:rsidRPr="008117FA">
        <w:rPr>
          <w:rFonts w:ascii="Verdana" w:eastAsia="Aptos" w:hAnsi="Verdana" w:cs="ArialMT"/>
        </w:rPr>
        <w:t>La Agencia Nacional de Contratación Pública – Colombia Compra Eficiente expidió documentos tipo para los sectores de infraestructura de transporte, agua potable y saneamiento básico y social. Asimismo, esta Agencia expidió los documentos tipo de gestión catastral con enfoque multipropósito y para la contratación directa de convenios solidarios para la ejecución de obras hasta la menor cuantía con organismos de acción comunal</w:t>
      </w:r>
      <w:r w:rsidRPr="008117FA">
        <w:rPr>
          <w:rFonts w:ascii="Calibri" w:eastAsia="Calibri" w:hAnsi="Calibri" w:cs="Times New Roman"/>
          <w:vertAlign w:val="superscript"/>
        </w:rPr>
        <w:footnoteReference w:id="2"/>
      </w:r>
      <w:r w:rsidRPr="008117FA">
        <w:rPr>
          <w:rFonts w:ascii="Verdana" w:eastAsia="Aptos" w:hAnsi="Verdana" w:cs="ArialMT"/>
        </w:rPr>
        <w:t xml:space="preserve">. </w:t>
      </w:r>
    </w:p>
    <w:p w14:paraId="7867CA56" w14:textId="77777777" w:rsidR="008117FA" w:rsidRPr="008117FA" w:rsidRDefault="008117FA" w:rsidP="008117FA">
      <w:pPr>
        <w:spacing w:after="120"/>
        <w:ind w:firstLine="708"/>
        <w:jc w:val="both"/>
        <w:rPr>
          <w:rFonts w:ascii="Verdana" w:eastAsia="Aptos" w:hAnsi="Verdana" w:cs="ArialMT"/>
        </w:rPr>
      </w:pPr>
      <w:r w:rsidRPr="008117FA">
        <w:rPr>
          <w:rFonts w:ascii="Verdana" w:eastAsia="Aptos" w:hAnsi="Verdana" w:cs="ArialMT"/>
        </w:rPr>
        <w:t>En el sector de infraestructura de transporte, la Agencia Nacional de Contratación Pública – Colombia Compra Eficiente expidió documentos tipo para contratar obras públicas de infraestructura de transporte bajo las modalidades de selección de licitación pública, selección abreviada de menor cuantía y mínima cuantía. Así mismo, esta Agencia expidió documentos tipo de concurso de méritos para contratar la interventoría y la consultoría de estudios de ingeniería de infraestructura de transporte</w:t>
      </w:r>
      <w:r w:rsidRPr="008117FA">
        <w:rPr>
          <w:rFonts w:ascii="Calibri" w:eastAsia="Calibri" w:hAnsi="Calibri" w:cs="Times New Roman"/>
          <w:vertAlign w:val="superscript"/>
        </w:rPr>
        <w:footnoteReference w:id="3"/>
      </w:r>
      <w:r w:rsidRPr="008117FA">
        <w:rPr>
          <w:rFonts w:ascii="Verdana" w:eastAsia="Aptos" w:hAnsi="Verdana" w:cs="ArialMT"/>
        </w:rPr>
        <w:t xml:space="preserve">. </w:t>
      </w:r>
    </w:p>
    <w:p w14:paraId="40CA3CAE" w14:textId="77777777" w:rsidR="008117FA" w:rsidRPr="008117FA" w:rsidRDefault="008117FA" w:rsidP="008117FA">
      <w:pPr>
        <w:spacing w:after="120"/>
        <w:ind w:firstLine="708"/>
        <w:jc w:val="both"/>
        <w:rPr>
          <w:rFonts w:ascii="Verdana" w:eastAsia="Aptos" w:hAnsi="Verdana" w:cs="ArialMT"/>
        </w:rPr>
      </w:pPr>
      <w:r w:rsidRPr="008117FA">
        <w:rPr>
          <w:rFonts w:ascii="Verdana" w:eastAsia="Aptos" w:hAnsi="Verdana" w:cs="ArialMT"/>
        </w:rPr>
        <w:lastRenderedPageBreak/>
        <w:t xml:space="preserve">La Ley 2022 de 2020 indicó que la Agencia Nacional de Contratación Pública – Colombia Compra Eficiente, debe revisar constantemente el contenido de los documentos tipo que expida. En desarrollo de este deber, esta Agencia estableció un procedimiento para recibir y revisar los comentarios a los documentos tipo de infraestructura de transporte, realizados por todos los partícipes del sistema de la compra pública en el primero y parte del segundo semestre del año 2024. Como consecuencia de ello, se expidieron los diferentes actos administrativos por medio de los cuales se adoptaron y/o modificaron los documentos tipo de este sector, y en simultaneo se publicaron las respuestas a todas las observaciones y/o comentarios realizados a los proyectos de documentos tipo. </w:t>
      </w:r>
    </w:p>
    <w:p w14:paraId="2986A738" w14:textId="77777777" w:rsidR="008117FA" w:rsidRPr="008117FA" w:rsidRDefault="008117FA" w:rsidP="008117FA">
      <w:pPr>
        <w:spacing w:after="120"/>
        <w:ind w:firstLine="708"/>
        <w:jc w:val="both"/>
        <w:rPr>
          <w:rFonts w:ascii="Verdana" w:eastAsia="Aptos" w:hAnsi="Verdana" w:cs="ArialMT"/>
        </w:rPr>
      </w:pPr>
      <w:r w:rsidRPr="008117FA">
        <w:rPr>
          <w:rFonts w:ascii="Verdana" w:eastAsia="Aptos" w:hAnsi="Verdana" w:cs="ArialMT"/>
        </w:rPr>
        <w:t xml:space="preserve">Así, los documentos tipo del sector de infraestructura de transporte fueron modificados después de surtir el procedimiento interno establecido por esta Agencia. En la actualización de estos documentos tipo, participaron entidades técnicas y especializadas del sector transporte, tales como el Instituto Nacional de Vías – INVIAS, el Instituto de Desarrollo Urbano – IDU, el Instituto de Infraestructura y Concesiones de Cundinamarca – ICCU, entre otras. </w:t>
      </w:r>
    </w:p>
    <w:p w14:paraId="2DC9D82D"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Aptos" w:hAnsi="Verdana" w:cs="Arial"/>
          <w:lang w:val="es-ES"/>
        </w:rPr>
        <w:t xml:space="preserve">En relación con los documentos tipo de licitación de obra pública de infraestructura de transporte, mediante la Resolución 465 del 10 de septiembre de 2024, se adoptó la </w:t>
      </w:r>
      <w:r w:rsidRPr="008117FA">
        <w:rPr>
          <w:rFonts w:ascii="Verdana" w:eastAsia="Calibri" w:hAnsi="Verdana" w:cs="Arial"/>
          <w:kern w:val="2"/>
          <w14:ligatures w14:val="standardContextual"/>
        </w:rPr>
        <w:t xml:space="preserve">versión 4 de estos documentos y se derogó la Resolución 240 de 2020. </w:t>
      </w:r>
    </w:p>
    <w:p w14:paraId="3376FF1B"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Aptos" w:hAnsi="Verdana" w:cs="Arial"/>
          <w:lang w:val="es-ES"/>
        </w:rPr>
        <w:t>La parte introductoria del pliego de condiciones de los documentos tipo analizados dispone que estos se aplican a los procedimientos de selección de licitación de obra pública de infraestructura de transporte (versión 4), que correspondan a las actividades definidas en la “Matriz 1 – Experiencia”. En consecuencia, las actividades de infraestructura de transporte no contempladas en la Matriz 1 – Experiencia no tienen que aplicar los documentos tipo; sin perjuicio de lo previsto en el artículo 2.2.1.1.1.2.1 del Decreto 1082 de 2015 o la norma que la modifique, sustituya o complemente, además, de lo contenido en el artículo 4 de la Resolución 465 de 2024, relacionados con la posibilidad de exigir experiencia adicional en determinados supuestos</w:t>
      </w:r>
      <w:r w:rsidRPr="008117FA">
        <w:rPr>
          <w:rFonts w:ascii="Verdana" w:eastAsia="Aptos" w:hAnsi="Verdana" w:cs="Times New Roman"/>
          <w:sz w:val="24"/>
          <w:szCs w:val="24"/>
          <w:vertAlign w:val="superscript"/>
          <w:lang w:val="es-ES"/>
        </w:rPr>
        <w:footnoteReference w:id="4"/>
      </w:r>
      <w:r w:rsidRPr="008117FA">
        <w:rPr>
          <w:rFonts w:ascii="Verdana" w:eastAsia="Aptos" w:hAnsi="Verdana" w:cs="Arial"/>
          <w:lang w:val="es-ES"/>
        </w:rPr>
        <w:t>.</w:t>
      </w:r>
    </w:p>
    <w:p w14:paraId="77257098"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lastRenderedPageBreak/>
        <w:t xml:space="preserve">De acuerdo con las condiciones fijadas en el “Documento Base” de la Resolución No. 465 del 10 de septiembre de 2024,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w:t>
      </w:r>
    </w:p>
    <w:p w14:paraId="725D637D"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Para fijar las condiciones que deben cumplir los contratos aportados, en términos de actividades ejecutadas, las entidades deberán emplear la Matriz 1, documento que estandariza las condiciones de experiencia general y/o experiencia específica que deben requerir las entidades estatales de acuerdo con: i) el tipo de obra de infraestructura de transporte; </w:t>
      </w:r>
      <w:proofErr w:type="spellStart"/>
      <w:r w:rsidRPr="008117FA">
        <w:rPr>
          <w:rFonts w:ascii="Verdana" w:eastAsia="Calibri" w:hAnsi="Verdana" w:cs="Arial"/>
          <w:kern w:val="2"/>
          <w14:ligatures w14:val="standardContextual"/>
        </w:rPr>
        <w:t>ii</w:t>
      </w:r>
      <w:proofErr w:type="spellEnd"/>
      <w:r w:rsidRPr="008117FA">
        <w:rPr>
          <w:rFonts w:ascii="Verdana" w:eastAsia="Calibri" w:hAnsi="Verdana" w:cs="Arial"/>
          <w:kern w:val="2"/>
          <w14:ligatures w14:val="standardContextual"/>
        </w:rPr>
        <w:t xml:space="preserve">) la actividad a contratar, y </w:t>
      </w:r>
      <w:proofErr w:type="spellStart"/>
      <w:r w:rsidRPr="008117FA">
        <w:rPr>
          <w:rFonts w:ascii="Verdana" w:eastAsia="Calibri" w:hAnsi="Verdana" w:cs="Arial"/>
          <w:kern w:val="2"/>
          <w14:ligatures w14:val="standardContextual"/>
        </w:rPr>
        <w:t>iii</w:t>
      </w:r>
      <w:proofErr w:type="spellEnd"/>
      <w:r w:rsidRPr="008117FA">
        <w:rPr>
          <w:rFonts w:ascii="Verdana" w:eastAsia="Calibri" w:hAnsi="Verdana" w:cs="Arial"/>
          <w:kern w:val="2"/>
          <w14:ligatures w14:val="standardContextual"/>
        </w:rPr>
        <w:t>) la cuantía del Proceso de Contratación.</w:t>
      </w:r>
    </w:p>
    <w:p w14:paraId="03BE9E63"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En relación con el primer aspecto, la Matriz 1 está constituida por nueve (9) tipos de obras de infraestructura de transporte, identificadas con un número y su descripción, los cuales son: 1) obras en vías primarias o secundarias, 2) obras en vías terciarias, 3) obras marítimas y fluviales, 4) obras en vías primarias o secundarias o terciarias o urbanas para atención, prevención o mitigación de emergencias diferentes a contratación directa, 5) obras férreas, 6) obras de infraestructura vial urbana, 7) obras en puentes, 8) obras aeroportuarias y 9) obras en túneles. Estas determinan el marco para la aplicación de los documentos tipo, dado que comprenden todas aquellas actividades que constituyen obra pública de infraestructura de transporte y que han sido objeto de estandarización mediante la Resolución No. 465 del 10 de septiembre de 2024 para los procesos de licitación pública.</w:t>
      </w:r>
    </w:p>
    <w:p w14:paraId="42CEE5B3"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Respecto a la actividad a contratar, la Matriz 1 establece cuáles son las que corresponden a cada uno de los tipos de infraestructura mencionados, con el fin de que la entidad identifique aquellas en las cuales puede encuadrarse, de mejor forma, el objeto que pretende ejecutar y determinar los requisitos de experiencia exigibles. Por ejemplo, para el tipo de infraestructura “4. OBRAS EN VIAS PRIMARIAS O SECUNDARIAS O TERCIARIAS O URBANAS PARA ATENCIÓN, PREVENCIÓN O MITIGACIÓN DE EMERGENCIAS DIFERENTES A CONTRATACIÓN </w:t>
      </w:r>
      <w:r w:rsidRPr="008117FA">
        <w:rPr>
          <w:rFonts w:ascii="Verdana" w:eastAsia="Calibri" w:hAnsi="Verdana" w:cs="Arial"/>
          <w:kern w:val="2"/>
          <w14:ligatures w14:val="standardContextual"/>
        </w:rPr>
        <w:lastRenderedPageBreak/>
        <w:t>DIRECTA”, la entidad podrá verificar la experiencia requerida en su proceso, de acuerdo con las cinco (5) actividades identificadas en la matriz 1.</w:t>
      </w:r>
    </w:p>
    <w:p w14:paraId="164EE48A"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De otra parte, el documento establece los rangos dentro de los cuales se debe identificar el presupuesto del Proceso de Contratación. Estos abarcan las cuantías mínimas y máximas que son frecuentes en los procesos de contratación de obra pública de infraestructura de transporte, y son resultado de las exigencias señaladas en el inciso 3 del parágrafo 7 del artículo 2 de la Ley 1150 de 2007 –modificado por el artículo 1 de la Ley 2022 de 2020–, conforme al cual las condiciones fijadas en los documentos tipo deben tener en cuenta la cuantía, la naturaleza y la especialidad de la contratación. </w:t>
      </w:r>
    </w:p>
    <w:p w14:paraId="6BA233CF"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Estos tres factores determinan el requisito de experiencia establecido en los documentos tipo desarrollados por la Agencia Nacional de Contratación Pública – Colombia Compra Eficiente, e incluido en la Matriz 1, que es resultado del mandato establecido en la Ley 2022 de 2020, por lo que son de obligatorio cumplimiento. Igualmente, se encuentran sometidos a la regulación prevista en la Resolución No. 465 del 10 de septiembre de 2024 y, por tanto, la regla general es que no pueden ser alterados, modificados o adicionados en su contenido. </w:t>
      </w:r>
    </w:p>
    <w:p w14:paraId="48AA7673"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Ahora bien, en el documento base o pliego tipo adoptado por la Resolución No. 465 del 10 de septiembre de 2024, se desarrolla el numeral 3.5.1 “Determinación de los requisitos mínimos de experiencia según la Matriz 1 – Experiencia”, en el que la entidad debe justificar, expresa y suficientemente la complejidad del proyecto, determinando si es de baja–media o alta complejidad, y en función de ello implementar alguna de las variantes de la “Matriz 1 – Experiencia”, ya sea la de proyectos de baja–media o la elaborada para proyectos de alta complejidad técnica. En otras palabras, se crean dos matrices de experiencia: i) una para proyectos de complejidad técnica baja o media y </w:t>
      </w:r>
      <w:proofErr w:type="spellStart"/>
      <w:r w:rsidRPr="008117FA">
        <w:rPr>
          <w:rFonts w:ascii="Verdana" w:eastAsia="Calibri" w:hAnsi="Verdana" w:cs="Arial"/>
          <w:kern w:val="2"/>
          <w14:ligatures w14:val="standardContextual"/>
        </w:rPr>
        <w:t>ii</w:t>
      </w:r>
      <w:proofErr w:type="spellEnd"/>
      <w:r w:rsidRPr="008117FA">
        <w:rPr>
          <w:rFonts w:ascii="Verdana" w:eastAsia="Calibri" w:hAnsi="Verdana" w:cs="Arial"/>
          <w:kern w:val="2"/>
          <w14:ligatures w14:val="standardContextual"/>
        </w:rPr>
        <w:t xml:space="preserve">) otra para proyectos de complejidad técnica alta. Es decir, corresponde a la entidad determinar la complejidad técnica del proceso, a partir de diversas condiciones o circunstancias geográficas, geológicas, hidrológicas, climáticas, así como el alcance físico del proyecto de infraestructura de transporte, entre otros, como lo dispone el numeral 3.5.1. del Documento Base, dejando constancia de su análisis realizado para establecer la complejidad técnica del proyecto sin limitarse exclusivamente a la cuantía del proceso. </w:t>
      </w:r>
    </w:p>
    <w:p w14:paraId="4E8EE2FB" w14:textId="77777777" w:rsidR="008117FA" w:rsidRPr="008117FA" w:rsidRDefault="008117FA" w:rsidP="008117FA">
      <w:pPr>
        <w:spacing w:before="120" w:after="120" w:line="276" w:lineRule="auto"/>
        <w:ind w:firstLine="709"/>
        <w:jc w:val="both"/>
        <w:rPr>
          <w:rFonts w:ascii="Verdana" w:eastAsia="Calibri" w:hAnsi="Verdana" w:cs="Arial"/>
          <w:kern w:val="2"/>
          <w14:ligatures w14:val="standardContextual"/>
        </w:rPr>
      </w:pPr>
      <w:r w:rsidRPr="008117FA">
        <w:rPr>
          <w:rFonts w:ascii="Verdana" w:eastAsia="Calibri" w:hAnsi="Verdana" w:cs="Arial"/>
          <w:kern w:val="2"/>
          <w14:ligatures w14:val="standardContextual"/>
        </w:rPr>
        <w:t xml:space="preserve">Asimismo, en el referido numeral se indica que la entidad indicará el número y nombre de la actividad a contratar, para lo cual transcribirá </w:t>
      </w:r>
      <w:r w:rsidRPr="008117FA">
        <w:rPr>
          <w:rFonts w:ascii="Verdana" w:eastAsia="Calibri" w:hAnsi="Verdana" w:cs="Arial"/>
          <w:kern w:val="2"/>
          <w14:ligatures w14:val="standardContextual"/>
        </w:rPr>
        <w:lastRenderedPageBreak/>
        <w:t>textualmente lo indicado en la “Matriz 1-Experiencia”. Además, se señala que, en caso de requerir combinar experiencia se procederá según lo establecido en el literal A) del numeral 3.5.2.</w:t>
      </w:r>
    </w:p>
    <w:p w14:paraId="5AA6A2C8" w14:textId="77777777" w:rsidR="008117FA" w:rsidRPr="008117FA" w:rsidRDefault="008117FA" w:rsidP="008117FA">
      <w:pPr>
        <w:spacing w:after="0" w:line="276" w:lineRule="auto"/>
        <w:ind w:firstLine="708"/>
        <w:jc w:val="both"/>
        <w:rPr>
          <w:rFonts w:ascii="Verdana" w:eastAsia="Calibri" w:hAnsi="Verdana" w:cs="Times New Roman"/>
        </w:rPr>
      </w:pPr>
      <w:r w:rsidRPr="008117FA">
        <w:rPr>
          <w:rFonts w:ascii="Verdana" w:eastAsia="Calibri" w:hAnsi="Verdana" w:cs="Arial"/>
          <w:kern w:val="2"/>
          <w14:ligatures w14:val="standardContextual"/>
        </w:rPr>
        <w:t xml:space="preserve">Considerando el marco señalado con anterioridad sobre la experiencia en los documentos tipo de licitación de obra pública de infraestructura de transporte – versión 4. Para responder a su solicitud, </w:t>
      </w:r>
      <w:r w:rsidRPr="008117FA">
        <w:rPr>
          <w:rFonts w:ascii="Verdana" w:eastAsia="Calibri" w:hAnsi="Verdana" w:cs="Times New Roman"/>
        </w:rPr>
        <w:t xml:space="preserve">le indicamos que, </w:t>
      </w:r>
      <w:r w:rsidRPr="008117FA">
        <w:rPr>
          <w:rFonts w:ascii="Verdana" w:eastAsia="Calibri" w:hAnsi="Verdana" w:cs="Arial"/>
          <w:kern w:val="2"/>
          <w14:ligatures w14:val="standardContextual"/>
        </w:rPr>
        <w:t xml:space="preserve">la Matriz 1 – Experiencia de los documentos tipo de licitación de obra pública de infraestructura de transporte – versión 4, en el capítulo 4 “OBRAS EN VIAS PRIMARIAS O SECUNDARIAS O TERCIARIAS O URBANAS PARA ATENCIÓN, PREVENCIÓN O MITIGACIÓN DE EMERGENCIAS DIFERENTES A CONTRATACIÓN DIRECTA” </w:t>
      </w:r>
      <w:r w:rsidRPr="008117FA">
        <w:rPr>
          <w:rFonts w:ascii="Verdana" w:eastAsia="Aptos" w:hAnsi="Verdana" w:cs="Arial"/>
          <w:color w:val="000000"/>
          <w:lang w:val="es-ES_tradnl"/>
        </w:rPr>
        <w:t>incluye cinco (5) actividades dentro de las cuales, se encuentra la dispuesta en el numeral 4.3 relacionada con “</w:t>
      </w:r>
      <w:r w:rsidRPr="008117FA">
        <w:rPr>
          <w:rFonts w:ascii="Aptos" w:eastAsia="Aptos" w:hAnsi="Aptos" w:cs="Times New Roman"/>
          <w:kern w:val="2"/>
          <w:sz w:val="24"/>
          <w:szCs w:val="24"/>
          <w14:ligatures w14:val="standardContextual"/>
        </w:rPr>
        <w:t>PROYECTOS DE ATENCION, PREVENCIÓN O MITIGACIÓN DE OBRAS DE EMERGENCIAS MEDIANTE OBRAS DE REMOCIÓN DE DERRUMBES</w:t>
      </w:r>
      <w:r w:rsidRPr="008117FA">
        <w:rPr>
          <w:rFonts w:ascii="Verdana" w:eastAsia="Aptos" w:hAnsi="Verdana" w:cs="Arial"/>
          <w:color w:val="000000"/>
          <w:lang w:val="es-ES_tradnl"/>
        </w:rPr>
        <w:t xml:space="preserve">”. </w:t>
      </w:r>
      <w:r w:rsidRPr="008117FA">
        <w:rPr>
          <w:rFonts w:ascii="Verdana" w:eastAsia="Aptos" w:hAnsi="Verdana" w:cs="Times New Roman"/>
          <w:kern w:val="2"/>
          <w14:ligatures w14:val="standardContextual"/>
        </w:rPr>
        <w:t>Para esta actividad, en proyectos de alta complejidad, se establece la experiencia general y específica exigida y, adicionalmente, para esta última, se señala un porcentaje (%) para el dimensionamiento, el cual está en función de los rangos de salarios mínimos mensuales legales vigentes en los que se enmarca el presupuesto oficial del proceso de selección:</w:t>
      </w:r>
    </w:p>
    <w:p w14:paraId="45BFA634" w14:textId="77777777" w:rsidR="008117FA" w:rsidRPr="008117FA" w:rsidRDefault="008117FA" w:rsidP="008117FA">
      <w:pPr>
        <w:spacing w:after="0" w:line="276" w:lineRule="auto"/>
        <w:ind w:firstLine="709"/>
        <w:jc w:val="both"/>
        <w:rPr>
          <w:rFonts w:ascii="Verdana" w:eastAsia="Aptos" w:hAnsi="Verdana" w:cs="Arial"/>
          <w:color w:val="000000"/>
          <w:lang w:val="es-ES_tradnl"/>
        </w:rPr>
      </w:pPr>
    </w:p>
    <w:p w14:paraId="6457E0AC" w14:textId="77777777" w:rsidR="008117FA" w:rsidRPr="008117FA" w:rsidRDefault="008117FA" w:rsidP="008117FA">
      <w:pPr>
        <w:spacing w:after="120" w:line="240" w:lineRule="auto"/>
        <w:ind w:left="709" w:right="709"/>
        <w:jc w:val="both"/>
        <w:rPr>
          <w:rFonts w:ascii="Verdana" w:eastAsia="Calibri" w:hAnsi="Verdana" w:cs="Calibri"/>
          <w:b/>
          <w:bCs/>
          <w:i/>
          <w:iCs/>
          <w:sz w:val="21"/>
          <w:szCs w:val="21"/>
          <w:u w:val="single"/>
        </w:rPr>
      </w:pPr>
      <w:r w:rsidRPr="008117FA">
        <w:rPr>
          <w:rFonts w:ascii="Verdana" w:eastAsia="Calibri" w:hAnsi="Verdana" w:cs="Calibri"/>
          <w:b/>
          <w:bCs/>
          <w:sz w:val="21"/>
          <w:szCs w:val="21"/>
          <w:u w:val="single"/>
        </w:rPr>
        <w:t>“</w:t>
      </w:r>
      <w:r w:rsidRPr="008117FA">
        <w:rPr>
          <w:rFonts w:ascii="Verdana" w:eastAsia="Calibri" w:hAnsi="Verdana" w:cs="Calibri"/>
          <w:b/>
          <w:bCs/>
          <w:i/>
          <w:iCs/>
          <w:sz w:val="21"/>
          <w:szCs w:val="21"/>
          <w:u w:val="single"/>
        </w:rPr>
        <w:t>GENERAL</w:t>
      </w:r>
    </w:p>
    <w:p w14:paraId="1A5300C7" w14:textId="77777777" w:rsidR="008117FA" w:rsidRPr="008117FA" w:rsidRDefault="008117FA" w:rsidP="008117FA">
      <w:pPr>
        <w:spacing w:after="120" w:line="240" w:lineRule="auto"/>
        <w:ind w:left="709" w:right="709"/>
        <w:jc w:val="both"/>
        <w:rPr>
          <w:rFonts w:ascii="Verdana" w:eastAsia="Calibri" w:hAnsi="Verdana" w:cs="Times New Roman"/>
          <w:i/>
          <w:iCs/>
          <w:sz w:val="21"/>
          <w:szCs w:val="21"/>
        </w:rPr>
      </w:pPr>
      <w:r w:rsidRPr="008117FA">
        <w:rPr>
          <w:rFonts w:ascii="Verdana" w:eastAsia="Calibri" w:hAnsi="Verdana" w:cs="Times New Roman"/>
          <w:i/>
          <w:iCs/>
          <w:sz w:val="21"/>
          <w:szCs w:val="21"/>
        </w:rPr>
        <w:t>PROYECTOS QUE CORRESPONDAN O HAYAN CONTENIDO ACTIVIDADES DE: REMOCIÓN DE DERRUMBES O MOVIMIENTO DE TIERRAS.</w:t>
      </w:r>
    </w:p>
    <w:p w14:paraId="7D51810B" w14:textId="77777777" w:rsidR="008117FA" w:rsidRPr="008117FA" w:rsidRDefault="008117FA" w:rsidP="008117FA">
      <w:pPr>
        <w:spacing w:after="120" w:line="240" w:lineRule="auto"/>
        <w:ind w:left="709" w:right="709"/>
        <w:jc w:val="both"/>
        <w:rPr>
          <w:rFonts w:ascii="Verdana" w:eastAsia="Calibri" w:hAnsi="Verdana" w:cs="Calibri"/>
          <w:i/>
          <w:iCs/>
          <w:sz w:val="21"/>
          <w:szCs w:val="21"/>
        </w:rPr>
      </w:pPr>
      <w:r w:rsidRPr="008117FA">
        <w:rPr>
          <w:rFonts w:ascii="Verdana" w:eastAsia="Calibri" w:hAnsi="Verdana" w:cs="Calibri"/>
          <w:b/>
          <w:bCs/>
          <w:i/>
          <w:iCs/>
          <w:sz w:val="21"/>
          <w:szCs w:val="21"/>
          <w:u w:val="single"/>
        </w:rPr>
        <w:t>ESPECIFICA</w:t>
      </w:r>
    </w:p>
    <w:p w14:paraId="3AD09063" w14:textId="77777777" w:rsidR="008117FA" w:rsidRPr="008117FA" w:rsidRDefault="008117FA" w:rsidP="008117FA">
      <w:pPr>
        <w:spacing w:after="0" w:line="240" w:lineRule="auto"/>
        <w:ind w:left="709" w:right="709"/>
        <w:jc w:val="both"/>
        <w:rPr>
          <w:rFonts w:ascii="Verdana" w:eastAsia="Calibri" w:hAnsi="Verdana" w:cs="Calibri"/>
          <w:i/>
          <w:iCs/>
          <w:sz w:val="21"/>
          <w:szCs w:val="21"/>
        </w:rPr>
      </w:pPr>
      <w:r w:rsidRPr="008117FA">
        <w:rPr>
          <w:rFonts w:ascii="Verdana" w:eastAsia="Calibri" w:hAnsi="Verdana" w:cs="Calibri"/>
          <w:i/>
          <w:iCs/>
          <w:sz w:val="21"/>
          <w:szCs w:val="21"/>
        </w:rPr>
        <w:t xml:space="preserve">Por lo menos uno de los contratos aportados como experiencia general, debe haber sido ejecutado en Proyectos de Atención o Prevención o Mitigación de Emergencias y El valor ejecutado del ítem de remoción de derrumbes de uno de los contratos debe corresponder como mínimo del XX% del Presupuesto Oficial. </w:t>
      </w:r>
    </w:p>
    <w:p w14:paraId="6E3FF683" w14:textId="77777777" w:rsidR="008117FA" w:rsidRPr="008117FA" w:rsidRDefault="008117FA" w:rsidP="008117FA">
      <w:pPr>
        <w:spacing w:after="0" w:line="240" w:lineRule="auto"/>
        <w:ind w:left="709" w:right="709"/>
        <w:jc w:val="both"/>
        <w:rPr>
          <w:rFonts w:ascii="Verdana" w:eastAsia="Calibri" w:hAnsi="Verdana" w:cs="Calibri"/>
          <w:i/>
          <w:iCs/>
          <w:sz w:val="21"/>
          <w:szCs w:val="21"/>
        </w:rPr>
      </w:pPr>
      <w:r w:rsidRPr="008117FA">
        <w:rPr>
          <w:rFonts w:ascii="Verdana" w:eastAsia="Calibri" w:hAnsi="Verdana" w:cs="Calibri"/>
          <w:i/>
          <w:iCs/>
          <w:sz w:val="21"/>
          <w:szCs w:val="21"/>
        </w:rPr>
        <w:t>[La entidad determinara el XX% del Presupuesto Oficial, dependiendo la naturaleza del proyecto]”.</w:t>
      </w:r>
    </w:p>
    <w:p w14:paraId="26E0E38C" w14:textId="77777777" w:rsidR="008117FA" w:rsidRPr="008117FA" w:rsidRDefault="008117FA" w:rsidP="008117FA">
      <w:pPr>
        <w:spacing w:after="0" w:line="240" w:lineRule="auto"/>
        <w:ind w:left="709" w:right="709"/>
        <w:jc w:val="both"/>
        <w:rPr>
          <w:rFonts w:ascii="Verdana" w:eastAsia="Calibri" w:hAnsi="Verdana" w:cs="Calibri"/>
          <w:sz w:val="21"/>
          <w:szCs w:val="21"/>
        </w:rPr>
      </w:pPr>
    </w:p>
    <w:p w14:paraId="1C86312D" w14:textId="77777777" w:rsidR="008117FA" w:rsidRPr="008117FA" w:rsidRDefault="008117FA" w:rsidP="008117FA">
      <w:pPr>
        <w:spacing w:after="0" w:line="240" w:lineRule="auto"/>
        <w:ind w:left="709" w:right="709"/>
        <w:jc w:val="both"/>
        <w:rPr>
          <w:rFonts w:ascii="Verdana" w:eastAsia="Calibri" w:hAnsi="Verdana" w:cs="Times New Roman"/>
          <w:i/>
          <w:iCs/>
          <w:sz w:val="21"/>
          <w:szCs w:val="21"/>
        </w:rPr>
      </w:pPr>
      <w:r w:rsidRPr="008117FA">
        <w:rPr>
          <w:rFonts w:ascii="Verdana" w:eastAsia="Calibri" w:hAnsi="Verdana" w:cs="Times New Roman"/>
          <w:i/>
          <w:iCs/>
          <w:sz w:val="21"/>
          <w:szCs w:val="21"/>
        </w:rPr>
        <w:t xml:space="preserve">%: de dimensionamiento: i) &lt; 100 SMMLV, Entre 100 y 1.000 SMMLV: 100%; </w:t>
      </w:r>
      <w:proofErr w:type="spellStart"/>
      <w:r w:rsidRPr="008117FA">
        <w:rPr>
          <w:rFonts w:ascii="Verdana" w:eastAsia="Calibri" w:hAnsi="Verdana" w:cs="Times New Roman"/>
          <w:i/>
          <w:iCs/>
          <w:sz w:val="21"/>
          <w:szCs w:val="21"/>
        </w:rPr>
        <w:t>ii</w:t>
      </w:r>
      <w:proofErr w:type="spellEnd"/>
      <w:r w:rsidRPr="008117FA">
        <w:rPr>
          <w:rFonts w:ascii="Verdana" w:eastAsia="Calibri" w:hAnsi="Verdana" w:cs="Times New Roman"/>
          <w:i/>
          <w:iCs/>
          <w:sz w:val="21"/>
          <w:szCs w:val="21"/>
        </w:rPr>
        <w:t xml:space="preserve">) Entre 1.001 y 13.000 SMMLV, Entre 13.001 y 27.000 SMMLV: 85%; y </w:t>
      </w:r>
      <w:proofErr w:type="spellStart"/>
      <w:r w:rsidRPr="008117FA">
        <w:rPr>
          <w:rFonts w:ascii="Verdana" w:eastAsia="Calibri" w:hAnsi="Verdana" w:cs="Times New Roman"/>
          <w:i/>
          <w:iCs/>
          <w:sz w:val="21"/>
          <w:szCs w:val="21"/>
        </w:rPr>
        <w:t>iii</w:t>
      </w:r>
      <w:proofErr w:type="spellEnd"/>
      <w:r w:rsidRPr="008117FA">
        <w:rPr>
          <w:rFonts w:ascii="Verdana" w:eastAsia="Calibri" w:hAnsi="Verdana" w:cs="Times New Roman"/>
          <w:i/>
          <w:iCs/>
          <w:sz w:val="21"/>
          <w:szCs w:val="21"/>
        </w:rPr>
        <w:t>) Mayor o igual a 27.001 SMMLV: 70%.</w:t>
      </w:r>
    </w:p>
    <w:p w14:paraId="6319517B" w14:textId="77777777" w:rsidR="008117FA" w:rsidRPr="008117FA" w:rsidRDefault="008117FA" w:rsidP="008117FA">
      <w:pPr>
        <w:spacing w:after="0" w:line="240" w:lineRule="auto"/>
        <w:ind w:left="709" w:right="709"/>
        <w:jc w:val="both"/>
        <w:rPr>
          <w:rFonts w:ascii="Verdana" w:eastAsia="Calibri" w:hAnsi="Verdana" w:cs="Calibri"/>
          <w:sz w:val="21"/>
          <w:szCs w:val="21"/>
        </w:rPr>
      </w:pPr>
    </w:p>
    <w:p w14:paraId="5D57B61F" w14:textId="77777777" w:rsidR="008117FA" w:rsidRPr="008117FA" w:rsidRDefault="008117FA" w:rsidP="008117FA">
      <w:pPr>
        <w:spacing w:after="0" w:line="276" w:lineRule="auto"/>
        <w:ind w:firstLine="708"/>
        <w:jc w:val="both"/>
        <w:rPr>
          <w:rFonts w:ascii="Verdana" w:eastAsia="Aptos" w:hAnsi="Verdana" w:cs="Times New Roman"/>
          <w:kern w:val="2"/>
          <w14:ligatures w14:val="standardContextual"/>
        </w:rPr>
      </w:pPr>
      <w:r w:rsidRPr="008117FA">
        <w:rPr>
          <w:rFonts w:ascii="Verdana" w:eastAsia="Aptos" w:hAnsi="Verdana" w:cs="Times New Roman"/>
          <w:kern w:val="2"/>
          <w14:ligatures w14:val="standardContextual"/>
        </w:rPr>
        <w:lastRenderedPageBreak/>
        <w:t>De acuerdo con lo señalado en la Matriz 1 – Experiencia, para la actividad 4.3, la experiencia general podrá acreditarse con proyectos que correspondan o hayan contenido actividades de remoción de derrumbes o movimiento de tierras. Particularmente, en relación con el problema jurídico planteado en este concepto, la experiencia general exigida para la actividad 4.3 no se encuentra limitada exclusivamente a contratos ejecutados en infraestructura vial. Esto, considerando que la Matriz 1 – Experiencia no condiciona su acreditación a que las actividades hayan sido desarrolladas en carreteras o vías, sino al cumplimiento de las actividades técnicas requeridas, esto es, remoción de derrumbes o movimiento de tierras. Por tanto, es procedente acreditar la experiencia general con contratos de cualquier tipo de infraestructura u obras civiles, siempre que dichos contratos incluyan las actividades exigidas en la Matriz 1 – Experiencia para la actividad 4.3.</w:t>
      </w:r>
    </w:p>
    <w:p w14:paraId="08F2A652" w14:textId="77777777" w:rsidR="008117FA" w:rsidRPr="008117FA" w:rsidRDefault="008117FA" w:rsidP="008117FA">
      <w:pPr>
        <w:spacing w:before="120" w:after="120" w:line="276" w:lineRule="auto"/>
        <w:ind w:firstLine="708"/>
        <w:jc w:val="both"/>
        <w:rPr>
          <w:rFonts w:ascii="Verdana" w:eastAsia="Aptos" w:hAnsi="Verdana" w:cs="Arial"/>
          <w:color w:val="000000"/>
          <w:lang w:val="es-ES_tradnl" w:eastAsia="es-MX"/>
        </w:rPr>
      </w:pPr>
      <w:r w:rsidRPr="008117FA">
        <w:rPr>
          <w:rFonts w:ascii="Verdana" w:eastAsia="Times New Roman" w:hAnsi="Verdana" w:cs="Times New Roman"/>
          <w:lang w:eastAsia="es-MX"/>
        </w:rPr>
        <w:t xml:space="preserve">Por su parte, para la experiencia específica, por lo menos uno (1) de los contratos aportados como experiencia general debe corresponder a proyectos de atención, prevención o mitigación de emergencias, y el valor ejecutado del ítem de remoción de derrumbes </w:t>
      </w:r>
      <w:r w:rsidRPr="008117FA">
        <w:rPr>
          <w:rFonts w:ascii="Verdana" w:eastAsia="Aptos" w:hAnsi="Verdana" w:cs="Arial"/>
          <w:color w:val="000000"/>
          <w:lang w:val="es-ES_tradnl" w:eastAsia="es-MX"/>
        </w:rPr>
        <w:t xml:space="preserve">de uno de los contratos debe corresponde como mínimo del XX% del presupuesto oficial. Ahora bien, el porcentaje del presupuesto oficial se determinará por parte de la entidad dependiendo la naturaleza del proyecto. </w:t>
      </w:r>
    </w:p>
    <w:p w14:paraId="5FE35035" w14:textId="77777777" w:rsidR="008117FA" w:rsidRPr="008117FA" w:rsidRDefault="008117FA" w:rsidP="008117FA">
      <w:pPr>
        <w:spacing w:after="0" w:line="276" w:lineRule="auto"/>
        <w:ind w:firstLine="708"/>
        <w:jc w:val="both"/>
        <w:rPr>
          <w:rFonts w:ascii="Verdana" w:eastAsia="Aptos" w:hAnsi="Verdana" w:cs="Times New Roman"/>
          <w:kern w:val="2"/>
          <w14:ligatures w14:val="standardContextual"/>
        </w:rPr>
      </w:pPr>
      <w:r w:rsidRPr="008117FA">
        <w:rPr>
          <w:rFonts w:ascii="Verdana" w:eastAsia="Aptos" w:hAnsi="Verdana" w:cs="Times New Roman"/>
          <w:kern w:val="2"/>
          <w14:ligatures w14:val="standardContextual"/>
        </w:rPr>
        <w:t>Así las cosas, el criterio determinante para la acreditación de la experiencia para la actividad 4.3 no es la naturaleza vial de la infraestructura intervenida, sino la efectiva ejecución de las actividades técnicas expresamente definidas en la Matriz 1 – Experiencia y el cumplimiento de los requisitos de experiencia general y específica allí establecidos.</w:t>
      </w:r>
    </w:p>
    <w:p w14:paraId="2E88F8D7" w14:textId="77777777" w:rsidR="008117FA" w:rsidRPr="008117FA" w:rsidRDefault="008117FA" w:rsidP="008117FA">
      <w:pPr>
        <w:spacing w:after="0" w:line="276" w:lineRule="auto"/>
        <w:jc w:val="both"/>
        <w:rPr>
          <w:rFonts w:ascii="Verdana" w:eastAsia="Aptos" w:hAnsi="Verdana" w:cs="Arial"/>
          <w:color w:val="000000"/>
          <w:lang w:val="es-ES_tradnl"/>
        </w:rPr>
      </w:pPr>
    </w:p>
    <w:p w14:paraId="57BF260C" w14:textId="77777777" w:rsidR="008117FA" w:rsidRPr="008117FA" w:rsidRDefault="008117FA" w:rsidP="008117FA">
      <w:pPr>
        <w:tabs>
          <w:tab w:val="left" w:pos="709"/>
        </w:tabs>
        <w:snapToGrid w:val="0"/>
        <w:spacing w:after="120" w:line="276" w:lineRule="auto"/>
        <w:jc w:val="both"/>
        <w:rPr>
          <w:rFonts w:ascii="Verdana" w:eastAsia="Calibri" w:hAnsi="Verdana" w:cs="Arial"/>
          <w:color w:val="000000"/>
          <w:kern w:val="2"/>
          <w:lang w:val="es-ES"/>
          <w14:ligatures w14:val="standardContextual"/>
        </w:rPr>
      </w:pPr>
      <w:proofErr w:type="spellStart"/>
      <w:r w:rsidRPr="008117FA">
        <w:rPr>
          <w:rFonts w:ascii="Verdana" w:eastAsia="Calibri" w:hAnsi="Verdana" w:cs="Arial"/>
          <w:color w:val="000000"/>
          <w:kern w:val="2"/>
          <w:lang w:val="es-ES"/>
          <w14:ligatures w14:val="standardContextual"/>
        </w:rPr>
        <w:t>ii</w:t>
      </w:r>
      <w:proofErr w:type="spellEnd"/>
      <w:r w:rsidRPr="008117FA">
        <w:rPr>
          <w:rFonts w:ascii="Verdana" w:eastAsia="Calibri" w:hAnsi="Verdana" w:cs="Arial"/>
          <w:color w:val="000000"/>
          <w:kern w:val="2"/>
          <w:lang w:val="es-ES"/>
          <w14:ligatures w14:val="standardContextual"/>
        </w:rPr>
        <w:t>. 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5B23814F" w14:textId="77777777" w:rsidR="008117FA" w:rsidRPr="008117FA" w:rsidRDefault="008117FA" w:rsidP="008117FA">
      <w:pPr>
        <w:tabs>
          <w:tab w:val="left" w:pos="709"/>
        </w:tabs>
        <w:snapToGrid w:val="0"/>
        <w:spacing w:after="120" w:line="276" w:lineRule="auto"/>
        <w:ind w:firstLine="709"/>
        <w:jc w:val="both"/>
        <w:rPr>
          <w:rFonts w:ascii="Verdana" w:eastAsia="Calibri" w:hAnsi="Verdana" w:cs="Arial"/>
          <w:color w:val="000000"/>
          <w:kern w:val="2"/>
          <w:lang w:val="es-ES"/>
          <w14:ligatures w14:val="standardContextual"/>
        </w:rPr>
      </w:pPr>
      <w:r w:rsidRPr="008117FA">
        <w:rPr>
          <w:rFonts w:ascii="Verdana" w:eastAsia="Calibri" w:hAnsi="Verdana" w:cs="Arial"/>
          <w:color w:val="000000"/>
          <w:kern w:val="2"/>
          <w:lang w:val="es-ES"/>
          <w14:ligatures w14:val="standardContextual"/>
        </w:rPr>
        <w:lastRenderedPageBreak/>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C24A390" w14:textId="77777777" w:rsidR="008117FA" w:rsidRPr="008117FA" w:rsidRDefault="008117FA" w:rsidP="008117FA">
      <w:pPr>
        <w:spacing w:after="0"/>
        <w:ind w:firstLine="708"/>
        <w:jc w:val="both"/>
        <w:rPr>
          <w:rFonts w:ascii="Verdana" w:eastAsia="Aptos" w:hAnsi="Verdana" w:cs="Arial"/>
          <w:color w:val="000000"/>
          <w:lang w:val="es-ES"/>
        </w:rPr>
      </w:pPr>
    </w:p>
    <w:p w14:paraId="24A3D2C9" w14:textId="77777777" w:rsidR="008117FA" w:rsidRPr="008117FA" w:rsidRDefault="008117FA" w:rsidP="008117FA">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8117FA">
        <w:rPr>
          <w:rFonts w:ascii="Verdana" w:eastAsia="Century Gothic" w:hAnsi="Verdana" w:cs="Century Gothic"/>
          <w:b/>
          <w:bCs/>
        </w:rPr>
        <w:t>Referencias normativas, jurisprudenciales y otras fuentes:</w:t>
      </w:r>
    </w:p>
    <w:p w14:paraId="3BDA2C15" w14:textId="77777777" w:rsidR="008117FA" w:rsidRPr="008117FA" w:rsidRDefault="008117FA" w:rsidP="008117FA">
      <w:pPr>
        <w:spacing w:after="0"/>
        <w:ind w:left="-15840"/>
        <w:jc w:val="both"/>
        <w:rPr>
          <w:rFonts w:ascii="Verdana" w:eastAsia="Calibri" w:hAnsi="Verdana" w:cs="Arial"/>
          <w:b/>
          <w:bCs/>
        </w:rPr>
      </w:pPr>
      <w:r w:rsidRPr="008117FA">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8117FA" w:rsidRPr="008117FA" w14:paraId="58EBA822" w14:textId="77777777" w:rsidTr="00933CEA">
        <w:trPr>
          <w:trHeight w:val="870"/>
        </w:trPr>
        <w:tc>
          <w:tcPr>
            <w:tcW w:w="8647" w:type="dxa"/>
            <w:tcBorders>
              <w:top w:val="dotted" w:sz="4" w:space="0" w:color="auto"/>
              <w:left w:val="dotted" w:sz="4" w:space="0" w:color="auto"/>
              <w:bottom w:val="dotted" w:sz="4" w:space="0" w:color="auto"/>
              <w:right w:val="dotted" w:sz="4" w:space="0" w:color="auto"/>
            </w:tcBorders>
          </w:tcPr>
          <w:p w14:paraId="3BD9EAE9" w14:textId="77777777" w:rsidR="008117FA" w:rsidRPr="008117FA" w:rsidRDefault="008117FA" w:rsidP="008117FA">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8117FA">
              <w:rPr>
                <w:rFonts w:ascii="Verdana" w:eastAsia="Calibri" w:hAnsi="Verdana" w:cs="Arial"/>
                <w:lang w:val="es-ES_tradnl"/>
              </w:rPr>
              <w:t xml:space="preserve">Ley 2022 de 2020, artículo 1. </w:t>
            </w:r>
          </w:p>
          <w:p w14:paraId="3215B8D9" w14:textId="77777777" w:rsidR="008117FA" w:rsidRPr="008117FA" w:rsidRDefault="008117FA" w:rsidP="008117FA">
            <w:pPr>
              <w:widowControl w:val="0"/>
              <w:numPr>
                <w:ilvl w:val="0"/>
                <w:numId w:val="17"/>
              </w:numPr>
              <w:autoSpaceDE w:val="0"/>
              <w:autoSpaceDN w:val="0"/>
              <w:spacing w:line="276" w:lineRule="auto"/>
              <w:jc w:val="both"/>
              <w:rPr>
                <w:rFonts w:ascii="Verdana" w:eastAsia="Calibri" w:hAnsi="Verdana" w:cs="Arial"/>
              </w:rPr>
            </w:pPr>
            <w:r w:rsidRPr="008117FA">
              <w:rPr>
                <w:rFonts w:ascii="Verdana" w:eastAsia="Calibri" w:hAnsi="Verdana" w:cs="Arial"/>
              </w:rPr>
              <w:t>Ley 1150 de 2007, artículo 2.</w:t>
            </w:r>
          </w:p>
          <w:p w14:paraId="06612C43" w14:textId="77777777" w:rsidR="008117FA" w:rsidRPr="008117FA" w:rsidRDefault="008117FA" w:rsidP="008117FA">
            <w:pPr>
              <w:widowControl w:val="0"/>
              <w:numPr>
                <w:ilvl w:val="0"/>
                <w:numId w:val="17"/>
              </w:numPr>
              <w:autoSpaceDE w:val="0"/>
              <w:autoSpaceDN w:val="0"/>
              <w:spacing w:line="276" w:lineRule="auto"/>
              <w:contextualSpacing/>
              <w:jc w:val="both"/>
              <w:rPr>
                <w:rFonts w:ascii="Verdana" w:eastAsia="Calibri" w:hAnsi="Verdana" w:cs="Arial"/>
                <w:lang w:val="es-ES"/>
              </w:rPr>
            </w:pPr>
            <w:r w:rsidRPr="008117FA">
              <w:rPr>
                <w:rFonts w:ascii="Verdana" w:eastAsia="Calibri" w:hAnsi="Verdana" w:cs="Arial"/>
                <w:lang w:val="es-ES_tradnl"/>
              </w:rPr>
              <w:t xml:space="preserve">Documentos Tipo. Disponibles en: </w:t>
            </w:r>
            <w:hyperlink r:id="rId11" w:history="1">
              <w:r w:rsidRPr="008117FA">
                <w:rPr>
                  <w:rFonts w:ascii="Verdana" w:eastAsia="Calibri" w:hAnsi="Verdana" w:cs="Arial"/>
                  <w:color w:val="0000FF"/>
                  <w:u w:val="single"/>
                  <w:lang w:val="es-ES_tradnl"/>
                </w:rPr>
                <w:t>https://www.colombiacompra.gov.co/documentos-tipo/documentos-tipo</w:t>
              </w:r>
            </w:hyperlink>
            <w:r w:rsidRPr="008117FA">
              <w:rPr>
                <w:rFonts w:ascii="Verdana" w:eastAsia="Calibri" w:hAnsi="Verdana" w:cs="Arial"/>
                <w:lang w:val="es-ES_tradnl"/>
              </w:rPr>
              <w:t>.</w:t>
            </w:r>
          </w:p>
        </w:tc>
      </w:tr>
    </w:tbl>
    <w:p w14:paraId="639DF71E" w14:textId="77777777" w:rsidR="008117FA" w:rsidRPr="008117FA" w:rsidRDefault="008117FA" w:rsidP="008117FA">
      <w:pPr>
        <w:tabs>
          <w:tab w:val="left" w:pos="142"/>
          <w:tab w:val="left" w:pos="284"/>
        </w:tabs>
        <w:spacing w:after="0" w:line="276" w:lineRule="auto"/>
        <w:jc w:val="both"/>
        <w:rPr>
          <w:rFonts w:ascii="Verdana" w:eastAsia="Calibri" w:hAnsi="Verdana" w:cs="Arial"/>
        </w:rPr>
      </w:pPr>
    </w:p>
    <w:p w14:paraId="3E1E20C7" w14:textId="77777777" w:rsidR="008117FA" w:rsidRPr="008117FA" w:rsidRDefault="008117FA" w:rsidP="008117FA">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8117FA">
        <w:rPr>
          <w:rFonts w:ascii="Verdana" w:eastAsia="Century Gothic" w:hAnsi="Verdana" w:cs="Century Gothic"/>
          <w:b/>
          <w:bCs/>
        </w:rPr>
        <w:t>Doctrina de la Agencia Nacional de Contratación Pública:</w:t>
      </w:r>
    </w:p>
    <w:p w14:paraId="24DC34D5" w14:textId="77777777" w:rsidR="008117FA" w:rsidRPr="008117FA" w:rsidRDefault="008117FA" w:rsidP="008117FA">
      <w:pPr>
        <w:widowControl w:val="0"/>
        <w:autoSpaceDE w:val="0"/>
        <w:autoSpaceDN w:val="0"/>
        <w:spacing w:after="0" w:line="276" w:lineRule="auto"/>
        <w:jc w:val="both"/>
        <w:rPr>
          <w:rFonts w:ascii="Verdana" w:eastAsia="Calibri" w:hAnsi="Verdana" w:cs="Arial"/>
        </w:rPr>
      </w:pPr>
    </w:p>
    <w:p w14:paraId="2EE38E3F" w14:textId="77777777" w:rsidR="008117FA" w:rsidRPr="008117FA" w:rsidRDefault="008117FA" w:rsidP="008117FA">
      <w:pPr>
        <w:widowControl w:val="0"/>
        <w:autoSpaceDE w:val="0"/>
        <w:autoSpaceDN w:val="0"/>
        <w:spacing w:after="120" w:line="276" w:lineRule="auto"/>
        <w:jc w:val="both"/>
        <w:rPr>
          <w:rFonts w:ascii="Verdana" w:eastAsia="Times New Roman" w:hAnsi="Verdana" w:cs="Arial"/>
          <w:shd w:val="clear" w:color="auto" w:fill="FFFFFF"/>
          <w:lang w:val="es-ES"/>
        </w:rPr>
      </w:pPr>
      <w:r w:rsidRPr="008117FA">
        <w:rPr>
          <w:rFonts w:ascii="Verdana" w:eastAsia="Calibri" w:hAnsi="Verdana" w:cs="Arial"/>
          <w:shd w:val="clear" w:color="auto" w:fill="FFFFFF"/>
        </w:rPr>
        <w:t>L</w:t>
      </w:r>
      <w:r w:rsidRPr="008117FA">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8117FA">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del 17 de febrero de 2023, C-042 del 29 de marzo de 2023, C-051 del 28 de abril de 2023, C-299 del </w:t>
      </w:r>
      <w:r w:rsidRPr="008117FA">
        <w:rPr>
          <w:rFonts w:ascii="Verdana" w:eastAsia="Times New Roman" w:hAnsi="Verdana" w:cs="Arial"/>
          <w:shd w:val="clear" w:color="auto" w:fill="FFFFFF"/>
          <w:lang w:val="es-ES"/>
        </w:rPr>
        <w:lastRenderedPageBreak/>
        <w:t xml:space="preserve">24 de julio de 2023, C- 272 del 22 de agosto de 2024, C- 516 del 07 de octubre de 2024, C- 481 del 09 de noviembre de 2024, C- 692 del 19 de noviembre de 2024, C-753 del 4 de enero de 2024 y C-133 del 10 de marzo de 2025. </w:t>
      </w:r>
    </w:p>
    <w:p w14:paraId="6AD4C992" w14:textId="77777777" w:rsidR="008117FA" w:rsidRPr="008117FA" w:rsidRDefault="008117FA" w:rsidP="008117FA">
      <w:pPr>
        <w:spacing w:after="120" w:line="278" w:lineRule="auto"/>
        <w:jc w:val="both"/>
        <w:rPr>
          <w:rFonts w:ascii="Verdana" w:eastAsia="Times New Roman" w:hAnsi="Verdana" w:cs="Arial"/>
          <w:shd w:val="clear" w:color="auto" w:fill="FFFFFF"/>
          <w:lang w:val="es-ES"/>
        </w:rPr>
      </w:pPr>
      <w:r w:rsidRPr="008117FA">
        <w:rPr>
          <w:rFonts w:ascii="Verdana" w:eastAsia="Times New Roman" w:hAnsi="Verdana" w:cs="Arial"/>
          <w:shd w:val="clear" w:color="auto" w:fill="FFFFFF"/>
          <w:lang w:val="es-ES"/>
        </w:rPr>
        <w:t xml:space="preserve">Así mismo, en los conceptos C-085 del 10 de abril de 2023, C-375 del 2 de noviembre de 2023, C-063 del 17 de mayo de 2024, C-120 del 11 de junio de 2024, C-092 del 14 de junio de 2024, C-127 del 28 de junio de 2024, C-276 del 5 de julio de 2024, C-153 del 12 de julio de 2024, C-147 del 17 de julio de 2024, C-229 del 09 de agosto de 2024, C-549 del 15 de octubre de 2024, C-400 del 18 de octubre de 2024, C-587 del 23 de octubre de 2024, C-753 del 4 de diciembre de 2024, C-753 del 4 de diciembre de 2024, C-213 del 6 de marzo de 2025, C-283 del 14 de abril de 2025, C-168 del 12 de septiembre de 2025 , C-581 del 24 de junio de 2025, C-1093 del 15 de septiembre del 2025, C-1286 del 15 de septiembre de 2025, C-1360 del 9 de octubre de 2025 y C-1532 del 2 de diciembre de 2025, esta Agencia se pronunció sobre la Matriz 1 – Experiencia de los documentos tipo de infraestructura de transporte. </w:t>
      </w:r>
    </w:p>
    <w:p w14:paraId="0045D935" w14:textId="77777777" w:rsidR="008117FA" w:rsidRPr="008117FA" w:rsidRDefault="008117FA" w:rsidP="008117FA">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8117FA">
        <w:rPr>
          <w:rFonts w:ascii="Verdana" w:eastAsia="Times New Roman" w:hAnsi="Verdana" w:cs="Arial"/>
          <w:shd w:val="clear" w:color="auto" w:fill="FFFFFF"/>
          <w:lang w:val="es-ES"/>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8117FA">
          <w:rPr>
            <w:rFonts w:ascii="Verdana" w:eastAsia="Calibri" w:hAnsi="Verdana" w:cs="Arial"/>
            <w:color w:val="0000FF"/>
            <w:kern w:val="2"/>
            <w:u w:val="single"/>
            <w:shd w:val="clear" w:color="auto" w:fill="FFFFFF"/>
            <w14:ligatures w14:val="standardContextual"/>
          </w:rPr>
          <w:t>https://relatoria.colombiacompra.gov.co/</w:t>
        </w:r>
      </w:hyperlink>
      <w:r w:rsidRPr="008117FA">
        <w:rPr>
          <w:rFonts w:ascii="Verdana" w:eastAsia="Calibri" w:hAnsi="Verdana" w:cs="Arial"/>
          <w:color w:val="0000FF"/>
          <w:kern w:val="2"/>
          <w:u w:val="single"/>
          <w:shd w:val="clear" w:color="auto" w:fill="FFFFFF"/>
          <w14:ligatures w14:val="standardContextual"/>
        </w:rPr>
        <w:t> .</w:t>
      </w:r>
    </w:p>
    <w:bookmarkEnd w:id="1"/>
    <w:p w14:paraId="12AA80C7" w14:textId="77777777" w:rsidR="008117FA" w:rsidRPr="008117FA" w:rsidRDefault="008117FA" w:rsidP="008117FA">
      <w:pPr>
        <w:spacing w:after="120" w:line="276" w:lineRule="auto"/>
        <w:jc w:val="both"/>
        <w:rPr>
          <w:rFonts w:ascii="Aptos" w:eastAsia="Aptos" w:hAnsi="Aptos" w:cs="Times New Roman"/>
          <w:kern w:val="2"/>
          <w:sz w:val="24"/>
          <w:szCs w:val="24"/>
          <w14:ligatures w14:val="standardContextual"/>
        </w:rPr>
      </w:pPr>
      <w:r w:rsidRPr="008117FA">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8117FA">
        <w:rPr>
          <w:rFonts w:ascii="Verdana" w:eastAsia="Aptos" w:hAnsi="Verdana" w:cs="Times New Roman"/>
          <w:b/>
          <w:bCs/>
          <w:color w:val="000000"/>
          <w:kern w:val="2"/>
          <w14:ligatures w14:val="standardContextual"/>
        </w:rPr>
        <w:t>Guía para la Exigencia y Constitución de Garantías en los Procesos de Contratación</w:t>
      </w:r>
      <w:r w:rsidRPr="008117FA">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8117FA">
          <w:rPr>
            <w:rFonts w:ascii="Verdana" w:eastAsia="Aptos" w:hAnsi="Verdana" w:cs="Times New Roman"/>
            <w:color w:val="0078D7"/>
            <w:kern w:val="2"/>
            <w:u w:val="single"/>
            <w14:ligatures w14:val="standardContextual"/>
          </w:rPr>
          <w:t>https://www.colombiacompra.gov.co/archivos/manual/guia-de-garantias-en-procesos-de-contratacion</w:t>
        </w:r>
      </w:hyperlink>
    </w:p>
    <w:p w14:paraId="321B0074" w14:textId="77777777" w:rsidR="008117FA" w:rsidRPr="008117FA" w:rsidRDefault="008117FA" w:rsidP="008117FA">
      <w:pPr>
        <w:spacing w:after="120" w:line="276" w:lineRule="auto"/>
        <w:jc w:val="both"/>
        <w:rPr>
          <w:rFonts w:ascii="Verdana" w:eastAsia="Aptos" w:hAnsi="Verdana" w:cs="Times New Roman"/>
          <w:color w:val="000000"/>
          <w:kern w:val="2"/>
          <w14:ligatures w14:val="standardContextual"/>
        </w:rPr>
      </w:pPr>
      <w:r w:rsidRPr="008117FA">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8117FA">
        <w:rPr>
          <w:rFonts w:ascii="Verdana" w:eastAsia="Aptos" w:hAnsi="Verdana" w:cs="Times New Roman"/>
          <w:b/>
          <w:bCs/>
          <w:color w:val="000000"/>
          <w:kern w:val="2"/>
          <w14:ligatures w14:val="standardContextual"/>
        </w:rPr>
        <w:t>Sistema Integral de Preferencias en favor de las personas con discapacidad</w:t>
      </w:r>
      <w:r w:rsidRPr="008117FA">
        <w:rPr>
          <w:rFonts w:ascii="Verdana" w:eastAsia="Aptos" w:hAnsi="Verdana" w:cs="Times New Roman"/>
          <w:color w:val="000000"/>
          <w:kern w:val="2"/>
          <w14:ligatures w14:val="standardContextual"/>
        </w:rPr>
        <w:t xml:space="preserve">, en cumplimiento del artículo 13 de la Ley </w:t>
      </w:r>
      <w:r w:rsidRPr="008117FA">
        <w:rPr>
          <w:rFonts w:ascii="Verdana" w:eastAsia="Aptos" w:hAnsi="Verdana" w:cs="Times New Roman"/>
          <w:color w:val="000000"/>
          <w:kern w:val="2"/>
          <w14:ligatures w14:val="standardContextual"/>
        </w:rPr>
        <w:lastRenderedPageBreak/>
        <w:t>Estatutaria 1618 de 2013. Para orientar su aplicación, esta Agencia expidió la </w:t>
      </w:r>
      <w:r w:rsidRPr="008117FA">
        <w:rPr>
          <w:rFonts w:ascii="Verdana" w:eastAsia="Aptos" w:hAnsi="Verdana" w:cs="Times New Roman"/>
          <w:b/>
          <w:bCs/>
          <w:color w:val="000000"/>
          <w:kern w:val="2"/>
          <w14:ligatures w14:val="standardContextual"/>
        </w:rPr>
        <w:t>Circular Externa 003 del 12 de mayo de 2026, </w:t>
      </w:r>
      <w:r w:rsidRPr="008117FA">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8117FA">
          <w:rPr>
            <w:rFonts w:ascii="Verdana" w:eastAsia="Aptos" w:hAnsi="Verdana" w:cs="Times New Roman"/>
            <w:color w:val="0078D7"/>
            <w:kern w:val="2"/>
            <w:u w:val="single"/>
            <w14:ligatures w14:val="standardContextual"/>
          </w:rPr>
          <w:t>https://www.colombiacompra.gov.co/archivos/circular/circular-externa-003-de-2026</w:t>
        </w:r>
      </w:hyperlink>
    </w:p>
    <w:p w14:paraId="50ED1FCA" w14:textId="77777777" w:rsidR="008117FA" w:rsidRPr="008117FA" w:rsidRDefault="008117FA" w:rsidP="008117FA">
      <w:pPr>
        <w:spacing w:after="120" w:line="276" w:lineRule="auto"/>
        <w:jc w:val="both"/>
        <w:rPr>
          <w:rFonts w:ascii="Verdana" w:eastAsia="Aptos" w:hAnsi="Verdana" w:cs="Times New Roman"/>
          <w:color w:val="000000"/>
          <w:kern w:val="2"/>
          <w14:ligatures w14:val="standardContextual"/>
        </w:rPr>
      </w:pPr>
      <w:r w:rsidRPr="008117FA">
        <w:rPr>
          <w:rFonts w:ascii="Verdana" w:eastAsia="Aptos" w:hAnsi="Verdana" w:cs="Times New Roman"/>
          <w:color w:val="000000"/>
          <w:kern w:val="2"/>
          <w14:ligatures w14:val="standardContextual"/>
        </w:rPr>
        <w:t>Recuerda también que la</w:t>
      </w:r>
      <w:r w:rsidRPr="008117FA">
        <w:rPr>
          <w:rFonts w:ascii="Verdana" w:eastAsia="Aptos" w:hAnsi="Verdana" w:cs="Times New Roman"/>
          <w:b/>
          <w:bCs/>
          <w:color w:val="000000"/>
          <w:kern w:val="2"/>
          <w14:ligatures w14:val="standardContextual"/>
        </w:rPr>
        <w:t> información sobre sanciones e inhabilidades </w:t>
      </w:r>
      <w:r w:rsidRPr="008117FA">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8117FA">
        <w:rPr>
          <w:rFonts w:ascii="Verdana" w:eastAsia="Aptos" w:hAnsi="Verdana" w:cs="Times New Roman"/>
          <w:b/>
          <w:bCs/>
          <w:color w:val="000000"/>
          <w:kern w:val="2"/>
          <w14:ligatures w14:val="standardContextual"/>
        </w:rPr>
        <w:t>Circular Externa 002 del 5 de mayo de 2026,</w:t>
      </w:r>
      <w:r w:rsidRPr="008117FA">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8117FA">
          <w:rPr>
            <w:rFonts w:ascii="Verdana" w:eastAsia="Aptos" w:hAnsi="Verdana" w:cs="Times New Roman"/>
            <w:color w:val="0078D7"/>
            <w:kern w:val="2"/>
            <w:u w:val="single"/>
            <w14:ligatures w14:val="standardContextual"/>
          </w:rPr>
          <w:t>https://www.colombiacompra.gov.co/archivos/circular/circular-externa-002-de-2026</w:t>
        </w:r>
      </w:hyperlink>
    </w:p>
    <w:p w14:paraId="33E95689" w14:textId="77777777" w:rsidR="008117FA" w:rsidRPr="008117FA" w:rsidRDefault="008117FA" w:rsidP="008117FA">
      <w:pPr>
        <w:spacing w:after="120" w:line="276" w:lineRule="auto"/>
        <w:jc w:val="both"/>
        <w:rPr>
          <w:rFonts w:ascii="Verdana" w:eastAsia="Aptos" w:hAnsi="Verdana" w:cs="Times New Roman"/>
          <w:color w:val="000000"/>
          <w:kern w:val="2"/>
          <w14:ligatures w14:val="standardContextual"/>
        </w:rPr>
      </w:pPr>
      <w:r w:rsidRPr="008117FA">
        <w:rPr>
          <w:rFonts w:ascii="Verdana" w:eastAsia="Aptos" w:hAnsi="Verdana" w:cs="Times New Roman"/>
          <w:color w:val="000000"/>
          <w:kern w:val="2"/>
          <w14:ligatures w14:val="standardContextual"/>
        </w:rPr>
        <w:t>Finalmente, si quieres seguir de cerca la actividad de la Agencia, la tercera edición de 2026 del</w:t>
      </w:r>
      <w:r w:rsidRPr="008117FA">
        <w:rPr>
          <w:rFonts w:ascii="Verdana" w:eastAsia="Aptos" w:hAnsi="Verdana" w:cs="Times New Roman"/>
          <w:b/>
          <w:bCs/>
          <w:color w:val="000000"/>
          <w:kern w:val="2"/>
          <w14:ligatures w14:val="standardContextual"/>
        </w:rPr>
        <w:t> Radar de la Compra Pública</w:t>
      </w:r>
      <w:r w:rsidRPr="008117FA">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8117FA">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8117FA">
        <w:rPr>
          <w:rFonts w:ascii="Verdana" w:eastAsia="Aptos" w:hAnsi="Verdana" w:cs="Times New Roman"/>
          <w:color w:val="000000"/>
          <w:kern w:val="2"/>
          <w14:ligatures w14:val="standardContextual"/>
        </w:rPr>
        <w:t>"</w:t>
      </w:r>
    </w:p>
    <w:p w14:paraId="19A98A8E" w14:textId="77777777" w:rsidR="008117FA" w:rsidRPr="008117FA" w:rsidRDefault="008117FA" w:rsidP="008117FA">
      <w:pPr>
        <w:spacing w:after="120" w:line="240" w:lineRule="auto"/>
        <w:jc w:val="both"/>
        <w:rPr>
          <w:rFonts w:ascii="Verdana" w:eastAsia="Calibri" w:hAnsi="Verdana" w:cs="Times New Roman"/>
          <w:lang w:eastAsia="es-MX"/>
        </w:rPr>
      </w:pPr>
      <w:r w:rsidRPr="008117FA">
        <w:rPr>
          <w:rFonts w:ascii="Verdana" w:eastAsia="Aptos" w:hAnsi="Verdana" w:cs="Times New Roman"/>
          <w:lang w:eastAsia="es-MX"/>
        </w:rPr>
        <w:t xml:space="preserve">Por último, lo invitamos a seguirnos en las redes sociales en las cuales se difunde información institucional: </w:t>
      </w:r>
    </w:p>
    <w:p w14:paraId="183539B0" w14:textId="77777777" w:rsidR="008117FA" w:rsidRPr="008117FA" w:rsidRDefault="008117FA" w:rsidP="008117FA">
      <w:pPr>
        <w:spacing w:after="120" w:line="240" w:lineRule="auto"/>
        <w:jc w:val="both"/>
        <w:rPr>
          <w:rFonts w:ascii="Verdana" w:eastAsia="Aptos" w:hAnsi="Verdana" w:cs="Times New Roman"/>
          <w:lang w:eastAsia="es-MX"/>
        </w:rPr>
      </w:pPr>
      <w:r w:rsidRPr="008117FA">
        <w:rPr>
          <w:rFonts w:ascii="Verdana" w:eastAsia="Aptos" w:hAnsi="Verdana" w:cs="Times New Roman"/>
          <w:lang w:eastAsia="es-MX"/>
        </w:rPr>
        <w:t xml:space="preserve">Twitter: </w:t>
      </w:r>
      <w:r w:rsidRPr="008117FA">
        <w:rPr>
          <w:rFonts w:ascii="Verdana" w:eastAsia="Calibri" w:hAnsi="Verdana" w:cs="Times New Roman"/>
          <w:color w:val="156082"/>
          <w:u w:val="single"/>
          <w:lang w:eastAsia="es-MX"/>
        </w:rPr>
        <w:t>@colombiacompra</w:t>
      </w:r>
      <w:r w:rsidRPr="008117FA">
        <w:rPr>
          <w:rFonts w:ascii="Verdana" w:eastAsia="Calibri" w:hAnsi="Verdana" w:cs="Times New Roman"/>
          <w:color w:val="156082"/>
          <w:lang w:eastAsia="es-MX"/>
        </w:rPr>
        <w:t xml:space="preserve"> </w:t>
      </w:r>
    </w:p>
    <w:p w14:paraId="4CF2CF15" w14:textId="77777777" w:rsidR="008117FA" w:rsidRPr="008117FA" w:rsidRDefault="008117FA" w:rsidP="008117FA">
      <w:pPr>
        <w:spacing w:after="120" w:line="240" w:lineRule="auto"/>
        <w:jc w:val="both"/>
        <w:rPr>
          <w:rFonts w:ascii="Verdana" w:eastAsia="Aptos" w:hAnsi="Verdana" w:cs="Times New Roman"/>
          <w:lang w:eastAsia="es-MX"/>
        </w:rPr>
      </w:pPr>
      <w:r w:rsidRPr="008117FA">
        <w:rPr>
          <w:rFonts w:ascii="Verdana" w:eastAsia="Aptos" w:hAnsi="Verdana" w:cs="Times New Roman"/>
          <w:lang w:eastAsia="es-MX"/>
        </w:rPr>
        <w:t xml:space="preserve">Facebook: </w:t>
      </w:r>
      <w:proofErr w:type="spellStart"/>
      <w:r w:rsidRPr="008117FA">
        <w:rPr>
          <w:rFonts w:ascii="Verdana" w:eastAsia="Calibri" w:hAnsi="Verdana" w:cs="Times New Roman"/>
          <w:color w:val="156082"/>
          <w:u w:val="single"/>
          <w:lang w:eastAsia="es-MX"/>
        </w:rPr>
        <w:t>ColombiaCompraEficiente</w:t>
      </w:r>
      <w:proofErr w:type="spellEnd"/>
    </w:p>
    <w:p w14:paraId="19FF30AC" w14:textId="77777777" w:rsidR="008117FA" w:rsidRPr="008117FA" w:rsidRDefault="008117FA" w:rsidP="008117FA">
      <w:pPr>
        <w:spacing w:after="120" w:line="240" w:lineRule="auto"/>
        <w:jc w:val="both"/>
        <w:rPr>
          <w:rFonts w:ascii="Verdana" w:eastAsia="Aptos" w:hAnsi="Verdana" w:cs="Times New Roman"/>
          <w:lang w:eastAsia="es-MX"/>
        </w:rPr>
      </w:pPr>
      <w:r w:rsidRPr="008117FA">
        <w:rPr>
          <w:rFonts w:ascii="Verdana" w:eastAsia="Aptos" w:hAnsi="Verdana" w:cs="Times New Roman"/>
          <w:lang w:eastAsia="es-MX"/>
        </w:rPr>
        <w:t xml:space="preserve">LinkedIn: </w:t>
      </w:r>
      <w:r w:rsidRPr="008117FA">
        <w:rPr>
          <w:rFonts w:ascii="Verdana" w:eastAsia="Calibri" w:hAnsi="Verdana" w:cs="Times New Roman"/>
          <w:color w:val="156082"/>
          <w:u w:val="single"/>
          <w:lang w:eastAsia="es-MX"/>
        </w:rPr>
        <w:t>Agencia Nacional de Contratación Pública - Colombia Compra Eficiente</w:t>
      </w:r>
      <w:r w:rsidRPr="008117FA">
        <w:rPr>
          <w:rFonts w:ascii="Verdana" w:eastAsia="Calibri" w:hAnsi="Verdana" w:cs="Times New Roman"/>
          <w:color w:val="156082"/>
          <w:lang w:eastAsia="es-MX"/>
        </w:rPr>
        <w:t xml:space="preserve"> </w:t>
      </w:r>
      <w:r w:rsidRPr="008117FA">
        <w:rPr>
          <w:rFonts w:ascii="Verdana" w:eastAsia="Aptos" w:hAnsi="Verdana" w:cs="Times New Roman"/>
          <w:lang w:eastAsia="es-MX"/>
        </w:rPr>
        <w:t xml:space="preserve">Instagram: </w:t>
      </w:r>
      <w:r w:rsidRPr="008117FA">
        <w:rPr>
          <w:rFonts w:ascii="Verdana" w:eastAsia="Calibri" w:hAnsi="Verdana" w:cs="Times New Roman"/>
          <w:color w:val="156082"/>
          <w:u w:val="single"/>
          <w:lang w:eastAsia="es-MX"/>
        </w:rPr>
        <w:t>@colombiacompraeficiente_cce</w:t>
      </w:r>
    </w:p>
    <w:p w14:paraId="6DFAFA5E" w14:textId="77777777" w:rsidR="008117FA" w:rsidRPr="008117FA" w:rsidRDefault="008117FA" w:rsidP="008117FA">
      <w:pPr>
        <w:spacing w:after="0" w:line="276" w:lineRule="auto"/>
        <w:jc w:val="both"/>
        <w:rPr>
          <w:rFonts w:ascii="Verdana" w:eastAsia="Aptos" w:hAnsi="Verdana" w:cs="Times New Roman"/>
          <w:lang w:eastAsia="es-MX"/>
        </w:rPr>
      </w:pPr>
    </w:p>
    <w:p w14:paraId="5063D7B7" w14:textId="77777777" w:rsidR="008117FA" w:rsidRPr="008117FA" w:rsidRDefault="008117FA" w:rsidP="008117FA">
      <w:pPr>
        <w:spacing w:after="0" w:line="276" w:lineRule="auto"/>
        <w:jc w:val="both"/>
        <w:rPr>
          <w:rFonts w:ascii="Verdana" w:eastAsia="Calibri" w:hAnsi="Verdana" w:cs="Times New Roman"/>
          <w:bCs/>
          <w:lang w:val="es-ES_tradnl" w:eastAsia="es-MX"/>
        </w:rPr>
      </w:pPr>
      <w:r w:rsidRPr="008117FA">
        <w:rPr>
          <w:rFonts w:ascii="Verdana" w:eastAsia="Calibri" w:hAnsi="Verdana" w:cs="Times New Roman"/>
          <w:lang w:val="es-ES_tradnl" w:eastAsia="es-MX"/>
        </w:rPr>
        <w:lastRenderedPageBreak/>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1577328" w14:textId="77777777" w:rsidR="008117FA" w:rsidRPr="008117FA" w:rsidRDefault="008117FA" w:rsidP="008117FA">
      <w:pPr>
        <w:spacing w:after="0" w:line="276" w:lineRule="auto"/>
        <w:jc w:val="both"/>
        <w:rPr>
          <w:rFonts w:ascii="Verdana" w:eastAsia="Calibri" w:hAnsi="Verdana" w:cs="Times New Roman"/>
          <w:lang w:eastAsia="es-MX"/>
        </w:rPr>
      </w:pPr>
    </w:p>
    <w:p w14:paraId="32E979AF" w14:textId="77777777" w:rsidR="008117FA" w:rsidRPr="008117FA" w:rsidRDefault="008117FA" w:rsidP="008117FA">
      <w:pPr>
        <w:spacing w:after="0" w:line="276" w:lineRule="auto"/>
        <w:jc w:val="both"/>
        <w:rPr>
          <w:rFonts w:ascii="Verdana" w:eastAsia="Calibri" w:hAnsi="Verdana" w:cs="Times New Roman"/>
          <w:lang w:eastAsia="es-MX"/>
        </w:rPr>
      </w:pPr>
      <w:r w:rsidRPr="008117FA">
        <w:rPr>
          <w:rFonts w:ascii="Verdana" w:eastAsia="Calibri" w:hAnsi="Verdana" w:cs="Times New Roman"/>
          <w:lang w:eastAsia="es-MX"/>
        </w:rPr>
        <w:t>Atentamente,</w:t>
      </w:r>
    </w:p>
    <w:p w14:paraId="6072C275" w14:textId="49B739BF" w:rsidR="008117FA" w:rsidRPr="008117FA" w:rsidRDefault="00452976" w:rsidP="00452976">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48333E8F" wp14:editId="70F3DC9F">
            <wp:extent cx="2547937" cy="1093844"/>
            <wp:effectExtent l="0" t="0" r="5080"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553823" cy="1096371"/>
                    </a:xfrm>
                    <a:prstGeom prst="rect">
                      <a:avLst/>
                    </a:prstGeom>
                  </pic:spPr>
                </pic:pic>
              </a:graphicData>
            </a:graphic>
          </wp:inline>
        </w:drawing>
      </w: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8117FA" w:rsidRPr="008117FA" w14:paraId="09FBCCE2" w14:textId="77777777" w:rsidTr="00933CEA">
        <w:trPr>
          <w:trHeight w:val="323"/>
        </w:trPr>
        <w:tc>
          <w:tcPr>
            <w:tcW w:w="1041" w:type="dxa"/>
            <w:vAlign w:val="center"/>
            <w:hideMark/>
          </w:tcPr>
          <w:p w14:paraId="2D9AFA77" w14:textId="77777777" w:rsidR="008117FA" w:rsidRPr="008117FA" w:rsidRDefault="008117FA" w:rsidP="008117FA">
            <w:pPr>
              <w:rPr>
                <w:rFonts w:ascii="Verdana" w:eastAsia="Calibri" w:hAnsi="Verdana" w:cs="Arial"/>
                <w:sz w:val="16"/>
                <w:szCs w:val="16"/>
                <w:lang w:val="es-ES_tradnl" w:eastAsia="es-ES"/>
              </w:rPr>
            </w:pPr>
            <w:r w:rsidRPr="008117FA">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2D8779A7" w14:textId="77777777" w:rsidR="008117FA" w:rsidRPr="008117FA" w:rsidRDefault="008117FA" w:rsidP="008117FA">
            <w:pPr>
              <w:rPr>
                <w:rFonts w:ascii="Verdana" w:eastAsia="Arial" w:hAnsi="Verdana" w:cs="Arial"/>
                <w:sz w:val="16"/>
                <w:szCs w:val="16"/>
                <w:lang w:val="es-ES" w:eastAsia="es-MX"/>
              </w:rPr>
            </w:pPr>
            <w:r w:rsidRPr="008117FA">
              <w:rPr>
                <w:rFonts w:ascii="Verdana" w:eastAsia="Arial" w:hAnsi="Verdana" w:cs="Arial"/>
                <w:sz w:val="16"/>
                <w:szCs w:val="16"/>
                <w:lang w:val="es-ES" w:eastAsia="es-MX"/>
              </w:rPr>
              <w:t xml:space="preserve">Carlos Mario Castrillón Endo </w:t>
            </w:r>
          </w:p>
          <w:p w14:paraId="4152CE04" w14:textId="77777777" w:rsidR="008117FA" w:rsidRPr="008117FA" w:rsidRDefault="008117FA" w:rsidP="008117FA">
            <w:pPr>
              <w:rPr>
                <w:rFonts w:ascii="Verdana" w:eastAsia="Arial" w:hAnsi="Verdana" w:cs="Arial"/>
                <w:sz w:val="16"/>
                <w:szCs w:val="16"/>
                <w:lang w:val="es-ES_tradnl" w:eastAsia="es-MX"/>
              </w:rPr>
            </w:pPr>
            <w:r w:rsidRPr="008117FA">
              <w:rPr>
                <w:rFonts w:ascii="Verdana" w:eastAsia="Arial" w:hAnsi="Verdana" w:cs="Arial"/>
                <w:sz w:val="16"/>
                <w:szCs w:val="16"/>
                <w:lang w:val="es-ES_tradnl" w:eastAsia="es-MX"/>
              </w:rPr>
              <w:t>Contratista de la Subdirección de Gestión Contractual</w:t>
            </w:r>
          </w:p>
          <w:p w14:paraId="20B63AD5" w14:textId="77777777" w:rsidR="008117FA" w:rsidRPr="008117FA" w:rsidRDefault="008117FA" w:rsidP="008117FA">
            <w:pPr>
              <w:rPr>
                <w:rFonts w:ascii="Verdana" w:eastAsia="Arial" w:hAnsi="Verdana" w:cs="Arial"/>
                <w:sz w:val="16"/>
                <w:szCs w:val="16"/>
                <w:lang w:val="es-ES_tradnl" w:eastAsia="es-MX"/>
              </w:rPr>
            </w:pPr>
          </w:p>
        </w:tc>
      </w:tr>
      <w:tr w:rsidR="008117FA" w:rsidRPr="008117FA" w14:paraId="008FE59E" w14:textId="77777777" w:rsidTr="00933CEA">
        <w:trPr>
          <w:trHeight w:val="338"/>
        </w:trPr>
        <w:tc>
          <w:tcPr>
            <w:tcW w:w="1041" w:type="dxa"/>
            <w:vAlign w:val="center"/>
            <w:hideMark/>
          </w:tcPr>
          <w:p w14:paraId="1BEFA2DD" w14:textId="77777777" w:rsidR="008117FA" w:rsidRPr="008117FA" w:rsidRDefault="008117FA" w:rsidP="008117FA">
            <w:pPr>
              <w:rPr>
                <w:rFonts w:ascii="Verdana" w:eastAsia="Calibri" w:hAnsi="Verdana" w:cs="Arial"/>
                <w:sz w:val="16"/>
                <w:szCs w:val="16"/>
                <w:lang w:val="es-ES_tradnl" w:eastAsia="es-ES"/>
              </w:rPr>
            </w:pPr>
            <w:r w:rsidRPr="008117FA">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5347CAEE" w14:textId="77777777" w:rsidR="008117FA" w:rsidRPr="008117FA" w:rsidRDefault="008117FA" w:rsidP="008117FA">
            <w:pPr>
              <w:rPr>
                <w:rFonts w:ascii="Verdana" w:eastAsia="Arial" w:hAnsi="Verdana" w:cs="Arial"/>
                <w:sz w:val="16"/>
                <w:szCs w:val="16"/>
                <w:lang w:val="es-ES_tradnl" w:eastAsia="es-MX"/>
              </w:rPr>
            </w:pPr>
            <w:r w:rsidRPr="008117FA">
              <w:rPr>
                <w:rFonts w:ascii="Verdana" w:eastAsia="Arial" w:hAnsi="Verdana" w:cs="Arial"/>
                <w:sz w:val="16"/>
                <w:szCs w:val="16"/>
                <w:lang w:val="es-ES_tradnl" w:eastAsia="es-MX"/>
              </w:rPr>
              <w:t>Alexandra Rodríguez Motta</w:t>
            </w:r>
          </w:p>
          <w:p w14:paraId="0440F3B7" w14:textId="77777777" w:rsidR="008117FA" w:rsidRPr="008117FA" w:rsidRDefault="008117FA" w:rsidP="008117FA">
            <w:pPr>
              <w:rPr>
                <w:rFonts w:ascii="Verdana" w:eastAsia="Arial" w:hAnsi="Verdana" w:cs="Arial"/>
                <w:sz w:val="16"/>
                <w:szCs w:val="16"/>
                <w:lang w:val="es-ES_tradnl" w:eastAsia="es-MX"/>
              </w:rPr>
            </w:pPr>
            <w:r w:rsidRPr="008117FA">
              <w:rPr>
                <w:rFonts w:ascii="Verdana" w:eastAsia="Arial" w:hAnsi="Verdana" w:cs="Arial"/>
                <w:sz w:val="16"/>
                <w:szCs w:val="16"/>
                <w:lang w:val="es-ES_tradnl" w:eastAsia="es-MX"/>
              </w:rPr>
              <w:t>Contratista de la Subdirección de Gestión Contractual</w:t>
            </w:r>
          </w:p>
          <w:p w14:paraId="05102EA4" w14:textId="554C36BD" w:rsidR="00C275DE" w:rsidRDefault="00C275DE" w:rsidP="008117FA">
            <w:pPr>
              <w:rPr>
                <w:rFonts w:ascii="Verdana" w:eastAsia="Arial" w:hAnsi="Verdana" w:cs="Arial"/>
                <w:sz w:val="16"/>
                <w:szCs w:val="16"/>
                <w:lang w:val="es-ES_tradnl" w:eastAsia="es-MX"/>
              </w:rPr>
            </w:pPr>
            <w:r>
              <w:rPr>
                <w:rFonts w:ascii="Verdana" w:eastAsia="Arial" w:hAnsi="Verdana" w:cs="Arial"/>
                <w:sz w:val="16"/>
                <w:szCs w:val="16"/>
                <w:lang w:val="es-ES_tradnl" w:eastAsia="es-MX"/>
              </w:rPr>
              <w:t xml:space="preserve">Adriana Katherine López Rodríguez </w:t>
            </w:r>
          </w:p>
          <w:p w14:paraId="5B30F766" w14:textId="59D16F5A" w:rsidR="008117FA" w:rsidRPr="008117FA" w:rsidRDefault="00C275DE" w:rsidP="008117FA">
            <w:pPr>
              <w:rPr>
                <w:rFonts w:ascii="Verdana" w:eastAsia="Arial" w:hAnsi="Verdana" w:cs="Arial"/>
                <w:sz w:val="16"/>
                <w:szCs w:val="16"/>
                <w:lang w:val="es-ES_tradnl" w:eastAsia="es-MX"/>
              </w:rPr>
            </w:pPr>
            <w:r w:rsidRPr="008117FA">
              <w:rPr>
                <w:rFonts w:ascii="Verdana" w:eastAsia="Arial" w:hAnsi="Verdana" w:cs="Arial"/>
                <w:sz w:val="16"/>
                <w:szCs w:val="16"/>
                <w:lang w:val="es-ES_tradnl" w:eastAsia="es-MX"/>
              </w:rPr>
              <w:t>Contratista de la Subdirección de Gestión Contractual</w:t>
            </w:r>
          </w:p>
        </w:tc>
      </w:tr>
      <w:tr w:rsidR="008117FA" w:rsidRPr="008117FA" w14:paraId="4B9F7CD9" w14:textId="77777777" w:rsidTr="00933CEA">
        <w:trPr>
          <w:trHeight w:val="308"/>
        </w:trPr>
        <w:tc>
          <w:tcPr>
            <w:tcW w:w="1041" w:type="dxa"/>
            <w:vAlign w:val="center"/>
          </w:tcPr>
          <w:p w14:paraId="2B687E8B" w14:textId="77777777" w:rsidR="008117FA" w:rsidRPr="008117FA" w:rsidRDefault="008117FA" w:rsidP="008117FA">
            <w:pPr>
              <w:rPr>
                <w:rFonts w:ascii="Verdana" w:eastAsia="Calibri" w:hAnsi="Verdana" w:cs="Arial"/>
                <w:sz w:val="16"/>
                <w:szCs w:val="16"/>
                <w:lang w:val="es-ES_tradnl" w:eastAsia="es-ES"/>
              </w:rPr>
            </w:pPr>
            <w:r w:rsidRPr="008117FA">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2CB716A" w14:textId="77777777" w:rsidR="008117FA" w:rsidRPr="008117FA" w:rsidRDefault="008117FA" w:rsidP="008117FA">
            <w:pPr>
              <w:rPr>
                <w:rFonts w:ascii="Verdana" w:eastAsia="Calibri" w:hAnsi="Verdana" w:cs="Arial"/>
                <w:sz w:val="16"/>
                <w:szCs w:val="16"/>
                <w:lang w:val="es-ES" w:eastAsia="es-ES"/>
              </w:rPr>
            </w:pPr>
            <w:r w:rsidRPr="008117FA">
              <w:rPr>
                <w:rFonts w:ascii="Verdana" w:eastAsia="Calibri" w:hAnsi="Verdana" w:cs="Arial"/>
                <w:sz w:val="16"/>
                <w:szCs w:val="16"/>
                <w:lang w:val="es-ES" w:eastAsia="es-ES"/>
              </w:rPr>
              <w:t>Carolina Quintero Gacharná</w:t>
            </w:r>
          </w:p>
          <w:p w14:paraId="31CAC976" w14:textId="77777777" w:rsidR="008117FA" w:rsidRPr="008117FA" w:rsidRDefault="008117FA" w:rsidP="008117FA">
            <w:pPr>
              <w:rPr>
                <w:rFonts w:ascii="Verdana" w:eastAsia="Calibri" w:hAnsi="Verdana" w:cs="Arial"/>
                <w:sz w:val="16"/>
                <w:szCs w:val="16"/>
                <w:lang w:val="es-ES_tradnl" w:eastAsia="es-ES"/>
              </w:rPr>
            </w:pPr>
            <w:r w:rsidRPr="008117FA">
              <w:rPr>
                <w:rFonts w:ascii="Verdana" w:eastAsia="Calibri" w:hAnsi="Verdana" w:cs="Arial"/>
                <w:sz w:val="16"/>
                <w:szCs w:val="16"/>
                <w:lang w:val="es-ES_tradnl" w:eastAsia="es-ES"/>
              </w:rPr>
              <w:t>Subdirectora de Gestión Contractual ANCP – CCE</w:t>
            </w:r>
          </w:p>
        </w:tc>
      </w:tr>
    </w:tbl>
    <w:p w14:paraId="40856786" w14:textId="77777777" w:rsidR="008117FA" w:rsidRPr="008117FA" w:rsidRDefault="008117FA" w:rsidP="008117FA">
      <w:pPr>
        <w:spacing w:after="0" w:line="240" w:lineRule="auto"/>
        <w:jc w:val="both"/>
        <w:textAlignment w:val="baseline"/>
        <w:rPr>
          <w:rFonts w:ascii="Verdana" w:eastAsia="Verdana" w:hAnsi="Verdana" w:cs="Verdana"/>
          <w:lang w:eastAsia="es-CO"/>
        </w:rPr>
      </w:pPr>
    </w:p>
    <w:p w14:paraId="1006A388" w14:textId="06CF163B" w:rsidR="00C15139" w:rsidRPr="000E2B93" w:rsidRDefault="008117FA" w:rsidP="008117FA">
      <w:pPr>
        <w:spacing w:after="0" w:line="240" w:lineRule="auto"/>
        <w:textAlignment w:val="baseline"/>
        <w:rPr>
          <w:rFonts w:ascii="Verdana" w:eastAsia="Verdana" w:hAnsi="Verdana" w:cs="Verdana"/>
          <w:lang w:eastAsia="es-CO"/>
        </w:rPr>
      </w:pPr>
      <w:r w:rsidRPr="008117FA">
        <w:rPr>
          <w:rFonts w:ascii="Verdana" w:eastAsia="Verdana" w:hAnsi="Verdana" w:cs="Verdana"/>
          <w:lang w:eastAsia="es-CO"/>
        </w:rPr>
        <w:t> </w:t>
      </w:r>
    </w:p>
    <w:p w14:paraId="69BC4D14" w14:textId="005BC8E1"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64F1" w14:textId="77777777" w:rsidR="002B7339" w:rsidRDefault="002B7339" w:rsidP="004A1847">
      <w:pPr>
        <w:spacing w:after="0" w:line="240" w:lineRule="auto"/>
      </w:pPr>
      <w:r>
        <w:separator/>
      </w:r>
    </w:p>
  </w:endnote>
  <w:endnote w:type="continuationSeparator" w:id="0">
    <w:p w14:paraId="6BFFDE78" w14:textId="77777777" w:rsidR="002B7339" w:rsidRDefault="002B7339" w:rsidP="004A1847">
      <w:pPr>
        <w:spacing w:after="0" w:line="240" w:lineRule="auto"/>
      </w:pPr>
      <w:r>
        <w:continuationSeparator/>
      </w:r>
    </w:p>
  </w:endnote>
  <w:endnote w:type="continuationNotice" w:id="1">
    <w:p w14:paraId="5ECE16A7" w14:textId="77777777" w:rsidR="002B7339" w:rsidRDefault="002B7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MT">
    <w:altName w:val="Arial"/>
    <w:charset w:val="00"/>
    <w:family w:val="roman"/>
    <w:pitch w:val="default"/>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8117FA">
      <w:rPr>
        <w:rFonts w:ascii="Verdana" w:eastAsia="Verdana" w:hAnsi="Verdana" w:cs="Verdana"/>
        <w:b/>
        <w:bCs/>
        <w:color w:val="000000"/>
        <w:sz w:val="18"/>
        <w:szCs w:val="18"/>
        <w:lang w:eastAsia="es-CO"/>
      </w:rPr>
      <w:t xml:space="preserve">Código: </w:t>
    </w:r>
    <w:r w:rsidRPr="008117FA">
      <w:rPr>
        <w:rFonts w:ascii="Verdana" w:eastAsia="Verdana" w:hAnsi="Verdana" w:cs="Verdana"/>
        <w:color w:val="000000"/>
        <w:sz w:val="18"/>
        <w:szCs w:val="18"/>
        <w:lang w:eastAsia="es-CO"/>
      </w:rPr>
      <w:t xml:space="preserve">CCE-REC-FM-17 </w:t>
    </w:r>
    <w:r w:rsidRPr="008117FA">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A2EF" w14:textId="77777777" w:rsidR="002B7339" w:rsidRDefault="002B7339" w:rsidP="004A1847">
      <w:pPr>
        <w:spacing w:after="0" w:line="240" w:lineRule="auto"/>
      </w:pPr>
      <w:r>
        <w:separator/>
      </w:r>
    </w:p>
  </w:footnote>
  <w:footnote w:type="continuationSeparator" w:id="0">
    <w:p w14:paraId="25D1F093" w14:textId="77777777" w:rsidR="002B7339" w:rsidRDefault="002B7339" w:rsidP="004A1847">
      <w:pPr>
        <w:spacing w:after="0" w:line="240" w:lineRule="auto"/>
      </w:pPr>
      <w:r>
        <w:continuationSeparator/>
      </w:r>
    </w:p>
  </w:footnote>
  <w:footnote w:type="continuationNotice" w:id="1">
    <w:p w14:paraId="631395DE" w14:textId="77777777" w:rsidR="002B7339" w:rsidRDefault="002B7339">
      <w:pPr>
        <w:spacing w:after="0" w:line="240" w:lineRule="auto"/>
      </w:pPr>
    </w:p>
  </w:footnote>
  <w:footnote w:id="2">
    <w:p w14:paraId="623AA2BE" w14:textId="77777777" w:rsidR="008117FA" w:rsidRPr="0048541D" w:rsidRDefault="008117FA" w:rsidP="008117FA">
      <w:pPr>
        <w:pStyle w:val="Textonotapie"/>
        <w:ind w:firstLine="708"/>
        <w:jc w:val="both"/>
        <w:rPr>
          <w:rFonts w:ascii="Verdana" w:hAnsi="Verdana"/>
          <w:sz w:val="18"/>
          <w:szCs w:val="18"/>
          <w:lang w:val="es-CO"/>
        </w:rPr>
      </w:pPr>
      <w:r w:rsidRPr="0048541D">
        <w:rPr>
          <w:rStyle w:val="Refdenotaalpie"/>
          <w:rFonts w:ascii="Verdana" w:hAnsi="Verdana"/>
          <w:sz w:val="18"/>
          <w:szCs w:val="18"/>
          <w:lang w:val="es-CO"/>
        </w:rPr>
        <w:footnoteRef/>
      </w:r>
      <w:r w:rsidRPr="0048541D">
        <w:rPr>
          <w:rFonts w:ascii="Verdana" w:hAnsi="Verdana"/>
          <w:sz w:val="18"/>
          <w:szCs w:val="18"/>
          <w:lang w:val="es-CO"/>
        </w:rPr>
        <w:t xml:space="preserve"> Estos Documentos Tipo pueden ser consultados en la página web de Colombia Compra Eficiente, a través del siguiente enlace: </w:t>
      </w:r>
      <w:hyperlink r:id="rId1" w:history="1">
        <w:r w:rsidRPr="0048541D">
          <w:rPr>
            <w:rStyle w:val="Hipervnculo"/>
            <w:rFonts w:ascii="Verdana" w:hAnsi="Verdana"/>
            <w:sz w:val="18"/>
            <w:szCs w:val="18"/>
            <w:lang w:val="es-CO"/>
          </w:rPr>
          <w:t>https://www.colombiacompra.gov.co/documentos-tipo/documentos-tipo</w:t>
        </w:r>
      </w:hyperlink>
      <w:r w:rsidRPr="0048541D">
        <w:rPr>
          <w:rFonts w:ascii="Verdana" w:hAnsi="Verdana"/>
          <w:sz w:val="18"/>
          <w:szCs w:val="18"/>
          <w:lang w:val="es-CO"/>
        </w:rPr>
        <w:t xml:space="preserve"> </w:t>
      </w:r>
    </w:p>
  </w:footnote>
  <w:footnote w:id="3">
    <w:p w14:paraId="7E824715" w14:textId="77777777" w:rsidR="008117FA" w:rsidRPr="0048541D" w:rsidRDefault="008117FA" w:rsidP="008117FA">
      <w:pPr>
        <w:spacing w:after="0" w:line="276" w:lineRule="auto"/>
        <w:jc w:val="both"/>
        <w:rPr>
          <w:rFonts w:ascii="Verdana" w:hAnsi="Verdana"/>
          <w:sz w:val="18"/>
          <w:szCs w:val="18"/>
        </w:rPr>
      </w:pPr>
    </w:p>
    <w:p w14:paraId="66EDFEB1" w14:textId="77777777" w:rsidR="008117FA" w:rsidRDefault="008117FA" w:rsidP="008117FA">
      <w:pPr>
        <w:spacing w:after="0" w:line="276" w:lineRule="auto"/>
        <w:ind w:firstLine="708"/>
        <w:jc w:val="both"/>
        <w:rPr>
          <w:rFonts w:ascii="Verdana" w:eastAsia="Calibri" w:hAnsi="Verdana" w:cs="Arial"/>
          <w:bCs/>
          <w:sz w:val="18"/>
          <w:szCs w:val="18"/>
        </w:rPr>
      </w:pPr>
      <w:r w:rsidRPr="0048541D">
        <w:rPr>
          <w:rStyle w:val="Refdenotaalpie"/>
          <w:rFonts w:ascii="Verdana" w:hAnsi="Verdana"/>
          <w:sz w:val="18"/>
          <w:szCs w:val="18"/>
        </w:rPr>
        <w:footnoteRef/>
      </w:r>
      <w:r w:rsidRPr="0048541D">
        <w:rPr>
          <w:rFonts w:ascii="Verdana" w:hAnsi="Verdana"/>
          <w:sz w:val="18"/>
          <w:szCs w:val="18"/>
        </w:rPr>
        <w:t xml:space="preserve"> </w:t>
      </w:r>
      <w:r w:rsidRPr="0048541D">
        <w:rPr>
          <w:rFonts w:ascii="Verdana" w:eastAsia="Calibri" w:hAnsi="Verdana" w:cs="Arial"/>
          <w:bCs/>
          <w:sz w:val="18"/>
          <w:szCs w:val="18"/>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5350B520" w14:textId="77777777" w:rsidR="008117FA" w:rsidRDefault="008117FA" w:rsidP="008117FA">
      <w:pPr>
        <w:spacing w:after="0" w:line="276" w:lineRule="auto"/>
        <w:ind w:firstLine="708"/>
        <w:jc w:val="both"/>
        <w:rPr>
          <w:rFonts w:ascii="Verdana" w:eastAsia="Calibri" w:hAnsi="Verdana" w:cs="Arial"/>
          <w:bCs/>
          <w:sz w:val="18"/>
          <w:szCs w:val="18"/>
        </w:rPr>
      </w:pPr>
    </w:p>
    <w:p w14:paraId="5A416AE2" w14:textId="77777777" w:rsidR="008117FA" w:rsidRPr="0048541D" w:rsidRDefault="008117FA" w:rsidP="008117FA">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1AAE4D46" w14:textId="77777777" w:rsidR="008117FA" w:rsidRDefault="008117FA" w:rsidP="008117FA">
      <w:pPr>
        <w:spacing w:after="0" w:line="276" w:lineRule="auto"/>
        <w:jc w:val="both"/>
        <w:rPr>
          <w:rFonts w:ascii="Verdana" w:eastAsia="Calibri" w:hAnsi="Verdana" w:cs="Arial"/>
          <w:bCs/>
          <w:sz w:val="18"/>
          <w:szCs w:val="18"/>
        </w:rPr>
      </w:pPr>
    </w:p>
    <w:p w14:paraId="2BD742DC" w14:textId="77777777" w:rsidR="008117FA" w:rsidRDefault="008117FA" w:rsidP="008117FA">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 xml:space="preserve">Resolución 464 del 10 de septiembre de 2024: “Por la cual se actualizan los documentos tipo para los procesos de obra pública de infraestructura de transporte adelantados bajo la modalidad de mínima cuantía”. </w:t>
      </w:r>
    </w:p>
    <w:p w14:paraId="7C2CAFE2" w14:textId="77777777" w:rsidR="008117FA" w:rsidRPr="0048541D" w:rsidRDefault="008117FA" w:rsidP="008117FA">
      <w:pPr>
        <w:spacing w:after="0" w:line="276" w:lineRule="auto"/>
        <w:jc w:val="both"/>
        <w:rPr>
          <w:rFonts w:ascii="Verdana" w:eastAsia="Calibri" w:hAnsi="Verdana" w:cs="Arial"/>
          <w:bCs/>
          <w:sz w:val="18"/>
          <w:szCs w:val="18"/>
        </w:rPr>
      </w:pPr>
    </w:p>
    <w:p w14:paraId="5964799F" w14:textId="77777777" w:rsidR="008117FA" w:rsidRDefault="008117FA" w:rsidP="008117FA">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7E9AA0A6" w14:textId="77777777" w:rsidR="008117FA" w:rsidRPr="0048541D" w:rsidRDefault="008117FA" w:rsidP="008117FA">
      <w:pPr>
        <w:spacing w:after="0" w:line="276" w:lineRule="auto"/>
        <w:ind w:firstLine="708"/>
        <w:jc w:val="both"/>
        <w:rPr>
          <w:rFonts w:ascii="Verdana" w:eastAsia="Calibri" w:hAnsi="Verdana" w:cs="Arial"/>
          <w:bCs/>
          <w:sz w:val="18"/>
          <w:szCs w:val="18"/>
        </w:rPr>
      </w:pPr>
    </w:p>
    <w:p w14:paraId="0D1202FC" w14:textId="77777777" w:rsidR="008117FA" w:rsidRPr="0048541D" w:rsidRDefault="008117FA" w:rsidP="008117FA">
      <w:pPr>
        <w:spacing w:after="0" w:line="276" w:lineRule="auto"/>
        <w:ind w:firstLine="708"/>
        <w:jc w:val="both"/>
        <w:rPr>
          <w:rFonts w:ascii="Verdana" w:eastAsia="Calibri" w:hAnsi="Verdana" w:cs="Arial"/>
          <w:bCs/>
          <w:sz w:val="18"/>
          <w:szCs w:val="18"/>
        </w:rPr>
      </w:pPr>
      <w:r w:rsidRPr="0048541D">
        <w:rPr>
          <w:rFonts w:ascii="Verdana" w:eastAsia="Calibri" w:hAnsi="Verdana" w:cs="Arial"/>
          <w:bCs/>
          <w:sz w:val="18"/>
          <w:szCs w:val="18"/>
        </w:rPr>
        <w:t>Resolución 456 del 10 de septiembre de 2024: “Por la cual se adopta la versión 4 de los documentos tipo para los procesos de selección de licitación de obra pública de infraestructura de transporte y se deroga la Resolución 240 de 2020”.</w:t>
      </w:r>
    </w:p>
    <w:p w14:paraId="070928A2" w14:textId="77777777" w:rsidR="008117FA" w:rsidRPr="0048541D" w:rsidRDefault="008117FA" w:rsidP="008117FA">
      <w:pPr>
        <w:spacing w:after="0" w:line="276" w:lineRule="auto"/>
        <w:ind w:firstLine="708"/>
        <w:jc w:val="both"/>
        <w:rPr>
          <w:rFonts w:ascii="Verdana" w:eastAsia="Calibri" w:hAnsi="Verdana" w:cs="Arial"/>
          <w:bCs/>
          <w:sz w:val="18"/>
          <w:szCs w:val="18"/>
        </w:rPr>
      </w:pPr>
    </w:p>
    <w:p w14:paraId="05689357" w14:textId="77777777" w:rsidR="008117FA" w:rsidRPr="0048541D" w:rsidRDefault="008117FA" w:rsidP="008117FA">
      <w:pPr>
        <w:pStyle w:val="Textonotapie"/>
        <w:rPr>
          <w:rFonts w:ascii="Verdana" w:hAnsi="Verdana"/>
          <w:sz w:val="18"/>
          <w:szCs w:val="18"/>
          <w:lang w:val="es-CO"/>
        </w:rPr>
      </w:pPr>
    </w:p>
  </w:footnote>
  <w:footnote w:id="4">
    <w:p w14:paraId="17E924D5" w14:textId="77777777" w:rsidR="008117FA" w:rsidRPr="002B5CC2" w:rsidRDefault="008117FA" w:rsidP="008117FA">
      <w:pPr>
        <w:pStyle w:val="Textonotapie"/>
        <w:ind w:firstLine="708"/>
        <w:jc w:val="both"/>
        <w:rPr>
          <w:rFonts w:ascii="Arial" w:hAnsi="Arial" w:cs="Arial"/>
          <w:sz w:val="18"/>
          <w:szCs w:val="18"/>
        </w:rPr>
      </w:pPr>
      <w:r w:rsidRPr="002B5CC2">
        <w:rPr>
          <w:rStyle w:val="Refdenotaalpie"/>
          <w:rFonts w:ascii="Arial" w:hAnsi="Arial" w:cs="Arial"/>
          <w:sz w:val="18"/>
          <w:szCs w:val="18"/>
        </w:rPr>
        <w:footnoteRef/>
      </w:r>
      <w:r w:rsidRPr="002B5CC2">
        <w:rPr>
          <w:rFonts w:ascii="Arial" w:hAnsi="Arial" w:cs="Arial"/>
          <w:sz w:val="18"/>
          <w:szCs w:val="18"/>
        </w:rPr>
        <w:t xml:space="preserve"> En relación con los documentos tipo para los procesos de selección abreviada de menor cuantía de obra pública de infraestructura de transporte, esta posibilidad se encuentra establecida en el artículo 4 de la Resolución 463 de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928" w:hanging="360"/>
      </w:pPr>
      <w:rPr>
        <w:b/>
        <w:color w:val="000000" w:themeColor="text1"/>
      </w:rPr>
    </w:lvl>
    <w:lvl w:ilvl="1">
      <w:start w:val="2"/>
      <w:numFmt w:val="decimal"/>
      <w:isLgl/>
      <w:lvlText w:val="%1.%2"/>
      <w:lvlJc w:val="left"/>
      <w:pPr>
        <w:ind w:left="56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82798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4B1B"/>
    <w:rsid w:val="00016F78"/>
    <w:rsid w:val="00046945"/>
    <w:rsid w:val="00061B2A"/>
    <w:rsid w:val="00082362"/>
    <w:rsid w:val="000A683E"/>
    <w:rsid w:val="000B19B9"/>
    <w:rsid w:val="000D0334"/>
    <w:rsid w:val="000D5DA7"/>
    <w:rsid w:val="000F6486"/>
    <w:rsid w:val="00116940"/>
    <w:rsid w:val="00125105"/>
    <w:rsid w:val="00127233"/>
    <w:rsid w:val="001465FE"/>
    <w:rsid w:val="0015699B"/>
    <w:rsid w:val="00177704"/>
    <w:rsid w:val="001A33BF"/>
    <w:rsid w:val="001E4177"/>
    <w:rsid w:val="001F0B24"/>
    <w:rsid w:val="001F7DC6"/>
    <w:rsid w:val="0022400B"/>
    <w:rsid w:val="002421BB"/>
    <w:rsid w:val="0025796E"/>
    <w:rsid w:val="002707A2"/>
    <w:rsid w:val="00287631"/>
    <w:rsid w:val="002951A0"/>
    <w:rsid w:val="002962BC"/>
    <w:rsid w:val="002A093D"/>
    <w:rsid w:val="002A0DD0"/>
    <w:rsid w:val="002A49AC"/>
    <w:rsid w:val="002A64FD"/>
    <w:rsid w:val="002B7339"/>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04E4"/>
    <w:rsid w:val="00414C74"/>
    <w:rsid w:val="0042722E"/>
    <w:rsid w:val="0044528D"/>
    <w:rsid w:val="00452976"/>
    <w:rsid w:val="00466E39"/>
    <w:rsid w:val="004A1847"/>
    <w:rsid w:val="004A305D"/>
    <w:rsid w:val="004F21C4"/>
    <w:rsid w:val="004F685F"/>
    <w:rsid w:val="005566E8"/>
    <w:rsid w:val="0056408C"/>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117FA"/>
    <w:rsid w:val="00820278"/>
    <w:rsid w:val="008258C9"/>
    <w:rsid w:val="00844AE9"/>
    <w:rsid w:val="00867F95"/>
    <w:rsid w:val="008843B6"/>
    <w:rsid w:val="00891928"/>
    <w:rsid w:val="00894D12"/>
    <w:rsid w:val="008A1E99"/>
    <w:rsid w:val="008A446D"/>
    <w:rsid w:val="008B25F1"/>
    <w:rsid w:val="008D180B"/>
    <w:rsid w:val="008F0EA7"/>
    <w:rsid w:val="0090465D"/>
    <w:rsid w:val="00923EEF"/>
    <w:rsid w:val="009419F9"/>
    <w:rsid w:val="0095685E"/>
    <w:rsid w:val="00961B09"/>
    <w:rsid w:val="00965334"/>
    <w:rsid w:val="0097093E"/>
    <w:rsid w:val="009A0DFA"/>
    <w:rsid w:val="009A1826"/>
    <w:rsid w:val="009A1C6F"/>
    <w:rsid w:val="009B2D26"/>
    <w:rsid w:val="009C71FA"/>
    <w:rsid w:val="009C72E7"/>
    <w:rsid w:val="009C7F7E"/>
    <w:rsid w:val="009D3058"/>
    <w:rsid w:val="009F3A13"/>
    <w:rsid w:val="00A122D3"/>
    <w:rsid w:val="00A14468"/>
    <w:rsid w:val="00A17F13"/>
    <w:rsid w:val="00A20739"/>
    <w:rsid w:val="00A23AF9"/>
    <w:rsid w:val="00A32DFD"/>
    <w:rsid w:val="00A33C78"/>
    <w:rsid w:val="00AB0ADB"/>
    <w:rsid w:val="00AD1F10"/>
    <w:rsid w:val="00AD29B6"/>
    <w:rsid w:val="00B00C0E"/>
    <w:rsid w:val="00B01B1A"/>
    <w:rsid w:val="00B0381D"/>
    <w:rsid w:val="00B07A96"/>
    <w:rsid w:val="00B10D17"/>
    <w:rsid w:val="00B44A47"/>
    <w:rsid w:val="00B72CD3"/>
    <w:rsid w:val="00B72FFF"/>
    <w:rsid w:val="00BC3D36"/>
    <w:rsid w:val="00BD54A6"/>
    <w:rsid w:val="00BD7F72"/>
    <w:rsid w:val="00BF7425"/>
    <w:rsid w:val="00C04FB3"/>
    <w:rsid w:val="00C11D8B"/>
    <w:rsid w:val="00C15139"/>
    <w:rsid w:val="00C275DE"/>
    <w:rsid w:val="00C330EB"/>
    <w:rsid w:val="00C50D69"/>
    <w:rsid w:val="00C5365C"/>
    <w:rsid w:val="00C754BE"/>
    <w:rsid w:val="00C76B1C"/>
    <w:rsid w:val="00C925AC"/>
    <w:rsid w:val="00CB6357"/>
    <w:rsid w:val="00CC1B2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D18A9"/>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811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8117FA"/>
    <w:pPr>
      <w:spacing w:line="240" w:lineRule="exact"/>
    </w:pPr>
    <w:rPr>
      <w:vertAlign w:val="superscript"/>
    </w:rPr>
  </w:style>
  <w:style w:type="character" w:styleId="Refdecomentario">
    <w:name w:val="annotation reference"/>
    <w:basedOn w:val="Fuentedeprrafopredeter"/>
    <w:uiPriority w:val="99"/>
    <w:semiHidden/>
    <w:unhideWhenUsed/>
    <w:rsid w:val="009A1826"/>
    <w:rPr>
      <w:sz w:val="16"/>
      <w:szCs w:val="16"/>
    </w:rPr>
  </w:style>
  <w:style w:type="paragraph" w:styleId="Textocomentario">
    <w:name w:val="annotation text"/>
    <w:basedOn w:val="Normal"/>
    <w:link w:val="TextocomentarioCar"/>
    <w:uiPriority w:val="99"/>
    <w:semiHidden/>
    <w:unhideWhenUsed/>
    <w:rsid w:val="009A18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A1826"/>
    <w:rPr>
      <w:sz w:val="20"/>
      <w:szCs w:val="20"/>
    </w:rPr>
  </w:style>
  <w:style w:type="paragraph" w:styleId="Asuntodelcomentario">
    <w:name w:val="annotation subject"/>
    <w:basedOn w:val="Textocomentario"/>
    <w:next w:val="Textocomentario"/>
    <w:link w:val="AsuntodelcomentarioCar"/>
    <w:uiPriority w:val="99"/>
    <w:semiHidden/>
    <w:unhideWhenUsed/>
    <w:rsid w:val="009A1826"/>
    <w:rPr>
      <w:b/>
      <w:bCs/>
    </w:rPr>
  </w:style>
  <w:style w:type="character" w:customStyle="1" w:styleId="AsuntodelcomentarioCar">
    <w:name w:val="Asunto del comentario Car"/>
    <w:basedOn w:val="TextocomentarioCar"/>
    <w:link w:val="Asuntodelcomentario"/>
    <w:uiPriority w:val="99"/>
    <w:semiHidden/>
    <w:rsid w:val="009A18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FA3809BA-0794-4AF9-B124-2FEB3C181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16</Pages>
  <Words>5710</Words>
  <Characters>31408</Characters>
  <Application>Microsoft Office Word</Application>
  <DocSecurity>0</DocSecurity>
  <Lines>261</Lines>
  <Paragraphs>74</Paragraphs>
  <ScaleCrop>false</ScaleCrop>
  <Company/>
  <LinksUpToDate>false</LinksUpToDate>
  <CharactersWithSpaces>37044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2026-07-28T17:03:00Z</dcterms:created>
  <dcterms:modified xsi:type="dcterms:W3CDTF">2026-07-30T21:09:00Z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