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A9572" w14:textId="77777777" w:rsidR="009E4A97" w:rsidRPr="002C6F1A" w:rsidRDefault="009E4A97" w:rsidP="009E4A97">
      <w:pPr>
        <w:widowControl w:val="0"/>
        <w:autoSpaceDE w:val="0"/>
        <w:autoSpaceDN w:val="0"/>
        <w:spacing w:after="0" w:line="240" w:lineRule="auto"/>
        <w:jc w:val="both"/>
        <w:outlineLvl w:val="0"/>
        <w:rPr>
          <w:rFonts w:ascii="Verdana" w:eastAsia="Arial" w:hAnsi="Verdana" w:cs="Arial"/>
          <w:b/>
          <w:bCs/>
          <w:lang w:val="es-ES"/>
        </w:rPr>
      </w:pPr>
      <w:r w:rsidRPr="002C6F1A">
        <w:rPr>
          <w:rFonts w:ascii="Verdana" w:eastAsia="Arial" w:hAnsi="Verdana" w:cs="Arial"/>
          <w:b/>
          <w:bCs/>
          <w:lang w:val="es-ES"/>
        </w:rPr>
        <w:t>CONTRATO ESTATAL</w:t>
      </w:r>
      <w:r w:rsidRPr="002C6F1A">
        <w:rPr>
          <w:rFonts w:ascii="Verdana" w:eastAsia="Arial" w:hAnsi="Verdana" w:cs="Arial"/>
          <w:b/>
          <w:bCs/>
          <w:spacing w:val="3"/>
          <w:lang w:val="es-ES"/>
        </w:rPr>
        <w:t xml:space="preserve"> </w:t>
      </w:r>
      <w:r w:rsidRPr="002C6F1A">
        <w:rPr>
          <w:rFonts w:ascii="Verdana" w:eastAsia="Arial" w:hAnsi="Verdana" w:cs="Arial"/>
          <w:b/>
          <w:bCs/>
          <w:lang w:val="es-ES"/>
        </w:rPr>
        <w:t>–</w:t>
      </w:r>
      <w:r w:rsidRPr="002C6F1A">
        <w:rPr>
          <w:rFonts w:ascii="Verdana" w:eastAsia="Arial" w:hAnsi="Verdana" w:cs="Arial"/>
          <w:b/>
          <w:bCs/>
          <w:spacing w:val="-2"/>
          <w:lang w:val="es-ES"/>
        </w:rPr>
        <w:t xml:space="preserve"> </w:t>
      </w:r>
      <w:r w:rsidRPr="002C6F1A">
        <w:rPr>
          <w:rFonts w:ascii="Verdana" w:eastAsia="Arial" w:hAnsi="Verdana" w:cs="Arial"/>
          <w:b/>
          <w:bCs/>
          <w:lang w:val="es-ES"/>
        </w:rPr>
        <w:t>Ejercicio</w:t>
      </w:r>
      <w:r w:rsidRPr="002C6F1A">
        <w:rPr>
          <w:rFonts w:ascii="Verdana" w:eastAsia="Arial" w:hAnsi="Verdana" w:cs="Arial"/>
          <w:b/>
          <w:bCs/>
          <w:spacing w:val="-2"/>
          <w:lang w:val="es-ES"/>
        </w:rPr>
        <w:t xml:space="preserve"> </w:t>
      </w:r>
      <w:r w:rsidRPr="002C6F1A">
        <w:rPr>
          <w:rFonts w:ascii="Verdana" w:eastAsia="Arial" w:hAnsi="Verdana" w:cs="Arial"/>
          <w:b/>
          <w:bCs/>
          <w:lang w:val="es-ES"/>
        </w:rPr>
        <w:t>–</w:t>
      </w:r>
      <w:r w:rsidRPr="002C6F1A">
        <w:rPr>
          <w:rFonts w:ascii="Verdana" w:eastAsia="Arial" w:hAnsi="Verdana" w:cs="Arial"/>
          <w:b/>
          <w:bCs/>
          <w:spacing w:val="-2"/>
          <w:lang w:val="es-ES"/>
        </w:rPr>
        <w:t xml:space="preserve"> </w:t>
      </w:r>
      <w:r w:rsidRPr="002C6F1A">
        <w:rPr>
          <w:rFonts w:ascii="Verdana" w:eastAsia="Arial" w:hAnsi="Verdana" w:cs="Arial"/>
          <w:b/>
          <w:bCs/>
          <w:lang w:val="es-ES"/>
        </w:rPr>
        <w:t>Funciones</w:t>
      </w:r>
      <w:r w:rsidRPr="002C6F1A">
        <w:rPr>
          <w:rFonts w:ascii="Verdana" w:eastAsia="Arial" w:hAnsi="Verdana" w:cs="Arial"/>
          <w:b/>
          <w:bCs/>
          <w:spacing w:val="-3"/>
          <w:lang w:val="es-ES"/>
        </w:rPr>
        <w:t xml:space="preserve"> </w:t>
      </w:r>
      <w:r w:rsidRPr="002C6F1A">
        <w:rPr>
          <w:rFonts w:ascii="Verdana" w:eastAsia="Arial" w:hAnsi="Verdana" w:cs="Arial"/>
          <w:b/>
          <w:bCs/>
          <w:lang w:val="es-ES"/>
        </w:rPr>
        <w:t>de</w:t>
      </w:r>
      <w:r w:rsidRPr="002C6F1A">
        <w:rPr>
          <w:rFonts w:ascii="Verdana" w:eastAsia="Arial" w:hAnsi="Verdana" w:cs="Arial"/>
          <w:b/>
          <w:bCs/>
          <w:spacing w:val="-2"/>
          <w:lang w:val="es-ES"/>
        </w:rPr>
        <w:t xml:space="preserve"> </w:t>
      </w:r>
      <w:r w:rsidRPr="002C6F1A">
        <w:rPr>
          <w:rFonts w:ascii="Verdana" w:eastAsia="Arial" w:hAnsi="Verdana" w:cs="Arial"/>
          <w:b/>
          <w:bCs/>
          <w:lang w:val="es-ES"/>
        </w:rPr>
        <w:t>control</w:t>
      </w:r>
      <w:r w:rsidRPr="002C6F1A">
        <w:rPr>
          <w:rFonts w:ascii="Verdana" w:eastAsia="Arial" w:hAnsi="Verdana" w:cs="Arial"/>
          <w:b/>
          <w:bCs/>
          <w:spacing w:val="-2"/>
          <w:lang w:val="es-ES"/>
        </w:rPr>
        <w:t xml:space="preserve"> </w:t>
      </w:r>
      <w:r w:rsidRPr="002C6F1A">
        <w:rPr>
          <w:rFonts w:ascii="Verdana" w:eastAsia="Arial" w:hAnsi="Verdana" w:cs="Arial"/>
          <w:b/>
          <w:bCs/>
          <w:lang w:val="es-ES"/>
        </w:rPr>
        <w:t>y</w:t>
      </w:r>
      <w:r w:rsidRPr="002C6F1A">
        <w:rPr>
          <w:rFonts w:ascii="Verdana" w:eastAsia="Arial" w:hAnsi="Verdana" w:cs="Arial"/>
          <w:b/>
          <w:bCs/>
          <w:spacing w:val="-5"/>
          <w:lang w:val="es-ES"/>
        </w:rPr>
        <w:t xml:space="preserve"> </w:t>
      </w:r>
      <w:r w:rsidRPr="002C6F1A">
        <w:rPr>
          <w:rFonts w:ascii="Verdana" w:eastAsia="Arial" w:hAnsi="Verdana" w:cs="Arial"/>
          <w:b/>
          <w:bCs/>
          <w:lang w:val="es-ES"/>
        </w:rPr>
        <w:t>vigilancia</w:t>
      </w:r>
    </w:p>
    <w:p w14:paraId="2014016B" w14:textId="77777777" w:rsidR="009E4A97" w:rsidRPr="002C6F1A" w:rsidRDefault="009E4A97" w:rsidP="009E4A97">
      <w:pPr>
        <w:widowControl w:val="0"/>
        <w:autoSpaceDE w:val="0"/>
        <w:autoSpaceDN w:val="0"/>
        <w:spacing w:after="0" w:line="240" w:lineRule="auto"/>
        <w:rPr>
          <w:rFonts w:ascii="Verdana" w:eastAsia="Arial MT" w:hAnsi="Verdana" w:cs="Arial MT"/>
          <w:b/>
          <w:sz w:val="20"/>
          <w:szCs w:val="20"/>
          <w:lang w:val="es-ES"/>
        </w:rPr>
      </w:pPr>
    </w:p>
    <w:p w14:paraId="3A8738E4" w14:textId="77777777" w:rsidR="009E4A97" w:rsidRPr="002C6F1A" w:rsidRDefault="009E4A97" w:rsidP="009E4A97">
      <w:pPr>
        <w:widowControl w:val="0"/>
        <w:autoSpaceDE w:val="0"/>
        <w:autoSpaceDN w:val="0"/>
        <w:spacing w:after="0" w:line="240" w:lineRule="auto"/>
        <w:ind w:right="122"/>
        <w:jc w:val="both"/>
        <w:rPr>
          <w:rFonts w:ascii="Verdana" w:eastAsia="Arial MT" w:hAnsi="Verdana" w:cs="Arial"/>
          <w:sz w:val="20"/>
          <w:szCs w:val="20"/>
          <w:lang w:val="es-ES"/>
        </w:rPr>
      </w:pPr>
      <w:r w:rsidRPr="002C6F1A">
        <w:rPr>
          <w:rFonts w:ascii="Verdana" w:eastAsia="Arial MT" w:hAnsi="Verdana" w:cs="Arial"/>
          <w:sz w:val="20"/>
          <w:szCs w:val="20"/>
          <w:lang w:val="es-ES"/>
        </w:rPr>
        <w:t>Así, por ejemplo, los artículos 4, 5, 12, 14 y</w:t>
      </w:r>
      <w:r w:rsidRPr="002C6F1A">
        <w:rPr>
          <w:rFonts w:ascii="Verdana" w:eastAsia="Arial MT" w:hAnsi="Verdana" w:cs="Arial"/>
          <w:spacing w:val="1"/>
          <w:sz w:val="20"/>
          <w:szCs w:val="20"/>
          <w:lang w:val="es-ES"/>
        </w:rPr>
        <w:t xml:space="preserve"> </w:t>
      </w:r>
      <w:r w:rsidRPr="002C6F1A">
        <w:rPr>
          <w:rFonts w:ascii="Verdana" w:eastAsia="Arial MT" w:hAnsi="Verdana" w:cs="Arial"/>
          <w:spacing w:val="-1"/>
          <w:sz w:val="20"/>
          <w:szCs w:val="20"/>
          <w:lang w:val="es-ES"/>
        </w:rPr>
        <w:t>26</w:t>
      </w:r>
      <w:r w:rsidRPr="002C6F1A">
        <w:rPr>
          <w:rFonts w:ascii="Verdana" w:eastAsia="Arial MT" w:hAnsi="Verdana" w:cs="Arial"/>
          <w:spacing w:val="-14"/>
          <w:sz w:val="20"/>
          <w:szCs w:val="20"/>
          <w:lang w:val="es-ES"/>
        </w:rPr>
        <w:t xml:space="preserve"> </w:t>
      </w:r>
      <w:r w:rsidRPr="002C6F1A">
        <w:rPr>
          <w:rFonts w:ascii="Verdana" w:eastAsia="Arial MT" w:hAnsi="Verdana" w:cs="Arial"/>
          <w:spacing w:val="-1"/>
          <w:sz w:val="20"/>
          <w:szCs w:val="20"/>
          <w:lang w:val="es-ES"/>
        </w:rPr>
        <w:t>de</w:t>
      </w:r>
      <w:r w:rsidRPr="002C6F1A">
        <w:rPr>
          <w:rFonts w:ascii="Verdana" w:eastAsia="Arial MT" w:hAnsi="Verdana" w:cs="Arial"/>
          <w:spacing w:val="-14"/>
          <w:sz w:val="20"/>
          <w:szCs w:val="20"/>
          <w:lang w:val="es-ES"/>
        </w:rPr>
        <w:t xml:space="preserve"> </w:t>
      </w:r>
      <w:r w:rsidRPr="002C6F1A">
        <w:rPr>
          <w:rFonts w:ascii="Verdana" w:eastAsia="Arial MT" w:hAnsi="Verdana" w:cs="Arial"/>
          <w:spacing w:val="-1"/>
          <w:sz w:val="20"/>
          <w:szCs w:val="20"/>
          <w:lang w:val="es-ES"/>
        </w:rPr>
        <w:t>la</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Ley</w:t>
      </w:r>
      <w:r w:rsidRPr="002C6F1A">
        <w:rPr>
          <w:rFonts w:ascii="Verdana" w:eastAsia="Arial MT" w:hAnsi="Verdana" w:cs="Arial"/>
          <w:spacing w:val="-16"/>
          <w:sz w:val="20"/>
          <w:szCs w:val="20"/>
          <w:lang w:val="es-ES"/>
        </w:rPr>
        <w:t xml:space="preserve"> </w:t>
      </w:r>
      <w:r w:rsidRPr="002C6F1A">
        <w:rPr>
          <w:rFonts w:ascii="Verdana" w:eastAsia="Arial MT" w:hAnsi="Verdana" w:cs="Arial"/>
          <w:sz w:val="20"/>
          <w:szCs w:val="20"/>
          <w:lang w:val="es-ES"/>
        </w:rPr>
        <w:t>80</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1993</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consagran</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normas</w:t>
      </w:r>
      <w:r w:rsidRPr="002C6F1A">
        <w:rPr>
          <w:rFonts w:ascii="Verdana" w:eastAsia="Arial MT" w:hAnsi="Verdana" w:cs="Arial"/>
          <w:spacing w:val="-16"/>
          <w:sz w:val="20"/>
          <w:szCs w:val="20"/>
          <w:lang w:val="es-ES"/>
        </w:rPr>
        <w:t xml:space="preserve"> </w:t>
      </w:r>
      <w:r w:rsidRPr="002C6F1A">
        <w:rPr>
          <w:rFonts w:ascii="Verdana" w:eastAsia="Arial MT" w:hAnsi="Verdana" w:cs="Arial"/>
          <w:sz w:val="20"/>
          <w:szCs w:val="20"/>
          <w:lang w:val="es-ES"/>
        </w:rPr>
        <w:t>relacionadas</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con</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el</w:t>
      </w:r>
      <w:r w:rsidRPr="002C6F1A">
        <w:rPr>
          <w:rFonts w:ascii="Verdana" w:eastAsia="Arial MT" w:hAnsi="Verdana" w:cs="Arial"/>
          <w:spacing w:val="-15"/>
          <w:sz w:val="20"/>
          <w:szCs w:val="20"/>
          <w:lang w:val="es-ES"/>
        </w:rPr>
        <w:t xml:space="preserve"> </w:t>
      </w:r>
      <w:r w:rsidRPr="002C6F1A">
        <w:rPr>
          <w:rFonts w:ascii="Verdana" w:eastAsia="Arial MT" w:hAnsi="Verdana" w:cs="Arial"/>
          <w:sz w:val="20"/>
          <w:szCs w:val="20"/>
          <w:lang w:val="es-ES"/>
        </w:rPr>
        <w:t>control</w:t>
      </w:r>
      <w:r w:rsidRPr="002C6F1A">
        <w:rPr>
          <w:rFonts w:ascii="Verdana" w:eastAsia="Arial MT" w:hAnsi="Verdana" w:cs="Arial"/>
          <w:spacing w:val="-15"/>
          <w:sz w:val="20"/>
          <w:szCs w:val="20"/>
          <w:lang w:val="es-ES"/>
        </w:rPr>
        <w:t xml:space="preserve"> </w:t>
      </w:r>
      <w:r w:rsidRPr="002C6F1A">
        <w:rPr>
          <w:rFonts w:ascii="Verdana" w:eastAsia="Arial MT" w:hAnsi="Verdana" w:cs="Arial"/>
          <w:sz w:val="20"/>
          <w:szCs w:val="20"/>
          <w:lang w:val="es-ES"/>
        </w:rPr>
        <w:t>y</w:t>
      </w:r>
      <w:r w:rsidRPr="002C6F1A">
        <w:rPr>
          <w:rFonts w:ascii="Verdana" w:eastAsia="Arial MT" w:hAnsi="Verdana" w:cs="Arial"/>
          <w:spacing w:val="-16"/>
          <w:sz w:val="20"/>
          <w:szCs w:val="20"/>
          <w:lang w:val="es-ES"/>
        </w:rPr>
        <w:t xml:space="preserve"> </w:t>
      </w:r>
      <w:r w:rsidRPr="002C6F1A">
        <w:rPr>
          <w:rFonts w:ascii="Verdana" w:eastAsia="Arial MT" w:hAnsi="Verdana" w:cs="Arial"/>
          <w:sz w:val="20"/>
          <w:szCs w:val="20"/>
          <w:lang w:val="es-ES"/>
        </w:rPr>
        <w:t>vigilancia</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la</w:t>
      </w:r>
      <w:r w:rsidRPr="002C6F1A">
        <w:rPr>
          <w:rFonts w:ascii="Verdana" w:eastAsia="Arial MT" w:hAnsi="Verdana" w:cs="Arial"/>
          <w:spacing w:val="-13"/>
          <w:sz w:val="20"/>
          <w:szCs w:val="20"/>
          <w:lang w:val="es-ES"/>
        </w:rPr>
        <w:t xml:space="preserve"> </w:t>
      </w:r>
      <w:r w:rsidRPr="002C6F1A">
        <w:rPr>
          <w:rFonts w:ascii="Verdana" w:eastAsia="Arial MT" w:hAnsi="Verdana" w:cs="Arial"/>
          <w:sz w:val="20"/>
          <w:szCs w:val="20"/>
          <w:lang w:val="es-ES"/>
        </w:rPr>
        <w:t>ejecución</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los</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contratos</w:t>
      </w:r>
      <w:r w:rsidRPr="002C6F1A">
        <w:rPr>
          <w:rFonts w:ascii="Verdana" w:eastAsia="Arial MT" w:hAnsi="Verdana" w:cs="Arial"/>
          <w:spacing w:val="-11"/>
          <w:sz w:val="20"/>
          <w:szCs w:val="20"/>
          <w:lang w:val="es-ES"/>
        </w:rPr>
        <w:t xml:space="preserve"> </w:t>
      </w:r>
      <w:r w:rsidRPr="002C6F1A">
        <w:rPr>
          <w:rFonts w:ascii="Verdana" w:eastAsia="Arial MT" w:hAnsi="Verdana" w:cs="Arial"/>
          <w:sz w:val="20"/>
          <w:szCs w:val="20"/>
          <w:lang w:val="es-ES"/>
        </w:rPr>
        <w:t>estatales.</w:t>
      </w:r>
      <w:r w:rsidRPr="002C6F1A">
        <w:rPr>
          <w:rFonts w:ascii="Verdana" w:eastAsia="Arial MT" w:hAnsi="Verdana" w:cs="Arial"/>
          <w:spacing w:val="-5"/>
          <w:sz w:val="20"/>
          <w:szCs w:val="20"/>
          <w:lang w:val="es-ES"/>
        </w:rPr>
        <w:t xml:space="preserve"> </w:t>
      </w:r>
      <w:r w:rsidRPr="002C6F1A">
        <w:rPr>
          <w:rFonts w:ascii="Verdana" w:eastAsia="Arial MT" w:hAnsi="Verdana" w:cs="Arial"/>
          <w:sz w:val="20"/>
          <w:szCs w:val="20"/>
          <w:lang w:val="es-ES"/>
        </w:rPr>
        <w:t>Estas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disposiciones</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establecen,</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entre</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otros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aspectos,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la</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obligación</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las entidades estatales de velar por el correcto y oportuno cumplimiento de las prestaciones del</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contrato, las especificaciones de los bienes, obras y servicios objeto de este, y las condiciones</w:t>
      </w:r>
      <w:r w:rsidRPr="002C6F1A">
        <w:rPr>
          <w:rFonts w:ascii="Verdana" w:eastAsia="Arial MT" w:hAnsi="Verdana" w:cs="Arial"/>
          <w:spacing w:val="1"/>
          <w:sz w:val="20"/>
          <w:szCs w:val="20"/>
          <w:lang w:val="es-ES"/>
        </w:rPr>
        <w:t xml:space="preserve"> </w:t>
      </w:r>
      <w:r w:rsidRPr="002C6F1A">
        <w:rPr>
          <w:rFonts w:ascii="Verdana" w:eastAsia="Arial MT" w:hAnsi="Verdana" w:cs="Arial"/>
          <w:spacing w:val="-1"/>
          <w:sz w:val="20"/>
          <w:szCs w:val="20"/>
          <w:lang w:val="es-ES"/>
        </w:rPr>
        <w:t>de</w:t>
      </w:r>
      <w:r w:rsidRPr="002C6F1A">
        <w:rPr>
          <w:rFonts w:ascii="Verdana" w:eastAsia="Arial MT" w:hAnsi="Verdana" w:cs="Arial"/>
          <w:spacing w:val="-11"/>
          <w:sz w:val="20"/>
          <w:szCs w:val="20"/>
          <w:lang w:val="es-ES"/>
        </w:rPr>
        <w:t xml:space="preserve"> </w:t>
      </w:r>
      <w:r w:rsidRPr="002C6F1A">
        <w:rPr>
          <w:rFonts w:ascii="Verdana" w:eastAsia="Arial MT" w:hAnsi="Verdana" w:cs="Arial"/>
          <w:spacing w:val="-1"/>
          <w:sz w:val="20"/>
          <w:szCs w:val="20"/>
          <w:lang w:val="es-ES"/>
        </w:rPr>
        <w:t>calidad</w:t>
      </w:r>
      <w:r w:rsidRPr="002C6F1A">
        <w:rPr>
          <w:rFonts w:ascii="Verdana" w:eastAsia="Arial MT" w:hAnsi="Verdana" w:cs="Arial"/>
          <w:spacing w:val="-10"/>
          <w:sz w:val="20"/>
          <w:szCs w:val="20"/>
          <w:lang w:val="es-ES"/>
        </w:rPr>
        <w:t xml:space="preserve"> </w:t>
      </w:r>
      <w:r w:rsidRPr="002C6F1A">
        <w:rPr>
          <w:rFonts w:ascii="Verdana" w:eastAsia="Arial MT" w:hAnsi="Verdana" w:cs="Arial"/>
          <w:spacing w:val="-1"/>
          <w:sz w:val="20"/>
          <w:szCs w:val="20"/>
          <w:lang w:val="es-ES"/>
        </w:rPr>
        <w:t>ofrecidas,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entre</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otras.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Esta</w:t>
      </w:r>
      <w:r w:rsidRPr="002C6F1A">
        <w:rPr>
          <w:rFonts w:ascii="Verdana" w:eastAsia="Arial MT" w:hAnsi="Verdana" w:cs="Arial"/>
          <w:spacing w:val="-13"/>
          <w:sz w:val="20"/>
          <w:szCs w:val="20"/>
          <w:lang w:val="es-ES"/>
        </w:rPr>
        <w:t xml:space="preserve"> </w:t>
      </w:r>
      <w:r w:rsidRPr="002C6F1A">
        <w:rPr>
          <w:rFonts w:ascii="Verdana" w:eastAsia="Arial MT" w:hAnsi="Verdana" w:cs="Arial"/>
          <w:sz w:val="20"/>
          <w:szCs w:val="20"/>
          <w:lang w:val="es-ES"/>
        </w:rPr>
        <w:t>obligación</w:t>
      </w:r>
      <w:r w:rsidRPr="002C6F1A">
        <w:rPr>
          <w:rFonts w:ascii="Verdana" w:eastAsia="Arial MT" w:hAnsi="Verdana" w:cs="Arial"/>
          <w:spacing w:val="-13"/>
          <w:sz w:val="20"/>
          <w:szCs w:val="20"/>
          <w:lang w:val="es-ES"/>
        </w:rPr>
        <w:t xml:space="preserve"> </w:t>
      </w:r>
      <w:r w:rsidRPr="002C6F1A">
        <w:rPr>
          <w:rFonts w:ascii="Verdana" w:eastAsia="Arial MT" w:hAnsi="Verdana" w:cs="Arial"/>
          <w:sz w:val="20"/>
          <w:szCs w:val="20"/>
          <w:lang w:val="es-ES"/>
        </w:rPr>
        <w:t>se</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predica,</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en</w:t>
      </w:r>
      <w:r w:rsidRPr="002C6F1A">
        <w:rPr>
          <w:rFonts w:ascii="Verdana" w:eastAsia="Arial MT" w:hAnsi="Verdana" w:cs="Arial"/>
          <w:spacing w:val="-12"/>
          <w:sz w:val="20"/>
          <w:szCs w:val="20"/>
          <w:lang w:val="es-ES"/>
        </w:rPr>
        <w:t xml:space="preserve"> </w:t>
      </w:r>
      <w:r w:rsidRPr="002C6F1A">
        <w:rPr>
          <w:rFonts w:ascii="Verdana" w:eastAsia="Arial MT" w:hAnsi="Verdana" w:cs="Arial"/>
          <w:sz w:val="20"/>
          <w:szCs w:val="20"/>
          <w:lang w:val="es-ES"/>
        </w:rPr>
        <w:t>principio,</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del</w:t>
      </w:r>
      <w:r w:rsidRPr="002C6F1A">
        <w:rPr>
          <w:rFonts w:ascii="Verdana" w:eastAsia="Arial MT" w:hAnsi="Verdana" w:cs="Arial"/>
          <w:spacing w:val="-11"/>
          <w:sz w:val="20"/>
          <w:szCs w:val="20"/>
          <w:lang w:val="es-ES"/>
        </w:rPr>
        <w:t xml:space="preserve"> </w:t>
      </w:r>
      <w:r w:rsidRPr="002C6F1A">
        <w:rPr>
          <w:rFonts w:ascii="Verdana" w:eastAsia="Arial MT" w:hAnsi="Verdana" w:cs="Arial"/>
          <w:sz w:val="20"/>
          <w:szCs w:val="20"/>
          <w:lang w:val="es-ES"/>
        </w:rPr>
        <w:t>jefe</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o</w:t>
      </w:r>
      <w:r w:rsidRPr="002C6F1A">
        <w:rPr>
          <w:rFonts w:ascii="Verdana" w:eastAsia="Arial MT" w:hAnsi="Verdana" w:cs="Arial"/>
          <w:spacing w:val="-15"/>
          <w:sz w:val="20"/>
          <w:szCs w:val="20"/>
          <w:lang w:val="es-ES"/>
        </w:rPr>
        <w:t xml:space="preserve"> </w:t>
      </w:r>
      <w:r w:rsidRPr="002C6F1A">
        <w:rPr>
          <w:rFonts w:ascii="Verdana" w:eastAsia="Arial MT" w:hAnsi="Verdana" w:cs="Arial"/>
          <w:sz w:val="20"/>
          <w:szCs w:val="20"/>
          <w:lang w:val="es-ES"/>
        </w:rPr>
        <w:t>representante</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legal de la entidad, por tener la responsabilidad de la dirección y manejo de la actividad</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contractual, pero también de los servidores públicos que intervienen en ella. En ese sentido, las</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entidades estatales deben ejercer el control de la ejecución del contrato y, de ser el caso, tomar</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medidas para exigir</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el</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adecuado cumplimiento.</w:t>
      </w:r>
    </w:p>
    <w:p w14:paraId="709E668E" w14:textId="77777777" w:rsidR="009E4A97" w:rsidRPr="002C6F1A" w:rsidRDefault="009E4A97" w:rsidP="009E4A97">
      <w:pPr>
        <w:widowControl w:val="0"/>
        <w:autoSpaceDE w:val="0"/>
        <w:autoSpaceDN w:val="0"/>
        <w:spacing w:after="0" w:line="240" w:lineRule="auto"/>
        <w:rPr>
          <w:rFonts w:ascii="Verdana" w:eastAsia="Arial MT" w:hAnsi="Verdana" w:cs="Arial MT"/>
          <w:sz w:val="20"/>
          <w:szCs w:val="20"/>
          <w:lang w:val="es-ES"/>
        </w:rPr>
      </w:pPr>
    </w:p>
    <w:p w14:paraId="07D14CBA" w14:textId="77777777" w:rsidR="009E4A97" w:rsidRPr="002C6F1A" w:rsidRDefault="009E4A97" w:rsidP="009E4A97">
      <w:pPr>
        <w:widowControl w:val="0"/>
        <w:autoSpaceDE w:val="0"/>
        <w:autoSpaceDN w:val="0"/>
        <w:spacing w:after="0" w:line="240" w:lineRule="auto"/>
        <w:jc w:val="both"/>
        <w:outlineLvl w:val="0"/>
        <w:rPr>
          <w:rFonts w:ascii="Verdana" w:eastAsia="Arial" w:hAnsi="Verdana" w:cs="Arial"/>
          <w:b/>
          <w:bCs/>
          <w:lang w:val="es-ES"/>
        </w:rPr>
      </w:pPr>
      <w:r w:rsidRPr="002C6F1A">
        <w:rPr>
          <w:rFonts w:ascii="Verdana" w:eastAsia="Arial" w:hAnsi="Verdana" w:cs="Arial"/>
          <w:b/>
          <w:bCs/>
          <w:lang w:val="es-ES"/>
        </w:rPr>
        <w:t>CONTRATO ESTATAL</w:t>
      </w:r>
      <w:r w:rsidRPr="002C6F1A">
        <w:rPr>
          <w:rFonts w:ascii="Verdana" w:eastAsia="Arial" w:hAnsi="Verdana" w:cs="Arial"/>
          <w:b/>
          <w:bCs/>
          <w:spacing w:val="3"/>
          <w:lang w:val="es-ES"/>
        </w:rPr>
        <w:t xml:space="preserve"> </w:t>
      </w:r>
      <w:r w:rsidRPr="002C6F1A">
        <w:rPr>
          <w:rFonts w:ascii="Verdana" w:eastAsia="Arial" w:hAnsi="Verdana" w:cs="Arial"/>
          <w:b/>
          <w:bCs/>
          <w:lang w:val="es-ES"/>
        </w:rPr>
        <w:t>–</w:t>
      </w:r>
      <w:r w:rsidRPr="002C6F1A">
        <w:rPr>
          <w:rFonts w:ascii="Verdana" w:eastAsia="Arial" w:hAnsi="Verdana" w:cs="Arial"/>
          <w:b/>
          <w:bCs/>
          <w:spacing w:val="-2"/>
          <w:lang w:val="es-ES"/>
        </w:rPr>
        <w:t xml:space="preserve"> </w:t>
      </w:r>
      <w:r w:rsidRPr="002C6F1A">
        <w:rPr>
          <w:rFonts w:ascii="Verdana" w:eastAsia="Arial" w:hAnsi="Verdana" w:cs="Arial"/>
          <w:b/>
          <w:bCs/>
          <w:lang w:val="es-ES"/>
        </w:rPr>
        <w:t>Funciones</w:t>
      </w:r>
      <w:r w:rsidRPr="002C6F1A">
        <w:rPr>
          <w:rFonts w:ascii="Verdana" w:eastAsia="Arial" w:hAnsi="Verdana" w:cs="Arial"/>
          <w:b/>
          <w:bCs/>
          <w:spacing w:val="-4"/>
          <w:lang w:val="es-ES"/>
        </w:rPr>
        <w:t xml:space="preserve"> </w:t>
      </w:r>
      <w:r w:rsidRPr="002C6F1A">
        <w:rPr>
          <w:rFonts w:ascii="Verdana" w:eastAsia="Arial" w:hAnsi="Verdana" w:cs="Arial"/>
          <w:b/>
          <w:bCs/>
          <w:lang w:val="es-ES"/>
        </w:rPr>
        <w:t>de</w:t>
      </w:r>
      <w:r w:rsidRPr="002C6F1A">
        <w:rPr>
          <w:rFonts w:ascii="Verdana" w:eastAsia="Arial" w:hAnsi="Verdana" w:cs="Arial"/>
          <w:b/>
          <w:bCs/>
          <w:spacing w:val="-2"/>
          <w:lang w:val="es-ES"/>
        </w:rPr>
        <w:t xml:space="preserve"> </w:t>
      </w:r>
      <w:r w:rsidRPr="002C6F1A">
        <w:rPr>
          <w:rFonts w:ascii="Verdana" w:eastAsia="Arial" w:hAnsi="Verdana" w:cs="Arial"/>
          <w:b/>
          <w:bCs/>
          <w:lang w:val="es-ES"/>
        </w:rPr>
        <w:t>control</w:t>
      </w:r>
      <w:r w:rsidRPr="002C6F1A">
        <w:rPr>
          <w:rFonts w:ascii="Verdana" w:eastAsia="Arial" w:hAnsi="Verdana" w:cs="Arial"/>
          <w:b/>
          <w:bCs/>
          <w:spacing w:val="-3"/>
          <w:lang w:val="es-ES"/>
        </w:rPr>
        <w:t xml:space="preserve"> </w:t>
      </w:r>
      <w:r w:rsidRPr="002C6F1A">
        <w:rPr>
          <w:rFonts w:ascii="Verdana" w:eastAsia="Arial" w:hAnsi="Verdana" w:cs="Arial"/>
          <w:b/>
          <w:bCs/>
          <w:lang w:val="es-ES"/>
        </w:rPr>
        <w:t>y</w:t>
      </w:r>
      <w:r w:rsidRPr="002C6F1A">
        <w:rPr>
          <w:rFonts w:ascii="Verdana" w:eastAsia="Arial" w:hAnsi="Verdana" w:cs="Arial"/>
          <w:b/>
          <w:bCs/>
          <w:spacing w:val="-3"/>
          <w:lang w:val="es-ES"/>
        </w:rPr>
        <w:t xml:space="preserve"> </w:t>
      </w:r>
      <w:r w:rsidRPr="002C6F1A">
        <w:rPr>
          <w:rFonts w:ascii="Verdana" w:eastAsia="Arial" w:hAnsi="Verdana" w:cs="Arial"/>
          <w:b/>
          <w:bCs/>
          <w:lang w:val="es-ES"/>
        </w:rPr>
        <w:t>vigilancia</w:t>
      </w:r>
    </w:p>
    <w:p w14:paraId="037927B5" w14:textId="77777777" w:rsidR="009E4A97" w:rsidRPr="002C6F1A" w:rsidRDefault="009E4A97" w:rsidP="009E4A97">
      <w:pPr>
        <w:widowControl w:val="0"/>
        <w:autoSpaceDE w:val="0"/>
        <w:autoSpaceDN w:val="0"/>
        <w:spacing w:after="0" w:line="240" w:lineRule="auto"/>
        <w:rPr>
          <w:rFonts w:ascii="Verdana" w:eastAsia="Arial MT" w:hAnsi="Verdana" w:cs="Arial MT"/>
          <w:b/>
          <w:sz w:val="20"/>
          <w:szCs w:val="20"/>
          <w:lang w:val="es-ES"/>
        </w:rPr>
      </w:pPr>
    </w:p>
    <w:p w14:paraId="59F4FDB4" w14:textId="77777777" w:rsidR="009E4A97" w:rsidRPr="002C6F1A" w:rsidRDefault="009E4A97" w:rsidP="009E4A97">
      <w:pPr>
        <w:widowControl w:val="0"/>
        <w:autoSpaceDE w:val="0"/>
        <w:autoSpaceDN w:val="0"/>
        <w:spacing w:after="0" w:line="240" w:lineRule="auto"/>
        <w:ind w:right="113"/>
        <w:jc w:val="both"/>
        <w:rPr>
          <w:rFonts w:ascii="Verdana" w:eastAsia="Arial MT" w:hAnsi="Verdana" w:cs="Arial"/>
          <w:sz w:val="20"/>
          <w:szCs w:val="20"/>
          <w:lang w:val="es-ES"/>
        </w:rPr>
      </w:pPr>
      <w:r w:rsidRPr="002C6F1A">
        <w:rPr>
          <w:rFonts w:ascii="Verdana" w:eastAsia="Arial MT" w:hAnsi="Verdana" w:cs="Arial"/>
          <w:sz w:val="20"/>
          <w:szCs w:val="20"/>
          <w:lang w:val="es-ES"/>
        </w:rPr>
        <w:t>El seguimiento de la ejecución del contrato para la dirección, control y vigilancia de su</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correcto cumplimiento es un deber legal que permite a las entidades estatales tomar medidas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orientadas a la satisfacción de los fines de la contratación. Por esto, el EGCAP alude a la</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obligación mencionada, que guarda relación con el principio de responsabilidad que rige la</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celebración y ejecución de los contratos estatales. Así, por ejemplo, los artículos 4, 5, 12, 14 y</w:t>
      </w:r>
      <w:r w:rsidRPr="002C6F1A">
        <w:rPr>
          <w:rFonts w:ascii="Verdana" w:eastAsia="Arial MT" w:hAnsi="Verdana" w:cs="Arial"/>
          <w:spacing w:val="1"/>
          <w:sz w:val="20"/>
          <w:szCs w:val="20"/>
          <w:lang w:val="es-ES"/>
        </w:rPr>
        <w:t xml:space="preserve"> </w:t>
      </w:r>
      <w:r w:rsidRPr="002C6F1A">
        <w:rPr>
          <w:rFonts w:ascii="Verdana" w:eastAsia="Arial MT" w:hAnsi="Verdana" w:cs="Arial"/>
          <w:spacing w:val="-1"/>
          <w:sz w:val="20"/>
          <w:szCs w:val="20"/>
          <w:lang w:val="es-ES"/>
        </w:rPr>
        <w:t>26</w:t>
      </w:r>
      <w:r w:rsidRPr="002C6F1A">
        <w:rPr>
          <w:rFonts w:ascii="Verdana" w:eastAsia="Arial MT" w:hAnsi="Verdana" w:cs="Arial"/>
          <w:spacing w:val="-14"/>
          <w:sz w:val="20"/>
          <w:szCs w:val="20"/>
          <w:lang w:val="es-ES"/>
        </w:rPr>
        <w:t xml:space="preserve"> </w:t>
      </w:r>
      <w:r w:rsidRPr="002C6F1A">
        <w:rPr>
          <w:rFonts w:ascii="Verdana" w:eastAsia="Arial MT" w:hAnsi="Verdana" w:cs="Arial"/>
          <w:spacing w:val="-1"/>
          <w:sz w:val="20"/>
          <w:szCs w:val="20"/>
          <w:lang w:val="es-ES"/>
        </w:rPr>
        <w:t>de</w:t>
      </w:r>
      <w:r w:rsidRPr="002C6F1A">
        <w:rPr>
          <w:rFonts w:ascii="Verdana" w:eastAsia="Arial MT" w:hAnsi="Verdana" w:cs="Arial"/>
          <w:spacing w:val="-14"/>
          <w:sz w:val="20"/>
          <w:szCs w:val="20"/>
          <w:lang w:val="es-ES"/>
        </w:rPr>
        <w:t xml:space="preserve"> </w:t>
      </w:r>
      <w:r w:rsidRPr="002C6F1A">
        <w:rPr>
          <w:rFonts w:ascii="Verdana" w:eastAsia="Arial MT" w:hAnsi="Verdana" w:cs="Arial"/>
          <w:spacing w:val="-1"/>
          <w:sz w:val="20"/>
          <w:szCs w:val="20"/>
          <w:lang w:val="es-ES"/>
        </w:rPr>
        <w:t>la</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Ley</w:t>
      </w:r>
      <w:r w:rsidRPr="002C6F1A">
        <w:rPr>
          <w:rFonts w:ascii="Verdana" w:eastAsia="Arial MT" w:hAnsi="Verdana" w:cs="Arial"/>
          <w:spacing w:val="-16"/>
          <w:sz w:val="20"/>
          <w:szCs w:val="20"/>
          <w:lang w:val="es-ES"/>
        </w:rPr>
        <w:t xml:space="preserve"> </w:t>
      </w:r>
      <w:r w:rsidRPr="002C6F1A">
        <w:rPr>
          <w:rFonts w:ascii="Verdana" w:eastAsia="Arial MT" w:hAnsi="Verdana" w:cs="Arial"/>
          <w:sz w:val="20"/>
          <w:szCs w:val="20"/>
          <w:lang w:val="es-ES"/>
        </w:rPr>
        <w:t>80</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1993</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consagran</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normas</w:t>
      </w:r>
      <w:r w:rsidRPr="002C6F1A">
        <w:rPr>
          <w:rFonts w:ascii="Verdana" w:eastAsia="Arial MT" w:hAnsi="Verdana" w:cs="Arial"/>
          <w:spacing w:val="-16"/>
          <w:sz w:val="20"/>
          <w:szCs w:val="20"/>
          <w:lang w:val="es-ES"/>
        </w:rPr>
        <w:t xml:space="preserve"> </w:t>
      </w:r>
      <w:r w:rsidRPr="002C6F1A">
        <w:rPr>
          <w:rFonts w:ascii="Verdana" w:eastAsia="Arial MT" w:hAnsi="Verdana" w:cs="Arial"/>
          <w:sz w:val="20"/>
          <w:szCs w:val="20"/>
          <w:lang w:val="es-ES"/>
        </w:rPr>
        <w:t>relacionadas</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con</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el</w:t>
      </w:r>
      <w:r w:rsidRPr="002C6F1A">
        <w:rPr>
          <w:rFonts w:ascii="Verdana" w:eastAsia="Arial MT" w:hAnsi="Verdana" w:cs="Arial"/>
          <w:spacing w:val="-15"/>
          <w:sz w:val="20"/>
          <w:szCs w:val="20"/>
          <w:lang w:val="es-ES"/>
        </w:rPr>
        <w:t xml:space="preserve"> </w:t>
      </w:r>
      <w:r w:rsidRPr="002C6F1A">
        <w:rPr>
          <w:rFonts w:ascii="Verdana" w:eastAsia="Arial MT" w:hAnsi="Verdana" w:cs="Arial"/>
          <w:sz w:val="20"/>
          <w:szCs w:val="20"/>
          <w:lang w:val="es-ES"/>
        </w:rPr>
        <w:t>control</w:t>
      </w:r>
      <w:r w:rsidRPr="002C6F1A">
        <w:rPr>
          <w:rFonts w:ascii="Verdana" w:eastAsia="Arial MT" w:hAnsi="Verdana" w:cs="Arial"/>
          <w:spacing w:val="-15"/>
          <w:sz w:val="20"/>
          <w:szCs w:val="20"/>
          <w:lang w:val="es-ES"/>
        </w:rPr>
        <w:t xml:space="preserve"> </w:t>
      </w:r>
      <w:r w:rsidRPr="002C6F1A">
        <w:rPr>
          <w:rFonts w:ascii="Verdana" w:eastAsia="Arial MT" w:hAnsi="Verdana" w:cs="Arial"/>
          <w:sz w:val="20"/>
          <w:szCs w:val="20"/>
          <w:lang w:val="es-ES"/>
        </w:rPr>
        <w:t>y</w:t>
      </w:r>
      <w:r w:rsidRPr="002C6F1A">
        <w:rPr>
          <w:rFonts w:ascii="Verdana" w:eastAsia="Arial MT" w:hAnsi="Verdana" w:cs="Arial"/>
          <w:spacing w:val="-16"/>
          <w:sz w:val="20"/>
          <w:szCs w:val="20"/>
          <w:lang w:val="es-ES"/>
        </w:rPr>
        <w:t xml:space="preserve"> </w:t>
      </w:r>
      <w:r w:rsidRPr="002C6F1A">
        <w:rPr>
          <w:rFonts w:ascii="Verdana" w:eastAsia="Arial MT" w:hAnsi="Verdana" w:cs="Arial"/>
          <w:sz w:val="20"/>
          <w:szCs w:val="20"/>
          <w:lang w:val="es-ES"/>
        </w:rPr>
        <w:t>vigilancia</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la</w:t>
      </w:r>
      <w:r w:rsidRPr="002C6F1A">
        <w:rPr>
          <w:rFonts w:ascii="Verdana" w:eastAsia="Arial MT" w:hAnsi="Verdana" w:cs="Arial"/>
          <w:spacing w:val="-13"/>
          <w:sz w:val="20"/>
          <w:szCs w:val="20"/>
          <w:lang w:val="es-ES"/>
        </w:rPr>
        <w:t xml:space="preserve"> </w:t>
      </w:r>
      <w:r w:rsidRPr="002C6F1A">
        <w:rPr>
          <w:rFonts w:ascii="Verdana" w:eastAsia="Arial MT" w:hAnsi="Verdana" w:cs="Arial"/>
          <w:sz w:val="20"/>
          <w:szCs w:val="20"/>
          <w:lang w:val="es-ES"/>
        </w:rPr>
        <w:t>ejecución</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los</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contratos</w:t>
      </w:r>
      <w:r w:rsidRPr="002C6F1A">
        <w:rPr>
          <w:rFonts w:ascii="Verdana" w:eastAsia="Arial MT" w:hAnsi="Verdana" w:cs="Arial"/>
          <w:spacing w:val="-11"/>
          <w:sz w:val="20"/>
          <w:szCs w:val="20"/>
          <w:lang w:val="es-ES"/>
        </w:rPr>
        <w:t xml:space="preserve"> </w:t>
      </w:r>
      <w:r w:rsidRPr="002C6F1A">
        <w:rPr>
          <w:rFonts w:ascii="Verdana" w:eastAsia="Arial MT" w:hAnsi="Verdana" w:cs="Arial"/>
          <w:sz w:val="20"/>
          <w:szCs w:val="20"/>
          <w:lang w:val="es-ES"/>
        </w:rPr>
        <w:t>estatales.</w:t>
      </w:r>
      <w:r w:rsidRPr="002C6F1A">
        <w:rPr>
          <w:rFonts w:ascii="Verdana" w:eastAsia="Arial MT" w:hAnsi="Verdana" w:cs="Arial"/>
          <w:spacing w:val="-5"/>
          <w:sz w:val="20"/>
          <w:szCs w:val="20"/>
          <w:lang w:val="es-ES"/>
        </w:rPr>
        <w:t xml:space="preserve"> </w:t>
      </w:r>
      <w:r w:rsidRPr="002C6F1A">
        <w:rPr>
          <w:rFonts w:ascii="Verdana" w:eastAsia="Arial MT" w:hAnsi="Verdana" w:cs="Arial"/>
          <w:sz w:val="20"/>
          <w:szCs w:val="20"/>
          <w:lang w:val="es-ES"/>
        </w:rPr>
        <w:t>Estas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disposiciones</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establecen,</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entre</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otros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aspectos,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la</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obligación</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las entidades estatales de velar por el correcto y oportuno cumplimiento de las prestaciones del</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contrato, las especificaciones de los bienes, obras y servicios objeto de este, y las condiciones</w:t>
      </w:r>
      <w:r w:rsidRPr="002C6F1A">
        <w:rPr>
          <w:rFonts w:ascii="Verdana" w:eastAsia="Arial MT" w:hAnsi="Verdana" w:cs="Arial"/>
          <w:spacing w:val="1"/>
          <w:sz w:val="20"/>
          <w:szCs w:val="20"/>
          <w:lang w:val="es-ES"/>
        </w:rPr>
        <w:t xml:space="preserve"> </w:t>
      </w:r>
      <w:r w:rsidRPr="002C6F1A">
        <w:rPr>
          <w:rFonts w:ascii="Verdana" w:eastAsia="Arial MT" w:hAnsi="Verdana" w:cs="Arial"/>
          <w:spacing w:val="-1"/>
          <w:sz w:val="20"/>
          <w:szCs w:val="20"/>
          <w:lang w:val="es-ES"/>
        </w:rPr>
        <w:t>de</w:t>
      </w:r>
      <w:r w:rsidRPr="002C6F1A">
        <w:rPr>
          <w:rFonts w:ascii="Verdana" w:eastAsia="Arial MT" w:hAnsi="Verdana" w:cs="Arial"/>
          <w:spacing w:val="-11"/>
          <w:sz w:val="20"/>
          <w:szCs w:val="20"/>
          <w:lang w:val="es-ES"/>
        </w:rPr>
        <w:t xml:space="preserve"> </w:t>
      </w:r>
      <w:r w:rsidRPr="002C6F1A">
        <w:rPr>
          <w:rFonts w:ascii="Verdana" w:eastAsia="Arial MT" w:hAnsi="Verdana" w:cs="Arial"/>
          <w:spacing w:val="-1"/>
          <w:sz w:val="20"/>
          <w:szCs w:val="20"/>
          <w:lang w:val="es-ES"/>
        </w:rPr>
        <w:t>calidad</w:t>
      </w:r>
      <w:r w:rsidRPr="002C6F1A">
        <w:rPr>
          <w:rFonts w:ascii="Verdana" w:eastAsia="Arial MT" w:hAnsi="Verdana" w:cs="Arial"/>
          <w:spacing w:val="-10"/>
          <w:sz w:val="20"/>
          <w:szCs w:val="20"/>
          <w:lang w:val="es-ES"/>
        </w:rPr>
        <w:t xml:space="preserve"> </w:t>
      </w:r>
      <w:r w:rsidRPr="002C6F1A">
        <w:rPr>
          <w:rFonts w:ascii="Verdana" w:eastAsia="Arial MT" w:hAnsi="Verdana" w:cs="Arial"/>
          <w:spacing w:val="-1"/>
          <w:sz w:val="20"/>
          <w:szCs w:val="20"/>
          <w:lang w:val="es-ES"/>
        </w:rPr>
        <w:t>ofrecidas,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entre</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otras.</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Esta</w:t>
      </w:r>
      <w:r w:rsidRPr="002C6F1A">
        <w:rPr>
          <w:rFonts w:ascii="Verdana" w:eastAsia="Arial MT" w:hAnsi="Verdana" w:cs="Arial"/>
          <w:spacing w:val="-13"/>
          <w:sz w:val="20"/>
          <w:szCs w:val="20"/>
          <w:lang w:val="es-ES"/>
        </w:rPr>
        <w:t xml:space="preserve"> </w:t>
      </w:r>
      <w:r w:rsidRPr="002C6F1A">
        <w:rPr>
          <w:rFonts w:ascii="Verdana" w:eastAsia="Arial MT" w:hAnsi="Verdana" w:cs="Arial"/>
          <w:sz w:val="20"/>
          <w:szCs w:val="20"/>
          <w:lang w:val="es-ES"/>
        </w:rPr>
        <w:t>obligación</w:t>
      </w:r>
      <w:r w:rsidRPr="002C6F1A">
        <w:rPr>
          <w:rFonts w:ascii="Verdana" w:eastAsia="Arial MT" w:hAnsi="Verdana" w:cs="Arial"/>
          <w:spacing w:val="-13"/>
          <w:sz w:val="20"/>
          <w:szCs w:val="20"/>
          <w:lang w:val="es-ES"/>
        </w:rPr>
        <w:t xml:space="preserve"> </w:t>
      </w:r>
      <w:r w:rsidRPr="002C6F1A">
        <w:rPr>
          <w:rFonts w:ascii="Verdana" w:eastAsia="Arial MT" w:hAnsi="Verdana" w:cs="Arial"/>
          <w:sz w:val="20"/>
          <w:szCs w:val="20"/>
          <w:lang w:val="es-ES"/>
        </w:rPr>
        <w:t>se</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predica,</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en</w:t>
      </w:r>
      <w:r w:rsidRPr="002C6F1A">
        <w:rPr>
          <w:rFonts w:ascii="Verdana" w:eastAsia="Arial MT" w:hAnsi="Verdana" w:cs="Arial"/>
          <w:spacing w:val="-12"/>
          <w:sz w:val="20"/>
          <w:szCs w:val="20"/>
          <w:lang w:val="es-ES"/>
        </w:rPr>
        <w:t xml:space="preserve"> </w:t>
      </w:r>
      <w:r w:rsidRPr="002C6F1A">
        <w:rPr>
          <w:rFonts w:ascii="Verdana" w:eastAsia="Arial MT" w:hAnsi="Verdana" w:cs="Arial"/>
          <w:sz w:val="20"/>
          <w:szCs w:val="20"/>
          <w:lang w:val="es-ES"/>
        </w:rPr>
        <w:t>principio,</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del</w:t>
      </w:r>
      <w:r w:rsidRPr="002C6F1A">
        <w:rPr>
          <w:rFonts w:ascii="Verdana" w:eastAsia="Arial MT" w:hAnsi="Verdana" w:cs="Arial"/>
          <w:spacing w:val="-11"/>
          <w:sz w:val="20"/>
          <w:szCs w:val="20"/>
          <w:lang w:val="es-ES"/>
        </w:rPr>
        <w:t xml:space="preserve"> </w:t>
      </w:r>
      <w:r w:rsidRPr="002C6F1A">
        <w:rPr>
          <w:rFonts w:ascii="Verdana" w:eastAsia="Arial MT" w:hAnsi="Verdana" w:cs="Arial"/>
          <w:sz w:val="20"/>
          <w:szCs w:val="20"/>
          <w:lang w:val="es-ES"/>
        </w:rPr>
        <w:t>jefe</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o</w:t>
      </w:r>
      <w:r w:rsidRPr="002C6F1A">
        <w:rPr>
          <w:rFonts w:ascii="Verdana" w:eastAsia="Arial MT" w:hAnsi="Verdana" w:cs="Arial"/>
          <w:spacing w:val="-15"/>
          <w:sz w:val="20"/>
          <w:szCs w:val="20"/>
          <w:lang w:val="es-ES"/>
        </w:rPr>
        <w:t xml:space="preserve"> </w:t>
      </w:r>
      <w:r w:rsidRPr="002C6F1A">
        <w:rPr>
          <w:rFonts w:ascii="Verdana" w:eastAsia="Arial MT" w:hAnsi="Verdana" w:cs="Arial"/>
          <w:sz w:val="20"/>
          <w:szCs w:val="20"/>
          <w:lang w:val="es-ES"/>
        </w:rPr>
        <w:t>representante</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legal de la entidad, por tener la responsabilidad de la dirección y manejo de la actividad</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contractual, pero también de los servidores públicos que intervienen en ella. En ese sentido, las</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entidades estatales deben ejercer el control de la ejecución del contrato y, de ser el caso, tomar</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medidas para exigir</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el</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adecuado cumplimiento.</w:t>
      </w:r>
    </w:p>
    <w:p w14:paraId="26B5D003" w14:textId="77777777" w:rsidR="009E4A97" w:rsidRPr="002C6F1A" w:rsidRDefault="009E4A97" w:rsidP="009E4A97">
      <w:pPr>
        <w:widowControl w:val="0"/>
        <w:autoSpaceDE w:val="0"/>
        <w:autoSpaceDN w:val="0"/>
        <w:spacing w:after="0" w:line="240" w:lineRule="auto"/>
        <w:rPr>
          <w:rFonts w:ascii="Verdana" w:eastAsia="Arial MT" w:hAnsi="Verdana" w:cs="Arial MT"/>
          <w:b/>
          <w:sz w:val="20"/>
          <w:szCs w:val="20"/>
          <w:lang w:val="es-ES"/>
        </w:rPr>
      </w:pPr>
    </w:p>
    <w:p w14:paraId="27F9D2F7" w14:textId="77777777" w:rsidR="009E4A97" w:rsidRPr="002C6F1A" w:rsidRDefault="009E4A97" w:rsidP="009E4A97">
      <w:pPr>
        <w:widowControl w:val="0"/>
        <w:autoSpaceDE w:val="0"/>
        <w:autoSpaceDN w:val="0"/>
        <w:spacing w:after="0" w:line="240" w:lineRule="auto"/>
        <w:jc w:val="both"/>
        <w:outlineLvl w:val="0"/>
        <w:rPr>
          <w:rFonts w:ascii="Verdana" w:eastAsia="Arial" w:hAnsi="Verdana" w:cs="Arial"/>
          <w:b/>
          <w:bCs/>
          <w:lang w:val="es-ES"/>
        </w:rPr>
      </w:pPr>
      <w:r w:rsidRPr="002C6F1A">
        <w:rPr>
          <w:rFonts w:ascii="Verdana" w:eastAsia="Arial MT" w:hAnsi="Verdana" w:cs="Arial MT"/>
          <w:b/>
          <w:lang w:val="es-ES"/>
        </w:rPr>
        <w:t>SUPERVISIÓN</w:t>
      </w:r>
      <w:r w:rsidRPr="002C6F1A">
        <w:rPr>
          <w:rFonts w:ascii="Verdana" w:eastAsia="Arial MT" w:hAnsi="Verdana" w:cs="Arial MT"/>
          <w:b/>
          <w:spacing w:val="-5"/>
          <w:lang w:val="es-ES"/>
        </w:rPr>
        <w:t xml:space="preserve"> </w:t>
      </w:r>
      <w:r w:rsidRPr="002C6F1A">
        <w:rPr>
          <w:rFonts w:ascii="Verdana" w:eastAsia="Arial MT" w:hAnsi="Verdana" w:cs="Arial MT"/>
          <w:b/>
          <w:lang w:val="es-ES"/>
        </w:rPr>
        <w:t>–</w:t>
      </w:r>
      <w:r w:rsidRPr="002C6F1A">
        <w:rPr>
          <w:rFonts w:ascii="Verdana" w:eastAsia="Arial MT" w:hAnsi="Verdana" w:cs="Arial MT"/>
          <w:b/>
          <w:spacing w:val="-5"/>
          <w:lang w:val="es-ES"/>
        </w:rPr>
        <w:t xml:space="preserve"> </w:t>
      </w:r>
      <w:r w:rsidRPr="002C6F1A">
        <w:rPr>
          <w:rFonts w:ascii="Verdana" w:eastAsia="Arial MT" w:hAnsi="Verdana" w:cs="Arial MT"/>
          <w:b/>
          <w:lang w:val="es-ES"/>
        </w:rPr>
        <w:t>Ejercicio</w:t>
      </w:r>
      <w:r w:rsidRPr="002C6F1A">
        <w:rPr>
          <w:rFonts w:ascii="Verdana" w:eastAsia="Arial MT" w:hAnsi="Verdana" w:cs="Arial MT"/>
          <w:b/>
          <w:spacing w:val="-3"/>
          <w:lang w:val="es-ES"/>
        </w:rPr>
        <w:t xml:space="preserve"> </w:t>
      </w:r>
      <w:r w:rsidRPr="002C6F1A">
        <w:rPr>
          <w:rFonts w:ascii="Verdana" w:eastAsia="Arial MT" w:hAnsi="Verdana" w:cs="Arial MT"/>
          <w:b/>
          <w:lang w:val="es-ES"/>
        </w:rPr>
        <w:t>–</w:t>
      </w:r>
      <w:r w:rsidRPr="002C6F1A">
        <w:rPr>
          <w:rFonts w:ascii="Verdana" w:eastAsia="Arial MT" w:hAnsi="Verdana" w:cs="Arial MT"/>
          <w:b/>
          <w:spacing w:val="-5"/>
          <w:lang w:val="es-ES"/>
        </w:rPr>
        <w:t xml:space="preserve"> </w:t>
      </w:r>
      <w:r w:rsidRPr="002C6F1A">
        <w:rPr>
          <w:rFonts w:ascii="Verdana" w:eastAsia="Arial MT" w:hAnsi="Verdana" w:cs="Arial MT"/>
          <w:b/>
          <w:lang w:val="es-ES"/>
        </w:rPr>
        <w:t>Contratista</w:t>
      </w:r>
      <w:r w:rsidRPr="002C6F1A">
        <w:rPr>
          <w:rFonts w:ascii="Verdana" w:eastAsia="Arial MT" w:hAnsi="Verdana" w:cs="Arial MT"/>
          <w:b/>
          <w:spacing w:val="-4"/>
          <w:lang w:val="es-ES"/>
        </w:rPr>
        <w:t xml:space="preserve"> </w:t>
      </w:r>
      <w:r w:rsidRPr="002C6F1A">
        <w:rPr>
          <w:rFonts w:ascii="Verdana" w:eastAsia="Arial MT" w:hAnsi="Verdana" w:cs="Arial MT"/>
          <w:b/>
          <w:lang w:val="es-ES"/>
        </w:rPr>
        <w:t>–</w:t>
      </w:r>
      <w:r w:rsidRPr="002C6F1A">
        <w:rPr>
          <w:rFonts w:ascii="Verdana" w:eastAsia="Arial MT" w:hAnsi="Verdana" w:cs="Arial MT"/>
          <w:b/>
          <w:spacing w:val="-5"/>
          <w:lang w:val="es-ES"/>
        </w:rPr>
        <w:t xml:space="preserve"> </w:t>
      </w:r>
      <w:r w:rsidRPr="002C6F1A">
        <w:rPr>
          <w:rFonts w:ascii="Verdana" w:eastAsia="Arial MT" w:hAnsi="Verdana" w:cs="Arial MT"/>
          <w:b/>
          <w:lang w:val="es-ES"/>
        </w:rPr>
        <w:t>Apoyo</w:t>
      </w:r>
      <w:r w:rsidRPr="002C6F1A">
        <w:rPr>
          <w:rFonts w:ascii="Verdana" w:eastAsia="Arial MT" w:hAnsi="Verdana" w:cs="Arial MT"/>
          <w:b/>
          <w:spacing w:val="-5"/>
          <w:lang w:val="es-ES"/>
        </w:rPr>
        <w:t xml:space="preserve"> </w:t>
      </w:r>
      <w:r w:rsidRPr="002C6F1A">
        <w:rPr>
          <w:rFonts w:ascii="Verdana" w:eastAsia="Arial MT" w:hAnsi="Verdana" w:cs="Arial MT"/>
          <w:b/>
          <w:lang w:val="es-ES"/>
        </w:rPr>
        <w:t>a</w:t>
      </w:r>
      <w:r w:rsidRPr="002C6F1A">
        <w:rPr>
          <w:rFonts w:ascii="Verdana" w:eastAsia="Arial MT" w:hAnsi="Verdana" w:cs="Arial MT"/>
          <w:b/>
          <w:spacing w:val="-4"/>
          <w:lang w:val="es-ES"/>
        </w:rPr>
        <w:t xml:space="preserve"> </w:t>
      </w:r>
      <w:r w:rsidRPr="002C6F1A">
        <w:rPr>
          <w:rFonts w:ascii="Verdana" w:eastAsia="Arial MT" w:hAnsi="Verdana" w:cs="Arial MT"/>
          <w:b/>
          <w:lang w:val="es-ES"/>
        </w:rPr>
        <w:t>la</w:t>
      </w:r>
      <w:r w:rsidRPr="002C6F1A">
        <w:rPr>
          <w:rFonts w:ascii="Verdana" w:eastAsia="Arial MT" w:hAnsi="Verdana" w:cs="Arial MT"/>
          <w:b/>
          <w:spacing w:val="-59"/>
          <w:lang w:val="es-ES"/>
        </w:rPr>
        <w:t xml:space="preserve"> </w:t>
      </w:r>
      <w:r w:rsidRPr="002C6F1A">
        <w:rPr>
          <w:rFonts w:ascii="Verdana" w:eastAsia="Arial MT" w:hAnsi="Verdana" w:cs="Arial MT"/>
          <w:b/>
          <w:lang w:val="es-ES"/>
        </w:rPr>
        <w:t>supervisión</w:t>
      </w:r>
      <w:r w:rsidRPr="002C6F1A">
        <w:rPr>
          <w:rFonts w:ascii="Verdana" w:eastAsia="Arial" w:hAnsi="Verdana" w:cs="Arial"/>
          <w:b/>
          <w:bCs/>
          <w:lang w:val="es-ES"/>
        </w:rPr>
        <w:t xml:space="preserve"> </w:t>
      </w:r>
    </w:p>
    <w:p w14:paraId="361F1956" w14:textId="77777777" w:rsidR="009E4A97" w:rsidRPr="002C6F1A" w:rsidRDefault="009E4A97" w:rsidP="009E4A97">
      <w:pPr>
        <w:widowControl w:val="0"/>
        <w:autoSpaceDE w:val="0"/>
        <w:autoSpaceDN w:val="0"/>
        <w:spacing w:after="0" w:line="240" w:lineRule="auto"/>
        <w:outlineLvl w:val="0"/>
        <w:rPr>
          <w:rFonts w:ascii="Verdana" w:eastAsia="Arial" w:hAnsi="Verdana" w:cs="Arial"/>
          <w:b/>
          <w:bCs/>
          <w:sz w:val="20"/>
          <w:szCs w:val="20"/>
          <w:lang w:val="es-ES"/>
        </w:rPr>
      </w:pPr>
    </w:p>
    <w:p w14:paraId="621BB648" w14:textId="77777777" w:rsidR="009E4A97" w:rsidRPr="002C6F1A" w:rsidRDefault="009E4A97" w:rsidP="009E4A97">
      <w:pPr>
        <w:widowControl w:val="0"/>
        <w:autoSpaceDE w:val="0"/>
        <w:autoSpaceDN w:val="0"/>
        <w:spacing w:after="0" w:line="240" w:lineRule="auto"/>
        <w:ind w:right="113"/>
        <w:jc w:val="both"/>
        <w:rPr>
          <w:rFonts w:ascii="Verdana" w:eastAsia="Arial MT" w:hAnsi="Verdana" w:cs="Arial"/>
          <w:sz w:val="20"/>
          <w:szCs w:val="20"/>
          <w:lang w:val="es-ES"/>
        </w:rPr>
      </w:pPr>
      <w:r w:rsidRPr="002C6F1A">
        <w:rPr>
          <w:rFonts w:ascii="Verdana" w:eastAsia="Arial MT" w:hAnsi="Verdana" w:cs="Arial"/>
          <w:spacing w:val="-1"/>
          <w:sz w:val="20"/>
          <w:szCs w:val="20"/>
          <w:lang w:val="es-ES"/>
        </w:rPr>
        <w:t>[…] se</w:t>
      </w:r>
      <w:r w:rsidRPr="002C6F1A">
        <w:rPr>
          <w:rFonts w:ascii="Verdana" w:eastAsia="Arial MT" w:hAnsi="Verdana" w:cs="Arial"/>
          <w:spacing w:val="-19"/>
          <w:sz w:val="20"/>
          <w:szCs w:val="20"/>
          <w:lang w:val="es-ES"/>
        </w:rPr>
        <w:t xml:space="preserve"> </w:t>
      </w:r>
      <w:r w:rsidRPr="002C6F1A">
        <w:rPr>
          <w:rFonts w:ascii="Verdana" w:eastAsia="Arial MT" w:hAnsi="Verdana" w:cs="Arial"/>
          <w:spacing w:val="-1"/>
          <w:sz w:val="20"/>
          <w:szCs w:val="20"/>
          <w:lang w:val="es-ES"/>
        </w:rPr>
        <w:t>reitera</w:t>
      </w:r>
      <w:r w:rsidRPr="002C6F1A">
        <w:rPr>
          <w:rFonts w:ascii="Verdana" w:eastAsia="Arial MT" w:hAnsi="Verdana" w:cs="Arial"/>
          <w:spacing w:val="-15"/>
          <w:sz w:val="20"/>
          <w:szCs w:val="20"/>
          <w:lang w:val="es-ES"/>
        </w:rPr>
        <w:t xml:space="preserve"> </w:t>
      </w:r>
      <w:r w:rsidRPr="002C6F1A">
        <w:rPr>
          <w:rFonts w:ascii="Verdana" w:eastAsia="Arial MT" w:hAnsi="Verdana" w:cs="Arial"/>
          <w:sz w:val="20"/>
          <w:szCs w:val="20"/>
          <w:lang w:val="es-ES"/>
        </w:rPr>
        <w:t>lo</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expuesto</w:t>
      </w:r>
      <w:r w:rsidRPr="002C6F1A">
        <w:rPr>
          <w:rFonts w:ascii="Verdana" w:eastAsia="Arial MT" w:hAnsi="Verdana" w:cs="Arial"/>
          <w:spacing w:val="-16"/>
          <w:sz w:val="20"/>
          <w:szCs w:val="20"/>
          <w:lang w:val="es-ES"/>
        </w:rPr>
        <w:t xml:space="preserve"> </w:t>
      </w:r>
      <w:r w:rsidRPr="002C6F1A">
        <w:rPr>
          <w:rFonts w:ascii="Verdana" w:eastAsia="Arial MT" w:hAnsi="Verdana" w:cs="Arial"/>
          <w:sz w:val="20"/>
          <w:szCs w:val="20"/>
          <w:lang w:val="es-ES"/>
        </w:rPr>
        <w:t>en</w:t>
      </w:r>
      <w:r w:rsidRPr="002C6F1A">
        <w:rPr>
          <w:rFonts w:ascii="Verdana" w:eastAsia="Arial MT" w:hAnsi="Verdana" w:cs="Arial"/>
          <w:spacing w:val="-17"/>
          <w:sz w:val="20"/>
          <w:szCs w:val="20"/>
          <w:lang w:val="es-ES"/>
        </w:rPr>
        <w:t xml:space="preserve"> </w:t>
      </w:r>
      <w:r w:rsidRPr="002C6F1A">
        <w:rPr>
          <w:rFonts w:ascii="Verdana" w:eastAsia="Arial MT" w:hAnsi="Verdana" w:cs="Arial"/>
          <w:sz w:val="20"/>
          <w:szCs w:val="20"/>
          <w:lang w:val="es-ES"/>
        </w:rPr>
        <w:t>el</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concepto</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emitido</w:t>
      </w:r>
      <w:r w:rsidRPr="002C6F1A">
        <w:rPr>
          <w:rFonts w:ascii="Verdana" w:eastAsia="Arial MT" w:hAnsi="Verdana" w:cs="Arial"/>
          <w:spacing w:val="-14"/>
          <w:sz w:val="20"/>
          <w:szCs w:val="20"/>
          <w:lang w:val="es-ES"/>
        </w:rPr>
        <w:t xml:space="preserve"> </w:t>
      </w:r>
      <w:r w:rsidRPr="002C6F1A">
        <w:rPr>
          <w:rFonts w:ascii="Verdana" w:eastAsia="Arial MT" w:hAnsi="Verdana" w:cs="Arial"/>
          <w:sz w:val="20"/>
          <w:szCs w:val="20"/>
          <w:lang w:val="es-ES"/>
        </w:rPr>
        <w:t>por</w:t>
      </w:r>
      <w:r w:rsidRPr="002C6F1A">
        <w:rPr>
          <w:rFonts w:ascii="Verdana" w:eastAsia="Arial MT" w:hAnsi="Verdana" w:cs="Arial"/>
          <w:spacing w:val="-15"/>
          <w:sz w:val="20"/>
          <w:szCs w:val="20"/>
          <w:lang w:val="es-ES"/>
        </w:rPr>
        <w:t xml:space="preserve"> </w:t>
      </w:r>
      <w:r w:rsidRPr="002C6F1A">
        <w:rPr>
          <w:rFonts w:ascii="Verdana" w:eastAsia="Arial MT" w:hAnsi="Verdana" w:cs="Arial"/>
          <w:sz w:val="20"/>
          <w:szCs w:val="20"/>
          <w:lang w:val="es-ES"/>
        </w:rPr>
        <w:t>esta</w:t>
      </w:r>
      <w:r w:rsidRPr="002C6F1A">
        <w:rPr>
          <w:rFonts w:ascii="Verdana" w:eastAsia="Arial MT" w:hAnsi="Verdana" w:cs="Arial"/>
          <w:spacing w:val="-16"/>
          <w:sz w:val="20"/>
          <w:szCs w:val="20"/>
          <w:lang w:val="es-ES"/>
        </w:rPr>
        <w:t xml:space="preserve"> </w:t>
      </w:r>
      <w:r w:rsidRPr="002C6F1A">
        <w:rPr>
          <w:rFonts w:ascii="Verdana" w:eastAsia="Arial MT" w:hAnsi="Verdana" w:cs="Arial"/>
          <w:sz w:val="20"/>
          <w:szCs w:val="20"/>
          <w:lang w:val="es-ES"/>
        </w:rPr>
        <w:t>Agencia</w:t>
      </w:r>
      <w:r w:rsidRPr="002C6F1A">
        <w:rPr>
          <w:rFonts w:ascii="Verdana" w:eastAsia="Arial MT" w:hAnsi="Verdana" w:cs="Arial"/>
          <w:spacing w:val="-13"/>
          <w:sz w:val="20"/>
          <w:szCs w:val="20"/>
          <w:lang w:val="es-ES"/>
        </w:rPr>
        <w:t xml:space="preserve"> </w:t>
      </w:r>
      <w:r w:rsidRPr="002C6F1A">
        <w:rPr>
          <w:rFonts w:ascii="Verdana" w:eastAsia="Arial MT" w:hAnsi="Verdana" w:cs="Arial"/>
          <w:sz w:val="20"/>
          <w:szCs w:val="20"/>
          <w:lang w:val="es-ES"/>
        </w:rPr>
        <w:t>con</w:t>
      </w:r>
      <w:r w:rsidRPr="002C6F1A">
        <w:rPr>
          <w:rFonts w:ascii="Verdana" w:eastAsia="Arial MT" w:hAnsi="Verdana" w:cs="Arial"/>
          <w:spacing w:val="-17"/>
          <w:sz w:val="20"/>
          <w:szCs w:val="20"/>
          <w:lang w:val="es-ES"/>
        </w:rPr>
        <w:t xml:space="preserve"> </w:t>
      </w:r>
      <w:r w:rsidRPr="002C6F1A">
        <w:rPr>
          <w:rFonts w:ascii="Verdana" w:eastAsia="Arial MT" w:hAnsi="Verdana" w:cs="Arial"/>
          <w:sz w:val="20"/>
          <w:szCs w:val="20"/>
          <w:lang w:val="es-ES"/>
        </w:rPr>
        <w:t>radicado</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4201913000008240, del 20 de diciembre de 2019, en cuya oportunidad se señaló</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 xml:space="preserve">que </w:t>
      </w:r>
      <w:r>
        <w:rPr>
          <w:rFonts w:ascii="Verdana" w:eastAsia="Arial MT" w:hAnsi="Verdana" w:cs="Arial"/>
          <w:sz w:val="20"/>
          <w:szCs w:val="20"/>
          <w:lang w:val="es-ES"/>
        </w:rPr>
        <w:t>“</w:t>
      </w:r>
      <w:r w:rsidRPr="002C6F1A">
        <w:rPr>
          <w:rFonts w:ascii="Verdana" w:eastAsia="Arial MT" w:hAnsi="Verdana" w:cs="Arial"/>
          <w:sz w:val="20"/>
          <w:szCs w:val="20"/>
          <w:lang w:val="es-ES"/>
        </w:rPr>
        <w:t>el</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seguimiento de la ejecución del contrato para su dirección, control y vigilancia del correcto</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cumplimiento del objeto es un deber legal que permite a las entidades estatales tomar medidas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orientadas a la satisfacción de los fines de la contratación, dentro de las cuales, se encuentra la</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posibilidad de pactar y ejercer las cláusulas exorbitantes, la designación de una supervisión o la</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contratación de una interventoría para vigilar la ejecución del contrato y la facultad de pactar e</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imponer multas, cláusula penal o hacer efectivas las garantías del contrato, previa declaratoria</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de incumplimiento de las obligaciones del contrato, en aras de lograr la satisfacción de las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necesidades de bienes, obras o servicios que se pretenden suplir con la celebración de los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contratos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estatales</w:t>
      </w:r>
      <w:r>
        <w:rPr>
          <w:rFonts w:ascii="Verdana" w:eastAsia="Arial MT" w:hAnsi="Verdana" w:cs="Arial"/>
          <w:sz w:val="20"/>
          <w:szCs w:val="20"/>
          <w:lang w:val="es-ES"/>
        </w:rPr>
        <w:t>”</w:t>
      </w:r>
      <w:r w:rsidRPr="002C6F1A">
        <w:rPr>
          <w:rFonts w:ascii="Verdana" w:eastAsia="Arial MT" w:hAnsi="Verdana" w:cs="Arial"/>
          <w:sz w:val="20"/>
          <w:szCs w:val="20"/>
          <w:lang w:val="es-ES"/>
        </w:rPr>
        <w:t>.</w:t>
      </w:r>
    </w:p>
    <w:p w14:paraId="5C2CD147" w14:textId="77777777" w:rsidR="009E4A97" w:rsidRPr="002C6F1A" w:rsidRDefault="009E4A97" w:rsidP="009E4A97">
      <w:pPr>
        <w:widowControl w:val="0"/>
        <w:autoSpaceDE w:val="0"/>
        <w:autoSpaceDN w:val="0"/>
        <w:spacing w:after="0" w:line="240" w:lineRule="auto"/>
        <w:ind w:right="113"/>
        <w:jc w:val="both"/>
        <w:rPr>
          <w:rFonts w:ascii="Verdana" w:eastAsia="Arial MT" w:hAnsi="Verdana" w:cs="Arial"/>
          <w:sz w:val="20"/>
          <w:szCs w:val="20"/>
          <w:lang w:val="es-ES"/>
        </w:rPr>
      </w:pPr>
    </w:p>
    <w:p w14:paraId="3E658AED" w14:textId="77777777" w:rsidR="009E4A97" w:rsidRDefault="009E4A97" w:rsidP="009E4A97">
      <w:pPr>
        <w:widowControl w:val="0"/>
        <w:autoSpaceDE w:val="0"/>
        <w:autoSpaceDN w:val="0"/>
        <w:spacing w:after="0" w:line="240" w:lineRule="auto"/>
        <w:ind w:right="113"/>
        <w:jc w:val="both"/>
        <w:rPr>
          <w:rFonts w:ascii="Verdana" w:eastAsia="Arial MT" w:hAnsi="Verdana" w:cs="Arial"/>
          <w:sz w:val="20"/>
          <w:szCs w:val="20"/>
          <w:lang w:val="es-ES"/>
        </w:rPr>
      </w:pPr>
      <w:r w:rsidRPr="002C6F1A">
        <w:rPr>
          <w:rFonts w:ascii="Verdana" w:eastAsia="Arial MT" w:hAnsi="Verdana" w:cs="Arial"/>
          <w:sz w:val="20"/>
          <w:szCs w:val="20"/>
          <w:lang w:val="es-ES"/>
        </w:rPr>
        <w:lastRenderedPageBreak/>
        <w:t>Por lo tanto, la responsabilidad por el control y vigilancia de la ejecución del contrato está</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a cargo de la entidad estatal contratante y, en consecuencia, es esta quien debe supervisar los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contratos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mediante</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sus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funcionarios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o</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servidores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públicos,</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y</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únicamente</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puede</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contratar</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personal en caso de necesitarlo como apoyo a su gestión en la supervisión. De este modo, el</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contratista podría fungir de apoyo a la supervisión del contrato, en la medida en que el contrato</w:t>
      </w:r>
      <w:r w:rsidRPr="002C6F1A">
        <w:rPr>
          <w:rFonts w:ascii="Verdana" w:eastAsia="Arial MT" w:hAnsi="Verdana" w:cs="Arial"/>
          <w:spacing w:val="1"/>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4"/>
          <w:sz w:val="20"/>
          <w:szCs w:val="20"/>
          <w:lang w:val="es-ES"/>
        </w:rPr>
        <w:t xml:space="preserve"> </w:t>
      </w:r>
      <w:r w:rsidRPr="002C6F1A">
        <w:rPr>
          <w:rFonts w:ascii="Verdana" w:eastAsia="Arial MT" w:hAnsi="Verdana" w:cs="Arial"/>
          <w:sz w:val="20"/>
          <w:szCs w:val="20"/>
          <w:lang w:val="es-ES"/>
        </w:rPr>
        <w:t>prestación</w:t>
      </w:r>
      <w:r w:rsidRPr="002C6F1A">
        <w:rPr>
          <w:rFonts w:ascii="Verdana" w:eastAsia="Arial MT" w:hAnsi="Verdana" w:cs="Arial"/>
          <w:spacing w:val="-4"/>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6"/>
          <w:sz w:val="20"/>
          <w:szCs w:val="20"/>
          <w:lang w:val="es-ES"/>
        </w:rPr>
        <w:t xml:space="preserve"> </w:t>
      </w:r>
      <w:r w:rsidRPr="002C6F1A">
        <w:rPr>
          <w:rFonts w:ascii="Verdana" w:eastAsia="Arial MT" w:hAnsi="Verdana" w:cs="Arial"/>
          <w:sz w:val="20"/>
          <w:szCs w:val="20"/>
          <w:lang w:val="es-ES"/>
        </w:rPr>
        <w:t>servicios</w:t>
      </w:r>
      <w:r w:rsidRPr="002C6F1A">
        <w:rPr>
          <w:rFonts w:ascii="Verdana" w:eastAsia="Arial MT" w:hAnsi="Verdana" w:cs="Arial"/>
          <w:spacing w:val="-3"/>
          <w:sz w:val="20"/>
          <w:szCs w:val="20"/>
          <w:lang w:val="es-ES"/>
        </w:rPr>
        <w:t xml:space="preserve"> </w:t>
      </w:r>
      <w:r w:rsidRPr="002C6F1A">
        <w:rPr>
          <w:rFonts w:ascii="Verdana" w:eastAsia="Arial MT" w:hAnsi="Verdana" w:cs="Arial"/>
          <w:sz w:val="20"/>
          <w:szCs w:val="20"/>
          <w:lang w:val="es-ES"/>
        </w:rPr>
        <w:t>profesionales</w:t>
      </w:r>
      <w:r w:rsidRPr="002C6F1A">
        <w:rPr>
          <w:rFonts w:ascii="Verdana" w:eastAsia="Arial MT" w:hAnsi="Verdana" w:cs="Arial"/>
          <w:spacing w:val="-4"/>
          <w:sz w:val="20"/>
          <w:szCs w:val="20"/>
          <w:lang w:val="es-ES"/>
        </w:rPr>
        <w:t xml:space="preserve"> </w:t>
      </w:r>
      <w:r w:rsidRPr="002C6F1A">
        <w:rPr>
          <w:rFonts w:ascii="Verdana" w:eastAsia="Arial MT" w:hAnsi="Verdana" w:cs="Arial"/>
          <w:sz w:val="20"/>
          <w:szCs w:val="20"/>
          <w:lang w:val="es-ES"/>
        </w:rPr>
        <w:t>y</w:t>
      </w:r>
      <w:r w:rsidRPr="002C6F1A">
        <w:rPr>
          <w:rFonts w:ascii="Verdana" w:eastAsia="Arial MT" w:hAnsi="Verdana" w:cs="Arial"/>
          <w:spacing w:val="-5"/>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4"/>
          <w:sz w:val="20"/>
          <w:szCs w:val="20"/>
          <w:lang w:val="es-ES"/>
        </w:rPr>
        <w:t xml:space="preserve"> </w:t>
      </w:r>
      <w:r w:rsidRPr="002C6F1A">
        <w:rPr>
          <w:rFonts w:ascii="Verdana" w:eastAsia="Arial MT" w:hAnsi="Verdana" w:cs="Arial"/>
          <w:sz w:val="20"/>
          <w:szCs w:val="20"/>
          <w:lang w:val="es-ES"/>
        </w:rPr>
        <w:t>apoyo</w:t>
      </w:r>
      <w:r w:rsidRPr="002C6F1A">
        <w:rPr>
          <w:rFonts w:ascii="Verdana" w:eastAsia="Arial MT" w:hAnsi="Verdana" w:cs="Arial"/>
          <w:spacing w:val="-3"/>
          <w:sz w:val="20"/>
          <w:szCs w:val="20"/>
          <w:lang w:val="es-ES"/>
        </w:rPr>
        <w:t xml:space="preserve"> </w:t>
      </w:r>
      <w:r w:rsidRPr="002C6F1A">
        <w:rPr>
          <w:rFonts w:ascii="Verdana" w:eastAsia="Arial MT" w:hAnsi="Verdana" w:cs="Arial"/>
          <w:sz w:val="20"/>
          <w:szCs w:val="20"/>
          <w:lang w:val="es-ES"/>
        </w:rPr>
        <w:t>a</w:t>
      </w:r>
      <w:r w:rsidRPr="002C6F1A">
        <w:rPr>
          <w:rFonts w:ascii="Verdana" w:eastAsia="Arial MT" w:hAnsi="Verdana" w:cs="Arial"/>
          <w:spacing w:val="-4"/>
          <w:sz w:val="20"/>
          <w:szCs w:val="20"/>
          <w:lang w:val="es-ES"/>
        </w:rPr>
        <w:t xml:space="preserve"> </w:t>
      </w:r>
      <w:r w:rsidRPr="002C6F1A">
        <w:rPr>
          <w:rFonts w:ascii="Verdana" w:eastAsia="Arial MT" w:hAnsi="Verdana" w:cs="Arial"/>
          <w:sz w:val="20"/>
          <w:szCs w:val="20"/>
          <w:lang w:val="es-ES"/>
        </w:rPr>
        <w:t>la</w:t>
      </w:r>
      <w:r w:rsidRPr="002C6F1A">
        <w:rPr>
          <w:rFonts w:ascii="Verdana" w:eastAsia="Arial MT" w:hAnsi="Verdana" w:cs="Arial"/>
          <w:spacing w:val="-3"/>
          <w:sz w:val="20"/>
          <w:szCs w:val="20"/>
          <w:lang w:val="es-ES"/>
        </w:rPr>
        <w:t xml:space="preserve"> </w:t>
      </w:r>
      <w:r w:rsidRPr="002C6F1A">
        <w:rPr>
          <w:rFonts w:ascii="Verdana" w:eastAsia="Arial MT" w:hAnsi="Verdana" w:cs="Arial"/>
          <w:sz w:val="20"/>
          <w:szCs w:val="20"/>
          <w:lang w:val="es-ES"/>
        </w:rPr>
        <w:t>gestión</w:t>
      </w:r>
      <w:r w:rsidRPr="002C6F1A">
        <w:rPr>
          <w:rFonts w:ascii="Verdana" w:eastAsia="Arial MT" w:hAnsi="Verdana" w:cs="Arial"/>
          <w:spacing w:val="-7"/>
          <w:sz w:val="20"/>
          <w:szCs w:val="20"/>
          <w:lang w:val="es-ES"/>
        </w:rPr>
        <w:t xml:space="preserve"> </w:t>
      </w:r>
      <w:r w:rsidRPr="002C6F1A">
        <w:rPr>
          <w:rFonts w:ascii="Verdana" w:eastAsia="Arial MT" w:hAnsi="Verdana" w:cs="Arial"/>
          <w:sz w:val="20"/>
          <w:szCs w:val="20"/>
          <w:lang w:val="es-ES"/>
        </w:rPr>
        <w:t>tenga</w:t>
      </w:r>
      <w:r w:rsidRPr="002C6F1A">
        <w:rPr>
          <w:rFonts w:ascii="Verdana" w:eastAsia="Arial MT" w:hAnsi="Verdana" w:cs="Arial"/>
          <w:spacing w:val="-3"/>
          <w:sz w:val="20"/>
          <w:szCs w:val="20"/>
          <w:lang w:val="es-ES"/>
        </w:rPr>
        <w:t xml:space="preserve"> </w:t>
      </w:r>
      <w:r w:rsidRPr="002C6F1A">
        <w:rPr>
          <w:rFonts w:ascii="Verdana" w:eastAsia="Arial MT" w:hAnsi="Verdana" w:cs="Arial"/>
          <w:sz w:val="20"/>
          <w:szCs w:val="20"/>
          <w:lang w:val="es-ES"/>
        </w:rPr>
        <w:t>como</w:t>
      </w:r>
      <w:r w:rsidRPr="002C6F1A">
        <w:rPr>
          <w:rFonts w:ascii="Verdana" w:eastAsia="Arial MT" w:hAnsi="Verdana" w:cs="Arial"/>
          <w:spacing w:val="-4"/>
          <w:sz w:val="20"/>
          <w:szCs w:val="20"/>
          <w:lang w:val="es-ES"/>
        </w:rPr>
        <w:t xml:space="preserve"> </w:t>
      </w:r>
      <w:r w:rsidRPr="002C6F1A">
        <w:rPr>
          <w:rFonts w:ascii="Verdana" w:eastAsia="Arial MT" w:hAnsi="Verdana" w:cs="Arial"/>
          <w:sz w:val="20"/>
          <w:szCs w:val="20"/>
          <w:lang w:val="es-ES"/>
        </w:rPr>
        <w:t>objeto</w:t>
      </w:r>
      <w:r w:rsidRPr="002C6F1A">
        <w:rPr>
          <w:rFonts w:ascii="Verdana" w:eastAsia="Arial MT" w:hAnsi="Verdana" w:cs="Arial"/>
          <w:spacing w:val="-5"/>
          <w:sz w:val="20"/>
          <w:szCs w:val="20"/>
          <w:lang w:val="es-ES"/>
        </w:rPr>
        <w:t xml:space="preserve"> </w:t>
      </w:r>
      <w:r w:rsidRPr="002C6F1A">
        <w:rPr>
          <w:rFonts w:ascii="Verdana" w:eastAsia="Arial MT" w:hAnsi="Verdana" w:cs="Arial"/>
          <w:sz w:val="20"/>
          <w:szCs w:val="20"/>
          <w:lang w:val="es-ES"/>
        </w:rPr>
        <w:t>obligaciones</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dirigidas a apoyar dicha actividad de supervisión de contratos. En tal sentido, los contratistas no</w:t>
      </w:r>
      <w:r w:rsidRPr="002C6F1A">
        <w:rPr>
          <w:rFonts w:ascii="Verdana" w:eastAsia="Arial MT" w:hAnsi="Verdana" w:cs="Arial"/>
          <w:spacing w:val="-59"/>
          <w:sz w:val="20"/>
          <w:szCs w:val="20"/>
          <w:lang w:val="es-ES"/>
        </w:rPr>
        <w:t xml:space="preserve"> </w:t>
      </w:r>
      <w:r w:rsidRPr="002C6F1A">
        <w:rPr>
          <w:rFonts w:ascii="Verdana" w:eastAsia="Arial MT" w:hAnsi="Verdana" w:cs="Arial"/>
          <w:sz w:val="20"/>
          <w:szCs w:val="20"/>
          <w:lang w:val="es-ES"/>
        </w:rPr>
        <w:t>pueden</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asumir</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11"/>
          <w:sz w:val="20"/>
          <w:szCs w:val="20"/>
          <w:lang w:val="es-ES"/>
        </w:rPr>
        <w:t xml:space="preserve"> </w:t>
      </w:r>
      <w:r w:rsidRPr="002C6F1A">
        <w:rPr>
          <w:rFonts w:ascii="Verdana" w:eastAsia="Arial MT" w:hAnsi="Verdana" w:cs="Arial"/>
          <w:sz w:val="20"/>
          <w:szCs w:val="20"/>
          <w:lang w:val="es-ES"/>
        </w:rPr>
        <w:t>forma</w:t>
      </w:r>
      <w:r w:rsidRPr="002C6F1A">
        <w:rPr>
          <w:rFonts w:ascii="Verdana" w:eastAsia="Arial MT" w:hAnsi="Verdana" w:cs="Arial"/>
          <w:spacing w:val="-9"/>
          <w:sz w:val="20"/>
          <w:szCs w:val="20"/>
          <w:lang w:val="es-ES"/>
        </w:rPr>
        <w:t xml:space="preserve"> </w:t>
      </w:r>
      <w:r w:rsidRPr="002C6F1A">
        <w:rPr>
          <w:rFonts w:ascii="Verdana" w:eastAsia="Arial MT" w:hAnsi="Verdana" w:cs="Arial"/>
          <w:sz w:val="20"/>
          <w:szCs w:val="20"/>
          <w:lang w:val="es-ES"/>
        </w:rPr>
        <w:t>íntegra,</w:t>
      </w:r>
      <w:r w:rsidRPr="002C6F1A">
        <w:rPr>
          <w:rFonts w:ascii="Verdana" w:eastAsia="Arial MT" w:hAnsi="Verdana" w:cs="Arial"/>
          <w:spacing w:val="-7"/>
          <w:sz w:val="20"/>
          <w:szCs w:val="20"/>
          <w:lang w:val="es-ES"/>
        </w:rPr>
        <w:t xml:space="preserve"> </w:t>
      </w:r>
      <w:r w:rsidRPr="002C6F1A">
        <w:rPr>
          <w:rFonts w:ascii="Verdana" w:eastAsia="Arial MT" w:hAnsi="Verdana" w:cs="Arial"/>
          <w:sz w:val="20"/>
          <w:szCs w:val="20"/>
          <w:lang w:val="es-ES"/>
        </w:rPr>
        <w:t>directa</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y</w:t>
      </w:r>
      <w:r w:rsidRPr="002C6F1A">
        <w:rPr>
          <w:rFonts w:ascii="Verdana" w:eastAsia="Arial MT" w:hAnsi="Verdana" w:cs="Arial"/>
          <w:spacing w:val="-10"/>
          <w:sz w:val="20"/>
          <w:szCs w:val="20"/>
          <w:lang w:val="es-ES"/>
        </w:rPr>
        <w:t xml:space="preserve"> </w:t>
      </w:r>
      <w:r w:rsidRPr="002C6F1A">
        <w:rPr>
          <w:rFonts w:ascii="Verdana" w:eastAsia="Arial MT" w:hAnsi="Verdana" w:cs="Arial"/>
          <w:sz w:val="20"/>
          <w:szCs w:val="20"/>
          <w:lang w:val="es-ES"/>
        </w:rPr>
        <w:t>excluyente</w:t>
      </w:r>
      <w:r w:rsidRPr="002C6F1A">
        <w:rPr>
          <w:rFonts w:ascii="Verdana" w:eastAsia="Arial MT" w:hAnsi="Verdana" w:cs="Arial"/>
          <w:spacing w:val="-7"/>
          <w:sz w:val="20"/>
          <w:szCs w:val="20"/>
          <w:lang w:val="es-ES"/>
        </w:rPr>
        <w:t xml:space="preserve"> </w:t>
      </w:r>
      <w:r w:rsidRPr="002C6F1A">
        <w:rPr>
          <w:rFonts w:ascii="Verdana" w:eastAsia="Arial MT" w:hAnsi="Verdana" w:cs="Arial"/>
          <w:sz w:val="20"/>
          <w:szCs w:val="20"/>
          <w:lang w:val="es-ES"/>
        </w:rPr>
        <w:t>la</w:t>
      </w:r>
      <w:r w:rsidRPr="002C6F1A">
        <w:rPr>
          <w:rFonts w:ascii="Verdana" w:eastAsia="Arial MT" w:hAnsi="Verdana" w:cs="Arial"/>
          <w:spacing w:val="-7"/>
          <w:sz w:val="20"/>
          <w:szCs w:val="20"/>
          <w:lang w:val="es-ES"/>
        </w:rPr>
        <w:t xml:space="preserve"> </w:t>
      </w:r>
      <w:r w:rsidRPr="002C6F1A">
        <w:rPr>
          <w:rFonts w:ascii="Verdana" w:eastAsia="Arial MT" w:hAnsi="Verdana" w:cs="Arial"/>
          <w:sz w:val="20"/>
          <w:szCs w:val="20"/>
          <w:lang w:val="es-ES"/>
        </w:rPr>
        <w:t>actividad</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supervisión</w:t>
      </w:r>
      <w:r w:rsidRPr="002C6F1A">
        <w:rPr>
          <w:rFonts w:ascii="Verdana" w:eastAsia="Arial MT" w:hAnsi="Verdana" w:cs="Arial"/>
          <w:spacing w:val="-8"/>
          <w:sz w:val="20"/>
          <w:szCs w:val="20"/>
          <w:lang w:val="es-ES"/>
        </w:rPr>
        <w:t xml:space="preserve"> </w:t>
      </w:r>
      <w:r w:rsidRPr="002C6F1A">
        <w:rPr>
          <w:rFonts w:ascii="Verdana" w:eastAsia="Arial MT" w:hAnsi="Verdana" w:cs="Arial"/>
          <w:sz w:val="20"/>
          <w:szCs w:val="20"/>
          <w:lang w:val="es-ES"/>
        </w:rPr>
        <w:t>de</w:t>
      </w:r>
      <w:r w:rsidRPr="002C6F1A">
        <w:rPr>
          <w:rFonts w:ascii="Verdana" w:eastAsia="Arial MT" w:hAnsi="Verdana" w:cs="Arial"/>
          <w:spacing w:val="-7"/>
          <w:sz w:val="20"/>
          <w:szCs w:val="20"/>
          <w:lang w:val="es-ES"/>
        </w:rPr>
        <w:t xml:space="preserve"> </w:t>
      </w:r>
      <w:r w:rsidRPr="002C6F1A">
        <w:rPr>
          <w:rFonts w:ascii="Verdana" w:eastAsia="Arial MT" w:hAnsi="Verdana" w:cs="Arial"/>
          <w:sz w:val="20"/>
          <w:szCs w:val="20"/>
          <w:lang w:val="es-ES"/>
        </w:rPr>
        <w:t>los contratos estatales.</w:t>
      </w:r>
      <w:r>
        <w:rPr>
          <w:rFonts w:ascii="Verdana" w:eastAsia="Arial MT" w:hAnsi="Verdana" w:cs="Arial"/>
          <w:sz w:val="20"/>
          <w:szCs w:val="20"/>
          <w:lang w:val="es-ES"/>
        </w:rPr>
        <w:t xml:space="preserve"> </w:t>
      </w:r>
      <w:r w:rsidRPr="00490E42">
        <w:rPr>
          <w:rFonts w:ascii="Verdana" w:eastAsia="Arial MT" w:hAnsi="Verdana" w:cs="Arial"/>
          <w:sz w:val="20"/>
          <w:szCs w:val="20"/>
          <w:lang w:val="es-ES"/>
        </w:rPr>
        <w:t>Por ello, contrario a lo afirmado en la consulta, no existe la figura de la “supervisión externa”, pues –conforme al inciso segundo del artículo 83 del Estatuto Anticorrupción– “[…] es ejercida por la misma entidad estatal cuando no requieren conocimientos especializados […]”.</w:t>
      </w:r>
      <w:r w:rsidRPr="002C6F1A">
        <w:rPr>
          <w:rFonts w:ascii="Verdana" w:eastAsia="Arial MT" w:hAnsi="Verdana" w:cs="Arial"/>
          <w:sz w:val="20"/>
          <w:szCs w:val="20"/>
          <w:lang w:val="es-ES"/>
        </w:rPr>
        <w:t xml:space="preserve"> </w:t>
      </w:r>
    </w:p>
    <w:p w14:paraId="588F82C8" w14:textId="77777777" w:rsidR="009E4A97" w:rsidRPr="00462654" w:rsidRDefault="009E4A97" w:rsidP="009E4A97">
      <w:pPr>
        <w:spacing w:after="0" w:line="240" w:lineRule="auto"/>
        <w:rPr>
          <w:rFonts w:ascii="Verdana" w:eastAsia="Geomanist Light" w:hAnsi="Verdana" w:cs="Arial"/>
          <w:color w:val="000000" w:themeColor="text1"/>
          <w:sz w:val="20"/>
          <w:szCs w:val="20"/>
          <w:lang w:val="es-ES_tradnl"/>
        </w:rPr>
      </w:pPr>
    </w:p>
    <w:p w14:paraId="149926F3" w14:textId="77777777" w:rsidR="009E4A97" w:rsidRPr="00462654" w:rsidRDefault="009E4A97" w:rsidP="009E4A97">
      <w:pPr>
        <w:spacing w:after="0" w:line="240" w:lineRule="auto"/>
        <w:jc w:val="both"/>
        <w:rPr>
          <w:rFonts w:ascii="Verdana" w:eastAsia="Calibri" w:hAnsi="Verdana" w:cs="Arial"/>
          <w:b/>
          <w:lang w:val="es-ES_tradnl"/>
        </w:rPr>
      </w:pPr>
      <w:r w:rsidRPr="00F85355">
        <w:rPr>
          <w:rFonts w:ascii="Verdana" w:eastAsia="Calibri" w:hAnsi="Verdana" w:cs="Arial"/>
          <w:b/>
          <w:lang w:val="es-ES_tradnl"/>
        </w:rPr>
        <w:t>INTERVENTORÍA – Características</w:t>
      </w:r>
    </w:p>
    <w:p w14:paraId="5277E828" w14:textId="77777777" w:rsidR="009E4A97" w:rsidRPr="00462654" w:rsidRDefault="009E4A97" w:rsidP="009E4A97">
      <w:pPr>
        <w:spacing w:after="0" w:line="240" w:lineRule="auto"/>
        <w:jc w:val="both"/>
        <w:rPr>
          <w:rFonts w:ascii="Verdana" w:eastAsia="Calibri" w:hAnsi="Verdana" w:cs="Arial"/>
          <w:b/>
          <w:sz w:val="20"/>
          <w:szCs w:val="20"/>
          <w:lang w:val="es-ES_tradnl"/>
        </w:rPr>
      </w:pPr>
    </w:p>
    <w:p w14:paraId="485B61F6" w14:textId="4742FED1" w:rsidR="009E4A97" w:rsidRDefault="009E4A97" w:rsidP="009E4A97">
      <w:pPr>
        <w:spacing w:after="0" w:line="240" w:lineRule="auto"/>
        <w:jc w:val="both"/>
        <w:rPr>
          <w:rFonts w:ascii="Verdana" w:eastAsia="Calibri" w:hAnsi="Verdana" w:cs="Arial"/>
          <w:bCs/>
          <w:sz w:val="20"/>
          <w:szCs w:val="20"/>
          <w:lang w:val="es-ES_tradnl"/>
        </w:rPr>
      </w:pPr>
      <w:r w:rsidRPr="00F85355">
        <w:rPr>
          <w:rFonts w:ascii="Verdana" w:eastAsia="Calibri" w:hAnsi="Verdana" w:cs="Arial"/>
          <w:bCs/>
          <w:sz w:val="20"/>
          <w:szCs w:val="20"/>
          <w:lang w:val="es-ES_tradnl"/>
        </w:rPr>
        <w:t xml:space="preserve">La interventoría: i) será un mecanismo de vigilancia contingente en la medida que solo es obligatorio para el seguimiento de los contratos de obra adjudicados por licitación pública ‒art. 32, numeral 1‒; en los demás casos se requerirá cuando </w:t>
      </w:r>
      <w:r>
        <w:rPr>
          <w:rFonts w:ascii="Verdana" w:eastAsia="Calibri" w:hAnsi="Verdana" w:cs="Arial"/>
          <w:bCs/>
          <w:sz w:val="20"/>
          <w:szCs w:val="20"/>
          <w:lang w:val="es-ES_tradnl"/>
        </w:rPr>
        <w:t>“</w:t>
      </w:r>
      <w:r w:rsidRPr="00F85355">
        <w:rPr>
          <w:rFonts w:ascii="Verdana" w:eastAsia="Calibri" w:hAnsi="Verdana" w:cs="Arial"/>
          <w:bCs/>
          <w:sz w:val="20"/>
          <w:szCs w:val="20"/>
          <w:lang w:val="es-ES_tradnl"/>
        </w:rPr>
        <w:t xml:space="preserve">el seguimiento del contrato suponga conocimiento especializado en la materia, o cuando la complejidad o la extensión </w:t>
      </w:r>
      <w:proofErr w:type="gramStart"/>
      <w:r w:rsidRPr="00F85355">
        <w:rPr>
          <w:rFonts w:ascii="Verdana" w:eastAsia="Calibri" w:hAnsi="Verdana" w:cs="Arial"/>
          <w:bCs/>
          <w:sz w:val="20"/>
          <w:szCs w:val="20"/>
          <w:lang w:val="es-ES_tradnl"/>
        </w:rPr>
        <w:t>del mismo</w:t>
      </w:r>
      <w:proofErr w:type="gramEnd"/>
      <w:r w:rsidRPr="00F85355">
        <w:rPr>
          <w:rFonts w:ascii="Verdana" w:eastAsia="Calibri" w:hAnsi="Verdana" w:cs="Arial"/>
          <w:bCs/>
          <w:sz w:val="20"/>
          <w:szCs w:val="20"/>
          <w:lang w:val="es-ES_tradnl"/>
        </w:rPr>
        <w:t xml:space="preserve"> lo justifiquen</w:t>
      </w:r>
      <w:r>
        <w:rPr>
          <w:rFonts w:ascii="Verdana" w:eastAsia="Calibri" w:hAnsi="Verdana" w:cs="Arial"/>
          <w:bCs/>
          <w:sz w:val="20"/>
          <w:szCs w:val="20"/>
          <w:lang w:val="es-ES_tradnl"/>
        </w:rPr>
        <w:t>”</w:t>
      </w:r>
      <w:r w:rsidRPr="00F85355">
        <w:rPr>
          <w:rFonts w:ascii="Verdana" w:eastAsia="Calibri" w:hAnsi="Verdana" w:cs="Arial"/>
          <w:bCs/>
          <w:sz w:val="20"/>
          <w:szCs w:val="20"/>
          <w:lang w:val="es-ES_tradnl"/>
        </w:rPr>
        <w:t xml:space="preserve"> ‒art. 83, Ley 1474 de 2011‒. </w:t>
      </w:r>
      <w:proofErr w:type="spellStart"/>
      <w:r w:rsidRPr="00F85355">
        <w:rPr>
          <w:rFonts w:ascii="Verdana" w:eastAsia="Calibri" w:hAnsi="Verdana" w:cs="Arial"/>
          <w:bCs/>
          <w:sz w:val="20"/>
          <w:szCs w:val="20"/>
          <w:lang w:val="es-ES_tradnl"/>
        </w:rPr>
        <w:t>ii</w:t>
      </w:r>
      <w:proofErr w:type="spellEnd"/>
      <w:r w:rsidRPr="00F85355">
        <w:rPr>
          <w:rFonts w:ascii="Verdana" w:eastAsia="Calibri" w:hAnsi="Verdana" w:cs="Arial"/>
          <w:bCs/>
          <w:sz w:val="20"/>
          <w:szCs w:val="20"/>
          <w:lang w:val="es-ES_tradnl"/>
        </w:rPr>
        <w:t xml:space="preserve">) Este mecanismo de vigilancia exige, en su ejecución, la utilización de conocimientos especializados. </w:t>
      </w:r>
      <w:proofErr w:type="spellStart"/>
      <w:r w:rsidRPr="00F85355">
        <w:rPr>
          <w:rFonts w:ascii="Verdana" w:eastAsia="Calibri" w:hAnsi="Verdana" w:cs="Arial"/>
          <w:bCs/>
          <w:sz w:val="20"/>
          <w:szCs w:val="20"/>
          <w:lang w:val="es-ES_tradnl"/>
        </w:rPr>
        <w:t>iii</w:t>
      </w:r>
      <w:proofErr w:type="spellEnd"/>
      <w:r w:rsidRPr="00F85355">
        <w:rPr>
          <w:rFonts w:ascii="Verdana" w:eastAsia="Calibri" w:hAnsi="Verdana" w:cs="Arial"/>
          <w:bCs/>
          <w:sz w:val="20"/>
          <w:szCs w:val="20"/>
          <w:lang w:val="es-ES_tradnl"/>
        </w:rPr>
        <w:t xml:space="preserve">) Por lo anterior, la entidad contrata un experto a través de un concurso de méritos, al tratarse la interventoría de una especie del contrato de consultoría ‒art. 32, numeral 2, inciso 2, Ley 80 de 1993 ‒, de manera que la interventoría es realizada por una </w:t>
      </w:r>
      <w:r>
        <w:rPr>
          <w:rFonts w:ascii="Verdana" w:eastAsia="Calibri" w:hAnsi="Verdana" w:cs="Arial"/>
          <w:bCs/>
          <w:sz w:val="20"/>
          <w:szCs w:val="20"/>
          <w:lang w:val="es-ES_tradnl"/>
        </w:rPr>
        <w:t>“</w:t>
      </w:r>
      <w:r w:rsidRPr="00F85355">
        <w:rPr>
          <w:rFonts w:ascii="Verdana" w:eastAsia="Calibri" w:hAnsi="Verdana" w:cs="Arial"/>
          <w:bCs/>
          <w:sz w:val="20"/>
          <w:szCs w:val="20"/>
          <w:lang w:val="es-ES_tradnl"/>
        </w:rPr>
        <w:t>persona natural o jurídica contratada para tal fin por la Entidad Estatal</w:t>
      </w:r>
      <w:r>
        <w:rPr>
          <w:rFonts w:ascii="Verdana" w:eastAsia="Calibri" w:hAnsi="Verdana" w:cs="Arial"/>
          <w:bCs/>
          <w:sz w:val="20"/>
          <w:szCs w:val="20"/>
          <w:lang w:val="es-ES_tradnl"/>
        </w:rPr>
        <w:t>”</w:t>
      </w:r>
      <w:r w:rsidRPr="00F85355">
        <w:rPr>
          <w:rFonts w:ascii="Verdana" w:eastAsia="Calibri" w:hAnsi="Verdana" w:cs="Arial"/>
          <w:bCs/>
          <w:sz w:val="20"/>
          <w:szCs w:val="20"/>
          <w:lang w:val="es-ES_tradnl"/>
        </w:rPr>
        <w:t xml:space="preserve"> ‒art. 83, Ley 1474‒. </w:t>
      </w:r>
      <w:proofErr w:type="spellStart"/>
      <w:r w:rsidRPr="00F85355">
        <w:rPr>
          <w:rFonts w:ascii="Verdana" w:eastAsia="Calibri" w:hAnsi="Verdana" w:cs="Arial"/>
          <w:bCs/>
          <w:sz w:val="20"/>
          <w:szCs w:val="20"/>
          <w:lang w:val="es-ES_tradnl"/>
        </w:rPr>
        <w:t>iv</w:t>
      </w:r>
      <w:proofErr w:type="spellEnd"/>
      <w:r w:rsidRPr="00F85355">
        <w:rPr>
          <w:rFonts w:ascii="Verdana" w:eastAsia="Calibri" w:hAnsi="Verdana" w:cs="Arial"/>
          <w:bCs/>
          <w:sz w:val="20"/>
          <w:szCs w:val="20"/>
          <w:lang w:val="es-ES_tradnl"/>
        </w:rPr>
        <w:t xml:space="preserve">)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w:t>
      </w:r>
      <w:r>
        <w:rPr>
          <w:rFonts w:ascii="Verdana" w:eastAsia="Calibri" w:hAnsi="Verdana" w:cs="Arial"/>
          <w:bCs/>
          <w:sz w:val="20"/>
          <w:szCs w:val="20"/>
          <w:lang w:val="es-ES_tradnl"/>
        </w:rPr>
        <w:t>“</w:t>
      </w:r>
      <w:r w:rsidRPr="00F85355">
        <w:rPr>
          <w:rFonts w:ascii="Verdana" w:eastAsia="Calibri" w:hAnsi="Verdana" w:cs="Arial"/>
          <w:bCs/>
          <w:sz w:val="20"/>
          <w:szCs w:val="20"/>
          <w:lang w:val="es-ES_tradnl"/>
        </w:rPr>
        <w:t>se deberán indicar las actividades técnicas a cargo del interventor y las demás quedarán a cargo de la Entidad a través del supervisor</w:t>
      </w:r>
      <w:r>
        <w:rPr>
          <w:rFonts w:ascii="Verdana" w:eastAsia="Calibri" w:hAnsi="Verdana" w:cs="Arial"/>
          <w:bCs/>
          <w:sz w:val="20"/>
          <w:szCs w:val="20"/>
          <w:lang w:val="es-ES_tradnl"/>
        </w:rPr>
        <w:t>”</w:t>
      </w:r>
      <w:r w:rsidRPr="00F85355">
        <w:rPr>
          <w:rFonts w:ascii="Verdana" w:eastAsia="Calibri" w:hAnsi="Verdana" w:cs="Arial"/>
          <w:bCs/>
          <w:sz w:val="20"/>
          <w:szCs w:val="20"/>
          <w:lang w:val="es-ES_tradnl"/>
        </w:rPr>
        <w:t xml:space="preserve"> ‒art. 83, inciso 3‒. Finalmente, vi) el contrato de interventoría será supervisado directamente por la entidad ‒art. 83, inciso 4‒.</w:t>
      </w:r>
      <w:r w:rsidRPr="009E2388">
        <w:rPr>
          <w:rFonts w:ascii="Verdana" w:eastAsia="Calibri" w:hAnsi="Verdana" w:cs="Arial"/>
          <w:bCs/>
          <w:sz w:val="20"/>
          <w:szCs w:val="20"/>
          <w:lang w:val="es-ES_tradnl"/>
        </w:rPr>
        <w:t xml:space="preserve"> </w:t>
      </w:r>
    </w:p>
    <w:p w14:paraId="72446E8E" w14:textId="77777777" w:rsidR="009E4A97" w:rsidRDefault="009E4A97" w:rsidP="009E4A97">
      <w:pPr>
        <w:spacing w:after="0" w:line="240" w:lineRule="auto"/>
        <w:jc w:val="both"/>
        <w:rPr>
          <w:rFonts w:ascii="Verdana" w:eastAsia="Calibri" w:hAnsi="Verdana" w:cs="Arial"/>
          <w:bCs/>
          <w:sz w:val="20"/>
          <w:szCs w:val="20"/>
          <w:lang w:val="es-ES_tradnl"/>
        </w:rPr>
      </w:pPr>
    </w:p>
    <w:p w14:paraId="1547555A" w14:textId="77777777" w:rsidR="009E4A97" w:rsidRPr="009E4A97" w:rsidRDefault="009E4A97" w:rsidP="009E4A97">
      <w:pPr>
        <w:spacing w:after="0" w:line="240" w:lineRule="auto"/>
        <w:jc w:val="both"/>
        <w:rPr>
          <w:rFonts w:ascii="Verdana" w:eastAsia="Calibri" w:hAnsi="Verdana" w:cs="Arial"/>
          <w:b/>
        </w:rPr>
      </w:pPr>
      <w:r w:rsidRPr="009E4A97">
        <w:rPr>
          <w:rFonts w:ascii="Verdana" w:eastAsia="Calibri" w:hAnsi="Verdana" w:cs="Arial"/>
          <w:b/>
        </w:rPr>
        <w:t>SUPERVISIÓN E INTERVENTORÍA – Límites – Imposición de obligaciones no pactadas</w:t>
      </w:r>
    </w:p>
    <w:p w14:paraId="23B2918B" w14:textId="77777777" w:rsidR="009E4A97" w:rsidRDefault="009E4A97" w:rsidP="009E4A97">
      <w:pPr>
        <w:spacing w:after="0" w:line="240" w:lineRule="auto"/>
        <w:jc w:val="both"/>
        <w:rPr>
          <w:rFonts w:ascii="Verdana" w:eastAsia="Calibri" w:hAnsi="Verdana" w:cs="Arial"/>
          <w:bCs/>
          <w:sz w:val="20"/>
          <w:szCs w:val="20"/>
        </w:rPr>
      </w:pPr>
    </w:p>
    <w:p w14:paraId="2923753E" w14:textId="16E08334" w:rsidR="009E4A97" w:rsidRDefault="009E4A97" w:rsidP="009E4A97">
      <w:pPr>
        <w:spacing w:after="0" w:line="240" w:lineRule="auto"/>
        <w:jc w:val="both"/>
        <w:rPr>
          <w:rFonts w:ascii="Verdana" w:eastAsia="Calibri" w:hAnsi="Verdana" w:cs="Arial"/>
          <w:bCs/>
          <w:sz w:val="20"/>
          <w:szCs w:val="20"/>
        </w:rPr>
      </w:pPr>
      <w:r>
        <w:rPr>
          <w:rFonts w:ascii="Verdana" w:eastAsia="Calibri" w:hAnsi="Verdana" w:cs="Arial"/>
          <w:bCs/>
          <w:sz w:val="20"/>
          <w:szCs w:val="20"/>
        </w:rPr>
        <w:t>C</w:t>
      </w:r>
      <w:r w:rsidRPr="009E4A97">
        <w:rPr>
          <w:rFonts w:ascii="Verdana" w:eastAsia="Calibri" w:hAnsi="Verdana" w:cs="Arial"/>
          <w:bCs/>
          <w:sz w:val="20"/>
          <w:szCs w:val="20"/>
        </w:rPr>
        <w:t xml:space="preserve">onforme al artículo 83 de la Ley 1474 de 2011 - Estatuto Anticorrupción y al inciso primero del artículo 84 ibidem, el seguimiento de supervisores e interventores recae sobre el cumplimiento de las obligaciones pactadas. En su faz técnica, ello implica vigilar, controlar y verificar el cumplimiento del objeto contractual y las obligaciones a cargo del contratista, así como verificar que las condiciones técnicas del bien, obra o servicio cumplan con los requisitos establecidos por la entidad y con el ofrecimiento formulado. De esta última precisión se sigue que el parámetro de verificación no se agota en los </w:t>
      </w:r>
      <w:r w:rsidRPr="009E4A97">
        <w:rPr>
          <w:rFonts w:ascii="Verdana" w:eastAsia="Calibri" w:hAnsi="Verdana" w:cs="Arial"/>
          <w:bCs/>
          <w:sz w:val="20"/>
          <w:szCs w:val="20"/>
        </w:rPr>
        <w:lastRenderedPageBreak/>
        <w:t>mínimos señalados en los documentos del proceso: como la oferta aceptada se integra al contrato, cuando el proponente ofreció condiciones superiores a las exigidas, esas condiciones resultan exigibles y su verificación no constituye una exigencia adicional sino la constatación de lo pactado. Tampoco se trata de una lectura meramente literal del clausulado, pues los contratos deben ejecutarse de buena fe y obligan a todo lo que corresponde a la naturaleza de la obligación, de manera que la vigilancia puede exigir que la prestación satisfaga la finalidad para la cual fue contratada. Con ese alcance, la verificación se realiza dentro de las exigencias pactadas, razón por la cual supervisores e interventores pueden abstenerse de recibir obras, bienes o servicios que no satisfagan las especificaciones del contrato.</w:t>
      </w:r>
    </w:p>
    <w:p w14:paraId="7EF266C2" w14:textId="77777777" w:rsidR="009E4A97" w:rsidRDefault="009E4A97" w:rsidP="009E4A97">
      <w:pPr>
        <w:spacing w:after="0" w:line="240" w:lineRule="auto"/>
        <w:jc w:val="both"/>
        <w:rPr>
          <w:rFonts w:ascii="Verdana" w:eastAsia="Calibri" w:hAnsi="Verdana" w:cs="Arial"/>
          <w:bCs/>
          <w:sz w:val="20"/>
          <w:szCs w:val="20"/>
        </w:rPr>
      </w:pPr>
    </w:p>
    <w:p w14:paraId="79DB7D29" w14:textId="77777777" w:rsidR="009E4A97" w:rsidRPr="009E4A97" w:rsidRDefault="009E4A97" w:rsidP="009E4A97">
      <w:pPr>
        <w:spacing w:after="0" w:line="240" w:lineRule="auto"/>
        <w:jc w:val="both"/>
        <w:rPr>
          <w:rFonts w:ascii="Verdana" w:eastAsia="Calibri" w:hAnsi="Verdana" w:cs="Arial"/>
          <w:b/>
        </w:rPr>
      </w:pPr>
      <w:r w:rsidRPr="009E4A97">
        <w:rPr>
          <w:rFonts w:ascii="Verdana" w:eastAsia="Calibri" w:hAnsi="Verdana" w:cs="Arial"/>
          <w:b/>
        </w:rPr>
        <w:t>SUPERVISIÓN E INTERVENTORÍA – Sugerencias de mejora – Carácter no vinculante</w:t>
      </w:r>
    </w:p>
    <w:p w14:paraId="72E3EE94" w14:textId="77777777" w:rsidR="009E4A97" w:rsidRDefault="009E4A97" w:rsidP="009E4A97">
      <w:pPr>
        <w:spacing w:after="0" w:line="240" w:lineRule="auto"/>
        <w:jc w:val="both"/>
        <w:rPr>
          <w:rFonts w:ascii="Verdana" w:eastAsia="Calibri" w:hAnsi="Verdana" w:cs="Arial"/>
          <w:bCs/>
          <w:sz w:val="20"/>
          <w:szCs w:val="20"/>
        </w:rPr>
      </w:pPr>
    </w:p>
    <w:p w14:paraId="3D954FCB" w14:textId="42DDFAF0" w:rsidR="009E4A97" w:rsidRDefault="009E4A97" w:rsidP="009E4A97">
      <w:pPr>
        <w:spacing w:after="0" w:line="240" w:lineRule="auto"/>
        <w:jc w:val="both"/>
        <w:rPr>
          <w:rFonts w:ascii="Verdana" w:eastAsia="Calibri" w:hAnsi="Verdana" w:cs="Arial"/>
          <w:bCs/>
          <w:sz w:val="20"/>
          <w:szCs w:val="20"/>
        </w:rPr>
      </w:pPr>
      <w:r w:rsidRPr="009E4A97">
        <w:rPr>
          <w:rFonts w:ascii="Verdana" w:eastAsia="Calibri" w:hAnsi="Verdana" w:cs="Arial"/>
          <w:bCs/>
          <w:sz w:val="20"/>
          <w:szCs w:val="20"/>
        </w:rPr>
        <w:t>Cosa distinta son las recomendaciones o sugerencias de mejora formuladas por fuera del contenido obligacional. Nada impide que, en desarrollo de su función de coordinación y de su conocimiento técnico, quien ejerce la vigilancia proponga alternativas orientadas a optimizar el resultado. Sin embargo, tales sugerencias carecen de carácter vinculante: su desatención no constituye incumplimiento contractual, no puede fundar la negativa a recibir una prestación conforme a lo pactado ni dar lugar a requerimientos o actuaciones sancionatorias. Solo adquirirían fuerza obligatoria si las partes las incorporan al contrato mediante la modificación correspondiente.</w:t>
      </w:r>
    </w:p>
    <w:p w14:paraId="45C7B3BE" w14:textId="77777777" w:rsidR="009E4A97" w:rsidRDefault="009E4A97" w:rsidP="009E4A97">
      <w:pPr>
        <w:spacing w:after="0" w:line="240" w:lineRule="auto"/>
        <w:jc w:val="both"/>
        <w:rPr>
          <w:rFonts w:ascii="Verdana" w:eastAsia="Calibri" w:hAnsi="Verdana" w:cs="Arial"/>
          <w:bCs/>
          <w:sz w:val="20"/>
          <w:szCs w:val="20"/>
        </w:rPr>
      </w:pPr>
    </w:p>
    <w:p w14:paraId="5B390A37" w14:textId="19476182" w:rsidR="009E4A97" w:rsidRPr="009E4A97" w:rsidRDefault="009E4A97" w:rsidP="009E4A97">
      <w:pPr>
        <w:spacing w:after="0" w:line="240" w:lineRule="auto"/>
        <w:jc w:val="both"/>
        <w:rPr>
          <w:rFonts w:ascii="Verdana" w:eastAsia="Calibri" w:hAnsi="Verdana" w:cs="Arial"/>
          <w:b/>
        </w:rPr>
      </w:pPr>
      <w:r w:rsidRPr="009E4A97">
        <w:rPr>
          <w:rFonts w:ascii="Verdana" w:eastAsia="Calibri" w:hAnsi="Verdana" w:cs="Arial"/>
          <w:b/>
        </w:rPr>
        <w:t>SUBCONTRATACIÓN – Control y vigilancia – Alcance y límites</w:t>
      </w:r>
    </w:p>
    <w:p w14:paraId="69E1641B" w14:textId="77777777" w:rsidR="009E4A97" w:rsidRDefault="009E4A97" w:rsidP="009E4A97">
      <w:pPr>
        <w:spacing w:after="0" w:line="240" w:lineRule="auto"/>
        <w:jc w:val="both"/>
        <w:rPr>
          <w:rFonts w:ascii="Verdana" w:eastAsia="Calibri" w:hAnsi="Verdana" w:cs="Arial"/>
          <w:bCs/>
          <w:sz w:val="20"/>
          <w:szCs w:val="20"/>
        </w:rPr>
      </w:pPr>
    </w:p>
    <w:p w14:paraId="1A11E473" w14:textId="5849310C" w:rsidR="009E4A97" w:rsidRPr="00515D12" w:rsidRDefault="009E4A97" w:rsidP="009E4A97">
      <w:pPr>
        <w:spacing w:after="0" w:line="240" w:lineRule="auto"/>
        <w:jc w:val="both"/>
        <w:rPr>
          <w:rFonts w:ascii="Verdana" w:eastAsia="Calibri" w:hAnsi="Verdana" w:cs="Arial"/>
          <w:bCs/>
          <w:sz w:val="20"/>
          <w:szCs w:val="20"/>
          <w:lang w:val="es-ES_tradnl"/>
        </w:rPr>
      </w:pPr>
      <w:r>
        <w:rPr>
          <w:rFonts w:ascii="Verdana" w:eastAsia="Calibri" w:hAnsi="Verdana" w:cs="Arial"/>
          <w:bCs/>
          <w:sz w:val="20"/>
          <w:szCs w:val="20"/>
          <w:lang w:val="es-ES_tradnl"/>
        </w:rPr>
        <w:t>L</w:t>
      </w:r>
      <w:r w:rsidRPr="009E4A97">
        <w:rPr>
          <w:rFonts w:ascii="Verdana" w:eastAsia="Calibri" w:hAnsi="Verdana" w:cs="Arial"/>
          <w:bCs/>
          <w:sz w:val="20"/>
          <w:szCs w:val="20"/>
          <w:lang w:val="es-ES_tradnl"/>
        </w:rPr>
        <w:t>a subcontratación implica un contrato derivado cuyo objeto está en función de la realización material de aquel, sin que los eventuales niveles de subcontratación alteren ese carácter. Como ha señalado el Consejo de Estado, la diferencia entre la relación de la entidad con el contratista y la de este con el subcontratista no obstruye la facultad de control y vigilancia prevista en el EGCAP, pues el contratista responde por los incumplimientos del contrato principal con independencia de que se originen o no en la contratación derivada. Por ello, la facultad de dirección y control puede proyectarse sobre los subcontratistas, pese a que estos se vinculan mediante una relación jurídica distinta, y se ejerce ordinariamente por conducto de la supervisión o la interventoría, en los términos y con el alcance que definan el contrato de interventoría y los manuales internos. Esta proyección tiene un límite preciso: la entidad puede exigir a los subcontratistas el cumplimiento de las obligaciones que asumieron frente al contratista, pero el ejercicio de la prerrogativa se encuentra limitado a esas actividades, de modo que excederlo torna inválida la actuación al exigir obligaciones no asumidas. De allí la importancia de que las entidades conozcan debidamente los términos y la extensión de los subcontratos celebrados, sin que la actuación de la vigilancia genere vínculo contractual alguno con el subcontratista ni releve al contratista de su responsabilidad.</w:t>
      </w:r>
    </w:p>
    <w:p w14:paraId="4409302D" w14:textId="77777777" w:rsidR="009E4A97" w:rsidRPr="009E4A97" w:rsidRDefault="009E4A97" w:rsidP="00B17B4C">
      <w:pPr>
        <w:spacing w:after="0" w:line="240" w:lineRule="auto"/>
        <w:rPr>
          <w:rFonts w:ascii="Verdana" w:eastAsia="Geomanist Light" w:hAnsi="Verdana" w:cs="Arial"/>
          <w:color w:val="000000" w:themeColor="text1"/>
          <w:lang w:val="es-ES_tradnl"/>
        </w:rPr>
      </w:pPr>
    </w:p>
    <w:p w14:paraId="088C3C3A" w14:textId="77777777" w:rsidR="009E4A97" w:rsidRDefault="009E4A97" w:rsidP="00B17B4C">
      <w:pPr>
        <w:spacing w:after="0" w:line="240" w:lineRule="auto"/>
        <w:rPr>
          <w:rFonts w:ascii="Verdana" w:eastAsia="Geomanist Light" w:hAnsi="Verdana" w:cs="Arial"/>
          <w:color w:val="000000" w:themeColor="text1"/>
          <w:lang w:val="es-MX"/>
        </w:rPr>
      </w:pPr>
    </w:p>
    <w:p w14:paraId="641B3ECE" w14:textId="77777777" w:rsidR="0023353C" w:rsidRDefault="0023353C" w:rsidP="00B17B4C">
      <w:pPr>
        <w:spacing w:after="0" w:line="240" w:lineRule="auto"/>
        <w:rPr>
          <w:rFonts w:ascii="Verdana" w:eastAsia="Geomanist Light" w:hAnsi="Verdana" w:cs="Arial"/>
          <w:color w:val="000000" w:themeColor="text1"/>
          <w:lang w:val="es-MX"/>
        </w:rPr>
      </w:pPr>
    </w:p>
    <w:p w14:paraId="5DB4883D" w14:textId="4FA0BA63" w:rsidR="00B17B4C" w:rsidRPr="00593A5F" w:rsidRDefault="00B17B4C" w:rsidP="00B17B4C">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8B4E15" w:rsidRPr="008B4E15">
        <w:rPr>
          <w:rFonts w:ascii="Verdana" w:eastAsia="Geomanist Light" w:hAnsi="Verdana" w:cs="Arial"/>
          <w:color w:val="000000" w:themeColor="text1"/>
          <w:lang w:val="es-MX"/>
        </w:rPr>
        <w:t>29 de Julio de 2026</w:t>
      </w:r>
    </w:p>
    <w:p w14:paraId="71DB86E4" w14:textId="0A4250E5" w:rsidR="00B17B4C" w:rsidRDefault="00B17B4C" w:rsidP="00B17B4C">
      <w:pPr>
        <w:spacing w:after="0" w:line="240" w:lineRule="auto"/>
        <w:jc w:val="both"/>
        <w:rPr>
          <w:rFonts w:ascii="Verdana" w:eastAsia="Calibri" w:hAnsi="Verdana" w:cs="Arial"/>
          <w:color w:val="000000"/>
          <w:lang w:val="es-ES"/>
        </w:rPr>
      </w:pPr>
    </w:p>
    <w:p w14:paraId="6630BED9" w14:textId="10AF58D9" w:rsidR="008B4E15" w:rsidRDefault="008B4E15" w:rsidP="008B4E15">
      <w:pPr>
        <w:spacing w:after="0" w:line="240" w:lineRule="auto"/>
        <w:jc w:val="right"/>
        <w:rPr>
          <w:rFonts w:ascii="Verdana" w:eastAsia="Calibri" w:hAnsi="Verdana" w:cs="Arial"/>
          <w:color w:val="000000"/>
          <w:lang w:val="es-ES"/>
        </w:rPr>
      </w:pPr>
    </w:p>
    <w:p w14:paraId="0DD2C6E7" w14:textId="4EBCF2D6" w:rsidR="00B17B4C" w:rsidRPr="00593A5F" w:rsidRDefault="00B17B4C" w:rsidP="00B17B4C">
      <w:pPr>
        <w:spacing w:after="0" w:line="240" w:lineRule="auto"/>
        <w:jc w:val="both"/>
        <w:rPr>
          <w:rFonts w:ascii="Verdana" w:eastAsia="Calibri" w:hAnsi="Verdana" w:cs="Arial"/>
          <w:color w:val="000000"/>
          <w:lang w:val="es-ES"/>
        </w:rPr>
      </w:pPr>
    </w:p>
    <w:p w14:paraId="6A2538F3" w14:textId="2D261BDD" w:rsidR="00B17B4C" w:rsidRPr="00B96799" w:rsidRDefault="0023353C" w:rsidP="00B17B4C">
      <w:pPr>
        <w:spacing w:after="0" w:line="240" w:lineRule="auto"/>
        <w:jc w:val="both"/>
        <w:rPr>
          <w:rFonts w:ascii="Verdana" w:eastAsia="Calibri" w:hAnsi="Verdana" w:cs="Arial"/>
          <w:lang w:val="es-ES" w:eastAsia="es-ES"/>
        </w:rPr>
      </w:pPr>
      <w:r w:rsidRPr="008B4E15">
        <w:rPr>
          <w:rFonts w:ascii="Verdana" w:eastAsia="Calibri" w:hAnsi="Verdana" w:cs="Arial"/>
          <w:noProof/>
          <w:color w:val="000000"/>
          <w:lang w:val="es-ES"/>
        </w:rPr>
        <w:drawing>
          <wp:anchor distT="0" distB="0" distL="114300" distR="114300" simplePos="0" relativeHeight="251659264" behindDoc="0" locked="0" layoutInCell="1" allowOverlap="1" wp14:anchorId="5E42C699" wp14:editId="4AD0A438">
            <wp:simplePos x="0" y="0"/>
            <wp:positionH relativeFrom="margin">
              <wp:align>right</wp:align>
            </wp:positionH>
            <wp:positionV relativeFrom="paragraph">
              <wp:posOffset>6350</wp:posOffset>
            </wp:positionV>
            <wp:extent cx="2583180" cy="755015"/>
            <wp:effectExtent l="0" t="0" r="7620" b="6985"/>
            <wp:wrapSquare wrapText="bothSides"/>
            <wp:docPr id="10853996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399681" name=""/>
                    <pic:cNvPicPr/>
                  </pic:nvPicPr>
                  <pic:blipFill>
                    <a:blip r:embed="rId10">
                      <a:extLst>
                        <a:ext uri="{28A0092B-C50C-407E-A947-70E740481C1C}">
                          <a14:useLocalDpi xmlns:a14="http://schemas.microsoft.com/office/drawing/2010/main" val="0"/>
                        </a:ext>
                      </a:extLst>
                    </a:blip>
                    <a:stretch>
                      <a:fillRect/>
                    </a:stretch>
                  </pic:blipFill>
                  <pic:spPr>
                    <a:xfrm>
                      <a:off x="0" y="0"/>
                      <a:ext cx="2583180" cy="755015"/>
                    </a:xfrm>
                    <a:prstGeom prst="rect">
                      <a:avLst/>
                    </a:prstGeom>
                  </pic:spPr>
                </pic:pic>
              </a:graphicData>
            </a:graphic>
            <wp14:sizeRelH relativeFrom="margin">
              <wp14:pctWidth>0</wp14:pctWidth>
            </wp14:sizeRelH>
            <wp14:sizeRelV relativeFrom="margin">
              <wp14:pctHeight>0</wp14:pctHeight>
            </wp14:sizeRelV>
          </wp:anchor>
        </w:drawing>
      </w:r>
      <w:r w:rsidR="00B17B4C">
        <w:rPr>
          <w:rFonts w:ascii="Verdana" w:eastAsia="Calibri" w:hAnsi="Verdana" w:cs="Arial"/>
          <w:lang w:val="es-ES" w:eastAsia="es-ES"/>
        </w:rPr>
        <w:t>Señor</w:t>
      </w:r>
    </w:p>
    <w:p w14:paraId="3106A27D" w14:textId="77777777" w:rsidR="00B17B4C" w:rsidRDefault="00B17B4C" w:rsidP="00B17B4C">
      <w:pPr>
        <w:spacing w:after="0" w:line="240" w:lineRule="auto"/>
        <w:rPr>
          <w:rFonts w:ascii="Verdana" w:eastAsia="Calibri" w:hAnsi="Verdana" w:cs="Arial"/>
          <w:b/>
          <w:lang w:val="es-ES_tradnl" w:eastAsia="es-ES_tradnl"/>
        </w:rPr>
      </w:pPr>
      <w:r w:rsidRPr="00234B5B">
        <w:rPr>
          <w:rFonts w:ascii="Verdana" w:eastAsia="Calibri" w:hAnsi="Verdana" w:cs="Arial"/>
          <w:b/>
          <w:lang w:val="es-ES_tradnl" w:eastAsia="es-ES_tradnl"/>
        </w:rPr>
        <w:t>Fabián Alberto Díaz León</w:t>
      </w:r>
    </w:p>
    <w:p w14:paraId="66945193" w14:textId="77777777" w:rsidR="00B17B4C" w:rsidRPr="00234B5B" w:rsidRDefault="00B17B4C" w:rsidP="00B17B4C">
      <w:pPr>
        <w:spacing w:after="0" w:line="240" w:lineRule="auto"/>
        <w:rPr>
          <w:rFonts w:ascii="Verdana" w:eastAsia="Calibri" w:hAnsi="Verdana" w:cs="Arial"/>
          <w:lang w:val="es-ES" w:eastAsia="es-ES"/>
        </w:rPr>
      </w:pPr>
      <w:hyperlink r:id="rId11" w:history="1">
        <w:r w:rsidRPr="00C4291A">
          <w:rPr>
            <w:rStyle w:val="Hipervnculo"/>
            <w:rFonts w:ascii="Verdana" w:hAnsi="Verdana"/>
          </w:rPr>
          <w:t>diazlfabian@gmail.com</w:t>
        </w:r>
      </w:hyperlink>
      <w:r>
        <w:rPr>
          <w:rFonts w:ascii="Verdana" w:hAnsi="Verdana"/>
        </w:rPr>
        <w:t xml:space="preserve"> </w:t>
      </w:r>
      <w:r w:rsidRPr="00234B5B">
        <w:rPr>
          <w:rFonts w:ascii="Verdana" w:hAnsi="Verdana"/>
        </w:rPr>
        <w:t xml:space="preserve">                      </w:t>
      </w:r>
      <w:r w:rsidRPr="00234B5B">
        <w:rPr>
          <w:rFonts w:ascii="Verdana" w:eastAsia="Calibri" w:hAnsi="Verdana" w:cs="Arial"/>
          <w:lang w:val="es-ES" w:eastAsia="es-ES"/>
        </w:rPr>
        <w:t xml:space="preserve">    </w:t>
      </w:r>
    </w:p>
    <w:p w14:paraId="630A6F22" w14:textId="77777777" w:rsidR="00B17B4C" w:rsidRDefault="00B17B4C" w:rsidP="00B17B4C">
      <w:pPr>
        <w:spacing w:after="0" w:line="240" w:lineRule="auto"/>
        <w:rPr>
          <w:rFonts w:ascii="Verdana" w:eastAsia="Calibri" w:hAnsi="Verdana" w:cs="Arial"/>
          <w:lang w:val="es-ES" w:eastAsia="es-ES"/>
        </w:rPr>
      </w:pPr>
      <w:r>
        <w:rPr>
          <w:rFonts w:ascii="Verdana" w:eastAsia="Calibri" w:hAnsi="Verdana" w:cs="Arial"/>
          <w:lang w:val="es-ES" w:eastAsia="es-ES"/>
        </w:rPr>
        <w:t>Bucaramanga</w:t>
      </w:r>
      <w:r w:rsidRPr="004513BB">
        <w:rPr>
          <w:rFonts w:ascii="Verdana" w:eastAsia="Calibri" w:hAnsi="Verdana" w:cs="Arial"/>
          <w:lang w:val="es-ES" w:eastAsia="es-ES"/>
        </w:rPr>
        <w:t xml:space="preserve">, </w:t>
      </w:r>
      <w:r>
        <w:rPr>
          <w:rFonts w:ascii="Verdana" w:eastAsia="Calibri" w:hAnsi="Verdana" w:cs="Arial"/>
          <w:lang w:val="es-ES" w:eastAsia="es-ES"/>
        </w:rPr>
        <w:t xml:space="preserve">Santander </w:t>
      </w:r>
    </w:p>
    <w:p w14:paraId="2256596C" w14:textId="77777777" w:rsidR="00B17B4C" w:rsidRPr="00593A5F" w:rsidRDefault="00B17B4C" w:rsidP="00B17B4C">
      <w:pPr>
        <w:spacing w:after="0" w:line="240" w:lineRule="auto"/>
        <w:rPr>
          <w:rFonts w:ascii="Verdana" w:eastAsia="Calibri" w:hAnsi="Verdana" w:cs="Arial"/>
          <w:b/>
          <w:bCs/>
          <w:color w:val="000000"/>
          <w:lang w:val="es-ES_tradnl" w:eastAsia="es-ES_tradnl"/>
        </w:rPr>
      </w:pPr>
    </w:p>
    <w:p w14:paraId="65B1578D" w14:textId="77777777" w:rsidR="00B17B4C" w:rsidRPr="00593A5F" w:rsidRDefault="00B17B4C" w:rsidP="00B17B4C">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B17B4C" w:rsidRPr="00593A5F" w14:paraId="32DCA855" w14:textId="77777777" w:rsidTr="00820CE5">
        <w:trPr>
          <w:trHeight w:val="884"/>
        </w:trPr>
        <w:tc>
          <w:tcPr>
            <w:tcW w:w="2689" w:type="dxa"/>
          </w:tcPr>
          <w:p w14:paraId="5F78BBD3" w14:textId="77777777" w:rsidR="00B17B4C" w:rsidRPr="00C00976" w:rsidRDefault="00B17B4C" w:rsidP="00820CE5">
            <w:pPr>
              <w:jc w:val="both"/>
              <w:rPr>
                <w:rFonts w:ascii="Verdana" w:eastAsia="Calibri" w:hAnsi="Verdana" w:cs="Arial"/>
                <w:b/>
                <w:bCs/>
                <w:color w:val="7030A0"/>
                <w:lang w:val="es-ES_tradnl" w:eastAsia="es-ES_tradnl"/>
              </w:rPr>
            </w:pPr>
          </w:p>
        </w:tc>
        <w:tc>
          <w:tcPr>
            <w:tcW w:w="6100" w:type="dxa"/>
          </w:tcPr>
          <w:p w14:paraId="35CA744E" w14:textId="59C90153" w:rsidR="00B17B4C" w:rsidRPr="00C00976" w:rsidRDefault="00B17B4C" w:rsidP="00820CE5">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23353C">
              <w:rPr>
                <w:rFonts w:ascii="Verdana" w:eastAsia="Calibri" w:hAnsi="Verdana" w:cs="Arial"/>
                <w:b/>
                <w:bCs/>
                <w:lang w:val="es-ES" w:eastAsia="es-ES"/>
              </w:rPr>
              <w:t>-</w:t>
            </w:r>
            <w:r>
              <w:rPr>
                <w:rFonts w:ascii="Verdana" w:eastAsia="Calibri" w:hAnsi="Verdana" w:cs="Arial"/>
                <w:b/>
                <w:bCs/>
                <w:lang w:val="es-ES" w:eastAsia="es-ES"/>
              </w:rPr>
              <w:t xml:space="preserve">1141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B17B4C" w:rsidRPr="00593A5F" w14:paraId="7FB0FDA7" w14:textId="77777777" w:rsidTr="00820CE5">
        <w:trPr>
          <w:trHeight w:val="884"/>
        </w:trPr>
        <w:tc>
          <w:tcPr>
            <w:tcW w:w="2689" w:type="dxa"/>
          </w:tcPr>
          <w:p w14:paraId="5632901B" w14:textId="77777777" w:rsidR="00B17B4C" w:rsidRPr="00593A5F" w:rsidRDefault="00B17B4C" w:rsidP="00820CE5">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44CE4223" w14:textId="7AE4EC5A" w:rsidR="00E3678A" w:rsidRDefault="00E3678A" w:rsidP="000A49EC">
            <w:pPr>
              <w:spacing w:line="276" w:lineRule="auto"/>
              <w:jc w:val="both"/>
              <w:rPr>
                <w:rFonts w:ascii="Verdana" w:eastAsia="Calibri" w:hAnsi="Verdana" w:cs="Arial"/>
                <w:lang w:val="es-ES" w:eastAsia="es-ES"/>
              </w:rPr>
            </w:pPr>
            <w:r>
              <w:rPr>
                <w:rFonts w:ascii="Verdana" w:eastAsia="Calibri" w:hAnsi="Verdana" w:cs="Arial"/>
                <w:lang w:eastAsia="es-ES"/>
              </w:rPr>
              <w:t>C</w:t>
            </w:r>
            <w:r w:rsidRPr="00E3678A">
              <w:rPr>
                <w:rFonts w:ascii="Verdana" w:eastAsia="Calibri" w:hAnsi="Verdana" w:cs="Arial"/>
                <w:lang w:eastAsia="es-ES"/>
              </w:rPr>
              <w:t>ONTRATO ESTATAL – Funciones de control y vigilancia / SUPERVISIÓN – Ejercicio – Contratista – Apoyo a la supervisión / SUPERVISIÓN – Inexistencia de la figura de supervisión externa / INTERVENTORÍA – Características / SUPERVISIÓN E INTERVENTORÍA – Límites – Imposición de obligaciones no pactadas / SUPERVISIÓN E INTERVENTORÍA – Sugerencias de mejora – Carácter no vinculante / SUBCONTRATACIÓN – Control y vigilancia – Alcance y límites</w:t>
            </w:r>
          </w:p>
          <w:p w14:paraId="66665AA9" w14:textId="77777777" w:rsidR="00B17B4C" w:rsidRPr="00593A5F" w:rsidRDefault="00B17B4C" w:rsidP="00820CE5">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B17B4C" w:rsidRPr="008E6AD9" w14:paraId="0C83AA19" w14:textId="77777777" w:rsidTr="00820CE5">
        <w:tc>
          <w:tcPr>
            <w:tcW w:w="2689" w:type="dxa"/>
          </w:tcPr>
          <w:p w14:paraId="43FFDDF6" w14:textId="77777777" w:rsidR="00B17B4C" w:rsidRPr="008E6AD9" w:rsidRDefault="00B17B4C" w:rsidP="00820CE5">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49F30E98" w14:textId="77777777" w:rsidR="00B17B4C" w:rsidRPr="00B92340" w:rsidRDefault="00B17B4C" w:rsidP="00820CE5">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8C7727">
              <w:rPr>
                <w:rFonts w:ascii="Verdana" w:eastAsia="Calibri" w:hAnsi="Verdana" w:cs="Arial"/>
                <w:lang w:val="es-ES_tradnl" w:eastAsia="es-ES_tradnl"/>
              </w:rPr>
              <w:t>1_2026_07_16_009417</w:t>
            </w:r>
            <w:r>
              <w:rPr>
                <w:rFonts w:ascii="Verdana" w:eastAsia="Calibri" w:hAnsi="Verdana" w:cs="Arial"/>
                <w:lang w:val="es-ES_tradnl" w:eastAsia="es-ES_tradnl"/>
              </w:rPr>
              <w:t xml:space="preserve">                                   </w:t>
            </w:r>
          </w:p>
        </w:tc>
      </w:tr>
    </w:tbl>
    <w:p w14:paraId="3221427F" w14:textId="77777777" w:rsidR="00B17B4C" w:rsidRPr="00593A5F" w:rsidRDefault="00B17B4C" w:rsidP="00B17B4C">
      <w:pPr>
        <w:spacing w:after="0" w:line="240" w:lineRule="auto"/>
        <w:jc w:val="both"/>
        <w:rPr>
          <w:rFonts w:ascii="Verdana" w:eastAsia="Calibri" w:hAnsi="Verdana" w:cs="Arial"/>
          <w:color w:val="000000"/>
          <w:lang w:val="es-ES_tradnl" w:eastAsia="es-ES_tradnl"/>
        </w:rPr>
      </w:pPr>
    </w:p>
    <w:p w14:paraId="4100CB91" w14:textId="77777777" w:rsidR="00B17B4C" w:rsidRPr="00593A5F" w:rsidRDefault="00B17B4C" w:rsidP="00B17B4C">
      <w:pPr>
        <w:spacing w:after="0" w:line="240" w:lineRule="auto"/>
        <w:jc w:val="both"/>
        <w:rPr>
          <w:rFonts w:ascii="Verdana" w:eastAsia="Calibri" w:hAnsi="Verdana" w:cs="Arial"/>
          <w:color w:val="000000"/>
          <w:lang w:val="es-ES_tradnl" w:eastAsia="es-ES_tradnl"/>
        </w:rPr>
      </w:pPr>
    </w:p>
    <w:p w14:paraId="568E53D0" w14:textId="77777777" w:rsidR="00B17B4C" w:rsidRPr="008E6AD9" w:rsidRDefault="00B17B4C" w:rsidP="00B17B4C">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 </w:t>
      </w:r>
      <w:r w:rsidRPr="00234B5B">
        <w:rPr>
          <w:rFonts w:ascii="Verdana" w:eastAsia="Calibri" w:hAnsi="Verdana" w:cs="Arial"/>
          <w:lang w:val="es-ES" w:eastAsia="es-ES"/>
        </w:rPr>
        <w:t>Díaz León</w:t>
      </w:r>
      <w:r w:rsidRPr="008E6AD9">
        <w:rPr>
          <w:rFonts w:ascii="Verdana" w:eastAsia="Calibri" w:hAnsi="Verdana" w:cs="Arial"/>
          <w:lang w:val="es-ES" w:eastAsia="es-ES"/>
        </w:rPr>
        <w:t xml:space="preserve">: </w:t>
      </w:r>
    </w:p>
    <w:p w14:paraId="2D32401C" w14:textId="77777777" w:rsidR="00B17B4C" w:rsidRDefault="00B17B4C" w:rsidP="00B17B4C">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7BD23B13" w14:textId="77777777" w:rsidR="00B17B4C" w:rsidRPr="00593A5F" w:rsidRDefault="00B17B4C" w:rsidP="00B17B4C">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16 de julio de 2026, donde pregunta lo siguiente</w:t>
      </w:r>
      <w:r w:rsidRPr="008E6AD9">
        <w:rPr>
          <w:rFonts w:ascii="Verdana" w:eastAsia="Calibri" w:hAnsi="Verdana" w:cs="Arial"/>
          <w:lang w:val="es-ES" w:eastAsia="es-ES"/>
        </w:rPr>
        <w:t xml:space="preserve">: </w:t>
      </w:r>
    </w:p>
    <w:p w14:paraId="4B313DFD" w14:textId="77777777" w:rsidR="00B17B4C" w:rsidRPr="00272A7B" w:rsidRDefault="00B17B4C" w:rsidP="00B17B4C">
      <w:pPr>
        <w:pStyle w:val="Prrafodelista"/>
        <w:tabs>
          <w:tab w:val="left" w:pos="142"/>
          <w:tab w:val="left" w:pos="284"/>
        </w:tabs>
        <w:spacing w:after="0" w:line="276" w:lineRule="auto"/>
        <w:ind w:left="0"/>
        <w:jc w:val="both"/>
        <w:rPr>
          <w:rFonts w:ascii="Verdana" w:eastAsia="Century Gothic" w:hAnsi="Verdana" w:cs="Century Gothic"/>
          <w:b/>
          <w:bCs/>
        </w:rPr>
      </w:pPr>
    </w:p>
    <w:p w14:paraId="3B23F6F1" w14:textId="77777777" w:rsidR="00B17B4C" w:rsidRPr="008C7727" w:rsidRDefault="00B17B4C" w:rsidP="00B17B4C">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8C7727">
        <w:rPr>
          <w:rFonts w:ascii="Verdana" w:eastAsia="Century Gothic" w:hAnsi="Verdana" w:cs="Century Gothic"/>
          <w:sz w:val="20"/>
          <w:szCs w:val="20"/>
          <w:lang w:val="es-ES"/>
        </w:rPr>
        <w:t>1.</w:t>
      </w:r>
      <w:r>
        <w:rPr>
          <w:rFonts w:ascii="Verdana" w:eastAsia="Century Gothic" w:hAnsi="Verdana" w:cs="Century Gothic"/>
          <w:sz w:val="20"/>
          <w:szCs w:val="20"/>
          <w:lang w:val="es-ES"/>
        </w:rPr>
        <w:t xml:space="preserve"> </w:t>
      </w:r>
      <w:r w:rsidRPr="008C7727">
        <w:rPr>
          <w:rFonts w:ascii="Verdana" w:eastAsia="Century Gothic" w:hAnsi="Verdana" w:cs="Century Gothic"/>
          <w:sz w:val="20"/>
          <w:szCs w:val="20"/>
          <w:lang w:val="es-ES"/>
        </w:rPr>
        <w:t xml:space="preserve">¿La interventoría o supervisión externa, en la validación de un producto, debe limitarse a verificar el cumplimiento de los mínimos técnicos exigidos en el contrato, o puede exigir o formular sugerencias </w:t>
      </w:r>
      <w:r w:rsidRPr="008C7727">
        <w:rPr>
          <w:rFonts w:ascii="Verdana" w:eastAsia="Century Gothic" w:hAnsi="Verdana" w:cs="Century Gothic"/>
          <w:sz w:val="20"/>
          <w:szCs w:val="20"/>
          <w:lang w:val="es-ES"/>
        </w:rPr>
        <w:lastRenderedPageBreak/>
        <w:t>orientadas a mejorar los productos aun cuando estas se encuentren por fuera de las exigencias contractuales expresamente pactadas?</w:t>
      </w:r>
    </w:p>
    <w:p w14:paraId="6DC541D5" w14:textId="77777777" w:rsidR="00B17B4C" w:rsidRPr="008C7727" w:rsidRDefault="00B17B4C" w:rsidP="00B17B4C">
      <w:pPr>
        <w:spacing w:after="120" w:line="240" w:lineRule="auto"/>
        <w:ind w:left="709" w:right="709"/>
        <w:jc w:val="both"/>
        <w:rPr>
          <w:rFonts w:ascii="Verdana" w:eastAsia="Century Gothic" w:hAnsi="Verdana" w:cs="Century Gothic"/>
          <w:sz w:val="20"/>
          <w:szCs w:val="20"/>
          <w:lang w:val="es-ES"/>
        </w:rPr>
      </w:pPr>
      <w:r w:rsidRPr="008C7727">
        <w:rPr>
          <w:rFonts w:ascii="Verdana" w:eastAsia="Century Gothic" w:hAnsi="Verdana" w:cs="Century Gothic"/>
          <w:sz w:val="20"/>
          <w:szCs w:val="20"/>
          <w:lang w:val="es-ES"/>
        </w:rPr>
        <w:t>2.</w:t>
      </w:r>
      <w:r>
        <w:rPr>
          <w:rFonts w:ascii="Verdana" w:eastAsia="Century Gothic" w:hAnsi="Verdana" w:cs="Century Gothic"/>
          <w:sz w:val="20"/>
          <w:szCs w:val="20"/>
          <w:lang w:val="es-ES"/>
        </w:rPr>
        <w:t xml:space="preserve"> </w:t>
      </w:r>
      <w:r w:rsidRPr="008C7727">
        <w:rPr>
          <w:rFonts w:ascii="Verdana" w:eastAsia="Century Gothic" w:hAnsi="Verdana" w:cs="Century Gothic"/>
          <w:sz w:val="20"/>
          <w:szCs w:val="20"/>
          <w:lang w:val="es-ES"/>
        </w:rPr>
        <w:t>¿La interventoría o supervisión externa tiene la potestad de incluir o imponer al contratista procesos u obligaciones no pactados en el contrato —tales como la entrega de informes con una periodicidad no acordada, o el suministro de información que no es obligatoria ni resulta expresamente exigida en el clausulado contractual—?</w:t>
      </w:r>
    </w:p>
    <w:p w14:paraId="437B70C1" w14:textId="77777777" w:rsidR="00B17B4C" w:rsidRPr="008C7727" w:rsidRDefault="00B17B4C" w:rsidP="00B17B4C">
      <w:pPr>
        <w:spacing w:after="0" w:line="240" w:lineRule="auto"/>
        <w:ind w:left="709" w:right="709"/>
        <w:jc w:val="both"/>
        <w:rPr>
          <w:rFonts w:ascii="Verdana" w:eastAsia="Century Gothic" w:hAnsi="Verdana" w:cs="Century Gothic"/>
          <w:b/>
          <w:bCs/>
          <w:sz w:val="20"/>
          <w:szCs w:val="20"/>
          <w:lang w:val="es-ES"/>
        </w:rPr>
      </w:pPr>
      <w:r w:rsidRPr="008C7727">
        <w:rPr>
          <w:rFonts w:ascii="Verdana" w:eastAsia="Century Gothic" w:hAnsi="Verdana" w:cs="Century Gothic"/>
          <w:sz w:val="20"/>
          <w:szCs w:val="20"/>
          <w:lang w:val="es-ES"/>
        </w:rPr>
        <w:t>3. ¿Puede la interventoría o supervisión ejercer seguimiento y control sobre los contratos derivados, y no únicamente sobre el contrato principal, en el marco de la ejecución de un proyecto?</w:t>
      </w:r>
      <w:r>
        <w:rPr>
          <w:rFonts w:ascii="Verdana" w:eastAsia="Century Gothic" w:hAnsi="Verdana" w:cs="Century Gothic"/>
          <w:sz w:val="20"/>
          <w:szCs w:val="20"/>
          <w:lang w:val="es-ES"/>
        </w:rPr>
        <w:t xml:space="preserve">”. </w:t>
      </w:r>
    </w:p>
    <w:p w14:paraId="71A17700" w14:textId="77777777" w:rsidR="00B17B4C" w:rsidRDefault="00B17B4C" w:rsidP="00B17B4C">
      <w:pPr>
        <w:spacing w:after="0" w:line="276" w:lineRule="auto"/>
        <w:ind w:firstLine="709"/>
        <w:jc w:val="both"/>
        <w:rPr>
          <w:rFonts w:ascii="Verdana" w:eastAsia="Calibri" w:hAnsi="Verdana" w:cs="Arial"/>
          <w:color w:val="000000"/>
          <w:lang w:val="es-ES" w:eastAsia="es-ES"/>
        </w:rPr>
      </w:pPr>
    </w:p>
    <w:p w14:paraId="5A5F2180" w14:textId="77777777" w:rsidR="00B17B4C" w:rsidRPr="00A652FF" w:rsidRDefault="00B17B4C" w:rsidP="00B17B4C">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0E9517ED" w14:textId="77777777" w:rsidR="00B17B4C" w:rsidRDefault="00B17B4C" w:rsidP="00B17B4C">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08C38C35" w14:textId="77777777" w:rsidR="00B17B4C" w:rsidRPr="00593A5F" w:rsidRDefault="00B17B4C" w:rsidP="00B17B4C">
      <w:pPr>
        <w:spacing w:after="0" w:line="276" w:lineRule="auto"/>
        <w:ind w:firstLine="709"/>
        <w:jc w:val="both"/>
        <w:rPr>
          <w:rFonts w:ascii="Verdana" w:eastAsia="Calibri" w:hAnsi="Verdana" w:cs="Arial"/>
          <w:color w:val="000000"/>
          <w:lang w:val="es-ES" w:eastAsia="es-ES"/>
        </w:rPr>
      </w:pPr>
    </w:p>
    <w:p w14:paraId="50E68E11" w14:textId="77777777" w:rsidR="00B17B4C" w:rsidRPr="00593A5F" w:rsidRDefault="00B17B4C" w:rsidP="00B17B4C">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37E50096" w14:textId="77777777" w:rsidR="00B17B4C" w:rsidRPr="00593A5F" w:rsidRDefault="00B17B4C" w:rsidP="00B17B4C">
      <w:pPr>
        <w:tabs>
          <w:tab w:val="left" w:pos="426"/>
        </w:tabs>
        <w:spacing w:after="0" w:line="276" w:lineRule="auto"/>
        <w:jc w:val="both"/>
        <w:rPr>
          <w:rFonts w:ascii="Verdana" w:eastAsia="Century Gothic" w:hAnsi="Verdana" w:cs="Century Gothic"/>
          <w:lang w:val="es-ES"/>
        </w:rPr>
      </w:pPr>
    </w:p>
    <w:p w14:paraId="67544F3C" w14:textId="01F372E2" w:rsidR="00B17B4C" w:rsidRPr="00593A5F" w:rsidRDefault="00B17B4C" w:rsidP="00B17B4C">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sidR="00F13A0B" w:rsidRPr="00F13A0B">
        <w:rPr>
          <w:rFonts w:ascii="Verdana" w:eastAsia="Century Gothic" w:hAnsi="Verdana" w:cs="Century Gothic"/>
        </w:rPr>
        <w:t xml:space="preserve">los siguientes problemas jurídicos: i) ¿la verificación que adelantan la supervisión y la interventoría debe circunscribirse a los requisitos técnicos exigidos en el contrato, o pueden exigir o sugerir condiciones orientadas a mejorar los productos por fuera de lo pactado?; </w:t>
      </w:r>
      <w:proofErr w:type="spellStart"/>
      <w:r w:rsidR="00F13A0B" w:rsidRPr="00F13A0B">
        <w:rPr>
          <w:rFonts w:ascii="Verdana" w:eastAsia="Century Gothic" w:hAnsi="Verdana" w:cs="Century Gothic"/>
        </w:rPr>
        <w:t>ii</w:t>
      </w:r>
      <w:proofErr w:type="spellEnd"/>
      <w:r w:rsidR="00F13A0B" w:rsidRPr="00F13A0B">
        <w:rPr>
          <w:rFonts w:ascii="Verdana" w:eastAsia="Century Gothic" w:hAnsi="Verdana" w:cs="Century Gothic"/>
        </w:rPr>
        <w:t xml:space="preserve">) ¿pueden la supervisión y la interventoría imponer al contratista procesos u obligaciones no convenidos en el contrato, </w:t>
      </w:r>
      <w:r w:rsidR="00F13A0B" w:rsidRPr="00F13A0B">
        <w:rPr>
          <w:rFonts w:ascii="Verdana" w:eastAsia="Century Gothic" w:hAnsi="Verdana" w:cs="Century Gothic"/>
        </w:rPr>
        <w:lastRenderedPageBreak/>
        <w:t xml:space="preserve">tales como la entrega de informes con una periodicidad no acordada o el suministro de información no exigida en el clausulado?; y </w:t>
      </w:r>
      <w:proofErr w:type="spellStart"/>
      <w:r w:rsidR="00F13A0B" w:rsidRPr="00F13A0B">
        <w:rPr>
          <w:rFonts w:ascii="Verdana" w:eastAsia="Century Gothic" w:hAnsi="Verdana" w:cs="Century Gothic"/>
        </w:rPr>
        <w:t>iii</w:t>
      </w:r>
      <w:proofErr w:type="spellEnd"/>
      <w:r w:rsidR="00F13A0B" w:rsidRPr="00F13A0B">
        <w:rPr>
          <w:rFonts w:ascii="Verdana" w:eastAsia="Century Gothic" w:hAnsi="Verdana" w:cs="Century Gothic"/>
        </w:rPr>
        <w:t>) ¿puede la vigilancia contractual proyectarse sobre los contratos derivados del contrato principal, y con qué alcance?</w:t>
      </w:r>
    </w:p>
    <w:p w14:paraId="28709B59" w14:textId="77777777" w:rsidR="00B17B4C" w:rsidRPr="004B140F" w:rsidRDefault="00B17B4C" w:rsidP="00B17B4C">
      <w:pPr>
        <w:spacing w:after="0" w:line="276" w:lineRule="auto"/>
        <w:jc w:val="both"/>
        <w:rPr>
          <w:rFonts w:ascii="Verdana" w:eastAsia="Calibri" w:hAnsi="Verdana" w:cs="Arial"/>
          <w:color w:val="7030A0"/>
        </w:rPr>
      </w:pPr>
    </w:p>
    <w:p w14:paraId="0304640D" w14:textId="7F6BDCA4" w:rsidR="00B17B4C" w:rsidRPr="00593A5F" w:rsidRDefault="00B17B4C" w:rsidP="00B17B4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sidR="005E3059">
        <w:rPr>
          <w:rFonts w:ascii="Verdana" w:eastAsia="Century Gothic" w:hAnsi="Verdana" w:cs="Century Gothic"/>
          <w:b/>
          <w:bCs/>
        </w:rPr>
        <w:t>s</w:t>
      </w:r>
      <w:r w:rsidRPr="00593A5F">
        <w:rPr>
          <w:rFonts w:ascii="Verdana" w:eastAsia="Century Gothic" w:hAnsi="Verdana" w:cs="Century Gothic"/>
          <w:b/>
          <w:bCs/>
        </w:rPr>
        <w:t>:</w:t>
      </w:r>
    </w:p>
    <w:p w14:paraId="5A7EFB79" w14:textId="77777777" w:rsidR="00B17B4C" w:rsidRPr="00593A5F" w:rsidRDefault="00B17B4C" w:rsidP="00B17B4C">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17B4C" w:rsidRPr="00593A5F" w14:paraId="5BC9D87B" w14:textId="77777777" w:rsidTr="00820CE5">
        <w:trPr>
          <w:jc w:val="center"/>
        </w:trPr>
        <w:tc>
          <w:tcPr>
            <w:tcW w:w="8828" w:type="dxa"/>
          </w:tcPr>
          <w:p w14:paraId="1CB41E87" w14:textId="679D1350" w:rsidR="00F13A0B" w:rsidRPr="001B1A78" w:rsidRDefault="001B1A78" w:rsidP="00F13A0B">
            <w:pPr>
              <w:widowControl w:val="0"/>
              <w:autoSpaceDE w:val="0"/>
              <w:autoSpaceDN w:val="0"/>
              <w:spacing w:after="120" w:line="276" w:lineRule="auto"/>
              <w:jc w:val="both"/>
              <w:rPr>
                <w:rFonts w:ascii="Verdana" w:eastAsia="Calibri" w:hAnsi="Verdana" w:cs="Arial"/>
                <w:color w:val="000000" w:themeColor="text1"/>
              </w:rPr>
            </w:pPr>
            <w:bookmarkStart w:id="1" w:name="_Hlk171694685"/>
            <w:r>
              <w:rPr>
                <w:rFonts w:ascii="Verdana" w:eastAsia="Calibri" w:hAnsi="Verdana" w:cs="Arial"/>
                <w:color w:val="000000" w:themeColor="text1"/>
              </w:rPr>
              <w:t>D</w:t>
            </w:r>
            <w:r w:rsidR="00F13A0B" w:rsidRPr="00DC40FA">
              <w:rPr>
                <w:rFonts w:ascii="Verdana" w:eastAsia="Calibri" w:hAnsi="Verdana" w:cs="Arial"/>
                <w:color w:val="000000" w:themeColor="text1"/>
              </w:rPr>
              <w:t>e manera preliminar conviene precisar la terminología empleada en la consulta. Conforme al inciso segundo del artículo 83 de la Ley 1474 de 2011, la supervisión es ejercida por la propia entidad estatal cuando el seguimiento no requiere conocimientos especializados, de modo que no existe en el ordenamiento una figura de "supervisión externa": lo que la entidad puede contratar es personal de apoyo a la supervisión, sin que tales contratistas asuman de forma íntegra, directa y excluyente esa actividad. Cuando el seguimiento supone conocimiento especializado, o cuando la complejidad o la extensión del contrato lo justifican, el mecanismo es la interventoría, ejercida por una persona natural o jurídica contratada para tal fin. Uno y otro son mecanismos a través de los cuales la entidad cumple el deber legal de vigilar la correcta ejecución del objeto contratado, por lo que comparten una finalidad común y, en lo pertinente, un mismo régimen de facultades.</w:t>
            </w:r>
          </w:p>
          <w:p w14:paraId="4503DC89" w14:textId="14B48A0C" w:rsidR="00F13A0B" w:rsidRPr="00F13A0B" w:rsidRDefault="00F13A0B" w:rsidP="00DC40FA">
            <w:pPr>
              <w:widowControl w:val="0"/>
              <w:autoSpaceDE w:val="0"/>
              <w:autoSpaceDN w:val="0"/>
              <w:spacing w:after="120" w:line="276" w:lineRule="auto"/>
              <w:ind w:firstLine="709"/>
              <w:jc w:val="both"/>
              <w:rPr>
                <w:rFonts w:ascii="Verdana" w:eastAsia="Calibri" w:hAnsi="Verdana" w:cs="Arial"/>
                <w:color w:val="000000" w:themeColor="text1"/>
              </w:rPr>
            </w:pPr>
            <w:r w:rsidRPr="00DC40FA">
              <w:rPr>
                <w:rFonts w:ascii="Verdana" w:eastAsia="Calibri" w:hAnsi="Verdana" w:cs="Arial"/>
                <w:color w:val="000000" w:themeColor="text1"/>
              </w:rPr>
              <w:t>En cuanto al primer problema jurídico, conforme al artículo 83 de</w:t>
            </w:r>
            <w:r w:rsidR="00150D13">
              <w:rPr>
                <w:rFonts w:ascii="Verdana" w:eastAsia="Calibri" w:hAnsi="Verdana" w:cs="Arial"/>
                <w:color w:val="000000" w:themeColor="text1"/>
              </w:rPr>
              <w:t xml:space="preserve"> </w:t>
            </w:r>
            <w:r w:rsidRPr="00DC40FA">
              <w:rPr>
                <w:rFonts w:ascii="Verdana" w:eastAsia="Calibri" w:hAnsi="Verdana" w:cs="Arial"/>
                <w:color w:val="000000" w:themeColor="text1"/>
              </w:rPr>
              <w:t>l</w:t>
            </w:r>
            <w:r w:rsidR="00150D13">
              <w:rPr>
                <w:rFonts w:ascii="Verdana" w:eastAsia="Calibri" w:hAnsi="Verdana" w:cs="Arial"/>
                <w:color w:val="000000" w:themeColor="text1"/>
              </w:rPr>
              <w:t xml:space="preserve">a Ley 1474 de </w:t>
            </w:r>
            <w:r w:rsidR="009253C4">
              <w:rPr>
                <w:rFonts w:ascii="Verdana" w:eastAsia="Calibri" w:hAnsi="Verdana" w:cs="Arial"/>
                <w:color w:val="000000" w:themeColor="text1"/>
              </w:rPr>
              <w:t>2011 -</w:t>
            </w:r>
            <w:r w:rsidRPr="00DC40FA">
              <w:rPr>
                <w:rFonts w:ascii="Verdana" w:eastAsia="Calibri" w:hAnsi="Verdana" w:cs="Arial"/>
                <w:color w:val="000000" w:themeColor="text1"/>
              </w:rPr>
              <w:t xml:space="preserve"> Estatuto Anticorrupción y al inciso primero del artículo 84 ibidem, el seguimiento de supervisores e interventores recae sobre el cumplimiento de las obligaciones pactadas. En su faz técnica, ello implica vigilar, controlar y verificar el cumplimiento del objeto contractual y las obligaciones a cargo del contratista, así como verificar que las condiciones técnicas del bien, obra o servicio cumplan con los requisitos establecidos por la entidad y con el ofrecimiento formulado. De esta última precisión se sigue que el parámetro de verificación no se agota en los mínimos señalados en los documentos del proceso: como la oferta aceptada se integra al contrato, cuando el proponente ofreció condiciones superiores a las exigidas, esas condiciones resultan exigibles y su verificación no constituye una exigencia adicional sino la constatación de lo pactado. Tampoco se trata de una lectura meramente literal del clausulado, pues los contratos deben ejecutarse de buena fe y obligan a todo lo que corresponde a la naturaleza de la obligación, de manera que la vigilancia puede exigir que la prestación satisfaga la finalidad </w:t>
            </w:r>
            <w:r w:rsidRPr="00DC40FA">
              <w:rPr>
                <w:rFonts w:ascii="Verdana" w:eastAsia="Calibri" w:hAnsi="Verdana" w:cs="Arial"/>
                <w:color w:val="000000" w:themeColor="text1"/>
              </w:rPr>
              <w:lastRenderedPageBreak/>
              <w:t>para la cual fue contratada. Con ese alcance, la verificación se realiza dentro de las exigencias pactadas, razón por la cual supervisores e interventores pueden abstenerse de recibir obras, bienes o servicios que no satisfagan las especificaciones del contrato.</w:t>
            </w:r>
          </w:p>
          <w:p w14:paraId="40305627" w14:textId="77777777" w:rsidR="00F13A0B" w:rsidRPr="00F13A0B" w:rsidRDefault="00F13A0B" w:rsidP="00DC40FA">
            <w:pPr>
              <w:widowControl w:val="0"/>
              <w:autoSpaceDE w:val="0"/>
              <w:autoSpaceDN w:val="0"/>
              <w:spacing w:after="120" w:line="276" w:lineRule="auto"/>
              <w:ind w:firstLine="709"/>
              <w:jc w:val="both"/>
              <w:rPr>
                <w:rFonts w:ascii="Verdana" w:eastAsia="Calibri" w:hAnsi="Verdana" w:cs="Arial"/>
                <w:color w:val="000000" w:themeColor="text1"/>
              </w:rPr>
            </w:pPr>
            <w:r w:rsidRPr="00DC40FA">
              <w:rPr>
                <w:rFonts w:ascii="Verdana" w:eastAsia="Calibri" w:hAnsi="Verdana" w:cs="Arial"/>
                <w:color w:val="000000" w:themeColor="text1"/>
              </w:rPr>
              <w:t>Cosa distinta son las recomendaciones o sugerencias de mejora formuladas por fuera del contenido obligacional. Nada impide que, en desarrollo de su función de coordinación y de su conocimiento técnico, quien ejerce la vigilancia proponga alternativas orientadas a optimizar el resultado. Sin embargo, tales sugerencias carecen de carácter vinculante: su desatención no constituye incumplimiento contractual, no puede fundar la negativa a recibir una prestación conforme a lo pactado ni dar lugar a requerimientos o actuaciones sancionatorias. Solo adquirirían fuerza obligatoria si las partes las incorporan al contrato mediante la modificación correspondiente.</w:t>
            </w:r>
          </w:p>
          <w:p w14:paraId="1965DC9A" w14:textId="77777777" w:rsidR="00F13A0B" w:rsidRPr="00F13A0B" w:rsidRDefault="00F13A0B" w:rsidP="00DC40FA">
            <w:pPr>
              <w:widowControl w:val="0"/>
              <w:autoSpaceDE w:val="0"/>
              <w:autoSpaceDN w:val="0"/>
              <w:spacing w:after="120" w:line="276" w:lineRule="auto"/>
              <w:ind w:firstLine="709"/>
              <w:jc w:val="both"/>
              <w:rPr>
                <w:rFonts w:ascii="Verdana" w:eastAsia="Calibri" w:hAnsi="Verdana" w:cs="Arial"/>
                <w:color w:val="000000" w:themeColor="text1"/>
              </w:rPr>
            </w:pPr>
            <w:r w:rsidRPr="00DC40FA">
              <w:rPr>
                <w:rFonts w:ascii="Verdana" w:eastAsia="Calibri" w:hAnsi="Verdana" w:cs="Arial"/>
                <w:color w:val="000000" w:themeColor="text1"/>
              </w:rPr>
              <w:t xml:space="preserve">Respecto del segundo problema jurídico, el inciso segundo del artículo 84 del Estatuto Anticorrupción faculta a la supervisión y a la interventoría para solicitar informes, aclaraciones y explicaciones sobre el desarrollo de la ejecución contractual, así como para mantener el control y la coordinación permanentes sobre el desarrollo del contrato mediante reuniones, visitas y demás actividades pertinentes y necesarias. Esta potestad instrumental de información y verificación proviene directamente de la ley y su ejercicio no está condicionado a que los informes o la información se hallen expresamente enunciados en el clausulado. Debe distinguirse, sin embargo, esa potestad de la incorporación de nuevas prestaciones o entregables no convenidos, que comporta una modificación del contenido obligacional del contrato y excede por completo las competencias de quien ejerce la vigilancia: ni el supervisor ni el interventor son parte del contrato vigilado, de modo que su función es verificar el cumplimiento de lo pactado y no configurar la relación obligacional. Toda modificación exige el acuerdo de las partes, su formalización por escrito y la intervención de quien ostenta la competencia contractual en la entidad. En consecuencia, los requerimientos deben guardar relación directa con la verificación de las obligaciones convenidas, resultar proporcionados y no traducirse, por vía de hecho, en cargas nuevas que alteren el objeto, el alcance o la ecuación económica del contrato. El criterio de deslinde es funcional: si el requerimiento sirve para constatar el cumplimiento de una obligación existente, es legítimo; si comporta una prestación adicional exigible en sí </w:t>
            </w:r>
            <w:r w:rsidRPr="00DC40FA">
              <w:rPr>
                <w:rFonts w:ascii="Verdana" w:eastAsia="Calibri" w:hAnsi="Verdana" w:cs="Arial"/>
                <w:color w:val="000000" w:themeColor="text1"/>
              </w:rPr>
              <w:lastRenderedPageBreak/>
              <w:t>misma, requiere modificación contractual. A ello se agrega que la metodología de la vigilancia se formaliza ordinariamente en los manuales que expiden las entidades, de modo que el seguimiento se somete a la ley, a dichos manuales y a las condiciones establecidas tanto en el contrato de interventoría como en el contrato vigilado.</w:t>
            </w:r>
          </w:p>
          <w:p w14:paraId="73CCCFE4" w14:textId="77777777" w:rsidR="00F13A0B" w:rsidRPr="00F13A0B" w:rsidRDefault="00F13A0B" w:rsidP="00DC40FA">
            <w:pPr>
              <w:widowControl w:val="0"/>
              <w:autoSpaceDE w:val="0"/>
              <w:autoSpaceDN w:val="0"/>
              <w:spacing w:after="120" w:line="276" w:lineRule="auto"/>
              <w:ind w:firstLine="709"/>
              <w:jc w:val="both"/>
              <w:rPr>
                <w:rFonts w:ascii="Verdana" w:eastAsia="Calibri" w:hAnsi="Verdana" w:cs="Arial"/>
                <w:color w:val="000000" w:themeColor="text1"/>
              </w:rPr>
            </w:pPr>
            <w:r w:rsidRPr="00DC40FA">
              <w:rPr>
                <w:rFonts w:ascii="Verdana" w:eastAsia="Calibri" w:hAnsi="Verdana" w:cs="Arial"/>
                <w:color w:val="000000" w:themeColor="text1"/>
              </w:rPr>
              <w:t>Finalmente, en cuanto al tercer problema jurídico —entendiendo que la consulta alude a los subcontratos celebrados por el contratista para la ejecución parcial del contrato principal—, la subcontratación implica un contrato derivado cuyo objeto está en función de la realización material de aquel, sin que los eventuales niveles de subcontratación alteren ese carácter. Como ha señalado el Consejo de Estado, la diferencia entre la relación de la entidad con el contratista y la de este con el subcontratista no obstruye la facultad de control y vigilancia prevista en el EGCAP, pues el contratista responde por los incumplimientos del contrato principal con independencia de que se originen o no en la contratación derivada. Por ello, la facultad de dirección y control puede proyectarse sobre los subcontratistas, pese a que estos se vinculan mediante una relación jurídica distinta, y se ejerce ordinariamente por conducto de la supervisión o la interventoría, en los términos y con el alcance que definan el contrato de interventoría y los manuales internos. Esta proyección tiene un límite preciso: la entidad puede exigir a los subcontratistas el cumplimiento de las obligaciones que asumieron frente al contratista, pero el ejercicio de la prerrogativa se encuentra limitado a esas actividades, de modo que excederlo torna inválida la actuación al exigir obligaciones no asumidas. De allí la importancia de que las entidades conozcan debidamente los términos y la extensión de los subcontratos celebrados, sin que la actuación de la vigilancia genere vínculo contractual alguno con el subcontratista ni releve al contratista de su responsabilidad.</w:t>
            </w:r>
          </w:p>
          <w:p w14:paraId="08BD2890" w14:textId="77777777" w:rsidR="00B17B4C" w:rsidRPr="001941FD" w:rsidRDefault="00B17B4C" w:rsidP="00820CE5">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w:t>
            </w:r>
            <w:r w:rsidRPr="00A47393">
              <w:rPr>
                <w:rStyle w:val="s15"/>
                <w:rFonts w:ascii="Verdana" w:hAnsi="Verdana"/>
                <w:color w:val="000000"/>
              </w:rPr>
              <w:lastRenderedPageBreak/>
              <w:t>Así, cada entidad definirá la forma de adelantar su gestión contractual, sin que sea atribución de Colombia Compra Eficiente validar sus actuaciones.</w:t>
            </w:r>
          </w:p>
        </w:tc>
      </w:tr>
    </w:tbl>
    <w:p w14:paraId="6982BB0D" w14:textId="77777777" w:rsidR="00B17B4C" w:rsidRPr="00593A5F" w:rsidRDefault="00B17B4C" w:rsidP="00B17B4C">
      <w:pPr>
        <w:tabs>
          <w:tab w:val="left" w:pos="142"/>
          <w:tab w:val="left" w:pos="284"/>
        </w:tabs>
        <w:spacing w:after="0" w:line="276" w:lineRule="auto"/>
        <w:jc w:val="both"/>
        <w:rPr>
          <w:rFonts w:ascii="Verdana" w:eastAsia="Century Gothic" w:hAnsi="Verdana" w:cs="Century Gothic"/>
          <w:b/>
          <w:bCs/>
          <w:lang w:val="es-ES"/>
        </w:rPr>
      </w:pPr>
    </w:p>
    <w:bookmarkEnd w:id="1"/>
    <w:p w14:paraId="574ECFCB" w14:textId="094C9D56" w:rsidR="00B17B4C" w:rsidRPr="00593A5F" w:rsidRDefault="00B17B4C" w:rsidP="00B17B4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sidR="00350BEB">
        <w:rPr>
          <w:rFonts w:ascii="Verdana" w:eastAsia="Century Gothic" w:hAnsi="Verdana" w:cs="Century Gothic"/>
          <w:b/>
          <w:bCs/>
        </w:rPr>
        <w:t>s</w:t>
      </w:r>
      <w:r w:rsidRPr="00593A5F">
        <w:rPr>
          <w:rFonts w:ascii="Verdana" w:eastAsia="Century Gothic" w:hAnsi="Verdana" w:cs="Century Gothic"/>
          <w:b/>
          <w:bCs/>
        </w:rPr>
        <w:t xml:space="preserve"> respuesta</w:t>
      </w:r>
      <w:r w:rsidR="00350BEB">
        <w:rPr>
          <w:rFonts w:ascii="Verdana" w:eastAsia="Century Gothic" w:hAnsi="Verdana" w:cs="Century Gothic"/>
          <w:b/>
          <w:bCs/>
        </w:rPr>
        <w:t>s</w:t>
      </w:r>
      <w:r w:rsidRPr="00593A5F">
        <w:rPr>
          <w:rFonts w:ascii="Verdana" w:eastAsia="Century Gothic" w:hAnsi="Verdana" w:cs="Century Gothic"/>
          <w:b/>
          <w:bCs/>
        </w:rPr>
        <w:t>:</w:t>
      </w:r>
    </w:p>
    <w:p w14:paraId="05867212" w14:textId="77777777" w:rsidR="00B17B4C" w:rsidRPr="00593A5F" w:rsidRDefault="00B17B4C" w:rsidP="00B17B4C">
      <w:pPr>
        <w:spacing w:after="0" w:line="276" w:lineRule="auto"/>
        <w:jc w:val="both"/>
        <w:rPr>
          <w:rFonts w:ascii="Verdana" w:eastAsia="Calibri" w:hAnsi="Verdana" w:cs="Arial"/>
          <w:color w:val="7030A0"/>
          <w:lang w:val="es-ES"/>
        </w:rPr>
      </w:pPr>
    </w:p>
    <w:p w14:paraId="11D2CF6B" w14:textId="77777777" w:rsidR="00B17B4C" w:rsidRDefault="00B17B4C" w:rsidP="00B17B4C">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5F6BFC28" w14:textId="77777777" w:rsidR="00B17B4C" w:rsidRPr="00415608" w:rsidRDefault="00B17B4C" w:rsidP="00B17B4C">
      <w:pPr>
        <w:spacing w:after="0" w:line="276" w:lineRule="auto"/>
        <w:jc w:val="both"/>
        <w:rPr>
          <w:rFonts w:ascii="Verdana" w:eastAsia="Calibri" w:hAnsi="Verdana" w:cs="Arial"/>
          <w:lang w:val="es-ES"/>
        </w:rPr>
      </w:pPr>
    </w:p>
    <w:p w14:paraId="4CB584E4" w14:textId="77777777" w:rsidR="00B17B4C" w:rsidRPr="00984E13" w:rsidRDefault="00B17B4C" w:rsidP="00B17B4C">
      <w:pPr>
        <w:widowControl w:val="0"/>
        <w:autoSpaceDE w:val="0"/>
        <w:autoSpaceDN w:val="0"/>
        <w:spacing w:after="120" w:line="276" w:lineRule="auto"/>
        <w:jc w:val="both"/>
        <w:rPr>
          <w:rFonts w:ascii="Verdana" w:eastAsia="Arial MT" w:hAnsi="Verdana" w:cs="Arial"/>
          <w:color w:val="000000" w:themeColor="text1"/>
          <w:lang w:val="es-ES"/>
        </w:rPr>
      </w:pPr>
      <w:r w:rsidRPr="00984E13">
        <w:rPr>
          <w:rFonts w:ascii="Verdana" w:eastAsia="Arial MT" w:hAnsi="Verdana" w:cs="Arial"/>
          <w:color w:val="000000" w:themeColor="text1"/>
          <w:lang w:val="es-ES"/>
        </w:rPr>
        <w:t>A</w:t>
      </w:r>
      <w:r w:rsidRPr="00984E13">
        <w:rPr>
          <w:rFonts w:ascii="Verdana" w:eastAsia="Arial MT" w:hAnsi="Verdana" w:cs="Arial"/>
          <w:color w:val="000000" w:themeColor="text1"/>
          <w:spacing w:val="-8"/>
          <w:lang w:val="es-ES"/>
        </w:rPr>
        <w:t xml:space="preserve"> </w:t>
      </w:r>
      <w:r w:rsidRPr="00984E13">
        <w:rPr>
          <w:rFonts w:ascii="Verdana" w:eastAsia="Arial MT" w:hAnsi="Verdana" w:cs="Arial"/>
          <w:color w:val="000000" w:themeColor="text1"/>
          <w:lang w:val="es-ES"/>
        </w:rPr>
        <w:t>través</w:t>
      </w:r>
      <w:r w:rsidRPr="00984E13">
        <w:rPr>
          <w:rFonts w:ascii="Verdana" w:eastAsia="Arial MT" w:hAnsi="Verdana" w:cs="Arial"/>
          <w:color w:val="000000" w:themeColor="text1"/>
          <w:spacing w:val="-8"/>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8"/>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8"/>
          <w:lang w:val="es-ES"/>
        </w:rPr>
        <w:t xml:space="preserve"> </w:t>
      </w:r>
      <w:r w:rsidRPr="00984E13">
        <w:rPr>
          <w:rFonts w:ascii="Verdana" w:eastAsia="Arial MT" w:hAnsi="Verdana" w:cs="Arial"/>
          <w:color w:val="000000" w:themeColor="text1"/>
          <w:lang w:val="es-ES"/>
        </w:rPr>
        <w:t>actividad</w:t>
      </w:r>
      <w:r w:rsidRPr="00984E13">
        <w:rPr>
          <w:rFonts w:ascii="Verdana" w:eastAsia="Arial MT" w:hAnsi="Verdana" w:cs="Arial"/>
          <w:color w:val="000000" w:themeColor="text1"/>
          <w:spacing w:val="-8"/>
          <w:lang w:val="es-ES"/>
        </w:rPr>
        <w:t xml:space="preserve"> </w:t>
      </w:r>
      <w:r w:rsidRPr="00984E13">
        <w:rPr>
          <w:rFonts w:ascii="Verdana" w:eastAsia="Arial MT" w:hAnsi="Verdana" w:cs="Arial"/>
          <w:color w:val="000000" w:themeColor="text1"/>
          <w:lang w:val="es-ES"/>
        </w:rPr>
        <w:t>contractual,</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el</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Estado</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adquiere</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bienes,</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obras</w:t>
      </w:r>
      <w:r w:rsidRPr="00984E13">
        <w:rPr>
          <w:rFonts w:ascii="Verdana" w:eastAsia="Arial MT" w:hAnsi="Verdana" w:cs="Arial"/>
          <w:color w:val="000000" w:themeColor="text1"/>
          <w:spacing w:val="-10"/>
          <w:lang w:val="es-ES"/>
        </w:rPr>
        <w:t xml:space="preserve"> </w:t>
      </w:r>
      <w:r w:rsidRPr="00984E13">
        <w:rPr>
          <w:rFonts w:ascii="Verdana" w:eastAsia="Arial MT" w:hAnsi="Verdana" w:cs="Arial"/>
          <w:color w:val="000000" w:themeColor="text1"/>
          <w:lang w:val="es-ES"/>
        </w:rPr>
        <w:t>y</w:t>
      </w:r>
      <w:r w:rsidRPr="00984E13">
        <w:rPr>
          <w:rFonts w:ascii="Verdana" w:eastAsia="Arial MT" w:hAnsi="Verdana" w:cs="Arial"/>
          <w:color w:val="000000" w:themeColor="text1"/>
          <w:spacing w:val="-10"/>
          <w:lang w:val="es-ES"/>
        </w:rPr>
        <w:t xml:space="preserve"> </w:t>
      </w:r>
      <w:r w:rsidRPr="00984E13">
        <w:rPr>
          <w:rFonts w:ascii="Verdana" w:eastAsia="Arial MT" w:hAnsi="Verdana" w:cs="Arial"/>
          <w:color w:val="000000" w:themeColor="text1"/>
          <w:lang w:val="es-ES"/>
        </w:rPr>
        <w:t>servicios</w:t>
      </w:r>
      <w:r w:rsidRPr="00984E13">
        <w:rPr>
          <w:rFonts w:ascii="Verdana" w:eastAsia="Arial MT" w:hAnsi="Verdana" w:cs="Arial"/>
          <w:color w:val="000000" w:themeColor="text1"/>
          <w:spacing w:val="-8"/>
          <w:lang w:val="es-ES"/>
        </w:rPr>
        <w:t xml:space="preserve"> </w:t>
      </w:r>
      <w:r w:rsidRPr="00984E13">
        <w:rPr>
          <w:rFonts w:ascii="Verdana" w:eastAsia="Arial MT" w:hAnsi="Verdana" w:cs="Arial"/>
          <w:color w:val="000000" w:themeColor="text1"/>
          <w:lang w:val="es-ES"/>
        </w:rPr>
        <w:t>para</w:t>
      </w:r>
      <w:r w:rsidRPr="00984E13">
        <w:rPr>
          <w:rFonts w:ascii="Verdana" w:eastAsia="Arial MT" w:hAnsi="Verdana" w:cs="Arial"/>
          <w:color w:val="000000" w:themeColor="text1"/>
          <w:spacing w:val="-8"/>
          <w:lang w:val="es-ES"/>
        </w:rPr>
        <w:t xml:space="preserve"> </w:t>
      </w:r>
      <w:r w:rsidRPr="00984E13">
        <w:rPr>
          <w:rFonts w:ascii="Verdana" w:eastAsia="Arial MT" w:hAnsi="Verdana" w:cs="Arial"/>
          <w:color w:val="000000" w:themeColor="text1"/>
          <w:lang w:val="es-ES"/>
        </w:rPr>
        <w:t>cumplir</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los</w:t>
      </w:r>
      <w:r w:rsidRPr="00AD1070">
        <w:rPr>
          <w:rFonts w:ascii="Verdana" w:eastAsia="Arial MT" w:hAnsi="Verdana" w:cs="Arial"/>
          <w:color w:val="000000" w:themeColor="text1"/>
          <w:lang w:val="es-ES"/>
        </w:rPr>
        <w:t xml:space="preserve"> fines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que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impone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el</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ordenamiento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jurídico,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garantizando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así</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continuidad</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y</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eficiente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prestación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los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servicios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públicos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y</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efectividad</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los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derechos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intereses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los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administrados</w:t>
      </w:r>
      <w:r w:rsidRPr="00984E13">
        <w:rPr>
          <w:rFonts w:ascii="Verdana" w:eastAsia="Arial MT" w:hAnsi="Verdana" w:cs="Arial"/>
          <w:color w:val="000000" w:themeColor="text1"/>
          <w:vertAlign w:val="superscript"/>
          <w:lang w:val="es-ES"/>
        </w:rPr>
        <w:footnoteReference w:id="1"/>
      </w:r>
      <w:r w:rsidRPr="00984E13">
        <w:rPr>
          <w:rFonts w:ascii="Verdana" w:eastAsia="Arial MT" w:hAnsi="Verdana" w:cs="Arial"/>
          <w:color w:val="000000" w:themeColor="text1"/>
          <w:lang w:val="es-ES"/>
        </w:rPr>
        <w:t>. Para la garantía de los fines de interés general involucrados en la contratación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las</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entidades</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estatales,</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el</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Estatuto</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General</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Contratación</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Administración</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Pública</w:t>
      </w:r>
      <w:r w:rsidRPr="00984E13">
        <w:rPr>
          <w:rFonts w:ascii="Verdana" w:eastAsia="Arial MT" w:hAnsi="Verdana" w:cs="Arial"/>
          <w:color w:val="000000" w:themeColor="text1"/>
          <w:spacing w:val="-4"/>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59"/>
          <w:lang w:val="es-ES"/>
        </w:rPr>
        <w:t xml:space="preserve"> </w:t>
      </w:r>
      <w:r w:rsidRPr="00984E13">
        <w:rPr>
          <w:rFonts w:ascii="Verdana" w:eastAsia="Arial MT" w:hAnsi="Verdana" w:cs="Arial"/>
          <w:color w:val="000000" w:themeColor="text1"/>
          <w:lang w:val="es-ES"/>
        </w:rPr>
        <w:t>adelante EGCAP– dispone que, en la etapa de ejecución del contrato, las autoridades y</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los</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servidores</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públicos</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que</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participan</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ella</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tienen</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obligación</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controlar</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y</w:t>
      </w:r>
      <w:r w:rsidRPr="00984E13">
        <w:rPr>
          <w:rFonts w:ascii="Verdana" w:eastAsia="Arial MT" w:hAnsi="Verdana" w:cs="Arial"/>
          <w:color w:val="000000" w:themeColor="text1"/>
          <w:spacing w:val="-8"/>
          <w:lang w:val="es-ES"/>
        </w:rPr>
        <w:t xml:space="preserve"> </w:t>
      </w:r>
      <w:r w:rsidRPr="00984E13">
        <w:rPr>
          <w:rFonts w:ascii="Verdana" w:eastAsia="Arial MT" w:hAnsi="Verdana" w:cs="Arial"/>
          <w:color w:val="000000" w:themeColor="text1"/>
          <w:lang w:val="es-ES"/>
        </w:rPr>
        <w:t>vigilar</w:t>
      </w:r>
      <w:r w:rsidRPr="00984E13">
        <w:rPr>
          <w:rFonts w:ascii="Verdana" w:eastAsia="Arial MT" w:hAnsi="Verdana" w:cs="Arial"/>
          <w:color w:val="000000" w:themeColor="text1"/>
          <w:spacing w:val="-2"/>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correcta ejecución del objeto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contratado.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Lo anterior</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busca que las finalidades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perseguidas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 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celebración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de los</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contratos estatales se</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logren de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manera satisfactoria.</w:t>
      </w:r>
    </w:p>
    <w:p w14:paraId="6AB7EA0E" w14:textId="77777777" w:rsidR="00B17B4C" w:rsidRPr="00984E13"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ES"/>
        </w:rPr>
      </w:pPr>
      <w:r w:rsidRPr="00984E13">
        <w:rPr>
          <w:rFonts w:ascii="Verdana" w:eastAsia="Arial MT" w:hAnsi="Verdana" w:cs="Arial"/>
          <w:color w:val="000000" w:themeColor="text1"/>
          <w:lang w:val="es-ES"/>
        </w:rPr>
        <w:t>El seguimiento de la ejecución del contrato, para la dirección, control y vigilancia de su</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correcto cumplimiento, es un deber legal que permite a las entidades estatales tomar medidas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orientadas a la satisfacción de los fines de la contratación. Por esto, el EGCAP alude a 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obligación mencionada, que guarda relación con el principio de responsabilidad que rige 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celebración y ejecución de los contratos estatales. Así, por ejemplo, los artículos 4, 5, 12, 14 y</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spacing w:val="-1"/>
          <w:lang w:val="es-ES"/>
        </w:rPr>
        <w:t>26</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spacing w:val="-1"/>
          <w:lang w:val="es-ES"/>
        </w:rPr>
        <w:t>de</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spacing w:val="-1"/>
          <w:lang w:val="es-ES"/>
        </w:rPr>
        <w:t>la</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Ley</w:t>
      </w:r>
      <w:r w:rsidRPr="00984E13">
        <w:rPr>
          <w:rFonts w:ascii="Verdana" w:eastAsia="Arial MT" w:hAnsi="Verdana" w:cs="Arial"/>
          <w:color w:val="000000" w:themeColor="text1"/>
          <w:spacing w:val="-16"/>
          <w:lang w:val="es-ES"/>
        </w:rPr>
        <w:t xml:space="preserve"> </w:t>
      </w:r>
      <w:r w:rsidRPr="00984E13">
        <w:rPr>
          <w:rFonts w:ascii="Verdana" w:eastAsia="Arial MT" w:hAnsi="Verdana" w:cs="Arial"/>
          <w:color w:val="000000" w:themeColor="text1"/>
          <w:lang w:val="es-ES"/>
        </w:rPr>
        <w:t>80</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1993</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consagran</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normas</w:t>
      </w:r>
      <w:r w:rsidRPr="00984E13">
        <w:rPr>
          <w:rFonts w:ascii="Verdana" w:eastAsia="Arial MT" w:hAnsi="Verdana" w:cs="Arial"/>
          <w:color w:val="000000" w:themeColor="text1"/>
          <w:spacing w:val="-16"/>
          <w:lang w:val="es-ES"/>
        </w:rPr>
        <w:t xml:space="preserve"> </w:t>
      </w:r>
      <w:r w:rsidRPr="00984E13">
        <w:rPr>
          <w:rFonts w:ascii="Verdana" w:eastAsia="Arial MT" w:hAnsi="Verdana" w:cs="Arial"/>
          <w:color w:val="000000" w:themeColor="text1"/>
          <w:lang w:val="es-ES"/>
        </w:rPr>
        <w:t>relacionadas</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con</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el</w:t>
      </w:r>
      <w:r w:rsidRPr="00984E13">
        <w:rPr>
          <w:rFonts w:ascii="Verdana" w:eastAsia="Arial MT" w:hAnsi="Verdana" w:cs="Arial"/>
          <w:color w:val="000000" w:themeColor="text1"/>
          <w:spacing w:val="-15"/>
          <w:lang w:val="es-ES"/>
        </w:rPr>
        <w:t xml:space="preserve"> </w:t>
      </w:r>
      <w:r w:rsidRPr="00984E13">
        <w:rPr>
          <w:rFonts w:ascii="Verdana" w:eastAsia="Arial MT" w:hAnsi="Verdana" w:cs="Arial"/>
          <w:color w:val="000000" w:themeColor="text1"/>
          <w:lang w:val="es-ES"/>
        </w:rPr>
        <w:t>control</w:t>
      </w:r>
      <w:r w:rsidRPr="00984E13">
        <w:rPr>
          <w:rFonts w:ascii="Verdana" w:eastAsia="Arial MT" w:hAnsi="Verdana" w:cs="Arial"/>
          <w:color w:val="000000" w:themeColor="text1"/>
          <w:spacing w:val="-15"/>
          <w:lang w:val="es-ES"/>
        </w:rPr>
        <w:t xml:space="preserve"> </w:t>
      </w:r>
      <w:r w:rsidRPr="00984E13">
        <w:rPr>
          <w:rFonts w:ascii="Verdana" w:eastAsia="Arial MT" w:hAnsi="Verdana" w:cs="Arial"/>
          <w:color w:val="000000" w:themeColor="text1"/>
          <w:lang w:val="es-ES"/>
        </w:rPr>
        <w:t>y</w:t>
      </w:r>
      <w:r w:rsidRPr="00984E13">
        <w:rPr>
          <w:rFonts w:ascii="Verdana" w:eastAsia="Arial MT" w:hAnsi="Verdana" w:cs="Arial"/>
          <w:color w:val="000000" w:themeColor="text1"/>
          <w:spacing w:val="-16"/>
          <w:lang w:val="es-ES"/>
        </w:rPr>
        <w:t xml:space="preserve"> </w:t>
      </w:r>
      <w:r w:rsidRPr="00984E13">
        <w:rPr>
          <w:rFonts w:ascii="Verdana" w:eastAsia="Arial MT" w:hAnsi="Verdana" w:cs="Arial"/>
          <w:color w:val="000000" w:themeColor="text1"/>
          <w:lang w:val="es-ES"/>
        </w:rPr>
        <w:t>vigilancia</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3"/>
          <w:lang w:val="es-ES"/>
        </w:rPr>
        <w:t xml:space="preserve"> </w:t>
      </w:r>
      <w:r w:rsidRPr="00984E13">
        <w:rPr>
          <w:rFonts w:ascii="Verdana" w:eastAsia="Arial MT" w:hAnsi="Verdana" w:cs="Arial"/>
          <w:color w:val="000000" w:themeColor="text1"/>
          <w:lang w:val="es-ES"/>
        </w:rPr>
        <w:t>ejecución de los contratos estatales. Estas disposiciones establecen, entre otros aspectos, la obligación de las entidades estatales de velar por el correcto y oportuno cumplimiento de las prestaciones del contrato, las especificaciones de los bienes, obras y servicios objeto de este, y las condiciones de calidad ofrecidas,</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entre</w:t>
      </w:r>
      <w:r w:rsidRPr="00984E13">
        <w:rPr>
          <w:rFonts w:ascii="Verdana" w:eastAsia="Arial MT" w:hAnsi="Verdana" w:cs="Arial"/>
          <w:color w:val="000000" w:themeColor="text1"/>
          <w:spacing w:val="-10"/>
          <w:lang w:val="es-ES"/>
        </w:rPr>
        <w:t xml:space="preserve"> </w:t>
      </w:r>
      <w:r w:rsidRPr="00984E13">
        <w:rPr>
          <w:rFonts w:ascii="Verdana" w:eastAsia="Arial MT" w:hAnsi="Verdana" w:cs="Arial"/>
          <w:color w:val="000000" w:themeColor="text1"/>
          <w:lang w:val="es-ES"/>
        </w:rPr>
        <w:t>otras.</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Esta</w:t>
      </w:r>
      <w:r w:rsidRPr="00984E13">
        <w:rPr>
          <w:rFonts w:ascii="Verdana" w:eastAsia="Arial MT" w:hAnsi="Verdana" w:cs="Arial"/>
          <w:color w:val="000000" w:themeColor="text1"/>
          <w:spacing w:val="-13"/>
          <w:lang w:val="es-ES"/>
        </w:rPr>
        <w:t xml:space="preserve"> </w:t>
      </w:r>
      <w:r w:rsidRPr="00984E13">
        <w:rPr>
          <w:rFonts w:ascii="Verdana" w:eastAsia="Arial MT" w:hAnsi="Verdana" w:cs="Arial"/>
          <w:color w:val="000000" w:themeColor="text1"/>
          <w:lang w:val="es-ES"/>
        </w:rPr>
        <w:t>obligación</w:t>
      </w:r>
      <w:r w:rsidRPr="00984E13">
        <w:rPr>
          <w:rFonts w:ascii="Verdana" w:eastAsia="Arial MT" w:hAnsi="Verdana" w:cs="Arial"/>
          <w:color w:val="000000" w:themeColor="text1"/>
          <w:spacing w:val="-13"/>
          <w:lang w:val="es-ES"/>
        </w:rPr>
        <w:t xml:space="preserve"> </w:t>
      </w:r>
      <w:r w:rsidRPr="00984E13">
        <w:rPr>
          <w:rFonts w:ascii="Verdana" w:eastAsia="Arial MT" w:hAnsi="Verdana" w:cs="Arial"/>
          <w:color w:val="000000" w:themeColor="text1"/>
          <w:lang w:val="es-ES"/>
        </w:rPr>
        <w:t>se</w:t>
      </w:r>
      <w:r w:rsidRPr="00984E13">
        <w:rPr>
          <w:rFonts w:ascii="Verdana" w:eastAsia="Arial MT" w:hAnsi="Verdana" w:cs="Arial"/>
          <w:color w:val="000000" w:themeColor="text1"/>
          <w:spacing w:val="-10"/>
          <w:lang w:val="es-ES"/>
        </w:rPr>
        <w:t xml:space="preserve"> </w:t>
      </w:r>
      <w:r w:rsidRPr="00984E13">
        <w:rPr>
          <w:rFonts w:ascii="Verdana" w:eastAsia="Arial MT" w:hAnsi="Verdana" w:cs="Arial"/>
          <w:color w:val="000000" w:themeColor="text1"/>
          <w:lang w:val="es-ES"/>
        </w:rPr>
        <w:t>predica,</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12"/>
          <w:lang w:val="es-ES"/>
        </w:rPr>
        <w:t xml:space="preserve"> </w:t>
      </w:r>
      <w:r w:rsidRPr="00984E13">
        <w:rPr>
          <w:rFonts w:ascii="Verdana" w:eastAsia="Arial MT" w:hAnsi="Verdana" w:cs="Arial"/>
          <w:color w:val="000000" w:themeColor="text1"/>
          <w:lang w:val="es-ES"/>
        </w:rPr>
        <w:t>principio,</w:t>
      </w:r>
      <w:r w:rsidRPr="00984E13">
        <w:rPr>
          <w:rFonts w:ascii="Verdana" w:eastAsia="Arial MT" w:hAnsi="Verdana" w:cs="Arial"/>
          <w:color w:val="000000" w:themeColor="text1"/>
          <w:spacing w:val="-9"/>
          <w:lang w:val="es-ES"/>
        </w:rPr>
        <w:t xml:space="preserve"> </w:t>
      </w:r>
      <w:r w:rsidRPr="00984E13">
        <w:rPr>
          <w:rFonts w:ascii="Verdana" w:eastAsia="Arial MT" w:hAnsi="Verdana" w:cs="Arial"/>
          <w:color w:val="000000" w:themeColor="text1"/>
          <w:lang w:val="es-ES"/>
        </w:rPr>
        <w:t>del</w:t>
      </w:r>
      <w:r w:rsidRPr="00984E13">
        <w:rPr>
          <w:rFonts w:ascii="Verdana" w:eastAsia="Arial MT" w:hAnsi="Verdana" w:cs="Arial"/>
          <w:color w:val="000000" w:themeColor="text1"/>
          <w:spacing w:val="-11"/>
          <w:lang w:val="es-ES"/>
        </w:rPr>
        <w:t xml:space="preserve"> </w:t>
      </w:r>
      <w:r w:rsidRPr="00984E13">
        <w:rPr>
          <w:rFonts w:ascii="Verdana" w:eastAsia="Arial MT" w:hAnsi="Verdana" w:cs="Arial"/>
          <w:color w:val="000000" w:themeColor="text1"/>
          <w:lang w:val="es-ES"/>
        </w:rPr>
        <w:t>jefe</w:t>
      </w:r>
      <w:r w:rsidRPr="00984E13">
        <w:rPr>
          <w:rFonts w:ascii="Verdana" w:eastAsia="Arial MT" w:hAnsi="Verdana" w:cs="Arial"/>
          <w:color w:val="000000" w:themeColor="text1"/>
          <w:spacing w:val="-10"/>
          <w:lang w:val="es-ES"/>
        </w:rPr>
        <w:t xml:space="preserve"> </w:t>
      </w:r>
      <w:r w:rsidRPr="00984E13">
        <w:rPr>
          <w:rFonts w:ascii="Verdana" w:eastAsia="Arial MT" w:hAnsi="Verdana" w:cs="Arial"/>
          <w:color w:val="000000" w:themeColor="text1"/>
          <w:lang w:val="es-ES"/>
        </w:rPr>
        <w:t>o</w:t>
      </w:r>
      <w:r w:rsidRPr="00984E13">
        <w:rPr>
          <w:rFonts w:ascii="Verdana" w:eastAsia="Arial MT" w:hAnsi="Verdana" w:cs="Arial"/>
          <w:color w:val="000000" w:themeColor="text1"/>
          <w:spacing w:val="-15"/>
          <w:lang w:val="es-ES"/>
        </w:rPr>
        <w:t xml:space="preserve"> </w:t>
      </w:r>
      <w:r w:rsidRPr="00984E13">
        <w:rPr>
          <w:rFonts w:ascii="Verdana" w:eastAsia="Arial MT" w:hAnsi="Verdana" w:cs="Arial"/>
          <w:color w:val="000000" w:themeColor="text1"/>
          <w:lang w:val="es-ES"/>
        </w:rPr>
        <w:t>representante</w:t>
      </w:r>
      <w:r w:rsidRPr="00984E13">
        <w:rPr>
          <w:rFonts w:ascii="Verdana" w:eastAsia="Arial MT" w:hAnsi="Verdana" w:cs="Arial"/>
          <w:color w:val="000000" w:themeColor="text1"/>
          <w:spacing w:val="-59"/>
          <w:lang w:val="es-ES"/>
        </w:rPr>
        <w:t xml:space="preserve"> </w:t>
      </w:r>
      <w:r w:rsidRPr="00984E13">
        <w:rPr>
          <w:rFonts w:ascii="Verdana" w:eastAsia="Arial MT" w:hAnsi="Verdana" w:cs="Arial"/>
          <w:color w:val="000000" w:themeColor="text1"/>
          <w:lang w:val="es-ES"/>
        </w:rPr>
        <w:t>legal de la entidad, por tener la responsabilidad de la dirección y manejo de la actividad</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contractual, pero también de los servidores públicos que intervienen en ella. En ese sentido, las</w:t>
      </w:r>
      <w:r w:rsidRPr="00984E13">
        <w:rPr>
          <w:rFonts w:ascii="Verdana" w:eastAsia="Arial MT" w:hAnsi="Verdana" w:cs="Arial"/>
          <w:color w:val="000000" w:themeColor="text1"/>
          <w:spacing w:val="-59"/>
          <w:lang w:val="es-ES"/>
        </w:rPr>
        <w:t xml:space="preserve"> </w:t>
      </w:r>
      <w:r w:rsidRPr="00984E13">
        <w:rPr>
          <w:rFonts w:ascii="Verdana" w:eastAsia="Arial MT" w:hAnsi="Verdana" w:cs="Arial"/>
          <w:color w:val="000000" w:themeColor="text1"/>
          <w:lang w:val="es-ES"/>
        </w:rPr>
        <w:t>entidades estatales deben ejercer el control de la ejecución del contrato y, de ser el caso, tomar</w:t>
      </w:r>
      <w:r w:rsidRPr="00984E13">
        <w:rPr>
          <w:rFonts w:ascii="Verdana" w:eastAsia="Arial MT" w:hAnsi="Verdana" w:cs="Arial"/>
          <w:color w:val="000000" w:themeColor="text1"/>
          <w:spacing w:val="-59"/>
          <w:lang w:val="es-ES"/>
        </w:rPr>
        <w:t xml:space="preserve"> </w:t>
      </w:r>
      <w:r w:rsidRPr="00984E13">
        <w:rPr>
          <w:rFonts w:ascii="Verdana" w:eastAsia="Arial MT" w:hAnsi="Verdana" w:cs="Arial"/>
          <w:color w:val="000000" w:themeColor="text1"/>
          <w:lang w:val="es-ES"/>
        </w:rPr>
        <w:t>medidas para exigir</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lastRenderedPageBreak/>
        <w:t>el</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adecuado cumplimiento.</w:t>
      </w:r>
    </w:p>
    <w:p w14:paraId="2C9B0303" w14:textId="77777777" w:rsidR="00B17B4C" w:rsidRPr="00984E13"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ES"/>
        </w:rPr>
      </w:pPr>
      <w:r w:rsidRPr="00984E13">
        <w:rPr>
          <w:rFonts w:ascii="Verdana" w:eastAsia="Arial MT" w:hAnsi="Verdana" w:cs="Arial"/>
          <w:color w:val="000000" w:themeColor="text1"/>
          <w:lang w:val="es-ES"/>
        </w:rPr>
        <w:t>Las Leyes 1150 de 2007 y 1474 de 2011 complementan el régimen jurídico de 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obligación de vigilar la correcta ejecución de los contratos estatales. Allí se impone el debido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proceso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como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principio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rector</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materia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sancionatoria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contractual,</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entre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otros eventos,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para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imposición de multas y la decisión de hacer efectiva la cláusula penal; principio que debe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spacing w:val="-1"/>
          <w:lang w:val="es-ES"/>
        </w:rPr>
        <w:t>respetarse</w:t>
      </w:r>
      <w:r w:rsidRPr="00984E13">
        <w:rPr>
          <w:rFonts w:ascii="Verdana" w:eastAsia="Arial MT" w:hAnsi="Verdana" w:cs="Arial"/>
          <w:color w:val="000000" w:themeColor="text1"/>
          <w:spacing w:val="-13"/>
          <w:lang w:val="es-ES"/>
        </w:rPr>
        <w:t xml:space="preserve"> </w:t>
      </w:r>
      <w:r w:rsidRPr="00984E13">
        <w:rPr>
          <w:rFonts w:ascii="Verdana" w:eastAsia="Arial MT" w:hAnsi="Verdana" w:cs="Arial"/>
          <w:color w:val="000000" w:themeColor="text1"/>
          <w:spacing w:val="-1"/>
          <w:lang w:val="es-ES"/>
        </w:rPr>
        <w:t>en</w:t>
      </w:r>
      <w:r w:rsidRPr="00984E13">
        <w:rPr>
          <w:rFonts w:ascii="Verdana" w:eastAsia="Arial MT" w:hAnsi="Verdana" w:cs="Arial"/>
          <w:color w:val="000000" w:themeColor="text1"/>
          <w:spacing w:val="-17"/>
          <w:lang w:val="es-ES"/>
        </w:rPr>
        <w:t xml:space="preserve"> </w:t>
      </w:r>
      <w:r w:rsidRPr="00984E13">
        <w:rPr>
          <w:rFonts w:ascii="Verdana" w:eastAsia="Arial MT" w:hAnsi="Verdana" w:cs="Arial"/>
          <w:color w:val="000000" w:themeColor="text1"/>
          <w:spacing w:val="-1"/>
          <w:lang w:val="es-ES"/>
        </w:rPr>
        <w:t>el</w:t>
      </w:r>
      <w:r w:rsidRPr="00984E13">
        <w:rPr>
          <w:rFonts w:ascii="Verdana" w:eastAsia="Arial MT" w:hAnsi="Verdana" w:cs="Arial"/>
          <w:color w:val="000000" w:themeColor="text1"/>
          <w:spacing w:val="-17"/>
          <w:lang w:val="es-ES"/>
        </w:rPr>
        <w:t xml:space="preserve"> </w:t>
      </w:r>
      <w:r w:rsidRPr="00984E13">
        <w:rPr>
          <w:rFonts w:ascii="Verdana" w:eastAsia="Arial MT" w:hAnsi="Verdana" w:cs="Arial"/>
          <w:color w:val="000000" w:themeColor="text1"/>
          <w:spacing w:val="-1"/>
          <w:lang w:val="es-ES"/>
        </w:rPr>
        <w:t>ejercicio</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spacing w:val="-1"/>
          <w:lang w:val="es-ES"/>
        </w:rPr>
        <w:t>del</w:t>
      </w:r>
      <w:r w:rsidRPr="00984E13">
        <w:rPr>
          <w:rFonts w:ascii="Verdana" w:eastAsia="Arial MT" w:hAnsi="Verdana" w:cs="Arial"/>
          <w:color w:val="000000" w:themeColor="text1"/>
          <w:spacing w:val="-15"/>
          <w:lang w:val="es-ES"/>
        </w:rPr>
        <w:t xml:space="preserve"> </w:t>
      </w:r>
      <w:r w:rsidRPr="00984E13">
        <w:rPr>
          <w:rFonts w:ascii="Verdana" w:eastAsia="Arial MT" w:hAnsi="Verdana" w:cs="Arial"/>
          <w:color w:val="000000" w:themeColor="text1"/>
          <w:spacing w:val="-1"/>
          <w:lang w:val="es-ES"/>
        </w:rPr>
        <w:t>control</w:t>
      </w:r>
      <w:r w:rsidRPr="00984E13">
        <w:rPr>
          <w:rFonts w:ascii="Verdana" w:eastAsia="Arial MT" w:hAnsi="Verdana" w:cs="Arial"/>
          <w:color w:val="000000" w:themeColor="text1"/>
          <w:spacing w:val="-15"/>
          <w:lang w:val="es-ES"/>
        </w:rPr>
        <w:t xml:space="preserve"> </w:t>
      </w:r>
      <w:r w:rsidRPr="00984E13">
        <w:rPr>
          <w:rFonts w:ascii="Verdana" w:eastAsia="Arial MT" w:hAnsi="Verdana" w:cs="Arial"/>
          <w:color w:val="000000" w:themeColor="text1"/>
          <w:lang w:val="es-ES"/>
        </w:rPr>
        <w:t>y</w:t>
      </w:r>
      <w:r w:rsidRPr="00984E13">
        <w:rPr>
          <w:rFonts w:ascii="Verdana" w:eastAsia="Arial MT" w:hAnsi="Verdana" w:cs="Arial"/>
          <w:color w:val="000000" w:themeColor="text1"/>
          <w:spacing w:val="-16"/>
          <w:lang w:val="es-ES"/>
        </w:rPr>
        <w:t xml:space="preserve"> </w:t>
      </w:r>
      <w:r w:rsidRPr="00984E13">
        <w:rPr>
          <w:rFonts w:ascii="Verdana" w:eastAsia="Arial MT" w:hAnsi="Verdana" w:cs="Arial"/>
          <w:color w:val="000000" w:themeColor="text1"/>
          <w:lang w:val="es-ES"/>
        </w:rPr>
        <w:t>vigilancia</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3"/>
          <w:lang w:val="es-ES"/>
        </w:rPr>
        <w:t xml:space="preserve"> </w:t>
      </w:r>
      <w:r w:rsidRPr="00984E13">
        <w:rPr>
          <w:rFonts w:ascii="Verdana" w:eastAsia="Arial MT" w:hAnsi="Verdana" w:cs="Arial"/>
          <w:color w:val="000000" w:themeColor="text1"/>
          <w:lang w:val="es-ES"/>
        </w:rPr>
        <w:t>ejecución</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contractual</w:t>
      </w:r>
      <w:r w:rsidRPr="00984E13">
        <w:rPr>
          <w:rFonts w:ascii="Verdana" w:eastAsia="Arial MT" w:hAnsi="Verdana" w:cs="Arial"/>
          <w:color w:val="000000" w:themeColor="text1"/>
          <w:vertAlign w:val="superscript"/>
          <w:lang w:val="es-ES"/>
        </w:rPr>
        <w:footnoteReference w:id="2"/>
      </w:r>
      <w:r w:rsidRPr="00984E13">
        <w:rPr>
          <w:rFonts w:ascii="Verdana" w:eastAsia="Arial MT" w:hAnsi="Verdana" w:cs="Arial"/>
          <w:color w:val="000000" w:themeColor="text1"/>
          <w:lang w:val="es-ES"/>
        </w:rPr>
        <w:t>.</w:t>
      </w:r>
      <w:r w:rsidRPr="00984E13">
        <w:rPr>
          <w:rFonts w:ascii="Verdana" w:eastAsia="Arial MT" w:hAnsi="Verdana" w:cs="Arial"/>
          <w:color w:val="000000" w:themeColor="text1"/>
          <w:spacing w:val="-15"/>
          <w:lang w:val="es-ES"/>
        </w:rPr>
        <w:t xml:space="preserve"> </w:t>
      </w:r>
      <w:r w:rsidRPr="00984E13">
        <w:rPr>
          <w:rFonts w:ascii="Verdana" w:eastAsia="Arial MT" w:hAnsi="Verdana" w:cs="Arial"/>
          <w:color w:val="000000" w:themeColor="text1"/>
          <w:lang w:val="es-ES"/>
        </w:rPr>
        <w:t>También</w:t>
      </w:r>
      <w:r w:rsidRPr="00984E13">
        <w:rPr>
          <w:rFonts w:ascii="Verdana" w:eastAsia="Arial MT" w:hAnsi="Verdana" w:cs="Arial"/>
          <w:color w:val="000000" w:themeColor="text1"/>
          <w:spacing w:val="-14"/>
          <w:lang w:val="es-ES"/>
        </w:rPr>
        <w:t xml:space="preserve"> </w:t>
      </w:r>
      <w:r w:rsidRPr="00984E13">
        <w:rPr>
          <w:rFonts w:ascii="Verdana" w:eastAsia="Arial MT" w:hAnsi="Verdana" w:cs="Arial"/>
          <w:color w:val="000000" w:themeColor="text1"/>
          <w:lang w:val="es-ES"/>
        </w:rPr>
        <w:t>se</w:t>
      </w:r>
      <w:r w:rsidRPr="00984E13">
        <w:rPr>
          <w:rFonts w:ascii="Verdana" w:eastAsia="Arial MT" w:hAnsi="Verdana" w:cs="Arial"/>
          <w:color w:val="000000" w:themeColor="text1"/>
          <w:spacing w:val="-17"/>
          <w:lang w:val="es-ES"/>
        </w:rPr>
        <w:t xml:space="preserve"> </w:t>
      </w:r>
      <w:r w:rsidRPr="00984E13">
        <w:rPr>
          <w:rFonts w:ascii="Verdana" w:eastAsia="Arial MT" w:hAnsi="Verdana" w:cs="Arial"/>
          <w:color w:val="000000" w:themeColor="text1"/>
          <w:lang w:val="es-ES"/>
        </w:rPr>
        <w:t>establecen</w:t>
      </w:r>
      <w:r w:rsidRPr="00984E13">
        <w:rPr>
          <w:rFonts w:ascii="Verdana" w:eastAsia="Arial MT" w:hAnsi="Verdana" w:cs="Arial"/>
          <w:color w:val="000000" w:themeColor="text1"/>
          <w:spacing w:val="-59"/>
          <w:lang w:val="es-ES"/>
        </w:rPr>
        <w:t xml:space="preserve"> </w:t>
      </w:r>
      <w:r w:rsidRPr="00984E13">
        <w:rPr>
          <w:rFonts w:ascii="Verdana" w:eastAsia="Arial MT" w:hAnsi="Verdana" w:cs="Arial"/>
          <w:color w:val="000000" w:themeColor="text1"/>
          <w:lang w:val="es-ES"/>
        </w:rPr>
        <w:t>los límites de la responsabilidad del representante legal ante la delegación de sus funciones en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materia</w:t>
      </w:r>
      <w:r w:rsidRPr="00984E13">
        <w:rPr>
          <w:rFonts w:ascii="Verdana" w:eastAsia="Arial MT" w:hAnsi="Verdana" w:cs="Arial"/>
          <w:color w:val="000000" w:themeColor="text1"/>
          <w:spacing w:val="-2"/>
          <w:lang w:val="es-ES"/>
        </w:rPr>
        <w:t xml:space="preserve"> </w:t>
      </w:r>
      <w:r w:rsidRPr="00984E13">
        <w:rPr>
          <w:rFonts w:ascii="Verdana" w:eastAsia="Arial MT" w:hAnsi="Verdana" w:cs="Arial"/>
          <w:color w:val="000000" w:themeColor="text1"/>
          <w:lang w:val="es-ES"/>
        </w:rPr>
        <w:t>contractual</w:t>
      </w:r>
      <w:r w:rsidRPr="00984E13">
        <w:rPr>
          <w:rFonts w:ascii="Verdana" w:eastAsia="Arial MT" w:hAnsi="Verdana" w:cs="Arial"/>
          <w:color w:val="000000" w:themeColor="text1"/>
          <w:vertAlign w:val="superscript"/>
          <w:lang w:val="es-ES"/>
        </w:rPr>
        <w:footnoteReference w:id="3"/>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y</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se</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regula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supervisión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y</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interventoría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los</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contratos</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estatales</w:t>
      </w:r>
      <w:r w:rsidRPr="00984E13">
        <w:rPr>
          <w:rFonts w:ascii="Verdana" w:eastAsia="Arial MT" w:hAnsi="Verdana" w:cs="Arial"/>
          <w:color w:val="000000" w:themeColor="text1"/>
          <w:vertAlign w:val="superscript"/>
          <w:lang w:val="es-ES"/>
        </w:rPr>
        <w:footnoteReference w:id="4"/>
      </w:r>
      <w:r w:rsidRPr="00984E13">
        <w:rPr>
          <w:rFonts w:ascii="Verdana" w:eastAsia="Arial MT" w:hAnsi="Verdana" w:cs="Arial"/>
          <w:color w:val="000000" w:themeColor="text1"/>
          <w:lang w:val="es-ES"/>
        </w:rPr>
        <w:t>.</w:t>
      </w:r>
    </w:p>
    <w:p w14:paraId="51CF6175" w14:textId="77777777" w:rsidR="00B17B4C" w:rsidRPr="00984E13"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ES"/>
        </w:rPr>
      </w:pP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jurisprudencia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contencioso-administrativa,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por</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su</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parte,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ha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considerado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que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obligación de vigilar la correcta ejecución del objeto contractual es una función de la entidad</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contratante,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2"/>
          <w:lang w:val="es-ES"/>
        </w:rPr>
        <w:t xml:space="preserve"> </w:t>
      </w:r>
      <w:r w:rsidRPr="00984E13">
        <w:rPr>
          <w:rFonts w:ascii="Verdana" w:eastAsia="Arial MT" w:hAnsi="Verdana" w:cs="Arial"/>
          <w:color w:val="000000" w:themeColor="text1"/>
          <w:lang w:val="es-ES"/>
        </w:rPr>
        <w:t>los siguientes</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términos: “La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de esta forma garantizar la satisfacción de las  necesidades que la administración buscaba alcanzar con la celebración del respectivo contrato”</w:t>
      </w:r>
      <w:r w:rsidRPr="00984E13">
        <w:rPr>
          <w:rFonts w:ascii="Verdana" w:eastAsia="Arial MT" w:hAnsi="Verdana" w:cs="Arial"/>
          <w:color w:val="000000" w:themeColor="text1"/>
          <w:vertAlign w:val="superscript"/>
          <w:lang w:val="es-ES"/>
        </w:rPr>
        <w:footnoteReference w:id="5"/>
      </w:r>
      <w:r w:rsidRPr="00984E13">
        <w:rPr>
          <w:rFonts w:ascii="Verdana" w:eastAsia="Arial MT" w:hAnsi="Verdana" w:cs="Arial"/>
          <w:color w:val="000000" w:themeColor="text1"/>
          <w:lang w:val="es-ES"/>
        </w:rPr>
        <w:t>.</w:t>
      </w:r>
    </w:p>
    <w:p w14:paraId="2BEF125A" w14:textId="7BE87B99" w:rsidR="00B17B4C" w:rsidRPr="00984E13" w:rsidRDefault="00B17B4C" w:rsidP="00B17B4C">
      <w:pPr>
        <w:widowControl w:val="0"/>
        <w:autoSpaceDE w:val="0"/>
        <w:autoSpaceDN w:val="0"/>
        <w:spacing w:after="0" w:line="276" w:lineRule="auto"/>
        <w:ind w:firstLine="708"/>
        <w:jc w:val="both"/>
        <w:rPr>
          <w:rFonts w:ascii="Verdana" w:eastAsia="Arial MT" w:hAnsi="Verdana" w:cs="Arial"/>
          <w:color w:val="000000" w:themeColor="text1"/>
          <w:lang w:val="es-ES"/>
        </w:rPr>
      </w:pPr>
      <w:r w:rsidRPr="00984E13">
        <w:rPr>
          <w:rFonts w:ascii="Verdana" w:eastAsia="Arial MT" w:hAnsi="Verdana" w:cs="Arial"/>
          <w:color w:val="000000" w:themeColor="text1"/>
          <w:lang w:val="es-ES"/>
        </w:rPr>
        <w:t xml:space="preserve">Ahora bien, </w:t>
      </w:r>
      <w:r w:rsidR="00175859">
        <w:rPr>
          <w:rFonts w:ascii="Verdana" w:eastAsia="Arial MT" w:hAnsi="Verdana" w:cs="Arial"/>
          <w:color w:val="000000" w:themeColor="text1"/>
          <w:lang w:val="es-ES"/>
        </w:rPr>
        <w:t>l</w:t>
      </w:r>
      <w:r w:rsidRPr="00984E13">
        <w:rPr>
          <w:rFonts w:ascii="Verdana" w:eastAsia="Arial MT" w:hAnsi="Verdana" w:cs="Arial"/>
          <w:color w:val="000000" w:themeColor="text1"/>
          <w:lang w:val="es-ES"/>
        </w:rPr>
        <w:t>a Ley 1474 de 2011 enmarcó el seguimiento, control y vigilancia de la ejecución del contrato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estatal</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dentro</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del</w:t>
      </w:r>
      <w:r w:rsidRPr="00984E13">
        <w:rPr>
          <w:rFonts w:ascii="Verdana" w:eastAsia="Arial MT" w:hAnsi="Verdana" w:cs="Arial"/>
          <w:color w:val="000000" w:themeColor="text1"/>
          <w:spacing w:val="-2"/>
          <w:lang w:val="es-ES"/>
        </w:rPr>
        <w:t xml:space="preserve"> </w:t>
      </w:r>
      <w:r w:rsidRPr="00984E13">
        <w:rPr>
          <w:rFonts w:ascii="Verdana" w:eastAsia="Arial MT" w:hAnsi="Verdana" w:cs="Arial"/>
          <w:color w:val="000000" w:themeColor="text1"/>
          <w:lang w:val="es-ES"/>
        </w:rPr>
        <w:t>principio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moralidad</w:t>
      </w:r>
      <w:r w:rsidRPr="00984E13">
        <w:rPr>
          <w:rFonts w:ascii="Verdana" w:eastAsia="Arial MT" w:hAnsi="Verdana" w:cs="Arial"/>
          <w:color w:val="000000" w:themeColor="text1"/>
          <w:spacing w:val="-2"/>
          <w:lang w:val="es-ES"/>
        </w:rPr>
        <w:t xml:space="preserve"> </w:t>
      </w:r>
      <w:r w:rsidRPr="00984E13">
        <w:rPr>
          <w:rFonts w:ascii="Verdana" w:eastAsia="Arial MT" w:hAnsi="Verdana" w:cs="Arial"/>
          <w:color w:val="000000" w:themeColor="text1"/>
          <w:lang w:val="es-ES"/>
        </w:rPr>
        <w:t>administrativa. En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efecto,</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el</w:t>
      </w:r>
      <w:r w:rsidRPr="00984E13">
        <w:rPr>
          <w:rFonts w:ascii="Verdana" w:eastAsia="Arial MT" w:hAnsi="Verdana" w:cs="Arial"/>
          <w:color w:val="000000" w:themeColor="text1"/>
          <w:spacing w:val="-2"/>
          <w:lang w:val="es-ES"/>
        </w:rPr>
        <w:t xml:space="preserve"> </w:t>
      </w:r>
      <w:r w:rsidRPr="00984E13">
        <w:rPr>
          <w:rFonts w:ascii="Verdana" w:eastAsia="Arial MT" w:hAnsi="Verdana" w:cs="Arial"/>
          <w:color w:val="000000" w:themeColor="text1"/>
          <w:lang w:val="es-ES"/>
        </w:rPr>
        <w:t>artículo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83</w:t>
      </w:r>
      <w:r w:rsidRPr="00984E13">
        <w:rPr>
          <w:rFonts w:ascii="Verdana" w:eastAsia="Arial MT" w:hAnsi="Verdana" w:cs="Arial"/>
          <w:color w:val="000000" w:themeColor="text1"/>
          <w:spacing w:val="4"/>
          <w:lang w:val="es-ES"/>
        </w:rPr>
        <w:t xml:space="preserve"> </w:t>
      </w:r>
      <w:r w:rsidRPr="00984E13">
        <w:rPr>
          <w:rFonts w:ascii="Verdana" w:eastAsia="Arial MT" w:hAnsi="Verdana" w:cs="Arial"/>
          <w:i/>
          <w:color w:val="000000" w:themeColor="text1"/>
          <w:lang w:val="es-ES"/>
        </w:rPr>
        <w:t>ibidem</w:t>
      </w:r>
      <w:r w:rsidRPr="00984E13">
        <w:rPr>
          <w:rFonts w:ascii="Verdana" w:eastAsia="Arial MT" w:hAnsi="Verdana" w:cs="Arial"/>
          <w:i/>
          <w:color w:val="000000" w:themeColor="text1"/>
          <w:spacing w:val="1"/>
          <w:lang w:val="es-ES"/>
        </w:rPr>
        <w:t xml:space="preserve"> </w:t>
      </w:r>
      <w:r w:rsidRPr="00984E13">
        <w:rPr>
          <w:rFonts w:ascii="Verdana" w:eastAsia="Arial MT" w:hAnsi="Verdana" w:cs="Arial"/>
          <w:color w:val="000000" w:themeColor="text1"/>
          <w:lang w:val="es-ES"/>
        </w:rPr>
        <w:t xml:space="preserve">dispone: </w:t>
      </w:r>
      <w:r>
        <w:rPr>
          <w:rFonts w:ascii="Verdana" w:eastAsia="Arial MT" w:hAnsi="Verdana" w:cs="Arial"/>
          <w:color w:val="000000" w:themeColor="text1"/>
          <w:lang w:val="es-ES"/>
        </w:rPr>
        <w:t>“</w:t>
      </w:r>
      <w:r w:rsidRPr="00984E13">
        <w:rPr>
          <w:rFonts w:ascii="Verdana" w:eastAsia="Arial MT" w:hAnsi="Verdana" w:cs="Arial"/>
          <w:color w:val="000000" w:themeColor="text1"/>
          <w:lang w:val="es-ES"/>
        </w:rPr>
        <w:t>Con el fin de proteger la moralidad administrativa, de prevenir la ocurrencia de actos de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corrupción y de tutelar la transparencia de la actividad contractual, las entidades públicas están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obligadas a vigilar permanentemente la correcta ejecución del objeto contratado a través de un</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supervisor o un interventor, según corresponda</w:t>
      </w:r>
      <w:r>
        <w:rPr>
          <w:rFonts w:ascii="Verdana" w:eastAsia="Arial MT" w:hAnsi="Verdana" w:cs="Arial"/>
          <w:color w:val="000000" w:themeColor="text1"/>
          <w:lang w:val="es-ES"/>
        </w:rPr>
        <w:t>”</w:t>
      </w:r>
      <w:r w:rsidRPr="00984E13">
        <w:rPr>
          <w:rFonts w:ascii="Verdana" w:eastAsia="Arial MT" w:hAnsi="Verdana" w:cs="Arial"/>
          <w:color w:val="000000" w:themeColor="text1"/>
          <w:lang w:val="es-ES"/>
        </w:rPr>
        <w:t>. El legislador, además, definió las nociones de</w:t>
      </w:r>
      <w:r w:rsidRPr="00984E13">
        <w:rPr>
          <w:rFonts w:ascii="Verdana" w:eastAsia="Arial MT" w:hAnsi="Verdana" w:cs="Arial"/>
          <w:color w:val="000000" w:themeColor="text1"/>
          <w:spacing w:val="1"/>
          <w:lang w:val="es-ES"/>
        </w:rPr>
        <w:t xml:space="preserve"> </w:t>
      </w:r>
      <w:r w:rsidRPr="00984E13">
        <w:rPr>
          <w:rFonts w:ascii="Verdana" w:eastAsia="Arial MT" w:hAnsi="Verdana" w:cs="Arial"/>
          <w:i/>
          <w:color w:val="000000" w:themeColor="text1"/>
          <w:lang w:val="es-ES"/>
        </w:rPr>
        <w:t xml:space="preserve">supervisión </w:t>
      </w:r>
      <w:r w:rsidRPr="00984E13">
        <w:rPr>
          <w:rFonts w:ascii="Verdana" w:eastAsia="Arial MT" w:hAnsi="Verdana" w:cs="Arial"/>
          <w:color w:val="000000" w:themeColor="text1"/>
          <w:lang w:val="es-ES"/>
        </w:rPr>
        <w:t xml:space="preserve">e </w:t>
      </w:r>
      <w:r w:rsidRPr="00984E13">
        <w:rPr>
          <w:rFonts w:ascii="Verdana" w:eastAsia="Arial MT" w:hAnsi="Verdana" w:cs="Arial"/>
          <w:i/>
          <w:color w:val="000000" w:themeColor="text1"/>
          <w:lang w:val="es-ES"/>
        </w:rPr>
        <w:t>interventoría</w:t>
      </w:r>
      <w:r w:rsidRPr="00984E13">
        <w:rPr>
          <w:rFonts w:ascii="Verdana" w:eastAsia="Arial MT" w:hAnsi="Verdana" w:cs="Arial"/>
          <w:color w:val="000000" w:themeColor="text1"/>
          <w:lang w:val="es-ES"/>
        </w:rPr>
        <w:t>, como mecanismos que pueden usar las entidades estatales para</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vigilar el</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contrato,</w:t>
      </w:r>
      <w:r w:rsidRPr="00984E13">
        <w:rPr>
          <w:rFonts w:ascii="Verdana" w:eastAsia="Arial MT" w:hAnsi="Verdana" w:cs="Arial"/>
          <w:color w:val="000000" w:themeColor="text1"/>
          <w:spacing w:val="2"/>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2"/>
          <w:lang w:val="es-ES"/>
        </w:rPr>
        <w:t xml:space="preserve"> </w:t>
      </w:r>
      <w:r w:rsidRPr="00984E13">
        <w:rPr>
          <w:rFonts w:ascii="Verdana" w:eastAsia="Arial MT" w:hAnsi="Verdana" w:cs="Arial"/>
          <w:color w:val="000000" w:themeColor="text1"/>
          <w:lang w:val="es-ES"/>
        </w:rPr>
        <w:t>estos términos:</w:t>
      </w:r>
    </w:p>
    <w:p w14:paraId="0D9FC890" w14:textId="77777777" w:rsidR="00B17B4C" w:rsidRPr="00984E13" w:rsidRDefault="00B17B4C" w:rsidP="00B17B4C">
      <w:pPr>
        <w:widowControl w:val="0"/>
        <w:autoSpaceDE w:val="0"/>
        <w:autoSpaceDN w:val="0"/>
        <w:spacing w:after="0" w:line="276" w:lineRule="auto"/>
        <w:ind w:left="709" w:right="709"/>
        <w:jc w:val="both"/>
        <w:rPr>
          <w:rFonts w:ascii="Verdana" w:eastAsia="Arial MT" w:hAnsi="Verdana" w:cs="Arial"/>
          <w:color w:val="000000" w:themeColor="text1"/>
          <w:lang w:val="es-ES"/>
        </w:rPr>
      </w:pPr>
    </w:p>
    <w:p w14:paraId="45DDE2D3" w14:textId="77777777" w:rsidR="00B17B4C" w:rsidRPr="00AD1070" w:rsidRDefault="00B17B4C" w:rsidP="00B17B4C">
      <w:pPr>
        <w:widowControl w:val="0"/>
        <w:autoSpaceDE w:val="0"/>
        <w:autoSpaceDN w:val="0"/>
        <w:spacing w:after="120" w:line="240" w:lineRule="auto"/>
        <w:ind w:left="709" w:right="709"/>
        <w:jc w:val="both"/>
        <w:rPr>
          <w:rFonts w:ascii="Verdana" w:eastAsia="Arial MT" w:hAnsi="Verdana" w:cs="Arial"/>
          <w:color w:val="000000" w:themeColor="text1"/>
          <w:sz w:val="20"/>
          <w:szCs w:val="20"/>
          <w:lang w:val="es-ES"/>
        </w:rPr>
      </w:pPr>
      <w:r w:rsidRPr="00AD1070">
        <w:rPr>
          <w:rFonts w:ascii="Verdana" w:eastAsia="Arial MT" w:hAnsi="Verdana" w:cs="Arial"/>
          <w:color w:val="000000" w:themeColor="text1"/>
          <w:sz w:val="20"/>
          <w:szCs w:val="20"/>
          <w:lang w:val="es-ES"/>
        </w:rPr>
        <w:lastRenderedPageBreak/>
        <w:t>“La</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supervisión</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consistirá</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en</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el</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seguimiento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técnico,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administrativo,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financiero,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contable, y jurídico que sobre el cumplimiento del objeto del contrato, es ejercida por</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la misma entidad estatal cuando no requieren conocimientos especializados. Para la</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supervisión, la Entidad estatal podrá contratar personal de apoyo, a través de los</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contratos</w:t>
      </w:r>
      <w:r w:rsidRPr="00AD1070">
        <w:rPr>
          <w:rFonts w:ascii="Verdana" w:eastAsia="Arial MT" w:hAnsi="Verdana" w:cs="Arial"/>
          <w:color w:val="000000" w:themeColor="text1"/>
          <w:spacing w:val="-2"/>
          <w:sz w:val="20"/>
          <w:szCs w:val="20"/>
          <w:lang w:val="es-ES"/>
        </w:rPr>
        <w:t xml:space="preserve"> </w:t>
      </w:r>
      <w:r w:rsidRPr="00AD1070">
        <w:rPr>
          <w:rFonts w:ascii="Verdana" w:eastAsia="Arial MT" w:hAnsi="Verdana" w:cs="Arial"/>
          <w:color w:val="000000" w:themeColor="text1"/>
          <w:sz w:val="20"/>
          <w:szCs w:val="20"/>
          <w:lang w:val="es-ES"/>
        </w:rPr>
        <w:t>de</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prestación</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de</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servicios</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que sean requeridos.</w:t>
      </w:r>
    </w:p>
    <w:p w14:paraId="6C53A06D" w14:textId="77777777" w:rsidR="00B17B4C" w:rsidRPr="00984E13" w:rsidRDefault="00B17B4C" w:rsidP="00B17B4C">
      <w:pPr>
        <w:widowControl w:val="0"/>
        <w:autoSpaceDE w:val="0"/>
        <w:autoSpaceDN w:val="0"/>
        <w:spacing w:before="1" w:after="0" w:line="240" w:lineRule="auto"/>
        <w:ind w:left="709" w:right="709"/>
        <w:jc w:val="both"/>
        <w:rPr>
          <w:rFonts w:ascii="Verdana" w:eastAsia="Arial MT" w:hAnsi="Verdana" w:cs="Arial"/>
          <w:color w:val="000000" w:themeColor="text1"/>
          <w:sz w:val="21"/>
          <w:lang w:val="es-ES"/>
        </w:rPr>
      </w:pPr>
      <w:r w:rsidRPr="00AD1070">
        <w:rPr>
          <w:rFonts w:ascii="Verdana" w:eastAsia="Arial MT" w:hAnsi="Verdana" w:cs="Arial"/>
          <w:color w:val="000000" w:themeColor="text1"/>
          <w:sz w:val="20"/>
          <w:szCs w:val="20"/>
          <w:lang w:val="es-ES"/>
        </w:rPr>
        <w:t>La interventoría consistirá en el seguimiento técnico que sobre el cumplimiento del</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contrato realice una persona natural o jurídica contratada para tal fin por la Entidad</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Estatal,</w:t>
      </w:r>
      <w:r w:rsidRPr="00AD1070">
        <w:rPr>
          <w:rFonts w:ascii="Verdana" w:eastAsia="Arial MT" w:hAnsi="Verdana" w:cs="Arial"/>
          <w:color w:val="000000" w:themeColor="text1"/>
          <w:spacing w:val="-11"/>
          <w:sz w:val="20"/>
          <w:szCs w:val="20"/>
          <w:lang w:val="es-ES"/>
        </w:rPr>
        <w:t xml:space="preserve"> </w:t>
      </w:r>
      <w:r w:rsidRPr="00AD1070">
        <w:rPr>
          <w:rFonts w:ascii="Verdana" w:eastAsia="Arial MT" w:hAnsi="Verdana" w:cs="Arial"/>
          <w:color w:val="000000" w:themeColor="text1"/>
          <w:sz w:val="20"/>
          <w:szCs w:val="20"/>
          <w:lang w:val="es-ES"/>
        </w:rPr>
        <w:t>cuando</w:t>
      </w:r>
      <w:r w:rsidRPr="00AD1070">
        <w:rPr>
          <w:rFonts w:ascii="Verdana" w:eastAsia="Arial MT" w:hAnsi="Verdana" w:cs="Arial"/>
          <w:color w:val="000000" w:themeColor="text1"/>
          <w:spacing w:val="-9"/>
          <w:sz w:val="20"/>
          <w:szCs w:val="20"/>
          <w:lang w:val="es-ES"/>
        </w:rPr>
        <w:t xml:space="preserve"> </w:t>
      </w:r>
      <w:r w:rsidRPr="00AD1070">
        <w:rPr>
          <w:rFonts w:ascii="Verdana" w:eastAsia="Arial MT" w:hAnsi="Verdana" w:cs="Arial"/>
          <w:color w:val="000000" w:themeColor="text1"/>
          <w:sz w:val="20"/>
          <w:szCs w:val="20"/>
          <w:lang w:val="es-ES"/>
        </w:rPr>
        <w:t>el</w:t>
      </w:r>
      <w:r w:rsidRPr="00AD1070">
        <w:rPr>
          <w:rFonts w:ascii="Verdana" w:eastAsia="Arial MT" w:hAnsi="Verdana" w:cs="Arial"/>
          <w:color w:val="000000" w:themeColor="text1"/>
          <w:spacing w:val="-10"/>
          <w:sz w:val="20"/>
          <w:szCs w:val="20"/>
          <w:lang w:val="es-ES"/>
        </w:rPr>
        <w:t xml:space="preserve"> </w:t>
      </w:r>
      <w:r w:rsidRPr="00AD1070">
        <w:rPr>
          <w:rFonts w:ascii="Verdana" w:eastAsia="Arial MT" w:hAnsi="Verdana" w:cs="Arial"/>
          <w:color w:val="000000" w:themeColor="text1"/>
          <w:sz w:val="20"/>
          <w:szCs w:val="20"/>
          <w:lang w:val="es-ES"/>
        </w:rPr>
        <w:t>seguimiento</w:t>
      </w:r>
      <w:r w:rsidRPr="00AD1070">
        <w:rPr>
          <w:rFonts w:ascii="Verdana" w:eastAsia="Arial MT" w:hAnsi="Verdana" w:cs="Arial"/>
          <w:color w:val="000000" w:themeColor="text1"/>
          <w:spacing w:val="-9"/>
          <w:sz w:val="20"/>
          <w:szCs w:val="20"/>
          <w:lang w:val="es-ES"/>
        </w:rPr>
        <w:t xml:space="preserve"> </w:t>
      </w:r>
      <w:r w:rsidRPr="00AD1070">
        <w:rPr>
          <w:rFonts w:ascii="Verdana" w:eastAsia="Arial MT" w:hAnsi="Verdana" w:cs="Arial"/>
          <w:color w:val="000000" w:themeColor="text1"/>
          <w:sz w:val="20"/>
          <w:szCs w:val="20"/>
          <w:lang w:val="es-ES"/>
        </w:rPr>
        <w:t>del</w:t>
      </w:r>
      <w:r w:rsidRPr="00AD1070">
        <w:rPr>
          <w:rFonts w:ascii="Verdana" w:eastAsia="Arial MT" w:hAnsi="Verdana" w:cs="Arial"/>
          <w:color w:val="000000" w:themeColor="text1"/>
          <w:spacing w:val="-10"/>
          <w:sz w:val="20"/>
          <w:szCs w:val="20"/>
          <w:lang w:val="es-ES"/>
        </w:rPr>
        <w:t xml:space="preserve"> </w:t>
      </w:r>
      <w:r w:rsidRPr="00AD1070">
        <w:rPr>
          <w:rFonts w:ascii="Verdana" w:eastAsia="Arial MT" w:hAnsi="Verdana" w:cs="Arial"/>
          <w:color w:val="000000" w:themeColor="text1"/>
          <w:sz w:val="20"/>
          <w:szCs w:val="20"/>
          <w:lang w:val="es-ES"/>
        </w:rPr>
        <w:t>contrato</w:t>
      </w:r>
      <w:r w:rsidRPr="00AD1070">
        <w:rPr>
          <w:rFonts w:ascii="Verdana" w:eastAsia="Arial MT" w:hAnsi="Verdana" w:cs="Arial"/>
          <w:color w:val="000000" w:themeColor="text1"/>
          <w:spacing w:val="-9"/>
          <w:sz w:val="20"/>
          <w:szCs w:val="20"/>
          <w:lang w:val="es-ES"/>
        </w:rPr>
        <w:t xml:space="preserve"> </w:t>
      </w:r>
      <w:r w:rsidRPr="00AD1070">
        <w:rPr>
          <w:rFonts w:ascii="Verdana" w:eastAsia="Arial MT" w:hAnsi="Verdana" w:cs="Arial"/>
          <w:color w:val="000000" w:themeColor="text1"/>
          <w:sz w:val="20"/>
          <w:szCs w:val="20"/>
          <w:lang w:val="es-ES"/>
        </w:rPr>
        <w:t>suponga</w:t>
      </w:r>
      <w:r w:rsidRPr="00AD1070">
        <w:rPr>
          <w:rFonts w:ascii="Verdana" w:eastAsia="Arial MT" w:hAnsi="Verdana" w:cs="Arial"/>
          <w:color w:val="000000" w:themeColor="text1"/>
          <w:spacing w:val="-12"/>
          <w:sz w:val="20"/>
          <w:szCs w:val="20"/>
          <w:lang w:val="es-ES"/>
        </w:rPr>
        <w:t xml:space="preserve"> </w:t>
      </w:r>
      <w:r w:rsidRPr="00AD1070">
        <w:rPr>
          <w:rFonts w:ascii="Verdana" w:eastAsia="Arial MT" w:hAnsi="Verdana" w:cs="Arial"/>
          <w:color w:val="000000" w:themeColor="text1"/>
          <w:sz w:val="20"/>
          <w:szCs w:val="20"/>
          <w:lang w:val="es-ES"/>
        </w:rPr>
        <w:t>conocimiento</w:t>
      </w:r>
      <w:r w:rsidRPr="00AD1070">
        <w:rPr>
          <w:rFonts w:ascii="Verdana" w:eastAsia="Arial MT" w:hAnsi="Verdana" w:cs="Arial"/>
          <w:color w:val="000000" w:themeColor="text1"/>
          <w:spacing w:val="-13"/>
          <w:sz w:val="20"/>
          <w:szCs w:val="20"/>
          <w:lang w:val="es-ES"/>
        </w:rPr>
        <w:t xml:space="preserve"> </w:t>
      </w:r>
      <w:r w:rsidRPr="00AD1070">
        <w:rPr>
          <w:rFonts w:ascii="Verdana" w:eastAsia="Arial MT" w:hAnsi="Verdana" w:cs="Arial"/>
          <w:color w:val="000000" w:themeColor="text1"/>
          <w:sz w:val="20"/>
          <w:szCs w:val="20"/>
          <w:lang w:val="es-ES"/>
        </w:rPr>
        <w:t>especializado</w:t>
      </w:r>
      <w:r w:rsidRPr="00AD1070">
        <w:rPr>
          <w:rFonts w:ascii="Verdana" w:eastAsia="Arial MT" w:hAnsi="Verdana" w:cs="Arial"/>
          <w:color w:val="000000" w:themeColor="text1"/>
          <w:spacing w:val="-9"/>
          <w:sz w:val="20"/>
          <w:szCs w:val="20"/>
          <w:lang w:val="es-ES"/>
        </w:rPr>
        <w:t xml:space="preserve"> </w:t>
      </w:r>
      <w:r w:rsidRPr="00AD1070">
        <w:rPr>
          <w:rFonts w:ascii="Verdana" w:eastAsia="Arial MT" w:hAnsi="Verdana" w:cs="Arial"/>
          <w:color w:val="000000" w:themeColor="text1"/>
          <w:sz w:val="20"/>
          <w:szCs w:val="20"/>
          <w:lang w:val="es-ES"/>
        </w:rPr>
        <w:t>en</w:t>
      </w:r>
      <w:r w:rsidRPr="00AD1070">
        <w:rPr>
          <w:rFonts w:ascii="Verdana" w:eastAsia="Arial MT" w:hAnsi="Verdana" w:cs="Arial"/>
          <w:color w:val="000000" w:themeColor="text1"/>
          <w:spacing w:val="-10"/>
          <w:sz w:val="20"/>
          <w:szCs w:val="20"/>
          <w:lang w:val="es-ES"/>
        </w:rPr>
        <w:t xml:space="preserve"> </w:t>
      </w:r>
      <w:r w:rsidRPr="00AD1070">
        <w:rPr>
          <w:rFonts w:ascii="Verdana" w:eastAsia="Arial MT" w:hAnsi="Verdana" w:cs="Arial"/>
          <w:color w:val="000000" w:themeColor="text1"/>
          <w:sz w:val="20"/>
          <w:szCs w:val="20"/>
          <w:lang w:val="es-ES"/>
        </w:rPr>
        <w:t>la</w:t>
      </w:r>
      <w:r w:rsidRPr="00AD1070">
        <w:rPr>
          <w:rFonts w:ascii="Verdana" w:eastAsia="Arial MT" w:hAnsi="Verdana" w:cs="Arial"/>
          <w:color w:val="000000" w:themeColor="text1"/>
          <w:spacing w:val="-56"/>
          <w:sz w:val="20"/>
          <w:szCs w:val="20"/>
          <w:lang w:val="es-ES"/>
        </w:rPr>
        <w:t xml:space="preserve"> </w:t>
      </w:r>
      <w:r w:rsidRPr="00AD1070">
        <w:rPr>
          <w:rFonts w:ascii="Verdana" w:eastAsia="Arial MT" w:hAnsi="Verdana" w:cs="Arial"/>
          <w:color w:val="000000" w:themeColor="text1"/>
          <w:sz w:val="20"/>
          <w:szCs w:val="20"/>
          <w:lang w:val="es-ES"/>
        </w:rPr>
        <w:t>materia,</w:t>
      </w:r>
      <w:r w:rsidRPr="00AD1070">
        <w:rPr>
          <w:rFonts w:ascii="Verdana" w:eastAsia="Arial MT" w:hAnsi="Verdana" w:cs="Arial"/>
          <w:color w:val="000000" w:themeColor="text1"/>
          <w:spacing w:val="-6"/>
          <w:sz w:val="20"/>
          <w:szCs w:val="20"/>
          <w:lang w:val="es-ES"/>
        </w:rPr>
        <w:t xml:space="preserve"> </w:t>
      </w:r>
      <w:r w:rsidRPr="00AD1070">
        <w:rPr>
          <w:rFonts w:ascii="Verdana" w:eastAsia="Arial MT" w:hAnsi="Verdana" w:cs="Arial"/>
          <w:color w:val="000000" w:themeColor="text1"/>
          <w:sz w:val="20"/>
          <w:szCs w:val="20"/>
          <w:lang w:val="es-ES"/>
        </w:rPr>
        <w:t>o</w:t>
      </w:r>
      <w:r w:rsidRPr="00AD1070">
        <w:rPr>
          <w:rFonts w:ascii="Verdana" w:eastAsia="Arial MT" w:hAnsi="Verdana" w:cs="Arial"/>
          <w:color w:val="000000" w:themeColor="text1"/>
          <w:spacing w:val="-6"/>
          <w:sz w:val="20"/>
          <w:szCs w:val="20"/>
          <w:lang w:val="es-ES"/>
        </w:rPr>
        <w:t xml:space="preserve"> </w:t>
      </w:r>
      <w:r w:rsidRPr="00AD1070">
        <w:rPr>
          <w:rFonts w:ascii="Verdana" w:eastAsia="Arial MT" w:hAnsi="Verdana" w:cs="Arial"/>
          <w:color w:val="000000" w:themeColor="text1"/>
          <w:sz w:val="20"/>
          <w:szCs w:val="20"/>
          <w:lang w:val="es-ES"/>
        </w:rPr>
        <w:t>cuando</w:t>
      </w:r>
      <w:r w:rsidRPr="00AD1070">
        <w:rPr>
          <w:rFonts w:ascii="Verdana" w:eastAsia="Arial MT" w:hAnsi="Verdana" w:cs="Arial"/>
          <w:color w:val="000000" w:themeColor="text1"/>
          <w:spacing w:val="-6"/>
          <w:sz w:val="20"/>
          <w:szCs w:val="20"/>
          <w:lang w:val="es-ES"/>
        </w:rPr>
        <w:t xml:space="preserve"> </w:t>
      </w:r>
      <w:r w:rsidRPr="00AD1070">
        <w:rPr>
          <w:rFonts w:ascii="Verdana" w:eastAsia="Arial MT" w:hAnsi="Verdana" w:cs="Arial"/>
          <w:color w:val="000000" w:themeColor="text1"/>
          <w:sz w:val="20"/>
          <w:szCs w:val="20"/>
          <w:lang w:val="es-ES"/>
        </w:rPr>
        <w:t>la</w:t>
      </w:r>
      <w:r w:rsidRPr="00AD1070">
        <w:rPr>
          <w:rFonts w:ascii="Verdana" w:eastAsia="Arial MT" w:hAnsi="Verdana" w:cs="Arial"/>
          <w:color w:val="000000" w:themeColor="text1"/>
          <w:spacing w:val="-4"/>
          <w:sz w:val="20"/>
          <w:szCs w:val="20"/>
          <w:lang w:val="es-ES"/>
        </w:rPr>
        <w:t xml:space="preserve"> </w:t>
      </w:r>
      <w:r w:rsidRPr="00AD1070">
        <w:rPr>
          <w:rFonts w:ascii="Verdana" w:eastAsia="Arial MT" w:hAnsi="Verdana" w:cs="Arial"/>
          <w:color w:val="000000" w:themeColor="text1"/>
          <w:sz w:val="20"/>
          <w:szCs w:val="20"/>
          <w:lang w:val="es-ES"/>
        </w:rPr>
        <w:t>complejidad</w:t>
      </w:r>
      <w:r w:rsidRPr="00AD1070">
        <w:rPr>
          <w:rFonts w:ascii="Verdana" w:eastAsia="Arial MT" w:hAnsi="Verdana" w:cs="Arial"/>
          <w:color w:val="000000" w:themeColor="text1"/>
          <w:spacing w:val="-7"/>
          <w:sz w:val="20"/>
          <w:szCs w:val="20"/>
          <w:lang w:val="es-ES"/>
        </w:rPr>
        <w:t xml:space="preserve"> </w:t>
      </w:r>
      <w:r w:rsidRPr="00AD1070">
        <w:rPr>
          <w:rFonts w:ascii="Verdana" w:eastAsia="Arial MT" w:hAnsi="Verdana" w:cs="Arial"/>
          <w:color w:val="000000" w:themeColor="text1"/>
          <w:sz w:val="20"/>
          <w:szCs w:val="20"/>
          <w:lang w:val="es-ES"/>
        </w:rPr>
        <w:t>o</w:t>
      </w:r>
      <w:r w:rsidRPr="00AD1070">
        <w:rPr>
          <w:rFonts w:ascii="Verdana" w:eastAsia="Arial MT" w:hAnsi="Verdana" w:cs="Arial"/>
          <w:color w:val="000000" w:themeColor="text1"/>
          <w:spacing w:val="-4"/>
          <w:sz w:val="20"/>
          <w:szCs w:val="20"/>
          <w:lang w:val="es-ES"/>
        </w:rPr>
        <w:t xml:space="preserve"> </w:t>
      </w:r>
      <w:r w:rsidRPr="00AD1070">
        <w:rPr>
          <w:rFonts w:ascii="Verdana" w:eastAsia="Arial MT" w:hAnsi="Verdana" w:cs="Arial"/>
          <w:color w:val="000000" w:themeColor="text1"/>
          <w:sz w:val="20"/>
          <w:szCs w:val="20"/>
          <w:lang w:val="es-ES"/>
        </w:rPr>
        <w:t>la</w:t>
      </w:r>
      <w:r w:rsidRPr="00AD1070">
        <w:rPr>
          <w:rFonts w:ascii="Verdana" w:eastAsia="Arial MT" w:hAnsi="Verdana" w:cs="Arial"/>
          <w:color w:val="000000" w:themeColor="text1"/>
          <w:spacing w:val="-4"/>
          <w:sz w:val="20"/>
          <w:szCs w:val="20"/>
          <w:lang w:val="es-ES"/>
        </w:rPr>
        <w:t xml:space="preserve"> </w:t>
      </w:r>
      <w:r w:rsidRPr="00AD1070">
        <w:rPr>
          <w:rFonts w:ascii="Verdana" w:eastAsia="Arial MT" w:hAnsi="Verdana" w:cs="Arial"/>
          <w:color w:val="000000" w:themeColor="text1"/>
          <w:sz w:val="20"/>
          <w:szCs w:val="20"/>
          <w:lang w:val="es-ES"/>
        </w:rPr>
        <w:t>extensión</w:t>
      </w:r>
      <w:r w:rsidRPr="00AD1070">
        <w:rPr>
          <w:rFonts w:ascii="Verdana" w:eastAsia="Arial MT" w:hAnsi="Verdana" w:cs="Arial"/>
          <w:color w:val="000000" w:themeColor="text1"/>
          <w:spacing w:val="-6"/>
          <w:sz w:val="20"/>
          <w:szCs w:val="20"/>
          <w:lang w:val="es-ES"/>
        </w:rPr>
        <w:t xml:space="preserve"> </w:t>
      </w:r>
      <w:proofErr w:type="gramStart"/>
      <w:r w:rsidRPr="00AD1070">
        <w:rPr>
          <w:rFonts w:ascii="Verdana" w:eastAsia="Arial MT" w:hAnsi="Verdana" w:cs="Arial"/>
          <w:color w:val="000000" w:themeColor="text1"/>
          <w:sz w:val="20"/>
          <w:szCs w:val="20"/>
          <w:lang w:val="es-ES"/>
        </w:rPr>
        <w:t>del</w:t>
      </w:r>
      <w:r w:rsidRPr="00AD1070">
        <w:rPr>
          <w:rFonts w:ascii="Verdana" w:eastAsia="Arial MT" w:hAnsi="Verdana" w:cs="Arial"/>
          <w:color w:val="000000" w:themeColor="text1"/>
          <w:spacing w:val="-6"/>
          <w:sz w:val="20"/>
          <w:szCs w:val="20"/>
          <w:lang w:val="es-ES"/>
        </w:rPr>
        <w:t xml:space="preserve"> </w:t>
      </w:r>
      <w:r w:rsidRPr="00AD1070">
        <w:rPr>
          <w:rFonts w:ascii="Verdana" w:eastAsia="Arial MT" w:hAnsi="Verdana" w:cs="Arial"/>
          <w:color w:val="000000" w:themeColor="text1"/>
          <w:sz w:val="20"/>
          <w:szCs w:val="20"/>
          <w:lang w:val="es-ES"/>
        </w:rPr>
        <w:t>mismo</w:t>
      </w:r>
      <w:proofErr w:type="gramEnd"/>
      <w:r w:rsidRPr="00AD1070">
        <w:rPr>
          <w:rFonts w:ascii="Verdana" w:eastAsia="Arial MT" w:hAnsi="Verdana" w:cs="Arial"/>
          <w:color w:val="000000" w:themeColor="text1"/>
          <w:spacing w:val="-6"/>
          <w:sz w:val="20"/>
          <w:szCs w:val="20"/>
          <w:lang w:val="es-ES"/>
        </w:rPr>
        <w:t xml:space="preserve"> </w:t>
      </w:r>
      <w:r w:rsidRPr="00AD1070">
        <w:rPr>
          <w:rFonts w:ascii="Verdana" w:eastAsia="Arial MT" w:hAnsi="Verdana" w:cs="Arial"/>
          <w:color w:val="000000" w:themeColor="text1"/>
          <w:sz w:val="20"/>
          <w:szCs w:val="20"/>
          <w:lang w:val="es-ES"/>
        </w:rPr>
        <w:t>lo</w:t>
      </w:r>
      <w:r w:rsidRPr="00AD1070">
        <w:rPr>
          <w:rFonts w:ascii="Verdana" w:eastAsia="Arial MT" w:hAnsi="Verdana" w:cs="Arial"/>
          <w:color w:val="000000" w:themeColor="text1"/>
          <w:spacing w:val="-6"/>
          <w:sz w:val="20"/>
          <w:szCs w:val="20"/>
          <w:lang w:val="es-ES"/>
        </w:rPr>
        <w:t xml:space="preserve"> </w:t>
      </w:r>
      <w:r w:rsidRPr="00AD1070">
        <w:rPr>
          <w:rFonts w:ascii="Verdana" w:eastAsia="Arial MT" w:hAnsi="Verdana" w:cs="Arial"/>
          <w:color w:val="000000" w:themeColor="text1"/>
          <w:sz w:val="20"/>
          <w:szCs w:val="20"/>
          <w:lang w:val="es-ES"/>
        </w:rPr>
        <w:t>justifiquen.</w:t>
      </w:r>
      <w:r w:rsidRPr="00AD1070">
        <w:rPr>
          <w:rFonts w:ascii="Verdana" w:eastAsia="Arial MT" w:hAnsi="Verdana" w:cs="Arial"/>
          <w:color w:val="000000" w:themeColor="text1"/>
          <w:spacing w:val="-7"/>
          <w:sz w:val="20"/>
          <w:szCs w:val="20"/>
          <w:lang w:val="es-ES"/>
        </w:rPr>
        <w:t xml:space="preserve"> </w:t>
      </w:r>
      <w:r w:rsidRPr="00AD1070">
        <w:rPr>
          <w:rFonts w:ascii="Verdana" w:eastAsia="Arial MT" w:hAnsi="Verdana" w:cs="Arial"/>
          <w:color w:val="000000" w:themeColor="text1"/>
          <w:sz w:val="20"/>
          <w:szCs w:val="20"/>
          <w:lang w:val="es-ES"/>
        </w:rPr>
        <w:t>No</w:t>
      </w:r>
      <w:r w:rsidRPr="00AD1070">
        <w:rPr>
          <w:rFonts w:ascii="Verdana" w:eastAsia="Arial MT" w:hAnsi="Verdana" w:cs="Arial"/>
          <w:color w:val="000000" w:themeColor="text1"/>
          <w:spacing w:val="-6"/>
          <w:sz w:val="20"/>
          <w:szCs w:val="20"/>
          <w:lang w:val="es-ES"/>
        </w:rPr>
        <w:t xml:space="preserve"> </w:t>
      </w:r>
      <w:r w:rsidRPr="00AD1070">
        <w:rPr>
          <w:rFonts w:ascii="Verdana" w:eastAsia="Arial MT" w:hAnsi="Verdana" w:cs="Arial"/>
          <w:color w:val="000000" w:themeColor="text1"/>
          <w:sz w:val="20"/>
          <w:szCs w:val="20"/>
          <w:lang w:val="es-ES"/>
        </w:rPr>
        <w:t>obstante,</w:t>
      </w:r>
      <w:r w:rsidRPr="00AD1070">
        <w:rPr>
          <w:rFonts w:ascii="Verdana" w:eastAsia="Arial MT" w:hAnsi="Verdana" w:cs="Arial"/>
          <w:color w:val="000000" w:themeColor="text1"/>
          <w:spacing w:val="-56"/>
          <w:sz w:val="20"/>
          <w:szCs w:val="20"/>
          <w:lang w:val="es-ES"/>
        </w:rPr>
        <w:t xml:space="preserve"> </w:t>
      </w:r>
      <w:r w:rsidRPr="00AD1070">
        <w:rPr>
          <w:rFonts w:ascii="Verdana" w:eastAsia="Arial MT" w:hAnsi="Verdana" w:cs="Arial"/>
          <w:color w:val="000000" w:themeColor="text1"/>
          <w:sz w:val="20"/>
          <w:szCs w:val="20"/>
          <w:lang w:val="es-ES"/>
        </w:rPr>
        <w:t>lo anterior cuando la entidad lo encuentre justificado y acorde a la naturaleza del</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contrato principal, podrá contratar el seguimiento administrativo, técnico, financiero,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contable,</w:t>
      </w:r>
      <w:r w:rsidRPr="00AD1070">
        <w:rPr>
          <w:rFonts w:ascii="Verdana" w:eastAsia="Arial MT" w:hAnsi="Verdana" w:cs="Arial"/>
          <w:color w:val="000000" w:themeColor="text1"/>
          <w:spacing w:val="-3"/>
          <w:sz w:val="20"/>
          <w:szCs w:val="20"/>
          <w:lang w:val="es-ES"/>
        </w:rPr>
        <w:t xml:space="preserve"> </w:t>
      </w:r>
      <w:r w:rsidRPr="00AD1070">
        <w:rPr>
          <w:rFonts w:ascii="Verdana" w:eastAsia="Arial MT" w:hAnsi="Verdana" w:cs="Arial"/>
          <w:color w:val="000000" w:themeColor="text1"/>
          <w:sz w:val="20"/>
          <w:szCs w:val="20"/>
          <w:lang w:val="es-ES"/>
        </w:rPr>
        <w:t>jurídico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del objeto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contrato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dentro</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de</w:t>
      </w:r>
      <w:r w:rsidRPr="00AD1070">
        <w:rPr>
          <w:rFonts w:ascii="Verdana" w:eastAsia="Arial MT" w:hAnsi="Verdana" w:cs="Arial"/>
          <w:color w:val="000000" w:themeColor="text1"/>
          <w:spacing w:val="-1"/>
          <w:sz w:val="20"/>
          <w:szCs w:val="20"/>
          <w:lang w:val="es-ES"/>
        </w:rPr>
        <w:t xml:space="preserve"> </w:t>
      </w:r>
      <w:r w:rsidRPr="00AD1070">
        <w:rPr>
          <w:rFonts w:ascii="Verdana" w:eastAsia="Arial MT" w:hAnsi="Verdana" w:cs="Arial"/>
          <w:color w:val="000000" w:themeColor="text1"/>
          <w:sz w:val="20"/>
          <w:szCs w:val="20"/>
          <w:lang w:val="es-ES"/>
        </w:rPr>
        <w:t>la</w:t>
      </w:r>
      <w:r w:rsidRPr="00AD1070">
        <w:rPr>
          <w:rFonts w:ascii="Verdana" w:eastAsia="Arial MT" w:hAnsi="Verdana" w:cs="Arial"/>
          <w:color w:val="000000" w:themeColor="text1"/>
          <w:spacing w:val="-4"/>
          <w:sz w:val="20"/>
          <w:szCs w:val="20"/>
          <w:lang w:val="es-ES"/>
        </w:rPr>
        <w:t xml:space="preserve"> </w:t>
      </w:r>
      <w:r w:rsidRPr="00AD1070">
        <w:rPr>
          <w:rFonts w:ascii="Verdana" w:eastAsia="Arial MT" w:hAnsi="Verdana" w:cs="Arial"/>
          <w:color w:val="000000" w:themeColor="text1"/>
          <w:sz w:val="20"/>
          <w:szCs w:val="20"/>
          <w:lang w:val="es-ES"/>
        </w:rPr>
        <w:t>interventoría”.</w:t>
      </w:r>
    </w:p>
    <w:p w14:paraId="5F3E6564" w14:textId="77777777" w:rsidR="00B17B4C" w:rsidRPr="00984E13" w:rsidRDefault="00B17B4C" w:rsidP="00B17B4C">
      <w:pPr>
        <w:widowControl w:val="0"/>
        <w:autoSpaceDE w:val="0"/>
        <w:autoSpaceDN w:val="0"/>
        <w:spacing w:before="8" w:after="0" w:line="276" w:lineRule="auto"/>
        <w:rPr>
          <w:rFonts w:ascii="Verdana" w:eastAsia="Arial MT" w:hAnsi="Verdana" w:cs="Arial"/>
          <w:color w:val="000000" w:themeColor="text1"/>
          <w:lang w:val="es-ES"/>
        </w:rPr>
      </w:pPr>
    </w:p>
    <w:p w14:paraId="77C48777" w14:textId="77777777" w:rsidR="00B17B4C" w:rsidRPr="005D2815"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ES"/>
        </w:rPr>
      </w:pPr>
      <w:r w:rsidRPr="005D2815">
        <w:rPr>
          <w:rFonts w:ascii="Verdana" w:eastAsia="Arial MT" w:hAnsi="Verdana" w:cs="Arial"/>
          <w:color w:val="000000" w:themeColor="text1"/>
          <w:lang w:val="es-ES"/>
        </w:rPr>
        <w:t>En este punto, se reitera lo expuesto</w:t>
      </w:r>
      <w:r>
        <w:rPr>
          <w:rFonts w:ascii="Verdana" w:eastAsia="Arial MT" w:hAnsi="Verdana" w:cs="Arial"/>
          <w:color w:val="000000" w:themeColor="text1"/>
          <w:lang w:val="es-ES"/>
        </w:rPr>
        <w:t xml:space="preserve"> por esta Agencia desde </w:t>
      </w:r>
      <w:r w:rsidRPr="005D2815">
        <w:rPr>
          <w:rFonts w:ascii="Verdana" w:eastAsia="Arial MT" w:hAnsi="Verdana" w:cs="Arial"/>
          <w:color w:val="000000" w:themeColor="text1"/>
          <w:lang w:val="es-ES"/>
        </w:rPr>
        <w:t xml:space="preserve">el </w:t>
      </w:r>
      <w:r>
        <w:rPr>
          <w:rFonts w:ascii="Verdana" w:eastAsia="Arial MT" w:hAnsi="Verdana" w:cs="Arial"/>
          <w:color w:val="000000" w:themeColor="text1"/>
          <w:lang w:val="es-ES"/>
        </w:rPr>
        <w:t>C</w:t>
      </w:r>
      <w:r w:rsidRPr="005D2815">
        <w:rPr>
          <w:rFonts w:ascii="Verdana" w:eastAsia="Arial MT" w:hAnsi="Verdana" w:cs="Arial"/>
          <w:color w:val="000000" w:themeColor="text1"/>
          <w:lang w:val="es-ES"/>
        </w:rPr>
        <w:t xml:space="preserve">oncepto 4201913000008240 del 20 de diciembre de 2019, en cuya oportunidad se señaló que </w:t>
      </w:r>
      <w:r>
        <w:rPr>
          <w:rFonts w:ascii="Verdana" w:eastAsia="Arial MT" w:hAnsi="Verdana" w:cs="Arial"/>
          <w:color w:val="000000" w:themeColor="text1"/>
          <w:lang w:val="es-ES"/>
        </w:rPr>
        <w:t>“</w:t>
      </w:r>
      <w:r w:rsidRPr="005D2815">
        <w:rPr>
          <w:rFonts w:ascii="Verdana" w:eastAsia="Arial MT" w:hAnsi="Verdana" w:cs="Arial"/>
          <w:color w:val="000000" w:themeColor="text1"/>
          <w:lang w:val="es-ES"/>
        </w:rPr>
        <w:t>el seguimiento de la ejecución del contrato para su dirección, control y vigilancia del correcto cumplimiento del objeto es un deber legal que permite a las entidades estatales tomar medidas orientadas a la satisfacción de los fines de la contratación, dentro de las cuales, se encuentra la posibilidad de pactar y ejercer las cláusulas exorbitantes, la designación de una supervisión o la contratación de una interventoría para vigilar la ejecución del contrato y la facultad de pactar e imponer multas, cláusula penal o hacer efectivas las garantías del contrato, previa declaratoria de incumplimiento de las obligaciones del contrato, en aras de lograr la satisfacción de las necesidades de bienes, obras o servicios que se pretenden suplir con la celebración de los contratos estatales</w:t>
      </w:r>
      <w:r>
        <w:rPr>
          <w:rFonts w:ascii="Verdana" w:eastAsia="Arial MT" w:hAnsi="Verdana" w:cs="Arial"/>
          <w:color w:val="000000" w:themeColor="text1"/>
          <w:lang w:val="es-ES"/>
        </w:rPr>
        <w:t>”</w:t>
      </w:r>
      <w:r w:rsidRPr="005D2815">
        <w:rPr>
          <w:rFonts w:ascii="Verdana" w:eastAsia="Arial MT" w:hAnsi="Verdana" w:cs="Arial"/>
          <w:color w:val="000000" w:themeColor="text1"/>
          <w:lang w:val="es-ES"/>
        </w:rPr>
        <w:t>.</w:t>
      </w:r>
    </w:p>
    <w:p w14:paraId="498DCDC6" w14:textId="5CF41378" w:rsidR="00B17B4C"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ES"/>
        </w:rPr>
      </w:pPr>
      <w:r w:rsidRPr="005D2815">
        <w:rPr>
          <w:rFonts w:ascii="Verdana" w:eastAsia="Arial MT" w:hAnsi="Verdana" w:cs="Arial"/>
          <w:color w:val="000000" w:themeColor="text1"/>
          <w:lang w:val="es-ES"/>
        </w:rPr>
        <w:t xml:space="preserve">Por lo tanto, la responsabilidad por el control y vigilancia de la ejecución del contrato está a cargo de la entidad estatal contratante y, en consecuencia, es </w:t>
      </w:r>
      <w:r w:rsidR="00F32F35">
        <w:rPr>
          <w:rFonts w:ascii="Verdana" w:eastAsia="Arial MT" w:hAnsi="Verdana" w:cs="Arial"/>
          <w:color w:val="000000" w:themeColor="text1"/>
          <w:lang w:val="es-ES"/>
        </w:rPr>
        <w:t>e</w:t>
      </w:r>
      <w:r w:rsidRPr="005D2815">
        <w:rPr>
          <w:rFonts w:ascii="Verdana" w:eastAsia="Arial MT" w:hAnsi="Verdana" w:cs="Arial"/>
          <w:color w:val="000000" w:themeColor="text1"/>
          <w:lang w:val="es-ES"/>
        </w:rPr>
        <w:t>sta quien debe supervisar los contratos mediante sus funcionarios o servidores públicos, y únicamente puede contratar personal en caso de necesitarlo como apoyo a su gestión en la supervisión. De este modo, el contratista podría fungir de apoyo a la supervisión del contrato, en la medida en que el contrato de prestación de servicios profesionales y de apoyo a la gestión tenga como objeto obligaciones dirigidas a apoyar dicha actividad de supervisión de contratos. En tal sentido, los contratistas no pueden asumir de forma íntegra, directa y excluyente la actividad de supervisión de los contratos estatales.</w:t>
      </w:r>
      <w:r>
        <w:rPr>
          <w:rFonts w:ascii="Verdana" w:eastAsia="Arial MT" w:hAnsi="Verdana" w:cs="Arial"/>
          <w:color w:val="000000" w:themeColor="text1"/>
          <w:lang w:val="es-ES"/>
        </w:rPr>
        <w:t xml:space="preserve"> </w:t>
      </w:r>
      <w:r w:rsidR="001F0EB5" w:rsidRPr="001F0EB5">
        <w:rPr>
          <w:rFonts w:ascii="Verdana" w:eastAsia="Arial MT" w:hAnsi="Verdana" w:cs="Arial"/>
          <w:color w:val="000000" w:themeColor="text1"/>
        </w:rPr>
        <w:t xml:space="preserve">Por ello, conviene precisar que el ordenamiento no contempla una figura de </w:t>
      </w:r>
      <w:r w:rsidR="001F0EB5" w:rsidRPr="001F0EB5">
        <w:rPr>
          <w:rFonts w:ascii="Verdana" w:eastAsia="Arial MT" w:hAnsi="Verdana" w:cs="Arial"/>
          <w:color w:val="000000" w:themeColor="text1"/>
        </w:rPr>
        <w:lastRenderedPageBreak/>
        <w:t>"supervisión externa", pues —conforme al inciso segundo del artículo 83 del Estatuto Anticorrupción— la supervisión "[…] es ejercida por la misma entidad estatal cuando no requieren conocimientos especializados […]". Cuando el seguimiento supone conocimiento especializado, o cuando la complejidad o la extensión del contrato lo justifican, el mecanismo previsto por el legislador es la interventoría.</w:t>
      </w:r>
    </w:p>
    <w:p w14:paraId="601C1432" w14:textId="77777777" w:rsidR="00B17B4C" w:rsidRPr="0037057D" w:rsidRDefault="00B17B4C" w:rsidP="00B17B4C">
      <w:pPr>
        <w:pStyle w:val="Sinespaciado"/>
        <w:spacing w:line="276" w:lineRule="auto"/>
        <w:ind w:firstLine="709"/>
        <w:jc w:val="both"/>
        <w:rPr>
          <w:rFonts w:ascii="Verdana" w:hAnsi="Verdana" w:cs="Arial"/>
          <w:sz w:val="22"/>
        </w:rPr>
      </w:pPr>
      <w:r w:rsidRPr="006831B2">
        <w:rPr>
          <w:rFonts w:ascii="Verdana" w:hAnsi="Verdana" w:cs="Arial"/>
          <w:sz w:val="22"/>
        </w:rPr>
        <w:t>En contraste, de acuerdo con el inciso tercero de la norma precitada,</w:t>
      </w:r>
      <w:r>
        <w:rPr>
          <w:rFonts w:ascii="Verdana" w:eastAsia="Arial MT" w:hAnsi="Verdana" w:cs="Arial"/>
          <w:color w:val="000000" w:themeColor="text1"/>
          <w:lang w:val="es-ES"/>
        </w:rPr>
        <w:t xml:space="preserve"> </w:t>
      </w:r>
      <w:r w:rsidRPr="0037057D">
        <w:rPr>
          <w:rFonts w:ascii="Verdana" w:hAnsi="Verdana" w:cs="Arial"/>
          <w:sz w:val="22"/>
        </w:rPr>
        <w:t xml:space="preserve">la interventoría: i) será un mecanismo de vigilancia contingente en la medida que solo es obligatorio para el seguimiento de los contratos de obra adjudicados por licitación pública ‒art. 32, numeral 1‒; en los demás casos se requerirá cuando </w:t>
      </w:r>
      <w:r>
        <w:rPr>
          <w:rFonts w:ascii="Verdana" w:hAnsi="Verdana" w:cs="Arial"/>
          <w:sz w:val="22"/>
        </w:rPr>
        <w:t>“</w:t>
      </w:r>
      <w:r w:rsidRPr="0037057D">
        <w:rPr>
          <w:rFonts w:ascii="Verdana" w:hAnsi="Verdana" w:cs="Arial"/>
          <w:sz w:val="22"/>
        </w:rPr>
        <w:t>el seguimiento del contrato suponga conocimiento especializado en la materia, o cuando la complejidad o la extensión del mismo lo justifiquen</w:t>
      </w:r>
      <w:r>
        <w:rPr>
          <w:rFonts w:ascii="Verdana" w:hAnsi="Verdana" w:cs="Arial"/>
          <w:sz w:val="22"/>
        </w:rPr>
        <w:t>”</w:t>
      </w:r>
      <w:r w:rsidRPr="0037057D">
        <w:rPr>
          <w:rFonts w:ascii="Verdana" w:hAnsi="Verdana" w:cs="Arial"/>
          <w:sz w:val="22"/>
        </w:rPr>
        <w:t xml:space="preserve"> ‒art. 83, Ley 1474 de 2011‒. ii) Este mecanismo de vigilancia exige, en su ejecución, la utilización de conocimientos especializados. iii) Por lo anterior, la entidad contrata un experto a través de un concurso de méritos, al tratarse la interventoría de una especie del contrato de consultoría ‒art. 32, numeral 2, inciso 2, Ley 80 de 1993</w:t>
      </w:r>
      <w:r w:rsidRPr="0037057D">
        <w:rPr>
          <w:rStyle w:val="Refdenotaalpie"/>
          <w:rFonts w:ascii="Verdana" w:hAnsi="Verdana" w:cs="Arial"/>
          <w:sz w:val="22"/>
        </w:rPr>
        <w:footnoteReference w:id="6"/>
      </w:r>
      <w:r w:rsidRPr="0037057D">
        <w:rPr>
          <w:rFonts w:ascii="Verdana" w:hAnsi="Verdana" w:cs="Arial"/>
          <w:sz w:val="22"/>
        </w:rPr>
        <w:t xml:space="preserve">‒, de manera que la interventoría es realizada por una </w:t>
      </w:r>
      <w:r>
        <w:rPr>
          <w:rFonts w:ascii="Verdana" w:hAnsi="Verdana" w:cs="Arial"/>
          <w:sz w:val="22"/>
        </w:rPr>
        <w:t>“</w:t>
      </w:r>
      <w:r w:rsidRPr="0037057D">
        <w:rPr>
          <w:rFonts w:ascii="Verdana" w:hAnsi="Verdana" w:cs="Arial"/>
          <w:sz w:val="22"/>
        </w:rPr>
        <w:t>persona natural o jurídica contratada para tal fin por la Entidad Estatal</w:t>
      </w:r>
      <w:r>
        <w:rPr>
          <w:rFonts w:ascii="Verdana" w:hAnsi="Verdana" w:cs="Arial"/>
          <w:sz w:val="22"/>
        </w:rPr>
        <w:t>”</w:t>
      </w:r>
      <w:r w:rsidRPr="0037057D">
        <w:rPr>
          <w:rFonts w:ascii="Verdana" w:hAnsi="Verdana" w:cs="Arial"/>
          <w:sz w:val="22"/>
        </w:rPr>
        <w:t xml:space="preserve"> ‒art. 83,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w:t>
      </w:r>
      <w:r>
        <w:rPr>
          <w:rFonts w:ascii="Verdana" w:hAnsi="Verdana" w:cs="Arial"/>
          <w:sz w:val="22"/>
        </w:rPr>
        <w:t>“</w:t>
      </w:r>
      <w:r w:rsidRPr="0037057D">
        <w:rPr>
          <w:rFonts w:ascii="Verdana" w:hAnsi="Verdana" w:cs="Arial"/>
          <w:sz w:val="22"/>
        </w:rPr>
        <w:t>se deberán indicar las actividades técnicas a cargo del interventor y las demás quedarán a cargo de la Entidad a través del supervisor</w:t>
      </w:r>
      <w:r>
        <w:rPr>
          <w:rFonts w:ascii="Verdana" w:hAnsi="Verdana" w:cs="Arial"/>
          <w:sz w:val="22"/>
        </w:rPr>
        <w:t>”</w:t>
      </w:r>
      <w:r w:rsidRPr="0037057D">
        <w:rPr>
          <w:rFonts w:ascii="Verdana" w:hAnsi="Verdana" w:cs="Arial"/>
          <w:sz w:val="22"/>
        </w:rPr>
        <w:t xml:space="preserve"> ‒art. 83, inciso 3‒. Finalmente, vi) el contrato de interventoría será supervisado directamente por la entidad ‒art. 83, inciso 4‒.</w:t>
      </w:r>
    </w:p>
    <w:p w14:paraId="303FB841" w14:textId="77777777" w:rsidR="00B17B4C" w:rsidRPr="0037057D" w:rsidRDefault="00B17B4C" w:rsidP="00B17B4C">
      <w:pPr>
        <w:pStyle w:val="Sinespaciado"/>
        <w:spacing w:before="120" w:after="120" w:line="276" w:lineRule="auto"/>
        <w:ind w:firstLine="709"/>
        <w:jc w:val="both"/>
        <w:rPr>
          <w:rFonts w:ascii="Verdana" w:hAnsi="Verdana" w:cs="Arial"/>
          <w:sz w:val="22"/>
        </w:rPr>
      </w:pPr>
      <w:r w:rsidRPr="0037057D">
        <w:rPr>
          <w:rFonts w:ascii="Verdana" w:hAnsi="Verdana" w:cs="Arial"/>
          <w:sz w:val="22"/>
        </w:rPr>
        <w:t>De lo anterior se desprende que</w:t>
      </w:r>
      <w:r>
        <w:rPr>
          <w:rFonts w:ascii="Verdana" w:hAnsi="Verdana" w:cs="Arial"/>
          <w:sz w:val="22"/>
        </w:rPr>
        <w:t>, a diferencia del supervisor,</w:t>
      </w:r>
      <w:r w:rsidRPr="0037057D">
        <w:rPr>
          <w:rFonts w:ascii="Verdana" w:hAnsi="Verdana" w:cs="Arial"/>
          <w:sz w:val="22"/>
        </w:rPr>
        <w:t xml:space="preserve"> el interventor es un contratista externo a la entidad estatal y al contratista vigilado, de manera que es seleccionado por la entidad estatal mediante los procedimientos del artículo 2 de la Ley 1150 de 2007, en principio, a través del concurso de méritos. Lo anterior, sin perjuicio de que eventualmente aplique alguna causal especial que permita la celebración de este tipo de contratos mediante una modalidad </w:t>
      </w:r>
      <w:r w:rsidRPr="0037057D">
        <w:rPr>
          <w:rFonts w:ascii="Verdana" w:hAnsi="Verdana" w:cs="Arial"/>
          <w:sz w:val="22"/>
        </w:rPr>
        <w:lastRenderedPageBreak/>
        <w:t xml:space="preserve">diferente, como podría suceder frente a la posibilidad de realizar, por ejemplo, una contratación de mínima cuantía o una contratación directa, en caso de presentarse alguna de las causales establecidas en el artículo 2 de la Ley 1150 de 2007, que dé lugar a acudir a otra modalidad de selección. </w:t>
      </w:r>
    </w:p>
    <w:p w14:paraId="178C5348" w14:textId="77777777" w:rsidR="00B17B4C"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ES"/>
        </w:rPr>
      </w:pPr>
      <w:r w:rsidRPr="00984E13">
        <w:rPr>
          <w:rFonts w:ascii="Verdana" w:eastAsia="Arial MT" w:hAnsi="Verdana" w:cs="Arial"/>
          <w:color w:val="000000" w:themeColor="text1"/>
          <w:lang w:val="es-ES"/>
        </w:rPr>
        <w:t>Quien ejerza la vigilancia de la ejecución del contrato, ya sea mediante la supervisión 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mediante</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interventoría,</w:t>
      </w:r>
      <w:r w:rsidRPr="00984E13">
        <w:rPr>
          <w:rFonts w:ascii="Verdana" w:eastAsia="Arial MT" w:hAnsi="Verdana" w:cs="Arial"/>
          <w:color w:val="000000" w:themeColor="text1"/>
          <w:spacing w:val="-4"/>
          <w:lang w:val="es-ES"/>
        </w:rPr>
        <w:t xml:space="preserve"> </w:t>
      </w:r>
      <w:r w:rsidRPr="00984E13">
        <w:rPr>
          <w:rFonts w:ascii="Verdana" w:eastAsia="Arial MT" w:hAnsi="Verdana" w:cs="Arial"/>
          <w:color w:val="000000" w:themeColor="text1"/>
          <w:lang w:val="es-ES"/>
        </w:rPr>
        <w:t>puede</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hacer</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uso</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las</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facultades</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previstas</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el</w:t>
      </w:r>
      <w:r w:rsidRPr="00984E13">
        <w:rPr>
          <w:rFonts w:ascii="Verdana" w:eastAsia="Arial MT" w:hAnsi="Verdana" w:cs="Arial"/>
          <w:color w:val="000000" w:themeColor="text1"/>
          <w:spacing w:val="-4"/>
          <w:lang w:val="es-ES"/>
        </w:rPr>
        <w:t xml:space="preserve"> </w:t>
      </w:r>
      <w:r w:rsidRPr="00984E13">
        <w:rPr>
          <w:rFonts w:ascii="Verdana" w:eastAsia="Arial MT" w:hAnsi="Verdana" w:cs="Arial"/>
          <w:color w:val="000000" w:themeColor="text1"/>
          <w:lang w:val="es-ES"/>
        </w:rPr>
        <w:t>artículo</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84</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Ley</w:t>
      </w:r>
      <w:r w:rsidRPr="00984E13">
        <w:rPr>
          <w:rFonts w:ascii="Verdana" w:eastAsia="Arial MT" w:hAnsi="Verdana" w:cs="Arial"/>
          <w:color w:val="000000" w:themeColor="text1"/>
          <w:spacing w:val="-58"/>
          <w:lang w:val="es-ES"/>
        </w:rPr>
        <w:t xml:space="preserve"> </w:t>
      </w:r>
      <w:r w:rsidRPr="00984E13">
        <w:rPr>
          <w:rFonts w:ascii="Verdana" w:eastAsia="Arial MT" w:hAnsi="Verdana" w:cs="Arial"/>
          <w:color w:val="000000" w:themeColor="text1"/>
          <w:lang w:val="es-ES"/>
        </w:rPr>
        <w:t>1474 de 2011 para efectuar el seguimiento al cumplimiento obligacional del contrato y estará</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sometido a los deberes y responsabilidades que implica el ejercicio de dicha actividad. En este contexto, “Los interventores y supervisores están facultados para solicitar informes, aclaraciones y explicaciones sobre el desarrollo de la ejecución contractual […]”.</w:t>
      </w:r>
      <w:r>
        <w:rPr>
          <w:rFonts w:ascii="Verdana" w:eastAsia="Arial MT" w:hAnsi="Verdana" w:cs="Arial"/>
          <w:color w:val="000000" w:themeColor="text1"/>
          <w:lang w:val="es-ES"/>
        </w:rPr>
        <w:t xml:space="preserve"> Incluso, a</w:t>
      </w:r>
      <w:r w:rsidRPr="00140D7A">
        <w:rPr>
          <w:rFonts w:ascii="Verdana" w:eastAsia="Arial MT" w:hAnsi="Verdana" w:cs="Arial"/>
          <w:color w:val="000000" w:themeColor="text1"/>
          <w:lang w:val="es-ES"/>
        </w:rPr>
        <w:t>un cuando el contrato de interventoría se celebra con un tercero a quien se le confía la labor de vigilar la ejecución idónea de otro contrato, por lo general un contrato de obra pública, aquel actúa con facultades similares a las que tiene la entidad estatal cuando ejerce la supervisión por su propia cuenta. Lo anterior en la medida que ambos son mecanismos a través de los cuales las entidades cumplen el deber de vigilar la correcta ejecución de los contratos, por lo que comparten una finalidad común.</w:t>
      </w:r>
      <w:r>
        <w:rPr>
          <w:rFonts w:ascii="Verdana" w:eastAsia="Arial MT" w:hAnsi="Verdana" w:cs="Arial"/>
          <w:color w:val="000000" w:themeColor="text1"/>
          <w:lang w:val="es-ES"/>
        </w:rPr>
        <w:t xml:space="preserve"> </w:t>
      </w:r>
    </w:p>
    <w:p w14:paraId="7D63B770" w14:textId="2EC6C345" w:rsidR="00B17B4C"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Para delimitar la frontera entre la vigilancia y el contrato vigilado, es necesario tener en cuenta que es al contratista a quien le corresponde la ejecución material del objeto contratado. Este último se sujeta a la potestad de control que ejerce la entidad estatal, bien a través de sus propios funcionarios –supervisión– o a través de terceros –interventoría–. Por tanto, dado que el contratista es sujeto de la vigilancia sobre el cumplimiento de las obligaciones, </w:t>
      </w:r>
      <w:r w:rsidR="00F32F35">
        <w:rPr>
          <w:rFonts w:ascii="Verdana" w:eastAsia="Arial MT" w:hAnsi="Verdana" w:cs="Arial"/>
          <w:color w:val="000000" w:themeColor="text1"/>
          <w:lang w:val="es-MX"/>
        </w:rPr>
        <w:t>e</w:t>
      </w:r>
      <w:r>
        <w:rPr>
          <w:rFonts w:ascii="Verdana" w:eastAsia="Arial MT" w:hAnsi="Verdana" w:cs="Arial"/>
          <w:color w:val="000000" w:themeColor="text1"/>
          <w:lang w:val="es-MX"/>
        </w:rPr>
        <w:t xml:space="preserve">ste se somete al control de los supervisores o interventores, según corresponda. </w:t>
      </w:r>
    </w:p>
    <w:p w14:paraId="75812C0F" w14:textId="77777777" w:rsidR="00B17B4C"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Para RINCÓN CÓRDOBA, la supervisión o la interventoría</w:t>
      </w:r>
      <w:r w:rsidRPr="006F024A">
        <w:rPr>
          <w:rFonts w:ascii="Verdana" w:eastAsia="Arial MT" w:hAnsi="Verdana" w:cs="Arial"/>
          <w:color w:val="000000" w:themeColor="text1"/>
          <w:lang w:val="es-MX"/>
        </w:rPr>
        <w:t xml:space="preserve"> constituye una actividad estrechamente vinculada al contrato objeto de vigilancia, cuya finalidad es garantizar que las obligaciones contractuales se ejecuten conforme a lo pactado. Aunque el incumplimiento del contratista no implica, </w:t>
      </w:r>
      <w:r w:rsidRPr="006F024A">
        <w:rPr>
          <w:rFonts w:ascii="Verdana" w:eastAsia="Arial MT" w:hAnsi="Verdana" w:cs="Arial"/>
          <w:i/>
          <w:iCs/>
          <w:color w:val="000000" w:themeColor="text1"/>
          <w:lang w:val="es-MX"/>
        </w:rPr>
        <w:t>per se</w:t>
      </w:r>
      <w:r w:rsidRPr="006F024A">
        <w:rPr>
          <w:rFonts w:ascii="Verdana" w:eastAsia="Arial MT" w:hAnsi="Verdana" w:cs="Arial"/>
          <w:color w:val="000000" w:themeColor="text1"/>
          <w:lang w:val="es-MX"/>
        </w:rPr>
        <w:t>, responsabilidad del interventor o supervisor</w:t>
      </w:r>
      <w:r>
        <w:rPr>
          <w:rFonts w:ascii="Verdana" w:eastAsia="Arial MT" w:hAnsi="Verdana" w:cs="Arial"/>
          <w:color w:val="000000" w:themeColor="text1"/>
          <w:lang w:val="es-MX"/>
        </w:rPr>
        <w:t xml:space="preserve">, ésta </w:t>
      </w:r>
      <w:r w:rsidRPr="006F024A">
        <w:rPr>
          <w:rFonts w:ascii="Verdana" w:eastAsia="Arial MT" w:hAnsi="Verdana" w:cs="Arial"/>
          <w:color w:val="000000" w:themeColor="text1"/>
          <w:lang w:val="es-MX"/>
        </w:rPr>
        <w:t xml:space="preserve">surge </w:t>
      </w:r>
      <w:r>
        <w:rPr>
          <w:rFonts w:ascii="Verdana" w:eastAsia="Arial MT" w:hAnsi="Verdana" w:cs="Arial"/>
          <w:color w:val="000000" w:themeColor="text1"/>
          <w:lang w:val="es-MX"/>
        </w:rPr>
        <w:t>si</w:t>
      </w:r>
      <w:r w:rsidRPr="006F024A">
        <w:rPr>
          <w:rFonts w:ascii="Verdana" w:eastAsia="Arial MT" w:hAnsi="Verdana" w:cs="Arial"/>
          <w:color w:val="000000" w:themeColor="text1"/>
          <w:lang w:val="es-MX"/>
        </w:rPr>
        <w:t xml:space="preserve"> omite</w:t>
      </w:r>
      <w:r>
        <w:rPr>
          <w:rFonts w:ascii="Verdana" w:eastAsia="Arial MT" w:hAnsi="Verdana" w:cs="Arial"/>
          <w:color w:val="000000" w:themeColor="text1"/>
          <w:lang w:val="es-MX"/>
        </w:rPr>
        <w:t>n</w:t>
      </w:r>
      <w:r w:rsidRPr="006F024A">
        <w:rPr>
          <w:rFonts w:ascii="Verdana" w:eastAsia="Arial MT" w:hAnsi="Verdana" w:cs="Arial"/>
          <w:color w:val="000000" w:themeColor="text1"/>
          <w:lang w:val="es-MX"/>
        </w:rPr>
        <w:t xml:space="preserve"> advertir, informar o gestionar oportunamente las situaciones que puedan conducir </w:t>
      </w:r>
      <w:r>
        <w:rPr>
          <w:rFonts w:ascii="Verdana" w:eastAsia="Arial MT" w:hAnsi="Verdana" w:cs="Arial"/>
          <w:color w:val="000000" w:themeColor="text1"/>
          <w:lang w:val="es-MX"/>
        </w:rPr>
        <w:t>al incumplimiento</w:t>
      </w:r>
      <w:r w:rsidRPr="006F024A">
        <w:rPr>
          <w:rFonts w:ascii="Verdana" w:eastAsia="Arial MT" w:hAnsi="Verdana" w:cs="Arial"/>
          <w:color w:val="000000" w:themeColor="text1"/>
          <w:lang w:val="es-MX"/>
        </w:rPr>
        <w:t xml:space="preserve">. En ejercicio de sus funciones, debe verificar que el objeto contractual se desarrolle dentro de los plazos previstos, con observancia de las especificaciones técnicas establecidas, así como asegurar la adecuada custodia, </w:t>
      </w:r>
      <w:r w:rsidRPr="006F024A">
        <w:rPr>
          <w:rFonts w:ascii="Verdana" w:eastAsia="Arial MT" w:hAnsi="Verdana" w:cs="Arial"/>
          <w:color w:val="000000" w:themeColor="text1"/>
          <w:lang w:val="es-MX"/>
        </w:rPr>
        <w:lastRenderedPageBreak/>
        <w:t>administración o entrega de bienes, obras o recursos cuando la naturaleza del contrato lo exija</w:t>
      </w:r>
      <w:r>
        <w:rPr>
          <w:rStyle w:val="Refdenotaalpie"/>
          <w:rFonts w:ascii="Verdana" w:eastAsia="Arial MT" w:hAnsi="Verdana" w:cs="Arial"/>
          <w:color w:val="000000" w:themeColor="text1"/>
          <w:lang w:val="es-MX"/>
        </w:rPr>
        <w:footnoteReference w:id="7"/>
      </w:r>
      <w:r w:rsidRPr="006F024A">
        <w:rPr>
          <w:rFonts w:ascii="Verdana" w:eastAsia="Arial MT" w:hAnsi="Verdana" w:cs="Arial"/>
          <w:color w:val="000000" w:themeColor="text1"/>
          <w:lang w:val="es-MX"/>
        </w:rPr>
        <w:t>.</w:t>
      </w:r>
    </w:p>
    <w:p w14:paraId="77843CB3" w14:textId="77777777" w:rsidR="00B17B4C" w:rsidRDefault="00B17B4C" w:rsidP="00B17B4C">
      <w:pPr>
        <w:widowControl w:val="0"/>
        <w:autoSpaceDE w:val="0"/>
        <w:autoSpaceDN w:val="0"/>
        <w:spacing w:after="120" w:line="276" w:lineRule="auto"/>
        <w:jc w:val="both"/>
        <w:rPr>
          <w:rFonts w:ascii="Verdana" w:eastAsia="Arial MT" w:hAnsi="Verdana" w:cs="Arial"/>
          <w:color w:val="000000" w:themeColor="text1"/>
          <w:lang w:val="es-MX"/>
        </w:rPr>
      </w:pPr>
      <w:r>
        <w:rPr>
          <w:rFonts w:ascii="Verdana" w:eastAsia="Arial MT" w:hAnsi="Verdana" w:cs="Arial"/>
          <w:color w:val="000000" w:themeColor="text1"/>
          <w:lang w:val="es-MX"/>
        </w:rPr>
        <w:tab/>
        <w:t>El mismo autor agrega que</w:t>
      </w:r>
      <w:r w:rsidRPr="00B807C9">
        <w:rPr>
          <w:rFonts w:ascii="Verdana" w:eastAsia="Arial MT" w:hAnsi="Verdana" w:cs="Arial"/>
          <w:color w:val="000000" w:themeColor="text1"/>
          <w:lang w:val="es-MX"/>
        </w:rPr>
        <w:t xml:space="preserve"> corresponde al interventor o supervisor identificar las causas de las irregularidades que se presenten durante la ejecución contractual, proponer y verificar la implementación de medidas correctivas, certificar el cumplimiento de las obligaciones para efectos de los pagos y, cuando exista incumplimiento, evaluar su gravedad y recomendar la imposición de las sanciones o la declaratoria de caducidad que resulten procedentes. </w:t>
      </w:r>
      <w:r>
        <w:rPr>
          <w:rFonts w:ascii="Verdana" w:eastAsia="Arial MT" w:hAnsi="Verdana" w:cs="Arial"/>
          <w:color w:val="000000" w:themeColor="text1"/>
          <w:lang w:val="es-MX"/>
        </w:rPr>
        <w:t>Por lo demás</w:t>
      </w:r>
      <w:r w:rsidRPr="00B807C9">
        <w:rPr>
          <w:rFonts w:ascii="Verdana" w:eastAsia="Arial MT" w:hAnsi="Verdana" w:cs="Arial"/>
          <w:color w:val="000000" w:themeColor="text1"/>
          <w:lang w:val="es-MX"/>
        </w:rPr>
        <w:t>, debe rendir informes periódicos sobre el estado de ejecución del contrato, suministrar a la entidad los elementos de juicio necesarios para la adopción de decisiones administrativas o judiciales y ejercer la facultad de solicitar al contratista los informes, aclaraciones y explicaciones requeridos para garantizar un adecuado control de la ejecución contractual</w:t>
      </w:r>
      <w:r>
        <w:rPr>
          <w:rStyle w:val="Refdenotaalpie"/>
          <w:rFonts w:ascii="Verdana" w:eastAsia="Arial MT" w:hAnsi="Verdana" w:cs="Arial"/>
          <w:color w:val="000000" w:themeColor="text1"/>
          <w:lang w:val="es-MX"/>
        </w:rPr>
        <w:footnoteReference w:id="8"/>
      </w:r>
      <w:r w:rsidRPr="00B807C9">
        <w:rPr>
          <w:rFonts w:ascii="Verdana" w:eastAsia="Arial MT" w:hAnsi="Verdana" w:cs="Arial"/>
          <w:color w:val="000000" w:themeColor="text1"/>
          <w:lang w:val="es-MX"/>
        </w:rPr>
        <w:t>.</w:t>
      </w:r>
    </w:p>
    <w:p w14:paraId="2719859B" w14:textId="1A3DFA1F" w:rsidR="00B17B4C" w:rsidRDefault="00B17B4C" w:rsidP="00B17B4C">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Como dispone el precitado artículo 83 del Estatuto Anticorrupción, el seguimiento de los supervisores e interventores corresponde al cumplimiento de las obligaciones pactadas en el contrato estatal, aspecto que se ratifica en el inciso primero del artículo 84 </w:t>
      </w:r>
      <w:r w:rsidRPr="00894572">
        <w:rPr>
          <w:rFonts w:ascii="Verdana" w:eastAsia="Arial MT" w:hAnsi="Verdana" w:cs="Arial"/>
          <w:i/>
          <w:iCs/>
          <w:color w:val="000000" w:themeColor="text1"/>
          <w:lang w:val="es-MX"/>
        </w:rPr>
        <w:t>ibidem</w:t>
      </w:r>
      <w:r>
        <w:rPr>
          <w:rFonts w:ascii="Verdana" w:eastAsia="Arial MT" w:hAnsi="Verdana" w:cs="Arial"/>
          <w:color w:val="000000" w:themeColor="text1"/>
          <w:lang w:val="es-MX"/>
        </w:rPr>
        <w:t>. En su fa</w:t>
      </w:r>
      <w:r w:rsidR="00175859">
        <w:rPr>
          <w:rFonts w:ascii="Verdana" w:eastAsia="Arial MT" w:hAnsi="Verdana" w:cs="Arial"/>
          <w:color w:val="000000" w:themeColor="text1"/>
          <w:lang w:val="es-MX"/>
        </w:rPr>
        <w:t>s</w:t>
      </w:r>
      <w:r>
        <w:rPr>
          <w:rFonts w:ascii="Verdana" w:eastAsia="Arial MT" w:hAnsi="Verdana" w:cs="Arial"/>
          <w:color w:val="000000" w:themeColor="text1"/>
          <w:lang w:val="es-MX"/>
        </w:rPr>
        <w:t>e técnica, esto implica tanto “V</w:t>
      </w:r>
      <w:r w:rsidRPr="004D03FA">
        <w:rPr>
          <w:rFonts w:ascii="Verdana" w:eastAsia="Arial MT" w:hAnsi="Verdana" w:cs="Arial"/>
          <w:color w:val="000000" w:themeColor="text1"/>
          <w:lang w:val="es-MX"/>
        </w:rPr>
        <w:t>igilar, controlar y verificar el cumplimiento del objeto contractual y las</w:t>
      </w:r>
      <w:r>
        <w:rPr>
          <w:rFonts w:ascii="Verdana" w:eastAsia="Arial MT" w:hAnsi="Verdana" w:cs="Arial"/>
          <w:color w:val="000000" w:themeColor="text1"/>
          <w:lang w:val="es-MX"/>
        </w:rPr>
        <w:t xml:space="preserve"> </w:t>
      </w:r>
      <w:r w:rsidRPr="004D03FA">
        <w:rPr>
          <w:rFonts w:ascii="Verdana" w:eastAsia="Arial MT" w:hAnsi="Verdana" w:cs="Arial"/>
          <w:color w:val="000000" w:themeColor="text1"/>
          <w:lang w:val="es-MX"/>
        </w:rPr>
        <w:t>obligaciones a cargo del contratista</w:t>
      </w:r>
      <w:r>
        <w:rPr>
          <w:rFonts w:ascii="Verdana" w:eastAsia="Arial MT" w:hAnsi="Verdana" w:cs="Arial"/>
          <w:color w:val="000000" w:themeColor="text1"/>
          <w:lang w:val="es-MX"/>
        </w:rPr>
        <w:t>”</w:t>
      </w:r>
      <w:r>
        <w:rPr>
          <w:rStyle w:val="Refdenotaalpie"/>
          <w:rFonts w:ascii="Verdana" w:eastAsia="Arial MT" w:hAnsi="Verdana" w:cs="Arial"/>
          <w:color w:val="000000" w:themeColor="text1"/>
          <w:lang w:val="es-MX"/>
        </w:rPr>
        <w:footnoteReference w:id="9"/>
      </w:r>
      <w:r>
        <w:rPr>
          <w:rFonts w:ascii="Verdana" w:eastAsia="Arial MT" w:hAnsi="Verdana" w:cs="Arial"/>
          <w:color w:val="000000" w:themeColor="text1"/>
          <w:lang w:val="es-MX"/>
        </w:rPr>
        <w:t xml:space="preserve"> como “</w:t>
      </w:r>
      <w:r w:rsidRPr="004D03FA">
        <w:rPr>
          <w:rFonts w:ascii="Verdana" w:eastAsia="Arial MT" w:hAnsi="Verdana" w:cs="Arial"/>
          <w:color w:val="000000" w:themeColor="text1"/>
          <w:lang w:val="es-MX"/>
        </w:rPr>
        <w:t>Verificar que las condiciones técnicas del bien, obra o servicio contratado, cumplan con los requisitos establecidos por la entidad y con el ofrecimiento formulado, según sea el caso</w:t>
      </w:r>
      <w:r>
        <w:rPr>
          <w:rFonts w:ascii="Verdana" w:eastAsia="Arial MT" w:hAnsi="Verdana" w:cs="Arial"/>
          <w:color w:val="000000" w:themeColor="text1"/>
          <w:lang w:val="es-MX"/>
        </w:rPr>
        <w:t>”</w:t>
      </w:r>
      <w:r>
        <w:rPr>
          <w:rStyle w:val="Refdenotaalpie"/>
          <w:rFonts w:ascii="Verdana" w:eastAsia="Arial MT" w:hAnsi="Verdana" w:cs="Arial"/>
          <w:color w:val="000000" w:themeColor="text1"/>
          <w:lang w:val="es-MX"/>
        </w:rPr>
        <w:footnoteReference w:id="10"/>
      </w:r>
      <w:r w:rsidRPr="004D03FA">
        <w:rPr>
          <w:rFonts w:ascii="Verdana" w:eastAsia="Arial MT" w:hAnsi="Verdana" w:cs="Arial"/>
          <w:color w:val="000000" w:themeColor="text1"/>
          <w:lang w:val="es-MX"/>
        </w:rPr>
        <w:t>.</w:t>
      </w:r>
      <w:r>
        <w:rPr>
          <w:rFonts w:ascii="Verdana" w:eastAsia="Arial MT" w:hAnsi="Verdana" w:cs="Arial"/>
          <w:color w:val="000000" w:themeColor="text1"/>
          <w:lang w:val="es-MX"/>
        </w:rPr>
        <w:t xml:space="preserve"> Así, la verificación del cumplimiento se realiza dentro </w:t>
      </w:r>
      <w:r w:rsidR="00175859">
        <w:rPr>
          <w:rFonts w:ascii="Verdana" w:eastAsia="Arial MT" w:hAnsi="Verdana" w:cs="Arial"/>
          <w:color w:val="000000" w:themeColor="text1"/>
          <w:lang w:val="es-MX"/>
        </w:rPr>
        <w:t xml:space="preserve">de </w:t>
      </w:r>
      <w:r>
        <w:rPr>
          <w:rFonts w:ascii="Verdana" w:eastAsia="Arial MT" w:hAnsi="Verdana" w:cs="Arial"/>
          <w:color w:val="000000" w:themeColor="text1"/>
          <w:lang w:val="es-MX"/>
        </w:rPr>
        <w:t>las exigencias pactadas entre la entidad estatal y el contratista; razón por la cual, pueden abstenerse de recibir obras, bienes o servicios que no satisfagan las especificaciones del contrato.</w:t>
      </w:r>
    </w:p>
    <w:p w14:paraId="0CCDD69D" w14:textId="12F31706" w:rsidR="005B519C" w:rsidRDefault="005B519C" w:rsidP="00B17B4C">
      <w:pPr>
        <w:widowControl w:val="0"/>
        <w:autoSpaceDE w:val="0"/>
        <w:autoSpaceDN w:val="0"/>
        <w:spacing w:after="120" w:line="276" w:lineRule="auto"/>
        <w:ind w:firstLine="709"/>
        <w:jc w:val="both"/>
        <w:rPr>
          <w:rFonts w:ascii="Verdana" w:eastAsia="Arial MT" w:hAnsi="Verdana" w:cs="Arial"/>
          <w:color w:val="000000" w:themeColor="text1"/>
          <w:lang w:val="es-MX"/>
        </w:rPr>
      </w:pPr>
      <w:r w:rsidRPr="005B519C">
        <w:rPr>
          <w:rFonts w:ascii="Verdana" w:eastAsia="Arial MT" w:hAnsi="Verdana" w:cs="Arial"/>
          <w:color w:val="000000" w:themeColor="text1"/>
          <w:lang w:val="es-MX"/>
        </w:rPr>
        <w:t xml:space="preserve">De lo anterior se derivan dos precisiones relevantes sobre el parámetro de verificación. La primera es que este no se agota en los requisitos mínimos señalados en los documentos del proceso, pues la norma también obliga a contrastar la ejecución con el ofrecimiento formulado por el contratista. Dado que la oferta aceptada se integra al contenido del contrato, cuando el proponente </w:t>
      </w:r>
      <w:r w:rsidRPr="005B519C">
        <w:rPr>
          <w:rFonts w:ascii="Verdana" w:eastAsia="Arial MT" w:hAnsi="Verdana" w:cs="Arial"/>
          <w:color w:val="000000" w:themeColor="text1"/>
          <w:lang w:val="es-MX"/>
        </w:rPr>
        <w:lastRenderedPageBreak/>
        <w:t>ofreció condiciones superiores a las exigidas, tales condiciones resultan exigibles y su verificación no constituye una exigencia adicional sino la constatación de lo pactado. La segunda es que la determinación de lo debido no se reduce a una lectura literal del clausulado: conforme al artículo 1603 del Código Civil y al artículo 871 del Código de Comercio, los contratos deben ejecutarse de buena fe y obligan no solo a lo expresado en ellos, sino a todo lo que corresponde a la naturaleza de la obligación o que por ley le pertenece. De ahí que la vigilancia pueda exigir que la prestación satisfaga la finalidad para la cual fue contratada, sin que ello implique ampliar el objeto ni crear prestaciones nuevas.</w:t>
      </w:r>
    </w:p>
    <w:p w14:paraId="1927586A" w14:textId="77777777" w:rsidR="00B17B4C" w:rsidRDefault="00B17B4C" w:rsidP="00B17B4C">
      <w:pPr>
        <w:spacing w:after="120" w:line="276" w:lineRule="auto"/>
        <w:ind w:firstLine="708"/>
        <w:jc w:val="both"/>
        <w:rPr>
          <w:rFonts w:ascii="Verdana" w:hAnsi="Verdana" w:cs="Arial"/>
        </w:rPr>
      </w:pPr>
      <w:r>
        <w:rPr>
          <w:rFonts w:ascii="Verdana" w:eastAsia="Arial MT" w:hAnsi="Verdana" w:cs="Arial"/>
          <w:color w:val="000000" w:themeColor="text1"/>
          <w:lang w:val="es-MX"/>
        </w:rPr>
        <w:t xml:space="preserve">En efecto, por remisión de los artículos 13, 32 y 40 de la Ley 80 de 1993 al derecho privado y </w:t>
      </w:r>
      <w:r>
        <w:rPr>
          <w:rFonts w:ascii="Verdana" w:hAnsi="Verdana" w:cs="Arial"/>
        </w:rPr>
        <w:t>de acuerdo con el artículo 1625.1 del Código Civil, las obligaciones se extinguen por</w:t>
      </w:r>
      <w:r w:rsidRPr="000E034A">
        <w:rPr>
          <w:rFonts w:ascii="Verdana" w:hAnsi="Verdana" w:cs="Arial"/>
        </w:rPr>
        <w:t xml:space="preserve"> la solución o pago efectivo</w:t>
      </w:r>
      <w:r>
        <w:rPr>
          <w:rFonts w:ascii="Verdana" w:hAnsi="Verdana" w:cs="Arial"/>
        </w:rPr>
        <w:t xml:space="preserve">, el cual corresponde a la prestación de lo que se debe conforme al artículo 1626 </w:t>
      </w:r>
      <w:r w:rsidRPr="000E034A">
        <w:rPr>
          <w:rFonts w:ascii="Verdana" w:hAnsi="Verdana" w:cs="Arial"/>
          <w:i/>
          <w:iCs/>
        </w:rPr>
        <w:t>ibidem</w:t>
      </w:r>
      <w:r>
        <w:rPr>
          <w:rFonts w:ascii="Verdana" w:hAnsi="Verdana" w:cs="Arial"/>
        </w:rPr>
        <w:t>. Por tanto, “</w:t>
      </w:r>
      <w:r w:rsidRPr="002403B8">
        <w:rPr>
          <w:rFonts w:ascii="Verdana" w:hAnsi="Verdana" w:cs="Arial"/>
        </w:rPr>
        <w:t>Es evidente que aquel que ha satisfecho su obligación queda libre de ella, de</w:t>
      </w:r>
      <w:r>
        <w:rPr>
          <w:rFonts w:ascii="Verdana" w:hAnsi="Verdana" w:cs="Arial"/>
        </w:rPr>
        <w:t xml:space="preserve"> </w:t>
      </w:r>
      <w:r w:rsidRPr="002403B8">
        <w:rPr>
          <w:rFonts w:ascii="Verdana" w:hAnsi="Verdana" w:cs="Arial"/>
        </w:rPr>
        <w:t>donde se sigue que el pago real</w:t>
      </w:r>
      <w:r>
        <w:rPr>
          <w:rFonts w:ascii="Verdana" w:hAnsi="Verdana" w:cs="Arial"/>
        </w:rPr>
        <w:t xml:space="preserve"> […]</w:t>
      </w:r>
      <w:r w:rsidRPr="002403B8">
        <w:rPr>
          <w:rFonts w:ascii="Verdana" w:hAnsi="Verdana" w:cs="Arial"/>
        </w:rPr>
        <w:t xml:space="preserve"> no es otra cosa que el cumplimiento de la</w:t>
      </w:r>
      <w:r>
        <w:rPr>
          <w:rFonts w:ascii="Verdana" w:hAnsi="Verdana" w:cs="Arial"/>
        </w:rPr>
        <w:t xml:space="preserve"> </w:t>
      </w:r>
      <w:r w:rsidRPr="002403B8">
        <w:rPr>
          <w:rFonts w:ascii="Verdana" w:hAnsi="Verdana" w:cs="Arial"/>
        </w:rPr>
        <w:t>obligación</w:t>
      </w:r>
      <w:r>
        <w:rPr>
          <w:rFonts w:ascii="Verdana" w:hAnsi="Verdana" w:cs="Arial"/>
        </w:rPr>
        <w:t xml:space="preserve"> […]”</w:t>
      </w:r>
      <w:r>
        <w:rPr>
          <w:rStyle w:val="Refdenotaalpie"/>
          <w:rFonts w:ascii="Verdana" w:hAnsi="Verdana" w:cs="Arial"/>
        </w:rPr>
        <w:footnoteReference w:id="11"/>
      </w:r>
      <w:r w:rsidRPr="002403B8">
        <w:rPr>
          <w:rFonts w:ascii="Verdana" w:hAnsi="Verdana" w:cs="Arial"/>
        </w:rPr>
        <w:t>.</w:t>
      </w:r>
    </w:p>
    <w:p w14:paraId="15778A77" w14:textId="77777777" w:rsidR="00B17B4C" w:rsidRDefault="00B17B4C" w:rsidP="00B17B4C">
      <w:pPr>
        <w:spacing w:after="0" w:line="276" w:lineRule="auto"/>
        <w:ind w:firstLine="708"/>
        <w:jc w:val="both"/>
        <w:rPr>
          <w:rFonts w:ascii="Verdana" w:hAnsi="Verdana" w:cs="Arial"/>
        </w:rPr>
      </w:pPr>
      <w:r>
        <w:rPr>
          <w:rFonts w:ascii="Verdana" w:hAnsi="Verdana" w:cs="Arial"/>
        </w:rPr>
        <w:t>Dicho cumplimiento se rige por el principio de exactitud o identidad; razón por la cual –conforme al artículo 1627 del Código Civil– “</w:t>
      </w:r>
      <w:r w:rsidRPr="002403B8">
        <w:rPr>
          <w:rFonts w:ascii="Verdana" w:hAnsi="Verdana" w:cs="Arial"/>
        </w:rPr>
        <w:t>El pago se hará bajo todos respectos en conformidad al tenor de la obligación; sin perjuicio de lo que en los casos especiales dispongan las leyes</w:t>
      </w:r>
      <w:r>
        <w:rPr>
          <w:rFonts w:ascii="Verdana" w:hAnsi="Verdana" w:cs="Arial"/>
        </w:rPr>
        <w:t>” y, en consecuencia, “</w:t>
      </w:r>
      <w:r w:rsidRPr="00E624D2">
        <w:rPr>
          <w:rFonts w:ascii="Verdana" w:hAnsi="Verdana" w:cs="Arial"/>
        </w:rPr>
        <w:t>El acreedor no podrá ser obligado a recibir otra cosa que lo que se le deba, ni aun a pretexto de ser de igual o mayor valor la ofrecida</w:t>
      </w:r>
      <w:r>
        <w:rPr>
          <w:rFonts w:ascii="Verdana" w:hAnsi="Verdana" w:cs="Arial"/>
        </w:rPr>
        <w:t>”</w:t>
      </w:r>
      <w:r w:rsidRPr="00E624D2">
        <w:rPr>
          <w:rFonts w:ascii="Verdana" w:hAnsi="Verdana" w:cs="Arial"/>
        </w:rPr>
        <w:t>.</w:t>
      </w:r>
      <w:r>
        <w:rPr>
          <w:rFonts w:ascii="Verdana" w:hAnsi="Verdana" w:cs="Arial"/>
        </w:rPr>
        <w:t xml:space="preserve"> Por ejemplo, si los documentos del proceso definen unas especificaciones técnicas, el contratista incumple con sus obligaciones cuando suministra otras distintas. En otras palabras:</w:t>
      </w:r>
    </w:p>
    <w:p w14:paraId="2607B44D" w14:textId="77777777" w:rsidR="00B17B4C" w:rsidRDefault="00B17B4C" w:rsidP="00B17B4C">
      <w:pPr>
        <w:spacing w:after="0" w:line="276" w:lineRule="auto"/>
        <w:jc w:val="both"/>
        <w:rPr>
          <w:rFonts w:ascii="Verdana" w:hAnsi="Verdana" w:cs="Arial"/>
        </w:rPr>
      </w:pPr>
    </w:p>
    <w:p w14:paraId="109CA2E0" w14:textId="77777777" w:rsidR="00B17B4C" w:rsidRPr="004B73E5" w:rsidRDefault="00B17B4C" w:rsidP="00B17B4C">
      <w:pPr>
        <w:spacing w:after="0" w:line="240" w:lineRule="auto"/>
        <w:ind w:left="709" w:right="709"/>
        <w:jc w:val="both"/>
        <w:rPr>
          <w:rFonts w:ascii="Verdana" w:hAnsi="Verdana" w:cs="Arial"/>
          <w:sz w:val="20"/>
          <w:szCs w:val="20"/>
        </w:rPr>
      </w:pPr>
      <w:r w:rsidRPr="004B73E5">
        <w:rPr>
          <w:rFonts w:ascii="Verdana" w:hAnsi="Verdana" w:cs="Arial"/>
          <w:sz w:val="20"/>
          <w:szCs w:val="20"/>
        </w:rPr>
        <w:t>“[…] debe existir una igualdad entre el objeto de la obligación que acordaron las partes en el contrato y el objeto de la prestación realizada por el deudor. […] no existiendo tal igualdad o identidad el acreedor no está obligado a aceptarla y podrá negarse a recibir cosa distinta de la pactada […]. Tampoco lo estará a conformarse con una prestación que no se ajuste exactamente a lo convenido en el contrato, ni existe precepto legal alguno que a ello le obligue bajo reserva de exigir su corrección. La entrega ha de sujetarse en todas sus modalidades al programa de prestación previsto al constituirse la obligación para tener por cumplida ésta”</w:t>
      </w:r>
      <w:r w:rsidRPr="004B73E5">
        <w:rPr>
          <w:rStyle w:val="Refdenotaalpie"/>
          <w:rFonts w:ascii="Verdana" w:hAnsi="Verdana" w:cs="Arial"/>
          <w:sz w:val="20"/>
          <w:szCs w:val="20"/>
        </w:rPr>
        <w:footnoteReference w:id="12"/>
      </w:r>
      <w:r w:rsidRPr="004B73E5">
        <w:rPr>
          <w:rFonts w:ascii="Verdana" w:hAnsi="Verdana" w:cs="Arial"/>
          <w:sz w:val="20"/>
          <w:szCs w:val="20"/>
        </w:rPr>
        <w:t xml:space="preserve">. </w:t>
      </w:r>
    </w:p>
    <w:p w14:paraId="642127FD" w14:textId="77777777" w:rsidR="00B17B4C" w:rsidRDefault="00B17B4C" w:rsidP="00B17B4C">
      <w:pPr>
        <w:spacing w:after="0" w:line="276" w:lineRule="auto"/>
        <w:jc w:val="both"/>
        <w:rPr>
          <w:rFonts w:ascii="Verdana" w:hAnsi="Verdana" w:cs="Arial"/>
        </w:rPr>
      </w:pPr>
    </w:p>
    <w:p w14:paraId="67081316" w14:textId="77777777" w:rsidR="00B17B4C" w:rsidRDefault="00B17B4C" w:rsidP="00B17B4C">
      <w:pPr>
        <w:widowControl w:val="0"/>
        <w:autoSpaceDE w:val="0"/>
        <w:autoSpaceDN w:val="0"/>
        <w:spacing w:after="120" w:line="276" w:lineRule="auto"/>
        <w:ind w:firstLine="709"/>
        <w:jc w:val="both"/>
        <w:rPr>
          <w:rFonts w:ascii="Verdana" w:hAnsi="Verdana" w:cs="Arial"/>
        </w:rPr>
      </w:pPr>
      <w:r>
        <w:rPr>
          <w:rFonts w:ascii="Verdana" w:hAnsi="Verdana" w:cs="Arial"/>
        </w:rPr>
        <w:t>Como indica el artículo 1602 del Código Civil, “</w:t>
      </w:r>
      <w:r w:rsidRPr="004B73E5">
        <w:rPr>
          <w:rFonts w:ascii="Verdana" w:hAnsi="Verdana" w:cs="Arial"/>
        </w:rPr>
        <w:t>Todo contrato legalmente celebrado es una ley para los contratantes, y no puede ser invalidado sino por su consentimiento mutuo o por causas legales</w:t>
      </w:r>
      <w:r>
        <w:rPr>
          <w:rFonts w:ascii="Verdana" w:hAnsi="Verdana" w:cs="Arial"/>
        </w:rPr>
        <w:t>”</w:t>
      </w:r>
      <w:r w:rsidRPr="004B73E5">
        <w:rPr>
          <w:rFonts w:ascii="Verdana" w:hAnsi="Verdana" w:cs="Arial"/>
        </w:rPr>
        <w:t>.</w:t>
      </w:r>
      <w:r>
        <w:rPr>
          <w:rFonts w:ascii="Verdana" w:hAnsi="Verdana" w:cs="Arial"/>
        </w:rPr>
        <w:t xml:space="preserve"> Por tanto, debe existir identidad entre la prestación contratada por la entidad y la ejecutada por el contratista, so pena de cumplimiento imperfecto conforme al artículo 1613 </w:t>
      </w:r>
      <w:r w:rsidRPr="003552EC">
        <w:rPr>
          <w:rFonts w:ascii="Verdana" w:hAnsi="Verdana" w:cs="Arial"/>
          <w:i/>
          <w:iCs/>
        </w:rPr>
        <w:t>ibidem</w:t>
      </w:r>
      <w:r>
        <w:rPr>
          <w:rStyle w:val="Refdenotaalpie"/>
          <w:rFonts w:ascii="Verdana" w:hAnsi="Verdana" w:cs="Arial"/>
          <w:i/>
          <w:iCs/>
        </w:rPr>
        <w:footnoteReference w:id="13"/>
      </w:r>
      <w:r>
        <w:rPr>
          <w:rFonts w:ascii="Verdana" w:hAnsi="Verdana" w:cs="Arial"/>
        </w:rPr>
        <w:t xml:space="preserve">. Como explica la doctrina, por regla general, “[…] </w:t>
      </w:r>
      <w:r w:rsidRPr="004B73E5">
        <w:rPr>
          <w:rFonts w:ascii="Verdana" w:hAnsi="Verdana" w:cs="Arial"/>
        </w:rPr>
        <w:t>El deudor</w:t>
      </w:r>
      <w:r>
        <w:rPr>
          <w:rFonts w:ascii="Verdana" w:hAnsi="Verdana" w:cs="Arial"/>
        </w:rPr>
        <w:t xml:space="preserve"> […]</w:t>
      </w:r>
      <w:r w:rsidRPr="004B73E5">
        <w:rPr>
          <w:rFonts w:ascii="Verdana" w:hAnsi="Verdana" w:cs="Arial"/>
        </w:rPr>
        <w:t xml:space="preserve"> no puede dar una cosa por otra que está precisado a entregar, ejecutar</w:t>
      </w:r>
      <w:r>
        <w:rPr>
          <w:rFonts w:ascii="Verdana" w:hAnsi="Verdana" w:cs="Arial"/>
        </w:rPr>
        <w:t xml:space="preserve"> </w:t>
      </w:r>
      <w:r w:rsidRPr="004B73E5">
        <w:rPr>
          <w:rFonts w:ascii="Verdana" w:hAnsi="Verdana" w:cs="Arial"/>
        </w:rPr>
        <w:t>o abstenerse de un hecho diverso del que constituye su obligación; y del mismo</w:t>
      </w:r>
      <w:r>
        <w:rPr>
          <w:rFonts w:ascii="Verdana" w:hAnsi="Verdana" w:cs="Arial"/>
        </w:rPr>
        <w:t xml:space="preserve"> </w:t>
      </w:r>
      <w:r w:rsidRPr="004B73E5">
        <w:rPr>
          <w:rFonts w:ascii="Verdana" w:hAnsi="Verdana" w:cs="Arial"/>
        </w:rPr>
        <w:t>modo el acreedor no puede exigir una prestación distinta de aquella a que el</w:t>
      </w:r>
      <w:r>
        <w:rPr>
          <w:rFonts w:ascii="Verdana" w:hAnsi="Verdana" w:cs="Arial"/>
        </w:rPr>
        <w:t xml:space="preserve"> </w:t>
      </w:r>
      <w:r w:rsidRPr="004B73E5">
        <w:rPr>
          <w:rFonts w:ascii="Verdana" w:hAnsi="Verdana" w:cs="Arial"/>
        </w:rPr>
        <w:t>contrato le da derecho, solo tiene acción para exigir el pago de la prestación</w:t>
      </w:r>
      <w:r>
        <w:rPr>
          <w:rFonts w:ascii="Verdana" w:hAnsi="Verdana" w:cs="Arial"/>
        </w:rPr>
        <w:t xml:space="preserve"> </w:t>
      </w:r>
      <w:r w:rsidRPr="004B73E5">
        <w:rPr>
          <w:rFonts w:ascii="Verdana" w:hAnsi="Verdana" w:cs="Arial"/>
        </w:rPr>
        <w:t>convenido y a que el deudor se obligó</w:t>
      </w:r>
      <w:r>
        <w:rPr>
          <w:rFonts w:ascii="Verdana" w:hAnsi="Verdana" w:cs="Arial"/>
        </w:rPr>
        <w:t>”</w:t>
      </w:r>
      <w:r>
        <w:rPr>
          <w:rStyle w:val="Refdenotaalpie"/>
          <w:rFonts w:ascii="Verdana" w:hAnsi="Verdana" w:cs="Arial"/>
        </w:rPr>
        <w:footnoteReference w:id="14"/>
      </w:r>
      <w:r w:rsidRPr="004B73E5">
        <w:rPr>
          <w:rFonts w:ascii="Verdana" w:hAnsi="Verdana" w:cs="Arial"/>
        </w:rPr>
        <w:t>.</w:t>
      </w:r>
    </w:p>
    <w:p w14:paraId="7273507B" w14:textId="77777777" w:rsidR="00FD6E30" w:rsidRPr="00FD6E30" w:rsidRDefault="00FD6E30" w:rsidP="00FD6E30">
      <w:pPr>
        <w:widowControl w:val="0"/>
        <w:autoSpaceDE w:val="0"/>
        <w:autoSpaceDN w:val="0"/>
        <w:spacing w:after="120" w:line="276" w:lineRule="auto"/>
        <w:ind w:firstLine="709"/>
        <w:jc w:val="both"/>
        <w:rPr>
          <w:rFonts w:ascii="Verdana" w:hAnsi="Verdana" w:cs="Arial"/>
        </w:rPr>
      </w:pPr>
      <w:r w:rsidRPr="00FD6E30">
        <w:rPr>
          <w:rFonts w:ascii="Verdana" w:hAnsi="Verdana" w:cs="Arial"/>
        </w:rPr>
        <w:t xml:space="preserve">El principio de identidad opera, por tanto, en ambas direcciones: si el acreedor no está obligado a recibir cosa distinta de la debida, tampoco puede exigir una prestación diferente de la convenida. De ello se sigue una consecuencia directa para el ejercicio de la vigilancia contractual. La supervisión y la interventoría pueden exigir el cumplimiento de lo pactado —con el alcance precisado en los párrafos anteriores, que comprende el ofrecimiento formulado y aquello que corresponde a la naturaleza de la obligación—, pero no condiciones de calidad, características o resultados superiores a los convenidos, aun cuando técnicamente resulten deseables o supongan una mejora del producto. Exigirlos comportaría reclamar una prestación distinta de aquella a la que el contrato da </w:t>
      </w:r>
      <w:r w:rsidRPr="00FD6E30">
        <w:rPr>
          <w:rFonts w:ascii="Verdana" w:hAnsi="Verdana" w:cs="Arial"/>
        </w:rPr>
        <w:lastRenderedPageBreak/>
        <w:t>derecho.</w:t>
      </w:r>
    </w:p>
    <w:p w14:paraId="228DC3E6" w14:textId="4E84BC6A" w:rsidR="00FD6E30" w:rsidRDefault="00FD6E30" w:rsidP="00FD6E30">
      <w:pPr>
        <w:widowControl w:val="0"/>
        <w:autoSpaceDE w:val="0"/>
        <w:autoSpaceDN w:val="0"/>
        <w:spacing w:after="120" w:line="276" w:lineRule="auto"/>
        <w:ind w:firstLine="709"/>
        <w:jc w:val="both"/>
        <w:rPr>
          <w:rFonts w:ascii="Verdana" w:hAnsi="Verdana" w:cs="Arial"/>
        </w:rPr>
      </w:pPr>
      <w:r w:rsidRPr="00FD6E30">
        <w:rPr>
          <w:rFonts w:ascii="Verdana" w:hAnsi="Verdana" w:cs="Arial"/>
        </w:rPr>
        <w:t>Cuestión diferente son las recomendaciones o sugerencias de mejora que la supervisión o la interventoría formulen por fuera del contenido obligacional. Nada impide que, en desarrollo de su función de coordinación y de su conocimiento técnico, quien ejerce la vigilancia proponga alternativas orientadas a optimizar el resultado del contrato; ello es incluso consistente con la finalidad de satisfacción del interés general que informa la actividad contractual. Sin embargo, tales sugerencias carecen de carácter vinculante: su desatención no constituye incumplimiento contractual, no puede fundar la negativa a recibir una prestación conforme a lo pactado, ni dar lugar a requerimientos, informes por presunto incumplimiento o actuaciones sancionatorias. Solo adquirirían fuerza obligatoria si las partes las incorporan al contrato mediante la modificación correspondiente, adoptada por quienes tienen la competencia para ello.</w:t>
      </w:r>
    </w:p>
    <w:p w14:paraId="3BD12EB3" w14:textId="77777777" w:rsidR="00B17B4C" w:rsidRDefault="00B17B4C" w:rsidP="00B17B4C">
      <w:pPr>
        <w:widowControl w:val="0"/>
        <w:autoSpaceDE w:val="0"/>
        <w:autoSpaceDN w:val="0"/>
        <w:spacing w:after="120" w:line="276" w:lineRule="auto"/>
        <w:ind w:firstLine="709"/>
        <w:jc w:val="both"/>
        <w:rPr>
          <w:rFonts w:ascii="Verdana" w:hAnsi="Verdana" w:cs="Arial"/>
        </w:rPr>
      </w:pPr>
      <w:r>
        <w:rPr>
          <w:rFonts w:ascii="Verdana" w:hAnsi="Verdana" w:cs="Arial"/>
        </w:rPr>
        <w:t xml:space="preserve">Para verificar el cumplimiento de lo pactado, el inciso segundo del artículo 84 del Estatuto Anticorrupción faculta a la supervisión y a la interventoría para “[…] </w:t>
      </w:r>
      <w:r w:rsidRPr="00894572">
        <w:rPr>
          <w:rFonts w:ascii="Verdana" w:hAnsi="Verdana" w:cs="Arial"/>
        </w:rPr>
        <w:t>solicitar informes, aclaraciones y explicaciones sobre el desarrollo de la ejecución contractual</w:t>
      </w:r>
      <w:r>
        <w:rPr>
          <w:rFonts w:ascii="Verdana" w:hAnsi="Verdana" w:cs="Arial"/>
        </w:rPr>
        <w:t xml:space="preserve"> […]”. En este aspecto, la facultad de control y vigilancia no se agota en los informes o en la información expresamente exigida en el clausulado contractual, pues la norma citada no se restringe a este aspecto. Por el contrario, ambos pueden “</w:t>
      </w:r>
      <w:r w:rsidRPr="004937B4">
        <w:rPr>
          <w:rFonts w:ascii="Verdana" w:hAnsi="Verdana" w:cs="Arial"/>
        </w:rPr>
        <w:t>Mantener el control y coordinación permanente sobre el desarrollo del contrato, a través de la implementación de actividades tales como programación de reuniones con el contratista, visitas, y las demás que sean pertinentes y necesarias</w:t>
      </w:r>
      <w:r>
        <w:rPr>
          <w:rFonts w:ascii="Verdana" w:hAnsi="Verdana" w:cs="Arial"/>
        </w:rPr>
        <w:t>”</w:t>
      </w:r>
      <w:r>
        <w:rPr>
          <w:rStyle w:val="Refdenotaalpie"/>
          <w:rFonts w:ascii="Verdana" w:hAnsi="Verdana" w:cs="Arial"/>
        </w:rPr>
        <w:footnoteReference w:id="15"/>
      </w:r>
      <w:r w:rsidRPr="004937B4">
        <w:rPr>
          <w:rFonts w:ascii="Verdana" w:hAnsi="Verdana" w:cs="Arial"/>
        </w:rPr>
        <w:t>.</w:t>
      </w:r>
    </w:p>
    <w:p w14:paraId="178D4771" w14:textId="77777777" w:rsidR="00FE75A5" w:rsidRPr="00FE75A5" w:rsidRDefault="00FE75A5" w:rsidP="00FE75A5">
      <w:pPr>
        <w:widowControl w:val="0"/>
        <w:autoSpaceDE w:val="0"/>
        <w:autoSpaceDN w:val="0"/>
        <w:spacing w:after="120" w:line="276" w:lineRule="auto"/>
        <w:ind w:firstLine="709"/>
        <w:jc w:val="both"/>
        <w:rPr>
          <w:rFonts w:ascii="Verdana" w:hAnsi="Verdana" w:cs="Arial"/>
        </w:rPr>
      </w:pPr>
      <w:r w:rsidRPr="00FE75A5">
        <w:rPr>
          <w:rFonts w:ascii="Verdana" w:hAnsi="Verdana" w:cs="Arial"/>
        </w:rPr>
        <w:t xml:space="preserve">Ahora bien, esta facultad debe delimitarse con precisión, pues su ejercicio no habilita a la supervisión ni a la interventoría para crear obligaciones a cargo del contratista. Una cosa es la potestad instrumental de información y verificación —solicitar informes, aclaraciones y explicaciones, programar reuniones, realizar visitas y adelantar las demás actividades pertinentes para constatar el estado de la ejecución—, que el artículo 84 del Estatuto Anticorrupción confiere directamente y cuyo ejercicio no requiere pacto expreso en el clausulado. Otra, sustancialmente distinta, es la incorporación de nuevas prestaciones o entregables no convenidos, que comporta una modificación del </w:t>
      </w:r>
      <w:r w:rsidRPr="00FE75A5">
        <w:rPr>
          <w:rFonts w:ascii="Verdana" w:hAnsi="Verdana" w:cs="Arial"/>
        </w:rPr>
        <w:lastRenderedPageBreak/>
        <w:t>contenido obligacional del contrato.</w:t>
      </w:r>
    </w:p>
    <w:p w14:paraId="1F6B242A" w14:textId="77777777" w:rsidR="00FE75A5" w:rsidRPr="00FE75A5" w:rsidRDefault="00FE75A5" w:rsidP="00FE75A5">
      <w:pPr>
        <w:widowControl w:val="0"/>
        <w:autoSpaceDE w:val="0"/>
        <w:autoSpaceDN w:val="0"/>
        <w:spacing w:after="120" w:line="276" w:lineRule="auto"/>
        <w:ind w:firstLine="709"/>
        <w:jc w:val="both"/>
        <w:rPr>
          <w:rFonts w:ascii="Verdana" w:hAnsi="Verdana" w:cs="Arial"/>
        </w:rPr>
      </w:pPr>
      <w:r w:rsidRPr="00FE75A5">
        <w:rPr>
          <w:rFonts w:ascii="Verdana" w:hAnsi="Verdana" w:cs="Arial"/>
        </w:rPr>
        <w:t>Esta segunda hipótesis excede las competencias de quien ejerce la vigilancia. Ni el supervisor ni el interventor son parte del contrato vigilado: su función es verificar el cumplimiento de lo pactado, no configurar la relación obligacional. La modificación del contrato exige el acuerdo de las partes, su formalización por escrito y la intervención de quien ostenta la competencia contractual en la entidad, conforme a los artículos 39 y 40 de la Ley 80 de 1993. Sostener lo contrario permitiría que, por vía de la actividad de vigilancia, se alterara unilateralmente el contenido de un negocio jurídico bilateral, con desconocimiento del artículo 1602 del Código Civil antes citado y, eventualmente, de la ecuación económica del contrato.</w:t>
      </w:r>
    </w:p>
    <w:p w14:paraId="29BDF50A" w14:textId="49EFCD08" w:rsidR="00FE75A5" w:rsidRDefault="00FE75A5" w:rsidP="00FE75A5">
      <w:pPr>
        <w:widowControl w:val="0"/>
        <w:autoSpaceDE w:val="0"/>
        <w:autoSpaceDN w:val="0"/>
        <w:spacing w:after="120" w:line="276" w:lineRule="auto"/>
        <w:ind w:firstLine="709"/>
        <w:jc w:val="both"/>
        <w:rPr>
          <w:rFonts w:ascii="Verdana" w:hAnsi="Verdana" w:cs="Arial"/>
        </w:rPr>
      </w:pPr>
      <w:r w:rsidRPr="00FE75A5">
        <w:rPr>
          <w:rFonts w:ascii="Verdana" w:hAnsi="Verdana" w:cs="Arial"/>
        </w:rPr>
        <w:t>El criterio de deslinde entre una y otra hipótesis es funcional: si el requerimiento sirve para constatar el cumplimiento de una obligación existente, es legítimo, aunque no esté enunciado en el clausulado; si comporta una prestación adicional exigible en sí misma, requiere modificación contractual. Así, la solicitud de información o de aclaraciones sobre el estado de la ejecución encuentra respaldo directo en la ley; en cambio, la conversión de esa solicitud en un entregable periódico permanente, cuyo incumplimiento se repute como tal, equivale a incorporar una obligación nueva. En todo caso, los requerimientos deben guardar relación directa con la verificación de las obligaciones convenidas y resultar proporcionados, sin traducirse por vía de hecho en cargas que alteren el objeto o el alcance del contrato.</w:t>
      </w:r>
    </w:p>
    <w:p w14:paraId="62F95E98" w14:textId="77777777" w:rsidR="00B17B4C" w:rsidRDefault="00B17B4C" w:rsidP="00B17B4C">
      <w:pPr>
        <w:widowControl w:val="0"/>
        <w:autoSpaceDE w:val="0"/>
        <w:autoSpaceDN w:val="0"/>
        <w:spacing w:after="120" w:line="276" w:lineRule="auto"/>
        <w:ind w:firstLine="709"/>
        <w:jc w:val="both"/>
        <w:rPr>
          <w:rFonts w:ascii="Verdana" w:hAnsi="Verdana" w:cs="Arial"/>
        </w:rPr>
      </w:pPr>
      <w:r>
        <w:rPr>
          <w:rFonts w:ascii="Verdana" w:hAnsi="Verdana" w:cs="Arial"/>
        </w:rPr>
        <w:t xml:space="preserve">Asimismo, en el </w:t>
      </w:r>
      <w:r w:rsidRPr="001A5E5D">
        <w:rPr>
          <w:rFonts w:ascii="Verdana" w:hAnsi="Verdana" w:cs="Arial"/>
        </w:rPr>
        <w:t>Concepto C-945 del 22 de junio de 2026</w:t>
      </w:r>
      <w:r>
        <w:rPr>
          <w:rFonts w:ascii="Verdana" w:hAnsi="Verdana" w:cs="Arial"/>
        </w:rPr>
        <w:t>, la Agencia explicó que “</w:t>
      </w:r>
      <w:r w:rsidRPr="001A5E5D">
        <w:rPr>
          <w:rFonts w:ascii="Verdana" w:hAnsi="Verdana" w:cs="Arial"/>
        </w:rPr>
        <w:t>La metodología para ejercicio la supervisión e interventoría usualmente se formaliza a través de manuales que expiden las entidades públicas, los cuales estandarizan las condiciones de control y vigilancia. Además, de la habilitación del artículo 84 del Estatuto Anticorrupción para solicitar informes, aclaraciones y explicaciones sobre el desarrollo de la ejecución contractual, dichos manuales desarrollan procedimientos internos para desarrollo de estas actividades</w:t>
      </w:r>
      <w:r>
        <w:rPr>
          <w:rFonts w:ascii="Verdana" w:hAnsi="Verdana" w:cs="Arial"/>
        </w:rPr>
        <w:t xml:space="preserve"> […]”. Por tanto, “</w:t>
      </w:r>
      <w:r w:rsidRPr="001A5E5D">
        <w:rPr>
          <w:rFonts w:ascii="Verdana" w:hAnsi="Verdana" w:cs="Arial"/>
        </w:rPr>
        <w:t>La vigilancia sobre el cumplimiento obligacional se somete a la ley, los manuales internos y las condiciones que establece la entidad tanto en el contrato de interventoría como en el contrato vigilado, criterios que debe acatar el contratista ejecutor de la obra o prestador del servicio</w:t>
      </w:r>
      <w:r>
        <w:rPr>
          <w:rFonts w:ascii="Verdana" w:hAnsi="Verdana" w:cs="Arial"/>
        </w:rPr>
        <w:t>”.</w:t>
      </w:r>
    </w:p>
    <w:p w14:paraId="13AED7B2" w14:textId="56B138BF" w:rsidR="00B17B4C" w:rsidRPr="00DC40FA" w:rsidRDefault="00817531" w:rsidP="00B17B4C">
      <w:pPr>
        <w:widowControl w:val="0"/>
        <w:autoSpaceDE w:val="0"/>
        <w:autoSpaceDN w:val="0"/>
        <w:spacing w:after="120" w:line="276" w:lineRule="auto"/>
        <w:ind w:firstLine="709"/>
        <w:jc w:val="both"/>
        <w:rPr>
          <w:rFonts w:ascii="Verdana" w:hAnsi="Verdana" w:cs="Arial"/>
        </w:rPr>
      </w:pPr>
      <w:r w:rsidRPr="00817531">
        <w:rPr>
          <w:rFonts w:ascii="Verdana" w:hAnsi="Verdana" w:cs="Arial"/>
        </w:rPr>
        <w:t xml:space="preserve">Sobre el tercer problema jurídico, y entendiendo que la referencia a los </w:t>
      </w:r>
      <w:r w:rsidRPr="00817531">
        <w:rPr>
          <w:rFonts w:ascii="Verdana" w:hAnsi="Verdana" w:cs="Arial"/>
        </w:rPr>
        <w:lastRenderedPageBreak/>
        <w:t>"contratos derivados" alude a los subcontratos celebrados por el contratista para la ejecución parcial del contrato principal, conviene señalar que</w:t>
      </w:r>
      <w:r>
        <w:rPr>
          <w:rFonts w:ascii="Verdana" w:hAnsi="Verdana" w:cs="Arial"/>
        </w:rPr>
        <w:t xml:space="preserve"> </w:t>
      </w:r>
      <w:r w:rsidR="00B17B4C">
        <w:rPr>
          <w:rFonts w:ascii="Verdana" w:hAnsi="Verdana" w:cs="Arial"/>
        </w:rPr>
        <w:t>l</w:t>
      </w:r>
      <w:r w:rsidR="00B17B4C" w:rsidRPr="009C7865">
        <w:rPr>
          <w:rFonts w:ascii="Verdana" w:eastAsia="Calibri" w:hAnsi="Verdana" w:cs="Arial"/>
        </w:rPr>
        <w:t>a figura jurídica de la subcontratación no ha tenido un desarrollo regulatorio sustancial en el derecho colombiano. Aunque en materia de contratación estatal hay algunas referencias a esta institución en las Leyes 80 de 1993</w:t>
      </w:r>
      <w:r w:rsidR="00B17B4C" w:rsidRPr="009C7865">
        <w:rPr>
          <w:rFonts w:ascii="Verdana" w:eastAsia="Calibri" w:hAnsi="Verdana" w:cs="Arial"/>
          <w:vertAlign w:val="superscript"/>
        </w:rPr>
        <w:footnoteReference w:id="16"/>
      </w:r>
      <w:r w:rsidR="00B17B4C" w:rsidRPr="009C7865">
        <w:rPr>
          <w:rFonts w:ascii="Verdana" w:eastAsia="Calibri" w:hAnsi="Verdana" w:cs="Arial"/>
          <w:vertAlign w:val="superscript"/>
        </w:rPr>
        <w:t xml:space="preserve"> </w:t>
      </w:r>
      <w:r w:rsidR="00B17B4C" w:rsidRPr="009C7865">
        <w:rPr>
          <w:rFonts w:ascii="Verdana" w:eastAsia="Calibri" w:hAnsi="Verdana" w:cs="Arial"/>
        </w:rPr>
        <w:t>y 1150 de 2007</w:t>
      </w:r>
      <w:r w:rsidR="00B17B4C" w:rsidRPr="009C7865">
        <w:rPr>
          <w:rFonts w:ascii="Verdana" w:eastAsia="Calibri" w:hAnsi="Verdana" w:cs="Arial"/>
          <w:vertAlign w:val="superscript"/>
        </w:rPr>
        <w:footnoteReference w:id="17"/>
      </w:r>
      <w:r w:rsidR="00B17B4C" w:rsidRPr="009C7865">
        <w:rPr>
          <w:rFonts w:ascii="Verdana" w:eastAsia="Calibri" w:hAnsi="Verdana" w:cs="Arial"/>
        </w:rPr>
        <w:t>, así como en el Decreto 1082 de 2015</w:t>
      </w:r>
      <w:r w:rsidR="00B17B4C" w:rsidRPr="009C7865">
        <w:rPr>
          <w:rFonts w:ascii="Verdana" w:eastAsia="Calibri" w:hAnsi="Verdana" w:cs="Arial"/>
          <w:vertAlign w:val="superscript"/>
        </w:rPr>
        <w:footnoteReference w:id="18"/>
      </w:r>
      <w:r w:rsidR="00B17B4C" w:rsidRPr="009C7865">
        <w:rPr>
          <w:rFonts w:ascii="Verdana" w:eastAsia="Calibri" w:hAnsi="Verdana" w:cs="Arial"/>
        </w:rPr>
        <w:t xml:space="preserve">, y en </w:t>
      </w:r>
      <w:r w:rsidR="00B17B4C" w:rsidRPr="009C7865">
        <w:rPr>
          <w:rFonts w:ascii="Verdana" w:eastAsia="Calibri" w:hAnsi="Verdana" w:cs="Arial"/>
          <w:lang w:val="es-ES"/>
        </w:rPr>
        <w:t>el Decreto 092 de 2017</w:t>
      </w:r>
      <w:r w:rsidR="00B17B4C" w:rsidRPr="009C7865">
        <w:rPr>
          <w:rFonts w:ascii="Verdana" w:eastAsia="Calibri" w:hAnsi="Verdana" w:cs="Arial"/>
          <w:vertAlign w:val="superscript"/>
          <w:lang w:val="es-ES"/>
        </w:rPr>
        <w:footnoteReference w:id="19"/>
      </w:r>
      <w:r w:rsidR="00B17B4C" w:rsidRPr="009C7865">
        <w:rPr>
          <w:rFonts w:ascii="Verdana" w:eastAsia="Calibri" w:hAnsi="Verdana" w:cs="Arial"/>
          <w:lang w:val="es-ES"/>
        </w:rPr>
        <w:t xml:space="preserve">, </w:t>
      </w:r>
      <w:r w:rsidR="00B17B4C" w:rsidRPr="009C7865">
        <w:rPr>
          <w:rFonts w:ascii="Verdana" w:eastAsia="Calibri" w:hAnsi="Verdana" w:cs="Arial"/>
        </w:rPr>
        <w:t>el ordenamiento jurídico carece de una disposición legal que brinde una definición de subcontratación</w:t>
      </w:r>
      <w:r w:rsidR="00B17B4C">
        <w:rPr>
          <w:rFonts w:ascii="Verdana" w:eastAsia="Calibri" w:hAnsi="Verdana" w:cs="Arial"/>
        </w:rPr>
        <w:t xml:space="preserve">. </w:t>
      </w:r>
      <w:r w:rsidR="00B17B4C">
        <w:rPr>
          <w:rFonts w:ascii="Verdana" w:hAnsi="Verdana" w:cs="Arial"/>
        </w:rPr>
        <w:t xml:space="preserve"> </w:t>
      </w:r>
    </w:p>
    <w:p w14:paraId="35957F69" w14:textId="77777777" w:rsidR="00B17B4C" w:rsidRPr="009C7865" w:rsidRDefault="00B17B4C" w:rsidP="00B17B4C">
      <w:pPr>
        <w:spacing w:before="120" w:after="0" w:line="276" w:lineRule="auto"/>
        <w:ind w:firstLine="709"/>
        <w:jc w:val="both"/>
        <w:rPr>
          <w:rFonts w:ascii="Verdana" w:eastAsia="Calibri" w:hAnsi="Verdana" w:cs="Arial"/>
        </w:rPr>
      </w:pPr>
      <w:r>
        <w:rPr>
          <w:rFonts w:ascii="Verdana" w:eastAsia="Calibri" w:hAnsi="Verdana" w:cs="Arial"/>
        </w:rPr>
        <w:t xml:space="preserve">Desde un punto de vista doctrinal, </w:t>
      </w:r>
      <w:r w:rsidRPr="009C7865">
        <w:rPr>
          <w:rFonts w:ascii="Verdana" w:eastAsia="Calibri" w:hAnsi="Verdana" w:cs="Arial"/>
        </w:rPr>
        <w:t>se ha entendido a la subcontratación como “La práctica mercantil de organización productiva en virtud de la cual el contratista o subcontratista encarga a otro subcontratista o trabajador autónomo parte de lo que a él se le ha encomendado”</w:t>
      </w:r>
      <w:r w:rsidRPr="009C7865">
        <w:rPr>
          <w:rFonts w:ascii="Verdana" w:eastAsia="Calibri" w:hAnsi="Verdana" w:cs="Arial"/>
          <w:vertAlign w:val="superscript"/>
        </w:rPr>
        <w:footnoteReference w:id="20"/>
      </w:r>
      <w:r w:rsidRPr="009C7865">
        <w:rPr>
          <w:rFonts w:ascii="Verdana" w:eastAsia="Calibri" w:hAnsi="Verdana" w:cs="Arial"/>
          <w:vertAlign w:val="superscript"/>
        </w:rPr>
        <w:t>.</w:t>
      </w:r>
      <w:r w:rsidRPr="009C7865">
        <w:rPr>
          <w:rFonts w:ascii="Verdana" w:eastAsia="Calibri" w:hAnsi="Verdana" w:cs="Arial"/>
        </w:rPr>
        <w:t xml:space="preserve"> En el marco de esta figura, se define el nivel de subcontratación como “Cada uno de los escalones en que se estructura el proceso de subcontratación que se desarrolla para la ejecución de la totalidad o parte de la obra asumida contractualmente por el contratista con el promotor”</w:t>
      </w:r>
      <w:r w:rsidRPr="009C7865">
        <w:rPr>
          <w:rFonts w:ascii="Verdana" w:eastAsia="Calibri" w:hAnsi="Verdana" w:cs="Arial"/>
          <w:vertAlign w:val="superscript"/>
        </w:rPr>
        <w:footnoteReference w:id="21"/>
      </w:r>
      <w:r w:rsidRPr="009C7865">
        <w:rPr>
          <w:rFonts w:ascii="Verdana" w:eastAsia="Calibri" w:hAnsi="Verdana" w:cs="Arial"/>
        </w:rPr>
        <w:t xml:space="preserve">. Por su parte, la Sección Tercera del Consejo de Estado, en Sentencia del 12 de agosto de 2013, estructuró la definición y naturaleza del subcontrato </w:t>
      </w:r>
      <w:r>
        <w:rPr>
          <w:rFonts w:ascii="Verdana" w:eastAsia="Calibri" w:hAnsi="Verdana" w:cs="Arial"/>
        </w:rPr>
        <w:t>indicando que</w:t>
      </w:r>
      <w:r w:rsidRPr="009C7865">
        <w:rPr>
          <w:rFonts w:ascii="Verdana" w:eastAsia="Calibri" w:hAnsi="Verdana" w:cs="Arial"/>
        </w:rPr>
        <w:t xml:space="preserve">: </w:t>
      </w:r>
    </w:p>
    <w:p w14:paraId="4345BE61" w14:textId="77777777" w:rsidR="00B17B4C" w:rsidRPr="009C7865" w:rsidRDefault="00B17B4C" w:rsidP="00B17B4C">
      <w:pPr>
        <w:spacing w:after="0" w:line="276" w:lineRule="auto"/>
        <w:ind w:right="618"/>
        <w:jc w:val="both"/>
        <w:rPr>
          <w:rFonts w:ascii="Verdana" w:eastAsia="Calibri" w:hAnsi="Verdana" w:cs="Arial"/>
        </w:rPr>
      </w:pPr>
    </w:p>
    <w:p w14:paraId="65A563E8" w14:textId="77777777" w:rsidR="00B17B4C" w:rsidRDefault="00B17B4C" w:rsidP="00B17B4C">
      <w:pPr>
        <w:spacing w:after="120" w:line="240" w:lineRule="auto"/>
        <w:ind w:left="709" w:right="709"/>
        <w:jc w:val="both"/>
        <w:rPr>
          <w:rFonts w:ascii="Verdana" w:eastAsia="Calibri" w:hAnsi="Verdana" w:cs="Arial"/>
          <w:sz w:val="20"/>
          <w:szCs w:val="20"/>
        </w:rPr>
      </w:pPr>
      <w:r w:rsidRPr="009C7865">
        <w:rPr>
          <w:rFonts w:ascii="Verdana" w:eastAsia="Calibri" w:hAnsi="Verdana" w:cs="Arial"/>
          <w:sz w:val="20"/>
          <w:szCs w:val="20"/>
        </w:rPr>
        <w:lastRenderedPageBreak/>
        <w:t>“</w:t>
      </w:r>
      <w:r w:rsidRPr="00B67681">
        <w:rPr>
          <w:rFonts w:ascii="Verdana" w:eastAsia="Calibri" w:hAnsi="Verdana" w:cs="Arial"/>
          <w:sz w:val="20"/>
          <w:szCs w:val="20"/>
        </w:rPr>
        <w:t xml:space="preserve">Este negocio jurídico supone la celebración de un contrato accesorio a otro principal, entre un contratista del Estado y un tercero, en virtud del cual el sub contratista o tercero </w:t>
      </w:r>
      <w:r>
        <w:rPr>
          <w:rFonts w:ascii="Verdana" w:eastAsia="Calibri" w:hAnsi="Verdana" w:cs="Arial"/>
          <w:sz w:val="20"/>
          <w:szCs w:val="20"/>
        </w:rPr>
        <w:t>‘</w:t>
      </w:r>
      <w:r w:rsidRPr="00B67681">
        <w:rPr>
          <w:rFonts w:ascii="Verdana" w:eastAsia="Calibri" w:hAnsi="Verdana" w:cs="Arial"/>
          <w:sz w:val="20"/>
          <w:szCs w:val="20"/>
        </w:rPr>
        <w:t>sustituye parcial y materialmente al primero, quien conserva la dirección general del proyecto y es responsable ante la entidad estatal contratante por el cumplimiento íntegro de las obligaciones derivadas del contrato adjudicado</w:t>
      </w:r>
      <w:r>
        <w:rPr>
          <w:rFonts w:ascii="Verdana" w:eastAsia="Calibri" w:hAnsi="Verdana" w:cs="Arial"/>
          <w:sz w:val="20"/>
          <w:szCs w:val="20"/>
        </w:rPr>
        <w:t>’.</w:t>
      </w:r>
    </w:p>
    <w:p w14:paraId="14F69EDD" w14:textId="77777777" w:rsidR="00B17B4C" w:rsidRPr="009C7865" w:rsidRDefault="00B17B4C" w:rsidP="00B17B4C">
      <w:pPr>
        <w:spacing w:after="120" w:line="240" w:lineRule="auto"/>
        <w:ind w:left="709" w:right="709"/>
        <w:jc w:val="both"/>
        <w:rPr>
          <w:rFonts w:ascii="Verdana" w:eastAsia="Calibri" w:hAnsi="Verdana" w:cs="Arial"/>
          <w:sz w:val="20"/>
          <w:szCs w:val="20"/>
        </w:rPr>
      </w:pPr>
      <w:r w:rsidRPr="009C7865">
        <w:rPr>
          <w:rFonts w:ascii="Verdana" w:eastAsia="Calibri" w:hAnsi="Verdana" w:cs="Arial"/>
          <w:sz w:val="20"/>
          <w:szCs w:val="20"/>
        </w:rPr>
        <w:t xml:space="preserve">Esta institución hace surgir una relación jurídica autónoma entre el contratista del Estado y el sub contratista, es decir, independiente de la relación que preexiste entre el Estado y el contratista. </w:t>
      </w:r>
      <w:r w:rsidRPr="00A42768">
        <w:rPr>
          <w:rFonts w:ascii="Verdana" w:eastAsia="Calibri" w:hAnsi="Verdana" w:cs="Arial"/>
          <w:i/>
          <w:iCs/>
          <w:sz w:val="20"/>
          <w:szCs w:val="20"/>
        </w:rPr>
        <w:t xml:space="preserve">En este sentido, las obligaciones que adquiere el sub contratista con el contratista sólo son exigibles entre ellos, y no vinculan a la entidad estatal –contratante-, en virtud del principio de relatividad del contrato –sólo produce efectos para las partes, no para terceros-, pero sin que ello limite o restrinja a la entidad estatal en la dirección general para ejercer el control y vigilancia de la ejecución del contrato, </w:t>
      </w:r>
      <w:bookmarkStart w:id="2" w:name="OLE_LINK1"/>
      <w:r w:rsidRPr="00A42768">
        <w:rPr>
          <w:rFonts w:ascii="Verdana" w:eastAsia="Calibri" w:hAnsi="Verdana" w:cs="Arial"/>
          <w:i/>
          <w:iCs/>
          <w:sz w:val="20"/>
          <w:szCs w:val="20"/>
        </w:rPr>
        <w:t>a que se refiere el artículo 14 de la Ley 80</w:t>
      </w:r>
      <w:bookmarkEnd w:id="2"/>
      <w:r w:rsidRPr="009C7865">
        <w:rPr>
          <w:rFonts w:ascii="Verdana" w:eastAsia="Calibri" w:hAnsi="Verdana" w:cs="Arial"/>
          <w:sz w:val="20"/>
          <w:szCs w:val="20"/>
        </w:rPr>
        <w:t xml:space="preserve">. </w:t>
      </w:r>
    </w:p>
    <w:p w14:paraId="5439471F" w14:textId="77777777" w:rsidR="00B17B4C" w:rsidRPr="009C7865" w:rsidRDefault="00B17B4C" w:rsidP="00B17B4C">
      <w:pPr>
        <w:spacing w:after="0" w:line="240" w:lineRule="auto"/>
        <w:ind w:left="709" w:right="709"/>
        <w:jc w:val="both"/>
        <w:rPr>
          <w:rFonts w:ascii="Verdana" w:eastAsia="Calibri" w:hAnsi="Verdana" w:cs="Arial"/>
          <w:sz w:val="20"/>
          <w:szCs w:val="20"/>
        </w:rPr>
      </w:pPr>
      <w:r w:rsidRPr="009C7865">
        <w:rPr>
          <w:rFonts w:ascii="Verdana" w:eastAsia="Calibri" w:hAnsi="Verdana" w:cs="Arial"/>
          <w:sz w:val="20"/>
          <w:szCs w:val="20"/>
        </w:rPr>
        <w:t>En este sentido, el contratista conserva frente a la entidad pública la responsabilidad por la ejecución del contrato, así que desde el punto de vista subjetivo la sub contratación es material y no jurídica, porque traslada el cumplimiento del contrato a un tercero, pero no sustituye al contratista”</w:t>
      </w:r>
      <w:r w:rsidRPr="00C8486A">
        <w:rPr>
          <w:rFonts w:ascii="Verdana" w:eastAsia="Calibri" w:hAnsi="Verdana" w:cs="Arial"/>
          <w:vertAlign w:val="superscript"/>
        </w:rPr>
        <w:t xml:space="preserve"> </w:t>
      </w:r>
      <w:r w:rsidRPr="00C8486A">
        <w:rPr>
          <w:rFonts w:ascii="Verdana" w:eastAsia="Calibri" w:hAnsi="Verdana" w:cs="Arial"/>
          <w:sz w:val="20"/>
          <w:szCs w:val="20"/>
          <w:vertAlign w:val="superscript"/>
        </w:rPr>
        <w:footnoteReference w:id="22"/>
      </w:r>
      <w:r w:rsidRPr="009C7865">
        <w:rPr>
          <w:rFonts w:ascii="Verdana" w:eastAsia="Calibri" w:hAnsi="Verdana" w:cs="Arial"/>
          <w:sz w:val="20"/>
          <w:szCs w:val="20"/>
        </w:rPr>
        <w:t>.</w:t>
      </w:r>
      <w:r>
        <w:rPr>
          <w:rFonts w:ascii="Verdana" w:eastAsia="Calibri" w:hAnsi="Verdana" w:cs="Arial"/>
          <w:sz w:val="20"/>
          <w:szCs w:val="20"/>
        </w:rPr>
        <w:t xml:space="preserve"> (Énfasis fuera de texto)</w:t>
      </w:r>
    </w:p>
    <w:p w14:paraId="346A4B00" w14:textId="77777777" w:rsidR="00B17B4C" w:rsidRPr="009C7865" w:rsidRDefault="00B17B4C" w:rsidP="00B17B4C">
      <w:pPr>
        <w:spacing w:after="0" w:line="276" w:lineRule="auto"/>
        <w:ind w:right="618"/>
        <w:jc w:val="both"/>
        <w:rPr>
          <w:rFonts w:ascii="Verdana" w:eastAsia="Calibri" w:hAnsi="Verdana" w:cs="Arial"/>
          <w:lang w:val="es-MX"/>
        </w:rPr>
      </w:pPr>
    </w:p>
    <w:p w14:paraId="6CCC1790" w14:textId="77777777" w:rsidR="00B17B4C" w:rsidRPr="009C7865" w:rsidRDefault="00B17B4C" w:rsidP="00B17B4C">
      <w:pPr>
        <w:spacing w:after="120" w:line="276" w:lineRule="auto"/>
        <w:ind w:firstLine="709"/>
        <w:jc w:val="both"/>
        <w:rPr>
          <w:rFonts w:ascii="Verdana" w:eastAsia="Calibri" w:hAnsi="Verdana" w:cs="Arial"/>
        </w:rPr>
      </w:pPr>
      <w:r w:rsidRPr="009C7865">
        <w:rPr>
          <w:rFonts w:ascii="Verdana" w:eastAsia="Calibri" w:hAnsi="Verdana" w:cs="Arial"/>
        </w:rPr>
        <w:t xml:space="preserve">De lo expuesto se resaltan, como características esenciales de la subcontratación, las siguientes: i) es un contrato eventual, </w:t>
      </w:r>
      <w:proofErr w:type="spellStart"/>
      <w:r w:rsidRPr="009C7865">
        <w:rPr>
          <w:rFonts w:ascii="Verdana" w:eastAsia="Calibri" w:hAnsi="Verdana" w:cs="Arial"/>
        </w:rPr>
        <w:t>ii</w:t>
      </w:r>
      <w:proofErr w:type="spellEnd"/>
      <w:r w:rsidRPr="009C7865">
        <w:rPr>
          <w:rFonts w:ascii="Verdana" w:eastAsia="Calibri" w:hAnsi="Verdana" w:cs="Arial"/>
        </w:rPr>
        <w:t xml:space="preserve">) es un contrato accesorio, pues asegura el cumplimiento de otro contrato –principal–, </w:t>
      </w:r>
      <w:proofErr w:type="spellStart"/>
      <w:r w:rsidRPr="009C7865">
        <w:rPr>
          <w:rFonts w:ascii="Verdana" w:eastAsia="Calibri" w:hAnsi="Verdana" w:cs="Arial"/>
        </w:rPr>
        <w:t>iii</w:t>
      </w:r>
      <w:proofErr w:type="spellEnd"/>
      <w:r w:rsidRPr="009C7865">
        <w:rPr>
          <w:rFonts w:ascii="Verdana" w:eastAsia="Calibri" w:hAnsi="Verdana" w:cs="Arial"/>
        </w:rPr>
        <w:t xml:space="preserve">) la relación jurídica que surge entre el contratista del Estado y el tercero es independiente y autónoma de la entidad contratante, </w:t>
      </w:r>
      <w:proofErr w:type="spellStart"/>
      <w:r w:rsidRPr="009C7865">
        <w:rPr>
          <w:rFonts w:ascii="Verdana" w:eastAsia="Calibri" w:hAnsi="Verdana" w:cs="Arial"/>
        </w:rPr>
        <w:t>iv</w:t>
      </w:r>
      <w:proofErr w:type="spellEnd"/>
      <w:r w:rsidRPr="009C7865">
        <w:rPr>
          <w:rFonts w:ascii="Verdana" w:eastAsia="Calibri" w:hAnsi="Verdana" w:cs="Arial"/>
        </w:rPr>
        <w:t>) la sustitución es parcial, lo que significa que no podrán subcontratar la ejecución total del contrato principal y v) la sustitución es material y no jurídica</w:t>
      </w:r>
      <w:r>
        <w:rPr>
          <w:rFonts w:ascii="Verdana" w:eastAsia="Calibri" w:hAnsi="Verdana" w:cs="Arial"/>
        </w:rPr>
        <w:t xml:space="preserve">, por lo que </w:t>
      </w:r>
      <w:r w:rsidRPr="009C7865">
        <w:rPr>
          <w:rFonts w:ascii="Verdana" w:eastAsia="Calibri" w:hAnsi="Verdana" w:cs="Arial"/>
        </w:rPr>
        <w:t>no relevará al contratista del Estado de las responsabilidades emanadas del contrato principal.</w:t>
      </w:r>
    </w:p>
    <w:p w14:paraId="6CB0E3F9" w14:textId="77777777" w:rsidR="00B17B4C" w:rsidRDefault="00B17B4C" w:rsidP="00B17B4C">
      <w:pPr>
        <w:spacing w:after="120" w:line="276" w:lineRule="auto"/>
        <w:ind w:firstLine="709"/>
        <w:jc w:val="both"/>
        <w:rPr>
          <w:rFonts w:ascii="Verdana" w:eastAsia="Calibri" w:hAnsi="Verdana" w:cs="Arial"/>
        </w:rPr>
      </w:pPr>
      <w:r w:rsidRPr="009C7865">
        <w:rPr>
          <w:rFonts w:ascii="Verdana" w:eastAsia="Calibri" w:hAnsi="Verdana" w:cs="Arial"/>
          <w:noProof/>
        </w:rPr>
        <mc:AlternateContent>
          <mc:Choice Requires="wpi">
            <w:drawing>
              <wp:anchor distT="0" distB="0" distL="114300" distR="114300" simplePos="0" relativeHeight="251658240" behindDoc="0" locked="0" layoutInCell="1" allowOverlap="1" wp14:anchorId="687CDC73" wp14:editId="19221B8B">
                <wp:simplePos x="0" y="0"/>
                <wp:positionH relativeFrom="column">
                  <wp:posOffset>-468129</wp:posOffset>
                </wp:positionH>
                <wp:positionV relativeFrom="paragraph">
                  <wp:posOffset>588521</wp:posOffset>
                </wp:positionV>
                <wp:extent cx="360" cy="360"/>
                <wp:effectExtent l="38100" t="38100" r="38100" b="38100"/>
                <wp:wrapNone/>
                <wp:docPr id="1240376576" name="Entrada de lápiz 19"/>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3E553525" id="Entrada de lápiz 19" o:spid="_x0000_s1026" type="#_x0000_t75" style="position:absolute;margin-left:-37.35pt;margin-top:45.85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">
                <v:imagedata r:id="rId13" o:title=""/>
              </v:shape>
            </w:pict>
          </mc:Fallback>
        </mc:AlternateContent>
      </w:r>
      <w:r w:rsidRPr="009C7865">
        <w:rPr>
          <w:rFonts w:ascii="Verdana" w:eastAsia="Calibri" w:hAnsi="Verdana" w:cs="Arial"/>
        </w:rPr>
        <w:t xml:space="preserve">En este sentido, la subcontratación implica la celebración de un contrato derivado de otro principal cuyo propósito es ejecutar parcialmente este último. Dentro de este marco, podrían presentarse niveles de subcontratación, es decir, los escalones en que se estructura el proceso de subcontratación. Estos niveles no excluyen el carácter de contrato derivado de estos subcontratos, puesto que sus objetos se encuentran en función de la realización material del contrato principal. </w:t>
      </w:r>
    </w:p>
    <w:p w14:paraId="5926C09D" w14:textId="072FE3DB" w:rsidR="00B17B4C" w:rsidRDefault="00B17B4C" w:rsidP="00B17B4C">
      <w:pPr>
        <w:spacing w:after="120" w:line="276" w:lineRule="auto"/>
        <w:ind w:firstLine="709"/>
        <w:jc w:val="both"/>
        <w:rPr>
          <w:rFonts w:ascii="Verdana" w:eastAsia="Calibri" w:hAnsi="Verdana" w:cs="Arial"/>
        </w:rPr>
      </w:pPr>
      <w:r>
        <w:rPr>
          <w:rFonts w:ascii="Verdana" w:eastAsia="Calibri" w:hAnsi="Verdana" w:cs="Arial"/>
        </w:rPr>
        <w:lastRenderedPageBreak/>
        <w:t xml:space="preserve">Como indica el Consejo de Estado, la diferencia de las relaciones entre la entidad contratante con el contratista y del contratista con el subcontratista no obstruye la facultad de control y vigilancia prevista </w:t>
      </w:r>
      <w:r w:rsidR="00175859">
        <w:rPr>
          <w:rFonts w:ascii="Verdana" w:eastAsia="Calibri" w:hAnsi="Verdana" w:cs="Arial"/>
        </w:rPr>
        <w:t xml:space="preserve">en </w:t>
      </w:r>
      <w:r>
        <w:rPr>
          <w:rFonts w:ascii="Verdana" w:eastAsia="Calibri" w:hAnsi="Verdana" w:cs="Arial"/>
        </w:rPr>
        <w:t>el EGCAP, pues el contratista responde por los incumplimientos del contrato principal con independencia de que se generen o no en la contratación derivada. En consecuencia, l</w:t>
      </w:r>
      <w:r w:rsidRPr="00B45BF6">
        <w:rPr>
          <w:rFonts w:ascii="Verdana" w:eastAsia="Calibri" w:hAnsi="Verdana" w:cs="Arial"/>
        </w:rPr>
        <w:t xml:space="preserve">a facultad de dirección y control que la ley confiere a las entidades estatales durante la ejecución del contrato también puede proyectarse sobre los subcontratistas, pese a que estos se vinculan mediante una relación jurídica distinta de la existente entre la administración y el contratista principal. </w:t>
      </w:r>
    </w:p>
    <w:p w14:paraId="0A10DE60" w14:textId="25E721E4" w:rsidR="00D85296" w:rsidRDefault="00D85296" w:rsidP="00B17B4C">
      <w:pPr>
        <w:spacing w:after="120" w:line="276" w:lineRule="auto"/>
        <w:ind w:firstLine="709"/>
        <w:jc w:val="both"/>
        <w:rPr>
          <w:rFonts w:ascii="Verdana" w:eastAsia="Calibri" w:hAnsi="Verdana" w:cs="Arial"/>
        </w:rPr>
      </w:pPr>
      <w:r w:rsidRPr="00D85296">
        <w:rPr>
          <w:rFonts w:ascii="Verdana" w:eastAsia="Calibri" w:hAnsi="Verdana" w:cs="Arial"/>
        </w:rPr>
        <w:t>Dado que la supervisión y la interventoría son los mecanismos a través de los cuales la entidad cumple su deber de vigilar la correcta ejecución del contrato, esta proyección del control se ejerce ordinariamente por su conducto, en los términos y con el alcance que definan el contrato de interventoría y los manuales internos de la entidad. Ello no altera la naturaleza de las relaciones jurídicas involucradas: el seguimiento sobre la ejecución subcontratada se realiza en función del cumplimiento del contrato principal —frente al cual el contratista conserva íntegra su responsabilidad, por tratarse de una sustitución material y no jurídica—, sin que la actuación de la vigilancia genere vínculo contractual alguno con el subcontratista</w:t>
      </w:r>
      <w:r>
        <w:rPr>
          <w:rFonts w:ascii="Verdana" w:eastAsia="Calibri" w:hAnsi="Verdana" w:cs="Arial"/>
        </w:rPr>
        <w:t>.</w:t>
      </w:r>
    </w:p>
    <w:p w14:paraId="3EB83C4C" w14:textId="77777777" w:rsidR="00B17B4C" w:rsidRPr="00934998" w:rsidRDefault="00B17B4C" w:rsidP="00B17B4C">
      <w:pPr>
        <w:spacing w:after="120" w:line="276" w:lineRule="auto"/>
        <w:ind w:firstLine="709"/>
        <w:jc w:val="both"/>
        <w:rPr>
          <w:rFonts w:ascii="Verdana" w:eastAsia="Calibri" w:hAnsi="Verdana" w:cs="Arial"/>
        </w:rPr>
      </w:pPr>
      <w:r w:rsidRPr="00B45BF6">
        <w:rPr>
          <w:rFonts w:ascii="Verdana" w:eastAsia="Calibri" w:hAnsi="Verdana" w:cs="Arial"/>
        </w:rPr>
        <w:t>En ejercicio de esta potestad, la entidad puede exigir a los subcontratistas el cumplimiento de las obligaciones que asumieron frente al contratista</w:t>
      </w:r>
      <w:r>
        <w:rPr>
          <w:rFonts w:ascii="Verdana" w:eastAsia="Calibri" w:hAnsi="Verdana" w:cs="Arial"/>
        </w:rPr>
        <w:t xml:space="preserve">. Sin embargo, “[…] </w:t>
      </w:r>
      <w:r w:rsidRPr="00B45BF6">
        <w:rPr>
          <w:rFonts w:ascii="Verdana" w:eastAsia="Calibri" w:hAnsi="Verdana" w:cs="Arial"/>
        </w:rPr>
        <w:t>el ejercicio de la prerrogativa se encuentra limitado a aquellas actividades que el subcontratista se hubiese obligado ante el contratista estatal. De excederse, el actuar de la administración es inválido al exigir del subcontratista el cumplimiento de obligaciones no asumidas frente al contratista principal</w:t>
      </w:r>
      <w:r>
        <w:rPr>
          <w:rFonts w:ascii="Verdana" w:eastAsia="Calibri" w:hAnsi="Verdana" w:cs="Arial"/>
        </w:rPr>
        <w:t xml:space="preserve">. </w:t>
      </w:r>
      <w:r w:rsidRPr="00B053E2">
        <w:rPr>
          <w:rFonts w:ascii="Verdana" w:eastAsia="Calibri" w:hAnsi="Verdana" w:cs="Arial"/>
        </w:rPr>
        <w:t>De allí la importancia de que las entidades contratantes conozcan debidamente los términos y extensión de los subcontratos celebrados</w:t>
      </w:r>
      <w:r>
        <w:rPr>
          <w:rFonts w:ascii="Verdana" w:eastAsia="Calibri" w:hAnsi="Verdana" w:cs="Arial"/>
        </w:rPr>
        <w:t>”</w:t>
      </w:r>
      <w:r>
        <w:rPr>
          <w:rStyle w:val="Refdenotaalpie"/>
          <w:rFonts w:ascii="Verdana" w:eastAsia="Calibri" w:hAnsi="Verdana" w:cs="Arial"/>
        </w:rPr>
        <w:footnoteReference w:id="23"/>
      </w:r>
      <w:r>
        <w:rPr>
          <w:rFonts w:ascii="Verdana" w:eastAsia="Calibri" w:hAnsi="Verdana" w:cs="Arial"/>
        </w:rPr>
        <w:t xml:space="preserve">. </w:t>
      </w:r>
    </w:p>
    <w:p w14:paraId="3CEE13B7" w14:textId="77777777" w:rsidR="00B17B4C" w:rsidRPr="00A47393" w:rsidRDefault="00B17B4C" w:rsidP="00B17B4C">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w:t>
      </w:r>
      <w:r w:rsidRPr="00A47393">
        <w:rPr>
          <w:rFonts w:ascii="Verdana" w:eastAsia="Calibri" w:hAnsi="Verdana" w:cs="Arial"/>
          <w:bCs/>
          <w:color w:val="000000" w:themeColor="text1"/>
        </w:rPr>
        <w:lastRenderedPageBreak/>
        <w:t>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47720BC" w14:textId="77777777" w:rsidR="00B17B4C" w:rsidRPr="00185EE9" w:rsidRDefault="00B17B4C" w:rsidP="00B17B4C">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392F8A30" w14:textId="77777777" w:rsidR="00B17B4C" w:rsidRPr="00182C89" w:rsidRDefault="00B17B4C" w:rsidP="00B17B4C">
      <w:pPr>
        <w:tabs>
          <w:tab w:val="left" w:pos="709"/>
        </w:tabs>
        <w:spacing w:after="0" w:line="276" w:lineRule="auto"/>
        <w:jc w:val="both"/>
        <w:rPr>
          <w:rFonts w:ascii="Verdana" w:eastAsia="Calibri" w:hAnsi="Verdana" w:cs="Arial"/>
          <w:color w:val="000000" w:themeColor="text1"/>
        </w:rPr>
      </w:pPr>
    </w:p>
    <w:p w14:paraId="6FD52E9F" w14:textId="77777777" w:rsidR="00B17B4C" w:rsidRPr="00593A5F" w:rsidRDefault="00B17B4C" w:rsidP="00B17B4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606A8C23" w14:textId="77777777" w:rsidR="00B17B4C" w:rsidRPr="00593A5F" w:rsidRDefault="00B17B4C" w:rsidP="00B17B4C">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17B4C" w:rsidRPr="002407CE" w14:paraId="0DC986D5" w14:textId="77777777" w:rsidTr="00820CE5">
        <w:trPr>
          <w:trHeight w:val="56"/>
          <w:jc w:val="center"/>
        </w:trPr>
        <w:tc>
          <w:tcPr>
            <w:tcW w:w="8647" w:type="dxa"/>
          </w:tcPr>
          <w:p w14:paraId="728EF6A6" w14:textId="2CC68E99" w:rsidR="00B17B4C" w:rsidRDefault="00B17B4C" w:rsidP="00820CE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236164">
              <w:rPr>
                <w:rFonts w:ascii="Verdana" w:hAnsi="Verdana" w:cs="Arial"/>
              </w:rPr>
              <w:t>Ley 80 de 1993</w:t>
            </w:r>
            <w:r>
              <w:rPr>
                <w:rFonts w:ascii="Verdana" w:hAnsi="Verdana" w:cs="Arial"/>
              </w:rPr>
              <w:t xml:space="preserve">, artículos </w:t>
            </w:r>
            <w:r w:rsidRPr="00AF1F43">
              <w:rPr>
                <w:rFonts w:ascii="Verdana" w:hAnsi="Verdana" w:cs="Arial"/>
              </w:rPr>
              <w:t>4, 5, 12,</w:t>
            </w:r>
            <w:r>
              <w:rPr>
                <w:rFonts w:ascii="Verdana" w:hAnsi="Verdana" w:cs="Arial"/>
              </w:rPr>
              <w:t xml:space="preserve"> 13</w:t>
            </w:r>
            <w:r w:rsidRPr="00AF1F43">
              <w:rPr>
                <w:rFonts w:ascii="Verdana" w:hAnsi="Verdana" w:cs="Arial"/>
              </w:rPr>
              <w:t xml:space="preserve"> 14</w:t>
            </w:r>
            <w:r>
              <w:rPr>
                <w:rFonts w:ascii="Verdana" w:hAnsi="Verdana" w:cs="Arial"/>
              </w:rPr>
              <w:t>,</w:t>
            </w:r>
            <w:r w:rsidRPr="00AF1F43">
              <w:rPr>
                <w:rFonts w:ascii="Verdana" w:hAnsi="Verdana" w:cs="Arial"/>
              </w:rPr>
              <w:t xml:space="preserve"> 26</w:t>
            </w:r>
            <w:r>
              <w:rPr>
                <w:rFonts w:ascii="Verdana" w:hAnsi="Verdana" w:cs="Arial"/>
              </w:rPr>
              <w:t>, 32</w:t>
            </w:r>
            <w:r w:rsidR="00BB4CBF">
              <w:rPr>
                <w:rFonts w:ascii="Verdana" w:hAnsi="Verdana" w:cs="Arial"/>
              </w:rPr>
              <w:t>, 39</w:t>
            </w:r>
            <w:r>
              <w:rPr>
                <w:rFonts w:ascii="Verdana" w:hAnsi="Verdana" w:cs="Arial"/>
              </w:rPr>
              <w:t xml:space="preserve"> y 40.</w:t>
            </w:r>
          </w:p>
          <w:p w14:paraId="719939A2" w14:textId="77777777" w:rsidR="00B17B4C" w:rsidRDefault="00B17B4C" w:rsidP="00820CE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2, 17 y 21.</w:t>
            </w:r>
          </w:p>
          <w:p w14:paraId="1E44FB4F" w14:textId="77777777" w:rsidR="00B17B4C" w:rsidRDefault="00B17B4C" w:rsidP="00820CE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Ley 1474 de 2011, artículos 83 a 86.  </w:t>
            </w:r>
          </w:p>
          <w:p w14:paraId="1AFDE683" w14:textId="00994AF9" w:rsidR="00B17B4C" w:rsidRDefault="00B17B4C">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Código Civil, artículos 1602, </w:t>
            </w:r>
            <w:r w:rsidR="00BB4CBF">
              <w:rPr>
                <w:rFonts w:ascii="Verdana" w:hAnsi="Verdana" w:cs="Arial"/>
              </w:rPr>
              <w:t>1603,</w:t>
            </w:r>
            <w:r>
              <w:rPr>
                <w:rFonts w:ascii="Verdana" w:hAnsi="Verdana" w:cs="Arial"/>
              </w:rPr>
              <w:t xml:space="preserve"> 1613, 1625, 1626 y 1627. </w:t>
            </w:r>
          </w:p>
          <w:p w14:paraId="54F73F57" w14:textId="77777777" w:rsidR="00BB4CBF" w:rsidRDefault="00BB4CBF">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Decreto 1082 de 2015. </w:t>
            </w:r>
          </w:p>
          <w:p w14:paraId="5769B820" w14:textId="55F908FC" w:rsidR="00B17B4C" w:rsidRPr="00B87E7A" w:rsidRDefault="00BB4CBF" w:rsidP="00820CE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Decreto 092 de 2017-</w:t>
            </w:r>
          </w:p>
        </w:tc>
      </w:tr>
    </w:tbl>
    <w:p w14:paraId="07465FBE" w14:textId="77777777" w:rsidR="00B17B4C" w:rsidRPr="002407CE" w:rsidRDefault="00B17B4C" w:rsidP="00B17B4C">
      <w:pPr>
        <w:widowControl w:val="0"/>
        <w:autoSpaceDE w:val="0"/>
        <w:autoSpaceDN w:val="0"/>
        <w:spacing w:after="0" w:line="276" w:lineRule="auto"/>
        <w:jc w:val="both"/>
        <w:rPr>
          <w:rFonts w:ascii="Verdana" w:hAnsi="Verdana" w:cs="Arial"/>
        </w:rPr>
      </w:pPr>
    </w:p>
    <w:p w14:paraId="31D39EA4" w14:textId="77777777" w:rsidR="00B17B4C" w:rsidRPr="00593A5F" w:rsidRDefault="00B17B4C" w:rsidP="00B17B4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1E79D046" w14:textId="77777777" w:rsidR="00B17B4C" w:rsidRPr="00593A5F" w:rsidRDefault="00B17B4C" w:rsidP="00B17B4C">
      <w:pPr>
        <w:widowControl w:val="0"/>
        <w:autoSpaceDE w:val="0"/>
        <w:autoSpaceDN w:val="0"/>
        <w:spacing w:after="0" w:line="276" w:lineRule="auto"/>
        <w:jc w:val="both"/>
        <w:rPr>
          <w:rFonts w:ascii="Verdana" w:hAnsi="Verdana" w:cs="Arial"/>
        </w:rPr>
      </w:pPr>
    </w:p>
    <w:p w14:paraId="4237C6FA" w14:textId="77777777" w:rsidR="00B17B4C" w:rsidRPr="00ED0098" w:rsidRDefault="00B17B4C" w:rsidP="00B17B4C">
      <w:pPr>
        <w:widowControl w:val="0"/>
        <w:autoSpaceDE w:val="0"/>
        <w:autoSpaceDN w:val="0"/>
        <w:spacing w:after="0" w:line="276" w:lineRule="auto"/>
        <w:jc w:val="both"/>
        <w:rPr>
          <w:rStyle w:val="normaltextrun"/>
          <w:rFonts w:ascii="Verdana" w:hAnsi="Verdana" w:cs="Arial"/>
          <w:shd w:val="clear" w:color="auto" w:fill="FFFFFF"/>
        </w:rPr>
      </w:pPr>
      <w:r w:rsidRPr="00382D69">
        <w:rPr>
          <w:rStyle w:val="normaltextrun"/>
          <w:rFonts w:ascii="Verdana" w:hAnsi="Verdana" w:cs="Arial"/>
          <w:shd w:val="clear" w:color="auto" w:fill="FFFFFF"/>
        </w:rPr>
        <w:t xml:space="preserve">Esta Subdirección se ha pronunciado sobre la obligación de controlar y vigilar la ejecución de los contratos estatales en los Conceptos 4201913000004799 del 30 de agosto  de 2019 y 4201913000008240 del 20 de diciembre de 2019, C-064 del 28 de febrero de 2020, C-077 del 18 de marzo de 2020, C-150 del 18 de marzo de 2020, C-134 del 30 de marzo de 2020, C-180 del 13 de abril de 2020, C-344 de 26 de mayo de 2020, C-765 de 1 de enero de 2021, C-603 de 02 de noviembre de 2021, C-745 de 3 de febrero de 2022, C-506 del 3 de agosto de 2022, C-577 del 15 de septiembre de 2022, C-620 del 27 de septiembre de </w:t>
      </w:r>
      <w:r w:rsidRPr="00382D69">
        <w:rPr>
          <w:rStyle w:val="normaltextrun"/>
          <w:rFonts w:ascii="Verdana" w:hAnsi="Verdana" w:cs="Arial"/>
          <w:shd w:val="clear" w:color="auto" w:fill="FFFFFF"/>
        </w:rPr>
        <w:lastRenderedPageBreak/>
        <w:t>2022, C-830 del 28 de noviembre de 2022 y C-930 del 30 de diciembre de 2022. Estos y otros se encuentran disponibles para consulta en el Sistema de relatoría de la Agencia, al cual puede accederse a través del siguiente enlace:</w:t>
      </w:r>
      <w:r>
        <w:rPr>
          <w:rFonts w:ascii="Verdana" w:hAnsi="Verdana" w:cs="Arial"/>
          <w:shd w:val="clear" w:color="auto" w:fill="FFFFFF"/>
        </w:rPr>
        <w:t xml:space="preserve"> </w:t>
      </w:r>
      <w:hyperlink r:id="rId14"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70D92B7A" w14:textId="77777777" w:rsidR="00B17B4C" w:rsidRPr="00096788" w:rsidRDefault="00B17B4C" w:rsidP="00B17B4C">
      <w:pPr>
        <w:widowControl w:val="0"/>
        <w:autoSpaceDE w:val="0"/>
        <w:autoSpaceDN w:val="0"/>
        <w:spacing w:after="0" w:line="276" w:lineRule="auto"/>
        <w:jc w:val="both"/>
        <w:rPr>
          <w:rFonts w:ascii="Verdana" w:hAnsi="Verdana" w:cs="Arial"/>
          <w:color w:val="000000" w:themeColor="text1"/>
          <w:shd w:val="clear" w:color="auto" w:fill="FFFFFF"/>
        </w:rPr>
      </w:pPr>
    </w:p>
    <w:p w14:paraId="5665CC2C" w14:textId="77777777" w:rsidR="00B17B4C" w:rsidRDefault="00B17B4C" w:rsidP="00B17B4C">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5" w:tgtFrame="_new" w:history="1">
        <w:r w:rsidRPr="009A385A">
          <w:rPr>
            <w:rStyle w:val="Hipervnculo"/>
            <w:rFonts w:ascii="Verdana" w:hAnsi="Verdana"/>
          </w:rPr>
          <w:t>https://formacionvirtual.colombiacompra.gov.co/mod/page/view.php?id=3718</w:t>
        </w:r>
      </w:hyperlink>
    </w:p>
    <w:p w14:paraId="1A56A08F" w14:textId="77777777" w:rsidR="00B17B4C" w:rsidRPr="009A385A" w:rsidRDefault="00B17B4C" w:rsidP="00B17B4C">
      <w:pPr>
        <w:spacing w:after="0"/>
        <w:jc w:val="both"/>
        <w:rPr>
          <w:rFonts w:ascii="Verdana" w:hAnsi="Verdana"/>
        </w:rPr>
      </w:pPr>
    </w:p>
    <w:p w14:paraId="085A48FF" w14:textId="77777777" w:rsidR="00B17B4C" w:rsidRDefault="00B17B4C" w:rsidP="00B17B4C">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6" w:tgtFrame="_new" w:history="1">
        <w:r w:rsidRPr="00635F16">
          <w:rPr>
            <w:rStyle w:val="Hipervnculo"/>
            <w:rFonts w:ascii="Verdana" w:hAnsi="Verdana"/>
          </w:rPr>
          <w:t>https://www.colombiacompra.gov.co/normativa-y-relatoria/documentos-tipo</w:t>
        </w:r>
      </w:hyperlink>
    </w:p>
    <w:p w14:paraId="0AAF1736" w14:textId="77777777" w:rsidR="00B17B4C" w:rsidRDefault="00B17B4C" w:rsidP="00B17B4C">
      <w:pPr>
        <w:spacing w:after="0"/>
        <w:jc w:val="both"/>
        <w:rPr>
          <w:rFonts w:ascii="Verdana" w:hAnsi="Verdana"/>
        </w:rPr>
      </w:pPr>
    </w:p>
    <w:p w14:paraId="7A1A2B69" w14:textId="77777777" w:rsidR="00B17B4C" w:rsidRPr="008E1CD7" w:rsidRDefault="00B17B4C" w:rsidP="00B17B4C">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7"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9004F35" w14:textId="77777777" w:rsidR="00B17B4C" w:rsidRDefault="00B17B4C" w:rsidP="00B17B4C">
      <w:pPr>
        <w:shd w:val="clear" w:color="auto" w:fill="FFFFFF"/>
        <w:spacing w:after="0" w:line="276" w:lineRule="auto"/>
        <w:jc w:val="both"/>
        <w:rPr>
          <w:rFonts w:ascii="Verdana" w:hAnsi="Verdana"/>
          <w:color w:val="000000"/>
          <w:u w:val="single"/>
        </w:rPr>
      </w:pPr>
    </w:p>
    <w:p w14:paraId="7BEB8C07" w14:textId="77777777" w:rsidR="00B17B4C" w:rsidRPr="00116940" w:rsidRDefault="00B17B4C" w:rsidP="00B17B4C">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1667D857" w14:textId="77777777" w:rsidR="00B17B4C" w:rsidRPr="00116940" w:rsidRDefault="00B17B4C" w:rsidP="00B17B4C">
      <w:pPr>
        <w:spacing w:after="0"/>
        <w:jc w:val="both"/>
        <w:rPr>
          <w:rFonts w:ascii="Verdana" w:hAnsi="Verdana"/>
        </w:rPr>
      </w:pPr>
    </w:p>
    <w:p w14:paraId="28E33562" w14:textId="77777777" w:rsidR="00B17B4C" w:rsidRPr="00116940" w:rsidRDefault="00B17B4C" w:rsidP="00B17B4C">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2F83B7C9" w14:textId="77777777" w:rsidR="00B17B4C" w:rsidRPr="00116940" w:rsidRDefault="00B17B4C" w:rsidP="00B17B4C">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6B2E62EC" w14:textId="77777777" w:rsidR="00B17B4C" w:rsidRPr="00116940" w:rsidRDefault="00B17B4C" w:rsidP="00B17B4C">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6D95EDD2" w14:textId="77777777" w:rsidR="00B17B4C" w:rsidRPr="00116940" w:rsidRDefault="00B17B4C" w:rsidP="00B17B4C">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2BD17552" w14:textId="77777777" w:rsidR="00B17B4C" w:rsidRPr="00116940" w:rsidRDefault="00B17B4C" w:rsidP="00B17B4C">
      <w:pPr>
        <w:spacing w:after="0" w:line="240" w:lineRule="auto"/>
        <w:ind w:left="720"/>
        <w:jc w:val="both"/>
        <w:rPr>
          <w:rFonts w:ascii="Verdana" w:hAnsi="Verdana"/>
        </w:rPr>
      </w:pPr>
    </w:p>
    <w:p w14:paraId="1D8E9126" w14:textId="77777777" w:rsidR="00B17B4C" w:rsidRPr="00116940" w:rsidRDefault="00B17B4C" w:rsidP="00B17B4C">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016327CA" w14:textId="77777777" w:rsidR="00B17B4C" w:rsidRPr="00116940" w:rsidRDefault="00B17B4C" w:rsidP="00B17B4C">
      <w:pPr>
        <w:spacing w:after="0" w:line="240" w:lineRule="auto"/>
        <w:rPr>
          <w:rFonts w:ascii="Verdana" w:hAnsi="Verdana"/>
        </w:rPr>
      </w:pPr>
    </w:p>
    <w:p w14:paraId="53FA20B6" w14:textId="77777777" w:rsidR="00B17B4C" w:rsidRPr="00116940" w:rsidRDefault="00B17B4C" w:rsidP="00B17B4C">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DC5C607" w14:textId="77777777" w:rsidR="00B17B4C" w:rsidRPr="00116940" w:rsidRDefault="00B17B4C" w:rsidP="00B17B4C">
      <w:pPr>
        <w:spacing w:after="0" w:line="240" w:lineRule="auto"/>
        <w:jc w:val="both"/>
        <w:rPr>
          <w:rFonts w:ascii="Verdana" w:hAnsi="Verdana"/>
        </w:rPr>
      </w:pPr>
    </w:p>
    <w:p w14:paraId="674ACCAA" w14:textId="77777777" w:rsidR="00B17B4C" w:rsidRPr="00116940" w:rsidRDefault="00B17B4C" w:rsidP="00B17B4C">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B9A7298" w14:textId="77777777" w:rsidR="00B17B4C" w:rsidRPr="00116940" w:rsidRDefault="00B17B4C" w:rsidP="00B17B4C">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2F2B0D15" w14:textId="77777777" w:rsidR="00B17B4C" w:rsidRPr="00116940" w:rsidRDefault="00B17B4C" w:rsidP="00B17B4C">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1A1ACA2" w14:textId="77777777" w:rsidR="00B17B4C" w:rsidRPr="009C4035" w:rsidRDefault="00B17B4C" w:rsidP="00B17B4C">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526879B3" w14:textId="77777777" w:rsidR="00B17B4C" w:rsidRPr="00593A5F" w:rsidRDefault="00B17B4C" w:rsidP="00B17B4C">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0D11A05F" w14:textId="77777777" w:rsidR="00B17B4C" w:rsidRPr="00593A5F" w:rsidRDefault="00B17B4C" w:rsidP="00B17B4C">
      <w:pPr>
        <w:widowControl w:val="0"/>
        <w:autoSpaceDE w:val="0"/>
        <w:autoSpaceDN w:val="0"/>
        <w:spacing w:after="0" w:line="276" w:lineRule="auto"/>
        <w:jc w:val="both"/>
        <w:rPr>
          <w:rFonts w:ascii="Verdana" w:hAnsi="Verdana" w:cs="Arial"/>
        </w:rPr>
      </w:pPr>
    </w:p>
    <w:p w14:paraId="784215E7" w14:textId="77777777" w:rsidR="00B17B4C" w:rsidRPr="00593A5F" w:rsidRDefault="00B17B4C" w:rsidP="00B17B4C">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1A4F445E" w14:textId="7125B120" w:rsidR="00B17B4C" w:rsidRPr="00593A5F" w:rsidRDefault="005046E4" w:rsidP="00B17B4C">
      <w:pPr>
        <w:spacing w:line="276" w:lineRule="auto"/>
        <w:jc w:val="center"/>
        <w:rPr>
          <w:rFonts w:ascii="Verdana" w:hAnsi="Verdana" w:cs="Arial"/>
          <w:color w:val="000000"/>
          <w:lang w:val="es-ES_tradnl" w:eastAsia="es-CO"/>
        </w:rPr>
      </w:pPr>
      <w:r>
        <w:rPr>
          <w:noProof/>
        </w:rPr>
        <w:lastRenderedPageBreak/>
        <w:drawing>
          <wp:inline distT="0" distB="0" distL="0" distR="0" wp14:anchorId="4E090738" wp14:editId="4B66CD14">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1"/>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17B4C" w:rsidRPr="00593A5F" w14:paraId="2C13840A" w14:textId="77777777" w:rsidTr="00820CE5">
        <w:trPr>
          <w:trHeight w:val="315"/>
        </w:trPr>
        <w:tc>
          <w:tcPr>
            <w:tcW w:w="893" w:type="dxa"/>
            <w:vAlign w:val="center"/>
            <w:hideMark/>
          </w:tcPr>
          <w:p w14:paraId="6DFE90F4" w14:textId="77777777" w:rsidR="00B17B4C" w:rsidRPr="003751C7" w:rsidRDefault="00B17B4C" w:rsidP="00820CE5">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A0BD36E" w14:textId="77777777" w:rsidR="00B17B4C" w:rsidRPr="00254A7A" w:rsidRDefault="00B17B4C" w:rsidP="00820CE5">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12BB074B" w14:textId="77777777" w:rsidR="00B17B4C" w:rsidRPr="00254A7A" w:rsidRDefault="00B17B4C" w:rsidP="00820CE5">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B17B4C" w:rsidRPr="00593A5F" w14:paraId="7E6121B0" w14:textId="77777777" w:rsidTr="00820CE5">
        <w:trPr>
          <w:trHeight w:val="330"/>
        </w:trPr>
        <w:tc>
          <w:tcPr>
            <w:tcW w:w="893" w:type="dxa"/>
            <w:vAlign w:val="center"/>
            <w:hideMark/>
          </w:tcPr>
          <w:p w14:paraId="03BD4B87" w14:textId="77777777" w:rsidR="00B17B4C" w:rsidRPr="003751C7" w:rsidRDefault="00B17B4C" w:rsidP="00820CE5">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0072FFF" w14:textId="77777777" w:rsidR="00B17B4C" w:rsidRPr="00F31892" w:rsidRDefault="00B17B4C" w:rsidP="00820CE5">
            <w:pPr>
              <w:pStyle w:val="paragraph"/>
              <w:spacing w:after="0"/>
              <w:contextualSpacing/>
              <w:textAlignment w:val="baseline"/>
              <w:rPr>
                <w:rStyle w:val="normaltextrun"/>
                <w:rFonts w:ascii="Verdana" w:hAnsi="Verdana" w:cs="Arial"/>
                <w:sz w:val="16"/>
                <w:szCs w:val="16"/>
                <w:lang w:val="es-ES_tradnl"/>
              </w:rPr>
            </w:pPr>
            <w:r w:rsidRPr="00F31892">
              <w:rPr>
                <w:rStyle w:val="normaltextrun"/>
                <w:rFonts w:ascii="Verdana" w:hAnsi="Verdana" w:cs="Arial"/>
                <w:sz w:val="16"/>
                <w:szCs w:val="16"/>
                <w:lang w:val="es-ES_tradnl"/>
              </w:rPr>
              <w:t>Alejandro Sarmiento Cantillo</w:t>
            </w:r>
          </w:p>
          <w:p w14:paraId="7EC8F4B8" w14:textId="77777777" w:rsidR="00B17B4C" w:rsidRPr="00A40FD0" w:rsidRDefault="00B17B4C" w:rsidP="00820CE5">
            <w:pPr>
              <w:pStyle w:val="paragraph"/>
              <w:spacing w:before="0" w:beforeAutospacing="0" w:after="0" w:afterAutospacing="0"/>
              <w:contextualSpacing/>
              <w:textAlignment w:val="baseline"/>
              <w:rPr>
                <w:rFonts w:ascii="Verdana" w:hAnsi="Verdana" w:cs="Segoe UI"/>
                <w:sz w:val="16"/>
                <w:szCs w:val="16"/>
              </w:rPr>
            </w:pPr>
            <w:r w:rsidRPr="00F31892">
              <w:rPr>
                <w:rStyle w:val="normaltextrun"/>
                <w:rFonts w:ascii="Verdana" w:hAnsi="Verdana" w:cs="Arial"/>
                <w:sz w:val="16"/>
                <w:szCs w:val="16"/>
                <w:lang w:val="es-ES_tradnl"/>
              </w:rPr>
              <w:t>Gestor T1 ‒ 15 de la Subdirección de Gestión Contractual</w:t>
            </w:r>
          </w:p>
        </w:tc>
      </w:tr>
      <w:tr w:rsidR="00B17B4C" w:rsidRPr="00593A5F" w14:paraId="7F919917" w14:textId="77777777" w:rsidTr="00820CE5">
        <w:trPr>
          <w:trHeight w:val="300"/>
        </w:trPr>
        <w:tc>
          <w:tcPr>
            <w:tcW w:w="893" w:type="dxa"/>
            <w:vAlign w:val="center"/>
          </w:tcPr>
          <w:p w14:paraId="6F565DE3" w14:textId="77777777" w:rsidR="00B17B4C" w:rsidRPr="003751C7" w:rsidRDefault="00B17B4C" w:rsidP="00820CE5">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F5CBE88" w14:textId="77777777" w:rsidR="00B17B4C" w:rsidRPr="00FE00BE" w:rsidRDefault="00B17B4C" w:rsidP="00820CE5">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040644FF" w14:textId="77777777" w:rsidR="00B17B4C" w:rsidRPr="00FE00BE" w:rsidRDefault="00B17B4C" w:rsidP="00820CE5">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0FAAF8E0" w14:textId="77777777" w:rsidR="00B17B4C" w:rsidRDefault="00B17B4C" w:rsidP="00B17B4C"/>
    <w:p w14:paraId="2D1A640C" w14:textId="49D6C173" w:rsidR="00B17B4C" w:rsidRPr="00543BFE" w:rsidRDefault="00B17B4C" w:rsidP="00B17B4C"/>
    <w:p w14:paraId="0F293BF4" w14:textId="032E6BCE" w:rsidR="00127233" w:rsidRPr="002E2DD7" w:rsidRDefault="00127233" w:rsidP="002E2DD7"/>
    <w:sectPr w:rsidR="00127233" w:rsidRPr="002E2DD7"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99ABD" w14:textId="77777777" w:rsidR="00566239" w:rsidRDefault="00566239" w:rsidP="004A1847">
      <w:pPr>
        <w:spacing w:after="0" w:line="240" w:lineRule="auto"/>
      </w:pPr>
      <w:r>
        <w:separator/>
      </w:r>
    </w:p>
  </w:endnote>
  <w:endnote w:type="continuationSeparator" w:id="0">
    <w:p w14:paraId="21427865" w14:textId="77777777" w:rsidR="00566239" w:rsidRDefault="0056623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DC40FA"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DC40FA">
      <w:rPr>
        <w:rFonts w:ascii="Verdana" w:eastAsia="Verdana" w:hAnsi="Verdana" w:cs="Verdana"/>
        <w:b/>
        <w:color w:val="000000" w:themeColor="text1"/>
        <w:sz w:val="18"/>
        <w:szCs w:val="18"/>
        <w:lang w:val="pt-BR" w:eastAsia="es-CO"/>
      </w:rPr>
      <w:t xml:space="preserve">Código: </w:t>
    </w:r>
    <w:r w:rsidRPr="00DC40FA">
      <w:rPr>
        <w:rFonts w:ascii="Verdana" w:eastAsia="Verdana" w:hAnsi="Verdana" w:cs="Verdana"/>
        <w:color w:val="000000" w:themeColor="text1"/>
        <w:sz w:val="18"/>
        <w:szCs w:val="18"/>
        <w:lang w:val="pt-BR" w:eastAsia="es-CO"/>
      </w:rPr>
      <w:t xml:space="preserve">CCE-REC-FM-17 </w:t>
    </w:r>
    <w:r w:rsidRPr="00DC40FA">
      <w:rPr>
        <w:rFonts w:ascii="Verdana" w:eastAsia="Verdana" w:hAnsi="Verdana" w:cs="Verdana"/>
        <w:b/>
        <w:color w:val="000000" w:themeColor="text1"/>
        <w:sz w:val="18"/>
        <w:szCs w:val="18"/>
        <w:lang w:val="pt-BR" w:eastAsia="es-CO"/>
      </w:rPr>
      <w:t xml:space="preserve">V: </w:t>
    </w:r>
    <w:r w:rsidRPr="00DC40FA">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1343A" w14:textId="77777777" w:rsidR="00566239" w:rsidRDefault="00566239" w:rsidP="004A1847">
      <w:pPr>
        <w:spacing w:after="0" w:line="240" w:lineRule="auto"/>
      </w:pPr>
      <w:r>
        <w:separator/>
      </w:r>
    </w:p>
  </w:footnote>
  <w:footnote w:type="continuationSeparator" w:id="0">
    <w:p w14:paraId="0D4A0016" w14:textId="77777777" w:rsidR="00566239" w:rsidRDefault="00566239" w:rsidP="004A1847">
      <w:pPr>
        <w:spacing w:after="0" w:line="240" w:lineRule="auto"/>
      </w:pPr>
      <w:r>
        <w:continuationSeparator/>
      </w:r>
    </w:p>
  </w:footnote>
  <w:footnote w:id="1">
    <w:p w14:paraId="2CA200E9" w14:textId="77777777" w:rsidR="00B17B4C" w:rsidRPr="00984E13" w:rsidRDefault="00B17B4C" w:rsidP="00B17B4C">
      <w:pPr>
        <w:spacing w:after="0" w:line="240" w:lineRule="auto"/>
        <w:ind w:firstLine="708"/>
        <w:jc w:val="both"/>
        <w:rPr>
          <w:rFonts w:ascii="Verdana" w:hAnsi="Verdana" w:cs="Arial"/>
          <w:sz w:val="16"/>
          <w:szCs w:val="16"/>
          <w:lang w:val="es-MX"/>
        </w:rPr>
      </w:pPr>
      <w:r w:rsidRPr="00984E13">
        <w:rPr>
          <w:rStyle w:val="Refdenotaalpie"/>
          <w:rFonts w:ascii="Verdana" w:hAnsi="Verdana" w:cs="Arial"/>
          <w:sz w:val="16"/>
          <w:szCs w:val="16"/>
        </w:rPr>
        <w:footnoteRef/>
      </w:r>
      <w:r w:rsidRPr="00984E13">
        <w:rPr>
          <w:rFonts w:ascii="Verdana" w:hAnsi="Verdana" w:cs="Arial"/>
          <w:sz w:val="16"/>
          <w:szCs w:val="16"/>
        </w:rPr>
        <w:t xml:space="preserve"> </w:t>
      </w:r>
      <w:r w:rsidRPr="00984E13">
        <w:rPr>
          <w:rFonts w:ascii="Verdana" w:hAnsi="Verdana" w:cs="Arial"/>
          <w:color w:val="1A1A1A"/>
          <w:sz w:val="16"/>
          <w:szCs w:val="16"/>
        </w:rPr>
        <w:t>Artículo</w:t>
      </w:r>
      <w:r w:rsidRPr="00984E13">
        <w:rPr>
          <w:rFonts w:ascii="Verdana" w:hAnsi="Verdana" w:cs="Arial"/>
          <w:color w:val="1A1A1A"/>
          <w:spacing w:val="-1"/>
          <w:sz w:val="16"/>
          <w:szCs w:val="16"/>
        </w:rPr>
        <w:t xml:space="preserve"> </w:t>
      </w:r>
      <w:r w:rsidRPr="00984E13">
        <w:rPr>
          <w:rFonts w:ascii="Verdana" w:hAnsi="Verdana" w:cs="Arial"/>
          <w:color w:val="1A1A1A"/>
          <w:sz w:val="16"/>
          <w:szCs w:val="16"/>
        </w:rPr>
        <w:t>3</w:t>
      </w:r>
      <w:r w:rsidRPr="00984E13">
        <w:rPr>
          <w:rFonts w:ascii="Verdana" w:hAnsi="Verdana" w:cs="Arial"/>
          <w:color w:val="1A1A1A"/>
          <w:spacing w:val="-3"/>
          <w:sz w:val="16"/>
          <w:szCs w:val="16"/>
        </w:rPr>
        <w:t xml:space="preserve"> </w:t>
      </w:r>
      <w:r w:rsidRPr="00984E13">
        <w:rPr>
          <w:rFonts w:ascii="Verdana" w:hAnsi="Verdana" w:cs="Arial"/>
          <w:color w:val="1A1A1A"/>
          <w:sz w:val="16"/>
          <w:szCs w:val="16"/>
        </w:rPr>
        <w:t>de</w:t>
      </w:r>
      <w:r w:rsidRPr="00984E13">
        <w:rPr>
          <w:rFonts w:ascii="Verdana" w:hAnsi="Verdana" w:cs="Arial"/>
          <w:color w:val="1A1A1A"/>
          <w:spacing w:val="-3"/>
          <w:sz w:val="16"/>
          <w:szCs w:val="16"/>
        </w:rPr>
        <w:t xml:space="preserve"> </w:t>
      </w:r>
      <w:r w:rsidRPr="00984E13">
        <w:rPr>
          <w:rFonts w:ascii="Verdana" w:hAnsi="Verdana" w:cs="Arial"/>
          <w:color w:val="1A1A1A"/>
          <w:sz w:val="16"/>
          <w:szCs w:val="16"/>
        </w:rPr>
        <w:t>la</w:t>
      </w:r>
      <w:r w:rsidRPr="00984E13">
        <w:rPr>
          <w:rFonts w:ascii="Verdana" w:hAnsi="Verdana" w:cs="Arial"/>
          <w:color w:val="1A1A1A"/>
          <w:spacing w:val="-1"/>
          <w:sz w:val="16"/>
          <w:szCs w:val="16"/>
        </w:rPr>
        <w:t xml:space="preserve"> </w:t>
      </w:r>
      <w:r w:rsidRPr="00984E13">
        <w:rPr>
          <w:rFonts w:ascii="Verdana" w:hAnsi="Verdana" w:cs="Arial"/>
          <w:color w:val="1A1A1A"/>
          <w:sz w:val="16"/>
          <w:szCs w:val="16"/>
        </w:rPr>
        <w:t>Ley</w:t>
      </w:r>
      <w:r w:rsidRPr="00984E13">
        <w:rPr>
          <w:rFonts w:ascii="Verdana" w:hAnsi="Verdana" w:cs="Arial"/>
          <w:color w:val="1A1A1A"/>
          <w:spacing w:val="-4"/>
          <w:sz w:val="16"/>
          <w:szCs w:val="16"/>
        </w:rPr>
        <w:t xml:space="preserve"> </w:t>
      </w:r>
      <w:r w:rsidRPr="00984E13">
        <w:rPr>
          <w:rFonts w:ascii="Verdana" w:hAnsi="Verdana" w:cs="Arial"/>
          <w:color w:val="1A1A1A"/>
          <w:sz w:val="16"/>
          <w:szCs w:val="16"/>
        </w:rPr>
        <w:t>80</w:t>
      </w:r>
      <w:r w:rsidRPr="00984E13">
        <w:rPr>
          <w:rFonts w:ascii="Verdana" w:hAnsi="Verdana" w:cs="Arial"/>
          <w:color w:val="1A1A1A"/>
          <w:spacing w:val="-1"/>
          <w:sz w:val="16"/>
          <w:szCs w:val="16"/>
        </w:rPr>
        <w:t xml:space="preserve"> </w:t>
      </w:r>
      <w:r w:rsidRPr="00984E13">
        <w:rPr>
          <w:rFonts w:ascii="Verdana" w:hAnsi="Verdana" w:cs="Arial"/>
          <w:color w:val="1A1A1A"/>
          <w:sz w:val="16"/>
          <w:szCs w:val="16"/>
        </w:rPr>
        <w:t>de</w:t>
      </w:r>
      <w:r w:rsidRPr="00984E13">
        <w:rPr>
          <w:rFonts w:ascii="Verdana" w:hAnsi="Verdana" w:cs="Arial"/>
          <w:color w:val="1A1A1A"/>
          <w:spacing w:val="-1"/>
          <w:sz w:val="16"/>
          <w:szCs w:val="16"/>
        </w:rPr>
        <w:t xml:space="preserve"> </w:t>
      </w:r>
      <w:r w:rsidRPr="00984E13">
        <w:rPr>
          <w:rFonts w:ascii="Verdana" w:hAnsi="Verdana" w:cs="Arial"/>
          <w:color w:val="1A1A1A"/>
          <w:sz w:val="16"/>
          <w:szCs w:val="16"/>
        </w:rPr>
        <w:t>1993.</w:t>
      </w:r>
    </w:p>
  </w:footnote>
  <w:footnote w:id="2">
    <w:p w14:paraId="5E09BE6A" w14:textId="77777777" w:rsidR="00B17B4C" w:rsidRPr="00984E13" w:rsidRDefault="00B17B4C" w:rsidP="00B17B4C">
      <w:pPr>
        <w:pStyle w:val="Textonotapie"/>
        <w:ind w:firstLine="709"/>
        <w:jc w:val="both"/>
        <w:rPr>
          <w:rFonts w:ascii="Verdana" w:hAnsi="Verdana" w:cs="Arial"/>
          <w:sz w:val="16"/>
          <w:szCs w:val="16"/>
        </w:rPr>
      </w:pPr>
      <w:r w:rsidRPr="00984E13">
        <w:rPr>
          <w:rStyle w:val="Refdenotaalpie"/>
          <w:rFonts w:ascii="Verdana" w:hAnsi="Verdana" w:cs="Arial"/>
          <w:sz w:val="16"/>
          <w:szCs w:val="16"/>
        </w:rPr>
        <w:footnoteRef/>
      </w:r>
      <w:r w:rsidRPr="00984E13">
        <w:rPr>
          <w:rFonts w:ascii="Verdana" w:hAnsi="Verdana" w:cs="Arial"/>
          <w:sz w:val="16"/>
          <w:szCs w:val="16"/>
        </w:rPr>
        <w:t xml:space="preserve"> Artículo 17</w:t>
      </w:r>
      <w:r w:rsidRPr="00984E13">
        <w:rPr>
          <w:rFonts w:ascii="Verdana" w:hAnsi="Verdana" w:cs="Arial"/>
          <w:spacing w:val="-1"/>
          <w:sz w:val="16"/>
          <w:szCs w:val="16"/>
        </w:rPr>
        <w:t xml:space="preserve"> </w:t>
      </w:r>
      <w:r w:rsidRPr="00984E13">
        <w:rPr>
          <w:rFonts w:ascii="Verdana" w:hAnsi="Verdana" w:cs="Arial"/>
          <w:sz w:val="16"/>
          <w:szCs w:val="16"/>
        </w:rPr>
        <w:t>de</w:t>
      </w:r>
      <w:r w:rsidRPr="00984E13">
        <w:rPr>
          <w:rFonts w:ascii="Verdana" w:hAnsi="Verdana" w:cs="Arial"/>
          <w:spacing w:val="-2"/>
          <w:sz w:val="16"/>
          <w:szCs w:val="16"/>
        </w:rPr>
        <w:t xml:space="preserve"> </w:t>
      </w:r>
      <w:r w:rsidRPr="00984E13">
        <w:rPr>
          <w:rFonts w:ascii="Verdana" w:hAnsi="Verdana" w:cs="Arial"/>
          <w:sz w:val="16"/>
          <w:szCs w:val="16"/>
        </w:rPr>
        <w:t>la</w:t>
      </w:r>
      <w:r w:rsidRPr="00984E13">
        <w:rPr>
          <w:rFonts w:ascii="Verdana" w:hAnsi="Verdana" w:cs="Arial"/>
          <w:spacing w:val="-3"/>
          <w:sz w:val="16"/>
          <w:szCs w:val="16"/>
        </w:rPr>
        <w:t xml:space="preserve"> </w:t>
      </w:r>
      <w:r w:rsidRPr="00984E13">
        <w:rPr>
          <w:rFonts w:ascii="Verdana" w:hAnsi="Verdana" w:cs="Arial"/>
          <w:sz w:val="16"/>
          <w:szCs w:val="16"/>
        </w:rPr>
        <w:t>Ley</w:t>
      </w:r>
      <w:r w:rsidRPr="00984E13">
        <w:rPr>
          <w:rFonts w:ascii="Verdana" w:hAnsi="Verdana" w:cs="Arial"/>
          <w:spacing w:val="-3"/>
          <w:sz w:val="16"/>
          <w:szCs w:val="16"/>
        </w:rPr>
        <w:t xml:space="preserve"> </w:t>
      </w:r>
      <w:r w:rsidRPr="00984E13">
        <w:rPr>
          <w:rFonts w:ascii="Verdana" w:hAnsi="Verdana" w:cs="Arial"/>
          <w:sz w:val="16"/>
          <w:szCs w:val="16"/>
        </w:rPr>
        <w:t>1150 de</w:t>
      </w:r>
      <w:r w:rsidRPr="00984E13">
        <w:rPr>
          <w:rFonts w:ascii="Verdana" w:hAnsi="Verdana" w:cs="Arial"/>
          <w:spacing w:val="-5"/>
          <w:sz w:val="16"/>
          <w:szCs w:val="16"/>
        </w:rPr>
        <w:t xml:space="preserve"> </w:t>
      </w:r>
      <w:r w:rsidRPr="00984E13">
        <w:rPr>
          <w:rFonts w:ascii="Verdana" w:hAnsi="Verdana" w:cs="Arial"/>
          <w:sz w:val="16"/>
          <w:szCs w:val="16"/>
        </w:rPr>
        <w:t>2007.</w:t>
      </w:r>
    </w:p>
  </w:footnote>
  <w:footnote w:id="3">
    <w:p w14:paraId="36DAC532" w14:textId="77777777" w:rsidR="00B17B4C" w:rsidRPr="00984E13" w:rsidRDefault="00B17B4C" w:rsidP="00B17B4C">
      <w:pPr>
        <w:pStyle w:val="Textonotapie"/>
        <w:ind w:firstLine="709"/>
        <w:jc w:val="both"/>
        <w:rPr>
          <w:rFonts w:ascii="Verdana" w:hAnsi="Verdana" w:cs="Arial"/>
          <w:sz w:val="16"/>
          <w:szCs w:val="16"/>
        </w:rPr>
      </w:pPr>
      <w:r w:rsidRPr="00984E13">
        <w:rPr>
          <w:rStyle w:val="Refdenotaalpie"/>
          <w:rFonts w:ascii="Verdana" w:hAnsi="Verdana" w:cs="Arial"/>
          <w:sz w:val="16"/>
          <w:szCs w:val="16"/>
        </w:rPr>
        <w:footnoteRef/>
      </w:r>
      <w:r w:rsidRPr="00984E13">
        <w:rPr>
          <w:rFonts w:ascii="Verdana" w:hAnsi="Verdana" w:cs="Arial"/>
          <w:sz w:val="16"/>
          <w:szCs w:val="16"/>
        </w:rPr>
        <w:t xml:space="preserve"> Artículo 21</w:t>
      </w:r>
      <w:r w:rsidRPr="00984E13">
        <w:rPr>
          <w:rFonts w:ascii="Verdana" w:hAnsi="Verdana" w:cs="Arial"/>
          <w:spacing w:val="-1"/>
          <w:sz w:val="16"/>
          <w:szCs w:val="16"/>
        </w:rPr>
        <w:t xml:space="preserve"> </w:t>
      </w:r>
      <w:r w:rsidRPr="00984E13">
        <w:rPr>
          <w:rFonts w:ascii="Verdana" w:hAnsi="Verdana" w:cs="Arial"/>
          <w:sz w:val="16"/>
          <w:szCs w:val="16"/>
        </w:rPr>
        <w:t>de</w:t>
      </w:r>
      <w:r w:rsidRPr="00984E13">
        <w:rPr>
          <w:rFonts w:ascii="Verdana" w:hAnsi="Verdana" w:cs="Arial"/>
          <w:spacing w:val="-2"/>
          <w:sz w:val="16"/>
          <w:szCs w:val="16"/>
        </w:rPr>
        <w:t xml:space="preserve"> </w:t>
      </w:r>
      <w:r w:rsidRPr="00984E13">
        <w:rPr>
          <w:rFonts w:ascii="Verdana" w:hAnsi="Verdana" w:cs="Arial"/>
          <w:sz w:val="16"/>
          <w:szCs w:val="16"/>
        </w:rPr>
        <w:t>la</w:t>
      </w:r>
      <w:r w:rsidRPr="00984E13">
        <w:rPr>
          <w:rFonts w:ascii="Verdana" w:hAnsi="Verdana" w:cs="Arial"/>
          <w:spacing w:val="-3"/>
          <w:sz w:val="16"/>
          <w:szCs w:val="16"/>
        </w:rPr>
        <w:t xml:space="preserve"> </w:t>
      </w:r>
      <w:r w:rsidRPr="00984E13">
        <w:rPr>
          <w:rFonts w:ascii="Verdana" w:hAnsi="Verdana" w:cs="Arial"/>
          <w:sz w:val="16"/>
          <w:szCs w:val="16"/>
        </w:rPr>
        <w:t>Ley</w:t>
      </w:r>
      <w:r w:rsidRPr="00984E13">
        <w:rPr>
          <w:rFonts w:ascii="Verdana" w:hAnsi="Verdana" w:cs="Arial"/>
          <w:spacing w:val="-3"/>
          <w:sz w:val="16"/>
          <w:szCs w:val="16"/>
        </w:rPr>
        <w:t xml:space="preserve"> </w:t>
      </w:r>
      <w:r w:rsidRPr="00984E13">
        <w:rPr>
          <w:rFonts w:ascii="Verdana" w:hAnsi="Verdana" w:cs="Arial"/>
          <w:sz w:val="16"/>
          <w:szCs w:val="16"/>
        </w:rPr>
        <w:t>1150 de</w:t>
      </w:r>
      <w:r w:rsidRPr="00984E13">
        <w:rPr>
          <w:rFonts w:ascii="Verdana" w:hAnsi="Verdana" w:cs="Arial"/>
          <w:spacing w:val="-5"/>
          <w:sz w:val="16"/>
          <w:szCs w:val="16"/>
        </w:rPr>
        <w:t xml:space="preserve"> </w:t>
      </w:r>
      <w:r w:rsidRPr="00984E13">
        <w:rPr>
          <w:rFonts w:ascii="Verdana" w:hAnsi="Verdana" w:cs="Arial"/>
          <w:sz w:val="16"/>
          <w:szCs w:val="16"/>
        </w:rPr>
        <w:t xml:space="preserve">2007. </w:t>
      </w:r>
    </w:p>
  </w:footnote>
  <w:footnote w:id="4">
    <w:p w14:paraId="01CBDD18" w14:textId="77777777" w:rsidR="00B17B4C" w:rsidRPr="00984E13" w:rsidRDefault="00B17B4C" w:rsidP="00B17B4C">
      <w:pPr>
        <w:spacing w:after="0" w:line="240" w:lineRule="auto"/>
        <w:ind w:firstLine="708"/>
        <w:jc w:val="both"/>
        <w:rPr>
          <w:rFonts w:ascii="Verdana" w:hAnsi="Verdana" w:cs="Arial"/>
          <w:sz w:val="16"/>
          <w:szCs w:val="16"/>
        </w:rPr>
      </w:pPr>
      <w:r w:rsidRPr="00984E13">
        <w:rPr>
          <w:rStyle w:val="Refdenotaalpie"/>
          <w:rFonts w:ascii="Verdana" w:hAnsi="Verdana" w:cs="Arial"/>
          <w:sz w:val="16"/>
          <w:szCs w:val="16"/>
        </w:rPr>
        <w:footnoteRef/>
      </w:r>
      <w:r w:rsidRPr="00984E13">
        <w:rPr>
          <w:rFonts w:ascii="Verdana" w:hAnsi="Verdana" w:cs="Arial"/>
          <w:sz w:val="16"/>
          <w:szCs w:val="16"/>
        </w:rPr>
        <w:t xml:space="preserve"> Artículos</w:t>
      </w:r>
      <w:r w:rsidRPr="00984E13">
        <w:rPr>
          <w:rFonts w:ascii="Verdana" w:hAnsi="Verdana" w:cs="Arial"/>
          <w:spacing w:val="-3"/>
          <w:sz w:val="16"/>
          <w:szCs w:val="16"/>
        </w:rPr>
        <w:t xml:space="preserve"> </w:t>
      </w:r>
      <w:r w:rsidRPr="00984E13">
        <w:rPr>
          <w:rFonts w:ascii="Verdana" w:hAnsi="Verdana" w:cs="Arial"/>
          <w:sz w:val="16"/>
          <w:szCs w:val="16"/>
        </w:rPr>
        <w:t>83</w:t>
      </w:r>
      <w:r w:rsidRPr="00984E13">
        <w:rPr>
          <w:rFonts w:ascii="Verdana" w:hAnsi="Verdana" w:cs="Arial"/>
          <w:spacing w:val="-2"/>
          <w:sz w:val="16"/>
          <w:szCs w:val="16"/>
        </w:rPr>
        <w:t xml:space="preserve"> </w:t>
      </w:r>
      <w:r w:rsidRPr="00984E13">
        <w:rPr>
          <w:rFonts w:ascii="Verdana" w:hAnsi="Verdana" w:cs="Arial"/>
          <w:sz w:val="16"/>
          <w:szCs w:val="16"/>
        </w:rPr>
        <w:t>a</w:t>
      </w:r>
      <w:r w:rsidRPr="00984E13">
        <w:rPr>
          <w:rFonts w:ascii="Verdana" w:hAnsi="Verdana" w:cs="Arial"/>
          <w:spacing w:val="-1"/>
          <w:sz w:val="16"/>
          <w:szCs w:val="16"/>
        </w:rPr>
        <w:t xml:space="preserve"> </w:t>
      </w:r>
      <w:r w:rsidRPr="00984E13">
        <w:rPr>
          <w:rFonts w:ascii="Verdana" w:hAnsi="Verdana" w:cs="Arial"/>
          <w:sz w:val="16"/>
          <w:szCs w:val="16"/>
        </w:rPr>
        <w:t>86</w:t>
      </w:r>
      <w:r w:rsidRPr="00984E13">
        <w:rPr>
          <w:rFonts w:ascii="Verdana" w:hAnsi="Verdana" w:cs="Arial"/>
          <w:spacing w:val="-3"/>
          <w:sz w:val="16"/>
          <w:szCs w:val="16"/>
        </w:rPr>
        <w:t xml:space="preserve"> </w:t>
      </w:r>
      <w:r w:rsidRPr="00984E13">
        <w:rPr>
          <w:rFonts w:ascii="Verdana" w:hAnsi="Verdana" w:cs="Arial"/>
          <w:sz w:val="16"/>
          <w:szCs w:val="16"/>
        </w:rPr>
        <w:t>de</w:t>
      </w:r>
      <w:r w:rsidRPr="00984E13">
        <w:rPr>
          <w:rFonts w:ascii="Verdana" w:hAnsi="Verdana" w:cs="Arial"/>
          <w:spacing w:val="-2"/>
          <w:sz w:val="16"/>
          <w:szCs w:val="16"/>
        </w:rPr>
        <w:t xml:space="preserve"> </w:t>
      </w:r>
      <w:r w:rsidRPr="00984E13">
        <w:rPr>
          <w:rFonts w:ascii="Verdana" w:hAnsi="Verdana" w:cs="Arial"/>
          <w:sz w:val="16"/>
          <w:szCs w:val="16"/>
        </w:rPr>
        <w:t>la</w:t>
      </w:r>
      <w:r w:rsidRPr="00984E13">
        <w:rPr>
          <w:rFonts w:ascii="Verdana" w:hAnsi="Verdana" w:cs="Arial"/>
          <w:spacing w:val="-1"/>
          <w:sz w:val="16"/>
          <w:szCs w:val="16"/>
        </w:rPr>
        <w:t xml:space="preserve"> </w:t>
      </w:r>
      <w:r w:rsidRPr="00984E13">
        <w:rPr>
          <w:rFonts w:ascii="Verdana" w:hAnsi="Verdana" w:cs="Arial"/>
          <w:sz w:val="16"/>
          <w:szCs w:val="16"/>
        </w:rPr>
        <w:t>Ley</w:t>
      </w:r>
      <w:r w:rsidRPr="00984E13">
        <w:rPr>
          <w:rFonts w:ascii="Verdana" w:hAnsi="Verdana" w:cs="Arial"/>
          <w:spacing w:val="-3"/>
          <w:sz w:val="16"/>
          <w:szCs w:val="16"/>
        </w:rPr>
        <w:t xml:space="preserve"> </w:t>
      </w:r>
      <w:r w:rsidRPr="00984E13">
        <w:rPr>
          <w:rFonts w:ascii="Verdana" w:hAnsi="Verdana" w:cs="Arial"/>
          <w:sz w:val="16"/>
          <w:szCs w:val="16"/>
        </w:rPr>
        <w:t>1474</w:t>
      </w:r>
      <w:r w:rsidRPr="00984E13">
        <w:rPr>
          <w:rFonts w:ascii="Verdana" w:hAnsi="Verdana" w:cs="Arial"/>
          <w:spacing w:val="4"/>
          <w:sz w:val="16"/>
          <w:szCs w:val="16"/>
        </w:rPr>
        <w:t xml:space="preserve"> </w:t>
      </w:r>
      <w:r w:rsidRPr="00984E13">
        <w:rPr>
          <w:rFonts w:ascii="Verdana" w:hAnsi="Verdana" w:cs="Arial"/>
          <w:sz w:val="16"/>
          <w:szCs w:val="16"/>
        </w:rPr>
        <w:t>de</w:t>
      </w:r>
      <w:r w:rsidRPr="00984E13">
        <w:rPr>
          <w:rFonts w:ascii="Verdana" w:hAnsi="Verdana" w:cs="Arial"/>
          <w:spacing w:val="-3"/>
          <w:sz w:val="16"/>
          <w:szCs w:val="16"/>
        </w:rPr>
        <w:t xml:space="preserve"> </w:t>
      </w:r>
      <w:r w:rsidRPr="00984E13">
        <w:rPr>
          <w:rFonts w:ascii="Verdana" w:hAnsi="Verdana" w:cs="Arial"/>
          <w:sz w:val="16"/>
          <w:szCs w:val="16"/>
        </w:rPr>
        <w:t>2011.</w:t>
      </w:r>
    </w:p>
  </w:footnote>
  <w:footnote w:id="5">
    <w:p w14:paraId="04ED919A" w14:textId="77777777" w:rsidR="00B17B4C" w:rsidRPr="00984E13" w:rsidRDefault="00B17B4C" w:rsidP="00B17B4C">
      <w:pPr>
        <w:pStyle w:val="Textonotapie"/>
        <w:ind w:firstLine="709"/>
        <w:jc w:val="both"/>
        <w:rPr>
          <w:rFonts w:ascii="Verdana" w:hAnsi="Verdana" w:cs="Arial"/>
          <w:sz w:val="16"/>
          <w:szCs w:val="16"/>
        </w:rPr>
      </w:pPr>
      <w:r w:rsidRPr="00984E13">
        <w:rPr>
          <w:rStyle w:val="Refdenotaalpie"/>
          <w:rFonts w:ascii="Verdana" w:hAnsi="Verdana" w:cs="Arial"/>
          <w:sz w:val="16"/>
          <w:szCs w:val="16"/>
        </w:rPr>
        <w:footnoteRef/>
      </w:r>
      <w:r w:rsidRPr="00984E13">
        <w:rPr>
          <w:rFonts w:ascii="Verdana" w:hAnsi="Verdana" w:cs="Arial"/>
          <w:sz w:val="16"/>
          <w:szCs w:val="16"/>
        </w:rPr>
        <w:t xml:space="preserve"> </w:t>
      </w:r>
      <w:r w:rsidRPr="00984E13">
        <w:rPr>
          <w:rFonts w:ascii="Verdana" w:hAnsi="Verdana" w:cs="Arial"/>
          <w:spacing w:val="-1"/>
          <w:sz w:val="16"/>
          <w:szCs w:val="16"/>
        </w:rPr>
        <w:t>CONSEJO</w:t>
      </w:r>
      <w:r w:rsidRPr="00984E13">
        <w:rPr>
          <w:rFonts w:ascii="Verdana" w:hAnsi="Verdana" w:cs="Arial"/>
          <w:spacing w:val="-13"/>
          <w:sz w:val="16"/>
          <w:szCs w:val="16"/>
        </w:rPr>
        <w:t xml:space="preserve"> </w:t>
      </w:r>
      <w:r w:rsidRPr="00984E13">
        <w:rPr>
          <w:rFonts w:ascii="Verdana" w:hAnsi="Verdana" w:cs="Arial"/>
          <w:spacing w:val="-1"/>
          <w:sz w:val="16"/>
          <w:szCs w:val="16"/>
        </w:rPr>
        <w:t>DE</w:t>
      </w:r>
      <w:r w:rsidRPr="00984E13">
        <w:rPr>
          <w:rFonts w:ascii="Verdana" w:hAnsi="Verdana" w:cs="Arial"/>
          <w:spacing w:val="-13"/>
          <w:sz w:val="16"/>
          <w:szCs w:val="16"/>
        </w:rPr>
        <w:t xml:space="preserve"> </w:t>
      </w:r>
      <w:r w:rsidRPr="00984E13">
        <w:rPr>
          <w:rFonts w:ascii="Verdana" w:hAnsi="Verdana" w:cs="Arial"/>
          <w:spacing w:val="-1"/>
          <w:sz w:val="16"/>
          <w:szCs w:val="16"/>
        </w:rPr>
        <w:t>ESTADO.</w:t>
      </w:r>
      <w:r w:rsidRPr="00984E13">
        <w:rPr>
          <w:rFonts w:ascii="Verdana" w:hAnsi="Verdana" w:cs="Arial"/>
          <w:spacing w:val="-12"/>
          <w:sz w:val="16"/>
          <w:szCs w:val="16"/>
        </w:rPr>
        <w:t xml:space="preserve"> </w:t>
      </w:r>
      <w:r w:rsidRPr="00984E13">
        <w:rPr>
          <w:rFonts w:ascii="Verdana" w:hAnsi="Verdana" w:cs="Arial"/>
          <w:spacing w:val="-1"/>
          <w:sz w:val="16"/>
          <w:szCs w:val="16"/>
        </w:rPr>
        <w:t>Sección</w:t>
      </w:r>
      <w:r w:rsidRPr="00984E13">
        <w:rPr>
          <w:rFonts w:ascii="Verdana" w:hAnsi="Verdana" w:cs="Arial"/>
          <w:spacing w:val="-11"/>
          <w:sz w:val="16"/>
          <w:szCs w:val="16"/>
        </w:rPr>
        <w:t xml:space="preserve"> </w:t>
      </w:r>
      <w:r w:rsidRPr="00984E13">
        <w:rPr>
          <w:rFonts w:ascii="Verdana" w:hAnsi="Verdana" w:cs="Arial"/>
          <w:sz w:val="16"/>
          <w:szCs w:val="16"/>
        </w:rPr>
        <w:t>Tercera.</w:t>
      </w:r>
      <w:r w:rsidRPr="00984E13">
        <w:rPr>
          <w:rFonts w:ascii="Verdana" w:hAnsi="Verdana" w:cs="Arial"/>
          <w:spacing w:val="-12"/>
          <w:sz w:val="16"/>
          <w:szCs w:val="16"/>
        </w:rPr>
        <w:t xml:space="preserve"> </w:t>
      </w:r>
      <w:r w:rsidRPr="00984E13">
        <w:rPr>
          <w:rFonts w:ascii="Verdana" w:hAnsi="Verdana" w:cs="Arial"/>
          <w:sz w:val="16"/>
          <w:szCs w:val="16"/>
        </w:rPr>
        <w:t>Sentencia</w:t>
      </w:r>
      <w:r w:rsidRPr="00984E13">
        <w:rPr>
          <w:rFonts w:ascii="Verdana" w:hAnsi="Verdana" w:cs="Arial"/>
          <w:spacing w:val="-12"/>
          <w:sz w:val="16"/>
          <w:szCs w:val="16"/>
        </w:rPr>
        <w:t xml:space="preserve"> </w:t>
      </w:r>
      <w:r w:rsidRPr="00984E13">
        <w:rPr>
          <w:rFonts w:ascii="Verdana" w:hAnsi="Verdana" w:cs="Arial"/>
          <w:sz w:val="16"/>
          <w:szCs w:val="16"/>
        </w:rPr>
        <w:t>del</w:t>
      </w:r>
      <w:r w:rsidRPr="00984E13">
        <w:rPr>
          <w:rFonts w:ascii="Verdana" w:hAnsi="Verdana" w:cs="Arial"/>
          <w:spacing w:val="-11"/>
          <w:sz w:val="16"/>
          <w:szCs w:val="16"/>
        </w:rPr>
        <w:t xml:space="preserve"> </w:t>
      </w:r>
      <w:r w:rsidRPr="00984E13">
        <w:rPr>
          <w:rFonts w:ascii="Verdana" w:hAnsi="Verdana" w:cs="Arial"/>
          <w:sz w:val="16"/>
          <w:szCs w:val="16"/>
        </w:rPr>
        <w:t>27</w:t>
      </w:r>
      <w:r w:rsidRPr="00984E13">
        <w:rPr>
          <w:rFonts w:ascii="Verdana" w:hAnsi="Verdana" w:cs="Arial"/>
          <w:spacing w:val="-14"/>
          <w:sz w:val="16"/>
          <w:szCs w:val="16"/>
        </w:rPr>
        <w:t xml:space="preserve"> </w:t>
      </w:r>
      <w:r w:rsidRPr="00984E13">
        <w:rPr>
          <w:rFonts w:ascii="Verdana" w:hAnsi="Verdana" w:cs="Arial"/>
          <w:sz w:val="16"/>
          <w:szCs w:val="16"/>
        </w:rPr>
        <w:t>de</w:t>
      </w:r>
      <w:r w:rsidRPr="00984E13">
        <w:rPr>
          <w:rFonts w:ascii="Verdana" w:hAnsi="Verdana" w:cs="Arial"/>
          <w:spacing w:val="-12"/>
          <w:sz w:val="16"/>
          <w:szCs w:val="16"/>
        </w:rPr>
        <w:t xml:space="preserve"> </w:t>
      </w:r>
      <w:r w:rsidRPr="00984E13">
        <w:rPr>
          <w:rFonts w:ascii="Verdana" w:hAnsi="Verdana" w:cs="Arial"/>
          <w:sz w:val="16"/>
          <w:szCs w:val="16"/>
        </w:rPr>
        <w:t>noviembre</w:t>
      </w:r>
      <w:r w:rsidRPr="00984E13">
        <w:rPr>
          <w:rFonts w:ascii="Verdana" w:hAnsi="Verdana" w:cs="Arial"/>
          <w:spacing w:val="-12"/>
          <w:sz w:val="16"/>
          <w:szCs w:val="16"/>
        </w:rPr>
        <w:t xml:space="preserve"> </w:t>
      </w:r>
      <w:r w:rsidRPr="00984E13">
        <w:rPr>
          <w:rFonts w:ascii="Verdana" w:hAnsi="Verdana" w:cs="Arial"/>
          <w:sz w:val="16"/>
          <w:szCs w:val="16"/>
        </w:rPr>
        <w:t>de</w:t>
      </w:r>
      <w:r w:rsidRPr="00984E13">
        <w:rPr>
          <w:rFonts w:ascii="Verdana" w:hAnsi="Verdana" w:cs="Arial"/>
          <w:spacing w:val="-12"/>
          <w:sz w:val="16"/>
          <w:szCs w:val="16"/>
        </w:rPr>
        <w:t xml:space="preserve"> </w:t>
      </w:r>
      <w:r w:rsidRPr="00984E13">
        <w:rPr>
          <w:rFonts w:ascii="Verdana" w:hAnsi="Verdana" w:cs="Arial"/>
          <w:sz w:val="16"/>
          <w:szCs w:val="16"/>
        </w:rPr>
        <w:t>2017.</w:t>
      </w:r>
      <w:r w:rsidRPr="00984E13">
        <w:rPr>
          <w:rFonts w:ascii="Verdana" w:hAnsi="Verdana" w:cs="Arial"/>
          <w:spacing w:val="-8"/>
          <w:sz w:val="16"/>
          <w:szCs w:val="16"/>
        </w:rPr>
        <w:t xml:space="preserve"> </w:t>
      </w:r>
      <w:r w:rsidRPr="00984E13">
        <w:rPr>
          <w:rFonts w:ascii="Verdana" w:hAnsi="Verdana" w:cs="Arial"/>
          <w:sz w:val="16"/>
          <w:szCs w:val="16"/>
        </w:rPr>
        <w:t>Exp.</w:t>
      </w:r>
      <w:r w:rsidRPr="00984E13">
        <w:rPr>
          <w:rFonts w:ascii="Verdana" w:hAnsi="Verdana" w:cs="Arial"/>
          <w:spacing w:val="-12"/>
          <w:sz w:val="16"/>
          <w:szCs w:val="16"/>
        </w:rPr>
        <w:t xml:space="preserve"> </w:t>
      </w:r>
      <w:r w:rsidRPr="00984E13">
        <w:rPr>
          <w:rFonts w:ascii="Verdana" w:hAnsi="Verdana" w:cs="Arial"/>
          <w:sz w:val="16"/>
          <w:szCs w:val="16"/>
        </w:rPr>
        <w:t>51.802.</w:t>
      </w:r>
      <w:r w:rsidRPr="00984E13">
        <w:rPr>
          <w:rFonts w:ascii="Verdana" w:hAnsi="Verdana" w:cs="Arial"/>
          <w:spacing w:val="-9"/>
          <w:sz w:val="16"/>
          <w:szCs w:val="16"/>
        </w:rPr>
        <w:t xml:space="preserve"> </w:t>
      </w:r>
      <w:r w:rsidRPr="00984E13">
        <w:rPr>
          <w:rFonts w:ascii="Verdana" w:hAnsi="Verdana" w:cs="Arial"/>
          <w:sz w:val="16"/>
          <w:szCs w:val="16"/>
        </w:rPr>
        <w:t>M.P.</w:t>
      </w:r>
      <w:r w:rsidRPr="00984E13">
        <w:rPr>
          <w:rFonts w:ascii="Verdana" w:hAnsi="Verdana" w:cs="Arial"/>
          <w:spacing w:val="-12"/>
          <w:sz w:val="16"/>
          <w:szCs w:val="16"/>
        </w:rPr>
        <w:t xml:space="preserve"> </w:t>
      </w:r>
      <w:r w:rsidRPr="00984E13">
        <w:rPr>
          <w:rFonts w:ascii="Verdana" w:hAnsi="Verdana" w:cs="Arial"/>
          <w:sz w:val="16"/>
          <w:szCs w:val="16"/>
        </w:rPr>
        <w:t>Jaime</w:t>
      </w:r>
      <w:r w:rsidRPr="00984E13">
        <w:rPr>
          <w:rFonts w:ascii="Verdana" w:hAnsi="Verdana" w:cs="Arial"/>
          <w:spacing w:val="-47"/>
          <w:sz w:val="16"/>
          <w:szCs w:val="16"/>
        </w:rPr>
        <w:t xml:space="preserve"> </w:t>
      </w:r>
      <w:r w:rsidRPr="00984E13">
        <w:rPr>
          <w:rFonts w:ascii="Verdana" w:hAnsi="Verdana" w:cs="Arial"/>
          <w:sz w:val="16"/>
          <w:szCs w:val="16"/>
        </w:rPr>
        <w:t>Orlando</w:t>
      </w:r>
      <w:r w:rsidRPr="00984E13">
        <w:rPr>
          <w:rFonts w:ascii="Verdana" w:hAnsi="Verdana" w:cs="Arial"/>
          <w:spacing w:val="-1"/>
          <w:sz w:val="16"/>
          <w:szCs w:val="16"/>
        </w:rPr>
        <w:t xml:space="preserve"> </w:t>
      </w:r>
      <w:r w:rsidRPr="00984E13">
        <w:rPr>
          <w:rFonts w:ascii="Verdana" w:hAnsi="Verdana" w:cs="Arial"/>
          <w:sz w:val="16"/>
          <w:szCs w:val="16"/>
        </w:rPr>
        <w:t>Santofimio.</w:t>
      </w:r>
    </w:p>
  </w:footnote>
  <w:footnote w:id="6">
    <w:p w14:paraId="28F7770C" w14:textId="77777777" w:rsidR="00B17B4C" w:rsidRPr="005B17BB" w:rsidRDefault="00B17B4C" w:rsidP="00B17B4C">
      <w:pPr>
        <w:pStyle w:val="Textonotapie"/>
        <w:ind w:firstLine="708"/>
        <w:rPr>
          <w:rFonts w:ascii="Verdana" w:hAnsi="Verdana" w:cs="Arial"/>
          <w:color w:val="1A1A1A" w:themeColor="background1" w:themeShade="1A"/>
          <w:sz w:val="16"/>
          <w:szCs w:val="16"/>
        </w:rPr>
      </w:pPr>
      <w:r w:rsidRPr="005B17BB">
        <w:rPr>
          <w:rStyle w:val="Refdenotaalpie"/>
          <w:rFonts w:ascii="Verdana" w:hAnsi="Verdana" w:cs="Arial"/>
          <w:color w:val="1A1A1A" w:themeColor="background1" w:themeShade="1A"/>
          <w:sz w:val="16"/>
          <w:szCs w:val="16"/>
        </w:rPr>
        <w:footnoteRef/>
      </w:r>
      <w:r w:rsidRPr="005B17BB">
        <w:rPr>
          <w:rFonts w:ascii="Verdana" w:hAnsi="Verdana" w:cs="Arial"/>
          <w:color w:val="1A1A1A" w:themeColor="background1" w:themeShade="1A"/>
          <w:sz w:val="16"/>
          <w:szCs w:val="16"/>
        </w:rPr>
        <w:t xml:space="preserve"> </w:t>
      </w:r>
      <w:r>
        <w:rPr>
          <w:rFonts w:ascii="Verdana" w:hAnsi="Verdana" w:cs="Arial"/>
          <w:color w:val="1A1A1A" w:themeColor="background1" w:themeShade="1A"/>
          <w:sz w:val="16"/>
          <w:szCs w:val="16"/>
        </w:rPr>
        <w:t>“</w:t>
      </w:r>
      <w:r w:rsidRPr="005B17BB">
        <w:rPr>
          <w:rFonts w:ascii="Verdana" w:hAnsi="Verdana" w:cs="Arial"/>
          <w:color w:val="1A1A1A" w:themeColor="background1" w:themeShade="1A"/>
          <w:sz w:val="16"/>
          <w:szCs w:val="16"/>
        </w:rPr>
        <w:t>Son también contratos de consultoría los que tienen por objeto la interventoría […]</w:t>
      </w:r>
      <w:r>
        <w:rPr>
          <w:rFonts w:ascii="Verdana" w:hAnsi="Verdana" w:cs="Arial"/>
          <w:color w:val="1A1A1A" w:themeColor="background1" w:themeShade="1A"/>
          <w:sz w:val="16"/>
          <w:szCs w:val="16"/>
        </w:rPr>
        <w:t>”</w:t>
      </w:r>
    </w:p>
  </w:footnote>
  <w:footnote w:id="7">
    <w:p w14:paraId="389ED761" w14:textId="77777777" w:rsidR="00B17B4C" w:rsidRPr="00564230" w:rsidRDefault="00B17B4C" w:rsidP="00B17B4C">
      <w:pPr>
        <w:pStyle w:val="Textonotapie"/>
        <w:ind w:firstLine="708"/>
        <w:jc w:val="both"/>
        <w:rPr>
          <w:rFonts w:ascii="Verdana" w:hAnsi="Verdana"/>
          <w:sz w:val="16"/>
          <w:szCs w:val="16"/>
          <w:lang w:val="es-CO"/>
        </w:rPr>
      </w:pPr>
      <w:r w:rsidRPr="00564230">
        <w:rPr>
          <w:rStyle w:val="Refdenotaalpie"/>
          <w:rFonts w:ascii="Verdana" w:hAnsi="Verdana"/>
          <w:sz w:val="16"/>
          <w:szCs w:val="16"/>
        </w:rPr>
        <w:footnoteRef/>
      </w:r>
      <w:r w:rsidRPr="00564230">
        <w:rPr>
          <w:rFonts w:ascii="Verdana" w:hAnsi="Verdana"/>
          <w:sz w:val="16"/>
          <w:szCs w:val="16"/>
        </w:rPr>
        <w:t xml:space="preserve"> RINCÓN CÓRDOBA</w:t>
      </w:r>
      <w:r>
        <w:rPr>
          <w:rFonts w:ascii="Verdana" w:hAnsi="Verdana"/>
          <w:sz w:val="16"/>
          <w:szCs w:val="16"/>
        </w:rPr>
        <w:t xml:space="preserve">, Jorge Iván. </w:t>
      </w:r>
      <w:r w:rsidRPr="00564230">
        <w:rPr>
          <w:rFonts w:ascii="Verdana" w:hAnsi="Verdana"/>
          <w:sz w:val="16"/>
          <w:szCs w:val="16"/>
        </w:rPr>
        <w:t>La interventoría y supervisión: los presupuestos en los que se desarrolla la función administrativa de vigilancia de la ejecución contractual</w:t>
      </w:r>
      <w:r>
        <w:rPr>
          <w:rFonts w:ascii="Verdana" w:hAnsi="Verdana"/>
          <w:sz w:val="16"/>
          <w:szCs w:val="16"/>
        </w:rPr>
        <w:t xml:space="preserve">. En: </w:t>
      </w:r>
      <w:r w:rsidRPr="00564230">
        <w:rPr>
          <w:rFonts w:ascii="Verdana" w:hAnsi="Verdana"/>
          <w:sz w:val="16"/>
          <w:szCs w:val="16"/>
        </w:rPr>
        <w:t>Contratos públicos: problemas, perspectivas y prospectivas</w:t>
      </w:r>
      <w:r>
        <w:rPr>
          <w:rFonts w:ascii="Verdana" w:hAnsi="Verdana"/>
          <w:sz w:val="16"/>
          <w:szCs w:val="16"/>
        </w:rPr>
        <w:t xml:space="preserve">. Bogotá: Universidad Externado de Colombia, 2017. p. 628. </w:t>
      </w:r>
    </w:p>
  </w:footnote>
  <w:footnote w:id="8">
    <w:p w14:paraId="40B97623" w14:textId="77777777" w:rsidR="00B17B4C" w:rsidRPr="00B17B4C" w:rsidRDefault="00B17B4C" w:rsidP="00B17B4C">
      <w:pPr>
        <w:pStyle w:val="Textonotapie"/>
        <w:ind w:firstLine="708"/>
        <w:jc w:val="both"/>
        <w:rPr>
          <w:rFonts w:ascii="Verdana" w:hAnsi="Verdana"/>
          <w:sz w:val="16"/>
          <w:szCs w:val="16"/>
          <w:lang w:val="es-CO"/>
        </w:rPr>
      </w:pPr>
      <w:r w:rsidRPr="00564230">
        <w:rPr>
          <w:rStyle w:val="Refdenotaalpie"/>
          <w:rFonts w:ascii="Verdana" w:hAnsi="Verdana"/>
          <w:sz w:val="16"/>
          <w:szCs w:val="16"/>
        </w:rPr>
        <w:footnoteRef/>
      </w:r>
      <w:r w:rsidRPr="00564230">
        <w:rPr>
          <w:rFonts w:ascii="Verdana" w:hAnsi="Verdana"/>
          <w:sz w:val="16"/>
          <w:szCs w:val="16"/>
        </w:rPr>
        <w:t xml:space="preserve"> </w:t>
      </w:r>
      <w:r w:rsidRPr="00564230">
        <w:rPr>
          <w:rFonts w:ascii="Verdana" w:hAnsi="Verdana"/>
          <w:i/>
          <w:iCs/>
          <w:sz w:val="16"/>
          <w:szCs w:val="16"/>
        </w:rPr>
        <w:t>Ibidem</w:t>
      </w:r>
      <w:r>
        <w:rPr>
          <w:rFonts w:ascii="Verdana" w:hAnsi="Verdana"/>
          <w:sz w:val="16"/>
          <w:szCs w:val="16"/>
        </w:rPr>
        <w:t>, p. 629.</w:t>
      </w:r>
    </w:p>
  </w:footnote>
  <w:footnote w:id="9">
    <w:p w14:paraId="25F5E4A6" w14:textId="67DAEE25" w:rsidR="00B17B4C" w:rsidRPr="00B17B4C" w:rsidRDefault="00B17B4C" w:rsidP="00B17B4C">
      <w:pPr>
        <w:pStyle w:val="Textonotapie"/>
        <w:ind w:firstLine="708"/>
        <w:jc w:val="both"/>
        <w:rPr>
          <w:rFonts w:ascii="Verdana" w:hAnsi="Verdana"/>
          <w:sz w:val="16"/>
          <w:szCs w:val="16"/>
          <w:lang w:val="es-CO"/>
        </w:rPr>
      </w:pPr>
      <w:r w:rsidRPr="004D03FA">
        <w:rPr>
          <w:rStyle w:val="Refdenotaalpie"/>
          <w:rFonts w:ascii="Verdana" w:hAnsi="Verdana"/>
          <w:sz w:val="16"/>
          <w:szCs w:val="16"/>
        </w:rPr>
        <w:footnoteRef/>
      </w:r>
      <w:r w:rsidRPr="004D03FA">
        <w:rPr>
          <w:rFonts w:ascii="Verdana" w:hAnsi="Verdana"/>
          <w:sz w:val="16"/>
          <w:szCs w:val="16"/>
        </w:rPr>
        <w:t xml:space="preserve"> SUÁREZ BELTRÁN</w:t>
      </w:r>
      <w:r>
        <w:rPr>
          <w:rFonts w:ascii="Verdana" w:hAnsi="Verdana"/>
          <w:sz w:val="16"/>
          <w:szCs w:val="16"/>
        </w:rPr>
        <w:t xml:space="preserve">, </w:t>
      </w:r>
      <w:r w:rsidRPr="004D03FA">
        <w:rPr>
          <w:rFonts w:ascii="Verdana" w:hAnsi="Verdana"/>
          <w:sz w:val="16"/>
          <w:szCs w:val="16"/>
        </w:rPr>
        <w:t>Gonzalo</w:t>
      </w:r>
      <w:r>
        <w:rPr>
          <w:rFonts w:ascii="Verdana" w:hAnsi="Verdana"/>
          <w:sz w:val="16"/>
          <w:szCs w:val="16"/>
        </w:rPr>
        <w:t xml:space="preserve">. </w:t>
      </w:r>
      <w:r w:rsidRPr="004D03FA">
        <w:rPr>
          <w:rFonts w:ascii="Verdana" w:hAnsi="Verdana"/>
          <w:sz w:val="16"/>
          <w:szCs w:val="16"/>
        </w:rPr>
        <w:t>Estudios de derecho contractual público</w:t>
      </w:r>
      <w:r>
        <w:rPr>
          <w:rFonts w:ascii="Verdana" w:hAnsi="Verdana"/>
          <w:sz w:val="16"/>
          <w:szCs w:val="16"/>
        </w:rPr>
        <w:t xml:space="preserve">. Bogotá: </w:t>
      </w:r>
      <w:r w:rsidR="008634BD" w:rsidRPr="008634BD">
        <w:rPr>
          <w:rFonts w:ascii="Verdana" w:hAnsi="Verdana"/>
          <w:sz w:val="16"/>
          <w:szCs w:val="16"/>
          <w:lang w:val="es-CO"/>
        </w:rPr>
        <w:t>Pontificia Universidad Javeriana</w:t>
      </w:r>
      <w:r>
        <w:rPr>
          <w:rFonts w:ascii="Verdana" w:hAnsi="Verdana"/>
          <w:sz w:val="16"/>
          <w:szCs w:val="16"/>
        </w:rPr>
        <w:t xml:space="preserve"> – Legis, 2014. p. 259.</w:t>
      </w:r>
    </w:p>
  </w:footnote>
  <w:footnote w:id="10">
    <w:p w14:paraId="6551762A" w14:textId="77777777" w:rsidR="00B17B4C" w:rsidRPr="00B17B4C" w:rsidRDefault="00B17B4C" w:rsidP="00B17B4C">
      <w:pPr>
        <w:pStyle w:val="Textonotapie"/>
        <w:ind w:firstLine="708"/>
        <w:jc w:val="both"/>
        <w:rPr>
          <w:rFonts w:ascii="Verdana" w:hAnsi="Verdana"/>
          <w:sz w:val="16"/>
          <w:szCs w:val="16"/>
          <w:lang w:val="es-CO"/>
        </w:rPr>
      </w:pPr>
      <w:r w:rsidRPr="004D03FA">
        <w:rPr>
          <w:rStyle w:val="Refdenotaalpie"/>
          <w:rFonts w:ascii="Verdana" w:hAnsi="Verdana"/>
          <w:sz w:val="16"/>
          <w:szCs w:val="16"/>
        </w:rPr>
        <w:footnoteRef/>
      </w:r>
      <w:r w:rsidRPr="004D03FA">
        <w:rPr>
          <w:rFonts w:ascii="Verdana" w:hAnsi="Verdana"/>
          <w:sz w:val="16"/>
          <w:szCs w:val="16"/>
        </w:rPr>
        <w:t xml:space="preserve"> </w:t>
      </w:r>
      <w:r w:rsidRPr="004D03FA">
        <w:rPr>
          <w:rFonts w:ascii="Verdana" w:hAnsi="Verdana"/>
          <w:i/>
          <w:iCs/>
          <w:sz w:val="16"/>
          <w:szCs w:val="16"/>
        </w:rPr>
        <w:t>Ibidem</w:t>
      </w:r>
      <w:r>
        <w:rPr>
          <w:rFonts w:ascii="Verdana" w:hAnsi="Verdana"/>
          <w:sz w:val="16"/>
          <w:szCs w:val="16"/>
        </w:rPr>
        <w:t>.</w:t>
      </w:r>
    </w:p>
  </w:footnote>
  <w:footnote w:id="11">
    <w:p w14:paraId="012F1C80" w14:textId="54EEFDD2" w:rsidR="00B17B4C" w:rsidRPr="002403B8" w:rsidRDefault="00B17B4C" w:rsidP="00B17B4C">
      <w:pPr>
        <w:pStyle w:val="Textonotapie"/>
        <w:ind w:firstLine="708"/>
        <w:jc w:val="both"/>
        <w:rPr>
          <w:rFonts w:ascii="Verdana" w:hAnsi="Verdana"/>
          <w:sz w:val="16"/>
          <w:szCs w:val="16"/>
          <w:lang w:val="es-CO"/>
        </w:rPr>
      </w:pPr>
      <w:r w:rsidRPr="002403B8">
        <w:rPr>
          <w:rStyle w:val="Refdenotaalpie"/>
          <w:rFonts w:ascii="Verdana" w:hAnsi="Verdana"/>
          <w:sz w:val="16"/>
          <w:szCs w:val="16"/>
        </w:rPr>
        <w:footnoteRef/>
      </w:r>
      <w:r w:rsidRPr="002403B8">
        <w:rPr>
          <w:rFonts w:ascii="Verdana" w:hAnsi="Verdana"/>
          <w:sz w:val="16"/>
          <w:szCs w:val="16"/>
        </w:rPr>
        <w:t xml:space="preserve"> </w:t>
      </w:r>
      <w:r>
        <w:rPr>
          <w:rFonts w:ascii="Verdana" w:hAnsi="Verdana"/>
          <w:sz w:val="16"/>
          <w:szCs w:val="16"/>
        </w:rPr>
        <w:t>POTHIER, Robert J. Tra</w:t>
      </w:r>
      <w:r w:rsidR="00E3678A">
        <w:rPr>
          <w:rFonts w:ascii="Verdana" w:hAnsi="Verdana"/>
          <w:sz w:val="16"/>
          <w:szCs w:val="16"/>
        </w:rPr>
        <w:t>t</w:t>
      </w:r>
      <w:r>
        <w:rPr>
          <w:rFonts w:ascii="Verdana" w:hAnsi="Verdana"/>
          <w:sz w:val="16"/>
          <w:szCs w:val="16"/>
        </w:rPr>
        <w:t>ado de las obligaciones. Santiago: Ediciones Olejnik, 2020. p. 259.</w:t>
      </w:r>
    </w:p>
  </w:footnote>
  <w:footnote w:id="12">
    <w:p w14:paraId="07651BEB" w14:textId="6F8C4F35" w:rsidR="00B17B4C" w:rsidRPr="00265D11" w:rsidRDefault="00B17B4C" w:rsidP="00B17B4C">
      <w:pPr>
        <w:pStyle w:val="Textonotapie"/>
        <w:ind w:firstLine="708"/>
        <w:jc w:val="both"/>
        <w:rPr>
          <w:rFonts w:ascii="Verdana" w:hAnsi="Verdana"/>
          <w:sz w:val="16"/>
          <w:szCs w:val="16"/>
          <w:lang w:val="es-CO"/>
        </w:rPr>
      </w:pPr>
      <w:r w:rsidRPr="00095224">
        <w:rPr>
          <w:rStyle w:val="Refdenotaalpie"/>
          <w:rFonts w:ascii="Verdana" w:hAnsi="Verdana"/>
          <w:sz w:val="16"/>
          <w:szCs w:val="16"/>
        </w:rPr>
        <w:footnoteRef/>
      </w:r>
      <w:r w:rsidRPr="00095224">
        <w:rPr>
          <w:rFonts w:ascii="Verdana" w:hAnsi="Verdana"/>
          <w:sz w:val="16"/>
          <w:szCs w:val="16"/>
        </w:rPr>
        <w:t xml:space="preserve"> AYLLÓN SANTIAGO</w:t>
      </w:r>
      <w:r>
        <w:rPr>
          <w:rFonts w:ascii="Verdana" w:hAnsi="Verdana"/>
          <w:sz w:val="16"/>
          <w:szCs w:val="16"/>
        </w:rPr>
        <w:t xml:space="preserve">, </w:t>
      </w:r>
      <w:r w:rsidRPr="00095224">
        <w:rPr>
          <w:rFonts w:ascii="Verdana" w:hAnsi="Verdana"/>
          <w:sz w:val="16"/>
          <w:szCs w:val="16"/>
        </w:rPr>
        <w:t>Héctor Sergio</w:t>
      </w:r>
      <w:r>
        <w:rPr>
          <w:rFonts w:ascii="Verdana" w:hAnsi="Verdana"/>
          <w:sz w:val="16"/>
          <w:szCs w:val="16"/>
        </w:rPr>
        <w:t xml:space="preserve">. Cumplimiento. En: Cumplimiento e incumplimiento del contrato. Madrid: Editorial Centro de Estudios Ramón Areces SA – Consejo General de Notariado, 2018. p. 59. </w:t>
      </w:r>
    </w:p>
  </w:footnote>
  <w:footnote w:id="13">
    <w:p w14:paraId="4CECA970" w14:textId="77777777" w:rsidR="00B17B4C" w:rsidRPr="00F75EED" w:rsidRDefault="00B17B4C" w:rsidP="00B17B4C">
      <w:pPr>
        <w:pStyle w:val="Textonotapie"/>
        <w:ind w:firstLine="708"/>
        <w:jc w:val="both"/>
        <w:rPr>
          <w:rFonts w:ascii="Verdana" w:hAnsi="Verdana"/>
          <w:sz w:val="16"/>
          <w:szCs w:val="16"/>
        </w:rPr>
      </w:pPr>
      <w:r w:rsidRPr="001A6CC4">
        <w:rPr>
          <w:rStyle w:val="Refdenotaalpie"/>
          <w:rFonts w:ascii="Verdana" w:hAnsi="Verdana"/>
          <w:sz w:val="16"/>
          <w:szCs w:val="16"/>
        </w:rPr>
        <w:footnoteRef/>
      </w:r>
      <w:r w:rsidRPr="001A6CC4">
        <w:rPr>
          <w:rFonts w:ascii="Verdana" w:hAnsi="Verdana"/>
          <w:sz w:val="16"/>
          <w:szCs w:val="16"/>
        </w:rPr>
        <w:t xml:space="preserve"> </w:t>
      </w:r>
      <w:r>
        <w:rPr>
          <w:rFonts w:ascii="Verdana" w:hAnsi="Verdana"/>
          <w:sz w:val="16"/>
          <w:szCs w:val="16"/>
        </w:rPr>
        <w:t xml:space="preserve">Cfr. FUEYO LANERI, Fernando. Cumplimiento e incumplimiento de las obligaciones. Tercera edición. Santiago: Editorial Jurídica de Chile, 2015. pp. 129-130. En el mismo sentido, </w:t>
      </w:r>
      <w:r w:rsidRPr="0015351F">
        <w:rPr>
          <w:rFonts w:ascii="Verdana" w:hAnsi="Verdana"/>
          <w:sz w:val="16"/>
          <w:szCs w:val="16"/>
        </w:rPr>
        <w:t>SCHIELE MANZOR</w:t>
      </w:r>
      <w:r>
        <w:rPr>
          <w:rFonts w:ascii="Verdana" w:hAnsi="Verdana"/>
          <w:sz w:val="16"/>
          <w:szCs w:val="16"/>
        </w:rPr>
        <w:t xml:space="preserve">, Carolina &amp; </w:t>
      </w:r>
      <w:r w:rsidRPr="0015351F">
        <w:rPr>
          <w:rFonts w:ascii="Verdana" w:hAnsi="Verdana"/>
          <w:sz w:val="16"/>
          <w:szCs w:val="16"/>
        </w:rPr>
        <w:t>GARCÍA SWANECK</w:t>
      </w:r>
      <w:r>
        <w:rPr>
          <w:rFonts w:ascii="Verdana" w:hAnsi="Verdana"/>
          <w:sz w:val="16"/>
          <w:szCs w:val="16"/>
        </w:rPr>
        <w:t xml:space="preserve">, Natalia. Del pago efectivo en general. En: </w:t>
      </w:r>
      <w:r w:rsidRPr="00514AEA">
        <w:rPr>
          <w:rFonts w:ascii="Verdana" w:hAnsi="Verdana"/>
          <w:sz w:val="16"/>
          <w:szCs w:val="16"/>
        </w:rPr>
        <w:t xml:space="preserve">Comentario histórico-dogmático al Libro IV del Código Civil de Chile. Tomo I. Valencia: Tirant lo Blanch, 2023. </w:t>
      </w:r>
      <w:r>
        <w:rPr>
          <w:rFonts w:ascii="Verdana" w:hAnsi="Verdana"/>
          <w:sz w:val="16"/>
          <w:szCs w:val="16"/>
        </w:rPr>
        <w:t xml:space="preserve">p. 484. Para estos efectos, desde un punto de vista objetivo, “[…] </w:t>
      </w:r>
      <w:r w:rsidRPr="00F75EED">
        <w:rPr>
          <w:rFonts w:ascii="Verdana" w:hAnsi="Verdana"/>
          <w:sz w:val="16"/>
          <w:szCs w:val="16"/>
        </w:rPr>
        <w:t xml:space="preserve">el cumplimiento es defectuoso cuando no se ajusta a la </w:t>
      </w:r>
      <w:r>
        <w:rPr>
          <w:rFonts w:ascii="Verdana" w:hAnsi="Verdana"/>
          <w:sz w:val="16"/>
          <w:szCs w:val="16"/>
        </w:rPr>
        <w:t>‘</w:t>
      </w:r>
      <w:r w:rsidRPr="00F75EED">
        <w:rPr>
          <w:rFonts w:ascii="Verdana" w:hAnsi="Verdana"/>
          <w:sz w:val="16"/>
          <w:szCs w:val="16"/>
        </w:rPr>
        <w:t>tipicidad</w:t>
      </w:r>
      <w:r>
        <w:rPr>
          <w:rFonts w:ascii="Verdana" w:hAnsi="Verdana"/>
          <w:sz w:val="16"/>
          <w:szCs w:val="16"/>
        </w:rPr>
        <w:t>’</w:t>
      </w:r>
      <w:r w:rsidRPr="00F75EED">
        <w:rPr>
          <w:rFonts w:ascii="Verdana" w:hAnsi="Verdana"/>
          <w:sz w:val="16"/>
          <w:szCs w:val="16"/>
        </w:rPr>
        <w:t xml:space="preserve"> con</w:t>
      </w:r>
      <w:r>
        <w:rPr>
          <w:rFonts w:ascii="Verdana" w:hAnsi="Verdana"/>
          <w:sz w:val="16"/>
          <w:szCs w:val="16"/>
        </w:rPr>
        <w:t xml:space="preserve"> </w:t>
      </w:r>
      <w:r w:rsidRPr="00F75EED">
        <w:rPr>
          <w:rFonts w:ascii="Verdana" w:hAnsi="Verdana"/>
          <w:sz w:val="16"/>
          <w:szCs w:val="16"/>
        </w:rPr>
        <w:t>que hay que cumplir en orden al tiempo, al modo, al lugar, la</w:t>
      </w:r>
      <w:r>
        <w:rPr>
          <w:rFonts w:ascii="Verdana" w:hAnsi="Verdana"/>
          <w:sz w:val="16"/>
          <w:szCs w:val="16"/>
        </w:rPr>
        <w:t xml:space="preserve"> </w:t>
      </w:r>
      <w:r w:rsidRPr="00F75EED">
        <w:rPr>
          <w:rFonts w:ascii="Verdana" w:hAnsi="Verdana"/>
          <w:sz w:val="16"/>
          <w:szCs w:val="16"/>
        </w:rPr>
        <w:t>extensión, etcétera. Es decir, cuando no se respetan los</w:t>
      </w:r>
      <w:r>
        <w:rPr>
          <w:rFonts w:ascii="Verdana" w:hAnsi="Verdana"/>
          <w:sz w:val="16"/>
          <w:szCs w:val="16"/>
        </w:rPr>
        <w:t xml:space="preserve"> </w:t>
      </w:r>
      <w:r w:rsidRPr="00F75EED">
        <w:rPr>
          <w:rFonts w:ascii="Verdana" w:hAnsi="Verdana"/>
          <w:sz w:val="16"/>
          <w:szCs w:val="16"/>
        </w:rPr>
        <w:t>principios de identidad e integridad de la prestación</w:t>
      </w:r>
      <w:r>
        <w:rPr>
          <w:rFonts w:ascii="Verdana" w:hAnsi="Verdana"/>
          <w:sz w:val="16"/>
          <w:szCs w:val="16"/>
        </w:rPr>
        <w:t>” (</w:t>
      </w:r>
      <w:r w:rsidRPr="00693F5C">
        <w:rPr>
          <w:rFonts w:ascii="Verdana" w:hAnsi="Verdana"/>
          <w:sz w:val="16"/>
          <w:szCs w:val="16"/>
        </w:rPr>
        <w:t>IBÁÑEZ</w:t>
      </w:r>
      <w:r>
        <w:rPr>
          <w:rFonts w:ascii="Verdana" w:hAnsi="Verdana"/>
          <w:sz w:val="16"/>
          <w:szCs w:val="16"/>
        </w:rPr>
        <w:t>,</w:t>
      </w:r>
      <w:r w:rsidRPr="00693F5C">
        <w:rPr>
          <w:rFonts w:ascii="Verdana" w:hAnsi="Verdana"/>
          <w:sz w:val="16"/>
          <w:szCs w:val="16"/>
        </w:rPr>
        <w:t xml:space="preserve"> Carlos Miguel</w:t>
      </w:r>
      <w:r w:rsidRPr="00F75EED">
        <w:rPr>
          <w:rFonts w:ascii="Verdana" w:hAnsi="Verdana"/>
          <w:sz w:val="16"/>
          <w:szCs w:val="16"/>
        </w:rPr>
        <w:t>.</w:t>
      </w:r>
      <w:r>
        <w:rPr>
          <w:rFonts w:ascii="Verdana" w:hAnsi="Verdana"/>
          <w:sz w:val="16"/>
          <w:szCs w:val="16"/>
        </w:rPr>
        <w:t xml:space="preserve"> Resolución por incumplimiento. Buenos Aires: Astrea, 2006. p. 187).</w:t>
      </w:r>
    </w:p>
  </w:footnote>
  <w:footnote w:id="14">
    <w:p w14:paraId="2E2D1354" w14:textId="77777777" w:rsidR="00B17B4C" w:rsidRPr="005221C3" w:rsidRDefault="00B17B4C" w:rsidP="00B17B4C">
      <w:pPr>
        <w:pStyle w:val="Textonotapie"/>
        <w:ind w:firstLine="708"/>
        <w:jc w:val="both"/>
        <w:rPr>
          <w:rFonts w:ascii="Verdana" w:hAnsi="Verdana"/>
          <w:sz w:val="16"/>
          <w:szCs w:val="16"/>
        </w:rPr>
      </w:pPr>
      <w:r w:rsidRPr="001F403F">
        <w:rPr>
          <w:rStyle w:val="Refdenotaalpie"/>
          <w:rFonts w:ascii="Verdana" w:hAnsi="Verdana"/>
          <w:sz w:val="16"/>
          <w:szCs w:val="16"/>
        </w:rPr>
        <w:footnoteRef/>
      </w:r>
      <w:r w:rsidRPr="001F403F">
        <w:rPr>
          <w:rFonts w:ascii="Verdana" w:hAnsi="Verdana"/>
          <w:sz w:val="16"/>
          <w:szCs w:val="16"/>
        </w:rPr>
        <w:t xml:space="preserve"> </w:t>
      </w:r>
      <w:r w:rsidRPr="00561A4A">
        <w:rPr>
          <w:rFonts w:ascii="Verdana" w:hAnsi="Verdana"/>
          <w:sz w:val="16"/>
          <w:szCs w:val="16"/>
        </w:rPr>
        <w:t>CLARO SOLAR, Luis. Explicaciones de derecho civil chileno y comparado. Volumen I</w:t>
      </w:r>
      <w:r>
        <w:rPr>
          <w:rFonts w:ascii="Verdana" w:hAnsi="Verdana"/>
          <w:sz w:val="16"/>
          <w:szCs w:val="16"/>
        </w:rPr>
        <w:t>II</w:t>
      </w:r>
      <w:r w:rsidRPr="00561A4A">
        <w:rPr>
          <w:rFonts w:ascii="Verdana" w:hAnsi="Verdana"/>
          <w:sz w:val="16"/>
          <w:szCs w:val="16"/>
        </w:rPr>
        <w:t xml:space="preserve">. Tomo </w:t>
      </w:r>
      <w:r>
        <w:rPr>
          <w:rFonts w:ascii="Verdana" w:hAnsi="Verdana"/>
          <w:sz w:val="16"/>
          <w:szCs w:val="16"/>
        </w:rPr>
        <w:t>XII</w:t>
      </w:r>
      <w:r w:rsidRPr="00561A4A">
        <w:rPr>
          <w:rFonts w:ascii="Verdana" w:hAnsi="Verdana"/>
          <w:sz w:val="16"/>
          <w:szCs w:val="16"/>
        </w:rPr>
        <w:t xml:space="preserve">. Santiago: Editorial Jurídica de Chile, 2013. p. </w:t>
      </w:r>
      <w:r>
        <w:rPr>
          <w:rFonts w:ascii="Verdana" w:hAnsi="Verdana"/>
          <w:sz w:val="16"/>
          <w:szCs w:val="16"/>
        </w:rPr>
        <w:t>86</w:t>
      </w:r>
      <w:r w:rsidRPr="00561A4A">
        <w:rPr>
          <w:rFonts w:ascii="Verdana" w:hAnsi="Verdana"/>
          <w:sz w:val="16"/>
          <w:szCs w:val="16"/>
        </w:rPr>
        <w:t>.</w:t>
      </w:r>
      <w:r>
        <w:rPr>
          <w:rFonts w:ascii="Verdana" w:hAnsi="Verdana"/>
          <w:sz w:val="16"/>
          <w:szCs w:val="16"/>
        </w:rPr>
        <w:t xml:space="preserve"> Como se desprende del inciso primero del artículo 1627 del Código Civil, esta regla está tiene excepciones específicas. Por ejemplo, el inciso 2 del derogado artículo 1151 disponía que “</w:t>
      </w:r>
      <w:r w:rsidRPr="005221C3">
        <w:rPr>
          <w:rFonts w:ascii="Verdana" w:hAnsi="Verdana"/>
          <w:sz w:val="16"/>
          <w:szCs w:val="16"/>
        </w:rPr>
        <w:t>Si el modo, sin hecho o culpa del asignatario, es solamente imposible en la forma especial prescrita por el testador, podrá cumplirse en otra análoga que no altere la sustancia de la disposición, y que en este concepto sea aprobada por el juez, con citación de los interesados</w:t>
      </w:r>
      <w:r>
        <w:rPr>
          <w:rFonts w:ascii="Verdana" w:hAnsi="Verdana"/>
          <w:sz w:val="16"/>
          <w:szCs w:val="16"/>
        </w:rPr>
        <w:t>”. Por otra parte, para efectos de la ejecución del mandato en los términos del inciso segundo del artículo 2160, “</w:t>
      </w:r>
      <w:r w:rsidRPr="002A7847">
        <w:rPr>
          <w:rFonts w:ascii="Verdana" w:hAnsi="Verdana"/>
          <w:sz w:val="16"/>
          <w:szCs w:val="16"/>
        </w:rPr>
        <w:t>Se podrán</w:t>
      </w:r>
      <w:r>
        <w:rPr>
          <w:rFonts w:ascii="Verdana" w:hAnsi="Verdana"/>
          <w:sz w:val="16"/>
          <w:szCs w:val="16"/>
        </w:rPr>
        <w:t xml:space="preserve"> […]</w:t>
      </w:r>
      <w:r w:rsidRPr="002A7847">
        <w:rPr>
          <w:rFonts w:ascii="Verdana" w:hAnsi="Verdana"/>
          <w:sz w:val="16"/>
          <w:szCs w:val="16"/>
        </w:rPr>
        <w:t xml:space="preserve"> emplear medios equivalentes, si la necesidad obligare a ello, y si obtuviere completamente de ese modo el objeto del mandato</w:t>
      </w:r>
      <w:r>
        <w:rPr>
          <w:rFonts w:ascii="Verdana" w:hAnsi="Verdana"/>
          <w:sz w:val="16"/>
          <w:szCs w:val="16"/>
        </w:rPr>
        <w:t>”. Asimismo, el inciso segundo del artículo 2224 dispone que en el contrato de mutuo “</w:t>
      </w:r>
      <w:r w:rsidRPr="005221C3">
        <w:rPr>
          <w:rFonts w:ascii="Verdana" w:hAnsi="Verdana"/>
          <w:sz w:val="16"/>
          <w:szCs w:val="16"/>
        </w:rPr>
        <w:t>Podrá darse una clase de moneda por otra, aun a pesar del mutuante, siempre que las dos sumas se ajusten a la relación establecida por la ley entre las dos clases de moneda</w:t>
      </w:r>
      <w:r>
        <w:rPr>
          <w:rFonts w:ascii="Verdana" w:hAnsi="Verdana"/>
          <w:sz w:val="16"/>
          <w:szCs w:val="16"/>
        </w:rPr>
        <w:t xml:space="preserve"> […]”. E</w:t>
      </w:r>
      <w:r w:rsidRPr="005221C3">
        <w:rPr>
          <w:rFonts w:ascii="Verdana" w:hAnsi="Verdana"/>
          <w:sz w:val="16"/>
          <w:szCs w:val="16"/>
        </w:rPr>
        <w:t>stos y otros casos determinados por las leyes, establecen excepciones</w:t>
      </w:r>
      <w:r>
        <w:rPr>
          <w:rFonts w:ascii="Verdana" w:hAnsi="Verdana"/>
          <w:sz w:val="16"/>
          <w:szCs w:val="16"/>
        </w:rPr>
        <w:t xml:space="preserve"> </w:t>
      </w:r>
      <w:r w:rsidRPr="005221C3">
        <w:rPr>
          <w:rFonts w:ascii="Verdana" w:hAnsi="Verdana"/>
          <w:sz w:val="16"/>
          <w:szCs w:val="16"/>
        </w:rPr>
        <w:t xml:space="preserve">que confirman la regla general </w:t>
      </w:r>
      <w:r>
        <w:rPr>
          <w:rFonts w:ascii="Verdana" w:hAnsi="Verdana"/>
          <w:sz w:val="16"/>
          <w:szCs w:val="16"/>
        </w:rPr>
        <w:t>de</w:t>
      </w:r>
      <w:r w:rsidRPr="005221C3">
        <w:rPr>
          <w:rFonts w:ascii="Verdana" w:hAnsi="Verdana"/>
          <w:sz w:val="16"/>
          <w:szCs w:val="16"/>
        </w:rPr>
        <w:t xml:space="preserve"> observar estrictamente el tenor de</w:t>
      </w:r>
      <w:r>
        <w:rPr>
          <w:rFonts w:ascii="Verdana" w:hAnsi="Verdana"/>
          <w:sz w:val="16"/>
          <w:szCs w:val="16"/>
        </w:rPr>
        <w:t xml:space="preserve"> </w:t>
      </w:r>
      <w:r w:rsidRPr="005221C3">
        <w:rPr>
          <w:rFonts w:ascii="Verdana" w:hAnsi="Verdana"/>
          <w:sz w:val="16"/>
          <w:szCs w:val="16"/>
        </w:rPr>
        <w:t>la convención en la ejecución de las obligaciones.</w:t>
      </w:r>
      <w:r>
        <w:rPr>
          <w:rFonts w:ascii="Verdana" w:hAnsi="Verdana"/>
          <w:sz w:val="16"/>
          <w:szCs w:val="16"/>
        </w:rPr>
        <w:t xml:space="preserve">   </w:t>
      </w:r>
    </w:p>
  </w:footnote>
  <w:footnote w:id="15">
    <w:p w14:paraId="124B5363" w14:textId="77777777" w:rsidR="00B17B4C" w:rsidRPr="00B17B4C" w:rsidRDefault="00B17B4C" w:rsidP="00B17B4C">
      <w:pPr>
        <w:pStyle w:val="Textonotapie"/>
        <w:ind w:firstLine="708"/>
        <w:jc w:val="both"/>
        <w:rPr>
          <w:lang w:val="es-CO"/>
        </w:rPr>
      </w:pPr>
      <w:r>
        <w:rPr>
          <w:rStyle w:val="Refdenotaalpie"/>
        </w:rPr>
        <w:footnoteRef/>
      </w:r>
      <w:r>
        <w:t xml:space="preserve"> </w:t>
      </w:r>
      <w:r w:rsidRPr="004D03FA">
        <w:rPr>
          <w:rFonts w:ascii="Verdana" w:hAnsi="Verdana"/>
          <w:sz w:val="16"/>
          <w:szCs w:val="16"/>
        </w:rPr>
        <w:t>SUÁREZ BELTRÁN</w:t>
      </w:r>
      <w:r>
        <w:rPr>
          <w:rFonts w:ascii="Verdana" w:hAnsi="Verdana"/>
          <w:sz w:val="16"/>
          <w:szCs w:val="16"/>
        </w:rPr>
        <w:t xml:space="preserve">, </w:t>
      </w:r>
      <w:r w:rsidRPr="004D03FA">
        <w:rPr>
          <w:rFonts w:ascii="Verdana" w:hAnsi="Verdana"/>
          <w:sz w:val="16"/>
          <w:szCs w:val="16"/>
        </w:rPr>
        <w:t>Gonzalo</w:t>
      </w:r>
      <w:r>
        <w:rPr>
          <w:rFonts w:ascii="Verdana" w:hAnsi="Verdana"/>
          <w:sz w:val="16"/>
          <w:szCs w:val="16"/>
        </w:rPr>
        <w:t xml:space="preserve">. </w:t>
      </w:r>
      <w:r w:rsidRPr="004D03FA">
        <w:rPr>
          <w:rFonts w:ascii="Verdana" w:hAnsi="Verdana"/>
          <w:sz w:val="16"/>
          <w:szCs w:val="16"/>
        </w:rPr>
        <w:t>Estudios de derecho contractual público</w:t>
      </w:r>
      <w:r>
        <w:rPr>
          <w:rFonts w:ascii="Verdana" w:hAnsi="Verdana"/>
          <w:sz w:val="16"/>
          <w:szCs w:val="16"/>
        </w:rPr>
        <w:t>. Bogotá: Universidad Pontificia Javeriana – Legis, 2014. p. 259.</w:t>
      </w:r>
    </w:p>
  </w:footnote>
  <w:footnote w:id="16">
    <w:p w14:paraId="6ECAB695" w14:textId="77777777" w:rsidR="00B17B4C" w:rsidRPr="00AD6771" w:rsidRDefault="00B17B4C" w:rsidP="00B17B4C">
      <w:pPr>
        <w:pStyle w:val="Textonotapie"/>
        <w:ind w:firstLine="708"/>
        <w:contextualSpacing/>
        <w:jc w:val="both"/>
        <w:rPr>
          <w:rFonts w:ascii="Verdana" w:hAnsi="Verdana" w:cs="Arial"/>
          <w:sz w:val="16"/>
          <w:szCs w:val="16"/>
        </w:rPr>
      </w:pPr>
      <w:r w:rsidRPr="00AD6771">
        <w:rPr>
          <w:rFonts w:ascii="Verdana" w:hAnsi="Verdana"/>
          <w:sz w:val="16"/>
          <w:szCs w:val="16"/>
          <w:vertAlign w:val="superscript"/>
        </w:rPr>
        <w:footnoteRef/>
      </w:r>
      <w:r w:rsidRPr="00AD6771">
        <w:rPr>
          <w:rFonts w:ascii="Verdana" w:hAnsi="Verdana" w:cs="Arial"/>
          <w:sz w:val="16"/>
          <w:szCs w:val="16"/>
          <w:vertAlign w:val="superscript"/>
        </w:rPr>
        <w:t xml:space="preserve"> </w:t>
      </w:r>
      <w:r w:rsidRPr="00AD6771">
        <w:rPr>
          <w:rFonts w:ascii="Verdana" w:hAnsi="Verdana" w:cs="Arial"/>
          <w:sz w:val="16"/>
          <w:szCs w:val="16"/>
        </w:rPr>
        <w:t>El inciso final del numeral 5 “encargos fiduciarios y fiducia pública” del artículo 32 de la Ley 80 de 1993 señala lo siguiente: “So pena de nulidad no podrán celebrarse contratos de fiducia o subcontratos en contravención del artículo 355 de la Constitución Política. Si tal evento se diese, la entidad fideicomitente deberá repetir contra la persona, natural o jurídica, adjudicataria del respectivo contrato”.</w:t>
      </w:r>
    </w:p>
  </w:footnote>
  <w:footnote w:id="17">
    <w:p w14:paraId="71CB661D" w14:textId="77777777" w:rsidR="00B17B4C" w:rsidRPr="00AD6771" w:rsidRDefault="00B17B4C" w:rsidP="00B17B4C">
      <w:pPr>
        <w:pStyle w:val="Textonotapie"/>
        <w:ind w:firstLine="708"/>
        <w:contextualSpacing/>
        <w:jc w:val="both"/>
        <w:rPr>
          <w:rFonts w:ascii="Verdana" w:hAnsi="Verdana" w:cs="Arial"/>
          <w:sz w:val="16"/>
          <w:szCs w:val="16"/>
        </w:rPr>
      </w:pPr>
      <w:r w:rsidRPr="00AD6771">
        <w:rPr>
          <w:rFonts w:ascii="Verdana" w:hAnsi="Verdana"/>
          <w:sz w:val="16"/>
          <w:szCs w:val="16"/>
          <w:vertAlign w:val="superscript"/>
        </w:rPr>
        <w:footnoteRef/>
      </w:r>
      <w:r w:rsidRPr="00AD6771">
        <w:rPr>
          <w:rFonts w:ascii="Verdana" w:hAnsi="Verdana" w:cs="Arial"/>
          <w:sz w:val="16"/>
          <w:szCs w:val="16"/>
        </w:rPr>
        <w:t xml:space="preserve">  El literal c del numeral 4 del artículo 2 de la Ley 1150 de 2007 dispone que: “En aquellos casos en que la entidad estatal ejecutora deba subcontratar algunas de las actividades derivadas del contrato principal, no podrá ni ella ni el subcontratista, contratar o vincular a las personas naturales o jurídicas que hayan participado en la elaboración de los estudios, diseños y proyectos que tengan relación directa con el objeto del contrato principal”.</w:t>
      </w:r>
    </w:p>
  </w:footnote>
  <w:footnote w:id="18">
    <w:p w14:paraId="23196DA2" w14:textId="77777777" w:rsidR="00B17B4C" w:rsidRPr="00AD6771" w:rsidRDefault="00B17B4C" w:rsidP="00B17B4C">
      <w:pPr>
        <w:pStyle w:val="Textonotapie"/>
        <w:ind w:firstLine="708"/>
        <w:contextualSpacing/>
        <w:jc w:val="both"/>
        <w:rPr>
          <w:rFonts w:ascii="Verdana" w:hAnsi="Verdana" w:cs="Arial"/>
          <w:sz w:val="16"/>
          <w:szCs w:val="16"/>
        </w:rPr>
      </w:pPr>
      <w:r w:rsidRPr="00AD6771">
        <w:rPr>
          <w:rFonts w:ascii="Verdana" w:hAnsi="Verdana"/>
          <w:sz w:val="16"/>
          <w:szCs w:val="16"/>
          <w:vertAlign w:val="superscript"/>
        </w:rPr>
        <w:footnoteRef/>
      </w:r>
      <w:r w:rsidRPr="00AD6771">
        <w:rPr>
          <w:rFonts w:ascii="Verdana" w:hAnsi="Verdana" w:cs="Arial"/>
          <w:sz w:val="16"/>
          <w:szCs w:val="16"/>
        </w:rPr>
        <w:t xml:space="preserve"> El artículo 2.2.1.2.3.1.5 del Decreto 1082 de 2015 hace mención a la subcontratación en lo relacionado con las garantías, particularmente en los riesgos a los que se encuentran expuestas las entidades estatales, derivados de la responsabilidad extracontractual que pueda surgir por las actuaciones, hechos u omisiones de sus contratistas y subcontratistas. </w:t>
      </w:r>
    </w:p>
  </w:footnote>
  <w:footnote w:id="19">
    <w:p w14:paraId="218FA683" w14:textId="77777777" w:rsidR="00B17B4C" w:rsidRPr="00AD6771" w:rsidRDefault="00B17B4C" w:rsidP="00B17B4C">
      <w:pPr>
        <w:pStyle w:val="Textonotapie"/>
        <w:ind w:firstLine="709"/>
        <w:contextualSpacing/>
        <w:jc w:val="both"/>
        <w:rPr>
          <w:rFonts w:ascii="Verdana" w:hAnsi="Verdana" w:cs="Arial"/>
          <w:sz w:val="16"/>
          <w:szCs w:val="16"/>
        </w:rPr>
      </w:pPr>
      <w:r w:rsidRPr="00AD6771">
        <w:rPr>
          <w:rStyle w:val="Refdenotaalpie"/>
          <w:rFonts w:ascii="Verdana" w:hAnsi="Verdana"/>
          <w:sz w:val="16"/>
          <w:szCs w:val="16"/>
        </w:rPr>
        <w:footnoteRef/>
      </w:r>
      <w:r w:rsidRPr="00AD6771">
        <w:rPr>
          <w:rFonts w:ascii="Verdana" w:hAnsi="Verdana"/>
          <w:sz w:val="16"/>
          <w:szCs w:val="16"/>
        </w:rPr>
        <w:t xml:space="preserve"> </w:t>
      </w:r>
      <w:r w:rsidRPr="00AD6771">
        <w:rPr>
          <w:rFonts w:ascii="Verdana" w:hAnsi="Verdana" w:cs="Arial"/>
          <w:sz w:val="16"/>
          <w:szCs w:val="16"/>
        </w:rPr>
        <w:t>El artículo 7 del Decreto 092 de 2017 señala lo siguiente: “La contratación a la que hace referencia el presente decreto está sujeta a los principios de la contratación estatal y a las normas presupuestales aplicables. En consecuencia, las normas relativas a la publicidad son de obligatorio cumplimiento, por lo cual, la actividad contractual y los Documentos del Proceso de que trata el presente decreto deberán ser objeto de publicación en el Sistema Electrónico de Contratación Pública (SECOP). Adicionalmente, la entidad privada sin ánimo de lucro contratista deberá entregar a la Entidad Estatal, y esta publicar en el SECOP, la información relativa a los subcontratos que suscriba para desarrollar el programa o actividad de interés público previsto en el Plan Nacional o seccional de Desarrollo, incluyendo los datos referentes a la existencia y representación legal de la entidad con quien contrató y la información de pagos” (Énfasis por fuera de texto).</w:t>
      </w:r>
    </w:p>
  </w:footnote>
  <w:footnote w:id="20">
    <w:p w14:paraId="1EF3AE15" w14:textId="77777777" w:rsidR="00B17B4C" w:rsidRPr="00AD6771" w:rsidRDefault="00B17B4C" w:rsidP="00B17B4C">
      <w:pPr>
        <w:pStyle w:val="Textonotapie"/>
        <w:ind w:firstLine="708"/>
        <w:contextualSpacing/>
        <w:jc w:val="both"/>
        <w:rPr>
          <w:rFonts w:ascii="Verdana" w:hAnsi="Verdana" w:cs="Arial"/>
          <w:sz w:val="16"/>
          <w:szCs w:val="16"/>
        </w:rPr>
      </w:pPr>
      <w:r w:rsidRPr="00AD6771">
        <w:rPr>
          <w:rFonts w:ascii="Verdana" w:hAnsi="Verdana"/>
          <w:sz w:val="16"/>
          <w:szCs w:val="16"/>
          <w:vertAlign w:val="superscript"/>
        </w:rPr>
        <w:footnoteRef/>
      </w:r>
      <w:r w:rsidRPr="00AD6771">
        <w:rPr>
          <w:rFonts w:ascii="Verdana" w:hAnsi="Verdana" w:cs="Arial"/>
          <w:sz w:val="16"/>
          <w:szCs w:val="16"/>
          <w:vertAlign w:val="superscript"/>
        </w:rPr>
        <w:t xml:space="preserve"> </w:t>
      </w:r>
      <w:r w:rsidRPr="00AD6771">
        <w:rPr>
          <w:rFonts w:ascii="Verdana" w:hAnsi="Verdana" w:cs="Arial"/>
          <w:sz w:val="16"/>
          <w:szCs w:val="16"/>
        </w:rPr>
        <w:t>TRABALÓN Cristóbal. Tratado Legal de Construcción. Editorial Tébar Flores. Madrid. 2015</w:t>
      </w:r>
    </w:p>
  </w:footnote>
  <w:footnote w:id="21">
    <w:p w14:paraId="056A21D7" w14:textId="77777777" w:rsidR="00B17B4C" w:rsidRPr="00AD6771" w:rsidRDefault="00B17B4C" w:rsidP="00B17B4C">
      <w:pPr>
        <w:pStyle w:val="Textonotapie"/>
        <w:ind w:firstLine="708"/>
        <w:contextualSpacing/>
        <w:jc w:val="both"/>
        <w:rPr>
          <w:rFonts w:ascii="Verdana" w:hAnsi="Verdana" w:cs="Arial"/>
          <w:sz w:val="16"/>
          <w:szCs w:val="16"/>
        </w:rPr>
      </w:pPr>
      <w:r w:rsidRPr="00AD6771">
        <w:rPr>
          <w:rFonts w:ascii="Verdana" w:hAnsi="Verdana"/>
          <w:sz w:val="16"/>
          <w:szCs w:val="16"/>
          <w:vertAlign w:val="superscript"/>
        </w:rPr>
        <w:footnoteRef/>
      </w:r>
      <w:r w:rsidRPr="00AD6771">
        <w:rPr>
          <w:rFonts w:ascii="Verdana" w:hAnsi="Verdana" w:cs="Arial"/>
          <w:sz w:val="16"/>
          <w:szCs w:val="16"/>
          <w:vertAlign w:val="superscript"/>
        </w:rPr>
        <w:t xml:space="preserve"> </w:t>
      </w:r>
      <w:r w:rsidRPr="00462147">
        <w:rPr>
          <w:rFonts w:ascii="Verdana" w:hAnsi="Verdana" w:cs="Arial"/>
          <w:i/>
          <w:iCs/>
          <w:sz w:val="16"/>
          <w:szCs w:val="16"/>
        </w:rPr>
        <w:t>Ibidem</w:t>
      </w:r>
      <w:r>
        <w:rPr>
          <w:rFonts w:ascii="Verdana" w:hAnsi="Verdana" w:cs="Arial"/>
          <w:sz w:val="16"/>
          <w:szCs w:val="16"/>
        </w:rPr>
        <w:t>.</w:t>
      </w:r>
      <w:r w:rsidRPr="00AD6771">
        <w:rPr>
          <w:rFonts w:ascii="Verdana" w:hAnsi="Verdana" w:cs="Arial"/>
          <w:sz w:val="16"/>
          <w:szCs w:val="16"/>
        </w:rPr>
        <w:t xml:space="preserve"> </w:t>
      </w:r>
    </w:p>
  </w:footnote>
  <w:footnote w:id="22">
    <w:p w14:paraId="53A0F026" w14:textId="77777777" w:rsidR="00B17B4C" w:rsidRPr="00AD6771" w:rsidRDefault="00B17B4C" w:rsidP="00B17B4C">
      <w:pPr>
        <w:pStyle w:val="Textonotapie"/>
        <w:ind w:firstLine="708"/>
        <w:contextualSpacing/>
        <w:jc w:val="both"/>
        <w:rPr>
          <w:rFonts w:ascii="Verdana" w:hAnsi="Verdana" w:cs="Arial"/>
          <w:sz w:val="16"/>
          <w:szCs w:val="16"/>
        </w:rPr>
      </w:pPr>
      <w:r w:rsidRPr="00AD6771">
        <w:rPr>
          <w:rFonts w:ascii="Verdana" w:hAnsi="Verdana"/>
          <w:sz w:val="16"/>
          <w:szCs w:val="16"/>
          <w:vertAlign w:val="superscript"/>
        </w:rPr>
        <w:footnoteRef/>
      </w:r>
      <w:r w:rsidRPr="00AD6771">
        <w:rPr>
          <w:rFonts w:ascii="Verdana" w:hAnsi="Verdana" w:cs="Arial"/>
          <w:sz w:val="16"/>
          <w:szCs w:val="16"/>
        </w:rPr>
        <w:t xml:space="preserve"> CONSEJO DE ESTADO. Sección Tercera. Subsección C. Sentencia del 12 de agosto de 2013. Radicación número: 52001-23-31-000-1999-00985-01 (23.088) C.P</w:t>
      </w:r>
      <w:r>
        <w:rPr>
          <w:rFonts w:ascii="Verdana" w:hAnsi="Verdana" w:cs="Arial"/>
          <w:sz w:val="16"/>
          <w:szCs w:val="16"/>
        </w:rPr>
        <w:t>.</w:t>
      </w:r>
      <w:r w:rsidRPr="00AD6771">
        <w:rPr>
          <w:rFonts w:ascii="Verdana" w:hAnsi="Verdana" w:cs="Arial"/>
          <w:sz w:val="16"/>
          <w:szCs w:val="16"/>
        </w:rPr>
        <w:t xml:space="preserve"> Enrique Gil Botero. </w:t>
      </w:r>
    </w:p>
  </w:footnote>
  <w:footnote w:id="23">
    <w:p w14:paraId="6029C0BD" w14:textId="77777777" w:rsidR="00B17B4C" w:rsidRPr="00B45BF6" w:rsidRDefault="00B17B4C" w:rsidP="00B17B4C">
      <w:pPr>
        <w:pStyle w:val="Textonotapie"/>
        <w:ind w:firstLine="708"/>
        <w:jc w:val="both"/>
        <w:rPr>
          <w:rFonts w:ascii="Verdana" w:hAnsi="Verdana"/>
          <w:sz w:val="16"/>
          <w:szCs w:val="16"/>
          <w:lang w:val="es-CO"/>
        </w:rPr>
      </w:pPr>
      <w:r w:rsidRPr="00B45BF6">
        <w:rPr>
          <w:rStyle w:val="Refdenotaalpie"/>
          <w:rFonts w:ascii="Verdana" w:hAnsi="Verdana"/>
          <w:sz w:val="16"/>
          <w:szCs w:val="16"/>
        </w:rPr>
        <w:footnoteRef/>
      </w:r>
      <w:r w:rsidRPr="00B45BF6">
        <w:rPr>
          <w:rFonts w:ascii="Verdana" w:hAnsi="Verdana"/>
          <w:sz w:val="16"/>
          <w:szCs w:val="16"/>
        </w:rPr>
        <w:t xml:space="preserve"> </w:t>
      </w:r>
      <w:r w:rsidRPr="00AD6771">
        <w:rPr>
          <w:rFonts w:ascii="Verdana" w:hAnsi="Verdana" w:cs="Arial"/>
          <w:sz w:val="16"/>
          <w:szCs w:val="16"/>
        </w:rPr>
        <w:t xml:space="preserve">RAMÍREZ GRISALES, Richard Steve. La Subcontratación. Serie: Las cláusulas del contrato estatal. Librería Jurídica Sánchez R. Ltda. y Centro de Estudios de Derecho Administrativo –CEDA-, Medellín, 2012, p. </w:t>
      </w:r>
      <w:r>
        <w:rPr>
          <w:rFonts w:ascii="Verdana" w:hAnsi="Verdana" w:cs="Arial"/>
          <w:sz w:val="16"/>
          <w:szCs w:val="16"/>
        </w:rPr>
        <w:t>88</w:t>
      </w:r>
      <w:r w:rsidRPr="00AD6771">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353CA8"/>
    <w:multiLevelType w:val="hybridMultilevel"/>
    <w:tmpl w:val="8556CC82"/>
    <w:lvl w:ilvl="0" w:tplc="147AD612">
      <w:start w:val="1"/>
      <w:numFmt w:val="decimal"/>
      <w:lvlText w:val="%1."/>
      <w:lvlJc w:val="left"/>
      <w:pPr>
        <w:ind w:left="1065" w:hanging="360"/>
      </w:pPr>
      <w:rPr>
        <w:rFonts w:ascii="Arial" w:hAnsi="Arial" w:cs="Arial" w:hint="default"/>
        <w:b w:val="0"/>
        <w:bCs/>
        <w:sz w:val="22"/>
        <w:szCs w:val="22"/>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0"/>
  </w:num>
  <w:num w:numId="16" w16cid:durableId="1330140246">
    <w:abstractNumId w:val="0"/>
  </w:num>
  <w:num w:numId="17" w16cid:durableId="679089576">
    <w:abstractNumId w:val="9"/>
  </w:num>
  <w:num w:numId="18" w16cid:durableId="1169062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49EC"/>
    <w:rsid w:val="000A683E"/>
    <w:rsid w:val="000B19B9"/>
    <w:rsid w:val="000D0334"/>
    <w:rsid w:val="000D5DA7"/>
    <w:rsid w:val="000F6486"/>
    <w:rsid w:val="00116940"/>
    <w:rsid w:val="00125105"/>
    <w:rsid w:val="00127233"/>
    <w:rsid w:val="00150D13"/>
    <w:rsid w:val="0015699B"/>
    <w:rsid w:val="001704AB"/>
    <w:rsid w:val="00175859"/>
    <w:rsid w:val="001A33BF"/>
    <w:rsid w:val="001B1A78"/>
    <w:rsid w:val="001E4177"/>
    <w:rsid w:val="001F0B24"/>
    <w:rsid w:val="001F0EB5"/>
    <w:rsid w:val="001F7DC6"/>
    <w:rsid w:val="0022400B"/>
    <w:rsid w:val="0023353C"/>
    <w:rsid w:val="002421BB"/>
    <w:rsid w:val="0025796E"/>
    <w:rsid w:val="002707A2"/>
    <w:rsid w:val="002951A0"/>
    <w:rsid w:val="002962BC"/>
    <w:rsid w:val="002A093D"/>
    <w:rsid w:val="002A0DD0"/>
    <w:rsid w:val="002A49AC"/>
    <w:rsid w:val="002A64FD"/>
    <w:rsid w:val="002C7A84"/>
    <w:rsid w:val="002D0CE4"/>
    <w:rsid w:val="002D499E"/>
    <w:rsid w:val="002E2BF8"/>
    <w:rsid w:val="002E2DD7"/>
    <w:rsid w:val="002E4FD9"/>
    <w:rsid w:val="0030657A"/>
    <w:rsid w:val="00322A85"/>
    <w:rsid w:val="00324168"/>
    <w:rsid w:val="00330834"/>
    <w:rsid w:val="003448F4"/>
    <w:rsid w:val="00350BEB"/>
    <w:rsid w:val="00361475"/>
    <w:rsid w:val="00374F5E"/>
    <w:rsid w:val="00377E3E"/>
    <w:rsid w:val="003A779E"/>
    <w:rsid w:val="003D0F4D"/>
    <w:rsid w:val="003D5B0D"/>
    <w:rsid w:val="003E0499"/>
    <w:rsid w:val="003E4F80"/>
    <w:rsid w:val="003E6439"/>
    <w:rsid w:val="003F3941"/>
    <w:rsid w:val="00406575"/>
    <w:rsid w:val="00414C74"/>
    <w:rsid w:val="0042638A"/>
    <w:rsid w:val="0042722E"/>
    <w:rsid w:val="0044528D"/>
    <w:rsid w:val="00454410"/>
    <w:rsid w:val="0046066A"/>
    <w:rsid w:val="00466E39"/>
    <w:rsid w:val="004A1847"/>
    <w:rsid w:val="004A305D"/>
    <w:rsid w:val="004F21C4"/>
    <w:rsid w:val="004F685F"/>
    <w:rsid w:val="005046E4"/>
    <w:rsid w:val="005167C0"/>
    <w:rsid w:val="005566E8"/>
    <w:rsid w:val="00566239"/>
    <w:rsid w:val="00574867"/>
    <w:rsid w:val="00591460"/>
    <w:rsid w:val="005A65E0"/>
    <w:rsid w:val="005B519C"/>
    <w:rsid w:val="005C11B4"/>
    <w:rsid w:val="005C3777"/>
    <w:rsid w:val="005C5CDC"/>
    <w:rsid w:val="005D476C"/>
    <w:rsid w:val="005E3059"/>
    <w:rsid w:val="006200BF"/>
    <w:rsid w:val="006219F8"/>
    <w:rsid w:val="006302F7"/>
    <w:rsid w:val="00646B9F"/>
    <w:rsid w:val="006574E9"/>
    <w:rsid w:val="00665D70"/>
    <w:rsid w:val="006900D9"/>
    <w:rsid w:val="007029A9"/>
    <w:rsid w:val="00706C16"/>
    <w:rsid w:val="007340C3"/>
    <w:rsid w:val="0075235A"/>
    <w:rsid w:val="00756841"/>
    <w:rsid w:val="007649AB"/>
    <w:rsid w:val="00771D0C"/>
    <w:rsid w:val="007833AC"/>
    <w:rsid w:val="007B268C"/>
    <w:rsid w:val="007B7171"/>
    <w:rsid w:val="007C0C0F"/>
    <w:rsid w:val="007C3DC2"/>
    <w:rsid w:val="007E5497"/>
    <w:rsid w:val="00806F5F"/>
    <w:rsid w:val="00817531"/>
    <w:rsid w:val="00820278"/>
    <w:rsid w:val="008258C9"/>
    <w:rsid w:val="008400AE"/>
    <w:rsid w:val="00844AE9"/>
    <w:rsid w:val="00862E6A"/>
    <w:rsid w:val="008634BD"/>
    <w:rsid w:val="00867F95"/>
    <w:rsid w:val="008843B6"/>
    <w:rsid w:val="00891928"/>
    <w:rsid w:val="008934AF"/>
    <w:rsid w:val="008A446D"/>
    <w:rsid w:val="008B25F1"/>
    <w:rsid w:val="008B4E15"/>
    <w:rsid w:val="008D180B"/>
    <w:rsid w:val="008F0EA7"/>
    <w:rsid w:val="00923EEF"/>
    <w:rsid w:val="009253C4"/>
    <w:rsid w:val="009419F9"/>
    <w:rsid w:val="0095685E"/>
    <w:rsid w:val="00961B09"/>
    <w:rsid w:val="00965334"/>
    <w:rsid w:val="0097093E"/>
    <w:rsid w:val="009A0DFA"/>
    <w:rsid w:val="009A1C6F"/>
    <w:rsid w:val="009B2D26"/>
    <w:rsid w:val="009C71FA"/>
    <w:rsid w:val="009C72E7"/>
    <w:rsid w:val="009C7F7E"/>
    <w:rsid w:val="009D3058"/>
    <w:rsid w:val="009E4A97"/>
    <w:rsid w:val="009F3A13"/>
    <w:rsid w:val="00A122D3"/>
    <w:rsid w:val="00A14468"/>
    <w:rsid w:val="00A17F13"/>
    <w:rsid w:val="00A20739"/>
    <w:rsid w:val="00A21571"/>
    <w:rsid w:val="00A23AF9"/>
    <w:rsid w:val="00A33C78"/>
    <w:rsid w:val="00A83139"/>
    <w:rsid w:val="00AB0ADB"/>
    <w:rsid w:val="00AD59F4"/>
    <w:rsid w:val="00B00C0E"/>
    <w:rsid w:val="00B01B1A"/>
    <w:rsid w:val="00B0381D"/>
    <w:rsid w:val="00B17B4C"/>
    <w:rsid w:val="00B44A47"/>
    <w:rsid w:val="00B51FFF"/>
    <w:rsid w:val="00B671AD"/>
    <w:rsid w:val="00B72CD3"/>
    <w:rsid w:val="00B72FFF"/>
    <w:rsid w:val="00B87645"/>
    <w:rsid w:val="00BB4CBF"/>
    <w:rsid w:val="00BC3D36"/>
    <w:rsid w:val="00BC56E0"/>
    <w:rsid w:val="00BD54A6"/>
    <w:rsid w:val="00BD7F72"/>
    <w:rsid w:val="00BF7425"/>
    <w:rsid w:val="00C01041"/>
    <w:rsid w:val="00C04FB3"/>
    <w:rsid w:val="00C11D8B"/>
    <w:rsid w:val="00C15139"/>
    <w:rsid w:val="00C23569"/>
    <w:rsid w:val="00C330EB"/>
    <w:rsid w:val="00C50312"/>
    <w:rsid w:val="00C50D69"/>
    <w:rsid w:val="00C5365C"/>
    <w:rsid w:val="00C754BE"/>
    <w:rsid w:val="00C76B1C"/>
    <w:rsid w:val="00C925AC"/>
    <w:rsid w:val="00CB6357"/>
    <w:rsid w:val="00CC1B26"/>
    <w:rsid w:val="00D0542A"/>
    <w:rsid w:val="00D361FD"/>
    <w:rsid w:val="00D423A2"/>
    <w:rsid w:val="00D44E26"/>
    <w:rsid w:val="00D520D8"/>
    <w:rsid w:val="00D63AC2"/>
    <w:rsid w:val="00D70825"/>
    <w:rsid w:val="00D7383B"/>
    <w:rsid w:val="00D7788A"/>
    <w:rsid w:val="00D85296"/>
    <w:rsid w:val="00DA231B"/>
    <w:rsid w:val="00DC39FC"/>
    <w:rsid w:val="00DC40FA"/>
    <w:rsid w:val="00DF5254"/>
    <w:rsid w:val="00E02524"/>
    <w:rsid w:val="00E16408"/>
    <w:rsid w:val="00E20894"/>
    <w:rsid w:val="00E245AB"/>
    <w:rsid w:val="00E250FE"/>
    <w:rsid w:val="00E2764C"/>
    <w:rsid w:val="00E27F2E"/>
    <w:rsid w:val="00E3678A"/>
    <w:rsid w:val="00E465C8"/>
    <w:rsid w:val="00E50AFE"/>
    <w:rsid w:val="00E75C92"/>
    <w:rsid w:val="00E771DC"/>
    <w:rsid w:val="00E8772A"/>
    <w:rsid w:val="00E90F6B"/>
    <w:rsid w:val="00E92C27"/>
    <w:rsid w:val="00EA0E3D"/>
    <w:rsid w:val="00EB54C7"/>
    <w:rsid w:val="00EC38A7"/>
    <w:rsid w:val="00EC5666"/>
    <w:rsid w:val="00EE1AA8"/>
    <w:rsid w:val="00F13A0B"/>
    <w:rsid w:val="00F23FEA"/>
    <w:rsid w:val="00F31EDC"/>
    <w:rsid w:val="00F32F35"/>
    <w:rsid w:val="00F462B3"/>
    <w:rsid w:val="00F5664F"/>
    <w:rsid w:val="00F666C4"/>
    <w:rsid w:val="00F76AFC"/>
    <w:rsid w:val="00FA47C0"/>
    <w:rsid w:val="00FB5DD1"/>
    <w:rsid w:val="00FB60EC"/>
    <w:rsid w:val="00FC2B5D"/>
    <w:rsid w:val="00FD6E30"/>
    <w:rsid w:val="00FD7275"/>
    <w:rsid w:val="00FE75A5"/>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17B4C"/>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17B4C"/>
    <w:rPr>
      <w:rFonts w:ascii="Geomanist Light" w:hAnsi="Geomanist Light"/>
      <w:lang w:val="es-ES"/>
    </w:rPr>
  </w:style>
  <w:style w:type="paragraph" w:styleId="Textoindependiente">
    <w:name w:val="Body Text"/>
    <w:basedOn w:val="Normal"/>
    <w:link w:val="TextoindependienteCar"/>
    <w:uiPriority w:val="99"/>
    <w:unhideWhenUsed/>
    <w:rsid w:val="00B17B4C"/>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B17B4C"/>
    <w:rPr>
      <w:rFonts w:eastAsiaTheme="minorEastAsia"/>
      <w:lang w:eastAsia="es-CO"/>
    </w:rPr>
  </w:style>
  <w:style w:type="paragraph" w:styleId="Textocomentario">
    <w:name w:val="annotation text"/>
    <w:basedOn w:val="Normal"/>
    <w:link w:val="TextocomentarioCar"/>
    <w:uiPriority w:val="99"/>
    <w:semiHidden/>
    <w:unhideWhenUsed/>
    <w:rsid w:val="00B17B4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7B4C"/>
    <w:rPr>
      <w:sz w:val="20"/>
      <w:szCs w:val="20"/>
    </w:rPr>
  </w:style>
  <w:style w:type="paragraph" w:styleId="Asuntodelcomentario">
    <w:name w:val="annotation subject"/>
    <w:basedOn w:val="Textocomentario"/>
    <w:next w:val="Textocomentario"/>
    <w:link w:val="AsuntodelcomentarioCar"/>
    <w:uiPriority w:val="99"/>
    <w:semiHidden/>
    <w:unhideWhenUsed/>
    <w:rsid w:val="00B17B4C"/>
    <w:rPr>
      <w:b/>
      <w:bCs/>
    </w:rPr>
  </w:style>
  <w:style w:type="character" w:customStyle="1" w:styleId="AsuntodelcomentarioCar">
    <w:name w:val="Asunto del comentario Car"/>
    <w:basedOn w:val="TextocomentarioCar"/>
    <w:link w:val="Asuntodelcomentario"/>
    <w:uiPriority w:val="99"/>
    <w:semiHidden/>
    <w:rsid w:val="00B17B4C"/>
    <w:rPr>
      <w:b/>
      <w:bCs/>
      <w:sz w:val="20"/>
      <w:szCs w:val="20"/>
    </w:rPr>
  </w:style>
  <w:style w:type="character" w:customStyle="1" w:styleId="s15">
    <w:name w:val="s15"/>
    <w:basedOn w:val="Fuentedeprrafopredeter"/>
    <w:rsid w:val="00B17B4C"/>
  </w:style>
  <w:style w:type="character" w:customStyle="1" w:styleId="apple-converted-space">
    <w:name w:val="apple-converted-space"/>
    <w:basedOn w:val="Fuentedeprrafopredeter"/>
    <w:rsid w:val="00B17B4C"/>
  </w:style>
  <w:style w:type="character" w:customStyle="1" w:styleId="NormalWebCar">
    <w:name w:val="Normal (Web) Car"/>
    <w:link w:val="NormalWeb"/>
    <w:uiPriority w:val="99"/>
    <w:rsid w:val="00B17B4C"/>
    <w:rPr>
      <w:rFonts w:ascii="Times New Roman" w:eastAsia="Times New Roman" w:hAnsi="Times New Roman" w:cs="Times New Roman"/>
      <w:sz w:val="24"/>
      <w:szCs w:val="24"/>
      <w:lang w:eastAsia="es-CO"/>
    </w:rPr>
  </w:style>
  <w:style w:type="character" w:customStyle="1" w:styleId="baj">
    <w:name w:val="b_aj"/>
    <w:basedOn w:val="Fuentedeprrafopredeter"/>
    <w:rsid w:val="00B17B4C"/>
  </w:style>
  <w:style w:type="character" w:styleId="Fuerte">
    <w:name w:val="Strong"/>
    <w:basedOn w:val="Fuentedeprrafopredeter"/>
    <w:uiPriority w:val="22"/>
    <w:qFormat/>
    <w:rsid w:val="00B17B4C"/>
    <w:rPr>
      <w:b/>
      <w:bCs/>
    </w:rPr>
  </w:style>
  <w:style w:type="character" w:customStyle="1" w:styleId="s20">
    <w:name w:val="s20"/>
    <w:basedOn w:val="Fuentedeprrafopredeter"/>
    <w:rsid w:val="00B17B4C"/>
  </w:style>
  <w:style w:type="character" w:customStyle="1" w:styleId="s46">
    <w:name w:val="s46"/>
    <w:basedOn w:val="Fuentedeprrafopredeter"/>
    <w:rsid w:val="00B17B4C"/>
  </w:style>
  <w:style w:type="paragraph" w:styleId="Sinespaciado">
    <w:name w:val="No Spacing"/>
    <w:aliases w:val="No Indent"/>
    <w:link w:val="SinespaciadoCar"/>
    <w:uiPriority w:val="3"/>
    <w:qFormat/>
    <w:rsid w:val="00B17B4C"/>
    <w:pPr>
      <w:spacing w:after="0" w:line="240" w:lineRule="auto"/>
    </w:pPr>
    <w:rPr>
      <w:sz w:val="24"/>
      <w:lang w:val="es-MX"/>
    </w:rPr>
  </w:style>
  <w:style w:type="character" w:customStyle="1" w:styleId="SinespaciadoCar">
    <w:name w:val="Sin espaciado Car"/>
    <w:aliases w:val="No Indent Car"/>
    <w:link w:val="Sinespaciado"/>
    <w:uiPriority w:val="3"/>
    <w:rsid w:val="00B17B4C"/>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png"/><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customXml" Target="ink/ink1.xm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azlfabian@gmail.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6T14:43:33.136"/>
    </inkml:context>
    <inkml:brush xml:id="br0">
      <inkml:brushProperty name="width" value="0.03501" units="cm"/>
      <inkml:brushProperty name="height" value="0.03501" units="cm"/>
      <inkml:brushProperty name="color" value="#E71224"/>
    </inkml:brush>
  </inkml:definitions>
  <inkml:trace contextRef="#ctx0" brushRef="#br0">1 1 24575,'0'0'0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BB7E3297-2402-4E37-9C0D-547624049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24</TotalTime>
  <Pages>25</Pages>
  <Words>8912</Words>
  <Characters>49016</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2026-07-28T16:26:00Z</dcterms:created>
  <dcterms:modified xsi:type="dcterms:W3CDTF">2026-07-31T20:50:00Z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