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3EE0" w14:textId="2C221038" w:rsidR="00C15139" w:rsidRPr="0024624F" w:rsidRDefault="00C15139" w:rsidP="30821638">
      <w:pPr>
        <w:spacing w:after="0"/>
        <w:rPr>
          <w:rFonts w:ascii="Verdana" w:eastAsia="Verdana" w:hAnsi="Verdana" w:cs="Verdana"/>
        </w:rPr>
      </w:pPr>
      <w:bookmarkStart w:id="0" w:name="_Hlk143780582"/>
      <w:r>
        <w:tab/>
      </w:r>
    </w:p>
    <w:p w14:paraId="1A1C135F" w14:textId="77777777" w:rsidR="00A37899" w:rsidRPr="00A37899" w:rsidRDefault="00A37899" w:rsidP="00A37899">
      <w:pPr>
        <w:widowControl w:val="0"/>
        <w:autoSpaceDE w:val="0"/>
        <w:autoSpaceDN w:val="0"/>
        <w:spacing w:after="0" w:line="240" w:lineRule="auto"/>
        <w:ind w:left="260"/>
        <w:jc w:val="both"/>
        <w:outlineLvl w:val="0"/>
        <w:rPr>
          <w:rFonts w:ascii="Verdana" w:eastAsia="Verdana" w:hAnsi="Verdana" w:cs="Verdana"/>
          <w:b/>
          <w:bCs/>
          <w:lang w:val="es-ES"/>
        </w:rPr>
      </w:pPr>
      <w:r w:rsidRPr="00A37899">
        <w:rPr>
          <w:rFonts w:ascii="Verdana" w:eastAsia="Verdana" w:hAnsi="Verdana" w:cs="Verdana"/>
          <w:b/>
          <w:bCs/>
          <w:lang w:val="es-ES"/>
        </w:rPr>
        <w:t>LEY</w:t>
      </w:r>
      <w:r w:rsidRPr="00A37899">
        <w:rPr>
          <w:rFonts w:ascii="Verdana" w:eastAsia="Verdana" w:hAnsi="Verdana" w:cs="Verdana"/>
          <w:b/>
          <w:bCs/>
          <w:spacing w:val="-6"/>
          <w:lang w:val="es-ES"/>
        </w:rPr>
        <w:t xml:space="preserve"> </w:t>
      </w:r>
      <w:r w:rsidRPr="00A37899">
        <w:rPr>
          <w:rFonts w:ascii="Verdana" w:eastAsia="Verdana" w:hAnsi="Verdana" w:cs="Verdana"/>
          <w:b/>
          <w:bCs/>
          <w:lang w:val="es-ES"/>
        </w:rPr>
        <w:t>DE</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GARANTÍAS</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ELECTORALES</w:t>
      </w:r>
      <w:r w:rsidRPr="00A37899">
        <w:rPr>
          <w:rFonts w:ascii="Verdana" w:eastAsia="Verdana" w:hAnsi="Verdana" w:cs="Verdana"/>
          <w:b/>
          <w:bCs/>
          <w:spacing w:val="-2"/>
          <w:lang w:val="es-ES"/>
        </w:rPr>
        <w:t xml:space="preserve"> </w:t>
      </w:r>
      <w:r w:rsidRPr="00A37899">
        <w:rPr>
          <w:rFonts w:ascii="Verdana" w:eastAsia="Verdana" w:hAnsi="Verdana" w:cs="Verdana"/>
          <w:b/>
          <w:bCs/>
          <w:lang w:val="es-ES"/>
        </w:rPr>
        <w:t>‒</w:t>
      </w:r>
      <w:r w:rsidRPr="00A37899">
        <w:rPr>
          <w:rFonts w:ascii="Verdana" w:eastAsia="Verdana" w:hAnsi="Verdana" w:cs="Verdana"/>
          <w:b/>
          <w:bCs/>
          <w:spacing w:val="-5"/>
          <w:lang w:val="es-ES"/>
        </w:rPr>
        <w:t xml:space="preserve"> </w:t>
      </w:r>
      <w:r w:rsidRPr="00A37899">
        <w:rPr>
          <w:rFonts w:ascii="Verdana" w:eastAsia="Verdana" w:hAnsi="Verdana" w:cs="Verdana"/>
          <w:b/>
          <w:bCs/>
          <w:spacing w:val="-2"/>
          <w:lang w:val="es-ES"/>
        </w:rPr>
        <w:t>Finalidad</w:t>
      </w:r>
    </w:p>
    <w:p w14:paraId="421FF615" w14:textId="77777777" w:rsidR="00A37899" w:rsidRPr="00A37899" w:rsidRDefault="00A37899" w:rsidP="00A37899">
      <w:pPr>
        <w:widowControl w:val="0"/>
        <w:autoSpaceDE w:val="0"/>
        <w:autoSpaceDN w:val="0"/>
        <w:spacing w:before="21" w:after="0" w:line="240" w:lineRule="auto"/>
        <w:rPr>
          <w:rFonts w:ascii="Verdana" w:eastAsia="Verdana" w:hAnsi="Verdana" w:cs="Verdana"/>
          <w:b/>
          <w:lang w:val="es-ES"/>
        </w:rPr>
      </w:pPr>
    </w:p>
    <w:p w14:paraId="5F3063E9" w14:textId="77777777" w:rsidR="00A37899" w:rsidRPr="00A37899" w:rsidRDefault="00A37899" w:rsidP="00A37899">
      <w:pPr>
        <w:ind w:left="260" w:right="259"/>
        <w:jc w:val="both"/>
        <w:rPr>
          <w:rFonts w:ascii="Verdana" w:hAnsi="Verdana"/>
          <w:sz w:val="20"/>
        </w:rPr>
      </w:pPr>
      <w:r w:rsidRPr="00A37899">
        <w:rPr>
          <w:rFonts w:ascii="Verdana" w:hAnsi="Verdana"/>
          <w:sz w:val="20"/>
        </w:rPr>
        <w:t>En este contexto, la Ley de Garantías Electorales establece el marco jurídico para el desarrollo de las elecciones, procurando condiciones de igualdad y transparencia para los aspirantes. Paralelamente, se incluyen restricciones en las actuaciones de los servidores</w:t>
      </w:r>
      <w:r w:rsidRPr="00A37899">
        <w:rPr>
          <w:rFonts w:ascii="Verdana" w:hAnsi="Verdana"/>
          <w:spacing w:val="-14"/>
          <w:sz w:val="20"/>
        </w:rPr>
        <w:t xml:space="preserve"> </w:t>
      </w:r>
      <w:r w:rsidRPr="00A37899">
        <w:rPr>
          <w:rFonts w:ascii="Verdana" w:hAnsi="Verdana"/>
          <w:sz w:val="20"/>
        </w:rPr>
        <w:t>públicos,</w:t>
      </w:r>
      <w:r w:rsidRPr="00A37899">
        <w:rPr>
          <w:rFonts w:ascii="Verdana" w:hAnsi="Verdana"/>
          <w:spacing w:val="-14"/>
          <w:sz w:val="20"/>
        </w:rPr>
        <w:t xml:space="preserve"> </w:t>
      </w:r>
      <w:r w:rsidRPr="00A37899">
        <w:rPr>
          <w:rFonts w:ascii="Verdana" w:hAnsi="Verdana"/>
          <w:sz w:val="20"/>
        </w:rPr>
        <w:t>evitando</w:t>
      </w:r>
      <w:r w:rsidRPr="00A37899">
        <w:rPr>
          <w:rFonts w:ascii="Verdana" w:hAnsi="Verdana"/>
          <w:spacing w:val="-14"/>
          <w:sz w:val="20"/>
        </w:rPr>
        <w:t xml:space="preserve"> </w:t>
      </w:r>
      <w:r w:rsidRPr="00A37899">
        <w:rPr>
          <w:rFonts w:ascii="Verdana" w:hAnsi="Verdana"/>
          <w:sz w:val="20"/>
        </w:rPr>
        <w:t>interferencias</w:t>
      </w:r>
      <w:r w:rsidRPr="00A37899">
        <w:rPr>
          <w:rFonts w:ascii="Verdana" w:hAnsi="Verdana"/>
          <w:spacing w:val="-13"/>
          <w:sz w:val="20"/>
        </w:rPr>
        <w:t xml:space="preserve"> </w:t>
      </w:r>
      <w:r w:rsidRPr="00A37899">
        <w:rPr>
          <w:rFonts w:ascii="Verdana" w:hAnsi="Verdana"/>
          <w:sz w:val="20"/>
        </w:rPr>
        <w:t>en</w:t>
      </w:r>
      <w:r w:rsidRPr="00A37899">
        <w:rPr>
          <w:rFonts w:ascii="Verdana" w:hAnsi="Verdana"/>
          <w:spacing w:val="-15"/>
          <w:sz w:val="20"/>
        </w:rPr>
        <w:t xml:space="preserve"> </w:t>
      </w:r>
      <w:r w:rsidRPr="00A37899">
        <w:rPr>
          <w:rFonts w:ascii="Verdana" w:hAnsi="Verdana"/>
          <w:sz w:val="20"/>
        </w:rPr>
        <w:t>la</w:t>
      </w:r>
      <w:r w:rsidRPr="00A37899">
        <w:rPr>
          <w:rFonts w:ascii="Verdana" w:hAnsi="Verdana"/>
          <w:spacing w:val="-15"/>
          <w:sz w:val="20"/>
        </w:rPr>
        <w:t xml:space="preserve"> </w:t>
      </w:r>
      <w:r w:rsidRPr="00A37899">
        <w:rPr>
          <w:rFonts w:ascii="Verdana" w:hAnsi="Verdana"/>
          <w:sz w:val="20"/>
        </w:rPr>
        <w:t>contienda</w:t>
      </w:r>
      <w:r w:rsidRPr="00A37899">
        <w:rPr>
          <w:rFonts w:ascii="Verdana" w:hAnsi="Verdana"/>
          <w:spacing w:val="-14"/>
          <w:sz w:val="20"/>
        </w:rPr>
        <w:t xml:space="preserve"> </w:t>
      </w:r>
      <w:r w:rsidRPr="00A37899">
        <w:rPr>
          <w:rFonts w:ascii="Verdana" w:hAnsi="Verdana"/>
          <w:sz w:val="20"/>
        </w:rPr>
        <w:t>electoral,</w:t>
      </w:r>
      <w:r w:rsidRPr="00A37899">
        <w:rPr>
          <w:rFonts w:ascii="Verdana" w:hAnsi="Verdana"/>
          <w:spacing w:val="-14"/>
          <w:sz w:val="20"/>
        </w:rPr>
        <w:t xml:space="preserve"> </w:t>
      </w:r>
      <w:r w:rsidRPr="00A37899">
        <w:rPr>
          <w:rFonts w:ascii="Verdana" w:hAnsi="Verdana"/>
          <w:sz w:val="20"/>
        </w:rPr>
        <w:t>así</w:t>
      </w:r>
      <w:r w:rsidRPr="00A37899">
        <w:rPr>
          <w:rFonts w:ascii="Verdana" w:hAnsi="Verdana"/>
          <w:spacing w:val="-15"/>
          <w:sz w:val="20"/>
        </w:rPr>
        <w:t xml:space="preserve"> </w:t>
      </w:r>
      <w:r w:rsidRPr="00A37899">
        <w:rPr>
          <w:rFonts w:ascii="Verdana" w:hAnsi="Verdana"/>
          <w:sz w:val="20"/>
        </w:rPr>
        <w:t>como</w:t>
      </w:r>
      <w:r w:rsidRPr="00A37899">
        <w:rPr>
          <w:rFonts w:ascii="Verdana" w:hAnsi="Verdana"/>
          <w:spacing w:val="-15"/>
          <w:sz w:val="20"/>
        </w:rPr>
        <w:t xml:space="preserve"> </w:t>
      </w:r>
      <w:r w:rsidRPr="00A37899">
        <w:rPr>
          <w:rFonts w:ascii="Verdana" w:hAnsi="Verdana"/>
          <w:sz w:val="20"/>
        </w:rPr>
        <w:t>la</w:t>
      </w:r>
      <w:r w:rsidRPr="00A37899">
        <w:rPr>
          <w:rFonts w:ascii="Verdana" w:hAnsi="Verdana"/>
          <w:spacing w:val="-15"/>
          <w:sz w:val="20"/>
        </w:rPr>
        <w:t xml:space="preserve"> </w:t>
      </w:r>
      <w:r w:rsidRPr="00A37899">
        <w:rPr>
          <w:rFonts w:ascii="Verdana" w:hAnsi="Verdana"/>
          <w:sz w:val="20"/>
        </w:rPr>
        <w:t>posible desviación de recursos públicos en aspiraciones electorales. Por ello, varias de las disposiciones de la Ley 996 de 2005, al contener normas prohibitivas, no admiten una interpretación amplia, sino que deben interpretarse restrictivamente.</w:t>
      </w:r>
    </w:p>
    <w:p w14:paraId="5E75CB24"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67FF1AB0" w14:textId="77777777" w:rsidR="00A37899" w:rsidRPr="00A37899" w:rsidRDefault="00A37899" w:rsidP="00A37899">
      <w:pPr>
        <w:widowControl w:val="0"/>
        <w:autoSpaceDE w:val="0"/>
        <w:autoSpaceDN w:val="0"/>
        <w:spacing w:after="0" w:line="240" w:lineRule="auto"/>
        <w:ind w:left="260" w:right="259"/>
        <w:jc w:val="both"/>
        <w:outlineLvl w:val="0"/>
        <w:rPr>
          <w:rFonts w:ascii="Verdana" w:eastAsia="Verdana" w:hAnsi="Verdana" w:cs="Verdana"/>
          <w:b/>
          <w:bCs/>
          <w:lang w:val="es-ES"/>
        </w:rPr>
      </w:pPr>
      <w:r w:rsidRPr="00A37899">
        <w:rPr>
          <w:rFonts w:ascii="Verdana" w:eastAsia="Verdana" w:hAnsi="Verdana" w:cs="Verdana"/>
          <w:b/>
          <w:bCs/>
          <w:lang w:val="es-ES"/>
        </w:rPr>
        <w:t>LEY DE GARANTÍAS ELECTORALES ‒ Tipos de restricciones ‒ Ámbito temporal – celebración – Límite</w:t>
      </w:r>
    </w:p>
    <w:p w14:paraId="40AFC062" w14:textId="77777777" w:rsidR="00A37899" w:rsidRPr="00A37899" w:rsidRDefault="00A37899" w:rsidP="00A37899">
      <w:pPr>
        <w:widowControl w:val="0"/>
        <w:autoSpaceDE w:val="0"/>
        <w:autoSpaceDN w:val="0"/>
        <w:spacing w:after="0" w:line="240" w:lineRule="auto"/>
        <w:rPr>
          <w:rFonts w:ascii="Verdana" w:eastAsia="Verdana" w:hAnsi="Verdana" w:cs="Verdana"/>
          <w:b/>
          <w:lang w:val="es-ES"/>
        </w:rPr>
      </w:pPr>
    </w:p>
    <w:p w14:paraId="31743F67" w14:textId="77777777" w:rsidR="00A37899" w:rsidRPr="00A37899" w:rsidRDefault="00A37899" w:rsidP="00A37899">
      <w:pPr>
        <w:ind w:left="260" w:right="259"/>
        <w:jc w:val="both"/>
        <w:rPr>
          <w:rFonts w:ascii="Verdana" w:hAnsi="Verdana"/>
          <w:sz w:val="20"/>
        </w:rPr>
      </w:pPr>
      <w:r w:rsidRPr="00A37899">
        <w:rPr>
          <w:rFonts w:ascii="Verdana" w:hAnsi="Verdana"/>
          <w:sz w:val="20"/>
        </w:rPr>
        <w:t xml:space="preserve">Por un lado, el </w:t>
      </w:r>
      <w:r w:rsidRPr="00A37899">
        <w:rPr>
          <w:rFonts w:ascii="Verdana" w:hAnsi="Verdana"/>
          <w:i/>
          <w:sz w:val="20"/>
        </w:rPr>
        <w:t xml:space="preserve">artículo 33 de la Ley 996 de 2005 </w:t>
      </w:r>
      <w:r w:rsidRPr="00A37899">
        <w:rPr>
          <w:rFonts w:ascii="Verdana" w:hAnsi="Verdana"/>
          <w:sz w:val="20"/>
        </w:rPr>
        <w:t>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p>
    <w:p w14:paraId="53B1170D"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4BCE363F" w14:textId="77777777" w:rsidR="00A37899" w:rsidRPr="00A37899" w:rsidRDefault="00A37899" w:rsidP="00A37899">
      <w:pPr>
        <w:ind w:left="260" w:right="372"/>
        <w:jc w:val="both"/>
        <w:rPr>
          <w:rFonts w:ascii="Verdana" w:hAnsi="Verdana"/>
          <w:sz w:val="20"/>
        </w:rPr>
      </w:pPr>
      <w:r w:rsidRPr="00A37899">
        <w:rPr>
          <w:rFonts w:ascii="Verdana" w:hAnsi="Verdana"/>
          <w:sz w:val="20"/>
        </w:rPr>
        <w:t>Por</w:t>
      </w:r>
      <w:r w:rsidRPr="00A37899">
        <w:rPr>
          <w:rFonts w:ascii="Verdana" w:hAnsi="Verdana"/>
          <w:spacing w:val="-5"/>
          <w:sz w:val="20"/>
        </w:rPr>
        <w:t xml:space="preserve"> </w:t>
      </w:r>
      <w:r w:rsidRPr="00A37899">
        <w:rPr>
          <w:rFonts w:ascii="Verdana" w:hAnsi="Verdana"/>
          <w:sz w:val="20"/>
        </w:rPr>
        <w:t>otro</w:t>
      </w:r>
      <w:r w:rsidRPr="00A37899">
        <w:rPr>
          <w:rFonts w:ascii="Verdana" w:hAnsi="Verdana"/>
          <w:spacing w:val="-5"/>
          <w:sz w:val="20"/>
        </w:rPr>
        <w:t xml:space="preserve"> </w:t>
      </w:r>
      <w:r w:rsidRPr="00A37899">
        <w:rPr>
          <w:rFonts w:ascii="Verdana" w:hAnsi="Verdana"/>
          <w:sz w:val="20"/>
        </w:rPr>
        <w:t>lado,</w:t>
      </w:r>
      <w:r w:rsidRPr="00A37899">
        <w:rPr>
          <w:rFonts w:ascii="Verdana" w:hAnsi="Verdana"/>
          <w:spacing w:val="-4"/>
          <w:sz w:val="20"/>
        </w:rPr>
        <w:t xml:space="preserve"> </w:t>
      </w:r>
      <w:r w:rsidRPr="00A37899">
        <w:rPr>
          <w:rFonts w:ascii="Verdana" w:hAnsi="Verdana"/>
          <w:i/>
          <w:sz w:val="20"/>
        </w:rPr>
        <w:t>el</w:t>
      </w:r>
      <w:r w:rsidRPr="00A37899">
        <w:rPr>
          <w:rFonts w:ascii="Verdana" w:hAnsi="Verdana"/>
          <w:i/>
          <w:spacing w:val="-5"/>
          <w:sz w:val="20"/>
        </w:rPr>
        <w:t xml:space="preserve"> </w:t>
      </w:r>
      <w:r w:rsidRPr="00A37899">
        <w:rPr>
          <w:rFonts w:ascii="Verdana" w:hAnsi="Verdana"/>
          <w:i/>
          <w:sz w:val="20"/>
        </w:rPr>
        <w:t>parágrafo</w:t>
      </w:r>
      <w:r w:rsidRPr="00A37899">
        <w:rPr>
          <w:rFonts w:ascii="Verdana" w:hAnsi="Verdana"/>
          <w:i/>
          <w:spacing w:val="-4"/>
          <w:sz w:val="20"/>
        </w:rPr>
        <w:t xml:space="preserve"> </w:t>
      </w:r>
      <w:r w:rsidRPr="00A37899">
        <w:rPr>
          <w:rFonts w:ascii="Verdana" w:hAnsi="Verdana"/>
          <w:i/>
          <w:sz w:val="20"/>
        </w:rPr>
        <w:t>del</w:t>
      </w:r>
      <w:r w:rsidRPr="00A37899">
        <w:rPr>
          <w:rFonts w:ascii="Verdana" w:hAnsi="Verdana"/>
          <w:i/>
          <w:spacing w:val="-5"/>
          <w:sz w:val="20"/>
        </w:rPr>
        <w:t xml:space="preserve"> </w:t>
      </w:r>
      <w:r w:rsidRPr="00A37899">
        <w:rPr>
          <w:rFonts w:ascii="Verdana" w:hAnsi="Verdana"/>
          <w:i/>
          <w:sz w:val="20"/>
        </w:rPr>
        <w:t>artículo</w:t>
      </w:r>
      <w:r w:rsidRPr="00A37899">
        <w:rPr>
          <w:rFonts w:ascii="Verdana" w:hAnsi="Verdana"/>
          <w:i/>
          <w:spacing w:val="-4"/>
          <w:sz w:val="20"/>
        </w:rPr>
        <w:t xml:space="preserve"> </w:t>
      </w:r>
      <w:r w:rsidRPr="00A37899">
        <w:rPr>
          <w:rFonts w:ascii="Verdana" w:hAnsi="Verdana"/>
          <w:i/>
          <w:sz w:val="20"/>
        </w:rPr>
        <w:t>38</w:t>
      </w:r>
      <w:r w:rsidRPr="00A37899">
        <w:rPr>
          <w:rFonts w:ascii="Verdana" w:hAnsi="Verdana"/>
          <w:i/>
          <w:spacing w:val="-5"/>
          <w:sz w:val="20"/>
        </w:rPr>
        <w:t xml:space="preserve"> </w:t>
      </w:r>
      <w:r w:rsidRPr="00A37899">
        <w:rPr>
          <w:rFonts w:ascii="Verdana" w:hAnsi="Verdana"/>
          <w:i/>
          <w:sz w:val="20"/>
        </w:rPr>
        <w:t>de</w:t>
      </w:r>
      <w:r w:rsidRPr="00A37899">
        <w:rPr>
          <w:rFonts w:ascii="Verdana" w:hAnsi="Verdana"/>
          <w:i/>
          <w:spacing w:val="-5"/>
          <w:sz w:val="20"/>
        </w:rPr>
        <w:t xml:space="preserve"> </w:t>
      </w:r>
      <w:r w:rsidRPr="00A37899">
        <w:rPr>
          <w:rFonts w:ascii="Verdana" w:hAnsi="Verdana"/>
          <w:i/>
          <w:sz w:val="20"/>
        </w:rPr>
        <w:t>la</w:t>
      </w:r>
      <w:r w:rsidRPr="00A37899">
        <w:rPr>
          <w:rFonts w:ascii="Verdana" w:hAnsi="Verdana"/>
          <w:i/>
          <w:spacing w:val="-5"/>
          <w:sz w:val="20"/>
        </w:rPr>
        <w:t xml:space="preserve"> </w:t>
      </w:r>
      <w:r w:rsidRPr="00A37899">
        <w:rPr>
          <w:rFonts w:ascii="Verdana" w:hAnsi="Verdana"/>
          <w:i/>
          <w:sz w:val="20"/>
        </w:rPr>
        <w:t>Ley</w:t>
      </w:r>
      <w:r w:rsidRPr="00A37899">
        <w:rPr>
          <w:rFonts w:ascii="Verdana" w:hAnsi="Verdana"/>
          <w:i/>
          <w:spacing w:val="-5"/>
          <w:sz w:val="20"/>
        </w:rPr>
        <w:t xml:space="preserve"> </w:t>
      </w:r>
      <w:r w:rsidRPr="00A37899">
        <w:rPr>
          <w:rFonts w:ascii="Verdana" w:hAnsi="Verdana"/>
          <w:i/>
          <w:sz w:val="20"/>
        </w:rPr>
        <w:t>996</w:t>
      </w:r>
      <w:r w:rsidRPr="00A37899">
        <w:rPr>
          <w:rFonts w:ascii="Verdana" w:hAnsi="Verdana"/>
          <w:i/>
          <w:spacing w:val="-5"/>
          <w:sz w:val="20"/>
        </w:rPr>
        <w:t xml:space="preserve"> </w:t>
      </w:r>
      <w:r w:rsidRPr="00A37899">
        <w:rPr>
          <w:rFonts w:ascii="Verdana" w:hAnsi="Verdana"/>
          <w:i/>
          <w:sz w:val="20"/>
        </w:rPr>
        <w:t>de</w:t>
      </w:r>
      <w:r w:rsidRPr="00A37899">
        <w:rPr>
          <w:rFonts w:ascii="Verdana" w:hAnsi="Verdana"/>
          <w:i/>
          <w:spacing w:val="-5"/>
          <w:sz w:val="20"/>
        </w:rPr>
        <w:t xml:space="preserve"> </w:t>
      </w:r>
      <w:r w:rsidRPr="00A37899">
        <w:rPr>
          <w:rFonts w:ascii="Verdana" w:hAnsi="Verdana"/>
          <w:i/>
          <w:sz w:val="20"/>
        </w:rPr>
        <w:t>2005</w:t>
      </w:r>
      <w:r w:rsidRPr="00A37899">
        <w:rPr>
          <w:rFonts w:ascii="Verdana" w:hAnsi="Verdana"/>
          <w:i/>
          <w:spacing w:val="-5"/>
          <w:sz w:val="20"/>
        </w:rPr>
        <w:t xml:space="preserve"> </w:t>
      </w:r>
      <w:r w:rsidRPr="00A37899">
        <w:rPr>
          <w:rFonts w:ascii="Verdana" w:hAnsi="Verdana"/>
          <w:sz w:val="20"/>
        </w:rPr>
        <w:t>prevé</w:t>
      </w:r>
      <w:r w:rsidRPr="00A37899">
        <w:rPr>
          <w:rFonts w:ascii="Verdana" w:hAnsi="Verdana"/>
          <w:spacing w:val="-5"/>
          <w:sz w:val="20"/>
        </w:rPr>
        <w:t xml:space="preserve"> </w:t>
      </w:r>
      <w:r w:rsidRPr="00A37899">
        <w:rPr>
          <w:rFonts w:ascii="Verdana" w:hAnsi="Verdana"/>
          <w:sz w:val="20"/>
        </w:rPr>
        <w:t>una</w:t>
      </w:r>
      <w:r w:rsidRPr="00A37899">
        <w:rPr>
          <w:rFonts w:ascii="Verdana" w:hAnsi="Verdana"/>
          <w:spacing w:val="-5"/>
          <w:sz w:val="20"/>
        </w:rPr>
        <w:t xml:space="preserve"> </w:t>
      </w:r>
      <w:r w:rsidRPr="00A37899">
        <w:rPr>
          <w:rFonts w:ascii="Verdana" w:hAnsi="Verdana"/>
          <w:sz w:val="20"/>
        </w:rPr>
        <w:t>restricción, aplicable respecto de cualquier tipo de contienda electoral, que prohíbe a los gobernadores, alcaldes municipales o distritales, secretarios, gerentes y directores de entidades</w:t>
      </w:r>
      <w:r w:rsidRPr="00A37899">
        <w:rPr>
          <w:rFonts w:ascii="Verdana" w:hAnsi="Verdana"/>
          <w:spacing w:val="-9"/>
          <w:sz w:val="20"/>
        </w:rPr>
        <w:t xml:space="preserve"> </w:t>
      </w:r>
      <w:r w:rsidRPr="00A37899">
        <w:rPr>
          <w:rFonts w:ascii="Verdana" w:hAnsi="Verdana"/>
          <w:sz w:val="20"/>
        </w:rPr>
        <w:t>descentralizadas</w:t>
      </w:r>
      <w:r w:rsidRPr="00A37899">
        <w:rPr>
          <w:rFonts w:ascii="Verdana" w:hAnsi="Verdana"/>
          <w:spacing w:val="-8"/>
          <w:sz w:val="20"/>
        </w:rPr>
        <w:t xml:space="preserve"> </w:t>
      </w:r>
      <w:r w:rsidRPr="00A37899">
        <w:rPr>
          <w:rFonts w:ascii="Verdana" w:hAnsi="Verdana"/>
          <w:sz w:val="20"/>
        </w:rPr>
        <w:t>del</w:t>
      </w:r>
      <w:r w:rsidRPr="00A37899">
        <w:rPr>
          <w:rFonts w:ascii="Verdana" w:hAnsi="Verdana"/>
          <w:spacing w:val="-11"/>
          <w:sz w:val="20"/>
        </w:rPr>
        <w:t xml:space="preserve"> </w:t>
      </w:r>
      <w:r w:rsidRPr="00A37899">
        <w:rPr>
          <w:rFonts w:ascii="Verdana" w:hAnsi="Verdana"/>
          <w:sz w:val="20"/>
        </w:rPr>
        <w:t>orden</w:t>
      </w:r>
      <w:r w:rsidRPr="00A37899">
        <w:rPr>
          <w:rFonts w:ascii="Verdana" w:hAnsi="Verdana"/>
          <w:spacing w:val="-10"/>
          <w:sz w:val="20"/>
        </w:rPr>
        <w:t xml:space="preserve"> </w:t>
      </w:r>
      <w:r w:rsidRPr="00A37899">
        <w:rPr>
          <w:rFonts w:ascii="Verdana" w:hAnsi="Verdana"/>
          <w:sz w:val="20"/>
        </w:rPr>
        <w:t>municipal,</w:t>
      </w:r>
      <w:r w:rsidRPr="00A37899">
        <w:rPr>
          <w:rFonts w:ascii="Verdana" w:hAnsi="Verdana"/>
          <w:spacing w:val="-10"/>
          <w:sz w:val="20"/>
        </w:rPr>
        <w:t xml:space="preserve"> </w:t>
      </w:r>
      <w:r w:rsidRPr="00A37899">
        <w:rPr>
          <w:rFonts w:ascii="Verdana" w:hAnsi="Verdana"/>
          <w:sz w:val="20"/>
        </w:rPr>
        <w:t>departamental</w:t>
      </w:r>
      <w:r w:rsidRPr="00A37899">
        <w:rPr>
          <w:rFonts w:ascii="Verdana" w:hAnsi="Verdana"/>
          <w:spacing w:val="-10"/>
          <w:sz w:val="20"/>
        </w:rPr>
        <w:t xml:space="preserve"> </w:t>
      </w:r>
      <w:r w:rsidRPr="00A37899">
        <w:rPr>
          <w:rFonts w:ascii="Verdana" w:hAnsi="Verdana"/>
          <w:sz w:val="20"/>
        </w:rPr>
        <w:t>o</w:t>
      </w:r>
      <w:r w:rsidRPr="00A37899">
        <w:rPr>
          <w:rFonts w:ascii="Verdana" w:hAnsi="Verdana"/>
          <w:spacing w:val="-11"/>
          <w:sz w:val="20"/>
        </w:rPr>
        <w:t xml:space="preserve"> </w:t>
      </w:r>
      <w:r w:rsidRPr="00A37899">
        <w:rPr>
          <w:rFonts w:ascii="Verdana" w:hAnsi="Verdana"/>
          <w:sz w:val="20"/>
        </w:rPr>
        <w:t>distrital</w:t>
      </w:r>
      <w:r w:rsidRPr="00A37899">
        <w:rPr>
          <w:rFonts w:ascii="Verdana" w:hAnsi="Verdana"/>
          <w:spacing w:val="-10"/>
          <w:sz w:val="20"/>
        </w:rPr>
        <w:t xml:space="preserve"> </w:t>
      </w:r>
      <w:r w:rsidRPr="00A37899">
        <w:rPr>
          <w:rFonts w:ascii="Verdana" w:hAnsi="Verdana"/>
          <w:sz w:val="20"/>
        </w:rPr>
        <w:t>“[…]</w:t>
      </w:r>
      <w:r w:rsidRPr="00A37899">
        <w:rPr>
          <w:rFonts w:ascii="Verdana" w:hAnsi="Verdana"/>
          <w:spacing w:val="-11"/>
          <w:sz w:val="20"/>
        </w:rPr>
        <w:t xml:space="preserve"> </w:t>
      </w:r>
      <w:r w:rsidRPr="00A37899">
        <w:rPr>
          <w:rFonts w:ascii="Verdana" w:hAnsi="Verdana"/>
          <w:sz w:val="20"/>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p>
    <w:p w14:paraId="4103F7A3"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503FFF81" w14:textId="77777777" w:rsidR="00A37899" w:rsidRPr="00A37899" w:rsidRDefault="00A37899" w:rsidP="00A37899">
      <w:pPr>
        <w:ind w:left="260" w:right="259"/>
        <w:jc w:val="both"/>
        <w:rPr>
          <w:rFonts w:ascii="Verdana" w:hAnsi="Verdana"/>
          <w:sz w:val="20"/>
        </w:rPr>
      </w:pPr>
      <w:r w:rsidRPr="00A37899">
        <w:rPr>
          <w:rFonts w:ascii="Verdana" w:hAnsi="Verdana"/>
          <w:sz w:val="20"/>
        </w:rPr>
        <w:t>En</w:t>
      </w:r>
      <w:r w:rsidRPr="00A37899">
        <w:rPr>
          <w:rFonts w:ascii="Verdana" w:hAnsi="Verdana"/>
          <w:spacing w:val="-7"/>
          <w:sz w:val="20"/>
        </w:rPr>
        <w:t xml:space="preserve"> </w:t>
      </w:r>
      <w:r w:rsidRPr="00A37899">
        <w:rPr>
          <w:rFonts w:ascii="Verdana" w:hAnsi="Verdana"/>
          <w:sz w:val="20"/>
        </w:rPr>
        <w:t>efecto,</w:t>
      </w:r>
      <w:r w:rsidRPr="00A37899">
        <w:rPr>
          <w:rFonts w:ascii="Verdana" w:hAnsi="Verdana"/>
          <w:spacing w:val="-6"/>
          <w:sz w:val="20"/>
        </w:rPr>
        <w:t xml:space="preserve"> </w:t>
      </w:r>
      <w:r w:rsidRPr="00A37899">
        <w:rPr>
          <w:rFonts w:ascii="Verdana" w:hAnsi="Verdana"/>
          <w:sz w:val="20"/>
        </w:rPr>
        <w:t>el</w:t>
      </w:r>
      <w:r w:rsidRPr="00A37899">
        <w:rPr>
          <w:rFonts w:ascii="Verdana" w:hAnsi="Verdana"/>
          <w:spacing w:val="-7"/>
          <w:sz w:val="20"/>
        </w:rPr>
        <w:t xml:space="preserve"> </w:t>
      </w:r>
      <w:r w:rsidRPr="00A37899">
        <w:rPr>
          <w:rFonts w:ascii="Verdana" w:hAnsi="Verdana"/>
          <w:sz w:val="20"/>
        </w:rPr>
        <w:t>concepto</w:t>
      </w:r>
      <w:r w:rsidRPr="00A37899">
        <w:rPr>
          <w:rFonts w:ascii="Verdana" w:hAnsi="Verdana"/>
          <w:spacing w:val="-6"/>
          <w:sz w:val="20"/>
        </w:rPr>
        <w:t xml:space="preserve"> </w:t>
      </w:r>
      <w:r w:rsidRPr="00A37899">
        <w:rPr>
          <w:rFonts w:ascii="Verdana" w:hAnsi="Verdana"/>
          <w:sz w:val="20"/>
        </w:rPr>
        <w:t>de</w:t>
      </w:r>
      <w:r w:rsidRPr="00A37899">
        <w:rPr>
          <w:rFonts w:ascii="Verdana" w:hAnsi="Verdana"/>
          <w:spacing w:val="-7"/>
          <w:sz w:val="20"/>
        </w:rPr>
        <w:t xml:space="preserve"> </w:t>
      </w:r>
      <w:r w:rsidRPr="00A37899">
        <w:rPr>
          <w:rFonts w:ascii="Verdana" w:hAnsi="Verdana"/>
          <w:sz w:val="20"/>
        </w:rPr>
        <w:t>celebración</w:t>
      </w:r>
      <w:r w:rsidRPr="00A37899">
        <w:rPr>
          <w:rFonts w:ascii="Verdana" w:hAnsi="Verdana"/>
          <w:spacing w:val="-5"/>
          <w:sz w:val="20"/>
        </w:rPr>
        <w:t xml:space="preserve"> </w:t>
      </w:r>
      <w:r w:rsidRPr="00A37899">
        <w:rPr>
          <w:rFonts w:ascii="Verdana" w:hAnsi="Verdana"/>
          <w:sz w:val="20"/>
        </w:rPr>
        <w:t>en</w:t>
      </w:r>
      <w:r w:rsidRPr="00A37899">
        <w:rPr>
          <w:rFonts w:ascii="Verdana" w:hAnsi="Verdana"/>
          <w:spacing w:val="-7"/>
          <w:sz w:val="20"/>
        </w:rPr>
        <w:t xml:space="preserve"> </w:t>
      </w:r>
      <w:r w:rsidRPr="00A37899">
        <w:rPr>
          <w:rFonts w:ascii="Verdana" w:hAnsi="Verdana"/>
          <w:sz w:val="20"/>
        </w:rPr>
        <w:t>el</w:t>
      </w:r>
      <w:r w:rsidRPr="00A37899">
        <w:rPr>
          <w:rFonts w:ascii="Verdana" w:hAnsi="Verdana"/>
          <w:spacing w:val="-7"/>
          <w:sz w:val="20"/>
        </w:rPr>
        <w:t xml:space="preserve"> </w:t>
      </w:r>
      <w:r w:rsidRPr="00A37899">
        <w:rPr>
          <w:rFonts w:ascii="Verdana" w:hAnsi="Verdana"/>
          <w:sz w:val="20"/>
        </w:rPr>
        <w:t>marco</w:t>
      </w:r>
      <w:r w:rsidRPr="00A37899">
        <w:rPr>
          <w:rFonts w:ascii="Verdana" w:hAnsi="Verdana"/>
          <w:spacing w:val="-6"/>
          <w:sz w:val="20"/>
        </w:rPr>
        <w:t xml:space="preserve"> </w:t>
      </w:r>
      <w:r w:rsidRPr="00A37899">
        <w:rPr>
          <w:rFonts w:ascii="Verdana" w:hAnsi="Verdana"/>
          <w:sz w:val="20"/>
        </w:rPr>
        <w:t>de</w:t>
      </w:r>
      <w:r w:rsidRPr="00A37899">
        <w:rPr>
          <w:rFonts w:ascii="Verdana" w:hAnsi="Verdana"/>
          <w:spacing w:val="-7"/>
          <w:sz w:val="20"/>
        </w:rPr>
        <w:t xml:space="preserve"> </w:t>
      </w:r>
      <w:r w:rsidRPr="00A37899">
        <w:rPr>
          <w:rFonts w:ascii="Verdana" w:hAnsi="Verdana"/>
          <w:sz w:val="20"/>
        </w:rPr>
        <w:t>la</w:t>
      </w:r>
      <w:r w:rsidRPr="00A37899">
        <w:rPr>
          <w:rFonts w:ascii="Verdana" w:hAnsi="Verdana"/>
          <w:spacing w:val="-7"/>
          <w:sz w:val="20"/>
        </w:rPr>
        <w:t xml:space="preserve"> </w:t>
      </w:r>
      <w:r w:rsidRPr="00A37899">
        <w:rPr>
          <w:rFonts w:ascii="Verdana" w:hAnsi="Verdana"/>
          <w:sz w:val="20"/>
        </w:rPr>
        <w:t>contratación</w:t>
      </w:r>
      <w:r w:rsidRPr="00A37899">
        <w:rPr>
          <w:rFonts w:ascii="Verdana" w:hAnsi="Verdana"/>
          <w:spacing w:val="-5"/>
          <w:sz w:val="20"/>
        </w:rPr>
        <w:t xml:space="preserve"> </w:t>
      </w:r>
      <w:r w:rsidRPr="00A37899">
        <w:rPr>
          <w:rFonts w:ascii="Verdana" w:hAnsi="Verdana"/>
          <w:sz w:val="20"/>
        </w:rPr>
        <w:t>estatal</w:t>
      </w:r>
      <w:r w:rsidRPr="00A37899">
        <w:rPr>
          <w:rFonts w:ascii="Verdana" w:hAnsi="Verdana"/>
          <w:spacing w:val="-7"/>
          <w:sz w:val="20"/>
        </w:rPr>
        <w:t xml:space="preserve"> </w:t>
      </w:r>
      <w:r w:rsidRPr="00A37899">
        <w:rPr>
          <w:rFonts w:ascii="Verdana" w:hAnsi="Verdana"/>
          <w:sz w:val="20"/>
        </w:rPr>
        <w:t>se</w:t>
      </w:r>
      <w:r w:rsidRPr="00A37899">
        <w:rPr>
          <w:rFonts w:ascii="Verdana" w:hAnsi="Verdana"/>
          <w:spacing w:val="-7"/>
          <w:sz w:val="20"/>
        </w:rPr>
        <w:t xml:space="preserve"> </w:t>
      </w:r>
      <w:r w:rsidRPr="00A37899">
        <w:rPr>
          <w:rFonts w:ascii="Verdana" w:hAnsi="Verdana"/>
          <w:sz w:val="20"/>
        </w:rPr>
        <w:t>relaciona con</w:t>
      </w:r>
      <w:r w:rsidRPr="00A37899">
        <w:rPr>
          <w:rFonts w:ascii="Verdana" w:hAnsi="Verdana"/>
          <w:spacing w:val="-17"/>
          <w:sz w:val="20"/>
        </w:rPr>
        <w:t xml:space="preserve"> </w:t>
      </w:r>
      <w:r w:rsidRPr="00A37899">
        <w:rPr>
          <w:rFonts w:ascii="Verdana" w:hAnsi="Verdana"/>
          <w:sz w:val="20"/>
        </w:rPr>
        <w:t>el</w:t>
      </w:r>
      <w:r w:rsidRPr="00A37899">
        <w:rPr>
          <w:rFonts w:ascii="Verdana" w:hAnsi="Verdana"/>
          <w:spacing w:val="-17"/>
          <w:sz w:val="20"/>
        </w:rPr>
        <w:t xml:space="preserve"> </w:t>
      </w:r>
      <w:r w:rsidRPr="00A37899">
        <w:rPr>
          <w:rFonts w:ascii="Verdana" w:hAnsi="Verdana"/>
          <w:sz w:val="20"/>
        </w:rPr>
        <w:t>perfeccionamiento,</w:t>
      </w:r>
      <w:r w:rsidRPr="00A37899">
        <w:rPr>
          <w:rFonts w:ascii="Verdana" w:hAnsi="Verdana"/>
          <w:spacing w:val="-15"/>
          <w:sz w:val="20"/>
        </w:rPr>
        <w:t xml:space="preserve"> </w:t>
      </w:r>
      <w:r w:rsidRPr="00A37899">
        <w:rPr>
          <w:rFonts w:ascii="Verdana" w:hAnsi="Verdana"/>
          <w:sz w:val="20"/>
        </w:rPr>
        <w:t>es</w:t>
      </w:r>
      <w:r w:rsidRPr="00A37899">
        <w:rPr>
          <w:rFonts w:ascii="Verdana" w:hAnsi="Verdana"/>
          <w:spacing w:val="-17"/>
          <w:sz w:val="20"/>
        </w:rPr>
        <w:t xml:space="preserve"> </w:t>
      </w:r>
      <w:r w:rsidRPr="00A37899">
        <w:rPr>
          <w:rFonts w:ascii="Verdana" w:hAnsi="Verdana"/>
          <w:sz w:val="20"/>
        </w:rPr>
        <w:t>decir,</w:t>
      </w:r>
      <w:r w:rsidRPr="00A37899">
        <w:rPr>
          <w:rFonts w:ascii="Verdana" w:hAnsi="Verdana"/>
          <w:spacing w:val="-16"/>
          <w:sz w:val="20"/>
        </w:rPr>
        <w:t xml:space="preserve"> </w:t>
      </w:r>
      <w:r w:rsidRPr="00A37899">
        <w:rPr>
          <w:rFonts w:ascii="Verdana" w:hAnsi="Verdana"/>
          <w:sz w:val="20"/>
        </w:rPr>
        <w:t>con</w:t>
      </w:r>
      <w:r w:rsidRPr="00A37899">
        <w:rPr>
          <w:rFonts w:ascii="Verdana" w:hAnsi="Verdana"/>
          <w:spacing w:val="-17"/>
          <w:sz w:val="20"/>
        </w:rPr>
        <w:t xml:space="preserve"> </w:t>
      </w:r>
      <w:r w:rsidRPr="00A37899">
        <w:rPr>
          <w:rFonts w:ascii="Verdana" w:hAnsi="Verdana"/>
          <w:sz w:val="20"/>
        </w:rPr>
        <w:t>los</w:t>
      </w:r>
      <w:r w:rsidRPr="00A37899">
        <w:rPr>
          <w:rFonts w:ascii="Verdana" w:hAnsi="Verdana"/>
          <w:spacing w:val="-17"/>
          <w:sz w:val="20"/>
        </w:rPr>
        <w:t xml:space="preserve"> </w:t>
      </w:r>
      <w:r w:rsidRPr="00A37899">
        <w:rPr>
          <w:rFonts w:ascii="Verdana" w:hAnsi="Verdana"/>
          <w:sz w:val="20"/>
        </w:rPr>
        <w:t>requisitos</w:t>
      </w:r>
      <w:r w:rsidRPr="00A37899">
        <w:rPr>
          <w:rFonts w:ascii="Verdana" w:hAnsi="Verdana"/>
          <w:spacing w:val="-15"/>
          <w:sz w:val="20"/>
        </w:rPr>
        <w:t xml:space="preserve"> </w:t>
      </w:r>
      <w:r w:rsidRPr="00A37899">
        <w:rPr>
          <w:rFonts w:ascii="Verdana" w:hAnsi="Verdana"/>
          <w:sz w:val="20"/>
        </w:rPr>
        <w:t>para</w:t>
      </w:r>
      <w:r w:rsidRPr="00A37899">
        <w:rPr>
          <w:rFonts w:ascii="Verdana" w:hAnsi="Verdana"/>
          <w:spacing w:val="-17"/>
          <w:sz w:val="20"/>
        </w:rPr>
        <w:t xml:space="preserve"> </w:t>
      </w:r>
      <w:r w:rsidRPr="00A37899">
        <w:rPr>
          <w:rFonts w:ascii="Verdana" w:hAnsi="Verdana"/>
          <w:sz w:val="20"/>
        </w:rPr>
        <w:t>que</w:t>
      </w:r>
      <w:r w:rsidRPr="00A37899">
        <w:rPr>
          <w:rFonts w:ascii="Verdana" w:hAnsi="Verdana"/>
          <w:spacing w:val="-17"/>
          <w:sz w:val="20"/>
        </w:rPr>
        <w:t xml:space="preserve"> </w:t>
      </w:r>
      <w:r w:rsidRPr="00A37899">
        <w:rPr>
          <w:rFonts w:ascii="Verdana" w:hAnsi="Verdana"/>
          <w:sz w:val="20"/>
        </w:rPr>
        <w:t>exista</w:t>
      </w:r>
      <w:r w:rsidRPr="00A37899">
        <w:rPr>
          <w:rFonts w:ascii="Verdana" w:hAnsi="Verdana"/>
          <w:spacing w:val="-17"/>
          <w:sz w:val="20"/>
        </w:rPr>
        <w:t xml:space="preserve"> </w:t>
      </w:r>
      <w:r w:rsidRPr="00A37899">
        <w:rPr>
          <w:rFonts w:ascii="Verdana" w:hAnsi="Verdana"/>
          <w:sz w:val="20"/>
        </w:rPr>
        <w:t>un</w:t>
      </w:r>
      <w:r w:rsidRPr="00A37899">
        <w:rPr>
          <w:rFonts w:ascii="Verdana" w:hAnsi="Verdana"/>
          <w:spacing w:val="-17"/>
          <w:sz w:val="20"/>
        </w:rPr>
        <w:t xml:space="preserve"> </w:t>
      </w:r>
      <w:r w:rsidRPr="00A37899">
        <w:rPr>
          <w:rFonts w:ascii="Verdana" w:hAnsi="Verdana"/>
          <w:sz w:val="20"/>
        </w:rPr>
        <w:t>contrato</w:t>
      </w:r>
      <w:r w:rsidRPr="00A37899">
        <w:rPr>
          <w:rFonts w:ascii="Verdana" w:hAnsi="Verdana"/>
          <w:spacing w:val="-16"/>
          <w:sz w:val="20"/>
        </w:rPr>
        <w:t xml:space="preserve"> </w:t>
      </w:r>
      <w:r w:rsidRPr="00A37899">
        <w:rPr>
          <w:rFonts w:ascii="Verdana" w:hAnsi="Verdana"/>
          <w:sz w:val="20"/>
        </w:rPr>
        <w:t>estatal. Al</w:t>
      </w:r>
      <w:r w:rsidRPr="00A37899">
        <w:rPr>
          <w:rFonts w:ascii="Verdana" w:hAnsi="Verdana"/>
          <w:spacing w:val="-8"/>
          <w:sz w:val="20"/>
        </w:rPr>
        <w:t xml:space="preserve"> </w:t>
      </w:r>
      <w:r w:rsidRPr="00A37899">
        <w:rPr>
          <w:rFonts w:ascii="Verdana" w:hAnsi="Verdana"/>
          <w:sz w:val="20"/>
        </w:rPr>
        <w:t>respecto,</w:t>
      </w:r>
      <w:r w:rsidRPr="00A37899">
        <w:rPr>
          <w:rFonts w:ascii="Verdana" w:hAnsi="Verdana"/>
          <w:spacing w:val="-7"/>
          <w:sz w:val="20"/>
        </w:rPr>
        <w:t xml:space="preserve"> </w:t>
      </w:r>
      <w:r w:rsidRPr="00A37899">
        <w:rPr>
          <w:rFonts w:ascii="Verdana" w:hAnsi="Verdana"/>
          <w:sz w:val="20"/>
        </w:rPr>
        <w:t>se</w:t>
      </w:r>
      <w:r w:rsidRPr="00A37899">
        <w:rPr>
          <w:rFonts w:ascii="Verdana" w:hAnsi="Verdana"/>
          <w:spacing w:val="-8"/>
          <w:sz w:val="20"/>
        </w:rPr>
        <w:t xml:space="preserve"> </w:t>
      </w:r>
      <w:r w:rsidRPr="00A37899">
        <w:rPr>
          <w:rFonts w:ascii="Verdana" w:hAnsi="Verdana"/>
          <w:sz w:val="20"/>
        </w:rPr>
        <w:t>destaca</w:t>
      </w:r>
      <w:r w:rsidRPr="00A37899">
        <w:rPr>
          <w:rFonts w:ascii="Verdana" w:hAnsi="Verdana"/>
          <w:spacing w:val="-7"/>
          <w:sz w:val="20"/>
        </w:rPr>
        <w:t xml:space="preserve"> </w:t>
      </w:r>
      <w:r w:rsidRPr="00A37899">
        <w:rPr>
          <w:rFonts w:ascii="Verdana" w:hAnsi="Verdana"/>
          <w:sz w:val="20"/>
        </w:rPr>
        <w:t>que</w:t>
      </w:r>
      <w:r w:rsidRPr="00A37899">
        <w:rPr>
          <w:rFonts w:ascii="Verdana" w:hAnsi="Verdana"/>
          <w:spacing w:val="-8"/>
          <w:sz w:val="20"/>
        </w:rPr>
        <w:t xml:space="preserve"> </w:t>
      </w:r>
      <w:r w:rsidRPr="00A37899">
        <w:rPr>
          <w:rFonts w:ascii="Verdana" w:hAnsi="Verdana"/>
          <w:sz w:val="20"/>
        </w:rPr>
        <w:t>en</w:t>
      </w:r>
      <w:r w:rsidRPr="00A37899">
        <w:rPr>
          <w:rFonts w:ascii="Verdana" w:hAnsi="Verdana"/>
          <w:spacing w:val="-8"/>
          <w:sz w:val="20"/>
        </w:rPr>
        <w:t xml:space="preserve"> </w:t>
      </w:r>
      <w:r w:rsidRPr="00A37899">
        <w:rPr>
          <w:rFonts w:ascii="Verdana" w:hAnsi="Verdana"/>
          <w:sz w:val="20"/>
        </w:rPr>
        <w:t>entidades</w:t>
      </w:r>
      <w:r w:rsidRPr="00A37899">
        <w:rPr>
          <w:rFonts w:ascii="Verdana" w:hAnsi="Verdana"/>
          <w:spacing w:val="-7"/>
          <w:sz w:val="20"/>
        </w:rPr>
        <w:t xml:space="preserve"> </w:t>
      </w:r>
      <w:r w:rsidRPr="00A37899">
        <w:rPr>
          <w:rFonts w:ascii="Verdana" w:hAnsi="Verdana"/>
          <w:sz w:val="20"/>
        </w:rPr>
        <w:t>sometidas</w:t>
      </w:r>
      <w:r w:rsidRPr="00A37899">
        <w:rPr>
          <w:rFonts w:ascii="Verdana" w:hAnsi="Verdana"/>
          <w:spacing w:val="-7"/>
          <w:sz w:val="20"/>
        </w:rPr>
        <w:t xml:space="preserve"> </w:t>
      </w:r>
      <w:r w:rsidRPr="00A37899">
        <w:rPr>
          <w:rFonts w:ascii="Verdana" w:hAnsi="Verdana"/>
          <w:sz w:val="20"/>
        </w:rPr>
        <w:t>al</w:t>
      </w:r>
      <w:r w:rsidRPr="00A37899">
        <w:rPr>
          <w:rFonts w:ascii="Verdana" w:hAnsi="Verdana"/>
          <w:spacing w:val="-8"/>
          <w:sz w:val="20"/>
        </w:rPr>
        <w:t xml:space="preserve"> </w:t>
      </w:r>
      <w:r w:rsidRPr="00A37899">
        <w:rPr>
          <w:rFonts w:ascii="Verdana" w:hAnsi="Verdana"/>
          <w:sz w:val="20"/>
        </w:rPr>
        <w:t>Estatuto</w:t>
      </w:r>
      <w:r w:rsidRPr="00A37899">
        <w:rPr>
          <w:rFonts w:ascii="Verdana" w:hAnsi="Verdana"/>
          <w:spacing w:val="-7"/>
          <w:sz w:val="20"/>
        </w:rPr>
        <w:t xml:space="preserve"> </w:t>
      </w:r>
      <w:r w:rsidRPr="00A37899">
        <w:rPr>
          <w:rFonts w:ascii="Verdana" w:hAnsi="Verdana"/>
          <w:sz w:val="20"/>
        </w:rPr>
        <w:t>General</w:t>
      </w:r>
      <w:r w:rsidRPr="00A37899">
        <w:rPr>
          <w:rFonts w:ascii="Verdana" w:hAnsi="Verdana"/>
          <w:spacing w:val="-8"/>
          <w:sz w:val="20"/>
        </w:rPr>
        <w:t xml:space="preserve"> </w:t>
      </w:r>
      <w:r w:rsidRPr="00A37899">
        <w:rPr>
          <w:rFonts w:ascii="Verdana" w:hAnsi="Verdana"/>
          <w:sz w:val="20"/>
        </w:rPr>
        <w:t>de</w:t>
      </w:r>
      <w:r w:rsidRPr="00A37899">
        <w:rPr>
          <w:rFonts w:ascii="Verdana" w:hAnsi="Verdana"/>
          <w:spacing w:val="-8"/>
          <w:sz w:val="20"/>
        </w:rPr>
        <w:t xml:space="preserve"> </w:t>
      </w:r>
      <w:r w:rsidRPr="00A37899">
        <w:rPr>
          <w:rFonts w:ascii="Verdana" w:hAnsi="Verdana"/>
          <w:sz w:val="20"/>
        </w:rPr>
        <w:t>Contratación de la Administración Pública la existencia de los contratos estatales, es decir, la producción de</w:t>
      </w:r>
      <w:r w:rsidRPr="00A37899">
        <w:rPr>
          <w:rFonts w:ascii="Verdana" w:hAnsi="Verdana"/>
          <w:spacing w:val="-1"/>
          <w:sz w:val="20"/>
        </w:rPr>
        <w:t xml:space="preserve"> </w:t>
      </w:r>
      <w:r w:rsidRPr="00A37899">
        <w:rPr>
          <w:rFonts w:ascii="Verdana" w:hAnsi="Verdana"/>
          <w:sz w:val="20"/>
        </w:rPr>
        <w:t>efectos jurídicos en</w:t>
      </w:r>
      <w:r w:rsidRPr="00A37899">
        <w:rPr>
          <w:rFonts w:ascii="Verdana" w:hAnsi="Verdana"/>
          <w:spacing w:val="-1"/>
          <w:sz w:val="20"/>
        </w:rPr>
        <w:t xml:space="preserve"> </w:t>
      </w:r>
      <w:r w:rsidRPr="00A37899">
        <w:rPr>
          <w:rFonts w:ascii="Verdana" w:hAnsi="Verdana"/>
          <w:sz w:val="20"/>
        </w:rPr>
        <w:t>los</w:t>
      </w:r>
      <w:r w:rsidRPr="00A37899">
        <w:rPr>
          <w:rFonts w:ascii="Verdana" w:hAnsi="Verdana"/>
          <w:spacing w:val="-1"/>
          <w:sz w:val="20"/>
        </w:rPr>
        <w:t xml:space="preserve"> </w:t>
      </w:r>
      <w:r w:rsidRPr="00A37899">
        <w:rPr>
          <w:rFonts w:ascii="Verdana" w:hAnsi="Verdana"/>
          <w:sz w:val="20"/>
        </w:rPr>
        <w:t>términos del</w:t>
      </w:r>
      <w:r w:rsidRPr="00A37899">
        <w:rPr>
          <w:rFonts w:ascii="Verdana" w:hAnsi="Verdana"/>
          <w:spacing w:val="-1"/>
          <w:sz w:val="20"/>
        </w:rPr>
        <w:t xml:space="preserve"> </w:t>
      </w:r>
      <w:r w:rsidRPr="00A37899">
        <w:rPr>
          <w:rFonts w:ascii="Verdana" w:hAnsi="Verdana"/>
          <w:sz w:val="20"/>
        </w:rPr>
        <w:t>artículo 1501</w:t>
      </w:r>
      <w:r w:rsidRPr="00A37899">
        <w:rPr>
          <w:rFonts w:ascii="Verdana" w:hAnsi="Verdana"/>
          <w:spacing w:val="-1"/>
          <w:sz w:val="20"/>
        </w:rPr>
        <w:t xml:space="preserve"> </w:t>
      </w:r>
      <w:proofErr w:type="spellStart"/>
      <w:r w:rsidRPr="00A37899">
        <w:rPr>
          <w:rFonts w:ascii="Verdana" w:hAnsi="Verdana"/>
          <w:i/>
          <w:sz w:val="20"/>
        </w:rPr>
        <w:t>ibídem</w:t>
      </w:r>
      <w:proofErr w:type="spellEnd"/>
      <w:r w:rsidRPr="00A37899">
        <w:rPr>
          <w:rFonts w:ascii="Verdana" w:hAnsi="Verdana"/>
          <w:sz w:val="20"/>
        </w:rPr>
        <w:t>,</w:t>
      </w:r>
      <w:r w:rsidRPr="00A37899">
        <w:rPr>
          <w:rFonts w:ascii="Verdana" w:hAnsi="Verdana"/>
          <w:spacing w:val="-2"/>
          <w:sz w:val="20"/>
        </w:rPr>
        <w:t xml:space="preserve"> </w:t>
      </w:r>
      <w:r w:rsidRPr="00A37899">
        <w:rPr>
          <w:rFonts w:ascii="Verdana" w:hAnsi="Verdana"/>
          <w:sz w:val="20"/>
        </w:rPr>
        <w:t>depende</w:t>
      </w:r>
      <w:r w:rsidRPr="00A37899">
        <w:rPr>
          <w:rFonts w:ascii="Verdana" w:hAnsi="Verdana"/>
          <w:spacing w:val="-1"/>
          <w:sz w:val="20"/>
        </w:rPr>
        <w:t xml:space="preserve"> </w:t>
      </w:r>
      <w:r w:rsidRPr="00A37899">
        <w:rPr>
          <w:rFonts w:ascii="Verdana" w:hAnsi="Verdana"/>
          <w:sz w:val="20"/>
        </w:rPr>
        <w:t>de</w:t>
      </w:r>
      <w:r w:rsidRPr="00A37899">
        <w:rPr>
          <w:rFonts w:ascii="Verdana" w:hAnsi="Verdana"/>
          <w:spacing w:val="-1"/>
          <w:sz w:val="20"/>
        </w:rPr>
        <w:t xml:space="preserve"> </w:t>
      </w:r>
      <w:r w:rsidRPr="00A37899">
        <w:rPr>
          <w:rFonts w:ascii="Verdana" w:hAnsi="Verdana"/>
          <w:sz w:val="20"/>
        </w:rPr>
        <w:t>la regulación</w:t>
      </w:r>
      <w:r w:rsidRPr="00A37899">
        <w:rPr>
          <w:rFonts w:ascii="Verdana" w:hAnsi="Verdana"/>
          <w:spacing w:val="-4"/>
          <w:sz w:val="20"/>
        </w:rPr>
        <w:t xml:space="preserve"> </w:t>
      </w:r>
      <w:r w:rsidRPr="00A37899">
        <w:rPr>
          <w:rFonts w:ascii="Verdana" w:hAnsi="Verdana"/>
          <w:sz w:val="20"/>
        </w:rPr>
        <w:t>del</w:t>
      </w:r>
      <w:r w:rsidRPr="00A37899">
        <w:rPr>
          <w:rFonts w:ascii="Verdana" w:hAnsi="Verdana"/>
          <w:spacing w:val="-5"/>
          <w:sz w:val="20"/>
        </w:rPr>
        <w:t xml:space="preserve"> </w:t>
      </w:r>
      <w:r w:rsidRPr="00A37899">
        <w:rPr>
          <w:rFonts w:ascii="Verdana" w:hAnsi="Verdana"/>
          <w:sz w:val="20"/>
        </w:rPr>
        <w:t>inciso</w:t>
      </w:r>
      <w:r w:rsidRPr="00A37899">
        <w:rPr>
          <w:rFonts w:ascii="Verdana" w:hAnsi="Verdana"/>
          <w:spacing w:val="-5"/>
          <w:sz w:val="20"/>
        </w:rPr>
        <w:t xml:space="preserve"> </w:t>
      </w:r>
      <w:r w:rsidRPr="00A37899">
        <w:rPr>
          <w:rFonts w:ascii="Verdana" w:hAnsi="Verdana"/>
          <w:sz w:val="20"/>
        </w:rPr>
        <w:t>primero</w:t>
      </w:r>
      <w:r w:rsidRPr="00A37899">
        <w:rPr>
          <w:rFonts w:ascii="Verdana" w:hAnsi="Verdana"/>
          <w:spacing w:val="-4"/>
          <w:sz w:val="20"/>
        </w:rPr>
        <w:t xml:space="preserve"> </w:t>
      </w:r>
      <w:r w:rsidRPr="00A37899">
        <w:rPr>
          <w:rFonts w:ascii="Verdana" w:hAnsi="Verdana"/>
          <w:sz w:val="20"/>
        </w:rPr>
        <w:t>de</w:t>
      </w:r>
      <w:r w:rsidRPr="00A37899">
        <w:rPr>
          <w:rFonts w:ascii="Verdana" w:hAnsi="Verdana"/>
          <w:spacing w:val="-5"/>
          <w:sz w:val="20"/>
        </w:rPr>
        <w:t xml:space="preserve"> </w:t>
      </w:r>
      <w:r w:rsidRPr="00A37899">
        <w:rPr>
          <w:rFonts w:ascii="Verdana" w:hAnsi="Verdana"/>
          <w:sz w:val="20"/>
        </w:rPr>
        <w:t>los</w:t>
      </w:r>
      <w:r w:rsidRPr="00A37899">
        <w:rPr>
          <w:rFonts w:ascii="Verdana" w:hAnsi="Verdana"/>
          <w:spacing w:val="-5"/>
          <w:sz w:val="20"/>
        </w:rPr>
        <w:t xml:space="preserve"> </w:t>
      </w:r>
      <w:r w:rsidRPr="00A37899">
        <w:rPr>
          <w:rFonts w:ascii="Verdana" w:hAnsi="Verdana"/>
          <w:sz w:val="20"/>
        </w:rPr>
        <w:t>artículos</w:t>
      </w:r>
      <w:r w:rsidRPr="00A37899">
        <w:rPr>
          <w:rFonts w:ascii="Verdana" w:hAnsi="Verdana"/>
          <w:spacing w:val="-4"/>
          <w:sz w:val="20"/>
        </w:rPr>
        <w:t xml:space="preserve"> </w:t>
      </w:r>
      <w:r w:rsidRPr="00A37899">
        <w:rPr>
          <w:rFonts w:ascii="Verdana" w:hAnsi="Verdana"/>
          <w:sz w:val="20"/>
        </w:rPr>
        <w:t>39</w:t>
      </w:r>
      <w:r w:rsidRPr="00A37899">
        <w:rPr>
          <w:rFonts w:ascii="Verdana" w:hAnsi="Verdana"/>
          <w:spacing w:val="-5"/>
          <w:sz w:val="20"/>
        </w:rPr>
        <w:t xml:space="preserve"> </w:t>
      </w:r>
      <w:r w:rsidRPr="00A37899">
        <w:rPr>
          <w:rFonts w:ascii="Verdana" w:hAnsi="Verdana"/>
          <w:sz w:val="20"/>
        </w:rPr>
        <w:t>y</w:t>
      </w:r>
      <w:r w:rsidRPr="00A37899">
        <w:rPr>
          <w:rFonts w:ascii="Verdana" w:hAnsi="Verdana"/>
          <w:spacing w:val="-6"/>
          <w:sz w:val="20"/>
        </w:rPr>
        <w:t xml:space="preserve"> </w:t>
      </w:r>
      <w:r w:rsidRPr="00A37899">
        <w:rPr>
          <w:rFonts w:ascii="Verdana" w:hAnsi="Verdana"/>
          <w:sz w:val="20"/>
        </w:rPr>
        <w:t>41</w:t>
      </w:r>
      <w:r w:rsidRPr="00A37899">
        <w:rPr>
          <w:rFonts w:ascii="Verdana" w:hAnsi="Verdana"/>
          <w:spacing w:val="-5"/>
          <w:sz w:val="20"/>
        </w:rPr>
        <w:t xml:space="preserve"> </w:t>
      </w:r>
      <w:r w:rsidRPr="00A37899">
        <w:rPr>
          <w:rFonts w:ascii="Verdana" w:hAnsi="Verdana"/>
          <w:sz w:val="20"/>
        </w:rPr>
        <w:t>de</w:t>
      </w:r>
      <w:r w:rsidRPr="00A37899">
        <w:rPr>
          <w:rFonts w:ascii="Verdana" w:hAnsi="Verdana"/>
          <w:spacing w:val="-5"/>
          <w:sz w:val="20"/>
        </w:rPr>
        <w:t xml:space="preserve"> </w:t>
      </w:r>
      <w:r w:rsidRPr="00A37899">
        <w:rPr>
          <w:rFonts w:ascii="Verdana" w:hAnsi="Verdana"/>
          <w:sz w:val="20"/>
        </w:rPr>
        <w:t>la</w:t>
      </w:r>
      <w:r w:rsidRPr="00A37899">
        <w:rPr>
          <w:rFonts w:ascii="Verdana" w:hAnsi="Verdana"/>
          <w:spacing w:val="-5"/>
          <w:sz w:val="20"/>
        </w:rPr>
        <w:t xml:space="preserve"> </w:t>
      </w:r>
      <w:r w:rsidRPr="00A37899">
        <w:rPr>
          <w:rFonts w:ascii="Verdana" w:hAnsi="Verdana"/>
          <w:sz w:val="20"/>
        </w:rPr>
        <w:t>Ley</w:t>
      </w:r>
      <w:r w:rsidRPr="00A37899">
        <w:rPr>
          <w:rFonts w:ascii="Verdana" w:hAnsi="Verdana"/>
          <w:spacing w:val="-5"/>
          <w:sz w:val="20"/>
        </w:rPr>
        <w:t xml:space="preserve"> </w:t>
      </w:r>
      <w:r w:rsidRPr="00A37899">
        <w:rPr>
          <w:rFonts w:ascii="Verdana" w:hAnsi="Verdana"/>
          <w:sz w:val="20"/>
        </w:rPr>
        <w:t>80</w:t>
      </w:r>
      <w:r w:rsidRPr="00A37899">
        <w:rPr>
          <w:rFonts w:ascii="Verdana" w:hAnsi="Verdana"/>
          <w:spacing w:val="-5"/>
          <w:sz w:val="20"/>
        </w:rPr>
        <w:t xml:space="preserve"> </w:t>
      </w:r>
      <w:r w:rsidRPr="00A37899">
        <w:rPr>
          <w:rFonts w:ascii="Verdana" w:hAnsi="Verdana"/>
          <w:sz w:val="20"/>
        </w:rPr>
        <w:t>de</w:t>
      </w:r>
      <w:r w:rsidRPr="00A37899">
        <w:rPr>
          <w:rFonts w:ascii="Verdana" w:hAnsi="Verdana"/>
          <w:spacing w:val="-5"/>
          <w:sz w:val="20"/>
        </w:rPr>
        <w:t xml:space="preserve"> </w:t>
      </w:r>
      <w:r w:rsidRPr="00A37899">
        <w:rPr>
          <w:rFonts w:ascii="Verdana" w:hAnsi="Verdana"/>
          <w:sz w:val="20"/>
        </w:rPr>
        <w:t>1993.</w:t>
      </w:r>
      <w:r w:rsidRPr="00A37899">
        <w:rPr>
          <w:rFonts w:ascii="Verdana" w:hAnsi="Verdana"/>
          <w:spacing w:val="-5"/>
          <w:sz w:val="20"/>
        </w:rPr>
        <w:t xml:space="preserve"> </w:t>
      </w:r>
      <w:r w:rsidRPr="00A37899">
        <w:rPr>
          <w:rFonts w:ascii="Verdana" w:hAnsi="Verdana"/>
          <w:sz w:val="20"/>
        </w:rPr>
        <w:t>Por</w:t>
      </w:r>
      <w:r w:rsidRPr="00A37899">
        <w:rPr>
          <w:rFonts w:ascii="Verdana" w:hAnsi="Verdana"/>
          <w:spacing w:val="-5"/>
          <w:sz w:val="20"/>
        </w:rPr>
        <w:t xml:space="preserve"> </w:t>
      </w:r>
      <w:r w:rsidRPr="00A37899">
        <w:rPr>
          <w:rFonts w:ascii="Verdana" w:hAnsi="Verdana"/>
          <w:sz w:val="20"/>
        </w:rPr>
        <w:t>un</w:t>
      </w:r>
      <w:r w:rsidRPr="00A37899">
        <w:rPr>
          <w:rFonts w:ascii="Verdana" w:hAnsi="Verdana"/>
          <w:spacing w:val="-5"/>
          <w:sz w:val="20"/>
        </w:rPr>
        <w:t xml:space="preserve"> </w:t>
      </w:r>
      <w:r w:rsidRPr="00A37899">
        <w:rPr>
          <w:rFonts w:ascii="Verdana" w:hAnsi="Verdana"/>
          <w:sz w:val="20"/>
        </w:rPr>
        <w:t>lado, “Los</w:t>
      </w:r>
      <w:r w:rsidRPr="00A37899">
        <w:rPr>
          <w:rFonts w:ascii="Verdana" w:hAnsi="Verdana"/>
          <w:spacing w:val="-17"/>
          <w:sz w:val="20"/>
        </w:rPr>
        <w:t xml:space="preserve"> </w:t>
      </w:r>
      <w:r w:rsidRPr="00A37899">
        <w:rPr>
          <w:rFonts w:ascii="Verdana" w:hAnsi="Verdana"/>
          <w:sz w:val="20"/>
        </w:rPr>
        <w:t>contratos</w:t>
      </w:r>
      <w:r w:rsidRPr="00A37899">
        <w:rPr>
          <w:rFonts w:ascii="Verdana" w:hAnsi="Verdana"/>
          <w:spacing w:val="-15"/>
          <w:sz w:val="20"/>
        </w:rPr>
        <w:t xml:space="preserve"> </w:t>
      </w:r>
      <w:r w:rsidRPr="00A37899">
        <w:rPr>
          <w:rFonts w:ascii="Verdana" w:hAnsi="Verdana"/>
          <w:sz w:val="20"/>
        </w:rPr>
        <w:t>que</w:t>
      </w:r>
      <w:r w:rsidRPr="00A37899">
        <w:rPr>
          <w:rFonts w:ascii="Verdana" w:hAnsi="Verdana"/>
          <w:spacing w:val="-17"/>
          <w:sz w:val="20"/>
        </w:rPr>
        <w:t xml:space="preserve"> </w:t>
      </w:r>
      <w:r w:rsidRPr="00A37899">
        <w:rPr>
          <w:rFonts w:ascii="Verdana" w:hAnsi="Verdana"/>
          <w:sz w:val="20"/>
        </w:rPr>
        <w:t>celebren</w:t>
      </w:r>
      <w:r w:rsidRPr="00A37899">
        <w:rPr>
          <w:rFonts w:ascii="Verdana" w:hAnsi="Verdana"/>
          <w:spacing w:val="-16"/>
          <w:sz w:val="20"/>
        </w:rPr>
        <w:t xml:space="preserve"> </w:t>
      </w:r>
      <w:r w:rsidRPr="00A37899">
        <w:rPr>
          <w:rFonts w:ascii="Verdana" w:hAnsi="Verdana"/>
          <w:sz w:val="20"/>
        </w:rPr>
        <w:t>las</w:t>
      </w:r>
      <w:r w:rsidRPr="00A37899">
        <w:rPr>
          <w:rFonts w:ascii="Verdana" w:hAnsi="Verdana"/>
          <w:spacing w:val="-17"/>
          <w:sz w:val="20"/>
        </w:rPr>
        <w:t xml:space="preserve"> </w:t>
      </w:r>
      <w:r w:rsidRPr="00A37899">
        <w:rPr>
          <w:rFonts w:ascii="Verdana" w:hAnsi="Verdana"/>
          <w:sz w:val="20"/>
        </w:rPr>
        <w:t>entidades</w:t>
      </w:r>
      <w:r w:rsidRPr="00A37899">
        <w:rPr>
          <w:rFonts w:ascii="Verdana" w:hAnsi="Verdana"/>
          <w:spacing w:val="-15"/>
          <w:sz w:val="20"/>
        </w:rPr>
        <w:t xml:space="preserve"> </w:t>
      </w:r>
      <w:r w:rsidRPr="00A37899">
        <w:rPr>
          <w:rFonts w:ascii="Verdana" w:hAnsi="Verdana"/>
          <w:sz w:val="20"/>
        </w:rPr>
        <w:t>estatales</w:t>
      </w:r>
      <w:r w:rsidRPr="00A37899">
        <w:rPr>
          <w:rFonts w:ascii="Verdana" w:hAnsi="Verdana"/>
          <w:spacing w:val="-15"/>
          <w:sz w:val="20"/>
        </w:rPr>
        <w:t xml:space="preserve"> </w:t>
      </w:r>
      <w:r w:rsidRPr="00A37899">
        <w:rPr>
          <w:rFonts w:ascii="Verdana" w:hAnsi="Verdana"/>
          <w:sz w:val="20"/>
        </w:rPr>
        <w:t>constarán</w:t>
      </w:r>
      <w:r w:rsidRPr="00A37899">
        <w:rPr>
          <w:rFonts w:ascii="Verdana" w:hAnsi="Verdana"/>
          <w:spacing w:val="-16"/>
          <w:sz w:val="20"/>
        </w:rPr>
        <w:t xml:space="preserve"> </w:t>
      </w:r>
      <w:r w:rsidRPr="00A37899">
        <w:rPr>
          <w:rFonts w:ascii="Verdana" w:hAnsi="Verdana"/>
          <w:sz w:val="20"/>
        </w:rPr>
        <w:t>por</w:t>
      </w:r>
      <w:r w:rsidRPr="00A37899">
        <w:rPr>
          <w:rFonts w:ascii="Verdana" w:hAnsi="Verdana"/>
          <w:spacing w:val="-17"/>
          <w:sz w:val="20"/>
        </w:rPr>
        <w:t xml:space="preserve"> </w:t>
      </w:r>
      <w:r w:rsidRPr="00A37899">
        <w:rPr>
          <w:rFonts w:ascii="Verdana" w:hAnsi="Verdana"/>
          <w:sz w:val="20"/>
        </w:rPr>
        <w:t>escrito</w:t>
      </w:r>
      <w:r w:rsidRPr="00A37899">
        <w:rPr>
          <w:rFonts w:ascii="Verdana" w:hAnsi="Verdana"/>
          <w:spacing w:val="-16"/>
          <w:sz w:val="20"/>
        </w:rPr>
        <w:t xml:space="preserve"> </w:t>
      </w:r>
      <w:r w:rsidRPr="00A37899">
        <w:rPr>
          <w:rFonts w:ascii="Verdana" w:hAnsi="Verdana"/>
          <w:sz w:val="20"/>
        </w:rPr>
        <w:t>y</w:t>
      </w:r>
      <w:r w:rsidRPr="00A37899">
        <w:rPr>
          <w:rFonts w:ascii="Verdana" w:hAnsi="Verdana"/>
          <w:spacing w:val="-17"/>
          <w:sz w:val="20"/>
        </w:rPr>
        <w:t xml:space="preserve"> </w:t>
      </w:r>
      <w:r w:rsidRPr="00A37899">
        <w:rPr>
          <w:rFonts w:ascii="Verdana" w:hAnsi="Verdana"/>
          <w:sz w:val="20"/>
        </w:rPr>
        <w:t>no</w:t>
      </w:r>
      <w:r w:rsidRPr="00A37899">
        <w:rPr>
          <w:rFonts w:ascii="Verdana" w:hAnsi="Verdana"/>
          <w:spacing w:val="-17"/>
          <w:sz w:val="20"/>
        </w:rPr>
        <w:t xml:space="preserve"> </w:t>
      </w:r>
      <w:r w:rsidRPr="00A37899">
        <w:rPr>
          <w:rFonts w:ascii="Verdana" w:hAnsi="Verdana"/>
          <w:sz w:val="20"/>
        </w:rPr>
        <w:t>requerirán ser</w:t>
      </w:r>
      <w:r w:rsidRPr="00A37899">
        <w:rPr>
          <w:rFonts w:ascii="Verdana" w:hAnsi="Verdana"/>
          <w:spacing w:val="-2"/>
          <w:sz w:val="20"/>
        </w:rPr>
        <w:t xml:space="preserve"> </w:t>
      </w:r>
      <w:r w:rsidRPr="00A37899">
        <w:rPr>
          <w:rFonts w:ascii="Verdana" w:hAnsi="Verdana"/>
          <w:sz w:val="20"/>
        </w:rPr>
        <w:t>elevados a</w:t>
      </w:r>
      <w:r w:rsidRPr="00A37899">
        <w:rPr>
          <w:rFonts w:ascii="Verdana" w:hAnsi="Verdana"/>
          <w:spacing w:val="-2"/>
          <w:sz w:val="20"/>
        </w:rPr>
        <w:t xml:space="preserve"> </w:t>
      </w:r>
      <w:r w:rsidRPr="00A37899">
        <w:rPr>
          <w:rFonts w:ascii="Verdana" w:hAnsi="Verdana"/>
          <w:sz w:val="20"/>
        </w:rPr>
        <w:t>escritura</w:t>
      </w:r>
      <w:r w:rsidRPr="00A37899">
        <w:rPr>
          <w:rFonts w:ascii="Verdana" w:hAnsi="Verdana"/>
          <w:spacing w:val="-1"/>
          <w:sz w:val="20"/>
        </w:rPr>
        <w:t xml:space="preserve"> </w:t>
      </w:r>
      <w:r w:rsidRPr="00A37899">
        <w:rPr>
          <w:rFonts w:ascii="Verdana" w:hAnsi="Verdana"/>
          <w:sz w:val="20"/>
        </w:rPr>
        <w:t>pública,</w:t>
      </w:r>
      <w:r w:rsidRPr="00A37899">
        <w:rPr>
          <w:rFonts w:ascii="Verdana" w:hAnsi="Verdana"/>
          <w:spacing w:val="-1"/>
          <w:sz w:val="20"/>
        </w:rPr>
        <w:t xml:space="preserve"> </w:t>
      </w:r>
      <w:r w:rsidRPr="00A37899">
        <w:rPr>
          <w:rFonts w:ascii="Verdana" w:hAnsi="Verdana"/>
          <w:sz w:val="20"/>
        </w:rPr>
        <w:t>con</w:t>
      </w:r>
      <w:r w:rsidRPr="00A37899">
        <w:rPr>
          <w:rFonts w:ascii="Verdana" w:hAnsi="Verdana"/>
          <w:spacing w:val="-2"/>
          <w:sz w:val="20"/>
        </w:rPr>
        <w:t xml:space="preserve"> </w:t>
      </w:r>
      <w:r w:rsidRPr="00A37899">
        <w:rPr>
          <w:rFonts w:ascii="Verdana" w:hAnsi="Verdana"/>
          <w:sz w:val="20"/>
        </w:rPr>
        <w:t>excepción</w:t>
      </w:r>
      <w:r w:rsidRPr="00A37899">
        <w:rPr>
          <w:rFonts w:ascii="Verdana" w:hAnsi="Verdana"/>
          <w:spacing w:val="-1"/>
          <w:sz w:val="20"/>
        </w:rPr>
        <w:t xml:space="preserve"> </w:t>
      </w:r>
      <w:r w:rsidRPr="00A37899">
        <w:rPr>
          <w:rFonts w:ascii="Verdana" w:hAnsi="Verdana"/>
          <w:sz w:val="20"/>
        </w:rPr>
        <w:t>de</w:t>
      </w:r>
      <w:r w:rsidRPr="00A37899">
        <w:rPr>
          <w:rFonts w:ascii="Verdana" w:hAnsi="Verdana"/>
          <w:spacing w:val="-2"/>
          <w:sz w:val="20"/>
        </w:rPr>
        <w:t xml:space="preserve"> </w:t>
      </w:r>
      <w:r w:rsidRPr="00A37899">
        <w:rPr>
          <w:rFonts w:ascii="Verdana" w:hAnsi="Verdana"/>
          <w:sz w:val="20"/>
        </w:rPr>
        <w:t>aquellos que</w:t>
      </w:r>
      <w:r w:rsidRPr="00A37899">
        <w:rPr>
          <w:rFonts w:ascii="Verdana" w:hAnsi="Verdana"/>
          <w:spacing w:val="-2"/>
          <w:sz w:val="20"/>
        </w:rPr>
        <w:t xml:space="preserve"> </w:t>
      </w:r>
      <w:r w:rsidRPr="00A37899">
        <w:rPr>
          <w:rFonts w:ascii="Verdana" w:hAnsi="Verdana"/>
          <w:sz w:val="20"/>
        </w:rPr>
        <w:t>impliquen</w:t>
      </w:r>
      <w:r w:rsidRPr="00A37899">
        <w:rPr>
          <w:rFonts w:ascii="Verdana" w:hAnsi="Verdana"/>
          <w:spacing w:val="-1"/>
          <w:sz w:val="20"/>
        </w:rPr>
        <w:t xml:space="preserve"> </w:t>
      </w:r>
      <w:r w:rsidRPr="00A37899">
        <w:rPr>
          <w:rFonts w:ascii="Verdana" w:hAnsi="Verdana"/>
          <w:sz w:val="20"/>
        </w:rPr>
        <w:t>mutación</w:t>
      </w:r>
      <w:r w:rsidRPr="00A37899">
        <w:rPr>
          <w:rFonts w:ascii="Verdana" w:hAnsi="Verdana"/>
          <w:spacing w:val="-1"/>
          <w:sz w:val="20"/>
        </w:rPr>
        <w:t xml:space="preserve"> </w:t>
      </w:r>
      <w:r w:rsidRPr="00A37899">
        <w:rPr>
          <w:rFonts w:ascii="Verdana" w:hAnsi="Verdana"/>
          <w:sz w:val="20"/>
        </w:rPr>
        <w:t>del dominio o imposición de gravámenes y servidumbres sobre bienes inmuebles y, en general, aquellos que conforme a las normas legales vigentes deban cumplir con dicha</w:t>
      </w:r>
    </w:p>
    <w:p w14:paraId="4239E928" w14:textId="77777777" w:rsidR="00A37899" w:rsidRPr="00A37899" w:rsidRDefault="00A37899" w:rsidP="00A37899">
      <w:pPr>
        <w:jc w:val="both"/>
        <w:rPr>
          <w:sz w:val="20"/>
        </w:rPr>
        <w:sectPr w:rsidR="00A37899" w:rsidRPr="00A37899" w:rsidSect="00A37899">
          <w:headerReference w:type="default" r:id="rId11"/>
          <w:footerReference w:type="default" r:id="rId12"/>
          <w:pgSz w:w="12240" w:h="15840"/>
          <w:pgMar w:top="2200" w:right="1440" w:bottom="1860" w:left="1440" w:header="305" w:footer="1664" w:gutter="0"/>
          <w:pgNumType w:start="1"/>
          <w:cols w:space="720"/>
        </w:sectPr>
      </w:pPr>
    </w:p>
    <w:p w14:paraId="42B26F95" w14:textId="77777777" w:rsidR="00A37899" w:rsidRPr="00A37899" w:rsidRDefault="00A37899" w:rsidP="00A37899">
      <w:pPr>
        <w:widowControl w:val="0"/>
        <w:autoSpaceDE w:val="0"/>
        <w:autoSpaceDN w:val="0"/>
        <w:spacing w:before="48" w:after="0" w:line="240" w:lineRule="auto"/>
        <w:rPr>
          <w:rFonts w:ascii="Verdana" w:eastAsia="Verdana" w:hAnsi="Verdana" w:cs="Verdana"/>
          <w:sz w:val="20"/>
          <w:lang w:val="es-ES"/>
        </w:rPr>
      </w:pPr>
    </w:p>
    <w:p w14:paraId="526F8EFB" w14:textId="77777777" w:rsidR="00A37899" w:rsidRPr="00A37899" w:rsidRDefault="00A37899" w:rsidP="00A37899">
      <w:pPr>
        <w:ind w:left="260" w:right="259"/>
        <w:jc w:val="both"/>
        <w:rPr>
          <w:rFonts w:ascii="Verdana" w:hAnsi="Verdana"/>
          <w:sz w:val="20"/>
        </w:rPr>
      </w:pPr>
      <w:r w:rsidRPr="00A37899">
        <w:rPr>
          <w:rFonts w:ascii="Verdana" w:hAnsi="Verdana"/>
          <w:sz w:val="20"/>
        </w:rPr>
        <w:t>formalidad”. Por otra parte, “Los contratos del Estado se perfeccionan cuando se logre acuerdo sobre el objeto y la contraprestación y éste se eleve a escrito”.</w:t>
      </w:r>
    </w:p>
    <w:p w14:paraId="1CCD0396" w14:textId="77777777" w:rsidR="00A37899" w:rsidRPr="00A37899" w:rsidRDefault="00A37899" w:rsidP="00A37899">
      <w:pPr>
        <w:widowControl w:val="0"/>
        <w:autoSpaceDE w:val="0"/>
        <w:autoSpaceDN w:val="0"/>
        <w:spacing w:after="0" w:line="240" w:lineRule="auto"/>
        <w:rPr>
          <w:rFonts w:ascii="Verdana" w:eastAsia="Verdana" w:hAnsi="Verdana" w:cs="Verdana"/>
          <w:sz w:val="20"/>
          <w:lang w:val="es-ES"/>
        </w:rPr>
      </w:pPr>
    </w:p>
    <w:p w14:paraId="000F4127" w14:textId="77777777" w:rsidR="00A37899" w:rsidRPr="00A37899" w:rsidRDefault="00A37899" w:rsidP="00A37899">
      <w:pPr>
        <w:widowControl w:val="0"/>
        <w:autoSpaceDE w:val="0"/>
        <w:autoSpaceDN w:val="0"/>
        <w:spacing w:after="0" w:line="240" w:lineRule="auto"/>
        <w:ind w:left="260" w:right="260"/>
        <w:jc w:val="both"/>
        <w:outlineLvl w:val="0"/>
        <w:rPr>
          <w:rFonts w:ascii="Verdana" w:eastAsia="Verdana" w:hAnsi="Verdana" w:cs="Verdana"/>
          <w:b/>
          <w:bCs/>
          <w:lang w:val="es-ES"/>
        </w:rPr>
      </w:pPr>
      <w:r w:rsidRPr="00A37899">
        <w:rPr>
          <w:rFonts w:ascii="Verdana" w:eastAsia="Verdana" w:hAnsi="Verdana" w:cs="Verdana"/>
          <w:b/>
          <w:bCs/>
          <w:lang w:val="es-ES"/>
        </w:rPr>
        <w:t>LEY DE GARANTÍAS ELECTORALES – Prohibición artículo 33 – Contratación directa – Alcance</w:t>
      </w:r>
    </w:p>
    <w:p w14:paraId="6443165C" w14:textId="77777777" w:rsidR="00A37899" w:rsidRPr="00A37899" w:rsidRDefault="00A37899" w:rsidP="00A37899">
      <w:pPr>
        <w:widowControl w:val="0"/>
        <w:autoSpaceDE w:val="0"/>
        <w:autoSpaceDN w:val="0"/>
        <w:spacing w:after="0" w:line="240" w:lineRule="auto"/>
        <w:rPr>
          <w:rFonts w:ascii="Verdana" w:eastAsia="Verdana" w:hAnsi="Verdana" w:cs="Verdana"/>
          <w:b/>
          <w:lang w:val="es-ES"/>
        </w:rPr>
      </w:pPr>
    </w:p>
    <w:p w14:paraId="7CBDB32B" w14:textId="77777777" w:rsidR="00A37899" w:rsidRPr="00A37899" w:rsidRDefault="00A37899" w:rsidP="00A37899">
      <w:pPr>
        <w:ind w:left="260" w:right="259"/>
        <w:jc w:val="both"/>
        <w:rPr>
          <w:rFonts w:ascii="Verdana" w:hAnsi="Verdana"/>
          <w:sz w:val="20"/>
          <w:szCs w:val="20"/>
        </w:rPr>
      </w:pPr>
      <w:r w:rsidRPr="00A37899">
        <w:rPr>
          <w:rFonts w:ascii="Verdana" w:hAnsi="Verdana"/>
          <w:sz w:val="20"/>
          <w:szCs w:val="20"/>
        </w:rPr>
        <w:t>De acuerdo con el citado concepto, la prohibición del artículo 33 de la Ley de Garantías Electorales se refiere a “cualquier sistema que no implique convocatoria pública y posibilidad de pluralidad de oferentes”, por lo que excluye las demás modalidades de contratación</w:t>
      </w:r>
      <w:r w:rsidRPr="00A37899">
        <w:rPr>
          <w:rFonts w:ascii="Verdana" w:hAnsi="Verdana"/>
          <w:spacing w:val="-9"/>
          <w:sz w:val="20"/>
          <w:szCs w:val="20"/>
        </w:rPr>
        <w:t xml:space="preserve"> </w:t>
      </w:r>
      <w:r w:rsidRPr="00A37899">
        <w:rPr>
          <w:rFonts w:ascii="Verdana" w:hAnsi="Verdana"/>
          <w:sz w:val="20"/>
          <w:szCs w:val="20"/>
        </w:rPr>
        <w:t>previstas</w:t>
      </w:r>
      <w:r w:rsidRPr="00A37899">
        <w:rPr>
          <w:rFonts w:ascii="Verdana" w:hAnsi="Verdana"/>
          <w:spacing w:val="-9"/>
          <w:sz w:val="20"/>
          <w:szCs w:val="20"/>
        </w:rPr>
        <w:t xml:space="preserve"> </w:t>
      </w:r>
      <w:r w:rsidRPr="00A37899">
        <w:rPr>
          <w:rFonts w:ascii="Verdana" w:hAnsi="Verdana"/>
          <w:sz w:val="20"/>
          <w:szCs w:val="20"/>
        </w:rPr>
        <w:t>en</w:t>
      </w:r>
      <w:r w:rsidRPr="00A37899">
        <w:rPr>
          <w:rFonts w:ascii="Verdana" w:hAnsi="Verdana"/>
          <w:spacing w:val="-11"/>
          <w:sz w:val="20"/>
          <w:szCs w:val="20"/>
        </w:rPr>
        <w:t xml:space="preserve"> </w:t>
      </w:r>
      <w:r w:rsidRPr="00A37899">
        <w:rPr>
          <w:rFonts w:ascii="Verdana" w:hAnsi="Verdana"/>
          <w:sz w:val="20"/>
          <w:szCs w:val="20"/>
        </w:rPr>
        <w:t>la</w:t>
      </w:r>
      <w:r w:rsidRPr="00A37899">
        <w:rPr>
          <w:rFonts w:ascii="Verdana" w:hAnsi="Verdana"/>
          <w:spacing w:val="-11"/>
          <w:sz w:val="20"/>
          <w:szCs w:val="20"/>
        </w:rPr>
        <w:t xml:space="preserve"> </w:t>
      </w:r>
      <w:r w:rsidRPr="00A37899">
        <w:rPr>
          <w:rFonts w:ascii="Verdana" w:hAnsi="Verdana"/>
          <w:sz w:val="20"/>
          <w:szCs w:val="20"/>
        </w:rPr>
        <w:t>Ley</w:t>
      </w:r>
      <w:r w:rsidRPr="00A37899">
        <w:rPr>
          <w:rFonts w:ascii="Verdana" w:hAnsi="Verdana"/>
          <w:spacing w:val="-10"/>
          <w:sz w:val="20"/>
          <w:szCs w:val="20"/>
        </w:rPr>
        <w:t xml:space="preserve"> </w:t>
      </w:r>
      <w:r w:rsidRPr="00A37899">
        <w:rPr>
          <w:rFonts w:ascii="Verdana" w:hAnsi="Verdana"/>
          <w:sz w:val="20"/>
          <w:szCs w:val="20"/>
        </w:rPr>
        <w:t>1150</w:t>
      </w:r>
      <w:r w:rsidRPr="00A37899">
        <w:rPr>
          <w:rFonts w:ascii="Verdana" w:hAnsi="Verdana"/>
          <w:spacing w:val="-10"/>
          <w:sz w:val="20"/>
          <w:szCs w:val="20"/>
        </w:rPr>
        <w:t xml:space="preserve"> </w:t>
      </w:r>
      <w:r w:rsidRPr="00A37899">
        <w:rPr>
          <w:rFonts w:ascii="Verdana" w:hAnsi="Verdana"/>
          <w:sz w:val="20"/>
          <w:szCs w:val="20"/>
        </w:rPr>
        <w:t>de</w:t>
      </w:r>
      <w:r w:rsidRPr="00A37899">
        <w:rPr>
          <w:rFonts w:ascii="Verdana" w:hAnsi="Verdana"/>
          <w:spacing w:val="-11"/>
          <w:sz w:val="20"/>
          <w:szCs w:val="20"/>
        </w:rPr>
        <w:t xml:space="preserve"> </w:t>
      </w:r>
      <w:r w:rsidRPr="00A37899">
        <w:rPr>
          <w:rFonts w:ascii="Verdana" w:hAnsi="Verdana"/>
          <w:sz w:val="20"/>
          <w:szCs w:val="20"/>
        </w:rPr>
        <w:t>2007,</w:t>
      </w:r>
      <w:r w:rsidRPr="00A37899">
        <w:rPr>
          <w:rFonts w:ascii="Verdana" w:hAnsi="Verdana"/>
          <w:spacing w:val="-10"/>
          <w:sz w:val="20"/>
          <w:szCs w:val="20"/>
        </w:rPr>
        <w:t xml:space="preserve"> </w:t>
      </w:r>
      <w:r w:rsidRPr="00A37899">
        <w:rPr>
          <w:rFonts w:ascii="Verdana" w:hAnsi="Verdana"/>
          <w:sz w:val="20"/>
          <w:szCs w:val="20"/>
        </w:rPr>
        <w:t>es</w:t>
      </w:r>
      <w:r w:rsidRPr="00A37899">
        <w:rPr>
          <w:rFonts w:ascii="Verdana" w:hAnsi="Verdana"/>
          <w:spacing w:val="-11"/>
          <w:sz w:val="20"/>
          <w:szCs w:val="20"/>
        </w:rPr>
        <w:t xml:space="preserve"> </w:t>
      </w:r>
      <w:r w:rsidRPr="00A37899">
        <w:rPr>
          <w:rFonts w:ascii="Verdana" w:hAnsi="Verdana"/>
          <w:sz w:val="20"/>
          <w:szCs w:val="20"/>
        </w:rPr>
        <w:t>decir,</w:t>
      </w:r>
      <w:r w:rsidRPr="00A37899">
        <w:rPr>
          <w:rFonts w:ascii="Verdana" w:hAnsi="Verdana"/>
          <w:spacing w:val="-10"/>
          <w:sz w:val="20"/>
          <w:szCs w:val="20"/>
        </w:rPr>
        <w:t xml:space="preserve"> </w:t>
      </w:r>
      <w:r w:rsidRPr="00A37899">
        <w:rPr>
          <w:rFonts w:ascii="Verdana" w:hAnsi="Verdana"/>
          <w:sz w:val="20"/>
          <w:szCs w:val="20"/>
        </w:rPr>
        <w:t>la</w:t>
      </w:r>
      <w:r w:rsidRPr="00A37899">
        <w:rPr>
          <w:rFonts w:ascii="Verdana" w:hAnsi="Verdana"/>
          <w:spacing w:val="-11"/>
          <w:sz w:val="20"/>
          <w:szCs w:val="20"/>
        </w:rPr>
        <w:t xml:space="preserve"> </w:t>
      </w:r>
      <w:r w:rsidRPr="00A37899">
        <w:rPr>
          <w:rFonts w:ascii="Verdana" w:hAnsi="Verdana"/>
          <w:sz w:val="20"/>
          <w:szCs w:val="20"/>
        </w:rPr>
        <w:t>licitación</w:t>
      </w:r>
      <w:r w:rsidRPr="00A37899">
        <w:rPr>
          <w:rFonts w:ascii="Verdana" w:hAnsi="Verdana"/>
          <w:spacing w:val="-9"/>
          <w:sz w:val="20"/>
          <w:szCs w:val="20"/>
        </w:rPr>
        <w:t xml:space="preserve"> </w:t>
      </w:r>
      <w:r w:rsidRPr="00A37899">
        <w:rPr>
          <w:rFonts w:ascii="Verdana" w:hAnsi="Verdana"/>
          <w:sz w:val="20"/>
          <w:szCs w:val="20"/>
        </w:rPr>
        <w:t>pública,</w:t>
      </w:r>
      <w:r w:rsidRPr="00A37899">
        <w:rPr>
          <w:rFonts w:ascii="Verdana" w:hAnsi="Verdana"/>
          <w:spacing w:val="-10"/>
          <w:sz w:val="20"/>
          <w:szCs w:val="20"/>
        </w:rPr>
        <w:t xml:space="preserve"> </w:t>
      </w:r>
      <w:r w:rsidRPr="00A37899">
        <w:rPr>
          <w:rFonts w:ascii="Verdana" w:hAnsi="Verdana"/>
          <w:sz w:val="20"/>
          <w:szCs w:val="20"/>
        </w:rPr>
        <w:t>la</w:t>
      </w:r>
      <w:r w:rsidRPr="00A37899">
        <w:rPr>
          <w:rFonts w:ascii="Verdana" w:hAnsi="Verdana"/>
          <w:spacing w:val="-11"/>
          <w:sz w:val="20"/>
          <w:szCs w:val="20"/>
        </w:rPr>
        <w:t xml:space="preserve"> </w:t>
      </w:r>
      <w:r w:rsidRPr="00A37899">
        <w:rPr>
          <w:rFonts w:ascii="Verdana" w:hAnsi="Verdana"/>
          <w:sz w:val="20"/>
          <w:szCs w:val="20"/>
        </w:rPr>
        <w:t>selección abreviada, el concurso de méritos y la mínima cuantía u otros previstos en normas especiales. Esta posición es congruente con la expedición de la Ley 1150 de 2007 que, entre otras reformas, introdujo la selección abreviada, rediseñó el concurso de méritos y</w:t>
      </w:r>
      <w:r w:rsidRPr="00A37899">
        <w:rPr>
          <w:rFonts w:ascii="Verdana" w:hAnsi="Verdana"/>
          <w:spacing w:val="-15"/>
          <w:sz w:val="20"/>
          <w:szCs w:val="20"/>
        </w:rPr>
        <w:t xml:space="preserve"> </w:t>
      </w:r>
      <w:r w:rsidRPr="00A37899">
        <w:rPr>
          <w:rFonts w:ascii="Verdana" w:hAnsi="Verdana"/>
          <w:sz w:val="20"/>
          <w:szCs w:val="20"/>
        </w:rPr>
        <w:t>sistematizó</w:t>
      </w:r>
      <w:r w:rsidRPr="00A37899">
        <w:rPr>
          <w:rFonts w:ascii="Verdana" w:hAnsi="Verdana"/>
          <w:spacing w:val="-14"/>
          <w:sz w:val="20"/>
          <w:szCs w:val="20"/>
        </w:rPr>
        <w:t xml:space="preserve"> </w:t>
      </w:r>
      <w:r w:rsidRPr="00A37899">
        <w:rPr>
          <w:rFonts w:ascii="Verdana" w:hAnsi="Verdana"/>
          <w:sz w:val="20"/>
          <w:szCs w:val="20"/>
        </w:rPr>
        <w:t>las</w:t>
      </w:r>
      <w:r w:rsidRPr="00A37899">
        <w:rPr>
          <w:rFonts w:ascii="Verdana" w:hAnsi="Verdana"/>
          <w:spacing w:val="-15"/>
          <w:sz w:val="20"/>
          <w:szCs w:val="20"/>
        </w:rPr>
        <w:t xml:space="preserve"> </w:t>
      </w:r>
      <w:r w:rsidRPr="00A37899">
        <w:rPr>
          <w:rFonts w:ascii="Verdana" w:hAnsi="Verdana"/>
          <w:sz w:val="20"/>
          <w:szCs w:val="20"/>
        </w:rPr>
        <w:t>causales</w:t>
      </w:r>
      <w:r w:rsidRPr="00A37899">
        <w:rPr>
          <w:rFonts w:ascii="Verdana" w:hAnsi="Verdana"/>
          <w:spacing w:val="-14"/>
          <w:sz w:val="20"/>
          <w:szCs w:val="20"/>
        </w:rPr>
        <w:t xml:space="preserve"> </w:t>
      </w:r>
      <w:r w:rsidRPr="00A37899">
        <w:rPr>
          <w:rFonts w:ascii="Verdana" w:hAnsi="Verdana"/>
          <w:sz w:val="20"/>
          <w:szCs w:val="20"/>
        </w:rPr>
        <w:t>de</w:t>
      </w:r>
      <w:r w:rsidRPr="00A37899">
        <w:rPr>
          <w:rFonts w:ascii="Verdana" w:hAnsi="Verdana"/>
          <w:spacing w:val="-15"/>
          <w:sz w:val="20"/>
          <w:szCs w:val="20"/>
        </w:rPr>
        <w:t xml:space="preserve"> </w:t>
      </w:r>
      <w:r w:rsidRPr="00A37899">
        <w:rPr>
          <w:rFonts w:ascii="Verdana" w:hAnsi="Verdana"/>
          <w:sz w:val="20"/>
          <w:szCs w:val="20"/>
        </w:rPr>
        <w:t>contratación</w:t>
      </w:r>
      <w:r w:rsidRPr="00A37899">
        <w:rPr>
          <w:rFonts w:ascii="Verdana" w:hAnsi="Verdana"/>
          <w:spacing w:val="-14"/>
          <w:sz w:val="20"/>
          <w:szCs w:val="20"/>
        </w:rPr>
        <w:t xml:space="preserve"> </w:t>
      </w:r>
      <w:r w:rsidRPr="00A37899">
        <w:rPr>
          <w:rFonts w:ascii="Verdana" w:hAnsi="Verdana"/>
          <w:sz w:val="20"/>
          <w:szCs w:val="20"/>
        </w:rPr>
        <w:t>directa,</w:t>
      </w:r>
      <w:r w:rsidRPr="00A37899">
        <w:rPr>
          <w:rFonts w:ascii="Verdana" w:hAnsi="Verdana"/>
          <w:spacing w:val="-14"/>
          <w:sz w:val="20"/>
          <w:szCs w:val="20"/>
        </w:rPr>
        <w:t xml:space="preserve"> </w:t>
      </w:r>
      <w:r w:rsidRPr="00A37899">
        <w:rPr>
          <w:rFonts w:ascii="Verdana" w:hAnsi="Verdana"/>
          <w:sz w:val="20"/>
          <w:szCs w:val="20"/>
        </w:rPr>
        <w:t>además</w:t>
      </w:r>
      <w:r w:rsidRPr="00A37899">
        <w:rPr>
          <w:rFonts w:ascii="Verdana" w:hAnsi="Verdana"/>
          <w:spacing w:val="-14"/>
          <w:sz w:val="20"/>
          <w:szCs w:val="20"/>
        </w:rPr>
        <w:t xml:space="preserve"> </w:t>
      </w:r>
      <w:r w:rsidRPr="00A37899">
        <w:rPr>
          <w:rFonts w:ascii="Verdana" w:hAnsi="Verdana"/>
          <w:sz w:val="20"/>
          <w:szCs w:val="20"/>
        </w:rPr>
        <w:t>lo</w:t>
      </w:r>
      <w:r w:rsidRPr="00A37899">
        <w:rPr>
          <w:rFonts w:ascii="Verdana" w:hAnsi="Verdana"/>
          <w:spacing w:val="-15"/>
          <w:sz w:val="20"/>
          <w:szCs w:val="20"/>
        </w:rPr>
        <w:t xml:space="preserve"> </w:t>
      </w:r>
      <w:r w:rsidRPr="00A37899">
        <w:rPr>
          <w:rFonts w:ascii="Verdana" w:hAnsi="Verdana"/>
          <w:sz w:val="20"/>
          <w:szCs w:val="20"/>
        </w:rPr>
        <w:t>es</w:t>
      </w:r>
      <w:r w:rsidRPr="00A37899">
        <w:rPr>
          <w:rFonts w:ascii="Verdana" w:hAnsi="Verdana"/>
          <w:spacing w:val="-15"/>
          <w:sz w:val="20"/>
          <w:szCs w:val="20"/>
        </w:rPr>
        <w:t xml:space="preserve"> </w:t>
      </w:r>
      <w:r w:rsidRPr="00A37899">
        <w:rPr>
          <w:rFonts w:ascii="Verdana" w:hAnsi="Verdana"/>
          <w:sz w:val="20"/>
          <w:szCs w:val="20"/>
        </w:rPr>
        <w:t>con</w:t>
      </w:r>
      <w:r w:rsidRPr="00A37899">
        <w:rPr>
          <w:rFonts w:ascii="Verdana" w:hAnsi="Verdana"/>
          <w:spacing w:val="-15"/>
          <w:sz w:val="20"/>
          <w:szCs w:val="20"/>
        </w:rPr>
        <w:t xml:space="preserve"> </w:t>
      </w:r>
      <w:r w:rsidRPr="00A37899">
        <w:rPr>
          <w:rFonts w:ascii="Verdana" w:hAnsi="Verdana"/>
          <w:sz w:val="20"/>
          <w:szCs w:val="20"/>
        </w:rPr>
        <w:t>la</w:t>
      </w:r>
      <w:r w:rsidRPr="00A37899">
        <w:rPr>
          <w:rFonts w:ascii="Verdana" w:hAnsi="Verdana"/>
          <w:spacing w:val="-15"/>
          <w:sz w:val="20"/>
          <w:szCs w:val="20"/>
        </w:rPr>
        <w:t xml:space="preserve"> </w:t>
      </w:r>
      <w:r w:rsidRPr="00A37899">
        <w:rPr>
          <w:rFonts w:ascii="Verdana" w:hAnsi="Verdana"/>
          <w:sz w:val="20"/>
          <w:szCs w:val="20"/>
        </w:rPr>
        <w:t>posterior</w:t>
      </w:r>
      <w:r w:rsidRPr="00A37899">
        <w:rPr>
          <w:rFonts w:ascii="Verdana" w:hAnsi="Verdana"/>
          <w:spacing w:val="-14"/>
          <w:sz w:val="20"/>
          <w:szCs w:val="20"/>
        </w:rPr>
        <w:t xml:space="preserve"> </w:t>
      </w:r>
      <w:r w:rsidRPr="00A37899">
        <w:rPr>
          <w:rFonts w:ascii="Verdana" w:hAnsi="Verdana"/>
          <w:sz w:val="20"/>
          <w:szCs w:val="20"/>
        </w:rPr>
        <w:t>creación de</w:t>
      </w:r>
      <w:r w:rsidRPr="00A37899">
        <w:rPr>
          <w:rFonts w:ascii="Verdana" w:hAnsi="Verdana"/>
          <w:spacing w:val="-7"/>
          <w:sz w:val="20"/>
          <w:szCs w:val="20"/>
        </w:rPr>
        <w:t xml:space="preserve"> </w:t>
      </w:r>
      <w:r w:rsidRPr="00A37899">
        <w:rPr>
          <w:rFonts w:ascii="Verdana" w:hAnsi="Verdana"/>
          <w:sz w:val="20"/>
          <w:szCs w:val="20"/>
        </w:rPr>
        <w:t>la</w:t>
      </w:r>
      <w:r w:rsidRPr="00A37899">
        <w:rPr>
          <w:rFonts w:ascii="Verdana" w:hAnsi="Verdana"/>
          <w:spacing w:val="-7"/>
          <w:sz w:val="20"/>
          <w:szCs w:val="20"/>
        </w:rPr>
        <w:t xml:space="preserve"> </w:t>
      </w:r>
      <w:r w:rsidRPr="00A37899">
        <w:rPr>
          <w:rFonts w:ascii="Verdana" w:hAnsi="Verdana"/>
          <w:sz w:val="20"/>
          <w:szCs w:val="20"/>
        </w:rPr>
        <w:t>modalidad</w:t>
      </w:r>
      <w:r w:rsidRPr="00A37899">
        <w:rPr>
          <w:rFonts w:ascii="Verdana" w:hAnsi="Verdana"/>
          <w:spacing w:val="-7"/>
          <w:sz w:val="20"/>
          <w:szCs w:val="20"/>
        </w:rPr>
        <w:t xml:space="preserve"> </w:t>
      </w:r>
      <w:r w:rsidRPr="00A37899">
        <w:rPr>
          <w:rFonts w:ascii="Verdana" w:hAnsi="Verdana"/>
          <w:sz w:val="20"/>
          <w:szCs w:val="20"/>
        </w:rPr>
        <w:t>de</w:t>
      </w:r>
      <w:r w:rsidRPr="00A37899">
        <w:rPr>
          <w:rFonts w:ascii="Verdana" w:hAnsi="Verdana"/>
          <w:spacing w:val="-7"/>
          <w:sz w:val="20"/>
          <w:szCs w:val="20"/>
        </w:rPr>
        <w:t xml:space="preserve"> </w:t>
      </w:r>
      <w:r w:rsidRPr="00A37899">
        <w:rPr>
          <w:rFonts w:ascii="Verdana" w:hAnsi="Verdana"/>
          <w:sz w:val="20"/>
          <w:szCs w:val="20"/>
        </w:rPr>
        <w:t>mínima</w:t>
      </w:r>
      <w:r w:rsidRPr="00A37899">
        <w:rPr>
          <w:rFonts w:ascii="Verdana" w:hAnsi="Verdana"/>
          <w:spacing w:val="-6"/>
          <w:sz w:val="20"/>
          <w:szCs w:val="20"/>
        </w:rPr>
        <w:t xml:space="preserve"> </w:t>
      </w:r>
      <w:r w:rsidRPr="00A37899">
        <w:rPr>
          <w:rFonts w:ascii="Verdana" w:hAnsi="Verdana"/>
          <w:sz w:val="20"/>
          <w:szCs w:val="20"/>
        </w:rPr>
        <w:t>cuantía</w:t>
      </w:r>
      <w:r w:rsidRPr="00A37899">
        <w:rPr>
          <w:rFonts w:ascii="Verdana" w:hAnsi="Verdana"/>
          <w:spacing w:val="-6"/>
          <w:sz w:val="20"/>
          <w:szCs w:val="20"/>
        </w:rPr>
        <w:t xml:space="preserve"> </w:t>
      </w:r>
      <w:r w:rsidRPr="00A37899">
        <w:rPr>
          <w:rFonts w:ascii="Verdana" w:hAnsi="Verdana"/>
          <w:sz w:val="20"/>
          <w:szCs w:val="20"/>
        </w:rPr>
        <w:t>establecida</w:t>
      </w:r>
      <w:r w:rsidRPr="00A37899">
        <w:rPr>
          <w:rFonts w:ascii="Verdana" w:hAnsi="Verdana"/>
          <w:spacing w:val="-6"/>
          <w:sz w:val="20"/>
          <w:szCs w:val="20"/>
        </w:rPr>
        <w:t xml:space="preserve"> </w:t>
      </w:r>
      <w:r w:rsidRPr="00A37899">
        <w:rPr>
          <w:rFonts w:ascii="Verdana" w:hAnsi="Verdana"/>
          <w:sz w:val="20"/>
          <w:szCs w:val="20"/>
        </w:rPr>
        <w:t>actualmente</w:t>
      </w:r>
      <w:r w:rsidRPr="00A37899">
        <w:rPr>
          <w:rFonts w:ascii="Verdana" w:hAnsi="Verdana"/>
          <w:spacing w:val="-5"/>
          <w:sz w:val="20"/>
          <w:szCs w:val="20"/>
        </w:rPr>
        <w:t xml:space="preserve"> </w:t>
      </w:r>
      <w:r w:rsidRPr="00A37899">
        <w:rPr>
          <w:rFonts w:ascii="Verdana" w:hAnsi="Verdana"/>
          <w:sz w:val="20"/>
          <w:szCs w:val="20"/>
        </w:rPr>
        <w:t>en</w:t>
      </w:r>
      <w:r w:rsidRPr="00A37899">
        <w:rPr>
          <w:rFonts w:ascii="Verdana" w:hAnsi="Verdana"/>
          <w:spacing w:val="-7"/>
          <w:sz w:val="20"/>
          <w:szCs w:val="20"/>
        </w:rPr>
        <w:t xml:space="preserve"> </w:t>
      </w:r>
      <w:r w:rsidRPr="00A37899">
        <w:rPr>
          <w:rFonts w:ascii="Verdana" w:hAnsi="Verdana"/>
          <w:sz w:val="20"/>
          <w:szCs w:val="20"/>
        </w:rPr>
        <w:t>el</w:t>
      </w:r>
      <w:r w:rsidRPr="00A37899">
        <w:rPr>
          <w:rFonts w:ascii="Verdana" w:hAnsi="Verdana"/>
          <w:spacing w:val="-7"/>
          <w:sz w:val="20"/>
          <w:szCs w:val="20"/>
        </w:rPr>
        <w:t xml:space="preserve"> </w:t>
      </w:r>
      <w:r w:rsidRPr="00A37899">
        <w:rPr>
          <w:rFonts w:ascii="Verdana" w:hAnsi="Verdana"/>
          <w:sz w:val="20"/>
          <w:szCs w:val="20"/>
        </w:rPr>
        <w:t>numeral</w:t>
      </w:r>
      <w:r w:rsidRPr="00A37899">
        <w:rPr>
          <w:rFonts w:ascii="Verdana" w:hAnsi="Verdana"/>
          <w:spacing w:val="-6"/>
          <w:sz w:val="20"/>
          <w:szCs w:val="20"/>
        </w:rPr>
        <w:t xml:space="preserve"> </w:t>
      </w:r>
      <w:r w:rsidRPr="00A37899">
        <w:rPr>
          <w:rFonts w:ascii="Verdana" w:hAnsi="Verdana"/>
          <w:sz w:val="20"/>
          <w:szCs w:val="20"/>
        </w:rPr>
        <w:t>5</w:t>
      </w:r>
      <w:r w:rsidRPr="00A37899">
        <w:rPr>
          <w:rFonts w:ascii="Verdana" w:hAnsi="Verdana"/>
          <w:spacing w:val="-7"/>
          <w:sz w:val="20"/>
          <w:szCs w:val="20"/>
        </w:rPr>
        <w:t xml:space="preserve"> </w:t>
      </w:r>
      <w:r w:rsidRPr="00A37899">
        <w:rPr>
          <w:rFonts w:ascii="Verdana" w:hAnsi="Verdana"/>
          <w:sz w:val="20"/>
          <w:szCs w:val="20"/>
        </w:rPr>
        <w:t>del</w:t>
      </w:r>
      <w:r w:rsidRPr="00A37899">
        <w:rPr>
          <w:rFonts w:ascii="Verdana" w:hAnsi="Verdana"/>
          <w:spacing w:val="-7"/>
          <w:sz w:val="20"/>
          <w:szCs w:val="20"/>
        </w:rPr>
        <w:t xml:space="preserve"> </w:t>
      </w:r>
      <w:r w:rsidRPr="00A37899">
        <w:rPr>
          <w:rFonts w:ascii="Verdana" w:hAnsi="Verdana"/>
          <w:sz w:val="20"/>
          <w:szCs w:val="20"/>
        </w:rPr>
        <w:t xml:space="preserve">artículo 2 de la Ley 1150 de 2007, de acuerdo con las modificaciones realizadas por leyes </w:t>
      </w:r>
      <w:r w:rsidRPr="00A37899">
        <w:rPr>
          <w:rFonts w:ascii="Verdana" w:hAnsi="Verdana"/>
          <w:spacing w:val="-2"/>
          <w:sz w:val="20"/>
          <w:szCs w:val="20"/>
        </w:rPr>
        <w:t>posteriores.</w:t>
      </w:r>
    </w:p>
    <w:p w14:paraId="148F67BE" w14:textId="77777777" w:rsidR="00A37899" w:rsidRPr="00A37899" w:rsidRDefault="00A37899" w:rsidP="00A37899">
      <w:pPr>
        <w:widowControl w:val="0"/>
        <w:autoSpaceDE w:val="0"/>
        <w:autoSpaceDN w:val="0"/>
        <w:spacing w:before="24" w:after="0" w:line="240" w:lineRule="auto"/>
        <w:rPr>
          <w:rFonts w:ascii="Verdana" w:eastAsia="Verdana" w:hAnsi="Verdana" w:cs="Verdana"/>
          <w:sz w:val="20"/>
          <w:lang w:val="es-ES"/>
        </w:rPr>
      </w:pPr>
    </w:p>
    <w:p w14:paraId="5C8BA5E2" w14:textId="77777777" w:rsidR="00A37899" w:rsidRPr="00A37899" w:rsidRDefault="00A37899" w:rsidP="00A37899">
      <w:pPr>
        <w:widowControl w:val="0"/>
        <w:autoSpaceDE w:val="0"/>
        <w:autoSpaceDN w:val="0"/>
        <w:spacing w:before="1" w:after="0" w:line="240" w:lineRule="auto"/>
        <w:ind w:left="260"/>
        <w:jc w:val="both"/>
        <w:outlineLvl w:val="0"/>
        <w:rPr>
          <w:rFonts w:ascii="Verdana" w:eastAsia="Verdana" w:hAnsi="Verdana" w:cs="Verdana"/>
          <w:b/>
          <w:bCs/>
          <w:lang w:val="es-ES"/>
        </w:rPr>
      </w:pPr>
      <w:r w:rsidRPr="00A37899">
        <w:rPr>
          <w:rFonts w:ascii="Verdana" w:eastAsia="Verdana" w:hAnsi="Verdana" w:cs="Verdana"/>
          <w:b/>
          <w:bCs/>
          <w:lang w:val="es-ES"/>
        </w:rPr>
        <w:t>LEY</w:t>
      </w:r>
      <w:r w:rsidRPr="00A37899">
        <w:rPr>
          <w:rFonts w:ascii="Verdana" w:eastAsia="Verdana" w:hAnsi="Verdana" w:cs="Verdana"/>
          <w:b/>
          <w:bCs/>
          <w:spacing w:val="-6"/>
          <w:lang w:val="es-ES"/>
        </w:rPr>
        <w:t xml:space="preserve"> </w:t>
      </w:r>
      <w:r w:rsidRPr="00A37899">
        <w:rPr>
          <w:rFonts w:ascii="Verdana" w:eastAsia="Verdana" w:hAnsi="Verdana" w:cs="Verdana"/>
          <w:b/>
          <w:bCs/>
          <w:lang w:val="es-ES"/>
        </w:rPr>
        <w:t>DE</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GARANTÍAS</w:t>
      </w:r>
      <w:r w:rsidRPr="00A37899">
        <w:rPr>
          <w:rFonts w:ascii="Verdana" w:eastAsia="Verdana" w:hAnsi="Verdana" w:cs="Verdana"/>
          <w:b/>
          <w:bCs/>
          <w:spacing w:val="-5"/>
          <w:lang w:val="es-ES"/>
        </w:rPr>
        <w:t xml:space="preserve"> </w:t>
      </w:r>
      <w:r w:rsidRPr="00A37899">
        <w:rPr>
          <w:rFonts w:ascii="Verdana" w:eastAsia="Verdana" w:hAnsi="Verdana" w:cs="Verdana"/>
          <w:b/>
          <w:bCs/>
          <w:lang w:val="es-ES"/>
        </w:rPr>
        <w:t>ELECTORALES</w:t>
      </w:r>
      <w:r w:rsidRPr="00A37899">
        <w:rPr>
          <w:rFonts w:ascii="Verdana" w:eastAsia="Verdana" w:hAnsi="Verdana" w:cs="Verdana"/>
          <w:b/>
          <w:bCs/>
          <w:spacing w:val="-2"/>
          <w:lang w:val="es-ES"/>
        </w:rPr>
        <w:t xml:space="preserve"> </w:t>
      </w:r>
      <w:r w:rsidRPr="00A37899">
        <w:rPr>
          <w:rFonts w:ascii="Verdana" w:eastAsia="Verdana" w:hAnsi="Verdana" w:cs="Verdana"/>
          <w:b/>
          <w:bCs/>
          <w:lang w:val="es-ES"/>
        </w:rPr>
        <w:t>–</w:t>
      </w:r>
      <w:r w:rsidRPr="00A37899">
        <w:rPr>
          <w:rFonts w:ascii="Verdana" w:eastAsia="Verdana" w:hAnsi="Verdana" w:cs="Verdana"/>
          <w:b/>
          <w:bCs/>
          <w:spacing w:val="-5"/>
          <w:lang w:val="es-ES"/>
        </w:rPr>
        <w:t xml:space="preserve"> </w:t>
      </w:r>
      <w:r w:rsidRPr="00A37899">
        <w:rPr>
          <w:rFonts w:ascii="Verdana" w:eastAsia="Verdana" w:hAnsi="Verdana" w:cs="Verdana"/>
          <w:b/>
          <w:bCs/>
          <w:spacing w:val="-2"/>
          <w:lang w:val="es-ES"/>
        </w:rPr>
        <w:t>Excepciones</w:t>
      </w:r>
    </w:p>
    <w:p w14:paraId="7467C257" w14:textId="77777777" w:rsidR="00A37899" w:rsidRPr="00A37899" w:rsidRDefault="00A37899" w:rsidP="00A37899">
      <w:pPr>
        <w:spacing w:before="243"/>
        <w:ind w:left="260" w:right="260"/>
        <w:jc w:val="both"/>
        <w:rPr>
          <w:rFonts w:ascii="Verdana" w:hAnsi="Verdana"/>
          <w:sz w:val="20"/>
        </w:rPr>
      </w:pPr>
      <w:r w:rsidRPr="00A37899">
        <w:rPr>
          <w:rFonts w:ascii="Verdana" w:hAnsi="Verdana"/>
          <w:sz w:val="20"/>
        </w:rPr>
        <w:t>De otro lado, las excepciones a la restricción prevista en la Ley de Garantías, con fundamento en las cuales podrán las entidades públicas adelantar procedimientos de selección directa en períodos previos a la contienda electoral por la Presidencia, se encuentran</w:t>
      </w:r>
      <w:r w:rsidRPr="00A37899">
        <w:rPr>
          <w:rFonts w:ascii="Verdana" w:hAnsi="Verdana"/>
          <w:spacing w:val="-1"/>
          <w:sz w:val="20"/>
        </w:rPr>
        <w:t xml:space="preserve"> </w:t>
      </w:r>
      <w:r w:rsidRPr="00A37899">
        <w:rPr>
          <w:rFonts w:ascii="Verdana" w:hAnsi="Verdana"/>
          <w:sz w:val="20"/>
        </w:rPr>
        <w:t>consagradas</w:t>
      </w:r>
      <w:r w:rsidRPr="00A37899">
        <w:rPr>
          <w:rFonts w:ascii="Verdana" w:hAnsi="Verdana"/>
          <w:spacing w:val="-1"/>
          <w:sz w:val="20"/>
        </w:rPr>
        <w:t xml:space="preserve"> </w:t>
      </w:r>
      <w:r w:rsidRPr="00A37899">
        <w:rPr>
          <w:rFonts w:ascii="Verdana" w:hAnsi="Verdana"/>
          <w:sz w:val="20"/>
        </w:rPr>
        <w:t>expresamente</w:t>
      </w:r>
      <w:r w:rsidRPr="00A37899">
        <w:rPr>
          <w:rFonts w:ascii="Verdana" w:hAnsi="Verdana"/>
          <w:spacing w:val="-1"/>
          <w:sz w:val="20"/>
        </w:rPr>
        <w:t xml:space="preserve"> </w:t>
      </w:r>
      <w:r w:rsidRPr="00A37899">
        <w:rPr>
          <w:rFonts w:ascii="Verdana" w:hAnsi="Verdana"/>
          <w:sz w:val="20"/>
        </w:rPr>
        <w:t>en</w:t>
      </w:r>
      <w:r w:rsidRPr="00A37899">
        <w:rPr>
          <w:rFonts w:ascii="Verdana" w:hAnsi="Verdana"/>
          <w:spacing w:val="-2"/>
          <w:sz w:val="20"/>
        </w:rPr>
        <w:t xml:space="preserve"> </w:t>
      </w:r>
      <w:r w:rsidRPr="00A37899">
        <w:rPr>
          <w:rFonts w:ascii="Verdana" w:hAnsi="Verdana"/>
          <w:sz w:val="20"/>
        </w:rPr>
        <w:t>el</w:t>
      </w:r>
      <w:r w:rsidRPr="00A37899">
        <w:rPr>
          <w:rFonts w:ascii="Verdana" w:hAnsi="Verdana"/>
          <w:spacing w:val="-2"/>
          <w:sz w:val="20"/>
        </w:rPr>
        <w:t xml:space="preserve"> </w:t>
      </w:r>
      <w:r w:rsidRPr="00A37899">
        <w:rPr>
          <w:rFonts w:ascii="Verdana" w:hAnsi="Verdana"/>
          <w:sz w:val="20"/>
        </w:rPr>
        <w:t>inciso</w:t>
      </w:r>
      <w:r w:rsidRPr="00A37899">
        <w:rPr>
          <w:rFonts w:ascii="Verdana" w:hAnsi="Verdana"/>
          <w:spacing w:val="-2"/>
          <w:sz w:val="20"/>
        </w:rPr>
        <w:t xml:space="preserve"> </w:t>
      </w:r>
      <w:r w:rsidRPr="00A37899">
        <w:rPr>
          <w:rFonts w:ascii="Verdana" w:hAnsi="Verdana"/>
          <w:sz w:val="20"/>
        </w:rPr>
        <w:t>final</w:t>
      </w:r>
      <w:r w:rsidRPr="00A37899">
        <w:rPr>
          <w:rFonts w:ascii="Verdana" w:hAnsi="Verdana"/>
          <w:spacing w:val="-2"/>
          <w:sz w:val="20"/>
        </w:rPr>
        <w:t xml:space="preserve"> </w:t>
      </w:r>
      <w:r w:rsidRPr="00A37899">
        <w:rPr>
          <w:rFonts w:ascii="Verdana" w:hAnsi="Verdana"/>
          <w:sz w:val="20"/>
        </w:rPr>
        <w:t>del</w:t>
      </w:r>
      <w:r w:rsidRPr="00A37899">
        <w:rPr>
          <w:rFonts w:ascii="Verdana" w:hAnsi="Verdana"/>
          <w:spacing w:val="-2"/>
          <w:sz w:val="20"/>
        </w:rPr>
        <w:t xml:space="preserve"> </w:t>
      </w:r>
      <w:r w:rsidRPr="00A37899">
        <w:rPr>
          <w:rFonts w:ascii="Verdana" w:hAnsi="Verdana"/>
          <w:sz w:val="20"/>
        </w:rPr>
        <w:t>citado</w:t>
      </w:r>
      <w:r w:rsidRPr="00A37899">
        <w:rPr>
          <w:rFonts w:ascii="Verdana" w:hAnsi="Verdana"/>
          <w:spacing w:val="-2"/>
          <w:sz w:val="20"/>
        </w:rPr>
        <w:t xml:space="preserve"> </w:t>
      </w:r>
      <w:r w:rsidRPr="00A37899">
        <w:rPr>
          <w:rFonts w:ascii="Verdana" w:hAnsi="Verdana"/>
          <w:sz w:val="20"/>
        </w:rPr>
        <w:t>artículo</w:t>
      </w:r>
      <w:r w:rsidRPr="00A37899">
        <w:rPr>
          <w:rFonts w:ascii="Verdana" w:hAnsi="Verdana"/>
          <w:spacing w:val="-1"/>
          <w:sz w:val="20"/>
        </w:rPr>
        <w:t xml:space="preserve"> </w:t>
      </w:r>
      <w:r w:rsidRPr="00A37899">
        <w:rPr>
          <w:rFonts w:ascii="Verdana" w:hAnsi="Verdana"/>
          <w:sz w:val="20"/>
        </w:rPr>
        <w:t>33</w:t>
      </w:r>
      <w:r w:rsidRPr="00A37899">
        <w:rPr>
          <w:rFonts w:ascii="Verdana" w:hAnsi="Verdana"/>
          <w:spacing w:val="-2"/>
          <w:sz w:val="20"/>
        </w:rPr>
        <w:t xml:space="preserve"> </w:t>
      </w:r>
      <w:r w:rsidRPr="00A37899">
        <w:rPr>
          <w:rFonts w:ascii="Verdana" w:hAnsi="Verdana"/>
          <w:sz w:val="20"/>
        </w:rPr>
        <w:t>de</w:t>
      </w:r>
      <w:r w:rsidRPr="00A37899">
        <w:rPr>
          <w:rFonts w:ascii="Verdana" w:hAnsi="Verdana"/>
          <w:spacing w:val="-2"/>
          <w:sz w:val="20"/>
        </w:rPr>
        <w:t xml:space="preserve"> </w:t>
      </w:r>
      <w:r w:rsidRPr="00A37899">
        <w:rPr>
          <w:rFonts w:ascii="Verdana" w:hAnsi="Verdana"/>
          <w:sz w:val="20"/>
        </w:rPr>
        <w:t>la</w:t>
      </w:r>
      <w:r w:rsidRPr="00A37899">
        <w:rPr>
          <w:rFonts w:ascii="Verdana" w:hAnsi="Verdana"/>
          <w:spacing w:val="-2"/>
          <w:sz w:val="20"/>
        </w:rPr>
        <w:t xml:space="preserve"> </w:t>
      </w:r>
      <w:r w:rsidRPr="00A37899">
        <w:rPr>
          <w:rFonts w:ascii="Verdana" w:hAnsi="Verdana"/>
          <w:sz w:val="20"/>
        </w:rPr>
        <w:t xml:space="preserve">Ley 996 de 2005 en lo referente a i) la defensa y seguridad del Estado; </w:t>
      </w:r>
      <w:proofErr w:type="spellStart"/>
      <w:r w:rsidRPr="00A37899">
        <w:rPr>
          <w:rFonts w:ascii="Verdana" w:hAnsi="Verdana"/>
          <w:sz w:val="20"/>
        </w:rPr>
        <w:t>ii</w:t>
      </w:r>
      <w:proofErr w:type="spellEnd"/>
      <w:r w:rsidRPr="00A37899">
        <w:rPr>
          <w:rFonts w:ascii="Verdana" w:hAnsi="Verdana"/>
          <w:sz w:val="20"/>
        </w:rPr>
        <w:t xml:space="preserve">) los contratos de crédito público; </w:t>
      </w:r>
      <w:proofErr w:type="spellStart"/>
      <w:r w:rsidRPr="00A37899">
        <w:rPr>
          <w:rFonts w:ascii="Verdana" w:hAnsi="Verdana"/>
          <w:sz w:val="20"/>
        </w:rPr>
        <w:t>iii</w:t>
      </w:r>
      <w:proofErr w:type="spellEnd"/>
      <w:r w:rsidRPr="00A37899">
        <w:rPr>
          <w:rFonts w:ascii="Verdana" w:hAnsi="Verdana"/>
          <w:sz w:val="20"/>
        </w:rPr>
        <w:t xml:space="preserve">) los requeridos para cubrir las emergencias educativas, sanitarias y desastres; </w:t>
      </w:r>
      <w:proofErr w:type="spellStart"/>
      <w:r w:rsidRPr="00A37899">
        <w:rPr>
          <w:rFonts w:ascii="Verdana" w:hAnsi="Verdana"/>
          <w:sz w:val="20"/>
        </w:rPr>
        <w:t>iv</w:t>
      </w:r>
      <w:proofErr w:type="spellEnd"/>
      <w:r w:rsidRPr="00A37899">
        <w:rPr>
          <w:rFonts w:ascii="Verdana" w:hAnsi="Verdana"/>
          <w:sz w:val="20"/>
        </w:rPr>
        <w:t>)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Es responsabilidad del respectivo ente del Estado, examinar en cada caso la naturaleza de las actividades que adelanta y determinar si las mismas se enmarcan en alguna de las mencionadas excepciones,</w:t>
      </w:r>
      <w:r w:rsidRPr="00A37899">
        <w:rPr>
          <w:rFonts w:ascii="Verdana" w:hAnsi="Verdana"/>
          <w:spacing w:val="-12"/>
          <w:sz w:val="20"/>
        </w:rPr>
        <w:t xml:space="preserve"> </w:t>
      </w:r>
      <w:r w:rsidRPr="00A37899">
        <w:rPr>
          <w:rFonts w:ascii="Verdana" w:hAnsi="Verdana"/>
          <w:sz w:val="20"/>
        </w:rPr>
        <w:t>de</w:t>
      </w:r>
      <w:r w:rsidRPr="00A37899">
        <w:rPr>
          <w:rFonts w:ascii="Verdana" w:hAnsi="Verdana"/>
          <w:spacing w:val="-13"/>
          <w:sz w:val="20"/>
        </w:rPr>
        <w:t xml:space="preserve"> </w:t>
      </w:r>
      <w:r w:rsidRPr="00A37899">
        <w:rPr>
          <w:rFonts w:ascii="Verdana" w:hAnsi="Verdana"/>
          <w:sz w:val="20"/>
        </w:rPr>
        <w:t>manera</w:t>
      </w:r>
      <w:r w:rsidRPr="00A37899">
        <w:rPr>
          <w:rFonts w:ascii="Verdana" w:hAnsi="Verdana"/>
          <w:spacing w:val="-13"/>
          <w:sz w:val="20"/>
        </w:rPr>
        <w:t xml:space="preserve"> </w:t>
      </w:r>
      <w:r w:rsidRPr="00A37899">
        <w:rPr>
          <w:rFonts w:ascii="Verdana" w:hAnsi="Verdana"/>
          <w:sz w:val="20"/>
        </w:rPr>
        <w:t>que</w:t>
      </w:r>
      <w:r w:rsidRPr="00A37899">
        <w:rPr>
          <w:rFonts w:ascii="Verdana" w:hAnsi="Verdana"/>
          <w:spacing w:val="-13"/>
          <w:sz w:val="20"/>
        </w:rPr>
        <w:t xml:space="preserve"> </w:t>
      </w:r>
      <w:r w:rsidRPr="00A37899">
        <w:rPr>
          <w:rFonts w:ascii="Verdana" w:hAnsi="Verdana"/>
          <w:sz w:val="20"/>
        </w:rPr>
        <w:t>se</w:t>
      </w:r>
      <w:r w:rsidRPr="00A37899">
        <w:rPr>
          <w:rFonts w:ascii="Verdana" w:hAnsi="Verdana"/>
          <w:spacing w:val="-13"/>
          <w:sz w:val="20"/>
        </w:rPr>
        <w:t xml:space="preserve"> </w:t>
      </w:r>
      <w:r w:rsidRPr="00A37899">
        <w:rPr>
          <w:rFonts w:ascii="Verdana" w:hAnsi="Verdana"/>
          <w:sz w:val="20"/>
        </w:rPr>
        <w:t>le</w:t>
      </w:r>
      <w:r w:rsidRPr="00A37899">
        <w:rPr>
          <w:rFonts w:ascii="Verdana" w:hAnsi="Verdana"/>
          <w:spacing w:val="-13"/>
          <w:sz w:val="20"/>
        </w:rPr>
        <w:t xml:space="preserve"> </w:t>
      </w:r>
      <w:r w:rsidRPr="00A37899">
        <w:rPr>
          <w:rFonts w:ascii="Verdana" w:hAnsi="Verdana"/>
          <w:sz w:val="20"/>
        </w:rPr>
        <w:t>permita</w:t>
      </w:r>
      <w:r w:rsidRPr="00A37899">
        <w:rPr>
          <w:rFonts w:ascii="Verdana" w:hAnsi="Verdana"/>
          <w:spacing w:val="-13"/>
          <w:sz w:val="20"/>
        </w:rPr>
        <w:t xml:space="preserve"> </w:t>
      </w:r>
      <w:r w:rsidRPr="00A37899">
        <w:rPr>
          <w:rFonts w:ascii="Verdana" w:hAnsi="Verdana"/>
          <w:sz w:val="20"/>
        </w:rPr>
        <w:t>realizar</w:t>
      </w:r>
      <w:r w:rsidRPr="00A37899">
        <w:rPr>
          <w:rFonts w:ascii="Verdana" w:hAnsi="Verdana"/>
          <w:spacing w:val="-12"/>
          <w:sz w:val="20"/>
        </w:rPr>
        <w:t xml:space="preserve"> </w:t>
      </w:r>
      <w:r w:rsidRPr="00A37899">
        <w:rPr>
          <w:rFonts w:ascii="Verdana" w:hAnsi="Verdana"/>
          <w:sz w:val="20"/>
        </w:rPr>
        <w:t>la</w:t>
      </w:r>
      <w:r w:rsidRPr="00A37899">
        <w:rPr>
          <w:rFonts w:ascii="Verdana" w:hAnsi="Verdana"/>
          <w:spacing w:val="-13"/>
          <w:sz w:val="20"/>
        </w:rPr>
        <w:t xml:space="preserve"> </w:t>
      </w:r>
      <w:r w:rsidRPr="00A37899">
        <w:rPr>
          <w:rFonts w:ascii="Verdana" w:hAnsi="Verdana"/>
          <w:sz w:val="20"/>
        </w:rPr>
        <w:t>contratación</w:t>
      </w:r>
      <w:r w:rsidRPr="00A37899">
        <w:rPr>
          <w:rFonts w:ascii="Verdana" w:hAnsi="Verdana"/>
          <w:spacing w:val="-12"/>
          <w:sz w:val="20"/>
        </w:rPr>
        <w:t xml:space="preserve"> </w:t>
      </w:r>
      <w:r w:rsidRPr="00A37899">
        <w:rPr>
          <w:rFonts w:ascii="Verdana" w:hAnsi="Verdana"/>
          <w:sz w:val="20"/>
        </w:rPr>
        <w:t>que</w:t>
      </w:r>
      <w:r w:rsidRPr="00A37899">
        <w:rPr>
          <w:rFonts w:ascii="Verdana" w:hAnsi="Verdana"/>
          <w:spacing w:val="-13"/>
          <w:sz w:val="20"/>
        </w:rPr>
        <w:t xml:space="preserve"> </w:t>
      </w:r>
      <w:r w:rsidRPr="00A37899">
        <w:rPr>
          <w:rFonts w:ascii="Verdana" w:hAnsi="Verdana"/>
          <w:sz w:val="20"/>
        </w:rPr>
        <w:t>necesite</w:t>
      </w:r>
      <w:r w:rsidRPr="00A37899">
        <w:rPr>
          <w:rFonts w:ascii="Verdana" w:hAnsi="Verdana"/>
          <w:spacing w:val="-12"/>
          <w:sz w:val="20"/>
        </w:rPr>
        <w:t xml:space="preserve"> </w:t>
      </w:r>
      <w:r w:rsidRPr="00A37899">
        <w:rPr>
          <w:rFonts w:ascii="Verdana" w:hAnsi="Verdana"/>
          <w:sz w:val="20"/>
        </w:rPr>
        <w:t>en</w:t>
      </w:r>
      <w:r w:rsidRPr="00A37899">
        <w:rPr>
          <w:rFonts w:ascii="Verdana" w:hAnsi="Verdana"/>
          <w:spacing w:val="-13"/>
          <w:sz w:val="20"/>
        </w:rPr>
        <w:t xml:space="preserve"> </w:t>
      </w:r>
      <w:r w:rsidRPr="00A37899">
        <w:rPr>
          <w:rFonts w:ascii="Verdana" w:hAnsi="Verdana"/>
          <w:sz w:val="20"/>
        </w:rPr>
        <w:t xml:space="preserve">forma </w:t>
      </w:r>
      <w:r w:rsidRPr="00A37899">
        <w:rPr>
          <w:rFonts w:ascii="Verdana" w:hAnsi="Verdana"/>
          <w:spacing w:val="-2"/>
          <w:sz w:val="20"/>
        </w:rPr>
        <w:t>directa.</w:t>
      </w:r>
    </w:p>
    <w:p w14:paraId="4B976B61" w14:textId="77777777" w:rsidR="00A37899" w:rsidRPr="00A37899" w:rsidRDefault="00A37899" w:rsidP="00A37899">
      <w:pPr>
        <w:widowControl w:val="0"/>
        <w:autoSpaceDE w:val="0"/>
        <w:autoSpaceDN w:val="0"/>
        <w:spacing w:before="24" w:after="0" w:line="240" w:lineRule="auto"/>
        <w:rPr>
          <w:rFonts w:ascii="Verdana" w:eastAsia="Verdana" w:hAnsi="Verdana" w:cs="Verdana"/>
          <w:sz w:val="20"/>
          <w:lang w:val="es-ES"/>
        </w:rPr>
      </w:pPr>
    </w:p>
    <w:p w14:paraId="0AFF581C" w14:textId="77777777" w:rsidR="00A37899" w:rsidRPr="00A37899" w:rsidRDefault="00A37899" w:rsidP="00A37899">
      <w:pPr>
        <w:widowControl w:val="0"/>
        <w:autoSpaceDE w:val="0"/>
        <w:autoSpaceDN w:val="0"/>
        <w:spacing w:after="0" w:line="240" w:lineRule="auto"/>
        <w:ind w:left="260" w:firstLine="142"/>
        <w:outlineLvl w:val="0"/>
        <w:rPr>
          <w:rFonts w:ascii="Verdana" w:eastAsia="Verdana" w:hAnsi="Verdana" w:cs="Verdana"/>
          <w:b/>
          <w:bCs/>
          <w:lang w:val="es-ES"/>
        </w:rPr>
      </w:pPr>
      <w:r w:rsidRPr="00A37899">
        <w:rPr>
          <w:rFonts w:ascii="Verdana" w:eastAsia="Verdana" w:hAnsi="Verdana" w:cs="Verdana"/>
          <w:b/>
          <w:bCs/>
          <w:lang w:val="es-ES"/>
        </w:rPr>
        <w:t>LEY</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DE</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GARANTÍAS</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ELECTORALES</w:t>
      </w:r>
      <w:r w:rsidRPr="00A37899">
        <w:rPr>
          <w:rFonts w:ascii="Verdana" w:eastAsia="Verdana" w:hAnsi="Verdana" w:cs="Verdana"/>
          <w:b/>
          <w:bCs/>
          <w:spacing w:val="40"/>
          <w:lang w:val="es-ES"/>
        </w:rPr>
        <w:t xml:space="preserve"> </w:t>
      </w:r>
      <w:r w:rsidRPr="00A37899">
        <w:rPr>
          <w:rFonts w:ascii="Verdana" w:eastAsia="Verdana" w:hAnsi="Verdana" w:cs="Verdana"/>
          <w:b/>
          <w:bCs/>
          <w:lang w:val="es-ES"/>
        </w:rPr>
        <w:t>–</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Prohibición</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del</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artículo</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33</w:t>
      </w:r>
      <w:r w:rsidRPr="00A37899">
        <w:rPr>
          <w:rFonts w:ascii="Verdana" w:eastAsia="Verdana" w:hAnsi="Verdana" w:cs="Verdana"/>
          <w:b/>
          <w:bCs/>
          <w:spacing w:val="79"/>
          <w:lang w:val="es-ES"/>
        </w:rPr>
        <w:t xml:space="preserve"> </w:t>
      </w:r>
      <w:r w:rsidRPr="00A37899">
        <w:rPr>
          <w:rFonts w:ascii="Verdana" w:eastAsia="Verdana" w:hAnsi="Verdana" w:cs="Verdana"/>
          <w:b/>
          <w:bCs/>
          <w:lang w:val="es-ES"/>
        </w:rPr>
        <w:t xml:space="preserve">– </w:t>
      </w:r>
      <w:r w:rsidRPr="00A37899">
        <w:rPr>
          <w:rFonts w:ascii="Verdana" w:eastAsia="Verdana" w:hAnsi="Verdana" w:cs="Verdana"/>
          <w:b/>
          <w:bCs/>
          <w:spacing w:val="-2"/>
          <w:lang w:val="es-ES"/>
        </w:rPr>
        <w:t>Destinatarios</w:t>
      </w:r>
    </w:p>
    <w:p w14:paraId="00E3E4EB" w14:textId="77777777" w:rsidR="00A37899" w:rsidRPr="00A37899" w:rsidRDefault="00A37899" w:rsidP="00A37899">
      <w:pPr>
        <w:widowControl w:val="0"/>
        <w:autoSpaceDE w:val="0"/>
        <w:autoSpaceDN w:val="0"/>
        <w:spacing w:after="0" w:line="240" w:lineRule="auto"/>
        <w:rPr>
          <w:rFonts w:ascii="Verdana" w:eastAsia="Verdana" w:hAnsi="Verdana" w:cs="Verdana"/>
          <w:b/>
          <w:lang w:val="es-ES"/>
        </w:rPr>
      </w:pPr>
    </w:p>
    <w:p w14:paraId="41D1CE6F" w14:textId="0808D53C" w:rsidR="00A37899" w:rsidRPr="00A37899" w:rsidRDefault="00A37899" w:rsidP="00A37899">
      <w:pPr>
        <w:ind w:left="260" w:right="259"/>
        <w:jc w:val="both"/>
        <w:rPr>
          <w:rFonts w:ascii="Verdana" w:hAnsi="Verdana"/>
          <w:sz w:val="20"/>
        </w:rPr>
      </w:pPr>
      <w:r w:rsidRPr="00A37899">
        <w:rPr>
          <w:rFonts w:ascii="Verdana" w:hAnsi="Verdana"/>
          <w:sz w:val="20"/>
        </w:rPr>
        <w:t>De acuerdo con estos pronunciamientos de la Sala de Consulta y Servicio Civil del Consejo de Estado, la prohibición de la contratación directa también aplica frente a las entidades</w:t>
      </w:r>
      <w:r w:rsidRPr="00A37899">
        <w:rPr>
          <w:rFonts w:ascii="Verdana" w:hAnsi="Verdana"/>
          <w:spacing w:val="-7"/>
          <w:sz w:val="20"/>
        </w:rPr>
        <w:t xml:space="preserve"> </w:t>
      </w:r>
      <w:r w:rsidRPr="00A37899">
        <w:rPr>
          <w:rFonts w:ascii="Verdana" w:hAnsi="Verdana"/>
          <w:sz w:val="20"/>
        </w:rPr>
        <w:t>exceptuadas</w:t>
      </w:r>
      <w:r w:rsidRPr="00A37899">
        <w:rPr>
          <w:rFonts w:ascii="Verdana" w:hAnsi="Verdana"/>
          <w:spacing w:val="-6"/>
          <w:sz w:val="20"/>
        </w:rPr>
        <w:t xml:space="preserve"> </w:t>
      </w:r>
      <w:r w:rsidRPr="00A37899">
        <w:rPr>
          <w:rFonts w:ascii="Verdana" w:hAnsi="Verdana"/>
          <w:sz w:val="20"/>
        </w:rPr>
        <w:t>de</w:t>
      </w:r>
      <w:r w:rsidRPr="00A37899">
        <w:rPr>
          <w:rFonts w:ascii="Verdana" w:hAnsi="Verdana"/>
          <w:spacing w:val="-8"/>
          <w:sz w:val="20"/>
        </w:rPr>
        <w:t xml:space="preserve"> </w:t>
      </w:r>
      <w:r w:rsidRPr="00A37899">
        <w:rPr>
          <w:rFonts w:ascii="Verdana" w:hAnsi="Verdana"/>
          <w:sz w:val="20"/>
        </w:rPr>
        <w:t>la</w:t>
      </w:r>
      <w:r w:rsidRPr="00A37899">
        <w:rPr>
          <w:rFonts w:ascii="Verdana" w:hAnsi="Verdana"/>
          <w:spacing w:val="-8"/>
          <w:sz w:val="20"/>
        </w:rPr>
        <w:t xml:space="preserve"> </w:t>
      </w:r>
      <w:r w:rsidRPr="00A37899">
        <w:rPr>
          <w:rFonts w:ascii="Verdana" w:hAnsi="Verdana"/>
          <w:sz w:val="20"/>
        </w:rPr>
        <w:t>aplicación</w:t>
      </w:r>
      <w:r w:rsidRPr="00A37899">
        <w:rPr>
          <w:rFonts w:ascii="Verdana" w:hAnsi="Verdana"/>
          <w:spacing w:val="-7"/>
          <w:sz w:val="20"/>
        </w:rPr>
        <w:t xml:space="preserve"> </w:t>
      </w:r>
      <w:r w:rsidRPr="00A37899">
        <w:rPr>
          <w:rFonts w:ascii="Verdana" w:hAnsi="Verdana"/>
          <w:sz w:val="20"/>
        </w:rPr>
        <w:t>del</w:t>
      </w:r>
      <w:r w:rsidRPr="00A37899">
        <w:rPr>
          <w:rFonts w:ascii="Verdana" w:hAnsi="Verdana"/>
          <w:spacing w:val="-8"/>
          <w:sz w:val="20"/>
        </w:rPr>
        <w:t xml:space="preserve"> </w:t>
      </w:r>
      <w:r w:rsidRPr="00A37899">
        <w:rPr>
          <w:rFonts w:ascii="Verdana" w:hAnsi="Verdana"/>
          <w:sz w:val="20"/>
        </w:rPr>
        <w:t>EGCAP</w:t>
      </w:r>
      <w:r w:rsidRPr="00A37899">
        <w:rPr>
          <w:rFonts w:ascii="Verdana" w:hAnsi="Verdana"/>
          <w:spacing w:val="-8"/>
          <w:sz w:val="20"/>
        </w:rPr>
        <w:t xml:space="preserve"> </w:t>
      </w:r>
      <w:r w:rsidRPr="00A37899">
        <w:rPr>
          <w:rFonts w:ascii="Verdana" w:hAnsi="Verdana"/>
          <w:sz w:val="20"/>
        </w:rPr>
        <w:t>y</w:t>
      </w:r>
      <w:r w:rsidRPr="00A37899">
        <w:rPr>
          <w:rFonts w:ascii="Verdana" w:hAnsi="Verdana"/>
          <w:spacing w:val="-8"/>
          <w:sz w:val="20"/>
        </w:rPr>
        <w:t xml:space="preserve"> </w:t>
      </w:r>
      <w:r w:rsidRPr="00A37899">
        <w:rPr>
          <w:rFonts w:ascii="Verdana" w:hAnsi="Verdana"/>
          <w:sz w:val="20"/>
        </w:rPr>
        <w:t>que</w:t>
      </w:r>
      <w:r w:rsidRPr="00A37899">
        <w:rPr>
          <w:rFonts w:ascii="Verdana" w:hAnsi="Verdana"/>
          <w:spacing w:val="-8"/>
          <w:sz w:val="20"/>
        </w:rPr>
        <w:t xml:space="preserve"> </w:t>
      </w:r>
      <w:r w:rsidRPr="00A37899">
        <w:rPr>
          <w:rFonts w:ascii="Verdana" w:hAnsi="Verdana"/>
          <w:sz w:val="20"/>
        </w:rPr>
        <w:t>se</w:t>
      </w:r>
      <w:r w:rsidRPr="00A37899">
        <w:rPr>
          <w:rFonts w:ascii="Verdana" w:hAnsi="Verdana"/>
          <w:spacing w:val="-8"/>
          <w:sz w:val="20"/>
        </w:rPr>
        <w:t xml:space="preserve"> </w:t>
      </w:r>
      <w:r w:rsidRPr="00A37899">
        <w:rPr>
          <w:rFonts w:ascii="Verdana" w:hAnsi="Verdana"/>
          <w:sz w:val="20"/>
        </w:rPr>
        <w:t>rigen</w:t>
      </w:r>
      <w:r w:rsidRPr="00A37899">
        <w:rPr>
          <w:rFonts w:ascii="Verdana" w:hAnsi="Verdana"/>
          <w:spacing w:val="-8"/>
          <w:sz w:val="20"/>
        </w:rPr>
        <w:t xml:space="preserve"> </w:t>
      </w:r>
      <w:r w:rsidRPr="00A37899">
        <w:rPr>
          <w:rFonts w:ascii="Verdana" w:hAnsi="Verdana"/>
          <w:sz w:val="20"/>
        </w:rPr>
        <w:t>en</w:t>
      </w:r>
      <w:r w:rsidRPr="00A37899">
        <w:rPr>
          <w:rFonts w:ascii="Verdana" w:hAnsi="Verdana"/>
          <w:spacing w:val="-8"/>
          <w:sz w:val="20"/>
        </w:rPr>
        <w:t xml:space="preserve"> </w:t>
      </w:r>
      <w:r w:rsidRPr="00A37899">
        <w:rPr>
          <w:rFonts w:ascii="Verdana" w:hAnsi="Verdana"/>
          <w:sz w:val="20"/>
        </w:rPr>
        <w:t>materia</w:t>
      </w:r>
      <w:r w:rsidRPr="00A37899">
        <w:rPr>
          <w:rFonts w:ascii="Verdana" w:hAnsi="Verdana"/>
          <w:spacing w:val="-8"/>
          <w:sz w:val="20"/>
        </w:rPr>
        <w:t xml:space="preserve"> </w:t>
      </w:r>
      <w:r w:rsidRPr="00A37899">
        <w:rPr>
          <w:rFonts w:ascii="Verdana" w:hAnsi="Verdana"/>
          <w:sz w:val="20"/>
        </w:rPr>
        <w:lastRenderedPageBreak/>
        <w:t>contractual por el derecho privado. Sin embargo, señaló que algunas de estas entidades, como sucede con las empresas de servicios públicos domiciliarios, los establecimientos de crédito,</w:t>
      </w:r>
      <w:r w:rsidRPr="00A37899">
        <w:rPr>
          <w:rFonts w:ascii="Verdana" w:hAnsi="Verdana"/>
          <w:spacing w:val="-2"/>
          <w:sz w:val="20"/>
        </w:rPr>
        <w:t xml:space="preserve"> </w:t>
      </w:r>
      <w:r w:rsidRPr="00A37899">
        <w:rPr>
          <w:rFonts w:ascii="Verdana" w:hAnsi="Verdana"/>
          <w:sz w:val="20"/>
        </w:rPr>
        <w:t>las</w:t>
      </w:r>
      <w:r w:rsidRPr="00A37899">
        <w:rPr>
          <w:rFonts w:ascii="Verdana" w:hAnsi="Verdana"/>
          <w:spacing w:val="-3"/>
          <w:sz w:val="20"/>
        </w:rPr>
        <w:t xml:space="preserve"> </w:t>
      </w:r>
      <w:r w:rsidRPr="00A37899">
        <w:rPr>
          <w:rFonts w:ascii="Verdana" w:hAnsi="Verdana"/>
          <w:sz w:val="20"/>
        </w:rPr>
        <w:t>sociedades</w:t>
      </w:r>
      <w:r w:rsidRPr="00A37899">
        <w:rPr>
          <w:rFonts w:ascii="Verdana" w:hAnsi="Verdana"/>
          <w:spacing w:val="-1"/>
          <w:sz w:val="20"/>
        </w:rPr>
        <w:t xml:space="preserve"> </w:t>
      </w:r>
      <w:r w:rsidRPr="00A37899">
        <w:rPr>
          <w:rFonts w:ascii="Verdana" w:hAnsi="Verdana"/>
          <w:sz w:val="20"/>
        </w:rPr>
        <w:t>de</w:t>
      </w:r>
      <w:r w:rsidRPr="00A37899">
        <w:rPr>
          <w:rFonts w:ascii="Verdana" w:hAnsi="Verdana"/>
          <w:spacing w:val="-3"/>
          <w:sz w:val="20"/>
        </w:rPr>
        <w:t xml:space="preserve"> </w:t>
      </w:r>
      <w:r w:rsidRPr="00A37899">
        <w:rPr>
          <w:rFonts w:ascii="Verdana" w:hAnsi="Verdana"/>
          <w:sz w:val="20"/>
        </w:rPr>
        <w:t>servicios</w:t>
      </w:r>
      <w:r w:rsidRPr="00A37899">
        <w:rPr>
          <w:rFonts w:ascii="Verdana" w:hAnsi="Verdana"/>
          <w:spacing w:val="-1"/>
          <w:sz w:val="20"/>
        </w:rPr>
        <w:t xml:space="preserve"> </w:t>
      </w:r>
      <w:r w:rsidRPr="00A37899">
        <w:rPr>
          <w:rFonts w:ascii="Verdana" w:hAnsi="Verdana"/>
          <w:sz w:val="20"/>
        </w:rPr>
        <w:t>financieros</w:t>
      </w:r>
      <w:r w:rsidRPr="00A37899">
        <w:rPr>
          <w:rFonts w:ascii="Verdana" w:hAnsi="Verdana"/>
          <w:spacing w:val="-1"/>
          <w:sz w:val="20"/>
        </w:rPr>
        <w:t xml:space="preserve"> </w:t>
      </w:r>
      <w:r w:rsidRPr="00A37899">
        <w:rPr>
          <w:rFonts w:ascii="Verdana" w:hAnsi="Verdana"/>
          <w:sz w:val="20"/>
        </w:rPr>
        <w:t>y</w:t>
      </w:r>
      <w:r w:rsidRPr="00A37899">
        <w:rPr>
          <w:rFonts w:ascii="Verdana" w:hAnsi="Verdana"/>
          <w:spacing w:val="-3"/>
          <w:sz w:val="20"/>
        </w:rPr>
        <w:t xml:space="preserve"> </w:t>
      </w:r>
      <w:r w:rsidRPr="00A37899">
        <w:rPr>
          <w:rFonts w:ascii="Verdana" w:hAnsi="Verdana"/>
          <w:sz w:val="20"/>
        </w:rPr>
        <w:t>las</w:t>
      </w:r>
      <w:r w:rsidRPr="00A37899">
        <w:rPr>
          <w:rFonts w:ascii="Verdana" w:hAnsi="Verdana"/>
          <w:spacing w:val="-3"/>
          <w:sz w:val="20"/>
        </w:rPr>
        <w:t xml:space="preserve"> </w:t>
      </w:r>
      <w:r w:rsidRPr="00A37899">
        <w:rPr>
          <w:rFonts w:ascii="Verdana" w:hAnsi="Verdana"/>
          <w:sz w:val="20"/>
        </w:rPr>
        <w:t>entidades</w:t>
      </w:r>
      <w:r w:rsidRPr="00A37899">
        <w:rPr>
          <w:rFonts w:ascii="Verdana" w:hAnsi="Verdana"/>
          <w:spacing w:val="-1"/>
          <w:sz w:val="20"/>
        </w:rPr>
        <w:t xml:space="preserve"> </w:t>
      </w:r>
      <w:r w:rsidRPr="00A37899">
        <w:rPr>
          <w:rFonts w:ascii="Verdana" w:hAnsi="Verdana"/>
          <w:sz w:val="20"/>
        </w:rPr>
        <w:t>aseguradoras</w:t>
      </w:r>
      <w:r w:rsidRPr="00A37899">
        <w:rPr>
          <w:rFonts w:ascii="Verdana" w:hAnsi="Verdana"/>
          <w:spacing w:val="-1"/>
          <w:sz w:val="20"/>
        </w:rPr>
        <w:t xml:space="preserve"> </w:t>
      </w:r>
      <w:r w:rsidRPr="00A37899">
        <w:rPr>
          <w:rFonts w:ascii="Verdana" w:hAnsi="Verdana"/>
          <w:sz w:val="20"/>
        </w:rPr>
        <w:t>no</w:t>
      </w:r>
      <w:r w:rsidRPr="00A37899">
        <w:rPr>
          <w:rFonts w:ascii="Verdana" w:hAnsi="Verdana"/>
          <w:spacing w:val="-3"/>
          <w:sz w:val="20"/>
        </w:rPr>
        <w:t xml:space="preserve"> </w:t>
      </w:r>
      <w:r w:rsidRPr="00A37899">
        <w:rPr>
          <w:rFonts w:ascii="Verdana" w:hAnsi="Verdana"/>
          <w:sz w:val="20"/>
        </w:rPr>
        <w:t>pueden adquirir los suministros de bienes y servicios necesarios para la realización de su actividad por contratación directa, sino por mecanismos competitivos que impliquen convocatoria pública y la posibilidad de la existencia de pluralidad de oferentes, pero indicó que en estos casos “las empresas no pueden dejar de entregar los servicios públicos</w:t>
      </w:r>
      <w:r w:rsidRPr="00A37899">
        <w:rPr>
          <w:rFonts w:ascii="Verdana" w:hAnsi="Verdana"/>
          <w:spacing w:val="-16"/>
          <w:sz w:val="20"/>
        </w:rPr>
        <w:t xml:space="preserve"> </w:t>
      </w:r>
      <w:r w:rsidRPr="00A37899">
        <w:rPr>
          <w:rFonts w:ascii="Verdana" w:hAnsi="Verdana"/>
          <w:sz w:val="20"/>
        </w:rPr>
        <w:t>a</w:t>
      </w:r>
      <w:r w:rsidRPr="00A37899">
        <w:rPr>
          <w:rFonts w:ascii="Verdana" w:hAnsi="Verdana"/>
          <w:spacing w:val="-17"/>
          <w:sz w:val="20"/>
        </w:rPr>
        <w:t xml:space="preserve"> </w:t>
      </w:r>
      <w:r w:rsidRPr="00A37899">
        <w:rPr>
          <w:rFonts w:ascii="Verdana" w:hAnsi="Verdana"/>
          <w:sz w:val="20"/>
        </w:rPr>
        <w:t>su</w:t>
      </w:r>
      <w:r w:rsidRPr="00A37899">
        <w:rPr>
          <w:rFonts w:ascii="Verdana" w:hAnsi="Verdana"/>
          <w:spacing w:val="-17"/>
          <w:sz w:val="20"/>
        </w:rPr>
        <w:t xml:space="preserve"> </w:t>
      </w:r>
      <w:r w:rsidRPr="00A37899">
        <w:rPr>
          <w:rFonts w:ascii="Verdana" w:hAnsi="Verdana"/>
          <w:sz w:val="20"/>
        </w:rPr>
        <w:t>cargo</w:t>
      </w:r>
      <w:r w:rsidRPr="00A37899">
        <w:rPr>
          <w:rFonts w:ascii="Verdana" w:hAnsi="Verdana"/>
          <w:spacing w:val="-17"/>
          <w:sz w:val="20"/>
        </w:rPr>
        <w:t xml:space="preserve"> </w:t>
      </w:r>
      <w:r w:rsidRPr="00A37899">
        <w:rPr>
          <w:rFonts w:ascii="Verdana" w:hAnsi="Verdana"/>
          <w:sz w:val="20"/>
        </w:rPr>
        <w:t>a</w:t>
      </w:r>
      <w:r w:rsidRPr="00A37899">
        <w:rPr>
          <w:rFonts w:ascii="Verdana" w:hAnsi="Verdana"/>
          <w:spacing w:val="-17"/>
          <w:sz w:val="20"/>
        </w:rPr>
        <w:t xml:space="preserve"> </w:t>
      </w:r>
      <w:r w:rsidRPr="00A37899">
        <w:rPr>
          <w:rFonts w:ascii="Verdana" w:hAnsi="Verdana"/>
          <w:sz w:val="20"/>
        </w:rPr>
        <w:t>nuevas</w:t>
      </w:r>
      <w:r w:rsidRPr="00A37899">
        <w:rPr>
          <w:rFonts w:ascii="Verdana" w:hAnsi="Verdana"/>
          <w:spacing w:val="-16"/>
          <w:sz w:val="20"/>
        </w:rPr>
        <w:t xml:space="preserve"> </w:t>
      </w:r>
      <w:r w:rsidRPr="00A37899">
        <w:rPr>
          <w:rFonts w:ascii="Verdana" w:hAnsi="Verdana"/>
          <w:sz w:val="20"/>
        </w:rPr>
        <w:t>personas,</w:t>
      </w:r>
      <w:r w:rsidRPr="00A37899">
        <w:rPr>
          <w:rFonts w:ascii="Verdana" w:hAnsi="Verdana"/>
          <w:spacing w:val="-16"/>
          <w:sz w:val="20"/>
        </w:rPr>
        <w:t xml:space="preserve"> </w:t>
      </w:r>
      <w:r w:rsidRPr="00A37899">
        <w:rPr>
          <w:rFonts w:ascii="Verdana" w:hAnsi="Verdana"/>
          <w:sz w:val="20"/>
        </w:rPr>
        <w:t>ni</w:t>
      </w:r>
      <w:r w:rsidRPr="00A37899">
        <w:rPr>
          <w:rFonts w:ascii="Verdana" w:hAnsi="Verdana"/>
          <w:spacing w:val="-17"/>
          <w:sz w:val="20"/>
        </w:rPr>
        <w:t xml:space="preserve"> </w:t>
      </w:r>
      <w:r w:rsidRPr="00A37899">
        <w:rPr>
          <w:rFonts w:ascii="Verdana" w:hAnsi="Verdana"/>
          <w:sz w:val="20"/>
        </w:rPr>
        <w:t>dejar</w:t>
      </w:r>
      <w:r w:rsidRPr="00A37899">
        <w:rPr>
          <w:rFonts w:ascii="Verdana" w:hAnsi="Verdana"/>
          <w:spacing w:val="-17"/>
          <w:sz w:val="20"/>
        </w:rPr>
        <w:t xml:space="preserve"> </w:t>
      </w:r>
      <w:r w:rsidRPr="00A37899">
        <w:rPr>
          <w:rFonts w:ascii="Verdana" w:hAnsi="Verdana"/>
          <w:sz w:val="20"/>
        </w:rPr>
        <w:t>de</w:t>
      </w:r>
      <w:r w:rsidRPr="00A37899">
        <w:rPr>
          <w:rFonts w:ascii="Verdana" w:hAnsi="Verdana"/>
          <w:spacing w:val="-17"/>
          <w:sz w:val="20"/>
        </w:rPr>
        <w:t xml:space="preserve"> </w:t>
      </w:r>
      <w:r w:rsidRPr="00A37899">
        <w:rPr>
          <w:rFonts w:ascii="Verdana" w:hAnsi="Verdana"/>
          <w:sz w:val="20"/>
        </w:rPr>
        <w:t>renovar</w:t>
      </w:r>
      <w:r w:rsidRPr="00A37899">
        <w:rPr>
          <w:rFonts w:ascii="Verdana" w:hAnsi="Verdana"/>
          <w:spacing w:val="-16"/>
          <w:sz w:val="20"/>
        </w:rPr>
        <w:t xml:space="preserve"> </w:t>
      </w:r>
      <w:r w:rsidRPr="00A37899">
        <w:rPr>
          <w:rFonts w:ascii="Verdana" w:hAnsi="Verdana"/>
          <w:sz w:val="20"/>
        </w:rPr>
        <w:t>los</w:t>
      </w:r>
      <w:r w:rsidRPr="00A37899">
        <w:rPr>
          <w:rFonts w:ascii="Verdana" w:hAnsi="Verdana"/>
          <w:spacing w:val="-17"/>
          <w:sz w:val="20"/>
        </w:rPr>
        <w:t xml:space="preserve"> </w:t>
      </w:r>
      <w:r w:rsidRPr="00A37899">
        <w:rPr>
          <w:rFonts w:ascii="Verdana" w:hAnsi="Verdana"/>
          <w:sz w:val="20"/>
        </w:rPr>
        <w:t>contratos</w:t>
      </w:r>
      <w:r w:rsidRPr="00A37899">
        <w:rPr>
          <w:rFonts w:ascii="Verdana" w:hAnsi="Verdana"/>
          <w:spacing w:val="-16"/>
          <w:sz w:val="20"/>
        </w:rPr>
        <w:t xml:space="preserve"> </w:t>
      </w:r>
      <w:r w:rsidRPr="00A37899">
        <w:rPr>
          <w:rFonts w:ascii="Verdana" w:hAnsi="Verdana"/>
          <w:sz w:val="20"/>
        </w:rPr>
        <w:t>existentes,</w:t>
      </w:r>
      <w:r w:rsidRPr="00A37899">
        <w:rPr>
          <w:rFonts w:ascii="Verdana" w:hAnsi="Verdana"/>
          <w:spacing w:val="-16"/>
          <w:sz w:val="20"/>
        </w:rPr>
        <w:t xml:space="preserve"> </w:t>
      </w:r>
      <w:r w:rsidRPr="00A37899">
        <w:rPr>
          <w:rFonts w:ascii="Verdana" w:hAnsi="Verdana"/>
          <w:sz w:val="20"/>
        </w:rPr>
        <w:t>pues significaría la parálisis de una actividad propia de la administración, que incluso podría desconocer los derechos fundamentales”</w:t>
      </w:r>
    </w:p>
    <w:p w14:paraId="28E9419B" w14:textId="77777777" w:rsidR="00A37899" w:rsidRPr="00A37899" w:rsidRDefault="00A37899" w:rsidP="00A37899">
      <w:pPr>
        <w:spacing w:after="0"/>
        <w:rPr>
          <w:rFonts w:ascii="Verdana" w:hAnsi="Verdana"/>
        </w:rPr>
      </w:pPr>
    </w:p>
    <w:p w14:paraId="2ABEB2E2" w14:textId="77777777" w:rsidR="00A37899" w:rsidRPr="00A37899" w:rsidRDefault="00A37899" w:rsidP="00A37899">
      <w:pPr>
        <w:spacing w:after="0"/>
        <w:rPr>
          <w:rFonts w:ascii="Verdana" w:hAnsi="Verdana"/>
        </w:rPr>
      </w:pPr>
    </w:p>
    <w:p w14:paraId="70E14B76" w14:textId="153956C2" w:rsidR="00A37899" w:rsidRDefault="00E245B2" w:rsidP="00A37899">
      <w:pPr>
        <w:spacing w:after="0"/>
        <w:rPr>
          <w:rFonts w:ascii="Verdana" w:hAnsi="Verdana" w:cs="Arial"/>
          <w:b/>
          <w:bCs/>
          <w:lang w:val="es-MX" w:eastAsia="es-ES_tradnl"/>
        </w:rPr>
      </w:pPr>
      <w:r w:rsidRPr="00E245B2">
        <w:rPr>
          <w:rFonts w:ascii="Verdana" w:hAnsi="Verdana" w:cs="Arial"/>
          <w:b/>
          <w:bCs/>
          <w:lang w:val="es-MX" w:eastAsia="es-ES_tradnl"/>
        </w:rPr>
        <w:t>LEY DE GARANTÍAS ELECTORALES – Circular 006 de 2025</w:t>
      </w:r>
      <w:r w:rsidR="00A234A8" w:rsidRPr="00E245B2">
        <w:rPr>
          <w:rFonts w:ascii="Verdana" w:hAnsi="Verdana" w:cs="Arial"/>
          <w:b/>
          <w:bCs/>
          <w:lang w:val="es-MX" w:eastAsia="es-ES_tradnl"/>
        </w:rPr>
        <w:t>–</w:t>
      </w:r>
      <w:r w:rsidR="00A234A8">
        <w:rPr>
          <w:rFonts w:ascii="Verdana" w:hAnsi="Verdana" w:cs="Arial"/>
          <w:b/>
          <w:bCs/>
          <w:lang w:val="es-MX" w:eastAsia="es-ES_tradnl"/>
        </w:rPr>
        <w:t xml:space="preserve">Planeación Contractual </w:t>
      </w:r>
    </w:p>
    <w:p w14:paraId="36F55A44" w14:textId="77777777" w:rsidR="00C74A76" w:rsidRDefault="00C74A76" w:rsidP="00A37899">
      <w:pPr>
        <w:spacing w:after="0"/>
        <w:rPr>
          <w:rFonts w:ascii="Verdana" w:hAnsi="Verdana" w:cs="Arial"/>
          <w:b/>
          <w:bCs/>
          <w:lang w:val="es-MX" w:eastAsia="es-ES_tradnl"/>
        </w:rPr>
      </w:pPr>
    </w:p>
    <w:p w14:paraId="38F27763" w14:textId="77777777" w:rsidR="00C74A76" w:rsidRPr="00C74A76" w:rsidRDefault="00C74A76" w:rsidP="00C74A76">
      <w:pPr>
        <w:spacing w:after="0" w:line="276" w:lineRule="auto"/>
        <w:jc w:val="both"/>
        <w:rPr>
          <w:rFonts w:ascii="Verdana" w:eastAsia="Calibri" w:hAnsi="Verdana" w:cs="Arial"/>
          <w:sz w:val="20"/>
          <w:szCs w:val="20"/>
        </w:rPr>
      </w:pPr>
      <w:r w:rsidRPr="00C74A76">
        <w:rPr>
          <w:rFonts w:ascii="Verdana" w:eastAsia="Calibri" w:hAnsi="Verdana" w:cs="Arial"/>
          <w:sz w:val="20"/>
          <w:szCs w:val="20"/>
        </w:rPr>
        <w:t>Teniendo en cuenta las restricciones expuestas, y en relación con el problema jurídico consistente en determinar cuál es el alcance de las restricciones contractuales previstas en la Ley de Garantías Electorales frente a la necesidad de las Entidades Públicas de contratar los apoyos requeridos para asegurar el cumplimiento de sus obligaciones legales y financieras asociadas a la administración de recursos públicos, es necesario precisar que, tal como lo indicó esta Agencia en la Circular Externa 006 de 2025, las Entidades Estatales deben adoptar las medidas de planeación necesarias para garantizar la continuidad de su gestión institucional durante los períodos en que resultan aplicables las restricciones previstas en la Ley 996 de 2005. En particular, la citada Circular señaló que:</w:t>
      </w:r>
    </w:p>
    <w:p w14:paraId="48DAE7E2" w14:textId="77777777" w:rsidR="00C74A76" w:rsidRPr="00C74A76" w:rsidRDefault="00C74A76" w:rsidP="00C74A76">
      <w:pPr>
        <w:spacing w:after="0" w:line="276" w:lineRule="auto"/>
        <w:ind w:firstLine="709"/>
        <w:jc w:val="both"/>
        <w:rPr>
          <w:rFonts w:ascii="Verdana" w:eastAsia="Calibri" w:hAnsi="Verdana" w:cs="Arial"/>
          <w:sz w:val="20"/>
          <w:szCs w:val="20"/>
        </w:rPr>
      </w:pPr>
    </w:p>
    <w:p w14:paraId="10FE978E" w14:textId="77777777" w:rsidR="00C74A76" w:rsidRPr="00C74A76" w:rsidRDefault="00C74A76" w:rsidP="00C74A76">
      <w:pPr>
        <w:spacing w:after="0" w:line="240" w:lineRule="auto"/>
        <w:ind w:left="709" w:right="709"/>
        <w:jc w:val="both"/>
        <w:rPr>
          <w:rFonts w:ascii="Verdana" w:eastAsia="Calibri" w:hAnsi="Verdana" w:cs="Arial"/>
          <w:sz w:val="20"/>
          <w:szCs w:val="20"/>
        </w:rPr>
      </w:pPr>
      <w:r w:rsidRPr="00C74A76">
        <w:rPr>
          <w:rFonts w:ascii="Verdana" w:eastAsia="Calibri" w:hAnsi="Verdana" w:cs="Arial"/>
          <w:sz w:val="20"/>
          <w:szCs w:val="20"/>
        </w:rPr>
        <w:t>“Las entidades deberán realizar una adecuada planeación que garantice el cumplimiento de sus funciones durante los periodos en que rigen las restricciones de la Ley de Garantías Electorales. Para lo anterior, deberán tener en cuenta la posibilidad de acudir a procedimientos de selección distintos a la contratación directa (en el caso de la prohibición del artículo 33), o a la suscripción de convenios interadministrativos (con respecto a la prohibición del parágrafo del artículo 38).</w:t>
      </w:r>
    </w:p>
    <w:p w14:paraId="1208DCE2" w14:textId="77777777" w:rsidR="00C74A76" w:rsidRPr="00C74A76" w:rsidRDefault="00C74A76" w:rsidP="00C74A76">
      <w:pPr>
        <w:spacing w:after="0" w:line="240" w:lineRule="auto"/>
        <w:ind w:left="709" w:right="709"/>
        <w:jc w:val="both"/>
        <w:rPr>
          <w:rFonts w:ascii="Verdana" w:eastAsia="Calibri" w:hAnsi="Verdana" w:cs="Arial"/>
          <w:sz w:val="20"/>
          <w:szCs w:val="20"/>
        </w:rPr>
      </w:pPr>
    </w:p>
    <w:p w14:paraId="790E89B6" w14:textId="7FC40A2D" w:rsidR="00C74A76" w:rsidRPr="00C74A76" w:rsidRDefault="00C74A76" w:rsidP="00C74A76">
      <w:pPr>
        <w:spacing w:after="0" w:line="240" w:lineRule="auto"/>
        <w:ind w:left="709" w:right="709"/>
        <w:jc w:val="both"/>
        <w:rPr>
          <w:rFonts w:ascii="Verdana" w:eastAsia="Calibri" w:hAnsi="Verdana" w:cs="Arial"/>
          <w:sz w:val="20"/>
          <w:szCs w:val="20"/>
        </w:rPr>
      </w:pPr>
      <w:r w:rsidRPr="00C74A76">
        <w:rPr>
          <w:rFonts w:ascii="Verdana" w:eastAsia="Calibri" w:hAnsi="Verdana" w:cs="Arial"/>
          <w:sz w:val="20"/>
          <w:szCs w:val="20"/>
        </w:rPr>
        <w:t xml:space="preserve">Adicionalmente, pueden tener en cuenta que la Ley de Garantías Electorales no establece restricciones para las prórrogas, modificaciones o adiciones, y la cesión de los contratos suscritos antes del periodo electoral, siempre que tales prórrogas, modificaciones, adiciones y cesiones cumplan los principios de planeación, transparencia y responsabilidad. En este sentido, las prórrogas, modificaciones o adiciones, y la cesión de los contratos suscritos antes del período de la campaña electoral, pueden realizarse en cualquier tiempo antes o después del comienzo de la </w:t>
      </w:r>
      <w:r w:rsidRPr="00C74A76">
        <w:rPr>
          <w:rFonts w:ascii="Verdana" w:eastAsia="Calibri" w:hAnsi="Verdana" w:cs="Arial"/>
          <w:sz w:val="20"/>
          <w:szCs w:val="20"/>
        </w:rPr>
        <w:lastRenderedPageBreak/>
        <w:t>aplicación de la Ley de Garantías, siempre y cuando el contrato se encuentre vigente y se observen las demás disposiciones conforme a las cuales deben realizarse dichas actuaciones”.</w:t>
      </w:r>
    </w:p>
    <w:p w14:paraId="3DC6137D" w14:textId="77777777" w:rsidR="00C74A76" w:rsidRPr="00C74A76" w:rsidRDefault="00C74A76" w:rsidP="00C74A76">
      <w:pPr>
        <w:spacing w:after="0" w:line="240" w:lineRule="auto"/>
        <w:ind w:left="709" w:right="709"/>
        <w:jc w:val="both"/>
        <w:rPr>
          <w:rFonts w:ascii="Verdana" w:eastAsia="Calibri" w:hAnsi="Verdana" w:cs="Arial"/>
          <w:sz w:val="20"/>
          <w:szCs w:val="20"/>
        </w:rPr>
      </w:pPr>
    </w:p>
    <w:p w14:paraId="4F458454" w14:textId="77777777" w:rsidR="00C74A76" w:rsidRPr="00C74A76" w:rsidRDefault="00C74A76" w:rsidP="00A37899">
      <w:pPr>
        <w:spacing w:after="0"/>
        <w:rPr>
          <w:rFonts w:ascii="Verdana" w:hAnsi="Verdana"/>
          <w:b/>
          <w:bCs/>
          <w:sz w:val="20"/>
          <w:szCs w:val="20"/>
        </w:rPr>
      </w:pPr>
    </w:p>
    <w:p w14:paraId="0E18D306" w14:textId="77777777" w:rsidR="00A37899" w:rsidRPr="00A37899" w:rsidRDefault="00A37899" w:rsidP="00A37899">
      <w:pPr>
        <w:spacing w:after="0"/>
        <w:rPr>
          <w:rFonts w:ascii="Verdana" w:hAnsi="Verdana"/>
        </w:rPr>
      </w:pPr>
    </w:p>
    <w:p w14:paraId="6964490C" w14:textId="77777777" w:rsidR="00A37899" w:rsidRPr="00A37899" w:rsidRDefault="00A37899" w:rsidP="00A37899">
      <w:pPr>
        <w:spacing w:after="0"/>
        <w:rPr>
          <w:rFonts w:ascii="Verdana" w:hAnsi="Verdana"/>
        </w:rPr>
      </w:pPr>
    </w:p>
    <w:p w14:paraId="47533038" w14:textId="77777777" w:rsidR="00A37899" w:rsidRPr="00A37899" w:rsidRDefault="00A37899" w:rsidP="00A37899">
      <w:pPr>
        <w:spacing w:after="0"/>
        <w:rPr>
          <w:rFonts w:ascii="Verdana" w:hAnsi="Verdana"/>
        </w:rPr>
      </w:pPr>
    </w:p>
    <w:p w14:paraId="5D6DAC88" w14:textId="77777777" w:rsidR="00A37899" w:rsidRPr="00A37899" w:rsidRDefault="00A37899" w:rsidP="00A37899">
      <w:pPr>
        <w:spacing w:after="0"/>
        <w:rPr>
          <w:rFonts w:ascii="Verdana" w:hAnsi="Verdana"/>
        </w:rPr>
      </w:pPr>
    </w:p>
    <w:p w14:paraId="5380D597" w14:textId="77777777" w:rsidR="00A37899" w:rsidRPr="00A37899" w:rsidRDefault="00A37899" w:rsidP="00A37899">
      <w:pPr>
        <w:spacing w:after="0"/>
        <w:rPr>
          <w:rFonts w:ascii="Verdana" w:hAnsi="Verdana"/>
        </w:rPr>
      </w:pPr>
    </w:p>
    <w:p w14:paraId="108EE92F" w14:textId="77777777" w:rsidR="00A37899" w:rsidRPr="00A37899" w:rsidRDefault="00A37899" w:rsidP="00A37899">
      <w:pPr>
        <w:spacing w:after="0"/>
        <w:rPr>
          <w:rFonts w:ascii="Verdana" w:hAnsi="Verdana"/>
        </w:rPr>
      </w:pPr>
    </w:p>
    <w:p w14:paraId="5594760E" w14:textId="77777777" w:rsidR="00A37899" w:rsidRPr="00A37899" w:rsidRDefault="00A37899" w:rsidP="00A37899">
      <w:pPr>
        <w:spacing w:after="0"/>
        <w:rPr>
          <w:rFonts w:ascii="Verdana" w:hAnsi="Verdana"/>
        </w:rPr>
      </w:pPr>
    </w:p>
    <w:p w14:paraId="3B81E9F4" w14:textId="77777777" w:rsidR="00A37899" w:rsidRPr="00A37899" w:rsidRDefault="00A37899" w:rsidP="00A37899">
      <w:pPr>
        <w:spacing w:after="0"/>
        <w:rPr>
          <w:rFonts w:ascii="Verdana" w:hAnsi="Verdana"/>
        </w:rPr>
      </w:pPr>
    </w:p>
    <w:p w14:paraId="01F8FA94" w14:textId="77777777" w:rsidR="00A37899" w:rsidRPr="00A37899" w:rsidRDefault="00A37899" w:rsidP="00A37899">
      <w:pPr>
        <w:spacing w:after="0"/>
        <w:rPr>
          <w:rFonts w:ascii="Verdana" w:hAnsi="Verdana"/>
        </w:rPr>
      </w:pPr>
    </w:p>
    <w:p w14:paraId="47B1B770" w14:textId="77777777" w:rsidR="00A37899" w:rsidRPr="00A37899" w:rsidRDefault="00A37899" w:rsidP="00A37899">
      <w:pPr>
        <w:spacing w:after="0"/>
        <w:rPr>
          <w:rFonts w:ascii="Verdana" w:hAnsi="Verdana"/>
        </w:rPr>
      </w:pPr>
    </w:p>
    <w:p w14:paraId="07D71BF6" w14:textId="77777777" w:rsidR="00A37899" w:rsidRPr="00A37899" w:rsidRDefault="00A37899" w:rsidP="00A37899">
      <w:pPr>
        <w:spacing w:after="0"/>
        <w:rPr>
          <w:rFonts w:ascii="Verdana" w:hAnsi="Verdana"/>
        </w:rPr>
      </w:pPr>
    </w:p>
    <w:p w14:paraId="62584F6F" w14:textId="77777777" w:rsidR="00A37899" w:rsidRPr="00A37899" w:rsidRDefault="00A37899" w:rsidP="00A37899">
      <w:pPr>
        <w:spacing w:after="0"/>
        <w:rPr>
          <w:rFonts w:ascii="Verdana" w:hAnsi="Verdana"/>
        </w:rPr>
      </w:pPr>
    </w:p>
    <w:p w14:paraId="70EC2F76" w14:textId="77777777" w:rsidR="00A37899" w:rsidRPr="00A37899" w:rsidRDefault="00A37899" w:rsidP="00A37899">
      <w:pPr>
        <w:spacing w:after="0"/>
        <w:rPr>
          <w:rFonts w:ascii="Verdana" w:hAnsi="Verdana"/>
        </w:rPr>
      </w:pPr>
    </w:p>
    <w:p w14:paraId="2FE5AF6A" w14:textId="77777777" w:rsidR="00A37899" w:rsidRDefault="00A37899" w:rsidP="00A37899">
      <w:pPr>
        <w:spacing w:after="0"/>
        <w:rPr>
          <w:rFonts w:ascii="Verdana" w:hAnsi="Verdana"/>
        </w:rPr>
      </w:pPr>
    </w:p>
    <w:p w14:paraId="30728670" w14:textId="77777777" w:rsidR="00C74A76" w:rsidRDefault="00C74A76" w:rsidP="00A37899">
      <w:pPr>
        <w:spacing w:after="0"/>
        <w:rPr>
          <w:rFonts w:ascii="Verdana" w:hAnsi="Verdana"/>
        </w:rPr>
      </w:pPr>
    </w:p>
    <w:p w14:paraId="69183BC0" w14:textId="77777777" w:rsidR="00C74A76" w:rsidRDefault="00C74A76" w:rsidP="00A37899">
      <w:pPr>
        <w:spacing w:after="0"/>
        <w:rPr>
          <w:rFonts w:ascii="Verdana" w:hAnsi="Verdana"/>
        </w:rPr>
      </w:pPr>
    </w:p>
    <w:p w14:paraId="17DE1593" w14:textId="77777777" w:rsidR="00C74A76" w:rsidRDefault="00C74A76" w:rsidP="00A37899">
      <w:pPr>
        <w:spacing w:after="0"/>
        <w:rPr>
          <w:rFonts w:ascii="Verdana" w:hAnsi="Verdana"/>
        </w:rPr>
      </w:pPr>
    </w:p>
    <w:p w14:paraId="0018EC72" w14:textId="77777777" w:rsidR="00C74A76" w:rsidRDefault="00C74A76" w:rsidP="00A37899">
      <w:pPr>
        <w:spacing w:after="0"/>
        <w:rPr>
          <w:rFonts w:ascii="Verdana" w:hAnsi="Verdana"/>
        </w:rPr>
      </w:pPr>
    </w:p>
    <w:p w14:paraId="6B6A53EF" w14:textId="77777777" w:rsidR="00C74A76" w:rsidRDefault="00C74A76" w:rsidP="00A37899">
      <w:pPr>
        <w:spacing w:after="0"/>
        <w:rPr>
          <w:rFonts w:ascii="Verdana" w:hAnsi="Verdana"/>
        </w:rPr>
      </w:pPr>
    </w:p>
    <w:p w14:paraId="7C4A4508" w14:textId="77777777" w:rsidR="00C74A76" w:rsidRDefault="00C74A76" w:rsidP="00A37899">
      <w:pPr>
        <w:spacing w:after="0"/>
        <w:rPr>
          <w:rFonts w:ascii="Verdana" w:hAnsi="Verdana"/>
        </w:rPr>
      </w:pPr>
    </w:p>
    <w:p w14:paraId="6DB13E82" w14:textId="77777777" w:rsidR="00C74A76" w:rsidRDefault="00C74A76" w:rsidP="00A37899">
      <w:pPr>
        <w:spacing w:after="0"/>
        <w:rPr>
          <w:rFonts w:ascii="Verdana" w:hAnsi="Verdana"/>
        </w:rPr>
      </w:pPr>
    </w:p>
    <w:p w14:paraId="05B9C3AC" w14:textId="77777777" w:rsidR="00C74A76" w:rsidRDefault="00C74A76" w:rsidP="00A37899">
      <w:pPr>
        <w:spacing w:after="0"/>
        <w:rPr>
          <w:rFonts w:ascii="Verdana" w:hAnsi="Verdana"/>
        </w:rPr>
      </w:pPr>
    </w:p>
    <w:p w14:paraId="517F41AE" w14:textId="77777777" w:rsidR="00C74A76" w:rsidRPr="00A37899" w:rsidRDefault="00C74A76" w:rsidP="00A37899">
      <w:pPr>
        <w:spacing w:after="0"/>
        <w:rPr>
          <w:rFonts w:ascii="Verdana" w:hAnsi="Verdana"/>
        </w:rPr>
      </w:pPr>
    </w:p>
    <w:p w14:paraId="19873E91" w14:textId="77777777" w:rsidR="00A37899" w:rsidRDefault="00A37899" w:rsidP="00A37899">
      <w:pPr>
        <w:spacing w:after="0"/>
        <w:rPr>
          <w:rFonts w:ascii="Verdana" w:hAnsi="Verdana"/>
        </w:rPr>
      </w:pPr>
    </w:p>
    <w:p w14:paraId="2B81D13C" w14:textId="77777777" w:rsidR="00C74A76" w:rsidRDefault="00C74A76" w:rsidP="00A37899">
      <w:pPr>
        <w:spacing w:after="0"/>
        <w:rPr>
          <w:rFonts w:ascii="Verdana" w:hAnsi="Verdana"/>
        </w:rPr>
      </w:pPr>
    </w:p>
    <w:p w14:paraId="1B028363" w14:textId="77777777" w:rsidR="00C74A76" w:rsidRDefault="00C74A76" w:rsidP="00A37899">
      <w:pPr>
        <w:spacing w:after="0"/>
        <w:rPr>
          <w:rFonts w:ascii="Verdana" w:hAnsi="Verdana"/>
        </w:rPr>
      </w:pPr>
    </w:p>
    <w:p w14:paraId="58B3EEBF" w14:textId="77777777" w:rsidR="00C74A76" w:rsidRDefault="00C74A76" w:rsidP="00A37899">
      <w:pPr>
        <w:spacing w:after="0"/>
        <w:rPr>
          <w:rFonts w:ascii="Verdana" w:hAnsi="Verdana"/>
        </w:rPr>
      </w:pPr>
    </w:p>
    <w:p w14:paraId="2F6BB1FE" w14:textId="77777777" w:rsidR="00C74A76" w:rsidRDefault="00C74A76" w:rsidP="00A37899">
      <w:pPr>
        <w:spacing w:after="0"/>
        <w:rPr>
          <w:rFonts w:ascii="Verdana" w:hAnsi="Verdana"/>
        </w:rPr>
      </w:pPr>
    </w:p>
    <w:p w14:paraId="56CC4D9D" w14:textId="77777777" w:rsidR="00C74A76" w:rsidRDefault="00C74A76" w:rsidP="00A37899">
      <w:pPr>
        <w:spacing w:after="0"/>
        <w:rPr>
          <w:rFonts w:ascii="Verdana" w:hAnsi="Verdana"/>
        </w:rPr>
      </w:pPr>
    </w:p>
    <w:p w14:paraId="4BBB99FD" w14:textId="77777777" w:rsidR="00C74A76" w:rsidRPr="00A37899" w:rsidRDefault="00C74A76" w:rsidP="00A37899">
      <w:pPr>
        <w:spacing w:after="0"/>
        <w:rPr>
          <w:rFonts w:ascii="Verdana" w:hAnsi="Verdana"/>
        </w:rPr>
      </w:pPr>
    </w:p>
    <w:p w14:paraId="7477F7F8" w14:textId="77777777" w:rsidR="00A37899" w:rsidRDefault="00A37899" w:rsidP="00A37899">
      <w:pPr>
        <w:spacing w:after="0"/>
        <w:rPr>
          <w:rFonts w:ascii="Verdana" w:hAnsi="Verdana"/>
        </w:rPr>
      </w:pPr>
    </w:p>
    <w:p w14:paraId="51B11F3C" w14:textId="77777777" w:rsidR="00A37899" w:rsidRDefault="00A37899" w:rsidP="00A37899">
      <w:pPr>
        <w:spacing w:after="0"/>
        <w:rPr>
          <w:rFonts w:ascii="Verdana" w:hAnsi="Verdana"/>
        </w:rPr>
      </w:pPr>
    </w:p>
    <w:p w14:paraId="389C74C4" w14:textId="77777777" w:rsidR="00A37899" w:rsidRDefault="00A37899" w:rsidP="00A37899">
      <w:pPr>
        <w:spacing w:after="0"/>
        <w:rPr>
          <w:rFonts w:ascii="Verdana" w:hAnsi="Verdana"/>
        </w:rPr>
      </w:pPr>
    </w:p>
    <w:p w14:paraId="3F8CB2B3" w14:textId="77777777" w:rsidR="00A37899" w:rsidRDefault="00A37899" w:rsidP="00A37899">
      <w:pPr>
        <w:spacing w:after="0"/>
        <w:rPr>
          <w:rFonts w:ascii="Verdana" w:hAnsi="Verdana"/>
        </w:rPr>
      </w:pPr>
    </w:p>
    <w:p w14:paraId="713A7AB6" w14:textId="77777777" w:rsidR="00A37899" w:rsidRDefault="00A37899" w:rsidP="00A37899">
      <w:pPr>
        <w:spacing w:after="0"/>
        <w:rPr>
          <w:rFonts w:ascii="Verdana" w:hAnsi="Verdana"/>
        </w:rPr>
      </w:pPr>
    </w:p>
    <w:p w14:paraId="0A7C662A" w14:textId="77777777" w:rsidR="00A37899" w:rsidRDefault="00A37899" w:rsidP="00A37899">
      <w:pPr>
        <w:spacing w:after="0"/>
        <w:rPr>
          <w:rFonts w:ascii="Verdana" w:hAnsi="Verdana"/>
        </w:rPr>
      </w:pPr>
    </w:p>
    <w:p w14:paraId="7742B609" w14:textId="77777777" w:rsidR="00A37899" w:rsidRDefault="00A37899" w:rsidP="00A37899">
      <w:pPr>
        <w:spacing w:after="0"/>
        <w:rPr>
          <w:rFonts w:ascii="Verdana" w:hAnsi="Verdana"/>
        </w:rPr>
      </w:pPr>
    </w:p>
    <w:p w14:paraId="208229CE" w14:textId="77777777" w:rsidR="00C74A76" w:rsidRDefault="00C74A76" w:rsidP="00A37899">
      <w:pPr>
        <w:spacing w:after="0"/>
        <w:rPr>
          <w:rFonts w:ascii="Verdana" w:hAnsi="Verdana"/>
        </w:rPr>
      </w:pPr>
    </w:p>
    <w:p w14:paraId="51B810ED" w14:textId="77777777" w:rsidR="003E33BD" w:rsidRDefault="003E33BD" w:rsidP="00181C01">
      <w:pPr>
        <w:spacing w:after="0" w:line="240" w:lineRule="auto"/>
        <w:rPr>
          <w:rFonts w:ascii="Verdana" w:eastAsia="Verdana" w:hAnsi="Verdana" w:cs="Verdana"/>
        </w:rPr>
      </w:pPr>
      <w:r w:rsidRPr="003E33BD">
        <w:rPr>
          <w:rFonts w:ascii="Verdana" w:eastAsia="Verdana" w:hAnsi="Verdana" w:cs="Verdana"/>
        </w:rPr>
        <w:t>Bogotá D.C., 16 Julio 202</w:t>
      </w:r>
      <w:r>
        <w:rPr>
          <w:rFonts w:ascii="Verdana" w:eastAsia="Verdana" w:hAnsi="Verdana" w:cs="Verdana"/>
        </w:rPr>
        <w:t>6</w:t>
      </w:r>
    </w:p>
    <w:p w14:paraId="46054B57" w14:textId="77777777" w:rsidR="00275132" w:rsidRDefault="00275132" w:rsidP="00275132">
      <w:pPr>
        <w:spacing w:after="0" w:line="240" w:lineRule="auto"/>
        <w:rPr>
          <w:rFonts w:ascii="Verdana" w:hAnsi="Verdana"/>
        </w:rPr>
      </w:pPr>
    </w:p>
    <w:p w14:paraId="7A2FA53E" w14:textId="72333446" w:rsidR="00A37899" w:rsidRPr="00A36974" w:rsidRDefault="00275132" w:rsidP="00275132">
      <w:pPr>
        <w:spacing w:after="0" w:line="240" w:lineRule="auto"/>
        <w:rPr>
          <w:rFonts w:ascii="Verdana" w:hAnsi="Verdana"/>
        </w:rPr>
      </w:pPr>
      <w:r>
        <w:rPr>
          <w:rFonts w:ascii="Verdana" w:hAnsi="Verdana"/>
        </w:rPr>
        <w:t xml:space="preserve">                                                      </w:t>
      </w:r>
      <w:r w:rsidRPr="00275132">
        <w:rPr>
          <w:rFonts w:ascii="Verdana" w:hAnsi="Verdana"/>
          <w:noProof/>
        </w:rPr>
        <w:drawing>
          <wp:inline distT="0" distB="0" distL="0" distR="0" wp14:anchorId="79849E41" wp14:editId="4EAEC67B">
            <wp:extent cx="2378902" cy="662152"/>
            <wp:effectExtent l="0" t="0" r="2540" b="5080"/>
            <wp:docPr id="2883292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5764" cy="666845"/>
                    </a:xfrm>
                    <a:prstGeom prst="rect">
                      <a:avLst/>
                    </a:prstGeom>
                    <a:noFill/>
                    <a:ln>
                      <a:noFill/>
                    </a:ln>
                  </pic:spPr>
                </pic:pic>
              </a:graphicData>
            </a:graphic>
          </wp:inline>
        </w:drawing>
      </w:r>
      <w:r w:rsidR="00A37899" w:rsidRPr="00181C01">
        <w:rPr>
          <w:rFonts w:ascii="Verdana" w:hAnsi="Verdana"/>
        </w:rPr>
        <w:tab/>
      </w:r>
    </w:p>
    <w:p w14:paraId="10E3458B" w14:textId="77777777" w:rsidR="00A37899" w:rsidRPr="00A36974" w:rsidRDefault="00A37899" w:rsidP="00397EA9">
      <w:pPr>
        <w:spacing w:after="0" w:line="240" w:lineRule="auto"/>
        <w:rPr>
          <w:rFonts w:ascii="Verdana" w:eastAsia="Calibri" w:hAnsi="Verdana" w:cs="Times New Roman"/>
          <w:lang w:val="es-MX"/>
        </w:rPr>
      </w:pPr>
      <w:r w:rsidRPr="00A36974">
        <w:rPr>
          <w:rFonts w:ascii="Verdana" w:eastAsia="Calibri" w:hAnsi="Verdana" w:cs="Times New Roman"/>
          <w:lang w:val="es-MX"/>
        </w:rPr>
        <w:t>Señor</w:t>
      </w:r>
    </w:p>
    <w:p w14:paraId="18AE3F2E" w14:textId="65584EAD" w:rsidR="009E6076" w:rsidRPr="00A36974" w:rsidRDefault="009E6076" w:rsidP="00397EA9">
      <w:pPr>
        <w:spacing w:after="0" w:line="240" w:lineRule="auto"/>
        <w:rPr>
          <w:rFonts w:ascii="Verdana" w:eastAsia="Calibri" w:hAnsi="Verdana" w:cs="Times New Roman"/>
          <w:b/>
          <w:bCs/>
          <w:lang w:val="es-MX"/>
        </w:rPr>
      </w:pPr>
      <w:r w:rsidRPr="00A36974">
        <w:rPr>
          <w:rFonts w:ascii="Verdana" w:eastAsia="Calibri" w:hAnsi="Verdana" w:cs="Times New Roman"/>
          <w:b/>
          <w:bCs/>
          <w:lang w:val="es-MX"/>
        </w:rPr>
        <w:t xml:space="preserve">Sergio Andrés Escobar Morales </w:t>
      </w:r>
    </w:p>
    <w:p w14:paraId="07DFBDA0" w14:textId="4E4340AF" w:rsidR="009E6076" w:rsidRPr="00A36974" w:rsidRDefault="009E6076" w:rsidP="00397EA9">
      <w:pPr>
        <w:spacing w:after="0" w:line="240" w:lineRule="auto"/>
        <w:rPr>
          <w:rFonts w:ascii="Verdana" w:eastAsia="Calibri" w:hAnsi="Verdana" w:cs="Times New Roman"/>
          <w:lang w:val="es-MX"/>
        </w:rPr>
      </w:pPr>
      <w:hyperlink r:id="rId14" w:history="1">
        <w:r w:rsidRPr="00A36974">
          <w:rPr>
            <w:rStyle w:val="Hipervnculo"/>
            <w:rFonts w:ascii="Verdana" w:eastAsia="Calibri" w:hAnsi="Verdana" w:cs="Times New Roman"/>
            <w:color w:val="auto"/>
            <w:u w:val="none"/>
            <w:lang w:val="es-MX"/>
          </w:rPr>
          <w:t>qerencia@dataservice.com.co</w:t>
        </w:r>
      </w:hyperlink>
    </w:p>
    <w:p w14:paraId="6975BB1B" w14:textId="661928F0" w:rsidR="009E6076" w:rsidRPr="00A36974" w:rsidRDefault="009E6076" w:rsidP="00397EA9">
      <w:pPr>
        <w:spacing w:after="0" w:line="240" w:lineRule="auto"/>
        <w:rPr>
          <w:rFonts w:ascii="Verdana" w:eastAsia="Calibri" w:hAnsi="Verdana" w:cs="Times New Roman"/>
          <w:lang w:val="es-MX"/>
        </w:rPr>
      </w:pPr>
      <w:r w:rsidRPr="00A36974">
        <w:rPr>
          <w:rFonts w:ascii="Verdana" w:eastAsia="Calibri" w:hAnsi="Verdana" w:cs="Times New Roman"/>
          <w:lang w:val="es-MX"/>
        </w:rPr>
        <w:t>Ciudad</w:t>
      </w:r>
    </w:p>
    <w:p w14:paraId="01F8245F" w14:textId="77777777" w:rsidR="009E6076" w:rsidRPr="00A36974" w:rsidRDefault="009E6076" w:rsidP="00397EA9">
      <w:pPr>
        <w:spacing w:after="0" w:line="240" w:lineRule="auto"/>
        <w:rPr>
          <w:rFonts w:ascii="Verdana" w:eastAsia="Calibri" w:hAnsi="Verdana" w:cs="Times New Roman"/>
          <w:lang w:val="es-MX"/>
        </w:rPr>
      </w:pPr>
    </w:p>
    <w:p w14:paraId="060C7D1D" w14:textId="77777777" w:rsidR="00A37899" w:rsidRPr="00A36974" w:rsidRDefault="00A37899" w:rsidP="00181C01">
      <w:pPr>
        <w:spacing w:after="0" w:line="240" w:lineRule="auto"/>
        <w:rPr>
          <w:rFonts w:ascii="Verdana" w:eastAsia="Calibri" w:hAnsi="Verdana" w:cs="Times New Roman"/>
        </w:rPr>
      </w:pPr>
    </w:p>
    <w:p w14:paraId="28287756" w14:textId="77777777" w:rsidR="00A37899" w:rsidRPr="00A36974" w:rsidRDefault="00A37899" w:rsidP="00181C01">
      <w:pPr>
        <w:spacing w:after="0" w:line="240" w:lineRule="auto"/>
        <w:rPr>
          <w:rFonts w:ascii="Verdana" w:eastAsia="Calibri" w:hAnsi="Verdana" w:cs="Times New Roman"/>
        </w:rPr>
      </w:pPr>
    </w:p>
    <w:p w14:paraId="3376E1C1" w14:textId="77777777" w:rsidR="00A37899" w:rsidRPr="00A36974" w:rsidRDefault="00A37899" w:rsidP="00181C01">
      <w:pPr>
        <w:spacing w:after="0" w:line="240" w:lineRule="auto"/>
        <w:rPr>
          <w:rFonts w:ascii="Verdana" w:eastAsia="Calibri" w:hAnsi="Verdana" w:cs="Times New Roman"/>
          <w:b/>
          <w:bCs/>
          <w:lang w:val="es-ES"/>
        </w:rPr>
      </w:pPr>
      <w:r w:rsidRPr="00A36974">
        <w:rPr>
          <w:rFonts w:ascii="Verdana" w:eastAsia="Calibri" w:hAnsi="Verdana" w:cs="Times New Roman"/>
          <w:b/>
          <w:bCs/>
          <w:lang w:val="es-ES"/>
        </w:rPr>
        <w:t xml:space="preserve">                                    Concepto C- 588 de 2026</w:t>
      </w:r>
    </w:p>
    <w:p w14:paraId="72BF75D6" w14:textId="77777777" w:rsidR="00A37899" w:rsidRPr="00A36974" w:rsidRDefault="00A37899" w:rsidP="00181C01">
      <w:pPr>
        <w:spacing w:after="0" w:line="240" w:lineRule="auto"/>
        <w:rPr>
          <w:rFonts w:ascii="Verdana" w:eastAsia="Calibri" w:hAnsi="Verdana" w:cs="Times New Roman"/>
          <w:b/>
          <w:bCs/>
          <w:lang w:val="es-ES"/>
        </w:rPr>
      </w:pPr>
    </w:p>
    <w:tbl>
      <w:tblPr>
        <w:tblStyle w:val="Tablaconcuadrcula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A37899" w:rsidRPr="00A36974" w14:paraId="7B319437" w14:textId="77777777" w:rsidTr="00C24A75">
        <w:trPr>
          <w:trHeight w:val="645"/>
        </w:trPr>
        <w:tc>
          <w:tcPr>
            <w:tcW w:w="2685" w:type="dxa"/>
            <w:hideMark/>
          </w:tcPr>
          <w:p w14:paraId="361892F2" w14:textId="77777777" w:rsidR="00A37899" w:rsidRPr="00A36974" w:rsidRDefault="00A37899" w:rsidP="00181C01">
            <w:pPr>
              <w:rPr>
                <w:rFonts w:ascii="Verdana" w:hAnsi="Verdana"/>
                <w:b/>
                <w:bCs/>
                <w:lang w:val="es-ES_tradnl"/>
              </w:rPr>
            </w:pPr>
            <w:r w:rsidRPr="00A36974">
              <w:rPr>
                <w:rFonts w:ascii="Verdana" w:hAnsi="Verdana"/>
                <w:b/>
                <w:bCs/>
                <w:lang w:val="es-ES_tradnl"/>
              </w:rPr>
              <w:t xml:space="preserve">Temas:                   </w:t>
            </w:r>
          </w:p>
        </w:tc>
        <w:tc>
          <w:tcPr>
            <w:tcW w:w="6241" w:type="dxa"/>
            <w:hideMark/>
          </w:tcPr>
          <w:p w14:paraId="67CA1FA9" w14:textId="5BE86558" w:rsidR="00A37899" w:rsidRPr="00A36974" w:rsidRDefault="00A37899" w:rsidP="00181C01">
            <w:pPr>
              <w:jc w:val="both"/>
              <w:rPr>
                <w:rFonts w:ascii="Verdana" w:hAnsi="Verdana" w:cs="Arial"/>
                <w:lang w:val="es-MX" w:eastAsia="es-ES_tradnl"/>
              </w:rPr>
            </w:pPr>
            <w:r w:rsidRPr="00A36974">
              <w:rPr>
                <w:rFonts w:ascii="Verdana" w:hAnsi="Verdana" w:cs="Arial"/>
                <w:lang w:val="es-MX" w:eastAsia="es-ES_tradnl"/>
              </w:rPr>
              <w:t xml:space="preserve">LEY DE GARANTÍAS ELECTORALES </w:t>
            </w:r>
            <w:r w:rsidRPr="00A36974">
              <w:rPr>
                <w:rFonts w:ascii="Verdana" w:hAnsi="Verdana" w:cs="Arial"/>
                <w:bCs/>
                <w:lang w:val="es-MX" w:eastAsia="es-ES_tradnl"/>
              </w:rPr>
              <w:t>‒</w:t>
            </w:r>
            <w:r w:rsidRPr="00A36974">
              <w:rPr>
                <w:rFonts w:ascii="Verdana" w:hAnsi="Verdana" w:cs="Arial"/>
                <w:lang w:val="es-MX" w:eastAsia="es-ES_tradnl"/>
              </w:rPr>
              <w:t xml:space="preserve"> Finalidad / LEY DE GARANTÍAS ELECTORALES </w:t>
            </w:r>
            <w:r w:rsidRPr="00A36974">
              <w:rPr>
                <w:rFonts w:ascii="Verdana" w:hAnsi="Verdana" w:cs="Arial"/>
                <w:bCs/>
                <w:lang w:val="es-MX" w:eastAsia="es-ES_tradnl"/>
              </w:rPr>
              <w:t>‒</w:t>
            </w:r>
            <w:r w:rsidRPr="00A36974">
              <w:rPr>
                <w:rFonts w:ascii="Verdana" w:hAnsi="Verdana" w:cs="Arial"/>
                <w:lang w:val="es-MX" w:eastAsia="es-ES_tradnl"/>
              </w:rPr>
              <w:t xml:space="preserve"> Tipos de restricciones </w:t>
            </w:r>
            <w:r w:rsidRPr="00A36974">
              <w:rPr>
                <w:rFonts w:ascii="Verdana" w:hAnsi="Verdana" w:cs="Arial"/>
                <w:bCs/>
                <w:lang w:val="es-MX" w:eastAsia="es-ES_tradnl"/>
              </w:rPr>
              <w:t>‒</w:t>
            </w:r>
            <w:r w:rsidRPr="00A36974">
              <w:rPr>
                <w:rFonts w:ascii="Verdana" w:hAnsi="Verdana" w:cs="Arial"/>
                <w:lang w:val="es-MX" w:eastAsia="es-ES_tradnl"/>
              </w:rPr>
              <w:t xml:space="preserve"> Ámbito temporal – celebración- límite / LEY DE GARANTÍAS ELECTORALES – Prohibición artículo 33 – Contratación directa – Alcance / LEY DE GARANTÍAS ELECTORALES – Excepciones / LEY DE GARANTÍAS ELECTORALES – Prohibición del artículo 33 – Destinatarios</w:t>
            </w:r>
            <w:r w:rsidR="00310B1C">
              <w:rPr>
                <w:rFonts w:ascii="Verdana" w:hAnsi="Verdana" w:cs="Arial"/>
                <w:lang w:val="es-MX" w:eastAsia="es-ES_tradnl"/>
              </w:rPr>
              <w:t xml:space="preserve"> </w:t>
            </w:r>
            <w:r w:rsidR="00275132">
              <w:rPr>
                <w:rFonts w:ascii="Verdana" w:hAnsi="Verdana" w:cs="Arial"/>
                <w:lang w:val="es-MX" w:eastAsia="es-ES_tradnl"/>
              </w:rPr>
              <w:t>/ LEY</w:t>
            </w:r>
            <w:r w:rsidR="00310B1C">
              <w:rPr>
                <w:rFonts w:ascii="Verdana" w:hAnsi="Verdana" w:cs="Arial"/>
                <w:lang w:val="es-MX" w:eastAsia="es-ES_tradnl"/>
              </w:rPr>
              <w:t xml:space="preserve"> DE GARANTÍAS ELECTORALES – Circular 006 de 2025 – Planeación contractual</w:t>
            </w:r>
          </w:p>
        </w:tc>
        <w:tc>
          <w:tcPr>
            <w:tcW w:w="6237" w:type="dxa"/>
          </w:tcPr>
          <w:p w14:paraId="502D76C0" w14:textId="77777777" w:rsidR="00A37899" w:rsidRPr="00A36974" w:rsidRDefault="00A37899" w:rsidP="00181C01">
            <w:pPr>
              <w:rPr>
                <w:rFonts w:ascii="Verdana" w:hAnsi="Verdana"/>
              </w:rPr>
            </w:pPr>
          </w:p>
        </w:tc>
      </w:tr>
      <w:tr w:rsidR="00A37899" w:rsidRPr="00A36974" w14:paraId="3AE286FB" w14:textId="77777777" w:rsidTr="00C74A76">
        <w:trPr>
          <w:trHeight w:val="771"/>
        </w:trPr>
        <w:tc>
          <w:tcPr>
            <w:tcW w:w="2685" w:type="dxa"/>
          </w:tcPr>
          <w:p w14:paraId="380FF479" w14:textId="77777777" w:rsidR="00A37899" w:rsidRPr="00A36974" w:rsidRDefault="00A37899" w:rsidP="00181C01">
            <w:pPr>
              <w:rPr>
                <w:rFonts w:ascii="Verdana" w:hAnsi="Verdana"/>
                <w:b/>
                <w:bCs/>
                <w:lang w:val="es-ES_tradnl"/>
              </w:rPr>
            </w:pPr>
          </w:p>
          <w:p w14:paraId="57228E69" w14:textId="77777777" w:rsidR="00A37899" w:rsidRPr="00A36974" w:rsidRDefault="00A37899" w:rsidP="00181C01">
            <w:pPr>
              <w:rPr>
                <w:rFonts w:ascii="Verdana" w:hAnsi="Verdana"/>
                <w:b/>
                <w:bCs/>
                <w:lang w:val="es-ES_tradnl"/>
              </w:rPr>
            </w:pPr>
          </w:p>
          <w:p w14:paraId="63BE44C8" w14:textId="77777777" w:rsidR="00A37899" w:rsidRPr="00A36974" w:rsidRDefault="00A37899" w:rsidP="00181C01">
            <w:pPr>
              <w:rPr>
                <w:rFonts w:ascii="Verdana" w:hAnsi="Verdana"/>
                <w:b/>
                <w:bCs/>
                <w:lang w:val="es-ES_tradnl"/>
              </w:rPr>
            </w:pPr>
            <w:r w:rsidRPr="00A36974">
              <w:rPr>
                <w:rFonts w:ascii="Verdana" w:hAnsi="Verdana"/>
                <w:b/>
                <w:bCs/>
                <w:lang w:val="es-ES_tradnl"/>
              </w:rPr>
              <w:t xml:space="preserve">Radicación:               </w:t>
            </w:r>
          </w:p>
        </w:tc>
        <w:tc>
          <w:tcPr>
            <w:tcW w:w="6241" w:type="dxa"/>
          </w:tcPr>
          <w:p w14:paraId="5EAD0B8B" w14:textId="77777777" w:rsidR="00A37899" w:rsidRPr="00A36974" w:rsidRDefault="00A37899" w:rsidP="00181C01">
            <w:pPr>
              <w:jc w:val="both"/>
              <w:rPr>
                <w:rFonts w:ascii="Verdana" w:hAnsi="Verdana"/>
                <w:lang w:val="es-ES_tradnl"/>
              </w:rPr>
            </w:pPr>
          </w:p>
          <w:p w14:paraId="2FA0AAA4" w14:textId="77777777" w:rsidR="00A37899" w:rsidRPr="00A36974" w:rsidRDefault="00A37899" w:rsidP="00181C01">
            <w:pPr>
              <w:jc w:val="both"/>
              <w:rPr>
                <w:rFonts w:ascii="Verdana" w:hAnsi="Verdana"/>
              </w:rPr>
            </w:pPr>
            <w:r w:rsidRPr="00A36974">
              <w:rPr>
                <w:rFonts w:ascii="Verdana" w:hAnsi="Verdana"/>
                <w:lang w:val="es-ES_tradnl"/>
              </w:rPr>
              <w:t xml:space="preserve">Respuesta a consulta con radicado No. </w:t>
            </w:r>
            <w:r w:rsidRPr="00A36974">
              <w:rPr>
                <w:rFonts w:ascii="Verdana" w:hAnsi="Verdana" w:cs="Calibri"/>
                <w:color w:val="000000"/>
              </w:rPr>
              <w:t>1_2026_06_03_007545</w:t>
            </w:r>
          </w:p>
          <w:p w14:paraId="41BF1292" w14:textId="77777777" w:rsidR="00A37899" w:rsidRPr="00A36974" w:rsidRDefault="00A37899" w:rsidP="00181C01">
            <w:pPr>
              <w:jc w:val="both"/>
              <w:rPr>
                <w:rFonts w:ascii="Verdana" w:hAnsi="Verdana"/>
              </w:rPr>
            </w:pPr>
          </w:p>
        </w:tc>
        <w:tc>
          <w:tcPr>
            <w:tcW w:w="6237" w:type="dxa"/>
          </w:tcPr>
          <w:p w14:paraId="5A383F55" w14:textId="77777777" w:rsidR="00A37899" w:rsidRPr="00A36974" w:rsidRDefault="00A37899" w:rsidP="00181C01">
            <w:pPr>
              <w:rPr>
                <w:rFonts w:ascii="Verdana" w:hAnsi="Verdana"/>
                <w:lang w:val="es-ES_tradnl"/>
              </w:rPr>
            </w:pPr>
          </w:p>
        </w:tc>
      </w:tr>
    </w:tbl>
    <w:p w14:paraId="2FC01496" w14:textId="77777777" w:rsidR="00A36974" w:rsidRDefault="00A36974" w:rsidP="00181C01">
      <w:pPr>
        <w:spacing w:after="0" w:line="240" w:lineRule="auto"/>
        <w:rPr>
          <w:rFonts w:ascii="Verdana" w:eastAsia="Calibri" w:hAnsi="Verdana" w:cs="Times New Roman"/>
          <w:lang w:val="es-ES"/>
        </w:rPr>
      </w:pPr>
    </w:p>
    <w:p w14:paraId="1F6122A1" w14:textId="1C666B21" w:rsidR="00A37899" w:rsidRPr="00A37899" w:rsidRDefault="00A37899" w:rsidP="00181C01">
      <w:pPr>
        <w:spacing w:after="0" w:line="276" w:lineRule="auto"/>
        <w:rPr>
          <w:rFonts w:ascii="Verdana" w:eastAsia="Calibri" w:hAnsi="Verdana" w:cs="Times New Roman"/>
          <w:lang w:val="es-ES"/>
        </w:rPr>
      </w:pPr>
      <w:r w:rsidRPr="00A37899">
        <w:rPr>
          <w:rFonts w:ascii="Verdana" w:eastAsia="Calibri" w:hAnsi="Verdana" w:cs="Times New Roman"/>
          <w:lang w:val="es-ES"/>
        </w:rPr>
        <w:t xml:space="preserve">Estimado Señor </w:t>
      </w:r>
      <w:r w:rsidR="002E7216">
        <w:rPr>
          <w:rFonts w:ascii="Verdana" w:eastAsia="Calibri" w:hAnsi="Verdana" w:cs="Times New Roman"/>
          <w:lang w:val="es-ES"/>
        </w:rPr>
        <w:t>Escobar:</w:t>
      </w:r>
      <w:r w:rsidRPr="00A37899">
        <w:rPr>
          <w:rFonts w:ascii="Verdana" w:eastAsia="Calibri" w:hAnsi="Verdana" w:cs="Times New Roman"/>
          <w:lang w:val="es-ES"/>
        </w:rPr>
        <w:t xml:space="preserve">  </w:t>
      </w:r>
    </w:p>
    <w:p w14:paraId="6C7A2CFD" w14:textId="77777777" w:rsidR="00A37899" w:rsidRPr="00A37899" w:rsidRDefault="00A37899" w:rsidP="00181C01">
      <w:pPr>
        <w:spacing w:after="0" w:line="276" w:lineRule="auto"/>
        <w:rPr>
          <w:rFonts w:ascii="Verdana" w:eastAsia="Calibri" w:hAnsi="Verdana" w:cs="Times New Roman"/>
          <w:lang w:val="es-ES"/>
        </w:rPr>
      </w:pPr>
    </w:p>
    <w:p w14:paraId="261CD016" w14:textId="77777777" w:rsidR="00A37899" w:rsidRPr="00A37899" w:rsidRDefault="00A37899" w:rsidP="00A36974">
      <w:pPr>
        <w:spacing w:after="0" w:line="276" w:lineRule="auto"/>
        <w:jc w:val="both"/>
        <w:rPr>
          <w:rFonts w:ascii="Verdana" w:eastAsia="Calibri" w:hAnsi="Verdana" w:cs="Times New Roman"/>
        </w:rPr>
      </w:pPr>
      <w:r w:rsidRPr="00A37899">
        <w:rPr>
          <w:rFonts w:ascii="Verdana" w:eastAsia="Calibri" w:hAnsi="Verdana" w:cs="Times New Roman"/>
          <w:bCs/>
          <w:lang w:val="es-ES" w:bidi="es-ES"/>
        </w:rPr>
        <w:t xml:space="preserve">En ejercicio de la competencia otorgada por los artículos 3, numeral 5º, y 11, numeral 8º, del Decreto Ley 4170 de 2011, </w:t>
      </w:r>
      <w:r w:rsidRPr="00A37899">
        <w:rPr>
          <w:rFonts w:ascii="Verdana" w:eastAsia="Calibri" w:hAnsi="Verdana" w:cs="Times New Roman"/>
          <w:bCs/>
        </w:rPr>
        <w:t xml:space="preserve">así como lo establecido por la Resolución 469 de 2025 expedida por esta Entidad, </w:t>
      </w:r>
      <w:r w:rsidRPr="00A37899">
        <w:rPr>
          <w:rFonts w:ascii="Verdana" w:eastAsia="Calibri" w:hAnsi="Verdana" w:cs="Times New Roman"/>
          <w:bCs/>
          <w:lang w:val="es-ES" w:bidi="es-ES"/>
        </w:rPr>
        <w:t>la Agencia Nacional de Contratación Pública – Colombia Compra Eficiente–</w:t>
      </w:r>
      <w:r w:rsidRPr="00A37899">
        <w:rPr>
          <w:rFonts w:ascii="Verdana" w:eastAsia="Calibri" w:hAnsi="Verdana" w:cs="Times New Roman"/>
          <w:lang w:val="es-ES"/>
        </w:rPr>
        <w:t xml:space="preserve"> responde la solicitud de consulta presentada el 3 de junio de 2026, en la cual manifiesta:</w:t>
      </w:r>
      <w:r w:rsidRPr="00A37899">
        <w:rPr>
          <w:rFonts w:ascii="Verdana" w:eastAsia="Calibri" w:hAnsi="Verdana" w:cs="Times New Roman"/>
        </w:rPr>
        <w:t xml:space="preserve"> </w:t>
      </w:r>
    </w:p>
    <w:p w14:paraId="3A679E4E" w14:textId="77777777" w:rsidR="00A37899" w:rsidRPr="00A37899" w:rsidRDefault="00A37899" w:rsidP="00A36974">
      <w:pPr>
        <w:spacing w:after="0" w:line="276" w:lineRule="auto"/>
        <w:ind w:right="709"/>
        <w:jc w:val="both"/>
        <w:rPr>
          <w:rFonts w:ascii="Verdana" w:eastAsia="Calibri" w:hAnsi="Verdana" w:cs="Times New Roman"/>
          <w:iCs/>
          <w:sz w:val="20"/>
        </w:rPr>
      </w:pPr>
    </w:p>
    <w:p w14:paraId="3430E6A9"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 xml:space="preserve">“(…)5. PRONUNCIARSE sobre la siguiente pregunta de interés fiscal general: ¿constituye daño fiscal potencial la omisión de contratación de servicios de </w:t>
      </w:r>
      <w:r w:rsidRPr="00A37899">
        <w:rPr>
          <w:rFonts w:ascii="Verdana" w:eastAsia="Arial-ItalicMT" w:hAnsi="Verdana" w:cs="Arial-ItalicMT"/>
          <w:iCs/>
          <w:sz w:val="20"/>
          <w:szCs w:val="20"/>
        </w:rPr>
        <w:lastRenderedPageBreak/>
        <w:t>apoyo contable-financiero en los establecimientos educativos durante el período de Ley de Garantías, cuando dicha omisión impide la presentación oportuna y correcta de los informes SIFSE, CGN y Si A Audita al corte del I Trimestre de 2026?</w:t>
      </w:r>
    </w:p>
    <w:p w14:paraId="530DB071"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p>
    <w:p w14:paraId="4F36D117"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6. ORIENTAR sobre si la interpretación restrictiva que impide contratar el personal necesario para cumplir las obligaciones de reporte genera un riesgo fiscal para las instituciones educativas y para el erario que debe ser objeto de control fiscal preventivo.</w:t>
      </w:r>
    </w:p>
    <w:p w14:paraId="05004ABB"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p>
    <w:p w14:paraId="773FA692"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 xml:space="preserve">7. ESTABLECER criterios de advertencia fiscal preventiva para que las entidades territoriales certificadas en educación dispongan de lineamientos claros que diferencien los procesos FSE permitidos de ¡os prohibidos durante la Ley de Garantías, con especial a la </w:t>
      </w:r>
      <w:proofErr w:type="spellStart"/>
      <w:r w:rsidRPr="00A37899">
        <w:rPr>
          <w:rFonts w:ascii="Verdana" w:eastAsia="Arial-ItalicMT" w:hAnsi="Verdana" w:cs="Arial-ItalicMT"/>
          <w:iCs/>
          <w:sz w:val="20"/>
          <w:szCs w:val="20"/>
        </w:rPr>
        <w:t>tención</w:t>
      </w:r>
      <w:proofErr w:type="spellEnd"/>
      <w:r w:rsidRPr="00A37899">
        <w:rPr>
          <w:rFonts w:ascii="Verdana" w:eastAsia="Arial-ItalicMT" w:hAnsi="Verdana" w:cs="Arial-ItalicMT"/>
          <w:iCs/>
          <w:sz w:val="20"/>
          <w:szCs w:val="20"/>
        </w:rPr>
        <w:t xml:space="preserve"> a las obligaciones de reporte </w:t>
      </w:r>
      <w:proofErr w:type="spellStart"/>
      <w:r w:rsidRPr="00A37899">
        <w:rPr>
          <w:rFonts w:ascii="Verdana" w:eastAsia="Arial-ItalicMT" w:hAnsi="Verdana" w:cs="Arial-ItalicMT"/>
          <w:iCs/>
          <w:sz w:val="20"/>
          <w:szCs w:val="20"/>
        </w:rPr>
        <w:t>ali</w:t>
      </w:r>
      <w:proofErr w:type="spellEnd"/>
      <w:r w:rsidRPr="00A37899">
        <w:rPr>
          <w:rFonts w:ascii="Verdana" w:eastAsia="Arial-ItalicMT" w:hAnsi="Verdana" w:cs="Arial-ItalicMT"/>
          <w:iCs/>
          <w:sz w:val="20"/>
          <w:szCs w:val="20"/>
        </w:rPr>
        <w:t xml:space="preserve"> corte del I Trimestre.</w:t>
      </w:r>
    </w:p>
    <w:p w14:paraId="5FE6298C"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p>
    <w:p w14:paraId="1BD4B91A" w14:textId="77777777" w:rsidR="00A37899" w:rsidRPr="00A37899" w:rsidRDefault="00A37899" w:rsidP="00181C01">
      <w:pPr>
        <w:autoSpaceDE w:val="0"/>
        <w:autoSpaceDN w:val="0"/>
        <w:adjustRightInd w:val="0"/>
        <w:spacing w:after="0" w:line="240" w:lineRule="auto"/>
        <w:ind w:left="709" w:rightChars="125" w:right="275"/>
        <w:jc w:val="both"/>
        <w:rPr>
          <w:rFonts w:ascii="Verdana" w:eastAsia="Arial-ItalicMT" w:hAnsi="Verdana" w:cs="Arial-ItalicMT"/>
          <w:iCs/>
          <w:sz w:val="20"/>
          <w:szCs w:val="20"/>
        </w:rPr>
      </w:pPr>
      <w:r w:rsidRPr="00A37899">
        <w:rPr>
          <w:rFonts w:ascii="Verdana" w:eastAsia="Arial-ItalicMT" w:hAnsi="Verdana" w:cs="Arial-ItalicMT"/>
          <w:iCs/>
          <w:sz w:val="20"/>
          <w:szCs w:val="20"/>
        </w:rPr>
        <w:t xml:space="preserve">8. PRONUNCIARSE sobre si el no pago oportuno de primas de pólizas de manejo y cumplimiento del FSE </w:t>
      </w:r>
      <w:r w:rsidRPr="00A37899">
        <w:rPr>
          <w:rFonts w:ascii="Verdana" w:eastAsia="Arial-ItalicMT" w:hAnsi="Verdana" w:cs="ArialMT"/>
          <w:iCs/>
          <w:sz w:val="20"/>
          <w:szCs w:val="20"/>
        </w:rPr>
        <w:t>—</w:t>
      </w:r>
      <w:r w:rsidRPr="00A37899">
        <w:rPr>
          <w:rFonts w:ascii="Verdana" w:eastAsia="Arial-ItalicMT" w:hAnsi="Verdana" w:cs="Arial-ItalicMT"/>
          <w:iCs/>
          <w:sz w:val="20"/>
          <w:szCs w:val="20"/>
        </w:rPr>
        <w:t>consecuencia directa de la imposibilidad de contratar al profesional responsable— constituye riesgo fiscal cuantificable sujeto a control fiscal posterior. (...)”</w:t>
      </w:r>
    </w:p>
    <w:p w14:paraId="262401C7" w14:textId="77777777" w:rsidR="00A37899" w:rsidRPr="00A37899" w:rsidRDefault="00A37899" w:rsidP="00A37899">
      <w:pPr>
        <w:spacing w:after="0" w:line="240" w:lineRule="auto"/>
        <w:ind w:right="709"/>
        <w:jc w:val="both"/>
        <w:rPr>
          <w:rFonts w:ascii="Verdana" w:eastAsia="Calibri" w:hAnsi="Verdana" w:cs="Times New Roman"/>
          <w:i/>
          <w:iCs/>
          <w:sz w:val="20"/>
        </w:rPr>
      </w:pPr>
    </w:p>
    <w:p w14:paraId="564D324A" w14:textId="77777777" w:rsidR="00A37899" w:rsidRPr="00A37899" w:rsidRDefault="00A37899" w:rsidP="00A37899">
      <w:pPr>
        <w:spacing w:after="120" w:line="276" w:lineRule="auto"/>
        <w:ind w:firstLine="709"/>
        <w:jc w:val="both"/>
        <w:rPr>
          <w:rFonts w:ascii="Verdana" w:eastAsia="Calibri" w:hAnsi="Verdana" w:cs="Times New Roman"/>
          <w:lang w:val="es-ES"/>
        </w:rPr>
      </w:pPr>
      <w:r w:rsidRPr="00A37899">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29033E3" w14:textId="7744DEBE" w:rsidR="00A37899" w:rsidRDefault="00A37899" w:rsidP="002E7216">
      <w:pPr>
        <w:spacing w:after="0" w:line="276" w:lineRule="auto"/>
        <w:ind w:firstLine="708"/>
        <w:jc w:val="both"/>
        <w:rPr>
          <w:rFonts w:ascii="Verdana" w:eastAsia="Calibri" w:hAnsi="Verdana" w:cs="Times New Roman"/>
          <w:lang w:val="es-ES"/>
        </w:rPr>
      </w:pPr>
      <w:r w:rsidRPr="00A37899">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00ED7443" w14:textId="77777777" w:rsidR="0079378D" w:rsidRPr="00A37899" w:rsidRDefault="0079378D" w:rsidP="002E7216">
      <w:pPr>
        <w:spacing w:after="0" w:line="276" w:lineRule="auto"/>
        <w:ind w:firstLine="708"/>
        <w:jc w:val="both"/>
        <w:rPr>
          <w:rFonts w:ascii="Verdana" w:eastAsia="Calibri" w:hAnsi="Verdana" w:cs="Times New Roman"/>
          <w:lang w:val="es-ES"/>
        </w:rPr>
      </w:pPr>
    </w:p>
    <w:p w14:paraId="7FD3997D" w14:textId="5F36F13D" w:rsidR="00A37899" w:rsidRPr="006E2FCE" w:rsidRDefault="00A37899" w:rsidP="00A37899">
      <w:pPr>
        <w:numPr>
          <w:ilvl w:val="0"/>
          <w:numId w:val="16"/>
        </w:numPr>
        <w:spacing w:after="0" w:line="276" w:lineRule="auto"/>
        <w:contextualSpacing/>
        <w:rPr>
          <w:rFonts w:ascii="Verdana" w:eastAsia="Calibri" w:hAnsi="Verdana" w:cs="Times New Roman"/>
          <w:b/>
          <w:bCs/>
          <w:lang w:val="es-ES"/>
        </w:rPr>
      </w:pPr>
      <w:r w:rsidRPr="00A37899">
        <w:rPr>
          <w:rFonts w:ascii="Verdana" w:eastAsia="Calibri" w:hAnsi="Verdana" w:cs="Times New Roman"/>
          <w:b/>
          <w:bCs/>
          <w:lang w:val="es-ES"/>
        </w:rPr>
        <w:lastRenderedPageBreak/>
        <w:t>Problema planteado:</w:t>
      </w:r>
    </w:p>
    <w:p w14:paraId="64DAD7C8" w14:textId="77777777" w:rsidR="007C2881" w:rsidRDefault="007C2881" w:rsidP="00A37899">
      <w:pPr>
        <w:spacing w:after="0" w:line="276" w:lineRule="auto"/>
        <w:jc w:val="both"/>
        <w:rPr>
          <w:rFonts w:ascii="Verdana" w:eastAsia="Calibri" w:hAnsi="Verdana" w:cs="Times New Roman"/>
        </w:rPr>
      </w:pPr>
    </w:p>
    <w:p w14:paraId="5545FC74" w14:textId="6C96DA1B" w:rsidR="000232CA" w:rsidRPr="000232CA" w:rsidRDefault="00A37899" w:rsidP="000232CA">
      <w:pPr>
        <w:spacing w:after="0" w:line="276" w:lineRule="auto"/>
        <w:jc w:val="both"/>
        <w:rPr>
          <w:rFonts w:ascii="Verdana" w:eastAsia="Calibri" w:hAnsi="Verdana" w:cs="Times New Roman"/>
        </w:rPr>
      </w:pPr>
      <w:r w:rsidRPr="00A37899">
        <w:rPr>
          <w:rFonts w:ascii="Verdana" w:eastAsia="Calibri" w:hAnsi="Verdana" w:cs="Times New Roman"/>
        </w:rPr>
        <w:t xml:space="preserve">De acuerdo </w:t>
      </w:r>
      <w:r w:rsidRPr="006E2FCE">
        <w:rPr>
          <w:rFonts w:ascii="Verdana" w:eastAsia="Calibri" w:hAnsi="Verdana" w:cs="Times New Roman"/>
        </w:rPr>
        <w:t>con el contenido de su solicitud, esta Agencia procede a resolver el siguiente problema jurídico</w:t>
      </w:r>
      <w:r w:rsidR="000232CA">
        <w:rPr>
          <w:rFonts w:ascii="Verdana" w:eastAsia="Calibri" w:hAnsi="Verdana" w:cs="Times New Roman"/>
        </w:rPr>
        <w:t xml:space="preserve">: </w:t>
      </w:r>
      <w:r w:rsidR="000232CA" w:rsidRPr="000232CA">
        <w:rPr>
          <w:rFonts w:ascii="Verdana" w:eastAsia="Calibri" w:hAnsi="Verdana" w:cs="Times New Roman"/>
        </w:rPr>
        <w:t>¿Cuál es el alcance de las restricciones contractuales previstas en la Ley de Garantías Electorales frente a la necesidad de las entidades públicas de contratar los apoyos requeridos para asegurar el cumplimiento de obligaciones legales y financieras asociadas a la administración de recursos públicos, sin comprometer la adecuada gestión fiscal ni la protección del erario?</w:t>
      </w:r>
    </w:p>
    <w:p w14:paraId="64D6679D" w14:textId="77777777" w:rsidR="00A37899" w:rsidRPr="00A37899" w:rsidRDefault="00A37899" w:rsidP="00A37899">
      <w:pPr>
        <w:spacing w:after="0" w:line="276" w:lineRule="auto"/>
        <w:jc w:val="both"/>
        <w:rPr>
          <w:rFonts w:ascii="Verdana" w:eastAsia="Calibri" w:hAnsi="Verdana" w:cs="Times New Roman"/>
          <w:iCs/>
        </w:rPr>
      </w:pPr>
    </w:p>
    <w:p w14:paraId="1051E55A" w14:textId="77777777" w:rsidR="00A37899" w:rsidRPr="00A37899" w:rsidRDefault="00A37899" w:rsidP="00A37899">
      <w:pPr>
        <w:numPr>
          <w:ilvl w:val="0"/>
          <w:numId w:val="16"/>
        </w:numPr>
        <w:spacing w:after="0" w:line="276" w:lineRule="auto"/>
        <w:contextualSpacing/>
        <w:rPr>
          <w:rFonts w:ascii="Verdana" w:eastAsia="Calibri" w:hAnsi="Verdana" w:cs="Times New Roman"/>
          <w:b/>
          <w:bCs/>
          <w:lang w:val="es-ES"/>
        </w:rPr>
      </w:pPr>
      <w:r w:rsidRPr="00A37899">
        <w:rPr>
          <w:rFonts w:ascii="Verdana" w:eastAsia="Calibri" w:hAnsi="Verdana" w:cs="Times New Roman"/>
          <w:b/>
          <w:bCs/>
          <w:lang w:val="es-ES"/>
        </w:rPr>
        <w:t>Respuesta:</w:t>
      </w:r>
    </w:p>
    <w:p w14:paraId="30D87614" w14:textId="77777777" w:rsidR="00A37899" w:rsidRPr="00A37899" w:rsidRDefault="00A37899" w:rsidP="00A37899">
      <w:pPr>
        <w:spacing w:after="0" w:line="276" w:lineRule="auto"/>
        <w:rPr>
          <w:rFonts w:ascii="Verdana" w:eastAsia="Calibri" w:hAnsi="Verdana" w:cs="Times New Roman"/>
          <w:b/>
          <w:bCs/>
          <w:lang w:val="es-ES"/>
        </w:rPr>
      </w:pPr>
    </w:p>
    <w:tbl>
      <w:tblPr>
        <w:tblStyle w:val="Tablaconcuadrcula"/>
        <w:tblW w:w="850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05"/>
      </w:tblGrid>
      <w:tr w:rsidR="00A37899" w:rsidRPr="00A37899" w14:paraId="31056F27" w14:textId="77777777" w:rsidTr="001310F6">
        <w:trPr>
          <w:trHeight w:val="618"/>
          <w:jc w:val="center"/>
        </w:trPr>
        <w:tc>
          <w:tcPr>
            <w:tcW w:w="8505" w:type="dxa"/>
            <w:tcBorders>
              <w:bottom w:val="single" w:sz="4" w:space="0" w:color="auto"/>
            </w:tcBorders>
          </w:tcPr>
          <w:p w14:paraId="3300486D" w14:textId="22E05AF7" w:rsidR="00242DA9" w:rsidRPr="00242DA9" w:rsidRDefault="00242DA9" w:rsidP="00181C01">
            <w:pPr>
              <w:spacing w:after="120" w:line="276" w:lineRule="auto"/>
              <w:jc w:val="both"/>
              <w:rPr>
                <w:rFonts w:ascii="Verdana" w:eastAsia="Times New Roman" w:hAnsi="Verdana" w:cs="Arial"/>
                <w:lang w:eastAsia="es-CO"/>
              </w:rPr>
            </w:pPr>
            <w:r w:rsidRPr="00242DA9">
              <w:rPr>
                <w:rFonts w:ascii="Verdana" w:eastAsia="Times New Roman" w:hAnsi="Verdana" w:cs="Arial"/>
                <w:lang w:eastAsia="es-CO"/>
              </w:rPr>
              <w:t xml:space="preserve">De conformidad con las consideraciones </w:t>
            </w:r>
            <w:r>
              <w:rPr>
                <w:rFonts w:ascii="Verdana" w:eastAsia="Times New Roman" w:hAnsi="Verdana" w:cs="Arial"/>
                <w:lang w:eastAsia="es-CO"/>
              </w:rPr>
              <w:t>que se expondrán en el presente concepto</w:t>
            </w:r>
            <w:r w:rsidRPr="00242DA9">
              <w:rPr>
                <w:rFonts w:ascii="Verdana" w:eastAsia="Times New Roman" w:hAnsi="Verdana" w:cs="Arial"/>
                <w:lang w:eastAsia="es-CO"/>
              </w:rPr>
              <w:t>, corresponde analizar el alcance de las restricciones contractuales previstas en la Ley 996 de 2005 frente a la necesidad de las entidades públicas de contar con los apoyos requeridos para asegurar el cumplimiento de sus obligaciones legales, administrativas y financieras asociadas a la gestión de recursos públicos.</w:t>
            </w:r>
          </w:p>
          <w:p w14:paraId="2CE73EB6"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En primer lugar, es preciso señalar que las restricciones consagradas en la Ley de Garantías Electorales se dirigen a dos (2) escenarios diferenciados. Por una parte, respecto de las elecciones presidenciales, el artículo 33 de la Ley 996 de 2005 prohíbe la contratación directa por parte de todos los entes del Estado durante los cuatro (4) meses anteriores a la elección presidencial, con las excepciones expresamente previstas por el legislador. Por otra parte, el parágrafo del artículo 38 de la misma ley establece una restricción aplicable a las distintas contiendas electorales, consistente en la prohibición para determinadas autoridades territoriales de celebrar convenios interadministrativos para la ejecución de recursos públicos y de destinar recursos públicos a actividades de carácter proselitista.</w:t>
            </w:r>
          </w:p>
          <w:p w14:paraId="3E5DA00A"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 xml:space="preserve">Ahora bien, las limitaciones previstas en la Ley de Garantías Electorales deben interpretarse de manera armónica con los principios que orientan la función administrativa y la contratación estatal, particularmente los principios de planeación, responsabilidad, eficiencia y cumplimiento de los fines estatales. En consecuencia, tales restricciones no pueden entenderse como una suspensión de la actividad administrativa ni como </w:t>
            </w:r>
            <w:r w:rsidRPr="00242DA9">
              <w:rPr>
                <w:rFonts w:ascii="Verdana" w:eastAsia="Times New Roman" w:hAnsi="Verdana" w:cs="Arial"/>
                <w:lang w:eastAsia="es-CO"/>
              </w:rPr>
              <w:lastRenderedPageBreak/>
              <w:t>una circunstancia que exonere a las entidades estatales del cumplimiento de las obligaciones que les han sido atribuidas por el ordenamiento jurídico.</w:t>
            </w:r>
          </w:p>
          <w:p w14:paraId="28D163E5"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En este sentido, tal como lo señaló la Agencia Nacional de Contratación Pública – Colombia Compra Eficiente en la Circular Externa 006 de 2025, las entidades estatales están llamadas a realizar una adecuada planeación que garantice el cumplimiento de sus funciones durante los periodos en que resultan aplicables las restricciones previstas en la Ley de Garantías Electorales. Para ello, deben considerar la utilización de mecanismos de selección distintos a la contratación directa cuando ello resulte procedente, así como las demás herramientas de gestión contractual permitidas por el ordenamiento jurídico.</w:t>
            </w:r>
          </w:p>
          <w:p w14:paraId="03F20DE1"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Asimismo, la referida Circular precisó que la Ley de Garantías Electorales no establece restricciones para las prórrogas, modificaciones, adiciones o cesiones de contratos suscritos antes del inicio del periodo de restricción, siempre que dichas actuaciones se ajusten a los principios de planeación, transparencia y responsabilidad, y se realicen de conformidad con las normas que regulan cada una de estas figuras jurídicas.</w:t>
            </w:r>
          </w:p>
          <w:p w14:paraId="780B215D"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Bajo esta perspectiva, las entidades estatales debieron adoptar, con anterioridad al inicio de las restricciones, las medidas de planeación necesarias para identificar y atender oportunamente las necesidades asociadas al desarrollo de sus funciones. Ello comprende, entre otros aspectos, la elaboración de estudios previos, la definición de estrategias de abastecimiento, la programación de los procesos de selección requeridos y la incorporación de tales necesidades en los instrumentos de planeación contractual correspondientes.</w:t>
            </w:r>
          </w:p>
          <w:p w14:paraId="5E0BE891"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De igual manera, resultaba procedente prever mecanismos que permitieran garantizar la continuidad de la gestión institucional durante la vigencia de las restricciones, especialmente respecto de necesidades permanentes, previsibles o recurrentes relacionadas con el cumplimiento de obligaciones legales, financieras, contables, presupuestales o de reporte a cargo de las entidades públicas.</w:t>
            </w:r>
          </w:p>
          <w:p w14:paraId="09E5DF37" w14:textId="77777777" w:rsidR="00242DA9" w:rsidRPr="00242DA9" w:rsidRDefault="00242DA9" w:rsidP="00181C01">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 xml:space="preserve">Por lo anterior, la sola existencia de las restricciones previstas en la Ley de Garantías Electorales no permite concluir que las entidades se encuentren imposibilitadas para cumplir sus obligaciones legales ni que cualquier necesidad contractual sobreviniente pueda atribuirse </w:t>
            </w:r>
            <w:r w:rsidRPr="00242DA9">
              <w:rPr>
                <w:rFonts w:ascii="Verdana" w:eastAsia="Times New Roman" w:hAnsi="Verdana" w:cs="Arial"/>
                <w:lang w:eastAsia="es-CO"/>
              </w:rPr>
              <w:lastRenderedPageBreak/>
              <w:t>automáticamente a dichas restricciones. Por el contrario, en cada caso deberá analizarse si la necesidad era previsible, si la entidad desplegó las actuaciones de planeación correspondientes y si existían mecanismos jurídicos disponibles para atenderla dentro del marco normativo vigente.</w:t>
            </w:r>
          </w:p>
          <w:p w14:paraId="52B100F8" w14:textId="77777777" w:rsidR="00242DA9" w:rsidRDefault="00242DA9" w:rsidP="006048DD">
            <w:pPr>
              <w:spacing w:after="120" w:line="276" w:lineRule="auto"/>
              <w:ind w:firstLine="709"/>
              <w:jc w:val="both"/>
              <w:rPr>
                <w:rFonts w:ascii="Verdana" w:eastAsia="Times New Roman" w:hAnsi="Verdana" w:cs="Arial"/>
                <w:lang w:eastAsia="es-CO"/>
              </w:rPr>
            </w:pPr>
            <w:r w:rsidRPr="00242DA9">
              <w:rPr>
                <w:rFonts w:ascii="Verdana" w:eastAsia="Times New Roman" w:hAnsi="Verdana" w:cs="Arial"/>
                <w:lang w:eastAsia="es-CO"/>
              </w:rPr>
              <w:t>En consecuencia, corresponde a cada entidad evaluar las alternativas administrativas, presupuestales y contractuales legalmente habilitadas para garantizar el cumplimiento de sus funciones y obligaciones, aun durante los periodos de restricción electoral, sin que pueda afirmarse, de manera general, que la Ley de Garantías impide la adopción de las medidas necesarias para asegurar el adecuado funcionamiento institucional y la correcta administración de los recursos públicos.</w:t>
            </w:r>
          </w:p>
          <w:p w14:paraId="23CAAAC1" w14:textId="4B9D2C34" w:rsidR="00A37899" w:rsidRPr="001310F6" w:rsidRDefault="00310B1C" w:rsidP="00181C01">
            <w:pPr>
              <w:spacing w:after="120" w:line="276" w:lineRule="auto"/>
              <w:ind w:firstLine="709"/>
              <w:jc w:val="both"/>
              <w:rPr>
                <w:rFonts w:ascii="Verdana" w:eastAsia="Times New Roman" w:hAnsi="Verdana" w:cs="Arial"/>
                <w:lang w:val="es-MX" w:eastAsia="es-CO"/>
              </w:rPr>
            </w:pPr>
            <w:r w:rsidRPr="00310B1C">
              <w:rPr>
                <w:rFonts w:ascii="Verdana" w:eastAsia="Times New Roman" w:hAnsi="Verdana" w:cs="Arial"/>
                <w:lang w:eastAsia="es-CO"/>
              </w:rPr>
              <w:t>Finalmente, es importante precisar que la determinación de eventuales responsabilidades derivadas de las actuaciones u omisiones de los servidores públicos o de las entidades estatales no corresponde a esta Agencia, sino a las autoridades competentes dentro de los procedimientos legalmente establecidos. En particular, la valoración sobre la existencia de un daño fiscal, su cuantificación y la identificación de los presuntos responsables constituye una competencia atribuida a los órganos de control fiscal, esto es, a la Contraloría General de la República o a las contralorías territoriales, según la distribución constitucional y legal de competencias y la naturaleza de los recursos involucrados. En consecuencia, cualquier pronunciamiento sobre la configuración de un daño fiscal o sobre la eventual responsabilidad fiscal derivada de una actuación específica deberá ser efectuado por la autoridad de control fiscal competente, con fundamento en las circunstancias particulares de cada caso y en el marco de los procedimientos correspondientes.</w:t>
            </w:r>
          </w:p>
        </w:tc>
      </w:tr>
    </w:tbl>
    <w:p w14:paraId="3885F81F" w14:textId="77777777" w:rsidR="00A37899" w:rsidRPr="00A37899" w:rsidRDefault="00A37899" w:rsidP="007C2881">
      <w:pPr>
        <w:spacing w:after="0" w:line="276" w:lineRule="auto"/>
        <w:jc w:val="both"/>
        <w:rPr>
          <w:rFonts w:ascii="Verdana" w:eastAsia="Calibri" w:hAnsi="Verdana" w:cs="Arial"/>
          <w:bCs/>
          <w:color w:val="000000" w:themeColor="text1"/>
        </w:rPr>
      </w:pPr>
    </w:p>
    <w:p w14:paraId="068C85A5" w14:textId="77777777" w:rsidR="00A37899" w:rsidRPr="00A37899" w:rsidRDefault="00A37899" w:rsidP="007C2881">
      <w:pPr>
        <w:numPr>
          <w:ilvl w:val="0"/>
          <w:numId w:val="16"/>
        </w:numPr>
        <w:tabs>
          <w:tab w:val="left" w:pos="2268"/>
        </w:tabs>
        <w:spacing w:after="0" w:line="276" w:lineRule="auto"/>
        <w:rPr>
          <w:rFonts w:ascii="Verdana" w:eastAsia="Calibri" w:hAnsi="Verdana" w:cs="Times New Roman"/>
          <w:b/>
          <w:bCs/>
          <w:lang w:val="es-ES"/>
        </w:rPr>
      </w:pPr>
      <w:r w:rsidRPr="00A37899">
        <w:rPr>
          <w:rFonts w:ascii="Verdana" w:eastAsia="Calibri" w:hAnsi="Verdana" w:cs="Times New Roman"/>
          <w:b/>
          <w:bCs/>
          <w:lang w:val="es-ES"/>
        </w:rPr>
        <w:t>Razones de la respuesta:</w:t>
      </w:r>
    </w:p>
    <w:p w14:paraId="57EFD040" w14:textId="77777777" w:rsidR="00A37899" w:rsidRPr="00A37899" w:rsidRDefault="00A37899" w:rsidP="007C2881">
      <w:pPr>
        <w:spacing w:after="0" w:line="276" w:lineRule="auto"/>
        <w:rPr>
          <w:rFonts w:ascii="Verdana" w:eastAsia="Calibri" w:hAnsi="Verdana" w:cs="Times New Roman"/>
          <w:b/>
          <w:bCs/>
          <w:lang w:val="es-ES"/>
        </w:rPr>
      </w:pPr>
    </w:p>
    <w:p w14:paraId="261501C4" w14:textId="77777777" w:rsidR="00A37899" w:rsidRPr="00A37899" w:rsidRDefault="00A37899" w:rsidP="007C2881">
      <w:pPr>
        <w:spacing w:after="0" w:line="276" w:lineRule="auto"/>
        <w:jc w:val="both"/>
        <w:rPr>
          <w:rFonts w:ascii="Verdana" w:eastAsia="Calibri" w:hAnsi="Verdana" w:cs="Arial"/>
          <w:lang w:val="es-ES"/>
        </w:rPr>
      </w:pPr>
      <w:r w:rsidRPr="00A37899">
        <w:rPr>
          <w:rFonts w:ascii="Verdana" w:eastAsia="Calibri" w:hAnsi="Verdana" w:cs="Arial"/>
          <w:lang w:val="es-ES"/>
        </w:rPr>
        <w:t xml:space="preserve">Lo anterior se sustenta en las siguientes consideraciones: </w:t>
      </w:r>
    </w:p>
    <w:p w14:paraId="0EF17FDE" w14:textId="77777777" w:rsidR="00A37899" w:rsidRPr="00A37899" w:rsidRDefault="00A37899" w:rsidP="007C2881">
      <w:pPr>
        <w:spacing w:after="0" w:line="276" w:lineRule="auto"/>
        <w:jc w:val="both"/>
        <w:rPr>
          <w:rFonts w:ascii="Verdana" w:eastAsia="Calibri" w:hAnsi="Verdana" w:cs="Arial"/>
          <w:color w:val="000000" w:themeColor="text1"/>
        </w:rPr>
      </w:pPr>
    </w:p>
    <w:p w14:paraId="61C31BF2" w14:textId="77777777" w:rsidR="00A37899" w:rsidRPr="00A37899" w:rsidRDefault="00A37899" w:rsidP="00A37899">
      <w:pPr>
        <w:tabs>
          <w:tab w:val="left" w:pos="426"/>
        </w:tabs>
        <w:spacing w:after="120" w:line="276" w:lineRule="auto"/>
        <w:jc w:val="both"/>
        <w:rPr>
          <w:rFonts w:ascii="Verdana" w:eastAsia="Times New Roman" w:hAnsi="Verdana" w:cs="Arial"/>
          <w:lang w:eastAsia="es-CO"/>
        </w:rPr>
      </w:pPr>
      <w:r w:rsidRPr="00A37899">
        <w:rPr>
          <w:rFonts w:ascii="Verdana" w:eastAsia="Calibri" w:hAnsi="Verdana" w:cs="Arial"/>
        </w:rPr>
        <w:t>El ordenamiento jurídico colombiano contempla previsiones claras para evitar la obtención de beneficios personales en asuntos propios de la administración pública</w:t>
      </w:r>
      <w:r w:rsidRPr="00A37899">
        <w:rPr>
          <w:rFonts w:ascii="Verdana" w:eastAsia="Calibri" w:hAnsi="Verdana" w:cs="Arial"/>
          <w:i/>
        </w:rPr>
        <w:t xml:space="preserve">. </w:t>
      </w:r>
      <w:r w:rsidRPr="00A37899">
        <w:rPr>
          <w:rFonts w:ascii="Verdana" w:eastAsia="Calibri" w:hAnsi="Verdana" w:cs="Arial"/>
        </w:rPr>
        <w:t xml:space="preserve">Por ejemplo, el artículo 127 de la Constitución Política establece una prohibición contractual a los servidores públicos y, en cuanto a aspectos </w:t>
      </w:r>
      <w:r w:rsidRPr="00A37899">
        <w:rPr>
          <w:rFonts w:ascii="Verdana" w:eastAsia="Calibri" w:hAnsi="Verdana" w:cs="Arial"/>
        </w:rPr>
        <w:lastRenderedPageBreak/>
        <w:t>políticos, establece restricciones a ciertos empleados del Estado, incluso en época no electoral</w:t>
      </w:r>
      <w:r w:rsidRPr="00A37899">
        <w:rPr>
          <w:rFonts w:ascii="Verdana" w:hAnsi="Verdana"/>
          <w:vertAlign w:val="superscript"/>
        </w:rPr>
        <w:footnoteReference w:id="1"/>
      </w:r>
      <w:r w:rsidRPr="00A37899">
        <w:rPr>
          <w:rFonts w:ascii="Verdana" w:eastAsia="Calibri" w:hAnsi="Verdana" w:cs="Arial"/>
        </w:rPr>
        <w:t xml:space="preserve">. </w:t>
      </w:r>
    </w:p>
    <w:p w14:paraId="49EE7509" w14:textId="77777777" w:rsidR="001C5BB3" w:rsidRDefault="00A37899" w:rsidP="00181C01">
      <w:pPr>
        <w:tabs>
          <w:tab w:val="left" w:pos="426"/>
        </w:tabs>
        <w:spacing w:after="120" w:line="276" w:lineRule="auto"/>
        <w:ind w:firstLine="425"/>
        <w:jc w:val="both"/>
        <w:rPr>
          <w:rFonts w:ascii="Verdana" w:eastAsia="Calibri" w:hAnsi="Verdana" w:cs="Arial"/>
          <w:lang w:val="es-ES_tradnl"/>
        </w:rPr>
      </w:pPr>
      <w:r w:rsidRPr="00A37899">
        <w:rPr>
          <w:rFonts w:ascii="Verdana" w:eastAsia="Times New Roman" w:hAnsi="Verdana" w:cs="Arial"/>
          <w:lang w:eastAsia="es-CO"/>
        </w:rPr>
        <w:tab/>
      </w:r>
      <w:r w:rsidRPr="00A37899">
        <w:rPr>
          <w:rFonts w:ascii="Verdana" w:eastAsia="Times New Roman" w:hAnsi="Verdana" w:cs="Arial"/>
          <w:lang w:eastAsia="es-CO"/>
        </w:rPr>
        <w:tab/>
        <w:t>En el mismo sentido</w:t>
      </w:r>
      <w:r w:rsidRPr="00A37899">
        <w:rPr>
          <w:rFonts w:ascii="Verdana" w:eastAsia="Times New Roman" w:hAnsi="Verdana" w:cs="Arial"/>
          <w:lang w:val="es-MX" w:eastAsia="es-CO"/>
        </w:rPr>
        <w:t xml:space="preserve">, </w:t>
      </w:r>
      <w:bookmarkStart w:id="1" w:name="_Hlk99576829"/>
      <w:r w:rsidRPr="00A37899">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A37899">
        <w:rPr>
          <w:rFonts w:ascii="Verdana" w:eastAsia="Times New Roman" w:hAnsi="Verdana" w:cs="Arial"/>
          <w:vertAlign w:val="superscript"/>
          <w:lang w:val="es-MX" w:eastAsia="es-CO"/>
        </w:rPr>
        <w:footnoteReference w:id="2"/>
      </w:r>
      <w:r w:rsidRPr="00A37899">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A37899">
        <w:rPr>
          <w:rFonts w:ascii="Verdana" w:eastAsia="Calibri" w:hAnsi="Verdana" w:cs="Arial"/>
          <w:lang w:val="es-ES_tradnl"/>
        </w:rPr>
        <w:t xml:space="preserve"> </w:t>
      </w:r>
      <w:bookmarkEnd w:id="1"/>
    </w:p>
    <w:p w14:paraId="15140AE1" w14:textId="697F0BA4" w:rsidR="00A37899" w:rsidRPr="00A37899" w:rsidRDefault="00A37899" w:rsidP="00A37899">
      <w:pPr>
        <w:tabs>
          <w:tab w:val="left" w:pos="426"/>
        </w:tabs>
        <w:spacing w:after="0" w:line="276" w:lineRule="auto"/>
        <w:ind w:firstLine="425"/>
        <w:jc w:val="both"/>
        <w:rPr>
          <w:rFonts w:ascii="Verdana" w:eastAsia="Calibri" w:hAnsi="Verdana" w:cs="Arial"/>
          <w:lang w:val="es-ES_tradnl"/>
        </w:rPr>
      </w:pPr>
      <w:r w:rsidRPr="00A37899">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3CF205CC" w14:textId="77777777" w:rsidR="00A37899" w:rsidRPr="00A37899" w:rsidRDefault="00A37899" w:rsidP="00A37899">
      <w:pPr>
        <w:spacing w:after="0" w:line="276" w:lineRule="auto"/>
        <w:ind w:right="709" w:firstLine="425"/>
        <w:contextualSpacing/>
        <w:jc w:val="both"/>
        <w:rPr>
          <w:rFonts w:ascii="Verdana" w:eastAsia="Times New Roman" w:hAnsi="Verdana" w:cs="Arial"/>
          <w:lang w:val="es-ES" w:eastAsia="es-CO"/>
        </w:rPr>
      </w:pPr>
    </w:p>
    <w:p w14:paraId="2BD53575" w14:textId="77777777" w:rsidR="00A37899" w:rsidRPr="00A37899" w:rsidRDefault="00A37899" w:rsidP="00181C01">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ES" w:eastAsia="es-CO"/>
        </w:rPr>
        <w:t xml:space="preserve">“[…] </w:t>
      </w:r>
      <w:r w:rsidRPr="00A37899">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2D7094E2" w14:textId="77777777" w:rsidR="00A37899" w:rsidRPr="00A37899" w:rsidRDefault="00A37899" w:rsidP="00181C01">
      <w:pPr>
        <w:spacing w:after="0" w:line="240" w:lineRule="auto"/>
        <w:ind w:left="709" w:right="709" w:firstLine="708"/>
        <w:contextualSpacing/>
        <w:jc w:val="both"/>
        <w:rPr>
          <w:rFonts w:ascii="Verdana" w:eastAsia="Times New Roman" w:hAnsi="Verdana" w:cs="Arial"/>
          <w:sz w:val="20"/>
          <w:szCs w:val="20"/>
          <w:lang w:val="es-MX" w:eastAsia="es-CO"/>
        </w:rPr>
      </w:pPr>
    </w:p>
    <w:p w14:paraId="530C719A" w14:textId="77777777" w:rsidR="00A37899" w:rsidRPr="00A37899" w:rsidRDefault="00A37899" w:rsidP="00181C01">
      <w:pPr>
        <w:spacing w:after="0" w:line="240" w:lineRule="auto"/>
        <w:ind w:right="709" w:firstLine="708"/>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 xml:space="preserve">[…] </w:t>
      </w:r>
    </w:p>
    <w:p w14:paraId="1F6EF012" w14:textId="77777777" w:rsidR="00A37899" w:rsidRPr="00A37899" w:rsidRDefault="00A37899" w:rsidP="00181C01">
      <w:pPr>
        <w:spacing w:after="0" w:line="240" w:lineRule="auto"/>
        <w:ind w:left="709" w:right="709" w:firstLine="708"/>
        <w:contextualSpacing/>
        <w:jc w:val="both"/>
        <w:rPr>
          <w:rFonts w:ascii="Verdana" w:eastAsia="Times New Roman" w:hAnsi="Verdana" w:cs="Arial"/>
          <w:sz w:val="20"/>
          <w:szCs w:val="20"/>
          <w:lang w:val="es-MX" w:eastAsia="es-CO"/>
        </w:rPr>
      </w:pPr>
    </w:p>
    <w:p w14:paraId="7DFCB52E" w14:textId="77777777" w:rsidR="00A37899" w:rsidRPr="00A37899" w:rsidRDefault="00A37899" w:rsidP="001C5BB3">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A37899">
        <w:rPr>
          <w:rFonts w:ascii="Verdana" w:eastAsia="Calibri" w:hAnsi="Verdana" w:cs="Arial"/>
          <w:sz w:val="20"/>
          <w:szCs w:val="20"/>
          <w:vertAlign w:val="superscript"/>
          <w:lang w:val="es-MX"/>
        </w:rPr>
        <w:footnoteReference w:id="3"/>
      </w:r>
    </w:p>
    <w:p w14:paraId="62BFB353" w14:textId="77777777" w:rsidR="00A37899" w:rsidRPr="00A37899" w:rsidRDefault="00A37899" w:rsidP="001C5BB3">
      <w:pPr>
        <w:spacing w:after="0" w:line="276" w:lineRule="auto"/>
        <w:ind w:firstLine="425"/>
        <w:jc w:val="both"/>
        <w:rPr>
          <w:rFonts w:ascii="Verdana" w:eastAsia="Times New Roman" w:hAnsi="Verdana" w:cs="Arial"/>
          <w:lang w:val="es-MX" w:eastAsia="es-CO"/>
        </w:rPr>
      </w:pPr>
      <w:bookmarkStart w:id="2" w:name="_Hlk78818186"/>
    </w:p>
    <w:p w14:paraId="6F4F5CAD" w14:textId="77777777" w:rsidR="00A37899" w:rsidRDefault="00A37899" w:rsidP="00D81EEB">
      <w:pPr>
        <w:spacing w:after="0" w:line="276" w:lineRule="auto"/>
        <w:ind w:firstLine="708"/>
        <w:jc w:val="both"/>
        <w:rPr>
          <w:rFonts w:ascii="Verdana" w:eastAsia="Times New Roman" w:hAnsi="Verdana" w:cs="Arial"/>
          <w:lang w:val="es-MX" w:eastAsia="es-CO"/>
        </w:rPr>
      </w:pPr>
      <w:r w:rsidRPr="00A37899">
        <w:rPr>
          <w:rFonts w:ascii="Verdana" w:eastAsia="Times New Roman" w:hAnsi="Verdana" w:cs="Arial"/>
          <w:lang w:val="es-MX" w:eastAsia="es-CO"/>
        </w:rPr>
        <w:lastRenderedPageBreak/>
        <w:t xml:space="preserve">En este contexto, la Ley de Garantías Electorales establece el marco jurídico para el desarrollo de las elecciones, procurando condiciones de igualdad y transparencia para los aspirantes. Paralelamente, se incluyen restricciones en las actuaciones de los servidores públicos, evitando interferencias en la contienda electoral, así como la posible desviación de recursos públicos en aspiraciones electorales. </w:t>
      </w:r>
      <w:bookmarkEnd w:id="2"/>
      <w:r w:rsidRPr="00A37899">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w:t>
      </w:r>
    </w:p>
    <w:p w14:paraId="1E9571DF" w14:textId="77777777" w:rsidR="00D81EEB" w:rsidRPr="00A37899" w:rsidRDefault="00D81EEB" w:rsidP="00181C01">
      <w:pPr>
        <w:spacing w:after="0" w:line="276" w:lineRule="auto"/>
        <w:ind w:firstLine="708"/>
        <w:jc w:val="both"/>
        <w:rPr>
          <w:rFonts w:ascii="Verdana" w:eastAsia="Times New Roman" w:hAnsi="Verdana" w:cs="Arial"/>
          <w:lang w:val="es-MX" w:eastAsia="es-CO"/>
        </w:rPr>
      </w:pPr>
    </w:p>
    <w:p w14:paraId="52A35DC5" w14:textId="77777777" w:rsidR="00A37899" w:rsidRPr="00A37899" w:rsidRDefault="00A37899" w:rsidP="00181C01">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 xml:space="preserve">“No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w:t>
      </w:r>
      <w:proofErr w:type="spellStart"/>
      <w:r w:rsidRPr="00A37899">
        <w:rPr>
          <w:rFonts w:ascii="Verdana" w:eastAsia="Times New Roman" w:hAnsi="Verdana" w:cs="Arial"/>
          <w:sz w:val="20"/>
          <w:szCs w:val="20"/>
          <w:lang w:val="es-MX" w:eastAsia="es-CO"/>
        </w:rPr>
        <w:t>legis</w:t>
      </w:r>
      <w:proofErr w:type="spellEnd"/>
      <w:r w:rsidRPr="00A37899">
        <w:rPr>
          <w:rFonts w:ascii="Verdana" w:eastAsia="Times New Roman" w:hAnsi="Verdana" w:cs="Arial"/>
          <w:sz w:val="20"/>
          <w:szCs w:val="20"/>
          <w:lang w:val="es-MX" w:eastAsia="es-CO"/>
        </w:rPr>
        <w:t xml:space="preserve">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60513165" w14:textId="77777777" w:rsidR="00A37899" w:rsidRPr="00A37899" w:rsidRDefault="00A37899" w:rsidP="00181C01">
      <w:pPr>
        <w:spacing w:after="0" w:line="240" w:lineRule="auto"/>
        <w:ind w:left="709" w:right="709"/>
        <w:contextualSpacing/>
        <w:jc w:val="both"/>
        <w:rPr>
          <w:rFonts w:ascii="Verdana" w:eastAsia="Times New Roman" w:hAnsi="Verdana" w:cs="Arial"/>
          <w:sz w:val="20"/>
          <w:szCs w:val="20"/>
          <w:lang w:val="es-MX" w:eastAsia="es-CO"/>
        </w:rPr>
      </w:pPr>
    </w:p>
    <w:p w14:paraId="25E0DFF0" w14:textId="77777777" w:rsidR="00A37899" w:rsidRPr="00A37899" w:rsidRDefault="00A37899" w:rsidP="00D81EEB">
      <w:pPr>
        <w:spacing w:after="0" w:line="240" w:lineRule="auto"/>
        <w:ind w:right="709"/>
        <w:contextualSpacing/>
        <w:jc w:val="both"/>
        <w:rPr>
          <w:rFonts w:ascii="Verdana" w:eastAsia="Times New Roman" w:hAnsi="Verdana" w:cs="Arial"/>
          <w:lang w:val="es-MX" w:eastAsia="es-CO"/>
        </w:rPr>
      </w:pPr>
    </w:p>
    <w:p w14:paraId="3EFBB169" w14:textId="77777777" w:rsidR="00A37899" w:rsidRPr="00A37899" w:rsidRDefault="00A37899" w:rsidP="00D81EEB">
      <w:pPr>
        <w:spacing w:after="0" w:line="240" w:lineRule="auto"/>
        <w:ind w:left="709" w:right="709"/>
        <w:contextualSpacing/>
        <w:jc w:val="both"/>
        <w:rPr>
          <w:rFonts w:ascii="Verdana" w:eastAsia="Times New Roman" w:hAnsi="Verdana" w:cs="Arial"/>
          <w:sz w:val="20"/>
          <w:szCs w:val="20"/>
          <w:lang w:val="es-MX" w:eastAsia="es-CO"/>
        </w:rPr>
      </w:pPr>
      <w:r w:rsidRPr="00A37899">
        <w:rPr>
          <w:rFonts w:ascii="Verdana" w:eastAsia="Times New Roman" w:hAnsi="Verdana" w:cs="Arial"/>
          <w:sz w:val="20"/>
          <w:szCs w:val="20"/>
          <w:lang w:val="es-MX" w:eastAsia="es-CO"/>
        </w:rPr>
        <w:t>La jurisprudencia de la Corte Constitucional</w:t>
      </w:r>
      <w:r w:rsidRPr="00A37899">
        <w:rPr>
          <w:rFonts w:ascii="Verdana" w:eastAsia="Times New Roman" w:hAnsi="Verdana" w:cs="Arial"/>
          <w:sz w:val="20"/>
          <w:szCs w:val="20"/>
          <w:vertAlign w:val="superscript"/>
          <w:lang w:val="es-MX" w:eastAsia="es-CO"/>
        </w:rPr>
        <w:footnoteReference w:id="4"/>
      </w:r>
      <w:r w:rsidRPr="00A37899">
        <w:rPr>
          <w:rFonts w:ascii="Verdana" w:eastAsia="Times New Roman" w:hAnsi="Verdana" w:cs="Arial"/>
          <w:sz w:val="20"/>
          <w:szCs w:val="20"/>
          <w:lang w:val="es-MX" w:eastAsia="es-CO"/>
        </w:rPr>
        <w:t> y del Consejo de Estado</w:t>
      </w:r>
      <w:r w:rsidRPr="00A37899">
        <w:rPr>
          <w:rFonts w:ascii="Verdana" w:eastAsia="Times New Roman" w:hAnsi="Verdana" w:cs="Arial"/>
          <w:sz w:val="20"/>
          <w:szCs w:val="20"/>
          <w:vertAlign w:val="superscript"/>
          <w:lang w:val="es-MX" w:eastAsia="es-CO"/>
        </w:rPr>
        <w:footnoteReference w:id="5"/>
      </w:r>
      <w:r w:rsidRPr="00A37899">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A37899">
        <w:rPr>
          <w:rFonts w:ascii="Verdana" w:eastAsia="Times New Roman" w:hAnsi="Verdana" w:cs="Arial"/>
          <w:sz w:val="20"/>
          <w:szCs w:val="20"/>
          <w:vertAlign w:val="superscript"/>
          <w:lang w:val="es-MX" w:eastAsia="es-CO"/>
        </w:rPr>
        <w:footnoteReference w:id="6"/>
      </w:r>
      <w:r w:rsidRPr="00A37899">
        <w:rPr>
          <w:rFonts w:ascii="Verdana" w:eastAsia="Times New Roman" w:hAnsi="Verdana" w:cs="Arial"/>
          <w:sz w:val="20"/>
          <w:szCs w:val="20"/>
          <w:lang w:val="es-MX" w:eastAsia="es-CO"/>
        </w:rPr>
        <w:t>.</w:t>
      </w:r>
    </w:p>
    <w:p w14:paraId="58D1DDF6" w14:textId="77777777" w:rsidR="00A37899" w:rsidRPr="00A37899" w:rsidRDefault="00A37899" w:rsidP="00181C01">
      <w:pPr>
        <w:spacing w:after="0" w:line="276" w:lineRule="auto"/>
        <w:ind w:left="709" w:right="709"/>
        <w:jc w:val="both"/>
        <w:rPr>
          <w:rFonts w:ascii="Verdana" w:eastAsia="Times New Roman" w:hAnsi="Verdana" w:cs="Arial"/>
          <w:lang w:val="es-MX" w:eastAsia="es-CO"/>
        </w:rPr>
      </w:pPr>
    </w:p>
    <w:p w14:paraId="063D17E3" w14:textId="77777777" w:rsidR="00A37899" w:rsidRPr="00A37899" w:rsidRDefault="00A37899" w:rsidP="00181C01">
      <w:pPr>
        <w:spacing w:after="120" w:line="276" w:lineRule="auto"/>
        <w:ind w:firstLine="709"/>
        <w:jc w:val="both"/>
        <w:rPr>
          <w:rFonts w:ascii="Verdana" w:eastAsia="Arial" w:hAnsi="Verdana" w:cs="Arial"/>
          <w:lang w:val="es-ES" w:eastAsia="es-ES" w:bidi="es-ES"/>
        </w:rPr>
      </w:pPr>
      <w:r w:rsidRPr="00A37899">
        <w:rPr>
          <w:rFonts w:ascii="Verdana" w:eastAsia="Times New Roman" w:hAnsi="Verdana" w:cs="Arial"/>
          <w:lang w:val="es-MX" w:eastAsia="es-CO"/>
        </w:rPr>
        <w:t>De</w:t>
      </w:r>
      <w:r w:rsidRPr="00A37899">
        <w:rPr>
          <w:rFonts w:ascii="Verdana" w:eastAsia="Arial" w:hAnsi="Verdana" w:cs="Arial"/>
          <w:lang w:val="es-ES" w:eastAsia="es-ES" w:bidi="es-ES"/>
        </w:rPr>
        <w:t xml:space="preserve"> conformidad con lo anterior, </w:t>
      </w:r>
      <w:bookmarkStart w:id="3" w:name="_Hlk77236098"/>
      <w:bookmarkStart w:id="4" w:name="_Hlk100679383"/>
      <w:r w:rsidRPr="00A37899">
        <w:rPr>
          <w:rFonts w:ascii="Verdana" w:eastAsia="Arial" w:hAnsi="Verdana" w:cs="Arial"/>
          <w:lang w:val="es-ES" w:eastAsia="es-ES" w:bidi="es-ES"/>
        </w:rPr>
        <w:t xml:space="preserve">la Ley de Garantías Electorales estableció una serie de regulaciones y prohibiciones dirigidas a los servidores públicos. Con la finalidad de preservar la igualdad entre los candidatos en las elecciones, </w:t>
      </w:r>
      <w:r w:rsidRPr="00A37899">
        <w:rPr>
          <w:rFonts w:ascii="Verdana" w:eastAsia="Arial" w:hAnsi="Verdana" w:cs="Arial"/>
          <w:lang w:val="es-ES" w:eastAsia="es-ES" w:bidi="es-ES"/>
        </w:rPr>
        <w:lastRenderedPageBreak/>
        <w:t xml:space="preserve">aumentó las garantías en materia de contratación, de forma que no exista siquiera sospecha de que, por ese medio, en los periodos previos a la contienda electoral, se altere las condiciones de igualdad entre los candidatos. </w:t>
      </w:r>
    </w:p>
    <w:p w14:paraId="14568CF1" w14:textId="77777777" w:rsidR="00A37899" w:rsidRPr="00A37899" w:rsidRDefault="00A37899" w:rsidP="00181C01">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Precisado el propósito de la Ley, es pertinente señalar que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5769A4C9" w14:textId="77777777" w:rsidR="00A37899" w:rsidRPr="00A37899" w:rsidRDefault="00A37899" w:rsidP="00181C01">
      <w:pPr>
        <w:spacing w:after="120" w:line="276" w:lineRule="auto"/>
        <w:ind w:firstLine="709"/>
        <w:jc w:val="both"/>
        <w:rPr>
          <w:rFonts w:ascii="Verdana" w:eastAsia="Calibri" w:hAnsi="Verdana" w:cs="Arial"/>
        </w:rPr>
      </w:pPr>
      <w:r w:rsidRPr="00A37899">
        <w:rPr>
          <w:rFonts w:ascii="Verdana" w:eastAsia="Calibri" w:hAnsi="Verdana" w:cs="Arial"/>
        </w:rPr>
        <w:t xml:space="preserve">Por un lado, el </w:t>
      </w:r>
      <w:r w:rsidRPr="00A37899">
        <w:rPr>
          <w:rFonts w:ascii="Verdana" w:eastAsia="Calibri" w:hAnsi="Verdana" w:cs="Arial"/>
          <w:i/>
          <w:iCs/>
        </w:rPr>
        <w:t>artículo 33 de la Ley 996 de 2005</w:t>
      </w:r>
      <w:r w:rsidRPr="00A37899">
        <w:rPr>
          <w:rFonts w:ascii="Verdana" w:eastAsia="Calibri" w:hAnsi="Verdana" w:cs="Arial"/>
        </w:rPr>
        <w:t xml:space="preserve">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A37899">
        <w:rPr>
          <w:rFonts w:ascii="Verdana" w:eastAsia="Calibri" w:hAnsi="Verdana" w:cs="Arial"/>
          <w:vertAlign w:val="superscript"/>
        </w:rPr>
        <w:footnoteReference w:id="7"/>
      </w:r>
      <w:r w:rsidRPr="00A37899">
        <w:rPr>
          <w:rFonts w:ascii="Verdana" w:eastAsia="Calibri" w:hAnsi="Verdana" w:cs="Arial"/>
        </w:rPr>
        <w:t>.</w:t>
      </w:r>
    </w:p>
    <w:p w14:paraId="0AE38572" w14:textId="77777777" w:rsidR="00A37899" w:rsidRPr="00A37899" w:rsidRDefault="00A37899" w:rsidP="00930C19">
      <w:pPr>
        <w:widowControl w:val="0"/>
        <w:autoSpaceDE w:val="0"/>
        <w:autoSpaceDN w:val="0"/>
        <w:spacing w:after="120" w:line="276" w:lineRule="auto"/>
        <w:ind w:firstLine="709"/>
        <w:jc w:val="both"/>
        <w:rPr>
          <w:rFonts w:ascii="Verdana" w:eastAsia="Arial" w:hAnsi="Verdana" w:cs="Arial"/>
          <w:lang w:val="es-ES" w:eastAsia="es-ES" w:bidi="es-ES"/>
        </w:rPr>
      </w:pPr>
      <w:r w:rsidRPr="00A37899">
        <w:rPr>
          <w:rFonts w:ascii="Verdana" w:eastAsia="Calibri" w:hAnsi="Verdana" w:cs="Arial"/>
        </w:rPr>
        <w:t xml:space="preserve">Por otro lado, </w:t>
      </w:r>
      <w:r w:rsidRPr="00A37899">
        <w:rPr>
          <w:rFonts w:ascii="Verdana" w:eastAsia="Calibri" w:hAnsi="Verdana" w:cs="Arial"/>
          <w:i/>
          <w:iCs/>
        </w:rPr>
        <w:t>el parágrafo del artículo 38 de la Ley 996 de 2005</w:t>
      </w:r>
      <w:r w:rsidRPr="00A37899">
        <w:rPr>
          <w:rFonts w:ascii="Verdana" w:eastAsia="Calibri" w:hAnsi="Verdana" w:cs="Arial"/>
        </w:rPr>
        <w:t xml:space="preserve">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A37899">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A37899">
        <w:rPr>
          <w:rFonts w:ascii="Verdana" w:eastAsia="Calibri" w:hAnsi="Verdana" w:cs="Arial"/>
        </w:rPr>
        <w:t>”</w:t>
      </w:r>
      <w:bookmarkEnd w:id="4"/>
      <w:r w:rsidRPr="00A37899">
        <w:rPr>
          <w:rFonts w:ascii="Verdana" w:eastAsia="Calibri" w:hAnsi="Verdana" w:cs="Arial"/>
          <w:vertAlign w:val="superscript"/>
        </w:rPr>
        <w:footnoteReference w:id="8"/>
      </w:r>
      <w:r w:rsidRPr="00A37899">
        <w:rPr>
          <w:rFonts w:ascii="Verdana" w:eastAsia="Calibri" w:hAnsi="Verdana" w:cs="Arial"/>
          <w:lang w:val="es-MX"/>
        </w:rPr>
        <w:t>.</w:t>
      </w:r>
      <w:r w:rsidRPr="00A37899">
        <w:rPr>
          <w:rFonts w:ascii="Verdana" w:eastAsia="Arial" w:hAnsi="Verdana" w:cs="Arial"/>
          <w:lang w:val="es-ES" w:eastAsia="es-ES" w:bidi="es-ES"/>
        </w:rPr>
        <w:t xml:space="preserve"> </w:t>
      </w:r>
    </w:p>
    <w:p w14:paraId="55831265" w14:textId="77777777" w:rsidR="00A37899" w:rsidRPr="00A37899" w:rsidRDefault="00A37899" w:rsidP="00930C19">
      <w:pPr>
        <w:spacing w:after="120" w:line="276" w:lineRule="auto"/>
        <w:ind w:firstLine="709"/>
        <w:jc w:val="both"/>
        <w:rPr>
          <w:rFonts w:ascii="Verdana" w:eastAsia="Times New Roman" w:hAnsi="Verdana" w:cs="Arial"/>
          <w:bCs/>
          <w:lang w:eastAsia="es-CO"/>
        </w:rPr>
      </w:pPr>
      <w:r w:rsidRPr="00A37899">
        <w:rPr>
          <w:rFonts w:ascii="Verdana" w:eastAsia="Times New Roman" w:hAnsi="Verdana" w:cs="Arial"/>
          <w:bCs/>
          <w:lang w:val="es-MX" w:eastAsia="es-CO"/>
        </w:rPr>
        <w:t xml:space="preserve">Para entender el momento de aplicación de estas restricciones, es preciso señalar que el vocablo “celebrar” es definido por el Diccionario Panhispánico del </w:t>
      </w:r>
      <w:r w:rsidRPr="00A37899">
        <w:rPr>
          <w:rFonts w:ascii="Verdana" w:eastAsia="Times New Roman" w:hAnsi="Verdana" w:cs="Arial"/>
          <w:bCs/>
          <w:lang w:val="es-MX" w:eastAsia="es-CO"/>
        </w:rPr>
        <w:lastRenderedPageBreak/>
        <w:t>Español Jurídico como: “</w:t>
      </w:r>
      <w:r w:rsidRPr="00A37899">
        <w:rPr>
          <w:rFonts w:ascii="Verdana" w:eastAsia="Times New Roman" w:hAnsi="Verdana" w:cs="Arial"/>
          <w:bCs/>
          <w:lang w:eastAsia="es-CO"/>
        </w:rPr>
        <w:t>1. </w:t>
      </w:r>
      <w:r w:rsidRPr="00A37899">
        <w:rPr>
          <w:rFonts w:ascii="Verdana" w:eastAsia="Times New Roman" w:hAnsi="Verdana" w:cs="Arial"/>
          <w:bCs/>
          <w:i/>
          <w:iCs/>
          <w:lang w:eastAsia="es-CO"/>
        </w:rPr>
        <w:t>Gral.</w:t>
      </w:r>
      <w:r w:rsidRPr="00A37899">
        <w:rPr>
          <w:rFonts w:ascii="Verdana" w:eastAsia="Times New Roman" w:hAnsi="Verdana" w:cs="Arial"/>
          <w:bCs/>
          <w:lang w:eastAsia="es-CO"/>
        </w:rPr>
        <w:t xml:space="preserve"> Otorgar o firmar un contrato. 2. </w:t>
      </w:r>
      <w:proofErr w:type="spellStart"/>
      <w:r w:rsidRPr="00A37899">
        <w:rPr>
          <w:rFonts w:ascii="Verdana" w:eastAsia="Times New Roman" w:hAnsi="Verdana" w:cs="Arial"/>
          <w:bCs/>
          <w:i/>
          <w:iCs/>
          <w:lang w:eastAsia="es-CO"/>
        </w:rPr>
        <w:t>Proc</w:t>
      </w:r>
      <w:proofErr w:type="spellEnd"/>
      <w:r w:rsidRPr="00A37899">
        <w:rPr>
          <w:rFonts w:ascii="Verdana" w:eastAsia="Times New Roman" w:hAnsi="Verdana" w:cs="Arial"/>
          <w:bCs/>
          <w:i/>
          <w:iCs/>
          <w:lang w:eastAsia="es-CO"/>
        </w:rPr>
        <w:t>.</w:t>
      </w:r>
      <w:r w:rsidRPr="00A37899">
        <w:rPr>
          <w:rFonts w:ascii="Verdana" w:eastAsia="Times New Roman" w:hAnsi="Verdana" w:cs="Arial"/>
          <w:bCs/>
          <w:lang w:eastAsia="es-CO"/>
        </w:rPr>
        <w:t xml:space="preserve"> Realizar los actos procesales propios de un juicio o vista”. Dentro de las dos definiciones, la que se acerca a la expresión “celebrar” en el contexto de la Ley de Garantías Electorales es la primera, esto es, al perfeccionamiento del contrato. </w:t>
      </w:r>
    </w:p>
    <w:p w14:paraId="757BD7D2" w14:textId="3625E5C2" w:rsidR="00A37899" w:rsidRPr="00A37899" w:rsidRDefault="00A37899" w:rsidP="00181C01">
      <w:pPr>
        <w:spacing w:after="120" w:line="276" w:lineRule="auto"/>
        <w:ind w:firstLine="709"/>
        <w:jc w:val="both"/>
        <w:rPr>
          <w:rFonts w:ascii="Verdana" w:eastAsia="Times New Roman" w:hAnsi="Verdana" w:cs="Arial"/>
          <w:bCs/>
          <w:lang w:val="es-ES" w:eastAsia="es-CO"/>
        </w:rPr>
      </w:pPr>
      <w:r w:rsidRPr="00A37899">
        <w:rPr>
          <w:rFonts w:ascii="Verdana" w:eastAsia="Times New Roman" w:hAnsi="Verdana" w:cs="Arial"/>
          <w:bCs/>
          <w:lang w:eastAsia="es-CO"/>
        </w:rPr>
        <w:t xml:space="preserve">En efecto, el concepto de celebración en el marco de la contratación estatal se relaciona con el perfeccionamiento, es decir, con los requisitos para que exista un contrato estatal. Al respecto, se destaca que en entidades sometidas al Estatuto General de Contratación de la Administración Pública </w:t>
      </w:r>
      <w:r w:rsidRPr="00A37899">
        <w:rPr>
          <w:rFonts w:ascii="Verdana" w:eastAsia="Times New Roman" w:hAnsi="Verdana" w:cs="Arial"/>
          <w:bCs/>
          <w:lang w:val="es-ES" w:eastAsia="es-CO"/>
        </w:rPr>
        <w:t>la existencia de los contratos estatales, es decir, la producción de efectos jurídicos</w:t>
      </w:r>
      <w:r w:rsidR="00930C19">
        <w:rPr>
          <w:rFonts w:ascii="Verdana" w:eastAsia="Times New Roman" w:hAnsi="Verdana" w:cs="Arial"/>
          <w:bCs/>
          <w:lang w:val="es-ES" w:eastAsia="es-CO"/>
        </w:rPr>
        <w:t xml:space="preserve"> </w:t>
      </w:r>
      <w:r w:rsidRPr="00A37899">
        <w:rPr>
          <w:rFonts w:ascii="Verdana" w:eastAsia="Times New Roman" w:hAnsi="Verdana" w:cs="Arial"/>
          <w:bCs/>
          <w:lang w:val="es-ES" w:eastAsia="es-CO"/>
        </w:rPr>
        <w:t xml:space="preserve">en los términos del artículo 1501 </w:t>
      </w:r>
      <w:proofErr w:type="spellStart"/>
      <w:r w:rsidRPr="00A37899">
        <w:rPr>
          <w:rFonts w:ascii="Verdana" w:eastAsia="Times New Roman" w:hAnsi="Verdana" w:cs="Arial"/>
          <w:bCs/>
          <w:i/>
          <w:lang w:val="es-ES" w:eastAsia="es-CO"/>
        </w:rPr>
        <w:t>ibídem</w:t>
      </w:r>
      <w:proofErr w:type="spellEnd"/>
      <w:r w:rsidRPr="00A37899">
        <w:rPr>
          <w:rFonts w:ascii="Verdana" w:eastAsia="Times New Roman" w:hAnsi="Verdana" w:cs="Arial"/>
          <w:bCs/>
          <w:lang w:val="es-ES" w:eastAsia="es-CO"/>
        </w:rPr>
        <w:t xml:space="preserve">, depende de la regulación del inciso primero de los artículos 39 y 41 de la Ley 80 de 1993. Por un lado, “Los contratos que celebren las entidades estatales constarán por escrito y no requerirán ser elevados a escritura pública, con excepción de aquellos que impliquen mutación del dominio o imposición de gravámenes y servidumbres sobre bienes inmuebles y, en general, aquellos que conforme a las normas legales vigentes deban cumplir con dicha formalidad”. Por otra parte, “Los contratos del Estado se perfeccionan cuando se logre acuerdo sobre el objeto y la contraprestación y éste se eleve a escrito”. </w:t>
      </w:r>
    </w:p>
    <w:p w14:paraId="2B1388C7" w14:textId="77777777" w:rsidR="00A37899" w:rsidRPr="00A37899" w:rsidRDefault="00A37899" w:rsidP="00930C19">
      <w:pPr>
        <w:spacing w:after="120" w:line="276" w:lineRule="auto"/>
        <w:ind w:firstLine="709"/>
        <w:jc w:val="both"/>
        <w:rPr>
          <w:rFonts w:ascii="Verdana" w:eastAsia="Times New Roman" w:hAnsi="Verdana" w:cs="Arial"/>
          <w:bCs/>
          <w:lang w:val="es-ES" w:eastAsia="es-CO"/>
        </w:rPr>
      </w:pPr>
      <w:r w:rsidRPr="00A37899">
        <w:rPr>
          <w:rFonts w:ascii="Verdana" w:eastAsia="Times New Roman" w:hAnsi="Verdana" w:cs="Arial"/>
          <w:bCs/>
          <w:lang w:val="es-ES" w:eastAsia="es-CO"/>
        </w:rPr>
        <w:t xml:space="preserve">De este modo, esta Agencia precisa que el concepto “celebrar” para efectos de las restricciones en la contratación dispuesta por la Ley de Garantías Electorales se refiere a los requisitos de perfeccionamiento del contrato estatal. Por tanto, no se refiere a los requisitos de ejecución, es decir, aquellas condiciones para iniciar un contrato, como es la aprobación de las garantías o el registro presupuestal, o en algunos casos, la firma del acta de inicio, si así se determinó. </w:t>
      </w:r>
    </w:p>
    <w:p w14:paraId="27730CF1" w14:textId="77777777" w:rsidR="00A37899" w:rsidRDefault="00A37899" w:rsidP="00181C01">
      <w:pPr>
        <w:widowControl w:val="0"/>
        <w:autoSpaceDE w:val="0"/>
        <w:autoSpaceDN w:val="0"/>
        <w:spacing w:after="0" w:line="276" w:lineRule="auto"/>
        <w:ind w:firstLine="709"/>
        <w:contextualSpacing/>
        <w:jc w:val="both"/>
        <w:rPr>
          <w:rFonts w:ascii="Verdana" w:eastAsia="Arial" w:hAnsi="Verdana" w:cs="Arial"/>
          <w:lang w:val="es-ES" w:eastAsia="es-ES" w:bidi="es-ES"/>
        </w:rPr>
      </w:pPr>
      <w:r w:rsidRPr="00A37899">
        <w:rPr>
          <w:rFonts w:ascii="Verdana" w:eastAsia="Arial" w:hAnsi="Verdana" w:cs="Arial"/>
          <w:lang w:val="es-ES" w:eastAsia="es-ES" w:bidi="es-ES"/>
        </w:rPr>
        <w:t>La Sala de Consulta y Servicio Civil del Consejo de Estado ha aclarado la distinción en la aplicación de las prohibiciones de la Ley 996 de 2005, dependiendo del tipo de elección que se trate. Al respecto, considera:</w:t>
      </w:r>
    </w:p>
    <w:p w14:paraId="77C09773" w14:textId="77777777" w:rsidR="00930C19" w:rsidRPr="00A37899" w:rsidRDefault="00930C19" w:rsidP="00181C01">
      <w:pPr>
        <w:widowControl w:val="0"/>
        <w:autoSpaceDE w:val="0"/>
        <w:autoSpaceDN w:val="0"/>
        <w:spacing w:after="0" w:line="276" w:lineRule="auto"/>
        <w:ind w:right="113" w:firstLine="709"/>
        <w:contextualSpacing/>
        <w:jc w:val="both"/>
        <w:rPr>
          <w:rFonts w:ascii="Verdana" w:eastAsia="Arial" w:hAnsi="Verdana" w:cs="Arial"/>
          <w:lang w:val="es-ES" w:eastAsia="es-ES" w:bidi="es-ES"/>
        </w:rPr>
      </w:pPr>
    </w:p>
    <w:p w14:paraId="03C43A71" w14:textId="77777777" w:rsidR="00A37899" w:rsidRPr="00A37899" w:rsidRDefault="00A37899" w:rsidP="00A37899">
      <w:pPr>
        <w:widowControl w:val="0"/>
        <w:autoSpaceDE w:val="0"/>
        <w:autoSpaceDN w:val="0"/>
        <w:spacing w:after="0" w:line="240" w:lineRule="auto"/>
        <w:ind w:left="709" w:right="709"/>
        <w:jc w:val="both"/>
        <w:rPr>
          <w:rFonts w:ascii="Verdana" w:eastAsia="Arial" w:hAnsi="Verdana" w:cs="Arial"/>
          <w:sz w:val="20"/>
          <w:szCs w:val="20"/>
          <w:lang w:eastAsia="es-ES" w:bidi="es-ES"/>
        </w:rPr>
      </w:pPr>
      <w:r w:rsidRPr="00A37899">
        <w:rPr>
          <w:rFonts w:ascii="Verdana" w:eastAsia="Arial" w:hAnsi="Verdana" w:cs="Arial"/>
          <w:sz w:val="20"/>
          <w:szCs w:val="20"/>
          <w:lang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7" w:name="_Hlk76109421"/>
      <w:r w:rsidRPr="00A37899">
        <w:rPr>
          <w:rFonts w:ascii="Verdana" w:eastAsia="Arial" w:hAnsi="Verdana" w:cs="Arial"/>
          <w:sz w:val="20"/>
          <w:szCs w:val="20"/>
          <w:lang w:eastAsia="es-ES" w:bidi="es-ES"/>
        </w:rPr>
        <w:t>se integran parcialmente</w:t>
      </w:r>
      <w:bookmarkEnd w:id="7"/>
      <w:r w:rsidRPr="00A37899">
        <w:rPr>
          <w:rFonts w:ascii="Verdana" w:eastAsia="Arial" w:hAnsi="Verdana" w:cs="Arial"/>
          <w:sz w:val="20"/>
          <w:szCs w:val="20"/>
          <w:lang w:eastAsia="es-ES" w:bidi="es-ES"/>
        </w:rPr>
        <w:t xml:space="preserve">, lo que permite concluir que </w:t>
      </w:r>
      <w:r w:rsidRPr="00A37899">
        <w:rPr>
          <w:rFonts w:ascii="Verdana" w:eastAsia="Arial" w:hAnsi="Verdana" w:cs="Arial"/>
          <w:sz w:val="20"/>
          <w:szCs w:val="20"/>
          <w:lang w:eastAsia="es-ES" w:bidi="es-ES"/>
        </w:rPr>
        <w:lastRenderedPageBreak/>
        <w:t>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A37899">
        <w:rPr>
          <w:rFonts w:ascii="Verdana" w:eastAsia="Arial" w:hAnsi="Verdana" w:cs="Arial"/>
          <w:sz w:val="20"/>
          <w:szCs w:val="20"/>
          <w:vertAlign w:val="superscript"/>
          <w:lang w:eastAsia="es-ES" w:bidi="es-ES"/>
        </w:rPr>
        <w:footnoteReference w:id="9"/>
      </w:r>
    </w:p>
    <w:p w14:paraId="1A02C011" w14:textId="77777777" w:rsidR="00A37899" w:rsidRPr="00A37899" w:rsidRDefault="00A37899" w:rsidP="00A37899">
      <w:pPr>
        <w:widowControl w:val="0"/>
        <w:autoSpaceDE w:val="0"/>
        <w:autoSpaceDN w:val="0"/>
        <w:spacing w:after="0" w:line="240" w:lineRule="auto"/>
        <w:ind w:left="709" w:right="709"/>
        <w:jc w:val="both"/>
        <w:rPr>
          <w:rFonts w:ascii="Verdana" w:eastAsia="Arial" w:hAnsi="Verdana" w:cs="Arial"/>
          <w:lang w:val="es-ES" w:eastAsia="es-ES" w:bidi="es-ES"/>
        </w:rPr>
      </w:pPr>
    </w:p>
    <w:p w14:paraId="768F1CCC" w14:textId="77777777" w:rsidR="00A37899" w:rsidRPr="00A37899" w:rsidRDefault="00A37899" w:rsidP="00A37899">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 xml:space="preserve">De conformidad con lo anterior, </w:t>
      </w:r>
      <w:bookmarkStart w:id="8" w:name="_Hlk77236420"/>
      <w:bookmarkStart w:id="9" w:name="_Hlk78818435"/>
      <w:bookmarkStart w:id="10" w:name="_Hlk75780333"/>
      <w:r w:rsidRPr="00A37899">
        <w:rPr>
          <w:rFonts w:ascii="Verdana" w:eastAsia="Arial" w:hAnsi="Verdana" w:cs="Arial"/>
          <w:lang w:val="es-ES" w:eastAsia="es-ES" w:bidi="es-ES"/>
        </w:rPr>
        <w:t xml:space="preserve">la Ley 996 de 2005 establece dos (2) tipos de restricciones en materia de contratación, las cuales coinciden parcialmente. </w:t>
      </w:r>
      <w:r w:rsidRPr="00A37899">
        <w:rPr>
          <w:rFonts w:ascii="Verdana" w:eastAsia="Arial" w:hAnsi="Verdana" w:cs="Arial"/>
          <w:i/>
          <w:lang w:val="es-ES" w:eastAsia="es-ES" w:bidi="es-ES"/>
        </w:rPr>
        <w:t>En primer lugar</w:t>
      </w:r>
      <w:r w:rsidRPr="00A37899">
        <w:rPr>
          <w:rFonts w:ascii="Verdana" w:eastAsia="Arial" w:hAnsi="Verdana" w:cs="Arial"/>
          <w:lang w:val="es-ES" w:eastAsia="es-ES" w:bidi="es-ES"/>
        </w:rPr>
        <w:t xml:space="preserve">, la del artículo 33 que aplica solo respecto de las elecciones presidenciales, en virtud de la cual queda proscrita la contratación directa dentro de los cuatro (4) meses anteriores a la celebración de los comicios, salvo las citadas excepciones. Sin embargo, si ningún candidato obtiene la mitad más uno de los votos que, de manera secreta y directa, depositen los ciudadanos, se celebrará una nueva votación que tendrá lugar tres (3) semanas más tarde, en la que sólo participarán los dos candidatos que hubieren obtenido las votaciones más altas, de conformidad con el artículo 190 de la Constitución Política. Para estos efectos, la restricción se extenderá hasta la fecha en la que se realice la segunda vuelta. </w:t>
      </w:r>
      <w:r w:rsidRPr="00A37899">
        <w:rPr>
          <w:rFonts w:ascii="Verdana" w:eastAsia="Arial" w:hAnsi="Verdana" w:cs="Arial"/>
          <w:i/>
          <w:lang w:val="es-ES" w:eastAsia="es-ES" w:bidi="es-ES"/>
        </w:rPr>
        <w:t>En segundo lugar</w:t>
      </w:r>
      <w:r w:rsidRPr="00A37899">
        <w:rPr>
          <w:rFonts w:ascii="Verdana" w:eastAsia="Arial" w:hAnsi="Verdana" w:cs="Arial"/>
          <w:lang w:val="es-ES" w:eastAsia="es-ES" w:bidi="es-ES"/>
        </w:rPr>
        <w:t>, también se encuentra la prohibición del parágrafo del artículo 38, el cual debe aplicarse respecto de cualquier tipo de contienda electoral, y que prohíbe la celebración de convenios interadministrativos que impliquen la ejecución de recursos públicos dentro de los cuatro (4) meses anteriores a la respectiva jornada de votaciones.</w:t>
      </w:r>
      <w:bookmarkEnd w:id="8"/>
    </w:p>
    <w:bookmarkEnd w:id="9"/>
    <w:p w14:paraId="6B50A908" w14:textId="77777777" w:rsidR="00A37899" w:rsidRPr="00A37899" w:rsidRDefault="00A37899" w:rsidP="00A37899">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Ambas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10"/>
    <w:p w14:paraId="1071798B" w14:textId="77777777" w:rsidR="00A37899" w:rsidRPr="00A37899" w:rsidRDefault="00A37899" w:rsidP="00A37899">
      <w:pPr>
        <w:spacing w:after="120" w:line="276" w:lineRule="auto"/>
        <w:ind w:firstLine="709"/>
        <w:jc w:val="both"/>
        <w:rPr>
          <w:rFonts w:ascii="Verdana" w:eastAsia="Arial" w:hAnsi="Verdana" w:cs="Arial"/>
          <w:lang w:val="es-ES" w:eastAsia="es-ES" w:bidi="es-ES"/>
        </w:rPr>
      </w:pPr>
      <w:r w:rsidRPr="00A37899">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(6) meses antes de la elección en primera </w:t>
      </w:r>
      <w:r w:rsidRPr="00A37899">
        <w:rPr>
          <w:rFonts w:ascii="Verdana" w:eastAsia="Arial" w:hAnsi="Verdana" w:cs="Arial"/>
          <w:lang w:val="es-ES" w:eastAsia="es-ES" w:bidi="es-ES"/>
        </w:rPr>
        <w:lastRenderedPageBreak/>
        <w:t xml:space="preserve">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reelección presidencial, restablecida por el Acto Legislativo 2 de 2015. Esto excepto para el Vicepresidente que no haya ejercido la presidencia o que la haya ejercido por un tiempo inferior a tres (3) meses durante el respectivo cuatrienio, en forma continua o discontinua, conforme al artículo 197 de la Constitución Política. </w:t>
      </w:r>
    </w:p>
    <w:p w14:paraId="5B93B1AD" w14:textId="66EC26FB" w:rsidR="00EA19FD" w:rsidRDefault="00A37899" w:rsidP="00181C01">
      <w:pPr>
        <w:spacing w:after="120" w:line="276" w:lineRule="auto"/>
        <w:ind w:firstLine="709"/>
        <w:jc w:val="both"/>
        <w:rPr>
          <w:rFonts w:ascii="Verdana" w:eastAsia="Times New Roman" w:hAnsi="Verdana" w:cs="Arial"/>
        </w:rPr>
      </w:pPr>
      <w:r w:rsidRPr="00A37899">
        <w:rPr>
          <w:rFonts w:ascii="Verdana" w:eastAsia="Arial" w:hAnsi="Verdana" w:cs="Arial"/>
          <w:lang w:eastAsia="es-ES" w:bidi="es-ES"/>
        </w:rPr>
        <w:t xml:space="preserve">Ahora bien, </w:t>
      </w:r>
      <w:r w:rsidR="005D4004">
        <w:rPr>
          <w:rFonts w:ascii="Verdana" w:eastAsia="Arial" w:hAnsi="Verdana" w:cs="Arial"/>
          <w:lang w:eastAsia="es-ES" w:bidi="es-ES"/>
        </w:rPr>
        <w:t xml:space="preserve">teniendo en cuenta que su consulta gira en torno a la celebración de contratos de prestación de servicios de apoyo a </w:t>
      </w:r>
      <w:r w:rsidR="00D45D69">
        <w:rPr>
          <w:rFonts w:ascii="Verdana" w:eastAsia="Arial" w:hAnsi="Verdana" w:cs="Arial"/>
          <w:lang w:eastAsia="es-ES" w:bidi="es-ES"/>
        </w:rPr>
        <w:t>la gestión, res</w:t>
      </w:r>
      <w:r w:rsidR="00E344AD">
        <w:rPr>
          <w:rFonts w:ascii="Verdana" w:eastAsia="Arial" w:hAnsi="Verdana" w:cs="Arial"/>
          <w:lang w:eastAsia="es-ES" w:bidi="es-ES"/>
        </w:rPr>
        <w:t>ulta</w:t>
      </w:r>
      <w:r w:rsidR="005D4004">
        <w:rPr>
          <w:rFonts w:ascii="Verdana" w:eastAsia="Arial" w:hAnsi="Verdana" w:cs="Arial"/>
          <w:lang w:eastAsia="es-ES" w:bidi="es-ES"/>
        </w:rPr>
        <w:t xml:space="preserve"> </w:t>
      </w:r>
      <w:r w:rsidRPr="00A37899">
        <w:rPr>
          <w:rFonts w:ascii="Verdana" w:eastAsia="Calibri" w:hAnsi="Verdana" w:cs="Arial"/>
          <w:lang w:eastAsia="es-ES" w:bidi="es-ES"/>
        </w:rPr>
        <w:t xml:space="preserve">necesario precisar el alcance de la prohibición </w:t>
      </w:r>
      <w:r w:rsidRPr="00A37899">
        <w:rPr>
          <w:rFonts w:ascii="Verdana" w:eastAsia="Arial" w:hAnsi="Verdana" w:cs="Arial"/>
          <w:lang w:eastAsia="es-ES" w:bidi="es-ES"/>
        </w:rPr>
        <w:t>establecida en e</w:t>
      </w:r>
      <w:r w:rsidRPr="00A37899">
        <w:rPr>
          <w:rFonts w:ascii="Verdana" w:eastAsia="Calibri" w:hAnsi="Verdana" w:cs="Arial"/>
        </w:rPr>
        <w:t xml:space="preserve">l </w:t>
      </w:r>
      <w:r w:rsidRPr="00A37899">
        <w:rPr>
          <w:rFonts w:ascii="Verdana" w:eastAsia="Times New Roman" w:hAnsi="Verdana" w:cs="Arial"/>
        </w:rPr>
        <w:t xml:space="preserve">artículo 33 de la Ley 996 de 2005. El ámbito material de esta prohibición está delimitado por la expresión </w:t>
      </w:r>
      <w:r w:rsidRPr="00A37899">
        <w:rPr>
          <w:rFonts w:ascii="Verdana" w:eastAsia="Calibri" w:hAnsi="Verdana" w:cs="Arial"/>
          <w:bCs/>
        </w:rPr>
        <w:t>“</w:t>
      </w:r>
      <w:r w:rsidRPr="00A37899">
        <w:rPr>
          <w:rFonts w:ascii="Verdana" w:eastAsia="Times New Roman" w:hAnsi="Verdana" w:cs="Arial"/>
        </w:rPr>
        <w:t>queda prohibida la contratación directa</w:t>
      </w:r>
      <w:r w:rsidRPr="00A37899">
        <w:rPr>
          <w:rFonts w:ascii="Verdana" w:eastAsia="Calibri" w:hAnsi="Verdana" w:cs="Arial"/>
        </w:rPr>
        <w:t>”</w:t>
      </w:r>
      <w:r w:rsidRPr="00A37899">
        <w:rPr>
          <w:rFonts w:ascii="Verdana" w:eastAsia="Times New Roman" w:hAnsi="Verdana" w:cs="Arial"/>
        </w:rPr>
        <w:t xml:space="preserve">. </w:t>
      </w:r>
    </w:p>
    <w:p w14:paraId="6C5070AE" w14:textId="26530FD9" w:rsidR="00A37899" w:rsidRDefault="00A37899" w:rsidP="00930C19">
      <w:pPr>
        <w:spacing w:after="0" w:line="276" w:lineRule="auto"/>
        <w:ind w:firstLine="709"/>
        <w:jc w:val="both"/>
        <w:rPr>
          <w:rFonts w:ascii="Verdana" w:eastAsia="Times New Roman" w:hAnsi="Verdana" w:cs="Arial"/>
          <w:lang w:eastAsia="es-CO"/>
        </w:rPr>
      </w:pPr>
      <w:r w:rsidRPr="00A37899">
        <w:rPr>
          <w:rFonts w:ascii="Verdana" w:eastAsia="Times New Roman" w:hAnsi="Verdana" w:cs="Arial"/>
          <w:lang w:eastAsia="es-CO"/>
        </w:rPr>
        <w:t>A propósito de esta restricción de la Ley de Garantías Electorales, la Sala de Consulta y Servicio Civil del Consejo de Estado ha considerado que:</w:t>
      </w:r>
    </w:p>
    <w:p w14:paraId="286FC9AB" w14:textId="77777777" w:rsidR="00930C19" w:rsidRPr="00A37899" w:rsidRDefault="00930C19" w:rsidP="00181C01">
      <w:pPr>
        <w:spacing w:after="0" w:line="276" w:lineRule="auto"/>
        <w:ind w:firstLine="709"/>
        <w:jc w:val="both"/>
        <w:rPr>
          <w:rFonts w:ascii="Verdana" w:eastAsia="Times New Roman" w:hAnsi="Verdana" w:cs="Arial"/>
          <w:bCs/>
          <w:lang w:eastAsia="es-CO"/>
        </w:rPr>
      </w:pPr>
    </w:p>
    <w:p w14:paraId="64FFC356" w14:textId="77777777" w:rsidR="00A37899" w:rsidRPr="00A37899" w:rsidRDefault="00A37899" w:rsidP="00930C19">
      <w:pPr>
        <w:spacing w:after="0" w:line="240" w:lineRule="auto"/>
        <w:ind w:left="709" w:right="709"/>
        <w:jc w:val="both"/>
        <w:rPr>
          <w:rFonts w:ascii="Verdana" w:eastAsia="Calibri" w:hAnsi="Verdana" w:cs="Arial"/>
          <w:sz w:val="20"/>
          <w:szCs w:val="20"/>
        </w:rPr>
      </w:pPr>
      <w:r w:rsidRPr="00A37899">
        <w:rPr>
          <w:rFonts w:ascii="Verdana" w:eastAsia="Calibri" w:hAnsi="Verdana" w:cs="Arial"/>
          <w:sz w:val="20"/>
          <w:szCs w:val="20"/>
        </w:rPr>
        <w:t xml:space="preserve">“[…] Esta Sala ha entendido </w:t>
      </w:r>
      <w:proofErr w:type="gramStart"/>
      <w:r w:rsidRPr="00A37899">
        <w:rPr>
          <w:rFonts w:ascii="Verdana" w:eastAsia="Calibri" w:hAnsi="Verdana" w:cs="Arial"/>
          <w:sz w:val="20"/>
          <w:szCs w:val="20"/>
        </w:rPr>
        <w:t>que</w:t>
      </w:r>
      <w:proofErr w:type="gramEnd"/>
      <w:r w:rsidRPr="00A37899">
        <w:rPr>
          <w:rFonts w:ascii="Verdana" w:eastAsia="Calibri" w:hAnsi="Verdana" w:cs="Arial"/>
          <w:sz w:val="20"/>
          <w:szCs w:val="20"/>
        </w:rPr>
        <w:t xml:space="preserve"> para los efectos de la ley de garantías, y dada su finalidad, el enunciado “contratación directa”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A37899">
        <w:rPr>
          <w:rFonts w:ascii="Verdana" w:eastAsia="Times New Roman" w:hAnsi="Verdana" w:cs="Arial"/>
          <w:sz w:val="20"/>
          <w:szCs w:val="20"/>
          <w:vertAlign w:val="superscript"/>
        </w:rPr>
        <w:footnoteReference w:id="10"/>
      </w:r>
      <w:r w:rsidRPr="00A37899">
        <w:rPr>
          <w:rFonts w:ascii="Verdana" w:eastAsia="Times New Roman" w:hAnsi="Verdana" w:cs="Arial"/>
          <w:sz w:val="20"/>
          <w:szCs w:val="20"/>
          <w:vertAlign w:val="superscript"/>
        </w:rPr>
        <w:t>.</w:t>
      </w:r>
      <w:r w:rsidRPr="00A37899">
        <w:rPr>
          <w:rFonts w:ascii="Verdana" w:eastAsia="Calibri" w:hAnsi="Verdana" w:cs="Arial"/>
          <w:sz w:val="20"/>
          <w:szCs w:val="20"/>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 (…)”</w:t>
      </w:r>
      <w:r w:rsidRPr="00A37899">
        <w:rPr>
          <w:rFonts w:ascii="Verdana" w:eastAsia="Times New Roman" w:hAnsi="Verdana" w:cs="Arial"/>
          <w:sz w:val="20"/>
          <w:szCs w:val="20"/>
          <w:vertAlign w:val="superscript"/>
          <w:lang w:eastAsia="es-CO"/>
        </w:rPr>
        <w:footnoteReference w:id="11"/>
      </w:r>
      <w:r w:rsidRPr="00A37899">
        <w:rPr>
          <w:rFonts w:ascii="Verdana" w:eastAsia="Calibri" w:hAnsi="Verdana" w:cs="Arial"/>
          <w:sz w:val="20"/>
          <w:szCs w:val="20"/>
        </w:rPr>
        <w:t>.</w:t>
      </w:r>
    </w:p>
    <w:p w14:paraId="42F5AB75" w14:textId="77777777" w:rsidR="00A37899" w:rsidRPr="00A37899" w:rsidRDefault="00A37899" w:rsidP="00181C01">
      <w:pPr>
        <w:spacing w:after="0" w:line="276" w:lineRule="auto"/>
        <w:ind w:firstLine="709"/>
        <w:jc w:val="both"/>
        <w:rPr>
          <w:rFonts w:ascii="Verdana" w:eastAsia="Times New Roman" w:hAnsi="Verdana" w:cs="Arial"/>
          <w:lang w:eastAsia="x-none"/>
        </w:rPr>
      </w:pPr>
    </w:p>
    <w:p w14:paraId="01756041" w14:textId="68905B80" w:rsidR="00A37899" w:rsidRPr="00930C19" w:rsidRDefault="00A37899" w:rsidP="00181C01">
      <w:pPr>
        <w:spacing w:after="120" w:line="276" w:lineRule="auto"/>
        <w:ind w:firstLine="708"/>
        <w:jc w:val="both"/>
        <w:rPr>
          <w:rFonts w:ascii="Verdana" w:eastAsia="Times New Roman" w:hAnsi="Verdana" w:cs="Arial"/>
          <w:bCs/>
          <w:lang w:eastAsia="x-none"/>
        </w:rPr>
      </w:pPr>
      <w:r w:rsidRPr="00930C19">
        <w:rPr>
          <w:rFonts w:ascii="Verdana" w:eastAsia="Times New Roman" w:hAnsi="Verdana" w:cs="Arial"/>
          <w:lang w:eastAsia="x-none"/>
        </w:rPr>
        <w:t xml:space="preserve">De acuerdo con este concepto, la prohibición del artículo 33 de la Ley de Garantías Electorales se refiere a </w:t>
      </w:r>
      <w:r w:rsidRPr="00181C01">
        <w:rPr>
          <w:rFonts w:ascii="Verdana" w:eastAsia="Times New Roman" w:hAnsi="Verdana" w:cs="Arial"/>
          <w:lang w:eastAsia="en-GB"/>
        </w:rPr>
        <w:t>“</w:t>
      </w:r>
      <w:r w:rsidRPr="00930C19">
        <w:rPr>
          <w:rFonts w:ascii="Verdana" w:eastAsia="Times New Roman" w:hAnsi="Verdana" w:cs="Arial"/>
          <w:lang w:eastAsia="x-none"/>
        </w:rPr>
        <w:t>cualquier sistema que no implique convocatoria pública y posibilidad de pluralidad de oferentes</w:t>
      </w:r>
      <w:r w:rsidRPr="00930C19">
        <w:rPr>
          <w:rFonts w:ascii="Verdana" w:eastAsia="Times New Roman" w:hAnsi="Verdana" w:cs="Arial"/>
          <w:lang w:eastAsia="en-GB"/>
        </w:rPr>
        <w:t>”</w:t>
      </w:r>
      <w:r w:rsidRPr="00930C19">
        <w:rPr>
          <w:rFonts w:ascii="Verdana" w:eastAsia="Times New Roman" w:hAnsi="Verdana" w:cs="Arial"/>
          <w:lang w:eastAsia="x-none"/>
        </w:rPr>
        <w:t xml:space="preserve">, por lo que excluye las demás modalidades de contratación previstas en la Ley 1150 de 2007, es decir, la licitación pública, la selección abreviada, el concurso de méritos </w:t>
      </w:r>
      <w:r w:rsidRPr="00930C19">
        <w:rPr>
          <w:rFonts w:ascii="Verdana" w:eastAsia="Times New Roman" w:hAnsi="Verdana" w:cs="Arial"/>
        </w:rPr>
        <w:t xml:space="preserve">y la </w:t>
      </w:r>
      <w:r w:rsidRPr="00930C19">
        <w:rPr>
          <w:rFonts w:ascii="Verdana" w:eastAsia="Times New Roman" w:hAnsi="Verdana" w:cs="Arial"/>
        </w:rPr>
        <w:lastRenderedPageBreak/>
        <w:t>mínima cuantía</w:t>
      </w:r>
      <w:r w:rsidRPr="00930C19" w:rsidDel="00A85D9F">
        <w:rPr>
          <w:rFonts w:ascii="Verdana" w:eastAsia="Times New Roman" w:hAnsi="Verdana" w:cs="Arial"/>
          <w:lang w:eastAsia="x-none"/>
        </w:rPr>
        <w:t xml:space="preserve"> </w:t>
      </w:r>
      <w:r w:rsidRPr="00930C19">
        <w:rPr>
          <w:rFonts w:ascii="Verdana" w:eastAsia="Times New Roman" w:hAnsi="Verdana" w:cs="Arial"/>
        </w:rPr>
        <w:t xml:space="preserve">u otros previstos en normas especiales. </w:t>
      </w:r>
      <w:r w:rsidRPr="00930C19">
        <w:rPr>
          <w:rFonts w:ascii="Verdana" w:eastAsia="Times New Roman" w:hAnsi="Verdana" w:cs="Arial"/>
          <w:lang w:eastAsia="x-none"/>
        </w:rPr>
        <w:t>Esta posición es congruente con la expedición de la Ley 1150 de 2007 que, entre otras reformas, introdujo la selección abreviada, rediseñó el concurso de méritos</w:t>
      </w:r>
      <w:r w:rsidRPr="00930C19">
        <w:rPr>
          <w:rFonts w:ascii="Verdana" w:eastAsia="Times New Roman" w:hAnsi="Verdana" w:cs="Arial"/>
          <w:vertAlign w:val="superscript"/>
          <w:lang w:eastAsia="x-none"/>
        </w:rPr>
        <w:footnoteReference w:id="12"/>
      </w:r>
      <w:r w:rsidRPr="00930C19">
        <w:rPr>
          <w:rFonts w:ascii="Verdana" w:eastAsia="Times New Roman" w:hAnsi="Verdana" w:cs="Arial"/>
          <w:lang w:eastAsia="x-none"/>
        </w:rPr>
        <w:t xml:space="preserve"> y sistematizó</w:t>
      </w:r>
      <w:r w:rsidR="00EA19FD">
        <w:rPr>
          <w:rFonts w:ascii="Verdana" w:eastAsia="Times New Roman" w:hAnsi="Verdana" w:cs="Arial"/>
          <w:lang w:eastAsia="x-none"/>
        </w:rPr>
        <w:t xml:space="preserve"> </w:t>
      </w:r>
      <w:r w:rsidRPr="00930C19">
        <w:rPr>
          <w:rFonts w:ascii="Verdana" w:eastAsia="Times New Roman" w:hAnsi="Verdana" w:cs="Arial"/>
          <w:lang w:eastAsia="x-none"/>
        </w:rPr>
        <w:t>las causales de contratación directa</w:t>
      </w:r>
      <w:r w:rsidRPr="00930C19">
        <w:rPr>
          <w:rFonts w:ascii="Verdana" w:eastAsia="Times New Roman" w:hAnsi="Verdana" w:cs="Arial"/>
          <w:vertAlign w:val="superscript"/>
          <w:lang w:eastAsia="x-none"/>
        </w:rPr>
        <w:footnoteReference w:id="13"/>
      </w:r>
      <w:r w:rsidRPr="00930C19">
        <w:rPr>
          <w:rFonts w:ascii="Verdana" w:eastAsia="Times New Roman" w:hAnsi="Verdana" w:cs="Arial"/>
          <w:lang w:eastAsia="x-none"/>
        </w:rPr>
        <w:t xml:space="preserve">, </w:t>
      </w:r>
      <w:r w:rsidRPr="00930C19">
        <w:rPr>
          <w:rFonts w:ascii="Verdana" w:eastAsia="Calibri" w:hAnsi="Verdana" w:cs="Arial"/>
          <w:lang w:eastAsia="x-none"/>
        </w:rPr>
        <w:t>además lo es con la posterior creación de la modalidad de mínima cuantía establecida actualmente en el numeral 5 del artículo 2 de la Ley 1150 de 2007, de acuerdo con las modificaciones realizadas por leyes posteriores.</w:t>
      </w:r>
    </w:p>
    <w:p w14:paraId="0EFA4747" w14:textId="77777777" w:rsidR="00A37899" w:rsidRPr="00930C19" w:rsidRDefault="00A37899" w:rsidP="00930C19">
      <w:pPr>
        <w:spacing w:after="120" w:line="276" w:lineRule="auto"/>
        <w:ind w:firstLine="708"/>
        <w:jc w:val="both"/>
        <w:rPr>
          <w:rFonts w:ascii="Verdana" w:eastAsia="Times New Roman" w:hAnsi="Verdana" w:cs="Arial"/>
          <w:bCs/>
          <w:lang w:eastAsia="es-CO"/>
        </w:rPr>
      </w:pPr>
      <w:r w:rsidRPr="00930C19">
        <w:rPr>
          <w:rFonts w:ascii="Verdana" w:eastAsia="Times New Roman" w:hAnsi="Verdana" w:cs="Arial"/>
          <w:bCs/>
          <w:lang w:eastAsia="es-CO"/>
        </w:rPr>
        <w:t>Como se advierte de lo anterior, el Consejo de Estado realiza una interpretación amplia de la contratación directa, para efectos de aplicar las restricciones establecidas en la Ley de Garantías Electorales, al señalar que no solo aplica frente a las entidades sometidas al Estatuto general de Contratación de la Administración Pública</w:t>
      </w:r>
      <w:r w:rsidRPr="00930C19">
        <w:rPr>
          <w:rFonts w:ascii="Verdana" w:eastAsia="Times New Roman" w:hAnsi="Verdana" w:cs="Arial"/>
          <w:bCs/>
          <w:i/>
          <w:iCs/>
          <w:lang w:eastAsia="es-CO"/>
        </w:rPr>
        <w:t>, sino también frente a las entidades que tengan un régimen especial de contratación</w:t>
      </w:r>
      <w:r w:rsidRPr="00930C19">
        <w:rPr>
          <w:rFonts w:ascii="Verdana" w:eastAsia="Times New Roman" w:hAnsi="Verdana" w:cs="Arial"/>
          <w:bCs/>
          <w:lang w:eastAsia="es-CO"/>
        </w:rPr>
        <w:t xml:space="preserve">. No obstante, también se observa que luego de la expedición de Ley 1150 de 2007, el Consejo de Estado comenzó a delimitar con mayor precisión el término de “contratación directa”. </w:t>
      </w:r>
      <w:r w:rsidRPr="00930C19">
        <w:rPr>
          <w:rFonts w:ascii="Verdana" w:eastAsia="Times New Roman" w:hAnsi="Verdana" w:cs="Arial"/>
        </w:rPr>
        <w:t>Así, para la prohibición o restricción temporal contenida en su artículo 33, “contratación directa” es cualquier sistema de selección o procedimiento de contratación utilizado por las entidades estatales que no incluya la convocatoria pública en alguna de sus etapas, ni permita la participación de una pluralidad de oferentes</w:t>
      </w:r>
      <w:r w:rsidRPr="00930C19">
        <w:rPr>
          <w:rFonts w:ascii="Verdana" w:eastAsia="Times New Roman" w:hAnsi="Verdana" w:cs="Arial"/>
          <w:vertAlign w:val="superscript"/>
          <w:lang w:eastAsia="x-none"/>
        </w:rPr>
        <w:footnoteReference w:id="14"/>
      </w:r>
      <w:r w:rsidRPr="00930C19">
        <w:rPr>
          <w:rFonts w:ascii="Verdana" w:eastAsia="Times New Roman" w:hAnsi="Verdana" w:cs="Arial"/>
        </w:rPr>
        <w:t>.</w:t>
      </w:r>
      <w:r w:rsidRPr="00930C19">
        <w:rPr>
          <w:rFonts w:ascii="Verdana" w:eastAsia="Times New Roman" w:hAnsi="Verdana" w:cs="Arial"/>
          <w:vertAlign w:val="superscript"/>
          <w:lang w:eastAsia="x-none"/>
        </w:rPr>
        <w:t xml:space="preserve"> </w:t>
      </w:r>
    </w:p>
    <w:p w14:paraId="328D21F9" w14:textId="732D8946" w:rsidR="00A37899" w:rsidRPr="00930C19" w:rsidRDefault="00A37899" w:rsidP="00930C19">
      <w:pPr>
        <w:spacing w:after="120" w:line="276" w:lineRule="auto"/>
        <w:ind w:firstLine="709"/>
        <w:jc w:val="both"/>
        <w:rPr>
          <w:rFonts w:ascii="Verdana" w:eastAsia="Times New Roman" w:hAnsi="Verdana" w:cs="Arial"/>
        </w:rPr>
      </w:pPr>
      <w:r w:rsidRPr="00930C19">
        <w:rPr>
          <w:rFonts w:ascii="Verdana" w:eastAsia="Times New Roman" w:hAnsi="Verdana" w:cs="Arial"/>
        </w:rPr>
        <w:t xml:space="preserve">De lo anterior se desprende que la restricción aplica, sin perjuicio de las excepciones establecidas en la misma ley, para celebrar </w:t>
      </w:r>
      <w:r w:rsidRPr="00930C19">
        <w:rPr>
          <w:rFonts w:ascii="Verdana" w:eastAsia="Times New Roman" w:hAnsi="Verdana" w:cs="Arial"/>
          <w:i/>
          <w:iCs/>
        </w:rPr>
        <w:t>cualquier contrato de forma directa</w:t>
      </w:r>
      <w:r w:rsidRPr="00930C19">
        <w:rPr>
          <w:rFonts w:ascii="Verdana" w:eastAsia="Times New Roman" w:hAnsi="Verdana" w:cs="Arial"/>
        </w:rPr>
        <w:t>, esto es, sin que exista un proceso abierto y competitivo</w:t>
      </w:r>
      <w:r w:rsidR="00EA2515">
        <w:rPr>
          <w:rFonts w:ascii="Verdana" w:eastAsia="Times New Roman" w:hAnsi="Verdana" w:cs="Arial"/>
        </w:rPr>
        <w:t>, como ocurre con los contratos de prestación de servicios de apoyo a la gestión, los cuales de acuerdo con el</w:t>
      </w:r>
      <w:r w:rsidR="00142A71">
        <w:rPr>
          <w:rFonts w:ascii="Verdana" w:eastAsia="Times New Roman" w:hAnsi="Verdana" w:cs="Arial"/>
        </w:rPr>
        <w:t xml:space="preserve"> literal h) del</w:t>
      </w:r>
      <w:r w:rsidR="00EA2515">
        <w:rPr>
          <w:rFonts w:ascii="Verdana" w:eastAsia="Times New Roman" w:hAnsi="Verdana" w:cs="Arial"/>
        </w:rPr>
        <w:t xml:space="preserve"> numeral 4 de la ley 1150 de 2007 se celebran de forma directa</w:t>
      </w:r>
      <w:r w:rsidRPr="00930C19">
        <w:rPr>
          <w:rFonts w:ascii="Verdana" w:eastAsia="Times New Roman" w:hAnsi="Verdana" w:cs="Arial"/>
        </w:rPr>
        <w:t>. Por tanto, no son materia de la prohibición las demás modalidades de selección previstas en la Ley 1150 de 2007, es decir, la licitación pública, el concurso de méritos, la selección abreviada y la mínima cuantía, razón por la cual en ese período preelectoral de que trata la disposición las entidades públicas pueden seguir contratando bajo estos sistemas.</w:t>
      </w:r>
    </w:p>
    <w:p w14:paraId="6B5D0EC1" w14:textId="77777777" w:rsidR="00A37899" w:rsidRPr="00930C19" w:rsidRDefault="00A37899" w:rsidP="00930C19">
      <w:pPr>
        <w:spacing w:after="120" w:line="276" w:lineRule="auto"/>
        <w:ind w:firstLine="709"/>
        <w:jc w:val="both"/>
        <w:rPr>
          <w:rFonts w:ascii="Verdana" w:eastAsia="Times New Roman" w:hAnsi="Verdana" w:cs="Arial"/>
          <w:lang w:val="es-MX" w:eastAsia="x-none"/>
        </w:rPr>
      </w:pPr>
      <w:bookmarkStart w:id="11" w:name="_Hlk77237094"/>
      <w:r w:rsidRPr="00930C19">
        <w:rPr>
          <w:rFonts w:ascii="Verdana" w:eastAsia="Times New Roman" w:hAnsi="Verdana" w:cs="Arial"/>
          <w:lang w:val="es-MX" w:eastAsia="es-CO"/>
        </w:rPr>
        <w:t xml:space="preserve">Como en otras oportunidades lo ha manifestado esta Agencia, las prórrogas, modificaciones o adiciones de los contratos suscritos antes de la </w:t>
      </w:r>
      <w:proofErr w:type="gramStart"/>
      <w:r w:rsidRPr="00930C19">
        <w:rPr>
          <w:rFonts w:ascii="Verdana" w:eastAsia="Times New Roman" w:hAnsi="Verdana" w:cs="Arial"/>
          <w:lang w:val="es-MX" w:eastAsia="es-CO"/>
        </w:rPr>
        <w:lastRenderedPageBreak/>
        <w:t>entrada en vigencia</w:t>
      </w:r>
      <w:proofErr w:type="gramEnd"/>
      <w:r w:rsidRPr="00930C19">
        <w:rPr>
          <w:rFonts w:ascii="Verdana" w:eastAsia="Times New Roman" w:hAnsi="Verdana" w:cs="Arial"/>
          <w:lang w:val="es-MX" w:eastAsia="es-CO"/>
        </w:rPr>
        <w:t xml:space="preserve"> de las prohibiciones anotadas, así como la cesión de </w:t>
      </w:r>
      <w:proofErr w:type="gramStart"/>
      <w:r w:rsidRPr="00930C19">
        <w:rPr>
          <w:rFonts w:ascii="Verdana" w:eastAsia="Times New Roman" w:hAnsi="Verdana" w:cs="Arial"/>
          <w:lang w:val="es-MX" w:eastAsia="es-CO"/>
        </w:rPr>
        <w:t>los mismos</w:t>
      </w:r>
      <w:proofErr w:type="gramEnd"/>
      <w:r w:rsidRPr="00930C19">
        <w:rPr>
          <w:rFonts w:ascii="Verdana" w:eastAsia="Times New Roman" w:hAnsi="Verdana" w:cs="Arial"/>
          <w:lang w:val="es-MX" w:eastAsia="es-CO"/>
        </w:rPr>
        <w:t>, pueden tener lugar en el período de aplicación de la Ley de Garantías, sin que ello haga nugatoria la restricción de la contratación directa y siempre que cumplan los principios de planeación, transparencia y responsabilidad.</w:t>
      </w:r>
      <w:bookmarkEnd w:id="11"/>
    </w:p>
    <w:p w14:paraId="6C0BFAA2" w14:textId="77777777" w:rsidR="00A37899" w:rsidRPr="00A37899" w:rsidRDefault="00A37899" w:rsidP="00142A71">
      <w:pPr>
        <w:spacing w:after="0" w:line="276" w:lineRule="auto"/>
        <w:ind w:firstLine="709"/>
        <w:jc w:val="both"/>
        <w:rPr>
          <w:rFonts w:ascii="Verdana" w:eastAsia="Times New Roman" w:hAnsi="Verdana" w:cs="Arial"/>
        </w:rPr>
      </w:pPr>
      <w:r w:rsidRPr="00A37899">
        <w:rPr>
          <w:rFonts w:ascii="Verdana" w:eastAsia="Times New Roman" w:hAnsi="Verdana" w:cs="Arial"/>
          <w:bCs/>
          <w:lang w:eastAsia="es-CO"/>
        </w:rPr>
        <w:t xml:space="preserve">Con respecto a los </w:t>
      </w:r>
      <w:r w:rsidRPr="00A37899">
        <w:rPr>
          <w:rFonts w:ascii="Verdana" w:eastAsia="Times New Roman" w:hAnsi="Verdana" w:cs="Arial"/>
          <w:bCs/>
          <w:i/>
          <w:iCs/>
          <w:lang w:eastAsia="es-CO"/>
        </w:rPr>
        <w:t>sujetos</w:t>
      </w:r>
      <w:r w:rsidRPr="00A37899">
        <w:rPr>
          <w:rFonts w:ascii="Verdana" w:eastAsia="Times New Roman" w:hAnsi="Verdana" w:cs="Arial"/>
          <w:bCs/>
          <w:lang w:eastAsia="es-CO"/>
        </w:rPr>
        <w:t xml:space="preserve"> que se encuentran enmarcados en la prohibición del artículo 33, </w:t>
      </w:r>
      <w:r w:rsidRPr="00A37899">
        <w:rPr>
          <w:rFonts w:ascii="Verdana" w:eastAsia="Times New Roman" w:hAnsi="Verdana" w:cs="Arial"/>
        </w:rPr>
        <w:t>la Ley 996 de 2005 señala expresamente que son “</w:t>
      </w:r>
      <w:r w:rsidRPr="00A37899">
        <w:rPr>
          <w:rFonts w:ascii="Verdana" w:eastAsia="Times New Roman" w:hAnsi="Verdana" w:cs="Arial"/>
          <w:i/>
          <w:iCs/>
          <w:u w:val="single"/>
        </w:rPr>
        <w:t>todos</w:t>
      </w:r>
      <w:r w:rsidRPr="00A37899">
        <w:rPr>
          <w:rFonts w:ascii="Verdana" w:eastAsia="Times New Roman" w:hAnsi="Verdana" w:cs="Arial"/>
          <w:i/>
          <w:iCs/>
        </w:rPr>
        <w:t xml:space="preserve"> los entes del Estado</w:t>
      </w:r>
      <w:r w:rsidRPr="00A37899">
        <w:rPr>
          <w:rFonts w:ascii="Verdana" w:eastAsia="Times New Roman" w:hAnsi="Verdana" w:cs="Arial"/>
        </w:rPr>
        <w:t>” (énfasis propio). Al respecto la Sala De Consulta y Servicio Civil del Consejo de Estado señaló lo siguiente:</w:t>
      </w:r>
    </w:p>
    <w:p w14:paraId="210BCF27" w14:textId="77777777" w:rsidR="00142A71" w:rsidRPr="00A37899" w:rsidRDefault="00142A71" w:rsidP="00181C01">
      <w:pPr>
        <w:spacing w:after="0" w:line="276" w:lineRule="auto"/>
        <w:ind w:firstLine="709"/>
        <w:jc w:val="both"/>
        <w:rPr>
          <w:rFonts w:ascii="Verdana" w:eastAsia="Times New Roman" w:hAnsi="Verdana" w:cs="Arial"/>
        </w:rPr>
      </w:pPr>
    </w:p>
    <w:p w14:paraId="229B0C78" w14:textId="77777777" w:rsidR="00A37899" w:rsidRDefault="00A37899" w:rsidP="00A37899">
      <w:pPr>
        <w:spacing w:after="0" w:line="240" w:lineRule="auto"/>
        <w:ind w:left="709" w:right="709"/>
        <w:jc w:val="both"/>
        <w:rPr>
          <w:rFonts w:ascii="Verdana" w:eastAsia="Times New Roman" w:hAnsi="Verdana" w:cs="Arial"/>
          <w:sz w:val="20"/>
          <w:szCs w:val="20"/>
          <w:lang w:eastAsia="es-CO"/>
        </w:rPr>
      </w:pPr>
      <w:r w:rsidRPr="00A37899">
        <w:rPr>
          <w:rFonts w:ascii="Verdana" w:eastAsia="Times New Roman" w:hAnsi="Verdana" w:cs="Arial"/>
          <w:bCs/>
          <w:sz w:val="20"/>
          <w:szCs w:val="20"/>
          <w:lang w:eastAsia="es-CO"/>
        </w:rPr>
        <w:t>“El vocablo "todos" que utilizó el legislador, comprende, en consecuencia, sin distinción del "régimen jurídico, forma de organización o naturaleza, su pertenencia a una u otra rama del poder público o su autonomía, a la totalidad de los entes del Estado. Es decir, la prohibición cobija a cualquier ente público que eventualmente pueda a través de la contratación directa romper el equilibrio entre los partidos y los candidatos a las elecciones presidenciales […]”</w:t>
      </w:r>
      <w:r w:rsidRPr="00A37899">
        <w:rPr>
          <w:rFonts w:ascii="Verdana" w:eastAsia="Times New Roman" w:hAnsi="Verdana" w:cs="Arial"/>
          <w:bCs/>
          <w:sz w:val="20"/>
          <w:szCs w:val="20"/>
          <w:vertAlign w:val="superscript"/>
          <w:lang w:eastAsia="es-CO"/>
        </w:rPr>
        <w:footnoteReference w:id="15"/>
      </w:r>
      <w:r w:rsidRPr="00A37899">
        <w:rPr>
          <w:rFonts w:ascii="Verdana" w:eastAsia="Times New Roman" w:hAnsi="Verdana" w:cs="Arial"/>
          <w:bCs/>
          <w:sz w:val="20"/>
          <w:szCs w:val="20"/>
          <w:lang w:eastAsia="es-CO"/>
        </w:rPr>
        <w:t>.</w:t>
      </w:r>
    </w:p>
    <w:p w14:paraId="61BD1B36" w14:textId="77777777" w:rsidR="003B5332" w:rsidRPr="003B5332" w:rsidRDefault="003B5332" w:rsidP="00181C01">
      <w:pPr>
        <w:spacing w:after="0" w:line="276" w:lineRule="auto"/>
        <w:ind w:left="709" w:right="709"/>
        <w:jc w:val="both"/>
        <w:rPr>
          <w:rFonts w:ascii="Verdana" w:eastAsia="Times New Roman" w:hAnsi="Verdana" w:cs="Arial"/>
          <w:bCs/>
          <w:lang w:eastAsia="es-CO"/>
        </w:rPr>
      </w:pPr>
    </w:p>
    <w:p w14:paraId="313A1590" w14:textId="77777777" w:rsidR="00A37899" w:rsidRPr="00A37899" w:rsidRDefault="00A37899" w:rsidP="00181C01">
      <w:pPr>
        <w:spacing w:after="120" w:line="276" w:lineRule="auto"/>
        <w:ind w:firstLine="709"/>
        <w:jc w:val="both"/>
        <w:rPr>
          <w:rFonts w:ascii="Verdana" w:hAnsi="Verdana" w:cs="Arial"/>
          <w:bCs/>
          <w:sz w:val="20"/>
          <w:szCs w:val="20"/>
          <w:lang w:eastAsia="es-CO"/>
        </w:rPr>
      </w:pPr>
      <w:r w:rsidRPr="00A37899">
        <w:rPr>
          <w:rFonts w:ascii="Verdana" w:hAnsi="Verdana" w:cs="Arial"/>
          <w:bCs/>
          <w:lang w:eastAsia="x-none"/>
        </w:rPr>
        <w:t>En consecuencia, el artículo 33 de la Ley 996 de 2005 señala expresamente que los destinatarios de la prohibición son “todos los entes del Estado”, expresión que contempla a los diferentes organismos o entidades autorizadas por la ley para suscribir contratos.</w:t>
      </w:r>
      <w:r w:rsidRPr="00A37899">
        <w:rPr>
          <w:rFonts w:ascii="Verdana" w:hAnsi="Verdana"/>
        </w:rPr>
        <w:t xml:space="preserve"> </w:t>
      </w:r>
      <w:r w:rsidRPr="00A37899">
        <w:rPr>
          <w:rFonts w:ascii="Verdana" w:hAnsi="Verdana" w:cs="Arial"/>
          <w:bCs/>
          <w:lang w:eastAsia="x-none"/>
        </w:rPr>
        <w:t>En efecto, tal como lo ha sostenido el Consejo de Estado, el vocablo “todos” utilizado por el legislador comprende</w:t>
      </w:r>
      <w:r w:rsidRPr="00A37899">
        <w:rPr>
          <w:rFonts w:ascii="Verdana" w:hAnsi="Verdana"/>
        </w:rPr>
        <w:t xml:space="preserve"> </w:t>
      </w:r>
      <w:r w:rsidRPr="00A37899">
        <w:rPr>
          <w:rFonts w:ascii="Verdana" w:hAnsi="Verdana" w:cs="Arial"/>
          <w:bCs/>
          <w:lang w:eastAsia="x-none"/>
        </w:rPr>
        <w:t>a la totalidad de los entes del Estado, sin distinción del régimen jurídico, forma de organización o naturaleza, su pertenencia a una u otra rama del poder público o su autonomía, e incluso si las entidades estatales tienen régimen especial de contratación y están exceptuadas del ámbito de aplicación del Estatuto General de Contratación de la Administración Pública”</w:t>
      </w:r>
      <w:r w:rsidRPr="00A37899">
        <w:rPr>
          <w:rFonts w:ascii="Verdana" w:hAnsi="Verdana" w:cs="Arial"/>
          <w:bCs/>
          <w:sz w:val="20"/>
          <w:szCs w:val="20"/>
          <w:vertAlign w:val="superscript"/>
          <w:lang w:eastAsia="x-none"/>
        </w:rPr>
        <w:footnoteReference w:id="16"/>
      </w:r>
      <w:r w:rsidRPr="00A37899">
        <w:rPr>
          <w:rFonts w:ascii="Verdana" w:hAnsi="Verdana" w:cs="Arial"/>
          <w:bCs/>
          <w:sz w:val="20"/>
          <w:szCs w:val="20"/>
          <w:lang w:eastAsia="x-none"/>
        </w:rPr>
        <w:t>.</w:t>
      </w:r>
    </w:p>
    <w:p w14:paraId="1C59F11C" w14:textId="77777777" w:rsidR="00A37899" w:rsidRPr="00A37899" w:rsidRDefault="00A37899" w:rsidP="00A37899">
      <w:pPr>
        <w:spacing w:after="120" w:line="276" w:lineRule="auto"/>
        <w:ind w:firstLine="709"/>
        <w:jc w:val="both"/>
        <w:rPr>
          <w:rFonts w:ascii="Verdana" w:eastAsia="Arial" w:hAnsi="Verdana" w:cs="Arial"/>
          <w:bCs/>
          <w:color w:val="000000" w:themeColor="text1"/>
        </w:rPr>
      </w:pPr>
      <w:r w:rsidRPr="00A37899">
        <w:rPr>
          <w:rFonts w:ascii="Verdana" w:eastAsia="Arial" w:hAnsi="Verdana" w:cs="Arial"/>
          <w:color w:val="000000" w:themeColor="text1"/>
        </w:rPr>
        <w:t xml:space="preserve">Por lo tanto, la restricción del artículo 33 prevista en la Ley 996 de 2005, teniendo en cuenta la finalidad de la ley de garantías electorales, cobija a cualquier ente público que pueda a través de la contratación directa romper el equilibrio entre los partidos y los candidatos en las elecciones presidenciales. Tampoco existe un supuesto de exoneración a la prohibición por tener un régimen especial de los actos o contratos, pues, la posibilidad de que los entes </w:t>
      </w:r>
      <w:r w:rsidRPr="00A37899">
        <w:rPr>
          <w:rFonts w:ascii="Verdana" w:eastAsia="Arial" w:hAnsi="Verdana" w:cs="Arial"/>
          <w:color w:val="000000" w:themeColor="text1"/>
        </w:rPr>
        <w:lastRenderedPageBreak/>
        <w:t>del Estado utilicen la contratación con fines políticos, esto es, con la intención de influir a los electores y alterar la voluntad popular en las contiendas electorales, se puede presentar tanto en la contratación regulada por la Ley 80 de 1993 como en la regida por el derecho privado o normas especiales.</w:t>
      </w:r>
    </w:p>
    <w:p w14:paraId="418370B3" w14:textId="77777777" w:rsidR="00A37899" w:rsidRPr="00A37899" w:rsidRDefault="00A37899" w:rsidP="00A37899">
      <w:pPr>
        <w:spacing w:before="120" w:after="120" w:line="276" w:lineRule="auto"/>
        <w:ind w:firstLine="709"/>
        <w:jc w:val="both"/>
        <w:rPr>
          <w:rFonts w:ascii="Verdana" w:hAnsi="Verdana" w:cs="Arial"/>
          <w:bCs/>
          <w:color w:val="000000" w:themeColor="text1"/>
        </w:rPr>
      </w:pPr>
      <w:r w:rsidRPr="00A37899">
        <w:rPr>
          <w:rFonts w:ascii="Verdana" w:eastAsia="Arial" w:hAnsi="Verdana" w:cs="Arial"/>
          <w:bCs/>
          <w:color w:val="000000" w:themeColor="text1"/>
        </w:rPr>
        <w:t xml:space="preserve">En este punto, debe tenerse en cuenta que, en principio, todos los entes del Estado están cobijados por la prohibición para contratar directamente establecida en el artículo 33 de la Ley de Garantías Electorales. Sin embargo, es importante reiterar que </w:t>
      </w:r>
      <w:r w:rsidRPr="00A37899">
        <w:rPr>
          <w:rFonts w:ascii="Verdana" w:hAnsi="Verdana" w:cs="Arial"/>
          <w:bCs/>
          <w:color w:val="000000" w:themeColor="text1"/>
        </w:rPr>
        <w:t>el segundo inciso de la misma disposición consagró las excepciones aplicables a la prohibición de contratación directa establecida en el mismo artículo. Como se indicó, las excepciones a la prohibición del artículo 33 de la norma mencionada son las siguientes:</w:t>
      </w:r>
    </w:p>
    <w:p w14:paraId="6A875F56"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t>i) La contratación referente a la defensa y seguridad del Estado;</w:t>
      </w:r>
    </w:p>
    <w:p w14:paraId="66615E0D"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r>
      <w:proofErr w:type="spellStart"/>
      <w:r w:rsidRPr="00A37899">
        <w:rPr>
          <w:rFonts w:ascii="Verdana" w:hAnsi="Verdana" w:cs="Arial"/>
          <w:bCs/>
          <w:color w:val="000000" w:themeColor="text1"/>
        </w:rPr>
        <w:t>ii</w:t>
      </w:r>
      <w:proofErr w:type="spellEnd"/>
      <w:r w:rsidRPr="00A37899">
        <w:rPr>
          <w:rFonts w:ascii="Verdana" w:hAnsi="Verdana" w:cs="Arial"/>
          <w:bCs/>
          <w:color w:val="000000" w:themeColor="text1"/>
        </w:rPr>
        <w:t>) Los contratos de crédito público;</w:t>
      </w:r>
    </w:p>
    <w:p w14:paraId="40620392"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r>
      <w:proofErr w:type="spellStart"/>
      <w:r w:rsidRPr="00A37899">
        <w:rPr>
          <w:rFonts w:ascii="Verdana" w:hAnsi="Verdana" w:cs="Arial"/>
          <w:bCs/>
          <w:color w:val="000000" w:themeColor="text1"/>
        </w:rPr>
        <w:t>iii</w:t>
      </w:r>
      <w:proofErr w:type="spellEnd"/>
      <w:r w:rsidRPr="00A37899">
        <w:rPr>
          <w:rFonts w:ascii="Verdana" w:hAnsi="Verdana" w:cs="Arial"/>
          <w:bCs/>
          <w:color w:val="000000" w:themeColor="text1"/>
        </w:rPr>
        <w:t xml:space="preserve">) Los contratos requeridos para cubrir las emergencias educativas, sanitarias y desastres; </w:t>
      </w:r>
    </w:p>
    <w:p w14:paraId="0B2FD2A2"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r>
      <w:proofErr w:type="spellStart"/>
      <w:r w:rsidRPr="00A37899">
        <w:rPr>
          <w:rFonts w:ascii="Verdana" w:hAnsi="Verdana" w:cs="Arial"/>
          <w:bCs/>
          <w:color w:val="000000" w:themeColor="text1"/>
        </w:rPr>
        <w:t>iv</w:t>
      </w:r>
      <w:proofErr w:type="spellEnd"/>
      <w:r w:rsidRPr="00A37899">
        <w:rPr>
          <w:rFonts w:ascii="Verdana" w:hAnsi="Verdana" w:cs="Arial"/>
          <w:bCs/>
          <w:color w:val="000000" w:themeColor="text1"/>
        </w:rPr>
        <w:t>) La contratación para la reconstrucción de vías, puentes, carreteras, infraestructura energética y de comunicaciones, en caso de que hayan sido objeto de atentados, acciones terroristas, desastres naturales o casos de fuerza mayor y;</w:t>
      </w:r>
    </w:p>
    <w:p w14:paraId="44B0351E" w14:textId="77777777" w:rsidR="00A37899" w:rsidRPr="00A37899" w:rsidRDefault="00A37899" w:rsidP="00A37899">
      <w:pPr>
        <w:tabs>
          <w:tab w:val="left" w:pos="709"/>
        </w:tabs>
        <w:spacing w:before="120" w:line="240" w:lineRule="auto"/>
        <w:jc w:val="both"/>
        <w:rPr>
          <w:rFonts w:ascii="Verdana" w:hAnsi="Verdana" w:cs="Arial"/>
          <w:bCs/>
          <w:color w:val="000000" w:themeColor="text1"/>
        </w:rPr>
      </w:pPr>
      <w:r w:rsidRPr="00A37899">
        <w:rPr>
          <w:rFonts w:ascii="Verdana" w:hAnsi="Verdana" w:cs="Arial"/>
          <w:bCs/>
          <w:color w:val="000000" w:themeColor="text1"/>
        </w:rPr>
        <w:tab/>
        <w:t xml:space="preserve">v) La contratación que deban realizar las entidades sanitarias y hospitalarias. </w:t>
      </w:r>
    </w:p>
    <w:p w14:paraId="36F29671" w14:textId="77777777" w:rsidR="00A37899" w:rsidRPr="00A37899" w:rsidRDefault="00A37899" w:rsidP="00A37899">
      <w:pPr>
        <w:spacing w:before="240" w:after="120" w:line="276" w:lineRule="auto"/>
        <w:ind w:firstLine="709"/>
        <w:jc w:val="both"/>
        <w:rPr>
          <w:rFonts w:ascii="Verdana" w:hAnsi="Verdana" w:cs="Arial"/>
          <w:lang w:eastAsia="x-none"/>
        </w:rPr>
      </w:pPr>
      <w:r w:rsidRPr="00A37899">
        <w:rPr>
          <w:rFonts w:ascii="Verdana" w:hAnsi="Verdana" w:cs="Arial"/>
          <w:lang w:eastAsia="x-none"/>
        </w:rPr>
        <w:t>Como lo anotó la Corte Constitucional, en Sentencia C-1153 de noviembre 11 de 2005, “si bien la limitación garantiza la igualdad de condiciones, también es necesario que tal limitación que pretende la igualdad no termine yendo en detrimento de intereses públicos, cuya garantía está en cabeza del ejecutivo, como son los inmersos en las excepciones para la prohibición de contratación”</w:t>
      </w:r>
      <w:r w:rsidRPr="00A37899">
        <w:rPr>
          <w:rFonts w:ascii="Verdana" w:hAnsi="Verdana" w:cs="Arial"/>
          <w:color w:val="000000" w:themeColor="text1"/>
          <w:vertAlign w:val="superscript"/>
          <w:lang w:eastAsia="es-CO"/>
        </w:rPr>
        <w:footnoteReference w:id="17"/>
      </w:r>
      <w:r w:rsidRPr="00A37899">
        <w:rPr>
          <w:rFonts w:ascii="Verdana" w:hAnsi="Verdana" w:cs="Arial"/>
          <w:lang w:eastAsia="x-none"/>
        </w:rPr>
        <w:t>. De ahí que la Corte haya hecho particular énfasis en que las excepciones a la restricción protegen diversos tipos de urgencias de defensa, salud, educación, infraestructura vial y de servicios públicos y ecológicas, que tienden a no limitar desproporcionadamente la acción del Estado en el cumplimiento de sus fines, en procura de la igualdad entre los candidatos como garantía electoral.</w:t>
      </w:r>
    </w:p>
    <w:p w14:paraId="13823F06" w14:textId="77777777" w:rsidR="00A37899" w:rsidRPr="00A37899" w:rsidRDefault="00A37899" w:rsidP="00263C21">
      <w:pPr>
        <w:tabs>
          <w:tab w:val="left" w:pos="426"/>
        </w:tabs>
        <w:spacing w:before="120" w:after="0" w:line="276" w:lineRule="auto"/>
        <w:ind w:firstLine="709"/>
        <w:jc w:val="both"/>
        <w:rPr>
          <w:rFonts w:ascii="Verdana" w:hAnsi="Verdana" w:cs="Arial"/>
          <w:bCs/>
          <w:color w:val="000000" w:themeColor="text1"/>
        </w:rPr>
      </w:pPr>
      <w:r w:rsidRPr="00A37899">
        <w:rPr>
          <w:rFonts w:ascii="Verdana" w:hAnsi="Verdana" w:cs="Arial"/>
          <w:bCs/>
          <w:color w:val="000000" w:themeColor="text1"/>
        </w:rPr>
        <w:lastRenderedPageBreak/>
        <w:t xml:space="preserve">La Sala de Consulta y Servicio Civil del Consejo de Estado, en concepto del 4 de febrero de 2010, se pronunció frente a las razones por las que el legislador consagró excepciones al artículo 33 de la Ley de Garantías Electorales en los siguientes términos: </w:t>
      </w:r>
    </w:p>
    <w:p w14:paraId="549F0EBF" w14:textId="77777777" w:rsidR="00263C21" w:rsidRPr="00A37899" w:rsidRDefault="00263C21" w:rsidP="00181C01">
      <w:pPr>
        <w:tabs>
          <w:tab w:val="left" w:pos="426"/>
        </w:tabs>
        <w:spacing w:after="0" w:line="276" w:lineRule="auto"/>
        <w:ind w:firstLine="709"/>
        <w:jc w:val="both"/>
        <w:rPr>
          <w:rFonts w:ascii="Verdana" w:hAnsi="Verdana" w:cs="Arial"/>
          <w:bCs/>
          <w:color w:val="000000" w:themeColor="text1"/>
        </w:rPr>
      </w:pPr>
    </w:p>
    <w:p w14:paraId="06B89815" w14:textId="77777777" w:rsidR="00A37899" w:rsidRPr="00A37899" w:rsidRDefault="00A37899" w:rsidP="00A37899">
      <w:pPr>
        <w:shd w:val="clear" w:color="auto" w:fill="FFFFFF"/>
        <w:spacing w:after="0" w:line="240" w:lineRule="auto"/>
        <w:ind w:left="709" w:right="709"/>
        <w:jc w:val="both"/>
        <w:rPr>
          <w:rFonts w:ascii="Verdana" w:hAnsi="Verdana" w:cs="Arial"/>
          <w:color w:val="000000" w:themeColor="text1"/>
          <w:sz w:val="20"/>
          <w:szCs w:val="20"/>
          <w:lang w:eastAsia="es-CO"/>
        </w:rPr>
      </w:pPr>
      <w:r w:rsidRPr="00A37899">
        <w:rPr>
          <w:rFonts w:ascii="Verdana" w:hAnsi="Verdana" w:cs="Arial"/>
          <w:color w:val="000000" w:themeColor="text1"/>
          <w:sz w:val="20"/>
          <w:szCs w:val="20"/>
          <w:lang w:eastAsia="es-CO"/>
        </w:rPr>
        <w:t>“[…] Las excepciones establecidas en los artículos 32 y 33 en comento, guardan relación, exclusivamente, con algunos servicios públicos que por su naturaleza no admiten postergaciones en la atención de sus necesidades de personal, bienes y servicios (...)</w:t>
      </w:r>
      <w:r w:rsidRPr="00A37899">
        <w:rPr>
          <w:rFonts w:ascii="Verdana" w:hAnsi="Verdana" w:cs="Arial"/>
          <w:color w:val="000000" w:themeColor="text1"/>
          <w:sz w:val="20"/>
          <w:szCs w:val="20"/>
          <w:vertAlign w:val="superscript"/>
          <w:lang w:eastAsia="es-CO"/>
        </w:rPr>
        <w:footnoteReference w:id="18"/>
      </w:r>
      <w:r w:rsidRPr="00A37899">
        <w:rPr>
          <w:rFonts w:ascii="Verdana" w:hAnsi="Verdana" w:cs="Arial"/>
          <w:color w:val="000000" w:themeColor="text1"/>
          <w:sz w:val="20"/>
          <w:szCs w:val="20"/>
          <w:lang w:eastAsia="es-CO"/>
        </w:rPr>
        <w:t xml:space="preserve">”. </w:t>
      </w:r>
    </w:p>
    <w:p w14:paraId="72AF1B5E" w14:textId="77777777" w:rsidR="00A37899" w:rsidRPr="00A37899" w:rsidRDefault="00A37899" w:rsidP="00181C01">
      <w:pPr>
        <w:shd w:val="clear" w:color="auto" w:fill="FFFFFF"/>
        <w:spacing w:after="0" w:line="276" w:lineRule="auto"/>
        <w:ind w:firstLine="709"/>
        <w:jc w:val="both"/>
        <w:rPr>
          <w:rFonts w:ascii="Verdana" w:hAnsi="Verdana" w:cs="Arial"/>
          <w:color w:val="000000" w:themeColor="text1"/>
          <w:sz w:val="20"/>
          <w:szCs w:val="20"/>
          <w:lang w:eastAsia="es-CO"/>
        </w:rPr>
      </w:pPr>
    </w:p>
    <w:p w14:paraId="42B9D8C3" w14:textId="0E53713A" w:rsidR="00A37899" w:rsidRPr="00A37899" w:rsidRDefault="00A37899" w:rsidP="00181C01">
      <w:pPr>
        <w:tabs>
          <w:tab w:val="left" w:pos="426"/>
        </w:tabs>
        <w:spacing w:after="0" w:line="276" w:lineRule="auto"/>
        <w:ind w:firstLine="709"/>
        <w:jc w:val="both"/>
        <w:rPr>
          <w:rFonts w:ascii="Verdana" w:hAnsi="Verdana" w:cs="Arial"/>
          <w:color w:val="000000" w:themeColor="text1"/>
        </w:rPr>
      </w:pPr>
      <w:r w:rsidRPr="00A37899">
        <w:rPr>
          <w:rFonts w:ascii="Verdana" w:hAnsi="Verdana" w:cs="Arial"/>
          <w:bCs/>
          <w:color w:val="000000" w:themeColor="text1"/>
        </w:rPr>
        <w:t xml:space="preserve">Por tanto, las excepciones a la prohibición contenida en el inciso segundo de artículo 33 de la </w:t>
      </w:r>
      <w:r w:rsidR="00263C21">
        <w:rPr>
          <w:rFonts w:ascii="Verdana" w:hAnsi="Verdana" w:cs="Arial"/>
          <w:bCs/>
          <w:color w:val="000000" w:themeColor="text1"/>
        </w:rPr>
        <w:t>L</w:t>
      </w:r>
      <w:r w:rsidRPr="00A37899">
        <w:rPr>
          <w:rFonts w:ascii="Verdana" w:hAnsi="Verdana" w:cs="Arial"/>
          <w:bCs/>
          <w:color w:val="000000" w:themeColor="text1"/>
        </w:rPr>
        <w:t xml:space="preserve">ey de </w:t>
      </w:r>
      <w:r w:rsidR="00263C21">
        <w:rPr>
          <w:rFonts w:ascii="Verdana" w:hAnsi="Verdana" w:cs="Arial"/>
          <w:bCs/>
          <w:color w:val="000000" w:themeColor="text1"/>
        </w:rPr>
        <w:t>G</w:t>
      </w:r>
      <w:r w:rsidRPr="00A37899">
        <w:rPr>
          <w:rFonts w:ascii="Verdana" w:hAnsi="Verdana" w:cs="Arial"/>
          <w:bCs/>
          <w:color w:val="000000" w:themeColor="text1"/>
        </w:rPr>
        <w:t xml:space="preserve">arantías </w:t>
      </w:r>
      <w:r w:rsidR="00263C21">
        <w:rPr>
          <w:rFonts w:ascii="Verdana" w:hAnsi="Verdana" w:cs="Arial"/>
          <w:bCs/>
          <w:color w:val="000000" w:themeColor="text1"/>
        </w:rPr>
        <w:t>E</w:t>
      </w:r>
      <w:r w:rsidRPr="00A37899">
        <w:rPr>
          <w:rFonts w:ascii="Verdana" w:hAnsi="Verdana" w:cs="Arial"/>
          <w:bCs/>
          <w:color w:val="000000" w:themeColor="text1"/>
        </w:rPr>
        <w:t>lectorales tienen por finalidad garantizar la realización ininterrumpida de ciertas actividades que, dada su importancia en el orden interno, se verían irrazonablemente afectadas por la restricción. De igual forma, la Sala de Consulta y Servicio Civil del Consejo de Estado, en concepto del 2 de septiembre de 2013</w:t>
      </w:r>
      <w:r w:rsidRPr="00A37899">
        <w:rPr>
          <w:rFonts w:ascii="Verdana" w:hAnsi="Verdana" w:cs="Arial"/>
          <w:color w:val="000000" w:themeColor="text1"/>
        </w:rPr>
        <w:t xml:space="preserve">, mencionó las excepciones a la prohibición del artículo 33 de la Ley de Garantías Electorales, resaltando su carácter taxativo, y señalando la independencia de los supuestos, así: </w:t>
      </w:r>
    </w:p>
    <w:p w14:paraId="6EBD952B" w14:textId="77777777" w:rsidR="00A37899" w:rsidRPr="00A37899" w:rsidRDefault="00A37899" w:rsidP="00A37899">
      <w:pPr>
        <w:tabs>
          <w:tab w:val="left" w:pos="426"/>
        </w:tabs>
        <w:spacing w:after="0" w:line="276" w:lineRule="auto"/>
        <w:ind w:firstLine="709"/>
        <w:jc w:val="both"/>
        <w:rPr>
          <w:rFonts w:ascii="Verdana" w:hAnsi="Verdana" w:cs="Arial"/>
          <w:color w:val="000000" w:themeColor="text1"/>
        </w:rPr>
      </w:pPr>
    </w:p>
    <w:p w14:paraId="7A1074C6" w14:textId="322B7FDC" w:rsidR="00A37899" w:rsidRPr="00A37899" w:rsidRDefault="00A37899" w:rsidP="00181C01">
      <w:pPr>
        <w:tabs>
          <w:tab w:val="left" w:pos="426"/>
        </w:tabs>
        <w:spacing w:after="0" w:line="240" w:lineRule="auto"/>
        <w:ind w:left="709" w:right="709"/>
        <w:jc w:val="both"/>
        <w:rPr>
          <w:rFonts w:ascii="Verdana" w:hAnsi="Verdana" w:cs="Arial"/>
          <w:color w:val="000000" w:themeColor="text1"/>
          <w:sz w:val="20"/>
          <w:szCs w:val="20"/>
        </w:rPr>
      </w:pPr>
      <w:r w:rsidRPr="00181C01">
        <w:rPr>
          <w:rFonts w:ascii="Verdana" w:hAnsi="Verdana" w:cs="Arial"/>
          <w:color w:val="000000" w:themeColor="text1"/>
          <w:sz w:val="20"/>
          <w:szCs w:val="20"/>
        </w:rPr>
        <w:t>“</w:t>
      </w:r>
      <w:r w:rsidRPr="00A37899">
        <w:rPr>
          <w:rFonts w:ascii="Verdana" w:hAnsi="Verdana" w:cs="Arial"/>
          <w:color w:val="000000" w:themeColor="text1"/>
          <w:sz w:val="20"/>
          <w:szCs w:val="20"/>
        </w:rPr>
        <w:t xml:space="preserve">[…] </w:t>
      </w:r>
      <w:r w:rsidRPr="00A37899">
        <w:rPr>
          <w:rFonts w:ascii="Verdana" w:hAnsi="Verdana" w:cs="Arial"/>
          <w:i/>
          <w:color w:val="000000" w:themeColor="text1"/>
          <w:sz w:val="20"/>
          <w:szCs w:val="20"/>
        </w:rPr>
        <w:t>Las excepciones aplicables a la restricción de contratación pública</w:t>
      </w:r>
    </w:p>
    <w:p w14:paraId="645CCE55"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p>
    <w:p w14:paraId="57647D33"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r w:rsidRPr="00A37899">
        <w:rPr>
          <w:rFonts w:ascii="Verdana" w:hAnsi="Verdana" w:cs="Arial"/>
          <w:color w:val="000000" w:themeColor="text1"/>
          <w:sz w:val="20"/>
          <w:szCs w:val="20"/>
          <w:shd w:val="clear" w:color="auto" w:fill="FFFFFF"/>
        </w:rPr>
        <w:t>Ahora bien, las únicas excepciones a las disposiciones previstas en la Ley de Garantías se encuentran numeradas taxativamente en el último inciso del artículo 33 de la ley 996 de 2005, dentro de las que se encuentran:</w:t>
      </w:r>
    </w:p>
    <w:p w14:paraId="45240410"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p>
    <w:p w14:paraId="11BCC14B"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r w:rsidRPr="00A37899">
        <w:rPr>
          <w:rFonts w:ascii="Verdana" w:hAnsi="Verdana" w:cs="Arial"/>
          <w:color w:val="000000" w:themeColor="text1"/>
          <w:sz w:val="20"/>
          <w:szCs w:val="20"/>
          <w:shd w:val="clear" w:color="auto" w:fill="FFFFFF"/>
        </w:rPr>
        <w:t xml:space="preserve">[…] </w:t>
      </w:r>
    </w:p>
    <w:p w14:paraId="115007CE"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p>
    <w:p w14:paraId="46482E18" w14:textId="77777777" w:rsidR="00A37899" w:rsidRPr="00A37899" w:rsidRDefault="00A37899" w:rsidP="00A37899">
      <w:pPr>
        <w:spacing w:after="0" w:line="240" w:lineRule="auto"/>
        <w:ind w:left="709" w:right="709"/>
        <w:jc w:val="both"/>
        <w:rPr>
          <w:rFonts w:ascii="Verdana" w:hAnsi="Verdana" w:cs="Arial"/>
          <w:color w:val="000000" w:themeColor="text1"/>
          <w:sz w:val="20"/>
          <w:szCs w:val="20"/>
          <w:shd w:val="clear" w:color="auto" w:fill="FFFFFF"/>
        </w:rPr>
      </w:pPr>
      <w:r w:rsidRPr="00A37899">
        <w:rPr>
          <w:rFonts w:ascii="Verdana" w:hAnsi="Verdana" w:cs="Arial"/>
          <w:color w:val="000000" w:themeColor="text1"/>
          <w:sz w:val="20"/>
          <w:szCs w:val="20"/>
          <w:shd w:val="clear" w:color="auto" w:fill="FFFFFF"/>
        </w:rPr>
        <w:t>5. Los que deban realizar las entidades sanitarias y hospitalarias (…)”</w:t>
      </w:r>
      <w:r w:rsidRPr="00A37899">
        <w:rPr>
          <w:rFonts w:ascii="Verdana" w:hAnsi="Verdana" w:cs="Arial"/>
          <w:color w:val="000000" w:themeColor="text1"/>
          <w:sz w:val="20"/>
          <w:szCs w:val="20"/>
          <w:shd w:val="clear" w:color="auto" w:fill="FFFFFF"/>
          <w:vertAlign w:val="superscript"/>
        </w:rPr>
        <w:footnoteReference w:id="19"/>
      </w:r>
      <w:r w:rsidRPr="00A37899">
        <w:rPr>
          <w:rFonts w:ascii="Verdana" w:hAnsi="Verdana" w:cs="Arial"/>
          <w:color w:val="000000" w:themeColor="text1"/>
          <w:sz w:val="20"/>
          <w:szCs w:val="20"/>
          <w:shd w:val="clear" w:color="auto" w:fill="FFFFFF"/>
        </w:rPr>
        <w:t>.</w:t>
      </w:r>
    </w:p>
    <w:p w14:paraId="2E644832" w14:textId="77777777" w:rsidR="00A37899" w:rsidRPr="00A37899" w:rsidRDefault="00A37899" w:rsidP="00181C01">
      <w:pPr>
        <w:spacing w:after="0" w:line="276" w:lineRule="auto"/>
        <w:ind w:right="709"/>
        <w:jc w:val="both"/>
        <w:rPr>
          <w:rFonts w:ascii="Verdana" w:hAnsi="Verdana" w:cs="Arial"/>
          <w:color w:val="000000" w:themeColor="text1"/>
          <w:sz w:val="20"/>
          <w:szCs w:val="20"/>
          <w:shd w:val="clear" w:color="auto" w:fill="FFFFFF"/>
        </w:rPr>
      </w:pPr>
    </w:p>
    <w:p w14:paraId="58327B95" w14:textId="43C4375B" w:rsidR="00A37899" w:rsidRPr="00A37899" w:rsidRDefault="00154747" w:rsidP="00181C01">
      <w:pPr>
        <w:tabs>
          <w:tab w:val="left" w:pos="426"/>
        </w:tabs>
        <w:spacing w:after="120" w:line="276" w:lineRule="auto"/>
        <w:ind w:firstLine="425"/>
        <w:jc w:val="both"/>
        <w:rPr>
          <w:rFonts w:ascii="Verdana" w:hAnsi="Verdana" w:cs="Arial"/>
          <w:bCs/>
          <w:color w:val="000000" w:themeColor="text1"/>
        </w:rPr>
      </w:pPr>
      <w:r>
        <w:rPr>
          <w:rFonts w:ascii="Verdana" w:hAnsi="Verdana" w:cs="Arial"/>
          <w:bCs/>
          <w:color w:val="000000" w:themeColor="text1"/>
        </w:rPr>
        <w:tab/>
      </w:r>
      <w:r>
        <w:rPr>
          <w:rFonts w:ascii="Verdana" w:hAnsi="Verdana" w:cs="Arial"/>
          <w:bCs/>
          <w:color w:val="000000" w:themeColor="text1"/>
        </w:rPr>
        <w:tab/>
      </w:r>
      <w:r w:rsidR="00A37899" w:rsidRPr="00A37899">
        <w:rPr>
          <w:rFonts w:ascii="Verdana" w:hAnsi="Verdana" w:cs="Arial"/>
          <w:bCs/>
          <w:color w:val="000000" w:themeColor="text1"/>
        </w:rPr>
        <w:t>Lo anterior implica que las excepciones al artículo 33 en comento deben interpretarse y aplicarse de manera estricta. En otras palabras, no es factible hacer interpretaciones extensivas</w:t>
      </w:r>
      <w:r w:rsidR="00A37899" w:rsidRPr="00A37899">
        <w:rPr>
          <w:rFonts w:ascii="Verdana" w:hAnsi="Verdana" w:cs="Arial"/>
          <w:bCs/>
          <w:i/>
          <w:iCs/>
          <w:color w:val="000000" w:themeColor="text1"/>
        </w:rPr>
        <w:t xml:space="preserve"> </w:t>
      </w:r>
      <w:r w:rsidR="00A37899" w:rsidRPr="00A37899">
        <w:rPr>
          <w:rFonts w:ascii="Verdana" w:hAnsi="Verdana" w:cs="Arial"/>
          <w:bCs/>
          <w:color w:val="000000" w:themeColor="text1"/>
        </w:rPr>
        <w:t xml:space="preserve">para incluir otros supuestos de hecho similares a las circunstancias previstas en dicho artículo, pues el carácter taxativo implica que solo en los eventos consagrados expresamente en la norma permiten que ciertas entidades estatales se vean exceptuadas de la prohibición. </w:t>
      </w:r>
    </w:p>
    <w:p w14:paraId="23BBDFAB" w14:textId="5E0FAA10" w:rsidR="00A37899" w:rsidRPr="00A37899" w:rsidRDefault="00A37899" w:rsidP="00181C01">
      <w:pPr>
        <w:spacing w:after="120" w:line="276" w:lineRule="auto"/>
        <w:ind w:firstLine="708"/>
        <w:jc w:val="both"/>
        <w:rPr>
          <w:rFonts w:ascii="Verdana" w:eastAsia="Arial" w:hAnsi="Verdana" w:cs="Arial"/>
          <w:bCs/>
          <w:color w:val="000000" w:themeColor="text1"/>
          <w:highlight w:val="yellow"/>
        </w:rPr>
      </w:pPr>
      <w:r w:rsidRPr="00A37899">
        <w:rPr>
          <w:rFonts w:ascii="Verdana" w:eastAsia="Arial" w:hAnsi="Verdana" w:cs="Arial"/>
          <w:bCs/>
          <w:color w:val="000000" w:themeColor="text1"/>
        </w:rPr>
        <w:lastRenderedPageBreak/>
        <w:t xml:space="preserve">Por otro lado, </w:t>
      </w:r>
      <w:r w:rsidR="00F7356A">
        <w:rPr>
          <w:rFonts w:ascii="Verdana" w:eastAsia="Arial" w:hAnsi="Verdana" w:cs="Arial"/>
          <w:bCs/>
          <w:color w:val="000000" w:themeColor="text1"/>
        </w:rPr>
        <w:t xml:space="preserve">se encuentra la </w:t>
      </w:r>
      <w:r w:rsidRPr="00A37899">
        <w:rPr>
          <w:rFonts w:ascii="Verdana" w:eastAsia="Arial" w:hAnsi="Verdana" w:cs="Arial"/>
          <w:bCs/>
          <w:color w:val="000000" w:themeColor="text1"/>
        </w:rPr>
        <w:t xml:space="preserve">prohibición establecida en el </w:t>
      </w:r>
      <w:r w:rsidRPr="00A37899">
        <w:rPr>
          <w:rFonts w:ascii="Verdana" w:eastAsia="Arial" w:hAnsi="Verdana" w:cs="Arial"/>
          <w:bCs/>
          <w:i/>
          <w:iCs/>
          <w:color w:val="000000" w:themeColor="text1"/>
        </w:rPr>
        <w:t xml:space="preserve">parágrafo del artículo 38 </w:t>
      </w:r>
      <w:r w:rsidRPr="00A37899">
        <w:rPr>
          <w:rFonts w:ascii="Verdana" w:eastAsia="Calibri" w:hAnsi="Verdana" w:cs="Arial"/>
          <w:bCs/>
        </w:rPr>
        <w:t>de la Ley 996 de 2005</w:t>
      </w:r>
      <w:r w:rsidR="00EC5E61">
        <w:rPr>
          <w:rFonts w:ascii="Verdana" w:eastAsia="Calibri" w:hAnsi="Verdana" w:cs="Arial"/>
          <w:bCs/>
        </w:rPr>
        <w:t xml:space="preserve">, </w:t>
      </w:r>
      <w:r w:rsidR="00F7356A">
        <w:rPr>
          <w:rFonts w:ascii="Verdana" w:eastAsia="Calibri" w:hAnsi="Verdana" w:cs="Arial"/>
          <w:bCs/>
        </w:rPr>
        <w:t>la cual</w:t>
      </w:r>
      <w:r w:rsidRPr="00A37899">
        <w:rPr>
          <w:rFonts w:ascii="Verdana" w:eastAsia="Calibri" w:hAnsi="Verdana" w:cs="Arial"/>
          <w:bCs/>
        </w:rPr>
        <w:t xml:space="preserve"> dispone que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w:t>
      </w:r>
      <w:r w:rsidRPr="00A37899">
        <w:rPr>
          <w:rFonts w:ascii="Verdana" w:hAnsi="Verdana" w:cs="Arial"/>
          <w:bCs/>
          <w:iCs/>
          <w:lang w:eastAsia="x-none"/>
        </w:rPr>
        <w:t xml:space="preserve"> Los convenios interadministrativos que se restringen en el parágrafo del artículo 38 de la Ley 996 de 2005, son únicamente aquellos en que se dispone la ejecución de recursos públicos, para evitar que mediante la suscripción de estos se comprometa el erario con fines políticos o partidistas</w:t>
      </w:r>
      <w:r w:rsidRPr="00A37899">
        <w:rPr>
          <w:rFonts w:ascii="Verdana" w:hAnsi="Verdana" w:cs="Arial"/>
          <w:bCs/>
          <w:iCs/>
          <w:vertAlign w:val="superscript"/>
          <w:lang w:eastAsia="x-none"/>
        </w:rPr>
        <w:footnoteReference w:id="20"/>
      </w:r>
      <w:r w:rsidRPr="00A37899">
        <w:rPr>
          <w:rFonts w:ascii="Verdana" w:hAnsi="Verdana" w:cs="Arial"/>
          <w:bCs/>
          <w:iCs/>
          <w:lang w:eastAsia="x-none"/>
        </w:rPr>
        <w:t>.</w:t>
      </w:r>
      <w:r w:rsidRPr="00A37899">
        <w:rPr>
          <w:rFonts w:ascii="Verdana" w:hAnsi="Verdana" w:cs="Arial"/>
        </w:rPr>
        <w:t xml:space="preserve"> </w:t>
      </w:r>
      <w:bookmarkStart w:id="12" w:name="_Hlk78820161"/>
    </w:p>
    <w:bookmarkEnd w:id="12"/>
    <w:p w14:paraId="3704323B" w14:textId="65EC7D89" w:rsidR="00570E46" w:rsidRPr="00570E46" w:rsidRDefault="00570E46" w:rsidP="003E2503">
      <w:pPr>
        <w:spacing w:after="0" w:line="276" w:lineRule="auto"/>
        <w:ind w:firstLine="709"/>
        <w:jc w:val="both"/>
        <w:rPr>
          <w:rFonts w:ascii="Verdana" w:eastAsia="Calibri" w:hAnsi="Verdana" w:cs="Arial"/>
        </w:rPr>
      </w:pPr>
      <w:r w:rsidRPr="00570E46">
        <w:rPr>
          <w:rFonts w:ascii="Verdana" w:eastAsia="Calibri" w:hAnsi="Verdana" w:cs="Arial"/>
        </w:rPr>
        <w:t>Teniendo en cuenta las restricciones expuestas, y en relación con el problema jurídico consistente en determinar cuál es el alcance de las restricciones contractuales previstas en la Ley de Garantías</w:t>
      </w:r>
      <w:r>
        <w:rPr>
          <w:rFonts w:ascii="Verdana" w:eastAsia="Calibri" w:hAnsi="Verdana" w:cs="Arial"/>
        </w:rPr>
        <w:t xml:space="preserve"> Electorales</w:t>
      </w:r>
      <w:r w:rsidRPr="00570E46">
        <w:rPr>
          <w:rFonts w:ascii="Verdana" w:eastAsia="Calibri" w:hAnsi="Verdana" w:cs="Arial"/>
        </w:rPr>
        <w:t xml:space="preserve"> frente a la necesidad de las </w:t>
      </w:r>
      <w:r w:rsidR="00A146AB" w:rsidRPr="00570E46">
        <w:rPr>
          <w:rFonts w:ascii="Verdana" w:eastAsia="Calibri" w:hAnsi="Verdana" w:cs="Arial"/>
        </w:rPr>
        <w:t xml:space="preserve">Entidades Públicas </w:t>
      </w:r>
      <w:r w:rsidRPr="00570E46">
        <w:rPr>
          <w:rFonts w:ascii="Verdana" w:eastAsia="Calibri" w:hAnsi="Verdana" w:cs="Arial"/>
        </w:rPr>
        <w:t xml:space="preserve">de contratar los apoyos requeridos para asegurar el cumplimiento de sus obligaciones legales y financieras asociadas a la administración de recursos públicos, es necesario precisar que, tal como lo indicó esta Agencia en la Circular Externa 006 de 2025, las </w:t>
      </w:r>
      <w:r w:rsidR="008A1A83" w:rsidRPr="00570E46">
        <w:rPr>
          <w:rFonts w:ascii="Verdana" w:eastAsia="Calibri" w:hAnsi="Verdana" w:cs="Arial"/>
        </w:rPr>
        <w:t xml:space="preserve">Entidades Estatales </w:t>
      </w:r>
      <w:r w:rsidRPr="00570E46">
        <w:rPr>
          <w:rFonts w:ascii="Verdana" w:eastAsia="Calibri" w:hAnsi="Verdana" w:cs="Arial"/>
        </w:rPr>
        <w:t>deben adoptar las medidas de planeación necesarias para garantizar la continuidad de su gestión institucional durante los períodos en que resultan aplicables las restricciones previstas en la Ley 996 de 2005.</w:t>
      </w:r>
      <w:r w:rsidR="003E2503">
        <w:rPr>
          <w:rFonts w:ascii="Verdana" w:eastAsia="Calibri" w:hAnsi="Verdana" w:cs="Arial"/>
        </w:rPr>
        <w:t xml:space="preserve"> </w:t>
      </w:r>
      <w:r w:rsidRPr="00570E46">
        <w:rPr>
          <w:rFonts w:ascii="Verdana" w:eastAsia="Calibri" w:hAnsi="Verdana" w:cs="Arial"/>
        </w:rPr>
        <w:t>En particular, la citada Circular señaló que:</w:t>
      </w:r>
    </w:p>
    <w:p w14:paraId="4A0EA808" w14:textId="77777777" w:rsidR="00074BEA" w:rsidRDefault="00074BEA" w:rsidP="00181C01">
      <w:pPr>
        <w:spacing w:after="0" w:line="276" w:lineRule="auto"/>
        <w:ind w:firstLine="709"/>
        <w:jc w:val="both"/>
        <w:rPr>
          <w:rFonts w:ascii="Verdana" w:eastAsia="Calibri" w:hAnsi="Verdana" w:cs="Arial"/>
        </w:rPr>
      </w:pPr>
    </w:p>
    <w:p w14:paraId="6021A5AF" w14:textId="77777777" w:rsidR="006E62E9" w:rsidRPr="00181C01" w:rsidRDefault="00074BEA" w:rsidP="00181C01">
      <w:pPr>
        <w:spacing w:after="0" w:line="240" w:lineRule="auto"/>
        <w:ind w:left="709" w:right="709"/>
        <w:jc w:val="both"/>
        <w:rPr>
          <w:rFonts w:ascii="Verdana" w:eastAsia="Calibri" w:hAnsi="Verdana" w:cs="Arial"/>
          <w:sz w:val="20"/>
          <w:szCs w:val="20"/>
        </w:rPr>
      </w:pPr>
      <w:r w:rsidRPr="00181C01">
        <w:rPr>
          <w:rFonts w:ascii="Verdana" w:eastAsia="Calibri" w:hAnsi="Verdana" w:cs="Arial"/>
          <w:sz w:val="20"/>
          <w:szCs w:val="20"/>
        </w:rPr>
        <w:t>“Las entidades deberán realizar una adecuada planeación que garantice el cumplimiento de sus funciones durante los periodos en que rigen las restricciones de la Ley de Garantías Electorales. Para lo anterior, deberán tener en cuenta la posibilidad de acudir a procedimientos de selección distintos a la contratación directa (en el caso de la prohibición del artículo 33), o a la suscripción de convenios interadministrativos (con respecto a la prohibición del parágrafo del artículo 38).</w:t>
      </w:r>
    </w:p>
    <w:p w14:paraId="7EAD4759" w14:textId="77777777" w:rsidR="00077626" w:rsidRDefault="00077626" w:rsidP="00181C01">
      <w:pPr>
        <w:spacing w:after="0" w:line="240" w:lineRule="auto"/>
        <w:ind w:left="709" w:right="709"/>
        <w:jc w:val="both"/>
        <w:rPr>
          <w:rFonts w:ascii="Verdana" w:eastAsia="Calibri" w:hAnsi="Verdana" w:cs="Arial"/>
          <w:sz w:val="20"/>
          <w:szCs w:val="20"/>
        </w:rPr>
      </w:pPr>
    </w:p>
    <w:p w14:paraId="26B9C2FB" w14:textId="362D32CE" w:rsidR="00074BEA" w:rsidRDefault="006E62E9" w:rsidP="003E2503">
      <w:pPr>
        <w:spacing w:after="0" w:line="240" w:lineRule="auto"/>
        <w:ind w:left="709" w:right="709"/>
        <w:jc w:val="both"/>
        <w:rPr>
          <w:rFonts w:ascii="Verdana" w:eastAsia="Calibri" w:hAnsi="Verdana" w:cs="Arial"/>
          <w:sz w:val="20"/>
          <w:szCs w:val="20"/>
        </w:rPr>
      </w:pPr>
      <w:r w:rsidRPr="00181C01">
        <w:rPr>
          <w:rFonts w:ascii="Verdana" w:eastAsia="Calibri" w:hAnsi="Verdana" w:cs="Arial"/>
          <w:sz w:val="20"/>
          <w:szCs w:val="20"/>
        </w:rPr>
        <w:t>Adicionalmente, pueden tener en cuenta que la Ley de Garantías Electorales no establece restricciones para las prórrogas, modificaciones o adiciones, y la cesión de los contratos suscritos antes del periodo electoral, siempre que tales</w:t>
      </w:r>
      <w:r w:rsidR="00CB17A8" w:rsidRPr="00181C01">
        <w:rPr>
          <w:rFonts w:ascii="Verdana" w:eastAsia="Calibri" w:hAnsi="Verdana" w:cs="Arial"/>
          <w:sz w:val="20"/>
          <w:szCs w:val="20"/>
        </w:rPr>
        <w:t xml:space="preserve"> prórrogas, modificaciones, adiciones y cesiones cumplan los principios de planeación, transparencia y responsabilidad. En este sentido, las prórrogas, modificaciones o adiciones, y la cesión de los contratos suscritos antes del período de la campaña electoral, pueden realizarse en cualquier tiempo antes o después del comienzo de la </w:t>
      </w:r>
      <w:r w:rsidR="00CB17A8" w:rsidRPr="00181C01">
        <w:rPr>
          <w:rFonts w:ascii="Verdana" w:eastAsia="Calibri" w:hAnsi="Verdana" w:cs="Arial"/>
          <w:sz w:val="20"/>
          <w:szCs w:val="20"/>
        </w:rPr>
        <w:lastRenderedPageBreak/>
        <w:t>aplicación de la Ley de Garantías, siempre y cuando el contrato se encuentre vigente y se observen las demás disposiciones conforme a las cuales deben realizarse dichas actuaciones</w:t>
      </w:r>
      <w:r w:rsidR="00074BEA" w:rsidRPr="00181C01">
        <w:rPr>
          <w:rFonts w:ascii="Verdana" w:eastAsia="Calibri" w:hAnsi="Verdana" w:cs="Arial"/>
          <w:sz w:val="20"/>
          <w:szCs w:val="20"/>
        </w:rPr>
        <w:t>”</w:t>
      </w:r>
      <w:r w:rsidR="00CB17A8" w:rsidRPr="00181C01">
        <w:rPr>
          <w:rStyle w:val="Refdenotaalpie"/>
          <w:rFonts w:ascii="Verdana" w:eastAsia="Calibri" w:hAnsi="Verdana" w:cs="Arial"/>
          <w:sz w:val="20"/>
          <w:szCs w:val="20"/>
        </w:rPr>
        <w:footnoteReference w:id="21"/>
      </w:r>
      <w:r w:rsidR="00D85E64">
        <w:rPr>
          <w:rFonts w:ascii="Verdana" w:eastAsia="Calibri" w:hAnsi="Verdana" w:cs="Arial"/>
          <w:sz w:val="20"/>
          <w:szCs w:val="20"/>
        </w:rPr>
        <w:t>.</w:t>
      </w:r>
    </w:p>
    <w:p w14:paraId="58504744" w14:textId="77777777" w:rsidR="00D85E64" w:rsidRPr="00D85E64" w:rsidRDefault="00D85E64" w:rsidP="00181C01">
      <w:pPr>
        <w:spacing w:after="0" w:line="240" w:lineRule="auto"/>
        <w:ind w:left="709" w:right="709"/>
        <w:jc w:val="both"/>
        <w:rPr>
          <w:rFonts w:ascii="Verdana" w:eastAsia="Calibri" w:hAnsi="Verdana" w:cs="Arial"/>
        </w:rPr>
      </w:pPr>
    </w:p>
    <w:p w14:paraId="7E77AB42" w14:textId="2DF6F94B"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 xml:space="preserve">Así las cosas, las restricciones contractuales previstas en la Ley de Garantías </w:t>
      </w:r>
      <w:r w:rsidR="00D91C90">
        <w:rPr>
          <w:rFonts w:ascii="Verdana" w:eastAsia="Arial" w:hAnsi="Verdana" w:cs="Arial"/>
          <w:lang w:eastAsia="es-ES" w:bidi="es-ES"/>
        </w:rPr>
        <w:t xml:space="preserve">Electorales </w:t>
      </w:r>
      <w:r w:rsidRPr="00B454FE">
        <w:rPr>
          <w:rFonts w:ascii="Verdana" w:eastAsia="Arial" w:hAnsi="Verdana" w:cs="Arial"/>
          <w:lang w:eastAsia="es-ES" w:bidi="es-ES"/>
        </w:rPr>
        <w:t>no pueden entenderse como una suspensión del funcionamiento de la administración pública ni como una circunstancia que exonere a las entidades del cumplimiento de las funciones y obligaciones que les han sido asignadas por el ordenamiento jurídico. Por el contrario, dichas restricciones exigen una actuación diligente y oportuna por parte de las entidades, orientada a garantizar la continuidad de la gestión pública dentro del marco legal aplicable.</w:t>
      </w:r>
    </w:p>
    <w:p w14:paraId="4FF20760" w14:textId="0744E440"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 xml:space="preserve">En este sentido, en aplicación del principio de planeación que rige la actividad contractual, las </w:t>
      </w:r>
      <w:r w:rsidR="00BF6C0B" w:rsidRPr="00B454FE">
        <w:rPr>
          <w:rFonts w:ascii="Verdana" w:eastAsia="Arial" w:hAnsi="Verdana" w:cs="Arial"/>
          <w:lang w:eastAsia="es-ES" w:bidi="es-ES"/>
        </w:rPr>
        <w:t xml:space="preserve">Entidades Estatales </w:t>
      </w:r>
      <w:r w:rsidRPr="00B454FE">
        <w:rPr>
          <w:rFonts w:ascii="Verdana" w:eastAsia="Arial" w:hAnsi="Verdana" w:cs="Arial"/>
          <w:lang w:eastAsia="es-ES" w:bidi="es-ES"/>
        </w:rPr>
        <w:t>debieron adoptar, con anterioridad al inicio de los períodos de restricción, las medidas necesarias para asegurar la atención de sus necesidades y el cumplimiento de sus funciones. Lo anterior comprende, entre otros aspectos, la identificación temprana de requerimientos institucionales, la elaboración de los correspondientes estudios y documentos previos, la definición de las estrategias contractuales pertinentes y la inclusión de las necesidades identificadas en el Plan Anual de Adquisiciones.</w:t>
      </w:r>
    </w:p>
    <w:p w14:paraId="1311C638" w14:textId="77777777"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De igual manera, resultaba procedente prever mecanismos que permitieran atender necesidades institucionales permanentes o previsibles durante la vigencia de las restricciones, utilizando las herramientas contractuales y administrativas permitidas por el ordenamiento jurídico. Lo anterior cobra especial relevancia considerando que la Ley de Garantías limita el recurso a la contratación directa, sin que ello implique la prohibición de las demás modalidades de selección previstas en el Sistema de Compra Pública.</w:t>
      </w:r>
    </w:p>
    <w:p w14:paraId="2BEE0BBE" w14:textId="53A78DCC"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Bajo estas consideraciones, la eventual dificultad para contratar determinados apoyos profesionales durante el período de restricción no puede atribuirse, de manera automática, a la sola existencia de la Ley de Garantías</w:t>
      </w:r>
      <w:r w:rsidR="0081014D">
        <w:rPr>
          <w:rFonts w:ascii="Verdana" w:eastAsia="Arial" w:hAnsi="Verdana" w:cs="Arial"/>
          <w:lang w:eastAsia="es-ES" w:bidi="es-ES"/>
        </w:rPr>
        <w:t xml:space="preserve"> Electorales</w:t>
      </w:r>
      <w:r w:rsidRPr="00B454FE">
        <w:rPr>
          <w:rFonts w:ascii="Verdana" w:eastAsia="Arial" w:hAnsi="Verdana" w:cs="Arial"/>
          <w:lang w:eastAsia="es-ES" w:bidi="es-ES"/>
        </w:rPr>
        <w:t>. En cada caso será necesario analizar si la necesidad era previsible, si la entidad adoptó las medidas de planeación pertinentes y si existían mecanismos jurídicos disponibles para garantizar el cumplimiento de las obligaciones a su cargo.</w:t>
      </w:r>
    </w:p>
    <w:p w14:paraId="664530BE" w14:textId="77777777"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lastRenderedPageBreak/>
        <w:t>Por lo demás, en aquellos eventos en que las necesidades institucionales no hubieren sido oportunamente atendidas mediante los instrumentos de planeación y gestión contractual correspondientes, las entidades deberán evaluar las alternativas legalmente disponibles para garantizar la continuidad de sus funciones y el cumplimiento de sus obligaciones, dentro del marco normativo aplicable.</w:t>
      </w:r>
    </w:p>
    <w:p w14:paraId="076BD61F" w14:textId="77777777" w:rsidR="00B454FE" w:rsidRPr="00B454FE" w:rsidRDefault="00B454FE" w:rsidP="00181C01">
      <w:pPr>
        <w:spacing w:after="120" w:line="276" w:lineRule="auto"/>
        <w:ind w:firstLine="708"/>
        <w:jc w:val="both"/>
        <w:rPr>
          <w:rFonts w:ascii="Verdana" w:eastAsia="Arial" w:hAnsi="Verdana" w:cs="Arial"/>
          <w:lang w:eastAsia="es-ES" w:bidi="es-ES"/>
        </w:rPr>
      </w:pPr>
      <w:r w:rsidRPr="00B454FE">
        <w:rPr>
          <w:rFonts w:ascii="Verdana" w:eastAsia="Arial" w:hAnsi="Verdana" w:cs="Arial"/>
          <w:lang w:eastAsia="es-ES" w:bidi="es-ES"/>
        </w:rPr>
        <w:t>Finalmente, debe resaltarse que, aun durante la vigencia de la Ley de Garantías, las entidades estatales mantienen la posibilidad de acudir a las modalidades de selección competitivas previstas en la normativa de contratación pública, las cuales no se encuentran prohibidas por dicha ley. En consecuencia, la gestión contractual de las entidades puede continuar desarrollándose mediante mecanismos que garanticen la libre concurrencia, la selección objetiva, la transparencia y la igualdad de oportunidades, asegurando de esta manera el cumplimiento de los fines estatales y la adecuada administración de los recursos públicos.</w:t>
      </w:r>
    </w:p>
    <w:p w14:paraId="2C3CA653" w14:textId="77777777" w:rsidR="00A37899" w:rsidRPr="00A37899" w:rsidRDefault="00A37899" w:rsidP="00181C01">
      <w:pPr>
        <w:spacing w:after="120" w:line="276" w:lineRule="auto"/>
        <w:ind w:firstLine="708"/>
        <w:jc w:val="both"/>
        <w:rPr>
          <w:rFonts w:ascii="Verdana" w:hAnsi="Verdana" w:cs="Arial"/>
          <w:bCs/>
          <w:color w:val="000000" w:themeColor="text1"/>
        </w:rPr>
      </w:pPr>
      <w:r w:rsidRPr="00A37899">
        <w:rPr>
          <w:rFonts w:ascii="Verdana"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DC5791F" w14:textId="7260AFEF" w:rsidR="00A37899" w:rsidRDefault="00A37899" w:rsidP="00181C01">
      <w:pPr>
        <w:spacing w:after="0" w:line="276" w:lineRule="auto"/>
        <w:ind w:firstLine="708"/>
        <w:jc w:val="both"/>
        <w:rPr>
          <w:rFonts w:ascii="Verdana" w:hAnsi="Verdana" w:cs="Arial"/>
          <w:color w:val="000000" w:themeColor="text1"/>
          <w:lang w:bidi="es-ES"/>
        </w:rPr>
      </w:pPr>
      <w:r w:rsidRPr="00A37899">
        <w:rPr>
          <w:rFonts w:ascii="Verdana"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116B5609" w14:textId="77777777" w:rsidR="0027452C" w:rsidRPr="0027452C" w:rsidRDefault="0027452C" w:rsidP="00181C01">
      <w:pPr>
        <w:spacing w:after="0" w:line="276" w:lineRule="auto"/>
        <w:ind w:firstLine="425"/>
        <w:jc w:val="both"/>
        <w:rPr>
          <w:rFonts w:ascii="Verdana" w:eastAsia="Arial" w:hAnsi="Verdana" w:cs="Arial"/>
          <w:lang w:val="es-ES" w:eastAsia="es-ES" w:bidi="es-ES"/>
        </w:rPr>
      </w:pPr>
    </w:p>
    <w:p w14:paraId="0BC4723B" w14:textId="33383F67" w:rsidR="00A37899" w:rsidRPr="00181C01" w:rsidRDefault="00A37899" w:rsidP="00A37899">
      <w:pPr>
        <w:widowControl w:val="0"/>
        <w:numPr>
          <w:ilvl w:val="0"/>
          <w:numId w:val="16"/>
        </w:numPr>
        <w:tabs>
          <w:tab w:val="left" w:pos="142"/>
          <w:tab w:val="left" w:pos="284"/>
        </w:tabs>
        <w:autoSpaceDE w:val="0"/>
        <w:autoSpaceDN w:val="0"/>
        <w:spacing w:after="0" w:line="276" w:lineRule="auto"/>
        <w:jc w:val="both"/>
        <w:rPr>
          <w:rFonts w:ascii="Verdana" w:hAnsi="Verdana" w:cs="Arial"/>
          <w:b/>
          <w:lang w:val="es-ES"/>
        </w:rPr>
      </w:pPr>
      <w:r w:rsidRPr="00A37899">
        <w:rPr>
          <w:rFonts w:ascii="Verdana" w:eastAsia="Century Gothic" w:hAnsi="Verdana" w:cs="Century Gothic"/>
          <w:b/>
          <w:bCs/>
          <w:lang w:val="es-ES"/>
        </w:rPr>
        <w:t>Referencias normativas, jurisprudenciales y otras fuentes</w:t>
      </w:r>
      <w:r w:rsidR="0027452C" w:rsidRPr="0027452C">
        <w:rPr>
          <w:rFonts w:ascii="Verdana" w:eastAsia="Century Gothic" w:hAnsi="Verdana" w:cs="Century Gothic"/>
          <w:b/>
          <w:bCs/>
          <w:lang w:val="es-ES"/>
        </w:rPr>
        <w:t xml:space="preserve">: </w:t>
      </w:r>
    </w:p>
    <w:p w14:paraId="5E292518" w14:textId="77777777" w:rsidR="0027452C" w:rsidRPr="0027452C" w:rsidRDefault="0027452C" w:rsidP="00181C01">
      <w:pPr>
        <w:widowControl w:val="0"/>
        <w:tabs>
          <w:tab w:val="left" w:pos="142"/>
          <w:tab w:val="left" w:pos="284"/>
        </w:tabs>
        <w:autoSpaceDE w:val="0"/>
        <w:autoSpaceDN w:val="0"/>
        <w:spacing w:after="0" w:line="276" w:lineRule="auto"/>
        <w:ind w:left="1080"/>
        <w:jc w:val="both"/>
        <w:rPr>
          <w:rFonts w:ascii="Verdana" w:hAnsi="Verdana" w:cs="Arial"/>
          <w:lang w:val="es-E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37899" w:rsidRPr="00A37899" w14:paraId="50566E5D" w14:textId="77777777" w:rsidTr="00C24A75">
        <w:trPr>
          <w:trHeight w:val="477"/>
          <w:jc w:val="center"/>
        </w:trPr>
        <w:tc>
          <w:tcPr>
            <w:tcW w:w="8647" w:type="dxa"/>
          </w:tcPr>
          <w:p w14:paraId="0A5EFE5B" w14:textId="77777777" w:rsidR="00A37899" w:rsidRPr="00A37899" w:rsidRDefault="00A37899" w:rsidP="00181C01">
            <w:pPr>
              <w:widowControl w:val="0"/>
              <w:numPr>
                <w:ilvl w:val="0"/>
                <w:numId w:val="17"/>
              </w:numPr>
              <w:autoSpaceDE w:val="0"/>
              <w:autoSpaceDN w:val="0"/>
              <w:spacing w:line="276" w:lineRule="auto"/>
              <w:jc w:val="both"/>
              <w:rPr>
                <w:rFonts w:ascii="Verdana" w:eastAsia="Arial MT" w:hAnsi="Verdana" w:cs="Arial"/>
                <w:lang w:val="es-ES" w:eastAsia="es-ES" w:bidi="es-ES"/>
              </w:rPr>
            </w:pPr>
            <w:r w:rsidRPr="00A37899">
              <w:rPr>
                <w:rFonts w:ascii="Verdana" w:eastAsia="Arial MT" w:hAnsi="Verdana" w:cs="Arial"/>
                <w:lang w:val="es-ES" w:eastAsia="es-ES" w:bidi="es-ES"/>
              </w:rPr>
              <w:t>Constitución Política, artículo 127.</w:t>
            </w:r>
          </w:p>
          <w:p w14:paraId="79509005" w14:textId="77777777" w:rsidR="00A37899" w:rsidRPr="00A37899" w:rsidRDefault="00A37899" w:rsidP="00181C01">
            <w:pPr>
              <w:widowControl w:val="0"/>
              <w:numPr>
                <w:ilvl w:val="0"/>
                <w:numId w:val="17"/>
              </w:numPr>
              <w:autoSpaceDE w:val="0"/>
              <w:autoSpaceDN w:val="0"/>
              <w:spacing w:line="276" w:lineRule="auto"/>
              <w:jc w:val="both"/>
              <w:rPr>
                <w:rFonts w:ascii="Verdana" w:eastAsia="Arial MT" w:hAnsi="Verdana" w:cs="Arial"/>
                <w:lang w:val="es-ES" w:eastAsia="es-ES" w:bidi="es-ES"/>
              </w:rPr>
            </w:pPr>
            <w:r w:rsidRPr="00A37899">
              <w:rPr>
                <w:rFonts w:ascii="Verdana" w:eastAsia="Arial MT" w:hAnsi="Verdana" w:cs="Arial"/>
                <w:bCs/>
                <w:lang w:val="es-ES" w:eastAsia="es-ES" w:bidi="es-ES"/>
              </w:rPr>
              <w:t>Ley 996 de 2005, artículos 33 y 38.</w:t>
            </w:r>
          </w:p>
          <w:p w14:paraId="22B1FB0A" w14:textId="77777777" w:rsidR="00A37899" w:rsidRPr="00A37899" w:rsidRDefault="00A37899" w:rsidP="00181C01">
            <w:pPr>
              <w:widowControl w:val="0"/>
              <w:numPr>
                <w:ilvl w:val="0"/>
                <w:numId w:val="17"/>
              </w:numPr>
              <w:autoSpaceDE w:val="0"/>
              <w:autoSpaceDN w:val="0"/>
              <w:spacing w:line="276" w:lineRule="auto"/>
              <w:jc w:val="both"/>
              <w:rPr>
                <w:rFonts w:ascii="Verdana" w:eastAsia="Arial MT" w:hAnsi="Verdana" w:cs="Arial"/>
                <w:lang w:val="es-ES" w:eastAsia="es-ES" w:bidi="es-ES"/>
              </w:rPr>
            </w:pPr>
            <w:r w:rsidRPr="00A37899">
              <w:rPr>
                <w:rFonts w:ascii="Verdana" w:hAnsi="Verdana" w:cs="Arial"/>
                <w:bCs/>
                <w:color w:val="000000" w:themeColor="text1"/>
                <w:lang w:val="es-ES"/>
              </w:rPr>
              <w:t>Decreto 1068 de 2015, artículo 2.2.1.1.1.</w:t>
            </w:r>
          </w:p>
          <w:p w14:paraId="20F885C7"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hAnsi="Verdana" w:cs="Arial"/>
                <w:lang w:val="pt-BR"/>
              </w:rPr>
              <w:t>Corte Constitucional. Sentencia C-671 de 2015. M.P. Alberto Rojas Ríos.</w:t>
            </w:r>
          </w:p>
          <w:p w14:paraId="7930E048"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hAnsi="Verdana" w:cs="Arial"/>
                <w:lang w:val="es-ES"/>
              </w:rPr>
              <w:t xml:space="preserve">Consejo de Estado, Sección Primera. Sentencia de 3 de marzo de 2005, </w:t>
            </w:r>
            <w:proofErr w:type="spellStart"/>
            <w:r w:rsidRPr="00A37899">
              <w:rPr>
                <w:rFonts w:ascii="Verdana" w:hAnsi="Verdana" w:cs="Arial"/>
                <w:lang w:val="es-ES"/>
              </w:rPr>
              <w:t>Exp</w:t>
            </w:r>
            <w:proofErr w:type="spellEnd"/>
            <w:r w:rsidRPr="00A37899">
              <w:rPr>
                <w:rFonts w:ascii="Verdana" w:hAnsi="Verdana" w:cs="Arial"/>
                <w:lang w:val="es-ES"/>
              </w:rPr>
              <w:t xml:space="preserve">. 2004-00823-01(PI). </w:t>
            </w:r>
          </w:p>
          <w:p w14:paraId="631924D0"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Consejo de Estado. Sala de Consulta y Servicio Civil. Concepto del 15 de noviembre de 2007. Expediente número 1863. Consejero Ponente: Luis Fernando Álvarez Jaramillo</w:t>
            </w:r>
          </w:p>
          <w:p w14:paraId="56A626BD"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hAnsi="Verdana" w:cs="Arial"/>
                <w:lang w:val="es-ES"/>
              </w:rPr>
              <w:t xml:space="preserve">Consejo de Estado, Sala de Consulta y Servicio Civil, Concepto de fecha 24 de julio de 2013, Rad. 2166, C. P. Álvaro Namén Vargas. </w:t>
            </w:r>
          </w:p>
          <w:p w14:paraId="3F28FF12"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 xml:space="preserve">Consejo de Estado. Sala de Consulta y Servicio Civil. Concepto del 2 de septiembre de 2013 Radicado No: 2168. CP: </w:t>
            </w:r>
            <w:proofErr w:type="spellStart"/>
            <w:r w:rsidRPr="00A37899">
              <w:rPr>
                <w:rFonts w:ascii="Verdana" w:hAnsi="Verdana" w:cs="Arial"/>
                <w:lang w:val="es-ES"/>
              </w:rPr>
              <w:t>Alvaro</w:t>
            </w:r>
            <w:proofErr w:type="spellEnd"/>
            <w:r w:rsidRPr="00A37899">
              <w:rPr>
                <w:rFonts w:ascii="Verdana" w:hAnsi="Verdana" w:cs="Arial"/>
                <w:lang w:val="es-ES"/>
              </w:rPr>
              <w:t xml:space="preserve"> Namén Vargas.</w:t>
            </w:r>
          </w:p>
          <w:p w14:paraId="22CE2A49"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Consejo de Estado. Sala de Consulta y Servicio Civil. Concepto del 17 de febrero de 2015. C.P. William Zambrano Cetina. Radicación No. 11001-03-06-000-2015-00164-00(2269).</w:t>
            </w:r>
          </w:p>
          <w:p w14:paraId="5A38F6B4" w14:textId="77777777" w:rsidR="00A37899" w:rsidRPr="00A37899" w:rsidRDefault="00A37899" w:rsidP="00181C01">
            <w:pPr>
              <w:numPr>
                <w:ilvl w:val="0"/>
                <w:numId w:val="17"/>
              </w:numPr>
              <w:spacing w:line="276" w:lineRule="auto"/>
              <w:jc w:val="both"/>
              <w:rPr>
                <w:rFonts w:ascii="Verdana" w:hAnsi="Verdana" w:cs="Arial"/>
                <w:lang w:val="es-ES"/>
              </w:rPr>
            </w:pPr>
            <w:r w:rsidRPr="00A37899">
              <w:rPr>
                <w:rFonts w:ascii="Verdana" w:hAnsi="Verdana" w:cs="Arial"/>
                <w:lang w:val="es-ES"/>
              </w:rPr>
              <w:t>Consejo de Estado, Sala de Consulta y Servicio Civil, Concepto de fecha 8 de mayo de 2018, No. 2382. C. P. Álvaro Namén Vargas.</w:t>
            </w:r>
          </w:p>
          <w:p w14:paraId="565D3C78"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proofErr w:type="spellStart"/>
            <w:r w:rsidRPr="00A37899">
              <w:rPr>
                <w:rFonts w:ascii="Verdana" w:hAnsi="Verdana" w:cs="Arial"/>
                <w:lang w:val="pt-BR"/>
              </w:rPr>
              <w:t>Consejo</w:t>
            </w:r>
            <w:proofErr w:type="spellEnd"/>
            <w:r w:rsidRPr="00A37899">
              <w:rPr>
                <w:rFonts w:ascii="Verdana" w:hAnsi="Verdana" w:cs="Arial"/>
                <w:lang w:val="pt-BR"/>
              </w:rPr>
              <w:t xml:space="preserve"> de Estado, </w:t>
            </w:r>
            <w:proofErr w:type="spellStart"/>
            <w:r w:rsidRPr="00A37899">
              <w:rPr>
                <w:rFonts w:ascii="Verdana" w:hAnsi="Verdana" w:cs="Arial"/>
                <w:lang w:val="pt-BR"/>
              </w:rPr>
              <w:t>Sección</w:t>
            </w:r>
            <w:proofErr w:type="spellEnd"/>
            <w:r w:rsidRPr="00A37899">
              <w:rPr>
                <w:rFonts w:ascii="Verdana" w:hAnsi="Verdana" w:cs="Arial"/>
                <w:lang w:val="pt-BR"/>
              </w:rPr>
              <w:t xml:space="preserve"> Tercera. Auto </w:t>
            </w:r>
            <w:proofErr w:type="spellStart"/>
            <w:r w:rsidRPr="00A37899">
              <w:rPr>
                <w:rFonts w:ascii="Verdana" w:hAnsi="Verdana" w:cs="Arial"/>
                <w:lang w:val="pt-BR"/>
              </w:rPr>
              <w:t>del</w:t>
            </w:r>
            <w:proofErr w:type="spellEnd"/>
            <w:r w:rsidRPr="00A37899">
              <w:rPr>
                <w:rFonts w:ascii="Verdana" w:hAnsi="Verdana" w:cs="Arial"/>
                <w:lang w:val="pt-BR"/>
              </w:rPr>
              <w:t xml:space="preserve"> 4 de </w:t>
            </w:r>
            <w:proofErr w:type="spellStart"/>
            <w:r w:rsidRPr="00A37899">
              <w:rPr>
                <w:rFonts w:ascii="Verdana" w:hAnsi="Verdana" w:cs="Arial"/>
                <w:lang w:val="pt-BR"/>
              </w:rPr>
              <w:t>octubre</w:t>
            </w:r>
            <w:proofErr w:type="spellEnd"/>
            <w:r w:rsidRPr="00A37899">
              <w:rPr>
                <w:rFonts w:ascii="Verdana" w:hAnsi="Verdana" w:cs="Arial"/>
                <w:lang w:val="pt-BR"/>
              </w:rPr>
              <w:t xml:space="preserve"> de 2024. Exp. 70.313. C.P: Fredy Ibarra Martínez.</w:t>
            </w:r>
          </w:p>
          <w:p w14:paraId="51E5A2B5" w14:textId="77777777" w:rsidR="00A37899" w:rsidRPr="00A37899" w:rsidRDefault="00A37899" w:rsidP="00181C01">
            <w:pPr>
              <w:widowControl w:val="0"/>
              <w:numPr>
                <w:ilvl w:val="0"/>
                <w:numId w:val="17"/>
              </w:numPr>
              <w:autoSpaceDE w:val="0"/>
              <w:autoSpaceDN w:val="0"/>
              <w:spacing w:line="276" w:lineRule="auto"/>
              <w:jc w:val="both"/>
              <w:rPr>
                <w:rFonts w:ascii="Verdana" w:hAnsi="Verdana" w:cs="Arial"/>
                <w:lang w:val="es-ES"/>
              </w:rPr>
            </w:pPr>
            <w:r w:rsidRPr="00A37899">
              <w:rPr>
                <w:rFonts w:ascii="Verdana" w:eastAsia="Times New Roman" w:hAnsi="Verdana" w:cs="Times New Roman"/>
                <w:lang w:val="es-ES" w:eastAsia="es-ES_tradnl"/>
              </w:rPr>
              <w:t xml:space="preserve">Consejo de Estado. Sala de lo Contencioso Administrativo. Sección Tercera. Subsección B. 17 de octubre de 2025. Magistrado Ponente: Fredy Ibarra Martínez. </w:t>
            </w:r>
          </w:p>
          <w:p w14:paraId="719FCECB" w14:textId="77777777" w:rsidR="00A37899" w:rsidRPr="00A37899" w:rsidRDefault="00A37899" w:rsidP="00181C01">
            <w:pPr>
              <w:widowControl w:val="0"/>
              <w:numPr>
                <w:ilvl w:val="0"/>
                <w:numId w:val="17"/>
              </w:numPr>
              <w:autoSpaceDE w:val="0"/>
              <w:autoSpaceDN w:val="0"/>
              <w:spacing w:line="276" w:lineRule="auto"/>
              <w:jc w:val="both"/>
              <w:rPr>
                <w:rFonts w:ascii="Verdana" w:eastAsia="Calibri" w:hAnsi="Verdana" w:cs="Arial"/>
                <w:lang w:val="pt-BR"/>
              </w:rPr>
            </w:pPr>
            <w:r w:rsidRPr="00A37899">
              <w:rPr>
                <w:rFonts w:ascii="Verdana" w:hAnsi="Verdana" w:cs="Arial"/>
                <w:lang w:val="es-ES"/>
              </w:rPr>
              <w:t xml:space="preserve">Circular Externa No. 006 de 2025 </w:t>
            </w:r>
            <w:hyperlink r:id="rId15" w:history="1">
              <w:r w:rsidRPr="00A37899">
                <w:rPr>
                  <w:rFonts w:ascii="Verdana" w:hAnsi="Verdana" w:cs="Arial"/>
                  <w:color w:val="0000FF"/>
                  <w:u w:val="single"/>
                  <w:lang w:val="es-ES"/>
                </w:rPr>
                <w:t>https://www.colombiacompra.gov.co/archivos/circular/circular-externa-006-de-2025</w:t>
              </w:r>
            </w:hyperlink>
          </w:p>
          <w:p w14:paraId="1ACD482C" w14:textId="77777777" w:rsidR="00A37899" w:rsidRPr="00A37899" w:rsidRDefault="00A37899" w:rsidP="00181C01">
            <w:pPr>
              <w:widowControl w:val="0"/>
              <w:autoSpaceDE w:val="0"/>
              <w:autoSpaceDN w:val="0"/>
              <w:spacing w:line="276" w:lineRule="auto"/>
              <w:ind w:left="720"/>
              <w:jc w:val="both"/>
              <w:rPr>
                <w:rFonts w:ascii="Verdana" w:eastAsia="Calibri" w:hAnsi="Verdana" w:cs="Arial"/>
                <w:lang w:val="pt-BR"/>
              </w:rPr>
            </w:pPr>
          </w:p>
        </w:tc>
      </w:tr>
    </w:tbl>
    <w:p w14:paraId="1ED4D056" w14:textId="77777777" w:rsidR="00A37899" w:rsidRPr="00A37899" w:rsidRDefault="00A37899" w:rsidP="00A37899">
      <w:pPr>
        <w:widowControl w:val="0"/>
        <w:autoSpaceDE w:val="0"/>
        <w:autoSpaceDN w:val="0"/>
        <w:spacing w:after="0" w:line="276" w:lineRule="auto"/>
        <w:jc w:val="both"/>
        <w:rPr>
          <w:rFonts w:ascii="Verdana" w:hAnsi="Verdana" w:cs="Arial"/>
          <w:lang w:val="pt-BR"/>
        </w:rPr>
      </w:pPr>
    </w:p>
    <w:p w14:paraId="654931F5" w14:textId="77777777" w:rsidR="00A37899" w:rsidRPr="00A37899" w:rsidRDefault="00A37899" w:rsidP="00A37899">
      <w:pPr>
        <w:numPr>
          <w:ilvl w:val="0"/>
          <w:numId w:val="16"/>
        </w:numPr>
        <w:tabs>
          <w:tab w:val="left" w:pos="142"/>
          <w:tab w:val="left" w:pos="284"/>
        </w:tabs>
        <w:spacing w:after="0" w:line="276" w:lineRule="auto"/>
        <w:jc w:val="both"/>
        <w:rPr>
          <w:rFonts w:ascii="Verdana" w:eastAsia="Century Gothic" w:hAnsi="Verdana" w:cs="Century Gothic"/>
          <w:b/>
          <w:bCs/>
          <w:lang w:val="es-ES"/>
        </w:rPr>
      </w:pPr>
      <w:r w:rsidRPr="00A37899">
        <w:rPr>
          <w:rFonts w:ascii="Verdana" w:eastAsia="Century Gothic" w:hAnsi="Verdana" w:cs="Century Gothic"/>
          <w:b/>
          <w:bCs/>
          <w:lang w:val="es-ES"/>
        </w:rPr>
        <w:t>Doctrina de la Agencia Nacional de Contratación Pública:</w:t>
      </w:r>
    </w:p>
    <w:p w14:paraId="440E5F1E" w14:textId="77777777" w:rsidR="00A37899" w:rsidRPr="00A37899" w:rsidRDefault="00A37899" w:rsidP="00A37899">
      <w:pPr>
        <w:tabs>
          <w:tab w:val="left" w:pos="142"/>
          <w:tab w:val="left" w:pos="284"/>
        </w:tabs>
        <w:spacing w:after="0" w:line="276" w:lineRule="auto"/>
        <w:ind w:left="1080"/>
        <w:jc w:val="both"/>
        <w:rPr>
          <w:rFonts w:ascii="Verdana" w:eastAsia="Century Gothic" w:hAnsi="Verdana" w:cs="Century Gothic"/>
          <w:b/>
          <w:bCs/>
          <w:lang w:val="es-ES"/>
        </w:rPr>
      </w:pPr>
    </w:p>
    <w:p w14:paraId="7663D6F0" w14:textId="77777777" w:rsidR="00A37899" w:rsidRPr="00A37899" w:rsidRDefault="00A37899" w:rsidP="00181C01">
      <w:pPr>
        <w:spacing w:after="0" w:line="276" w:lineRule="auto"/>
        <w:jc w:val="both"/>
        <w:rPr>
          <w:rFonts w:ascii="Verdana" w:hAnsi="Verdana" w:cs="Arial"/>
          <w:bCs/>
          <w:shd w:val="clear" w:color="auto" w:fill="FFFFFF"/>
        </w:rPr>
      </w:pPr>
      <w:r w:rsidRPr="00A37899">
        <w:rPr>
          <w:rFonts w:ascii="Verdana" w:eastAsia="Calibri" w:hAnsi="Verdana" w:cs="Arial"/>
        </w:rPr>
        <w:t xml:space="preserve">La Agencia Nacional de Contratación Pública – Colombia Compra Eficiente se ha referido </w:t>
      </w:r>
      <w:r w:rsidRPr="00A37899">
        <w:rPr>
          <w:rFonts w:ascii="Verdana" w:hAnsi="Verdana" w:cs="Arial"/>
          <w:shd w:val="clear" w:color="auto" w:fill="FFFFFF"/>
        </w:rPr>
        <w:t xml:space="preserve">sobre la Ley de Garantías Electorales en los conceptos con radicado C-227 del 24 de mayo de 2021 y 396 del 13 de agosto de 2021, C-439 del 27 de agosto de 2021, C-456 del 3 de septiembre de 2021, C-614 del 2 de noviembre de 2021, C-636 del 16 de noviembre de 2021, C-681 del 7 de diciembre de </w:t>
      </w:r>
      <w:r w:rsidRPr="00A37899">
        <w:rPr>
          <w:rFonts w:ascii="Verdana" w:hAnsi="Verdana" w:cs="Arial"/>
          <w:shd w:val="clear" w:color="auto" w:fill="FFFFFF"/>
        </w:rPr>
        <w:lastRenderedPageBreak/>
        <w:t xml:space="preserve">2021, C-686 del 21 de diciembre de 2021, C-180 del 21 de marzo de 2025, C-317 del 25 de abril de 2025, C-510 del 4 de junio de 2025, </w:t>
      </w:r>
      <w:r w:rsidRPr="00A37899">
        <w:rPr>
          <w:rFonts w:ascii="Verdana" w:hAnsi="Verdana" w:cs="Arial"/>
          <w:shd w:val="clear" w:color="auto" w:fill="FFFFFF"/>
          <w:lang w:val="es-ES"/>
        </w:rPr>
        <w:t xml:space="preserve">646 del 26 de junio de 2025, C-957 del 23 de agosto de 2025, C-975 del 28 de agosto de 2025, C-1015 del 4 de septiembre de 2025, C-1096 del 28 de agosto de 2025, C-1170 del 16 de septiembre de 2025, </w:t>
      </w:r>
      <w:r w:rsidRPr="00A37899">
        <w:rPr>
          <w:rFonts w:ascii="Verdana" w:hAnsi="Verdana" w:cs="Arial"/>
          <w:shd w:val="clear" w:color="auto" w:fill="FFFFFF"/>
        </w:rPr>
        <w:t xml:space="preserve">C–750 de 17 de julio 2025, C-868 del 12 de agosto de 2025, C-1057 del 5 de septiembre de 2025, C-1195 del 3 de octubre de 2025, C-1350 del 19 de septiembre de 2025, C- 1236 del 27 de octubre de 2025, </w:t>
      </w:r>
      <w:r w:rsidRPr="00A37899">
        <w:rPr>
          <w:rFonts w:ascii="Verdana" w:eastAsia="Calibri" w:hAnsi="Verdana" w:cs="Times New Roman"/>
        </w:rPr>
        <w:t>C</w:t>
      </w:r>
      <w:r w:rsidRPr="00A37899">
        <w:rPr>
          <w:rFonts w:ascii="Verdana" w:eastAsia="Calibri" w:hAnsi="Verdana" w:cs="Times New Roman"/>
          <w:lang w:val="es-ES"/>
        </w:rPr>
        <w:t>-1518 del 27 de noviembre 2025</w:t>
      </w:r>
      <w:r w:rsidRPr="00A37899">
        <w:rPr>
          <w:rFonts w:ascii="Verdana" w:hAnsi="Verdana" w:cs="Arial"/>
          <w:shd w:val="clear" w:color="auto" w:fill="FFFFFF"/>
        </w:rPr>
        <w:t xml:space="preserve"> </w:t>
      </w:r>
      <w:r w:rsidRPr="00A37899">
        <w:rPr>
          <w:rFonts w:ascii="Verdana" w:hAnsi="Verdana" w:cs="Arial"/>
          <w:shd w:val="clear" w:color="auto" w:fill="FFFFFF"/>
          <w:lang w:val="es-ES"/>
        </w:rPr>
        <w:t xml:space="preserve">entre otros. </w:t>
      </w:r>
      <w:r w:rsidRPr="00A37899">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6F39BB9B" w14:textId="77777777" w:rsidR="00A37899" w:rsidRPr="00A37899" w:rsidRDefault="00A37899" w:rsidP="00A37899">
      <w:pPr>
        <w:spacing w:after="0" w:line="276" w:lineRule="auto"/>
        <w:jc w:val="both"/>
        <w:rPr>
          <w:rFonts w:ascii="Verdana" w:eastAsia="Calibri" w:hAnsi="Verdana" w:cs="Times New Roman"/>
        </w:rPr>
      </w:pPr>
      <w:hyperlink r:id="rId16" w:history="1">
        <w:r w:rsidRPr="00A37899">
          <w:rPr>
            <w:rFonts w:ascii="Verdana" w:eastAsia="Calibri" w:hAnsi="Verdana" w:cs="Times New Roman"/>
            <w:color w:val="0000FF"/>
            <w:u w:val="single"/>
            <w:lang w:val="es-ES"/>
          </w:rPr>
          <w:t>https://relatoria.colombiacompra.gov.co/busqueda/conceptos</w:t>
        </w:r>
      </w:hyperlink>
      <w:r w:rsidRPr="00A37899">
        <w:rPr>
          <w:rFonts w:ascii="Verdana" w:eastAsia="Calibri" w:hAnsi="Verdana" w:cs="Times New Roman"/>
        </w:rPr>
        <w:t xml:space="preserve">. </w:t>
      </w:r>
    </w:p>
    <w:p w14:paraId="35FE65CC" w14:textId="77777777" w:rsidR="00A37899" w:rsidRPr="00A37899" w:rsidRDefault="00A37899" w:rsidP="00181C01">
      <w:pPr>
        <w:spacing w:after="0" w:line="276" w:lineRule="auto"/>
        <w:rPr>
          <w:rFonts w:ascii="Verdana" w:hAnsi="Verdana"/>
        </w:rPr>
      </w:pPr>
    </w:p>
    <w:p w14:paraId="42024CAF"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rPr>
        <w:t xml:space="preserve">La sostenibilidad no es una opción, es una obligación. Por ello, la Agencia Nacional de Contratación Pública –Colombia Compra Eficiente– te invita a realizar el </w:t>
      </w:r>
      <w:r w:rsidRPr="00144EB3">
        <w:rPr>
          <w:rFonts w:ascii="Verdana" w:eastAsia="Calibri" w:hAnsi="Verdana" w:cs="Arial"/>
          <w:b/>
          <w:bCs/>
        </w:rPr>
        <w:t>Curso de Contratación Pública Sostenible y Socialmente Responsable</w:t>
      </w:r>
      <w:r w:rsidRPr="00144EB3">
        <w:rPr>
          <w:rFonts w:ascii="Verdana" w:eastAsia="Calibri" w:hAnsi="Verdana" w:cs="Ari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144EB3">
        <w:rPr>
          <w:rFonts w:ascii="Verdana" w:eastAsia="Calibri" w:hAnsi="Verdana" w:cs="Arial"/>
        </w:rPr>
        <w:br/>
      </w:r>
      <w:hyperlink r:id="rId17" w:tgtFrame="_new" w:history="1">
        <w:r w:rsidRPr="00144EB3">
          <w:rPr>
            <w:rFonts w:ascii="Verdana" w:eastAsia="Calibri" w:hAnsi="Verdana" w:cs="Arial"/>
            <w:color w:val="0000FF"/>
            <w:u w:val="single"/>
          </w:rPr>
          <w:t>https://formacionvirtual.colombiacompra.gov.co/mod/page/view.php?id=3718</w:t>
        </w:r>
      </w:hyperlink>
    </w:p>
    <w:p w14:paraId="6D44B495" w14:textId="77777777" w:rsidR="004B2BA5" w:rsidRDefault="004B2BA5" w:rsidP="00181C01">
      <w:pPr>
        <w:spacing w:after="0" w:line="276" w:lineRule="auto"/>
        <w:jc w:val="both"/>
        <w:rPr>
          <w:rFonts w:ascii="Verdana" w:eastAsia="Calibri" w:hAnsi="Verdana" w:cs="Arial"/>
        </w:rPr>
      </w:pPr>
    </w:p>
    <w:p w14:paraId="7FD09E41"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rPr>
        <w:t xml:space="preserve">De otro lado, te contamos que esta Agencia ha da un paso decisivo en la estandarización y modernización del </w:t>
      </w:r>
      <w:r w:rsidRPr="00144EB3">
        <w:rPr>
          <w:rFonts w:ascii="Verdana" w:eastAsia="Calibri" w:hAnsi="Verdana" w:cs="Arial"/>
          <w:b/>
          <w:bCs/>
        </w:rPr>
        <w:t>sector  social</w:t>
      </w:r>
      <w:r w:rsidRPr="00144EB3">
        <w:rPr>
          <w:rFonts w:ascii="Verdana" w:eastAsia="Calibri" w:hAnsi="Verdana" w:cs="Arial"/>
        </w:rPr>
        <w:t xml:space="preserve"> con la expedición de las </w:t>
      </w:r>
      <w:r w:rsidRPr="00144EB3">
        <w:rPr>
          <w:rFonts w:ascii="Verdana" w:eastAsia="Calibri" w:hAnsi="Verdana" w:cs="Arial"/>
          <w:b/>
          <w:bCs/>
        </w:rPr>
        <w:t>Resoluciones 539, 540, 541, 952 y 953 de 2025</w:t>
      </w:r>
      <w:r w:rsidRPr="00144EB3">
        <w:rPr>
          <w:rFonts w:ascii="Verdana" w:eastAsia="Calibri" w:hAnsi="Verdana" w:cs="Arial"/>
        </w:rPr>
        <w:t xml:space="preserve">, </w:t>
      </w:r>
      <w:r w:rsidRPr="00144EB3">
        <w:rPr>
          <w:rFonts w:ascii="Verdana" w:eastAsia="Calibri" w:hAnsi="Verdana" w:cs="Arial"/>
          <w:b/>
          <w:bCs/>
        </w:rPr>
        <w:t>mediante las cuales adoptó Documentos Tipo</w:t>
      </w:r>
      <w:r w:rsidRPr="00144EB3">
        <w:rPr>
          <w:rFonts w:ascii="Verdana" w:eastAsia="Calibri" w:hAnsi="Verdana" w:cs="Arial"/>
        </w:rPr>
        <w:t xml:space="preserve"> para las modalidades de selección de</w:t>
      </w:r>
      <w:r w:rsidRPr="00144EB3">
        <w:rPr>
          <w:rFonts w:ascii="Verdana" w:eastAsia="Calibri" w:hAnsi="Verdana" w:cs="Arial"/>
          <w:b/>
          <w:bCs/>
        </w:rPr>
        <w:t xml:space="preserve"> licitación pública (versión 2), selección abreviada de menor cuantía, mínima cuantía, consultoría e interventoría</w:t>
      </w:r>
      <w:r w:rsidRPr="00144EB3">
        <w:rPr>
          <w:rFonts w:ascii="Verdana" w:eastAsia="Calibri" w:hAnsi="Verdana" w:cs="Arial"/>
        </w:rPr>
        <w:t xml:space="preserve">, promoviendo procesos más transparentes, eficientes  competitivos y sostenibles en sectores estratégicos como educación, salud, cultura, recreación, deporte, institucional y vivienda. Consulta y descarga los documentos aquí: </w:t>
      </w:r>
      <w:hyperlink r:id="rId18" w:tgtFrame="_new" w:history="1">
        <w:r w:rsidRPr="00144EB3">
          <w:rPr>
            <w:rFonts w:ascii="Verdana" w:eastAsia="Calibri" w:hAnsi="Verdana" w:cs="Arial"/>
            <w:color w:val="0000FF"/>
            <w:u w:val="single"/>
          </w:rPr>
          <w:t>https://www.colombiacompra.gov.co/normativa-y-relatoria/documentos-tipo</w:t>
        </w:r>
      </w:hyperlink>
    </w:p>
    <w:p w14:paraId="015413A3" w14:textId="77777777" w:rsidR="004B2BA5" w:rsidRPr="00144EB3" w:rsidRDefault="004B2BA5" w:rsidP="00181C01">
      <w:pPr>
        <w:spacing w:after="0" w:line="276" w:lineRule="auto"/>
        <w:jc w:val="both"/>
        <w:rPr>
          <w:rFonts w:ascii="Verdana" w:eastAsia="Calibri" w:hAnsi="Verdana" w:cs="Arial"/>
        </w:rPr>
      </w:pPr>
    </w:p>
    <w:p w14:paraId="1181F69C"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rPr>
        <w:t xml:space="preserve">Si quieres conocer más sobre la aplicación de Documentos Tipo puedes consultar la última versión de la </w:t>
      </w:r>
      <w:r w:rsidRPr="00144EB3">
        <w:rPr>
          <w:rFonts w:ascii="Verdana" w:eastAsia="Calibri" w:hAnsi="Verdana" w:cs="Arial"/>
          <w:b/>
          <w:bCs/>
        </w:rPr>
        <w:t>Guía para la comprensión e implementación de los Documentos Tipo de obra pública de infraestructura de transporte</w:t>
      </w:r>
      <w:r w:rsidRPr="00144EB3">
        <w:rPr>
          <w:rFonts w:ascii="Verdana" w:eastAsia="Calibri" w:hAnsi="Verdana" w:cs="Arial"/>
        </w:rPr>
        <w:t xml:space="preserve">. En </w:t>
      </w:r>
      <w:r w:rsidRPr="00144EB3">
        <w:rPr>
          <w:rFonts w:ascii="Verdana" w:eastAsia="Calibri" w:hAnsi="Verdana" w:cs="Arial"/>
        </w:rPr>
        <w:lastRenderedPageBreak/>
        <w:t>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144EB3">
        <w:rPr>
          <w:rFonts w:ascii="Verdana" w:eastAsia="Calibri" w:hAnsi="Verdana" w:cs="Arial"/>
        </w:rPr>
        <w:br/>
      </w:r>
      <w:hyperlink r:id="rId19" w:tgtFrame="_new" w:history="1">
        <w:r w:rsidRPr="00144EB3">
          <w:rPr>
            <w:rFonts w:ascii="Verdana" w:eastAsia="Calibri" w:hAnsi="Verdana" w:cs="Arial"/>
            <w:color w:val="0000FF"/>
            <w:u w:val="single"/>
          </w:rPr>
          <w:t>https://www.colombiacompra.gov.co/archivos/manual/guia-para-la-comprension-e-implementacion-de-los-documentos-tipo-de-obra-publica-de-infraestructura-de-transporte-bajo-las-diferentes-modalidades-de-contratacion-vigentes</w:t>
        </w:r>
      </w:hyperlink>
    </w:p>
    <w:p w14:paraId="41DE8076" w14:textId="77777777" w:rsidR="004B2BA5" w:rsidRPr="00144EB3" w:rsidRDefault="004B2BA5" w:rsidP="00181C01">
      <w:pPr>
        <w:spacing w:after="0" w:line="276" w:lineRule="auto"/>
        <w:jc w:val="both"/>
        <w:rPr>
          <w:rFonts w:ascii="Verdana" w:eastAsia="Calibri" w:hAnsi="Verdana" w:cs="Arial"/>
        </w:rPr>
      </w:pPr>
      <w:r w:rsidRPr="00144EB3">
        <w:rPr>
          <w:rFonts w:ascii="Verdana" w:eastAsia="Calibri" w:hAnsi="Verdana" w:cs="Arial"/>
          <w:shd w:val="clear" w:color="auto" w:fill="FFFFFF"/>
        </w:rPr>
        <w:t xml:space="preserve">Por último, lo invitamos a seguirnos en las redes sociales en las cuales se difunde información institucional: </w:t>
      </w:r>
    </w:p>
    <w:p w14:paraId="0FF30048" w14:textId="77777777" w:rsidR="004B2BA5" w:rsidRPr="00144EB3" w:rsidRDefault="004B2BA5" w:rsidP="00181C01">
      <w:pPr>
        <w:spacing w:after="0" w:line="276" w:lineRule="auto"/>
        <w:jc w:val="both"/>
        <w:rPr>
          <w:rFonts w:ascii="Verdana" w:eastAsia="Calibri" w:hAnsi="Verdana" w:cs="Arial"/>
          <w:shd w:val="clear" w:color="auto" w:fill="FFFFFF"/>
        </w:rPr>
      </w:pPr>
    </w:p>
    <w:p w14:paraId="785E7802" w14:textId="77777777" w:rsidR="004B2BA5" w:rsidRPr="00144EB3" w:rsidRDefault="004B2BA5" w:rsidP="00181C01">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Twitter: </w:t>
      </w:r>
      <w:r w:rsidRPr="00144EB3">
        <w:rPr>
          <w:rFonts w:ascii="Verdana" w:eastAsia="Calibri" w:hAnsi="Verdana" w:cs="Arial"/>
          <w:color w:val="0000FF"/>
          <w:u w:val="single"/>
          <w:lang w:val="es-ES"/>
        </w:rPr>
        <w:t xml:space="preserve">@colombiacompra </w:t>
      </w:r>
    </w:p>
    <w:p w14:paraId="5B2EEB39" w14:textId="77777777" w:rsidR="004B2BA5" w:rsidRPr="00144EB3" w:rsidRDefault="004B2BA5" w:rsidP="00181C01">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Facebook:</w:t>
      </w:r>
      <w:r w:rsidRPr="00144EB3">
        <w:rPr>
          <w:rFonts w:ascii="Verdana" w:eastAsia="Calibri" w:hAnsi="Verdana" w:cs="Arial"/>
          <w:color w:val="0000FF"/>
          <w:u w:val="single"/>
          <w:lang w:val="es-ES"/>
        </w:rPr>
        <w:t xml:space="preserve"> </w:t>
      </w:r>
      <w:proofErr w:type="spellStart"/>
      <w:r w:rsidRPr="00144EB3">
        <w:rPr>
          <w:rFonts w:ascii="Verdana" w:eastAsia="Calibri" w:hAnsi="Verdana" w:cs="Arial"/>
          <w:color w:val="0000FF"/>
          <w:u w:val="single"/>
          <w:lang w:val="es-ES"/>
        </w:rPr>
        <w:t>ColombiaCompraEficiente</w:t>
      </w:r>
      <w:proofErr w:type="spellEnd"/>
    </w:p>
    <w:p w14:paraId="3202C558" w14:textId="77777777" w:rsidR="004B2BA5" w:rsidRPr="00144EB3" w:rsidRDefault="004B2BA5" w:rsidP="00181C01">
      <w:pPr>
        <w:spacing w:after="0" w:line="276" w:lineRule="auto"/>
        <w:jc w:val="both"/>
        <w:rPr>
          <w:rFonts w:ascii="Verdana" w:eastAsia="Calibri" w:hAnsi="Verdana" w:cs="Arial"/>
          <w:color w:val="0000FF"/>
          <w:shd w:val="clear" w:color="auto" w:fill="FFFFFF"/>
        </w:rPr>
      </w:pPr>
      <w:r w:rsidRPr="00144EB3">
        <w:rPr>
          <w:rFonts w:ascii="Verdana" w:eastAsia="Calibri" w:hAnsi="Verdana" w:cs="Arial"/>
          <w:shd w:val="clear" w:color="auto" w:fill="FFFFFF"/>
        </w:rPr>
        <w:t xml:space="preserve">LinkedIn: </w:t>
      </w:r>
      <w:r w:rsidRPr="00144EB3">
        <w:rPr>
          <w:rFonts w:ascii="Verdana" w:eastAsia="Calibri" w:hAnsi="Verdana" w:cs="Arial"/>
          <w:color w:val="0000FF"/>
          <w:u w:val="single"/>
          <w:lang w:val="es-ES"/>
        </w:rPr>
        <w:t>Agencia Nacional de Contratación Pública - Colombia Compra Eficiente</w:t>
      </w:r>
      <w:r w:rsidRPr="00144EB3">
        <w:rPr>
          <w:rFonts w:ascii="Verdana" w:eastAsia="Calibri" w:hAnsi="Verdana" w:cs="Arial"/>
          <w:color w:val="0000FF"/>
          <w:shd w:val="clear" w:color="auto" w:fill="FFFFFF"/>
        </w:rPr>
        <w:t xml:space="preserve"> </w:t>
      </w:r>
    </w:p>
    <w:p w14:paraId="2F59A06E" w14:textId="77777777" w:rsidR="004B2BA5" w:rsidRPr="00144EB3" w:rsidRDefault="004B2BA5" w:rsidP="00181C01">
      <w:pPr>
        <w:spacing w:after="0" w:line="276" w:lineRule="auto"/>
        <w:jc w:val="both"/>
        <w:rPr>
          <w:rFonts w:ascii="Verdana" w:eastAsia="Calibri" w:hAnsi="Verdana" w:cs="Arial"/>
          <w:shd w:val="clear" w:color="auto" w:fill="FFFFFF"/>
        </w:rPr>
      </w:pPr>
      <w:r w:rsidRPr="00144EB3">
        <w:rPr>
          <w:rFonts w:ascii="Verdana" w:eastAsia="Calibri" w:hAnsi="Verdana" w:cs="Arial"/>
          <w:shd w:val="clear" w:color="auto" w:fill="FFFFFF"/>
        </w:rPr>
        <w:t xml:space="preserve">Instagram: </w:t>
      </w:r>
      <w:r w:rsidRPr="00144EB3">
        <w:rPr>
          <w:rFonts w:ascii="Verdana" w:eastAsia="Calibri" w:hAnsi="Verdana" w:cs="Arial"/>
          <w:color w:val="0000FF"/>
          <w:u w:val="single"/>
          <w:lang w:val="es-ES"/>
        </w:rPr>
        <w:t>@colombiacompraeficiente_cce</w:t>
      </w:r>
    </w:p>
    <w:p w14:paraId="1C6C5F2D" w14:textId="77777777" w:rsidR="004B2BA5" w:rsidRPr="00144EB3" w:rsidRDefault="004B2BA5" w:rsidP="00181C01">
      <w:pPr>
        <w:widowControl w:val="0"/>
        <w:autoSpaceDE w:val="0"/>
        <w:autoSpaceDN w:val="0"/>
        <w:spacing w:after="0" w:line="276" w:lineRule="auto"/>
        <w:jc w:val="both"/>
        <w:rPr>
          <w:rFonts w:ascii="Verdana" w:eastAsia="Calibri" w:hAnsi="Verdana" w:cs="Arial"/>
          <w:lang w:val="es-ES"/>
        </w:rPr>
      </w:pPr>
    </w:p>
    <w:p w14:paraId="048BF234" w14:textId="77777777" w:rsidR="004B2BA5" w:rsidRPr="00144EB3" w:rsidRDefault="004B2BA5" w:rsidP="00181C01">
      <w:pPr>
        <w:widowControl w:val="0"/>
        <w:autoSpaceDE w:val="0"/>
        <w:autoSpaceDN w:val="0"/>
        <w:spacing w:after="0" w:line="276" w:lineRule="auto"/>
        <w:jc w:val="both"/>
        <w:rPr>
          <w:rFonts w:ascii="Verdana" w:eastAsia="Calibri" w:hAnsi="Verdana" w:cs="Arial"/>
          <w:lang w:val="es-ES"/>
        </w:rPr>
      </w:pPr>
      <w:r w:rsidRPr="00144EB3">
        <w:rPr>
          <w:rFonts w:ascii="Verdana" w:eastAsia="Calibri"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7D778DB" w14:textId="77777777" w:rsidR="004B2BA5" w:rsidRPr="00144EB3" w:rsidRDefault="004B2BA5" w:rsidP="00181C01">
      <w:pPr>
        <w:spacing w:after="0" w:line="276" w:lineRule="auto"/>
        <w:jc w:val="both"/>
        <w:rPr>
          <w:rFonts w:ascii="Verdana" w:eastAsia="Verdana" w:hAnsi="Verdana" w:cs="Verdana"/>
        </w:rPr>
      </w:pPr>
    </w:p>
    <w:p w14:paraId="7044135E" w14:textId="77777777" w:rsidR="004B2BA5" w:rsidRPr="00144EB3" w:rsidRDefault="004B2BA5" w:rsidP="00181C01">
      <w:pPr>
        <w:spacing w:after="0" w:line="276" w:lineRule="auto"/>
        <w:rPr>
          <w:rFonts w:ascii="Verdana" w:eastAsia="Verdana" w:hAnsi="Verdana" w:cs="Verdana"/>
        </w:rPr>
      </w:pPr>
      <w:r w:rsidRPr="00144EB3">
        <w:rPr>
          <w:rFonts w:ascii="Verdana" w:eastAsia="Verdana" w:hAnsi="Verdana" w:cs="Verdana"/>
        </w:rPr>
        <w:t xml:space="preserve">Evalúa el servicio que ofrece la Agencia por el canal de atención de PQRSD en el siguiente enlace: </w:t>
      </w:r>
      <w:hyperlink r:id="rId20" w:history="1">
        <w:r w:rsidRPr="00144EB3">
          <w:rPr>
            <w:rFonts w:ascii="Verdana" w:eastAsia="Verdana" w:hAnsi="Verdana" w:cs="Verdana"/>
            <w:color w:val="0000FF"/>
            <w:u w:val="single"/>
          </w:rPr>
          <w:t>https://forms.office.com/r/pPHyWVs2SZ</w:t>
        </w:r>
      </w:hyperlink>
      <w:r w:rsidRPr="00144EB3">
        <w:rPr>
          <w:rFonts w:ascii="Verdana" w:eastAsia="Verdana" w:hAnsi="Verdana" w:cs="Verdana"/>
        </w:rPr>
        <w:t xml:space="preserve"> .¡Ayúdanos a mejorar porque el compromiso es de todos!</w:t>
      </w:r>
    </w:p>
    <w:p w14:paraId="7EA7E49F" w14:textId="77777777" w:rsidR="004B2BA5" w:rsidRPr="00144EB3" w:rsidRDefault="004B2BA5" w:rsidP="00181C01">
      <w:pPr>
        <w:spacing w:after="0" w:line="276" w:lineRule="auto"/>
        <w:rPr>
          <w:rFonts w:ascii="Verdana" w:eastAsia="Verdana" w:hAnsi="Verdana" w:cs="Verdana"/>
        </w:rPr>
      </w:pPr>
    </w:p>
    <w:p w14:paraId="09FAA220" w14:textId="77777777" w:rsidR="004B2BA5" w:rsidRPr="00144EB3" w:rsidRDefault="004B2BA5" w:rsidP="00181C01">
      <w:pPr>
        <w:spacing w:after="0" w:line="276" w:lineRule="auto"/>
        <w:jc w:val="both"/>
        <w:rPr>
          <w:rFonts w:ascii="Verdana" w:eastAsia="Verdana" w:hAnsi="Verdana" w:cs="Verdana"/>
          <w:lang w:val="es-MX"/>
        </w:rPr>
      </w:pPr>
      <w:r w:rsidRPr="00144EB3">
        <w:rPr>
          <w:rFonts w:ascii="Verdana" w:eastAsia="Verdana" w:hAnsi="Verdana" w:cs="Verdana"/>
          <w:lang w:val="es-MX"/>
        </w:rPr>
        <w:t>Cordialmente,</w:t>
      </w:r>
    </w:p>
    <w:p w14:paraId="4CE67580" w14:textId="203A9ECD" w:rsidR="004B2BA5" w:rsidRDefault="004B2BA5" w:rsidP="004B2BA5">
      <w:pPr>
        <w:spacing w:after="120" w:line="276" w:lineRule="auto"/>
        <w:contextualSpacing/>
        <w:jc w:val="both"/>
        <w:rPr>
          <w:rFonts w:ascii="Verdana" w:eastAsia="Calibri" w:hAnsi="Verdana" w:cs="Times New Roman"/>
          <w:noProof/>
          <w:color w:val="EE0000"/>
          <w14:ligatures w14:val="standardContextual"/>
        </w:rPr>
      </w:pPr>
    </w:p>
    <w:p w14:paraId="671FB3EC" w14:textId="77777777" w:rsidR="002C2576" w:rsidRDefault="002C2576" w:rsidP="004B2BA5">
      <w:pPr>
        <w:spacing w:after="120" w:line="276" w:lineRule="auto"/>
        <w:contextualSpacing/>
        <w:jc w:val="both"/>
        <w:rPr>
          <w:rFonts w:ascii="Verdana" w:eastAsia="Calibri" w:hAnsi="Verdana" w:cs="Times New Roman"/>
          <w:noProof/>
          <w:color w:val="EE0000"/>
          <w14:ligatures w14:val="standardContextual"/>
        </w:rPr>
      </w:pPr>
    </w:p>
    <w:p w14:paraId="05961CD3" w14:textId="77777777" w:rsidR="002C2576" w:rsidRPr="00182F6A" w:rsidRDefault="002C2576" w:rsidP="002C2576">
      <w:pPr>
        <w:spacing w:after="120" w:line="276" w:lineRule="auto"/>
        <w:contextualSpacing/>
        <w:jc w:val="center"/>
        <w:rPr>
          <w:rFonts w:ascii="Verdana" w:eastAsia="Aptos" w:hAnsi="Verdana" w:cs="Arial"/>
          <w:shd w:val="clear" w:color="auto" w:fill="FFFFFF"/>
          <w:lang w:val="es-ES"/>
        </w:rPr>
      </w:pPr>
      <w:r w:rsidRPr="002C3AD6">
        <w:rPr>
          <w:rFonts w:ascii="Century Gothic" w:hAnsi="Century Gothic"/>
          <w:noProof/>
        </w:rPr>
        <w:drawing>
          <wp:inline distT="0" distB="0" distL="0" distR="0" wp14:anchorId="56002D0D" wp14:editId="5FCD1FDE">
            <wp:extent cx="2867025" cy="1064274"/>
            <wp:effectExtent l="0" t="0" r="0" b="254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1"/>
                    <a:stretch>
                      <a:fillRect/>
                    </a:stretch>
                  </pic:blipFill>
                  <pic:spPr>
                    <a:xfrm>
                      <a:off x="0" y="0"/>
                      <a:ext cx="2881292" cy="1069570"/>
                    </a:xfrm>
                    <a:prstGeom prst="rect">
                      <a:avLst/>
                    </a:prstGeom>
                  </pic:spPr>
                </pic:pic>
              </a:graphicData>
            </a:graphic>
          </wp:inline>
        </w:drawing>
      </w:r>
    </w:p>
    <w:p w14:paraId="6ADC8685" w14:textId="77777777" w:rsidR="002C2576" w:rsidRPr="00182F6A" w:rsidRDefault="002C2576" w:rsidP="002C2576">
      <w:pPr>
        <w:spacing w:after="120" w:line="276" w:lineRule="auto"/>
        <w:contextualSpacing/>
        <w:jc w:val="both"/>
        <w:rPr>
          <w:rFonts w:ascii="Verdana" w:eastAsia="Aptos" w:hAnsi="Verdana" w:cs="Arial"/>
          <w:shd w:val="clear" w:color="auto" w:fill="FFFFFF"/>
          <w:lang w:val="es-ES"/>
        </w:rPr>
      </w:pPr>
    </w:p>
    <w:p w14:paraId="29217B2D" w14:textId="77777777" w:rsidR="002C2576" w:rsidRPr="008278B1" w:rsidRDefault="002C2576" w:rsidP="002C2576">
      <w:pPr>
        <w:spacing w:after="0" w:line="276" w:lineRule="auto"/>
        <w:rPr>
          <w:rFonts w:ascii="Verdana" w:hAnsi="Verdana" w:cs="Arial"/>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2C2576" w:rsidRPr="008278B1" w14:paraId="06E0DB7C" w14:textId="77777777" w:rsidTr="00BD7C1F">
        <w:trPr>
          <w:trHeight w:val="315"/>
        </w:trPr>
        <w:tc>
          <w:tcPr>
            <w:tcW w:w="893" w:type="dxa"/>
            <w:vAlign w:val="center"/>
            <w:hideMark/>
          </w:tcPr>
          <w:p w14:paraId="047F45B1" w14:textId="77777777" w:rsidR="002C2576" w:rsidRPr="008278B1" w:rsidRDefault="002C2576" w:rsidP="00BD7C1F">
            <w:pPr>
              <w:contextualSpacing/>
              <w:rPr>
                <w:rFonts w:ascii="Verdana" w:hAnsi="Verdana" w:cs="Arial"/>
                <w:sz w:val="16"/>
                <w:szCs w:val="16"/>
                <w:lang w:val="es-ES" w:eastAsia="es-ES"/>
              </w:rPr>
            </w:pPr>
            <w:r w:rsidRPr="008278B1">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21A150B3" w14:textId="77777777" w:rsidR="002C2576" w:rsidRPr="00860461" w:rsidRDefault="002C2576" w:rsidP="00BD7C1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Oscar David Morelo Pedrozo</w:t>
            </w:r>
          </w:p>
          <w:p w14:paraId="44A19BC0" w14:textId="77777777" w:rsidR="002C2576" w:rsidRPr="00860461" w:rsidRDefault="002C2576" w:rsidP="00BD7C1F">
            <w:pPr>
              <w:rPr>
                <w:rFonts w:ascii="Verdana" w:eastAsia="Times New Roman" w:hAnsi="Verdana" w:cs="Arial"/>
                <w:sz w:val="16"/>
                <w:szCs w:val="16"/>
                <w:lang w:eastAsia="es-ES"/>
              </w:rPr>
            </w:pPr>
            <w:r w:rsidRPr="00860461">
              <w:rPr>
                <w:rFonts w:ascii="Verdana" w:eastAsia="Times New Roman" w:hAnsi="Verdana" w:cs="Arial"/>
                <w:sz w:val="16"/>
                <w:szCs w:val="16"/>
                <w:lang w:eastAsia="es-ES"/>
              </w:rPr>
              <w:t>Analista T2 –02 de la Subdirección de Gestión Contractual</w:t>
            </w:r>
          </w:p>
        </w:tc>
      </w:tr>
      <w:tr w:rsidR="002C2576" w:rsidRPr="00F84F36" w14:paraId="6A25119F" w14:textId="77777777" w:rsidTr="00BD7C1F">
        <w:trPr>
          <w:trHeight w:val="330"/>
        </w:trPr>
        <w:tc>
          <w:tcPr>
            <w:tcW w:w="893" w:type="dxa"/>
            <w:vAlign w:val="center"/>
            <w:hideMark/>
          </w:tcPr>
          <w:p w14:paraId="7B50E981" w14:textId="77777777" w:rsidR="002C2576" w:rsidRPr="0025661F" w:rsidRDefault="002C2576" w:rsidP="00BD7C1F">
            <w:pPr>
              <w:contextualSpacing/>
              <w:rPr>
                <w:rFonts w:ascii="Verdana" w:hAnsi="Verdana" w:cs="Arial"/>
                <w:color w:val="000000" w:themeColor="text1"/>
                <w:sz w:val="16"/>
                <w:szCs w:val="16"/>
                <w:lang w:val="es-ES" w:eastAsia="es-ES"/>
              </w:rPr>
            </w:pPr>
            <w:r w:rsidRPr="0025661F">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A1AE250" w14:textId="77777777" w:rsidR="002C2576" w:rsidRPr="00D62D2E" w:rsidRDefault="002C2576" w:rsidP="00BD7C1F">
            <w:pPr>
              <w:rPr>
                <w:rFonts w:ascii="Verdana" w:eastAsia="Times New Roman" w:hAnsi="Verdana" w:cs="Arial"/>
                <w:color w:val="000000" w:themeColor="text1"/>
                <w:sz w:val="16"/>
                <w:szCs w:val="16"/>
                <w:lang w:eastAsia="es-ES"/>
              </w:rPr>
            </w:pPr>
            <w:r w:rsidRPr="00D62D2E">
              <w:rPr>
                <w:rFonts w:ascii="Verdana" w:eastAsia="Times New Roman" w:hAnsi="Verdana" w:cs="Arial"/>
                <w:color w:val="000000" w:themeColor="text1"/>
                <w:sz w:val="16"/>
                <w:szCs w:val="16"/>
                <w:lang w:eastAsia="es-ES"/>
              </w:rPr>
              <w:t>Diana Lucia Saavedra</w:t>
            </w:r>
            <w:r>
              <w:rPr>
                <w:rFonts w:ascii="Verdana" w:eastAsia="Times New Roman" w:hAnsi="Verdana" w:cs="Arial"/>
                <w:color w:val="000000" w:themeColor="text1"/>
                <w:sz w:val="16"/>
                <w:szCs w:val="16"/>
                <w:lang w:eastAsia="es-ES"/>
              </w:rPr>
              <w:t xml:space="preserve"> Castañeda</w:t>
            </w:r>
          </w:p>
          <w:p w14:paraId="2468F8FF" w14:textId="77777777" w:rsidR="002C2576" w:rsidRPr="0025661F" w:rsidRDefault="002C2576" w:rsidP="00BD7C1F">
            <w:pPr>
              <w:pStyle w:val="paragraph"/>
              <w:spacing w:before="0" w:beforeAutospacing="0" w:after="0" w:afterAutospacing="0"/>
              <w:contextualSpacing/>
              <w:textAlignment w:val="baseline"/>
              <w:rPr>
                <w:rFonts w:ascii="Verdana" w:hAnsi="Verdana" w:cs="Segoe UI"/>
                <w:color w:val="000000" w:themeColor="text1"/>
                <w:sz w:val="16"/>
                <w:szCs w:val="16"/>
                <w:lang w:val="es-ES"/>
              </w:rPr>
            </w:pPr>
            <w:r w:rsidRPr="00D62D2E">
              <w:rPr>
                <w:rFonts w:ascii="Verdana" w:hAnsi="Verdana" w:cs="Arial"/>
                <w:color w:val="000000" w:themeColor="text1"/>
                <w:sz w:val="16"/>
                <w:szCs w:val="16"/>
                <w:lang w:eastAsia="es-ES"/>
              </w:rPr>
              <w:t>Contratista de la Subdirección de Gestión Contractual</w:t>
            </w:r>
          </w:p>
        </w:tc>
      </w:tr>
      <w:tr w:rsidR="002C2576" w:rsidRPr="00F84F36" w14:paraId="1292D8C2" w14:textId="77777777" w:rsidTr="00BD7C1F">
        <w:trPr>
          <w:trHeight w:val="300"/>
        </w:trPr>
        <w:tc>
          <w:tcPr>
            <w:tcW w:w="893" w:type="dxa"/>
            <w:vAlign w:val="center"/>
          </w:tcPr>
          <w:p w14:paraId="2B21E970" w14:textId="77777777" w:rsidR="002C2576" w:rsidRPr="008278B1" w:rsidRDefault="002C2576" w:rsidP="00BD7C1F">
            <w:pPr>
              <w:contextualSpacing/>
              <w:rPr>
                <w:rFonts w:ascii="Verdana" w:hAnsi="Verdana" w:cs="Arial"/>
                <w:sz w:val="16"/>
                <w:szCs w:val="16"/>
                <w:lang w:val="es-ES" w:eastAsia="es-ES"/>
              </w:rPr>
            </w:pPr>
            <w:r w:rsidRPr="008278B1">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F053E03" w14:textId="77777777" w:rsidR="002C2576" w:rsidRPr="008278B1" w:rsidRDefault="002C2576" w:rsidP="00BD7C1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Carolina Quintero Gacharná</w:t>
            </w:r>
          </w:p>
          <w:p w14:paraId="1728C824" w14:textId="77777777" w:rsidR="002C2576" w:rsidRPr="008278B1" w:rsidRDefault="002C2576" w:rsidP="00BD7C1F">
            <w:pPr>
              <w:contextualSpacing/>
              <w:rPr>
                <w:rFonts w:ascii="Verdana" w:eastAsia="Calibri" w:hAnsi="Verdana" w:cs="Arial"/>
                <w:sz w:val="16"/>
                <w:szCs w:val="16"/>
                <w:lang w:val="es-ES" w:eastAsia="es-ES"/>
              </w:rPr>
            </w:pPr>
            <w:r w:rsidRPr="008278B1">
              <w:rPr>
                <w:rFonts w:ascii="Verdana" w:eastAsia="Calibri" w:hAnsi="Verdana" w:cs="Arial"/>
                <w:sz w:val="16"/>
                <w:szCs w:val="16"/>
                <w:lang w:val="es-ES" w:eastAsia="es-ES"/>
              </w:rPr>
              <w:t>Subdirectora de Gestión Contractual ANCP – CCE</w:t>
            </w:r>
          </w:p>
        </w:tc>
      </w:tr>
    </w:tbl>
    <w:p w14:paraId="26924F7D" w14:textId="77777777" w:rsidR="002C2576" w:rsidRDefault="002C2576" w:rsidP="002C2576">
      <w:pPr>
        <w:spacing w:after="0" w:line="240" w:lineRule="auto"/>
        <w:rPr>
          <w:rFonts w:ascii="Verdana" w:eastAsia="Geomanist Light" w:hAnsi="Verdana" w:cs="Arial"/>
          <w:color w:val="000000" w:themeColor="text1"/>
        </w:rPr>
      </w:pPr>
    </w:p>
    <w:p w14:paraId="5E3B0DF5" w14:textId="77777777" w:rsidR="002C2576" w:rsidRPr="002C2576" w:rsidRDefault="002C2576" w:rsidP="004B2BA5">
      <w:pPr>
        <w:spacing w:after="120" w:line="276" w:lineRule="auto"/>
        <w:contextualSpacing/>
        <w:jc w:val="both"/>
        <w:rPr>
          <w:rFonts w:ascii="Verdana" w:eastAsia="Aptos" w:hAnsi="Verdana" w:cs="Arial"/>
          <w:shd w:val="clear" w:color="auto" w:fill="FFFFFF"/>
        </w:rPr>
      </w:pPr>
    </w:p>
    <w:bookmarkEnd w:id="0"/>
    <w:p w14:paraId="5F2CD078" w14:textId="5B8A24D5" w:rsidR="00C15139" w:rsidRPr="00A37899" w:rsidRDefault="00C15139" w:rsidP="30821638">
      <w:pPr>
        <w:spacing w:after="0"/>
        <w:rPr>
          <w:rFonts w:ascii="Verdana" w:eastAsia="Verdana" w:hAnsi="Verdana" w:cs="Verdana"/>
        </w:rPr>
      </w:pPr>
    </w:p>
    <w:sectPr w:rsidR="00C15139" w:rsidRPr="00A37899"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B7E0F" w14:textId="77777777" w:rsidR="00810AFB" w:rsidRDefault="00810AFB" w:rsidP="004A1847">
      <w:pPr>
        <w:spacing w:after="0" w:line="240" w:lineRule="auto"/>
      </w:pPr>
      <w:r>
        <w:separator/>
      </w:r>
    </w:p>
  </w:endnote>
  <w:endnote w:type="continuationSeparator" w:id="0">
    <w:p w14:paraId="3E777FE6" w14:textId="77777777" w:rsidR="00810AFB" w:rsidRDefault="00810AFB"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ItalicMT">
    <w:altName w:val="Klee One"/>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auto"/>
    <w:notTrueType/>
    <w:pitch w:val="default"/>
    <w:sig w:usb0="00000003" w:usb1="0807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0FF67" w14:textId="77777777" w:rsidR="00A37899" w:rsidRDefault="00A37899">
    <w:pPr>
      <w:pStyle w:val="Textoindependiente"/>
      <w:spacing w:line="14" w:lineRule="auto"/>
      <w:rPr>
        <w:sz w:val="20"/>
      </w:rPr>
    </w:pPr>
    <w:r>
      <w:rPr>
        <w:noProof/>
        <w:sz w:val="20"/>
      </w:rPr>
      <mc:AlternateContent>
        <mc:Choice Requires="wps">
          <w:drawing>
            <wp:anchor distT="0" distB="0" distL="0" distR="0" simplePos="0" relativeHeight="251658243" behindDoc="1" locked="0" layoutInCell="1" allowOverlap="1" wp14:anchorId="0110A0AA" wp14:editId="75F04789">
              <wp:simplePos x="0" y="0"/>
              <wp:positionH relativeFrom="page">
                <wp:posOffset>1062355</wp:posOffset>
              </wp:positionH>
              <wp:positionV relativeFrom="page">
                <wp:posOffset>8826929</wp:posOffset>
              </wp:positionV>
              <wp:extent cx="564769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7690" cy="1270"/>
                      </a:xfrm>
                      <a:custGeom>
                        <a:avLst/>
                        <a:gdLst/>
                        <a:ahLst/>
                        <a:cxnLst/>
                        <a:rect l="l" t="t" r="r" b="b"/>
                        <a:pathLst>
                          <a:path w="5647690">
                            <a:moveTo>
                              <a:pt x="0" y="0"/>
                            </a:moveTo>
                            <a:lnTo>
                              <a:pt x="0" y="0"/>
                            </a:lnTo>
                            <a:lnTo>
                              <a:pt x="564769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A527B6" id="Graphic 3" o:spid="_x0000_s1026" style="position:absolute;margin-left:83.65pt;margin-top:695.05pt;width:444.7pt;height:.1pt;z-index:-251658237;visibility:visible;mso-wrap-style:square;mso-wrap-distance-left:0;mso-wrap-distance-top:0;mso-wrap-distance-right:0;mso-wrap-distance-bottom:0;mso-position-horizontal:absolute;mso-position-horizontal-relative:page;mso-position-vertical:absolute;mso-position-vertical-relative:page;v-text-anchor:top" coordsize="5647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" path="m,l,,5647690,e" filled="f" strokeweight=".5pt">
              <v:path arrowok="t"/>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1DF5524D" wp14:editId="676318D4">
              <wp:simplePos x="0" y="0"/>
              <wp:positionH relativeFrom="page">
                <wp:posOffset>1067435</wp:posOffset>
              </wp:positionH>
              <wp:positionV relativeFrom="page">
                <wp:posOffset>8830104</wp:posOffset>
              </wp:positionV>
              <wp:extent cx="2985770" cy="647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5770" cy="647700"/>
                      </a:xfrm>
                      <a:prstGeom prst="rect">
                        <a:avLst/>
                      </a:prstGeom>
                    </wps:spPr>
                    <wps:txbx>
                      <w:txbxContent>
                        <w:p w14:paraId="7490582B" w14:textId="77777777" w:rsidR="00A37899" w:rsidRDefault="00A37899">
                          <w:pPr>
                            <w:spacing w:before="20"/>
                            <w:ind w:left="20"/>
                            <w:rPr>
                              <w:b/>
                              <w:sz w:val="20"/>
                            </w:rPr>
                          </w:pPr>
                          <w:r>
                            <w:rPr>
                              <w:b/>
                              <w:sz w:val="20"/>
                            </w:rPr>
                            <w:t>Agencia</w:t>
                          </w:r>
                          <w:r>
                            <w:rPr>
                              <w:b/>
                              <w:spacing w:val="-11"/>
                              <w:sz w:val="20"/>
                            </w:rPr>
                            <w:t xml:space="preserve"> </w:t>
                          </w:r>
                          <w:r>
                            <w:rPr>
                              <w:b/>
                              <w:sz w:val="20"/>
                            </w:rPr>
                            <w:t>Nacional</w:t>
                          </w:r>
                          <w:r>
                            <w:rPr>
                              <w:b/>
                              <w:spacing w:val="-11"/>
                              <w:sz w:val="20"/>
                            </w:rPr>
                            <w:t xml:space="preserve"> </w:t>
                          </w:r>
                          <w:r>
                            <w:rPr>
                              <w:b/>
                              <w:sz w:val="20"/>
                            </w:rPr>
                            <w:t>de</w:t>
                          </w:r>
                          <w:r>
                            <w:rPr>
                              <w:b/>
                              <w:spacing w:val="-11"/>
                              <w:sz w:val="20"/>
                            </w:rPr>
                            <w:t xml:space="preserve"> </w:t>
                          </w:r>
                          <w:r>
                            <w:rPr>
                              <w:b/>
                              <w:sz w:val="20"/>
                            </w:rPr>
                            <w:t>Contratación</w:t>
                          </w:r>
                          <w:r>
                            <w:rPr>
                              <w:b/>
                              <w:spacing w:val="-8"/>
                              <w:sz w:val="20"/>
                            </w:rPr>
                            <w:t xml:space="preserve"> </w:t>
                          </w:r>
                          <w:r>
                            <w:rPr>
                              <w:b/>
                              <w:sz w:val="20"/>
                            </w:rPr>
                            <w:t>Pública Colombia Compra Eficiente</w:t>
                          </w:r>
                        </w:p>
                        <w:p w14:paraId="6093513F" w14:textId="77777777" w:rsidR="00A37899" w:rsidRDefault="00A37899">
                          <w:pPr>
                            <w:ind w:left="20"/>
                            <w:rPr>
                              <w:sz w:val="18"/>
                            </w:rPr>
                          </w:pPr>
                          <w:r>
                            <w:rPr>
                              <w:sz w:val="18"/>
                            </w:rPr>
                            <w:t>Dirección:</w:t>
                          </w:r>
                          <w:r>
                            <w:rPr>
                              <w:spacing w:val="-5"/>
                              <w:sz w:val="18"/>
                            </w:rPr>
                            <w:t xml:space="preserve"> </w:t>
                          </w:r>
                          <w:r>
                            <w:rPr>
                              <w:sz w:val="18"/>
                            </w:rPr>
                            <w:t>Carrera</w:t>
                          </w:r>
                          <w:r>
                            <w:rPr>
                              <w:spacing w:val="-5"/>
                              <w:sz w:val="18"/>
                            </w:rPr>
                            <w:t xml:space="preserve"> </w:t>
                          </w:r>
                          <w:r>
                            <w:rPr>
                              <w:sz w:val="18"/>
                            </w:rPr>
                            <w:t>7</w:t>
                          </w:r>
                          <w:r>
                            <w:rPr>
                              <w:spacing w:val="-5"/>
                              <w:sz w:val="18"/>
                            </w:rPr>
                            <w:t xml:space="preserve"> </w:t>
                          </w:r>
                          <w:r>
                            <w:rPr>
                              <w:sz w:val="18"/>
                            </w:rPr>
                            <w:t>#</w:t>
                          </w:r>
                          <w:r>
                            <w:rPr>
                              <w:spacing w:val="-5"/>
                              <w:sz w:val="18"/>
                            </w:rPr>
                            <w:t xml:space="preserve"> </w:t>
                          </w:r>
                          <w:r>
                            <w:rPr>
                              <w:sz w:val="18"/>
                            </w:rPr>
                            <w:t>26</w:t>
                          </w:r>
                          <w:r>
                            <w:rPr>
                              <w:spacing w:val="-3"/>
                              <w:sz w:val="18"/>
                            </w:rPr>
                            <w:t xml:space="preserve"> </w:t>
                          </w:r>
                          <w:r>
                            <w:rPr>
                              <w:sz w:val="18"/>
                            </w:rPr>
                            <w:t>–</w:t>
                          </w:r>
                          <w:r>
                            <w:rPr>
                              <w:spacing w:val="-5"/>
                              <w:sz w:val="18"/>
                            </w:rPr>
                            <w:t xml:space="preserve"> </w:t>
                          </w:r>
                          <w:r>
                            <w:rPr>
                              <w:sz w:val="18"/>
                            </w:rPr>
                            <w:t>20</w:t>
                          </w:r>
                          <w:r>
                            <w:rPr>
                              <w:spacing w:val="-5"/>
                              <w:sz w:val="18"/>
                            </w:rPr>
                            <w:t xml:space="preserve"> </w:t>
                          </w:r>
                          <w:r>
                            <w:rPr>
                              <w:sz w:val="18"/>
                            </w:rPr>
                            <w:t>-</w:t>
                          </w:r>
                          <w:r>
                            <w:rPr>
                              <w:spacing w:val="-5"/>
                              <w:sz w:val="18"/>
                            </w:rPr>
                            <w:t xml:space="preserve"> </w:t>
                          </w:r>
                          <w:r>
                            <w:rPr>
                              <w:sz w:val="18"/>
                            </w:rPr>
                            <w:t>Bogotá,</w:t>
                          </w:r>
                          <w:r>
                            <w:rPr>
                              <w:spacing w:val="-5"/>
                              <w:sz w:val="18"/>
                            </w:rPr>
                            <w:t xml:space="preserve"> </w:t>
                          </w:r>
                          <w:r>
                            <w:rPr>
                              <w:sz w:val="18"/>
                            </w:rPr>
                            <w:t>Colombia Mesa de servicio: (+57) 601 7456788</w:t>
                          </w:r>
                        </w:p>
                      </w:txbxContent>
                    </wps:txbx>
                    <wps:bodyPr wrap="square" lIns="0" tIns="0" rIns="0" bIns="0" rtlCol="0">
                      <a:noAutofit/>
                    </wps:bodyPr>
                  </wps:wsp>
                </a:graphicData>
              </a:graphic>
            </wp:anchor>
          </w:drawing>
        </mc:Choice>
        <mc:Fallback>
          <w:pict>
            <v:shapetype w14:anchorId="1DF5524D" id="_x0000_t202" coordsize="21600,21600" o:spt="202" path="m,l,21600r21600,l21600,xe">
              <v:stroke joinstyle="miter"/>
              <v:path gradientshapeok="t" o:connecttype="rect"/>
            </v:shapetype>
            <v:shape id="Textbox 4" o:spid="_x0000_s1027" type="#_x0000_t202" style="position:absolute;margin-left:84.05pt;margin-top:695.3pt;width:235.1pt;height:5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" filled="f" stroked="f">
              <v:textbox inset="0,0,0,0">
                <w:txbxContent>
                  <w:p w14:paraId="7490582B" w14:textId="77777777" w:rsidR="00A37899" w:rsidRDefault="00A37899">
                    <w:pPr>
                      <w:spacing w:before="20"/>
                      <w:ind w:left="20"/>
                      <w:rPr>
                        <w:b/>
                        <w:sz w:val="20"/>
                      </w:rPr>
                    </w:pPr>
                    <w:r>
                      <w:rPr>
                        <w:b/>
                        <w:sz w:val="20"/>
                      </w:rPr>
                      <w:t>Agencia</w:t>
                    </w:r>
                    <w:r>
                      <w:rPr>
                        <w:b/>
                        <w:spacing w:val="-11"/>
                        <w:sz w:val="20"/>
                      </w:rPr>
                      <w:t xml:space="preserve"> </w:t>
                    </w:r>
                    <w:r>
                      <w:rPr>
                        <w:b/>
                        <w:sz w:val="20"/>
                      </w:rPr>
                      <w:t>Nacional</w:t>
                    </w:r>
                    <w:r>
                      <w:rPr>
                        <w:b/>
                        <w:spacing w:val="-11"/>
                        <w:sz w:val="20"/>
                      </w:rPr>
                      <w:t xml:space="preserve"> </w:t>
                    </w:r>
                    <w:r>
                      <w:rPr>
                        <w:b/>
                        <w:sz w:val="20"/>
                      </w:rPr>
                      <w:t>de</w:t>
                    </w:r>
                    <w:r>
                      <w:rPr>
                        <w:b/>
                        <w:spacing w:val="-11"/>
                        <w:sz w:val="20"/>
                      </w:rPr>
                      <w:t xml:space="preserve"> </w:t>
                    </w:r>
                    <w:r>
                      <w:rPr>
                        <w:b/>
                        <w:sz w:val="20"/>
                      </w:rPr>
                      <w:t>Contratación</w:t>
                    </w:r>
                    <w:r>
                      <w:rPr>
                        <w:b/>
                        <w:spacing w:val="-8"/>
                        <w:sz w:val="20"/>
                      </w:rPr>
                      <w:t xml:space="preserve"> </w:t>
                    </w:r>
                    <w:r>
                      <w:rPr>
                        <w:b/>
                        <w:sz w:val="20"/>
                      </w:rPr>
                      <w:t>Pública Colombia Compra Eficiente</w:t>
                    </w:r>
                  </w:p>
                  <w:p w14:paraId="6093513F" w14:textId="77777777" w:rsidR="00A37899" w:rsidRDefault="00A37899">
                    <w:pPr>
                      <w:ind w:left="20"/>
                      <w:rPr>
                        <w:sz w:val="18"/>
                      </w:rPr>
                    </w:pPr>
                    <w:r>
                      <w:rPr>
                        <w:sz w:val="18"/>
                      </w:rPr>
                      <w:t>Dirección:</w:t>
                    </w:r>
                    <w:r>
                      <w:rPr>
                        <w:spacing w:val="-5"/>
                        <w:sz w:val="18"/>
                      </w:rPr>
                      <w:t xml:space="preserve"> </w:t>
                    </w:r>
                    <w:r>
                      <w:rPr>
                        <w:sz w:val="18"/>
                      </w:rPr>
                      <w:t>Carrera</w:t>
                    </w:r>
                    <w:r>
                      <w:rPr>
                        <w:spacing w:val="-5"/>
                        <w:sz w:val="18"/>
                      </w:rPr>
                      <w:t xml:space="preserve"> </w:t>
                    </w:r>
                    <w:r>
                      <w:rPr>
                        <w:sz w:val="18"/>
                      </w:rPr>
                      <w:t>7</w:t>
                    </w:r>
                    <w:r>
                      <w:rPr>
                        <w:spacing w:val="-5"/>
                        <w:sz w:val="18"/>
                      </w:rPr>
                      <w:t xml:space="preserve"> </w:t>
                    </w:r>
                    <w:r>
                      <w:rPr>
                        <w:sz w:val="18"/>
                      </w:rPr>
                      <w:t>#</w:t>
                    </w:r>
                    <w:r>
                      <w:rPr>
                        <w:spacing w:val="-5"/>
                        <w:sz w:val="18"/>
                      </w:rPr>
                      <w:t xml:space="preserve"> </w:t>
                    </w:r>
                    <w:r>
                      <w:rPr>
                        <w:sz w:val="18"/>
                      </w:rPr>
                      <w:t>26</w:t>
                    </w:r>
                    <w:r>
                      <w:rPr>
                        <w:spacing w:val="-3"/>
                        <w:sz w:val="18"/>
                      </w:rPr>
                      <w:t xml:space="preserve"> </w:t>
                    </w:r>
                    <w:r>
                      <w:rPr>
                        <w:sz w:val="18"/>
                      </w:rPr>
                      <w:t>–</w:t>
                    </w:r>
                    <w:r>
                      <w:rPr>
                        <w:spacing w:val="-5"/>
                        <w:sz w:val="18"/>
                      </w:rPr>
                      <w:t xml:space="preserve"> </w:t>
                    </w:r>
                    <w:r>
                      <w:rPr>
                        <w:sz w:val="18"/>
                      </w:rPr>
                      <w:t>20</w:t>
                    </w:r>
                    <w:r>
                      <w:rPr>
                        <w:spacing w:val="-5"/>
                        <w:sz w:val="18"/>
                      </w:rPr>
                      <w:t xml:space="preserve"> </w:t>
                    </w:r>
                    <w:r>
                      <w:rPr>
                        <w:sz w:val="18"/>
                      </w:rPr>
                      <w:t>-</w:t>
                    </w:r>
                    <w:r>
                      <w:rPr>
                        <w:spacing w:val="-5"/>
                        <w:sz w:val="18"/>
                      </w:rPr>
                      <w:t xml:space="preserve"> </w:t>
                    </w:r>
                    <w:r>
                      <w:rPr>
                        <w:sz w:val="18"/>
                      </w:rPr>
                      <w:t>Bogotá,</w:t>
                    </w:r>
                    <w:r>
                      <w:rPr>
                        <w:spacing w:val="-5"/>
                        <w:sz w:val="18"/>
                      </w:rPr>
                      <w:t xml:space="preserve"> </w:t>
                    </w:r>
                    <w:r>
                      <w:rPr>
                        <w:sz w:val="18"/>
                      </w:rPr>
                      <w:t>Colombia Mesa de servicio: (+57) 601 7456788</w:t>
                    </w:r>
                  </w:p>
                </w:txbxContent>
              </v:textbox>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5FBC7A72" wp14:editId="5CB243CD">
              <wp:simplePos x="0" y="0"/>
              <wp:positionH relativeFrom="page">
                <wp:posOffset>6025148</wp:posOffset>
              </wp:positionH>
              <wp:positionV relativeFrom="page">
                <wp:posOffset>8855640</wp:posOffset>
              </wp:positionV>
              <wp:extent cx="451484" cy="1492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4" cy="149225"/>
                      </a:xfrm>
                      <a:prstGeom prst="rect">
                        <a:avLst/>
                      </a:prstGeom>
                    </wps:spPr>
                    <wps:txbx>
                      <w:txbxContent>
                        <w:p w14:paraId="0EA0BFD2" w14:textId="77777777" w:rsidR="00A37899" w:rsidRDefault="00A37899">
                          <w:pPr>
                            <w:spacing w:before="20"/>
                            <w:ind w:left="20"/>
                            <w:rPr>
                              <w:b/>
                              <w:sz w:val="16"/>
                            </w:rPr>
                          </w:pPr>
                          <w:r>
                            <w:rPr>
                              <w:b/>
                              <w:sz w:val="16"/>
                            </w:rPr>
                            <w:t>pág.</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wps:txbx>
                    <wps:bodyPr wrap="square" lIns="0" tIns="0" rIns="0" bIns="0" rtlCol="0">
                      <a:noAutofit/>
                    </wps:bodyPr>
                  </wps:wsp>
                </a:graphicData>
              </a:graphic>
            </wp:anchor>
          </w:drawing>
        </mc:Choice>
        <mc:Fallback>
          <w:pict>
            <v:shape w14:anchorId="5FBC7A72" id="Textbox 5" o:spid="_x0000_s1028" type="#_x0000_t202" style="position:absolute;margin-left:474.4pt;margin-top:697.3pt;width:35.55pt;height:11.7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wlmAEAACEDAAAOAAAAZHJzL2Uyb0RvYy54bWysUsGO0zAQvSPxD5bvNG3URUv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" filled="f" stroked="f">
              <v:textbox inset="0,0,0,0">
                <w:txbxContent>
                  <w:p w14:paraId="0EA0BFD2" w14:textId="77777777" w:rsidR="00A37899" w:rsidRDefault="00A37899">
                    <w:pPr>
                      <w:spacing w:before="20"/>
                      <w:ind w:left="20"/>
                      <w:rPr>
                        <w:b/>
                        <w:sz w:val="16"/>
                      </w:rPr>
                    </w:pPr>
                    <w:r>
                      <w:rPr>
                        <w:b/>
                        <w:sz w:val="16"/>
                      </w:rPr>
                      <w:t>pág.</w:t>
                    </w:r>
                    <w:r>
                      <w:rPr>
                        <w:b/>
                        <w:spacing w:val="-3"/>
                        <w:sz w:val="16"/>
                      </w:rPr>
                      <w:t xml:space="preserve"> </w:t>
                    </w:r>
                    <w:r>
                      <w:rPr>
                        <w:b/>
                        <w:spacing w:val="-5"/>
                        <w:sz w:val="16"/>
                      </w:rPr>
                      <w:fldChar w:fldCharType="begin"/>
                    </w:r>
                    <w:r>
                      <w:rPr>
                        <w:b/>
                        <w:spacing w:val="-5"/>
                        <w:sz w:val="16"/>
                      </w:rPr>
                      <w:instrText xml:space="preserve"> PAGE </w:instrText>
                    </w:r>
                    <w:r>
                      <w:rPr>
                        <w:b/>
                        <w:spacing w:val="-5"/>
                        <w:sz w:val="16"/>
                      </w:rPr>
                      <w:fldChar w:fldCharType="separate"/>
                    </w:r>
                    <w:r>
                      <w:rPr>
                        <w:b/>
                        <w:spacing w:val="-5"/>
                        <w:sz w:val="16"/>
                      </w:rPr>
                      <w:t>10</w:t>
                    </w:r>
                    <w:r>
                      <w:rPr>
                        <w:b/>
                        <w:spacing w:val="-5"/>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3DDFE7E3" wp14:editId="51CFD631">
              <wp:simplePos x="0" y="0"/>
              <wp:positionH relativeFrom="page">
                <wp:posOffset>4319597</wp:posOffset>
              </wp:positionH>
              <wp:positionV relativeFrom="page">
                <wp:posOffset>9466230</wp:posOffset>
              </wp:positionV>
              <wp:extent cx="2385060"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5060" cy="139065"/>
                      </a:xfrm>
                      <a:prstGeom prst="rect">
                        <a:avLst/>
                      </a:prstGeom>
                    </wps:spPr>
                    <wps:txbx>
                      <w:txbxContent>
                        <w:p w14:paraId="47EB9E46" w14:textId="77777777" w:rsidR="00A37899" w:rsidRDefault="00A37899">
                          <w:pPr>
                            <w:spacing w:before="14"/>
                            <w:ind w:left="20"/>
                            <w:rPr>
                              <w:rFonts w:ascii="Arial MT" w:hAnsi="Arial MT"/>
                              <w:sz w:val="16"/>
                            </w:rPr>
                          </w:pPr>
                          <w:r>
                            <w:rPr>
                              <w:rFonts w:ascii="Arial" w:hAnsi="Arial"/>
                              <w:b/>
                              <w:sz w:val="16"/>
                            </w:rPr>
                            <w:t>Código:</w:t>
                          </w:r>
                          <w:r>
                            <w:rPr>
                              <w:rFonts w:ascii="Arial" w:hAnsi="Arial"/>
                              <w:b/>
                              <w:spacing w:val="-5"/>
                              <w:sz w:val="16"/>
                            </w:rPr>
                            <w:t xml:space="preserve"> </w:t>
                          </w:r>
                          <w:r>
                            <w:rPr>
                              <w:rFonts w:ascii="Arial MT" w:hAnsi="Arial MT"/>
                              <w:sz w:val="16"/>
                            </w:rPr>
                            <w:t>CCE-REC-FM-17</w:t>
                          </w:r>
                          <w:r>
                            <w:rPr>
                              <w:rFonts w:ascii="Arial MT" w:hAnsi="Arial MT"/>
                              <w:spacing w:val="-5"/>
                              <w:sz w:val="16"/>
                            </w:rPr>
                            <w:t xml:space="preserve"> </w:t>
                          </w:r>
                          <w:r>
                            <w:rPr>
                              <w:rFonts w:ascii="Arial" w:hAnsi="Arial"/>
                              <w:b/>
                              <w:sz w:val="16"/>
                            </w:rPr>
                            <w:t>V:</w:t>
                          </w:r>
                          <w:r>
                            <w:rPr>
                              <w:rFonts w:ascii="Arial" w:hAnsi="Arial"/>
                              <w:b/>
                              <w:spacing w:val="-5"/>
                              <w:sz w:val="16"/>
                            </w:rPr>
                            <w:t xml:space="preserve"> </w:t>
                          </w:r>
                          <w:r>
                            <w:rPr>
                              <w:rFonts w:ascii="Arial MT" w:hAnsi="Arial MT"/>
                              <w:sz w:val="16"/>
                            </w:rPr>
                            <w:t>03</w:t>
                          </w:r>
                          <w:r>
                            <w:rPr>
                              <w:rFonts w:ascii="Arial MT" w:hAnsi="Arial MT"/>
                              <w:spacing w:val="-6"/>
                              <w:sz w:val="16"/>
                            </w:rPr>
                            <w:t xml:space="preserve"> </w:t>
                          </w:r>
                          <w:r>
                            <w:rPr>
                              <w:rFonts w:ascii="Arial MT" w:hAnsi="Arial MT"/>
                              <w:sz w:val="16"/>
                            </w:rPr>
                            <w:t>Fecha:</w:t>
                          </w:r>
                          <w:r>
                            <w:rPr>
                              <w:rFonts w:ascii="Arial MT" w:hAnsi="Arial MT"/>
                              <w:spacing w:val="-5"/>
                              <w:sz w:val="16"/>
                            </w:rPr>
                            <w:t xml:space="preserve"> </w:t>
                          </w:r>
                          <w:r>
                            <w:rPr>
                              <w:rFonts w:ascii="Arial MT" w:hAnsi="Arial MT"/>
                              <w:sz w:val="16"/>
                            </w:rPr>
                            <w:t>21-10-</w:t>
                          </w:r>
                          <w:r>
                            <w:rPr>
                              <w:rFonts w:ascii="Arial MT" w:hAnsi="Arial MT"/>
                              <w:spacing w:val="-4"/>
                              <w:sz w:val="16"/>
                            </w:rPr>
                            <w:t>2025</w:t>
                          </w:r>
                        </w:p>
                      </w:txbxContent>
                    </wps:txbx>
                    <wps:bodyPr wrap="square" lIns="0" tIns="0" rIns="0" bIns="0" rtlCol="0">
                      <a:noAutofit/>
                    </wps:bodyPr>
                  </wps:wsp>
                </a:graphicData>
              </a:graphic>
            </wp:anchor>
          </w:drawing>
        </mc:Choice>
        <mc:Fallback>
          <w:pict>
            <v:shape w14:anchorId="3DDFE7E3" id="Textbox 6" o:spid="_x0000_s1029" type="#_x0000_t202" style="position:absolute;margin-left:340.15pt;margin-top:745.35pt;width:187.8pt;height:10.9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" filled="f" stroked="f">
              <v:textbox inset="0,0,0,0">
                <w:txbxContent>
                  <w:p w14:paraId="47EB9E46" w14:textId="77777777" w:rsidR="00A37899" w:rsidRDefault="00A37899">
                    <w:pPr>
                      <w:spacing w:before="14"/>
                      <w:ind w:left="20"/>
                      <w:rPr>
                        <w:rFonts w:ascii="Arial MT" w:hAnsi="Arial MT"/>
                        <w:sz w:val="16"/>
                      </w:rPr>
                    </w:pPr>
                    <w:r>
                      <w:rPr>
                        <w:rFonts w:ascii="Arial" w:hAnsi="Arial"/>
                        <w:b/>
                        <w:sz w:val="16"/>
                      </w:rPr>
                      <w:t>Código:</w:t>
                    </w:r>
                    <w:r>
                      <w:rPr>
                        <w:rFonts w:ascii="Arial" w:hAnsi="Arial"/>
                        <w:b/>
                        <w:spacing w:val="-5"/>
                        <w:sz w:val="16"/>
                      </w:rPr>
                      <w:t xml:space="preserve"> </w:t>
                    </w:r>
                    <w:r>
                      <w:rPr>
                        <w:rFonts w:ascii="Arial MT" w:hAnsi="Arial MT"/>
                        <w:sz w:val="16"/>
                      </w:rPr>
                      <w:t>CCE-REC-FM-17</w:t>
                    </w:r>
                    <w:r>
                      <w:rPr>
                        <w:rFonts w:ascii="Arial MT" w:hAnsi="Arial MT"/>
                        <w:spacing w:val="-5"/>
                        <w:sz w:val="16"/>
                      </w:rPr>
                      <w:t xml:space="preserve"> </w:t>
                    </w:r>
                    <w:r>
                      <w:rPr>
                        <w:rFonts w:ascii="Arial" w:hAnsi="Arial"/>
                        <w:b/>
                        <w:sz w:val="16"/>
                      </w:rPr>
                      <w:t>V:</w:t>
                    </w:r>
                    <w:r>
                      <w:rPr>
                        <w:rFonts w:ascii="Arial" w:hAnsi="Arial"/>
                        <w:b/>
                        <w:spacing w:val="-5"/>
                        <w:sz w:val="16"/>
                      </w:rPr>
                      <w:t xml:space="preserve"> </w:t>
                    </w:r>
                    <w:r>
                      <w:rPr>
                        <w:rFonts w:ascii="Arial MT" w:hAnsi="Arial MT"/>
                        <w:sz w:val="16"/>
                      </w:rPr>
                      <w:t>03</w:t>
                    </w:r>
                    <w:r>
                      <w:rPr>
                        <w:rFonts w:ascii="Arial MT" w:hAnsi="Arial MT"/>
                        <w:spacing w:val="-6"/>
                        <w:sz w:val="16"/>
                      </w:rPr>
                      <w:t xml:space="preserve"> </w:t>
                    </w:r>
                    <w:r>
                      <w:rPr>
                        <w:rFonts w:ascii="Arial MT" w:hAnsi="Arial MT"/>
                        <w:sz w:val="16"/>
                      </w:rPr>
                      <w:t>Fecha:</w:t>
                    </w:r>
                    <w:r>
                      <w:rPr>
                        <w:rFonts w:ascii="Arial MT" w:hAnsi="Arial MT"/>
                        <w:spacing w:val="-5"/>
                        <w:sz w:val="16"/>
                      </w:rPr>
                      <w:t xml:space="preserve"> </w:t>
                    </w:r>
                    <w:r>
                      <w:rPr>
                        <w:rFonts w:ascii="Arial MT" w:hAnsi="Arial MT"/>
                        <w:sz w:val="16"/>
                      </w:rPr>
                      <w:t>21-10-</w:t>
                    </w:r>
                    <w:r>
                      <w:rPr>
                        <w:rFonts w:ascii="Arial MT" w:hAnsi="Arial MT"/>
                        <w:spacing w:val="-4"/>
                        <w:sz w:val="16"/>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29B6" w14:textId="77777777" w:rsidR="00810AFB" w:rsidRDefault="00810AFB" w:rsidP="004A1847">
      <w:pPr>
        <w:spacing w:after="0" w:line="240" w:lineRule="auto"/>
      </w:pPr>
      <w:r>
        <w:separator/>
      </w:r>
    </w:p>
  </w:footnote>
  <w:footnote w:type="continuationSeparator" w:id="0">
    <w:p w14:paraId="606A3CFD" w14:textId="77777777" w:rsidR="00810AFB" w:rsidRDefault="00810AFB" w:rsidP="004A1847">
      <w:pPr>
        <w:spacing w:after="0" w:line="240" w:lineRule="auto"/>
      </w:pPr>
      <w:r>
        <w:continuationSeparator/>
      </w:r>
    </w:p>
  </w:footnote>
  <w:footnote w:id="1">
    <w:p w14:paraId="5E46805D"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51B7571C"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Fonts w:ascii="Verdana" w:hAnsi="Verdana" w:cs="Arial"/>
          <w:sz w:val="14"/>
          <w:szCs w:val="14"/>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2">
    <w:p w14:paraId="0195B986"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Gaceta del Congreso de la República No. 71 del 2005.</w:t>
      </w:r>
    </w:p>
  </w:footnote>
  <w:footnote w:id="3">
    <w:p w14:paraId="67FAEFD1" w14:textId="77777777" w:rsidR="00A37899" w:rsidRPr="00181C01" w:rsidRDefault="00A37899" w:rsidP="00A37899">
      <w:pPr>
        <w:pStyle w:val="Textonotapie"/>
        <w:ind w:firstLine="709"/>
        <w:contextualSpacing/>
        <w:jc w:val="both"/>
        <w:rPr>
          <w:rFonts w:ascii="Verdana" w:hAnsi="Verdana" w:cs="Arial"/>
          <w:sz w:val="14"/>
          <w:szCs w:val="14"/>
          <w:lang w:val="pt-BR"/>
        </w:rPr>
      </w:pPr>
      <w:r w:rsidRPr="00181C01">
        <w:rPr>
          <w:rStyle w:val="Refdenotaalpie"/>
          <w:rFonts w:ascii="Verdana" w:hAnsi="Verdana" w:cs="Arial"/>
          <w:sz w:val="14"/>
          <w:szCs w:val="14"/>
        </w:rPr>
        <w:footnoteRef/>
      </w:r>
      <w:r w:rsidRPr="00181C01">
        <w:rPr>
          <w:rFonts w:ascii="Verdana" w:hAnsi="Verdana" w:cs="Arial"/>
          <w:sz w:val="14"/>
          <w:szCs w:val="14"/>
          <w:lang w:val="pt-BR"/>
        </w:rPr>
        <w:t xml:space="preserve"> Corte Constitucional, Sentencia C- 1153 de 2005, M.P. Marco Gerardo </w:t>
      </w:r>
      <w:r w:rsidRPr="00181C01">
        <w:rPr>
          <w:rFonts w:ascii="Verdana" w:hAnsi="Verdana" w:cs="Arial"/>
          <w:sz w:val="14"/>
          <w:szCs w:val="14"/>
          <w:lang w:val="pt-BR"/>
        </w:rPr>
        <w:t>Monroy Cabra.</w:t>
      </w:r>
    </w:p>
  </w:footnote>
  <w:footnote w:id="4">
    <w:p w14:paraId="20CF103A" w14:textId="77777777" w:rsidR="00A37899" w:rsidRPr="00181C01" w:rsidRDefault="00A37899" w:rsidP="00A37899">
      <w:pPr>
        <w:pStyle w:val="Textonotapie"/>
        <w:ind w:firstLine="709"/>
        <w:contextualSpacing/>
        <w:jc w:val="both"/>
        <w:rPr>
          <w:rFonts w:ascii="Verdana" w:hAnsi="Verdana" w:cs="Arial"/>
          <w:sz w:val="14"/>
          <w:szCs w:val="14"/>
          <w:lang w:val="pt-BR"/>
        </w:rPr>
      </w:pPr>
      <w:r w:rsidRPr="00181C01">
        <w:rPr>
          <w:rStyle w:val="Refdenotaalpie"/>
          <w:rFonts w:ascii="Verdana" w:hAnsi="Verdana" w:cs="Arial"/>
          <w:sz w:val="14"/>
          <w:szCs w:val="14"/>
        </w:rPr>
        <w:footnoteRef/>
      </w:r>
      <w:r w:rsidRPr="00181C01">
        <w:rPr>
          <w:rFonts w:ascii="Verdana" w:hAnsi="Verdana" w:cs="Arial"/>
          <w:sz w:val="14"/>
          <w:szCs w:val="14"/>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5">
    <w:p w14:paraId="42AE4435"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rPr>
        <w:footnoteRef/>
      </w:r>
      <w:r w:rsidRPr="00181C01">
        <w:rPr>
          <w:rFonts w:ascii="Verdana" w:hAnsi="Verdana" w:cs="Arial"/>
          <w:sz w:val="14"/>
          <w:szCs w:val="14"/>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6">
    <w:p w14:paraId="327B7581" w14:textId="77777777" w:rsidR="00A37899" w:rsidRPr="00181C01" w:rsidRDefault="00A37899" w:rsidP="00A37899">
      <w:pPr>
        <w:pStyle w:val="Textonotapie"/>
        <w:ind w:firstLine="709"/>
        <w:contextualSpacing/>
        <w:jc w:val="both"/>
        <w:rPr>
          <w:rFonts w:ascii="Verdana"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Consejo de Estado, Sala de Consulta y Servicio Civil de fecha 24 de julio de 2013, radicado 2166, C. P. Álvaro Namén Vargas.  </w:t>
      </w:r>
    </w:p>
  </w:footnote>
  <w:footnote w:id="7">
    <w:p w14:paraId="45579DF2" w14:textId="77777777" w:rsidR="00A37899" w:rsidRPr="00181C01" w:rsidRDefault="00A37899" w:rsidP="00A37899">
      <w:pPr>
        <w:spacing w:after="0" w:line="240" w:lineRule="auto"/>
        <w:ind w:firstLine="709"/>
        <w:contextualSpacing/>
        <w:jc w:val="both"/>
        <w:rPr>
          <w:rFonts w:ascii="Verdana" w:eastAsia="Times New Roman" w:hAnsi="Verdana" w:cs="Arial"/>
          <w:sz w:val="14"/>
          <w:szCs w:val="14"/>
        </w:rPr>
      </w:pPr>
      <w:r w:rsidRPr="00181C01">
        <w:rPr>
          <w:rStyle w:val="Refdenotaalpie"/>
          <w:rFonts w:ascii="Verdana" w:hAnsi="Verdana" w:cs="Arial"/>
          <w:sz w:val="14"/>
          <w:szCs w:val="14"/>
        </w:rPr>
        <w:footnoteRef/>
      </w:r>
      <w:r w:rsidRPr="00181C01">
        <w:rPr>
          <w:rFonts w:ascii="Verdana" w:hAnsi="Verdana" w:cs="Arial"/>
          <w:sz w:val="14"/>
          <w:szCs w:val="14"/>
        </w:rPr>
        <w:t xml:space="preserve"> </w:t>
      </w:r>
      <w:bookmarkStart w:id="5" w:name="33"/>
      <w:r w:rsidRPr="00181C01">
        <w:rPr>
          <w:rFonts w:ascii="Verdana" w:eastAsia="Calibri" w:hAnsi="Verdana" w:cs="Arial"/>
          <w:color w:val="000000"/>
          <w:sz w:val="14"/>
          <w:szCs w:val="14"/>
        </w:rPr>
        <w:t>“</w:t>
      </w:r>
      <w:r w:rsidRPr="00181C01">
        <w:rPr>
          <w:rFonts w:ascii="Verdana" w:eastAsia="Times New Roman" w:hAnsi="Verdana" w:cs="Arial"/>
          <w:sz w:val="14"/>
          <w:szCs w:val="14"/>
        </w:rPr>
        <w:t>Artículo 33. Restricciones a la contratación pública.</w:t>
      </w:r>
      <w:bookmarkEnd w:id="5"/>
      <w:r w:rsidRPr="00181C01">
        <w:rPr>
          <w:rFonts w:ascii="Verdana" w:eastAsia="Times New Roman" w:hAnsi="Verdana" w:cs="Arial"/>
          <w:sz w:val="14"/>
          <w:szCs w:val="14"/>
        </w:rPr>
        <w:t> Durante los cuatro (4) meses anteriores a la elección presidencial y hasta la realización de la elección en la segunda vuelta, si fuere el caso, queda prohibida la contratación directa por parte de todos los entes del Estado.</w:t>
      </w:r>
    </w:p>
    <w:p w14:paraId="4D531CB6" w14:textId="77777777" w:rsidR="00A37899" w:rsidRPr="00181C01" w:rsidRDefault="00A37899" w:rsidP="00A37899">
      <w:pPr>
        <w:spacing w:after="0" w:line="240" w:lineRule="auto"/>
        <w:ind w:firstLine="709"/>
        <w:contextualSpacing/>
        <w:jc w:val="both"/>
        <w:rPr>
          <w:rFonts w:ascii="Verdana" w:eastAsia="Times New Roman" w:hAnsi="Verdana" w:cs="Arial"/>
          <w:sz w:val="14"/>
          <w:szCs w:val="14"/>
        </w:rPr>
      </w:pPr>
      <w:r w:rsidRPr="00181C01">
        <w:rPr>
          <w:rFonts w:ascii="Verdana" w:eastAsia="Times New Roman" w:hAnsi="Verdana" w:cs="Arial"/>
          <w:sz w:val="14"/>
          <w:szCs w:val="14"/>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181C01">
        <w:rPr>
          <w:rFonts w:ascii="Verdana" w:eastAsia="Calibri" w:hAnsi="Verdana" w:cs="Arial"/>
          <w:color w:val="000000"/>
          <w:sz w:val="14"/>
          <w:szCs w:val="14"/>
        </w:rPr>
        <w:t>”</w:t>
      </w:r>
      <w:r w:rsidRPr="00181C01">
        <w:rPr>
          <w:rFonts w:ascii="Verdana" w:eastAsia="Times New Roman" w:hAnsi="Verdana" w:cs="Arial"/>
          <w:sz w:val="14"/>
          <w:szCs w:val="14"/>
        </w:rPr>
        <w:t>.</w:t>
      </w:r>
    </w:p>
  </w:footnote>
  <w:footnote w:id="8">
    <w:p w14:paraId="08815D1E" w14:textId="77777777" w:rsidR="00A37899" w:rsidRPr="00181C01" w:rsidRDefault="00A37899" w:rsidP="00A37899">
      <w:pPr>
        <w:pStyle w:val="NormalWeb"/>
        <w:spacing w:before="0" w:beforeAutospacing="0" w:after="0" w:afterAutospacing="0"/>
        <w:ind w:firstLine="709"/>
        <w:contextualSpacing/>
        <w:jc w:val="both"/>
        <w:rPr>
          <w:rFonts w:ascii="Verdana" w:hAnsi="Verdana" w:cs="Arial"/>
          <w:sz w:val="14"/>
          <w:szCs w:val="14"/>
          <w:lang w:val="es-MX"/>
        </w:rPr>
      </w:pPr>
      <w:r w:rsidRPr="00181C01">
        <w:rPr>
          <w:rStyle w:val="Refdenotaalpie"/>
          <w:rFonts w:ascii="Verdana" w:hAnsi="Verdana" w:cs="Arial"/>
          <w:sz w:val="14"/>
          <w:szCs w:val="14"/>
        </w:rPr>
        <w:footnoteRef/>
      </w:r>
      <w:r w:rsidRPr="00181C01">
        <w:rPr>
          <w:rFonts w:ascii="Verdana" w:hAnsi="Verdana" w:cs="Arial"/>
          <w:sz w:val="14"/>
          <w:szCs w:val="14"/>
        </w:rPr>
        <w:t xml:space="preserve"> </w:t>
      </w:r>
      <w:bookmarkStart w:id="6" w:name="38"/>
      <w:r w:rsidRPr="00181C01">
        <w:rPr>
          <w:rFonts w:ascii="Verdana" w:eastAsia="Calibri" w:hAnsi="Verdana" w:cs="Arial"/>
          <w:color w:val="000000"/>
          <w:sz w:val="14"/>
          <w:szCs w:val="14"/>
        </w:rPr>
        <w:t>“</w:t>
      </w:r>
      <w:r w:rsidRPr="00181C01">
        <w:rPr>
          <w:rFonts w:ascii="Verdana" w:hAnsi="Verdana" w:cs="Arial"/>
          <w:sz w:val="14"/>
          <w:szCs w:val="14"/>
          <w:lang w:val="es-MX"/>
        </w:rPr>
        <w:t>Artículo 38. Prohibiciones para los servidores públicos. A los empleados del Estado les está prohibido:</w:t>
      </w:r>
      <w:bookmarkEnd w:id="6"/>
      <w:r w:rsidRPr="00181C01">
        <w:rPr>
          <w:rFonts w:ascii="Verdana" w:hAnsi="Verdana" w:cs="Arial"/>
          <w:sz w:val="14"/>
          <w:szCs w:val="14"/>
          <w:lang w:val="es-MX"/>
        </w:rPr>
        <w:t xml:space="preserve"> […]</w:t>
      </w:r>
    </w:p>
    <w:p w14:paraId="65DE0A0F" w14:textId="77777777" w:rsidR="00A37899" w:rsidRPr="00181C01" w:rsidRDefault="00A37899" w:rsidP="00A37899">
      <w:pPr>
        <w:pStyle w:val="NormalWeb"/>
        <w:spacing w:before="0" w:beforeAutospacing="0" w:after="0" w:afterAutospacing="0"/>
        <w:ind w:firstLine="709"/>
        <w:contextualSpacing/>
        <w:jc w:val="both"/>
        <w:rPr>
          <w:rFonts w:ascii="Verdana" w:hAnsi="Verdana" w:cs="Arial"/>
          <w:sz w:val="14"/>
          <w:szCs w:val="14"/>
          <w:lang w:val="es-MX"/>
        </w:rPr>
      </w:pPr>
      <w:r w:rsidRPr="00181C01">
        <w:rPr>
          <w:rStyle w:val="baj"/>
          <w:rFonts w:ascii="Verdana" w:hAnsi="Verdana" w:cs="Arial"/>
          <w:sz w:val="14"/>
          <w:szCs w:val="14"/>
          <w:lang w:val="es-MX"/>
        </w:rPr>
        <w:t>Parágrafo.</w:t>
      </w:r>
      <w:r w:rsidRPr="00181C01">
        <w:rPr>
          <w:rFonts w:ascii="Verdana" w:hAnsi="Verdana" w:cs="Arial"/>
          <w:sz w:val="14"/>
          <w:szCs w:val="14"/>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181C01">
        <w:rPr>
          <w:rFonts w:ascii="Verdana" w:eastAsia="Calibri" w:hAnsi="Verdana" w:cs="Arial"/>
          <w:color w:val="000000"/>
          <w:sz w:val="14"/>
          <w:szCs w:val="14"/>
        </w:rPr>
        <w:t>”</w:t>
      </w:r>
      <w:r w:rsidRPr="00181C01">
        <w:rPr>
          <w:rFonts w:ascii="Verdana" w:hAnsi="Verdana" w:cs="Arial"/>
          <w:sz w:val="14"/>
          <w:szCs w:val="14"/>
          <w:lang w:val="es-MX"/>
        </w:rPr>
        <w:t>.</w:t>
      </w:r>
    </w:p>
  </w:footnote>
  <w:footnote w:id="9">
    <w:p w14:paraId="1234CA34" w14:textId="77777777" w:rsidR="00A37899" w:rsidRPr="00181C01" w:rsidRDefault="00A37899" w:rsidP="00A37899">
      <w:pPr>
        <w:spacing w:after="0" w:line="240" w:lineRule="auto"/>
        <w:ind w:left="100" w:right="244" w:firstLine="709"/>
        <w:contextualSpacing/>
        <w:jc w:val="both"/>
        <w:rPr>
          <w:rFonts w:ascii="Verdana" w:hAnsi="Verdana" w:cs="Arial"/>
          <w:sz w:val="14"/>
          <w:szCs w:val="14"/>
          <w:lang w:val="es-ES"/>
        </w:rPr>
      </w:pPr>
      <w:r w:rsidRPr="00181C01">
        <w:rPr>
          <w:rStyle w:val="Refdenotaalpie"/>
          <w:rFonts w:ascii="Verdana" w:hAnsi="Verdana" w:cs="Arial"/>
          <w:sz w:val="14"/>
          <w:szCs w:val="14"/>
        </w:rPr>
        <w:footnoteRef/>
      </w:r>
      <w:r w:rsidRPr="00181C01">
        <w:rPr>
          <w:rFonts w:ascii="Verdana" w:hAnsi="Verdana" w:cs="Arial"/>
          <w:sz w:val="14"/>
          <w:szCs w:val="14"/>
        </w:rPr>
        <w:t xml:space="preserve"> Consejo de Estado. Sala de Consulta y Servicio Civil. Concepto del 17 de febrero de 2015. C.P. William Zambrano Cetina. Radicación No. 11001-03-06-000-2015-00164-00(2269).</w:t>
      </w:r>
    </w:p>
  </w:footnote>
  <w:footnote w:id="10">
    <w:p w14:paraId="0E3DDDD2" w14:textId="77777777" w:rsidR="00A37899" w:rsidRPr="00181C01" w:rsidRDefault="00A37899" w:rsidP="00A37899">
      <w:pPr>
        <w:pStyle w:val="Textonotapie"/>
        <w:ind w:right="51"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“[26] Al respecto ver el concepto 1712 de 2 de febrero de 2006. Consejo de Estado Sala de Consulta y Servicio Civil”.</w:t>
      </w:r>
    </w:p>
    <w:p w14:paraId="76738C37" w14:textId="77777777" w:rsidR="00A37899" w:rsidRPr="00181C01" w:rsidRDefault="00A37899" w:rsidP="00A37899">
      <w:pPr>
        <w:pStyle w:val="Textonotapie"/>
        <w:ind w:right="51" w:firstLine="709"/>
        <w:contextualSpacing/>
        <w:jc w:val="both"/>
        <w:rPr>
          <w:rFonts w:ascii="Verdana" w:hAnsi="Verdana" w:cs="Arial"/>
          <w:sz w:val="14"/>
          <w:szCs w:val="14"/>
          <w:lang w:val="es-CO"/>
        </w:rPr>
      </w:pPr>
    </w:p>
  </w:footnote>
  <w:footnote w:id="11">
    <w:p w14:paraId="49D70C65"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Consejo de Estado. Sala de Consulta y Servicio Civil. Concepto del 2 de septiembre de 2013. Radicación número: 11001-03-06-000-2013-00412-00 (2168). Consejero Ponente: Álvaro Namén Vargas.</w:t>
      </w:r>
    </w:p>
    <w:p w14:paraId="5A03669E"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2">
    <w:p w14:paraId="4F8492C4"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Artículo 2. </w:t>
      </w:r>
    </w:p>
    <w:p w14:paraId="2BFF3B1A"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3">
    <w:p w14:paraId="798B1C60"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w:t>
      </w:r>
      <w:r w:rsidRPr="00181C01">
        <w:rPr>
          <w:rFonts w:ascii="Verdana" w:hAnsi="Verdana" w:cs="Arial"/>
          <w:i/>
          <w:sz w:val="14"/>
          <w:szCs w:val="14"/>
          <w:lang w:val="es-CO"/>
        </w:rPr>
        <w:t>Ídem</w:t>
      </w:r>
      <w:r w:rsidRPr="00181C01">
        <w:rPr>
          <w:rFonts w:ascii="Verdana" w:hAnsi="Verdana" w:cs="Arial"/>
          <w:sz w:val="14"/>
          <w:szCs w:val="14"/>
          <w:lang w:val="es-CO"/>
        </w:rPr>
        <w:t>.</w:t>
      </w:r>
    </w:p>
    <w:p w14:paraId="68CC7719"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4">
    <w:p w14:paraId="0701ED67" w14:textId="77777777" w:rsidR="00A37899" w:rsidRPr="00181C01" w:rsidRDefault="00A37899" w:rsidP="00A37899">
      <w:pPr>
        <w:pStyle w:val="Textonotapie"/>
        <w:ind w:firstLine="709"/>
        <w:contextualSpacing/>
        <w:jc w:val="both"/>
        <w:rPr>
          <w:rFonts w:ascii="Verdana" w:hAnsi="Verdana" w:cs="Arial"/>
          <w:sz w:val="14"/>
          <w:szCs w:val="14"/>
          <w:lang w:val="es-CO"/>
        </w:rPr>
      </w:pPr>
      <w:r w:rsidRPr="00181C01">
        <w:rPr>
          <w:rStyle w:val="Refdenotaalpie"/>
          <w:rFonts w:ascii="Verdana" w:hAnsi="Verdana" w:cs="Arial"/>
          <w:sz w:val="14"/>
          <w:szCs w:val="14"/>
          <w:lang w:val="es-CO"/>
        </w:rPr>
        <w:footnoteRef/>
      </w:r>
      <w:r w:rsidRPr="00181C01">
        <w:rPr>
          <w:rFonts w:ascii="Verdana" w:hAnsi="Verdana" w:cs="Arial"/>
          <w:sz w:val="14"/>
          <w:szCs w:val="14"/>
          <w:lang w:val="es-CO"/>
        </w:rPr>
        <w:t xml:space="preserve"> Consejo de Estado. Sala de Consulta y Servicio Civil. Concepto del 08 de mayo de 2018. </w:t>
      </w:r>
      <w:r w:rsidRPr="00181C01">
        <w:rPr>
          <w:rFonts w:ascii="Verdana" w:hAnsi="Verdana" w:cs="Arial"/>
          <w:sz w:val="14"/>
          <w:szCs w:val="14"/>
          <w:lang w:val="es-CO"/>
        </w:rPr>
        <w:t>Exp. 2.382. C.P. Álvaro Namén Vargas.</w:t>
      </w:r>
    </w:p>
    <w:p w14:paraId="6FFD2A6F" w14:textId="77777777" w:rsidR="00A37899" w:rsidRPr="00181C01" w:rsidRDefault="00A37899" w:rsidP="00A37899">
      <w:pPr>
        <w:pStyle w:val="Textonotapie"/>
        <w:ind w:firstLine="709"/>
        <w:contextualSpacing/>
        <w:jc w:val="both"/>
        <w:rPr>
          <w:rFonts w:ascii="Verdana" w:hAnsi="Verdana" w:cs="Arial"/>
          <w:sz w:val="14"/>
          <w:szCs w:val="14"/>
          <w:lang w:val="es-CO"/>
        </w:rPr>
      </w:pPr>
    </w:p>
  </w:footnote>
  <w:footnote w:id="15">
    <w:p w14:paraId="5E51CFFF" w14:textId="77777777" w:rsidR="00A37899" w:rsidRPr="00181C01" w:rsidRDefault="00A37899" w:rsidP="00A37899">
      <w:pPr>
        <w:pStyle w:val="Textonotapie"/>
        <w:ind w:firstLine="708"/>
        <w:contextualSpacing/>
        <w:jc w:val="both"/>
        <w:rPr>
          <w:rFonts w:ascii="Verdana" w:eastAsia="Calibri" w:hAnsi="Verdana" w:cs="Arial"/>
          <w:sz w:val="14"/>
          <w:szCs w:val="14"/>
          <w:lang w:val="es-CO"/>
        </w:rPr>
      </w:pPr>
      <w:r w:rsidRPr="00181C01">
        <w:rPr>
          <w:rStyle w:val="Refdenotaalpie"/>
          <w:rFonts w:ascii="Verdana" w:hAnsi="Verdana"/>
          <w:sz w:val="14"/>
          <w:szCs w:val="14"/>
          <w:lang w:val="es-CO"/>
        </w:rPr>
        <w:footnoteRef/>
      </w:r>
      <w:r w:rsidRPr="00181C01">
        <w:rPr>
          <w:rFonts w:ascii="Verdana" w:hAnsi="Verdana"/>
          <w:sz w:val="14"/>
          <w:szCs w:val="14"/>
          <w:lang w:val="es-CO"/>
        </w:rPr>
        <w:t xml:space="preserve"> </w:t>
      </w:r>
      <w:r w:rsidRPr="00181C01">
        <w:rPr>
          <w:rFonts w:ascii="Verdana" w:eastAsia="Calibri" w:hAnsi="Verdana" w:cs="Arial"/>
          <w:sz w:val="14"/>
          <w:szCs w:val="14"/>
          <w:lang w:val="es-CO"/>
        </w:rPr>
        <w:t>Ibidem.</w:t>
      </w:r>
    </w:p>
    <w:p w14:paraId="03A5443B" w14:textId="77777777" w:rsidR="00A37899" w:rsidRPr="00181C01" w:rsidRDefault="00A37899" w:rsidP="00A37899">
      <w:pPr>
        <w:pStyle w:val="Textonotapie"/>
        <w:ind w:firstLine="708"/>
        <w:contextualSpacing/>
        <w:jc w:val="both"/>
        <w:rPr>
          <w:rFonts w:ascii="Verdana" w:hAnsi="Verdana"/>
          <w:sz w:val="14"/>
          <w:szCs w:val="14"/>
          <w:lang w:val="es-CO"/>
        </w:rPr>
      </w:pPr>
    </w:p>
  </w:footnote>
  <w:footnote w:id="16">
    <w:p w14:paraId="76372FB2" w14:textId="77777777" w:rsidR="00A37899" w:rsidRPr="00181C01" w:rsidRDefault="00A37899" w:rsidP="00A37899">
      <w:pPr>
        <w:spacing w:after="0" w:line="240" w:lineRule="auto"/>
        <w:ind w:firstLine="709"/>
        <w:contextualSpacing/>
        <w:jc w:val="both"/>
        <w:rPr>
          <w:rFonts w:ascii="Verdana" w:hAnsi="Verdana" w:cs="Arial"/>
          <w:color w:val="000000" w:themeColor="text1"/>
          <w:sz w:val="14"/>
          <w:szCs w:val="14"/>
        </w:rPr>
      </w:pPr>
      <w:r w:rsidRPr="00181C01">
        <w:rPr>
          <w:rStyle w:val="Refdenotaalpie"/>
          <w:rFonts w:ascii="Verdana" w:hAnsi="Verdana" w:cs="Arial"/>
          <w:color w:val="000000" w:themeColor="text1"/>
          <w:sz w:val="14"/>
          <w:szCs w:val="14"/>
        </w:rPr>
        <w:footnoteRef/>
      </w:r>
      <w:r w:rsidRPr="00181C01">
        <w:rPr>
          <w:rFonts w:ascii="Verdana" w:hAnsi="Verdana" w:cs="Arial"/>
          <w:color w:val="000000" w:themeColor="text1"/>
          <w:sz w:val="14"/>
          <w:szCs w:val="14"/>
        </w:rPr>
        <w:t xml:space="preserve"> Consejo de Estado. Sala de Consulta y Servicio Civil. Concepto de 20 de febrero de 2006. Radicación Número: 11001-03-06-000-2006-00026-00(1727). C.P: Enrique José Arboleda Perdomo. Conceptuó que para las entidades que contratan por el derecho privado, estaba prohibida la contratación diferente de la licitación pública regulada por el código de comercio, criterio que luego se extendió para aquellos procesos que, en algunos sistemas de contratación utilizados por entidades públicas con regímenes especiales y establecidos en sus manuales de contratación, utilicen convocatoria de manera pública y se permita la participación de una pluralidad de oferentes.</w:t>
      </w:r>
    </w:p>
  </w:footnote>
  <w:footnote w:id="17">
    <w:p w14:paraId="3E2DBC92"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Corte Constitucional. Sentencia C-1153 de 2005 M.P: Marco Gerardo Monroy Cabra. </w:t>
      </w:r>
    </w:p>
    <w:p w14:paraId="7BA7FF15"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p>
  </w:footnote>
  <w:footnote w:id="18">
    <w:p w14:paraId="76F1C4DB"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Consejo de Estado. Sala de Consulta y Servicio Civil. Concepto del 18 de febrero 2010. Radicado: 11001-03-06-000-2010-00006-00 (1985). C.P. Enrique José Arboleda Perdomo.</w:t>
      </w:r>
    </w:p>
    <w:p w14:paraId="341A0C0E"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p>
  </w:footnote>
  <w:footnote w:id="19">
    <w:p w14:paraId="664D50B9"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Consejo de Estado. Sala de Consulta y Servicio Civil. Concepto del 02 de septiembre de 2013. Radicado: 11001-03-06-000-2013-00412-00 (2168). C.P. Álvaro Namén Vargas.</w:t>
      </w:r>
    </w:p>
    <w:p w14:paraId="3F1EA8AB" w14:textId="77777777" w:rsidR="00A37899" w:rsidRPr="00181C01" w:rsidRDefault="00A37899" w:rsidP="00A37899">
      <w:pPr>
        <w:pStyle w:val="Textonotapie"/>
        <w:ind w:firstLine="708"/>
        <w:contextualSpacing/>
        <w:jc w:val="both"/>
        <w:rPr>
          <w:rFonts w:ascii="Verdana" w:hAnsi="Verdana" w:cs="Arial"/>
          <w:color w:val="000000" w:themeColor="text1"/>
          <w:sz w:val="14"/>
          <w:szCs w:val="14"/>
          <w:lang w:val="es-CO"/>
        </w:rPr>
      </w:pPr>
    </w:p>
  </w:footnote>
  <w:footnote w:id="20">
    <w:p w14:paraId="16396B56" w14:textId="77777777" w:rsidR="00A37899" w:rsidRPr="00181C01" w:rsidRDefault="00A37899" w:rsidP="00A37899">
      <w:pPr>
        <w:pStyle w:val="Textonotapie"/>
        <w:ind w:firstLine="709"/>
        <w:contextualSpacing/>
        <w:jc w:val="both"/>
        <w:rPr>
          <w:rFonts w:ascii="Verdana" w:hAnsi="Verdana" w:cs="Arial"/>
          <w:color w:val="000000" w:themeColor="text1"/>
          <w:sz w:val="14"/>
          <w:szCs w:val="14"/>
          <w:lang w:val="es-CO"/>
        </w:rPr>
      </w:pPr>
      <w:r w:rsidRPr="00181C01">
        <w:rPr>
          <w:rStyle w:val="Refdenotaalpie"/>
          <w:rFonts w:ascii="Verdana" w:hAnsi="Verdana" w:cs="Arial"/>
          <w:color w:val="000000" w:themeColor="text1"/>
          <w:sz w:val="14"/>
          <w:szCs w:val="14"/>
          <w:lang w:val="es-CO"/>
        </w:rPr>
        <w:footnoteRef/>
      </w:r>
      <w:r w:rsidRPr="00181C01">
        <w:rPr>
          <w:rFonts w:ascii="Verdana" w:hAnsi="Verdana" w:cs="Arial"/>
          <w:color w:val="000000" w:themeColor="text1"/>
          <w:sz w:val="14"/>
          <w:szCs w:val="14"/>
          <w:lang w:val="es-CO"/>
        </w:rPr>
        <w:t xml:space="preserve"> Consejo de Estado. Sala de Consulta y Servicio Civil. Concepto de 20 de febrero de2006. Radicación 11001-03-06-000-2006-00023-00(1724). C.P: Flavio Augusto Rodríguez Arce.</w:t>
      </w:r>
    </w:p>
    <w:p w14:paraId="33D77319" w14:textId="77777777" w:rsidR="00A37899" w:rsidRPr="00181C01" w:rsidRDefault="00A37899" w:rsidP="00A37899">
      <w:pPr>
        <w:pStyle w:val="Textonotapie"/>
        <w:ind w:firstLine="709"/>
        <w:contextualSpacing/>
        <w:jc w:val="both"/>
        <w:rPr>
          <w:rFonts w:ascii="Verdana" w:hAnsi="Verdana" w:cs="Arial"/>
          <w:color w:val="000000" w:themeColor="text1"/>
          <w:sz w:val="14"/>
          <w:szCs w:val="14"/>
          <w:lang w:val="es-CO"/>
        </w:rPr>
      </w:pPr>
    </w:p>
  </w:footnote>
  <w:footnote w:id="21">
    <w:p w14:paraId="3F19BD26" w14:textId="6E5844AD" w:rsidR="00CB17A8" w:rsidRPr="00181C01" w:rsidRDefault="00CB17A8" w:rsidP="00181C01">
      <w:pPr>
        <w:pStyle w:val="Textonotapie"/>
        <w:ind w:firstLine="708"/>
        <w:jc w:val="both"/>
        <w:rPr>
          <w:rFonts w:ascii="Verdana" w:hAnsi="Verdana"/>
          <w:sz w:val="14"/>
          <w:szCs w:val="14"/>
        </w:rPr>
      </w:pPr>
      <w:r w:rsidRPr="00181C01">
        <w:rPr>
          <w:rStyle w:val="Refdenotaalpie"/>
          <w:rFonts w:ascii="Verdana" w:hAnsi="Verdana"/>
          <w:sz w:val="14"/>
          <w:szCs w:val="14"/>
        </w:rPr>
        <w:footnoteRef/>
      </w:r>
      <w:r w:rsidRPr="00181C01">
        <w:rPr>
          <w:rFonts w:ascii="Verdana" w:hAnsi="Verdana"/>
          <w:sz w:val="14"/>
          <w:szCs w:val="14"/>
        </w:rPr>
        <w:t xml:space="preserve"> </w:t>
      </w:r>
      <w:r w:rsidR="0081014D">
        <w:rPr>
          <w:rFonts w:ascii="Verdana" w:hAnsi="Verdana"/>
          <w:sz w:val="14"/>
          <w:szCs w:val="14"/>
        </w:rPr>
        <w:t xml:space="preserve">Agencia Nacional de Contratación Pública – Colombia Compra Eficiente. Circular 006 de 2026. Disponible en: </w:t>
      </w:r>
      <w:hyperlink r:id="rId1" w:history="1">
        <w:r w:rsidR="0081014D" w:rsidRPr="00181C01">
          <w:rPr>
            <w:rStyle w:val="Hipervnculo"/>
            <w:rFonts w:ascii="Verdana" w:hAnsi="Verdana"/>
            <w:sz w:val="14"/>
            <w:szCs w:val="14"/>
          </w:rPr>
          <w:t>https://www.colombiacompra.gov.co/wp-content/uploads/2025/09/006-de-2025-Circular-Externa-L996-ajustado-comentarios-BM-BID-Rev-ARSC-V3.d-1.pdf</w:t>
        </w:r>
      </w:hyperlink>
      <w:r w:rsidR="0081014D">
        <w:rPr>
          <w:rFonts w:ascii="Verdana" w:hAnsi="Verdana"/>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3CC1B" w14:textId="77777777" w:rsidR="00A37899" w:rsidRDefault="00A37899">
    <w:pPr>
      <w:pStyle w:val="Textoindependiente"/>
      <w:spacing w:line="14" w:lineRule="auto"/>
      <w:rPr>
        <w:sz w:val="20"/>
      </w:rPr>
    </w:pPr>
    <w:r>
      <w:rPr>
        <w:noProof/>
        <w:sz w:val="20"/>
      </w:rPr>
      <w:drawing>
        <wp:anchor distT="0" distB="0" distL="0" distR="0" simplePos="0" relativeHeight="251658242" behindDoc="1" locked="0" layoutInCell="1" allowOverlap="1" wp14:anchorId="472F2A17" wp14:editId="776E995B">
          <wp:simplePos x="0" y="0"/>
          <wp:positionH relativeFrom="page">
            <wp:posOffset>2924175</wp:posOffset>
          </wp:positionH>
          <wp:positionV relativeFrom="page">
            <wp:posOffset>193827</wp:posOffset>
          </wp:positionV>
          <wp:extent cx="1924050" cy="8559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24050" cy="855979"/>
                  </a:xfrm>
                  <a:prstGeom prst="rect">
                    <a:avLst/>
                  </a:prstGeom>
                </pic:spPr>
              </pic:pic>
            </a:graphicData>
          </a:graphic>
        </wp:anchor>
      </w:drawing>
    </w:r>
    <w:r>
      <w:rPr>
        <w:noProof/>
        <w:sz w:val="20"/>
      </w:rPr>
      <mc:AlternateContent>
        <mc:Choice Requires="wps">
          <w:drawing>
            <wp:anchor distT="0" distB="0" distL="0" distR="0" simplePos="0" relativeHeight="251658244" behindDoc="1" locked="0" layoutInCell="1" allowOverlap="1" wp14:anchorId="68FE3290" wp14:editId="7AE6BDE9">
              <wp:simplePos x="0" y="0"/>
              <wp:positionH relativeFrom="page">
                <wp:posOffset>1067435</wp:posOffset>
              </wp:positionH>
              <wp:positionV relativeFrom="page">
                <wp:posOffset>1207427</wp:posOffset>
              </wp:positionV>
              <wp:extent cx="2853690" cy="2108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3690" cy="210820"/>
                      </a:xfrm>
                      <a:prstGeom prst="rect">
                        <a:avLst/>
                      </a:prstGeom>
                    </wps:spPr>
                    <wps:txbx>
                      <w:txbxContent>
                        <w:p w14:paraId="6B674A0A" w14:textId="77777777" w:rsidR="00A37899" w:rsidRDefault="00A37899">
                          <w:pPr>
                            <w:spacing w:before="20"/>
                            <w:ind w:left="20"/>
                            <w:rPr>
                              <w:b/>
                              <w:sz w:val="24"/>
                            </w:rPr>
                          </w:pPr>
                        </w:p>
                      </w:txbxContent>
                    </wps:txbx>
                    <wps:bodyPr wrap="square" lIns="0" tIns="0" rIns="0" bIns="0" rtlCol="0">
                      <a:noAutofit/>
                    </wps:bodyPr>
                  </wps:wsp>
                </a:graphicData>
              </a:graphic>
            </wp:anchor>
          </w:drawing>
        </mc:Choice>
        <mc:Fallback>
          <w:pict>
            <v:shapetype w14:anchorId="68FE3290" id="_x0000_t202" coordsize="21600,21600" o:spt="202" path="m,l,21600r21600,l21600,xe">
              <v:stroke joinstyle="miter"/>
              <v:path gradientshapeok="t" o:connecttype="rect"/>
            </v:shapetype>
            <v:shape id="Textbox 2" o:spid="_x0000_s1026" type="#_x0000_t202" style="position:absolute;margin-left:84.05pt;margin-top:95.05pt;width:224.7pt;height:16.6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" filled="f" stroked="f">
              <v:textbox inset="0,0,0,0">
                <w:txbxContent>
                  <w:p w14:paraId="6B674A0A" w14:textId="77777777" w:rsidR="00A37899" w:rsidRDefault="00A37899">
                    <w:pPr>
                      <w:spacing w:before="20"/>
                      <w:ind w:left="20"/>
                      <w:rPr>
                        <w:b/>
                        <w:sz w:val="24"/>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1FD1C243" w14:textId="0E06D92D" w:rsidR="008A446D" w:rsidRPr="00C925AC" w:rsidRDefault="00961A33" w:rsidP="00961A33">
    <w:pPr>
      <w:tabs>
        <w:tab w:val="left" w:pos="6150"/>
      </w:tabs>
      <w:spacing w:after="0" w:line="480" w:lineRule="auto"/>
      <w:rPr>
        <w:rFonts w:ascii="Verdana" w:hAnsi="Verdana"/>
        <w:b/>
        <w:bCs/>
        <w:sz w:val="24"/>
        <w:szCs w:val="24"/>
      </w:rPr>
    </w:pPr>
    <w:r>
      <w:rPr>
        <w:rFonts w:ascii="Verdana" w:hAnsi="Verdana"/>
        <w:b/>
        <w:b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25A2"/>
    <w:multiLevelType w:val="hybridMultilevel"/>
    <w:tmpl w:val="88B61660"/>
    <w:lvl w:ilvl="0" w:tplc="240A000F">
      <w:start w:val="1"/>
      <w:numFmt w:val="decimal"/>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0"/>
  </w:num>
  <w:num w:numId="13" w16cid:durableId="1512908409">
    <w:abstractNumId w:val="2"/>
  </w:num>
  <w:num w:numId="14" w16cid:durableId="895897244">
    <w:abstractNumId w:val="14"/>
  </w:num>
  <w:num w:numId="15" w16cid:durableId="390349800">
    <w:abstractNumId w:val="10"/>
  </w:num>
  <w:num w:numId="16" w16cid:durableId="113016020">
    <w:abstractNumId w:val="3"/>
  </w:num>
  <w:num w:numId="17" w16cid:durableId="20022670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32CA"/>
    <w:rsid w:val="0002506C"/>
    <w:rsid w:val="00046945"/>
    <w:rsid w:val="00047653"/>
    <w:rsid w:val="00061B2A"/>
    <w:rsid w:val="00061C83"/>
    <w:rsid w:val="00065801"/>
    <w:rsid w:val="00074BEA"/>
    <w:rsid w:val="00077626"/>
    <w:rsid w:val="00082362"/>
    <w:rsid w:val="00083BA1"/>
    <w:rsid w:val="000A683E"/>
    <w:rsid w:val="000B19B9"/>
    <w:rsid w:val="000B696C"/>
    <w:rsid w:val="000D0334"/>
    <w:rsid w:val="000D5DA7"/>
    <w:rsid w:val="000F5330"/>
    <w:rsid w:val="000F6486"/>
    <w:rsid w:val="00116940"/>
    <w:rsid w:val="00125105"/>
    <w:rsid w:val="001269D3"/>
    <w:rsid w:val="00127233"/>
    <w:rsid w:val="00127241"/>
    <w:rsid w:val="001310F6"/>
    <w:rsid w:val="00142A71"/>
    <w:rsid w:val="0014324F"/>
    <w:rsid w:val="00150529"/>
    <w:rsid w:val="00151F2E"/>
    <w:rsid w:val="00154747"/>
    <w:rsid w:val="0015699B"/>
    <w:rsid w:val="00181C01"/>
    <w:rsid w:val="0019408C"/>
    <w:rsid w:val="001A33BF"/>
    <w:rsid w:val="001B5059"/>
    <w:rsid w:val="001C5BB3"/>
    <w:rsid w:val="001D2B1C"/>
    <w:rsid w:val="001E33DA"/>
    <w:rsid w:val="001E4177"/>
    <w:rsid w:val="001F0B24"/>
    <w:rsid w:val="001F7DC6"/>
    <w:rsid w:val="00201376"/>
    <w:rsid w:val="002063C3"/>
    <w:rsid w:val="0022400B"/>
    <w:rsid w:val="00225035"/>
    <w:rsid w:val="002421BB"/>
    <w:rsid w:val="00242DA9"/>
    <w:rsid w:val="0025796E"/>
    <w:rsid w:val="00263C21"/>
    <w:rsid w:val="002651EC"/>
    <w:rsid w:val="002707A2"/>
    <w:rsid w:val="00272232"/>
    <w:rsid w:val="0027452C"/>
    <w:rsid w:val="00275132"/>
    <w:rsid w:val="002951A0"/>
    <w:rsid w:val="002962BC"/>
    <w:rsid w:val="002A093D"/>
    <w:rsid w:val="002A0DD0"/>
    <w:rsid w:val="002A49AC"/>
    <w:rsid w:val="002A64FD"/>
    <w:rsid w:val="002B5599"/>
    <w:rsid w:val="002C2576"/>
    <w:rsid w:val="002C2DB5"/>
    <w:rsid w:val="002C6431"/>
    <w:rsid w:val="002C7A84"/>
    <w:rsid w:val="002E2BF8"/>
    <w:rsid w:val="002E4FD9"/>
    <w:rsid w:val="002E7216"/>
    <w:rsid w:val="0030657A"/>
    <w:rsid w:val="00310B1C"/>
    <w:rsid w:val="00310D5C"/>
    <w:rsid w:val="00322A85"/>
    <w:rsid w:val="00324168"/>
    <w:rsid w:val="00330834"/>
    <w:rsid w:val="003448F4"/>
    <w:rsid w:val="00374F5E"/>
    <w:rsid w:val="00377E3E"/>
    <w:rsid w:val="00397EA9"/>
    <w:rsid w:val="003A779E"/>
    <w:rsid w:val="003B446F"/>
    <w:rsid w:val="003B5332"/>
    <w:rsid w:val="003D0F4D"/>
    <w:rsid w:val="003D5B0D"/>
    <w:rsid w:val="003E0499"/>
    <w:rsid w:val="003E2503"/>
    <w:rsid w:val="003E33BD"/>
    <w:rsid w:val="003E4F80"/>
    <w:rsid w:val="003E6439"/>
    <w:rsid w:val="003F3941"/>
    <w:rsid w:val="00403346"/>
    <w:rsid w:val="00406575"/>
    <w:rsid w:val="00414C74"/>
    <w:rsid w:val="0042722E"/>
    <w:rsid w:val="0044528D"/>
    <w:rsid w:val="00463022"/>
    <w:rsid w:val="0046314D"/>
    <w:rsid w:val="00466E39"/>
    <w:rsid w:val="004A1847"/>
    <w:rsid w:val="004A305D"/>
    <w:rsid w:val="004A6262"/>
    <w:rsid w:val="004B2BA5"/>
    <w:rsid w:val="004C5A87"/>
    <w:rsid w:val="004E46DB"/>
    <w:rsid w:val="004E4F4F"/>
    <w:rsid w:val="004E6306"/>
    <w:rsid w:val="004F21C4"/>
    <w:rsid w:val="004F657D"/>
    <w:rsid w:val="004F685F"/>
    <w:rsid w:val="005111E6"/>
    <w:rsid w:val="005118DF"/>
    <w:rsid w:val="00534696"/>
    <w:rsid w:val="005566E8"/>
    <w:rsid w:val="0055764C"/>
    <w:rsid w:val="00562A53"/>
    <w:rsid w:val="005669D3"/>
    <w:rsid w:val="00570E46"/>
    <w:rsid w:val="00574867"/>
    <w:rsid w:val="00583F22"/>
    <w:rsid w:val="005865EC"/>
    <w:rsid w:val="00591460"/>
    <w:rsid w:val="005A01AD"/>
    <w:rsid w:val="005A65E0"/>
    <w:rsid w:val="005C3777"/>
    <w:rsid w:val="005C5CDC"/>
    <w:rsid w:val="005D4004"/>
    <w:rsid w:val="005D476C"/>
    <w:rsid w:val="005E4941"/>
    <w:rsid w:val="006048DD"/>
    <w:rsid w:val="006200BF"/>
    <w:rsid w:val="006219F8"/>
    <w:rsid w:val="00625851"/>
    <w:rsid w:val="006302F7"/>
    <w:rsid w:val="00645C66"/>
    <w:rsid w:val="00646B9F"/>
    <w:rsid w:val="00665D70"/>
    <w:rsid w:val="006733F8"/>
    <w:rsid w:val="006900D9"/>
    <w:rsid w:val="006C29BE"/>
    <w:rsid w:val="006E2FCE"/>
    <w:rsid w:val="006E4DFC"/>
    <w:rsid w:val="006E62E9"/>
    <w:rsid w:val="00706C16"/>
    <w:rsid w:val="00722486"/>
    <w:rsid w:val="007340C3"/>
    <w:rsid w:val="00735E07"/>
    <w:rsid w:val="00736061"/>
    <w:rsid w:val="0075235A"/>
    <w:rsid w:val="00756841"/>
    <w:rsid w:val="007649AB"/>
    <w:rsid w:val="007703A6"/>
    <w:rsid w:val="00771D0C"/>
    <w:rsid w:val="00776102"/>
    <w:rsid w:val="007833AC"/>
    <w:rsid w:val="0079378D"/>
    <w:rsid w:val="007B268C"/>
    <w:rsid w:val="007B7171"/>
    <w:rsid w:val="007C0C0F"/>
    <w:rsid w:val="007C2881"/>
    <w:rsid w:val="007C3DC2"/>
    <w:rsid w:val="007E5497"/>
    <w:rsid w:val="007F0BE7"/>
    <w:rsid w:val="00806F5F"/>
    <w:rsid w:val="0081014D"/>
    <w:rsid w:val="00810AFB"/>
    <w:rsid w:val="00820278"/>
    <w:rsid w:val="008258C9"/>
    <w:rsid w:val="00825FDF"/>
    <w:rsid w:val="00844AE9"/>
    <w:rsid w:val="00846591"/>
    <w:rsid w:val="00857E43"/>
    <w:rsid w:val="00867F95"/>
    <w:rsid w:val="00872E7A"/>
    <w:rsid w:val="008843B6"/>
    <w:rsid w:val="008900D2"/>
    <w:rsid w:val="00891928"/>
    <w:rsid w:val="008A1A83"/>
    <w:rsid w:val="008A446D"/>
    <w:rsid w:val="008B25F1"/>
    <w:rsid w:val="008D180B"/>
    <w:rsid w:val="008E2D32"/>
    <w:rsid w:val="008F0EA7"/>
    <w:rsid w:val="009129D7"/>
    <w:rsid w:val="00923EEF"/>
    <w:rsid w:val="00930C19"/>
    <w:rsid w:val="009419F9"/>
    <w:rsid w:val="00944C7A"/>
    <w:rsid w:val="0095685E"/>
    <w:rsid w:val="009577CE"/>
    <w:rsid w:val="00961A33"/>
    <w:rsid w:val="00961B09"/>
    <w:rsid w:val="00965334"/>
    <w:rsid w:val="0097093E"/>
    <w:rsid w:val="009A0DFA"/>
    <w:rsid w:val="009A16AC"/>
    <w:rsid w:val="009A1C6F"/>
    <w:rsid w:val="009B2D26"/>
    <w:rsid w:val="009B3B8F"/>
    <w:rsid w:val="009C66CE"/>
    <w:rsid w:val="009C71FA"/>
    <w:rsid w:val="009C72E7"/>
    <w:rsid w:val="009C7F7E"/>
    <w:rsid w:val="009D3058"/>
    <w:rsid w:val="009E6076"/>
    <w:rsid w:val="009E7CDE"/>
    <w:rsid w:val="009F3A13"/>
    <w:rsid w:val="00A029E7"/>
    <w:rsid w:val="00A05ACD"/>
    <w:rsid w:val="00A122D3"/>
    <w:rsid w:val="00A14468"/>
    <w:rsid w:val="00A146AB"/>
    <w:rsid w:val="00A17F13"/>
    <w:rsid w:val="00A20739"/>
    <w:rsid w:val="00A234A8"/>
    <w:rsid w:val="00A23AF9"/>
    <w:rsid w:val="00A33C78"/>
    <w:rsid w:val="00A36974"/>
    <w:rsid w:val="00A36D5B"/>
    <w:rsid w:val="00A37899"/>
    <w:rsid w:val="00A423D1"/>
    <w:rsid w:val="00A449BA"/>
    <w:rsid w:val="00AB0204"/>
    <w:rsid w:val="00AB0ADB"/>
    <w:rsid w:val="00AE1EAF"/>
    <w:rsid w:val="00AE4A5E"/>
    <w:rsid w:val="00B00C0E"/>
    <w:rsid w:val="00B01B1A"/>
    <w:rsid w:val="00B0381D"/>
    <w:rsid w:val="00B23DF0"/>
    <w:rsid w:val="00B40F4C"/>
    <w:rsid w:val="00B44A47"/>
    <w:rsid w:val="00B454FE"/>
    <w:rsid w:val="00B50226"/>
    <w:rsid w:val="00B65D6B"/>
    <w:rsid w:val="00B72CD3"/>
    <w:rsid w:val="00B72FFF"/>
    <w:rsid w:val="00B748F6"/>
    <w:rsid w:val="00B75386"/>
    <w:rsid w:val="00BB2854"/>
    <w:rsid w:val="00BC3D36"/>
    <w:rsid w:val="00BD54A6"/>
    <w:rsid w:val="00BD7F72"/>
    <w:rsid w:val="00BF0619"/>
    <w:rsid w:val="00BF6C0B"/>
    <w:rsid w:val="00BF7425"/>
    <w:rsid w:val="00C04FB3"/>
    <w:rsid w:val="00C11D8B"/>
    <w:rsid w:val="00C15139"/>
    <w:rsid w:val="00C24A75"/>
    <w:rsid w:val="00C31765"/>
    <w:rsid w:val="00C330EB"/>
    <w:rsid w:val="00C50D69"/>
    <w:rsid w:val="00C52510"/>
    <w:rsid w:val="00C5365C"/>
    <w:rsid w:val="00C74A76"/>
    <w:rsid w:val="00C754BE"/>
    <w:rsid w:val="00C76B1C"/>
    <w:rsid w:val="00C925AC"/>
    <w:rsid w:val="00CB17A8"/>
    <w:rsid w:val="00CB6357"/>
    <w:rsid w:val="00CC1B26"/>
    <w:rsid w:val="00CC3892"/>
    <w:rsid w:val="00D361FD"/>
    <w:rsid w:val="00D423A2"/>
    <w:rsid w:val="00D4408E"/>
    <w:rsid w:val="00D44E26"/>
    <w:rsid w:val="00D45D69"/>
    <w:rsid w:val="00D520D8"/>
    <w:rsid w:val="00D52F46"/>
    <w:rsid w:val="00D63A78"/>
    <w:rsid w:val="00D63AC2"/>
    <w:rsid w:val="00D65AC2"/>
    <w:rsid w:val="00D66487"/>
    <w:rsid w:val="00D7383B"/>
    <w:rsid w:val="00D7788A"/>
    <w:rsid w:val="00D81EEB"/>
    <w:rsid w:val="00D85E64"/>
    <w:rsid w:val="00D91C90"/>
    <w:rsid w:val="00D97C96"/>
    <w:rsid w:val="00DA231B"/>
    <w:rsid w:val="00DC39FC"/>
    <w:rsid w:val="00DC7D81"/>
    <w:rsid w:val="00DD184C"/>
    <w:rsid w:val="00DF5254"/>
    <w:rsid w:val="00E02524"/>
    <w:rsid w:val="00E16408"/>
    <w:rsid w:val="00E20894"/>
    <w:rsid w:val="00E245AB"/>
    <w:rsid w:val="00E245B2"/>
    <w:rsid w:val="00E2764C"/>
    <w:rsid w:val="00E27F2E"/>
    <w:rsid w:val="00E344AD"/>
    <w:rsid w:val="00E35043"/>
    <w:rsid w:val="00E50AFE"/>
    <w:rsid w:val="00E75C92"/>
    <w:rsid w:val="00E771DC"/>
    <w:rsid w:val="00E8772A"/>
    <w:rsid w:val="00E90F6B"/>
    <w:rsid w:val="00E92C27"/>
    <w:rsid w:val="00EA0E3D"/>
    <w:rsid w:val="00EA19FD"/>
    <w:rsid w:val="00EA2515"/>
    <w:rsid w:val="00EA33E3"/>
    <w:rsid w:val="00EC0F48"/>
    <w:rsid w:val="00EC38A7"/>
    <w:rsid w:val="00EC5E61"/>
    <w:rsid w:val="00EC79A7"/>
    <w:rsid w:val="00EE1AA8"/>
    <w:rsid w:val="00F23FEA"/>
    <w:rsid w:val="00F31EDC"/>
    <w:rsid w:val="00F462B3"/>
    <w:rsid w:val="00F5664F"/>
    <w:rsid w:val="00F62BB5"/>
    <w:rsid w:val="00F666C4"/>
    <w:rsid w:val="00F73032"/>
    <w:rsid w:val="00F7356A"/>
    <w:rsid w:val="00F7575B"/>
    <w:rsid w:val="00F76AFC"/>
    <w:rsid w:val="00F8061A"/>
    <w:rsid w:val="00FA47C0"/>
    <w:rsid w:val="00FB225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9317C967-F56E-406A-AE13-FE1E254FB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Textoindependiente">
    <w:name w:val="Body Text"/>
    <w:basedOn w:val="Normal"/>
    <w:link w:val="TextoindependienteCar"/>
    <w:uiPriority w:val="99"/>
    <w:semiHidden/>
    <w:unhideWhenUsed/>
    <w:rsid w:val="00A37899"/>
    <w:pPr>
      <w:spacing w:after="120"/>
    </w:pPr>
  </w:style>
  <w:style w:type="character" w:customStyle="1" w:styleId="TextoindependienteCar">
    <w:name w:val="Texto independiente Car"/>
    <w:basedOn w:val="Fuentedeprrafopredeter"/>
    <w:link w:val="Textoindependiente"/>
    <w:uiPriority w:val="99"/>
    <w:semiHidden/>
    <w:rsid w:val="00A37899"/>
  </w:style>
  <w:style w:type="table" w:customStyle="1" w:styleId="Tablaconcuadrcula1">
    <w:name w:val="Tabla con cuadrícula1"/>
    <w:basedOn w:val="Tablanormal"/>
    <w:next w:val="Tablaconcuadrcula"/>
    <w:uiPriority w:val="39"/>
    <w:qFormat/>
    <w:rsid w:val="00A378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A37899"/>
    <w:pPr>
      <w:spacing w:line="240" w:lineRule="exact"/>
    </w:pPr>
    <w:rPr>
      <w:vertAlign w:val="superscript"/>
    </w:rPr>
  </w:style>
  <w:style w:type="character" w:customStyle="1" w:styleId="NormalWebCar">
    <w:name w:val="Normal (Web) Car"/>
    <w:link w:val="NormalWeb"/>
    <w:uiPriority w:val="99"/>
    <w:locked/>
    <w:rsid w:val="00A37899"/>
    <w:rPr>
      <w:rFonts w:ascii="Times New Roman" w:eastAsia="Times New Roman" w:hAnsi="Times New Roman" w:cs="Times New Roman"/>
      <w:sz w:val="24"/>
      <w:szCs w:val="24"/>
      <w:lang w:eastAsia="es-CO"/>
    </w:rPr>
  </w:style>
  <w:style w:type="character" w:customStyle="1" w:styleId="baj">
    <w:name w:val="b_aj"/>
    <w:basedOn w:val="Fuentedeprrafopredeter"/>
    <w:rsid w:val="00A37899"/>
  </w:style>
  <w:style w:type="character" w:styleId="Refdecomentario">
    <w:name w:val="annotation reference"/>
    <w:basedOn w:val="Fuentedeprrafopredeter"/>
    <w:uiPriority w:val="99"/>
    <w:semiHidden/>
    <w:unhideWhenUsed/>
    <w:rsid w:val="00047653"/>
    <w:rPr>
      <w:sz w:val="16"/>
      <w:szCs w:val="16"/>
    </w:rPr>
  </w:style>
  <w:style w:type="paragraph" w:styleId="Textocomentario">
    <w:name w:val="annotation text"/>
    <w:basedOn w:val="Normal"/>
    <w:link w:val="TextocomentarioCar"/>
    <w:uiPriority w:val="99"/>
    <w:unhideWhenUsed/>
    <w:rsid w:val="00047653"/>
    <w:pPr>
      <w:spacing w:line="240" w:lineRule="auto"/>
    </w:pPr>
    <w:rPr>
      <w:sz w:val="20"/>
      <w:szCs w:val="20"/>
    </w:rPr>
  </w:style>
  <w:style w:type="character" w:customStyle="1" w:styleId="TextocomentarioCar">
    <w:name w:val="Texto comentario Car"/>
    <w:basedOn w:val="Fuentedeprrafopredeter"/>
    <w:link w:val="Textocomentario"/>
    <w:uiPriority w:val="99"/>
    <w:rsid w:val="00047653"/>
    <w:rPr>
      <w:sz w:val="20"/>
      <w:szCs w:val="20"/>
    </w:rPr>
  </w:style>
  <w:style w:type="paragraph" w:styleId="Asuntodelcomentario">
    <w:name w:val="annotation subject"/>
    <w:basedOn w:val="Textocomentario"/>
    <w:next w:val="Textocomentario"/>
    <w:link w:val="AsuntodelcomentarioCar"/>
    <w:uiPriority w:val="99"/>
    <w:semiHidden/>
    <w:unhideWhenUsed/>
    <w:rsid w:val="00047653"/>
    <w:rPr>
      <w:b/>
      <w:bCs/>
    </w:rPr>
  </w:style>
  <w:style w:type="character" w:customStyle="1" w:styleId="AsuntodelcomentarioCar">
    <w:name w:val="Asunto del comentario Car"/>
    <w:basedOn w:val="TextocomentarioCar"/>
    <w:link w:val="Asuntodelcomentario"/>
    <w:uiPriority w:val="99"/>
    <w:semiHidden/>
    <w:rsid w:val="000476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olombiacompra.gov.co/normativa-y-relatoria/documentos-tipo" TargetMode="Externa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ormacionvirtual.colombiacompra.gov.co/mod/page/view.php?id=371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latoria.colombiacompra.gov.co/busqueda/conceptos"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lombiacompra.gov.co/archivos/circular/circular-externa-006-de-2025"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erencia@dataservice.com.co"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wp-content/uploads/2025/09/006-de-2025-Circular-Externa-L996-ajustado-comentarios-BM-BID-Rev-ARSC-V3.d-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7826E63-7DD4-45EF-ABF4-BB904BD3B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655CF82D-7363-4A68-881B-4BE2F026CE0C}">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8585</Words>
  <Characters>47222</Characters>
  <Application>Microsoft Office Word</Application>
  <DocSecurity>0</DocSecurity>
  <Lines>393</Lines>
  <Paragraphs>111</Paragraphs>
  <ScaleCrop>false</ScaleCrop>
  <Company/>
  <LinksUpToDate>false</LinksUpToDate>
  <CharactersWithSpaces>55696</CharactersWithSpaces>
  <SharedDoc>false</SharedDoc>
  <HLinks>
    <vt:vector size="48" baseType="variant">
      <vt:variant>
        <vt:i4>4456513</vt:i4>
      </vt:variant>
      <vt:variant>
        <vt:i4>18</vt:i4>
      </vt:variant>
      <vt:variant>
        <vt:i4>0</vt:i4>
      </vt:variant>
      <vt:variant>
        <vt:i4>5</vt:i4>
      </vt:variant>
      <vt:variant>
        <vt:lpwstr>https://forms.office.com/r/pPHyWVs2SZ</vt:lpwstr>
      </vt:variant>
      <vt:variant>
        <vt:lpwstr/>
      </vt:variant>
      <vt:variant>
        <vt:i4>5505101</vt:i4>
      </vt:variant>
      <vt:variant>
        <vt:i4>15</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12</vt:i4>
      </vt:variant>
      <vt:variant>
        <vt:i4>0</vt:i4>
      </vt:variant>
      <vt:variant>
        <vt:i4>5</vt:i4>
      </vt:variant>
      <vt:variant>
        <vt:lpwstr>https://www.colombiacompra.gov.co/normativa-y-relatoria/documentos-tipo</vt:lpwstr>
      </vt:variant>
      <vt:variant>
        <vt:lpwstr/>
      </vt:variant>
      <vt:variant>
        <vt:i4>65544</vt:i4>
      </vt:variant>
      <vt:variant>
        <vt:i4>9</vt:i4>
      </vt:variant>
      <vt:variant>
        <vt:i4>0</vt:i4>
      </vt:variant>
      <vt:variant>
        <vt:i4>5</vt:i4>
      </vt:variant>
      <vt:variant>
        <vt:lpwstr>https://formacionvirtual.colombiacompra.gov.co/mod/page/view.php?id=3718</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65542</vt:i4>
      </vt:variant>
      <vt:variant>
        <vt:i4>3</vt:i4>
      </vt:variant>
      <vt:variant>
        <vt:i4>0</vt:i4>
      </vt:variant>
      <vt:variant>
        <vt:i4>5</vt:i4>
      </vt:variant>
      <vt:variant>
        <vt:lpwstr>https://www.colombiacompra.gov.co/archivos/circular/circular-externa-006-de-2025</vt:lpwstr>
      </vt:variant>
      <vt:variant>
        <vt:lpwstr/>
      </vt:variant>
      <vt:variant>
        <vt:i4>5636152</vt:i4>
      </vt:variant>
      <vt:variant>
        <vt:i4>0</vt:i4>
      </vt:variant>
      <vt:variant>
        <vt:i4>0</vt:i4>
      </vt:variant>
      <vt:variant>
        <vt:i4>5</vt:i4>
      </vt:variant>
      <vt:variant>
        <vt:lpwstr>mailto:qerencia@dataservice.com.co</vt:lpwstr>
      </vt:variant>
      <vt:variant>
        <vt:lpwstr/>
      </vt:variant>
      <vt:variant>
        <vt:i4>7143459</vt:i4>
      </vt:variant>
      <vt:variant>
        <vt:i4>0</vt:i4>
      </vt:variant>
      <vt:variant>
        <vt:i4>0</vt:i4>
      </vt:variant>
      <vt:variant>
        <vt:i4>5</vt:i4>
      </vt:variant>
      <vt:variant>
        <vt:lpwstr>https://www.colombiacompra.gov.co/wp-content/uploads/2025/09/006-de-2025-Circular-Externa-L996-ajustado-comentarios-BM-BID-Rev-ARSC-V3.d-1.pdf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Oscar David Mórelo Pedroza</cp:lastModifiedBy>
  <cp:revision>2</cp:revision>
  <cp:lastPrinted>2023-01-10T21:18:00Z</cp:lastPrinted>
  <dcterms:created xsi:type="dcterms:W3CDTF">2026-08-25T16:32:00Z</dcterms:created>
  <dcterms:modified xsi:type="dcterms:W3CDTF">2026-08-25T16:32:00Z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