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69DD03" w14:textId="77777777" w:rsidR="00C96722" w:rsidRDefault="00C96722" w:rsidP="006B49B1">
      <w:pPr>
        <w:spacing w:after="0" w:line="276" w:lineRule="auto"/>
        <w:jc w:val="both"/>
        <w:rPr>
          <w:rFonts w:ascii="Verdana" w:eastAsia="Calibri" w:hAnsi="Verdana" w:cs="Arial"/>
          <w:b/>
          <w:bCs/>
          <w:lang w:val="es-ES_tradnl" w:eastAsia="es-MX"/>
        </w:rPr>
      </w:pPr>
      <w:bookmarkStart w:id="0" w:name="_Hlk143780582"/>
    </w:p>
    <w:p w14:paraId="06687B2F" w14:textId="42B052EB" w:rsidR="006B49B1" w:rsidRPr="006B49B1" w:rsidRDefault="006B49B1" w:rsidP="006B49B1">
      <w:pPr>
        <w:spacing w:after="0" w:line="276" w:lineRule="auto"/>
        <w:jc w:val="both"/>
        <w:rPr>
          <w:rFonts w:ascii="Verdana" w:eastAsia="Calibri" w:hAnsi="Verdana" w:cs="Arial"/>
          <w:b/>
          <w:bCs/>
          <w:lang w:val="es-ES_tradnl" w:eastAsia="es-MX"/>
        </w:rPr>
      </w:pPr>
      <w:r w:rsidRPr="006B49B1">
        <w:rPr>
          <w:rFonts w:ascii="Verdana" w:eastAsia="Calibri" w:hAnsi="Verdana" w:cs="Arial"/>
          <w:b/>
          <w:bCs/>
          <w:lang w:val="es-ES_tradnl" w:eastAsia="es-MX"/>
        </w:rPr>
        <w:t xml:space="preserve">DOCUMENTOS TIPO – Fundamento normativo – Obligatoriedad </w:t>
      </w:r>
    </w:p>
    <w:p w14:paraId="714A6DEC" w14:textId="77777777" w:rsidR="006B49B1" w:rsidRPr="006B49B1" w:rsidRDefault="006B49B1" w:rsidP="006B49B1">
      <w:pPr>
        <w:spacing w:after="0" w:line="276" w:lineRule="auto"/>
        <w:jc w:val="both"/>
        <w:rPr>
          <w:rFonts w:ascii="Verdana" w:eastAsia="Calibri" w:hAnsi="Verdana" w:cs="Arial"/>
          <w:b/>
          <w:bCs/>
          <w:sz w:val="20"/>
          <w:szCs w:val="20"/>
          <w:lang w:val="es-ES_tradnl" w:eastAsia="es-MX"/>
        </w:rPr>
      </w:pPr>
    </w:p>
    <w:p w14:paraId="4F67EB3F" w14:textId="77777777" w:rsidR="006B49B1" w:rsidRPr="006B49B1" w:rsidRDefault="006B49B1" w:rsidP="006B49B1">
      <w:pPr>
        <w:tabs>
          <w:tab w:val="left" w:pos="709"/>
        </w:tabs>
        <w:spacing w:after="0" w:line="240" w:lineRule="auto"/>
        <w:jc w:val="both"/>
        <w:rPr>
          <w:rFonts w:ascii="Verdana" w:eastAsia="Calibri" w:hAnsi="Verdana" w:cs="Arial"/>
          <w:sz w:val="20"/>
          <w:szCs w:val="20"/>
          <w:lang w:val="es-ES" w:eastAsia="es-MX"/>
        </w:rPr>
      </w:pPr>
      <w:r w:rsidRPr="006B49B1">
        <w:rPr>
          <w:rFonts w:ascii="Verdana" w:eastAsia="Calibri" w:hAnsi="Verdana" w:cs="Arial"/>
          <w:sz w:val="20"/>
          <w:szCs w:val="20"/>
          <w:lang w:val="es-ES" w:eastAsia="es-MX"/>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60B8BB1C" w14:textId="77777777" w:rsidR="006B49B1" w:rsidRPr="006B49B1" w:rsidRDefault="006B49B1" w:rsidP="006B49B1">
      <w:pPr>
        <w:spacing w:after="0" w:line="276" w:lineRule="auto"/>
        <w:jc w:val="both"/>
        <w:rPr>
          <w:rFonts w:ascii="Verdana" w:eastAsia="Calibri" w:hAnsi="Verdana" w:cs="Arial"/>
          <w:b/>
          <w:bCs/>
          <w:lang w:val="es-ES_tradnl" w:eastAsia="es-MX"/>
        </w:rPr>
      </w:pPr>
    </w:p>
    <w:p w14:paraId="29EEF83D" w14:textId="77777777" w:rsidR="006B49B1" w:rsidRPr="006B49B1" w:rsidRDefault="006B49B1" w:rsidP="006B49B1">
      <w:pPr>
        <w:widowControl w:val="0"/>
        <w:autoSpaceDE w:val="0"/>
        <w:autoSpaceDN w:val="0"/>
        <w:spacing w:after="0" w:line="276" w:lineRule="auto"/>
        <w:jc w:val="both"/>
        <w:rPr>
          <w:rFonts w:ascii="Verdana" w:eastAsia="Calibri" w:hAnsi="Verdana" w:cs="Times New Roman"/>
          <w:b/>
          <w:bCs/>
          <w:lang w:val="es-ES" w:eastAsia="es-MX"/>
        </w:rPr>
      </w:pPr>
      <w:r w:rsidRPr="006B49B1">
        <w:rPr>
          <w:rFonts w:ascii="Verdana" w:eastAsia="Calibri" w:hAnsi="Verdana" w:cs="Arial"/>
          <w:b/>
          <w:bCs/>
          <w:lang w:val="es-ES_tradnl" w:eastAsia="es-MX"/>
        </w:rPr>
        <w:t>SECTOR SOCIAL</w:t>
      </w:r>
      <w:r w:rsidRPr="006B49B1">
        <w:rPr>
          <w:rFonts w:ascii="Verdana" w:eastAsia="Calibri" w:hAnsi="Verdana" w:cs="Times New Roman"/>
          <w:lang w:val="es-ES" w:eastAsia="es-MX"/>
        </w:rPr>
        <w:t xml:space="preserve"> </w:t>
      </w:r>
      <w:r w:rsidRPr="006B49B1">
        <w:rPr>
          <w:rFonts w:ascii="Verdana" w:eastAsia="Calibri" w:hAnsi="Verdana" w:cs="Times New Roman"/>
          <w:b/>
          <w:bCs/>
          <w:lang w:val="es-ES" w:eastAsia="es-MX"/>
        </w:rPr>
        <w:t>– Documentos tipo – Vigentes</w:t>
      </w:r>
    </w:p>
    <w:p w14:paraId="4FB6188C" w14:textId="77777777" w:rsidR="006B49B1" w:rsidRPr="006B49B1" w:rsidRDefault="006B49B1" w:rsidP="006B49B1">
      <w:pPr>
        <w:widowControl w:val="0"/>
        <w:autoSpaceDE w:val="0"/>
        <w:autoSpaceDN w:val="0"/>
        <w:spacing w:after="0" w:line="276" w:lineRule="auto"/>
        <w:jc w:val="both"/>
        <w:rPr>
          <w:rFonts w:ascii="Verdana" w:eastAsia="Calibri" w:hAnsi="Verdana" w:cs="Times New Roman"/>
          <w:b/>
          <w:bCs/>
          <w:lang w:val="es-ES" w:eastAsia="es-MX"/>
        </w:rPr>
      </w:pPr>
    </w:p>
    <w:p w14:paraId="17D88B47" w14:textId="77777777" w:rsidR="006B49B1" w:rsidRPr="006B49B1" w:rsidRDefault="006B49B1" w:rsidP="006B49B1">
      <w:pPr>
        <w:spacing w:after="0" w:line="240" w:lineRule="auto"/>
        <w:jc w:val="both"/>
        <w:rPr>
          <w:rFonts w:ascii="Verdana" w:eastAsia="Aptos" w:hAnsi="Verdana" w:cs="Arial"/>
          <w:sz w:val="20"/>
          <w:szCs w:val="20"/>
          <w:lang w:eastAsia="es-MX"/>
        </w:rPr>
      </w:pPr>
      <w:r w:rsidRPr="006B49B1">
        <w:rPr>
          <w:rFonts w:ascii="Verdana" w:eastAsia="Aptos" w:hAnsi="Verdana" w:cs="Arial"/>
          <w:sz w:val="20"/>
          <w:szCs w:val="20"/>
          <w:lang w:eastAsia="es-MX"/>
        </w:rPr>
        <w:t xml:space="preserve">Teniendo en cuenta que su solicitud se refiere a los documentos tipo de licitación de obra pública de infraestructura social – versión 1, y en particular a la Matriz de Experiencia del sector cultura, recreación y deporte – Versión 1, esta será atendida con fundamento en dichos documentos, adoptados mediante las resoluciones: i) 219 del 6 de agosto de 2021, “Por la cual se adoptan los documentos tipo para los procesos de licitación de obra pública de infraestructura social”  –través de esta resolución se adoptaron los documentos tipo aplicables de manera transversal a los proyectos de infraestructura social de los sectores educación, salud, cultura, recreación y deporte– y </w:t>
      </w:r>
      <w:proofErr w:type="spellStart"/>
      <w:r w:rsidRPr="006B49B1">
        <w:rPr>
          <w:rFonts w:ascii="Verdana" w:eastAsia="Aptos" w:hAnsi="Verdana" w:cs="Arial"/>
          <w:sz w:val="20"/>
          <w:szCs w:val="20"/>
          <w:lang w:eastAsia="es-MX"/>
        </w:rPr>
        <w:t>ii</w:t>
      </w:r>
      <w:proofErr w:type="spellEnd"/>
      <w:r w:rsidRPr="006B49B1">
        <w:rPr>
          <w:rFonts w:ascii="Verdana" w:eastAsia="Aptos" w:hAnsi="Verdana" w:cs="Arial"/>
          <w:sz w:val="20"/>
          <w:szCs w:val="20"/>
          <w:lang w:eastAsia="es-MX"/>
        </w:rPr>
        <w:t>) 454 del 16 de diciembre de 2021 que adoptó los documentos tipo complementarios aplicables al sector cultura, recreación y deporte, esto es, el “Anexo – Glosario” y la “Matriz de Experiencia”. No obstante, se precisa que dichos documentos estuvieron vigentes hasta el 15 de febrero de 2026.</w:t>
      </w:r>
    </w:p>
    <w:p w14:paraId="6963E327" w14:textId="77777777" w:rsidR="006B49B1" w:rsidRPr="006B49B1" w:rsidRDefault="006B49B1" w:rsidP="006B49B1">
      <w:pPr>
        <w:spacing w:after="0" w:line="240" w:lineRule="auto"/>
        <w:jc w:val="both"/>
        <w:rPr>
          <w:rFonts w:ascii="Verdana" w:eastAsia="Aptos" w:hAnsi="Verdana" w:cs="Arial"/>
          <w:sz w:val="20"/>
          <w:szCs w:val="20"/>
          <w:lang w:eastAsia="es-MX"/>
        </w:rPr>
      </w:pPr>
    </w:p>
    <w:p w14:paraId="380E507F" w14:textId="77777777" w:rsidR="006B49B1" w:rsidRPr="006B49B1" w:rsidRDefault="006B49B1" w:rsidP="006B49B1">
      <w:pPr>
        <w:spacing w:after="0" w:line="240" w:lineRule="auto"/>
        <w:jc w:val="both"/>
        <w:rPr>
          <w:rFonts w:ascii="Verdana" w:eastAsia="Aptos" w:hAnsi="Verdana" w:cs="Arial"/>
          <w:sz w:val="20"/>
          <w:szCs w:val="20"/>
          <w:lang w:eastAsia="es-MX"/>
        </w:rPr>
      </w:pPr>
      <w:r w:rsidRPr="006B49B1">
        <w:rPr>
          <w:rFonts w:ascii="Verdana" w:eastAsia="Aptos" w:hAnsi="Verdana" w:cs="Arial"/>
          <w:sz w:val="20"/>
          <w:szCs w:val="20"/>
          <w:lang w:eastAsia="es-MX"/>
        </w:rPr>
        <w:t xml:space="preserve">En este sentido, actualmente </w:t>
      </w:r>
      <w:r w:rsidRPr="006B49B1">
        <w:rPr>
          <w:rFonts w:ascii="Verdana" w:eastAsia="Times New Roman" w:hAnsi="Verdana" w:cs="Times New Roman"/>
          <w:color w:val="000000"/>
          <w:sz w:val="20"/>
          <w:szCs w:val="20"/>
          <w:lang w:eastAsia="es-CO"/>
        </w:rPr>
        <w:t xml:space="preserve">se encuentran vigentes </w:t>
      </w:r>
      <w:r w:rsidRPr="006B49B1">
        <w:rPr>
          <w:rFonts w:ascii="Verdana" w:eastAsia="Aptos" w:hAnsi="Verdana" w:cs="Times New Roman"/>
          <w:sz w:val="20"/>
          <w:szCs w:val="20"/>
          <w:lang w:eastAsia="es-MX"/>
        </w:rPr>
        <w:t>las Resoluciones 539, 540 y 541 del 21 de agosto de 2025, así como las Resoluciones 952 y 953 del 15 de diciembre de 2025, adoptadas en el sector de infraestructura social, que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6B49B1">
        <w:rPr>
          <w:rFonts w:ascii="Verdana" w:eastAsia="Calibri" w:hAnsi="Verdana" w:cs="Arial"/>
          <w:sz w:val="20"/>
          <w:szCs w:val="20"/>
          <w:lang w:eastAsia="es-MX"/>
        </w:rPr>
        <w:t>.</w:t>
      </w:r>
    </w:p>
    <w:p w14:paraId="1832DF3F" w14:textId="77777777" w:rsidR="006B49B1" w:rsidRPr="006B49B1" w:rsidRDefault="006B49B1" w:rsidP="006B49B1">
      <w:pPr>
        <w:widowControl w:val="0"/>
        <w:autoSpaceDE w:val="0"/>
        <w:autoSpaceDN w:val="0"/>
        <w:spacing w:after="0" w:line="276" w:lineRule="auto"/>
        <w:jc w:val="both"/>
        <w:rPr>
          <w:rFonts w:ascii="Verdana" w:eastAsia="Calibri" w:hAnsi="Verdana" w:cs="Times New Roman"/>
          <w:lang w:eastAsia="es-MX"/>
        </w:rPr>
      </w:pPr>
    </w:p>
    <w:p w14:paraId="72AB35D2" w14:textId="77777777" w:rsidR="006B49B1" w:rsidRPr="006B49B1" w:rsidRDefault="006B49B1" w:rsidP="006B49B1">
      <w:pPr>
        <w:spacing w:after="0" w:line="276" w:lineRule="auto"/>
        <w:jc w:val="both"/>
        <w:rPr>
          <w:rFonts w:ascii="Verdana" w:eastAsia="Calibri" w:hAnsi="Verdana" w:cs="Times New Roman"/>
          <w:sz w:val="20"/>
          <w:szCs w:val="20"/>
          <w:lang w:val="es-ES" w:eastAsia="es-MX"/>
        </w:rPr>
      </w:pPr>
      <w:r w:rsidRPr="006B49B1">
        <w:rPr>
          <w:rFonts w:ascii="Verdana" w:eastAsia="Calibri" w:hAnsi="Verdana" w:cs="Times New Roman"/>
          <w:b/>
          <w:bCs/>
          <w:lang w:val="es-ES" w:eastAsia="es-MX"/>
        </w:rPr>
        <w:t xml:space="preserve">DOCUMENTOS TIPO – Aplicación – Matriz de Experiencia </w:t>
      </w:r>
    </w:p>
    <w:p w14:paraId="2D3CB380" w14:textId="77777777" w:rsidR="006B49B1" w:rsidRPr="006B49B1" w:rsidRDefault="006B49B1" w:rsidP="006B49B1">
      <w:pPr>
        <w:spacing w:after="0" w:line="240" w:lineRule="auto"/>
        <w:rPr>
          <w:rFonts w:ascii="Verdana" w:eastAsia="Geomanist Light" w:hAnsi="Verdana" w:cs="Arial"/>
          <w:lang w:val="es-MX" w:eastAsia="es-MX"/>
        </w:rPr>
      </w:pPr>
    </w:p>
    <w:p w14:paraId="0CBEF2DF" w14:textId="77777777" w:rsidR="006B49B1" w:rsidRPr="006B49B1" w:rsidRDefault="006B49B1" w:rsidP="006B49B1">
      <w:pPr>
        <w:widowControl w:val="0"/>
        <w:autoSpaceDE w:val="0"/>
        <w:autoSpaceDN w:val="0"/>
        <w:spacing w:after="0" w:line="240" w:lineRule="auto"/>
        <w:jc w:val="both"/>
        <w:rPr>
          <w:rFonts w:ascii="Verdana" w:eastAsia="Calibri" w:hAnsi="Verdana" w:cs="Times New Roman"/>
          <w:sz w:val="20"/>
          <w:szCs w:val="20"/>
          <w:lang w:val="es-ES" w:eastAsia="es-MX"/>
        </w:rPr>
      </w:pPr>
      <w:r w:rsidRPr="006B49B1">
        <w:rPr>
          <w:rFonts w:ascii="Verdana" w:eastAsia="Calibri" w:hAnsi="Verdana" w:cs="Times New Roman"/>
          <w:sz w:val="20"/>
          <w:szCs w:val="20"/>
          <w:lang w:val="es-ES" w:eastAsia="es-MX"/>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1477FF6D" w14:textId="77777777" w:rsidR="006B49B1" w:rsidRPr="006B49B1" w:rsidRDefault="006B49B1" w:rsidP="006B49B1">
      <w:pPr>
        <w:widowControl w:val="0"/>
        <w:autoSpaceDE w:val="0"/>
        <w:autoSpaceDN w:val="0"/>
        <w:spacing w:after="0" w:line="240" w:lineRule="auto"/>
        <w:jc w:val="both"/>
        <w:rPr>
          <w:rFonts w:ascii="Verdana" w:eastAsia="Calibri" w:hAnsi="Verdana" w:cs="Times New Roman"/>
          <w:sz w:val="20"/>
          <w:szCs w:val="20"/>
          <w:lang w:val="es-ES" w:eastAsia="es-MX"/>
        </w:rPr>
      </w:pPr>
    </w:p>
    <w:p w14:paraId="5A8EA4BB" w14:textId="77777777" w:rsidR="006B49B1" w:rsidRPr="006B49B1" w:rsidRDefault="006B49B1" w:rsidP="006B49B1">
      <w:pPr>
        <w:widowControl w:val="0"/>
        <w:autoSpaceDE w:val="0"/>
        <w:autoSpaceDN w:val="0"/>
        <w:spacing w:after="0" w:line="240" w:lineRule="auto"/>
        <w:jc w:val="both"/>
        <w:rPr>
          <w:rFonts w:ascii="Verdana" w:eastAsia="Calibri" w:hAnsi="Verdana" w:cs="Times New Roman"/>
          <w:sz w:val="20"/>
          <w:szCs w:val="20"/>
          <w:lang w:val="es-ES" w:eastAsia="es-MX"/>
        </w:rPr>
      </w:pPr>
      <w:r w:rsidRPr="006B49B1">
        <w:rPr>
          <w:rFonts w:ascii="Verdana" w:eastAsia="Calibri" w:hAnsi="Verdana" w:cs="Times New Roman"/>
          <w:sz w:val="20"/>
          <w:szCs w:val="20"/>
          <w:lang w:val="es-ES" w:eastAsia="es-MX"/>
        </w:rPr>
        <w:t xml:space="preserve">Uno de los elementos comunes a los diferentes documentos tipo es la “Matriz – </w:t>
      </w:r>
      <w:r w:rsidRPr="006B49B1">
        <w:rPr>
          <w:rFonts w:ascii="Verdana" w:eastAsia="Calibri" w:hAnsi="Verdana" w:cs="Times New Roman"/>
          <w:sz w:val="20"/>
          <w:szCs w:val="20"/>
          <w:lang w:val="es-ES" w:eastAsia="es-MX"/>
        </w:rPr>
        <w:lastRenderedPageBreak/>
        <w:t>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2D527340" w14:textId="77777777" w:rsidR="006B49B1" w:rsidRPr="006B49B1" w:rsidRDefault="006B49B1" w:rsidP="006B49B1">
      <w:pPr>
        <w:spacing w:after="0" w:line="240" w:lineRule="auto"/>
        <w:jc w:val="both"/>
        <w:rPr>
          <w:rFonts w:ascii="Arial" w:eastAsia="Calibri" w:hAnsi="Arial" w:cs="Arial"/>
          <w:b/>
          <w:bCs/>
          <w:color w:val="000000"/>
          <w:sz w:val="24"/>
          <w:szCs w:val="24"/>
          <w:lang w:eastAsia="es-MX"/>
        </w:rPr>
      </w:pPr>
    </w:p>
    <w:p w14:paraId="4F1C2582" w14:textId="77777777" w:rsidR="006B49B1" w:rsidRPr="006B49B1" w:rsidRDefault="006B49B1" w:rsidP="006B49B1">
      <w:pPr>
        <w:widowControl w:val="0"/>
        <w:autoSpaceDE w:val="0"/>
        <w:autoSpaceDN w:val="0"/>
        <w:spacing w:after="0" w:line="240" w:lineRule="auto"/>
        <w:jc w:val="both"/>
        <w:rPr>
          <w:rFonts w:ascii="Verdana" w:eastAsia="Calibri" w:hAnsi="Verdana" w:cs="Times New Roman"/>
          <w:b/>
          <w:bCs/>
          <w:lang w:val="es-ES" w:eastAsia="es-MX"/>
        </w:rPr>
      </w:pPr>
      <w:r w:rsidRPr="006B49B1">
        <w:rPr>
          <w:rFonts w:ascii="Verdana" w:eastAsia="Calibri" w:hAnsi="Verdana" w:cs="Times New Roman"/>
          <w:b/>
          <w:bCs/>
          <w:lang w:val="es-ES" w:eastAsia="es-MX"/>
        </w:rPr>
        <w:t>SECTOR SOCIAL – Cultura, recreación y deporte – Documentos tipo – Matriz 1 – Experiencia – Nota uno (1) – Actividad 2.1 – Alcance</w:t>
      </w:r>
    </w:p>
    <w:p w14:paraId="05D7BC1B" w14:textId="77777777" w:rsidR="006B49B1" w:rsidRPr="006B49B1" w:rsidRDefault="006B49B1" w:rsidP="006B49B1">
      <w:pPr>
        <w:spacing w:after="0" w:line="276" w:lineRule="auto"/>
        <w:jc w:val="both"/>
        <w:rPr>
          <w:rFonts w:ascii="Verdana" w:eastAsia="Arial" w:hAnsi="Verdana" w:cs="Arial"/>
          <w:lang w:val="es-ES" w:eastAsia="es-ES_tradnl"/>
        </w:rPr>
      </w:pPr>
    </w:p>
    <w:p w14:paraId="4057FD0C" w14:textId="77777777" w:rsidR="006B49B1" w:rsidRPr="006B49B1" w:rsidRDefault="006B49B1" w:rsidP="006B49B1">
      <w:pPr>
        <w:spacing w:after="0" w:line="240" w:lineRule="auto"/>
        <w:jc w:val="both"/>
        <w:rPr>
          <w:rFonts w:ascii="Verdana" w:eastAsia="Arial" w:hAnsi="Verdana" w:cs="Arial"/>
          <w:kern w:val="2"/>
          <w:sz w:val="20"/>
          <w:szCs w:val="20"/>
          <w:lang w:val="es-ES" w:eastAsia="es-ES_tradnl"/>
          <w14:ligatures w14:val="standardContextual"/>
        </w:rPr>
      </w:pPr>
      <w:r w:rsidRPr="006B49B1">
        <w:rPr>
          <w:rFonts w:ascii="Verdana" w:eastAsia="Arial" w:hAnsi="Verdana" w:cs="Arial"/>
          <w:sz w:val="20"/>
          <w:szCs w:val="20"/>
          <w:lang w:val="es-ES" w:eastAsia="es-ES_tradnl"/>
        </w:rPr>
        <w:t xml:space="preserve">De acuerdo con esta definición, las obras de espacio público pueden recaer sobre una amplia variedad de elementos destinados al uso y disfrute colectivo. Sin embargo, la Nota 1 contenidas para la experiencia general de la actividad 2.1 establece una delimitación específica para efectos de la acreditación de experiencia, al señalar expresamente que se excluyen las vías destinadas al tránsito vehicular y las actividades de conservación y/o preservación de playas marítimas. </w:t>
      </w:r>
    </w:p>
    <w:p w14:paraId="0A9399C4" w14:textId="77777777" w:rsidR="006B49B1" w:rsidRPr="006B49B1" w:rsidRDefault="006B49B1" w:rsidP="006B49B1">
      <w:pPr>
        <w:spacing w:after="0" w:line="240" w:lineRule="auto"/>
        <w:jc w:val="both"/>
        <w:rPr>
          <w:rFonts w:ascii="Verdana" w:eastAsia="Arial" w:hAnsi="Verdana" w:cs="Arial"/>
          <w:sz w:val="20"/>
          <w:szCs w:val="20"/>
          <w:lang w:val="es-ES" w:eastAsia="es-ES_tradnl"/>
        </w:rPr>
      </w:pPr>
    </w:p>
    <w:p w14:paraId="5B7EB6F6" w14:textId="77777777" w:rsidR="006B49B1" w:rsidRPr="006B49B1" w:rsidRDefault="006B49B1" w:rsidP="006B49B1">
      <w:pPr>
        <w:spacing w:after="0" w:line="276" w:lineRule="auto"/>
        <w:jc w:val="both"/>
        <w:rPr>
          <w:rFonts w:ascii="Verdana" w:eastAsia="Arial" w:hAnsi="Verdana" w:cs="Arial"/>
          <w:b/>
          <w:bCs/>
          <w:kern w:val="2"/>
          <w:sz w:val="24"/>
          <w:szCs w:val="24"/>
          <w:lang w:val="es-ES" w:eastAsia="es-ES_tradnl"/>
          <w14:ligatures w14:val="standardContextual"/>
        </w:rPr>
      </w:pPr>
      <w:r w:rsidRPr="006B49B1">
        <w:rPr>
          <w:rFonts w:ascii="Verdana" w:eastAsia="Arial" w:hAnsi="Verdana" w:cs="Arial"/>
          <w:b/>
          <w:bCs/>
          <w:lang w:val="es-ES" w:eastAsia="es-ES_tradnl"/>
        </w:rPr>
        <w:t>DOCUMENTO BASE – Sector social – Licitación – Versión 1 – Literal L – Numeral 3.5.1 – Aplicación – Parques</w:t>
      </w:r>
    </w:p>
    <w:p w14:paraId="273DF581" w14:textId="77777777" w:rsidR="006B49B1" w:rsidRPr="006B49B1" w:rsidRDefault="006B49B1" w:rsidP="006B49B1">
      <w:pPr>
        <w:spacing w:after="0"/>
        <w:jc w:val="both"/>
        <w:textAlignment w:val="baseline"/>
        <w:rPr>
          <w:rFonts w:ascii="Verdana" w:eastAsia="Calibri" w:hAnsi="Verdana" w:cs="Times New Roman"/>
          <w:lang w:val="es-MX"/>
        </w:rPr>
      </w:pPr>
    </w:p>
    <w:p w14:paraId="0F000C31" w14:textId="77777777" w:rsidR="006B49B1" w:rsidRPr="006B49B1" w:rsidRDefault="006B49B1" w:rsidP="006B49B1">
      <w:pPr>
        <w:spacing w:after="0" w:line="240" w:lineRule="auto"/>
        <w:jc w:val="both"/>
        <w:rPr>
          <w:rFonts w:ascii="Verdana" w:eastAsia="Times New Roman" w:hAnsi="Verdana" w:cs="Times New Roman"/>
          <w:kern w:val="2"/>
          <w:sz w:val="20"/>
          <w:szCs w:val="20"/>
          <w:lang w:eastAsia="es-CO"/>
          <w14:ligatures w14:val="standardContextual"/>
        </w:rPr>
      </w:pPr>
      <w:r w:rsidRPr="006B49B1">
        <w:rPr>
          <w:rFonts w:ascii="Verdana" w:eastAsia="Times New Roman" w:hAnsi="Verdana" w:cs="Times New Roman"/>
          <w:sz w:val="20"/>
          <w:szCs w:val="20"/>
          <w:lang w:eastAsia="es-CO"/>
        </w:rPr>
        <w:t xml:space="preserve">El literal indicado debe entenderse de acuerdo con el siguiente alcance. En primer lugar, hace referencia a las consideraciones que deben tenerse en cuenta para la acreditación de experiencia en las actividades incluidas en alguna de las matrices del sector social —salud, educación o cultura, recreación y deporte— y particularmente, tal como lo señala la nota, estas condiciones son aplicables cuando se pretenda acreditar </w:t>
      </w:r>
      <w:r w:rsidRPr="006B49B1">
        <w:rPr>
          <w:rFonts w:ascii="Verdana" w:eastAsia="Times New Roman" w:hAnsi="Verdana" w:cs="Times New Roman"/>
          <w:i/>
          <w:iCs/>
          <w:sz w:val="20"/>
          <w:szCs w:val="20"/>
          <w:lang w:eastAsia="es-CO"/>
        </w:rPr>
        <w:t>experiencia en edificaciones verticales</w:t>
      </w:r>
      <w:r w:rsidRPr="006B49B1">
        <w:rPr>
          <w:rFonts w:ascii="Verdana" w:eastAsia="Times New Roman" w:hAnsi="Verdana" w:cs="Times New Roman"/>
          <w:sz w:val="20"/>
          <w:szCs w:val="20"/>
          <w:lang w:eastAsia="es-CO"/>
        </w:rPr>
        <w:t xml:space="preserve">, precisando que no será válida aquella relacionada con las siguientes actividades: i) Parqueaderos de un (1) piso (como uso exclusivo), </w:t>
      </w:r>
      <w:proofErr w:type="spellStart"/>
      <w:r w:rsidRPr="006B49B1">
        <w:rPr>
          <w:rFonts w:ascii="Verdana" w:eastAsia="Times New Roman" w:hAnsi="Verdana" w:cs="Times New Roman"/>
          <w:sz w:val="20"/>
          <w:szCs w:val="20"/>
          <w:lang w:eastAsia="es-CO"/>
        </w:rPr>
        <w:t>ii</w:t>
      </w:r>
      <w:proofErr w:type="spellEnd"/>
      <w:r w:rsidRPr="006B49B1">
        <w:rPr>
          <w:rFonts w:ascii="Verdana" w:eastAsia="Times New Roman" w:hAnsi="Verdana" w:cs="Times New Roman"/>
          <w:sz w:val="20"/>
          <w:szCs w:val="20"/>
          <w:lang w:eastAsia="es-CO"/>
        </w:rPr>
        <w:t xml:space="preserve">) Infraestructura de transporte, salvo que el Proceso de Contratación implique el mantenimiento de vías de circulación internas; </w:t>
      </w:r>
      <w:proofErr w:type="spellStart"/>
      <w:r w:rsidRPr="006B49B1">
        <w:rPr>
          <w:rFonts w:ascii="Verdana" w:eastAsia="Times New Roman" w:hAnsi="Verdana" w:cs="Times New Roman"/>
          <w:sz w:val="20"/>
          <w:szCs w:val="20"/>
          <w:lang w:eastAsia="es-CO"/>
        </w:rPr>
        <w:t>iii</w:t>
      </w:r>
      <w:proofErr w:type="spellEnd"/>
      <w:r w:rsidRPr="006B49B1">
        <w:rPr>
          <w:rFonts w:ascii="Verdana" w:eastAsia="Times New Roman" w:hAnsi="Verdana" w:cs="Times New Roman"/>
          <w:sz w:val="20"/>
          <w:szCs w:val="20"/>
          <w:lang w:eastAsia="es-CO"/>
        </w:rPr>
        <w:t xml:space="preserve">) Obras hidráulicas (represas, alcantarillados, acueductos, diques, canales, plantas de tratamiento); y </w:t>
      </w:r>
      <w:proofErr w:type="spellStart"/>
      <w:r w:rsidRPr="006B49B1">
        <w:rPr>
          <w:rFonts w:ascii="Verdana" w:eastAsia="Times New Roman" w:hAnsi="Verdana" w:cs="Times New Roman"/>
          <w:sz w:val="20"/>
          <w:szCs w:val="20"/>
          <w:lang w:eastAsia="es-CO"/>
        </w:rPr>
        <w:t>iii</w:t>
      </w:r>
      <w:proofErr w:type="spellEnd"/>
      <w:r w:rsidRPr="006B49B1">
        <w:rPr>
          <w:rFonts w:ascii="Verdana" w:eastAsia="Times New Roman" w:hAnsi="Verdana" w:cs="Times New Roman"/>
          <w:sz w:val="20"/>
          <w:szCs w:val="20"/>
          <w:lang w:eastAsia="es-CO"/>
        </w:rPr>
        <w:t xml:space="preserve">) Obras de urbanismo y paisajismo, salvo que el proceso de selección implique el mantenimiento de zonas verdes y/o paisajismo al interior de un predio cuya destinación es en una edificación de infraestructura social (tales como instituciones educativas, hospitales, planetarios, auditorios, entre otros).  </w:t>
      </w:r>
    </w:p>
    <w:p w14:paraId="0FE05B5E" w14:textId="77777777" w:rsidR="006B49B1" w:rsidRPr="006B49B1" w:rsidRDefault="006B49B1" w:rsidP="006B49B1">
      <w:pPr>
        <w:spacing w:after="0" w:line="240" w:lineRule="auto"/>
        <w:jc w:val="both"/>
        <w:rPr>
          <w:rFonts w:ascii="Verdana" w:eastAsia="Times New Roman" w:hAnsi="Verdana" w:cs="Times New Roman"/>
          <w:sz w:val="20"/>
          <w:szCs w:val="20"/>
          <w:lang w:eastAsia="es-CO"/>
        </w:rPr>
      </w:pPr>
    </w:p>
    <w:p w14:paraId="2D1DD507" w14:textId="77777777" w:rsidR="006B49B1" w:rsidRPr="006B49B1" w:rsidRDefault="006B49B1" w:rsidP="7D2A1C47">
      <w:pPr>
        <w:spacing w:after="0" w:line="278" w:lineRule="auto"/>
        <w:jc w:val="both"/>
        <w:rPr>
          <w:rFonts w:ascii="Verdana" w:eastAsia="Times New Roman" w:hAnsi="Verdana" w:cs="Times New Roman"/>
          <w:kern w:val="2"/>
          <w:sz w:val="20"/>
          <w:szCs w:val="20"/>
          <w:lang w:eastAsia="es-CO"/>
          <w14:ligatures w14:val="standardContextual"/>
        </w:rPr>
      </w:pPr>
      <w:r w:rsidRPr="7D2A1C47">
        <w:rPr>
          <w:rFonts w:ascii="Verdana" w:eastAsia="Times New Roman" w:hAnsi="Verdana" w:cs="Times New Roman"/>
          <w:sz w:val="20"/>
          <w:szCs w:val="20"/>
          <w:lang w:eastAsia="es-CO"/>
        </w:rPr>
        <w:t xml:space="preserve">Conforme al alcance del literal L del numeral 3.5.1 “Características de los contratos presentados para acreditar la experiencia exigida”, y teniendo en cuenta que el segundo problema jurídico del presente concepto se orienta a determinar si dicho literal resulta aplicable a la actividad “2.1. PROYECTOS DE CONSTRUCCIÓN Y/O RECONSTRUCCIÓN DE PARQUES”, se debe indicar que, de acuerdo con la definición de parque contenida en el numeral 2.71 del Anexo – Glosario, este corresponde a “áreas libres públicas, predominantemente arborizadas y/o ajardinadas que se encuentran localizadas en suelo </w:t>
      </w:r>
      <w:r w:rsidRPr="7D2A1C47">
        <w:rPr>
          <w:rFonts w:ascii="Verdana" w:eastAsia="Times New Roman" w:hAnsi="Verdana" w:cs="Times New Roman"/>
          <w:sz w:val="20"/>
          <w:szCs w:val="20"/>
          <w:lang w:eastAsia="es-CO"/>
        </w:rPr>
        <w:lastRenderedPageBreak/>
        <w:t>urbano, y que están destinadas a la recreación, el esparcimiento y el ocio, así como a la generación y preservación de valores paisajísticos y ambientales”.</w:t>
      </w:r>
    </w:p>
    <w:p w14:paraId="6C824A01" w14:textId="77777777" w:rsidR="006B49B1" w:rsidRPr="006B49B1" w:rsidRDefault="006B49B1" w:rsidP="006B49B1">
      <w:pPr>
        <w:spacing w:after="0" w:line="240" w:lineRule="auto"/>
        <w:jc w:val="both"/>
        <w:rPr>
          <w:rFonts w:ascii="Verdana" w:eastAsia="Times New Roman" w:hAnsi="Verdana" w:cs="Times New Roman"/>
          <w:sz w:val="20"/>
          <w:szCs w:val="20"/>
          <w:lang w:eastAsia="es-CO"/>
        </w:rPr>
      </w:pPr>
    </w:p>
    <w:p w14:paraId="5D5DE7BF" w14:textId="77777777" w:rsidR="006B49B1" w:rsidRPr="006B49B1" w:rsidRDefault="006B49B1" w:rsidP="006B49B1">
      <w:pPr>
        <w:spacing w:after="0" w:line="240" w:lineRule="auto"/>
        <w:jc w:val="both"/>
        <w:rPr>
          <w:rFonts w:ascii="Verdana" w:eastAsia="Times New Roman" w:hAnsi="Verdana" w:cs="Times New Roman"/>
          <w:sz w:val="20"/>
          <w:szCs w:val="20"/>
          <w:lang w:eastAsia="es-CO"/>
        </w:rPr>
      </w:pPr>
      <w:r w:rsidRPr="006B49B1">
        <w:rPr>
          <w:rFonts w:ascii="Verdana" w:eastAsia="Times New Roman" w:hAnsi="Verdana" w:cs="Times New Roman"/>
          <w:sz w:val="20"/>
          <w:szCs w:val="20"/>
          <w:lang w:eastAsia="es-CO"/>
        </w:rPr>
        <w:t>No obstante, es importante precisar que la sola denominación de “parque” no resulta suficiente para efectos de determinar la aplicación del literal L del numeral 3.5.1, en la medida en que pueden existir proyectos identificados como parques que incorporen infraestructuras de naturaleza edificada o con características propias de una edificación vertical, como ocurre, por ejemplo, en el Centro Felicidad CEFE de la localidad de Chapinero Bogotá. En ese sentido, lo determinante no es la denominación del proyecto como parque, sino su naturaleza constructiva y funcional, particularmente si este se configura o no como una edificación vertical en los términos del documento base.</w:t>
      </w:r>
    </w:p>
    <w:p w14:paraId="76906D10" w14:textId="77777777" w:rsidR="006B49B1" w:rsidRPr="006B49B1" w:rsidRDefault="006B49B1" w:rsidP="006B49B1">
      <w:pPr>
        <w:spacing w:after="120" w:line="276" w:lineRule="auto"/>
        <w:jc w:val="both"/>
        <w:rPr>
          <w:rFonts w:ascii="Verdana" w:eastAsia="Arial" w:hAnsi="Verdana" w:cs="Arial"/>
          <w:lang w:eastAsia="es-ES_tradnl"/>
        </w:rPr>
      </w:pPr>
    </w:p>
    <w:p w14:paraId="1DB5077C" w14:textId="77777777" w:rsidR="006B49B1" w:rsidRPr="006B49B1" w:rsidRDefault="006B49B1" w:rsidP="006B49B1">
      <w:pPr>
        <w:spacing w:after="0" w:line="276" w:lineRule="auto"/>
        <w:ind w:firstLine="708"/>
        <w:jc w:val="both"/>
        <w:rPr>
          <w:rFonts w:ascii="Verdana" w:eastAsia="Arial" w:hAnsi="Verdana" w:cs="Arial"/>
          <w:lang w:val="es-ES" w:eastAsia="es-ES_tradnl"/>
        </w:rPr>
      </w:pPr>
    </w:p>
    <w:p w14:paraId="44ECDF83" w14:textId="77777777" w:rsidR="006B49B1" w:rsidRPr="006B49B1" w:rsidRDefault="006B49B1" w:rsidP="006B49B1">
      <w:pPr>
        <w:spacing w:after="0" w:line="240" w:lineRule="auto"/>
        <w:jc w:val="both"/>
        <w:rPr>
          <w:rFonts w:ascii="Verdana" w:eastAsia="Calibri" w:hAnsi="Verdana" w:cs="Arial"/>
          <w:sz w:val="20"/>
          <w:szCs w:val="20"/>
          <w:lang w:eastAsia="es-MX"/>
        </w:rPr>
      </w:pPr>
    </w:p>
    <w:p w14:paraId="4E4778A9" w14:textId="77777777" w:rsidR="006B49B1" w:rsidRPr="006B49B1" w:rsidRDefault="006B49B1" w:rsidP="006B49B1">
      <w:pPr>
        <w:spacing w:after="0" w:line="240" w:lineRule="auto"/>
        <w:jc w:val="both"/>
        <w:rPr>
          <w:rFonts w:ascii="Verdana" w:eastAsia="Calibri" w:hAnsi="Verdana" w:cs="Arial"/>
          <w:sz w:val="20"/>
          <w:szCs w:val="20"/>
          <w:lang w:val="es-ES" w:eastAsia="es-MX"/>
        </w:rPr>
      </w:pPr>
    </w:p>
    <w:p w14:paraId="26ECBD98" w14:textId="77777777" w:rsidR="006B49B1" w:rsidRPr="006B49B1" w:rsidRDefault="006B49B1" w:rsidP="006B49B1">
      <w:pPr>
        <w:spacing w:after="0" w:line="240" w:lineRule="auto"/>
        <w:jc w:val="both"/>
        <w:rPr>
          <w:rFonts w:ascii="Verdana" w:eastAsia="Calibri" w:hAnsi="Verdana" w:cs="Arial"/>
          <w:sz w:val="20"/>
          <w:szCs w:val="20"/>
          <w:lang w:val="es-ES" w:eastAsia="es-MX"/>
        </w:rPr>
      </w:pPr>
    </w:p>
    <w:p w14:paraId="63322DA8" w14:textId="77777777" w:rsidR="006B49B1" w:rsidRPr="006B49B1" w:rsidRDefault="006B49B1" w:rsidP="006B49B1">
      <w:pPr>
        <w:spacing w:after="0" w:line="240" w:lineRule="auto"/>
        <w:jc w:val="both"/>
        <w:rPr>
          <w:rFonts w:ascii="Verdana" w:eastAsia="Calibri" w:hAnsi="Verdana" w:cs="Arial"/>
          <w:sz w:val="20"/>
          <w:szCs w:val="20"/>
          <w:lang w:val="es-ES" w:eastAsia="es-MX"/>
        </w:rPr>
      </w:pPr>
    </w:p>
    <w:p w14:paraId="170E8423" w14:textId="77777777" w:rsidR="006B49B1" w:rsidRPr="006B49B1" w:rsidRDefault="006B49B1" w:rsidP="006B49B1">
      <w:pPr>
        <w:spacing w:after="0" w:line="240" w:lineRule="auto"/>
        <w:jc w:val="both"/>
        <w:rPr>
          <w:rFonts w:ascii="Verdana" w:eastAsia="Calibri" w:hAnsi="Verdana" w:cs="Arial"/>
          <w:sz w:val="20"/>
          <w:szCs w:val="20"/>
          <w:lang w:val="es-ES" w:eastAsia="es-MX"/>
        </w:rPr>
      </w:pPr>
    </w:p>
    <w:p w14:paraId="22F00118" w14:textId="77777777" w:rsidR="006B49B1" w:rsidRPr="006B49B1" w:rsidRDefault="006B49B1" w:rsidP="006B49B1">
      <w:pPr>
        <w:spacing w:after="0" w:line="240" w:lineRule="auto"/>
        <w:jc w:val="both"/>
        <w:rPr>
          <w:rFonts w:ascii="Verdana" w:eastAsia="Calibri" w:hAnsi="Verdana" w:cs="Arial"/>
          <w:sz w:val="20"/>
          <w:szCs w:val="20"/>
          <w:lang w:val="es-ES" w:eastAsia="es-MX"/>
        </w:rPr>
      </w:pPr>
    </w:p>
    <w:p w14:paraId="6C66A90B" w14:textId="77777777" w:rsidR="006B49B1" w:rsidRPr="006B49B1" w:rsidRDefault="006B49B1" w:rsidP="006B49B1">
      <w:pPr>
        <w:spacing w:after="0" w:line="240" w:lineRule="auto"/>
        <w:jc w:val="both"/>
        <w:rPr>
          <w:rFonts w:ascii="Verdana" w:eastAsia="Calibri" w:hAnsi="Verdana" w:cs="Arial"/>
          <w:sz w:val="20"/>
          <w:szCs w:val="20"/>
          <w:lang w:val="es-ES" w:eastAsia="es-MX"/>
        </w:rPr>
      </w:pPr>
    </w:p>
    <w:p w14:paraId="396FF518" w14:textId="77777777" w:rsidR="006B49B1" w:rsidRPr="006B49B1" w:rsidRDefault="006B49B1" w:rsidP="006B49B1">
      <w:pPr>
        <w:spacing w:after="0" w:line="240" w:lineRule="auto"/>
        <w:jc w:val="both"/>
        <w:rPr>
          <w:rFonts w:ascii="Verdana" w:eastAsia="Calibri" w:hAnsi="Verdana" w:cs="Arial"/>
          <w:sz w:val="20"/>
          <w:szCs w:val="20"/>
          <w:lang w:val="es-ES" w:eastAsia="es-MX"/>
        </w:rPr>
      </w:pPr>
    </w:p>
    <w:p w14:paraId="171A7B5A" w14:textId="77777777" w:rsidR="006B49B1" w:rsidRPr="006B49B1" w:rsidRDefault="006B49B1" w:rsidP="006B49B1">
      <w:pPr>
        <w:spacing w:after="0" w:line="240" w:lineRule="auto"/>
        <w:jc w:val="both"/>
        <w:rPr>
          <w:rFonts w:ascii="Verdana" w:eastAsia="Calibri" w:hAnsi="Verdana" w:cs="Arial"/>
          <w:sz w:val="20"/>
          <w:szCs w:val="20"/>
          <w:lang w:val="es-ES" w:eastAsia="es-MX"/>
        </w:rPr>
      </w:pPr>
    </w:p>
    <w:p w14:paraId="6DFAF92B" w14:textId="77777777" w:rsidR="006B49B1" w:rsidRPr="006B49B1" w:rsidRDefault="006B49B1" w:rsidP="006B49B1">
      <w:pPr>
        <w:spacing w:after="0" w:line="240" w:lineRule="auto"/>
        <w:jc w:val="both"/>
        <w:rPr>
          <w:rFonts w:ascii="Verdana" w:eastAsia="Calibri" w:hAnsi="Verdana" w:cs="Arial"/>
          <w:sz w:val="20"/>
          <w:szCs w:val="20"/>
          <w:lang w:val="es-ES" w:eastAsia="es-MX"/>
        </w:rPr>
      </w:pPr>
    </w:p>
    <w:p w14:paraId="5035DFC8" w14:textId="77777777" w:rsidR="006B49B1" w:rsidRPr="006B49B1" w:rsidRDefault="006B49B1" w:rsidP="006B49B1">
      <w:pPr>
        <w:spacing w:after="0" w:line="240" w:lineRule="auto"/>
        <w:jc w:val="both"/>
        <w:rPr>
          <w:rFonts w:ascii="Verdana" w:eastAsia="Calibri" w:hAnsi="Verdana" w:cs="Arial"/>
          <w:sz w:val="20"/>
          <w:szCs w:val="20"/>
          <w:lang w:val="es-ES" w:eastAsia="es-MX"/>
        </w:rPr>
      </w:pPr>
    </w:p>
    <w:p w14:paraId="3DD6CA8E" w14:textId="77777777" w:rsidR="006B49B1" w:rsidRPr="006B49B1" w:rsidRDefault="006B49B1" w:rsidP="006B49B1">
      <w:pPr>
        <w:spacing w:after="0" w:line="240" w:lineRule="auto"/>
        <w:jc w:val="both"/>
        <w:rPr>
          <w:rFonts w:ascii="Verdana" w:eastAsia="Calibri" w:hAnsi="Verdana" w:cs="Arial"/>
          <w:sz w:val="20"/>
          <w:szCs w:val="20"/>
          <w:lang w:val="es-ES" w:eastAsia="es-MX"/>
        </w:rPr>
      </w:pPr>
    </w:p>
    <w:p w14:paraId="74258DB0" w14:textId="77777777" w:rsidR="006B49B1" w:rsidRPr="006B49B1" w:rsidRDefault="006B49B1" w:rsidP="006B49B1">
      <w:pPr>
        <w:spacing w:after="0" w:line="240" w:lineRule="auto"/>
        <w:jc w:val="both"/>
        <w:rPr>
          <w:rFonts w:ascii="Verdana" w:eastAsia="Calibri" w:hAnsi="Verdana" w:cs="Arial"/>
          <w:sz w:val="20"/>
          <w:szCs w:val="20"/>
          <w:lang w:val="es-ES" w:eastAsia="es-MX"/>
        </w:rPr>
      </w:pPr>
    </w:p>
    <w:p w14:paraId="5FB98C8D" w14:textId="77777777" w:rsidR="006B49B1" w:rsidRPr="006B49B1" w:rsidRDefault="006B49B1" w:rsidP="006B49B1">
      <w:pPr>
        <w:spacing w:after="0" w:line="240" w:lineRule="auto"/>
        <w:jc w:val="both"/>
        <w:rPr>
          <w:rFonts w:ascii="Verdana" w:eastAsia="Calibri" w:hAnsi="Verdana" w:cs="Arial"/>
          <w:sz w:val="20"/>
          <w:szCs w:val="20"/>
          <w:lang w:val="es-ES" w:eastAsia="es-MX"/>
        </w:rPr>
      </w:pPr>
    </w:p>
    <w:p w14:paraId="6C51E18D" w14:textId="77777777" w:rsidR="006B49B1" w:rsidRPr="006B49B1" w:rsidRDefault="006B49B1" w:rsidP="006B49B1">
      <w:pPr>
        <w:spacing w:after="0" w:line="240" w:lineRule="auto"/>
        <w:jc w:val="both"/>
        <w:rPr>
          <w:rFonts w:ascii="Verdana" w:eastAsia="Calibri" w:hAnsi="Verdana" w:cs="Arial"/>
          <w:sz w:val="20"/>
          <w:szCs w:val="20"/>
          <w:lang w:val="es-ES" w:eastAsia="es-MX"/>
        </w:rPr>
      </w:pPr>
    </w:p>
    <w:p w14:paraId="1C46C062" w14:textId="77777777" w:rsidR="006B49B1" w:rsidRPr="006B49B1" w:rsidRDefault="006B49B1" w:rsidP="006B49B1">
      <w:pPr>
        <w:spacing w:after="0" w:line="240" w:lineRule="auto"/>
        <w:jc w:val="both"/>
        <w:rPr>
          <w:rFonts w:ascii="Verdana" w:eastAsia="Calibri" w:hAnsi="Verdana" w:cs="Arial"/>
          <w:sz w:val="20"/>
          <w:szCs w:val="20"/>
          <w:lang w:val="es-ES" w:eastAsia="es-MX"/>
        </w:rPr>
      </w:pPr>
    </w:p>
    <w:p w14:paraId="614F2121" w14:textId="77777777" w:rsidR="006B49B1" w:rsidRPr="006B49B1" w:rsidRDefault="006B49B1" w:rsidP="006B49B1">
      <w:pPr>
        <w:spacing w:after="0" w:line="240" w:lineRule="auto"/>
        <w:jc w:val="both"/>
        <w:rPr>
          <w:rFonts w:ascii="Verdana" w:eastAsia="Calibri" w:hAnsi="Verdana" w:cs="Arial"/>
          <w:sz w:val="20"/>
          <w:szCs w:val="20"/>
          <w:lang w:val="es-ES" w:eastAsia="es-MX"/>
        </w:rPr>
      </w:pPr>
    </w:p>
    <w:p w14:paraId="33B6CB4D" w14:textId="77777777" w:rsidR="006B49B1" w:rsidRPr="006B49B1" w:rsidRDefault="006B49B1" w:rsidP="006B49B1">
      <w:pPr>
        <w:spacing w:after="0" w:line="240" w:lineRule="auto"/>
        <w:jc w:val="both"/>
        <w:rPr>
          <w:rFonts w:ascii="Verdana" w:eastAsia="Calibri" w:hAnsi="Verdana" w:cs="Arial"/>
          <w:sz w:val="20"/>
          <w:szCs w:val="20"/>
          <w:lang w:val="es-ES" w:eastAsia="es-MX"/>
        </w:rPr>
      </w:pPr>
    </w:p>
    <w:p w14:paraId="06A21A6C" w14:textId="77777777" w:rsidR="006B49B1" w:rsidRPr="006B49B1" w:rsidRDefault="006B49B1" w:rsidP="006B49B1">
      <w:pPr>
        <w:spacing w:after="0" w:line="240" w:lineRule="auto"/>
        <w:jc w:val="both"/>
        <w:rPr>
          <w:rFonts w:ascii="Verdana" w:eastAsia="Calibri" w:hAnsi="Verdana" w:cs="Arial"/>
          <w:sz w:val="20"/>
          <w:szCs w:val="20"/>
          <w:lang w:val="es-ES" w:eastAsia="es-MX"/>
        </w:rPr>
      </w:pPr>
    </w:p>
    <w:p w14:paraId="13DC65B9" w14:textId="77777777" w:rsidR="006B49B1" w:rsidRPr="006B49B1" w:rsidRDefault="006B49B1" w:rsidP="006B49B1">
      <w:pPr>
        <w:spacing w:after="0" w:line="240" w:lineRule="auto"/>
        <w:jc w:val="both"/>
        <w:rPr>
          <w:rFonts w:ascii="Verdana" w:eastAsia="Calibri" w:hAnsi="Verdana" w:cs="Arial"/>
          <w:sz w:val="20"/>
          <w:szCs w:val="20"/>
          <w:lang w:val="es-ES" w:eastAsia="es-MX"/>
        </w:rPr>
      </w:pPr>
    </w:p>
    <w:p w14:paraId="09371E70" w14:textId="77777777" w:rsidR="006B49B1" w:rsidRPr="006B49B1" w:rsidRDefault="006B49B1" w:rsidP="006B49B1">
      <w:pPr>
        <w:spacing w:after="0" w:line="240" w:lineRule="auto"/>
        <w:jc w:val="both"/>
        <w:rPr>
          <w:rFonts w:ascii="Verdana" w:eastAsia="Calibri" w:hAnsi="Verdana" w:cs="Arial"/>
          <w:sz w:val="20"/>
          <w:szCs w:val="20"/>
          <w:lang w:val="es-ES" w:eastAsia="es-MX"/>
        </w:rPr>
      </w:pPr>
    </w:p>
    <w:p w14:paraId="229752F4" w14:textId="77777777" w:rsidR="006B49B1" w:rsidRPr="006B49B1" w:rsidRDefault="006B49B1" w:rsidP="006B49B1">
      <w:pPr>
        <w:spacing w:after="0" w:line="240" w:lineRule="auto"/>
        <w:jc w:val="both"/>
        <w:rPr>
          <w:rFonts w:ascii="Verdana" w:eastAsia="Calibri" w:hAnsi="Verdana" w:cs="Arial"/>
          <w:sz w:val="20"/>
          <w:szCs w:val="20"/>
          <w:lang w:val="es-ES" w:eastAsia="es-MX"/>
        </w:rPr>
      </w:pPr>
    </w:p>
    <w:p w14:paraId="2256312F" w14:textId="77777777" w:rsidR="006B49B1" w:rsidRPr="006B49B1" w:rsidRDefault="006B49B1" w:rsidP="006B49B1">
      <w:pPr>
        <w:spacing w:after="0" w:line="240" w:lineRule="auto"/>
        <w:jc w:val="both"/>
        <w:rPr>
          <w:rFonts w:ascii="Verdana" w:eastAsia="Calibri" w:hAnsi="Verdana" w:cs="Arial"/>
          <w:sz w:val="20"/>
          <w:szCs w:val="20"/>
          <w:lang w:val="es-ES" w:eastAsia="es-MX"/>
        </w:rPr>
      </w:pPr>
    </w:p>
    <w:p w14:paraId="5FA9AA0B" w14:textId="77777777" w:rsidR="006B49B1" w:rsidRPr="006B49B1" w:rsidRDefault="006B49B1" w:rsidP="006B49B1">
      <w:pPr>
        <w:spacing w:after="0" w:line="240" w:lineRule="auto"/>
        <w:jc w:val="both"/>
        <w:rPr>
          <w:rFonts w:ascii="Verdana" w:eastAsia="Calibri" w:hAnsi="Verdana" w:cs="Arial"/>
          <w:sz w:val="20"/>
          <w:szCs w:val="20"/>
          <w:lang w:val="es-ES" w:eastAsia="es-MX"/>
        </w:rPr>
      </w:pPr>
    </w:p>
    <w:p w14:paraId="0AED5D43" w14:textId="77777777" w:rsidR="006B49B1" w:rsidRPr="006B49B1" w:rsidRDefault="006B49B1" w:rsidP="006B49B1">
      <w:pPr>
        <w:spacing w:after="0" w:line="240" w:lineRule="auto"/>
        <w:jc w:val="both"/>
        <w:rPr>
          <w:rFonts w:ascii="Verdana" w:eastAsia="Calibri" w:hAnsi="Verdana" w:cs="Arial"/>
          <w:sz w:val="20"/>
          <w:szCs w:val="20"/>
          <w:lang w:val="es-ES" w:eastAsia="es-MX"/>
        </w:rPr>
      </w:pPr>
    </w:p>
    <w:p w14:paraId="4F1F9115" w14:textId="77777777" w:rsidR="006B49B1" w:rsidRPr="006B49B1" w:rsidRDefault="006B49B1" w:rsidP="006B49B1">
      <w:pPr>
        <w:spacing w:after="0" w:line="240" w:lineRule="auto"/>
        <w:jc w:val="both"/>
        <w:rPr>
          <w:rFonts w:ascii="Verdana" w:eastAsia="Calibri" w:hAnsi="Verdana" w:cs="Arial"/>
          <w:sz w:val="20"/>
          <w:szCs w:val="20"/>
          <w:lang w:val="es-ES" w:eastAsia="es-MX"/>
        </w:rPr>
      </w:pPr>
    </w:p>
    <w:p w14:paraId="090D9FE2" w14:textId="77777777" w:rsidR="006B49B1" w:rsidRPr="006B49B1" w:rsidRDefault="006B49B1" w:rsidP="006B49B1">
      <w:pPr>
        <w:spacing w:after="0" w:line="240" w:lineRule="auto"/>
        <w:jc w:val="both"/>
        <w:rPr>
          <w:rFonts w:ascii="Verdana" w:eastAsia="Calibri" w:hAnsi="Verdana" w:cs="Arial"/>
          <w:sz w:val="20"/>
          <w:szCs w:val="20"/>
          <w:lang w:val="es-ES" w:eastAsia="es-MX"/>
        </w:rPr>
      </w:pPr>
    </w:p>
    <w:p w14:paraId="6ABB5EFD" w14:textId="77777777" w:rsidR="006B49B1" w:rsidRPr="006B49B1" w:rsidRDefault="006B49B1" w:rsidP="006B49B1">
      <w:pPr>
        <w:spacing w:after="0" w:line="240" w:lineRule="auto"/>
        <w:jc w:val="both"/>
        <w:rPr>
          <w:rFonts w:ascii="Verdana" w:eastAsia="Calibri" w:hAnsi="Verdana" w:cs="Arial"/>
          <w:sz w:val="20"/>
          <w:szCs w:val="20"/>
          <w:lang w:val="es-ES" w:eastAsia="es-MX"/>
        </w:rPr>
      </w:pPr>
    </w:p>
    <w:p w14:paraId="31381176" w14:textId="77777777" w:rsidR="006B49B1" w:rsidRPr="006B49B1" w:rsidRDefault="006B49B1" w:rsidP="006B49B1">
      <w:pPr>
        <w:spacing w:after="0" w:line="240" w:lineRule="auto"/>
        <w:jc w:val="both"/>
        <w:rPr>
          <w:rFonts w:ascii="Verdana" w:eastAsia="Calibri" w:hAnsi="Verdana" w:cs="Arial"/>
          <w:sz w:val="20"/>
          <w:szCs w:val="20"/>
          <w:lang w:val="es-ES" w:eastAsia="es-MX"/>
        </w:rPr>
      </w:pPr>
    </w:p>
    <w:p w14:paraId="4F02B7E1" w14:textId="77777777" w:rsidR="006B49B1" w:rsidRPr="006B49B1" w:rsidRDefault="006B49B1" w:rsidP="006B49B1">
      <w:pPr>
        <w:spacing w:after="0" w:line="240" w:lineRule="auto"/>
        <w:jc w:val="both"/>
        <w:rPr>
          <w:rFonts w:ascii="Verdana" w:eastAsia="Calibri" w:hAnsi="Verdana" w:cs="Arial"/>
          <w:sz w:val="20"/>
          <w:szCs w:val="20"/>
          <w:lang w:val="es-ES" w:eastAsia="es-MX"/>
        </w:rPr>
      </w:pPr>
    </w:p>
    <w:p w14:paraId="36550EAD" w14:textId="77777777" w:rsidR="006B49B1" w:rsidRPr="006B49B1" w:rsidRDefault="006B49B1" w:rsidP="006B49B1">
      <w:pPr>
        <w:spacing w:after="0" w:line="240" w:lineRule="auto"/>
        <w:jc w:val="both"/>
        <w:rPr>
          <w:rFonts w:ascii="Verdana" w:eastAsia="Calibri" w:hAnsi="Verdana" w:cs="Arial"/>
          <w:sz w:val="20"/>
          <w:szCs w:val="20"/>
          <w:lang w:val="es-ES" w:eastAsia="es-MX"/>
        </w:rPr>
      </w:pPr>
    </w:p>
    <w:p w14:paraId="29ED8DBB" w14:textId="2DA2A6EE" w:rsidR="006B49B1" w:rsidRDefault="006B49B1" w:rsidP="006B49B1">
      <w:pPr>
        <w:spacing w:after="0" w:line="240" w:lineRule="auto"/>
        <w:rPr>
          <w:rFonts w:ascii="Verdana" w:eastAsia="Calibri" w:hAnsi="Verdana" w:cs="Vrinda"/>
          <w:kern w:val="2"/>
          <w:sz w:val="24"/>
          <w:szCs w:val="24"/>
          <w:lang w:eastAsia="es-MX"/>
          <w14:ligatures w14:val="standardContextual"/>
        </w:rPr>
      </w:pPr>
      <w:r w:rsidRPr="006B49B1">
        <w:rPr>
          <w:rFonts w:ascii="Verdana" w:eastAsia="Calibri" w:hAnsi="Verdana" w:cs="Vrinda"/>
          <w:kern w:val="2"/>
          <w:sz w:val="24"/>
          <w:szCs w:val="24"/>
          <w:lang w:eastAsia="es-MX"/>
          <w14:ligatures w14:val="standardContextual"/>
        </w:rPr>
        <w:lastRenderedPageBreak/>
        <w:t xml:space="preserve">Bogotá D.C., </w:t>
      </w:r>
      <w:r w:rsidR="000827C9">
        <w:rPr>
          <w:rFonts w:ascii="Verdana" w:eastAsia="Calibri" w:hAnsi="Verdana" w:cs="Vrinda"/>
          <w:kern w:val="2"/>
          <w:sz w:val="24"/>
          <w:szCs w:val="24"/>
          <w:lang w:eastAsia="es-MX"/>
          <w14:ligatures w14:val="standardContextual"/>
        </w:rPr>
        <w:t xml:space="preserve">8 de julio de 2026 </w:t>
      </w:r>
    </w:p>
    <w:p w14:paraId="718471CC" w14:textId="77777777" w:rsidR="000827C9" w:rsidRDefault="000827C9" w:rsidP="006B49B1">
      <w:pPr>
        <w:spacing w:after="0" w:line="240" w:lineRule="auto"/>
        <w:rPr>
          <w:rFonts w:ascii="Verdana" w:eastAsia="Calibri" w:hAnsi="Verdana" w:cs="Vrinda"/>
          <w:kern w:val="2"/>
          <w:sz w:val="24"/>
          <w:szCs w:val="24"/>
          <w:lang w:eastAsia="es-MX"/>
          <w14:ligatures w14:val="standardContextual"/>
        </w:rPr>
      </w:pPr>
    </w:p>
    <w:p w14:paraId="1963054C" w14:textId="387BA441" w:rsidR="006B49B1" w:rsidRPr="001B342A" w:rsidRDefault="000827C9" w:rsidP="001B342A">
      <w:pPr>
        <w:spacing w:after="0" w:line="240" w:lineRule="auto"/>
        <w:jc w:val="right"/>
        <w:rPr>
          <w:rFonts w:ascii="Verdana" w:eastAsia="Calibri" w:hAnsi="Verdana" w:cs="Vrinda"/>
          <w:kern w:val="2"/>
          <w:sz w:val="24"/>
          <w:szCs w:val="24"/>
          <w:lang w:eastAsia="es-MX"/>
          <w14:ligatures w14:val="standardContextual"/>
        </w:rPr>
      </w:pPr>
      <w:r w:rsidRPr="000827C9">
        <w:rPr>
          <w:rFonts w:ascii="Verdana" w:eastAsia="Calibri" w:hAnsi="Verdana" w:cs="Vrinda"/>
          <w:noProof/>
          <w:kern w:val="2"/>
          <w:sz w:val="24"/>
          <w:szCs w:val="24"/>
          <w:lang w:eastAsia="es-MX"/>
          <w14:ligatures w14:val="standardContextual"/>
        </w:rPr>
        <w:drawing>
          <wp:anchor distT="0" distB="0" distL="114300" distR="114300" simplePos="0" relativeHeight="251658240" behindDoc="0" locked="0" layoutInCell="1" allowOverlap="1" wp14:anchorId="3892029E" wp14:editId="73663C94">
            <wp:simplePos x="0" y="0"/>
            <wp:positionH relativeFrom="margin">
              <wp:align>right</wp:align>
            </wp:positionH>
            <wp:positionV relativeFrom="paragraph">
              <wp:posOffset>13998</wp:posOffset>
            </wp:positionV>
            <wp:extent cx="2405971" cy="844062"/>
            <wp:effectExtent l="0" t="0" r="0" b="0"/>
            <wp:wrapSquare wrapText="bothSides"/>
            <wp:docPr id="198116032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1160327"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405971" cy="844062"/>
                    </a:xfrm>
                    <a:prstGeom prst="rect">
                      <a:avLst/>
                    </a:prstGeom>
                  </pic:spPr>
                </pic:pic>
              </a:graphicData>
            </a:graphic>
          </wp:anchor>
        </w:drawing>
      </w:r>
    </w:p>
    <w:p w14:paraId="06CEEE3C" w14:textId="77777777" w:rsidR="006B49B1" w:rsidRPr="006B49B1" w:rsidRDefault="006B49B1" w:rsidP="006B49B1">
      <w:pPr>
        <w:spacing w:after="0" w:line="240" w:lineRule="auto"/>
        <w:rPr>
          <w:rFonts w:ascii="Verdana" w:eastAsia="Calibri" w:hAnsi="Verdana" w:cs="Arial"/>
          <w:lang w:val="es-ES" w:eastAsia="es-ES"/>
        </w:rPr>
      </w:pPr>
      <w:r w:rsidRPr="006B49B1">
        <w:rPr>
          <w:rFonts w:ascii="Verdana" w:eastAsia="Calibri" w:hAnsi="Verdana" w:cs="Arial"/>
          <w:lang w:val="es-ES" w:eastAsia="es-ES"/>
        </w:rPr>
        <w:t>Señor</w:t>
      </w:r>
    </w:p>
    <w:p w14:paraId="4B961B0F" w14:textId="77777777" w:rsidR="006B49B1" w:rsidRPr="006B49B1" w:rsidRDefault="006B49B1" w:rsidP="006B49B1">
      <w:pPr>
        <w:spacing w:after="0" w:line="240" w:lineRule="auto"/>
        <w:rPr>
          <w:rFonts w:ascii="Verdana" w:eastAsia="Aptos" w:hAnsi="Verdana" w:cs="Times New Roman"/>
          <w:b/>
          <w:bCs/>
          <w:lang w:eastAsia="es-MX"/>
        </w:rPr>
      </w:pPr>
      <w:r w:rsidRPr="006B49B1">
        <w:rPr>
          <w:rFonts w:ascii="Verdana" w:eastAsia="Aptos" w:hAnsi="Verdana" w:cs="Times New Roman"/>
          <w:b/>
          <w:bCs/>
          <w:lang w:eastAsia="es-MX"/>
        </w:rPr>
        <w:t>Diego Dorado</w:t>
      </w:r>
    </w:p>
    <w:p w14:paraId="5898EF2E" w14:textId="77777777" w:rsidR="006B49B1" w:rsidRPr="006B49B1" w:rsidRDefault="006B49B1" w:rsidP="006B49B1">
      <w:pPr>
        <w:spacing w:after="0" w:line="240" w:lineRule="auto"/>
        <w:rPr>
          <w:rFonts w:ascii="Verdana" w:eastAsia="Aptos" w:hAnsi="Verdana" w:cs="Times New Roman"/>
          <w:lang w:eastAsia="es-MX"/>
        </w:rPr>
      </w:pPr>
      <w:r w:rsidRPr="006B49B1">
        <w:rPr>
          <w:rFonts w:ascii="Verdana" w:eastAsia="Aptos" w:hAnsi="Verdana" w:cs="Times New Roman"/>
          <w:lang w:eastAsia="es-MX"/>
        </w:rPr>
        <w:t>Arauca, Arauca</w:t>
      </w:r>
    </w:p>
    <w:p w14:paraId="7E1CA4A7" w14:textId="77777777" w:rsidR="006B49B1" w:rsidRPr="006B49B1" w:rsidRDefault="006B49B1" w:rsidP="006B49B1">
      <w:pPr>
        <w:spacing w:after="0" w:line="240" w:lineRule="auto"/>
        <w:rPr>
          <w:rFonts w:ascii="Verdana" w:eastAsia="Calibri" w:hAnsi="Verdana" w:cs="Arial"/>
          <w:b/>
          <w:bCs/>
          <w:lang w:eastAsia="es-ES_tradnl"/>
        </w:rPr>
      </w:pP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100"/>
      </w:tblGrid>
      <w:tr w:rsidR="006B49B1" w:rsidRPr="006B49B1" w14:paraId="4CD3CECC" w14:textId="77777777" w:rsidTr="00137C0A">
        <w:trPr>
          <w:trHeight w:val="229"/>
        </w:trPr>
        <w:tc>
          <w:tcPr>
            <w:tcW w:w="2268" w:type="dxa"/>
          </w:tcPr>
          <w:p w14:paraId="2BE59EEB" w14:textId="77777777" w:rsidR="006B49B1" w:rsidRPr="006B49B1" w:rsidRDefault="006B49B1" w:rsidP="006B49B1">
            <w:pPr>
              <w:jc w:val="both"/>
              <w:rPr>
                <w:rFonts w:ascii="Verdana" w:eastAsia="Calibri" w:hAnsi="Verdana" w:cs="Arial"/>
                <w:b/>
                <w:bCs/>
                <w:lang w:val="es-ES_tradnl" w:eastAsia="es-ES_tradnl"/>
              </w:rPr>
            </w:pPr>
          </w:p>
        </w:tc>
        <w:tc>
          <w:tcPr>
            <w:tcW w:w="6100" w:type="dxa"/>
          </w:tcPr>
          <w:p w14:paraId="230E67C7" w14:textId="77777777" w:rsidR="006B49B1" w:rsidRPr="006B49B1" w:rsidRDefault="006B49B1" w:rsidP="006B49B1">
            <w:pPr>
              <w:jc w:val="both"/>
              <w:rPr>
                <w:rFonts w:ascii="Verdana" w:eastAsia="Calibri" w:hAnsi="Verdana" w:cs="Arial"/>
                <w:b/>
                <w:bCs/>
                <w:lang w:val="es-ES" w:eastAsia="es-ES"/>
              </w:rPr>
            </w:pPr>
            <w:r w:rsidRPr="006B49B1">
              <w:rPr>
                <w:rFonts w:ascii="Verdana" w:eastAsia="Calibri" w:hAnsi="Verdana" w:cs="Arial"/>
                <w:b/>
                <w:bCs/>
                <w:lang w:val="es-ES" w:eastAsia="es-ES"/>
              </w:rPr>
              <w:t xml:space="preserve">Concepto </w:t>
            </w:r>
            <w:bookmarkStart w:id="1" w:name="OLE_LINK1"/>
            <w:r w:rsidRPr="006B49B1">
              <w:rPr>
                <w:rFonts w:ascii="Verdana" w:eastAsia="Calibri" w:hAnsi="Verdana" w:cs="Arial"/>
                <w:b/>
                <w:bCs/>
                <w:lang w:val="es-ES" w:eastAsia="es-ES"/>
              </w:rPr>
              <w:t>C-692 de 2026</w:t>
            </w:r>
            <w:bookmarkEnd w:id="1"/>
          </w:p>
          <w:p w14:paraId="7AAFFEED" w14:textId="77777777" w:rsidR="006B49B1" w:rsidRPr="006B49B1" w:rsidRDefault="006B49B1" w:rsidP="006B49B1">
            <w:pPr>
              <w:jc w:val="both"/>
              <w:rPr>
                <w:rFonts w:ascii="Verdana" w:eastAsia="Calibri" w:hAnsi="Verdana" w:cs="Arial"/>
                <w:b/>
                <w:bCs/>
                <w:lang w:val="es-ES" w:eastAsia="es-ES"/>
              </w:rPr>
            </w:pPr>
          </w:p>
        </w:tc>
      </w:tr>
      <w:tr w:rsidR="006B49B1" w:rsidRPr="006B49B1" w14:paraId="48C03CE7" w14:textId="77777777" w:rsidTr="00137C0A">
        <w:trPr>
          <w:trHeight w:val="884"/>
        </w:trPr>
        <w:tc>
          <w:tcPr>
            <w:tcW w:w="2268" w:type="dxa"/>
          </w:tcPr>
          <w:p w14:paraId="74B135F5" w14:textId="77777777" w:rsidR="006B49B1" w:rsidRPr="006B49B1" w:rsidRDefault="006B49B1" w:rsidP="006B49B1">
            <w:pPr>
              <w:jc w:val="both"/>
              <w:rPr>
                <w:rFonts w:ascii="Verdana" w:eastAsia="Calibri" w:hAnsi="Verdana" w:cs="Arial"/>
                <w:lang w:val="es-ES_tradnl" w:eastAsia="es-ES_tradnl"/>
              </w:rPr>
            </w:pPr>
            <w:r w:rsidRPr="006B49B1">
              <w:rPr>
                <w:rFonts w:ascii="Verdana" w:eastAsia="Calibri" w:hAnsi="Verdana" w:cs="Arial"/>
                <w:b/>
                <w:lang w:val="es-ES_tradnl" w:eastAsia="es-ES_tradnl"/>
              </w:rPr>
              <w:t>Temas:</w:t>
            </w:r>
            <w:r w:rsidRPr="006B49B1">
              <w:rPr>
                <w:rFonts w:ascii="Verdana" w:eastAsia="Calibri" w:hAnsi="Verdana" w:cs="Arial"/>
                <w:lang w:val="es-ES_tradnl" w:eastAsia="es-ES_tradnl"/>
              </w:rPr>
              <w:t xml:space="preserve">                   </w:t>
            </w:r>
          </w:p>
        </w:tc>
        <w:tc>
          <w:tcPr>
            <w:tcW w:w="6100" w:type="dxa"/>
          </w:tcPr>
          <w:p w14:paraId="4D6FEDA4" w14:textId="77777777" w:rsidR="006B49B1" w:rsidRPr="006B49B1" w:rsidRDefault="006B49B1" w:rsidP="006B49B1">
            <w:pPr>
              <w:spacing w:line="276" w:lineRule="auto"/>
              <w:jc w:val="both"/>
              <w:rPr>
                <w:rFonts w:ascii="Verdana" w:eastAsia="Arial" w:hAnsi="Verdana" w:cs="Arial"/>
                <w:kern w:val="2"/>
                <w:lang w:val="es-ES" w:eastAsia="es-ES_tradnl"/>
                <w14:ligatures w14:val="standardContextual"/>
              </w:rPr>
            </w:pPr>
            <w:r w:rsidRPr="006B49B1">
              <w:rPr>
                <w:rFonts w:ascii="Verdana" w:eastAsia="Calibri" w:hAnsi="Verdana" w:cs="Arial"/>
                <w:lang w:val="es-ES_tradnl" w:eastAsia="es-MX"/>
              </w:rPr>
              <w:t>DOCUMENTOS TIPO – Fundamento normativo – Obligatoriedad / SECTOR SOCIAL</w:t>
            </w:r>
            <w:r w:rsidRPr="006B49B1">
              <w:rPr>
                <w:rFonts w:ascii="Verdana" w:eastAsia="Calibri" w:hAnsi="Verdana" w:cs="Times New Roman"/>
                <w:lang w:val="es-ES" w:eastAsia="es-MX"/>
              </w:rPr>
              <w:t xml:space="preserve"> – Documentos tipo – Vigentes / DOCUMENTOS TIPO – Aplicación – Matriz de Experiencia / SECTOR SOCIAL – Cultura, recreación y deporte – Documentos tipo – Matriz 1 – Experiencia – Nota uno (1) – Actividad 2.1 – Alcance / </w:t>
            </w:r>
            <w:r w:rsidRPr="006B49B1">
              <w:rPr>
                <w:rFonts w:ascii="Verdana" w:eastAsia="Arial" w:hAnsi="Verdana" w:cs="Arial"/>
                <w:lang w:val="es-ES" w:eastAsia="es-ES_tradnl"/>
              </w:rPr>
              <w:t xml:space="preserve">DOCUMENTO BASE – Sector social – Licitación – Versión 1 – Literal L – Numeral 3.5.1 – Aplicación – Parques </w:t>
            </w:r>
          </w:p>
          <w:p w14:paraId="59FC8D29" w14:textId="77777777" w:rsidR="006B49B1" w:rsidRPr="006B49B1" w:rsidRDefault="006B49B1" w:rsidP="006B49B1">
            <w:pPr>
              <w:jc w:val="both"/>
              <w:rPr>
                <w:rFonts w:ascii="Verdana" w:eastAsia="Calibri" w:hAnsi="Verdana" w:cs="Arial"/>
                <w:bCs/>
                <w:lang w:val="es-ES" w:eastAsia="es-ES"/>
              </w:rPr>
            </w:pPr>
          </w:p>
        </w:tc>
      </w:tr>
      <w:tr w:rsidR="006B49B1" w:rsidRPr="006B49B1" w14:paraId="10FED044" w14:textId="77777777" w:rsidTr="00137C0A">
        <w:tc>
          <w:tcPr>
            <w:tcW w:w="2268" w:type="dxa"/>
          </w:tcPr>
          <w:p w14:paraId="11ED500C" w14:textId="77777777" w:rsidR="006B49B1" w:rsidRPr="006B49B1" w:rsidRDefault="006B49B1" w:rsidP="006B49B1">
            <w:pPr>
              <w:jc w:val="both"/>
              <w:rPr>
                <w:rFonts w:ascii="Verdana" w:eastAsia="Calibri" w:hAnsi="Verdana" w:cs="Arial"/>
                <w:b/>
                <w:lang w:val="es-ES_tradnl" w:eastAsia="es-ES_tradnl"/>
              </w:rPr>
            </w:pPr>
            <w:r w:rsidRPr="006B49B1">
              <w:rPr>
                <w:rFonts w:ascii="Verdana" w:eastAsia="Calibri" w:hAnsi="Verdana" w:cs="Arial"/>
                <w:b/>
                <w:lang w:val="es-ES_tradnl" w:eastAsia="es-ES_tradnl"/>
              </w:rPr>
              <w:t>Radicación:</w:t>
            </w:r>
            <w:r w:rsidRPr="006B49B1">
              <w:rPr>
                <w:rFonts w:ascii="Verdana" w:eastAsia="Calibri" w:hAnsi="Verdana" w:cs="Arial"/>
                <w:lang w:val="es-ES_tradnl" w:eastAsia="es-ES_tradnl"/>
              </w:rPr>
              <w:t xml:space="preserve">               </w:t>
            </w:r>
          </w:p>
        </w:tc>
        <w:tc>
          <w:tcPr>
            <w:tcW w:w="6100" w:type="dxa"/>
          </w:tcPr>
          <w:p w14:paraId="5824A5F0" w14:textId="77777777" w:rsidR="006B49B1" w:rsidRPr="006B49B1" w:rsidRDefault="006B49B1" w:rsidP="006B49B1">
            <w:pPr>
              <w:ind w:left="3" w:hanging="3"/>
              <w:jc w:val="both"/>
              <w:rPr>
                <w:rFonts w:ascii="Verdana" w:eastAsia="Calibri" w:hAnsi="Verdana" w:cs="Arial"/>
                <w:lang w:val="es-ES_tradnl" w:eastAsia="es-ES_tradnl"/>
              </w:rPr>
            </w:pPr>
            <w:r w:rsidRPr="006B49B1">
              <w:rPr>
                <w:rFonts w:ascii="Verdana" w:eastAsia="Calibri" w:hAnsi="Verdana" w:cs="Arial"/>
                <w:lang w:val="es-ES_tradnl" w:eastAsia="es-ES_tradnl"/>
              </w:rPr>
              <w:t>Respuesta a consulta con radicado No. 1_2026_05_26_007036</w:t>
            </w:r>
          </w:p>
        </w:tc>
      </w:tr>
    </w:tbl>
    <w:p w14:paraId="1A887FA5" w14:textId="77777777" w:rsidR="006B49B1" w:rsidRPr="006B49B1" w:rsidRDefault="006B49B1" w:rsidP="006B49B1">
      <w:pPr>
        <w:spacing w:after="0" w:line="240" w:lineRule="auto"/>
        <w:jc w:val="both"/>
        <w:rPr>
          <w:rFonts w:ascii="Verdana" w:eastAsia="Calibri" w:hAnsi="Verdana" w:cs="Arial"/>
          <w:lang w:val="es-ES_tradnl" w:eastAsia="es-ES_tradnl"/>
        </w:rPr>
      </w:pPr>
    </w:p>
    <w:p w14:paraId="0195A69A" w14:textId="77777777" w:rsidR="006B49B1" w:rsidRPr="006B49B1" w:rsidRDefault="006B49B1" w:rsidP="006B49B1">
      <w:pPr>
        <w:spacing w:after="0" w:line="276" w:lineRule="auto"/>
        <w:jc w:val="both"/>
        <w:rPr>
          <w:rFonts w:ascii="Verdana" w:eastAsia="Calibri" w:hAnsi="Verdana" w:cs="Arial"/>
          <w:lang w:val="es-ES" w:eastAsia="es-ES"/>
        </w:rPr>
      </w:pPr>
      <w:r w:rsidRPr="006B49B1">
        <w:rPr>
          <w:rFonts w:ascii="Verdana" w:eastAsia="Calibri" w:hAnsi="Verdana" w:cs="Arial"/>
          <w:lang w:val="es-ES" w:eastAsia="es-ES"/>
        </w:rPr>
        <w:t>Estimado señor</w:t>
      </w:r>
      <w:r w:rsidRPr="006B49B1">
        <w:rPr>
          <w:rFonts w:ascii="Verdana" w:eastAsia="Aptos" w:hAnsi="Verdana" w:cs="Times New Roman"/>
          <w:lang w:eastAsia="es-MX"/>
        </w:rPr>
        <w:t xml:space="preserve"> Dorado</w:t>
      </w:r>
      <w:r w:rsidRPr="006B49B1">
        <w:rPr>
          <w:rFonts w:ascii="Verdana" w:eastAsia="Calibri" w:hAnsi="Verdana" w:cs="Arial"/>
          <w:lang w:val="es-ES" w:eastAsia="es-ES"/>
        </w:rPr>
        <w:t xml:space="preserve">: </w:t>
      </w:r>
    </w:p>
    <w:p w14:paraId="65250443" w14:textId="77777777" w:rsidR="006B49B1" w:rsidRPr="006B49B1" w:rsidRDefault="006B49B1" w:rsidP="006B49B1">
      <w:pPr>
        <w:tabs>
          <w:tab w:val="left" w:pos="3768"/>
        </w:tabs>
        <w:spacing w:after="0" w:line="276" w:lineRule="auto"/>
        <w:jc w:val="both"/>
        <w:rPr>
          <w:rFonts w:ascii="Verdana" w:eastAsia="Calibri" w:hAnsi="Verdana" w:cs="Arial"/>
          <w:lang w:val="es-ES" w:eastAsia="es-ES"/>
        </w:rPr>
      </w:pPr>
      <w:r w:rsidRPr="006B49B1">
        <w:rPr>
          <w:rFonts w:ascii="Verdana" w:eastAsia="Calibri" w:hAnsi="Verdana" w:cs="Arial"/>
          <w:lang w:val="es-ES" w:eastAsia="es-ES"/>
        </w:rPr>
        <w:tab/>
      </w:r>
    </w:p>
    <w:p w14:paraId="58215F86" w14:textId="77777777" w:rsidR="006B49B1" w:rsidRPr="006B49B1" w:rsidRDefault="006B49B1" w:rsidP="006B49B1">
      <w:pPr>
        <w:spacing w:after="0" w:line="276" w:lineRule="auto"/>
        <w:jc w:val="both"/>
        <w:rPr>
          <w:rFonts w:ascii="Verdana" w:eastAsia="Calibri" w:hAnsi="Verdana" w:cs="Arial"/>
          <w:lang w:val="es-ES" w:eastAsia="es-ES"/>
        </w:rPr>
      </w:pPr>
      <w:r w:rsidRPr="006B49B1">
        <w:rPr>
          <w:rFonts w:ascii="Verdana" w:eastAsia="Calibri" w:hAnsi="Verdana" w:cs="Arial"/>
          <w:lang w:val="es-ES" w:eastAsia="es-ES"/>
        </w:rPr>
        <w:t>En ejercicio de la competencia otorgada por los artículos 3, numeral 5º, y 11, numeral 8º, del Decreto Ley 4170 de 2011,</w:t>
      </w:r>
      <w:r w:rsidRPr="006B49B1">
        <w:rPr>
          <w:rFonts w:ascii="Verdana" w:eastAsia="Arial MT" w:hAnsi="Verdana" w:cs="Arial MT"/>
          <w:lang w:val="es-ES" w:eastAsia="es-ES"/>
        </w:rPr>
        <w:t xml:space="preserve"> </w:t>
      </w:r>
      <w:r w:rsidRPr="006B49B1">
        <w:rPr>
          <w:rFonts w:ascii="Verdana" w:eastAsia="Calibri" w:hAnsi="Verdana" w:cs="Arial"/>
          <w:lang w:eastAsia="es-MX"/>
        </w:rPr>
        <w:t xml:space="preserve">así como lo establecido por la </w:t>
      </w:r>
      <w:r w:rsidRPr="006B49B1">
        <w:rPr>
          <w:rFonts w:ascii="Verdana" w:eastAsia="Aptos" w:hAnsi="Verdana" w:cs="Arial"/>
          <w:bCs/>
          <w:lang w:eastAsia="es-ES" w:bidi="es-ES"/>
        </w:rPr>
        <w:t>Resolución 469 de 2025 expedida por esta Entidad</w:t>
      </w:r>
      <w:r w:rsidRPr="006B49B1">
        <w:rPr>
          <w:rFonts w:ascii="Verdana" w:eastAsia="Calibri" w:hAnsi="Verdana" w:cs="Arial"/>
          <w:lang w:eastAsia="es-MX"/>
        </w:rPr>
        <w:t xml:space="preserve">, </w:t>
      </w:r>
      <w:r w:rsidRPr="006B49B1">
        <w:rPr>
          <w:rFonts w:ascii="Verdana" w:eastAsia="Calibri" w:hAnsi="Verdana" w:cs="Arial"/>
          <w:lang w:val="es-ES" w:eastAsia="es-ES"/>
        </w:rPr>
        <w:t xml:space="preserve">la Agencia Nacional de Contratación Pública – Colombia Compra Eficiente– responde su solicitud de consulta del 26 de mayo de 2026, en la cual manifiesta lo siguiente: </w:t>
      </w:r>
    </w:p>
    <w:p w14:paraId="135A6D2D" w14:textId="77777777" w:rsidR="006B49B1" w:rsidRPr="006B49B1" w:rsidRDefault="006B49B1" w:rsidP="006B49B1">
      <w:pPr>
        <w:tabs>
          <w:tab w:val="left" w:pos="142"/>
          <w:tab w:val="left" w:pos="284"/>
        </w:tabs>
        <w:spacing w:after="0" w:line="276" w:lineRule="auto"/>
        <w:ind w:left="709" w:right="709"/>
        <w:jc w:val="both"/>
        <w:rPr>
          <w:rFonts w:ascii="Verdana" w:eastAsia="Century Gothic" w:hAnsi="Verdana" w:cs="Century Gothic"/>
          <w:b/>
          <w:bCs/>
          <w:lang w:val="es-ES" w:eastAsia="es-MX"/>
        </w:rPr>
      </w:pPr>
    </w:p>
    <w:p w14:paraId="0F1B147E" w14:textId="504C26F0" w:rsidR="006B49B1" w:rsidRPr="006B49B1" w:rsidRDefault="006B49B1" w:rsidP="006B49B1">
      <w:pPr>
        <w:spacing w:after="120" w:line="240" w:lineRule="auto"/>
        <w:ind w:left="709" w:right="709"/>
        <w:jc w:val="both"/>
        <w:rPr>
          <w:rFonts w:ascii="Verdana" w:eastAsia="Aptos" w:hAnsi="Verdana" w:cs="Times New Roman"/>
          <w:kern w:val="2"/>
          <w:sz w:val="20"/>
          <w:szCs w:val="20"/>
          <w14:ligatures w14:val="standardContextual"/>
        </w:rPr>
      </w:pPr>
      <w:r w:rsidRPr="006B49B1">
        <w:rPr>
          <w:rFonts w:ascii="Verdana" w:eastAsia="Century Gothic" w:hAnsi="Verdana" w:cs="Arial"/>
          <w:sz w:val="20"/>
          <w:szCs w:val="20"/>
          <w:lang w:val="es-ES" w:eastAsia="es-MX"/>
        </w:rPr>
        <w:t>“</w:t>
      </w:r>
      <w:r w:rsidRPr="006B49B1">
        <w:rPr>
          <w:rFonts w:ascii="Verdana" w:eastAsia="Aptos" w:hAnsi="Verdana" w:cs="Times New Roman"/>
          <w:kern w:val="2"/>
          <w:sz w:val="20"/>
          <w:szCs w:val="20"/>
          <w14:ligatures w14:val="standardContextual"/>
        </w:rPr>
        <w:t>En una licitación de obra pública donde se va a construir una obra que tiene que ver por una parte con construcción de edificaciones y por otra parte con construcción de espacio público o urbanismo o parques para proyectos de infraestructura social. La Entidad Contratante para la Licitación de Obra Pública establece y selecciona como “ACTIVIDAD A CONTRATAR”, de la Matriz Experiencia Cultura, recreación y deporte Versión 1, denominada "2.1. PROYECTOS DE CONSTRUCCIÓN Y/O RECONSTRUCCIÓN DE PARQUES” (Ver Imagen o cuadro ilustrativo 1 adjunta). En esta actividad a contratar 2.1 de la matriz de experiencia, estable</w:t>
      </w:r>
      <w:r w:rsidR="7961FDA9" w:rsidRPr="7D2A1C47">
        <w:rPr>
          <w:rFonts w:ascii="Verdana" w:eastAsia="Aptos" w:hAnsi="Verdana" w:cs="Times New Roman"/>
          <w:sz w:val="20"/>
          <w:szCs w:val="20"/>
        </w:rPr>
        <w:t>ce</w:t>
      </w:r>
      <w:r w:rsidRPr="7D2A1C47">
        <w:rPr>
          <w:rFonts w:ascii="Verdana" w:eastAsia="Aptos" w:hAnsi="Verdana" w:cs="Times New Roman"/>
          <w:sz w:val="20"/>
          <w:szCs w:val="20"/>
        </w:rPr>
        <w:t xml:space="preserve"> o permite acreditar como tipo de experiencia general lo siguiente: </w:t>
      </w:r>
    </w:p>
    <w:p w14:paraId="1CEDE1A5" w14:textId="77777777" w:rsidR="006B49B1" w:rsidRPr="006B49B1" w:rsidRDefault="006B49B1" w:rsidP="006B49B1">
      <w:pPr>
        <w:spacing w:after="120" w:line="240" w:lineRule="auto"/>
        <w:ind w:left="709" w:right="709"/>
        <w:jc w:val="both"/>
        <w:rPr>
          <w:rFonts w:ascii="Verdana" w:eastAsia="Aptos" w:hAnsi="Verdana" w:cs="Times New Roman"/>
          <w:kern w:val="2"/>
          <w:sz w:val="20"/>
          <w:szCs w:val="20"/>
          <w14:ligatures w14:val="standardContextual"/>
        </w:rPr>
      </w:pPr>
      <w:r w:rsidRPr="006B49B1">
        <w:rPr>
          <w:rFonts w:ascii="Verdana" w:eastAsia="Aptos" w:hAnsi="Verdana" w:cs="Times New Roman"/>
          <w:kern w:val="2"/>
          <w:sz w:val="20"/>
          <w:szCs w:val="20"/>
          <w14:ligatures w14:val="standardContextual"/>
        </w:rPr>
        <w:lastRenderedPageBreak/>
        <w:t xml:space="preserve">• PROYECTOS QUE CORRESPONDAN O HAYAN CONTENIDO UNA O ALGUNAS DE LAS SIGUIENTES ACTIVIDADES: - CONSTRUCCIÓN Y/O RECONSTRUCCIÓN DE PARQUES - CONSTRUCCIÓN Y/O RECONSTRUCCIÓN DE ESPACIO PÚBLICO </w:t>
      </w:r>
    </w:p>
    <w:p w14:paraId="6CF62F6F" w14:textId="77777777" w:rsidR="006B49B1" w:rsidRPr="006B49B1" w:rsidRDefault="006B49B1" w:rsidP="006B49B1">
      <w:pPr>
        <w:spacing w:after="120" w:line="240" w:lineRule="auto"/>
        <w:ind w:left="709" w:right="709"/>
        <w:jc w:val="both"/>
        <w:rPr>
          <w:rFonts w:ascii="Verdana" w:eastAsia="Times New Roman" w:hAnsi="Verdana" w:cs="Times New Roman"/>
          <w:sz w:val="20"/>
          <w:szCs w:val="20"/>
          <w:lang w:eastAsia="es-MX"/>
        </w:rPr>
      </w:pPr>
      <w:r w:rsidRPr="006B49B1">
        <w:rPr>
          <w:rFonts w:ascii="Verdana" w:eastAsia="Aptos" w:hAnsi="Verdana" w:cs="Times New Roman"/>
          <w:kern w:val="2"/>
          <w:sz w:val="20"/>
          <w:szCs w:val="20"/>
          <w14:ligatures w14:val="standardContextual"/>
        </w:rPr>
        <w:t>Nota 1: Para el caso de experiencia de ESPACIO PÚBLICO se excluyen de estos las vías destinadas al tránsito vehicular, así como la conservación y/o preservación de playas marítimas. subrayado y negrillas nuestro</w:t>
      </w:r>
    </w:p>
    <w:p w14:paraId="3B86B3E1" w14:textId="77777777" w:rsidR="006B49B1" w:rsidRPr="006B49B1" w:rsidRDefault="006B49B1" w:rsidP="006B49B1">
      <w:pPr>
        <w:spacing w:after="120" w:line="240" w:lineRule="auto"/>
        <w:ind w:left="709" w:right="709"/>
        <w:jc w:val="both"/>
        <w:rPr>
          <w:rFonts w:ascii="Verdana" w:eastAsia="Times New Roman" w:hAnsi="Verdana" w:cs="Times New Roman"/>
          <w:sz w:val="20"/>
          <w:szCs w:val="20"/>
          <w:lang w:eastAsia="es-MX"/>
        </w:rPr>
      </w:pPr>
      <w:r w:rsidRPr="006B49B1">
        <w:rPr>
          <w:rFonts w:ascii="Verdana" w:eastAsia="Times New Roman" w:hAnsi="Verdana" w:cs="Times New Roman"/>
          <w:sz w:val="20"/>
          <w:szCs w:val="20"/>
          <w:lang w:eastAsia="es-MX"/>
        </w:rPr>
        <w:t>(…)</w:t>
      </w:r>
    </w:p>
    <w:p w14:paraId="39AF90A3" w14:textId="6E80D9F7" w:rsidR="006B49B1" w:rsidRPr="006B49B1" w:rsidRDefault="006B49B1" w:rsidP="006B49B1">
      <w:pPr>
        <w:spacing w:after="120" w:line="240" w:lineRule="auto"/>
        <w:ind w:left="709" w:right="709"/>
        <w:jc w:val="both"/>
        <w:rPr>
          <w:rFonts w:ascii="Verdana" w:eastAsia="Aptos" w:hAnsi="Verdana" w:cs="Times New Roman"/>
          <w:kern w:val="2"/>
          <w:sz w:val="20"/>
          <w:szCs w:val="20"/>
          <w14:ligatures w14:val="standardContextual"/>
        </w:rPr>
      </w:pPr>
      <w:r w:rsidRPr="006B49B1">
        <w:rPr>
          <w:rFonts w:ascii="Verdana" w:eastAsia="Aptos" w:hAnsi="Verdana" w:cs="Times New Roman"/>
          <w:kern w:val="2"/>
          <w:sz w:val="20"/>
          <w:szCs w:val="20"/>
          <w14:ligatures w14:val="standardContextual"/>
        </w:rPr>
        <w:t xml:space="preserve">PRIMERA PREGUNTA: De acuerdo a lo anterior, y teniendo en cuenta la definición de ESPACIO PUBLICO del GLOSARIO - CCE-EICP-IDI-38 (Ver Imagen o cuadro ilustrativo 2 adjunta), para el “SECTOR CULTURA, RECREACIÓN Y DEPORTE – VERSION 1” para efectos de interpretación del Pliego de Condiciones, y teniendo en cuenta el tipo experiencia que permite acreditar la matriz de experiencia para la ACTIIVDAD A CONTRATAR 2.1 (CONSTRUCCIÓN Y/O RECONSTRUCCIÓN DE PARQUES y/o ESPACIO PUBLICO), incluyendo la NOTA 1 establecida para la precitada actividad a contratar, solicito se aclare si las obras correspondientes a Áreas integrantes de los perfiles viales peatonal o andenes o ciclovías, sirven para acreditar la “ACTIVIDAD A CONTRATAR”, de la Matriz Experiencia Cultura, recreación y deporte Versión 1, denominada "2.1. PROYECTOS DE CONSTRUCCIÓN Y/O RECONSTRUCCIÓN DE PARQUES” (Ver Imagen o cuadro ilustrativo 1 adjunta). Es importante para que COLOMBIA COMPRA EFICIENTE tenga en cuenta para esta respuesta es que en la definición de espacio </w:t>
      </w:r>
      <w:r w:rsidR="7E6B61A2" w:rsidRPr="7D2A1C47">
        <w:rPr>
          <w:rFonts w:ascii="Verdana" w:eastAsia="Aptos" w:hAnsi="Verdana" w:cs="Times New Roman"/>
          <w:sz w:val="20"/>
          <w:szCs w:val="20"/>
        </w:rPr>
        <w:t>público</w:t>
      </w:r>
      <w:r w:rsidRPr="7D2A1C47">
        <w:rPr>
          <w:rFonts w:ascii="Verdana" w:eastAsia="Aptos" w:hAnsi="Verdana" w:cs="Times New Roman"/>
          <w:sz w:val="20"/>
          <w:szCs w:val="20"/>
        </w:rPr>
        <w:t xml:space="preserve"> del Glosario claramente se observa e identifica que andenes o circulaciones peatonales o ciclorrutas se permiten.</w:t>
      </w:r>
    </w:p>
    <w:p w14:paraId="1F4C8526" w14:textId="77777777" w:rsidR="006B49B1" w:rsidRPr="006B49B1" w:rsidRDefault="006B49B1" w:rsidP="006B49B1">
      <w:pPr>
        <w:spacing w:after="120" w:line="240" w:lineRule="auto"/>
        <w:ind w:left="709" w:right="709"/>
        <w:jc w:val="both"/>
        <w:rPr>
          <w:rFonts w:ascii="Verdana" w:eastAsia="Aptos" w:hAnsi="Verdana" w:cs="Times New Roman"/>
          <w:kern w:val="2"/>
          <w:sz w:val="20"/>
          <w:szCs w:val="20"/>
          <w14:ligatures w14:val="standardContextual"/>
        </w:rPr>
      </w:pPr>
      <w:r w:rsidRPr="006B49B1">
        <w:rPr>
          <w:rFonts w:ascii="Verdana" w:eastAsia="Aptos" w:hAnsi="Verdana" w:cs="Times New Roman"/>
          <w:kern w:val="2"/>
          <w:sz w:val="20"/>
          <w:szCs w:val="20"/>
          <w14:ligatures w14:val="standardContextual"/>
        </w:rPr>
        <w:t>(…)</w:t>
      </w:r>
    </w:p>
    <w:p w14:paraId="559CC4AA" w14:textId="77777777" w:rsidR="006B49B1" w:rsidRPr="006B49B1" w:rsidRDefault="006B49B1" w:rsidP="006B49B1">
      <w:pPr>
        <w:spacing w:after="120" w:line="240" w:lineRule="auto"/>
        <w:ind w:left="709" w:right="709"/>
        <w:jc w:val="both"/>
        <w:rPr>
          <w:rFonts w:ascii="Verdana" w:eastAsia="Aptos" w:hAnsi="Verdana" w:cs="Times New Roman"/>
          <w:kern w:val="2"/>
          <w:sz w:val="20"/>
          <w:szCs w:val="20"/>
          <w14:ligatures w14:val="standardContextual"/>
        </w:rPr>
      </w:pPr>
      <w:r w:rsidRPr="006B49B1">
        <w:rPr>
          <w:rFonts w:ascii="Verdana" w:eastAsia="Aptos" w:hAnsi="Verdana" w:cs="Times New Roman"/>
          <w:kern w:val="2"/>
          <w:sz w:val="20"/>
          <w:szCs w:val="20"/>
          <w14:ligatures w14:val="standardContextual"/>
        </w:rPr>
        <w:t xml:space="preserve">SEGUNDA PREGUNTA: La Entidad Contratante para la Licitación de Obra Pública establece y selecciona como “ACTIVIDAD A CONTRATAR”, de la Matriz Experiencia Cultura, recreación y deporte Versión 1, denominada "2.1. PROYECTOS DE CONSTRUCCIÓN Y/O RECONSTRUCCIÓN DE PARQUES” (Ver Imagen o cuadro ilustrativo 1 adjunta). En esta actividad a contratar 2.1 de la matriz de experiencia, estable o permite acreditar como tipo de experiencia general lo siguiente: </w:t>
      </w:r>
    </w:p>
    <w:p w14:paraId="7A31A0FF" w14:textId="77777777" w:rsidR="006B49B1" w:rsidRPr="006B49B1" w:rsidRDefault="006B49B1" w:rsidP="006B49B1">
      <w:pPr>
        <w:spacing w:after="120" w:line="240" w:lineRule="auto"/>
        <w:ind w:left="709" w:right="709"/>
        <w:jc w:val="both"/>
        <w:rPr>
          <w:rFonts w:ascii="Verdana" w:eastAsia="Aptos" w:hAnsi="Verdana" w:cs="Times New Roman"/>
          <w:kern w:val="2"/>
          <w:sz w:val="20"/>
          <w:szCs w:val="20"/>
          <w14:ligatures w14:val="standardContextual"/>
        </w:rPr>
      </w:pPr>
      <w:r w:rsidRPr="006B49B1">
        <w:rPr>
          <w:rFonts w:ascii="Verdana" w:eastAsia="Aptos" w:hAnsi="Verdana" w:cs="Times New Roman"/>
          <w:kern w:val="2"/>
          <w:sz w:val="20"/>
          <w:szCs w:val="20"/>
          <w14:ligatures w14:val="standardContextual"/>
        </w:rPr>
        <w:t xml:space="preserve">• PROYECTOS QUE CORRESPONDAN O HAYAN CONTENIDO UNA O ALGUNAS DE LAS SIGUIENTES ACTIVIDADES: </w:t>
      </w:r>
    </w:p>
    <w:p w14:paraId="5CFA3E69" w14:textId="77777777" w:rsidR="006B49B1" w:rsidRPr="006B49B1" w:rsidRDefault="006B49B1" w:rsidP="006B49B1">
      <w:pPr>
        <w:spacing w:after="120" w:line="240" w:lineRule="auto"/>
        <w:ind w:left="709" w:right="709"/>
        <w:jc w:val="both"/>
        <w:rPr>
          <w:rFonts w:ascii="Verdana" w:eastAsia="Aptos" w:hAnsi="Verdana" w:cs="Times New Roman"/>
          <w:kern w:val="2"/>
          <w:sz w:val="20"/>
          <w:szCs w:val="20"/>
          <w14:ligatures w14:val="standardContextual"/>
        </w:rPr>
      </w:pPr>
      <w:r w:rsidRPr="006B49B1">
        <w:rPr>
          <w:rFonts w:ascii="Verdana" w:eastAsia="Aptos" w:hAnsi="Verdana" w:cs="Times New Roman"/>
          <w:kern w:val="2"/>
          <w:sz w:val="20"/>
          <w:szCs w:val="20"/>
          <w14:ligatures w14:val="standardContextual"/>
        </w:rPr>
        <w:t xml:space="preserve">- CONSTRUCCIÓN Y/O RECONSTRUCCIÓN DE PARQUES </w:t>
      </w:r>
    </w:p>
    <w:p w14:paraId="07393204" w14:textId="77777777" w:rsidR="006B49B1" w:rsidRPr="006B49B1" w:rsidRDefault="006B49B1" w:rsidP="006B49B1">
      <w:pPr>
        <w:spacing w:after="120" w:line="240" w:lineRule="auto"/>
        <w:ind w:left="709" w:right="709"/>
        <w:jc w:val="both"/>
        <w:rPr>
          <w:rFonts w:ascii="Verdana" w:eastAsia="Aptos" w:hAnsi="Verdana" w:cs="Times New Roman"/>
          <w:kern w:val="2"/>
          <w:sz w:val="20"/>
          <w:szCs w:val="20"/>
          <w14:ligatures w14:val="standardContextual"/>
        </w:rPr>
      </w:pPr>
      <w:r w:rsidRPr="006B49B1">
        <w:rPr>
          <w:rFonts w:ascii="Verdana" w:eastAsia="Aptos" w:hAnsi="Verdana" w:cs="Times New Roman"/>
          <w:kern w:val="2"/>
          <w:sz w:val="20"/>
          <w:szCs w:val="20"/>
          <w14:ligatures w14:val="standardContextual"/>
        </w:rPr>
        <w:t xml:space="preserve">- CONSTRUCCIÓN Y/O RECONSTRUCCIÓN DE ESPACIO PÚBLICO Nota 1: Para el caso de experiencia de ESPACIO PÚBLICO se excluyen de estos las vías destinadas al tránsito vehicular, así como la conservación y/o preservación de playas marítimas. subrayado y negrillas nuestro </w:t>
      </w:r>
    </w:p>
    <w:p w14:paraId="38407E33" w14:textId="77777777" w:rsidR="006B49B1" w:rsidRPr="006B49B1" w:rsidRDefault="006B49B1" w:rsidP="006B49B1">
      <w:pPr>
        <w:spacing w:after="120" w:line="240" w:lineRule="auto"/>
        <w:ind w:left="709" w:right="709"/>
        <w:jc w:val="both"/>
        <w:rPr>
          <w:rFonts w:ascii="Verdana" w:eastAsia="Times New Roman" w:hAnsi="Verdana" w:cs="Times New Roman"/>
          <w:sz w:val="20"/>
          <w:szCs w:val="20"/>
          <w:lang w:eastAsia="es-MX"/>
        </w:rPr>
      </w:pPr>
      <w:r w:rsidRPr="006B49B1">
        <w:rPr>
          <w:rFonts w:ascii="Verdana" w:eastAsia="Aptos" w:hAnsi="Verdana" w:cs="Times New Roman"/>
          <w:kern w:val="2"/>
          <w:sz w:val="20"/>
          <w:szCs w:val="20"/>
          <w14:ligatures w14:val="standardContextual"/>
        </w:rPr>
        <w:lastRenderedPageBreak/>
        <w:t>Teniendo en cuenta estas exigencias de la matriz de experiencia, la aplicación del literal L (Ver Imagen o cuadro ilustrativo 1 adjunta) del numeral 3.5.1 CARACTERÍSTICAS DE LOS CONTRATOS PRESENTADOS PARA ACREDITAR LA EXPERIENCIA EXIGIDA del documento base (Código CCE-EICPGI-14) para LICITACIÓN DE OBRA PÚBLICA DE INFRAESTRUCTURA SOCIAL, en mi concepto este precitado literal, NO SE DEBE APLICAR por ninguna ENTIDAD PUBLICA cuando la ACTIVIDAD A CONTRATAR seleccionada para el proceso de licitación de obra pública de infraestructura social sea la "2.1. PROYECTOS DE CONSTRUCCIÓN Y/O RECONSTRUCCIÓN DE PARQUES” de la Matriz Experiencia Cultura, recreación y deporte Versión 1, denominada "2.1. PROYECTOS DE CONSTRUCCIÓN Y/O RECONSTRUCCIÓN DE PARQUES”, esta apreciación la hago teniendo en cuenta que esta actividad 2.1 de la Matriz Experiencia Cultura, recreación y deporte Versión 1, permite directamente y claramente que se acredite experiencia en obras de espacio público, correspondientes a Áreas integrantes de los perfiles viales peatonal o andenes o ciclovías, por lo tanto si de llegarse a aplicar dicho literal L, seria contradictoria, toda vez que andenes, ciclovías, parques no corresponden a EDIFICACIONES VERTICALES.</w:t>
      </w:r>
    </w:p>
    <w:p w14:paraId="1D362D97" w14:textId="77777777" w:rsidR="006B49B1" w:rsidRPr="006B49B1" w:rsidRDefault="006B49B1" w:rsidP="006B49B1">
      <w:pPr>
        <w:spacing w:after="120" w:line="240" w:lineRule="auto"/>
        <w:ind w:left="709" w:right="709"/>
        <w:jc w:val="both"/>
        <w:rPr>
          <w:rFonts w:ascii="Verdana" w:eastAsia="Times New Roman" w:hAnsi="Verdana" w:cs="Times New Roman"/>
          <w:sz w:val="20"/>
          <w:szCs w:val="20"/>
          <w:lang w:eastAsia="es-MX"/>
        </w:rPr>
      </w:pPr>
      <w:r w:rsidRPr="006B49B1">
        <w:rPr>
          <w:rFonts w:ascii="Verdana" w:eastAsia="Times New Roman" w:hAnsi="Verdana" w:cs="Times New Roman"/>
          <w:sz w:val="20"/>
          <w:szCs w:val="20"/>
          <w:lang w:eastAsia="es-MX"/>
        </w:rPr>
        <w:t xml:space="preserve">(…)”. </w:t>
      </w:r>
    </w:p>
    <w:p w14:paraId="427FC323" w14:textId="77777777" w:rsidR="006B49B1" w:rsidRPr="006B49B1" w:rsidRDefault="006B49B1" w:rsidP="006B49B1">
      <w:pPr>
        <w:spacing w:after="0" w:line="240" w:lineRule="auto"/>
        <w:ind w:left="709" w:right="709"/>
        <w:jc w:val="both"/>
        <w:rPr>
          <w:rFonts w:ascii="Arial" w:eastAsia="Aptos" w:hAnsi="Arial" w:cs="Arial"/>
          <w:sz w:val="21"/>
          <w:szCs w:val="21"/>
          <w:lang w:eastAsia="es-MX"/>
        </w:rPr>
      </w:pPr>
    </w:p>
    <w:p w14:paraId="3A6DE1EB" w14:textId="77777777" w:rsidR="006B49B1" w:rsidRPr="006B49B1" w:rsidRDefault="006B49B1" w:rsidP="006B49B1">
      <w:pPr>
        <w:spacing w:after="120" w:line="276" w:lineRule="auto"/>
        <w:ind w:firstLine="709"/>
        <w:jc w:val="both"/>
        <w:rPr>
          <w:rFonts w:ascii="Verdana" w:eastAsia="Calibri" w:hAnsi="Verdana" w:cs="Arial"/>
          <w:color w:val="000000"/>
          <w:lang w:val="es-ES" w:eastAsia="es-ES"/>
        </w:rPr>
      </w:pPr>
      <w:r w:rsidRPr="006B49B1">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6B49B1">
        <w:rPr>
          <w:rFonts w:ascii="Verdana" w:eastAsia="Calibri" w:hAnsi="Verdana" w:cs="Arial"/>
          <w:color w:val="000000"/>
          <w:lang w:val="es-ES_tradnl" w:eastAsia="es-ES_tradnl"/>
        </w:rPr>
        <w:tab/>
      </w:r>
    </w:p>
    <w:p w14:paraId="2480C3CC" w14:textId="77777777" w:rsidR="006B49B1" w:rsidRPr="006B49B1" w:rsidRDefault="006B49B1" w:rsidP="006B49B1">
      <w:pPr>
        <w:spacing w:after="0" w:line="276" w:lineRule="auto"/>
        <w:ind w:firstLine="709"/>
        <w:jc w:val="both"/>
        <w:rPr>
          <w:rFonts w:ascii="Verdana" w:eastAsia="Calibri" w:hAnsi="Verdana" w:cs="Arial"/>
          <w:color w:val="000000"/>
          <w:lang w:val="es-ES" w:eastAsia="es-ES"/>
        </w:rPr>
      </w:pPr>
      <w:r w:rsidRPr="006B49B1">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6B49B1">
        <w:rPr>
          <w:rFonts w:ascii="Verdana" w:eastAsia="Calibri" w:hAnsi="Verdana" w:cs="Arial"/>
          <w:color w:val="7030A0"/>
          <w:lang w:val="es-ES" w:eastAsia="es-ES"/>
        </w:rPr>
        <w:t xml:space="preserve"> </w:t>
      </w:r>
      <w:r w:rsidRPr="006B49B1">
        <w:rPr>
          <w:rFonts w:ascii="Verdana" w:eastAsia="Calibri" w:hAnsi="Verdana" w:cs="Arial"/>
          <w:color w:val="000000"/>
          <w:lang w:val="es-ES" w:eastAsia="es-ES"/>
        </w:rPr>
        <w:t>problema</w:t>
      </w:r>
      <w:r w:rsidRPr="006B49B1">
        <w:rPr>
          <w:rFonts w:ascii="Verdana" w:eastAsia="Calibri" w:hAnsi="Verdana" w:cs="Arial"/>
          <w:color w:val="7030A0"/>
          <w:lang w:val="es-ES" w:eastAsia="es-ES"/>
        </w:rPr>
        <w:t xml:space="preserve"> </w:t>
      </w:r>
      <w:r w:rsidRPr="006B49B1">
        <w:rPr>
          <w:rFonts w:ascii="Verdana" w:eastAsia="Calibri" w:hAnsi="Verdana" w:cs="Arial"/>
          <w:color w:val="000000"/>
          <w:lang w:val="es-ES" w:eastAsia="es-ES"/>
        </w:rPr>
        <w:t>jurídico</w:t>
      </w:r>
      <w:r w:rsidRPr="006B49B1">
        <w:rPr>
          <w:rFonts w:ascii="Verdana" w:eastAsia="Calibri" w:hAnsi="Verdana" w:cs="Arial"/>
          <w:color w:val="7030A0"/>
          <w:lang w:val="es-ES" w:eastAsia="es-ES"/>
        </w:rPr>
        <w:t xml:space="preserve"> </w:t>
      </w:r>
      <w:r w:rsidRPr="006B49B1">
        <w:rPr>
          <w:rFonts w:ascii="Verdana" w:eastAsia="Calibri" w:hAnsi="Verdana" w:cs="Arial"/>
          <w:color w:val="000000"/>
          <w:lang w:val="es-ES" w:eastAsia="es-ES"/>
        </w:rPr>
        <w:t xml:space="preserve">de su consulta. </w:t>
      </w:r>
    </w:p>
    <w:p w14:paraId="7AE43143" w14:textId="77777777" w:rsidR="006B49B1" w:rsidRPr="006B49B1" w:rsidRDefault="006B49B1" w:rsidP="006B49B1">
      <w:pPr>
        <w:spacing w:after="0" w:line="276" w:lineRule="auto"/>
        <w:jc w:val="both"/>
        <w:rPr>
          <w:rFonts w:ascii="Verdana" w:eastAsia="Calibri" w:hAnsi="Verdana" w:cs="Arial"/>
          <w:lang w:val="es-ES" w:eastAsia="es-ES"/>
        </w:rPr>
      </w:pPr>
    </w:p>
    <w:p w14:paraId="1F42D479" w14:textId="77777777" w:rsidR="006B49B1" w:rsidRPr="006B49B1" w:rsidRDefault="006B49B1" w:rsidP="006B49B1">
      <w:pPr>
        <w:numPr>
          <w:ilvl w:val="0"/>
          <w:numId w:val="17"/>
        </w:numPr>
        <w:tabs>
          <w:tab w:val="left" w:pos="142"/>
          <w:tab w:val="left" w:pos="284"/>
        </w:tabs>
        <w:spacing w:after="0" w:line="276" w:lineRule="auto"/>
        <w:jc w:val="both"/>
        <w:rPr>
          <w:rFonts w:ascii="Verdana" w:eastAsia="Century Gothic" w:hAnsi="Verdana" w:cs="Century Gothic"/>
          <w:b/>
          <w:bCs/>
          <w:lang w:eastAsia="es-MX"/>
        </w:rPr>
      </w:pPr>
      <w:r w:rsidRPr="006B49B1">
        <w:rPr>
          <w:rFonts w:ascii="Verdana" w:eastAsia="Century Gothic" w:hAnsi="Verdana" w:cs="Century Gothic"/>
          <w:b/>
          <w:bCs/>
          <w:lang w:eastAsia="es-MX"/>
        </w:rPr>
        <w:lastRenderedPageBreak/>
        <w:t>Problema planteado:</w:t>
      </w:r>
    </w:p>
    <w:p w14:paraId="61DDE678" w14:textId="77777777" w:rsidR="006B49B1" w:rsidRPr="006B49B1" w:rsidRDefault="006B49B1" w:rsidP="006B49B1">
      <w:pPr>
        <w:tabs>
          <w:tab w:val="left" w:pos="426"/>
        </w:tabs>
        <w:spacing w:after="0" w:line="276" w:lineRule="auto"/>
        <w:jc w:val="both"/>
        <w:rPr>
          <w:rFonts w:ascii="Verdana" w:eastAsia="Century Gothic" w:hAnsi="Verdana" w:cs="Century Gothic"/>
          <w:lang w:val="es-ES" w:eastAsia="es-MX"/>
        </w:rPr>
      </w:pPr>
    </w:p>
    <w:p w14:paraId="18DF727F" w14:textId="77777777" w:rsidR="006B49B1" w:rsidRPr="006B49B1" w:rsidRDefault="006B49B1" w:rsidP="006B49B1">
      <w:pPr>
        <w:spacing w:after="0" w:line="276" w:lineRule="auto"/>
        <w:jc w:val="both"/>
        <w:rPr>
          <w:rFonts w:ascii="Verdana" w:eastAsia="Calibri" w:hAnsi="Verdana" w:cs="Arial"/>
          <w:bCs/>
          <w:lang w:val="es-ES_tradnl" w:eastAsia="es-ES_tradnl"/>
        </w:rPr>
      </w:pPr>
      <w:r w:rsidRPr="006B49B1">
        <w:rPr>
          <w:rFonts w:ascii="Verdana" w:eastAsia="Century Gothic" w:hAnsi="Verdana" w:cs="Century Gothic"/>
          <w:lang w:eastAsia="es-MX"/>
        </w:rPr>
        <w:t xml:space="preserve">De acuerdo con el contenido de su solicitud, en relación con los documentos tipo del sector de infraestructura social, concretamente los adicionales del sector cultura, recreación y deporte – versión 1, esta Agencia resolverá los siguientes problemas jurídicos: i) </w:t>
      </w:r>
      <w:r w:rsidRPr="006B49B1">
        <w:rPr>
          <w:rFonts w:ascii="Verdana" w:eastAsia="Calibri" w:hAnsi="Verdana" w:cs="Arial"/>
          <w:bCs/>
          <w:lang w:val="es-ES_tradnl" w:eastAsia="es-ES_tradnl"/>
        </w:rPr>
        <w:t xml:space="preserve">¿Cuál es el alcance de la Nota 1 contenida para la experiencia general en la actividad 2.1 de la Matriz – Experiencia? y </w:t>
      </w:r>
      <w:proofErr w:type="spellStart"/>
      <w:r w:rsidRPr="006B49B1">
        <w:rPr>
          <w:rFonts w:ascii="Verdana" w:eastAsia="Calibri" w:hAnsi="Verdana" w:cs="Arial"/>
          <w:bCs/>
          <w:lang w:val="es-ES_tradnl" w:eastAsia="es-ES_tradnl"/>
        </w:rPr>
        <w:t>ii</w:t>
      </w:r>
      <w:proofErr w:type="spellEnd"/>
      <w:r w:rsidRPr="006B49B1">
        <w:rPr>
          <w:rFonts w:ascii="Verdana" w:eastAsia="Calibri" w:hAnsi="Verdana" w:cs="Arial"/>
          <w:bCs/>
          <w:lang w:val="es-ES_tradnl" w:eastAsia="es-ES_tradnl"/>
        </w:rPr>
        <w:t xml:space="preserve">) ¿Es aplicable el literal L del numeral 3.5.2 del documento base para la actividad 2.1 de la Matriz – Experiencia? </w:t>
      </w:r>
      <w:r w:rsidRPr="006B49B1">
        <w:rPr>
          <w:rFonts w:ascii="Verdana" w:eastAsia="Arial" w:hAnsi="Verdana" w:cs="Arial"/>
          <w:lang w:val="es-ES" w:eastAsia="es-ES_tradnl"/>
        </w:rPr>
        <w:t xml:space="preserve"> </w:t>
      </w:r>
    </w:p>
    <w:p w14:paraId="4F383100" w14:textId="77777777" w:rsidR="006B49B1" w:rsidRPr="006B49B1" w:rsidRDefault="006B49B1" w:rsidP="006B49B1">
      <w:pPr>
        <w:spacing w:after="0" w:line="276" w:lineRule="auto"/>
        <w:jc w:val="both"/>
        <w:rPr>
          <w:rFonts w:ascii="Verdana" w:eastAsia="Century Gothic" w:hAnsi="Verdana" w:cs="Century Gothic"/>
          <w:lang w:val="es-ES_tradnl" w:eastAsia="es-MX"/>
        </w:rPr>
      </w:pPr>
    </w:p>
    <w:p w14:paraId="39BCB60D" w14:textId="77777777" w:rsidR="006B49B1" w:rsidRPr="006B49B1" w:rsidRDefault="006B49B1" w:rsidP="006B49B1">
      <w:pPr>
        <w:tabs>
          <w:tab w:val="left" w:pos="142"/>
          <w:tab w:val="left" w:pos="284"/>
        </w:tabs>
        <w:spacing w:after="0" w:line="276" w:lineRule="auto"/>
        <w:contextualSpacing/>
        <w:jc w:val="both"/>
        <w:rPr>
          <w:rFonts w:ascii="Verdana" w:eastAsia="Century Gothic" w:hAnsi="Verdana" w:cs="Century Gothic"/>
          <w:b/>
          <w:bCs/>
          <w:lang w:val="es-ES" w:eastAsia="es-MX"/>
        </w:rPr>
      </w:pPr>
      <w:r w:rsidRPr="006B49B1">
        <w:rPr>
          <w:rFonts w:ascii="Verdana" w:eastAsia="Century Gothic" w:hAnsi="Verdana" w:cs="Century Gothic"/>
          <w:b/>
          <w:bCs/>
          <w:lang w:val="es-ES" w:eastAsia="es-MX"/>
        </w:rPr>
        <w:t>2. Respuestas:</w:t>
      </w:r>
    </w:p>
    <w:p w14:paraId="17A0DD87" w14:textId="77777777" w:rsidR="006B49B1" w:rsidRPr="006B49B1" w:rsidRDefault="006B49B1" w:rsidP="006B49B1">
      <w:pPr>
        <w:tabs>
          <w:tab w:val="left" w:pos="142"/>
          <w:tab w:val="left" w:pos="284"/>
        </w:tabs>
        <w:spacing w:after="0" w:line="276" w:lineRule="auto"/>
        <w:contextualSpacing/>
        <w:jc w:val="both"/>
        <w:rPr>
          <w:rFonts w:ascii="Verdana" w:eastAsia="Century Gothic" w:hAnsi="Verdana" w:cs="Century Gothic"/>
          <w:b/>
          <w:bCs/>
          <w:lang w:val="es-ES" w:eastAsia="es-MX"/>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B49B1" w:rsidRPr="006B49B1" w14:paraId="41AC012E" w14:textId="77777777" w:rsidTr="00137C0A">
        <w:trPr>
          <w:trHeight w:val="40"/>
        </w:trPr>
        <w:tc>
          <w:tcPr>
            <w:tcW w:w="8828" w:type="dxa"/>
            <w:tcBorders>
              <w:top w:val="dotted" w:sz="4" w:space="0" w:color="auto"/>
              <w:left w:val="dotted" w:sz="4" w:space="0" w:color="auto"/>
              <w:bottom w:val="dotted" w:sz="4" w:space="0" w:color="auto"/>
              <w:right w:val="dotted" w:sz="4" w:space="0" w:color="auto"/>
            </w:tcBorders>
          </w:tcPr>
          <w:p w14:paraId="115F3E7D" w14:textId="77777777" w:rsidR="006B49B1" w:rsidRPr="006B49B1" w:rsidRDefault="006B49B1" w:rsidP="006B49B1">
            <w:pPr>
              <w:spacing w:before="120" w:after="120" w:line="276" w:lineRule="auto"/>
              <w:jc w:val="both"/>
              <w:rPr>
                <w:rFonts w:ascii="Verdana" w:eastAsia="Aptos" w:hAnsi="Verdana" w:cs="Arial"/>
                <w:lang w:eastAsia="es-MX"/>
              </w:rPr>
            </w:pPr>
            <w:r w:rsidRPr="006B49B1">
              <w:rPr>
                <w:rFonts w:ascii="Verdana" w:eastAsia="Calibri" w:hAnsi="Verdana" w:cs="Times New Roman"/>
                <w:lang w:val="es-ES" w:eastAsia="es-MX"/>
              </w:rPr>
              <w:t xml:space="preserve">Precisión inicial: </w:t>
            </w:r>
            <w:r w:rsidRPr="006B49B1">
              <w:rPr>
                <w:rFonts w:ascii="Verdana" w:eastAsia="Aptos" w:hAnsi="Verdana" w:cs="Arial"/>
                <w:lang w:eastAsia="es-MX"/>
              </w:rPr>
              <w:t xml:space="preserve">Teniendo en cuenta que su solicitud se refiere a los documentos tipo de licitación de obra pública de infraestructura social – versión 1, y en particular a la Matriz de Experiencia del sector cultura, recreación y deporte – Versión 1, esta será atendida con fundamento en dichos documentos, adoptados mediante las resoluciones: i) 219 del 6 de agosto de 2021, “Por la cual se adoptan los documentos tipo para los procesos de licitación de obra pública de infraestructura social”  –través de esta resolución se adoptaron los documentos tipo aplicables de manera transversal a los proyectos de infraestructura social de los sectores educación, salud, cultura, recreación y deporte– y </w:t>
            </w:r>
            <w:proofErr w:type="spellStart"/>
            <w:r w:rsidRPr="006B49B1">
              <w:rPr>
                <w:rFonts w:ascii="Verdana" w:eastAsia="Aptos" w:hAnsi="Verdana" w:cs="Arial"/>
                <w:lang w:eastAsia="es-MX"/>
              </w:rPr>
              <w:t>ii</w:t>
            </w:r>
            <w:proofErr w:type="spellEnd"/>
            <w:r w:rsidRPr="006B49B1">
              <w:rPr>
                <w:rFonts w:ascii="Verdana" w:eastAsia="Aptos" w:hAnsi="Verdana" w:cs="Arial"/>
                <w:lang w:eastAsia="es-MX"/>
              </w:rPr>
              <w:t>) 454 del 16 de diciembre de 2021 que adoptó los documentos tipo complementarios aplicables al sector cultura, recreación y deporte, esto es, el “Anexo – Glosario” y la “Matriz de Experiencia”. No obstante, se precisa que dichos documentos estuvieron vigentes hasta el 15 de febrero de 2026.</w:t>
            </w:r>
          </w:p>
          <w:p w14:paraId="0DED0EF7" w14:textId="77777777" w:rsidR="006B49B1" w:rsidRPr="006B49B1" w:rsidRDefault="006B49B1" w:rsidP="006B49B1">
            <w:pPr>
              <w:spacing w:line="276" w:lineRule="auto"/>
              <w:ind w:firstLine="708"/>
              <w:jc w:val="both"/>
              <w:rPr>
                <w:rFonts w:ascii="Verdana" w:eastAsia="Calibri" w:hAnsi="Verdana" w:cs="Arial"/>
                <w:lang w:eastAsia="es-MX"/>
              </w:rPr>
            </w:pPr>
            <w:r w:rsidRPr="006B49B1">
              <w:rPr>
                <w:rFonts w:ascii="Verdana" w:eastAsia="Aptos" w:hAnsi="Verdana" w:cs="Arial"/>
                <w:lang w:eastAsia="es-MX"/>
              </w:rPr>
              <w:t xml:space="preserve">En este sentido, actualmente </w:t>
            </w:r>
            <w:r w:rsidRPr="006B49B1">
              <w:rPr>
                <w:rFonts w:ascii="Verdana" w:eastAsia="Times New Roman" w:hAnsi="Verdana" w:cs="Times New Roman"/>
                <w:color w:val="000000"/>
                <w:lang w:eastAsia="es-CO"/>
              </w:rPr>
              <w:t xml:space="preserve">se encuentran vigentes </w:t>
            </w:r>
            <w:r w:rsidRPr="006B49B1">
              <w:rPr>
                <w:rFonts w:ascii="Verdana" w:eastAsia="Aptos" w:hAnsi="Verdana" w:cs="Times New Roman"/>
                <w:lang w:eastAsia="es-MX"/>
              </w:rPr>
              <w:t>las Resoluciones 539, 540 y 541 del 21 de agosto de 2025, así como las Resoluciones 952 y 953 del 15 de diciembre de 2025, adoptadas en el sector de infraestructura social, que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6B49B1">
              <w:rPr>
                <w:rFonts w:ascii="Verdana" w:eastAsia="Calibri" w:hAnsi="Verdana" w:cs="Arial"/>
                <w:lang w:eastAsia="es-MX"/>
              </w:rPr>
              <w:t>.</w:t>
            </w:r>
          </w:p>
          <w:p w14:paraId="5A63CD21" w14:textId="77777777" w:rsidR="006B49B1" w:rsidRPr="006B49B1" w:rsidRDefault="006B49B1" w:rsidP="006B49B1">
            <w:pPr>
              <w:spacing w:line="276" w:lineRule="auto"/>
              <w:ind w:firstLine="708"/>
              <w:jc w:val="both"/>
              <w:rPr>
                <w:rFonts w:ascii="Verdana" w:eastAsia="Times New Roman" w:hAnsi="Verdana" w:cs="Times New Roman"/>
                <w:color w:val="000000"/>
                <w:lang w:eastAsia="es-CO"/>
              </w:rPr>
            </w:pPr>
          </w:p>
          <w:p w14:paraId="41C15C0E" w14:textId="77777777" w:rsidR="006B49B1" w:rsidRPr="006B49B1" w:rsidRDefault="006B49B1" w:rsidP="006B49B1">
            <w:pPr>
              <w:spacing w:line="276" w:lineRule="auto"/>
              <w:jc w:val="both"/>
              <w:rPr>
                <w:rFonts w:ascii="Verdana" w:eastAsia="Calibri" w:hAnsi="Verdana" w:cs="Times New Roman"/>
                <w:lang w:eastAsia="es-MX"/>
              </w:rPr>
            </w:pPr>
            <w:r w:rsidRPr="006B49B1">
              <w:rPr>
                <w:rFonts w:ascii="Verdana" w:eastAsia="Calibri" w:hAnsi="Verdana" w:cs="Times New Roman"/>
                <w:lang w:val="es-ES" w:eastAsia="es-MX"/>
              </w:rPr>
              <w:lastRenderedPageBreak/>
              <w:t xml:space="preserve">i. </w:t>
            </w:r>
            <w:r w:rsidRPr="006B49B1">
              <w:rPr>
                <w:rFonts w:ascii="Verdana" w:eastAsia="Times New Roman" w:hAnsi="Verdana" w:cs="Times New Roman"/>
                <w:color w:val="000000"/>
                <w:lang w:eastAsia="es-CO"/>
              </w:rPr>
              <w:t xml:space="preserve">Para </w:t>
            </w:r>
            <w:r w:rsidRPr="006B49B1">
              <w:rPr>
                <w:rFonts w:ascii="Verdana" w:eastAsia="Calibri" w:hAnsi="Verdana" w:cs="Times New Roman"/>
                <w:lang w:eastAsia="es-MX"/>
              </w:rPr>
              <w:t>la actividad “2.1 PROYECTOS DE CONSTRUCCIÓN Y/O RECONSTRUCCIÓN DE PARQUES” contenida en la Matriz – Experiencia sector cultura, recreación y deporte – versión 1, se solicita la siguiente experiencia general:</w:t>
            </w:r>
          </w:p>
          <w:p w14:paraId="31F56299" w14:textId="77777777" w:rsidR="006B49B1" w:rsidRPr="006B49B1" w:rsidRDefault="006B49B1" w:rsidP="006B49B1">
            <w:pPr>
              <w:jc w:val="both"/>
              <w:rPr>
                <w:rFonts w:ascii="Verdana" w:eastAsia="Calibri" w:hAnsi="Verdana" w:cs="Times New Roman"/>
                <w:lang w:eastAsia="es-MX"/>
              </w:rPr>
            </w:pPr>
          </w:p>
          <w:p w14:paraId="2DD4556F" w14:textId="77777777" w:rsidR="006B49B1" w:rsidRPr="006B49B1" w:rsidRDefault="006B49B1" w:rsidP="006B49B1">
            <w:pPr>
              <w:snapToGrid w:val="0"/>
              <w:spacing w:after="120"/>
              <w:ind w:left="709" w:right="709"/>
              <w:jc w:val="both"/>
              <w:rPr>
                <w:rFonts w:ascii="Verdana" w:eastAsia="Calibri" w:hAnsi="Verdana" w:cs="Times New Roman"/>
                <w:sz w:val="21"/>
                <w:szCs w:val="21"/>
                <w:lang w:eastAsia="es-MX"/>
              </w:rPr>
            </w:pPr>
            <w:r w:rsidRPr="006B49B1">
              <w:rPr>
                <w:rFonts w:ascii="Verdana" w:eastAsia="Calibri" w:hAnsi="Verdana" w:cs="Times New Roman"/>
                <w:sz w:val="21"/>
                <w:szCs w:val="21"/>
                <w:lang w:eastAsia="es-MX"/>
              </w:rPr>
              <w:t xml:space="preserve">“PROYECTOS QUE CORRESPONDAN O HAYAN CONTENIDO UNA O ALGUNAS DE LAS SIGUIENTES ACTIVIDADES: </w:t>
            </w:r>
          </w:p>
          <w:p w14:paraId="45DE5299" w14:textId="77777777" w:rsidR="006B49B1" w:rsidRPr="006B49B1" w:rsidRDefault="006B49B1" w:rsidP="006B49B1">
            <w:pPr>
              <w:snapToGrid w:val="0"/>
              <w:spacing w:before="120" w:after="120"/>
              <w:ind w:left="709" w:right="709"/>
              <w:jc w:val="both"/>
              <w:rPr>
                <w:rFonts w:ascii="Verdana" w:eastAsia="Calibri" w:hAnsi="Verdana" w:cs="Times New Roman"/>
                <w:sz w:val="21"/>
                <w:szCs w:val="21"/>
                <w:lang w:eastAsia="es-MX"/>
              </w:rPr>
            </w:pPr>
            <w:r w:rsidRPr="006B49B1">
              <w:rPr>
                <w:rFonts w:ascii="Verdana" w:eastAsia="Calibri" w:hAnsi="Verdana" w:cs="Times New Roman"/>
                <w:sz w:val="21"/>
                <w:szCs w:val="21"/>
                <w:lang w:eastAsia="es-MX"/>
              </w:rPr>
              <w:t>- CONSTRUCCIÓN Y/O RECONSTRUCCIÓN DE PARQUES</w:t>
            </w:r>
          </w:p>
          <w:p w14:paraId="7D139829" w14:textId="77777777" w:rsidR="006B49B1" w:rsidRPr="006B49B1" w:rsidRDefault="006B49B1" w:rsidP="006B49B1">
            <w:pPr>
              <w:snapToGrid w:val="0"/>
              <w:spacing w:before="120" w:after="120"/>
              <w:ind w:left="709" w:right="709"/>
              <w:jc w:val="both"/>
              <w:rPr>
                <w:rFonts w:ascii="Verdana" w:eastAsia="Calibri" w:hAnsi="Verdana" w:cs="Times New Roman"/>
                <w:sz w:val="21"/>
                <w:szCs w:val="21"/>
                <w:lang w:eastAsia="es-MX"/>
              </w:rPr>
            </w:pPr>
            <w:r w:rsidRPr="006B49B1">
              <w:rPr>
                <w:rFonts w:ascii="Verdana" w:eastAsia="Calibri" w:hAnsi="Verdana" w:cs="Times New Roman"/>
                <w:sz w:val="21"/>
                <w:szCs w:val="21"/>
                <w:lang w:eastAsia="es-MX"/>
              </w:rPr>
              <w:t>- CONSTRUCCIÓN Y/O RECONSTRUCCIÓN DE ESPACIO PÚBLICO”</w:t>
            </w:r>
          </w:p>
          <w:p w14:paraId="73C16244" w14:textId="77777777" w:rsidR="006B49B1" w:rsidRPr="006B49B1" w:rsidRDefault="006B49B1" w:rsidP="006B49B1">
            <w:pPr>
              <w:snapToGrid w:val="0"/>
              <w:spacing w:before="120" w:after="120"/>
              <w:ind w:left="709" w:right="709"/>
              <w:jc w:val="both"/>
              <w:rPr>
                <w:rFonts w:ascii="Verdana" w:eastAsia="Calibri" w:hAnsi="Verdana" w:cs="Times New Roman"/>
                <w:sz w:val="21"/>
                <w:szCs w:val="21"/>
                <w:lang w:eastAsia="es-MX"/>
              </w:rPr>
            </w:pPr>
            <w:r w:rsidRPr="006B49B1">
              <w:rPr>
                <w:rFonts w:ascii="Verdana" w:eastAsia="Calibri" w:hAnsi="Verdana" w:cs="Times New Roman"/>
                <w:sz w:val="21"/>
                <w:szCs w:val="21"/>
                <w:lang w:eastAsia="es-MX"/>
              </w:rPr>
              <w:t>Sobre la experiencia general, se establecen las siguientes dos (2) notas:</w:t>
            </w:r>
          </w:p>
          <w:p w14:paraId="5CE3B0D4" w14:textId="77777777" w:rsidR="006B49B1" w:rsidRPr="006B49B1" w:rsidRDefault="006B49B1" w:rsidP="006B49B1">
            <w:pPr>
              <w:snapToGrid w:val="0"/>
              <w:spacing w:before="120" w:after="120"/>
              <w:ind w:left="709" w:right="709"/>
              <w:jc w:val="both"/>
              <w:rPr>
                <w:rFonts w:ascii="Verdana" w:eastAsia="Times New Roman" w:hAnsi="Verdana" w:cs="Arial"/>
                <w:sz w:val="21"/>
                <w:szCs w:val="21"/>
                <w:lang w:eastAsia="es-MX"/>
              </w:rPr>
            </w:pPr>
            <w:r w:rsidRPr="006B49B1">
              <w:rPr>
                <w:rFonts w:ascii="Verdana" w:eastAsia="Calibri" w:hAnsi="Verdana" w:cs="Times New Roman"/>
                <w:sz w:val="21"/>
                <w:szCs w:val="21"/>
                <w:lang w:eastAsia="es-MX"/>
              </w:rPr>
              <w:t>“</w:t>
            </w:r>
            <w:r w:rsidRPr="006B49B1">
              <w:rPr>
                <w:rFonts w:ascii="Verdana" w:eastAsia="Times New Roman" w:hAnsi="Verdana" w:cs="Arial"/>
                <w:b/>
                <w:bCs/>
                <w:sz w:val="21"/>
                <w:szCs w:val="21"/>
                <w:lang w:eastAsia="es-MX"/>
              </w:rPr>
              <w:t xml:space="preserve">Nota 1: </w:t>
            </w:r>
            <w:r w:rsidRPr="006B49B1">
              <w:rPr>
                <w:rFonts w:ascii="Verdana" w:eastAsia="Times New Roman" w:hAnsi="Verdana" w:cs="Arial"/>
                <w:sz w:val="21"/>
                <w:szCs w:val="21"/>
                <w:lang w:eastAsia="es-MX"/>
              </w:rPr>
              <w:t>Para el caso de experiencia de ESPACIO PÚBLICO se excluyen de estos las vías destinadas al tránsito vehicular, así como la conservación y/o preservación de playas marítimas.</w:t>
            </w:r>
          </w:p>
          <w:p w14:paraId="2603A509" w14:textId="77777777" w:rsidR="006B49B1" w:rsidRPr="006B49B1" w:rsidRDefault="006B49B1" w:rsidP="006B49B1">
            <w:pPr>
              <w:snapToGrid w:val="0"/>
              <w:spacing w:before="120"/>
              <w:ind w:left="709" w:right="709"/>
              <w:jc w:val="both"/>
              <w:rPr>
                <w:rFonts w:ascii="Verdana" w:eastAsia="Times New Roman" w:hAnsi="Verdana" w:cs="Arial"/>
                <w:sz w:val="21"/>
                <w:szCs w:val="21"/>
                <w:lang w:eastAsia="es-MX"/>
              </w:rPr>
            </w:pPr>
            <w:r w:rsidRPr="006B49B1">
              <w:rPr>
                <w:rFonts w:ascii="Verdana" w:eastAsia="Times New Roman" w:hAnsi="Verdana" w:cs="Arial"/>
                <w:b/>
                <w:bCs/>
                <w:sz w:val="21"/>
                <w:szCs w:val="21"/>
                <w:lang w:eastAsia="es-MX"/>
              </w:rPr>
              <w:t xml:space="preserve">Nota 2: </w:t>
            </w:r>
            <w:r w:rsidRPr="006B49B1">
              <w:rPr>
                <w:rFonts w:ascii="Verdana" w:eastAsia="Times New Roman" w:hAnsi="Verdana" w:cs="Arial"/>
                <w:sz w:val="21"/>
                <w:szCs w:val="21"/>
                <w:lang w:eastAsia="es-MX"/>
              </w:rPr>
              <w:t>En el caso en el cual el proceso de selección contemple actividades de dotación de mobiliario, la experiencia válida aportada deberá acreditar en por lo menos uno (1) de los contratos actividades de suministro e instalación de mobiliario</w:t>
            </w:r>
            <w:r w:rsidRPr="006B49B1">
              <w:rPr>
                <w:rFonts w:ascii="Verdana" w:eastAsia="Calibri" w:hAnsi="Verdana" w:cs="Times New Roman"/>
                <w:sz w:val="21"/>
                <w:szCs w:val="21"/>
                <w:lang w:eastAsia="es-MX"/>
              </w:rPr>
              <w:t>”.</w:t>
            </w:r>
          </w:p>
          <w:p w14:paraId="74DF12F2" w14:textId="77777777" w:rsidR="006B49B1" w:rsidRPr="006B49B1" w:rsidRDefault="006B49B1" w:rsidP="006B49B1">
            <w:pPr>
              <w:ind w:left="709" w:right="709"/>
              <w:jc w:val="both"/>
              <w:rPr>
                <w:rFonts w:ascii="Verdana" w:eastAsia="Calibri" w:hAnsi="Verdana" w:cs="Times New Roman"/>
                <w:sz w:val="21"/>
                <w:szCs w:val="21"/>
                <w:lang w:eastAsia="es-MX"/>
              </w:rPr>
            </w:pPr>
          </w:p>
          <w:p w14:paraId="2CE6D576" w14:textId="126DF559" w:rsidR="006B49B1" w:rsidRPr="006B49B1" w:rsidRDefault="006B49B1" w:rsidP="006B49B1">
            <w:pPr>
              <w:spacing w:after="120" w:line="276" w:lineRule="auto"/>
              <w:ind w:firstLine="708"/>
              <w:jc w:val="both"/>
              <w:rPr>
                <w:rFonts w:ascii="Verdana" w:eastAsia="Calibri" w:hAnsi="Verdana" w:cs="Times New Roman"/>
                <w:lang w:eastAsia="es-MX"/>
              </w:rPr>
            </w:pPr>
            <w:r w:rsidRPr="006B49B1">
              <w:rPr>
                <w:rFonts w:ascii="Verdana" w:eastAsia="Calibri" w:hAnsi="Verdana" w:cs="Times New Roman"/>
                <w:lang w:eastAsia="es-MX"/>
              </w:rPr>
              <w:t xml:space="preserve">La nota uno (1) sobre la cual recae su solicitud, indica </w:t>
            </w:r>
            <w:r w:rsidR="0045189D" w:rsidRPr="006B49B1">
              <w:rPr>
                <w:rFonts w:ascii="Verdana" w:eastAsia="Calibri" w:hAnsi="Verdana" w:cs="Times New Roman"/>
                <w:lang w:eastAsia="es-MX"/>
              </w:rPr>
              <w:t>que,</w:t>
            </w:r>
            <w:r w:rsidRPr="006B49B1">
              <w:rPr>
                <w:rFonts w:ascii="Verdana" w:eastAsia="Calibri" w:hAnsi="Verdana" w:cs="Times New Roman"/>
                <w:lang w:eastAsia="es-MX"/>
              </w:rPr>
              <w:t xml:space="preserve"> para efectos de acreditar experiencia en proyectos de espacio público, no se tendrán en cuenta aquellas intervenciones que correspondan a vías destinadas al tránsito vehicular y a la conservación y/o preservación de playas marítimas. </w:t>
            </w:r>
          </w:p>
          <w:p w14:paraId="2E97D9F9" w14:textId="77777777" w:rsidR="006B49B1" w:rsidRPr="006B49B1" w:rsidRDefault="006B49B1" w:rsidP="006B49B1">
            <w:pPr>
              <w:spacing w:after="120" w:line="276" w:lineRule="auto"/>
              <w:ind w:firstLine="708"/>
              <w:jc w:val="both"/>
              <w:rPr>
                <w:rFonts w:ascii="Verdana" w:eastAsia="Calibri" w:hAnsi="Verdana" w:cs="Times New Roman"/>
                <w:lang w:eastAsia="es-MX"/>
              </w:rPr>
            </w:pPr>
            <w:r w:rsidRPr="006B49B1">
              <w:rPr>
                <w:rFonts w:ascii="Verdana" w:eastAsia="Calibri" w:hAnsi="Verdana" w:cs="Times New Roman"/>
                <w:lang w:eastAsia="es-MX"/>
              </w:rPr>
              <w:t xml:space="preserve">Ahora bien, para comprender el alcance de la nota uno (1) </w:t>
            </w:r>
            <w:r w:rsidRPr="006B49B1">
              <w:rPr>
                <w:rFonts w:ascii="Verdana" w:eastAsia="Calibri" w:hAnsi="Verdana" w:cs="Arial"/>
                <w:color w:val="0D0D0D"/>
                <w:lang w:val="es-MX" w:eastAsia="es-MX"/>
              </w:rPr>
              <w:t xml:space="preserve">se debe tener en cuenta las </w:t>
            </w:r>
            <w:r w:rsidRPr="006B49B1">
              <w:rPr>
                <w:rFonts w:ascii="Verdana" w:eastAsia="Calibri" w:hAnsi="Verdana" w:cs="Arial"/>
                <w:lang w:val="es-ES_tradnl" w:eastAsia="es-MX"/>
              </w:rPr>
              <w:t>definiciones del “Anexo – Glosario” de los documentos tipo indicados. Esto, en razón a que el numeral 1.10 del documento base dispone que “</w:t>
            </w:r>
            <w:r w:rsidRPr="006B49B1">
              <w:rPr>
                <w:rFonts w:ascii="Verdana" w:eastAsia="Calibri" w:hAnsi="Verdana" w:cs="Arial"/>
                <w:lang w:val="es-MX" w:eastAsia="es-MX"/>
              </w:rPr>
              <w:t>[p]ara los fines de este Pliego de Condiciones, a menos que expresamente se estipule de otra manera, los términos deben entenderse de acuerdo con la definición contenida en el artículo 2.2.1.1.1.3.1 del Decreto 1082 de 2015, el glosario aplicable a la obra pública de infraestructura social y demás normas, decretos reglamentarios y legislación aplicable en la materia</w:t>
            </w:r>
            <w:r w:rsidRPr="006B49B1">
              <w:rPr>
                <w:rFonts w:ascii="Verdana" w:eastAsia="Calibri" w:hAnsi="Verdana" w:cs="Arial"/>
                <w:lang w:val="es-ES_tradnl" w:eastAsia="es-MX"/>
              </w:rPr>
              <w:t>”.</w:t>
            </w:r>
          </w:p>
          <w:p w14:paraId="1291F196" w14:textId="77777777" w:rsidR="006B49B1" w:rsidRPr="006B49B1" w:rsidRDefault="006B49B1" w:rsidP="006B49B1">
            <w:pPr>
              <w:spacing w:line="276" w:lineRule="auto"/>
              <w:ind w:firstLine="708"/>
              <w:jc w:val="both"/>
              <w:rPr>
                <w:rFonts w:ascii="Verdana" w:eastAsia="Arial" w:hAnsi="Verdana" w:cs="Arial"/>
                <w:sz w:val="21"/>
                <w:szCs w:val="21"/>
              </w:rPr>
            </w:pPr>
            <w:r w:rsidRPr="006B49B1">
              <w:rPr>
                <w:rFonts w:ascii="Verdana" w:eastAsia="Calibri" w:hAnsi="Verdana" w:cs="Arial"/>
                <w:lang w:val="es-ES_tradnl" w:eastAsia="es-MX"/>
              </w:rPr>
              <w:t>De esta forma, de acuerdo con el Anexo – Glosario de los documentos tipo de licitación de obra pública de infraestructura social – versión 1, el numeral 2.52 señala la definición de “Espacio Público” lo cual, es importante para determinar el contenido de la nota uno (1) que se ha venido señalando.</w:t>
            </w:r>
          </w:p>
          <w:p w14:paraId="03EDCFF4" w14:textId="77777777" w:rsidR="006B49B1" w:rsidRPr="006B49B1" w:rsidRDefault="006B49B1" w:rsidP="006B49B1">
            <w:pPr>
              <w:spacing w:after="120" w:line="276" w:lineRule="auto"/>
              <w:jc w:val="both"/>
              <w:rPr>
                <w:rFonts w:ascii="Verdana" w:eastAsia="Arial" w:hAnsi="Verdana" w:cs="Arial"/>
                <w:lang w:val="es-ES" w:eastAsia="es-ES_tradnl"/>
              </w:rPr>
            </w:pPr>
            <w:r w:rsidRPr="006B49B1">
              <w:rPr>
                <w:rFonts w:ascii="Verdana" w:eastAsia="Arial" w:hAnsi="Verdana" w:cs="Arial"/>
                <w:sz w:val="21"/>
                <w:szCs w:val="21"/>
                <w:lang w:val="es-ES" w:eastAsia="es-ES_tradnl"/>
              </w:rPr>
              <w:lastRenderedPageBreak/>
              <w:tab/>
            </w:r>
            <w:r w:rsidRPr="006B49B1">
              <w:rPr>
                <w:rFonts w:ascii="Verdana" w:eastAsia="Arial" w:hAnsi="Verdana" w:cs="Arial"/>
                <w:lang w:val="es-ES" w:eastAsia="es-ES_tradnl"/>
              </w:rPr>
              <w:t xml:space="preserve">Conforme con la definición de espacio público contenida en el Anexo – Glosario, el espacio público comprende un conjunto amplio de bienes y áreas destinadas a satisfacer necesidades urbanas colectivas que trascienden los intereses individuales de los habitantes. En particular incluye; i) los bienes de uso público cuyo uso o disfrute pertenece a todos los habitantes del territorio nacional, </w:t>
            </w:r>
            <w:proofErr w:type="spellStart"/>
            <w:r w:rsidRPr="006B49B1">
              <w:rPr>
                <w:rFonts w:ascii="Verdana" w:eastAsia="Arial" w:hAnsi="Verdana" w:cs="Arial"/>
                <w:lang w:val="es-ES" w:eastAsia="es-ES_tradnl"/>
              </w:rPr>
              <w:t>ii</w:t>
            </w:r>
            <w:proofErr w:type="spellEnd"/>
            <w:r w:rsidRPr="006B49B1">
              <w:rPr>
                <w:rFonts w:ascii="Verdana" w:eastAsia="Arial" w:hAnsi="Verdana" w:cs="Arial"/>
                <w:lang w:val="es-ES" w:eastAsia="es-ES_tradnl"/>
              </w:rPr>
              <w:t xml:space="preserve">) los elementos arquitectónicos, espaciales y naturales de inmuebles privados que satisfacen necesidades de uso público, y </w:t>
            </w:r>
            <w:proofErr w:type="spellStart"/>
            <w:r w:rsidRPr="006B49B1">
              <w:rPr>
                <w:rFonts w:ascii="Verdana" w:eastAsia="Arial" w:hAnsi="Verdana" w:cs="Arial"/>
                <w:lang w:val="es-ES" w:eastAsia="es-ES_tradnl"/>
              </w:rPr>
              <w:t>iii</w:t>
            </w:r>
            <w:proofErr w:type="spellEnd"/>
            <w:r w:rsidRPr="006B49B1">
              <w:rPr>
                <w:rFonts w:ascii="Verdana" w:eastAsia="Arial" w:hAnsi="Verdana" w:cs="Arial"/>
                <w:lang w:val="es-ES" w:eastAsia="es-ES_tradnl"/>
              </w:rPr>
              <w:t xml:space="preserve">) las áreas requeridas para la conformación del sistema de espacio público en los términos del Decreto 1077 de 2015. </w:t>
            </w:r>
          </w:p>
          <w:p w14:paraId="554F698E" w14:textId="77777777" w:rsidR="006B49B1" w:rsidRPr="006B49B1" w:rsidRDefault="006B49B1" w:rsidP="006B49B1">
            <w:pPr>
              <w:spacing w:after="120" w:line="276" w:lineRule="auto"/>
              <w:jc w:val="both"/>
              <w:rPr>
                <w:rFonts w:ascii="Verdana" w:eastAsia="Arial" w:hAnsi="Verdana" w:cs="Arial"/>
                <w:lang w:val="es-ES" w:eastAsia="es-ES_tradnl"/>
              </w:rPr>
            </w:pPr>
            <w:r w:rsidRPr="006B49B1">
              <w:rPr>
                <w:rFonts w:ascii="Verdana" w:eastAsia="Arial" w:hAnsi="Verdana" w:cs="Arial"/>
                <w:lang w:val="es-ES" w:eastAsia="es-ES_tradnl"/>
              </w:rPr>
              <w:tab/>
              <w:t xml:space="preserve">De acuerdo con esta definición, las obras de espacio público pueden recaer sobre una amplia variedad de elementos destinados al uso y disfrute colectivo. Sin embargo, la Nota 1 contenidas para la experiencia general de la actividad 2.1 establece una delimitación específica para efectos de la acreditación de experiencia, al señalar expresamente que se excluyen las vías destinadas al tránsito vehicular y las actividades de conservación y/o preservación de playas marítimas. </w:t>
            </w:r>
          </w:p>
          <w:p w14:paraId="629142FA" w14:textId="77777777" w:rsidR="006B49B1" w:rsidRPr="006B49B1" w:rsidRDefault="006B49B1" w:rsidP="006B49B1">
            <w:pPr>
              <w:spacing w:after="120" w:line="276" w:lineRule="auto"/>
              <w:jc w:val="both"/>
              <w:rPr>
                <w:rFonts w:ascii="Verdana" w:eastAsia="Arial" w:hAnsi="Verdana" w:cs="Arial"/>
                <w:lang w:val="es-ES" w:eastAsia="es-ES_tradnl"/>
              </w:rPr>
            </w:pPr>
            <w:r w:rsidRPr="006B49B1">
              <w:rPr>
                <w:rFonts w:ascii="Verdana" w:eastAsia="Arial" w:hAnsi="Verdana" w:cs="Arial"/>
                <w:lang w:val="es-ES" w:eastAsia="es-ES_tradnl"/>
              </w:rPr>
              <w:tab/>
              <w:t xml:space="preserve">En consecuencia, aunque las vías vehiculares y las playas marítimas pueden estar asociadas a bienes de uso público o a espacios de utilización colectiva, los documentos tipo dispusieron expresamente que las intervenciones realizadas sobre estos elementos no serán consideradas como experiencia válida en proyectos de espacio público. Así, la nota opera como una excepción a la definición general de espacio público contenida en el glosario, restringiendo el alcance de la experiencia admisible para estos efectos. Por lo tanto, la experiencia en espacio público que puede ser acreditada corresponde a intervenciones ejecutadas sobre los demás elementos comprendidos dentro de dicha definición. </w:t>
            </w:r>
          </w:p>
          <w:p w14:paraId="79C35B37" w14:textId="77777777" w:rsidR="006B49B1" w:rsidRPr="006B49B1" w:rsidRDefault="006B49B1" w:rsidP="006B49B1">
            <w:pPr>
              <w:spacing w:after="120" w:line="276" w:lineRule="auto"/>
              <w:jc w:val="both"/>
              <w:rPr>
                <w:rFonts w:ascii="Verdana" w:eastAsia="Arial" w:hAnsi="Verdana" w:cs="Arial"/>
                <w:lang w:val="es-ES" w:eastAsia="es-ES_tradnl"/>
              </w:rPr>
            </w:pPr>
            <w:r w:rsidRPr="006B49B1">
              <w:rPr>
                <w:rFonts w:ascii="Verdana" w:eastAsia="Arial" w:hAnsi="Verdana" w:cs="Arial"/>
                <w:lang w:val="es-ES" w:eastAsia="es-ES_tradnl"/>
              </w:rPr>
              <w:tab/>
              <w:t>Particularmente, respecto de su inquietud sobre si las obras correspondientes a áreas integrantes de perfiles viales peatonales, andenes o ciclovías pueden acreditar la experiencia general para la actividad 2.1. Sobre el particular, se precisa que estas intervenciones no se encuentran comprendidas, dentro de la exclusión prevista en la Nota 1. Lo anterior, por cuanto dicha nota excluye expresamente la experiencia relacionada con “vías destinadas al tránsito vehicular, así como la conservación y/o preservación de playas marítimas”.</w:t>
            </w:r>
          </w:p>
          <w:p w14:paraId="568F4A7C" w14:textId="77777777" w:rsidR="006B49B1" w:rsidRPr="006B49B1" w:rsidRDefault="006B49B1" w:rsidP="006B49B1">
            <w:pPr>
              <w:spacing w:after="120" w:line="276" w:lineRule="auto"/>
              <w:ind w:firstLine="708"/>
              <w:jc w:val="both"/>
              <w:rPr>
                <w:rFonts w:ascii="Verdana" w:eastAsia="Arial" w:hAnsi="Verdana" w:cs="Arial"/>
                <w:lang w:val="es-ES" w:eastAsia="es-ES_tradnl"/>
              </w:rPr>
            </w:pPr>
            <w:r w:rsidRPr="006B49B1">
              <w:rPr>
                <w:rFonts w:ascii="Verdana" w:eastAsia="Arial" w:hAnsi="Verdana" w:cs="Arial"/>
                <w:lang w:val="es-ES" w:eastAsia="es-ES_tradnl"/>
              </w:rPr>
              <w:lastRenderedPageBreak/>
              <w:t>En este sentido, el artículo 2.2.3.1.5 del Decreto 1077 de 2015 establece que dentro de los elementos constitutivos del espacio público se encuentran las áreas integrantes de los perfiles viales, los andenes y ciclovías. Ahora bien, en principio, estos no corresponden a vías destinadas al tránsito vehicular, razón por la cual no quedan cobijados por la exclusión expresa contenida en la Nota 1.</w:t>
            </w:r>
          </w:p>
          <w:p w14:paraId="52295A7A" w14:textId="77777777" w:rsidR="006B49B1" w:rsidRPr="006B49B1" w:rsidRDefault="006B49B1" w:rsidP="006B49B1">
            <w:pPr>
              <w:spacing w:line="276" w:lineRule="auto"/>
              <w:ind w:firstLine="708"/>
              <w:jc w:val="both"/>
              <w:rPr>
                <w:rFonts w:ascii="Verdana" w:eastAsia="Arial" w:hAnsi="Verdana" w:cs="Arial"/>
                <w:lang w:val="es-ES" w:eastAsia="es-ES_tradnl"/>
              </w:rPr>
            </w:pPr>
            <w:r w:rsidRPr="006B49B1">
              <w:rPr>
                <w:rFonts w:ascii="Verdana" w:eastAsia="Arial" w:hAnsi="Verdana" w:cs="Arial"/>
                <w:lang w:val="es-ES" w:eastAsia="es-ES_tradnl"/>
              </w:rPr>
              <w:t xml:space="preserve">No obstante, la circunstancia de que una determinada obra sobre andenes, áreas peatonales o ciclovías no se encuentre excluida por la Nota 1 no implica automáticamente que dicha experiencia sea válida para acreditar la experiencia general para la actividad “2.1. Proyectos de construcción y/o reconstrucción de parques”. La validez de la experiencia deberá determinarse a partir de las condiciones establecidas en la Matriz de Experiencia que indica que será válida la experiencia general proyectos que correspondan o hayan contenido una o algunas de las siguientes actividades: i) construcción y/o reconstrucción de parques y/o construcción y/o reconstrucción de espacio público. </w:t>
            </w:r>
          </w:p>
          <w:p w14:paraId="1780D596" w14:textId="77777777" w:rsidR="006B49B1" w:rsidRPr="006B49B1" w:rsidRDefault="006B49B1" w:rsidP="006B49B1">
            <w:pPr>
              <w:spacing w:line="276" w:lineRule="auto"/>
              <w:ind w:firstLine="708"/>
              <w:jc w:val="both"/>
              <w:rPr>
                <w:rFonts w:ascii="Verdana" w:eastAsia="Arial" w:hAnsi="Verdana" w:cs="Arial"/>
                <w:lang w:val="es-ES" w:eastAsia="es-ES_tradnl"/>
              </w:rPr>
            </w:pPr>
          </w:p>
          <w:p w14:paraId="448E981C" w14:textId="77777777" w:rsidR="006B49B1" w:rsidRPr="006B49B1" w:rsidRDefault="006B49B1" w:rsidP="006B49B1">
            <w:pPr>
              <w:spacing w:line="276" w:lineRule="auto"/>
              <w:jc w:val="both"/>
              <w:textAlignment w:val="baseline"/>
              <w:rPr>
                <w:rFonts w:ascii="Verdana" w:eastAsia="Calibri" w:hAnsi="Verdana" w:cs="Times New Roman"/>
                <w:lang w:val="es-ES"/>
              </w:rPr>
            </w:pPr>
            <w:proofErr w:type="spellStart"/>
            <w:r w:rsidRPr="006B49B1">
              <w:rPr>
                <w:rFonts w:ascii="Verdana" w:eastAsia="Arial" w:hAnsi="Verdana" w:cs="Arial"/>
                <w:lang w:val="es-ES" w:eastAsia="es-ES_tradnl"/>
              </w:rPr>
              <w:t>ii</w:t>
            </w:r>
            <w:proofErr w:type="spellEnd"/>
            <w:r w:rsidRPr="006B49B1">
              <w:rPr>
                <w:rFonts w:ascii="Verdana" w:eastAsia="Arial" w:hAnsi="Verdana" w:cs="Arial"/>
                <w:lang w:val="es-ES" w:eastAsia="es-ES_tradnl"/>
              </w:rPr>
              <w:t xml:space="preserve">) </w:t>
            </w:r>
            <w:r w:rsidRPr="006B49B1">
              <w:rPr>
                <w:rFonts w:ascii="Verdana" w:eastAsia="Calibri" w:hAnsi="Verdana" w:cs="Times New Roman"/>
                <w:lang w:val="es-ES"/>
              </w:rPr>
              <w:t xml:space="preserve">El documento base de los documentos tipo de licitación de obra pública de infraestructura social – versión 1, en el numeral 3.5.1 “Características de los contratos presentados para acreditar la experiencia exigida”, dispone que los contratos para acreditar la experiencia exigida deberán cumplir con las características que allí se determinan, entre la que se destaca la que se relaciona con el segundo problema jurídico planteado en este concepto, esto es: </w:t>
            </w:r>
          </w:p>
          <w:p w14:paraId="2D6E41FD" w14:textId="77777777" w:rsidR="006B49B1" w:rsidRPr="006B49B1" w:rsidRDefault="006B49B1" w:rsidP="006B49B1">
            <w:pPr>
              <w:ind w:firstLine="708"/>
              <w:jc w:val="both"/>
              <w:textAlignment w:val="baseline"/>
              <w:rPr>
                <w:rFonts w:ascii="Verdana" w:eastAsia="Calibri" w:hAnsi="Verdana" w:cs="Times New Roman"/>
                <w:lang w:val="es-ES"/>
              </w:rPr>
            </w:pPr>
          </w:p>
          <w:p w14:paraId="79E65C40" w14:textId="77777777" w:rsidR="006B49B1" w:rsidRPr="006B49B1" w:rsidRDefault="006B49B1" w:rsidP="006B49B1">
            <w:pPr>
              <w:snapToGrid w:val="0"/>
              <w:spacing w:after="120"/>
              <w:ind w:left="709" w:right="709"/>
              <w:jc w:val="both"/>
              <w:rPr>
                <w:rFonts w:ascii="Verdana" w:eastAsia="Calibri" w:hAnsi="Verdana" w:cs="Times New Roman"/>
                <w:sz w:val="21"/>
                <w:szCs w:val="21"/>
                <w:lang w:val="es-MX"/>
              </w:rPr>
            </w:pPr>
            <w:r w:rsidRPr="006B49B1">
              <w:rPr>
                <w:rFonts w:ascii="Verdana" w:eastAsia="Calibri" w:hAnsi="Verdana" w:cs="Times New Roman"/>
                <w:sz w:val="21"/>
                <w:szCs w:val="21"/>
                <w:lang w:val="es-MX"/>
              </w:rPr>
              <w:t xml:space="preserve">“L. No será válida la experiencia acreditada para edificaciones que se encuentre relacionada con la ejecución de obras cuyo objeto o alcance sea alguna de las siguientes: </w:t>
            </w:r>
          </w:p>
          <w:p w14:paraId="156DFF2F" w14:textId="77777777" w:rsidR="006B49B1" w:rsidRPr="006B49B1" w:rsidRDefault="006B49B1" w:rsidP="006B49B1">
            <w:pPr>
              <w:numPr>
                <w:ilvl w:val="0"/>
                <w:numId w:val="18"/>
              </w:numPr>
              <w:snapToGrid w:val="0"/>
              <w:spacing w:after="120"/>
              <w:ind w:left="1069" w:right="709"/>
              <w:jc w:val="both"/>
              <w:rPr>
                <w:rFonts w:ascii="Verdana" w:eastAsia="Calibri" w:hAnsi="Verdana" w:cs="Times New Roman"/>
                <w:sz w:val="21"/>
                <w:szCs w:val="21"/>
                <w:lang w:val="es-MX"/>
              </w:rPr>
            </w:pPr>
            <w:r w:rsidRPr="006B49B1">
              <w:rPr>
                <w:rFonts w:ascii="Verdana" w:eastAsia="Calibri" w:hAnsi="Verdana" w:cs="Times New Roman"/>
                <w:sz w:val="21"/>
                <w:szCs w:val="21"/>
                <w:lang w:val="es-MX"/>
              </w:rPr>
              <w:t xml:space="preserve">Parqueaderos de un (1) piso (como uso exclusivo). </w:t>
            </w:r>
          </w:p>
          <w:p w14:paraId="37E3722F" w14:textId="77777777" w:rsidR="006B49B1" w:rsidRPr="006B49B1" w:rsidRDefault="006B49B1" w:rsidP="006B49B1">
            <w:pPr>
              <w:numPr>
                <w:ilvl w:val="0"/>
                <w:numId w:val="18"/>
              </w:numPr>
              <w:snapToGrid w:val="0"/>
              <w:spacing w:after="120"/>
              <w:ind w:left="1069" w:right="709"/>
              <w:jc w:val="both"/>
              <w:rPr>
                <w:rFonts w:ascii="Verdana" w:eastAsia="Calibri" w:hAnsi="Verdana" w:cs="Times New Roman"/>
                <w:sz w:val="21"/>
                <w:szCs w:val="21"/>
                <w:lang w:val="es-MX"/>
              </w:rPr>
            </w:pPr>
            <w:r w:rsidRPr="006B49B1">
              <w:rPr>
                <w:rFonts w:ascii="Verdana" w:eastAsia="Calibri" w:hAnsi="Verdana" w:cs="Times New Roman"/>
                <w:sz w:val="21"/>
                <w:szCs w:val="21"/>
                <w:lang w:val="es-MX"/>
              </w:rPr>
              <w:t xml:space="preserve">Infraestructura de transporte, salvo que el Proceso de Contratación implique el mantenimiento de vías de circulación internas. </w:t>
            </w:r>
          </w:p>
          <w:p w14:paraId="2BA05330" w14:textId="77777777" w:rsidR="006B49B1" w:rsidRPr="006B49B1" w:rsidRDefault="006B49B1" w:rsidP="006B49B1">
            <w:pPr>
              <w:numPr>
                <w:ilvl w:val="0"/>
                <w:numId w:val="18"/>
              </w:numPr>
              <w:snapToGrid w:val="0"/>
              <w:spacing w:after="120"/>
              <w:ind w:left="1069" w:right="709"/>
              <w:jc w:val="both"/>
              <w:rPr>
                <w:rFonts w:ascii="Verdana" w:eastAsia="Calibri" w:hAnsi="Verdana" w:cs="Times New Roman"/>
                <w:sz w:val="21"/>
                <w:szCs w:val="21"/>
                <w:lang w:val="es-MX"/>
              </w:rPr>
            </w:pPr>
            <w:r w:rsidRPr="006B49B1">
              <w:rPr>
                <w:rFonts w:ascii="Verdana" w:eastAsia="Calibri" w:hAnsi="Verdana" w:cs="Times New Roman"/>
                <w:sz w:val="21"/>
                <w:szCs w:val="21"/>
                <w:lang w:val="es-MX"/>
              </w:rPr>
              <w:t>Obras hidráulicas (represas, alcantarillados, acueductos, diques, canales, plantas de tratamiento).</w:t>
            </w:r>
          </w:p>
          <w:p w14:paraId="40A4114F" w14:textId="77777777" w:rsidR="006B49B1" w:rsidRPr="006B49B1" w:rsidRDefault="006B49B1" w:rsidP="006B49B1">
            <w:pPr>
              <w:numPr>
                <w:ilvl w:val="0"/>
                <w:numId w:val="18"/>
              </w:numPr>
              <w:snapToGrid w:val="0"/>
              <w:spacing w:after="120"/>
              <w:ind w:left="1069" w:right="709"/>
              <w:jc w:val="both"/>
              <w:rPr>
                <w:rFonts w:ascii="Verdana" w:eastAsia="Calibri" w:hAnsi="Verdana" w:cs="Times New Roman"/>
                <w:sz w:val="21"/>
                <w:szCs w:val="21"/>
                <w:lang w:val="es-MX"/>
              </w:rPr>
            </w:pPr>
            <w:r w:rsidRPr="006B49B1">
              <w:rPr>
                <w:rFonts w:ascii="Verdana" w:eastAsia="Calibri" w:hAnsi="Verdana" w:cs="Times New Roman"/>
                <w:sz w:val="21"/>
                <w:szCs w:val="21"/>
                <w:lang w:val="es-MX"/>
              </w:rPr>
              <w:t xml:space="preserve">Obras de urbanismo y paisajismo, salvo que el proceso de selección implique el mantenimiento de zonas verdes y/o </w:t>
            </w:r>
            <w:r w:rsidRPr="006B49B1">
              <w:rPr>
                <w:rFonts w:ascii="Verdana" w:eastAsia="Calibri" w:hAnsi="Verdana" w:cs="Times New Roman"/>
                <w:sz w:val="21"/>
                <w:szCs w:val="21"/>
                <w:lang w:val="es-MX"/>
              </w:rPr>
              <w:lastRenderedPageBreak/>
              <w:t xml:space="preserve">paisajismo al interior de un predio cuya destinación es en una edificación de infraestructura social (tales como instituciones educativas, hospitales, planetarios, auditorios, entre otros).  </w:t>
            </w:r>
          </w:p>
          <w:p w14:paraId="7138D85E" w14:textId="77777777" w:rsidR="006B49B1" w:rsidRPr="006B49B1" w:rsidRDefault="006B49B1" w:rsidP="006B49B1">
            <w:pPr>
              <w:snapToGrid w:val="0"/>
              <w:ind w:left="709" w:right="709"/>
              <w:jc w:val="both"/>
              <w:rPr>
                <w:rFonts w:ascii="Verdana" w:eastAsia="Calibri" w:hAnsi="Verdana" w:cs="Times New Roman"/>
                <w:sz w:val="21"/>
                <w:szCs w:val="21"/>
                <w:lang w:val="es-MX"/>
              </w:rPr>
            </w:pPr>
            <w:r w:rsidRPr="006B49B1">
              <w:rPr>
                <w:rFonts w:ascii="Verdana" w:eastAsia="Calibri" w:hAnsi="Verdana" w:cs="Times New Roman"/>
                <w:b/>
                <w:bCs/>
                <w:sz w:val="21"/>
                <w:szCs w:val="21"/>
                <w:lang w:val="es-MX"/>
              </w:rPr>
              <w:t>Nota:</w:t>
            </w:r>
            <w:r w:rsidRPr="006B49B1">
              <w:rPr>
                <w:rFonts w:ascii="Verdana" w:eastAsia="Calibri" w:hAnsi="Verdana" w:cs="Times New Roman"/>
                <w:sz w:val="21"/>
                <w:szCs w:val="21"/>
                <w:lang w:val="es-MX"/>
              </w:rPr>
              <w:t xml:space="preserve"> Las consideraciones previamente relacionadas aplican para las actividades a contratar que correspondan a la intervención de edificaciones verticales únicamente”. </w:t>
            </w:r>
          </w:p>
          <w:p w14:paraId="2CD171BB" w14:textId="77777777" w:rsidR="006B49B1" w:rsidRPr="006B49B1" w:rsidRDefault="006B49B1" w:rsidP="006B49B1">
            <w:pPr>
              <w:jc w:val="both"/>
              <w:textAlignment w:val="baseline"/>
              <w:rPr>
                <w:rFonts w:ascii="Verdana" w:eastAsia="Calibri" w:hAnsi="Verdana" w:cs="Times New Roman"/>
                <w:lang w:val="es-MX"/>
              </w:rPr>
            </w:pPr>
          </w:p>
          <w:p w14:paraId="7A04D5D7" w14:textId="77777777" w:rsidR="006B49B1" w:rsidRPr="006B49B1" w:rsidRDefault="006B49B1" w:rsidP="006B49B1">
            <w:pPr>
              <w:spacing w:after="120" w:line="276" w:lineRule="auto"/>
              <w:jc w:val="both"/>
              <w:rPr>
                <w:rFonts w:ascii="Verdana" w:eastAsia="Times New Roman" w:hAnsi="Verdana" w:cs="Times New Roman"/>
                <w:lang w:eastAsia="es-CO"/>
              </w:rPr>
            </w:pPr>
            <w:r w:rsidRPr="006B49B1">
              <w:rPr>
                <w:rFonts w:ascii="Verdana" w:eastAsia="Calibri" w:hAnsi="Verdana" w:cs="Times New Roman"/>
                <w:lang w:val="es-MX" w:eastAsia="es-CO"/>
              </w:rPr>
              <w:tab/>
            </w:r>
            <w:r w:rsidRPr="006B49B1">
              <w:rPr>
                <w:rFonts w:ascii="Verdana" w:eastAsia="Times New Roman" w:hAnsi="Verdana" w:cs="Times New Roman"/>
                <w:lang w:eastAsia="es-CO"/>
              </w:rPr>
              <w:t xml:space="preserve">El literal indicado debe entenderse de acuerdo con el siguiente alcance. En primer lugar, hace referencia a las consideraciones que deben tenerse en cuenta para la acreditación de experiencia en las actividades incluidas en alguna de las matrices del sector social —salud, educación o cultura, recreación y deporte— y particularmente, tal como lo señala la nota, estas condiciones son aplicables cuando se pretenda acreditar </w:t>
            </w:r>
            <w:r w:rsidRPr="006B49B1">
              <w:rPr>
                <w:rFonts w:ascii="Verdana" w:eastAsia="Times New Roman" w:hAnsi="Verdana" w:cs="Times New Roman"/>
                <w:i/>
                <w:iCs/>
                <w:lang w:eastAsia="es-CO"/>
              </w:rPr>
              <w:t>experiencia en edificaciones verticales</w:t>
            </w:r>
            <w:r w:rsidRPr="006B49B1">
              <w:rPr>
                <w:rFonts w:ascii="Verdana" w:eastAsia="Times New Roman" w:hAnsi="Verdana" w:cs="Times New Roman"/>
                <w:lang w:eastAsia="es-CO"/>
              </w:rPr>
              <w:t xml:space="preserve">, precisando que no será válida aquella relacionada con las siguientes actividades: i) Parqueaderos de un (1) piso (como uso exclusivo), </w:t>
            </w:r>
            <w:proofErr w:type="spellStart"/>
            <w:r w:rsidRPr="006B49B1">
              <w:rPr>
                <w:rFonts w:ascii="Verdana" w:eastAsia="Times New Roman" w:hAnsi="Verdana" w:cs="Times New Roman"/>
                <w:lang w:eastAsia="es-CO"/>
              </w:rPr>
              <w:t>ii</w:t>
            </w:r>
            <w:proofErr w:type="spellEnd"/>
            <w:r w:rsidRPr="006B49B1">
              <w:rPr>
                <w:rFonts w:ascii="Verdana" w:eastAsia="Times New Roman" w:hAnsi="Verdana" w:cs="Times New Roman"/>
                <w:lang w:eastAsia="es-CO"/>
              </w:rPr>
              <w:t xml:space="preserve">) Infraestructura de transporte, salvo que el Proceso de Contratación implique el mantenimiento de vías de circulación internas; </w:t>
            </w:r>
            <w:proofErr w:type="spellStart"/>
            <w:r w:rsidRPr="006B49B1">
              <w:rPr>
                <w:rFonts w:ascii="Verdana" w:eastAsia="Times New Roman" w:hAnsi="Verdana" w:cs="Times New Roman"/>
                <w:lang w:eastAsia="es-CO"/>
              </w:rPr>
              <w:t>iii</w:t>
            </w:r>
            <w:proofErr w:type="spellEnd"/>
            <w:r w:rsidRPr="006B49B1">
              <w:rPr>
                <w:rFonts w:ascii="Verdana" w:eastAsia="Times New Roman" w:hAnsi="Verdana" w:cs="Times New Roman"/>
                <w:lang w:eastAsia="es-CO"/>
              </w:rPr>
              <w:t xml:space="preserve">) Obras hidráulicas (represas, alcantarillados, acueductos, diques, canales, plantas de tratamiento); y </w:t>
            </w:r>
            <w:proofErr w:type="spellStart"/>
            <w:r w:rsidRPr="006B49B1">
              <w:rPr>
                <w:rFonts w:ascii="Verdana" w:eastAsia="Times New Roman" w:hAnsi="Verdana" w:cs="Times New Roman"/>
                <w:lang w:eastAsia="es-CO"/>
              </w:rPr>
              <w:t>iii</w:t>
            </w:r>
            <w:proofErr w:type="spellEnd"/>
            <w:r w:rsidRPr="006B49B1">
              <w:rPr>
                <w:rFonts w:ascii="Verdana" w:eastAsia="Times New Roman" w:hAnsi="Verdana" w:cs="Times New Roman"/>
                <w:lang w:eastAsia="es-CO"/>
              </w:rPr>
              <w:t xml:space="preserve">) Obras de urbanismo y paisajismo, salvo que el proceso de selección implique el mantenimiento de zonas verdes y/o paisajismo al interior de un predio cuya destinación es en una edificación de infraestructura social (tales como instituciones educativas, hospitales, planetarios, auditorios, entre otros).  </w:t>
            </w:r>
          </w:p>
          <w:p w14:paraId="268CA12D" w14:textId="77777777" w:rsidR="006B49B1" w:rsidRPr="006B49B1" w:rsidRDefault="006B49B1" w:rsidP="006B49B1">
            <w:pPr>
              <w:spacing w:after="120" w:line="276" w:lineRule="auto"/>
              <w:jc w:val="both"/>
              <w:rPr>
                <w:rFonts w:ascii="Verdana" w:eastAsia="Times New Roman" w:hAnsi="Verdana" w:cs="Times New Roman"/>
                <w:lang w:eastAsia="es-CO"/>
              </w:rPr>
            </w:pPr>
            <w:r w:rsidRPr="006B49B1">
              <w:rPr>
                <w:rFonts w:ascii="Verdana" w:eastAsia="Times New Roman" w:hAnsi="Verdana" w:cs="Times New Roman"/>
                <w:lang w:eastAsia="es-CO"/>
              </w:rPr>
              <w:tab/>
              <w:t>Conforme al alcance del literal L del numeral 3.5.1 “Características de los contratos presentados para acreditar la experiencia exigida”, y teniendo en cuenta que el segundo problema jurídico del presente concepto se orienta a determinar si dicho literal resulta aplicable a la actividad “2.1. PROYECTOS DE CONSTRUCCIÓN Y/O RECONSTRUCCIÓN DE PARQUES”, se debe indicar que, de acuerdo con la definición de parque contenida en el numeral 2.71 del Anexo – Glosario, este corresponde a “áreas libres públicas, predominantemente arborizadas y/o ajardinadas que se encuentran localizadas en suelo urbano, y que están destinadas a la recreación, el esparcimiento y el ocio, así como a la generación y preservación de valores paisajísticos y ambientales”.</w:t>
            </w:r>
          </w:p>
          <w:p w14:paraId="7C100FCA" w14:textId="77777777" w:rsidR="006B49B1" w:rsidRPr="006B49B1" w:rsidRDefault="006B49B1" w:rsidP="006B49B1">
            <w:pPr>
              <w:spacing w:after="120" w:line="276" w:lineRule="auto"/>
              <w:ind w:firstLine="708"/>
              <w:jc w:val="both"/>
              <w:rPr>
                <w:rFonts w:ascii="Verdana" w:eastAsia="Times New Roman" w:hAnsi="Verdana" w:cs="Times New Roman"/>
                <w:lang w:eastAsia="es-CO"/>
              </w:rPr>
            </w:pPr>
            <w:r w:rsidRPr="006B49B1">
              <w:rPr>
                <w:rFonts w:ascii="Verdana" w:eastAsia="Times New Roman" w:hAnsi="Verdana" w:cs="Times New Roman"/>
                <w:lang w:eastAsia="es-CO"/>
              </w:rPr>
              <w:t xml:space="preserve">No obstante, es importante precisar que la sola denominación de “parque” no resulta suficiente para efectos de determinar la aplicación del literal L del numeral 3.5.1, en la medida en que pueden existir proyectos </w:t>
            </w:r>
            <w:r w:rsidRPr="006B49B1">
              <w:rPr>
                <w:rFonts w:ascii="Verdana" w:eastAsia="Times New Roman" w:hAnsi="Verdana" w:cs="Times New Roman"/>
                <w:lang w:eastAsia="es-CO"/>
              </w:rPr>
              <w:lastRenderedPageBreak/>
              <w:t>identificados como parques que incorporen infraestructuras de naturaleza edificada o con características propias de una edificación vertical, como ocurre, por ejemplo, en el Centro Felicidad CEFE de la localidad de Chapinero Bogotá</w:t>
            </w:r>
            <w:r w:rsidRPr="006B49B1">
              <w:rPr>
                <w:rFonts w:ascii="Verdana" w:eastAsia="Times New Roman" w:hAnsi="Verdana" w:cs="Times New Roman"/>
                <w:vertAlign w:val="superscript"/>
                <w:lang w:eastAsia="es-CO"/>
              </w:rPr>
              <w:footnoteReference w:id="1"/>
            </w:r>
            <w:r w:rsidRPr="006B49B1">
              <w:rPr>
                <w:rFonts w:ascii="Verdana" w:eastAsia="Times New Roman" w:hAnsi="Verdana" w:cs="Times New Roman"/>
                <w:lang w:eastAsia="es-CO"/>
              </w:rPr>
              <w:t>. En ese sentido, lo determinante no es la denominación del proyecto como parque, sino su naturaleza constructiva y funcional, particularmente si este se configura o no como una edificación vertical en los términos del documento base.</w:t>
            </w:r>
          </w:p>
          <w:p w14:paraId="0F3AAD6D" w14:textId="77777777" w:rsidR="006B49B1" w:rsidRPr="006B49B1" w:rsidRDefault="006B49B1" w:rsidP="006B49B1">
            <w:pPr>
              <w:spacing w:line="276" w:lineRule="auto"/>
              <w:ind w:firstLine="708"/>
              <w:jc w:val="both"/>
              <w:rPr>
                <w:rFonts w:ascii="Verdana" w:eastAsia="Times New Roman" w:hAnsi="Verdana" w:cs="Times New Roman"/>
                <w:lang w:eastAsia="es-CO"/>
              </w:rPr>
            </w:pPr>
            <w:r w:rsidRPr="006B49B1">
              <w:rPr>
                <w:rFonts w:ascii="Verdana" w:eastAsia="Times New Roman" w:hAnsi="Verdana" w:cs="Times New Roman"/>
                <w:lang w:eastAsia="es-CO"/>
              </w:rPr>
              <w:t>En consecuencia, la aplicación del literal L no depende de la tipología nominal del proyecto, sino de su configuración material. Por lo anterior, corresponde a la entidad que adelanta el proceso de selección realizar el análisis de cada caso concreto, con el fin de establecer si las obras ejecutadas se enmarcan en una edificación vertical o si, por el contrario, corresponden a intervenciones propias de espacios abiertos destinados al uso y disfrute colectivo, como parques, de conformidad con las definiciones del Anexo – Glosario y las condiciones previstas en el numeral 3.5.1 del documento base.</w:t>
            </w:r>
          </w:p>
          <w:p w14:paraId="591BD76F" w14:textId="77777777" w:rsidR="006B49B1" w:rsidRPr="006B49B1" w:rsidRDefault="006B49B1" w:rsidP="006B49B1">
            <w:pPr>
              <w:spacing w:line="276" w:lineRule="auto"/>
              <w:jc w:val="both"/>
              <w:rPr>
                <w:rFonts w:ascii="Verdana" w:eastAsia="Calibri" w:hAnsi="Verdana" w:cs="Arial"/>
                <w:lang w:eastAsia="es-MX"/>
              </w:rPr>
            </w:pPr>
          </w:p>
          <w:p w14:paraId="1C2496F1" w14:textId="77777777" w:rsidR="006B49B1" w:rsidRPr="006B49B1" w:rsidRDefault="006B49B1" w:rsidP="006B49B1">
            <w:pPr>
              <w:spacing w:after="120" w:line="276" w:lineRule="auto"/>
              <w:jc w:val="both"/>
              <w:rPr>
                <w:rFonts w:ascii="Verdana" w:eastAsia="Aptos" w:hAnsi="Verdana" w:cs="Times New Roman"/>
              </w:rPr>
            </w:pPr>
            <w:r w:rsidRPr="006B49B1">
              <w:rPr>
                <w:rFonts w:ascii="Verdana" w:eastAsia="Calibri" w:hAnsi="Verdana" w:cs="Arial"/>
                <w:lang w:val="es-ES_tradnl" w:eastAsia="es-MX"/>
              </w:rPr>
              <w:t xml:space="preserve">Sin perjuicio de las consideraciones desarrolladas en este concepto, </w:t>
            </w:r>
            <w:r w:rsidRPr="006B49B1">
              <w:rPr>
                <w:rFonts w:ascii="Verdana" w:eastAsia="Calibri" w:hAnsi="Verdana" w:cs="Times New Roman"/>
                <w:lang w:val="es-ES"/>
              </w:rPr>
              <w:t>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2BF5851" w14:textId="77777777" w:rsidR="006B49B1" w:rsidRPr="006B49B1" w:rsidRDefault="006B49B1" w:rsidP="006B49B1">
            <w:pPr>
              <w:spacing w:after="120"/>
              <w:ind w:firstLine="709"/>
              <w:jc w:val="both"/>
              <w:rPr>
                <w:rFonts w:ascii="Verdana" w:eastAsia="Calibri" w:hAnsi="Verdana" w:cs="Times New Roman"/>
                <w:lang w:val="es-ES"/>
              </w:rPr>
            </w:pPr>
            <w:r w:rsidRPr="006B49B1">
              <w:rPr>
                <w:rFonts w:ascii="Verdana" w:eastAsia="Calibri" w:hAnsi="Verdana" w:cs="Times New Roman"/>
                <w:lang w:val="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7EB60ECF" w14:textId="77777777" w:rsidR="006B49B1" w:rsidRPr="006B49B1" w:rsidRDefault="006B49B1" w:rsidP="006B49B1">
      <w:pPr>
        <w:tabs>
          <w:tab w:val="left" w:pos="142"/>
          <w:tab w:val="left" w:pos="284"/>
        </w:tabs>
        <w:spacing w:after="0" w:line="276" w:lineRule="auto"/>
        <w:jc w:val="both"/>
        <w:rPr>
          <w:rFonts w:ascii="Verdana" w:eastAsia="Century Gothic" w:hAnsi="Verdana" w:cs="Century Gothic"/>
          <w:b/>
          <w:bCs/>
          <w:lang w:val="es-ES" w:eastAsia="es-MX"/>
        </w:rPr>
      </w:pPr>
    </w:p>
    <w:p w14:paraId="296317E2" w14:textId="77777777" w:rsidR="006B49B1" w:rsidRPr="006B49B1" w:rsidRDefault="006B49B1" w:rsidP="006B49B1">
      <w:pPr>
        <w:tabs>
          <w:tab w:val="left" w:pos="142"/>
          <w:tab w:val="left" w:pos="284"/>
        </w:tabs>
        <w:spacing w:after="0" w:line="276" w:lineRule="auto"/>
        <w:jc w:val="both"/>
        <w:rPr>
          <w:rFonts w:ascii="Verdana" w:eastAsia="Century Gothic" w:hAnsi="Verdana" w:cs="Century Gothic"/>
          <w:b/>
          <w:bCs/>
          <w:lang w:val="es-ES" w:eastAsia="es-MX"/>
        </w:rPr>
      </w:pPr>
      <w:r w:rsidRPr="006B49B1">
        <w:rPr>
          <w:rFonts w:ascii="Verdana" w:eastAsia="Century Gothic" w:hAnsi="Verdana" w:cs="Century Gothic"/>
          <w:b/>
          <w:bCs/>
          <w:lang w:val="es-ES" w:eastAsia="es-MX"/>
        </w:rPr>
        <w:t>3. Razones de la respuesta:</w:t>
      </w:r>
    </w:p>
    <w:p w14:paraId="5997F62B" w14:textId="77777777" w:rsidR="006B49B1" w:rsidRPr="006B49B1" w:rsidRDefault="006B49B1" w:rsidP="006B49B1">
      <w:pPr>
        <w:spacing w:after="0" w:line="276" w:lineRule="auto"/>
        <w:jc w:val="both"/>
        <w:rPr>
          <w:rFonts w:ascii="Verdana" w:eastAsia="Calibri" w:hAnsi="Verdana" w:cs="Arial"/>
          <w:lang w:val="es-ES" w:eastAsia="es-MX"/>
        </w:rPr>
      </w:pPr>
    </w:p>
    <w:p w14:paraId="35CBAAE2" w14:textId="77777777" w:rsidR="006B49B1" w:rsidRPr="006B49B1" w:rsidRDefault="006B49B1" w:rsidP="006B49B1">
      <w:pPr>
        <w:spacing w:after="0" w:line="276" w:lineRule="auto"/>
        <w:jc w:val="both"/>
        <w:rPr>
          <w:rFonts w:ascii="Verdana" w:eastAsia="Calibri" w:hAnsi="Verdana" w:cs="Arial"/>
          <w:lang w:val="es-ES" w:eastAsia="es-MX"/>
        </w:rPr>
      </w:pPr>
      <w:r w:rsidRPr="006B49B1">
        <w:rPr>
          <w:rFonts w:ascii="Verdana" w:eastAsia="Calibri" w:hAnsi="Verdana" w:cs="Arial"/>
          <w:lang w:val="es-ES" w:eastAsia="es-MX"/>
        </w:rPr>
        <w:t xml:space="preserve">Lo anterior se sustenta en las siguientes consideraciones: </w:t>
      </w:r>
    </w:p>
    <w:p w14:paraId="61678315" w14:textId="77777777" w:rsidR="006B49B1" w:rsidRPr="006B49B1" w:rsidRDefault="006B49B1" w:rsidP="006B49B1">
      <w:pPr>
        <w:spacing w:after="0" w:line="276" w:lineRule="auto"/>
        <w:jc w:val="both"/>
        <w:rPr>
          <w:rFonts w:ascii="Verdana" w:eastAsia="Calibri" w:hAnsi="Verdana" w:cs="Arial"/>
          <w:lang w:val="es-ES" w:eastAsia="es-MX"/>
        </w:rPr>
      </w:pPr>
    </w:p>
    <w:p w14:paraId="5B1C9472" w14:textId="77777777" w:rsidR="006B49B1" w:rsidRPr="006B49B1" w:rsidRDefault="006B49B1" w:rsidP="006B49B1">
      <w:pPr>
        <w:spacing w:after="120" w:line="276" w:lineRule="auto"/>
        <w:jc w:val="both"/>
        <w:rPr>
          <w:rFonts w:ascii="Verdana" w:eastAsia="Aptos" w:hAnsi="Verdana" w:cs="Arial"/>
          <w:lang w:eastAsia="es-MX"/>
        </w:rPr>
      </w:pPr>
      <w:r w:rsidRPr="006B49B1">
        <w:rPr>
          <w:rFonts w:ascii="Verdana" w:eastAsia="Aptos" w:hAnsi="Verdana" w:cs="Arial"/>
          <w:lang w:eastAsia="es-MX"/>
        </w:rPr>
        <w:t>i. 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7277AEC1" w14:textId="77777777" w:rsidR="006B49B1" w:rsidRPr="006B49B1" w:rsidRDefault="006B49B1" w:rsidP="006B49B1">
      <w:pPr>
        <w:spacing w:before="120" w:after="120" w:line="276" w:lineRule="auto"/>
        <w:ind w:firstLine="708"/>
        <w:jc w:val="both"/>
        <w:rPr>
          <w:rFonts w:ascii="Verdana" w:eastAsia="Aptos" w:hAnsi="Verdana" w:cs="Arial"/>
          <w:lang w:eastAsia="es-MX"/>
        </w:rPr>
      </w:pPr>
      <w:r w:rsidRPr="006B49B1">
        <w:rPr>
          <w:rFonts w:ascii="Verdana" w:eastAsia="Aptos" w:hAnsi="Verdana" w:cs="Arial"/>
          <w:lang w:val="es-ES" w:eastAsia="es-MX"/>
        </w:rPr>
        <w:t xml:space="preserve">Con sustento en esta competencia, esta Agencia expidió diversos grupos de documentos tipo aplicables principalmente a la contratación de obras públicas de infraestructura de transporte, de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w:t>
      </w:r>
      <w:r w:rsidRPr="006B49B1">
        <w:rPr>
          <w:rFonts w:ascii="Verdana" w:eastAsia="Aptos" w:hAnsi="Verdana" w:cs="Arial"/>
          <w:lang w:eastAsia="es-MX"/>
        </w:rPr>
        <w:t>de licitación pública, selección abreviada de menor cuantía, mínima cuantía, concurso de méritos y contratación directa.</w:t>
      </w:r>
    </w:p>
    <w:p w14:paraId="74781E0B" w14:textId="77777777" w:rsidR="006B49B1" w:rsidRPr="006B49B1" w:rsidRDefault="006B49B1" w:rsidP="006B49B1">
      <w:pPr>
        <w:spacing w:before="120" w:after="120" w:line="276" w:lineRule="auto"/>
        <w:ind w:firstLine="708"/>
        <w:jc w:val="both"/>
        <w:rPr>
          <w:rFonts w:ascii="Verdana" w:eastAsia="Aptos" w:hAnsi="Verdana" w:cs="Arial"/>
          <w:lang w:eastAsia="es-MX"/>
        </w:rPr>
      </w:pPr>
      <w:r w:rsidRPr="006B49B1">
        <w:rPr>
          <w:rFonts w:ascii="Verdana" w:eastAsia="Aptos" w:hAnsi="Verdana" w:cs="Arial"/>
          <w:lang w:eastAsia="es-MX"/>
        </w:rPr>
        <w:t xml:space="preserve">Teniendo en cuenta que su solicitud se refiere a los documentos tipo de licitación de obra pública de infraestructura social – versión 1, y en particular a la Matriz de Experiencia del sector cultura, recreación y deporte – Versión 1, esta será atendida con fundamento en dichos documentos, adoptados mediante las resoluciones: i) 219 del 6 de agosto de 2021, “Por la cual se adoptan los documentos tipo para los procesos de licitación de obra pública de infraestructura social”  –través de esta resolución se adoptaron los documentos tipo aplicables de manera transversal a los proyectos de infraestructura social de los sectores educación, salud, cultura, recreación y deporte– y </w:t>
      </w:r>
      <w:proofErr w:type="spellStart"/>
      <w:r w:rsidRPr="006B49B1">
        <w:rPr>
          <w:rFonts w:ascii="Verdana" w:eastAsia="Aptos" w:hAnsi="Verdana" w:cs="Arial"/>
          <w:lang w:eastAsia="es-MX"/>
        </w:rPr>
        <w:t>ii</w:t>
      </w:r>
      <w:proofErr w:type="spellEnd"/>
      <w:r w:rsidRPr="006B49B1">
        <w:rPr>
          <w:rFonts w:ascii="Verdana" w:eastAsia="Aptos" w:hAnsi="Verdana" w:cs="Arial"/>
          <w:lang w:eastAsia="es-MX"/>
        </w:rPr>
        <w:t>) 454 del 16 de diciembre de 2021 que adoptó los documentos tipo complementarios aplicables al sector cultura, recreación y deporte, esto es, el “Anexo – Glosario” y la “Matriz de Experiencia”. No obstante, se precisa que dichos documentos estuvieron vigentes hasta el 15 de febrero de 2026.</w:t>
      </w:r>
    </w:p>
    <w:p w14:paraId="3F257678" w14:textId="77777777" w:rsidR="006B49B1" w:rsidRPr="006B49B1" w:rsidRDefault="006B49B1" w:rsidP="006B49B1">
      <w:pPr>
        <w:spacing w:after="120" w:line="276" w:lineRule="auto"/>
        <w:ind w:firstLine="708"/>
        <w:jc w:val="both"/>
        <w:rPr>
          <w:rFonts w:ascii="Verdana" w:eastAsia="Times New Roman" w:hAnsi="Verdana" w:cs="Times New Roman"/>
          <w:color w:val="000000"/>
          <w:lang w:eastAsia="es-CO"/>
        </w:rPr>
      </w:pPr>
      <w:r w:rsidRPr="006B49B1">
        <w:rPr>
          <w:rFonts w:ascii="Verdana" w:eastAsia="Aptos" w:hAnsi="Verdana" w:cs="Arial"/>
          <w:lang w:eastAsia="es-MX"/>
        </w:rPr>
        <w:lastRenderedPageBreak/>
        <w:t xml:space="preserve">En este sentido, actualmente </w:t>
      </w:r>
      <w:r w:rsidRPr="006B49B1">
        <w:rPr>
          <w:rFonts w:ascii="Verdana" w:eastAsia="Times New Roman" w:hAnsi="Verdana" w:cs="Times New Roman"/>
          <w:color w:val="000000"/>
          <w:lang w:eastAsia="es-CO"/>
        </w:rPr>
        <w:t xml:space="preserve">se encuentran vigentes </w:t>
      </w:r>
      <w:r w:rsidRPr="006B49B1">
        <w:rPr>
          <w:rFonts w:ascii="Verdana" w:eastAsia="Aptos" w:hAnsi="Verdana" w:cs="Times New Roman"/>
          <w:lang w:eastAsia="es-MX"/>
        </w:rPr>
        <w:t>las Resoluciones 539, 540 y 541 del 21 de agosto de 2025, así como las Resoluciones 952 y 953 del 15 de diciembre de 2025, adoptadas en el sector de infraestructura social, que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6B49B1">
        <w:rPr>
          <w:rFonts w:ascii="Verdana" w:eastAsia="Calibri" w:hAnsi="Verdana" w:cs="Arial"/>
          <w:vertAlign w:val="superscript"/>
          <w:lang w:eastAsia="es-MX"/>
        </w:rPr>
        <w:footnoteReference w:id="2"/>
      </w:r>
      <w:r w:rsidRPr="006B49B1">
        <w:rPr>
          <w:rFonts w:ascii="Verdana" w:eastAsia="Calibri" w:hAnsi="Verdana" w:cs="Arial"/>
          <w:lang w:eastAsia="es-MX"/>
        </w:rPr>
        <w:t>.</w:t>
      </w:r>
    </w:p>
    <w:p w14:paraId="1B3EB7C8" w14:textId="77777777" w:rsidR="006B49B1" w:rsidRPr="006B49B1" w:rsidRDefault="006B49B1" w:rsidP="006B49B1">
      <w:pPr>
        <w:widowControl w:val="0"/>
        <w:autoSpaceDE w:val="0"/>
        <w:autoSpaceDN w:val="0"/>
        <w:spacing w:after="120" w:line="276" w:lineRule="auto"/>
        <w:ind w:firstLine="708"/>
        <w:jc w:val="both"/>
        <w:rPr>
          <w:rFonts w:ascii="Verdana" w:eastAsia="Calibri" w:hAnsi="Verdana" w:cs="Times New Roman"/>
          <w:lang w:val="es-ES" w:eastAsia="es-MX"/>
        </w:rPr>
      </w:pPr>
      <w:r w:rsidRPr="006B49B1">
        <w:rPr>
          <w:rFonts w:ascii="Verdana" w:eastAsia="Calibri" w:hAnsi="Verdana" w:cs="Times New Roman"/>
          <w:lang w:val="es-ES" w:eastAsia="es-MX"/>
        </w:rPr>
        <w:lastRenderedPageBreak/>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6B49B1">
        <w:rPr>
          <w:rFonts w:ascii="Verdana" w:eastAsia="Calibri" w:hAnsi="Verdana" w:cs="Times New Roman"/>
          <w:shd w:val="clear" w:color="auto" w:fill="E8E8E8"/>
          <w:lang w:val="es-ES" w:eastAsia="es-MX"/>
        </w:rPr>
        <w:t>–[texto]–,</w:t>
      </w:r>
      <w:r w:rsidRPr="006B49B1">
        <w:rPr>
          <w:rFonts w:ascii="Verdana" w:eastAsia="Calibri" w:hAnsi="Verdana" w:cs="Times New Roman"/>
          <w:lang w:val="es-ES" w:eastAsia="es-MX"/>
        </w:rPr>
        <w:t xml:space="preserve"> para lo cual deberán observarse las instrucciones contenidas en los mismos para su diligenciamiento.</w:t>
      </w:r>
    </w:p>
    <w:p w14:paraId="501D337F" w14:textId="77777777" w:rsidR="006B49B1" w:rsidRPr="006B49B1" w:rsidRDefault="006B49B1" w:rsidP="006B49B1">
      <w:pPr>
        <w:widowControl w:val="0"/>
        <w:autoSpaceDE w:val="0"/>
        <w:autoSpaceDN w:val="0"/>
        <w:spacing w:after="120" w:line="276" w:lineRule="auto"/>
        <w:ind w:firstLine="708"/>
        <w:jc w:val="both"/>
        <w:rPr>
          <w:rFonts w:ascii="Verdana" w:eastAsia="Calibri" w:hAnsi="Verdana" w:cs="Times New Roman"/>
          <w:lang w:val="es-ES" w:eastAsia="es-MX"/>
        </w:rPr>
      </w:pPr>
      <w:r w:rsidRPr="006B49B1">
        <w:rPr>
          <w:rFonts w:ascii="Verdana" w:eastAsia="Calibri" w:hAnsi="Verdana" w:cs="Times New Roman"/>
          <w:lang w:val="es-ES" w:eastAsia="es-MX"/>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0B4D5FB0" w14:textId="77777777" w:rsidR="006B49B1" w:rsidRPr="006B49B1" w:rsidRDefault="006B49B1" w:rsidP="006B49B1">
      <w:pPr>
        <w:widowControl w:val="0"/>
        <w:autoSpaceDE w:val="0"/>
        <w:autoSpaceDN w:val="0"/>
        <w:spacing w:after="120" w:line="276" w:lineRule="auto"/>
        <w:ind w:firstLine="708"/>
        <w:jc w:val="both"/>
        <w:rPr>
          <w:rFonts w:ascii="Verdana" w:eastAsia="Calibri" w:hAnsi="Verdana" w:cs="Times New Roman"/>
          <w:lang w:val="es-ES" w:eastAsia="es-MX"/>
        </w:rPr>
      </w:pPr>
      <w:r w:rsidRPr="006B49B1">
        <w:rPr>
          <w:rFonts w:ascii="Verdana" w:eastAsia="Calibri" w:hAnsi="Verdana" w:cs="Times New Roman"/>
          <w:lang w:val="es-ES" w:eastAsia="es-MX"/>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325CA088" w14:textId="77777777" w:rsidR="006B49B1" w:rsidRPr="006B49B1" w:rsidRDefault="006B49B1" w:rsidP="006B49B1">
      <w:pPr>
        <w:widowControl w:val="0"/>
        <w:autoSpaceDE w:val="0"/>
        <w:autoSpaceDN w:val="0"/>
        <w:spacing w:after="120" w:line="276" w:lineRule="auto"/>
        <w:ind w:firstLine="708"/>
        <w:jc w:val="both"/>
        <w:rPr>
          <w:rFonts w:ascii="Verdana" w:eastAsia="Calibri" w:hAnsi="Verdana" w:cs="Times New Roman"/>
          <w:lang w:val="es-ES" w:eastAsia="es-MX"/>
        </w:rPr>
      </w:pPr>
      <w:r w:rsidRPr="006B49B1">
        <w:rPr>
          <w:rFonts w:ascii="Verdana" w:eastAsia="Calibri" w:hAnsi="Verdana" w:cs="Times New Roman"/>
          <w:lang w:val="es-ES" w:eastAsia="es-MX"/>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268740B9" w14:textId="77777777" w:rsidR="006B49B1" w:rsidRPr="006B49B1" w:rsidRDefault="006B49B1" w:rsidP="006B49B1">
      <w:pPr>
        <w:widowControl w:val="0"/>
        <w:autoSpaceDE w:val="0"/>
        <w:autoSpaceDN w:val="0"/>
        <w:spacing w:after="120" w:line="276" w:lineRule="auto"/>
        <w:ind w:firstLine="708"/>
        <w:jc w:val="both"/>
        <w:rPr>
          <w:rFonts w:ascii="Verdana" w:eastAsia="Calibri" w:hAnsi="Verdana" w:cs="Times New Roman"/>
          <w:lang w:val="es-ES" w:eastAsia="es-MX"/>
        </w:rPr>
      </w:pPr>
      <w:r w:rsidRPr="006B49B1">
        <w:rPr>
          <w:rFonts w:ascii="Verdana" w:eastAsia="Calibri" w:hAnsi="Verdana" w:cs="Times New Roman"/>
          <w:lang w:val="es-ES" w:eastAsia="es-MX"/>
        </w:rPr>
        <w:t xml:space="preserve">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w:t>
      </w:r>
      <w:r w:rsidRPr="006B49B1">
        <w:rPr>
          <w:rFonts w:ascii="Verdana" w:eastAsia="Calibri" w:hAnsi="Verdana" w:cs="Times New Roman"/>
          <w:lang w:val="es-ES" w:eastAsia="es-MX"/>
        </w:rPr>
        <w:lastRenderedPageBreak/>
        <w:t>asociados, ya que son las actividades descritas en esta las que, obligatoriamente, deben contratarse aplicando documentos tipo.</w:t>
      </w:r>
    </w:p>
    <w:p w14:paraId="2DCABF57" w14:textId="77777777" w:rsidR="006B49B1" w:rsidRPr="006B49B1" w:rsidRDefault="006B49B1" w:rsidP="006B49B1">
      <w:pPr>
        <w:widowControl w:val="0"/>
        <w:autoSpaceDE w:val="0"/>
        <w:autoSpaceDN w:val="0"/>
        <w:spacing w:after="0" w:line="276" w:lineRule="auto"/>
        <w:ind w:firstLine="708"/>
        <w:jc w:val="both"/>
        <w:rPr>
          <w:rFonts w:ascii="Verdana" w:eastAsia="Calibri" w:hAnsi="Verdana" w:cs="Times New Roman"/>
          <w:lang w:val="es-ES" w:eastAsia="es-MX"/>
        </w:rPr>
      </w:pPr>
      <w:r w:rsidRPr="006B49B1">
        <w:rPr>
          <w:rFonts w:ascii="Verdana" w:eastAsia="Calibri" w:hAnsi="Verdana" w:cs="Times New Roman"/>
          <w:lang w:val="es-ES" w:eastAsia="es-MX"/>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561B470B" w14:textId="77777777" w:rsidR="006B49B1" w:rsidRPr="006B49B1" w:rsidRDefault="006B49B1" w:rsidP="006B49B1">
      <w:pPr>
        <w:widowControl w:val="0"/>
        <w:autoSpaceDE w:val="0"/>
        <w:autoSpaceDN w:val="0"/>
        <w:spacing w:after="0" w:line="276" w:lineRule="auto"/>
        <w:ind w:firstLine="708"/>
        <w:jc w:val="both"/>
        <w:rPr>
          <w:rFonts w:ascii="Verdana" w:eastAsia="Calibri" w:hAnsi="Verdana" w:cs="Times New Roman"/>
          <w:lang w:val="es-ES" w:eastAsia="es-MX"/>
        </w:rPr>
      </w:pPr>
    </w:p>
    <w:p w14:paraId="6F81540C" w14:textId="77777777" w:rsidR="006B49B1" w:rsidRPr="006B49B1" w:rsidRDefault="006B49B1" w:rsidP="006B49B1">
      <w:pPr>
        <w:spacing w:after="0" w:line="276" w:lineRule="auto"/>
        <w:jc w:val="both"/>
        <w:rPr>
          <w:rFonts w:ascii="Verdana" w:eastAsia="Calibri" w:hAnsi="Verdana" w:cs="Times New Roman"/>
          <w:lang w:eastAsia="es-MX"/>
        </w:rPr>
      </w:pPr>
      <w:proofErr w:type="spellStart"/>
      <w:r w:rsidRPr="006B49B1">
        <w:rPr>
          <w:rFonts w:ascii="Verdana" w:eastAsia="Calibri" w:hAnsi="Verdana" w:cs="Times New Roman"/>
          <w:lang w:val="es-ES" w:eastAsia="es-MX"/>
        </w:rPr>
        <w:t>ii</w:t>
      </w:r>
      <w:proofErr w:type="spellEnd"/>
      <w:r w:rsidRPr="006B49B1">
        <w:rPr>
          <w:rFonts w:ascii="Verdana" w:eastAsia="Calibri" w:hAnsi="Verdana" w:cs="Times New Roman"/>
          <w:lang w:val="es-ES" w:eastAsia="es-MX"/>
        </w:rPr>
        <w:t xml:space="preserve">. </w:t>
      </w:r>
      <w:r w:rsidRPr="006B49B1">
        <w:rPr>
          <w:rFonts w:ascii="Verdana" w:eastAsia="Times New Roman" w:hAnsi="Verdana" w:cs="Times New Roman"/>
          <w:color w:val="000000"/>
          <w:lang w:eastAsia="es-CO"/>
        </w:rPr>
        <w:t xml:space="preserve">En los documentos tipo complementarios del sector cultura, recreación y deporte, en la modalidad de licitación pública, en la Matriz 1 se encuentran los siguientes tipos de infraestructura: 1. Obras de infraestructura cultural y 2. Obras de infraestructura recreo deportivas. </w:t>
      </w:r>
      <w:r w:rsidRPr="006B49B1">
        <w:rPr>
          <w:rFonts w:ascii="Verdana" w:eastAsia="Calibri" w:hAnsi="Verdana" w:cs="Times New Roman"/>
          <w:lang w:eastAsia="es-MX"/>
        </w:rPr>
        <w:t>Para efectos de su solicitud en la que indaga por la actividad “2.1 PROYECTOS DE CONSTRUCCIÓN Y/O RECONSTRUCCIÓN DE PARQUES”, contenida para el tipo de obras en infraestructura recreo deportiva, para esta se solicita la siguiente experiencia general:</w:t>
      </w:r>
    </w:p>
    <w:p w14:paraId="4F825582" w14:textId="77777777" w:rsidR="006B49B1" w:rsidRPr="006B49B1" w:rsidRDefault="006B49B1" w:rsidP="006B49B1">
      <w:pPr>
        <w:spacing w:after="0" w:line="240" w:lineRule="auto"/>
        <w:jc w:val="both"/>
        <w:rPr>
          <w:rFonts w:ascii="Verdana" w:eastAsia="Calibri" w:hAnsi="Verdana" w:cs="Times New Roman"/>
          <w:lang w:eastAsia="es-MX"/>
        </w:rPr>
      </w:pPr>
    </w:p>
    <w:p w14:paraId="56172D86" w14:textId="77777777" w:rsidR="006B49B1" w:rsidRPr="006B49B1" w:rsidRDefault="006B49B1" w:rsidP="006B49B1">
      <w:pPr>
        <w:snapToGrid w:val="0"/>
        <w:spacing w:after="120" w:line="240" w:lineRule="auto"/>
        <w:ind w:left="709" w:right="709"/>
        <w:jc w:val="both"/>
        <w:rPr>
          <w:rFonts w:ascii="Verdana" w:eastAsia="Calibri" w:hAnsi="Verdana" w:cs="Times New Roman"/>
          <w:sz w:val="21"/>
          <w:szCs w:val="21"/>
          <w:lang w:eastAsia="es-MX"/>
        </w:rPr>
      </w:pPr>
      <w:r w:rsidRPr="006B49B1">
        <w:rPr>
          <w:rFonts w:ascii="Verdana" w:eastAsia="Calibri" w:hAnsi="Verdana" w:cs="Times New Roman"/>
          <w:sz w:val="21"/>
          <w:szCs w:val="21"/>
          <w:lang w:eastAsia="es-MX"/>
        </w:rPr>
        <w:t xml:space="preserve">“PROYECTOS QUE CORRESPONDAN O HAYAN CONTENIDO UNA O ALGUNAS DE LAS SIGUIENTES ACTIVIDADES: </w:t>
      </w:r>
    </w:p>
    <w:p w14:paraId="523A4A97" w14:textId="77777777" w:rsidR="006B49B1" w:rsidRPr="006B49B1" w:rsidRDefault="006B49B1" w:rsidP="006B49B1">
      <w:pPr>
        <w:snapToGrid w:val="0"/>
        <w:spacing w:before="120" w:after="120" w:line="240" w:lineRule="auto"/>
        <w:ind w:left="709" w:right="709"/>
        <w:jc w:val="both"/>
        <w:rPr>
          <w:rFonts w:ascii="Verdana" w:eastAsia="Calibri" w:hAnsi="Verdana" w:cs="Times New Roman"/>
          <w:sz w:val="21"/>
          <w:szCs w:val="21"/>
          <w:lang w:eastAsia="es-MX"/>
        </w:rPr>
      </w:pPr>
      <w:r w:rsidRPr="006B49B1">
        <w:rPr>
          <w:rFonts w:ascii="Verdana" w:eastAsia="Calibri" w:hAnsi="Verdana" w:cs="Times New Roman"/>
          <w:sz w:val="21"/>
          <w:szCs w:val="21"/>
          <w:lang w:eastAsia="es-MX"/>
        </w:rPr>
        <w:t>- CONSTRUCCIÓN Y/O RECONSTRUCCIÓN DE PARQUES</w:t>
      </w:r>
    </w:p>
    <w:p w14:paraId="214C65B0" w14:textId="77777777" w:rsidR="006B49B1" w:rsidRPr="006B49B1" w:rsidRDefault="006B49B1" w:rsidP="006B49B1">
      <w:pPr>
        <w:snapToGrid w:val="0"/>
        <w:spacing w:before="120" w:after="120" w:line="240" w:lineRule="auto"/>
        <w:ind w:left="709" w:right="709"/>
        <w:jc w:val="both"/>
        <w:rPr>
          <w:rFonts w:ascii="Verdana" w:eastAsia="Calibri" w:hAnsi="Verdana" w:cs="Times New Roman"/>
          <w:sz w:val="21"/>
          <w:szCs w:val="21"/>
          <w:lang w:eastAsia="es-MX"/>
        </w:rPr>
      </w:pPr>
      <w:r w:rsidRPr="006B49B1">
        <w:rPr>
          <w:rFonts w:ascii="Verdana" w:eastAsia="Calibri" w:hAnsi="Verdana" w:cs="Times New Roman"/>
          <w:sz w:val="21"/>
          <w:szCs w:val="21"/>
          <w:lang w:eastAsia="es-MX"/>
        </w:rPr>
        <w:t>- CONSTRUCCIÓN Y/O RECONSTRUCCIÓN DE ESPACIO PÚBLICO”</w:t>
      </w:r>
    </w:p>
    <w:p w14:paraId="0AE5DAD2" w14:textId="77777777" w:rsidR="006B49B1" w:rsidRPr="006B49B1" w:rsidRDefault="006B49B1" w:rsidP="006B49B1">
      <w:pPr>
        <w:snapToGrid w:val="0"/>
        <w:spacing w:before="120" w:after="120" w:line="240" w:lineRule="auto"/>
        <w:ind w:left="709" w:right="709"/>
        <w:jc w:val="both"/>
        <w:rPr>
          <w:rFonts w:ascii="Verdana" w:eastAsia="Calibri" w:hAnsi="Verdana" w:cs="Times New Roman"/>
          <w:sz w:val="21"/>
          <w:szCs w:val="21"/>
          <w:lang w:eastAsia="es-MX"/>
        </w:rPr>
      </w:pPr>
      <w:r w:rsidRPr="006B49B1">
        <w:rPr>
          <w:rFonts w:ascii="Verdana" w:eastAsia="Calibri" w:hAnsi="Verdana" w:cs="Times New Roman"/>
          <w:sz w:val="21"/>
          <w:szCs w:val="21"/>
          <w:lang w:eastAsia="es-MX"/>
        </w:rPr>
        <w:t>Sobre la experiencia general, se establecen las siguientes dos (2) notas:</w:t>
      </w:r>
    </w:p>
    <w:p w14:paraId="2F086183" w14:textId="77777777" w:rsidR="006B49B1" w:rsidRPr="006B49B1" w:rsidRDefault="006B49B1" w:rsidP="006B49B1">
      <w:pPr>
        <w:snapToGrid w:val="0"/>
        <w:spacing w:before="120" w:after="120" w:line="240" w:lineRule="auto"/>
        <w:ind w:left="709" w:right="709"/>
        <w:jc w:val="both"/>
        <w:rPr>
          <w:rFonts w:ascii="Verdana" w:eastAsia="Times New Roman" w:hAnsi="Verdana" w:cs="Arial"/>
          <w:sz w:val="21"/>
          <w:szCs w:val="21"/>
          <w:lang w:eastAsia="es-MX"/>
        </w:rPr>
      </w:pPr>
      <w:r w:rsidRPr="006B49B1">
        <w:rPr>
          <w:rFonts w:ascii="Verdana" w:eastAsia="Calibri" w:hAnsi="Verdana" w:cs="Times New Roman"/>
          <w:sz w:val="21"/>
          <w:szCs w:val="21"/>
          <w:lang w:eastAsia="es-MX"/>
        </w:rPr>
        <w:t>“</w:t>
      </w:r>
      <w:r w:rsidRPr="006B49B1">
        <w:rPr>
          <w:rFonts w:ascii="Verdana" w:eastAsia="Times New Roman" w:hAnsi="Verdana" w:cs="Arial"/>
          <w:b/>
          <w:bCs/>
          <w:sz w:val="21"/>
          <w:szCs w:val="21"/>
          <w:lang w:eastAsia="es-MX"/>
        </w:rPr>
        <w:t xml:space="preserve">Nota 1: </w:t>
      </w:r>
      <w:r w:rsidRPr="006B49B1">
        <w:rPr>
          <w:rFonts w:ascii="Verdana" w:eastAsia="Times New Roman" w:hAnsi="Verdana" w:cs="Arial"/>
          <w:sz w:val="21"/>
          <w:szCs w:val="21"/>
          <w:lang w:eastAsia="es-MX"/>
        </w:rPr>
        <w:t>Para el caso de experiencia de ESPACIO PÚBLICO se excluyen de estos las vías destinadas al tránsito vehicular, así como la conservación y/o preservación de playas marítimas.</w:t>
      </w:r>
    </w:p>
    <w:p w14:paraId="6F91B368" w14:textId="77777777" w:rsidR="006B49B1" w:rsidRPr="006B49B1" w:rsidRDefault="006B49B1" w:rsidP="006B49B1">
      <w:pPr>
        <w:snapToGrid w:val="0"/>
        <w:spacing w:before="120" w:after="0" w:line="240" w:lineRule="auto"/>
        <w:ind w:left="709" w:right="709"/>
        <w:jc w:val="both"/>
        <w:rPr>
          <w:rFonts w:ascii="Verdana" w:eastAsia="Times New Roman" w:hAnsi="Verdana" w:cs="Arial"/>
          <w:sz w:val="21"/>
          <w:szCs w:val="21"/>
          <w:lang w:eastAsia="es-MX"/>
        </w:rPr>
      </w:pPr>
      <w:r w:rsidRPr="006B49B1">
        <w:rPr>
          <w:rFonts w:ascii="Verdana" w:eastAsia="Times New Roman" w:hAnsi="Verdana" w:cs="Arial"/>
          <w:b/>
          <w:bCs/>
          <w:sz w:val="21"/>
          <w:szCs w:val="21"/>
          <w:lang w:eastAsia="es-MX"/>
        </w:rPr>
        <w:t xml:space="preserve">Nota 2: </w:t>
      </w:r>
      <w:r w:rsidRPr="006B49B1">
        <w:rPr>
          <w:rFonts w:ascii="Verdana" w:eastAsia="Times New Roman" w:hAnsi="Verdana" w:cs="Arial"/>
          <w:sz w:val="21"/>
          <w:szCs w:val="21"/>
          <w:lang w:eastAsia="es-MX"/>
        </w:rPr>
        <w:t>En el caso en el cual el proceso de selección contemple actividades de dotación de mobiliario, la experiencia válida aportada deberá acreditar en por lo menos uno (1) de los contratos actividades de suministro e instalación de mobiliario</w:t>
      </w:r>
      <w:r w:rsidRPr="006B49B1">
        <w:rPr>
          <w:rFonts w:ascii="Verdana" w:eastAsia="Calibri" w:hAnsi="Verdana" w:cs="Times New Roman"/>
          <w:sz w:val="21"/>
          <w:szCs w:val="21"/>
          <w:lang w:eastAsia="es-MX"/>
        </w:rPr>
        <w:t>”.</w:t>
      </w:r>
    </w:p>
    <w:p w14:paraId="439C8E4C" w14:textId="77777777" w:rsidR="006B49B1" w:rsidRPr="006B49B1" w:rsidRDefault="006B49B1" w:rsidP="006B49B1">
      <w:pPr>
        <w:spacing w:after="0" w:line="240" w:lineRule="auto"/>
        <w:ind w:left="709" w:right="709"/>
        <w:jc w:val="both"/>
        <w:rPr>
          <w:rFonts w:ascii="Verdana" w:eastAsia="Calibri" w:hAnsi="Verdana" w:cs="Times New Roman"/>
          <w:sz w:val="21"/>
          <w:szCs w:val="21"/>
          <w:lang w:eastAsia="es-MX"/>
        </w:rPr>
      </w:pPr>
    </w:p>
    <w:p w14:paraId="680BDAA4" w14:textId="77777777" w:rsidR="006B49B1" w:rsidRPr="006B49B1" w:rsidRDefault="006B49B1" w:rsidP="006B49B1">
      <w:pPr>
        <w:spacing w:after="120" w:line="276" w:lineRule="auto"/>
        <w:ind w:firstLine="708"/>
        <w:jc w:val="both"/>
        <w:rPr>
          <w:rFonts w:ascii="Verdana" w:eastAsia="Calibri" w:hAnsi="Verdana" w:cs="Times New Roman"/>
          <w:lang w:eastAsia="es-MX"/>
        </w:rPr>
      </w:pPr>
      <w:r w:rsidRPr="006B49B1">
        <w:rPr>
          <w:rFonts w:ascii="Verdana" w:eastAsia="Calibri" w:hAnsi="Verdana" w:cs="Times New Roman"/>
          <w:lang w:eastAsia="es-MX"/>
        </w:rPr>
        <w:lastRenderedPageBreak/>
        <w:t xml:space="preserve">La nota uno (1) sobre la cual recae su solicitud, indica que para efectos de acreditar experiencia en proyectos de espacio público, no se tendrán en cuenta aquellas intervenciones que correspondan a vías destinadas al tránsito vehicular y a la conservación y/o preservación de playas marítimas. </w:t>
      </w:r>
    </w:p>
    <w:p w14:paraId="29CFA809" w14:textId="77777777" w:rsidR="006B49B1" w:rsidRPr="006B49B1" w:rsidRDefault="006B49B1" w:rsidP="006B49B1">
      <w:pPr>
        <w:spacing w:after="120" w:line="276" w:lineRule="auto"/>
        <w:ind w:firstLine="708"/>
        <w:jc w:val="both"/>
        <w:rPr>
          <w:rFonts w:ascii="Verdana" w:eastAsia="Calibri" w:hAnsi="Verdana" w:cs="Times New Roman"/>
          <w:lang w:eastAsia="es-MX"/>
        </w:rPr>
      </w:pPr>
      <w:r w:rsidRPr="006B49B1">
        <w:rPr>
          <w:rFonts w:ascii="Verdana" w:eastAsia="Calibri" w:hAnsi="Verdana" w:cs="Times New Roman"/>
          <w:lang w:eastAsia="es-MX"/>
        </w:rPr>
        <w:t xml:space="preserve">Ahora bien, para comprender el alcance de la nota uno (1) </w:t>
      </w:r>
      <w:r w:rsidRPr="006B49B1">
        <w:rPr>
          <w:rFonts w:ascii="Verdana" w:eastAsia="Calibri" w:hAnsi="Verdana" w:cs="Arial"/>
          <w:color w:val="0D0D0D"/>
          <w:lang w:val="es-MX" w:eastAsia="es-MX"/>
        </w:rPr>
        <w:t xml:space="preserve">se debe tener en cuenta las </w:t>
      </w:r>
      <w:r w:rsidRPr="006B49B1">
        <w:rPr>
          <w:rFonts w:ascii="Verdana" w:eastAsia="Calibri" w:hAnsi="Verdana" w:cs="Arial"/>
          <w:lang w:val="es-ES_tradnl" w:eastAsia="es-MX"/>
        </w:rPr>
        <w:t>definiciones del “Anexo – Glosario” de los documentos tipo indicados. Esto, en razón a que el numeral 1.10 del documento base dispone que “</w:t>
      </w:r>
      <w:r w:rsidRPr="006B49B1">
        <w:rPr>
          <w:rFonts w:ascii="Verdana" w:eastAsia="Calibri" w:hAnsi="Verdana" w:cs="Arial"/>
          <w:lang w:val="es-MX" w:eastAsia="es-MX"/>
        </w:rPr>
        <w:t>[p]ara los fines de este Pliego de Condiciones, a menos que expresamente se estipule de otra manera, los términos deben entenderse de acuerdo con la definición contenida en el artículo 2.2.1.1.1.3.1 del Decreto 1082 de 2015, el glosario aplicable a la obra pública de infraestructura social y demás normas, decretos reglamentarios y legislación aplicable en la materia</w:t>
      </w:r>
      <w:r w:rsidRPr="006B49B1">
        <w:rPr>
          <w:rFonts w:ascii="Verdana" w:eastAsia="Calibri" w:hAnsi="Verdana" w:cs="Arial"/>
          <w:lang w:val="es-ES_tradnl" w:eastAsia="es-MX"/>
        </w:rPr>
        <w:t>”.</w:t>
      </w:r>
    </w:p>
    <w:p w14:paraId="1E6E2EAC" w14:textId="77777777" w:rsidR="006B49B1" w:rsidRPr="006B49B1" w:rsidRDefault="006B49B1" w:rsidP="006B49B1">
      <w:pPr>
        <w:spacing w:after="0" w:line="276" w:lineRule="auto"/>
        <w:ind w:firstLine="708"/>
        <w:jc w:val="both"/>
        <w:rPr>
          <w:rFonts w:ascii="Verdana" w:eastAsia="Calibri" w:hAnsi="Verdana" w:cs="Arial"/>
          <w:lang w:val="es-ES_tradnl" w:eastAsia="es-MX"/>
        </w:rPr>
      </w:pPr>
      <w:r w:rsidRPr="006B49B1">
        <w:rPr>
          <w:rFonts w:ascii="Verdana" w:eastAsia="Calibri" w:hAnsi="Verdana" w:cs="Arial"/>
          <w:lang w:val="es-ES_tradnl" w:eastAsia="es-MX"/>
        </w:rPr>
        <w:t>De esta forma, de acuerdo con el Anexo – Glosario de los documentos tipo de licitación de obra pública de infraestructura social – versión 1, el numeral 2.52 señala la definición de “Espacio Público” lo cual, es importante para determinar el contenido de la nota uno (1) que se ha venido señalando. Así, en el numeral se dispone lo siguiente:</w:t>
      </w:r>
    </w:p>
    <w:p w14:paraId="04014851" w14:textId="77777777" w:rsidR="006B49B1" w:rsidRPr="006B49B1" w:rsidRDefault="006B49B1" w:rsidP="006B49B1">
      <w:pPr>
        <w:spacing w:after="120" w:line="240" w:lineRule="auto"/>
        <w:ind w:firstLine="708"/>
        <w:jc w:val="both"/>
        <w:rPr>
          <w:rFonts w:ascii="Verdana" w:eastAsia="Calibri" w:hAnsi="Verdana" w:cs="Arial"/>
          <w:sz w:val="21"/>
          <w:szCs w:val="21"/>
          <w:lang w:val="es-ES_tradnl" w:eastAsia="es-MX"/>
        </w:rPr>
      </w:pPr>
    </w:p>
    <w:p w14:paraId="403FF802" w14:textId="77777777" w:rsidR="006B49B1" w:rsidRPr="006B49B1" w:rsidRDefault="006B49B1" w:rsidP="006B49B1">
      <w:pPr>
        <w:spacing w:after="120" w:line="240" w:lineRule="auto"/>
        <w:ind w:left="709" w:right="709"/>
        <w:jc w:val="both"/>
        <w:rPr>
          <w:rFonts w:ascii="Verdana" w:eastAsia="Arial" w:hAnsi="Verdana" w:cs="Arial"/>
          <w:kern w:val="2"/>
          <w:sz w:val="21"/>
          <w:szCs w:val="21"/>
          <w14:ligatures w14:val="standardContextual"/>
        </w:rPr>
      </w:pPr>
      <w:r w:rsidRPr="006B49B1">
        <w:rPr>
          <w:rFonts w:ascii="Verdana" w:eastAsia="Roboto" w:hAnsi="Verdana" w:cs="Roboto"/>
          <w:b/>
          <w:bCs/>
          <w:sz w:val="21"/>
          <w:szCs w:val="21"/>
          <w:lang w:val="es-ES" w:eastAsia="es-MX"/>
        </w:rPr>
        <w:t>“</w:t>
      </w:r>
      <w:r w:rsidRPr="006B49B1">
        <w:rPr>
          <w:rFonts w:ascii="Verdana" w:eastAsia="Arial" w:hAnsi="Verdana" w:cs="Arial"/>
          <w:b/>
          <w:bCs/>
          <w:kern w:val="2"/>
          <w:sz w:val="21"/>
          <w:szCs w:val="21"/>
          <w14:ligatures w14:val="standardContextual"/>
        </w:rPr>
        <w:t>Espacio Público:</w:t>
      </w:r>
      <w:r w:rsidRPr="006B49B1">
        <w:rPr>
          <w:rFonts w:ascii="Verdana" w:eastAsia="Arial" w:hAnsi="Verdana" w:cs="Arial"/>
          <w:kern w:val="2"/>
          <w:sz w:val="21"/>
          <w:szCs w:val="21"/>
          <w14:ligatures w14:val="standardContextual"/>
        </w:rPr>
        <w:t xml:space="preserve"> Conjunto de inmuebles públicos y los elementos arquitectónicos y naturales de los inmuebles privados destinados por naturaleza, usos o afectación a la satisfacción de necesidades urbanas colectivas que transcienden los límites de los intereses individuales de los habitantes. </w:t>
      </w:r>
    </w:p>
    <w:p w14:paraId="711A417C" w14:textId="77777777" w:rsidR="006B49B1" w:rsidRPr="006B49B1" w:rsidRDefault="006B49B1" w:rsidP="006B49B1">
      <w:pPr>
        <w:spacing w:after="120" w:line="240" w:lineRule="auto"/>
        <w:ind w:left="709" w:right="709"/>
        <w:jc w:val="both"/>
        <w:rPr>
          <w:rFonts w:ascii="Verdana" w:eastAsia="Arial" w:hAnsi="Verdana" w:cs="Arial"/>
          <w:kern w:val="2"/>
          <w:sz w:val="21"/>
          <w:szCs w:val="21"/>
          <w14:ligatures w14:val="standardContextual"/>
        </w:rPr>
      </w:pPr>
      <w:r w:rsidRPr="006B49B1">
        <w:rPr>
          <w:rFonts w:ascii="Verdana" w:eastAsia="Arial" w:hAnsi="Verdana" w:cs="Arial"/>
          <w:kern w:val="2"/>
          <w:sz w:val="21"/>
          <w:szCs w:val="21"/>
          <w14:ligatures w14:val="standardContextual"/>
        </w:rPr>
        <w:t xml:space="preserve">El espacio público comprende, entre otros, los siguientes aspectos: </w:t>
      </w:r>
    </w:p>
    <w:p w14:paraId="174F2D4F" w14:textId="77777777" w:rsidR="006B49B1" w:rsidRPr="006B49B1" w:rsidRDefault="006B49B1" w:rsidP="006B49B1">
      <w:pPr>
        <w:spacing w:after="120" w:line="240" w:lineRule="auto"/>
        <w:ind w:left="709" w:right="709"/>
        <w:jc w:val="both"/>
        <w:rPr>
          <w:rFonts w:ascii="Verdana" w:eastAsia="Arial" w:hAnsi="Verdana" w:cs="Arial"/>
          <w:kern w:val="2"/>
          <w:sz w:val="21"/>
          <w:szCs w:val="21"/>
          <w14:ligatures w14:val="standardContextual"/>
        </w:rPr>
      </w:pPr>
      <w:r w:rsidRPr="006B49B1">
        <w:rPr>
          <w:rFonts w:ascii="Verdana" w:eastAsia="Arial" w:hAnsi="Verdana" w:cs="Arial"/>
          <w:kern w:val="2"/>
          <w:sz w:val="21"/>
          <w:szCs w:val="21"/>
          <w14:ligatures w14:val="standardContextual"/>
        </w:rPr>
        <w:t xml:space="preserve">a. Los bienes de uso público, es decir aquellos inmuebles de dominio público cuyo uso pertenece a todos los habitantes del territorio nacional, destinados al uso o disfrute colectivo; </w:t>
      </w:r>
    </w:p>
    <w:p w14:paraId="5389DB88" w14:textId="77777777" w:rsidR="006B49B1" w:rsidRPr="006B49B1" w:rsidRDefault="006B49B1" w:rsidP="006B49B1">
      <w:pPr>
        <w:spacing w:after="120" w:line="240" w:lineRule="auto"/>
        <w:ind w:left="709" w:right="709"/>
        <w:jc w:val="both"/>
        <w:rPr>
          <w:rFonts w:ascii="Verdana" w:eastAsia="Arial" w:hAnsi="Verdana" w:cs="Arial"/>
          <w:kern w:val="2"/>
          <w:sz w:val="21"/>
          <w:szCs w:val="21"/>
          <w14:ligatures w14:val="standardContextual"/>
        </w:rPr>
      </w:pPr>
      <w:r w:rsidRPr="006B49B1">
        <w:rPr>
          <w:rFonts w:ascii="Verdana" w:eastAsia="Arial" w:hAnsi="Verdana" w:cs="Arial"/>
          <w:kern w:val="2"/>
          <w:sz w:val="21"/>
          <w:szCs w:val="21"/>
          <w14:ligatures w14:val="standardContextual"/>
        </w:rPr>
        <w:t xml:space="preserve">b. Los elementos arquitectónicos, espaciales y naturales de los inmuebles de propiedad privada que por su naturaleza, uso o afectación satisfacen necesidades de uso público; </w:t>
      </w:r>
    </w:p>
    <w:p w14:paraId="6AB7D435" w14:textId="77777777" w:rsidR="006B49B1" w:rsidRPr="006B49B1" w:rsidRDefault="006B49B1" w:rsidP="006B49B1">
      <w:pPr>
        <w:spacing w:after="0" w:line="240" w:lineRule="auto"/>
        <w:ind w:left="709" w:right="709"/>
        <w:jc w:val="both"/>
        <w:rPr>
          <w:rFonts w:ascii="Verdana" w:eastAsia="Arial" w:hAnsi="Verdana" w:cs="Arial"/>
          <w:kern w:val="2"/>
          <w:sz w:val="21"/>
          <w:szCs w:val="21"/>
          <w14:ligatures w14:val="standardContextual"/>
        </w:rPr>
      </w:pPr>
      <w:r w:rsidRPr="006B49B1">
        <w:rPr>
          <w:rFonts w:ascii="Verdana" w:eastAsia="Arial" w:hAnsi="Verdana" w:cs="Arial"/>
          <w:kern w:val="2"/>
          <w:sz w:val="21"/>
          <w:szCs w:val="21"/>
          <w14:ligatures w14:val="standardContextual"/>
        </w:rPr>
        <w:t>c. Las áreas requeridas para la conformación del sistema de espacio público en los términos establecidos en el Decreto 1504 de 1998 compilado en el Decreto 1077 de 2015”.</w:t>
      </w:r>
    </w:p>
    <w:p w14:paraId="2954F35C" w14:textId="77777777" w:rsidR="006B49B1" w:rsidRPr="006B49B1" w:rsidRDefault="006B49B1" w:rsidP="006B49B1">
      <w:pPr>
        <w:spacing w:after="0" w:line="240" w:lineRule="auto"/>
        <w:ind w:right="709"/>
        <w:jc w:val="both"/>
        <w:rPr>
          <w:rFonts w:ascii="Verdana" w:eastAsia="Arial" w:hAnsi="Verdana" w:cs="Arial"/>
          <w:sz w:val="21"/>
          <w:szCs w:val="21"/>
          <w:lang w:val="es-ES" w:eastAsia="es-ES_tradnl"/>
        </w:rPr>
      </w:pPr>
    </w:p>
    <w:p w14:paraId="3B08DECC" w14:textId="77777777" w:rsidR="006B49B1" w:rsidRPr="006B49B1" w:rsidRDefault="006B49B1" w:rsidP="006B49B1">
      <w:pPr>
        <w:spacing w:after="120" w:line="276" w:lineRule="auto"/>
        <w:jc w:val="both"/>
        <w:rPr>
          <w:rFonts w:ascii="Verdana" w:eastAsia="Arial" w:hAnsi="Verdana" w:cs="Arial"/>
          <w:lang w:val="es-ES" w:eastAsia="es-ES_tradnl"/>
        </w:rPr>
      </w:pPr>
      <w:r w:rsidRPr="006B49B1">
        <w:rPr>
          <w:rFonts w:ascii="Verdana" w:eastAsia="Arial" w:hAnsi="Verdana" w:cs="Arial"/>
          <w:sz w:val="21"/>
          <w:szCs w:val="21"/>
          <w:lang w:val="es-ES" w:eastAsia="es-ES_tradnl"/>
        </w:rPr>
        <w:tab/>
      </w:r>
      <w:r w:rsidRPr="006B49B1">
        <w:rPr>
          <w:rFonts w:ascii="Verdana" w:eastAsia="Arial" w:hAnsi="Verdana" w:cs="Arial"/>
          <w:lang w:val="es-ES" w:eastAsia="es-ES_tradnl"/>
        </w:rPr>
        <w:t xml:space="preserve">Conforme con la definición de espacio público contenida en el Anexo – Glosario, el espacio público comprende un conjunto amplio de bienes y áreas </w:t>
      </w:r>
      <w:r w:rsidRPr="006B49B1">
        <w:rPr>
          <w:rFonts w:ascii="Verdana" w:eastAsia="Arial" w:hAnsi="Verdana" w:cs="Arial"/>
          <w:lang w:val="es-ES" w:eastAsia="es-ES_tradnl"/>
        </w:rPr>
        <w:lastRenderedPageBreak/>
        <w:t xml:space="preserve">destinadas a satisfacer necesidades urbanas colectivas que trascienden los intereses individuales de los habitantes. En particular incluye; i) los bienes de uso público cuyo uso o disfrute pertenece a todos los habitantes del territorio nacional, </w:t>
      </w:r>
      <w:proofErr w:type="spellStart"/>
      <w:r w:rsidRPr="006B49B1">
        <w:rPr>
          <w:rFonts w:ascii="Verdana" w:eastAsia="Arial" w:hAnsi="Verdana" w:cs="Arial"/>
          <w:lang w:val="es-ES" w:eastAsia="es-ES_tradnl"/>
        </w:rPr>
        <w:t>ii</w:t>
      </w:r>
      <w:proofErr w:type="spellEnd"/>
      <w:r w:rsidRPr="006B49B1">
        <w:rPr>
          <w:rFonts w:ascii="Verdana" w:eastAsia="Arial" w:hAnsi="Verdana" w:cs="Arial"/>
          <w:lang w:val="es-ES" w:eastAsia="es-ES_tradnl"/>
        </w:rPr>
        <w:t xml:space="preserve">) los elementos arquitectónicos, espaciales y naturales de inmuebles privados que satisfacen necesidades de uso público, y </w:t>
      </w:r>
      <w:proofErr w:type="spellStart"/>
      <w:r w:rsidRPr="006B49B1">
        <w:rPr>
          <w:rFonts w:ascii="Verdana" w:eastAsia="Arial" w:hAnsi="Verdana" w:cs="Arial"/>
          <w:lang w:val="es-ES" w:eastAsia="es-ES_tradnl"/>
        </w:rPr>
        <w:t>iii</w:t>
      </w:r>
      <w:proofErr w:type="spellEnd"/>
      <w:r w:rsidRPr="006B49B1">
        <w:rPr>
          <w:rFonts w:ascii="Verdana" w:eastAsia="Arial" w:hAnsi="Verdana" w:cs="Arial"/>
          <w:lang w:val="es-ES" w:eastAsia="es-ES_tradnl"/>
        </w:rPr>
        <w:t xml:space="preserve">) las áreas requeridas para la conformación del sistema de espacio público en los términos del Decreto 1077 de 2015. </w:t>
      </w:r>
    </w:p>
    <w:p w14:paraId="5E5811CC" w14:textId="77777777" w:rsidR="006B49B1" w:rsidRPr="006B49B1" w:rsidRDefault="006B49B1" w:rsidP="006B49B1">
      <w:pPr>
        <w:spacing w:after="120" w:line="276" w:lineRule="auto"/>
        <w:jc w:val="both"/>
        <w:rPr>
          <w:rFonts w:ascii="Verdana" w:eastAsia="Arial" w:hAnsi="Verdana" w:cs="Arial"/>
          <w:lang w:val="es-ES" w:eastAsia="es-ES_tradnl"/>
        </w:rPr>
      </w:pPr>
      <w:r w:rsidRPr="006B49B1">
        <w:rPr>
          <w:rFonts w:ascii="Verdana" w:eastAsia="Arial" w:hAnsi="Verdana" w:cs="Arial"/>
          <w:lang w:val="es-ES" w:eastAsia="es-ES_tradnl"/>
        </w:rPr>
        <w:tab/>
        <w:t xml:space="preserve">De acuerdo con esta definición, las obras de espacio público pueden recaer sobre una amplia variedad de elementos destinados al uso y disfrute colectivo. Sin embargo, la Nota 1 contenidas para la experiencia general de la actividad 2.1 establece una delimitación específica para efectos de la acreditación de experiencia, al señalar expresamente que se excluyen las vías destinadas al tránsito vehicular y las actividades de conservación y/o preservación de playas marítimas. </w:t>
      </w:r>
    </w:p>
    <w:p w14:paraId="73AFA934" w14:textId="77777777" w:rsidR="006B49B1" w:rsidRPr="006B49B1" w:rsidRDefault="006B49B1" w:rsidP="006B49B1">
      <w:pPr>
        <w:spacing w:after="120" w:line="276" w:lineRule="auto"/>
        <w:jc w:val="both"/>
        <w:rPr>
          <w:rFonts w:ascii="Verdana" w:eastAsia="Arial" w:hAnsi="Verdana" w:cs="Arial"/>
          <w:lang w:val="es-ES" w:eastAsia="es-ES_tradnl"/>
        </w:rPr>
      </w:pPr>
      <w:r w:rsidRPr="006B49B1">
        <w:rPr>
          <w:rFonts w:ascii="Verdana" w:eastAsia="Arial" w:hAnsi="Verdana" w:cs="Arial"/>
          <w:lang w:val="es-ES" w:eastAsia="es-ES_tradnl"/>
        </w:rPr>
        <w:tab/>
        <w:t xml:space="preserve">En consecuencia, aunque las vías vehiculares y las playas marítimas pueden estar asociadas a bienes de uso público o a espacios de utilización colectiva, los documentos tipo dispusieron expresamente que las intervenciones realizadas sobre estos elementos no serán consideradas como experiencia válida en proyectos de espacio público. Así, la nota opera como una excepción a la definición general de espacio público contenida en el glosario, restringiendo el alcance de la experiencia admisible para estos efectos. Por lo tanto, la experiencia en espacio público que puede ser acreditada corresponde a intervenciones ejecutadas sobre los demás elementos comprendidos dentro de dicha definición. </w:t>
      </w:r>
    </w:p>
    <w:p w14:paraId="34FB37E3" w14:textId="77777777" w:rsidR="006B49B1" w:rsidRPr="006B49B1" w:rsidRDefault="006B49B1" w:rsidP="006B49B1">
      <w:pPr>
        <w:spacing w:after="120" w:line="276" w:lineRule="auto"/>
        <w:jc w:val="both"/>
        <w:rPr>
          <w:rFonts w:ascii="Verdana" w:eastAsia="Arial" w:hAnsi="Verdana" w:cs="Arial"/>
          <w:lang w:val="es-ES" w:eastAsia="es-ES_tradnl"/>
        </w:rPr>
      </w:pPr>
      <w:r w:rsidRPr="006B49B1">
        <w:rPr>
          <w:rFonts w:ascii="Verdana" w:eastAsia="Arial" w:hAnsi="Verdana" w:cs="Arial"/>
          <w:lang w:val="es-ES" w:eastAsia="es-ES_tradnl"/>
        </w:rPr>
        <w:tab/>
        <w:t>Particularmente, respecto de su inquietud sobre si las obras correspondientes a áreas integrantes de perfiles viales peatonales, andenes o ciclovías pueden acreditar la experiencia general para la actividad 2.1. Sobre el particular, se precisa que estas intervenciones no se encuentran comprendidas, dentro de la exclusión prevista en la Nota 1. Lo anterior, por cuanto dicha nota excluye expresamente la experiencia relacionada con “vías destinadas al tránsito vehicular, así como la conservación y/o preservación de playas marítimas”.</w:t>
      </w:r>
    </w:p>
    <w:p w14:paraId="249BCD05" w14:textId="77777777" w:rsidR="006B49B1" w:rsidRPr="006B49B1" w:rsidRDefault="006B49B1" w:rsidP="006B49B1">
      <w:pPr>
        <w:spacing w:after="120" w:line="276" w:lineRule="auto"/>
        <w:ind w:firstLine="708"/>
        <w:jc w:val="both"/>
        <w:rPr>
          <w:rFonts w:ascii="Verdana" w:eastAsia="Arial" w:hAnsi="Verdana" w:cs="Arial"/>
          <w:lang w:val="es-ES" w:eastAsia="es-ES_tradnl"/>
        </w:rPr>
      </w:pPr>
      <w:r w:rsidRPr="006B49B1">
        <w:rPr>
          <w:rFonts w:ascii="Verdana" w:eastAsia="Arial" w:hAnsi="Verdana" w:cs="Arial"/>
          <w:lang w:val="es-ES" w:eastAsia="es-ES_tradnl"/>
        </w:rPr>
        <w:t xml:space="preserve">En este sentido, el artículo 2.2.3.1.5 del Decreto 1077 de 2015 establece que dentro de los elementos constitutivos del espacio público se encuentran las áreas integrantes de los perfiles viales, los andenes y ciclovías. Ahora bien, en </w:t>
      </w:r>
      <w:r w:rsidRPr="006B49B1">
        <w:rPr>
          <w:rFonts w:ascii="Verdana" w:eastAsia="Arial" w:hAnsi="Verdana" w:cs="Arial"/>
          <w:lang w:val="es-ES" w:eastAsia="es-ES_tradnl"/>
        </w:rPr>
        <w:lastRenderedPageBreak/>
        <w:t>principio, estos no corresponden a vías destinadas al tránsito vehicular, razón por la cual no quedan cobijados por la exclusión expresa contenida en la Nota 1.</w:t>
      </w:r>
    </w:p>
    <w:p w14:paraId="0814EC39" w14:textId="77777777" w:rsidR="006B49B1" w:rsidRPr="006B49B1" w:rsidRDefault="006B49B1" w:rsidP="006B49B1">
      <w:pPr>
        <w:spacing w:after="0" w:line="276" w:lineRule="auto"/>
        <w:ind w:firstLine="708"/>
        <w:jc w:val="both"/>
        <w:rPr>
          <w:rFonts w:ascii="Verdana" w:eastAsia="Arial" w:hAnsi="Verdana" w:cs="Arial"/>
          <w:lang w:val="es-ES" w:eastAsia="es-ES_tradnl"/>
        </w:rPr>
      </w:pPr>
      <w:r w:rsidRPr="006B49B1">
        <w:rPr>
          <w:rFonts w:ascii="Verdana" w:eastAsia="Arial" w:hAnsi="Verdana" w:cs="Arial"/>
          <w:lang w:val="es-ES" w:eastAsia="es-ES_tradnl"/>
        </w:rPr>
        <w:t xml:space="preserve">No obstante, la circunstancia de que una determinada obra sobre andenes, áreas peatonales o ciclovías no se encuentre excluida por la Nota 1 no implica automáticamente que dicha experiencia sea válida para acreditar la experiencia general para la actividad “2.1. Proyectos de construcción y/o reconstrucción de parques”. La validez de la experiencia deberá determinarse a partir de las condiciones establecidas en la Matriz de Experiencia que indica que será válida la experiencia general proyectos que correspondan o hayan contenido una o algunas de las siguientes actividades: i) construcción y/o reconstrucción de parques y/o construcción y/o reconstrucción de espacio público. </w:t>
      </w:r>
    </w:p>
    <w:p w14:paraId="25B6EB0D" w14:textId="77777777" w:rsidR="006B49B1" w:rsidRPr="006B49B1" w:rsidRDefault="006B49B1" w:rsidP="006B49B1">
      <w:pPr>
        <w:spacing w:after="0" w:line="276" w:lineRule="auto"/>
        <w:ind w:firstLine="708"/>
        <w:jc w:val="both"/>
        <w:rPr>
          <w:rFonts w:ascii="Verdana" w:eastAsia="Arial" w:hAnsi="Verdana" w:cs="Arial"/>
          <w:lang w:val="es-ES" w:eastAsia="es-ES_tradnl"/>
        </w:rPr>
      </w:pPr>
    </w:p>
    <w:p w14:paraId="756408DE" w14:textId="77777777" w:rsidR="006B49B1" w:rsidRPr="006B49B1" w:rsidRDefault="006B49B1" w:rsidP="006B49B1">
      <w:pPr>
        <w:spacing w:after="0" w:line="278" w:lineRule="auto"/>
        <w:jc w:val="both"/>
        <w:textAlignment w:val="baseline"/>
        <w:rPr>
          <w:rFonts w:ascii="Verdana" w:eastAsia="Calibri" w:hAnsi="Verdana" w:cs="Times New Roman"/>
          <w:lang w:val="es-ES"/>
        </w:rPr>
      </w:pPr>
      <w:proofErr w:type="spellStart"/>
      <w:r w:rsidRPr="006B49B1">
        <w:rPr>
          <w:rFonts w:ascii="Verdana" w:eastAsia="Arial" w:hAnsi="Verdana" w:cs="Arial"/>
          <w:sz w:val="21"/>
          <w:szCs w:val="21"/>
          <w:lang w:val="es-ES" w:eastAsia="es-ES_tradnl"/>
        </w:rPr>
        <w:t>iii</w:t>
      </w:r>
      <w:proofErr w:type="spellEnd"/>
      <w:r w:rsidRPr="006B49B1">
        <w:rPr>
          <w:rFonts w:ascii="Verdana" w:eastAsia="Arial" w:hAnsi="Verdana" w:cs="Arial"/>
          <w:sz w:val="21"/>
          <w:szCs w:val="21"/>
          <w:lang w:val="es-ES" w:eastAsia="es-ES_tradnl"/>
        </w:rPr>
        <w:t xml:space="preserve">) </w:t>
      </w:r>
      <w:r w:rsidRPr="006B49B1">
        <w:rPr>
          <w:rFonts w:ascii="Verdana" w:eastAsia="Calibri" w:hAnsi="Verdana" w:cs="Times New Roman"/>
          <w:lang w:val="es-ES"/>
        </w:rPr>
        <w:t xml:space="preserve">El documento base de los documentos tipo de licitación de obra pública de infraestructura social – versión 1, en el numeral 3.5.1 “Características de los contratos presentados para acreditar la experiencia exigida”, dispone que los contratos para acreditar la experiencia exigida deberán cumplir con las características que allí se determinan, entre la que se destaca la que se relaciona con el segundo problema jurídico planteado en este concepto, esto es: </w:t>
      </w:r>
    </w:p>
    <w:p w14:paraId="19B520DD" w14:textId="77777777" w:rsidR="006B49B1" w:rsidRPr="006B49B1" w:rsidRDefault="006B49B1" w:rsidP="006B49B1">
      <w:pPr>
        <w:spacing w:after="0"/>
        <w:ind w:firstLine="708"/>
        <w:jc w:val="both"/>
        <w:textAlignment w:val="baseline"/>
        <w:rPr>
          <w:rFonts w:ascii="Verdana" w:eastAsia="Calibri" w:hAnsi="Verdana" w:cs="Times New Roman"/>
          <w:lang w:val="es-ES"/>
        </w:rPr>
      </w:pPr>
    </w:p>
    <w:p w14:paraId="54BA8DA2" w14:textId="77777777" w:rsidR="006B49B1" w:rsidRPr="006B49B1" w:rsidRDefault="006B49B1" w:rsidP="006B49B1">
      <w:pPr>
        <w:snapToGrid w:val="0"/>
        <w:spacing w:after="120" w:line="240" w:lineRule="auto"/>
        <w:ind w:left="709" w:right="709"/>
        <w:jc w:val="both"/>
        <w:rPr>
          <w:rFonts w:ascii="Verdana" w:eastAsia="Calibri" w:hAnsi="Verdana" w:cs="Times New Roman"/>
          <w:sz w:val="21"/>
          <w:szCs w:val="21"/>
          <w:lang w:val="es-MX"/>
        </w:rPr>
      </w:pPr>
      <w:r w:rsidRPr="006B49B1">
        <w:rPr>
          <w:rFonts w:ascii="Verdana" w:eastAsia="Calibri" w:hAnsi="Verdana" w:cs="Times New Roman"/>
          <w:sz w:val="21"/>
          <w:szCs w:val="21"/>
          <w:lang w:val="es-MX"/>
        </w:rPr>
        <w:t xml:space="preserve">“L. No será válida la experiencia acreditada para edificaciones que se encuentre relacionada con la ejecución de obras cuyo objeto o alcance sea alguna de las siguientes: </w:t>
      </w:r>
    </w:p>
    <w:p w14:paraId="13D86768" w14:textId="77777777" w:rsidR="006B49B1" w:rsidRPr="006B49B1" w:rsidRDefault="006B49B1" w:rsidP="006B49B1">
      <w:pPr>
        <w:numPr>
          <w:ilvl w:val="0"/>
          <w:numId w:val="18"/>
        </w:numPr>
        <w:snapToGrid w:val="0"/>
        <w:spacing w:after="120" w:line="240" w:lineRule="auto"/>
        <w:ind w:left="1069" w:right="709"/>
        <w:jc w:val="both"/>
        <w:rPr>
          <w:rFonts w:ascii="Verdana" w:eastAsia="Calibri" w:hAnsi="Verdana" w:cs="Times New Roman"/>
          <w:sz w:val="21"/>
          <w:szCs w:val="21"/>
          <w:lang w:val="es-MX"/>
        </w:rPr>
      </w:pPr>
      <w:r w:rsidRPr="006B49B1">
        <w:rPr>
          <w:rFonts w:ascii="Verdana" w:eastAsia="Calibri" w:hAnsi="Verdana" w:cs="Times New Roman"/>
          <w:sz w:val="21"/>
          <w:szCs w:val="21"/>
          <w:lang w:val="es-MX"/>
        </w:rPr>
        <w:t xml:space="preserve">Parqueaderos de un (1) piso (como uso exclusivo). </w:t>
      </w:r>
    </w:p>
    <w:p w14:paraId="7003B54E" w14:textId="77777777" w:rsidR="006B49B1" w:rsidRPr="006B49B1" w:rsidRDefault="006B49B1" w:rsidP="006B49B1">
      <w:pPr>
        <w:numPr>
          <w:ilvl w:val="0"/>
          <w:numId w:val="18"/>
        </w:numPr>
        <w:snapToGrid w:val="0"/>
        <w:spacing w:after="120" w:line="240" w:lineRule="auto"/>
        <w:ind w:left="1069" w:right="709"/>
        <w:jc w:val="both"/>
        <w:rPr>
          <w:rFonts w:ascii="Verdana" w:eastAsia="Calibri" w:hAnsi="Verdana" w:cs="Times New Roman"/>
          <w:sz w:val="21"/>
          <w:szCs w:val="21"/>
          <w:lang w:val="es-MX"/>
        </w:rPr>
      </w:pPr>
      <w:r w:rsidRPr="006B49B1">
        <w:rPr>
          <w:rFonts w:ascii="Verdana" w:eastAsia="Calibri" w:hAnsi="Verdana" w:cs="Times New Roman"/>
          <w:sz w:val="21"/>
          <w:szCs w:val="21"/>
          <w:lang w:val="es-MX"/>
        </w:rPr>
        <w:t xml:space="preserve">Infraestructura de transporte, salvo que el Proceso de Contratación implique el mantenimiento de vías de circulación internas. </w:t>
      </w:r>
    </w:p>
    <w:p w14:paraId="594F57D6" w14:textId="77777777" w:rsidR="006B49B1" w:rsidRPr="006B49B1" w:rsidRDefault="006B49B1" w:rsidP="006B49B1">
      <w:pPr>
        <w:numPr>
          <w:ilvl w:val="0"/>
          <w:numId w:val="18"/>
        </w:numPr>
        <w:snapToGrid w:val="0"/>
        <w:spacing w:after="120" w:line="240" w:lineRule="auto"/>
        <w:ind w:left="1069" w:right="709"/>
        <w:jc w:val="both"/>
        <w:rPr>
          <w:rFonts w:ascii="Verdana" w:eastAsia="Calibri" w:hAnsi="Verdana" w:cs="Times New Roman"/>
          <w:sz w:val="21"/>
          <w:szCs w:val="21"/>
          <w:lang w:val="es-MX"/>
        </w:rPr>
      </w:pPr>
      <w:r w:rsidRPr="006B49B1">
        <w:rPr>
          <w:rFonts w:ascii="Verdana" w:eastAsia="Calibri" w:hAnsi="Verdana" w:cs="Times New Roman"/>
          <w:sz w:val="21"/>
          <w:szCs w:val="21"/>
          <w:lang w:val="es-MX"/>
        </w:rPr>
        <w:t>Obras hidráulicas (represas, alcantarillados, acueductos, diques, canales, plantas de tratamiento).</w:t>
      </w:r>
    </w:p>
    <w:p w14:paraId="53E9992A" w14:textId="77777777" w:rsidR="006B49B1" w:rsidRPr="006B49B1" w:rsidRDefault="006B49B1" w:rsidP="006B49B1">
      <w:pPr>
        <w:numPr>
          <w:ilvl w:val="0"/>
          <w:numId w:val="18"/>
        </w:numPr>
        <w:snapToGrid w:val="0"/>
        <w:spacing w:after="120" w:line="240" w:lineRule="auto"/>
        <w:ind w:left="1069" w:right="709"/>
        <w:jc w:val="both"/>
        <w:rPr>
          <w:rFonts w:ascii="Verdana" w:eastAsia="Calibri" w:hAnsi="Verdana" w:cs="Times New Roman"/>
          <w:sz w:val="21"/>
          <w:szCs w:val="21"/>
          <w:lang w:val="es-MX"/>
        </w:rPr>
      </w:pPr>
      <w:r w:rsidRPr="006B49B1">
        <w:rPr>
          <w:rFonts w:ascii="Verdana" w:eastAsia="Calibri" w:hAnsi="Verdana" w:cs="Times New Roman"/>
          <w:sz w:val="21"/>
          <w:szCs w:val="21"/>
          <w:lang w:val="es-MX"/>
        </w:rPr>
        <w:t xml:space="preserve">Obras de urbanismo y paisajismo, salvo que el proceso de selección implique el mantenimiento de zonas verdes y/o paisajismo al interior de un predio cuya destinación es en una edificación de infraestructura social (tales como instituciones educativas, hospitales, planetarios, auditorios, entre otros).  </w:t>
      </w:r>
    </w:p>
    <w:p w14:paraId="43A5B3BA" w14:textId="77777777" w:rsidR="006B49B1" w:rsidRPr="006B49B1" w:rsidRDefault="006B49B1" w:rsidP="006B49B1">
      <w:pPr>
        <w:snapToGrid w:val="0"/>
        <w:spacing w:after="0" w:line="240" w:lineRule="auto"/>
        <w:ind w:left="709" w:right="709"/>
        <w:jc w:val="both"/>
        <w:rPr>
          <w:rFonts w:ascii="Verdana" w:eastAsia="Calibri" w:hAnsi="Verdana" w:cs="Times New Roman"/>
          <w:sz w:val="21"/>
          <w:szCs w:val="21"/>
          <w:lang w:val="es-MX"/>
        </w:rPr>
      </w:pPr>
      <w:r w:rsidRPr="006B49B1">
        <w:rPr>
          <w:rFonts w:ascii="Verdana" w:eastAsia="Calibri" w:hAnsi="Verdana" w:cs="Times New Roman"/>
          <w:b/>
          <w:bCs/>
          <w:sz w:val="21"/>
          <w:szCs w:val="21"/>
          <w:lang w:val="es-MX"/>
        </w:rPr>
        <w:t>Nota:</w:t>
      </w:r>
      <w:r w:rsidRPr="006B49B1">
        <w:rPr>
          <w:rFonts w:ascii="Verdana" w:eastAsia="Calibri" w:hAnsi="Verdana" w:cs="Times New Roman"/>
          <w:sz w:val="21"/>
          <w:szCs w:val="21"/>
          <w:lang w:val="es-MX"/>
        </w:rPr>
        <w:t xml:space="preserve"> Las consideraciones previamente relacionadas aplican para las actividades a contratar que correspondan a la intervención de edificaciones verticales únicamente”. </w:t>
      </w:r>
    </w:p>
    <w:p w14:paraId="46ECCDBF" w14:textId="77777777" w:rsidR="006B49B1" w:rsidRPr="006B49B1" w:rsidRDefault="006B49B1" w:rsidP="006B49B1">
      <w:pPr>
        <w:spacing w:after="0"/>
        <w:jc w:val="both"/>
        <w:textAlignment w:val="baseline"/>
        <w:rPr>
          <w:rFonts w:ascii="Verdana" w:eastAsia="Calibri" w:hAnsi="Verdana" w:cs="Times New Roman"/>
          <w:lang w:val="es-MX"/>
        </w:rPr>
      </w:pPr>
    </w:p>
    <w:p w14:paraId="059DF6CD" w14:textId="77777777" w:rsidR="006B49B1" w:rsidRPr="006B49B1" w:rsidRDefault="006B49B1" w:rsidP="006B49B1">
      <w:pPr>
        <w:spacing w:after="120" w:line="276" w:lineRule="auto"/>
        <w:jc w:val="both"/>
        <w:rPr>
          <w:rFonts w:ascii="Verdana" w:eastAsia="Times New Roman" w:hAnsi="Verdana" w:cs="Times New Roman"/>
          <w:lang w:eastAsia="es-CO"/>
        </w:rPr>
      </w:pPr>
      <w:r w:rsidRPr="006B49B1">
        <w:rPr>
          <w:rFonts w:ascii="Verdana" w:eastAsia="Calibri" w:hAnsi="Verdana" w:cs="Times New Roman"/>
          <w:sz w:val="24"/>
          <w:szCs w:val="24"/>
          <w:lang w:val="es-MX" w:eastAsia="es-CO"/>
        </w:rPr>
        <w:lastRenderedPageBreak/>
        <w:tab/>
      </w:r>
      <w:r w:rsidRPr="006B49B1">
        <w:rPr>
          <w:rFonts w:ascii="Verdana" w:eastAsia="Times New Roman" w:hAnsi="Verdana" w:cs="Times New Roman"/>
          <w:lang w:eastAsia="es-CO"/>
        </w:rPr>
        <w:t xml:space="preserve">El literal indicado debe entenderse de acuerdo con el siguiente alcance. En primer lugar, hace referencia a las consideraciones que deben tenerse en cuenta para la acreditación de experiencia en las actividades incluidas en alguna de las matrices del sector social —salud, educación o cultura, recreación y deporte— y particularmente, tal como lo señala la nota, estas condiciones son aplicables cuando se pretenda acreditar </w:t>
      </w:r>
      <w:r w:rsidRPr="006B49B1">
        <w:rPr>
          <w:rFonts w:ascii="Verdana" w:eastAsia="Times New Roman" w:hAnsi="Verdana" w:cs="Times New Roman"/>
          <w:i/>
          <w:iCs/>
          <w:lang w:eastAsia="es-CO"/>
        </w:rPr>
        <w:t>experiencia en edificaciones verticales</w:t>
      </w:r>
      <w:r w:rsidRPr="006B49B1">
        <w:rPr>
          <w:rFonts w:ascii="Verdana" w:eastAsia="Times New Roman" w:hAnsi="Verdana" w:cs="Times New Roman"/>
          <w:lang w:eastAsia="es-CO"/>
        </w:rPr>
        <w:t xml:space="preserve">, precisando que no será válida aquella relacionada con las siguientes actividades: i) Parqueaderos de un (1) piso (como uso exclusivo), </w:t>
      </w:r>
      <w:proofErr w:type="spellStart"/>
      <w:r w:rsidRPr="006B49B1">
        <w:rPr>
          <w:rFonts w:ascii="Verdana" w:eastAsia="Times New Roman" w:hAnsi="Verdana" w:cs="Times New Roman"/>
          <w:lang w:eastAsia="es-CO"/>
        </w:rPr>
        <w:t>ii</w:t>
      </w:r>
      <w:proofErr w:type="spellEnd"/>
      <w:r w:rsidRPr="006B49B1">
        <w:rPr>
          <w:rFonts w:ascii="Verdana" w:eastAsia="Times New Roman" w:hAnsi="Verdana" w:cs="Times New Roman"/>
          <w:lang w:eastAsia="es-CO"/>
        </w:rPr>
        <w:t xml:space="preserve">) Infraestructura de transporte, salvo que el Proceso de Contratación implique el mantenimiento de vías de circulación internas; </w:t>
      </w:r>
      <w:proofErr w:type="spellStart"/>
      <w:r w:rsidRPr="006B49B1">
        <w:rPr>
          <w:rFonts w:ascii="Verdana" w:eastAsia="Times New Roman" w:hAnsi="Verdana" w:cs="Times New Roman"/>
          <w:lang w:eastAsia="es-CO"/>
        </w:rPr>
        <w:t>iii</w:t>
      </w:r>
      <w:proofErr w:type="spellEnd"/>
      <w:r w:rsidRPr="006B49B1">
        <w:rPr>
          <w:rFonts w:ascii="Verdana" w:eastAsia="Times New Roman" w:hAnsi="Verdana" w:cs="Times New Roman"/>
          <w:lang w:eastAsia="es-CO"/>
        </w:rPr>
        <w:t xml:space="preserve">) Obras hidráulicas (represas, alcantarillados, acueductos, diques, canales, plantas de tratamiento); y </w:t>
      </w:r>
      <w:proofErr w:type="spellStart"/>
      <w:r w:rsidRPr="006B49B1">
        <w:rPr>
          <w:rFonts w:ascii="Verdana" w:eastAsia="Times New Roman" w:hAnsi="Verdana" w:cs="Times New Roman"/>
          <w:lang w:eastAsia="es-CO"/>
        </w:rPr>
        <w:t>iii</w:t>
      </w:r>
      <w:proofErr w:type="spellEnd"/>
      <w:r w:rsidRPr="006B49B1">
        <w:rPr>
          <w:rFonts w:ascii="Verdana" w:eastAsia="Times New Roman" w:hAnsi="Verdana" w:cs="Times New Roman"/>
          <w:lang w:eastAsia="es-CO"/>
        </w:rPr>
        <w:t xml:space="preserve">) Obras de urbanismo y paisajismo, salvo que el proceso de selección implique el mantenimiento de zonas verdes y/o paisajismo al interior de un predio cuya destinación es en una edificación de infraestructura social (tales como instituciones educativas, hospitales, planetarios, auditorios, entre otros).  </w:t>
      </w:r>
    </w:p>
    <w:p w14:paraId="1811C4DB" w14:textId="77777777" w:rsidR="006B49B1" w:rsidRPr="006B49B1" w:rsidRDefault="006B49B1" w:rsidP="006B49B1">
      <w:pPr>
        <w:spacing w:after="120" w:line="276" w:lineRule="auto"/>
        <w:jc w:val="both"/>
        <w:rPr>
          <w:rFonts w:ascii="Verdana" w:eastAsia="Times New Roman" w:hAnsi="Verdana" w:cs="Times New Roman"/>
          <w:lang w:eastAsia="es-CO"/>
        </w:rPr>
      </w:pPr>
      <w:r w:rsidRPr="006B49B1">
        <w:rPr>
          <w:rFonts w:ascii="Verdana" w:eastAsia="Times New Roman" w:hAnsi="Verdana" w:cs="Times New Roman"/>
          <w:lang w:eastAsia="es-CO"/>
        </w:rPr>
        <w:tab/>
        <w:t>Conforme al alcance del literal L del numeral 3.5.1 “Características de los contratos presentados para acreditar la experiencia exigida”, y teniendo en cuenta que el segundo problema jurídico del presente concepto se orienta a determinar si dicho literal resulta aplicable a la actividad “2.1. PROYECTOS DE CONSTRUCCIÓN Y/O RECONSTRUCCIÓN DE PARQUES”, se debe indicar que, de acuerdo con la definición de parque contenida en el numeral 2.71 del Anexo – Glosario, este corresponde a “áreas libres públicas, predominantemente arborizadas y/o ajardinadas que se encuentran localizadas en suelo urbano, y que están destinadas a la recreación, el esparcimiento y el ocio, así como a la generación y preservación de valores paisajísticos y ambientales”.</w:t>
      </w:r>
    </w:p>
    <w:p w14:paraId="7CB9C9BD" w14:textId="77777777" w:rsidR="006B49B1" w:rsidRPr="006B49B1" w:rsidRDefault="006B49B1" w:rsidP="006B49B1">
      <w:pPr>
        <w:spacing w:after="120" w:line="276" w:lineRule="auto"/>
        <w:ind w:firstLine="708"/>
        <w:jc w:val="both"/>
        <w:rPr>
          <w:rFonts w:ascii="Verdana" w:eastAsia="Times New Roman" w:hAnsi="Verdana" w:cs="Times New Roman"/>
          <w:lang w:eastAsia="es-CO"/>
        </w:rPr>
      </w:pPr>
      <w:r w:rsidRPr="006B49B1">
        <w:rPr>
          <w:rFonts w:ascii="Verdana" w:eastAsia="Times New Roman" w:hAnsi="Verdana" w:cs="Times New Roman"/>
          <w:lang w:eastAsia="es-CO"/>
        </w:rPr>
        <w:t>No obstante, es importante precisar que la sola denominación de “parque” no resulta suficiente para efectos de determinar la aplicación del literal L del numeral 3.5.1, en la medida en que pueden existir proyectos identificados como parques que incorporen infraestructuras de naturaleza edificada o con características propias de una edificación vertical, como ocurre, por ejemplo, en el Centro Felicidad CEFE de la localidad de Chapinero Bogotá</w:t>
      </w:r>
      <w:r w:rsidRPr="006B49B1">
        <w:rPr>
          <w:rFonts w:ascii="Verdana" w:eastAsia="Times New Roman" w:hAnsi="Verdana" w:cs="Times New Roman"/>
          <w:vertAlign w:val="superscript"/>
          <w:lang w:eastAsia="es-CO"/>
        </w:rPr>
        <w:footnoteReference w:id="3"/>
      </w:r>
      <w:r w:rsidRPr="006B49B1">
        <w:rPr>
          <w:rFonts w:ascii="Verdana" w:eastAsia="Times New Roman" w:hAnsi="Verdana" w:cs="Times New Roman"/>
          <w:lang w:eastAsia="es-CO"/>
        </w:rPr>
        <w:t xml:space="preserve">. En ese sentido, lo determinante no es la denominación del proyecto como parque, sino su </w:t>
      </w:r>
      <w:r w:rsidRPr="006B49B1">
        <w:rPr>
          <w:rFonts w:ascii="Verdana" w:eastAsia="Times New Roman" w:hAnsi="Verdana" w:cs="Times New Roman"/>
          <w:lang w:eastAsia="es-CO"/>
        </w:rPr>
        <w:lastRenderedPageBreak/>
        <w:t>naturaleza constructiva y funcional, particularmente si este se configura o no como una edificación vertical en los términos del documento base.</w:t>
      </w:r>
    </w:p>
    <w:p w14:paraId="7E7D6319" w14:textId="77777777" w:rsidR="006B49B1" w:rsidRPr="006B49B1" w:rsidRDefault="006B49B1" w:rsidP="006B49B1">
      <w:pPr>
        <w:spacing w:after="0" w:line="276" w:lineRule="auto"/>
        <w:ind w:firstLine="708"/>
        <w:jc w:val="both"/>
        <w:rPr>
          <w:rFonts w:ascii="Verdana" w:eastAsia="Times New Roman" w:hAnsi="Verdana" w:cs="Times New Roman"/>
          <w:lang w:eastAsia="es-CO"/>
        </w:rPr>
      </w:pPr>
      <w:r w:rsidRPr="006B49B1">
        <w:rPr>
          <w:rFonts w:ascii="Verdana" w:eastAsia="Times New Roman" w:hAnsi="Verdana" w:cs="Times New Roman"/>
          <w:lang w:eastAsia="es-CO"/>
        </w:rPr>
        <w:t>En consecuencia, la aplicación del literal L no depende de la tipología nominal del proyecto, sino de su configuración material. Por lo anterior, corresponde a la entidad que adelanta el proceso de selección realizar el análisis de cada caso concreto, con el fin de establecer si las obras ejecutadas se enmarcan en una edificación vertical o si, por el contrario, corresponden a intervenciones propias de espacios abiertos destinados al uso y disfrute colectivo, como parques, de conformidad con las definiciones del Anexo – Glosario y las condiciones previstas en el numeral 3.5.1 del documento base.</w:t>
      </w:r>
    </w:p>
    <w:p w14:paraId="2B4FB7A2" w14:textId="77777777" w:rsidR="006B49B1" w:rsidRPr="006B49B1" w:rsidRDefault="006B49B1" w:rsidP="006B49B1">
      <w:pPr>
        <w:spacing w:after="0" w:line="276" w:lineRule="auto"/>
        <w:ind w:firstLine="708"/>
        <w:jc w:val="both"/>
        <w:rPr>
          <w:rFonts w:ascii="Verdana" w:eastAsia="Times New Roman" w:hAnsi="Verdana" w:cs="Times New Roman"/>
          <w:lang w:eastAsia="es-CO"/>
        </w:rPr>
      </w:pPr>
    </w:p>
    <w:p w14:paraId="2C449DF1" w14:textId="77777777" w:rsidR="006B49B1" w:rsidRPr="006B49B1" w:rsidRDefault="006B49B1" w:rsidP="006B49B1">
      <w:pPr>
        <w:spacing w:after="120" w:line="276" w:lineRule="auto"/>
        <w:jc w:val="both"/>
        <w:rPr>
          <w:rFonts w:ascii="Verdana" w:eastAsia="Aptos" w:hAnsi="Verdana" w:cs="Times New Roman"/>
        </w:rPr>
      </w:pPr>
      <w:proofErr w:type="spellStart"/>
      <w:r w:rsidRPr="006B49B1">
        <w:rPr>
          <w:rFonts w:ascii="Verdana" w:eastAsia="Calibri" w:hAnsi="Verdana" w:cs="Arial"/>
          <w:lang w:val="es-ES_tradnl" w:eastAsia="es-MX"/>
        </w:rPr>
        <w:t>iv</w:t>
      </w:r>
      <w:proofErr w:type="spellEnd"/>
      <w:r w:rsidRPr="006B49B1">
        <w:rPr>
          <w:rFonts w:ascii="Verdana" w:eastAsia="Calibri" w:hAnsi="Verdana" w:cs="Arial"/>
          <w:lang w:val="es-ES_tradnl" w:eastAsia="es-MX"/>
        </w:rPr>
        <w:t xml:space="preserve">) Sin perjuicio de las consideraciones desarrolladas en este concepto, </w:t>
      </w:r>
      <w:r w:rsidRPr="006B49B1">
        <w:rPr>
          <w:rFonts w:ascii="Verdana" w:eastAsia="Calibri" w:hAnsi="Verdana" w:cs="Times New Roman"/>
          <w:lang w:val="es-ES"/>
        </w:rPr>
        <w:t>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F6BE317" w14:textId="77777777" w:rsidR="006B49B1" w:rsidRPr="006B49B1" w:rsidRDefault="006B49B1" w:rsidP="006B49B1">
      <w:pPr>
        <w:spacing w:after="0" w:line="278" w:lineRule="auto"/>
        <w:ind w:firstLine="709"/>
        <w:jc w:val="both"/>
        <w:rPr>
          <w:rFonts w:ascii="Verdana" w:eastAsia="Calibri" w:hAnsi="Verdana" w:cs="Times New Roman"/>
          <w:lang w:val="es-ES"/>
        </w:rPr>
      </w:pPr>
      <w:r w:rsidRPr="006B49B1">
        <w:rPr>
          <w:rFonts w:ascii="Verdana" w:eastAsia="Calibri" w:hAnsi="Verdana" w:cs="Times New Roman"/>
          <w:lang w:val="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48F3E091" w14:textId="77777777" w:rsidR="006B49B1" w:rsidRPr="006B49B1" w:rsidRDefault="006B49B1" w:rsidP="006B49B1">
      <w:pPr>
        <w:spacing w:after="0" w:line="276" w:lineRule="auto"/>
        <w:jc w:val="both"/>
        <w:rPr>
          <w:rFonts w:ascii="Verdana" w:eastAsia="Calibri" w:hAnsi="Verdana" w:cs="Times New Roman"/>
          <w:lang w:eastAsia="es-MX"/>
        </w:rPr>
      </w:pPr>
    </w:p>
    <w:p w14:paraId="4EFAF424" w14:textId="77777777" w:rsidR="006B49B1" w:rsidRPr="006B49B1" w:rsidRDefault="006B49B1" w:rsidP="006B49B1">
      <w:pPr>
        <w:tabs>
          <w:tab w:val="left" w:pos="142"/>
          <w:tab w:val="left" w:pos="284"/>
        </w:tabs>
        <w:spacing w:after="0" w:line="276" w:lineRule="auto"/>
        <w:jc w:val="both"/>
        <w:rPr>
          <w:rFonts w:ascii="Verdana" w:eastAsia="Century Gothic" w:hAnsi="Verdana" w:cs="Century Gothic"/>
          <w:b/>
          <w:bCs/>
          <w:lang w:val="es-ES_tradnl" w:eastAsia="es-MX"/>
        </w:rPr>
      </w:pPr>
      <w:r w:rsidRPr="006B49B1">
        <w:rPr>
          <w:rFonts w:ascii="Verdana" w:eastAsia="Century Gothic" w:hAnsi="Verdana" w:cs="Century Gothic"/>
          <w:b/>
          <w:bCs/>
          <w:lang w:val="es-ES_tradnl" w:eastAsia="es-MX"/>
        </w:rPr>
        <w:t>4. Referencias normativas, jurisprudenciales y otras fuentes:</w:t>
      </w:r>
    </w:p>
    <w:p w14:paraId="0C74DE46" w14:textId="77777777" w:rsidR="006B49B1" w:rsidRPr="006B49B1" w:rsidRDefault="006B49B1" w:rsidP="006B49B1">
      <w:pPr>
        <w:spacing w:after="0"/>
        <w:ind w:left="-15840"/>
        <w:jc w:val="both"/>
        <w:rPr>
          <w:rFonts w:ascii="Verdana" w:eastAsia="Calibri" w:hAnsi="Verdana" w:cs="Arial"/>
          <w:b/>
          <w:bCs/>
          <w:lang w:eastAsia="es-MX"/>
        </w:rPr>
      </w:pPr>
      <w:r w:rsidRPr="006B49B1">
        <w:rPr>
          <w:rFonts w:ascii="Verdana" w:eastAsia="Calibri" w:hAnsi="Verdana" w:cs="Arial"/>
          <w:b/>
          <w:bCs/>
          <w:lang w:eastAsia="es-MX"/>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6B49B1" w:rsidRPr="006B49B1" w14:paraId="0872D242" w14:textId="77777777" w:rsidTr="00137C0A">
        <w:trPr>
          <w:trHeight w:val="870"/>
        </w:trPr>
        <w:tc>
          <w:tcPr>
            <w:tcW w:w="8647" w:type="dxa"/>
            <w:tcBorders>
              <w:top w:val="dotted" w:sz="4" w:space="0" w:color="auto"/>
              <w:left w:val="dotted" w:sz="4" w:space="0" w:color="auto"/>
              <w:bottom w:val="dotted" w:sz="4" w:space="0" w:color="auto"/>
              <w:right w:val="dotted" w:sz="4" w:space="0" w:color="auto"/>
            </w:tcBorders>
          </w:tcPr>
          <w:p w14:paraId="7A7FEB0F" w14:textId="77777777" w:rsidR="006B49B1" w:rsidRPr="006B49B1" w:rsidRDefault="006B49B1" w:rsidP="006B49B1">
            <w:pPr>
              <w:contextualSpacing/>
              <w:jc w:val="both"/>
              <w:rPr>
                <w:rFonts w:ascii="Verdana" w:eastAsia="Calibri" w:hAnsi="Verdana" w:cs="Arial"/>
                <w:bCs/>
                <w:lang w:eastAsia="es-MX"/>
              </w:rPr>
            </w:pPr>
          </w:p>
          <w:p w14:paraId="1869912B" w14:textId="77777777" w:rsidR="006B49B1" w:rsidRPr="006B49B1" w:rsidRDefault="006B49B1" w:rsidP="006B49B1">
            <w:pPr>
              <w:widowControl w:val="0"/>
              <w:numPr>
                <w:ilvl w:val="0"/>
                <w:numId w:val="16"/>
              </w:numPr>
              <w:autoSpaceDE w:val="0"/>
              <w:autoSpaceDN w:val="0"/>
              <w:spacing w:line="276" w:lineRule="auto"/>
              <w:ind w:left="714" w:hanging="357"/>
              <w:jc w:val="both"/>
              <w:rPr>
                <w:rFonts w:ascii="Verdana" w:eastAsia="Calibri" w:hAnsi="Verdana" w:cs="Arial"/>
                <w:lang w:val="es-ES_tradnl" w:eastAsia="es-MX"/>
              </w:rPr>
            </w:pPr>
            <w:r w:rsidRPr="006B49B1">
              <w:rPr>
                <w:rFonts w:ascii="Verdana" w:eastAsia="Calibri" w:hAnsi="Verdana" w:cs="Arial"/>
                <w:lang w:val="es-ES_tradnl" w:eastAsia="es-MX"/>
              </w:rPr>
              <w:t xml:space="preserve">Ley 2022 de 2020, artículo 1. </w:t>
            </w:r>
          </w:p>
          <w:p w14:paraId="24F2D5B2" w14:textId="77777777" w:rsidR="006B49B1" w:rsidRPr="006B49B1" w:rsidRDefault="006B49B1" w:rsidP="006B49B1">
            <w:pPr>
              <w:widowControl w:val="0"/>
              <w:numPr>
                <w:ilvl w:val="0"/>
                <w:numId w:val="16"/>
              </w:numPr>
              <w:autoSpaceDE w:val="0"/>
              <w:autoSpaceDN w:val="0"/>
              <w:spacing w:line="276" w:lineRule="auto"/>
              <w:jc w:val="both"/>
              <w:rPr>
                <w:rFonts w:ascii="Verdana" w:eastAsia="Calibri" w:hAnsi="Verdana" w:cs="Arial"/>
                <w:lang w:eastAsia="es-MX"/>
              </w:rPr>
            </w:pPr>
            <w:r w:rsidRPr="006B49B1">
              <w:rPr>
                <w:rFonts w:ascii="Verdana" w:eastAsia="Calibri" w:hAnsi="Verdana" w:cs="Arial"/>
                <w:lang w:eastAsia="es-MX"/>
              </w:rPr>
              <w:t>Ley 1150 de 2007, artículo 2.</w:t>
            </w:r>
          </w:p>
          <w:p w14:paraId="12FCD48D" w14:textId="77777777" w:rsidR="006B49B1" w:rsidRPr="006B49B1" w:rsidRDefault="006B49B1" w:rsidP="006B49B1">
            <w:pPr>
              <w:widowControl w:val="0"/>
              <w:numPr>
                <w:ilvl w:val="0"/>
                <w:numId w:val="16"/>
              </w:numPr>
              <w:autoSpaceDE w:val="0"/>
              <w:autoSpaceDN w:val="0"/>
              <w:spacing w:line="276" w:lineRule="auto"/>
              <w:contextualSpacing/>
              <w:jc w:val="both"/>
              <w:rPr>
                <w:rFonts w:ascii="Verdana" w:eastAsia="Calibri" w:hAnsi="Verdana" w:cs="Arial"/>
                <w:lang w:eastAsia="es-MX"/>
              </w:rPr>
            </w:pPr>
            <w:r w:rsidRPr="006B49B1">
              <w:rPr>
                <w:rFonts w:ascii="Verdana" w:eastAsia="Calibri" w:hAnsi="Verdana" w:cs="Arial"/>
                <w:lang w:val="es-ES_tradnl" w:eastAsia="es-MX"/>
              </w:rPr>
              <w:lastRenderedPageBreak/>
              <w:t xml:space="preserve">Documentos Tipo. Disponibles en: </w:t>
            </w:r>
            <w:hyperlink r:id="rId11" w:history="1">
              <w:r w:rsidRPr="006B49B1">
                <w:rPr>
                  <w:rFonts w:ascii="Verdana" w:eastAsia="Calibri" w:hAnsi="Verdana" w:cs="Arial"/>
                  <w:color w:val="0000FF"/>
                  <w:u w:val="single"/>
                  <w:lang w:val="es-ES_tradnl" w:eastAsia="es-MX"/>
                </w:rPr>
                <w:t>https://www.colombiacompra.gov.co/documentos-tipo/documentos-tipo</w:t>
              </w:r>
            </w:hyperlink>
            <w:r w:rsidRPr="006B49B1">
              <w:rPr>
                <w:rFonts w:ascii="Verdana" w:eastAsia="Calibri" w:hAnsi="Verdana" w:cs="Arial"/>
                <w:lang w:val="es-ES_tradnl" w:eastAsia="es-MX"/>
              </w:rPr>
              <w:t>.</w:t>
            </w:r>
          </w:p>
        </w:tc>
      </w:tr>
    </w:tbl>
    <w:p w14:paraId="37F8E7D2" w14:textId="77777777" w:rsidR="006B49B1" w:rsidRPr="006B49B1" w:rsidRDefault="006B49B1" w:rsidP="006B49B1">
      <w:pPr>
        <w:tabs>
          <w:tab w:val="left" w:pos="142"/>
          <w:tab w:val="left" w:pos="284"/>
        </w:tabs>
        <w:spacing w:after="0" w:line="276" w:lineRule="auto"/>
        <w:jc w:val="both"/>
        <w:rPr>
          <w:rFonts w:ascii="Verdana" w:eastAsia="Calibri" w:hAnsi="Verdana" w:cs="Arial"/>
          <w:lang w:eastAsia="es-MX"/>
        </w:rPr>
      </w:pPr>
    </w:p>
    <w:p w14:paraId="62E245D1" w14:textId="77777777" w:rsidR="006B49B1" w:rsidRPr="006B49B1" w:rsidRDefault="006B49B1" w:rsidP="006B49B1">
      <w:pPr>
        <w:tabs>
          <w:tab w:val="left" w:pos="142"/>
          <w:tab w:val="left" w:pos="284"/>
        </w:tabs>
        <w:spacing w:after="0" w:line="276" w:lineRule="auto"/>
        <w:jc w:val="both"/>
        <w:rPr>
          <w:rFonts w:ascii="Verdana" w:eastAsia="Century Gothic" w:hAnsi="Verdana" w:cs="Century Gothic"/>
          <w:b/>
          <w:bCs/>
          <w:lang w:val="es-ES" w:eastAsia="es-MX"/>
        </w:rPr>
      </w:pPr>
      <w:r w:rsidRPr="006B49B1">
        <w:rPr>
          <w:rFonts w:ascii="Verdana" w:eastAsia="Calibri" w:hAnsi="Verdana" w:cs="Arial"/>
          <w:b/>
          <w:bCs/>
          <w:lang w:eastAsia="es-MX"/>
        </w:rPr>
        <w:t>5</w:t>
      </w:r>
      <w:r w:rsidRPr="006B49B1">
        <w:rPr>
          <w:rFonts w:ascii="Verdana" w:eastAsia="Calibri" w:hAnsi="Verdana" w:cs="Arial"/>
          <w:lang w:eastAsia="es-MX"/>
        </w:rPr>
        <w:t>.</w:t>
      </w:r>
      <w:r w:rsidRPr="006B49B1">
        <w:rPr>
          <w:rFonts w:ascii="Verdana" w:eastAsia="Century Gothic" w:hAnsi="Verdana" w:cs="Century Gothic"/>
          <w:b/>
          <w:bCs/>
          <w:lang w:val="es-ES" w:eastAsia="es-MX"/>
        </w:rPr>
        <w:t>Doctrina de la Agencia Nacional de Contratación Pública:</w:t>
      </w:r>
    </w:p>
    <w:p w14:paraId="1D9D5DA9" w14:textId="77777777" w:rsidR="006B49B1" w:rsidRPr="006B49B1" w:rsidRDefault="006B49B1" w:rsidP="006B49B1">
      <w:pPr>
        <w:widowControl w:val="0"/>
        <w:autoSpaceDE w:val="0"/>
        <w:autoSpaceDN w:val="0"/>
        <w:spacing w:after="0" w:line="276" w:lineRule="auto"/>
        <w:jc w:val="both"/>
        <w:rPr>
          <w:rFonts w:ascii="Verdana" w:eastAsia="Calibri" w:hAnsi="Verdana" w:cs="Arial"/>
          <w:lang w:eastAsia="es-MX"/>
        </w:rPr>
      </w:pPr>
    </w:p>
    <w:p w14:paraId="391EE41A" w14:textId="77777777" w:rsidR="006B49B1" w:rsidRPr="006B49B1" w:rsidRDefault="006B49B1" w:rsidP="006B49B1">
      <w:pPr>
        <w:spacing w:after="0" w:line="276" w:lineRule="auto"/>
        <w:jc w:val="both"/>
        <w:rPr>
          <w:rFonts w:ascii="Verdana" w:eastAsia="Calibri" w:hAnsi="Verdana" w:cs="Arial"/>
          <w:kern w:val="2"/>
          <w:shd w:val="clear" w:color="auto" w:fill="FFFFFF"/>
          <w:lang w:val="es-ES" w:eastAsia="es-MX"/>
          <w14:ligatures w14:val="standardContextual"/>
        </w:rPr>
      </w:pPr>
      <w:r w:rsidRPr="006B49B1">
        <w:rPr>
          <w:rFonts w:ascii="Verdana" w:eastAsia="Calibri" w:hAnsi="Verdana" w:cs="Arial"/>
          <w:kern w:val="2"/>
          <w:shd w:val="clear" w:color="auto" w:fill="FFFFFF"/>
          <w:lang w:val="es-ES" w:eastAsia="es-MX"/>
          <w14:ligatures w14:val="standardContextual"/>
        </w:rPr>
        <w:t>La Agencia Nacional de Contratación Pública – Colombia Compra Eficiente se pronunció</w:t>
      </w:r>
      <w:r w:rsidRPr="006B49B1">
        <w:rPr>
          <w:rFonts w:ascii="Verdana" w:eastAsia="Calibri" w:hAnsi="Verdana" w:cs="Times New Roman"/>
          <w:kern w:val="2"/>
          <w:lang w:eastAsia="es-MX"/>
          <w14:ligatures w14:val="standardContextual"/>
        </w:rPr>
        <w:t xml:space="preserve"> </w:t>
      </w:r>
      <w:r w:rsidRPr="006B49B1">
        <w:rPr>
          <w:rFonts w:ascii="Verdana" w:eastAsia="Calibri" w:hAnsi="Verdana" w:cs="Arial"/>
          <w:kern w:val="2"/>
          <w:shd w:val="clear" w:color="auto" w:fill="FFFFFF"/>
          <w:lang w:val="es-ES" w:eastAsia="es-MX"/>
          <w14:ligatures w14:val="standardContextual"/>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6B49B1">
        <w:rPr>
          <w:rFonts w:ascii="Verdana" w:eastAsia="Calibri" w:hAnsi="Verdana" w:cs="Arial"/>
          <w:kern w:val="2"/>
          <w:shd w:val="clear" w:color="auto" w:fill="FFFFFF"/>
          <w:lang w:val="es-ES" w:eastAsia="es-MX"/>
          <w14:ligatures w14:val="standardContextual"/>
        </w:rPr>
        <w:tab/>
        <w:t xml:space="preserve">C-636 del 1 de noviembre de 2024, C-777 del 9 de diciembre de 2024, C-971 del 21 de enero de 2025 y C-1813 del 31 de diciembre de 2025, entre otros. Concretamente, sobre los documentos tipo del sector institucional, esta Agencia se pronunció en los conceptos C-258 del 19 de marzo de 2026, C-385 del 15 de abril, C-392 del 20 de abril de 2026, C-583 del 8 de mayo de 2026 y C-682 del 22 de mayo de 2026. </w:t>
      </w:r>
    </w:p>
    <w:p w14:paraId="71218CC3" w14:textId="77777777" w:rsidR="006B49B1" w:rsidRPr="006B49B1" w:rsidRDefault="006B49B1" w:rsidP="006B49B1">
      <w:pPr>
        <w:spacing w:after="0" w:line="240" w:lineRule="auto"/>
        <w:jc w:val="both"/>
        <w:rPr>
          <w:rFonts w:ascii="Verdana" w:eastAsia="Calibri" w:hAnsi="Verdana" w:cs="Arial"/>
          <w:color w:val="000000"/>
          <w:shd w:val="clear" w:color="auto" w:fill="FFFFFF"/>
          <w:lang w:val="es-ES" w:eastAsia="es-MX"/>
        </w:rPr>
      </w:pPr>
    </w:p>
    <w:p w14:paraId="2F221472" w14:textId="77777777" w:rsidR="006B49B1" w:rsidRPr="006B49B1" w:rsidRDefault="006B49B1" w:rsidP="006B49B1">
      <w:pPr>
        <w:widowControl w:val="0"/>
        <w:autoSpaceDE w:val="0"/>
        <w:autoSpaceDN w:val="0"/>
        <w:spacing w:after="0" w:line="276" w:lineRule="auto"/>
        <w:jc w:val="both"/>
        <w:rPr>
          <w:rFonts w:ascii="Verdana" w:eastAsia="Calibri" w:hAnsi="Verdana" w:cs="Arial"/>
          <w:color w:val="0000FF"/>
          <w:u w:val="single"/>
          <w:shd w:val="clear" w:color="auto" w:fill="FFFFFF"/>
          <w:lang w:eastAsia="es-MX"/>
        </w:rPr>
      </w:pPr>
      <w:r w:rsidRPr="006B49B1">
        <w:rPr>
          <w:rFonts w:ascii="Verdana" w:eastAsia="Calibri" w:hAnsi="Verdana" w:cs="Arial"/>
          <w:color w:val="000000"/>
          <w:shd w:val="clear" w:color="auto" w:fill="FFFFFF"/>
          <w:lang w:eastAsia="es-MX"/>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6B49B1">
          <w:rPr>
            <w:rFonts w:ascii="Verdana" w:eastAsia="Calibri" w:hAnsi="Verdana" w:cs="Arial"/>
            <w:color w:val="0000FF"/>
            <w:u w:val="single"/>
            <w:shd w:val="clear" w:color="auto" w:fill="FFFFFF"/>
            <w:lang w:eastAsia="es-MX"/>
          </w:rPr>
          <w:t>https://relatoria.colombiacompra.gov.co/</w:t>
        </w:r>
      </w:hyperlink>
      <w:r w:rsidRPr="006B49B1">
        <w:rPr>
          <w:rFonts w:ascii="Verdana" w:eastAsia="Calibri" w:hAnsi="Verdana" w:cs="Arial"/>
          <w:color w:val="0000FF"/>
          <w:u w:val="single"/>
          <w:shd w:val="clear" w:color="auto" w:fill="FFFFFF"/>
          <w:lang w:eastAsia="es-MX"/>
        </w:rPr>
        <w:t> .</w:t>
      </w:r>
    </w:p>
    <w:p w14:paraId="497719C7" w14:textId="77777777" w:rsidR="006B49B1" w:rsidRPr="006B49B1" w:rsidRDefault="006B49B1" w:rsidP="006B49B1">
      <w:pPr>
        <w:widowControl w:val="0"/>
        <w:autoSpaceDE w:val="0"/>
        <w:autoSpaceDN w:val="0"/>
        <w:spacing w:after="0" w:line="276" w:lineRule="auto"/>
        <w:jc w:val="both"/>
        <w:rPr>
          <w:rFonts w:ascii="Verdana" w:eastAsia="Calibri" w:hAnsi="Verdana" w:cs="Arial"/>
          <w:color w:val="0000FF"/>
          <w:u w:val="single"/>
          <w:shd w:val="clear" w:color="auto" w:fill="FFFFFF"/>
          <w:lang w:eastAsia="es-MX"/>
        </w:rPr>
      </w:pPr>
    </w:p>
    <w:p w14:paraId="7924C241" w14:textId="77777777" w:rsidR="006B49B1" w:rsidRPr="006B49B1" w:rsidRDefault="006B49B1" w:rsidP="006B49B1">
      <w:pPr>
        <w:spacing w:after="0" w:line="276" w:lineRule="auto"/>
        <w:jc w:val="both"/>
        <w:rPr>
          <w:rFonts w:ascii="Verdana" w:eastAsia="Aptos" w:hAnsi="Verdana" w:cs="Arial"/>
          <w:lang w:eastAsia="es-MX"/>
        </w:rPr>
      </w:pPr>
      <w:r w:rsidRPr="006B49B1">
        <w:rPr>
          <w:rFonts w:ascii="Verdana" w:eastAsia="Aptos" w:hAnsi="Verdana" w:cs="Arial"/>
          <w:lang w:eastAsia="es-MX"/>
        </w:rPr>
        <w:t xml:space="preserve">La sostenibilidad no es una opción, es una obligación. Por ello, la Agencia Nacional de Contratación Pública –Colombia Compra Eficiente– te invita a realizar el </w:t>
      </w:r>
      <w:r w:rsidRPr="006B49B1">
        <w:rPr>
          <w:rFonts w:ascii="Verdana" w:eastAsia="Aptos" w:hAnsi="Verdana" w:cs="Arial"/>
          <w:b/>
          <w:bCs/>
          <w:lang w:eastAsia="es-MX"/>
        </w:rPr>
        <w:t>Curso de Contratación Pública Sostenible y Socialmente Responsable</w:t>
      </w:r>
      <w:r w:rsidRPr="006B49B1">
        <w:rPr>
          <w:rFonts w:ascii="Verdana" w:eastAsia="Aptos"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6B49B1">
        <w:rPr>
          <w:rFonts w:ascii="Verdana" w:eastAsia="Aptos" w:hAnsi="Verdana" w:cs="Arial"/>
          <w:lang w:eastAsia="es-MX"/>
        </w:rPr>
        <w:br/>
      </w:r>
      <w:hyperlink r:id="rId13" w:tgtFrame="_new" w:history="1">
        <w:r w:rsidRPr="006B49B1">
          <w:rPr>
            <w:rFonts w:ascii="Verdana" w:eastAsia="Aptos" w:hAnsi="Verdana" w:cs="Arial"/>
            <w:color w:val="0000FF"/>
            <w:u w:val="single"/>
            <w:lang w:eastAsia="es-MX"/>
          </w:rPr>
          <w:t>https://formacionvirtual.colombiacompra.gov.co/mod/page/view.php?id=3718</w:t>
        </w:r>
      </w:hyperlink>
    </w:p>
    <w:p w14:paraId="123D2516" w14:textId="77777777" w:rsidR="006B49B1" w:rsidRPr="006B49B1" w:rsidRDefault="006B49B1" w:rsidP="006B49B1">
      <w:pPr>
        <w:spacing w:after="0" w:line="276" w:lineRule="auto"/>
        <w:jc w:val="both"/>
        <w:rPr>
          <w:rFonts w:ascii="Verdana" w:eastAsia="Aptos" w:hAnsi="Verdana" w:cs="Arial"/>
          <w:lang w:eastAsia="es-MX"/>
        </w:rPr>
      </w:pPr>
      <w:r w:rsidRPr="006B49B1">
        <w:rPr>
          <w:rFonts w:ascii="Verdana" w:eastAsia="Aptos" w:hAnsi="Verdana" w:cs="Arial"/>
          <w:lang w:eastAsia="es-MX"/>
        </w:rPr>
        <w:t xml:space="preserve">De otro lado, te contamos que esta Agencia ha da un paso decisivo en la estandarización y modernización del </w:t>
      </w:r>
      <w:r w:rsidRPr="006B49B1">
        <w:rPr>
          <w:rFonts w:ascii="Verdana" w:eastAsia="Aptos" w:hAnsi="Verdana" w:cs="Arial"/>
          <w:b/>
          <w:bCs/>
          <w:lang w:eastAsia="es-MX"/>
        </w:rPr>
        <w:t>sector  social</w:t>
      </w:r>
      <w:r w:rsidRPr="006B49B1">
        <w:rPr>
          <w:rFonts w:ascii="Verdana" w:eastAsia="Aptos" w:hAnsi="Verdana" w:cs="Arial"/>
          <w:lang w:eastAsia="es-MX"/>
        </w:rPr>
        <w:t xml:space="preserve"> con la expedición de las </w:t>
      </w:r>
      <w:r w:rsidRPr="006B49B1">
        <w:rPr>
          <w:rFonts w:ascii="Verdana" w:eastAsia="Aptos" w:hAnsi="Verdana" w:cs="Arial"/>
          <w:b/>
          <w:bCs/>
          <w:lang w:eastAsia="es-MX"/>
        </w:rPr>
        <w:lastRenderedPageBreak/>
        <w:t>Resoluciones 539, 540, 541, 952 y 953 de 2025</w:t>
      </w:r>
      <w:r w:rsidRPr="006B49B1">
        <w:rPr>
          <w:rFonts w:ascii="Verdana" w:eastAsia="Aptos" w:hAnsi="Verdana" w:cs="Arial"/>
          <w:lang w:eastAsia="es-MX"/>
        </w:rPr>
        <w:t xml:space="preserve">, </w:t>
      </w:r>
      <w:r w:rsidRPr="006B49B1">
        <w:rPr>
          <w:rFonts w:ascii="Verdana" w:eastAsia="Aptos" w:hAnsi="Verdana" w:cs="Arial"/>
          <w:b/>
          <w:bCs/>
          <w:lang w:eastAsia="es-MX"/>
        </w:rPr>
        <w:t>mediante las cuales adoptó Documentos Tipo</w:t>
      </w:r>
      <w:r w:rsidRPr="006B49B1">
        <w:rPr>
          <w:rFonts w:ascii="Verdana" w:eastAsia="Aptos" w:hAnsi="Verdana" w:cs="Arial"/>
          <w:lang w:eastAsia="es-MX"/>
        </w:rPr>
        <w:t xml:space="preserve"> para las modalidades de selección de</w:t>
      </w:r>
      <w:r w:rsidRPr="006B49B1">
        <w:rPr>
          <w:rFonts w:ascii="Verdana" w:eastAsia="Aptos" w:hAnsi="Verdana" w:cs="Arial"/>
          <w:b/>
          <w:bCs/>
          <w:lang w:eastAsia="es-MX"/>
        </w:rPr>
        <w:t xml:space="preserve"> licitación pública (versión 2), selección abreviada de menor cuantía, mínima cuantía, consultoría e interventoría</w:t>
      </w:r>
      <w:r w:rsidRPr="006B49B1">
        <w:rPr>
          <w:rFonts w:ascii="Verdana" w:eastAsia="Aptos"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6B49B1">
          <w:rPr>
            <w:rFonts w:ascii="Verdana" w:eastAsia="Aptos" w:hAnsi="Verdana" w:cs="Arial"/>
            <w:color w:val="0000FF"/>
            <w:u w:val="single"/>
            <w:lang w:eastAsia="es-MX"/>
          </w:rPr>
          <w:t>https://www.colombiacompra.gov.co/normativa-y-relatoria/documentos-tipo</w:t>
        </w:r>
      </w:hyperlink>
    </w:p>
    <w:p w14:paraId="4EC47F01" w14:textId="77777777" w:rsidR="006B49B1" w:rsidRPr="006B49B1" w:rsidRDefault="006B49B1" w:rsidP="006B49B1">
      <w:pPr>
        <w:spacing w:after="0" w:line="276" w:lineRule="auto"/>
        <w:jc w:val="both"/>
        <w:rPr>
          <w:rFonts w:ascii="Verdana" w:eastAsia="Aptos" w:hAnsi="Verdana" w:cs="Arial"/>
          <w:lang w:eastAsia="es-MX"/>
        </w:rPr>
      </w:pPr>
    </w:p>
    <w:p w14:paraId="6349242D" w14:textId="77777777" w:rsidR="006B49B1" w:rsidRPr="006B49B1" w:rsidRDefault="006B49B1" w:rsidP="006B49B1">
      <w:pPr>
        <w:spacing w:after="0" w:line="276" w:lineRule="auto"/>
        <w:jc w:val="both"/>
        <w:rPr>
          <w:rFonts w:ascii="Verdana" w:eastAsia="Aptos" w:hAnsi="Verdana" w:cs="Arial"/>
          <w:lang w:eastAsia="es-MX"/>
        </w:rPr>
      </w:pPr>
      <w:r w:rsidRPr="006B49B1">
        <w:rPr>
          <w:rFonts w:ascii="Verdana" w:eastAsia="Aptos" w:hAnsi="Verdana" w:cs="Arial"/>
          <w:lang w:eastAsia="es-MX"/>
        </w:rPr>
        <w:t xml:space="preserve">Si quieres conocer más sobre la aplicación de Documentos Tipo puedes consultar la última versión de la </w:t>
      </w:r>
      <w:r w:rsidRPr="006B49B1">
        <w:rPr>
          <w:rFonts w:ascii="Verdana" w:eastAsia="Aptos" w:hAnsi="Verdana" w:cs="Arial"/>
          <w:b/>
          <w:bCs/>
          <w:lang w:eastAsia="es-MX"/>
        </w:rPr>
        <w:t>Guía para la comprensión e implementación de los Documentos Tipo de obra pública de infraestructura de transporte</w:t>
      </w:r>
      <w:r w:rsidRPr="006B49B1">
        <w:rPr>
          <w:rFonts w:ascii="Verdana" w:eastAsia="Aptos"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6B49B1">
        <w:rPr>
          <w:rFonts w:ascii="Verdana" w:eastAsia="Aptos" w:hAnsi="Verdana" w:cs="Arial"/>
          <w:lang w:eastAsia="es-MX"/>
        </w:rPr>
        <w:br/>
      </w:r>
      <w:hyperlink r:id="rId15" w:tgtFrame="_new" w:history="1">
        <w:r w:rsidRPr="006B49B1">
          <w:rPr>
            <w:rFonts w:ascii="Verdana" w:eastAsia="Aptos"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07FDB1E3" w14:textId="77777777" w:rsidR="006B49B1" w:rsidRPr="006B49B1" w:rsidRDefault="006B49B1" w:rsidP="006B49B1">
      <w:pPr>
        <w:spacing w:after="0"/>
        <w:jc w:val="both"/>
        <w:rPr>
          <w:rFonts w:ascii="Verdana" w:eastAsia="Aptos" w:hAnsi="Verdana" w:cs="Times New Roman"/>
          <w:color w:val="212121"/>
          <w:lang w:eastAsia="es-MX"/>
        </w:rPr>
      </w:pPr>
    </w:p>
    <w:p w14:paraId="2A9DF548" w14:textId="77777777" w:rsidR="006B49B1" w:rsidRPr="006B49B1" w:rsidRDefault="006B49B1" w:rsidP="006B49B1">
      <w:pPr>
        <w:spacing w:after="0" w:line="240" w:lineRule="auto"/>
        <w:jc w:val="both"/>
        <w:rPr>
          <w:rFonts w:ascii="Verdana" w:eastAsia="Calibri" w:hAnsi="Verdana" w:cs="Times New Roman"/>
          <w:lang w:eastAsia="es-MX"/>
        </w:rPr>
      </w:pPr>
      <w:r w:rsidRPr="006B49B1">
        <w:rPr>
          <w:rFonts w:ascii="Verdana" w:eastAsia="Aptos" w:hAnsi="Verdana" w:cs="Times New Roman"/>
          <w:lang w:eastAsia="es-MX"/>
        </w:rPr>
        <w:t xml:space="preserve">Por último, lo invitamos a seguirnos en las redes sociales en las cuales se difunde información institucional: </w:t>
      </w:r>
    </w:p>
    <w:p w14:paraId="08D79E41" w14:textId="77777777" w:rsidR="006B49B1" w:rsidRPr="006B49B1" w:rsidRDefault="006B49B1" w:rsidP="006B49B1">
      <w:pPr>
        <w:spacing w:after="0" w:line="240" w:lineRule="auto"/>
        <w:jc w:val="both"/>
        <w:rPr>
          <w:rFonts w:ascii="Verdana" w:eastAsia="Aptos" w:hAnsi="Verdana" w:cs="Times New Roman"/>
          <w:lang w:eastAsia="es-MX"/>
        </w:rPr>
      </w:pPr>
    </w:p>
    <w:p w14:paraId="52DEE7F2" w14:textId="77777777" w:rsidR="006B49B1" w:rsidRPr="006B49B1" w:rsidRDefault="006B49B1" w:rsidP="006B49B1">
      <w:pPr>
        <w:spacing w:after="0" w:line="240" w:lineRule="auto"/>
        <w:jc w:val="both"/>
        <w:rPr>
          <w:rFonts w:ascii="Verdana" w:eastAsia="Aptos" w:hAnsi="Verdana" w:cs="Times New Roman"/>
          <w:lang w:eastAsia="es-MX"/>
        </w:rPr>
      </w:pPr>
      <w:r w:rsidRPr="006B49B1">
        <w:rPr>
          <w:rFonts w:ascii="Verdana" w:eastAsia="Aptos" w:hAnsi="Verdana" w:cs="Times New Roman"/>
          <w:lang w:eastAsia="es-MX"/>
        </w:rPr>
        <w:t xml:space="preserve">Twitter: </w:t>
      </w:r>
      <w:r w:rsidRPr="006B49B1">
        <w:rPr>
          <w:rFonts w:ascii="Verdana" w:eastAsia="Calibri" w:hAnsi="Verdana" w:cs="Times New Roman"/>
          <w:color w:val="156082"/>
          <w:u w:val="single"/>
          <w:lang w:eastAsia="es-MX"/>
        </w:rPr>
        <w:t>@colombiacompra</w:t>
      </w:r>
      <w:r w:rsidRPr="006B49B1">
        <w:rPr>
          <w:rFonts w:ascii="Verdana" w:eastAsia="Calibri" w:hAnsi="Verdana" w:cs="Times New Roman"/>
          <w:color w:val="156082"/>
          <w:lang w:eastAsia="es-MX"/>
        </w:rPr>
        <w:t xml:space="preserve"> </w:t>
      </w:r>
    </w:p>
    <w:p w14:paraId="4C7521EE" w14:textId="77777777" w:rsidR="006B49B1" w:rsidRPr="006B49B1" w:rsidRDefault="006B49B1" w:rsidP="006B49B1">
      <w:pPr>
        <w:spacing w:after="0" w:line="240" w:lineRule="auto"/>
        <w:jc w:val="both"/>
        <w:rPr>
          <w:rFonts w:ascii="Verdana" w:eastAsia="Aptos" w:hAnsi="Verdana" w:cs="Times New Roman"/>
          <w:lang w:eastAsia="es-MX"/>
        </w:rPr>
      </w:pPr>
      <w:r w:rsidRPr="006B49B1">
        <w:rPr>
          <w:rFonts w:ascii="Verdana" w:eastAsia="Aptos" w:hAnsi="Verdana" w:cs="Times New Roman"/>
          <w:lang w:eastAsia="es-MX"/>
        </w:rPr>
        <w:t xml:space="preserve">Facebook: </w:t>
      </w:r>
      <w:proofErr w:type="spellStart"/>
      <w:r w:rsidRPr="006B49B1">
        <w:rPr>
          <w:rFonts w:ascii="Verdana" w:eastAsia="Calibri" w:hAnsi="Verdana" w:cs="Times New Roman"/>
          <w:color w:val="156082"/>
          <w:u w:val="single"/>
          <w:lang w:eastAsia="es-MX"/>
        </w:rPr>
        <w:t>ColombiaCompraEficiente</w:t>
      </w:r>
      <w:proofErr w:type="spellEnd"/>
    </w:p>
    <w:p w14:paraId="44A37A55" w14:textId="77777777" w:rsidR="006B49B1" w:rsidRPr="006B49B1" w:rsidRDefault="006B49B1" w:rsidP="006B49B1">
      <w:pPr>
        <w:spacing w:after="0" w:line="240" w:lineRule="auto"/>
        <w:jc w:val="both"/>
        <w:rPr>
          <w:rFonts w:ascii="Verdana" w:eastAsia="Aptos" w:hAnsi="Verdana" w:cs="Times New Roman"/>
          <w:lang w:eastAsia="es-MX"/>
        </w:rPr>
      </w:pPr>
      <w:r w:rsidRPr="006B49B1">
        <w:rPr>
          <w:rFonts w:ascii="Verdana" w:eastAsia="Aptos" w:hAnsi="Verdana" w:cs="Times New Roman"/>
          <w:lang w:eastAsia="es-MX"/>
        </w:rPr>
        <w:t xml:space="preserve">LinkedIn: </w:t>
      </w:r>
      <w:r w:rsidRPr="006B49B1">
        <w:rPr>
          <w:rFonts w:ascii="Verdana" w:eastAsia="Calibri" w:hAnsi="Verdana" w:cs="Times New Roman"/>
          <w:color w:val="156082"/>
          <w:u w:val="single"/>
          <w:lang w:eastAsia="es-MX"/>
        </w:rPr>
        <w:t>Agencia Nacional de Contratación Pública - Colombia Compra Eficiente</w:t>
      </w:r>
      <w:r w:rsidRPr="006B49B1">
        <w:rPr>
          <w:rFonts w:ascii="Verdana" w:eastAsia="Calibri" w:hAnsi="Verdana" w:cs="Times New Roman"/>
          <w:color w:val="156082"/>
          <w:lang w:eastAsia="es-MX"/>
        </w:rPr>
        <w:t xml:space="preserve"> </w:t>
      </w:r>
      <w:r w:rsidRPr="006B49B1">
        <w:rPr>
          <w:rFonts w:ascii="Verdana" w:eastAsia="Aptos" w:hAnsi="Verdana" w:cs="Times New Roman"/>
          <w:lang w:eastAsia="es-MX"/>
        </w:rPr>
        <w:t xml:space="preserve">Instagram: </w:t>
      </w:r>
      <w:r w:rsidRPr="006B49B1">
        <w:rPr>
          <w:rFonts w:ascii="Verdana" w:eastAsia="Calibri" w:hAnsi="Verdana" w:cs="Times New Roman"/>
          <w:color w:val="156082"/>
          <w:u w:val="single"/>
          <w:lang w:eastAsia="es-MX"/>
        </w:rPr>
        <w:t>@colombiacompraeficiente_cce</w:t>
      </w:r>
    </w:p>
    <w:p w14:paraId="4E98E4AC" w14:textId="77777777" w:rsidR="006B49B1" w:rsidRPr="006B49B1" w:rsidRDefault="006B49B1" w:rsidP="006B49B1">
      <w:pPr>
        <w:spacing w:after="0" w:line="276" w:lineRule="auto"/>
        <w:jc w:val="both"/>
        <w:rPr>
          <w:rFonts w:ascii="Verdana" w:eastAsia="Aptos" w:hAnsi="Verdana" w:cs="Times New Roman"/>
          <w:lang w:eastAsia="es-MX"/>
        </w:rPr>
      </w:pPr>
    </w:p>
    <w:p w14:paraId="5A89737F" w14:textId="77777777" w:rsidR="006B49B1" w:rsidRPr="006B49B1" w:rsidRDefault="006B49B1" w:rsidP="006B49B1">
      <w:pPr>
        <w:spacing w:after="0" w:line="276" w:lineRule="auto"/>
        <w:jc w:val="both"/>
        <w:rPr>
          <w:rFonts w:ascii="Verdana" w:eastAsia="Calibri" w:hAnsi="Verdana" w:cs="Times New Roman"/>
          <w:bCs/>
          <w:lang w:val="es-ES_tradnl" w:eastAsia="es-MX"/>
        </w:rPr>
      </w:pPr>
      <w:r w:rsidRPr="006B49B1">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620C73F" w14:textId="77777777" w:rsidR="006B49B1" w:rsidRPr="006B49B1" w:rsidRDefault="006B49B1" w:rsidP="006B49B1">
      <w:pPr>
        <w:spacing w:after="0" w:line="276" w:lineRule="auto"/>
        <w:jc w:val="both"/>
        <w:rPr>
          <w:rFonts w:ascii="Verdana" w:eastAsia="Calibri" w:hAnsi="Verdana" w:cs="Times New Roman"/>
          <w:lang w:eastAsia="es-MX"/>
        </w:rPr>
      </w:pPr>
    </w:p>
    <w:p w14:paraId="12889C3F" w14:textId="77777777" w:rsidR="006B49B1" w:rsidRPr="006B49B1" w:rsidRDefault="006B49B1" w:rsidP="006B49B1">
      <w:pPr>
        <w:spacing w:after="0" w:line="276" w:lineRule="auto"/>
        <w:jc w:val="both"/>
        <w:rPr>
          <w:rFonts w:ascii="Verdana" w:eastAsia="Calibri" w:hAnsi="Verdana" w:cs="Times New Roman"/>
          <w:lang w:eastAsia="es-MX"/>
        </w:rPr>
      </w:pPr>
      <w:r w:rsidRPr="006B49B1">
        <w:rPr>
          <w:rFonts w:ascii="Verdana" w:eastAsia="Calibri" w:hAnsi="Verdana" w:cs="Times New Roman"/>
          <w:lang w:eastAsia="es-MX"/>
        </w:rPr>
        <w:t>Atentamente,</w:t>
      </w:r>
    </w:p>
    <w:p w14:paraId="1DDEE6FE" w14:textId="77777777" w:rsidR="006B49B1" w:rsidRPr="006B49B1" w:rsidRDefault="006B49B1" w:rsidP="006B49B1">
      <w:pPr>
        <w:tabs>
          <w:tab w:val="left" w:pos="1320"/>
        </w:tabs>
        <w:spacing w:after="0"/>
        <w:jc w:val="center"/>
        <w:rPr>
          <w:rFonts w:ascii="Century Gothic" w:eastAsia="Calibri" w:hAnsi="Century Gothic" w:cs="Times New Roman"/>
          <w:lang w:eastAsia="es-MX"/>
        </w:rPr>
      </w:pPr>
    </w:p>
    <w:p w14:paraId="0B506A67" w14:textId="50CA75B0" w:rsidR="006B49B1" w:rsidRPr="006B49B1" w:rsidRDefault="00DC1531" w:rsidP="006B49B1">
      <w:pPr>
        <w:tabs>
          <w:tab w:val="left" w:pos="1320"/>
        </w:tabs>
        <w:spacing w:after="0"/>
        <w:jc w:val="center"/>
        <w:rPr>
          <w:rFonts w:ascii="Century Gothic" w:eastAsia="Calibri" w:hAnsi="Century Gothic" w:cs="Times New Roman"/>
          <w:lang w:eastAsia="es-MX"/>
        </w:rPr>
      </w:pPr>
      <w:r w:rsidRPr="004D5C25">
        <w:rPr>
          <w:rFonts w:ascii="Century Gothic" w:hAnsi="Century Gothic"/>
          <w:noProof/>
        </w:rPr>
        <w:drawing>
          <wp:inline distT="0" distB="0" distL="0" distR="0" wp14:anchorId="0211AFEB" wp14:editId="7B96742E">
            <wp:extent cx="2547937" cy="1093844"/>
            <wp:effectExtent l="0" t="0" r="508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2553823" cy="1096371"/>
                    </a:xfrm>
                    <a:prstGeom prst="rect">
                      <a:avLst/>
                    </a:prstGeom>
                  </pic:spPr>
                </pic:pic>
              </a:graphicData>
            </a:graphic>
          </wp:inline>
        </w:drawing>
      </w:r>
    </w:p>
    <w:p w14:paraId="270EB9E0" w14:textId="77777777" w:rsidR="006B49B1" w:rsidRPr="006B49B1" w:rsidRDefault="006B49B1" w:rsidP="006B49B1">
      <w:pPr>
        <w:tabs>
          <w:tab w:val="left" w:pos="1320"/>
        </w:tabs>
        <w:spacing w:after="0"/>
        <w:jc w:val="center"/>
        <w:rPr>
          <w:rFonts w:ascii="Century Gothic" w:eastAsia="Calibri" w:hAnsi="Century Gothic" w:cs="Times New Roman"/>
          <w:lang w:eastAsia="es-MX"/>
        </w:rPr>
      </w:pP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6B49B1" w:rsidRPr="006B49B1" w14:paraId="1DCB4093" w14:textId="77777777" w:rsidTr="00137C0A">
        <w:trPr>
          <w:trHeight w:val="323"/>
        </w:trPr>
        <w:tc>
          <w:tcPr>
            <w:tcW w:w="1041" w:type="dxa"/>
            <w:vAlign w:val="center"/>
            <w:hideMark/>
          </w:tcPr>
          <w:p w14:paraId="7AFD92A6" w14:textId="77777777" w:rsidR="006B49B1" w:rsidRPr="006B49B1" w:rsidRDefault="006B49B1" w:rsidP="006B49B1">
            <w:pPr>
              <w:rPr>
                <w:rFonts w:ascii="Verdana" w:eastAsia="Calibri" w:hAnsi="Verdana" w:cs="Arial"/>
                <w:sz w:val="16"/>
                <w:szCs w:val="16"/>
                <w:lang w:val="es-ES_tradnl" w:eastAsia="es-ES"/>
              </w:rPr>
            </w:pPr>
            <w:r w:rsidRPr="006B49B1">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6CEFE70F" w14:textId="77777777" w:rsidR="006B49B1" w:rsidRPr="006B49B1" w:rsidRDefault="006B49B1" w:rsidP="006B49B1">
            <w:pPr>
              <w:rPr>
                <w:rFonts w:ascii="Verdana" w:eastAsia="Arial" w:hAnsi="Verdana" w:cs="Arial"/>
                <w:sz w:val="16"/>
                <w:szCs w:val="16"/>
                <w:lang w:val="es-ES" w:eastAsia="es-MX"/>
              </w:rPr>
            </w:pPr>
            <w:r w:rsidRPr="006B49B1">
              <w:rPr>
                <w:rFonts w:ascii="Verdana" w:eastAsia="Arial" w:hAnsi="Verdana" w:cs="Arial"/>
                <w:sz w:val="16"/>
                <w:szCs w:val="16"/>
                <w:lang w:val="es-ES" w:eastAsia="es-MX"/>
              </w:rPr>
              <w:t xml:space="preserve">Carlos Mario Castrillón Endo </w:t>
            </w:r>
          </w:p>
          <w:p w14:paraId="4A8014EC" w14:textId="77777777" w:rsidR="006B49B1" w:rsidRPr="006B49B1" w:rsidRDefault="006B49B1" w:rsidP="006B49B1">
            <w:pPr>
              <w:rPr>
                <w:rFonts w:ascii="Verdana" w:eastAsia="Arial" w:hAnsi="Verdana" w:cs="Arial"/>
                <w:sz w:val="16"/>
                <w:szCs w:val="16"/>
                <w:lang w:val="es-ES_tradnl" w:eastAsia="es-MX"/>
              </w:rPr>
            </w:pPr>
            <w:r w:rsidRPr="006B49B1">
              <w:rPr>
                <w:rFonts w:ascii="Verdana" w:eastAsia="Arial" w:hAnsi="Verdana" w:cs="Arial"/>
                <w:sz w:val="16"/>
                <w:szCs w:val="16"/>
                <w:lang w:val="es-ES_tradnl" w:eastAsia="es-MX"/>
              </w:rPr>
              <w:t>Contratista de la Subdirección de Gestión Contractual</w:t>
            </w:r>
          </w:p>
          <w:p w14:paraId="2EAF7FEC" w14:textId="77777777" w:rsidR="006B49B1" w:rsidRPr="006B49B1" w:rsidRDefault="006B49B1" w:rsidP="006B49B1">
            <w:pPr>
              <w:rPr>
                <w:rFonts w:ascii="Verdana" w:eastAsia="Arial" w:hAnsi="Verdana" w:cs="Arial"/>
                <w:sz w:val="16"/>
                <w:szCs w:val="16"/>
                <w:lang w:val="es-ES_tradnl" w:eastAsia="es-MX"/>
              </w:rPr>
            </w:pPr>
          </w:p>
        </w:tc>
      </w:tr>
      <w:tr w:rsidR="006B49B1" w:rsidRPr="006B49B1" w14:paraId="2B84DB02" w14:textId="77777777" w:rsidTr="00137C0A">
        <w:trPr>
          <w:trHeight w:val="338"/>
        </w:trPr>
        <w:tc>
          <w:tcPr>
            <w:tcW w:w="1041" w:type="dxa"/>
            <w:vAlign w:val="center"/>
            <w:hideMark/>
          </w:tcPr>
          <w:p w14:paraId="197917F4" w14:textId="77777777" w:rsidR="006B49B1" w:rsidRPr="006B49B1" w:rsidRDefault="006B49B1" w:rsidP="006B49B1">
            <w:pPr>
              <w:rPr>
                <w:rFonts w:ascii="Verdana" w:eastAsia="Calibri" w:hAnsi="Verdana" w:cs="Arial"/>
                <w:sz w:val="16"/>
                <w:szCs w:val="16"/>
                <w:lang w:val="es-ES_tradnl" w:eastAsia="es-ES"/>
              </w:rPr>
            </w:pPr>
            <w:r w:rsidRPr="006B49B1">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5598A93B" w14:textId="77777777" w:rsidR="006B49B1" w:rsidRPr="006B49B1" w:rsidRDefault="006B49B1" w:rsidP="006B49B1">
            <w:pPr>
              <w:rPr>
                <w:rFonts w:ascii="Verdana" w:eastAsia="Arial" w:hAnsi="Verdana" w:cs="Arial"/>
                <w:sz w:val="16"/>
                <w:szCs w:val="16"/>
                <w:lang w:val="es-ES" w:eastAsia="es-MX"/>
              </w:rPr>
            </w:pPr>
            <w:r w:rsidRPr="006B49B1">
              <w:rPr>
                <w:rFonts w:ascii="Verdana" w:eastAsia="Arial" w:hAnsi="Verdana" w:cs="Arial"/>
                <w:sz w:val="16"/>
                <w:szCs w:val="16"/>
                <w:lang w:val="es-ES" w:eastAsia="es-MX"/>
              </w:rPr>
              <w:t>Alexandra Rodríguez Motta</w:t>
            </w:r>
          </w:p>
          <w:p w14:paraId="5CA1221C" w14:textId="77777777" w:rsidR="006B49B1" w:rsidRPr="006B49B1" w:rsidRDefault="006B49B1" w:rsidP="006B49B1">
            <w:pPr>
              <w:rPr>
                <w:rFonts w:ascii="Verdana" w:eastAsia="Arial" w:hAnsi="Verdana" w:cs="Arial"/>
                <w:sz w:val="16"/>
                <w:szCs w:val="16"/>
                <w:lang w:val="es-ES" w:eastAsia="es-MX"/>
              </w:rPr>
            </w:pPr>
            <w:r w:rsidRPr="006B49B1">
              <w:rPr>
                <w:rFonts w:ascii="Verdana" w:eastAsia="Arial" w:hAnsi="Verdana" w:cs="Arial"/>
                <w:sz w:val="16"/>
                <w:szCs w:val="16"/>
                <w:lang w:val="es-ES_tradnl" w:eastAsia="es-MX"/>
              </w:rPr>
              <w:t>Contratista de la Subdirección de Gestión Contractual</w:t>
            </w:r>
          </w:p>
          <w:p w14:paraId="2CA678AB" w14:textId="77777777" w:rsidR="006B49B1" w:rsidRPr="006B49B1" w:rsidRDefault="006B49B1" w:rsidP="006B49B1">
            <w:pPr>
              <w:rPr>
                <w:rFonts w:ascii="Verdana" w:eastAsia="Arial" w:hAnsi="Verdana" w:cs="Arial"/>
                <w:sz w:val="16"/>
                <w:szCs w:val="16"/>
                <w:lang w:val="es-ES_tradnl" w:eastAsia="es-MX"/>
              </w:rPr>
            </w:pPr>
            <w:r w:rsidRPr="006B49B1">
              <w:rPr>
                <w:rFonts w:ascii="Verdana" w:eastAsia="Arial" w:hAnsi="Verdana" w:cs="Arial"/>
                <w:sz w:val="16"/>
                <w:szCs w:val="16"/>
                <w:lang w:val="es-ES_tradnl" w:eastAsia="es-MX"/>
              </w:rPr>
              <w:t xml:space="preserve">Juan David Cárdenas Cabezas </w:t>
            </w:r>
          </w:p>
          <w:p w14:paraId="09701290" w14:textId="77777777" w:rsidR="006B49B1" w:rsidRPr="006B49B1" w:rsidRDefault="006B49B1" w:rsidP="006B49B1">
            <w:pPr>
              <w:rPr>
                <w:rFonts w:ascii="Verdana" w:eastAsia="Arial" w:hAnsi="Verdana" w:cs="Arial"/>
                <w:sz w:val="16"/>
                <w:szCs w:val="16"/>
                <w:lang w:val="es-ES" w:eastAsia="es-MX"/>
              </w:rPr>
            </w:pPr>
            <w:r w:rsidRPr="006B49B1">
              <w:rPr>
                <w:rFonts w:ascii="Verdana" w:eastAsia="Arial" w:hAnsi="Verdana" w:cs="Arial"/>
                <w:sz w:val="16"/>
                <w:szCs w:val="16"/>
                <w:lang w:val="es-ES_tradnl" w:eastAsia="es-MX"/>
              </w:rPr>
              <w:t>Contratista de la Subdirección de Gestión Contractual</w:t>
            </w:r>
          </w:p>
        </w:tc>
      </w:tr>
      <w:tr w:rsidR="006B49B1" w:rsidRPr="006B49B1" w14:paraId="55B354FF" w14:textId="77777777" w:rsidTr="00137C0A">
        <w:trPr>
          <w:trHeight w:val="308"/>
        </w:trPr>
        <w:tc>
          <w:tcPr>
            <w:tcW w:w="1041" w:type="dxa"/>
            <w:vAlign w:val="center"/>
          </w:tcPr>
          <w:p w14:paraId="22D29426" w14:textId="77777777" w:rsidR="006B49B1" w:rsidRPr="006B49B1" w:rsidRDefault="006B49B1" w:rsidP="006B49B1">
            <w:pPr>
              <w:rPr>
                <w:rFonts w:ascii="Verdana" w:eastAsia="Calibri" w:hAnsi="Verdana" w:cs="Arial"/>
                <w:sz w:val="16"/>
                <w:szCs w:val="16"/>
                <w:lang w:val="es-ES_tradnl" w:eastAsia="es-ES"/>
              </w:rPr>
            </w:pPr>
            <w:r w:rsidRPr="006B49B1">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038A4708" w14:textId="77777777" w:rsidR="006B49B1" w:rsidRPr="006B49B1" w:rsidRDefault="006B49B1" w:rsidP="006B49B1">
            <w:pPr>
              <w:rPr>
                <w:rFonts w:ascii="Verdana" w:eastAsia="Calibri" w:hAnsi="Verdana" w:cs="Arial"/>
                <w:sz w:val="16"/>
                <w:szCs w:val="16"/>
                <w:lang w:val="es-ES" w:eastAsia="es-ES"/>
              </w:rPr>
            </w:pPr>
            <w:r w:rsidRPr="006B49B1">
              <w:rPr>
                <w:rFonts w:ascii="Verdana" w:eastAsia="Calibri" w:hAnsi="Verdana" w:cs="Arial"/>
                <w:sz w:val="16"/>
                <w:szCs w:val="16"/>
                <w:lang w:val="es-ES" w:eastAsia="es-ES"/>
              </w:rPr>
              <w:t>Carolina Quintero Gacharná</w:t>
            </w:r>
          </w:p>
          <w:p w14:paraId="6AD3AD7C" w14:textId="77777777" w:rsidR="006B49B1" w:rsidRPr="006B49B1" w:rsidRDefault="006B49B1" w:rsidP="006B49B1">
            <w:pPr>
              <w:rPr>
                <w:rFonts w:ascii="Verdana" w:eastAsia="Calibri" w:hAnsi="Verdana" w:cs="Arial"/>
                <w:sz w:val="16"/>
                <w:szCs w:val="16"/>
                <w:lang w:val="es-ES_tradnl" w:eastAsia="es-ES"/>
              </w:rPr>
            </w:pPr>
            <w:r w:rsidRPr="006B49B1">
              <w:rPr>
                <w:rFonts w:ascii="Verdana" w:eastAsia="Calibri" w:hAnsi="Verdana" w:cs="Arial"/>
                <w:sz w:val="16"/>
                <w:szCs w:val="16"/>
                <w:lang w:val="es-ES_tradnl" w:eastAsia="es-ES"/>
              </w:rPr>
              <w:t>Subdirectora de Gestión Contractual ANCP – CCE</w:t>
            </w:r>
          </w:p>
        </w:tc>
      </w:tr>
    </w:tbl>
    <w:p w14:paraId="5BD0AA81" w14:textId="77777777" w:rsidR="006B49B1" w:rsidRPr="006B49B1" w:rsidRDefault="006B49B1" w:rsidP="006B49B1">
      <w:pPr>
        <w:spacing w:after="0"/>
        <w:rPr>
          <w:rFonts w:ascii="Calibri" w:eastAsia="Calibri" w:hAnsi="Calibri" w:cs="Times New Roman"/>
          <w:lang w:eastAsia="es-MX"/>
        </w:rPr>
      </w:pPr>
    </w:p>
    <w:p w14:paraId="6F29F7F8" w14:textId="77777777" w:rsidR="006B49B1" w:rsidRPr="006B49B1" w:rsidRDefault="006B49B1" w:rsidP="006B49B1">
      <w:pPr>
        <w:spacing w:after="0" w:line="240" w:lineRule="auto"/>
        <w:jc w:val="both"/>
        <w:textAlignment w:val="baseline"/>
        <w:rPr>
          <w:rFonts w:ascii="Verdana" w:eastAsia="Verdana" w:hAnsi="Verdana" w:cs="Verdana"/>
          <w:lang w:eastAsia="es-CO"/>
        </w:rPr>
      </w:pPr>
    </w:p>
    <w:p w14:paraId="381ACE85" w14:textId="77777777" w:rsidR="006B49B1" w:rsidRPr="006B49B1" w:rsidRDefault="006B49B1" w:rsidP="006B49B1">
      <w:pPr>
        <w:spacing w:after="0" w:line="240" w:lineRule="auto"/>
        <w:textAlignment w:val="baseline"/>
        <w:rPr>
          <w:rFonts w:ascii="Verdana" w:eastAsia="Verdana" w:hAnsi="Verdana" w:cs="Verdana"/>
          <w:lang w:eastAsia="es-CO"/>
        </w:rPr>
      </w:pPr>
      <w:r w:rsidRPr="006B49B1">
        <w:rPr>
          <w:rFonts w:ascii="Verdana" w:eastAsia="Verdana" w:hAnsi="Verdana" w:cs="Verdana"/>
          <w:lang w:eastAsia="es-CO"/>
        </w:rPr>
        <w:t> </w:t>
      </w:r>
    </w:p>
    <w:p w14:paraId="77718DAB" w14:textId="77777777" w:rsidR="006B49B1" w:rsidRPr="006B49B1" w:rsidRDefault="006B49B1" w:rsidP="006B49B1">
      <w:pPr>
        <w:spacing w:after="0" w:line="240" w:lineRule="auto"/>
        <w:rPr>
          <w:rFonts w:ascii="Times New Roman" w:eastAsia="Times New Roman" w:hAnsi="Times New Roman" w:cs="Times New Roman"/>
          <w:sz w:val="24"/>
          <w:szCs w:val="24"/>
          <w:lang w:eastAsia="es-MX"/>
        </w:rPr>
      </w:pPr>
    </w:p>
    <w:p w14:paraId="5A54D2A7" w14:textId="77777777" w:rsidR="006B49B1" w:rsidRPr="006B49B1" w:rsidRDefault="006B49B1" w:rsidP="006B49B1">
      <w:pPr>
        <w:rPr>
          <w:rFonts w:ascii="Calibri" w:eastAsia="Calibri" w:hAnsi="Calibri" w:cs="Times New Roman"/>
        </w:rPr>
      </w:pPr>
    </w:p>
    <w:p w14:paraId="03224257" w14:textId="77777777" w:rsidR="006B49B1" w:rsidRPr="006B49B1" w:rsidRDefault="006B49B1" w:rsidP="006B49B1">
      <w:pPr>
        <w:spacing w:line="278" w:lineRule="auto"/>
        <w:rPr>
          <w:rFonts w:ascii="Aptos" w:eastAsia="Aptos" w:hAnsi="Aptos" w:cs="Times New Roman"/>
          <w:kern w:val="2"/>
          <w:sz w:val="24"/>
          <w:szCs w:val="24"/>
          <w14:ligatures w14:val="standardContextual"/>
        </w:rPr>
      </w:pPr>
    </w:p>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03DFC809"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p w14:paraId="5DF0FF7B" w14:textId="3BF1D3B9" w:rsidR="545B112A" w:rsidRDefault="545B112A"/>
    <w:p w14:paraId="26A0CB84" w14:textId="77777777" w:rsidR="002E2BF8" w:rsidRPr="00E02524" w:rsidRDefault="002E2BF8" w:rsidP="30821638">
      <w:pPr>
        <w:spacing w:after="0"/>
        <w:jc w:val="both"/>
        <w:rPr>
          <w:rFonts w:ascii="Verdana" w:eastAsia="Verdana" w:hAnsi="Verdana" w:cs="Verdana"/>
          <w:lang w:val="es-ES"/>
        </w:rPr>
      </w:pPr>
    </w:p>
    <w:p w14:paraId="493E8921" w14:textId="77777777" w:rsidR="002E2BF8" w:rsidRPr="00E02524" w:rsidRDefault="002E2BF8" w:rsidP="30821638">
      <w:pPr>
        <w:spacing w:after="0"/>
        <w:jc w:val="both"/>
        <w:rPr>
          <w:rFonts w:ascii="Verdana" w:eastAsia="Verdana" w:hAnsi="Verdana" w:cs="Verdana"/>
          <w:lang w:val="es-ES"/>
        </w:rPr>
      </w:pPr>
    </w:p>
    <w:bookmarkEnd w:id="0"/>
    <w:p w14:paraId="0F293BF4" w14:textId="6247A552" w:rsidR="00127233" w:rsidRPr="0015699B" w:rsidRDefault="00127233" w:rsidP="00A75C79">
      <w:pPr>
        <w:spacing w:after="0" w:line="240" w:lineRule="auto"/>
        <w:ind w:left="1080"/>
        <w:jc w:val="both"/>
        <w:textAlignment w:val="baseline"/>
        <w:rPr>
          <w:rFonts w:ascii="Verdana" w:eastAsia="Verdana" w:hAnsi="Verdana" w:cs="Verdana"/>
          <w:lang w:eastAsia="es-CO"/>
        </w:rPr>
      </w:pPr>
    </w:p>
    <w:sectPr w:rsidR="00127233" w:rsidRPr="0015699B"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CFD04C" w14:textId="77777777" w:rsidR="008434EA" w:rsidRDefault="008434EA" w:rsidP="004A1847">
      <w:pPr>
        <w:spacing w:after="0" w:line="240" w:lineRule="auto"/>
      </w:pPr>
      <w:r>
        <w:separator/>
      </w:r>
    </w:p>
  </w:endnote>
  <w:endnote w:type="continuationSeparator" w:id="0">
    <w:p w14:paraId="309B2A25" w14:textId="77777777" w:rsidR="008434EA" w:rsidRDefault="008434E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Vrinda">
    <w:panose1 w:val="00000400000000000000"/>
    <w:charset w:val="00"/>
    <w:family w:val="swiss"/>
    <w:pitch w:val="variable"/>
    <w:sig w:usb0="0001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Roboto">
    <w:charset w:val="00"/>
    <w:family w:val="auto"/>
    <w:pitch w:val="variable"/>
    <w:sig w:usb0="E0000AFF" w:usb1="5000217F" w:usb2="00000021"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C96722"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C96722">
      <w:rPr>
        <w:rFonts w:ascii="Verdana" w:eastAsia="Verdana" w:hAnsi="Verdana" w:cs="Verdana"/>
        <w:b/>
        <w:bCs/>
        <w:color w:val="000000"/>
        <w:sz w:val="18"/>
        <w:szCs w:val="18"/>
        <w:lang w:val="pt-BR" w:eastAsia="es-CO"/>
      </w:rPr>
      <w:t xml:space="preserve">Código: </w:t>
    </w:r>
    <w:r w:rsidRPr="00C96722">
      <w:rPr>
        <w:rFonts w:ascii="Verdana" w:eastAsia="Verdana" w:hAnsi="Verdana" w:cs="Verdana"/>
        <w:color w:val="000000"/>
        <w:sz w:val="18"/>
        <w:szCs w:val="18"/>
        <w:lang w:val="pt-BR" w:eastAsia="es-CO"/>
      </w:rPr>
      <w:t xml:space="preserve">CCE-REC-FM-17 </w:t>
    </w:r>
    <w:r w:rsidRPr="00C96722">
      <w:rPr>
        <w:rFonts w:ascii="Verdana" w:eastAsia="Verdana" w:hAnsi="Verdana" w:cs="Verdana"/>
        <w:b/>
        <w:bCs/>
        <w:color w:val="000000"/>
        <w:sz w:val="18"/>
        <w:szCs w:val="18"/>
        <w:lang w:val="pt-BR" w:eastAsia="es-CO"/>
      </w:rPr>
      <w:t xml:space="preserve">V: </w:t>
    </w:r>
    <w:r w:rsidRPr="00C96722">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5E92E5" w14:textId="77777777" w:rsidR="008434EA" w:rsidRDefault="008434EA" w:rsidP="004A1847">
      <w:pPr>
        <w:spacing w:after="0" w:line="240" w:lineRule="auto"/>
      </w:pPr>
      <w:r>
        <w:separator/>
      </w:r>
    </w:p>
  </w:footnote>
  <w:footnote w:type="continuationSeparator" w:id="0">
    <w:p w14:paraId="20D4912A" w14:textId="77777777" w:rsidR="008434EA" w:rsidRDefault="008434EA" w:rsidP="004A1847">
      <w:pPr>
        <w:spacing w:after="0" w:line="240" w:lineRule="auto"/>
      </w:pPr>
      <w:r>
        <w:continuationSeparator/>
      </w:r>
    </w:p>
  </w:footnote>
  <w:footnote w:id="1">
    <w:p w14:paraId="50FF579F" w14:textId="77777777" w:rsidR="006B49B1" w:rsidRPr="001A1527" w:rsidRDefault="006B49B1" w:rsidP="006B49B1">
      <w:pPr>
        <w:pStyle w:val="Textonotapie"/>
        <w:ind w:firstLine="708"/>
        <w:jc w:val="both"/>
        <w:rPr>
          <w:rFonts w:ascii="Verdana" w:hAnsi="Verdana"/>
          <w:sz w:val="18"/>
          <w:szCs w:val="18"/>
          <w:lang w:val="es-ES_tradnl"/>
        </w:rPr>
      </w:pPr>
      <w:r w:rsidRPr="001A1527">
        <w:rPr>
          <w:rStyle w:val="Refdenotaalpie"/>
          <w:rFonts w:ascii="Verdana" w:hAnsi="Verdana"/>
          <w:sz w:val="18"/>
          <w:szCs w:val="18"/>
        </w:rPr>
        <w:footnoteRef/>
      </w:r>
      <w:r w:rsidRPr="001A1527">
        <w:rPr>
          <w:rFonts w:ascii="Verdana" w:hAnsi="Verdana"/>
          <w:sz w:val="18"/>
          <w:szCs w:val="18"/>
        </w:rPr>
        <w:t xml:space="preserve"> </w:t>
      </w:r>
      <w:r w:rsidRPr="001A1527">
        <w:rPr>
          <w:rFonts w:ascii="Verdana" w:hAnsi="Verdana"/>
          <w:sz w:val="18"/>
          <w:szCs w:val="18"/>
          <w:lang w:val="es-ES_tradnl"/>
        </w:rPr>
        <w:t xml:space="preserve">El CEFE de Chapinero es una parque vertical para todos los bogotanos: </w:t>
      </w:r>
      <w:hyperlink r:id="rId1" w:history="1">
        <w:r w:rsidRPr="001A1527">
          <w:rPr>
            <w:rStyle w:val="Hipervnculo"/>
            <w:rFonts w:ascii="Verdana" w:hAnsi="Verdana"/>
            <w:sz w:val="18"/>
            <w:szCs w:val="18"/>
            <w:lang w:val="es-ES_tradnl"/>
          </w:rPr>
          <w:t>https://revistaaxxis.com.co/arquitectura/cefe-edificio-chapinero-bogota/</w:t>
        </w:r>
      </w:hyperlink>
      <w:r w:rsidRPr="001A1527">
        <w:rPr>
          <w:rFonts w:ascii="Verdana" w:hAnsi="Verdana"/>
          <w:sz w:val="18"/>
          <w:szCs w:val="18"/>
          <w:lang w:val="es-ES_tradnl"/>
        </w:rPr>
        <w:t xml:space="preserve"> </w:t>
      </w:r>
    </w:p>
  </w:footnote>
  <w:footnote w:id="2">
    <w:p w14:paraId="6ED15077" w14:textId="77777777" w:rsidR="006B49B1" w:rsidRPr="001A1527" w:rsidRDefault="006B49B1" w:rsidP="006B49B1">
      <w:pPr>
        <w:spacing w:after="120" w:line="276" w:lineRule="auto"/>
        <w:ind w:firstLine="708"/>
        <w:jc w:val="both"/>
        <w:rPr>
          <w:rFonts w:ascii="Verdana" w:eastAsia="Times New Roman" w:hAnsi="Verdana" w:cs="Times New Roman"/>
          <w:color w:val="000000"/>
          <w:sz w:val="18"/>
          <w:szCs w:val="18"/>
          <w:lang w:eastAsia="es-CO"/>
        </w:rPr>
      </w:pPr>
      <w:r w:rsidRPr="001A1527">
        <w:rPr>
          <w:rStyle w:val="Refdenotaalpie"/>
          <w:rFonts w:ascii="Verdana" w:eastAsia="Times New Roman" w:hAnsi="Verdana"/>
          <w:sz w:val="18"/>
          <w:szCs w:val="18"/>
        </w:rPr>
        <w:footnoteRef/>
      </w:r>
      <w:r w:rsidRPr="001A1527">
        <w:rPr>
          <w:rFonts w:ascii="Verdana" w:hAnsi="Verdana"/>
          <w:sz w:val="18"/>
          <w:szCs w:val="18"/>
        </w:rPr>
        <w:t xml:space="preserve"> </w:t>
      </w:r>
      <w:r w:rsidRPr="001A1527">
        <w:rPr>
          <w:rFonts w:ascii="Verdana" w:eastAsia="Aptos" w:hAnsi="Verdana" w:cs="Arial"/>
          <w:sz w:val="18"/>
          <w:szCs w:val="18"/>
          <w:lang w:eastAsia="es-MX"/>
        </w:rPr>
        <w:t xml:space="preserve">En el sector social, </w:t>
      </w:r>
      <w:r w:rsidRPr="001A1527">
        <w:rPr>
          <w:rFonts w:ascii="Verdana" w:eastAsia="Calibri" w:hAnsi="Verdana" w:cs="Arial"/>
          <w:sz w:val="18"/>
          <w:szCs w:val="18"/>
          <w:lang w:val="es-MX" w:eastAsia="es-MX"/>
        </w:rPr>
        <w:t xml:space="preserve">la Agencia Nacional de Contratación Pública – Colombia Compra </w:t>
      </w:r>
      <w:r w:rsidRPr="001A1527">
        <w:rPr>
          <w:rFonts w:ascii="Verdana" w:eastAsia="Calibri" w:hAnsi="Verdana" w:cs="Arial"/>
          <w:sz w:val="18"/>
          <w:szCs w:val="18"/>
          <w:lang w:eastAsia="es-MX"/>
        </w:rPr>
        <w:t xml:space="preserve">Eficiente </w:t>
      </w:r>
      <w:r w:rsidRPr="001A1527">
        <w:rPr>
          <w:rFonts w:ascii="Verdana" w:eastAsia="Times New Roman" w:hAnsi="Verdana" w:cs="Times New Roman"/>
          <w:color w:val="000000"/>
          <w:sz w:val="18"/>
          <w:szCs w:val="18"/>
          <w:lang w:eastAsia="es-CO"/>
        </w:rPr>
        <w:t>en el segundo semestre del año 2025 adoptó las siguientes Resoluciones para contratar obra pública y concurso de méritos:</w:t>
      </w:r>
    </w:p>
    <w:p w14:paraId="6F08E009" w14:textId="77777777" w:rsidR="006B49B1" w:rsidRPr="001A1527" w:rsidRDefault="006B49B1" w:rsidP="006B49B1">
      <w:pPr>
        <w:spacing w:after="120" w:line="276" w:lineRule="auto"/>
        <w:ind w:firstLine="708"/>
        <w:jc w:val="both"/>
        <w:rPr>
          <w:rFonts w:ascii="Verdana" w:eastAsia="Times New Roman" w:hAnsi="Verdana" w:cs="Times New Roman"/>
          <w:color w:val="000000"/>
          <w:sz w:val="18"/>
          <w:szCs w:val="18"/>
          <w:lang w:eastAsia="es-CO"/>
        </w:rPr>
      </w:pPr>
      <w:r w:rsidRPr="001A1527">
        <w:rPr>
          <w:rFonts w:ascii="Verdana" w:eastAsia="Times New Roman" w:hAnsi="Verdana" w:cs="Times New Roman"/>
          <w:color w:val="000000"/>
          <w:sz w:val="18"/>
          <w:szCs w:val="18"/>
          <w:lang w:eastAsia="es-CO"/>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4287AE62" w14:textId="77777777" w:rsidR="006B49B1" w:rsidRPr="001A1527" w:rsidRDefault="006B49B1" w:rsidP="006B49B1">
      <w:pPr>
        <w:spacing w:after="120" w:line="276" w:lineRule="auto"/>
        <w:ind w:firstLine="708"/>
        <w:jc w:val="both"/>
        <w:rPr>
          <w:rFonts w:ascii="Verdana" w:eastAsia="Times New Roman" w:hAnsi="Verdana" w:cs="Times New Roman"/>
          <w:color w:val="000000"/>
          <w:sz w:val="18"/>
          <w:szCs w:val="18"/>
          <w:lang w:eastAsia="es-CO"/>
        </w:rPr>
      </w:pPr>
      <w:r w:rsidRPr="001A1527">
        <w:rPr>
          <w:rFonts w:ascii="Verdana" w:eastAsia="Times New Roman" w:hAnsi="Verdana" w:cs="Times New Roman"/>
          <w:color w:val="000000"/>
          <w:sz w:val="18"/>
          <w:szCs w:val="18"/>
          <w:lang w:eastAsia="es-CO"/>
        </w:rPr>
        <w:t xml:space="preserve"> ii)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6A39BBD7" w14:textId="77777777" w:rsidR="006B49B1" w:rsidRPr="001A1527" w:rsidRDefault="006B49B1" w:rsidP="006B49B1">
      <w:pPr>
        <w:spacing w:after="120" w:line="276" w:lineRule="auto"/>
        <w:ind w:firstLine="708"/>
        <w:jc w:val="both"/>
        <w:rPr>
          <w:rFonts w:ascii="Verdana" w:eastAsia="Times New Roman" w:hAnsi="Verdana" w:cs="Times New Roman"/>
          <w:color w:val="000000"/>
          <w:sz w:val="18"/>
          <w:szCs w:val="18"/>
          <w:lang w:eastAsia="es-CO"/>
        </w:rPr>
      </w:pPr>
      <w:r w:rsidRPr="001A1527">
        <w:rPr>
          <w:rFonts w:ascii="Verdana" w:eastAsia="Times New Roman" w:hAnsi="Verdana" w:cs="Times New Roman"/>
          <w:color w:val="000000"/>
          <w:sz w:val="18"/>
          <w:szCs w:val="18"/>
          <w:lang w:eastAsia="es-CO"/>
        </w:rPr>
        <w:t xml:space="preserve">iii)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43E829EE" w14:textId="77777777" w:rsidR="006B49B1" w:rsidRPr="001A1527" w:rsidRDefault="006B49B1" w:rsidP="006B49B1">
      <w:pPr>
        <w:spacing w:after="120" w:line="276" w:lineRule="auto"/>
        <w:ind w:firstLine="708"/>
        <w:jc w:val="both"/>
        <w:rPr>
          <w:rFonts w:ascii="Verdana" w:eastAsia="Times New Roman" w:hAnsi="Verdana" w:cs="Times New Roman"/>
          <w:color w:val="000000"/>
          <w:sz w:val="18"/>
          <w:szCs w:val="18"/>
          <w:lang w:eastAsia="es-CO"/>
        </w:rPr>
      </w:pPr>
      <w:r w:rsidRPr="001A1527">
        <w:rPr>
          <w:rFonts w:ascii="Verdana" w:eastAsia="Times New Roman" w:hAnsi="Verdana" w:cs="Times New Roman"/>
          <w:color w:val="000000"/>
          <w:sz w:val="18"/>
          <w:szCs w:val="18"/>
          <w:lang w:eastAsia="es-CO"/>
        </w:rPr>
        <w:t>iv)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3C9D6ED8" w14:textId="77777777" w:rsidR="006B49B1" w:rsidRPr="001A1527" w:rsidRDefault="006B49B1" w:rsidP="006B49B1">
      <w:pPr>
        <w:spacing w:after="120" w:line="276" w:lineRule="auto"/>
        <w:ind w:firstLine="708"/>
        <w:jc w:val="both"/>
        <w:rPr>
          <w:rFonts w:ascii="Verdana" w:eastAsia="Times New Roman" w:hAnsi="Verdana" w:cs="Times New Roman"/>
          <w:color w:val="000000"/>
          <w:sz w:val="18"/>
          <w:szCs w:val="18"/>
          <w:lang w:eastAsia="es-CO"/>
        </w:rPr>
      </w:pPr>
      <w:r w:rsidRPr="001A1527">
        <w:rPr>
          <w:rFonts w:ascii="Verdana" w:eastAsia="Times New Roman" w:hAnsi="Verdana" w:cs="Times New Roman"/>
          <w:color w:val="000000"/>
          <w:sz w:val="18"/>
          <w:szCs w:val="18"/>
          <w:lang w:eastAsia="es-CO"/>
        </w:rPr>
        <w:t>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1A1527">
        <w:rPr>
          <w:rFonts w:ascii="Verdana" w:eastAsia="Aptos" w:hAnsi="Verdana" w:cs="Times New Roman"/>
          <w:sz w:val="18"/>
          <w:szCs w:val="18"/>
          <w:lang w:eastAsia="es-MX"/>
        </w:rPr>
        <w:t xml:space="preserve"> </w:t>
      </w:r>
    </w:p>
    <w:p w14:paraId="7EB23712" w14:textId="77777777" w:rsidR="006B49B1" w:rsidRPr="001A1527" w:rsidRDefault="006B49B1" w:rsidP="006B49B1">
      <w:pPr>
        <w:pStyle w:val="Textonotapie"/>
        <w:ind w:firstLine="708"/>
        <w:jc w:val="both"/>
        <w:rPr>
          <w:rFonts w:ascii="Verdana" w:hAnsi="Verdana"/>
          <w:sz w:val="18"/>
          <w:szCs w:val="18"/>
          <w:lang w:val="es-CO"/>
        </w:rPr>
      </w:pPr>
    </w:p>
    <w:p w14:paraId="15F7AF3E" w14:textId="77777777" w:rsidR="006B49B1" w:rsidRPr="001A1527" w:rsidRDefault="006B49B1" w:rsidP="006B49B1">
      <w:pPr>
        <w:pStyle w:val="Textonotapie"/>
        <w:ind w:firstLine="708"/>
        <w:jc w:val="both"/>
        <w:rPr>
          <w:rFonts w:ascii="Verdana" w:hAnsi="Verdana"/>
          <w:sz w:val="18"/>
          <w:szCs w:val="18"/>
        </w:rPr>
      </w:pPr>
    </w:p>
  </w:footnote>
  <w:footnote w:id="3">
    <w:p w14:paraId="5A0AA12F" w14:textId="77777777" w:rsidR="006B49B1" w:rsidRPr="001A1527" w:rsidRDefault="006B49B1" w:rsidP="006B49B1">
      <w:pPr>
        <w:pStyle w:val="Textonotapie"/>
        <w:ind w:firstLine="708"/>
        <w:jc w:val="both"/>
        <w:rPr>
          <w:rFonts w:ascii="Verdana" w:hAnsi="Verdana"/>
          <w:sz w:val="18"/>
          <w:szCs w:val="18"/>
          <w:lang w:val="es-ES_tradnl"/>
        </w:rPr>
      </w:pPr>
      <w:r w:rsidRPr="001A1527">
        <w:rPr>
          <w:rStyle w:val="Refdenotaalpie"/>
          <w:rFonts w:ascii="Verdana" w:hAnsi="Verdana"/>
          <w:sz w:val="18"/>
          <w:szCs w:val="18"/>
        </w:rPr>
        <w:footnoteRef/>
      </w:r>
      <w:r w:rsidRPr="001A1527">
        <w:rPr>
          <w:rFonts w:ascii="Verdana" w:hAnsi="Verdana"/>
          <w:sz w:val="18"/>
          <w:szCs w:val="18"/>
        </w:rPr>
        <w:t xml:space="preserve"> </w:t>
      </w:r>
      <w:r w:rsidRPr="001A1527">
        <w:rPr>
          <w:rFonts w:ascii="Verdana" w:hAnsi="Verdana"/>
          <w:sz w:val="18"/>
          <w:szCs w:val="18"/>
          <w:lang w:val="es-ES_tradnl"/>
        </w:rPr>
        <w:t xml:space="preserve">El CEFE de Chapinero es una parque vertical para todos los bogotanos: </w:t>
      </w:r>
      <w:hyperlink r:id="rId2" w:history="1">
        <w:r w:rsidRPr="001A1527">
          <w:rPr>
            <w:rStyle w:val="Hipervnculo"/>
            <w:rFonts w:ascii="Verdana" w:hAnsi="Verdana"/>
            <w:sz w:val="18"/>
            <w:szCs w:val="18"/>
            <w:lang w:val="es-ES_tradnl"/>
          </w:rPr>
          <w:t>https://revistaaxxis.com.co/arquitectura/cefe-edificio-chapinero-bogota/</w:t>
        </w:r>
      </w:hyperlink>
      <w:r w:rsidRPr="001A1527">
        <w:rPr>
          <w:rFonts w:ascii="Verdana" w:hAnsi="Verdana"/>
          <w:sz w:val="18"/>
          <w:szCs w:val="18"/>
          <w:lang w:val="es-ES_tradnl"/>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4CF2202F"/>
    <w:multiLevelType w:val="hybridMultilevel"/>
    <w:tmpl w:val="6FD24FA6"/>
    <w:lvl w:ilvl="0" w:tplc="87322C86">
      <w:numFmt w:val="bullet"/>
      <w:lvlText w:val="-"/>
      <w:lvlJc w:val="left"/>
      <w:pPr>
        <w:ind w:left="1430" w:hanging="360"/>
      </w:pPr>
      <w:rPr>
        <w:rFonts w:ascii="Arial" w:eastAsiaTheme="minorHAnsi" w:hAnsi="Arial" w:cs="Arial" w:hint="default"/>
      </w:rPr>
    </w:lvl>
    <w:lvl w:ilvl="1" w:tplc="240A0003" w:tentative="1">
      <w:start w:val="1"/>
      <w:numFmt w:val="bullet"/>
      <w:lvlText w:val="o"/>
      <w:lvlJc w:val="left"/>
      <w:pPr>
        <w:ind w:left="2150" w:hanging="360"/>
      </w:pPr>
      <w:rPr>
        <w:rFonts w:ascii="Courier New" w:hAnsi="Courier New" w:cs="Courier New" w:hint="default"/>
      </w:rPr>
    </w:lvl>
    <w:lvl w:ilvl="2" w:tplc="240A0005" w:tentative="1">
      <w:start w:val="1"/>
      <w:numFmt w:val="bullet"/>
      <w:lvlText w:val=""/>
      <w:lvlJc w:val="left"/>
      <w:pPr>
        <w:ind w:left="2870" w:hanging="360"/>
      </w:pPr>
      <w:rPr>
        <w:rFonts w:ascii="Wingdings" w:hAnsi="Wingdings" w:hint="default"/>
      </w:rPr>
    </w:lvl>
    <w:lvl w:ilvl="3" w:tplc="240A0001" w:tentative="1">
      <w:start w:val="1"/>
      <w:numFmt w:val="bullet"/>
      <w:lvlText w:val=""/>
      <w:lvlJc w:val="left"/>
      <w:pPr>
        <w:ind w:left="3590" w:hanging="360"/>
      </w:pPr>
      <w:rPr>
        <w:rFonts w:ascii="Symbol" w:hAnsi="Symbol" w:hint="default"/>
      </w:rPr>
    </w:lvl>
    <w:lvl w:ilvl="4" w:tplc="240A0003" w:tentative="1">
      <w:start w:val="1"/>
      <w:numFmt w:val="bullet"/>
      <w:lvlText w:val="o"/>
      <w:lvlJc w:val="left"/>
      <w:pPr>
        <w:ind w:left="4310" w:hanging="360"/>
      </w:pPr>
      <w:rPr>
        <w:rFonts w:ascii="Courier New" w:hAnsi="Courier New" w:cs="Courier New" w:hint="default"/>
      </w:rPr>
    </w:lvl>
    <w:lvl w:ilvl="5" w:tplc="240A0005" w:tentative="1">
      <w:start w:val="1"/>
      <w:numFmt w:val="bullet"/>
      <w:lvlText w:val=""/>
      <w:lvlJc w:val="left"/>
      <w:pPr>
        <w:ind w:left="5030" w:hanging="360"/>
      </w:pPr>
      <w:rPr>
        <w:rFonts w:ascii="Wingdings" w:hAnsi="Wingdings" w:hint="default"/>
      </w:rPr>
    </w:lvl>
    <w:lvl w:ilvl="6" w:tplc="240A0001" w:tentative="1">
      <w:start w:val="1"/>
      <w:numFmt w:val="bullet"/>
      <w:lvlText w:val=""/>
      <w:lvlJc w:val="left"/>
      <w:pPr>
        <w:ind w:left="5750" w:hanging="360"/>
      </w:pPr>
      <w:rPr>
        <w:rFonts w:ascii="Symbol" w:hAnsi="Symbol" w:hint="default"/>
      </w:rPr>
    </w:lvl>
    <w:lvl w:ilvl="7" w:tplc="240A0003" w:tentative="1">
      <w:start w:val="1"/>
      <w:numFmt w:val="bullet"/>
      <w:lvlText w:val="o"/>
      <w:lvlJc w:val="left"/>
      <w:pPr>
        <w:ind w:left="6470" w:hanging="360"/>
      </w:pPr>
      <w:rPr>
        <w:rFonts w:ascii="Courier New" w:hAnsi="Courier New" w:cs="Courier New" w:hint="default"/>
      </w:rPr>
    </w:lvl>
    <w:lvl w:ilvl="8" w:tplc="240A0005" w:tentative="1">
      <w:start w:val="1"/>
      <w:numFmt w:val="bullet"/>
      <w:lvlText w:val=""/>
      <w:lvlJc w:val="left"/>
      <w:pPr>
        <w:ind w:left="719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1988700460">
    <w:abstractNumId w:val="9"/>
  </w:num>
  <w:num w:numId="17" w16cid:durableId="1207447697">
    <w:abstractNumId w:val="0"/>
  </w:num>
  <w:num w:numId="18" w16cid:durableId="7740573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2BA6"/>
    <w:rsid w:val="00061B2A"/>
    <w:rsid w:val="00082362"/>
    <w:rsid w:val="000827C9"/>
    <w:rsid w:val="000A683E"/>
    <w:rsid w:val="000A7CC6"/>
    <w:rsid w:val="000B19B9"/>
    <w:rsid w:val="000D0334"/>
    <w:rsid w:val="000D5DA7"/>
    <w:rsid w:val="000F6486"/>
    <w:rsid w:val="00116940"/>
    <w:rsid w:val="00125105"/>
    <w:rsid w:val="00127233"/>
    <w:rsid w:val="0015699B"/>
    <w:rsid w:val="001A33BF"/>
    <w:rsid w:val="001B342A"/>
    <w:rsid w:val="001E4177"/>
    <w:rsid w:val="001F0B24"/>
    <w:rsid w:val="001F7DC6"/>
    <w:rsid w:val="0022400B"/>
    <w:rsid w:val="002421BB"/>
    <w:rsid w:val="0025796E"/>
    <w:rsid w:val="002707A2"/>
    <w:rsid w:val="002951A0"/>
    <w:rsid w:val="002962BC"/>
    <w:rsid w:val="0029720A"/>
    <w:rsid w:val="002A093D"/>
    <w:rsid w:val="002A0DD0"/>
    <w:rsid w:val="002A49AC"/>
    <w:rsid w:val="002A64FD"/>
    <w:rsid w:val="002C7A84"/>
    <w:rsid w:val="002E2BF8"/>
    <w:rsid w:val="002E4827"/>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5189D"/>
    <w:rsid w:val="00466E39"/>
    <w:rsid w:val="004A1847"/>
    <w:rsid w:val="004A305D"/>
    <w:rsid w:val="004F21C4"/>
    <w:rsid w:val="004F685F"/>
    <w:rsid w:val="00506225"/>
    <w:rsid w:val="005566E8"/>
    <w:rsid w:val="00574867"/>
    <w:rsid w:val="00591460"/>
    <w:rsid w:val="005A65E0"/>
    <w:rsid w:val="005C3777"/>
    <w:rsid w:val="005C5CDC"/>
    <w:rsid w:val="005D476C"/>
    <w:rsid w:val="006200BF"/>
    <w:rsid w:val="006219F8"/>
    <w:rsid w:val="006302F7"/>
    <w:rsid w:val="00646B9F"/>
    <w:rsid w:val="006552ED"/>
    <w:rsid w:val="00665D70"/>
    <w:rsid w:val="006900D9"/>
    <w:rsid w:val="00690209"/>
    <w:rsid w:val="006B49B1"/>
    <w:rsid w:val="006F27C0"/>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34EA"/>
    <w:rsid w:val="00844AE9"/>
    <w:rsid w:val="00851C80"/>
    <w:rsid w:val="00867F95"/>
    <w:rsid w:val="008843B6"/>
    <w:rsid w:val="00891928"/>
    <w:rsid w:val="008A446D"/>
    <w:rsid w:val="008B25F1"/>
    <w:rsid w:val="008D180B"/>
    <w:rsid w:val="008F0EA7"/>
    <w:rsid w:val="00923EEF"/>
    <w:rsid w:val="009419F9"/>
    <w:rsid w:val="0095685E"/>
    <w:rsid w:val="00961B09"/>
    <w:rsid w:val="00965334"/>
    <w:rsid w:val="009675EB"/>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36412"/>
    <w:rsid w:val="00A75C79"/>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96722"/>
    <w:rsid w:val="00CB6357"/>
    <w:rsid w:val="00CC1B26"/>
    <w:rsid w:val="00D361FD"/>
    <w:rsid w:val="00D423A2"/>
    <w:rsid w:val="00D44E26"/>
    <w:rsid w:val="00D520D8"/>
    <w:rsid w:val="00D63AC2"/>
    <w:rsid w:val="00D7383B"/>
    <w:rsid w:val="00D7788A"/>
    <w:rsid w:val="00DA231B"/>
    <w:rsid w:val="00DC1531"/>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255A1"/>
    <w:rsid w:val="00F31EDC"/>
    <w:rsid w:val="00F462B3"/>
    <w:rsid w:val="00F5664F"/>
    <w:rsid w:val="00F666C4"/>
    <w:rsid w:val="00F76AFC"/>
    <w:rsid w:val="00FA47C0"/>
    <w:rsid w:val="00FB5DD1"/>
    <w:rsid w:val="00FC2B5D"/>
    <w:rsid w:val="00FF1449"/>
    <w:rsid w:val="00FF7963"/>
    <w:rsid w:val="071B8F93"/>
    <w:rsid w:val="07C73DD1"/>
    <w:rsid w:val="09908A09"/>
    <w:rsid w:val="0E0AF0F4"/>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0142983"/>
    <w:rsid w:val="74BA017B"/>
    <w:rsid w:val="7677286E"/>
    <w:rsid w:val="7874C517"/>
    <w:rsid w:val="7961FDA9"/>
    <w:rsid w:val="79A64A20"/>
    <w:rsid w:val="7BB183BC"/>
    <w:rsid w:val="7D2A1C47"/>
    <w:rsid w:val="7E6B61A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6B49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6B49B1"/>
    <w:pPr>
      <w:spacing w:after="0"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revistaaxxis.com.co/arquitectura/cefe-edificio-chapinero-bogota/" TargetMode="External"/><Relationship Id="rId1" Type="http://schemas.openxmlformats.org/officeDocument/2006/relationships/hyperlink" Target="https://revistaaxxis.com.co/arquitectura/cefe-edificio-chapinero-bogota/"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E010A7C8-920C-4C6C-A139-68230FB297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14</TotalTime>
  <Pages>24</Pages>
  <Words>7898</Words>
  <Characters>43444</Characters>
  <Application>Microsoft Office Word</Application>
  <DocSecurity>0</DocSecurity>
  <Lines>362</Lines>
  <Paragraphs>102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2026-07-08T11:08:00Z</dcterms:created>
  <dcterms:modified xsi:type="dcterms:W3CDTF">2026-07-15T23:41:00Z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