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A2B49" w14:textId="77777777" w:rsidR="009C0AD3" w:rsidRPr="00BD43CF" w:rsidRDefault="009C0AD3" w:rsidP="009C0AD3">
      <w:pPr>
        <w:spacing w:after="0" w:line="240" w:lineRule="auto"/>
        <w:contextualSpacing/>
        <w:rPr>
          <w:rFonts w:ascii="Verdana" w:eastAsia="Calibri" w:hAnsi="Verdana" w:cs="Arial"/>
          <w:b/>
          <w:color w:val="000000" w:themeColor="text1"/>
          <w:lang w:val="es-ES_tradnl"/>
        </w:rPr>
      </w:pPr>
      <w:r w:rsidRPr="00BD43CF">
        <w:rPr>
          <w:rFonts w:ascii="Verdana" w:eastAsia="Calibri" w:hAnsi="Verdana" w:cs="Arial"/>
          <w:b/>
          <w:color w:val="000000" w:themeColor="text1"/>
          <w:lang w:val="es-ES_tradnl"/>
        </w:rPr>
        <w:t>URGENCIA MANIFIESTA – Situación de calamidad o desastre - Noción</w:t>
      </w:r>
    </w:p>
    <w:p w14:paraId="4E9B4B3D" w14:textId="77777777" w:rsidR="009C0AD3" w:rsidRPr="00BD43CF" w:rsidRDefault="009C0AD3" w:rsidP="009C0AD3">
      <w:pPr>
        <w:spacing w:after="0" w:line="240" w:lineRule="auto"/>
        <w:contextualSpacing/>
        <w:rPr>
          <w:rFonts w:ascii="Verdana" w:eastAsia="Calibri" w:hAnsi="Verdana" w:cs="Arial"/>
          <w:b/>
          <w:bCs/>
          <w:color w:val="EE0000"/>
          <w:sz w:val="20"/>
          <w:szCs w:val="20"/>
          <w:lang w:val="es-ES_tradnl"/>
        </w:rPr>
      </w:pPr>
    </w:p>
    <w:p w14:paraId="36A23415" w14:textId="77777777" w:rsidR="009C0AD3" w:rsidRPr="00BD43CF" w:rsidRDefault="009C0AD3" w:rsidP="009C0AD3">
      <w:pPr>
        <w:spacing w:after="120" w:line="240" w:lineRule="auto"/>
        <w:jc w:val="both"/>
        <w:rPr>
          <w:rFonts w:ascii="Verdana" w:eastAsia="Calibri" w:hAnsi="Verdana" w:cs="Arial"/>
          <w:sz w:val="20"/>
          <w:szCs w:val="20"/>
          <w:lang w:val="es-ES_tradnl"/>
        </w:rPr>
      </w:pPr>
      <w:r w:rsidRPr="00BD43CF">
        <w:rPr>
          <w:rFonts w:ascii="Verdana" w:eastAsia="Calibri" w:hAnsi="Verdana" w:cs="Arial"/>
          <w:sz w:val="20"/>
          <w:szCs w:val="20"/>
          <w:lang w:val="es-ES_tradnl"/>
        </w:rPr>
        <w:t xml:space="preserve">El artículo 42 de la Ley 80 de 1993 dispone que la urgencia manifiesta se declara, entre otras tres (3) circunstancias, con la finalidad de “[…] conjurar situaciones excepcionales relacionadas con hechos de calamidad o constitutivos de fuerza mayor o desastre que demanden actuaciones inmediatas […]”. Para delimitar estas expresiones, el artículo 28 del Código Civil dispone que “Las palabras de la ley se entenderán en su sentido natural y obvio, según el uso general de las mismas palabras; pero cuando el legislador las haya definido expresamente para ciertas materias, se les dará en éstas su significado legal”. Y resulta que en la medida en que la norma utiliza la conjunción “o”, en principio asimilaría la calamidad y el desastre con la fuerza mayor o el caso fortuito. </w:t>
      </w:r>
    </w:p>
    <w:p w14:paraId="07B4EA11" w14:textId="77777777" w:rsidR="009C0AD3" w:rsidRPr="00BD43CF" w:rsidRDefault="009C0AD3" w:rsidP="009C0AD3">
      <w:pPr>
        <w:spacing w:after="0" w:line="240" w:lineRule="auto"/>
        <w:jc w:val="both"/>
        <w:rPr>
          <w:rFonts w:ascii="Verdana" w:eastAsia="Calibri" w:hAnsi="Verdana" w:cs="Arial"/>
          <w:sz w:val="20"/>
          <w:szCs w:val="20"/>
          <w:lang w:val="es-ES_tradnl"/>
        </w:rPr>
      </w:pPr>
      <w:r w:rsidRPr="00BD43CF">
        <w:rPr>
          <w:rFonts w:ascii="Verdana" w:eastAsia="Calibri" w:hAnsi="Verdana" w:cs="Arial"/>
          <w:sz w:val="20"/>
          <w:szCs w:val="20"/>
          <w:lang w:val="es-ES_tradnl"/>
        </w:rPr>
        <w:t>Al respecto, el artículo 64 del Código Civil define como tal “[…] el imprevisto o que no es posible resistir, como un naufragio, un terremoto, el apresamiento de enemigos, los actos de autoridad ejercidos por un funcionario público, etc.”. Cuando provienen de fenómenos de la naturaleza estas características confluyen con los conceptos de desastre y calamidad, los cuales –conforme al Diccionario de la Real Academia Española– constituyen una “Desgracia grande, suceso infeliz y lamentable” o “Desgracia o infortunio que alcanza a muchas personas”, respectivamente. Conforme al significado natural de las palabras, parece que la diferencia es el mayor alcance de la segunda respecto al primero. No obstante, además de la ocurrencia de desastres y calamidades que –aunque irresistibles– se presentan con cierto grado de previsibilidad o que, incluso, se originan en la actuación humana intencional, estos dos conceptos también los definió el artículo 4, numerales 5 y 8, de la Ley 1523 de 2012. […]</w:t>
      </w:r>
    </w:p>
    <w:p w14:paraId="428438E3" w14:textId="77777777" w:rsidR="009C0AD3" w:rsidRPr="00BD43CF" w:rsidRDefault="009C0AD3" w:rsidP="009C0AD3">
      <w:pPr>
        <w:spacing w:after="0"/>
        <w:jc w:val="both"/>
        <w:rPr>
          <w:rFonts w:ascii="Verdana" w:eastAsia="Verdana" w:hAnsi="Verdana" w:cs="Verdana"/>
          <w:b/>
          <w:color w:val="EE0000"/>
        </w:rPr>
      </w:pPr>
    </w:p>
    <w:p w14:paraId="65872478" w14:textId="77777777" w:rsidR="009C0AD3" w:rsidRPr="00BD43CF" w:rsidRDefault="009C0AD3" w:rsidP="009C0AD3">
      <w:pPr>
        <w:spacing w:after="0" w:line="240" w:lineRule="auto"/>
        <w:contextualSpacing/>
        <w:jc w:val="both"/>
        <w:rPr>
          <w:rFonts w:ascii="Verdana" w:eastAsia="Calibri" w:hAnsi="Verdana" w:cs="Arial"/>
          <w:b/>
          <w:color w:val="000000" w:themeColor="text1"/>
          <w:lang w:val="es-ES_tradnl"/>
        </w:rPr>
      </w:pPr>
      <w:r w:rsidRPr="00BD43CF">
        <w:rPr>
          <w:rFonts w:ascii="Verdana" w:eastAsia="Calibri" w:hAnsi="Verdana" w:cs="Arial"/>
          <w:b/>
          <w:color w:val="000000" w:themeColor="text1"/>
          <w:lang w:val="es-ES_tradnl"/>
        </w:rPr>
        <w:t>URGENCIA MANIFIESTA – Situación de calamidad o desastre – Declaración de ocurrencia</w:t>
      </w:r>
    </w:p>
    <w:p w14:paraId="0C8EFECA" w14:textId="77777777" w:rsidR="009C0AD3" w:rsidRPr="00BD43CF" w:rsidRDefault="009C0AD3" w:rsidP="009C0AD3">
      <w:pPr>
        <w:spacing w:after="0" w:line="240" w:lineRule="auto"/>
        <w:contextualSpacing/>
        <w:jc w:val="both"/>
        <w:rPr>
          <w:rFonts w:ascii="Verdana" w:eastAsia="Calibri" w:hAnsi="Verdana" w:cs="Arial"/>
          <w:b/>
          <w:bCs/>
          <w:color w:val="EE0000"/>
          <w:lang w:val="es-ES_tradnl"/>
        </w:rPr>
      </w:pPr>
    </w:p>
    <w:p w14:paraId="64D15423" w14:textId="77777777" w:rsidR="009C0AD3" w:rsidRPr="00BD43CF" w:rsidRDefault="009C0AD3" w:rsidP="009C0AD3">
      <w:pPr>
        <w:spacing w:after="0" w:line="240" w:lineRule="auto"/>
        <w:contextualSpacing/>
        <w:jc w:val="both"/>
        <w:rPr>
          <w:rFonts w:ascii="Verdana" w:eastAsia="Calibri" w:hAnsi="Verdana" w:cs="Arial"/>
          <w:sz w:val="20"/>
          <w:szCs w:val="20"/>
          <w:lang w:val="es-ES"/>
        </w:rPr>
      </w:pPr>
      <w:r w:rsidRPr="00BD43CF">
        <w:rPr>
          <w:rFonts w:ascii="Verdana" w:eastAsia="Calibri" w:hAnsi="Verdana" w:cs="Arial"/>
          <w:sz w:val="20"/>
          <w:szCs w:val="20"/>
          <w:lang w:val="es-ES_tradnl"/>
        </w:rPr>
        <w:t xml:space="preserve">[…] </w:t>
      </w:r>
      <w:r w:rsidRPr="00BD43CF">
        <w:rPr>
          <w:rFonts w:ascii="Verdana" w:eastAsia="Calibri" w:hAnsi="Verdana" w:cs="Arial"/>
          <w:sz w:val="20"/>
          <w:szCs w:val="20"/>
          <w:lang w:val="es-ES"/>
        </w:rPr>
        <w:t xml:space="preserve">debe armonizarse con los artículos 56 y 57 ibidem, que asignan la competencia para declarar la ocurrencia de una situación de desastre o una situación de calamidad pública. Particularmente, disponen que al Presidente de la República le corresponde declarar la situación de desastre, tanto en el orden nacional, departamental, como en el municipal y distrital, facultad que no pueden ejercer los gobernadores y alcaldes, porque la norma no les asignó esta competencia. No obstante, a los gobernadores y alcaldes sí les corresponde declarar la situación de calamidad pública, en los respectivos ámbitos, facultad que, en cambio, no puede ejercer el presidente de la república. </w:t>
      </w:r>
    </w:p>
    <w:p w14:paraId="4D95AADD" w14:textId="77777777" w:rsidR="009C0AD3" w:rsidRPr="00BD43CF" w:rsidRDefault="009C0AD3" w:rsidP="009C0AD3">
      <w:pPr>
        <w:spacing w:after="0" w:line="240" w:lineRule="auto"/>
        <w:contextualSpacing/>
        <w:jc w:val="both"/>
        <w:rPr>
          <w:rFonts w:ascii="Verdana" w:eastAsia="Calibri" w:hAnsi="Verdana" w:cs="Arial"/>
          <w:sz w:val="20"/>
          <w:szCs w:val="20"/>
          <w:lang w:val="es-ES"/>
        </w:rPr>
      </w:pPr>
    </w:p>
    <w:p w14:paraId="01C8CC90" w14:textId="77777777" w:rsidR="009C0AD3" w:rsidRPr="00BD43CF" w:rsidRDefault="009C0AD3" w:rsidP="009C0AD3">
      <w:pPr>
        <w:spacing w:after="0" w:line="240" w:lineRule="auto"/>
        <w:contextualSpacing/>
        <w:jc w:val="both"/>
        <w:rPr>
          <w:rFonts w:ascii="Verdana" w:eastAsia="Calibri" w:hAnsi="Verdana" w:cs="Arial"/>
          <w:sz w:val="20"/>
          <w:szCs w:val="20"/>
          <w:lang w:val="es-ES"/>
        </w:rPr>
      </w:pPr>
      <w:r w:rsidRPr="00BD43CF">
        <w:rPr>
          <w:rFonts w:ascii="Verdana" w:eastAsia="Calibri" w:hAnsi="Verdana" w:cs="Arial"/>
          <w:sz w:val="20"/>
          <w:szCs w:val="20"/>
          <w:lang w:val="es-ES_tradnl"/>
        </w:rPr>
        <w:t xml:space="preserve">De esta manera, una vez se declara la situación de calamidad o la situación de desastre bajo los criterios señalados en el artículo 59 de la Ley 1523 de 2012, por parte de la autoridad competente, las demás entidades estatales –de conformidad con el artículo 42 de la Ley 80 de 1993– quedan facultadas para declarar, a continuación, la causal de contratación directa denominada “urgencia manifiesta”, mediante un acto administrativo propio, autónomo, que tiene como fundamento fáctico y jurídico la declaración de situación de calamidad o la situación de desastre. </w:t>
      </w:r>
    </w:p>
    <w:p w14:paraId="0F5C4F7C" w14:textId="77777777" w:rsidR="009C0AD3" w:rsidRPr="00BD43CF" w:rsidRDefault="009C0AD3" w:rsidP="009C0AD3">
      <w:pPr>
        <w:spacing w:after="0"/>
        <w:rPr>
          <w:rFonts w:ascii="Verdana" w:hAnsi="Verdana"/>
          <w:color w:val="EE0000"/>
          <w:lang w:val="es-ES_tradnl"/>
        </w:rPr>
      </w:pPr>
    </w:p>
    <w:p w14:paraId="6362111A" w14:textId="77777777" w:rsidR="009C0AD3" w:rsidRPr="00BD43CF" w:rsidRDefault="009C0AD3" w:rsidP="009C0AD3">
      <w:pPr>
        <w:spacing w:after="0" w:line="240" w:lineRule="auto"/>
        <w:rPr>
          <w:rFonts w:ascii="Verdana" w:eastAsia="Geomanist Light" w:hAnsi="Verdana" w:cs="Arial"/>
          <w:color w:val="000000" w:themeColor="text1"/>
          <w:sz w:val="20"/>
          <w:szCs w:val="20"/>
          <w:lang w:val="es-ES_tradnl"/>
        </w:rPr>
      </w:pPr>
    </w:p>
    <w:p w14:paraId="4437071C" w14:textId="77777777" w:rsidR="009C0AD3" w:rsidRPr="00BD43CF" w:rsidRDefault="009C0AD3" w:rsidP="009C0AD3">
      <w:pPr>
        <w:spacing w:after="0" w:line="240" w:lineRule="auto"/>
        <w:jc w:val="both"/>
        <w:rPr>
          <w:rFonts w:ascii="Verdana" w:eastAsia="Calibri" w:hAnsi="Verdana" w:cs="Arial"/>
          <w:b/>
          <w:lang w:val="es-ES_tradnl"/>
        </w:rPr>
      </w:pPr>
      <w:r w:rsidRPr="00BD43CF">
        <w:rPr>
          <w:rFonts w:ascii="Verdana" w:eastAsia="Calibri" w:hAnsi="Verdana" w:cs="Arial"/>
          <w:b/>
          <w:lang w:val="es-ES_tradnl"/>
        </w:rPr>
        <w:lastRenderedPageBreak/>
        <w:t>CALAMIDAD Y DESASTRE – Fondo Nacional de Gestión de Riesgo</w:t>
      </w:r>
    </w:p>
    <w:p w14:paraId="0E188FE5" w14:textId="77777777" w:rsidR="009C0AD3" w:rsidRPr="00BD43CF" w:rsidRDefault="009C0AD3" w:rsidP="009C0AD3">
      <w:pPr>
        <w:spacing w:after="120" w:line="240" w:lineRule="auto"/>
        <w:jc w:val="both"/>
        <w:rPr>
          <w:rFonts w:ascii="Verdana" w:eastAsia="Calibri" w:hAnsi="Verdana" w:cs="Arial"/>
          <w:b/>
          <w:bCs/>
          <w:color w:val="EE0000"/>
          <w:sz w:val="20"/>
          <w:szCs w:val="20"/>
          <w:lang w:val="es-ES_tradnl" w:eastAsia="es-ES"/>
        </w:rPr>
      </w:pPr>
    </w:p>
    <w:p w14:paraId="5F550C0C" w14:textId="77777777" w:rsidR="009C0AD3" w:rsidRPr="00BD43CF" w:rsidRDefault="009C0AD3" w:rsidP="009C0AD3">
      <w:pPr>
        <w:spacing w:after="120" w:line="240" w:lineRule="auto"/>
        <w:jc w:val="both"/>
        <w:rPr>
          <w:rFonts w:ascii="Verdana" w:eastAsia="Calibri" w:hAnsi="Verdana" w:cs="Arial"/>
          <w:sz w:val="20"/>
          <w:szCs w:val="20"/>
          <w:lang w:val="es-ES"/>
        </w:rPr>
      </w:pPr>
      <w:r w:rsidRPr="00BD43CF">
        <w:rPr>
          <w:rFonts w:ascii="Verdana" w:eastAsia="Calibri" w:hAnsi="Verdana" w:cs="Arial"/>
          <w:sz w:val="20"/>
          <w:szCs w:val="20"/>
          <w:lang w:val="es-ES"/>
        </w:rPr>
        <w:t xml:space="preserve">[…] Si bien la necesidad de contar con los dos actos administrativos anteriormente mencionados es un principio general, para el común de las entidades estatales, es necesario considerar el matiz introducido por el artículo 66 de la Ley 1523 de 2012, hipótesis en la cual basta declarar la situación de desastre o la situación de calamidad pública para contratar con el derecho privado, y los principios de la función administrativa y de la gestión fiscal. </w:t>
      </w:r>
    </w:p>
    <w:p w14:paraId="5CBC099D" w14:textId="77777777" w:rsidR="009C0AD3" w:rsidRPr="00BD43CF" w:rsidRDefault="009C0AD3" w:rsidP="009C0AD3">
      <w:pPr>
        <w:spacing w:after="120" w:line="240" w:lineRule="auto"/>
        <w:jc w:val="both"/>
        <w:rPr>
          <w:rFonts w:ascii="Verdana" w:eastAsia="Calibri" w:hAnsi="Verdana" w:cs="Arial"/>
          <w:sz w:val="20"/>
          <w:szCs w:val="20"/>
          <w:lang w:val="es-ES"/>
        </w:rPr>
      </w:pPr>
      <w:r w:rsidRPr="00BD43CF">
        <w:rPr>
          <w:rFonts w:ascii="Verdana" w:eastAsia="Calibri" w:hAnsi="Verdana" w:cs="Arial"/>
          <w:sz w:val="20"/>
          <w:szCs w:val="20"/>
          <w:lang w:val="es-ES_tradnl"/>
        </w:rPr>
        <w:t>La interpretación de esta norma supone tener en cuenta que, de conformidad con el artículo 47, se constituyó el Fondo Nacional de Gestión de Riesgo de Desastres como un patrimonio autónomo –artículo 49–, administrado y representado en los términos del artículo 3° del Decreto 1547 de 1984 –modificado por el artículo 70 de Decreto-ley 919 de 1989  (artículo 48)–, destinado a adoptar medidas de conocimiento y reducción del riesgo de desastres, preparación, respuesta, rehabilitación y reconstrucción, a través de mecanismos de financiación dirigidos a las entidades involucradas en los procesos y a la población afectada por la ocurrencia de desastres, cuyo régimen contractual es el de las empresas industriales y comerciales, sin perjuicio de las facultades especiales para atender situaciones de desastres y evitar la extensión de los efectos –parágrafo 3 del artículo 50–. […]</w:t>
      </w:r>
    </w:p>
    <w:p w14:paraId="34C9C366" w14:textId="77777777" w:rsidR="009C0AD3" w:rsidRPr="00BD43CF" w:rsidRDefault="009C0AD3" w:rsidP="009C0AD3">
      <w:pPr>
        <w:spacing w:after="0"/>
        <w:rPr>
          <w:rFonts w:ascii="Verdana" w:hAnsi="Verdana"/>
          <w:color w:val="EE0000"/>
          <w:lang w:val="es-ES_tradnl"/>
        </w:rPr>
      </w:pPr>
    </w:p>
    <w:p w14:paraId="3B59E118" w14:textId="77777777" w:rsidR="009C0AD3" w:rsidRPr="00BD43CF" w:rsidRDefault="009C0AD3" w:rsidP="009C0AD3">
      <w:pPr>
        <w:spacing w:after="0" w:line="240" w:lineRule="auto"/>
        <w:jc w:val="both"/>
        <w:rPr>
          <w:rFonts w:ascii="Verdana" w:eastAsia="Calibri" w:hAnsi="Verdana" w:cs="Arial"/>
          <w:b/>
          <w:lang w:val="es-ES"/>
        </w:rPr>
      </w:pPr>
      <w:r w:rsidRPr="00BD43CF">
        <w:rPr>
          <w:rFonts w:ascii="Verdana" w:eastAsia="Calibri" w:hAnsi="Verdana" w:cs="Arial"/>
          <w:b/>
          <w:lang w:val="es-ES"/>
        </w:rPr>
        <w:t>ENTIDADES EXCEPTUADAS – Aplicación de normas de derecho público</w:t>
      </w:r>
    </w:p>
    <w:p w14:paraId="021D22AD" w14:textId="77777777" w:rsidR="009C0AD3" w:rsidRPr="00BD43CF" w:rsidRDefault="009C0AD3" w:rsidP="009C0AD3">
      <w:pPr>
        <w:spacing w:after="0" w:line="240" w:lineRule="auto"/>
        <w:jc w:val="both"/>
        <w:rPr>
          <w:rFonts w:ascii="Verdana" w:hAnsi="Verdana" w:cs="Arial"/>
          <w:bCs/>
        </w:rPr>
      </w:pPr>
    </w:p>
    <w:p w14:paraId="32C7E8DE" w14:textId="77777777" w:rsidR="009C0AD3" w:rsidRPr="00BD43CF" w:rsidRDefault="009C0AD3" w:rsidP="009C0AD3">
      <w:pPr>
        <w:spacing w:after="0" w:line="240" w:lineRule="auto"/>
        <w:jc w:val="both"/>
        <w:rPr>
          <w:rFonts w:ascii="Verdana" w:hAnsi="Verdana" w:cs="Arial"/>
          <w:bCs/>
          <w:sz w:val="20"/>
          <w:szCs w:val="20"/>
        </w:rPr>
      </w:pPr>
      <w:r w:rsidRPr="00BD43CF">
        <w:rPr>
          <w:rFonts w:ascii="Verdana" w:hAnsi="Verdana" w:cs="Arial"/>
          <w:bCs/>
          <w:sz w:val="20"/>
          <w:szCs w:val="20"/>
        </w:rPr>
        <w:t xml:space="preserve">[…] No obstante, aunque tenga una influencia limitada, las </w:t>
      </w:r>
      <w:r w:rsidRPr="00BD43CF">
        <w:rPr>
          <w:rFonts w:ascii="Verdana" w:hAnsi="Verdana" w:cs="Arial"/>
          <w:bCs/>
          <w:i/>
          <w:iCs/>
          <w:sz w:val="20"/>
          <w:szCs w:val="20"/>
        </w:rPr>
        <w:t>entidades del régimen exceptuado</w:t>
      </w:r>
      <w:r w:rsidRPr="00BD43CF">
        <w:rPr>
          <w:rFonts w:ascii="Verdana" w:hAnsi="Verdana" w:cs="Arial"/>
          <w:bCs/>
          <w:sz w:val="20"/>
          <w:szCs w:val="20"/>
        </w:rPr>
        <w:t xml:space="preserve"> no se deslingan por completo de las normas de derecho público. Esto en la medida que el inciso primero del artículo 13 de la Ley 1150 de 2007 prescribe lo siguiente: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3A3D51F6" w14:textId="77777777" w:rsidR="009C0AD3" w:rsidRPr="00BD43CF" w:rsidRDefault="009C0AD3" w:rsidP="009C0AD3">
      <w:pPr>
        <w:spacing w:after="0" w:line="240" w:lineRule="auto"/>
        <w:jc w:val="both"/>
        <w:rPr>
          <w:rFonts w:ascii="Verdana" w:hAnsi="Verdana" w:cs="Arial"/>
          <w:bCs/>
          <w:sz w:val="20"/>
          <w:szCs w:val="20"/>
        </w:rPr>
      </w:pPr>
    </w:p>
    <w:p w14:paraId="5D7E1585" w14:textId="77777777" w:rsidR="009C0AD3" w:rsidRPr="00BD43CF" w:rsidRDefault="009C0AD3" w:rsidP="009C0AD3">
      <w:pPr>
        <w:spacing w:after="0" w:line="240" w:lineRule="auto"/>
        <w:jc w:val="both"/>
        <w:rPr>
          <w:rFonts w:ascii="Verdana" w:hAnsi="Verdana" w:cs="Arial"/>
          <w:bCs/>
          <w:sz w:val="20"/>
          <w:szCs w:val="20"/>
        </w:rPr>
      </w:pPr>
      <w:r w:rsidRPr="00BD43CF">
        <w:rPr>
          <w:rFonts w:ascii="Verdana" w:eastAsia="Calibri" w:hAnsi="Verdana" w:cs="Arial"/>
          <w:color w:val="000000" w:themeColor="text1"/>
          <w:sz w:val="20"/>
          <w:szCs w:val="20"/>
          <w:lang w:val="es-ES"/>
        </w:rPr>
        <w:t>Las entidades de régimen especial son aquellas que, por expresa disposición legal y por su naturaleza o situación de competencia, tienen condiciones diferenciales respecto de la normativa de contratación pública. Esto quiere decir que no están sometidas al Estatuto General de Contratación de la Administración Pública, y por ende sus procedimientos contractuales tienen su normativa propia para su desarrollo, esto es, el derecho privado, lo cual está determinado en las normas de creación de las entidades de régimen especial y en sus manuales de contratación. […]</w:t>
      </w:r>
    </w:p>
    <w:p w14:paraId="490C7046" w14:textId="77777777" w:rsidR="009C0AD3" w:rsidRPr="00BD43CF" w:rsidRDefault="009C0AD3" w:rsidP="009C0AD3">
      <w:pPr>
        <w:spacing w:after="120" w:line="276" w:lineRule="auto"/>
        <w:jc w:val="both"/>
        <w:rPr>
          <w:rFonts w:ascii="Verdana" w:eastAsia="Times New Roman" w:hAnsi="Verdana" w:cs="Arial"/>
          <w:color w:val="EE0000"/>
          <w:sz w:val="20"/>
          <w:szCs w:val="20"/>
          <w:lang w:val="es-ES" w:eastAsia="es-CO"/>
        </w:rPr>
      </w:pPr>
    </w:p>
    <w:p w14:paraId="7D3C08EA" w14:textId="77777777" w:rsidR="009C0AD3" w:rsidRPr="00BD43CF" w:rsidRDefault="009C0AD3" w:rsidP="009C0AD3">
      <w:pPr>
        <w:spacing w:after="0" w:line="240" w:lineRule="auto"/>
        <w:rPr>
          <w:rFonts w:ascii="Verdana" w:hAnsi="Verdana"/>
        </w:rPr>
      </w:pPr>
    </w:p>
    <w:p w14:paraId="032EF0E6" w14:textId="77777777" w:rsidR="009C0AD3" w:rsidRPr="00BD43CF" w:rsidRDefault="009C0AD3" w:rsidP="009C0AD3">
      <w:pPr>
        <w:spacing w:after="0" w:line="240" w:lineRule="auto"/>
        <w:rPr>
          <w:rFonts w:ascii="Verdana" w:hAnsi="Verdana"/>
        </w:rPr>
      </w:pPr>
    </w:p>
    <w:p w14:paraId="3ADC4CA5" w14:textId="3D4A3BAA" w:rsidR="009C0AD3" w:rsidRPr="00BD43CF" w:rsidRDefault="009C0AD3" w:rsidP="009C0AD3">
      <w:pPr>
        <w:spacing w:after="0" w:line="240" w:lineRule="auto"/>
        <w:rPr>
          <w:rFonts w:ascii="Verdana" w:hAnsi="Verdana"/>
        </w:rPr>
      </w:pPr>
      <w:r w:rsidRPr="00BD43CF">
        <w:rPr>
          <w:rFonts w:ascii="Verdana" w:hAnsi="Verdana"/>
        </w:rPr>
        <w:lastRenderedPageBreak/>
        <w:t xml:space="preserve">Bogotá D.C., </w:t>
      </w:r>
      <w:r w:rsidR="00231DAF">
        <w:rPr>
          <w:rFonts w:ascii="Verdana" w:hAnsi="Verdana"/>
        </w:rPr>
        <w:t xml:space="preserve">10 Junio 2026 </w:t>
      </w:r>
    </w:p>
    <w:p w14:paraId="30752C6A" w14:textId="178C5A04" w:rsidR="009C0AD3" w:rsidRPr="00BD43CF" w:rsidRDefault="009C0AD3" w:rsidP="009C0AD3">
      <w:pPr>
        <w:spacing w:after="0" w:line="240" w:lineRule="auto"/>
        <w:rPr>
          <w:rFonts w:ascii="Verdana" w:hAnsi="Verdana"/>
          <w:color w:val="EE0000"/>
          <w:lang w:val="es-ES"/>
        </w:rPr>
      </w:pPr>
    </w:p>
    <w:p w14:paraId="1A359A27" w14:textId="7E65FA81" w:rsidR="009C0AD3" w:rsidRPr="00BD43CF" w:rsidRDefault="00231DAF" w:rsidP="009C0AD3">
      <w:pPr>
        <w:spacing w:after="0" w:line="240" w:lineRule="auto"/>
        <w:rPr>
          <w:rFonts w:ascii="Verdana" w:eastAsia="Calibri" w:hAnsi="Verdana" w:cs="Arial"/>
          <w:lang w:val="es-ES" w:eastAsia="es-ES"/>
        </w:rPr>
      </w:pPr>
      <w:bookmarkStart w:id="0" w:name="_Hlk143780582"/>
      <w:r w:rsidRPr="00231DAF">
        <w:rPr>
          <w:rFonts w:ascii="Verdana" w:hAnsi="Verdana"/>
          <w:noProof/>
        </w:rPr>
        <w:drawing>
          <wp:anchor distT="0" distB="0" distL="114300" distR="114300" simplePos="0" relativeHeight="251658240" behindDoc="1" locked="0" layoutInCell="1" allowOverlap="1" wp14:anchorId="66F6531A" wp14:editId="29483544">
            <wp:simplePos x="0" y="0"/>
            <wp:positionH relativeFrom="margin">
              <wp:align>right</wp:align>
            </wp:positionH>
            <wp:positionV relativeFrom="paragraph">
              <wp:posOffset>11734</wp:posOffset>
            </wp:positionV>
            <wp:extent cx="2560320" cy="686271"/>
            <wp:effectExtent l="0" t="0" r="0" b="0"/>
            <wp:wrapNone/>
            <wp:docPr id="1107578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7881" name=""/>
                    <pic:cNvPicPr/>
                  </pic:nvPicPr>
                  <pic:blipFill>
                    <a:blip r:embed="rId10">
                      <a:extLst>
                        <a:ext uri="{28A0092B-C50C-407E-A947-70E740481C1C}">
                          <a14:useLocalDpi xmlns:a14="http://schemas.microsoft.com/office/drawing/2010/main" val="0"/>
                        </a:ext>
                      </a:extLst>
                    </a:blip>
                    <a:stretch>
                      <a:fillRect/>
                    </a:stretch>
                  </pic:blipFill>
                  <pic:spPr>
                    <a:xfrm>
                      <a:off x="0" y="0"/>
                      <a:ext cx="2560320" cy="686271"/>
                    </a:xfrm>
                    <a:prstGeom prst="rect">
                      <a:avLst/>
                    </a:prstGeom>
                  </pic:spPr>
                </pic:pic>
              </a:graphicData>
            </a:graphic>
            <wp14:sizeRelH relativeFrom="margin">
              <wp14:pctWidth>0</wp14:pctWidth>
            </wp14:sizeRelH>
            <wp14:sizeRelV relativeFrom="margin">
              <wp14:pctHeight>0</wp14:pctHeight>
            </wp14:sizeRelV>
          </wp:anchor>
        </w:drawing>
      </w:r>
      <w:r w:rsidR="009C0AD3" w:rsidRPr="00BD43CF">
        <w:rPr>
          <w:rFonts w:ascii="Verdana" w:eastAsia="Calibri" w:hAnsi="Verdana" w:cs="Arial"/>
          <w:lang w:val="es-ES" w:eastAsia="es-ES"/>
        </w:rPr>
        <w:t>Señor</w:t>
      </w:r>
    </w:p>
    <w:p w14:paraId="15679420" w14:textId="77777777" w:rsidR="009C0AD3" w:rsidRPr="00BD43CF" w:rsidRDefault="009C0AD3" w:rsidP="009C0AD3">
      <w:pPr>
        <w:spacing w:after="0" w:line="240" w:lineRule="auto"/>
        <w:rPr>
          <w:rFonts w:ascii="Verdana" w:hAnsi="Verdana"/>
        </w:rPr>
      </w:pPr>
      <w:r w:rsidRPr="00BD43CF">
        <w:rPr>
          <w:rFonts w:ascii="Verdana" w:eastAsia="Calibri" w:hAnsi="Verdana" w:cs="Arial"/>
          <w:b/>
          <w:bCs/>
          <w:lang w:eastAsia="es-ES"/>
        </w:rPr>
        <w:t>Guillermo Ardila</w:t>
      </w:r>
    </w:p>
    <w:p w14:paraId="41AA4DD1" w14:textId="77777777" w:rsidR="009C0AD3" w:rsidRPr="00BD43CF" w:rsidRDefault="009C0AD3" w:rsidP="009C0AD3">
      <w:pPr>
        <w:spacing w:after="0" w:line="240" w:lineRule="auto"/>
        <w:rPr>
          <w:rFonts w:ascii="Verdana" w:eastAsia="Calibri" w:hAnsi="Verdana" w:cs="Arial"/>
          <w:color w:val="EE0000"/>
          <w:lang w:eastAsia="es-ES"/>
        </w:rPr>
      </w:pPr>
      <w:hyperlink r:id="rId11" w:history="1">
        <w:r w:rsidRPr="00BD43CF">
          <w:rPr>
            <w:rStyle w:val="Hipervnculo"/>
            <w:rFonts w:ascii="Verdana" w:eastAsia="Calibri" w:hAnsi="Verdana" w:cs="Arial"/>
            <w:lang w:eastAsia="es-ES"/>
          </w:rPr>
          <w:t>limineoriente@gmail.com</w:t>
        </w:r>
      </w:hyperlink>
      <w:r w:rsidRPr="00BD43CF">
        <w:rPr>
          <w:rFonts w:ascii="Verdana" w:eastAsia="Calibri" w:hAnsi="Verdana" w:cs="Arial"/>
          <w:color w:val="EE0000"/>
          <w:lang w:eastAsia="es-ES"/>
        </w:rPr>
        <w:t xml:space="preserve"> </w:t>
      </w:r>
    </w:p>
    <w:p w14:paraId="3D781BA0" w14:textId="77777777" w:rsidR="009C0AD3" w:rsidRPr="00BD43CF" w:rsidRDefault="009C0AD3" w:rsidP="009C0AD3">
      <w:pPr>
        <w:spacing w:after="0" w:line="240" w:lineRule="auto"/>
        <w:rPr>
          <w:rFonts w:ascii="Verdana" w:eastAsia="Calibri" w:hAnsi="Verdana" w:cs="Arial"/>
          <w:lang w:val="es-ES" w:eastAsia="es-ES"/>
        </w:rPr>
      </w:pPr>
      <w:r w:rsidRPr="00BD43CF">
        <w:rPr>
          <w:rFonts w:ascii="Verdana" w:eastAsia="Calibri" w:hAnsi="Verdana" w:cs="Arial"/>
          <w:lang w:val="es-ES" w:eastAsia="es-ES"/>
        </w:rPr>
        <w:t>Bogotá D.C</w:t>
      </w:r>
    </w:p>
    <w:p w14:paraId="43C894A7" w14:textId="77777777" w:rsidR="009C0AD3" w:rsidRPr="00BD43CF" w:rsidRDefault="009C0AD3" w:rsidP="009C0AD3">
      <w:pPr>
        <w:spacing w:after="0" w:line="240" w:lineRule="auto"/>
        <w:rPr>
          <w:rFonts w:ascii="Verdana" w:eastAsia="Calibri" w:hAnsi="Verdana" w:cs="Arial"/>
          <w:color w:val="EE0000"/>
          <w:lang w:val="es-ES" w:eastAsia="es-ES"/>
        </w:rPr>
      </w:pPr>
    </w:p>
    <w:p w14:paraId="00FBA81C" w14:textId="77777777" w:rsidR="009C0AD3" w:rsidRPr="00BD43CF" w:rsidRDefault="009C0AD3" w:rsidP="009C0AD3">
      <w:pPr>
        <w:spacing w:after="0" w:line="240" w:lineRule="auto"/>
        <w:rPr>
          <w:rFonts w:ascii="Verdana" w:eastAsia="Calibri" w:hAnsi="Verdana" w:cs="Arial"/>
          <w:b/>
          <w:bCs/>
          <w:color w:val="EE0000"/>
          <w:lang w:val="es-ES" w:eastAsia="es-ES"/>
        </w:rPr>
      </w:pP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9C0AD3" w:rsidRPr="00BD43CF" w14:paraId="6E1618C1" w14:textId="77777777" w:rsidTr="00ED22CF">
        <w:trPr>
          <w:trHeight w:val="300"/>
        </w:trPr>
        <w:tc>
          <w:tcPr>
            <w:tcW w:w="2410" w:type="dxa"/>
          </w:tcPr>
          <w:p w14:paraId="516CDAB1" w14:textId="77777777" w:rsidR="009C0AD3" w:rsidRPr="00BD43CF" w:rsidRDefault="009C0AD3" w:rsidP="00ED22CF">
            <w:pPr>
              <w:ind w:left="-142"/>
              <w:jc w:val="both"/>
              <w:rPr>
                <w:rFonts w:ascii="Verdana" w:eastAsia="Calibri" w:hAnsi="Verdana" w:cs="Arial"/>
                <w:b/>
                <w:bCs/>
                <w:lang w:val="es-ES" w:eastAsia="es-ES_tradnl"/>
              </w:rPr>
            </w:pPr>
          </w:p>
        </w:tc>
        <w:tc>
          <w:tcPr>
            <w:tcW w:w="6100" w:type="dxa"/>
          </w:tcPr>
          <w:p w14:paraId="580E8BB2" w14:textId="77777777" w:rsidR="009C0AD3" w:rsidRPr="00BD43CF" w:rsidRDefault="009C0AD3" w:rsidP="00ED22CF">
            <w:pPr>
              <w:ind w:left="3"/>
              <w:jc w:val="both"/>
              <w:rPr>
                <w:rFonts w:ascii="Verdana" w:eastAsia="Calibri" w:hAnsi="Verdana" w:cs="Arial"/>
                <w:b/>
                <w:bCs/>
                <w:lang w:val="es-ES" w:eastAsia="es-ES"/>
              </w:rPr>
            </w:pPr>
            <w:r w:rsidRPr="00BD43CF">
              <w:rPr>
                <w:rFonts w:ascii="Verdana" w:eastAsia="Calibri" w:hAnsi="Verdana" w:cs="Arial"/>
                <w:b/>
                <w:bCs/>
                <w:lang w:val="es-ES" w:eastAsia="es-ES"/>
              </w:rPr>
              <w:t>Concepto C-702 de 2026</w:t>
            </w:r>
          </w:p>
          <w:p w14:paraId="41121756" w14:textId="77777777" w:rsidR="009C0AD3" w:rsidRPr="00BD43CF" w:rsidRDefault="009C0AD3" w:rsidP="00ED22CF">
            <w:pPr>
              <w:ind w:left="3"/>
              <w:jc w:val="both"/>
              <w:rPr>
                <w:rFonts w:ascii="Verdana" w:eastAsia="Calibri" w:hAnsi="Verdana" w:cs="Arial"/>
                <w:b/>
                <w:bCs/>
                <w:lang w:val="es-ES" w:eastAsia="es-ES"/>
              </w:rPr>
            </w:pPr>
          </w:p>
        </w:tc>
      </w:tr>
      <w:tr w:rsidR="009C0AD3" w:rsidRPr="00BD43CF" w14:paraId="131C670F" w14:textId="77777777" w:rsidTr="00ED22CF">
        <w:trPr>
          <w:trHeight w:val="300"/>
        </w:trPr>
        <w:tc>
          <w:tcPr>
            <w:tcW w:w="2410" w:type="dxa"/>
          </w:tcPr>
          <w:p w14:paraId="60C08E23" w14:textId="77777777" w:rsidR="009C0AD3" w:rsidRPr="00BD43CF" w:rsidRDefault="009C0AD3" w:rsidP="00ED22CF">
            <w:pPr>
              <w:ind w:left="424" w:firstLine="142"/>
              <w:jc w:val="both"/>
              <w:rPr>
                <w:rFonts w:ascii="Verdana" w:eastAsia="Calibri" w:hAnsi="Verdana" w:cs="Arial"/>
                <w:lang w:val="es-ES" w:eastAsia="es-ES_tradnl"/>
              </w:rPr>
            </w:pPr>
            <w:r w:rsidRPr="00BD43CF">
              <w:rPr>
                <w:rFonts w:ascii="Verdana" w:eastAsia="Calibri" w:hAnsi="Verdana" w:cs="Arial"/>
                <w:b/>
                <w:lang w:val="es-ES" w:eastAsia="es-ES_tradnl"/>
              </w:rPr>
              <w:t>Temas:</w:t>
            </w:r>
            <w:r w:rsidRPr="00BD43CF">
              <w:rPr>
                <w:rFonts w:ascii="Verdana" w:eastAsia="Calibri" w:hAnsi="Verdana" w:cs="Arial"/>
                <w:lang w:val="es-ES" w:eastAsia="es-ES_tradnl"/>
              </w:rPr>
              <w:t xml:space="preserve">                  </w:t>
            </w:r>
          </w:p>
        </w:tc>
        <w:tc>
          <w:tcPr>
            <w:tcW w:w="6100" w:type="dxa"/>
          </w:tcPr>
          <w:p w14:paraId="5619AF74" w14:textId="77777777" w:rsidR="009C0AD3" w:rsidRPr="00BD43CF" w:rsidRDefault="009C0AD3" w:rsidP="00ED22CF">
            <w:pPr>
              <w:jc w:val="both"/>
              <w:rPr>
                <w:rFonts w:ascii="Verdana" w:eastAsia="Calibri" w:hAnsi="Verdana" w:cs="Arial"/>
              </w:rPr>
            </w:pPr>
            <w:r w:rsidRPr="00BD43CF">
              <w:rPr>
                <w:rFonts w:ascii="Verdana" w:eastAsia="Calibri" w:hAnsi="Verdana" w:cs="Arial"/>
              </w:rPr>
              <w:t>URGENCIA MANIFIESTA – Situación de calamidad o desastre - Noción / URGENCIA MANIFIESTA – Situación de calamidad o desastre – Declaración de ocurrencia / CALAMIDAD Y DESASTRE – Fondo Nacional de Gestión de Riesgo / CALAMIDAD Y DESASTRE – Fondo Nacional de Gestión de Riesgo / ENTIDADES EXCEPTUADAS – Aplicación de normas de derecho público</w:t>
            </w:r>
          </w:p>
          <w:p w14:paraId="326CCDB5" w14:textId="77777777" w:rsidR="009C0AD3" w:rsidRPr="00BD43CF" w:rsidRDefault="009C0AD3" w:rsidP="00ED22CF">
            <w:pPr>
              <w:jc w:val="both"/>
              <w:rPr>
                <w:rFonts w:ascii="Verdana" w:eastAsia="Calibri" w:hAnsi="Verdana" w:cs="Arial"/>
              </w:rPr>
            </w:pPr>
          </w:p>
        </w:tc>
      </w:tr>
      <w:tr w:rsidR="009C0AD3" w:rsidRPr="00BD43CF" w14:paraId="06A1F959" w14:textId="77777777" w:rsidTr="00ED22CF">
        <w:trPr>
          <w:trHeight w:val="87"/>
        </w:trPr>
        <w:tc>
          <w:tcPr>
            <w:tcW w:w="2410" w:type="dxa"/>
          </w:tcPr>
          <w:p w14:paraId="43AA56CF" w14:textId="77777777" w:rsidR="009C0AD3" w:rsidRPr="00BD43CF" w:rsidRDefault="009C0AD3" w:rsidP="00ED22CF">
            <w:pPr>
              <w:ind w:left="561"/>
              <w:jc w:val="both"/>
              <w:rPr>
                <w:rFonts w:ascii="Verdana" w:eastAsia="Calibri" w:hAnsi="Verdana" w:cs="Arial"/>
                <w:b/>
                <w:lang w:val="es-ES" w:eastAsia="es-ES_tradnl"/>
              </w:rPr>
            </w:pPr>
            <w:r w:rsidRPr="00BD43CF">
              <w:rPr>
                <w:rFonts w:ascii="Verdana" w:eastAsia="Calibri" w:hAnsi="Verdana" w:cs="Arial"/>
                <w:b/>
                <w:lang w:val="es-ES" w:eastAsia="es-ES_tradnl"/>
              </w:rPr>
              <w:t>Radicación:</w:t>
            </w:r>
            <w:r w:rsidRPr="00BD43CF">
              <w:rPr>
                <w:rFonts w:ascii="Verdana" w:eastAsia="Calibri" w:hAnsi="Verdana" w:cs="Arial"/>
                <w:lang w:val="es-ES" w:eastAsia="es-ES_tradnl"/>
              </w:rPr>
              <w:t xml:space="preserve">              </w:t>
            </w:r>
          </w:p>
        </w:tc>
        <w:tc>
          <w:tcPr>
            <w:tcW w:w="6100" w:type="dxa"/>
          </w:tcPr>
          <w:p w14:paraId="78D10B0D" w14:textId="77777777" w:rsidR="009C0AD3" w:rsidRPr="00BD43CF" w:rsidRDefault="009C0AD3" w:rsidP="00ED22CF">
            <w:pPr>
              <w:ind w:left="3"/>
              <w:jc w:val="both"/>
              <w:rPr>
                <w:rFonts w:ascii="Verdana" w:hAnsi="Verdana"/>
                <w:lang w:val="es-ES"/>
              </w:rPr>
            </w:pPr>
            <w:r w:rsidRPr="00BD43CF">
              <w:rPr>
                <w:rFonts w:ascii="Verdana" w:eastAsia="Calibri" w:hAnsi="Verdana" w:cs="Arial"/>
                <w:lang w:val="es-ES" w:eastAsia="es-ES"/>
              </w:rPr>
              <w:t>Respuesta a consulta con radicado No. 1_2026_04_28_005787</w:t>
            </w:r>
          </w:p>
        </w:tc>
      </w:tr>
    </w:tbl>
    <w:p w14:paraId="0EE7761F" w14:textId="77777777" w:rsidR="009C0AD3" w:rsidRPr="00BD43CF" w:rsidRDefault="009C0AD3" w:rsidP="009C0AD3">
      <w:pPr>
        <w:spacing w:after="0" w:line="240" w:lineRule="auto"/>
        <w:jc w:val="both"/>
        <w:rPr>
          <w:rFonts w:ascii="Verdana" w:eastAsia="Calibri" w:hAnsi="Verdana" w:cs="Arial"/>
          <w:color w:val="EE0000"/>
          <w:lang w:val="es-ES" w:eastAsia="es-ES"/>
        </w:rPr>
      </w:pPr>
    </w:p>
    <w:p w14:paraId="60AB2BDF" w14:textId="77777777" w:rsidR="009C0AD3" w:rsidRPr="00BD43CF" w:rsidRDefault="009C0AD3" w:rsidP="009C0AD3">
      <w:pPr>
        <w:spacing w:after="0" w:line="240" w:lineRule="auto"/>
        <w:jc w:val="both"/>
        <w:rPr>
          <w:rFonts w:ascii="Verdana" w:eastAsia="Calibri" w:hAnsi="Verdana" w:cs="Arial"/>
          <w:lang w:val="es-ES" w:eastAsia="es-ES"/>
        </w:rPr>
      </w:pPr>
    </w:p>
    <w:p w14:paraId="21BEF516" w14:textId="77777777" w:rsidR="009C0AD3" w:rsidRPr="00BD43CF" w:rsidRDefault="009C0AD3" w:rsidP="009C0AD3">
      <w:pPr>
        <w:spacing w:after="0" w:line="276" w:lineRule="auto"/>
        <w:jc w:val="both"/>
        <w:rPr>
          <w:rFonts w:ascii="Verdana" w:eastAsia="Calibri" w:hAnsi="Verdana" w:cs="Arial"/>
          <w:lang w:val="es-ES" w:eastAsia="es-ES"/>
        </w:rPr>
      </w:pPr>
      <w:r w:rsidRPr="00BD43CF">
        <w:rPr>
          <w:rFonts w:ascii="Verdana" w:eastAsia="Calibri" w:hAnsi="Verdana" w:cs="Arial"/>
          <w:lang w:val="es-ES" w:eastAsia="es-ES"/>
        </w:rPr>
        <w:t>Estimado señor Ardila,</w:t>
      </w:r>
    </w:p>
    <w:p w14:paraId="35CD1620" w14:textId="77777777" w:rsidR="009C0AD3" w:rsidRPr="00BD43CF" w:rsidRDefault="009C0AD3" w:rsidP="009C0AD3">
      <w:pPr>
        <w:tabs>
          <w:tab w:val="left" w:pos="3768"/>
        </w:tabs>
        <w:spacing w:after="0" w:line="276" w:lineRule="auto"/>
        <w:jc w:val="both"/>
        <w:rPr>
          <w:rFonts w:ascii="Verdana" w:eastAsia="Calibri" w:hAnsi="Verdana" w:cs="Arial"/>
          <w:color w:val="EE0000"/>
          <w:lang w:val="es-ES" w:eastAsia="es-ES"/>
        </w:rPr>
      </w:pPr>
      <w:r w:rsidRPr="00BD43CF">
        <w:rPr>
          <w:rFonts w:ascii="Verdana" w:eastAsia="Calibri" w:hAnsi="Verdana" w:cs="Arial"/>
          <w:color w:val="EE0000"/>
          <w:lang w:val="es-ES" w:eastAsia="es-ES"/>
        </w:rPr>
        <w:tab/>
      </w:r>
    </w:p>
    <w:p w14:paraId="17D687E5" w14:textId="77777777" w:rsidR="009C0AD3" w:rsidRPr="00BD43CF" w:rsidRDefault="009C0AD3" w:rsidP="009C0AD3">
      <w:pPr>
        <w:spacing w:after="0" w:line="276" w:lineRule="auto"/>
        <w:jc w:val="both"/>
        <w:rPr>
          <w:rFonts w:ascii="Verdana" w:eastAsia="Calibri" w:hAnsi="Verdana" w:cs="Arial"/>
          <w:lang w:val="es-ES" w:eastAsia="es-ES"/>
        </w:rPr>
      </w:pPr>
      <w:r w:rsidRPr="00BD43CF">
        <w:rPr>
          <w:rFonts w:ascii="Verdana" w:eastAsia="Calibri" w:hAnsi="Verdana" w:cs="Arial"/>
          <w:lang w:val="es-ES" w:eastAsia="es-ES"/>
        </w:rPr>
        <w:t>En ejercicio de la competencia otorgada por los artículos 3, numeral 5º, y 11, numeral 8º, del Decreto Ley 4170 de 2011,</w:t>
      </w:r>
      <w:r w:rsidRPr="00BD43CF">
        <w:rPr>
          <w:rFonts w:ascii="Verdana" w:eastAsia="Arial MT" w:hAnsi="Verdana" w:cs="Arial MT"/>
          <w:lang w:val="es-ES" w:eastAsia="es-ES"/>
        </w:rPr>
        <w:t xml:space="preserve"> </w:t>
      </w:r>
      <w:r w:rsidRPr="00BD43CF">
        <w:rPr>
          <w:rFonts w:ascii="Verdana" w:hAnsi="Verdana" w:cs="Arial"/>
          <w:lang w:val="es-ES"/>
        </w:rPr>
        <w:t xml:space="preserve">así como lo establecido en el artículo 4 de la Resolución 469 de 2025 expedida por esta Entidad, </w:t>
      </w:r>
      <w:r w:rsidRPr="00BD43CF">
        <w:rPr>
          <w:rFonts w:ascii="Verdana" w:eastAsia="Calibri" w:hAnsi="Verdana" w:cs="Arial"/>
          <w:lang w:val="es-ES" w:eastAsia="es-ES"/>
        </w:rPr>
        <w:t xml:space="preserve">la Agencia Nacional de Contratación Pública – Colombia Compra Eficiente– responde su solicitud de consulta de fecha 28 de abril de 2026, en la cual manifiesta lo siguiente: </w:t>
      </w:r>
    </w:p>
    <w:p w14:paraId="1C280D7F" w14:textId="77777777" w:rsidR="009C0AD3" w:rsidRPr="00BD43CF" w:rsidRDefault="009C0AD3" w:rsidP="009C0AD3">
      <w:pPr>
        <w:tabs>
          <w:tab w:val="left" w:pos="142"/>
          <w:tab w:val="left" w:pos="284"/>
        </w:tabs>
        <w:spacing w:after="0" w:line="276" w:lineRule="auto"/>
        <w:jc w:val="both"/>
        <w:rPr>
          <w:rFonts w:ascii="Verdana" w:eastAsia="Century Gothic" w:hAnsi="Verdana" w:cs="Century Gothic"/>
          <w:b/>
          <w:bCs/>
          <w:color w:val="EE0000"/>
          <w:lang w:val="es-ES"/>
        </w:rPr>
      </w:pPr>
    </w:p>
    <w:p w14:paraId="479A888B" w14:textId="77777777" w:rsidR="009C0AD3" w:rsidRPr="00BD43CF" w:rsidRDefault="009C0AD3" w:rsidP="00FB346F">
      <w:pPr>
        <w:spacing w:after="0" w:line="240" w:lineRule="auto"/>
        <w:ind w:left="709" w:right="709"/>
        <w:contextualSpacing/>
        <w:jc w:val="both"/>
        <w:rPr>
          <w:rFonts w:ascii="Verdana" w:eastAsia="Century Gothic" w:hAnsi="Verdana" w:cs="Century Gothic"/>
          <w:i/>
          <w:iCs/>
          <w:sz w:val="20"/>
          <w:szCs w:val="20"/>
        </w:rPr>
      </w:pPr>
      <w:r w:rsidRPr="00BD43CF">
        <w:rPr>
          <w:rFonts w:ascii="Verdana" w:eastAsia="Century Gothic" w:hAnsi="Verdana" w:cs="Century Gothic"/>
          <w:i/>
          <w:iCs/>
          <w:sz w:val="20"/>
          <w:szCs w:val="20"/>
          <w:lang w:val="es-ES"/>
        </w:rPr>
        <w:t>“[…] M</w:t>
      </w:r>
      <w:proofErr w:type="spellStart"/>
      <w:r w:rsidRPr="00BD43CF">
        <w:rPr>
          <w:rFonts w:ascii="Verdana" w:eastAsia="Century Gothic" w:hAnsi="Verdana" w:cs="Century Gothic"/>
          <w:i/>
          <w:iCs/>
          <w:sz w:val="20"/>
          <w:szCs w:val="20"/>
        </w:rPr>
        <w:t>e</w:t>
      </w:r>
      <w:proofErr w:type="spellEnd"/>
      <w:r w:rsidRPr="00BD43CF">
        <w:rPr>
          <w:rFonts w:ascii="Verdana" w:eastAsia="Century Gothic" w:hAnsi="Verdana" w:cs="Century Gothic"/>
          <w:i/>
          <w:iCs/>
          <w:sz w:val="20"/>
          <w:szCs w:val="20"/>
        </w:rPr>
        <w:t xml:space="preserve"> permito formular solicitud en modalidad de consulta y acceso a información pública, con el propósito de obtener criterios jurídicos, técnicos y procedimentales adoptados por la Agencia Nacional de Contratación Pública - Colombia Compra Eficiente en relación con la aplicación del régimen excepcional de contratación previsto en la Ley 1523 de 2012, en escenarios de calamidad pública o desastre […].”</w:t>
      </w:r>
    </w:p>
    <w:p w14:paraId="0E751A4F" w14:textId="77777777" w:rsidR="009C0AD3" w:rsidRPr="00BD43CF" w:rsidRDefault="009C0AD3" w:rsidP="009C0AD3">
      <w:pPr>
        <w:spacing w:after="0" w:line="240" w:lineRule="auto"/>
        <w:ind w:left="709" w:right="709"/>
        <w:contextualSpacing/>
        <w:jc w:val="both"/>
        <w:rPr>
          <w:rFonts w:ascii="Verdana" w:eastAsia="Century Gothic" w:hAnsi="Verdana" w:cs="Century Gothic"/>
          <w:i/>
          <w:iCs/>
          <w:color w:val="EE0000"/>
          <w:sz w:val="20"/>
          <w:szCs w:val="20"/>
          <w:lang w:val="es-ES"/>
        </w:rPr>
      </w:pPr>
    </w:p>
    <w:p w14:paraId="3D7F0C0F" w14:textId="77777777" w:rsidR="009C0AD3" w:rsidRPr="00BD43CF" w:rsidRDefault="009C0AD3" w:rsidP="009C0AD3">
      <w:pPr>
        <w:spacing w:after="120" w:line="276" w:lineRule="auto"/>
        <w:ind w:firstLine="708"/>
        <w:jc w:val="both"/>
        <w:rPr>
          <w:rFonts w:ascii="Verdana" w:eastAsia="Calibri" w:hAnsi="Verdana" w:cs="Arial"/>
          <w:lang w:val="es-ES" w:eastAsia="es-ES"/>
        </w:rPr>
      </w:pPr>
      <w:r w:rsidRPr="00BD43CF">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w:t>
      </w:r>
      <w:r w:rsidRPr="00BD43CF">
        <w:rPr>
          <w:rFonts w:ascii="Verdana" w:eastAsia="Calibri" w:hAnsi="Verdana" w:cs="Arial"/>
          <w:lang w:val="es-ES" w:eastAsia="es-ES"/>
        </w:rPr>
        <w:lastRenderedPageBreak/>
        <w:t xml:space="preserve">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D43CF">
        <w:rPr>
          <w:rFonts w:ascii="Verdana" w:hAnsi="Verdana"/>
          <w:lang w:val="es-ES"/>
        </w:rPr>
        <w:tab/>
      </w:r>
    </w:p>
    <w:p w14:paraId="4DFE809A" w14:textId="77777777" w:rsidR="009C0AD3" w:rsidRPr="00BD43CF" w:rsidRDefault="009C0AD3" w:rsidP="009C0AD3">
      <w:pPr>
        <w:spacing w:after="0" w:line="276" w:lineRule="auto"/>
        <w:ind w:firstLine="709"/>
        <w:jc w:val="both"/>
        <w:rPr>
          <w:rFonts w:ascii="Verdana" w:eastAsia="Calibri" w:hAnsi="Verdana" w:cs="Arial"/>
          <w:lang w:val="es-ES" w:eastAsia="es-ES"/>
        </w:rPr>
      </w:pPr>
      <w:r w:rsidRPr="00BD43CF">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37987607" w14:textId="77777777" w:rsidR="009C0AD3" w:rsidRPr="00BD43CF" w:rsidRDefault="009C0AD3" w:rsidP="009C0AD3">
      <w:pPr>
        <w:spacing w:after="0" w:line="276" w:lineRule="auto"/>
        <w:ind w:firstLine="709"/>
        <w:jc w:val="both"/>
        <w:rPr>
          <w:rFonts w:ascii="Verdana" w:eastAsia="Calibri" w:hAnsi="Verdana" w:cs="Arial"/>
          <w:lang w:val="es-ES" w:eastAsia="es-ES"/>
        </w:rPr>
      </w:pPr>
    </w:p>
    <w:p w14:paraId="6EF4BB77" w14:textId="77777777" w:rsidR="009C0AD3" w:rsidRPr="00BD43CF" w:rsidRDefault="009C0AD3" w:rsidP="009C0AD3">
      <w:pPr>
        <w:tabs>
          <w:tab w:val="left" w:pos="142"/>
          <w:tab w:val="left" w:pos="284"/>
        </w:tabs>
        <w:spacing w:after="0" w:line="276" w:lineRule="auto"/>
        <w:jc w:val="both"/>
        <w:rPr>
          <w:rFonts w:ascii="Verdana" w:eastAsia="Century Gothic" w:hAnsi="Verdana" w:cs="Century Gothic"/>
          <w:b/>
          <w:lang w:val="es-ES"/>
        </w:rPr>
      </w:pPr>
      <w:r w:rsidRPr="00BD43CF">
        <w:rPr>
          <w:rFonts w:ascii="Verdana" w:eastAsia="Century Gothic" w:hAnsi="Verdana" w:cs="Century Gothic"/>
          <w:b/>
          <w:lang w:val="es-ES"/>
        </w:rPr>
        <w:t>1. Problema planteado:</w:t>
      </w:r>
    </w:p>
    <w:p w14:paraId="3DC8A4AA" w14:textId="77777777" w:rsidR="009C0AD3" w:rsidRPr="00BD43CF" w:rsidRDefault="009C0AD3" w:rsidP="009C0AD3">
      <w:pPr>
        <w:tabs>
          <w:tab w:val="left" w:pos="426"/>
        </w:tabs>
        <w:spacing w:after="0" w:line="276" w:lineRule="auto"/>
        <w:jc w:val="both"/>
        <w:rPr>
          <w:rFonts w:ascii="Verdana" w:eastAsia="Century Gothic" w:hAnsi="Verdana" w:cs="Century Gothic"/>
          <w:color w:val="EE0000"/>
          <w:lang w:val="es-ES"/>
        </w:rPr>
      </w:pPr>
    </w:p>
    <w:p w14:paraId="5561DEE7" w14:textId="77777777" w:rsidR="009C0AD3" w:rsidRPr="00BD43CF" w:rsidRDefault="009C0AD3" w:rsidP="009C0AD3">
      <w:pPr>
        <w:spacing w:after="0" w:line="276" w:lineRule="auto"/>
        <w:jc w:val="both"/>
        <w:rPr>
          <w:rFonts w:ascii="Verdana" w:eastAsia="Century Gothic" w:hAnsi="Verdana" w:cs="Century Gothic"/>
          <w:color w:val="EE0000"/>
        </w:rPr>
      </w:pPr>
      <w:r w:rsidRPr="00BD43CF">
        <w:rPr>
          <w:rFonts w:ascii="Verdana" w:eastAsia="Century Gothic" w:hAnsi="Verdana" w:cs="Century Gothic"/>
          <w:lang w:val="es-ES"/>
        </w:rPr>
        <w:t xml:space="preserve">De acuerdo con el contenido de su solicitud, esta Agencia resolverá el siguiente problema jurídico: </w:t>
      </w:r>
      <w:r w:rsidRPr="00BD43CF">
        <w:rPr>
          <w:rFonts w:ascii="Verdana" w:eastAsia="Century Gothic" w:hAnsi="Verdana" w:cs="Century Gothic"/>
        </w:rPr>
        <w:t>¿Cuál es el alcance y aplicación del régimen excepcional de contratación previsto para situaciones de calamidad pública o desastre?</w:t>
      </w:r>
    </w:p>
    <w:p w14:paraId="26B13942" w14:textId="77777777" w:rsidR="009C0AD3" w:rsidRPr="00BD43CF" w:rsidRDefault="009C0AD3" w:rsidP="009C0AD3">
      <w:pPr>
        <w:spacing w:after="0" w:line="276" w:lineRule="auto"/>
        <w:jc w:val="both"/>
        <w:rPr>
          <w:rFonts w:ascii="Verdana" w:eastAsia="Century Gothic" w:hAnsi="Verdana" w:cs="Century Gothic"/>
        </w:rPr>
      </w:pPr>
    </w:p>
    <w:p w14:paraId="77EE5DAF" w14:textId="77777777" w:rsidR="009C0AD3" w:rsidRPr="00BD43CF" w:rsidRDefault="009C0AD3" w:rsidP="009C0AD3">
      <w:pPr>
        <w:tabs>
          <w:tab w:val="left" w:pos="142"/>
          <w:tab w:val="left" w:pos="284"/>
        </w:tabs>
        <w:spacing w:after="0" w:line="276" w:lineRule="auto"/>
        <w:jc w:val="both"/>
        <w:rPr>
          <w:rFonts w:ascii="Verdana" w:eastAsia="Century Gothic" w:hAnsi="Verdana" w:cs="Century Gothic"/>
          <w:b/>
          <w:lang w:val="es-ES"/>
        </w:rPr>
      </w:pPr>
      <w:r w:rsidRPr="00BD43CF">
        <w:rPr>
          <w:rFonts w:ascii="Verdana" w:eastAsia="Century Gothic" w:hAnsi="Verdana" w:cs="Century Gothic"/>
          <w:b/>
          <w:lang w:val="es-ES"/>
        </w:rPr>
        <w:t>2. Respuesta:</w:t>
      </w:r>
    </w:p>
    <w:p w14:paraId="0E8CF212" w14:textId="77777777" w:rsidR="009C0AD3" w:rsidRPr="00BD43CF" w:rsidRDefault="009C0AD3" w:rsidP="009C0AD3">
      <w:pPr>
        <w:tabs>
          <w:tab w:val="left" w:pos="142"/>
          <w:tab w:val="left" w:pos="284"/>
        </w:tabs>
        <w:spacing w:after="0" w:line="276" w:lineRule="auto"/>
        <w:jc w:val="both"/>
        <w:rPr>
          <w:rFonts w:ascii="Verdana" w:eastAsia="Century Gothic" w:hAnsi="Verdana" w:cs="Century Gothic"/>
          <w:b/>
          <w:color w:val="EE0000"/>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C0AD3" w:rsidRPr="00BD43CF" w14:paraId="6F352EE0" w14:textId="77777777" w:rsidTr="00ED22CF">
        <w:tc>
          <w:tcPr>
            <w:tcW w:w="8828" w:type="dxa"/>
          </w:tcPr>
          <w:p w14:paraId="502F5ACE" w14:textId="6A6F7925" w:rsidR="009C0AD3" w:rsidRPr="00BD43CF" w:rsidRDefault="009C0AD3" w:rsidP="00ED22CF">
            <w:pPr>
              <w:spacing w:after="120" w:line="276" w:lineRule="auto"/>
              <w:jc w:val="both"/>
              <w:rPr>
                <w:rFonts w:ascii="Verdana" w:eastAsia="Calibri" w:hAnsi="Verdana" w:cs="Arial"/>
              </w:rPr>
            </w:pPr>
            <w:r w:rsidRPr="00BD43CF">
              <w:rPr>
                <w:rFonts w:ascii="Verdana" w:eastAsia="Calibri" w:hAnsi="Verdana" w:cs="Arial"/>
              </w:rPr>
              <w:t>Para responder el problema jurídico planteado, es preciso señalar que el alcance y aplicación del régimen excepcional de contratación previsto para situaciones de calamidad pública o desastre depende de la declaratoria correspondiente, de la naturaleza de la entidad contratante y del régimen jurídico aplicable en cada caso. En ese sentido, la declaratoria de situación de calamidad pública o desastre constituye el presupuesto jurídico habilitante que activa consecuencias diferenciadas dentro del sistema de compra pública, pues, por regla general, las entidades sometidas al Estatuto General de Contratación de la Administración Pública</w:t>
            </w:r>
            <w:r w:rsidR="0023783C">
              <w:rPr>
                <w:rFonts w:ascii="Verdana" w:eastAsia="Calibri" w:hAnsi="Verdana" w:cs="Arial"/>
              </w:rPr>
              <w:t xml:space="preserve"> – en adelante EGCAP</w:t>
            </w:r>
            <w:r w:rsidR="00AD729D">
              <w:rPr>
                <w:rFonts w:ascii="Verdana" w:eastAsia="Calibri" w:hAnsi="Verdana" w:cs="Arial"/>
              </w:rPr>
              <w:t xml:space="preserve"> –</w:t>
            </w:r>
            <w:r w:rsidRPr="00BD43CF">
              <w:rPr>
                <w:rFonts w:ascii="Verdana" w:eastAsia="Calibri" w:hAnsi="Verdana" w:cs="Arial"/>
              </w:rPr>
              <w:t xml:space="preserve"> deben acudir a la contratación directa mediante la declaratoria de urgencia manifiesta, mientras que, excepcionalmente, determinadas entidades, fondos y ejecutores previstos en la Ley 1523 de 2012 pueden contratar bajo reglas especiales.</w:t>
            </w:r>
          </w:p>
          <w:p w14:paraId="43BB6881" w14:textId="77777777" w:rsidR="009C0AD3" w:rsidRPr="00BD43CF" w:rsidRDefault="009C0AD3" w:rsidP="00ED22CF">
            <w:pPr>
              <w:spacing w:after="120" w:line="276" w:lineRule="auto"/>
              <w:ind w:firstLine="709"/>
              <w:jc w:val="both"/>
              <w:rPr>
                <w:rFonts w:ascii="Verdana" w:eastAsia="Calibri" w:hAnsi="Verdana" w:cs="Arial"/>
              </w:rPr>
            </w:pPr>
            <w:r w:rsidRPr="00BD43CF">
              <w:rPr>
                <w:rFonts w:ascii="Verdana" w:eastAsia="Calibri" w:hAnsi="Verdana" w:cs="Arial"/>
              </w:rPr>
              <w:lastRenderedPageBreak/>
              <w:t>Bajo esta premisa, conforme a lo dispuesto en los artículos 56 y 57 de la Ley 1523 de 2012 y su interpretación en el marco del sistema de compra pública, la competencia para declarar la situación de desastre recae exclusivamente en el Presidente de la República, tanto en el orden nacional como en el departamental, municipal y distrital. En contraste, corresponde a los gobernadores y alcaldes declarar la situación de calamidad pública dentro de sus respectivos ámbitos territoriales, facultad que no fue atribuida al Presidente de la República.</w:t>
            </w:r>
          </w:p>
          <w:p w14:paraId="4232BC21" w14:textId="77777777" w:rsidR="008F6AF0" w:rsidRDefault="009C0AD3" w:rsidP="008F6AF0">
            <w:pPr>
              <w:spacing w:after="120" w:line="276" w:lineRule="auto"/>
              <w:ind w:firstLine="709"/>
              <w:jc w:val="both"/>
              <w:rPr>
                <w:rFonts w:ascii="Verdana" w:eastAsia="Calibri" w:hAnsi="Verdana" w:cs="Arial"/>
              </w:rPr>
            </w:pPr>
            <w:r w:rsidRPr="00BD43CF">
              <w:rPr>
                <w:rFonts w:ascii="Verdana" w:eastAsia="Calibri" w:hAnsi="Verdana" w:cs="Arial"/>
              </w:rPr>
              <w:t>Ahora bien, una vez declarada la situación de calamidad pública o la situación de desastre, bajo los parámetros señalados en el artículo 59 de la Ley 1523 de 2012 y por la autoridad competente, las entidades estatales sometidas al Estatuto General de Contratación de la Administración Pública quedan facultadas, de conformidad con el artículo 42 de la Ley 80 de 1993, para declarar la causal de contratación directa, mediante un acto administrativo propio y autónomo, cuyo fundamento fáctico y jurídico corresponde a la declaratoria previa de calamidad o desastre.</w:t>
            </w:r>
          </w:p>
          <w:p w14:paraId="5BD608E0" w14:textId="3C8E828A" w:rsidR="009C0AD3" w:rsidRPr="00BD43CF" w:rsidRDefault="009C0AD3" w:rsidP="008F6AF0">
            <w:pPr>
              <w:spacing w:after="120" w:line="276" w:lineRule="auto"/>
              <w:ind w:firstLine="709"/>
              <w:jc w:val="both"/>
              <w:rPr>
                <w:rFonts w:ascii="Verdana" w:eastAsia="Calibri" w:hAnsi="Verdana" w:cs="Arial"/>
              </w:rPr>
            </w:pPr>
            <w:r w:rsidRPr="00BD43CF">
              <w:rPr>
                <w:rFonts w:ascii="Verdana" w:eastAsia="Calibri" w:hAnsi="Verdana" w:cs="Arial"/>
              </w:rPr>
              <w:t>Lo anterior significa que, por regla general, para acudir a la contratación directa por urgencia manifiesta no basta la simple declaratoria de desastre o calamidad pública, sino que se requiere la concurrencia de dos (2) actos administrativos: i) la declaración de la situación de calamidad pública o de la situación de desastre, en los términos previstos en el Capítulo VI de la Ley 1523 de 2012; y ii) la declaración de urgencia manifiesta de que trata el artículo 42 de la Ley 80 de 1993, la cual debe encontrarse fundamentada en la declaratoria previa.</w:t>
            </w:r>
          </w:p>
          <w:p w14:paraId="3D1F6319" w14:textId="77777777" w:rsidR="009C0AD3" w:rsidRPr="00BD43CF" w:rsidRDefault="009C0AD3" w:rsidP="00ED22CF">
            <w:pPr>
              <w:spacing w:after="120" w:line="276" w:lineRule="auto"/>
              <w:ind w:firstLine="709"/>
              <w:jc w:val="both"/>
              <w:rPr>
                <w:rFonts w:ascii="Verdana" w:eastAsia="Calibri" w:hAnsi="Verdana" w:cs="Arial"/>
              </w:rPr>
            </w:pPr>
            <w:r w:rsidRPr="00BD43CF">
              <w:rPr>
                <w:rFonts w:ascii="Verdana" w:eastAsia="Calibri" w:hAnsi="Verdana" w:cs="Arial"/>
                <w:lang w:val="es-ES_tradnl"/>
              </w:rPr>
              <w:t>Al margen de la explicación precedente debe advertirse que el análisis</w:t>
            </w:r>
            <w:r w:rsidRPr="00BD43CF">
              <w:rPr>
                <w:rFonts w:ascii="Verdana" w:eastAsia="Calibri" w:hAnsi="Verdana" w:cs="Arial"/>
                <w:bCs/>
                <w:color w:val="000000" w:themeColor="text1"/>
              </w:rPr>
              <w:t xml:space="preserve">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w:t>
            </w:r>
            <w:r w:rsidRPr="00BD43CF">
              <w:rPr>
                <w:rFonts w:ascii="Verdana" w:eastAsia="Calibri" w:hAnsi="Verdana" w:cs="Arial"/>
                <w:lang w:val="es-ES_tradnl"/>
              </w:rPr>
              <w:t>disciplinarias.</w:t>
            </w:r>
          </w:p>
          <w:p w14:paraId="78299B3B" w14:textId="77777777" w:rsidR="009C0AD3" w:rsidRPr="00BD43CF" w:rsidRDefault="009C0AD3" w:rsidP="00ED22CF">
            <w:pPr>
              <w:spacing w:before="120" w:line="276" w:lineRule="auto"/>
              <w:ind w:firstLine="709"/>
              <w:jc w:val="both"/>
              <w:rPr>
                <w:rFonts w:ascii="Verdana" w:eastAsia="Calibri" w:hAnsi="Verdana" w:cs="Arial"/>
                <w:bCs/>
                <w:color w:val="000000" w:themeColor="text1"/>
              </w:rPr>
            </w:pPr>
            <w:r w:rsidRPr="00BD43CF">
              <w:rPr>
                <w:rFonts w:ascii="Verdana" w:eastAsia="Calibri" w:hAnsi="Verdana" w:cs="Arial"/>
                <w:lang w:val="es-ES_tradnl"/>
              </w:rPr>
              <w:lastRenderedPageBreak/>
              <w:t xml:space="preserve">Dentro de este marco, la entidad contratante definirá en cada caso </w:t>
            </w:r>
            <w:r w:rsidRPr="00BD43CF">
              <w:rPr>
                <w:rFonts w:ascii="Verdana" w:eastAsia="Calibri" w:hAnsi="Verdana" w:cs="Arial"/>
                <w:bCs/>
                <w:color w:val="000000" w:themeColor="text1"/>
              </w:rPr>
              <w:t xml:space="preserve">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tc>
      </w:tr>
    </w:tbl>
    <w:p w14:paraId="66543EBC" w14:textId="77777777" w:rsidR="009C0AD3" w:rsidRPr="00BD43CF" w:rsidRDefault="009C0AD3" w:rsidP="009C0AD3">
      <w:pPr>
        <w:tabs>
          <w:tab w:val="left" w:pos="142"/>
          <w:tab w:val="left" w:pos="284"/>
        </w:tabs>
        <w:spacing w:after="0" w:line="276" w:lineRule="auto"/>
        <w:jc w:val="both"/>
        <w:rPr>
          <w:rFonts w:ascii="Verdana" w:eastAsia="Century Gothic" w:hAnsi="Verdana" w:cs="Century Gothic"/>
          <w:b/>
          <w:bCs/>
          <w:color w:val="EE0000"/>
          <w:lang w:val="es-ES"/>
        </w:rPr>
      </w:pPr>
    </w:p>
    <w:p w14:paraId="48F799C6" w14:textId="77777777" w:rsidR="009C0AD3" w:rsidRPr="00BD43CF" w:rsidRDefault="009C0AD3" w:rsidP="009C0AD3">
      <w:pPr>
        <w:tabs>
          <w:tab w:val="left" w:pos="142"/>
          <w:tab w:val="left" w:pos="284"/>
        </w:tabs>
        <w:spacing w:after="0" w:line="276" w:lineRule="auto"/>
        <w:jc w:val="both"/>
        <w:rPr>
          <w:rFonts w:ascii="Verdana" w:eastAsia="Century Gothic" w:hAnsi="Verdana" w:cs="Century Gothic"/>
          <w:b/>
          <w:lang w:val="es-ES"/>
        </w:rPr>
      </w:pPr>
      <w:r w:rsidRPr="00BD43CF">
        <w:rPr>
          <w:rFonts w:ascii="Verdana" w:eastAsia="Century Gothic" w:hAnsi="Verdana" w:cs="Century Gothic"/>
          <w:b/>
          <w:lang w:val="es-ES"/>
        </w:rPr>
        <w:t>3. Razones de la respuesta:</w:t>
      </w:r>
    </w:p>
    <w:p w14:paraId="5DD314D9" w14:textId="77777777" w:rsidR="009C0AD3" w:rsidRPr="00BD43CF" w:rsidRDefault="009C0AD3" w:rsidP="009C0AD3">
      <w:pPr>
        <w:spacing w:after="0" w:line="276" w:lineRule="auto"/>
        <w:jc w:val="both"/>
        <w:rPr>
          <w:rFonts w:ascii="Verdana" w:eastAsia="Calibri" w:hAnsi="Verdana" w:cs="Arial"/>
          <w:lang w:val="es-ES"/>
        </w:rPr>
      </w:pPr>
    </w:p>
    <w:p w14:paraId="05D3B375" w14:textId="77777777" w:rsidR="009C0AD3" w:rsidRPr="00BD43CF" w:rsidRDefault="009C0AD3" w:rsidP="009C0AD3">
      <w:pPr>
        <w:spacing w:after="0" w:line="276" w:lineRule="auto"/>
        <w:jc w:val="both"/>
        <w:rPr>
          <w:rFonts w:ascii="Verdana" w:eastAsia="Calibri" w:hAnsi="Verdana" w:cs="Arial"/>
          <w:lang w:val="es-ES"/>
        </w:rPr>
      </w:pPr>
      <w:r w:rsidRPr="00BD43CF">
        <w:rPr>
          <w:rFonts w:ascii="Verdana" w:eastAsia="Calibri" w:hAnsi="Verdana" w:cs="Arial"/>
          <w:lang w:val="es-ES"/>
        </w:rPr>
        <w:t xml:space="preserve">Las respuestas anteriores se sustentan en las siguientes consideraciones: </w:t>
      </w:r>
    </w:p>
    <w:p w14:paraId="25985530" w14:textId="77777777" w:rsidR="009C0AD3" w:rsidRPr="00BD43CF" w:rsidRDefault="009C0AD3" w:rsidP="009C0AD3">
      <w:pPr>
        <w:tabs>
          <w:tab w:val="left" w:pos="142"/>
          <w:tab w:val="left" w:pos="284"/>
        </w:tabs>
        <w:spacing w:after="0" w:line="276" w:lineRule="auto"/>
        <w:jc w:val="both"/>
        <w:rPr>
          <w:rFonts w:ascii="Verdana" w:eastAsia="Century Gothic" w:hAnsi="Verdana" w:cs="Century Gothic"/>
          <w:b/>
          <w:color w:val="EE0000"/>
          <w:lang w:val="es-ES"/>
        </w:rPr>
      </w:pPr>
    </w:p>
    <w:p w14:paraId="6008E96D" w14:textId="77777777" w:rsidR="009C0AD3" w:rsidRPr="00BD43CF" w:rsidRDefault="009C0AD3" w:rsidP="009C0AD3">
      <w:pPr>
        <w:spacing w:after="120" w:line="276" w:lineRule="auto"/>
        <w:jc w:val="both"/>
        <w:rPr>
          <w:rFonts w:ascii="Verdana" w:eastAsia="Calibri" w:hAnsi="Verdana" w:cs="Arial"/>
          <w:lang w:val="es-ES_tradnl"/>
        </w:rPr>
      </w:pPr>
      <w:bookmarkStart w:id="1" w:name="_Hlk102983874"/>
      <w:bookmarkStart w:id="2" w:name="_Hlk102388095"/>
      <w:r w:rsidRPr="00BD43CF">
        <w:rPr>
          <w:rFonts w:ascii="Verdana" w:hAnsi="Verdana" w:cs="Arial"/>
          <w:bCs/>
          <w:lang w:val="es-ES_tradnl" w:eastAsia="es-ES" w:bidi="es-ES"/>
        </w:rPr>
        <w:t>i.</w:t>
      </w:r>
      <w:r w:rsidRPr="00BD43CF">
        <w:rPr>
          <w:rFonts w:ascii="Verdana" w:eastAsia="Calibri" w:hAnsi="Verdana" w:cs="Arial"/>
        </w:rPr>
        <w:t xml:space="preserve"> </w:t>
      </w:r>
      <w:r w:rsidRPr="00BD43CF">
        <w:rPr>
          <w:rFonts w:ascii="Verdana" w:eastAsia="Calibri" w:hAnsi="Verdana" w:cs="Arial"/>
          <w:lang w:val="es-ES_tradnl"/>
        </w:rPr>
        <w:t xml:space="preserve">El artículo 42 de la Ley 80 de 1993 dispone que la urgencia manifiesta se declara, entre otras tres (3) circunstancias, con la finalidad de “[…] conjurar situaciones excepcionales relacionadas con hechos de calamidad o constitutivos de fuerza mayor o desastre que demanden actuaciones inmediatas […]”. Para delimitar estas expresiones, el </w:t>
      </w:r>
      <w:bookmarkStart w:id="3" w:name="_Hlk35880053"/>
      <w:r w:rsidRPr="00BD43CF">
        <w:rPr>
          <w:rFonts w:ascii="Verdana" w:eastAsia="Calibri" w:hAnsi="Verdana" w:cs="Arial"/>
          <w:lang w:val="es-ES_tradnl"/>
        </w:rPr>
        <w:t xml:space="preserve">artículo 28 del Código Civil </w:t>
      </w:r>
      <w:bookmarkEnd w:id="3"/>
      <w:r w:rsidRPr="00BD43CF">
        <w:rPr>
          <w:rFonts w:ascii="Verdana" w:eastAsia="Calibri" w:hAnsi="Verdana" w:cs="Arial"/>
          <w:lang w:val="es-ES_tradnl"/>
        </w:rPr>
        <w:t xml:space="preserve">dispone que “Las palabras de la ley se entenderán en su sentido natural y obvio, según el uso general de las mismas palabras; pero cuando el legislador las haya definido expresamente para ciertas materias, se les dará en éstas su significado legal”. Y resulta que en la medida en que la norma utiliza la conjunción “o”, en principio asimilaría la </w:t>
      </w:r>
      <w:r w:rsidRPr="00BD43CF">
        <w:rPr>
          <w:rFonts w:ascii="Verdana" w:eastAsia="Calibri" w:hAnsi="Verdana" w:cs="Arial"/>
          <w:i/>
          <w:iCs/>
          <w:lang w:val="es-ES_tradnl"/>
        </w:rPr>
        <w:t>calamidad</w:t>
      </w:r>
      <w:r w:rsidRPr="00BD43CF">
        <w:rPr>
          <w:rFonts w:ascii="Verdana" w:eastAsia="Calibri" w:hAnsi="Verdana" w:cs="Arial"/>
          <w:lang w:val="es-ES_tradnl"/>
        </w:rPr>
        <w:t xml:space="preserve"> y el </w:t>
      </w:r>
      <w:r w:rsidRPr="00BD43CF">
        <w:rPr>
          <w:rFonts w:ascii="Verdana" w:eastAsia="Calibri" w:hAnsi="Verdana" w:cs="Arial"/>
          <w:i/>
          <w:iCs/>
          <w:lang w:val="es-ES_tradnl"/>
        </w:rPr>
        <w:t xml:space="preserve">desastre </w:t>
      </w:r>
      <w:r w:rsidRPr="00BD43CF">
        <w:rPr>
          <w:rFonts w:ascii="Verdana" w:eastAsia="Calibri" w:hAnsi="Verdana" w:cs="Arial"/>
          <w:lang w:val="es-ES_tradnl"/>
        </w:rPr>
        <w:t xml:space="preserve">con la </w:t>
      </w:r>
      <w:r w:rsidRPr="00BD43CF">
        <w:rPr>
          <w:rFonts w:ascii="Verdana" w:eastAsia="Calibri" w:hAnsi="Verdana" w:cs="Arial"/>
          <w:i/>
          <w:iCs/>
          <w:lang w:val="es-ES_tradnl"/>
        </w:rPr>
        <w:t>fuerza mayor</w:t>
      </w:r>
      <w:r w:rsidRPr="00BD43CF">
        <w:rPr>
          <w:rFonts w:ascii="Verdana" w:eastAsia="Calibri" w:hAnsi="Verdana" w:cs="Arial"/>
          <w:lang w:val="es-ES_tradnl"/>
        </w:rPr>
        <w:t xml:space="preserve"> o el </w:t>
      </w:r>
      <w:r w:rsidRPr="00BD43CF">
        <w:rPr>
          <w:rFonts w:ascii="Verdana" w:eastAsia="Calibri" w:hAnsi="Verdana" w:cs="Arial"/>
          <w:i/>
          <w:iCs/>
          <w:lang w:val="es-ES_tradnl"/>
        </w:rPr>
        <w:t>caso fortuito</w:t>
      </w:r>
      <w:r w:rsidRPr="00BD43CF">
        <w:rPr>
          <w:rFonts w:ascii="Verdana" w:eastAsia="Calibri" w:hAnsi="Verdana" w:cs="Arial"/>
          <w:lang w:val="es-ES_tradnl"/>
        </w:rPr>
        <w:t xml:space="preserve">. </w:t>
      </w:r>
    </w:p>
    <w:p w14:paraId="50EFF661" w14:textId="77777777" w:rsidR="009C0AD3" w:rsidRPr="00BD43CF" w:rsidRDefault="009C0AD3" w:rsidP="009C0AD3">
      <w:pPr>
        <w:spacing w:after="0" w:line="276" w:lineRule="auto"/>
        <w:ind w:firstLine="708"/>
        <w:jc w:val="both"/>
        <w:rPr>
          <w:rFonts w:ascii="Verdana" w:eastAsia="Calibri" w:hAnsi="Verdana" w:cs="Arial"/>
          <w:lang w:val="es-ES_tradnl"/>
        </w:rPr>
      </w:pPr>
      <w:r w:rsidRPr="00BD43CF">
        <w:rPr>
          <w:rFonts w:ascii="Verdana" w:eastAsia="Calibri" w:hAnsi="Verdana" w:cs="Arial"/>
          <w:lang w:val="es-ES_tradnl"/>
        </w:rPr>
        <w:t xml:space="preserve">Al respecto, el artículo 64 del Código Civil define como tal “[…] el imprevisto o que no es posible resistir, como un naufragio, un terremoto, </w:t>
      </w:r>
      <w:bookmarkStart w:id="4" w:name="_Hlk35871146"/>
      <w:r w:rsidRPr="00BD43CF">
        <w:rPr>
          <w:rFonts w:ascii="Verdana" w:eastAsia="Calibri" w:hAnsi="Verdana" w:cs="Arial"/>
          <w:lang w:val="es-ES_tradnl"/>
        </w:rPr>
        <w:t>el apresamiento de enemigos, los actos de autoridad ejercidos por un funcionario público</w:t>
      </w:r>
      <w:bookmarkEnd w:id="4"/>
      <w:r w:rsidRPr="00BD43CF">
        <w:rPr>
          <w:rFonts w:ascii="Verdana" w:eastAsia="Calibri" w:hAnsi="Verdana" w:cs="Arial"/>
          <w:lang w:val="es-ES_tradnl"/>
        </w:rPr>
        <w:t>, etc.”</w:t>
      </w:r>
      <w:r w:rsidRPr="00BD43CF">
        <w:rPr>
          <w:rFonts w:ascii="Verdana" w:eastAsia="Calibri" w:hAnsi="Verdana" w:cs="Arial"/>
          <w:sz w:val="21"/>
          <w:szCs w:val="21"/>
          <w:vertAlign w:val="superscript"/>
          <w:lang w:val="es-ES_tradnl"/>
        </w:rPr>
        <w:footnoteReference w:id="1"/>
      </w:r>
      <w:r w:rsidRPr="00BD43CF">
        <w:rPr>
          <w:rFonts w:ascii="Verdana" w:eastAsia="Calibri" w:hAnsi="Verdana" w:cs="Arial"/>
          <w:sz w:val="21"/>
          <w:szCs w:val="21"/>
          <w:lang w:val="es-ES_tradnl"/>
        </w:rPr>
        <w:t>.</w:t>
      </w:r>
      <w:r w:rsidRPr="00BD43CF">
        <w:rPr>
          <w:rFonts w:ascii="Verdana" w:eastAsia="Calibri" w:hAnsi="Verdana" w:cs="Arial"/>
          <w:lang w:val="es-ES_tradnl"/>
        </w:rPr>
        <w:t xml:space="preserve"> Cuando provienen de fenómenos de la naturaleza estas </w:t>
      </w:r>
      <w:r w:rsidRPr="00BD43CF">
        <w:rPr>
          <w:rFonts w:ascii="Verdana" w:eastAsia="Calibri" w:hAnsi="Verdana" w:cs="Arial"/>
          <w:lang w:val="es-ES_tradnl"/>
        </w:rPr>
        <w:lastRenderedPageBreak/>
        <w:t xml:space="preserve">características confluyen con los conceptos de desastre y calamidad, los cuales –conforme al Diccionario de la Real Academia Española– constituyen una “Desgracia grande, suceso infeliz y lamentable” o “Desgracia o infortunio que alcanza a muchas personas”, respectivamente. Conforme al significado natural de las palabras, parece que la diferencia es el mayor alcance de la segunda respecto al primero. No obstante, además de la ocurrencia de desastres y calamidades que –aunque irresistibles– se presentan con cierto grado de previsibilidad o que, incluso, se originan en la actuación humana intencional, estos dos conceptos también los definió </w:t>
      </w:r>
      <w:bookmarkStart w:id="5" w:name="_Hlk35879271"/>
      <w:r w:rsidRPr="00BD43CF">
        <w:rPr>
          <w:rFonts w:ascii="Verdana" w:eastAsia="Calibri" w:hAnsi="Verdana" w:cs="Arial"/>
          <w:lang w:val="es-ES_tradnl"/>
        </w:rPr>
        <w:t>el artículo 4, numerales 5 y 8, de la Ley 1523 de 2012</w:t>
      </w:r>
      <w:bookmarkEnd w:id="5"/>
      <w:r w:rsidRPr="00BD43CF">
        <w:rPr>
          <w:rFonts w:ascii="Verdana" w:eastAsia="Calibri" w:hAnsi="Verdana" w:cs="Arial"/>
          <w:lang w:val="es-ES_tradnl"/>
        </w:rPr>
        <w:t>:</w:t>
      </w:r>
    </w:p>
    <w:p w14:paraId="20CBC3C7" w14:textId="77777777" w:rsidR="009C0AD3" w:rsidRPr="00BD43CF" w:rsidRDefault="009C0AD3" w:rsidP="009C0AD3">
      <w:pPr>
        <w:spacing w:after="0" w:line="276" w:lineRule="auto"/>
        <w:ind w:firstLine="708"/>
        <w:jc w:val="both"/>
        <w:rPr>
          <w:rFonts w:ascii="Verdana" w:eastAsia="Calibri" w:hAnsi="Verdana" w:cs="Arial"/>
          <w:lang w:val="es-ES_tradnl"/>
        </w:rPr>
      </w:pPr>
    </w:p>
    <w:p w14:paraId="44226948" w14:textId="77777777" w:rsidR="009C0AD3" w:rsidRPr="00BD43CF" w:rsidRDefault="009C0AD3" w:rsidP="009C0AD3">
      <w:pPr>
        <w:spacing w:after="0" w:line="240" w:lineRule="auto"/>
        <w:ind w:left="709" w:right="709"/>
        <w:jc w:val="both"/>
        <w:rPr>
          <w:rFonts w:ascii="Verdana" w:eastAsia="Calibri" w:hAnsi="Verdana" w:cs="Arial"/>
          <w:sz w:val="20"/>
          <w:szCs w:val="20"/>
          <w:lang w:val="es-ES_tradnl"/>
        </w:rPr>
      </w:pPr>
      <w:r w:rsidRPr="00BD43CF">
        <w:rPr>
          <w:rFonts w:ascii="Verdana" w:eastAsia="Calibri" w:hAnsi="Verdana" w:cs="Arial"/>
          <w:sz w:val="20"/>
          <w:szCs w:val="20"/>
          <w:lang w:val="es-ES_tradnl"/>
        </w:rPr>
        <w:t>“Art. 4. Para efectos de la presente ley se entenderá por:</w:t>
      </w:r>
    </w:p>
    <w:p w14:paraId="772DCDA3" w14:textId="77777777" w:rsidR="009C0AD3" w:rsidRPr="00BD43CF" w:rsidRDefault="009C0AD3" w:rsidP="009C0AD3">
      <w:pPr>
        <w:spacing w:after="120" w:line="240" w:lineRule="auto"/>
        <w:ind w:left="709" w:right="709"/>
        <w:jc w:val="both"/>
        <w:rPr>
          <w:rFonts w:ascii="Verdana" w:eastAsia="Calibri" w:hAnsi="Verdana" w:cs="Arial"/>
          <w:sz w:val="20"/>
          <w:szCs w:val="20"/>
          <w:lang w:val="es-ES_tradnl"/>
        </w:rPr>
      </w:pPr>
      <w:r w:rsidRPr="00BD43CF">
        <w:rPr>
          <w:rFonts w:ascii="Verdana" w:eastAsia="Calibri" w:hAnsi="Verdana" w:cs="Arial"/>
          <w:sz w:val="20"/>
          <w:szCs w:val="20"/>
          <w:lang w:val="es-ES_tradnl"/>
        </w:rPr>
        <w:t>[…]</w:t>
      </w:r>
    </w:p>
    <w:p w14:paraId="3336E84B" w14:textId="77777777" w:rsidR="009C0AD3" w:rsidRPr="00BD43CF" w:rsidRDefault="009C0AD3" w:rsidP="009C0AD3">
      <w:pPr>
        <w:spacing w:after="0" w:line="240" w:lineRule="auto"/>
        <w:ind w:left="709" w:right="709"/>
        <w:jc w:val="both"/>
        <w:rPr>
          <w:rFonts w:ascii="Verdana" w:eastAsia="Calibri" w:hAnsi="Verdana" w:cs="Arial"/>
          <w:sz w:val="20"/>
          <w:szCs w:val="20"/>
          <w:lang w:val="es-ES_tradnl"/>
        </w:rPr>
      </w:pPr>
      <w:r w:rsidRPr="00BD43CF">
        <w:rPr>
          <w:rFonts w:ascii="Verdana" w:eastAsia="Calibri" w:hAnsi="Verdana" w:cs="Arial"/>
          <w:sz w:val="20"/>
          <w:szCs w:val="20"/>
          <w:lang w:val="es-ES_tradnl"/>
        </w:rPr>
        <w:t xml:space="preserve">5. Calamidad pública: Es </w:t>
      </w:r>
      <w:bookmarkStart w:id="6" w:name="_Hlk35879333"/>
      <w:r w:rsidRPr="00BD43CF">
        <w:rPr>
          <w:rFonts w:ascii="Verdana" w:eastAsia="Calibri" w:hAnsi="Verdana" w:cs="Arial"/>
          <w:sz w:val="20"/>
          <w:szCs w:val="20"/>
          <w:lang w:val="es-ES_tradnl"/>
        </w:rPr>
        <w:t xml:space="preserve">el resultado que se desencadena de la manifestación de uno o varios eventos naturales </w:t>
      </w:r>
      <w:bookmarkStart w:id="7" w:name="_Hlk35870820"/>
      <w:r w:rsidRPr="00BD43CF">
        <w:rPr>
          <w:rFonts w:ascii="Verdana" w:eastAsia="Calibri" w:hAnsi="Verdana" w:cs="Arial"/>
          <w:sz w:val="20"/>
          <w:szCs w:val="20"/>
          <w:lang w:val="es-ES_tradnl"/>
        </w:rPr>
        <w:t xml:space="preserve">o antropogénicos no intencionales </w:t>
      </w:r>
      <w:bookmarkEnd w:id="7"/>
      <w:r w:rsidRPr="00BD43CF">
        <w:rPr>
          <w:rFonts w:ascii="Verdana" w:eastAsia="Calibri" w:hAnsi="Verdana" w:cs="Arial"/>
          <w:sz w:val="20"/>
          <w:szCs w:val="20"/>
          <w:lang w:val="es-ES_tradnl"/>
        </w:rPr>
        <w:t xml:space="preserve">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w:t>
      </w:r>
      <w:bookmarkEnd w:id="6"/>
      <w:r w:rsidRPr="00BD43CF">
        <w:rPr>
          <w:rFonts w:ascii="Verdana" w:eastAsia="Calibri" w:hAnsi="Verdana" w:cs="Arial"/>
          <w:sz w:val="20"/>
          <w:szCs w:val="20"/>
          <w:lang w:val="es-ES_tradnl"/>
        </w:rPr>
        <w:t>de la población, en el respectivo territorio, que exige al municipio, distrito o departamento ejecutar acciones de respuesta a la emergencia, rehabilitación y reconstrucción.</w:t>
      </w:r>
    </w:p>
    <w:p w14:paraId="5C7A454F" w14:textId="77777777" w:rsidR="009C0AD3" w:rsidRPr="00BD43CF" w:rsidRDefault="009C0AD3" w:rsidP="009C0AD3">
      <w:pPr>
        <w:spacing w:after="120" w:line="240" w:lineRule="auto"/>
        <w:ind w:left="709" w:right="709"/>
        <w:jc w:val="both"/>
        <w:rPr>
          <w:rFonts w:ascii="Verdana" w:eastAsia="Calibri" w:hAnsi="Verdana" w:cs="Arial"/>
          <w:sz w:val="20"/>
          <w:szCs w:val="20"/>
          <w:lang w:val="es-ES_tradnl"/>
        </w:rPr>
      </w:pPr>
      <w:r w:rsidRPr="00BD43CF">
        <w:rPr>
          <w:rFonts w:ascii="Verdana" w:eastAsia="Calibri" w:hAnsi="Verdana" w:cs="Arial"/>
          <w:sz w:val="20"/>
          <w:szCs w:val="20"/>
          <w:lang w:val="es-ES_tradnl"/>
        </w:rPr>
        <w:t xml:space="preserve">[…] </w:t>
      </w:r>
    </w:p>
    <w:p w14:paraId="59C1CD27" w14:textId="77777777" w:rsidR="009C0AD3" w:rsidRPr="00BD43CF" w:rsidRDefault="009C0AD3" w:rsidP="009C0AD3">
      <w:pPr>
        <w:spacing w:after="0" w:line="240" w:lineRule="auto"/>
        <w:ind w:left="709" w:right="709"/>
        <w:jc w:val="both"/>
        <w:rPr>
          <w:rFonts w:ascii="Verdana" w:eastAsia="Calibri" w:hAnsi="Verdana" w:cs="Arial"/>
          <w:lang w:val="es-ES_tradnl"/>
        </w:rPr>
      </w:pPr>
      <w:r w:rsidRPr="00BD43CF">
        <w:rPr>
          <w:rFonts w:ascii="Verdana" w:eastAsia="Calibri" w:hAnsi="Verdana" w:cs="Arial"/>
          <w:sz w:val="20"/>
          <w:szCs w:val="20"/>
          <w:lang w:val="es-ES_tradnl"/>
        </w:rPr>
        <w:t xml:space="preserve">8. Desastre: Es el resultado que se desencadena de la manifestación de uno o varios eventos naturales o antropogénicos no intencionales que al encontrar condiciones propicias de vulnerabilidad en las personas, los bienes, la infraestructura, los medios de subsistencia, la prestación de servicios o los recursos ambientales, causa daños o pérdidas humanas, </w:t>
      </w:r>
      <w:r w:rsidRPr="00BD43CF">
        <w:rPr>
          <w:rFonts w:ascii="Verdana" w:eastAsia="Calibri" w:hAnsi="Verdana" w:cs="Arial"/>
          <w:sz w:val="20"/>
          <w:szCs w:val="20"/>
          <w:lang w:val="es-ES_tradnl"/>
        </w:rPr>
        <w:lastRenderedPageBreak/>
        <w:t>materiales, económicas o ambientales, generando una alteración intensa, grave y extendida en las condiciones normales de funcionamiento de la sociedad, que exige del Estado y del sistema nacional ejecutar acciones de respuesta a la emergencia, rehabilitación y reconstrucción”.</w:t>
      </w:r>
    </w:p>
    <w:p w14:paraId="7AE828C2" w14:textId="77777777" w:rsidR="009C0AD3" w:rsidRPr="00BD43CF" w:rsidRDefault="009C0AD3" w:rsidP="009C0AD3">
      <w:pPr>
        <w:spacing w:after="0" w:line="276" w:lineRule="auto"/>
        <w:ind w:left="709" w:right="709"/>
        <w:jc w:val="both"/>
        <w:rPr>
          <w:rFonts w:ascii="Verdana" w:eastAsia="Calibri" w:hAnsi="Verdana" w:cs="Arial"/>
          <w:lang w:val="es-ES_tradnl"/>
        </w:rPr>
      </w:pPr>
    </w:p>
    <w:p w14:paraId="37708147" w14:textId="77777777" w:rsidR="009C0AD3" w:rsidRPr="00BD43CF" w:rsidRDefault="009C0AD3" w:rsidP="009C0AD3">
      <w:pPr>
        <w:spacing w:after="120" w:line="276" w:lineRule="auto"/>
        <w:ind w:firstLine="709"/>
        <w:jc w:val="both"/>
        <w:rPr>
          <w:rFonts w:ascii="Verdana" w:eastAsia="Calibri" w:hAnsi="Verdana" w:cs="Arial"/>
          <w:lang w:val="es-ES"/>
        </w:rPr>
      </w:pPr>
      <w:r w:rsidRPr="00BD43CF">
        <w:rPr>
          <w:rFonts w:ascii="Verdana" w:eastAsia="Calibri" w:hAnsi="Verdana" w:cs="Arial"/>
          <w:lang w:val="es-ES"/>
        </w:rPr>
        <w:t xml:space="preserve">Esta norma debe armonizarse con los artículos 56 y 57 </w:t>
      </w:r>
      <w:r w:rsidRPr="00BD43CF">
        <w:rPr>
          <w:rFonts w:ascii="Verdana" w:eastAsia="Calibri" w:hAnsi="Verdana" w:cs="Arial"/>
          <w:i/>
          <w:lang w:val="es-ES"/>
        </w:rPr>
        <w:t>ibidem</w:t>
      </w:r>
      <w:r w:rsidRPr="00BD43CF">
        <w:rPr>
          <w:rFonts w:ascii="Verdana" w:eastAsia="Calibri" w:hAnsi="Verdana" w:cs="Arial"/>
          <w:lang w:val="es-ES"/>
        </w:rPr>
        <w:t xml:space="preserve">, que asignan la competencia para declarar la ocurrencia de una situación de </w:t>
      </w:r>
      <w:r w:rsidRPr="00BD43CF">
        <w:rPr>
          <w:rFonts w:ascii="Verdana" w:eastAsia="Calibri" w:hAnsi="Verdana" w:cs="Arial"/>
          <w:i/>
          <w:lang w:val="es-ES"/>
        </w:rPr>
        <w:t>desastre</w:t>
      </w:r>
      <w:r w:rsidRPr="00BD43CF">
        <w:rPr>
          <w:rFonts w:ascii="Verdana" w:eastAsia="Calibri" w:hAnsi="Verdana" w:cs="Arial"/>
          <w:lang w:val="es-ES"/>
        </w:rPr>
        <w:t xml:space="preserve"> o una situación de </w:t>
      </w:r>
      <w:r w:rsidRPr="00BD43CF">
        <w:rPr>
          <w:rFonts w:ascii="Verdana" w:eastAsia="Calibri" w:hAnsi="Verdana" w:cs="Arial"/>
          <w:i/>
          <w:lang w:val="es-ES"/>
        </w:rPr>
        <w:t>calamidad pública</w:t>
      </w:r>
      <w:r w:rsidRPr="00BD43CF">
        <w:rPr>
          <w:rFonts w:ascii="Verdana" w:eastAsia="Calibri" w:hAnsi="Verdana" w:cs="Arial"/>
          <w:lang w:val="es-ES"/>
        </w:rPr>
        <w:t xml:space="preserve">. Particularmente, disponen que al Presidente de la República le corresponde declarar la situación de </w:t>
      </w:r>
      <w:r w:rsidRPr="00BD43CF">
        <w:rPr>
          <w:rFonts w:ascii="Verdana" w:eastAsia="Calibri" w:hAnsi="Verdana" w:cs="Arial"/>
          <w:i/>
          <w:lang w:val="es-ES"/>
        </w:rPr>
        <w:t>desastre</w:t>
      </w:r>
      <w:r w:rsidRPr="00BD43CF">
        <w:rPr>
          <w:rFonts w:ascii="Verdana" w:eastAsia="Calibri" w:hAnsi="Verdana" w:cs="Arial"/>
          <w:lang w:val="es-ES"/>
        </w:rPr>
        <w:t>, tanto en el orden nacional, departamental, como en el municipal y distrital</w:t>
      </w:r>
      <w:r w:rsidRPr="00BD43CF">
        <w:rPr>
          <w:rStyle w:val="Refdenotaalpie"/>
          <w:rFonts w:ascii="Verdana" w:eastAsia="Calibri" w:hAnsi="Verdana" w:cs="Arial"/>
          <w:lang w:val="es-ES"/>
        </w:rPr>
        <w:footnoteReference w:id="2"/>
      </w:r>
      <w:r w:rsidRPr="00BD43CF">
        <w:rPr>
          <w:rFonts w:ascii="Verdana" w:eastAsia="Calibri" w:hAnsi="Verdana" w:cs="Arial"/>
          <w:lang w:val="es-ES"/>
        </w:rPr>
        <w:t xml:space="preserve">, facultad que no pueden ejercer los gobernadores y alcaldes, porque la norma no les asignó esta competencia. No obstante, a los gobernadores y alcaldes sí les corresponde declarar la </w:t>
      </w:r>
      <w:r w:rsidRPr="00BD43CF">
        <w:rPr>
          <w:rFonts w:ascii="Verdana" w:eastAsia="Calibri" w:hAnsi="Verdana" w:cs="Arial"/>
          <w:i/>
          <w:lang w:val="es-ES"/>
        </w:rPr>
        <w:t>situación de calamidad pública</w:t>
      </w:r>
      <w:r w:rsidRPr="00BD43CF">
        <w:rPr>
          <w:rFonts w:ascii="Verdana" w:eastAsia="Calibri" w:hAnsi="Verdana" w:cs="Arial"/>
          <w:lang w:val="es-ES"/>
        </w:rPr>
        <w:t>, en los respectivos ámbitos, facultad que, en cambio, no puede ejercer el presidente de la república</w:t>
      </w:r>
      <w:r w:rsidRPr="00BD43CF">
        <w:rPr>
          <w:rStyle w:val="Refdenotaalpie"/>
          <w:rFonts w:ascii="Verdana" w:eastAsia="Calibri" w:hAnsi="Verdana" w:cs="Arial"/>
          <w:lang w:val="es-ES"/>
        </w:rPr>
        <w:footnoteReference w:id="3"/>
      </w:r>
      <w:r w:rsidRPr="00BD43CF">
        <w:rPr>
          <w:rFonts w:ascii="Verdana" w:eastAsia="Calibri" w:hAnsi="Verdana" w:cs="Arial"/>
          <w:lang w:val="es-ES"/>
        </w:rPr>
        <w:t xml:space="preserve">. </w:t>
      </w:r>
    </w:p>
    <w:p w14:paraId="721C62B9" w14:textId="77777777" w:rsidR="009C0AD3" w:rsidRPr="00BD43CF" w:rsidRDefault="009C0AD3" w:rsidP="009C0AD3">
      <w:pPr>
        <w:spacing w:after="120" w:line="276" w:lineRule="auto"/>
        <w:ind w:firstLine="709"/>
        <w:jc w:val="both"/>
        <w:rPr>
          <w:rFonts w:ascii="Verdana" w:eastAsia="Calibri" w:hAnsi="Verdana" w:cs="Arial"/>
          <w:lang w:val="es-ES_tradnl"/>
        </w:rPr>
      </w:pPr>
      <w:r w:rsidRPr="00BD43CF">
        <w:rPr>
          <w:rFonts w:ascii="Verdana" w:eastAsia="Calibri" w:hAnsi="Verdana" w:cs="Arial"/>
          <w:lang w:val="es-ES_tradnl"/>
        </w:rPr>
        <w:t xml:space="preserve">De esta manera, una vez se declara la situación de calamidad o la situación de desastre bajo los criterios señalados en el artículo 59 de la Ley 1523 </w:t>
      </w:r>
      <w:r w:rsidRPr="00BD43CF">
        <w:rPr>
          <w:rFonts w:ascii="Verdana" w:eastAsia="Calibri" w:hAnsi="Verdana" w:cs="Arial"/>
          <w:lang w:val="es-ES_tradnl"/>
        </w:rPr>
        <w:lastRenderedPageBreak/>
        <w:t xml:space="preserve">de 2012, por parte de la autoridad competente, las demás entidades estatales –de conformidad con el artículo 42 de la Ley 80 de 1993– quedan facultadas para declarar, a continuación, la causal de contratación directa denominada “urgencia manifiesta”, mediante un acto administrativo propio, autónomo, que tiene como fundamento fáctico y jurídico la declaración de situación de calamidad o la situación de desastre. </w:t>
      </w:r>
    </w:p>
    <w:p w14:paraId="46043C8E" w14:textId="77777777" w:rsidR="009C0AD3" w:rsidRPr="00BD43CF" w:rsidRDefault="009C0AD3" w:rsidP="009C0AD3">
      <w:pPr>
        <w:spacing w:after="120" w:line="276" w:lineRule="auto"/>
        <w:ind w:firstLine="709"/>
        <w:jc w:val="both"/>
        <w:rPr>
          <w:rFonts w:ascii="Verdana" w:eastAsia="Calibri" w:hAnsi="Verdana" w:cs="Arial"/>
          <w:lang w:val="es-ES"/>
        </w:rPr>
      </w:pPr>
      <w:bookmarkStart w:id="9" w:name="_Hlk35959844"/>
      <w:r w:rsidRPr="00BD43CF">
        <w:rPr>
          <w:rFonts w:ascii="Verdana" w:eastAsia="Calibri" w:hAnsi="Verdana" w:cs="Arial"/>
          <w:lang w:val="es-ES"/>
        </w:rPr>
        <w:t xml:space="preserve">Lo anterior significa que </w:t>
      </w:r>
      <w:bookmarkStart w:id="10" w:name="_Hlk35959859"/>
      <w:r w:rsidRPr="00BD43CF">
        <w:rPr>
          <w:rFonts w:ascii="Verdana" w:eastAsia="Calibri" w:hAnsi="Verdana" w:cs="Arial"/>
          <w:lang w:val="es-ES"/>
        </w:rPr>
        <w:t xml:space="preserve">para contratar </w:t>
      </w:r>
      <w:bookmarkEnd w:id="9"/>
      <w:r w:rsidRPr="00BD43CF">
        <w:rPr>
          <w:rFonts w:ascii="Verdana" w:eastAsia="Calibri" w:hAnsi="Verdana" w:cs="Arial"/>
          <w:lang w:val="es-ES"/>
        </w:rPr>
        <w:t>directamente no basta con la declaración de desastre o de calamidad. Es decir, se necesitan dos (2) actos administrativos concurrentes para que pueda contratarse directamente por urgencia manifiesta: i) el primero en el tiempo, la declaración de la situación de calamidad pública o la declaración de la situación de desastre, de conformidad con lo establecido en el Capítulo VI de la Ley 1523 de 2012; y ii) el segundo, la declaración propiamente dicha de “urgencia manifiesta” de que trata el artículo 42 del Estatuto General de Contratación, amparado o fundamentado en la declaración previa del desastre o calamidad.</w:t>
      </w:r>
    </w:p>
    <w:p w14:paraId="2B93FC6A" w14:textId="77777777" w:rsidR="009C0AD3" w:rsidRPr="00BD43CF" w:rsidRDefault="009C0AD3" w:rsidP="009C0AD3">
      <w:pPr>
        <w:spacing w:after="120" w:line="276" w:lineRule="auto"/>
        <w:ind w:firstLine="709"/>
        <w:jc w:val="both"/>
        <w:rPr>
          <w:rFonts w:ascii="Verdana" w:eastAsia="Calibri" w:hAnsi="Verdana" w:cs="Arial"/>
          <w:lang w:val="es-ES"/>
        </w:rPr>
      </w:pPr>
      <w:r w:rsidRPr="00BD43CF">
        <w:rPr>
          <w:rFonts w:ascii="Verdana" w:eastAsia="Calibri" w:hAnsi="Verdana" w:cs="Arial"/>
          <w:lang w:val="es-ES_tradnl"/>
        </w:rPr>
        <w:t xml:space="preserve"> </w:t>
      </w:r>
      <w:bookmarkEnd w:id="10"/>
      <w:r w:rsidRPr="00BD43CF">
        <w:rPr>
          <w:rFonts w:ascii="Verdana" w:eastAsia="Calibri" w:hAnsi="Verdana" w:cs="Arial"/>
          <w:lang w:val="es-ES"/>
        </w:rPr>
        <w:t xml:space="preserve">Para declarar la urgencia manifiesta es imprescindible que el presidente de la república o el gobernador o el alcalde, según el caso, hayan declarado la situación de desastre o la declaración de calamidad. Tratándose de los funcionarios mencionados, ambas declaraciones pueden realizarse en un mismo acto administrativo, es decir, el presidente, el gobernador o el alcalde declara el desastre o la calamidad y, como consecuencia, decreta la urgencia manifiesta. Lo anterior, porque la situación de calamidad pública o la situación de desastre depende tanto de la ocurrencia de los hechos que dan lugar a las mismas como de la declaración del órgano competente, de manera que ninguna se configura a falta de alguna de estas condiciones. </w:t>
      </w:r>
    </w:p>
    <w:p w14:paraId="67472667" w14:textId="77777777" w:rsidR="009C0AD3" w:rsidRPr="00BD43CF" w:rsidRDefault="009C0AD3" w:rsidP="009C0AD3">
      <w:pPr>
        <w:spacing w:after="0" w:line="276" w:lineRule="auto"/>
        <w:ind w:firstLine="709"/>
        <w:jc w:val="both"/>
        <w:rPr>
          <w:rFonts w:ascii="Verdana" w:eastAsia="Calibri" w:hAnsi="Verdana" w:cs="Arial"/>
          <w:lang w:val="es-ES_tradnl"/>
        </w:rPr>
      </w:pPr>
      <w:r w:rsidRPr="00BD43CF">
        <w:rPr>
          <w:rFonts w:ascii="Verdana" w:eastAsia="Calibri" w:hAnsi="Verdana" w:cs="Arial"/>
          <w:lang w:val="es-ES_tradnl"/>
        </w:rPr>
        <w:t xml:space="preserve">Como una autoridad diferente al presidente de la república, o al gobernador y el alcalde –por ejemplo, los ministros, directores o presidentes de agencias, directores de establecimientos públicos, de sociedades de economía mixta, etc.–, carece de competencia para declarar cualquiera de estas dos (2) situaciones, deben esperar a que se dicten los actos respectivos para fundamentar la declaración de urgencia manifiesta en la situación de desastre o en la situación de calamidad. En esta segunda hipótesis, se expiden dos (2) actos administrativos separados: el presidente, gobernador o alcalde declara el desastre o la calamidad, por un lado, y los ministros, directores o presidentes de agencias, directores de establecimientos públicos, de sociedades de economía </w:t>
      </w:r>
      <w:r w:rsidRPr="00BD43CF">
        <w:rPr>
          <w:rFonts w:ascii="Verdana" w:eastAsia="Calibri" w:hAnsi="Verdana" w:cs="Arial"/>
          <w:lang w:val="es-ES_tradnl"/>
        </w:rPr>
        <w:lastRenderedPageBreak/>
        <w:t xml:space="preserve">mixta, etc. decretan la urgencia manifiesta, por otro. Por lo anterior, cuando el artículo 42 de la Ley 80 de 1993 dispone que la urgencia manifiesta se declara –entre otras tres (3) causales– para “[…] </w:t>
      </w:r>
      <w:bookmarkStart w:id="11" w:name="_Hlk35879915"/>
      <w:r w:rsidRPr="00BD43CF">
        <w:rPr>
          <w:rFonts w:ascii="Verdana" w:eastAsia="Calibri" w:hAnsi="Verdana" w:cs="Arial"/>
          <w:lang w:val="es-ES_tradnl"/>
        </w:rPr>
        <w:t>conjurar situaciones excepcionales relacionadas con hechos de calamidad o constitutivos de fuerza mayor o desastre que demanden actuaciones inmediatas</w:t>
      </w:r>
      <w:bookmarkEnd w:id="11"/>
      <w:r w:rsidRPr="00BD43CF">
        <w:rPr>
          <w:rFonts w:ascii="Verdana" w:eastAsia="Calibri" w:hAnsi="Verdana" w:cs="Arial"/>
          <w:lang w:val="es-ES_tradnl"/>
        </w:rPr>
        <w:t xml:space="preserve"> […]”, las circunstancias de calamidad y desastre deben entenderse en los términos de la Ley 1523 de 2012, en la medida que forman una unidad jurídica completa.</w:t>
      </w:r>
    </w:p>
    <w:p w14:paraId="2F992A97" w14:textId="77777777" w:rsidR="009C0AD3" w:rsidRPr="00BD43CF" w:rsidRDefault="009C0AD3" w:rsidP="009C0AD3">
      <w:pPr>
        <w:spacing w:after="0" w:line="276" w:lineRule="auto"/>
        <w:ind w:firstLine="709"/>
        <w:jc w:val="both"/>
        <w:rPr>
          <w:rFonts w:ascii="Verdana" w:eastAsia="Calibri" w:hAnsi="Verdana" w:cs="Arial"/>
          <w:lang w:val="es-ES_tradnl"/>
        </w:rPr>
      </w:pPr>
    </w:p>
    <w:p w14:paraId="2203AF49" w14:textId="77777777" w:rsidR="009C0AD3" w:rsidRPr="00BD43CF" w:rsidRDefault="009C0AD3" w:rsidP="009C0AD3">
      <w:pPr>
        <w:spacing w:after="120" w:line="276" w:lineRule="auto"/>
        <w:jc w:val="both"/>
        <w:rPr>
          <w:rFonts w:ascii="Verdana" w:eastAsia="Calibri" w:hAnsi="Verdana" w:cs="Arial"/>
          <w:lang w:val="es-ES"/>
        </w:rPr>
      </w:pPr>
      <w:r w:rsidRPr="00BD43CF">
        <w:rPr>
          <w:rFonts w:ascii="Verdana" w:eastAsia="Calibri" w:hAnsi="Verdana" w:cs="Arial"/>
          <w:lang w:val="es-ES"/>
        </w:rPr>
        <w:t xml:space="preserve">ii. Si bien la necesidad de contar con los dos actos administrativos anteriormente mencionados es un principio general, para el común de las entidades estatales, es necesario considerar el matiz introducido por el artículo 66 de la Ley 1523 de 2012, hipótesis en la cual basta declarar la situación de desastre o la situación de calamidad pública para contratar con el derecho privado, y los principios de la función administrativa y de la gestión fiscal. </w:t>
      </w:r>
    </w:p>
    <w:p w14:paraId="0268417D" w14:textId="77777777" w:rsidR="009C0AD3" w:rsidRPr="00BD43CF" w:rsidRDefault="009C0AD3" w:rsidP="009C0AD3">
      <w:pPr>
        <w:spacing w:after="120" w:line="276" w:lineRule="auto"/>
        <w:ind w:firstLine="709"/>
        <w:jc w:val="both"/>
        <w:rPr>
          <w:rFonts w:ascii="Verdana" w:eastAsia="Calibri" w:hAnsi="Verdana" w:cs="Arial"/>
          <w:lang w:val="es-ES_tradnl"/>
        </w:rPr>
      </w:pPr>
      <w:r w:rsidRPr="00BD43CF">
        <w:rPr>
          <w:rFonts w:ascii="Verdana" w:eastAsia="Calibri" w:hAnsi="Verdana" w:cs="Arial"/>
          <w:lang w:val="es-ES_tradnl"/>
        </w:rPr>
        <w:t xml:space="preserve">La interpretación de esta norma supone tener en cuenta que, de conformidad con el artículo 47, se constituyó el </w:t>
      </w:r>
      <w:bookmarkStart w:id="12" w:name="_Hlk36225979"/>
      <w:r w:rsidRPr="00BD43CF">
        <w:rPr>
          <w:rFonts w:ascii="Verdana" w:eastAsia="Calibri" w:hAnsi="Verdana" w:cs="Arial"/>
          <w:lang w:val="es-ES_tradnl"/>
        </w:rPr>
        <w:t>Fondo Nacional de Gestión de Riesgo de Desastres</w:t>
      </w:r>
      <w:bookmarkEnd w:id="12"/>
      <w:r w:rsidRPr="00BD43CF">
        <w:rPr>
          <w:rFonts w:ascii="Verdana" w:eastAsia="Calibri" w:hAnsi="Verdana" w:cs="Arial"/>
          <w:lang w:val="es-ES_tradnl"/>
        </w:rPr>
        <w:t xml:space="preserve"> como un patrimonio autónomo –artículo 49–, administrado y representado en los términos del artículo 3° del Decreto 1547 de 1984 –modificado por el artículo 70 de Decreto-ley 919 de 1989</w:t>
      </w:r>
      <w:r w:rsidRPr="00BD43CF">
        <w:rPr>
          <w:rStyle w:val="Refdenotaalpie"/>
          <w:rFonts w:ascii="Verdana" w:eastAsia="Calibri" w:hAnsi="Verdana" w:cs="Arial"/>
          <w:lang w:val="es-ES_tradnl"/>
        </w:rPr>
        <w:footnoteReference w:id="4"/>
      </w:r>
      <w:r w:rsidRPr="00BD43CF">
        <w:rPr>
          <w:rFonts w:ascii="Verdana" w:eastAsia="Calibri" w:hAnsi="Verdana" w:cs="Arial"/>
          <w:lang w:val="es-ES_tradnl"/>
        </w:rPr>
        <w:t xml:space="preserve"> (artículo 48)–, destinado a adoptar medidas de conocimiento y reducción del riesgo de desastres, preparación, respuesta, rehabilitación y reconstrucción, a través de mecanismos de financiación dirigidos a las entidades involucradas en los procesos y a la población afectada por la ocurrencia de desastres, cuyo régimen contractual es el de las empresas industriales y comerciales, sin perjuicio de las facultades especiales para atender situaciones de desastres y evitar la extensión de los efectos –parágrafo 3 del artículo 50–. </w:t>
      </w:r>
    </w:p>
    <w:p w14:paraId="74A51433" w14:textId="77777777" w:rsidR="009C0AD3" w:rsidRPr="00BD43CF" w:rsidRDefault="009C0AD3" w:rsidP="009C0AD3">
      <w:pPr>
        <w:spacing w:after="120" w:line="276" w:lineRule="auto"/>
        <w:ind w:firstLine="708"/>
        <w:jc w:val="both"/>
        <w:rPr>
          <w:rFonts w:ascii="Verdana" w:eastAsia="Calibri" w:hAnsi="Verdana" w:cs="Arial"/>
          <w:b/>
          <w:bCs/>
          <w:color w:val="000000" w:themeColor="text1"/>
        </w:rPr>
      </w:pPr>
      <w:r w:rsidRPr="00BD43CF">
        <w:rPr>
          <w:rFonts w:ascii="Verdana" w:eastAsia="Calibri" w:hAnsi="Verdana" w:cs="Arial"/>
          <w:lang w:val="es-ES_tradnl"/>
        </w:rPr>
        <w:t xml:space="preserve">Para interpretar el primer aparte del parágrafo 3 del artículo 50 de la Ley 1523 de 2012, es necesario tener en cuenta que </w:t>
      </w:r>
      <w:r w:rsidRPr="00BD43CF">
        <w:rPr>
          <w:rFonts w:ascii="Verdana" w:eastAsia="Calibri" w:hAnsi="Verdana" w:cs="Arial"/>
          <w:color w:val="000000" w:themeColor="text1"/>
        </w:rPr>
        <w:t>en la estructura de la Administración pública se encuentran las entidades descentralizadas por servicios, y dentro de dicha categoría se ubican las empresas industriales y comerciales del Estado, las cuales –sin perjuicio del control de tutela– tienen personería jurídica, autonomía administrativa y patrimonio propio.</w:t>
      </w:r>
      <w:r w:rsidRPr="00BD43CF">
        <w:rPr>
          <w:rFonts w:ascii="Verdana" w:eastAsia="Calibri" w:hAnsi="Verdana" w:cs="Arial"/>
          <w:b/>
          <w:bCs/>
          <w:color w:val="000000" w:themeColor="text1"/>
        </w:rPr>
        <w:t xml:space="preserve"> </w:t>
      </w:r>
      <w:r w:rsidRPr="00BD43CF">
        <w:rPr>
          <w:rFonts w:ascii="Verdana" w:eastAsia="Calibri" w:hAnsi="Verdana" w:cs="Arial"/>
          <w:color w:val="000000" w:themeColor="text1"/>
        </w:rPr>
        <w:t xml:space="preserve">Estas </w:t>
      </w:r>
      <w:r w:rsidRPr="00BD43CF">
        <w:rPr>
          <w:rFonts w:ascii="Verdana" w:eastAsia="Calibri" w:hAnsi="Verdana" w:cs="Arial"/>
          <w:color w:val="000000" w:themeColor="text1"/>
        </w:rPr>
        <w:lastRenderedPageBreak/>
        <w:t>entidades, como su nombre lo indica, se caracterizan por desarrollar actividades de carácter industrial o comercial. Así, por ejemplo, son empresas industriales y comerciales del Estado la Imprenta Nacional de Colombia, Coljuegos, Indumil, la Caja Promotora de Vivienda Militar y de Policía, Colpensiones, entre otras.</w:t>
      </w:r>
    </w:p>
    <w:p w14:paraId="7C04E6C8" w14:textId="77777777" w:rsidR="009C0AD3" w:rsidRPr="00BD43CF" w:rsidRDefault="009C0AD3" w:rsidP="009C0AD3">
      <w:pPr>
        <w:spacing w:after="0" w:line="276" w:lineRule="auto"/>
        <w:jc w:val="both"/>
        <w:rPr>
          <w:rFonts w:ascii="Verdana" w:eastAsia="Calibri" w:hAnsi="Verdana" w:cs="Arial"/>
          <w:lang w:val="es-ES_tradnl"/>
        </w:rPr>
      </w:pPr>
      <w:r w:rsidRPr="00BD43CF">
        <w:rPr>
          <w:rFonts w:ascii="Verdana" w:eastAsia="Calibri" w:hAnsi="Verdana" w:cs="Arial"/>
          <w:color w:val="000000" w:themeColor="text1"/>
        </w:rPr>
        <w:t xml:space="preserve">iii. Por </w:t>
      </w:r>
      <w:r w:rsidRPr="00BD43CF">
        <w:rPr>
          <w:rFonts w:ascii="Verdana" w:eastAsia="Calibri" w:hAnsi="Verdana" w:cs="Arial"/>
          <w:i/>
          <w:iCs/>
          <w:color w:val="000000" w:themeColor="text1"/>
        </w:rPr>
        <w:t>regla general</w:t>
      </w:r>
      <w:r w:rsidRPr="00BD43CF">
        <w:rPr>
          <w:rFonts w:ascii="Verdana" w:eastAsia="Calibri" w:hAnsi="Verdana" w:cs="Arial"/>
          <w:color w:val="000000" w:themeColor="text1"/>
        </w:rPr>
        <w:t xml:space="preserve">, </w:t>
      </w:r>
      <w:r w:rsidRPr="00BD43CF">
        <w:rPr>
          <w:rFonts w:ascii="Verdana" w:eastAsia="Calibri" w:hAnsi="Verdana" w:cs="Arial"/>
          <w:lang w:val="es-ES_tradnl"/>
        </w:rPr>
        <w:t xml:space="preserve">el parágrafo 3 del artículo 50 de la Ley 1523 de 2012 dispone que los contratos del </w:t>
      </w:r>
      <w:r w:rsidRPr="00BD43CF">
        <w:rPr>
          <w:rFonts w:ascii="Verdana" w:eastAsia="Century Gothic" w:hAnsi="Verdana" w:cs="Century Gothic"/>
          <w:lang w:val="es-ES_tradnl"/>
        </w:rPr>
        <w:t>Fondo Nacional de Gestión del Riesgo de Desastres</w:t>
      </w:r>
      <w:r w:rsidRPr="00BD43CF">
        <w:rPr>
          <w:rFonts w:ascii="Verdana" w:eastAsia="Calibri" w:hAnsi="Verdana" w:cs="Arial"/>
          <w:lang w:val="es-ES_tradnl"/>
        </w:rPr>
        <w:t xml:space="preserve"> se someten al régimen aplicable a las empresas industriales y comerciales del Estado en las condiciones explicadas </w:t>
      </w:r>
      <w:r w:rsidRPr="00BD43CF">
        <w:rPr>
          <w:rFonts w:ascii="Verdana" w:eastAsia="Calibri" w:hAnsi="Verdana" w:cs="Arial"/>
          <w:i/>
          <w:iCs/>
          <w:lang w:val="es-ES_tradnl"/>
        </w:rPr>
        <w:t>ut supra</w:t>
      </w:r>
      <w:r w:rsidRPr="00BD43CF">
        <w:rPr>
          <w:rFonts w:ascii="Verdana" w:eastAsia="Calibri" w:hAnsi="Verdana" w:cs="Arial"/>
          <w:lang w:val="es-ES_tradnl"/>
        </w:rPr>
        <w:t xml:space="preserve">. Sin embargo, establece una </w:t>
      </w:r>
      <w:r w:rsidRPr="00BD43CF">
        <w:rPr>
          <w:rFonts w:ascii="Verdana" w:eastAsia="Calibri" w:hAnsi="Verdana" w:cs="Arial"/>
          <w:i/>
          <w:iCs/>
          <w:lang w:val="es-ES_tradnl"/>
        </w:rPr>
        <w:t>excepción</w:t>
      </w:r>
      <w:r w:rsidRPr="00BD43CF">
        <w:rPr>
          <w:rFonts w:ascii="Verdana" w:eastAsia="Calibri" w:hAnsi="Verdana" w:cs="Arial"/>
          <w:lang w:val="es-ES_tradnl"/>
        </w:rPr>
        <w:t xml:space="preserve"> al salvaguardar el “[…] régimen de contratación previsto para las situaciones de desastres o de similar naturaleza y a evitar la extensión de los efectos”. En este contexto, el artículo 66 de la Ley 1523 de 2012 dispone lo siguiente:</w:t>
      </w:r>
    </w:p>
    <w:p w14:paraId="631679F8" w14:textId="77777777" w:rsidR="009C0AD3" w:rsidRPr="00BD43CF" w:rsidRDefault="009C0AD3" w:rsidP="009C0AD3">
      <w:pPr>
        <w:spacing w:after="0" w:line="276" w:lineRule="auto"/>
        <w:ind w:firstLine="708"/>
        <w:jc w:val="both"/>
        <w:rPr>
          <w:rFonts w:ascii="Verdana" w:eastAsia="Calibri" w:hAnsi="Verdana" w:cs="Arial"/>
          <w:lang w:val="es-ES_tradnl"/>
        </w:rPr>
      </w:pPr>
    </w:p>
    <w:p w14:paraId="70520DE9" w14:textId="77777777" w:rsidR="009C0AD3" w:rsidRPr="00BD43CF" w:rsidRDefault="009C0AD3" w:rsidP="009C0AD3">
      <w:pPr>
        <w:spacing w:line="240" w:lineRule="auto"/>
        <w:ind w:left="709" w:right="709"/>
        <w:jc w:val="both"/>
        <w:rPr>
          <w:rFonts w:ascii="Verdana" w:eastAsia="Calibri" w:hAnsi="Verdana" w:cs="Arial"/>
          <w:sz w:val="20"/>
          <w:szCs w:val="20"/>
          <w:lang w:val="es-ES_tradnl"/>
        </w:rPr>
      </w:pPr>
      <w:r w:rsidRPr="00BD43CF">
        <w:rPr>
          <w:rFonts w:ascii="Verdana" w:eastAsia="Calibri" w:hAnsi="Verdana" w:cs="Arial"/>
          <w:sz w:val="20"/>
          <w:szCs w:val="20"/>
          <w:lang w:val="es-ES_tradnl"/>
        </w:rPr>
        <w:t xml:space="preserve">“Art. 66. Salvo lo dispuesto para los contratos de empréstito interno y externo, los contratos que celebre la sociedad fiduciaria para la ejecución de los bienes, derechos e intereses del </w:t>
      </w:r>
      <w:bookmarkStart w:id="13" w:name="_Hlk36227796"/>
      <w:r w:rsidRPr="00BD43CF">
        <w:rPr>
          <w:rFonts w:ascii="Verdana" w:eastAsia="Calibri" w:hAnsi="Verdana" w:cs="Arial"/>
          <w:sz w:val="20"/>
          <w:szCs w:val="20"/>
          <w:lang w:val="es-ES_tradnl"/>
        </w:rPr>
        <w:t>Fondo Nacional de Gestión del Riesgo</w:t>
      </w:r>
      <w:bookmarkEnd w:id="13"/>
      <w:r w:rsidRPr="00BD43CF">
        <w:rPr>
          <w:rFonts w:ascii="Verdana" w:eastAsia="Calibri" w:hAnsi="Verdana" w:cs="Arial"/>
          <w:sz w:val="20"/>
          <w:szCs w:val="20"/>
          <w:lang w:val="es-ES_tradnl"/>
        </w:rPr>
        <w:t xml:space="preserve"> o los celebrados </w:t>
      </w:r>
      <w:bookmarkStart w:id="14" w:name="_Hlk36227833"/>
      <w:r w:rsidRPr="00BD43CF">
        <w:rPr>
          <w:rFonts w:ascii="Verdana" w:eastAsia="Calibri" w:hAnsi="Verdana" w:cs="Arial"/>
          <w:sz w:val="20"/>
          <w:szCs w:val="20"/>
          <w:lang w:val="es-ES_tradnl"/>
        </w:rPr>
        <w:t>por las entidades ejecutoras que reciban recursos provenientes de este fondo</w:t>
      </w:r>
      <w:bookmarkEnd w:id="14"/>
      <w:r w:rsidRPr="00BD43CF">
        <w:rPr>
          <w:rFonts w:ascii="Verdana" w:eastAsia="Calibri" w:hAnsi="Verdana" w:cs="Arial"/>
          <w:sz w:val="20"/>
          <w:szCs w:val="20"/>
          <w:lang w:val="es-ES_tradnl"/>
        </w:rPr>
        <w:t xml:space="preserve"> o </w:t>
      </w:r>
      <w:bookmarkStart w:id="15" w:name="_Hlk36228014"/>
      <w:r w:rsidRPr="00BD43CF">
        <w:rPr>
          <w:rFonts w:ascii="Verdana" w:eastAsia="Calibri" w:hAnsi="Verdana" w:cs="Arial"/>
          <w:sz w:val="20"/>
          <w:szCs w:val="20"/>
          <w:lang w:val="es-ES_tradnl"/>
        </w:rPr>
        <w:t>los celebrados por las entidades territoriales y sus fondos de gestión del riesgo</w:t>
      </w:r>
      <w:bookmarkEnd w:id="15"/>
      <w:r w:rsidRPr="00BD43CF">
        <w:rPr>
          <w:rFonts w:ascii="Verdana" w:eastAsia="Calibri" w:hAnsi="Verdana" w:cs="Arial"/>
          <w:sz w:val="20"/>
          <w:szCs w:val="20"/>
          <w:lang w:val="es-ES_tradnl"/>
        </w:rPr>
        <w:t xml:space="preserve">, </w:t>
      </w:r>
      <w:bookmarkStart w:id="16" w:name="_Hlk36228190"/>
      <w:r w:rsidRPr="00BD43CF">
        <w:rPr>
          <w:rFonts w:ascii="Verdana" w:eastAsia="Calibri" w:hAnsi="Verdana" w:cs="Arial"/>
          <w:sz w:val="20"/>
          <w:szCs w:val="20"/>
          <w:lang w:val="es-ES_tradnl"/>
        </w:rPr>
        <w:t xml:space="preserve">relacionados </w:t>
      </w:r>
      <w:bookmarkStart w:id="17" w:name="_Hlk36229456"/>
      <w:r w:rsidRPr="00BD43CF">
        <w:rPr>
          <w:rFonts w:ascii="Verdana" w:eastAsia="Calibri" w:hAnsi="Verdana" w:cs="Arial"/>
          <w:sz w:val="20"/>
          <w:szCs w:val="20"/>
          <w:lang w:val="es-ES_tradnl"/>
        </w:rPr>
        <w:t>directamente con las actividades de respuesta, de rehabilitación y reconstrucción</w:t>
      </w:r>
      <w:bookmarkEnd w:id="17"/>
      <w:r w:rsidRPr="00BD43CF">
        <w:rPr>
          <w:rFonts w:ascii="Verdana" w:eastAsia="Calibri" w:hAnsi="Verdana" w:cs="Arial"/>
          <w:sz w:val="20"/>
          <w:szCs w:val="20"/>
          <w:lang w:val="es-ES_tradnl"/>
        </w:rPr>
        <w:t xml:space="preserve"> de las zonas declaradas en situación de desastre o calamidad pública</w:t>
      </w:r>
      <w:bookmarkEnd w:id="16"/>
      <w:r w:rsidRPr="00BD43CF">
        <w:rPr>
          <w:rFonts w:ascii="Verdana" w:eastAsia="Calibri" w:hAnsi="Verdana" w:cs="Arial"/>
          <w:sz w:val="20"/>
          <w:szCs w:val="20"/>
          <w:lang w:val="es-ES_tradnl"/>
        </w:rPr>
        <w:t>, se someterán a los requisitos y formalidades que exige la ley para la contratación entre particulares, con sujeción al régimen especial dispuesto en el artículo 13 de la Ley 1150 de 2007, y podrán contemplar cláusulas excepcionales de conformidad con lo dispuesto en los artículos 14 a 18 de la Ley 80 de 1993.</w:t>
      </w:r>
    </w:p>
    <w:p w14:paraId="16EC964A" w14:textId="77777777" w:rsidR="009C0AD3" w:rsidRPr="00BD43CF" w:rsidRDefault="009C0AD3" w:rsidP="009C0AD3">
      <w:pPr>
        <w:spacing w:before="120" w:after="0" w:line="240" w:lineRule="auto"/>
        <w:ind w:left="709" w:right="709"/>
        <w:jc w:val="both"/>
        <w:rPr>
          <w:rFonts w:ascii="Verdana" w:eastAsia="Calibri" w:hAnsi="Verdana" w:cs="Arial"/>
          <w:lang w:val="es-ES_tradnl"/>
        </w:rPr>
      </w:pPr>
      <w:r w:rsidRPr="00BD43CF">
        <w:rPr>
          <w:rFonts w:ascii="Verdana" w:eastAsia="Calibri" w:hAnsi="Verdana" w:cs="Arial"/>
          <w:sz w:val="20"/>
          <w:szCs w:val="20"/>
          <w:lang w:val="es-ES_tradnl"/>
        </w:rPr>
        <w:t>Parágrafo. Los contratos celebrados por las entidades territoriales en virtud del artículo anterior se someterán al control fiscal dispuesto para los celebrados en el marco de la declaratoria de urgencia manifiesta contemplada en los artículos 42 y 43 de la Ley 80 de 1993 y demás normas que la modifiquen”.</w:t>
      </w:r>
    </w:p>
    <w:p w14:paraId="0D4E4511" w14:textId="77777777" w:rsidR="009C0AD3" w:rsidRPr="00BD43CF" w:rsidRDefault="009C0AD3" w:rsidP="009C0AD3">
      <w:pPr>
        <w:spacing w:after="0" w:line="276" w:lineRule="auto"/>
        <w:jc w:val="both"/>
        <w:rPr>
          <w:rFonts w:ascii="Verdana" w:eastAsia="Calibri" w:hAnsi="Verdana" w:cs="Arial"/>
          <w:lang w:val="es-ES_tradnl"/>
        </w:rPr>
      </w:pPr>
    </w:p>
    <w:p w14:paraId="0EBC48CA" w14:textId="77777777" w:rsidR="009C0AD3" w:rsidRPr="00BD43CF" w:rsidRDefault="009C0AD3" w:rsidP="009C0AD3">
      <w:pPr>
        <w:spacing w:after="120" w:line="276" w:lineRule="auto"/>
        <w:jc w:val="both"/>
        <w:rPr>
          <w:rFonts w:ascii="Verdana" w:eastAsia="Calibri" w:hAnsi="Verdana" w:cs="Arial"/>
          <w:lang w:val="es-ES"/>
        </w:rPr>
      </w:pPr>
      <w:r w:rsidRPr="00BD43CF">
        <w:rPr>
          <w:rFonts w:ascii="Verdana" w:eastAsia="Calibri" w:hAnsi="Verdana" w:cs="Arial"/>
          <w:lang w:val="es-ES_tradnl"/>
        </w:rPr>
        <w:tab/>
      </w:r>
      <w:r w:rsidRPr="00BD43CF">
        <w:rPr>
          <w:rFonts w:ascii="Verdana" w:eastAsia="Calibri" w:hAnsi="Verdana" w:cs="Arial"/>
          <w:lang w:val="es-ES"/>
        </w:rPr>
        <w:t>Respecto al Fondo Nacional de Gestión del Riesgo, esta norma es congruente con el artículo 3 del Decreto Ley 4702 de 2010, el cual está vigente conforme al inciso segundo del artículo 96 de la Ley 1523 de 2012</w:t>
      </w:r>
      <w:r w:rsidRPr="00BD43CF">
        <w:rPr>
          <w:rStyle w:val="Refdenotaalpie"/>
          <w:rFonts w:ascii="Verdana" w:eastAsia="Calibri" w:hAnsi="Verdana" w:cs="Arial"/>
          <w:lang w:val="es-ES"/>
        </w:rPr>
        <w:footnoteReference w:id="5"/>
      </w:r>
      <w:r w:rsidRPr="00BD43CF">
        <w:rPr>
          <w:rFonts w:ascii="Verdana" w:eastAsia="Calibri" w:hAnsi="Verdana" w:cs="Arial"/>
          <w:lang w:val="es-ES"/>
        </w:rPr>
        <w:t xml:space="preserve">. </w:t>
      </w:r>
      <w:r w:rsidRPr="00BD43CF">
        <w:rPr>
          <w:rFonts w:ascii="Verdana" w:eastAsia="Calibri" w:hAnsi="Verdana" w:cs="Arial"/>
          <w:lang w:val="es-ES"/>
        </w:rPr>
        <w:lastRenderedPageBreak/>
        <w:t xml:space="preserve">Precisamente, dicha norma modificó el del Decreto Ley 919 de 1989 el cual organizaba anteriormente el Sistema Nacional para la Prevención y Atención de Desastres. Asimismo, el artículo 66 de la Ley 1523 de 2012 concuerda con el artículo 54 </w:t>
      </w:r>
      <w:r w:rsidRPr="00BD43CF">
        <w:rPr>
          <w:rFonts w:ascii="Verdana" w:eastAsia="Calibri" w:hAnsi="Verdana" w:cs="Arial"/>
          <w:i/>
          <w:lang w:val="es-ES"/>
        </w:rPr>
        <w:t>ibidem</w:t>
      </w:r>
      <w:r w:rsidRPr="00BD43CF">
        <w:rPr>
          <w:rFonts w:ascii="Verdana" w:eastAsia="Calibri" w:hAnsi="Verdana" w:cs="Arial"/>
          <w:lang w:val="es-ES"/>
        </w:rPr>
        <w:t xml:space="preserve">, pues este último establece que las entidades territoriales deben constituir sus propios </w:t>
      </w:r>
      <w:r w:rsidRPr="00BD43CF">
        <w:rPr>
          <w:rFonts w:ascii="Verdana" w:eastAsia="Calibri" w:hAnsi="Verdana" w:cs="Arial"/>
          <w:i/>
          <w:lang w:val="es-ES"/>
        </w:rPr>
        <w:t>fondos de gestión del riesgo</w:t>
      </w:r>
      <w:r w:rsidRPr="00BD43CF">
        <w:rPr>
          <w:rFonts w:ascii="Verdana" w:eastAsia="Calibri" w:hAnsi="Verdana" w:cs="Arial"/>
          <w:lang w:val="es-ES"/>
        </w:rPr>
        <w:t>, bajo el mismo esquema del Fondo Nacional, con el propósito de invertir, destinar y ejecutar sus recursos en la adopción de medidas de conocimiento y reducción del riesgo, preparación, respuesta, rehabilitación y reconstrucción en situaciones de desastre o calamidad pública</w:t>
      </w:r>
      <w:r w:rsidRPr="00BD43CF">
        <w:rPr>
          <w:rStyle w:val="Refdenotaalpie"/>
          <w:rFonts w:ascii="Verdana" w:eastAsia="Calibri" w:hAnsi="Verdana" w:cs="Arial"/>
          <w:lang w:val="es-ES"/>
        </w:rPr>
        <w:footnoteReference w:id="6"/>
      </w:r>
      <w:r w:rsidRPr="00BD43CF">
        <w:rPr>
          <w:rFonts w:ascii="Verdana" w:eastAsia="Calibri" w:hAnsi="Verdana" w:cs="Arial"/>
          <w:lang w:val="es-ES"/>
        </w:rPr>
        <w:t>.</w:t>
      </w:r>
    </w:p>
    <w:p w14:paraId="684115EB" w14:textId="77777777" w:rsidR="009C0AD3" w:rsidRPr="00BD43CF" w:rsidRDefault="009C0AD3" w:rsidP="009C0AD3">
      <w:pPr>
        <w:spacing w:after="120" w:line="276" w:lineRule="auto"/>
        <w:ind w:firstLine="708"/>
        <w:jc w:val="both"/>
        <w:rPr>
          <w:rFonts w:ascii="Verdana" w:eastAsia="Calibri" w:hAnsi="Verdana" w:cs="Arial"/>
          <w:lang w:val="es-ES"/>
        </w:rPr>
      </w:pPr>
      <w:bookmarkStart w:id="19" w:name="_Hlk37246222"/>
      <w:r w:rsidRPr="00BD43CF">
        <w:rPr>
          <w:rFonts w:ascii="Verdana" w:eastAsia="Calibri" w:hAnsi="Verdana" w:cs="Arial"/>
          <w:lang w:val="es-ES"/>
        </w:rPr>
        <w:t xml:space="preserve">Sin perjuicio de las potestades exorbitantes, la norma analizada exceptúa del Estatuto General de Contratación de la Administración Pública los contratos “[…] relacionados directamente con las actividades de respuesta, de rehabilitación y reconstrucción de las zonas declaradas en situación de desastre o calamidad pública […]” celebrados por: i) la sociedad fiduciaria que administra los recursos del Fondo Nacional de Gestión del Riesgo, ii) por las entidades ejecutoras que reciban recursos provenientes de este fondo y iii) los celebrados por las entidades territoriales y sus fondos de gestión del riesgo. </w:t>
      </w:r>
    </w:p>
    <w:p w14:paraId="23F2BC7A" w14:textId="77777777" w:rsidR="009C0AD3" w:rsidRPr="00BD43CF" w:rsidRDefault="009C0AD3" w:rsidP="009C0AD3">
      <w:pPr>
        <w:spacing w:after="120" w:line="276" w:lineRule="auto"/>
        <w:ind w:firstLine="708"/>
        <w:jc w:val="both"/>
        <w:rPr>
          <w:rFonts w:ascii="Verdana" w:eastAsia="Calibri" w:hAnsi="Verdana" w:cs="Arial"/>
          <w:lang w:val="es-ES_tradnl"/>
        </w:rPr>
      </w:pPr>
      <w:r w:rsidRPr="00BD43CF">
        <w:rPr>
          <w:rFonts w:ascii="Verdana" w:eastAsia="Calibri" w:hAnsi="Verdana" w:cs="Arial"/>
          <w:lang w:val="es-ES_tradnl"/>
        </w:rPr>
        <w:t xml:space="preserve">Al ser una norma excepcional, la expresión entrecomillada en el párrafo precedente debe interpretarse literalmente, por lo que no es susceptible extensión, restricción o analogía. Como establece los parámetros para su aplicabilidad, el control judicial sobre la motivación se realiza estrictamente sobre la base de los elementos ya mencionados, sin restar o adicionar otros distintos. Por lo anterior, del artículo 66 de la Ley 1523 de 2012 no se observa la obligación de establecer “[…] criterios objetivos de verificación de la conexidad material […]” o exigir un “[…] test de conexidad acumulativo […]”, ya que la norma citada delimita el supuesto de hecho bajo el cual aplica el régimen especial. </w:t>
      </w:r>
    </w:p>
    <w:p w14:paraId="32356193" w14:textId="77777777" w:rsidR="009C0AD3" w:rsidRPr="00BD43CF" w:rsidRDefault="009C0AD3" w:rsidP="009C0AD3">
      <w:pPr>
        <w:spacing w:after="120" w:line="276" w:lineRule="auto"/>
        <w:ind w:firstLine="708"/>
        <w:jc w:val="both"/>
        <w:rPr>
          <w:rFonts w:ascii="Verdana" w:eastAsia="Calibri" w:hAnsi="Verdana" w:cs="Arial"/>
          <w:lang w:val="es-ES_tradnl"/>
        </w:rPr>
      </w:pPr>
      <w:r w:rsidRPr="00BD43CF">
        <w:rPr>
          <w:rFonts w:ascii="Verdana" w:eastAsia="Calibri" w:hAnsi="Verdana" w:cs="Arial"/>
          <w:lang w:val="es-ES_tradnl"/>
        </w:rPr>
        <w:lastRenderedPageBreak/>
        <w:t xml:space="preserve">Dicho supuesto no cobija el “[…] elemento temporal […]” como se indaga en la consulta, de manera que la incorporación posterior de proyectos no desnaturaliza la excepción al EGCAP. Lo anterior se sustenta en </w:t>
      </w:r>
      <w:r w:rsidRPr="00BD43CF">
        <w:rPr>
          <w:rFonts w:ascii="Verdana" w:hAnsi="Verdana" w:cs="Arial"/>
          <w:lang w:val="es-ES"/>
        </w:rPr>
        <w:t>la directriz interpretativa del artículo 31 del Código Civil, según la cual “Lo favorable u odioso de una disposición no se tomará en cuenta para ampliar o restringir su interpretación. La extensión que deba darse a toda ley se determinará por su genuino sentido, y según las reglas de interpretación precedentes”</w:t>
      </w:r>
      <w:r w:rsidRPr="00BD43CF">
        <w:rPr>
          <w:rStyle w:val="Refdenotaalpie"/>
          <w:rFonts w:ascii="Verdana" w:hAnsi="Verdana" w:cs="Arial"/>
          <w:lang w:val="es-ES"/>
        </w:rPr>
        <w:footnoteReference w:id="7"/>
      </w:r>
      <w:r w:rsidRPr="00BD43CF">
        <w:rPr>
          <w:rFonts w:ascii="Verdana" w:hAnsi="Verdana" w:cs="Arial"/>
          <w:lang w:val="es-ES"/>
        </w:rPr>
        <w:t xml:space="preserve">. </w:t>
      </w:r>
    </w:p>
    <w:p w14:paraId="44ED024B" w14:textId="77777777" w:rsidR="009C0AD3" w:rsidRPr="00BD43CF" w:rsidRDefault="009C0AD3" w:rsidP="009C0AD3">
      <w:pPr>
        <w:spacing w:after="120" w:line="276" w:lineRule="auto"/>
        <w:ind w:firstLine="708"/>
        <w:jc w:val="both"/>
        <w:rPr>
          <w:rFonts w:ascii="Verdana" w:eastAsia="Calibri" w:hAnsi="Verdana" w:cs="Arial"/>
          <w:lang w:val="es-ES_tradnl"/>
        </w:rPr>
      </w:pPr>
      <w:r w:rsidRPr="00BD43CF">
        <w:rPr>
          <w:rFonts w:ascii="Verdana" w:eastAsia="Calibri" w:hAnsi="Verdana" w:cs="Arial"/>
          <w:lang w:val="es-ES_tradnl"/>
        </w:rPr>
        <w:t xml:space="preserve">Cuando se declare la situación de desastre o la situación de calamidad pública, las instituciones mencionadas antes son las únicas excluidas de la Ley 80 de 1993. Las demás siguen cubiertas por el Estatuto General de Contratación de la Administración Pública, como es el caso de los ministerios, todas las entidades descentralizadas por servicios del orden nacional y territorial, las demás ramas del poder público, los órganos autónomos, y en general casi todas las instituciones públicas del país. Estas últimas podrán contratar directamente por urgencia manifiesta bajo los parámetros de la Ley 80 de 1993, de donde se deriva que el régimen especial del artículo 66 de la Ley 1523 de 2012 es autónomo y, por tanto, distinto a la regulación contenida en el EGCAP.   </w:t>
      </w:r>
    </w:p>
    <w:p w14:paraId="537DD26F" w14:textId="77777777" w:rsidR="009C0AD3" w:rsidRPr="00BD43CF" w:rsidRDefault="009C0AD3" w:rsidP="009C0AD3">
      <w:pPr>
        <w:spacing w:after="0" w:line="276" w:lineRule="auto"/>
        <w:ind w:firstLine="708"/>
        <w:jc w:val="both"/>
        <w:rPr>
          <w:rFonts w:ascii="Verdana" w:eastAsia="Calibri" w:hAnsi="Verdana" w:cs="Arial"/>
          <w:lang w:val="es-ES_tradnl"/>
        </w:rPr>
      </w:pPr>
      <w:r w:rsidRPr="00BD43CF">
        <w:rPr>
          <w:rFonts w:ascii="Verdana" w:eastAsia="Calibri" w:hAnsi="Verdana" w:cs="Arial"/>
          <w:lang w:val="es-ES_tradnl"/>
        </w:rPr>
        <w:t xml:space="preserve">Además, según el parágrafo </w:t>
      </w:r>
      <w:r w:rsidRPr="00BD43CF">
        <w:rPr>
          <w:rFonts w:ascii="Verdana" w:eastAsia="Calibri" w:hAnsi="Verdana" w:cs="Arial"/>
          <w:i/>
          <w:iCs/>
          <w:lang w:val="es-ES_tradnl"/>
        </w:rPr>
        <w:t>ibidem</w:t>
      </w:r>
      <w:r w:rsidRPr="00BD43CF">
        <w:rPr>
          <w:rFonts w:ascii="Verdana" w:eastAsia="Calibri" w:hAnsi="Verdana" w:cs="Arial"/>
          <w:lang w:val="es-ES_tradnl"/>
        </w:rPr>
        <w:t xml:space="preserve">, sólo los contratos celebrados por las entidades territoriales se someten al control fiscal, con independencia de que sean producto de la contratación directa; razón por la cual también recae sobre aquellos que son resultado de procesos de selección competitivos. En otras palabras, la pura y simple declaración de desastre o de calamidad pública conduce a que las autoridades mencionadas atrás se excluyan del EGCAP, y pasen a formar parte del régimen especial de contratación, siempre que los contratos estén relacionados directamente con las actividades de respuesta, de </w:t>
      </w:r>
      <w:r w:rsidRPr="00BD43CF">
        <w:rPr>
          <w:rFonts w:ascii="Verdana" w:eastAsia="Calibri" w:hAnsi="Verdana" w:cs="Arial"/>
          <w:lang w:val="es-ES_tradnl"/>
        </w:rPr>
        <w:lastRenderedPageBreak/>
        <w:t xml:space="preserve">rehabilitación y reconstrucción para superar la situación de calamidad o desastre declarados, caso en el cual, inclusive, podrán pactar poderes excepcionales. </w:t>
      </w:r>
      <w:bookmarkEnd w:id="19"/>
    </w:p>
    <w:p w14:paraId="1CFEC857" w14:textId="77777777" w:rsidR="009C0AD3" w:rsidRPr="00BD43CF" w:rsidRDefault="009C0AD3" w:rsidP="009C0AD3">
      <w:pPr>
        <w:spacing w:after="0" w:line="276" w:lineRule="auto"/>
        <w:ind w:firstLine="708"/>
        <w:jc w:val="both"/>
        <w:rPr>
          <w:rFonts w:ascii="Verdana" w:eastAsia="Calibri" w:hAnsi="Verdana" w:cs="Arial"/>
          <w:lang w:val="es-ES_tradnl"/>
        </w:rPr>
      </w:pPr>
    </w:p>
    <w:p w14:paraId="7558672D" w14:textId="77777777" w:rsidR="009C0AD3" w:rsidRPr="00BD43CF" w:rsidRDefault="009C0AD3" w:rsidP="009C0AD3">
      <w:pPr>
        <w:spacing w:after="120" w:line="276" w:lineRule="auto"/>
        <w:jc w:val="both"/>
        <w:rPr>
          <w:rFonts w:ascii="Verdana" w:hAnsi="Verdana" w:cs="Arial"/>
          <w:bCs/>
          <w:lang w:val="es-MX"/>
        </w:rPr>
      </w:pPr>
      <w:r w:rsidRPr="00BD43CF">
        <w:rPr>
          <w:rFonts w:ascii="Verdana" w:eastAsia="Calibri" w:hAnsi="Verdana" w:cs="Arial"/>
          <w:lang w:val="es-ES_tradnl"/>
        </w:rPr>
        <w:t xml:space="preserve">iv. </w:t>
      </w:r>
      <w:r w:rsidRPr="00BD43CF">
        <w:rPr>
          <w:rFonts w:ascii="Verdana" w:hAnsi="Verdana" w:cs="Arial"/>
          <w:bCs/>
        </w:rPr>
        <w:t xml:space="preserve">No resulta extraño que el sistema de compras públicas se apoye en normas de derecho civil y comercial, ya que la figura del contrato es transversal a todo el ordenamiento jurídico. Respecto a las </w:t>
      </w:r>
      <w:r w:rsidRPr="00BD43CF">
        <w:rPr>
          <w:rFonts w:ascii="Verdana" w:hAnsi="Verdana" w:cs="Arial"/>
          <w:bCs/>
          <w:i/>
          <w:iCs/>
        </w:rPr>
        <w:t>entidades sometidas a la Ley 80 de 1993</w:t>
      </w:r>
      <w:r w:rsidRPr="00BD43CF">
        <w:rPr>
          <w:rFonts w:ascii="Verdana" w:hAnsi="Verdana" w:cs="Arial"/>
          <w:bCs/>
        </w:rPr>
        <w:t>, el inciso primero del artículo 13 dispone que “Los contratos que celebren las entidades a que se refiere el artículo 2o. del presente estatuto se regirán por las disposiciones comerciales y civiles pertinentes, salvo en las materias particularmente reguladas en esta ley”. 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y que “Las estipulaciones de los contratos serán las que de acuerdo con las normas civiles, comerciales y las previstas en esta ley, correspondan a su esencia y naturaleza” –art. 40, inciso primero–.</w:t>
      </w:r>
    </w:p>
    <w:p w14:paraId="5B7B24AE" w14:textId="77777777" w:rsidR="009C0AD3" w:rsidRPr="00BD43CF" w:rsidRDefault="009C0AD3" w:rsidP="009C0AD3">
      <w:pPr>
        <w:spacing w:after="120" w:line="276" w:lineRule="auto"/>
        <w:ind w:firstLine="708"/>
        <w:jc w:val="both"/>
        <w:rPr>
          <w:rFonts w:ascii="Verdana" w:hAnsi="Verdana" w:cs="Arial"/>
          <w:bCs/>
        </w:rPr>
      </w:pPr>
      <w:r w:rsidRPr="00BD43CF">
        <w:rPr>
          <w:rFonts w:ascii="Verdana" w:hAnsi="Verdana" w:cs="Arial"/>
          <w:bCs/>
        </w:rPr>
        <w:t xml:space="preserve">No obstante, aunque tenga una influencia limitada, las </w:t>
      </w:r>
      <w:r w:rsidRPr="00BD43CF">
        <w:rPr>
          <w:rFonts w:ascii="Verdana" w:hAnsi="Verdana" w:cs="Arial"/>
          <w:bCs/>
          <w:i/>
          <w:iCs/>
        </w:rPr>
        <w:t>entidades del régimen exceptuado</w:t>
      </w:r>
      <w:r w:rsidRPr="00BD43CF">
        <w:rPr>
          <w:rFonts w:ascii="Verdana" w:hAnsi="Verdana" w:cs="Arial"/>
          <w:bCs/>
        </w:rPr>
        <w:t xml:space="preserve"> no se deslingan por completo de las normas de derecho público. Esto en la medida que el inciso primero del artículo 13 de la Ley 1150 de 2007 prescribe lo siguiente: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1E3B0074" w14:textId="77777777" w:rsidR="009C0AD3" w:rsidRPr="00BD43CF" w:rsidRDefault="009C0AD3" w:rsidP="009C0AD3">
      <w:pPr>
        <w:tabs>
          <w:tab w:val="left" w:pos="426"/>
        </w:tabs>
        <w:spacing w:line="276" w:lineRule="auto"/>
        <w:jc w:val="both"/>
        <w:rPr>
          <w:rFonts w:ascii="Verdana" w:eastAsia="Calibri" w:hAnsi="Verdana" w:cs="Arial"/>
          <w:b/>
          <w:bCs/>
          <w:color w:val="000000" w:themeColor="text1"/>
          <w:lang w:val="es-ES"/>
        </w:rPr>
      </w:pPr>
      <w:r w:rsidRPr="00BD43CF">
        <w:rPr>
          <w:rFonts w:ascii="Verdana" w:eastAsia="Calibri" w:hAnsi="Verdana" w:cs="Arial"/>
          <w:color w:val="000000" w:themeColor="text1"/>
          <w:lang w:val="es-ES"/>
        </w:rPr>
        <w:tab/>
      </w:r>
      <w:r w:rsidRPr="00BD43CF">
        <w:rPr>
          <w:rFonts w:ascii="Verdana" w:eastAsia="Calibri" w:hAnsi="Verdana" w:cs="Arial"/>
          <w:color w:val="000000" w:themeColor="text1"/>
          <w:lang w:val="es-ES"/>
        </w:rPr>
        <w:tab/>
        <w:t>Las entidades de régimen especial son aquellas que, por expresa disposición legal y por su naturaleza o situación de competencia, tienen condiciones diferenciales respecto de la normativa de contratación pública. Esto quiere decir que no están sometidas al Estatuto General de Contratación de la Administración Pública, y por ende sus procedimientos contractuales tienen su normativa propia para su desarrollo, esto es, el derecho privado, lo cual está determinado en las normas de creación de las entidades de régimen especial y en sus manuales de contratación.</w:t>
      </w:r>
    </w:p>
    <w:p w14:paraId="588D226E" w14:textId="77777777" w:rsidR="009C0AD3" w:rsidRPr="00BD43CF" w:rsidRDefault="009C0AD3" w:rsidP="009C0AD3">
      <w:pPr>
        <w:spacing w:before="120" w:after="120" w:line="276" w:lineRule="auto"/>
        <w:jc w:val="both"/>
        <w:rPr>
          <w:rFonts w:ascii="Verdana" w:eastAsia="Calibri" w:hAnsi="Verdana" w:cs="Arial"/>
          <w:color w:val="000000" w:themeColor="text1"/>
          <w:lang w:val="es-ES"/>
        </w:rPr>
      </w:pPr>
      <w:r w:rsidRPr="00BD43CF">
        <w:rPr>
          <w:rFonts w:ascii="Verdana" w:eastAsia="Calibri" w:hAnsi="Verdana" w:cs="Arial"/>
          <w:color w:val="000000" w:themeColor="text1"/>
          <w:lang w:val="es-ES_tradnl"/>
        </w:rPr>
        <w:lastRenderedPageBreak/>
        <w:tab/>
      </w:r>
      <w:r w:rsidRPr="00BD43CF">
        <w:rPr>
          <w:rFonts w:ascii="Verdana" w:eastAsia="Calibri" w:hAnsi="Verdana" w:cs="Arial"/>
          <w:color w:val="000000" w:themeColor="text1"/>
          <w:lang w:val="es-ES"/>
        </w:rPr>
        <w:t>Teniendo en cuenta que las entidades de régimen especial están facultadas legalmente para aplicar reglas distintas a las establecidas en la Ley 80 de 1993 y sus normas complementarias, su régimen contractual estará definido en la noma que crea el régimen especial y será desarrollado en el manual de contratación de la respectiva entidad, con el fin de que se puedan identificar las reglas que aplican en la contratación. La Agencia Nacional de Contratación Pública – Colombia Compra Eficiente expidió la Guía para las entidades estatales con régimen especial de contratación, que las define como aquellas que contratan con un régimen distinto a las Leyes 80 de 1993 y 1150 de 2007</w:t>
      </w:r>
      <w:r w:rsidRPr="00BD43CF">
        <w:rPr>
          <w:rStyle w:val="Refdenotaalpie"/>
          <w:rFonts w:ascii="Verdana" w:eastAsia="Calibri" w:hAnsi="Verdana" w:cs="Arial"/>
          <w:color w:val="000000" w:themeColor="text1"/>
          <w:lang w:val="es-ES"/>
        </w:rPr>
        <w:footnoteReference w:id="8"/>
      </w:r>
      <w:r w:rsidRPr="00BD43CF">
        <w:rPr>
          <w:rFonts w:ascii="Verdana" w:eastAsia="Calibri" w:hAnsi="Verdana" w:cs="Arial"/>
          <w:color w:val="000000" w:themeColor="text1"/>
          <w:lang w:val="es-ES"/>
        </w:rPr>
        <w:t>.</w:t>
      </w:r>
    </w:p>
    <w:p w14:paraId="396EA9F5" w14:textId="77777777" w:rsidR="009C0AD3" w:rsidRPr="00BD43CF" w:rsidRDefault="009C0AD3" w:rsidP="009C0AD3">
      <w:pPr>
        <w:spacing w:after="0" w:line="276" w:lineRule="auto"/>
        <w:jc w:val="both"/>
        <w:rPr>
          <w:rFonts w:ascii="Verdana" w:eastAsia="Calibri" w:hAnsi="Verdana" w:cs="Arial"/>
          <w:color w:val="000000" w:themeColor="text1"/>
          <w:lang w:val="es-ES"/>
        </w:rPr>
      </w:pPr>
      <w:r w:rsidRPr="00BD43CF">
        <w:rPr>
          <w:rFonts w:ascii="Verdana" w:eastAsia="Calibri" w:hAnsi="Verdana" w:cs="Arial"/>
          <w:color w:val="000000" w:themeColor="text1"/>
          <w:lang w:val="es-ES_tradnl"/>
        </w:rPr>
        <w:tab/>
      </w:r>
      <w:r w:rsidRPr="00BD43CF">
        <w:rPr>
          <w:rFonts w:ascii="Verdana" w:eastAsia="Calibri" w:hAnsi="Verdana" w:cs="Arial"/>
          <w:color w:val="000000" w:themeColor="text1"/>
          <w:lang w:val="es-ES"/>
        </w:rPr>
        <w:t>No obstante, las entidades de régimen especial cumplen una finalidad pública y utilizan recursos públicos para lograrlo, por lo que no son ajenas a los principios de la función administrativa y de la gestión fiscal, entre otras reglas dispuestas en la normativa de contratación pública que son transversales a todas las entidades, sin importar su régimen contractual. Lo anterior es reafirmado por el Consejo de Estado, que destaca las reglas que sigue la contratación de las entidades de régimen especial:</w:t>
      </w:r>
    </w:p>
    <w:p w14:paraId="657AE73B" w14:textId="77777777" w:rsidR="009C0AD3" w:rsidRPr="00BD43CF" w:rsidRDefault="009C0AD3" w:rsidP="009C0AD3">
      <w:pPr>
        <w:spacing w:after="0" w:line="276" w:lineRule="auto"/>
        <w:jc w:val="both"/>
        <w:rPr>
          <w:rFonts w:ascii="Verdana" w:eastAsia="Calibri" w:hAnsi="Verdana" w:cs="Arial"/>
          <w:color w:val="000000" w:themeColor="text1"/>
          <w:lang w:val="es-ES"/>
        </w:rPr>
      </w:pPr>
    </w:p>
    <w:p w14:paraId="3705AA5C" w14:textId="77777777" w:rsidR="009C0AD3" w:rsidRPr="00BD43CF" w:rsidRDefault="009C0AD3" w:rsidP="009C0AD3">
      <w:pPr>
        <w:spacing w:line="240" w:lineRule="auto"/>
        <w:ind w:left="709" w:right="709"/>
        <w:jc w:val="both"/>
        <w:rPr>
          <w:rFonts w:ascii="Verdana" w:eastAsia="Calibri" w:hAnsi="Verdana" w:cs="Arial"/>
          <w:color w:val="000000" w:themeColor="text1"/>
          <w:sz w:val="20"/>
          <w:szCs w:val="20"/>
          <w:lang w:val="es-ES_tradnl"/>
        </w:rPr>
      </w:pPr>
      <w:r w:rsidRPr="00BD43CF">
        <w:rPr>
          <w:rFonts w:ascii="Verdana" w:eastAsia="Calibri" w:hAnsi="Verdana" w:cs="Arial"/>
          <w:color w:val="000000" w:themeColor="text1"/>
          <w:sz w:val="20"/>
          <w:szCs w:val="20"/>
          <w:lang w:val="es-ES_tradnl"/>
        </w:rPr>
        <w:t>“[…] en la contratación de las entidades excluidas de la Ley 80 se distinguen perfectamente dos ordenamientos jurídicos: uno prevalente, el derecho privado, que aporta todas sus instituciones, reglas y principios y las pone al servicio de los contratos de dichas entidades; y otro, secundario, referido a los principios de la función administrativa y de la gestión fiscal —pero no a la Ley 80 de 1993, con sus reglas particulares—, que inspiran al régimen anterior con valores propios del derecho público.</w:t>
      </w:r>
    </w:p>
    <w:p w14:paraId="6F6562C9" w14:textId="77777777" w:rsidR="009C0AD3" w:rsidRPr="00BD43CF" w:rsidRDefault="009C0AD3" w:rsidP="009C0AD3">
      <w:pPr>
        <w:spacing w:line="240" w:lineRule="auto"/>
        <w:ind w:left="709" w:right="709"/>
        <w:jc w:val="both"/>
        <w:rPr>
          <w:rFonts w:ascii="Verdana" w:eastAsia="Calibri" w:hAnsi="Verdana" w:cs="Arial"/>
          <w:color w:val="000000" w:themeColor="text1"/>
          <w:sz w:val="20"/>
          <w:szCs w:val="20"/>
          <w:lang w:val="es-ES"/>
        </w:rPr>
      </w:pPr>
      <w:r w:rsidRPr="00BD43CF">
        <w:rPr>
          <w:rFonts w:ascii="Verdana" w:eastAsia="Calibri" w:hAnsi="Verdana" w:cs="Arial"/>
          <w:color w:val="000000" w:themeColor="text1"/>
          <w:sz w:val="20"/>
          <w:szCs w:val="20"/>
          <w:lang w:val="es-ES"/>
        </w:rPr>
        <w:t xml:space="preserve">La Sala entiende que el régimen preponderante domina y aporta el gran volumen de normas contractuales y que el régimen inspirador influye y ayuda a interpretar pero también transforma parte de esas instituciones, porque se suma a ellas, lo que no siempre se logra conservando intacta la institución privada sino introduciéndole modificaciones. </w:t>
      </w:r>
    </w:p>
    <w:p w14:paraId="1F8BB148" w14:textId="77777777" w:rsidR="009C0AD3" w:rsidRPr="00BD43CF" w:rsidRDefault="009C0AD3" w:rsidP="009C0AD3">
      <w:pPr>
        <w:spacing w:after="0" w:line="240" w:lineRule="auto"/>
        <w:ind w:left="709" w:right="709"/>
        <w:jc w:val="both"/>
        <w:rPr>
          <w:rFonts w:ascii="Verdana" w:eastAsia="Calibri" w:hAnsi="Verdana" w:cs="Arial"/>
          <w:color w:val="000000" w:themeColor="text1"/>
          <w:sz w:val="21"/>
          <w:szCs w:val="21"/>
          <w:lang w:val="es-ES_tradnl"/>
        </w:rPr>
      </w:pPr>
      <w:r w:rsidRPr="00BD43CF">
        <w:rPr>
          <w:rFonts w:ascii="Verdana" w:eastAsia="Calibri" w:hAnsi="Verdana" w:cs="Arial"/>
          <w:color w:val="000000" w:themeColor="text1"/>
          <w:sz w:val="20"/>
          <w:szCs w:val="20"/>
          <w:lang w:val="es-ES_tradnl"/>
        </w:rPr>
        <w:t xml:space="preserve">La función que cumplen los principios públicos también se representa en la necesidad práctica —normalmente no por orden de una norma— de expedir un reglamento interno de contratación que concrete la mayor parte de aportes de esos principios a la transformación de las reglas del derecho privado. Es por esta influencia que surge la necesidad de contar </w:t>
      </w:r>
      <w:r w:rsidRPr="00BD43CF">
        <w:rPr>
          <w:rFonts w:ascii="Verdana" w:eastAsia="Calibri" w:hAnsi="Verdana" w:cs="Arial"/>
          <w:color w:val="000000" w:themeColor="text1"/>
          <w:sz w:val="20"/>
          <w:szCs w:val="20"/>
          <w:lang w:val="es-ES_tradnl"/>
        </w:rPr>
        <w:lastRenderedPageBreak/>
        <w:t>con procesos de selección de contratistas que garanticen la libre concurrencia, la igualdad de oportunidades de acceso a los negocios del Estado, la trasparencia y en general los demás valores propios de la gestión de lo público”</w:t>
      </w:r>
      <w:r w:rsidRPr="00BD43CF">
        <w:rPr>
          <w:rStyle w:val="Refdenotaalpie"/>
          <w:rFonts w:ascii="Verdana" w:eastAsia="Calibri" w:hAnsi="Verdana" w:cs="Arial"/>
          <w:color w:val="000000" w:themeColor="text1"/>
          <w:sz w:val="20"/>
          <w:szCs w:val="20"/>
          <w:lang w:val="es-ES_tradnl"/>
        </w:rPr>
        <w:footnoteReference w:id="9"/>
      </w:r>
      <w:r w:rsidRPr="00BD43CF">
        <w:rPr>
          <w:rFonts w:ascii="Verdana" w:eastAsia="Calibri" w:hAnsi="Verdana" w:cs="Arial"/>
          <w:color w:val="000000" w:themeColor="text1"/>
          <w:sz w:val="20"/>
          <w:szCs w:val="20"/>
          <w:lang w:val="es-ES_tradnl"/>
        </w:rPr>
        <w:t>.</w:t>
      </w:r>
    </w:p>
    <w:p w14:paraId="4D1CDF29" w14:textId="77777777" w:rsidR="009C0AD3" w:rsidRPr="00BD43CF" w:rsidRDefault="009C0AD3" w:rsidP="009C0AD3">
      <w:pPr>
        <w:spacing w:after="0" w:line="276" w:lineRule="auto"/>
        <w:ind w:left="709" w:right="709"/>
        <w:jc w:val="both"/>
        <w:rPr>
          <w:rFonts w:ascii="Verdana" w:eastAsia="Calibri" w:hAnsi="Verdana" w:cs="Arial"/>
          <w:color w:val="000000" w:themeColor="text1"/>
          <w:lang w:val="es-ES_tradnl"/>
        </w:rPr>
      </w:pPr>
    </w:p>
    <w:p w14:paraId="67AA1716" w14:textId="77777777" w:rsidR="009C0AD3" w:rsidRPr="00BD43CF" w:rsidRDefault="009C0AD3" w:rsidP="009C0AD3">
      <w:pPr>
        <w:spacing w:line="276" w:lineRule="auto"/>
        <w:ind w:firstLine="708"/>
        <w:jc w:val="both"/>
        <w:rPr>
          <w:rFonts w:ascii="Verdana" w:eastAsia="Calibri" w:hAnsi="Verdana" w:cs="Arial"/>
          <w:color w:val="000000" w:themeColor="text1"/>
          <w:lang w:val="es-ES_tradnl"/>
        </w:rPr>
      </w:pPr>
      <w:r w:rsidRPr="00BD43CF">
        <w:rPr>
          <w:rFonts w:ascii="Verdana" w:eastAsia="Calibri" w:hAnsi="Verdana" w:cs="Arial"/>
          <w:color w:val="000000" w:themeColor="text1"/>
          <w:lang w:val="es-ES_tradnl"/>
        </w:rPr>
        <w:t>Considerando que las entidades de régimen especial administran recursos públicos, sus manuales de contratación deben ceñirse a unas reglas mínimas que garanticen el cumplimiento de los principios de la función pública, el control fiscal y los principios rectores de la contratación estatal. Dentro de estas reglas deben indicar el contenido de las propuestas y los procedimientos de selección, llevar una descripción precisa del procedimiento, los plazos de las etapas y los criterios de evaluación y desempate, y todos los criterios necesarios para garantizar la selección objetiva y la protección del interés general. Lo anterior, sin perjuicio de que algunas de estas reglas se establezcan, complementen o detallen en los documentos que se expiden en desarrollo de sus procedimientos contractuales.</w:t>
      </w:r>
    </w:p>
    <w:p w14:paraId="0344961D" w14:textId="77777777" w:rsidR="009C0AD3" w:rsidRPr="00BD43CF" w:rsidRDefault="009C0AD3" w:rsidP="009C0AD3">
      <w:pPr>
        <w:spacing w:before="120" w:after="120" w:line="276" w:lineRule="auto"/>
        <w:ind w:firstLine="708"/>
        <w:jc w:val="both"/>
        <w:rPr>
          <w:rFonts w:ascii="Verdana" w:eastAsia="Calibri" w:hAnsi="Verdana" w:cs="Arial"/>
          <w:color w:val="000000" w:themeColor="text1"/>
          <w:lang w:val="es-ES"/>
        </w:rPr>
      </w:pPr>
      <w:r w:rsidRPr="00BD43CF">
        <w:rPr>
          <w:rFonts w:ascii="Verdana" w:eastAsia="Calibri" w:hAnsi="Verdana" w:cs="Arial"/>
          <w:color w:val="000000" w:themeColor="text1"/>
          <w:lang w:val="es-ES"/>
        </w:rPr>
        <w:t>Asimismo, estas entidades deben cumplir unas obligaciones transversales a la contratación pública, entre ellas la elaboración del Plan Anual de Adquisiciones, la publicación de sus procedimientos de selección a través de la herramienta SECOP –en la sección Régimen Especial–, hacer uso del clasificador de bienes y servicios de las Naciones Unidas, reportar inhabilidades e incompatibilidades de los proveedores de la entidad y analizar el sector económico de los oferentes, entre otras.</w:t>
      </w:r>
    </w:p>
    <w:p w14:paraId="793F9852" w14:textId="77777777" w:rsidR="009C0AD3" w:rsidRPr="00BD43CF" w:rsidRDefault="009C0AD3" w:rsidP="009C0AD3">
      <w:pPr>
        <w:spacing w:before="120" w:after="0" w:line="276" w:lineRule="auto"/>
        <w:ind w:firstLine="709"/>
        <w:jc w:val="both"/>
        <w:rPr>
          <w:rFonts w:ascii="Verdana" w:eastAsia="Calibri" w:hAnsi="Verdana" w:cs="Arial"/>
          <w:color w:val="000000" w:themeColor="text1"/>
          <w:lang w:val="es-ES"/>
        </w:rPr>
      </w:pPr>
      <w:r w:rsidRPr="00BD43CF">
        <w:rPr>
          <w:rFonts w:ascii="Verdana" w:eastAsia="Calibri" w:hAnsi="Verdana" w:cs="Arial"/>
          <w:color w:val="000000" w:themeColor="text1"/>
          <w:lang w:val="es-ES"/>
        </w:rPr>
        <w:t>Como se explicó, el hecho de que algunas entidades estatales se rijan por el derecho privado en materia contractual no puede entenderse como una negación de lo que establece el artículo 13 de la Ley 1150 de 2007. Este enunciado normativo significó un “retorno del derecho administrativo” para las entidades excluidas, al reiterar que deben cumplir los principios constitucionales de la función administrativa y de la gestión fiscal, así como el régimen de inhabilidades e incompatibilidades previsto legalmente para la contratación estatal; y ahora también publicar su actividad contractual en el SECOP II, de conformidad con el artículo 53 de la Ley 2195 de 2022</w:t>
      </w:r>
      <w:r w:rsidRPr="00BD43CF">
        <w:rPr>
          <w:rStyle w:val="Refdenotaalpie"/>
          <w:rFonts w:ascii="Verdana" w:eastAsia="Calibri" w:hAnsi="Verdana" w:cs="Arial"/>
          <w:color w:val="000000" w:themeColor="text1"/>
          <w:lang w:val="es-ES"/>
        </w:rPr>
        <w:footnoteReference w:id="10"/>
      </w:r>
      <w:r w:rsidRPr="00BD43CF">
        <w:rPr>
          <w:rFonts w:ascii="Verdana" w:eastAsia="Calibri" w:hAnsi="Verdana" w:cs="Arial"/>
          <w:color w:val="000000" w:themeColor="text1"/>
          <w:lang w:val="es-ES"/>
        </w:rPr>
        <w:t>.</w:t>
      </w:r>
    </w:p>
    <w:p w14:paraId="17C36E11" w14:textId="77777777" w:rsidR="009C0AD3" w:rsidRPr="00BD43CF" w:rsidRDefault="009C0AD3" w:rsidP="009C0AD3">
      <w:pPr>
        <w:spacing w:before="120" w:after="0" w:line="276" w:lineRule="auto"/>
        <w:ind w:firstLine="709"/>
        <w:jc w:val="both"/>
        <w:rPr>
          <w:rFonts w:ascii="Verdana" w:eastAsia="Calibri" w:hAnsi="Verdana" w:cs="Arial"/>
          <w:lang w:val="es-ES_tradnl"/>
        </w:rPr>
      </w:pPr>
      <w:r w:rsidRPr="00BD43CF">
        <w:rPr>
          <w:rFonts w:ascii="Verdana" w:eastAsia="Calibri" w:hAnsi="Verdana" w:cs="Arial"/>
          <w:color w:val="000000" w:themeColor="text1"/>
          <w:lang w:val="es-ES"/>
        </w:rPr>
        <w:lastRenderedPageBreak/>
        <w:t xml:space="preserve">Conforme al inciso primero del artículo 209 superior, “La función administrativa está al servicio de los intereses generales y se desarrolla con fundamento en los principios de igualdad, moralidad, eficacia, economía, celeridad, imparcialidad y publicidad”. En este contexto, la carga de motivación que exige el </w:t>
      </w:r>
      <w:r w:rsidRPr="00BD43CF">
        <w:rPr>
          <w:rFonts w:ascii="Verdana" w:eastAsia="Calibri" w:hAnsi="Verdana" w:cs="Arial"/>
          <w:lang w:val="es-ES_tradnl"/>
        </w:rPr>
        <w:t xml:space="preserve">artículo 66 de la Ley 1523 de 2012 recae, principalmente, sobre la relación de los contratos con las actividades de respuesta, de rehabilitación y reconstrucción para superar la situación de calamidad o desastre. El establecimiento de los criterios operativos para verificar el cumplimiento de los principios de la función administrativa y de carga de motivación asociada al régimen de excepción corresponde al manual de contratación que adopten las autoridades competentes para el efecto. </w:t>
      </w:r>
    </w:p>
    <w:p w14:paraId="3F623859" w14:textId="77777777" w:rsidR="009C0AD3" w:rsidRPr="00BD43CF" w:rsidRDefault="009C0AD3" w:rsidP="009C0AD3">
      <w:pPr>
        <w:spacing w:before="120" w:after="0" w:line="276" w:lineRule="auto"/>
        <w:ind w:firstLine="709"/>
        <w:jc w:val="both"/>
        <w:rPr>
          <w:rFonts w:ascii="Verdana" w:eastAsia="Calibri" w:hAnsi="Verdana" w:cs="Arial"/>
          <w:lang w:val="es-ES_tradnl"/>
        </w:rPr>
      </w:pPr>
      <w:r w:rsidRPr="00BD43CF">
        <w:rPr>
          <w:rFonts w:ascii="Verdana" w:eastAsia="Calibri" w:hAnsi="Verdana" w:cs="Arial"/>
          <w:lang w:val="es-ES_tradnl"/>
        </w:rPr>
        <w:t>Por lo demás, dado que la ANCP – CCE carece de atribuciones para juzgar la legalidad de actos y contratos, así como para establecer la responsabilidad de los servidores públicos, la inobservancia los parámetros mencionados en el párrafo anterior debe ser analizada por las instancias judiciales o de control bajo el respeto al principio de legalidad. Dichas instancias son competentes para establecer la tipicidad de las conductas vedadas en la aplicación del artículo 66 de la Ley 1523 de 2012, precisando la consecuencia jurídica de acuerdo con las particularidades del caso concreto.</w:t>
      </w:r>
    </w:p>
    <w:p w14:paraId="361894AF" w14:textId="77777777" w:rsidR="009C0AD3" w:rsidRPr="00BD43CF" w:rsidRDefault="009C0AD3" w:rsidP="009C0AD3">
      <w:pPr>
        <w:spacing w:before="120" w:after="0" w:line="276" w:lineRule="auto"/>
        <w:jc w:val="both"/>
        <w:rPr>
          <w:rFonts w:ascii="Verdana" w:eastAsia="Calibri" w:hAnsi="Verdana" w:cs="Arial"/>
          <w:lang w:val="es-ES_tradnl"/>
        </w:rPr>
      </w:pPr>
      <w:r w:rsidRPr="00BD43CF">
        <w:rPr>
          <w:rFonts w:ascii="Verdana" w:eastAsia="Calibri" w:hAnsi="Verdana" w:cs="Arial"/>
          <w:lang w:val="es-ES_tradnl"/>
        </w:rPr>
        <w:t>V. Al margen de la explicación precedente debe advertirse que el análisis</w:t>
      </w:r>
      <w:r w:rsidRPr="00BD43CF">
        <w:rPr>
          <w:rFonts w:ascii="Verdana" w:eastAsia="Calibri" w:hAnsi="Verdana" w:cs="Arial"/>
          <w:bCs/>
          <w:color w:val="000000" w:themeColor="text1"/>
        </w:rPr>
        <w:t xml:space="preserve">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w:t>
      </w:r>
      <w:r w:rsidRPr="00BD43CF">
        <w:rPr>
          <w:rFonts w:ascii="Verdana" w:eastAsia="Calibri" w:hAnsi="Verdana" w:cs="Arial"/>
          <w:lang w:val="es-ES_tradnl"/>
        </w:rPr>
        <w:t>disciplinarias.</w:t>
      </w:r>
    </w:p>
    <w:p w14:paraId="680CDC0F" w14:textId="77777777" w:rsidR="009C0AD3" w:rsidRPr="00BD43CF" w:rsidRDefault="009C0AD3" w:rsidP="009C0AD3">
      <w:pPr>
        <w:spacing w:before="120" w:after="0" w:line="276" w:lineRule="auto"/>
        <w:ind w:firstLine="709"/>
        <w:jc w:val="both"/>
        <w:rPr>
          <w:rFonts w:ascii="Verdana" w:eastAsia="Calibri" w:hAnsi="Verdana" w:cs="Arial"/>
          <w:bCs/>
          <w:color w:val="000000" w:themeColor="text1"/>
        </w:rPr>
      </w:pPr>
      <w:r w:rsidRPr="00BD43CF">
        <w:rPr>
          <w:rFonts w:ascii="Verdana" w:eastAsia="Calibri" w:hAnsi="Verdana" w:cs="Arial"/>
          <w:lang w:val="es-ES_tradnl"/>
        </w:rPr>
        <w:t xml:space="preserve">Dentro de este marco, la entidad contratante definirá en cada caso </w:t>
      </w:r>
      <w:r w:rsidRPr="00BD43CF">
        <w:rPr>
          <w:rFonts w:ascii="Verdana" w:eastAsia="Calibri" w:hAnsi="Verdana" w:cs="Arial"/>
          <w:bCs/>
          <w:color w:val="000000" w:themeColor="text1"/>
        </w:rPr>
        <w:t xml:space="preserve">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w:t>
      </w:r>
      <w:r w:rsidRPr="00BD43CF">
        <w:rPr>
          <w:rFonts w:ascii="Verdana" w:eastAsia="Calibri" w:hAnsi="Verdana" w:cs="Arial"/>
          <w:bCs/>
          <w:color w:val="000000" w:themeColor="text1"/>
        </w:rPr>
        <w:lastRenderedPageBreak/>
        <w:t xml:space="preserve">el principio de juridicidad. Así, cada entidad definirá la forma de adelantar su gestión contractual, sin que sea atribución de Colombia Compra Eficiente validar sus actuaciones. </w:t>
      </w:r>
    </w:p>
    <w:p w14:paraId="50630729" w14:textId="77777777" w:rsidR="009C0AD3" w:rsidRPr="00BD43CF" w:rsidRDefault="009C0AD3" w:rsidP="009C0AD3">
      <w:pPr>
        <w:spacing w:before="120" w:after="0" w:line="276" w:lineRule="auto"/>
        <w:ind w:firstLine="709"/>
        <w:jc w:val="both"/>
        <w:rPr>
          <w:rFonts w:ascii="Verdana" w:eastAsia="Calibri" w:hAnsi="Verdana" w:cs="Arial"/>
          <w:bCs/>
          <w:color w:val="EE0000"/>
        </w:rPr>
      </w:pPr>
    </w:p>
    <w:bookmarkEnd w:id="1"/>
    <w:bookmarkEnd w:id="2"/>
    <w:p w14:paraId="02169653" w14:textId="77777777" w:rsidR="009C0AD3" w:rsidRPr="00BD43CF" w:rsidRDefault="009C0AD3" w:rsidP="009C0AD3">
      <w:pPr>
        <w:spacing w:after="0" w:line="276" w:lineRule="auto"/>
        <w:jc w:val="both"/>
        <w:rPr>
          <w:rFonts w:ascii="Verdana" w:eastAsia="Century Gothic" w:hAnsi="Verdana" w:cs="Century Gothic"/>
          <w:b/>
          <w:color w:val="EE0000"/>
          <w:lang w:val="es-ES"/>
        </w:rPr>
      </w:pPr>
      <w:r w:rsidRPr="00BD43CF">
        <w:rPr>
          <w:rFonts w:ascii="Verdana" w:eastAsia="Century Gothic" w:hAnsi="Verdana" w:cs="Century Gothic"/>
          <w:b/>
          <w:lang w:val="es-ES"/>
        </w:rPr>
        <w:t>4. Referencias normativas, jurisprudenciales y otras fuentes:</w:t>
      </w:r>
    </w:p>
    <w:p w14:paraId="3791AD3E" w14:textId="77777777" w:rsidR="009C0AD3" w:rsidRPr="00BD43CF" w:rsidRDefault="009C0AD3" w:rsidP="009C0AD3">
      <w:pPr>
        <w:spacing w:after="0" w:line="276" w:lineRule="auto"/>
        <w:jc w:val="both"/>
        <w:rPr>
          <w:rFonts w:ascii="Verdana" w:eastAsia="Century Gothic" w:hAnsi="Verdana" w:cs="Century Gothic"/>
          <w:b/>
          <w:color w:val="EE0000"/>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C0AD3" w:rsidRPr="00BD43CF" w14:paraId="49F03D97" w14:textId="77777777" w:rsidTr="00ED22CF">
        <w:trPr>
          <w:trHeight w:val="453"/>
        </w:trPr>
        <w:tc>
          <w:tcPr>
            <w:tcW w:w="8647" w:type="dxa"/>
          </w:tcPr>
          <w:p w14:paraId="6AAFFB1D" w14:textId="77777777" w:rsidR="009C0AD3" w:rsidRPr="00BD43CF" w:rsidRDefault="009C0AD3" w:rsidP="009C0AD3">
            <w:pPr>
              <w:widowControl w:val="0"/>
              <w:numPr>
                <w:ilvl w:val="0"/>
                <w:numId w:val="16"/>
              </w:numPr>
              <w:autoSpaceDE w:val="0"/>
              <w:autoSpaceDN w:val="0"/>
              <w:spacing w:line="276" w:lineRule="auto"/>
              <w:jc w:val="both"/>
              <w:rPr>
                <w:rFonts w:ascii="Verdana" w:eastAsia="Calibri" w:hAnsi="Verdana" w:cs="Arial"/>
                <w:lang w:val="es-ES"/>
              </w:rPr>
            </w:pPr>
            <w:r w:rsidRPr="00BD43CF">
              <w:rPr>
                <w:rFonts w:ascii="Verdana" w:eastAsia="Calibri" w:hAnsi="Verdana" w:cs="Arial"/>
                <w:lang w:val="es-ES"/>
              </w:rPr>
              <w:t>Constitución Política de Colombia. Artículos 209 y 267</w:t>
            </w:r>
          </w:p>
          <w:p w14:paraId="7C418556" w14:textId="77777777" w:rsidR="009C0AD3" w:rsidRPr="00BD43CF" w:rsidRDefault="009C0AD3" w:rsidP="009C0AD3">
            <w:pPr>
              <w:widowControl w:val="0"/>
              <w:numPr>
                <w:ilvl w:val="0"/>
                <w:numId w:val="16"/>
              </w:numPr>
              <w:autoSpaceDE w:val="0"/>
              <w:autoSpaceDN w:val="0"/>
              <w:spacing w:line="276" w:lineRule="auto"/>
              <w:jc w:val="both"/>
              <w:rPr>
                <w:rFonts w:ascii="Verdana" w:eastAsia="Calibri" w:hAnsi="Verdana" w:cs="Arial"/>
                <w:lang w:val="es-ES"/>
              </w:rPr>
            </w:pPr>
            <w:r w:rsidRPr="00BD43CF">
              <w:rPr>
                <w:rFonts w:ascii="Verdana" w:eastAsia="Calibri" w:hAnsi="Verdana" w:cs="Arial"/>
                <w:lang w:val="es-ES"/>
              </w:rPr>
              <w:t>Ley 84 de 1873. Artículo 28</w:t>
            </w:r>
          </w:p>
          <w:p w14:paraId="78A53378" w14:textId="77777777" w:rsidR="009C0AD3" w:rsidRPr="00BD43CF" w:rsidRDefault="009C0AD3" w:rsidP="009C0AD3">
            <w:pPr>
              <w:widowControl w:val="0"/>
              <w:numPr>
                <w:ilvl w:val="0"/>
                <w:numId w:val="16"/>
              </w:numPr>
              <w:autoSpaceDE w:val="0"/>
              <w:autoSpaceDN w:val="0"/>
              <w:spacing w:line="276" w:lineRule="auto"/>
              <w:jc w:val="both"/>
              <w:rPr>
                <w:rFonts w:ascii="Verdana" w:eastAsia="Calibri" w:hAnsi="Verdana" w:cs="Arial"/>
                <w:lang w:val="es-ES"/>
              </w:rPr>
            </w:pPr>
            <w:r w:rsidRPr="00BD43CF">
              <w:rPr>
                <w:rFonts w:ascii="Verdana" w:eastAsia="Calibri" w:hAnsi="Verdana" w:cs="Arial"/>
                <w:lang w:val="es-ES"/>
              </w:rPr>
              <w:t>Ley 80 de 1993. Artículos 2, 42, 64</w:t>
            </w:r>
          </w:p>
          <w:p w14:paraId="74B46CEA" w14:textId="77777777" w:rsidR="009C0AD3" w:rsidRPr="00BD43CF" w:rsidRDefault="009C0AD3" w:rsidP="009C0AD3">
            <w:pPr>
              <w:widowControl w:val="0"/>
              <w:numPr>
                <w:ilvl w:val="0"/>
                <w:numId w:val="16"/>
              </w:numPr>
              <w:autoSpaceDE w:val="0"/>
              <w:autoSpaceDN w:val="0"/>
              <w:spacing w:line="276" w:lineRule="auto"/>
              <w:jc w:val="both"/>
              <w:rPr>
                <w:rFonts w:ascii="Verdana" w:eastAsia="Calibri" w:hAnsi="Verdana" w:cs="Arial"/>
                <w:lang w:val="es-ES"/>
              </w:rPr>
            </w:pPr>
            <w:r w:rsidRPr="00BD43CF">
              <w:rPr>
                <w:rFonts w:ascii="Verdana" w:eastAsia="Calibri" w:hAnsi="Verdana" w:cs="Arial"/>
                <w:lang w:val="es-ES"/>
              </w:rPr>
              <w:t>Ley 1150 de 2007. Artículo 13</w:t>
            </w:r>
          </w:p>
          <w:p w14:paraId="48C3439E" w14:textId="77777777" w:rsidR="009C0AD3" w:rsidRPr="00BD43CF" w:rsidRDefault="009C0AD3" w:rsidP="009C0AD3">
            <w:pPr>
              <w:widowControl w:val="0"/>
              <w:numPr>
                <w:ilvl w:val="0"/>
                <w:numId w:val="16"/>
              </w:numPr>
              <w:autoSpaceDE w:val="0"/>
              <w:autoSpaceDN w:val="0"/>
              <w:spacing w:line="276" w:lineRule="auto"/>
              <w:jc w:val="both"/>
              <w:rPr>
                <w:rFonts w:ascii="Verdana" w:eastAsia="Calibri" w:hAnsi="Verdana" w:cs="Arial"/>
                <w:lang w:val="es-ES"/>
              </w:rPr>
            </w:pPr>
            <w:r w:rsidRPr="00BD43CF">
              <w:rPr>
                <w:rFonts w:ascii="Verdana" w:eastAsia="Calibri" w:hAnsi="Verdana" w:cs="Arial"/>
                <w:lang w:val="es-ES"/>
              </w:rPr>
              <w:t>Ley 1523 de 2012. Artículos 5, 8, 47, 49, 50, 56, 57, 59, 66</w:t>
            </w:r>
          </w:p>
          <w:p w14:paraId="0605F2EC" w14:textId="77777777" w:rsidR="009C0AD3" w:rsidRPr="00BD43CF" w:rsidRDefault="009C0AD3" w:rsidP="009C0AD3">
            <w:pPr>
              <w:widowControl w:val="0"/>
              <w:numPr>
                <w:ilvl w:val="0"/>
                <w:numId w:val="16"/>
              </w:numPr>
              <w:autoSpaceDE w:val="0"/>
              <w:autoSpaceDN w:val="0"/>
              <w:spacing w:line="276" w:lineRule="auto"/>
              <w:jc w:val="both"/>
              <w:rPr>
                <w:rFonts w:ascii="Verdana" w:eastAsia="Calibri" w:hAnsi="Verdana" w:cs="Arial"/>
                <w:lang w:val="es-ES"/>
              </w:rPr>
            </w:pPr>
            <w:r w:rsidRPr="00BD43CF">
              <w:rPr>
                <w:rFonts w:ascii="Verdana" w:eastAsia="Calibri" w:hAnsi="Verdana" w:cs="Arial"/>
                <w:lang w:val="es-ES"/>
              </w:rPr>
              <w:t>Ley 2195 de 2022. Artículo 53.</w:t>
            </w:r>
          </w:p>
          <w:p w14:paraId="2D44F824" w14:textId="77777777" w:rsidR="009C0AD3" w:rsidRPr="00BD43CF" w:rsidRDefault="009C0AD3" w:rsidP="009C0AD3">
            <w:pPr>
              <w:widowControl w:val="0"/>
              <w:numPr>
                <w:ilvl w:val="0"/>
                <w:numId w:val="16"/>
              </w:numPr>
              <w:autoSpaceDE w:val="0"/>
              <w:autoSpaceDN w:val="0"/>
              <w:spacing w:line="276" w:lineRule="auto"/>
              <w:jc w:val="both"/>
              <w:rPr>
                <w:rFonts w:ascii="Verdana" w:eastAsia="Calibri" w:hAnsi="Verdana" w:cs="Arial"/>
                <w:color w:val="EE0000"/>
                <w:lang w:val="es-ES"/>
              </w:rPr>
            </w:pPr>
            <w:r w:rsidRPr="00BD43CF">
              <w:rPr>
                <w:rFonts w:ascii="Verdana" w:eastAsia="Calibri" w:hAnsi="Verdana" w:cs="Arial"/>
                <w:lang w:val="es-ES"/>
              </w:rPr>
              <w:t>Corte Suprema de Justicia. Sala de Casación Civil. Sentencia 20 de noviembre de 1989. MP. Alberto Ospina Botero. Publicada en la Gaceta Judicial. Tomo CXCVI. N° 2435. p. 93.</w:t>
            </w:r>
          </w:p>
        </w:tc>
      </w:tr>
    </w:tbl>
    <w:p w14:paraId="2077B2C2" w14:textId="77777777" w:rsidR="009C0AD3" w:rsidRPr="00BD43CF" w:rsidRDefault="009C0AD3" w:rsidP="009C0AD3">
      <w:pPr>
        <w:widowControl w:val="0"/>
        <w:autoSpaceDE w:val="0"/>
        <w:autoSpaceDN w:val="0"/>
        <w:spacing w:after="0" w:line="276" w:lineRule="auto"/>
        <w:jc w:val="both"/>
        <w:rPr>
          <w:rFonts w:ascii="Verdana" w:hAnsi="Verdana" w:cs="Arial"/>
          <w:lang w:val="es-ES"/>
        </w:rPr>
      </w:pPr>
    </w:p>
    <w:p w14:paraId="2B117B58" w14:textId="77777777" w:rsidR="009C0AD3" w:rsidRPr="00BD43CF" w:rsidRDefault="009C0AD3" w:rsidP="009C0AD3">
      <w:pPr>
        <w:tabs>
          <w:tab w:val="left" w:pos="142"/>
          <w:tab w:val="left" w:pos="284"/>
        </w:tabs>
        <w:spacing w:after="0" w:line="276" w:lineRule="auto"/>
        <w:jc w:val="both"/>
        <w:rPr>
          <w:rFonts w:ascii="Verdana" w:eastAsia="Century Gothic" w:hAnsi="Verdana" w:cs="Century Gothic"/>
          <w:b/>
          <w:lang w:val="es-ES"/>
        </w:rPr>
      </w:pPr>
      <w:r w:rsidRPr="00BD43CF">
        <w:rPr>
          <w:rFonts w:ascii="Verdana" w:eastAsia="Century Gothic" w:hAnsi="Verdana" w:cs="Century Gothic"/>
          <w:b/>
          <w:lang w:val="es-ES"/>
        </w:rPr>
        <w:t>5. Doctrina de la Agencia Nacional de Contratación Pública:</w:t>
      </w:r>
    </w:p>
    <w:p w14:paraId="58B5A1A7" w14:textId="77777777" w:rsidR="009C0AD3" w:rsidRPr="00BD43CF" w:rsidRDefault="009C0AD3" w:rsidP="009C0AD3">
      <w:pPr>
        <w:tabs>
          <w:tab w:val="left" w:pos="142"/>
          <w:tab w:val="left" w:pos="284"/>
        </w:tabs>
        <w:spacing w:after="0" w:line="276" w:lineRule="auto"/>
        <w:jc w:val="both"/>
        <w:rPr>
          <w:rFonts w:ascii="Verdana" w:eastAsia="Century Gothic" w:hAnsi="Verdana" w:cs="Century Gothic"/>
          <w:b/>
          <w:color w:val="EE0000"/>
          <w:lang w:val="es-ES"/>
        </w:rPr>
      </w:pPr>
    </w:p>
    <w:p w14:paraId="4B0776D5" w14:textId="77777777" w:rsidR="009C0AD3" w:rsidRPr="00BD43CF" w:rsidRDefault="009C0AD3" w:rsidP="009C0AD3">
      <w:pPr>
        <w:spacing w:after="0" w:line="276" w:lineRule="auto"/>
        <w:jc w:val="both"/>
        <w:rPr>
          <w:rFonts w:ascii="Verdana" w:eastAsia="Calibri" w:hAnsi="Verdana" w:cs="Arial"/>
          <w:lang w:val="es-ES" w:eastAsia="es-ES"/>
        </w:rPr>
      </w:pPr>
      <w:r w:rsidRPr="00BD43CF">
        <w:rPr>
          <w:rFonts w:ascii="Verdana" w:hAnsi="Verdana" w:cs="Arial"/>
          <w:bCs/>
          <w:shd w:val="clear" w:color="auto" w:fill="FFFFFF"/>
        </w:rPr>
        <w:t>La Agencia Nacional de Contratación Pública – Colombia Compra Eficiente, se ha pronunciado sobre la contratación por urgencia manifiesta y/o calamidad pública y desastre en los conceptos</w:t>
      </w:r>
      <w:r w:rsidRPr="00BD43CF">
        <w:rPr>
          <w:rFonts w:ascii="Verdana" w:eastAsia="Calibri" w:hAnsi="Verdana" w:cs="Arial"/>
          <w:lang w:val="es-ES" w:eastAsia="es-ES"/>
        </w:rPr>
        <w:t xml:space="preserve"> C-269 del 10 de abril de 2020, C-275 del del 10 de abril de 2020, C-284 del 27 de mayo de 2020, C-300 del 25 de abril de 2020, C-301 del 25 de abril de 2020, C-333 del 19 de mayo de 2020, C-357 del 7 de julio de 2020, C-390 del 23 de junio de 2020, C-403 del 24 de junio de 2020, C-887 del 22 de diciembre de 2022, C-033 del 29 de abril de 2024, C-111 del 05 agosto de 2024, C-691 del 14 de noviembre de 2024, C-062 del 21 de febrero de 2025, C-131 del 25 de mayo de 2023, C-993 del 04 de agosto de 2025, C-1045 del 08 de septiembre de 2025, C-1189 del 25 de septiembre de 2025, C-1352 del 29 de octubre de 2025, C-1793 del 10 de diciembre de 2025, C-1807 del 19 de enero de 2026 y C-758 del  28 de mayo de 2026, entre otros.</w:t>
      </w:r>
    </w:p>
    <w:p w14:paraId="7866AA2F" w14:textId="77777777" w:rsidR="009C0AD3" w:rsidRPr="00BD43CF" w:rsidRDefault="009C0AD3" w:rsidP="009C0AD3">
      <w:pPr>
        <w:spacing w:after="0" w:line="276" w:lineRule="auto"/>
        <w:jc w:val="both"/>
        <w:rPr>
          <w:rFonts w:ascii="Verdana" w:hAnsi="Verdana" w:cs="Arial"/>
          <w:shd w:val="clear" w:color="auto" w:fill="FFFFFF"/>
          <w:lang w:val="es-ES"/>
        </w:rPr>
      </w:pPr>
    </w:p>
    <w:p w14:paraId="159BC0FE" w14:textId="77777777" w:rsidR="009C0AD3" w:rsidRPr="00BD43CF" w:rsidRDefault="009C0AD3" w:rsidP="009C0AD3">
      <w:pPr>
        <w:spacing w:after="0" w:line="276" w:lineRule="auto"/>
        <w:jc w:val="both"/>
        <w:rPr>
          <w:rFonts w:ascii="Verdana" w:hAnsi="Verdana"/>
          <w:lang w:val="es-ES"/>
        </w:rPr>
      </w:pPr>
      <w:r w:rsidRPr="00BD43CF">
        <w:rPr>
          <w:rFonts w:ascii="Verdana" w:hAnsi="Verdana" w:cs="Arial"/>
          <w:shd w:val="clear" w:color="auto" w:fill="FFFFFF"/>
          <w:lang w:val="es-ES"/>
        </w:rPr>
        <w:t>Estos</w:t>
      </w:r>
      <w:r w:rsidRPr="00BD43CF">
        <w:rPr>
          <w:rFonts w:ascii="Verdana" w:hAnsi="Verdana"/>
          <w:lang w:val="es-ES"/>
        </w:rPr>
        <w:t xml:space="preserve"> y otros se encuentran disponibles para consulta en el Sistema de relatoría de la Agencia, al cual se puede acceder a través del siguiente enlace:</w:t>
      </w:r>
      <w:r w:rsidRPr="00BD43CF">
        <w:rPr>
          <w:rFonts w:ascii="Verdana" w:hAnsi="Verdana" w:cs="Arial"/>
          <w:shd w:val="clear" w:color="auto" w:fill="FFFFFF"/>
          <w:lang w:val="es-ES"/>
        </w:rPr>
        <w:t xml:space="preserve"> </w:t>
      </w:r>
      <w:hyperlink r:id="rId12" w:history="1">
        <w:r w:rsidRPr="00BD43CF">
          <w:rPr>
            <w:rStyle w:val="Hipervnculo"/>
            <w:rFonts w:ascii="Verdana" w:hAnsi="Verdana" w:cs="Arial"/>
            <w:shd w:val="clear" w:color="auto" w:fill="FFFFFF"/>
            <w:lang w:val="es-ES"/>
          </w:rPr>
          <w:t>https://relatoria.colombiacompra.gov.co/busqueda/conceptos</w:t>
        </w:r>
      </w:hyperlink>
    </w:p>
    <w:p w14:paraId="134783C1" w14:textId="77777777" w:rsidR="009C0AD3" w:rsidRPr="00BD43CF" w:rsidRDefault="009C0AD3" w:rsidP="009C0AD3">
      <w:pPr>
        <w:spacing w:after="0" w:line="276" w:lineRule="auto"/>
        <w:jc w:val="both"/>
        <w:rPr>
          <w:rFonts w:ascii="Verdana" w:hAnsi="Verdana" w:cs="Arial"/>
          <w:shd w:val="clear" w:color="auto" w:fill="FFFFFF"/>
        </w:rPr>
      </w:pPr>
    </w:p>
    <w:p w14:paraId="39962E6C" w14:textId="77777777" w:rsidR="009C0AD3" w:rsidRPr="00BD43CF" w:rsidRDefault="009C0AD3" w:rsidP="009C0AD3">
      <w:pPr>
        <w:spacing w:after="0" w:line="276" w:lineRule="auto"/>
        <w:jc w:val="both"/>
        <w:rPr>
          <w:rFonts w:ascii="Verdana" w:hAnsi="Verdana" w:cs="Arial"/>
          <w:shd w:val="clear" w:color="auto" w:fill="FFFFFF"/>
        </w:rPr>
      </w:pPr>
      <w:r w:rsidRPr="00BD43CF">
        <w:rPr>
          <w:rFonts w:ascii="Verdana" w:hAnsi="Verdana" w:cs="Arial"/>
          <w:shd w:val="clear" w:color="auto" w:fill="FFFFFF"/>
        </w:rPr>
        <w:lastRenderedPageBreak/>
        <w:t xml:space="preserve">Por último, lo invitamos a seguirnos en las redes sociales en las cuales se difunde información institucional: </w:t>
      </w:r>
    </w:p>
    <w:p w14:paraId="517FBEA0" w14:textId="77777777" w:rsidR="009C0AD3" w:rsidRPr="00BD43CF" w:rsidRDefault="009C0AD3" w:rsidP="009C0AD3">
      <w:pPr>
        <w:spacing w:after="0" w:line="276" w:lineRule="auto"/>
        <w:jc w:val="both"/>
        <w:rPr>
          <w:rFonts w:ascii="Verdana" w:hAnsi="Verdana" w:cs="Arial"/>
          <w:shd w:val="clear" w:color="auto" w:fill="FFFFFF"/>
        </w:rPr>
      </w:pPr>
    </w:p>
    <w:p w14:paraId="2CC0CE5A" w14:textId="77777777" w:rsidR="009C0AD3" w:rsidRPr="00BD43CF" w:rsidRDefault="009C0AD3" w:rsidP="009C0AD3">
      <w:pPr>
        <w:spacing w:after="0" w:line="276" w:lineRule="auto"/>
        <w:jc w:val="both"/>
        <w:rPr>
          <w:rFonts w:ascii="Verdana" w:hAnsi="Verdana" w:cs="Arial"/>
          <w:shd w:val="clear" w:color="auto" w:fill="FFFFFF"/>
        </w:rPr>
      </w:pPr>
      <w:r w:rsidRPr="00BD43CF">
        <w:rPr>
          <w:rFonts w:ascii="Verdana" w:hAnsi="Verdana" w:cs="Arial"/>
          <w:shd w:val="clear" w:color="auto" w:fill="FFFFFF"/>
        </w:rPr>
        <w:t xml:space="preserve">Twitter: </w:t>
      </w:r>
      <w:r w:rsidRPr="00BD43CF">
        <w:rPr>
          <w:rStyle w:val="Hipervnculo"/>
          <w:rFonts w:ascii="Verdana" w:hAnsi="Verdana"/>
          <w:lang w:val="es-ES"/>
        </w:rPr>
        <w:t>@colombiacompra</w:t>
      </w:r>
      <w:r w:rsidRPr="00BD43CF">
        <w:rPr>
          <w:rStyle w:val="Hipervnculo"/>
          <w:rFonts w:ascii="Verdana" w:hAnsi="Verdana"/>
          <w:color w:val="auto"/>
          <w:lang w:val="es-ES"/>
        </w:rPr>
        <w:t xml:space="preserve"> </w:t>
      </w:r>
    </w:p>
    <w:p w14:paraId="7BB91E72" w14:textId="77777777" w:rsidR="009C0AD3" w:rsidRPr="00BD43CF" w:rsidRDefault="009C0AD3" w:rsidP="009C0AD3">
      <w:pPr>
        <w:spacing w:after="0" w:line="276" w:lineRule="auto"/>
        <w:jc w:val="both"/>
        <w:rPr>
          <w:rFonts w:ascii="Verdana" w:hAnsi="Verdana" w:cs="Arial"/>
          <w:shd w:val="clear" w:color="auto" w:fill="FFFFFF"/>
        </w:rPr>
      </w:pPr>
      <w:r w:rsidRPr="00BD43CF">
        <w:rPr>
          <w:rFonts w:ascii="Verdana" w:hAnsi="Verdana" w:cs="Arial"/>
          <w:shd w:val="clear" w:color="auto" w:fill="FFFFFF"/>
        </w:rPr>
        <w:t>Facebook:</w:t>
      </w:r>
      <w:r w:rsidRPr="00BD43CF">
        <w:rPr>
          <w:rStyle w:val="Hipervnculo"/>
          <w:rFonts w:ascii="Verdana" w:hAnsi="Verdana"/>
          <w:lang w:val="es-ES"/>
        </w:rPr>
        <w:t xml:space="preserve"> ColombiaCompraEficiente</w:t>
      </w:r>
    </w:p>
    <w:p w14:paraId="07D1EDC2" w14:textId="77777777" w:rsidR="009C0AD3" w:rsidRPr="00BD43CF" w:rsidRDefault="009C0AD3" w:rsidP="009C0AD3">
      <w:pPr>
        <w:spacing w:after="0" w:line="276" w:lineRule="auto"/>
        <w:jc w:val="both"/>
        <w:rPr>
          <w:rFonts w:ascii="Verdana" w:hAnsi="Verdana" w:cs="Arial"/>
          <w:shd w:val="clear" w:color="auto" w:fill="FFFFFF"/>
        </w:rPr>
      </w:pPr>
      <w:r w:rsidRPr="00BD43CF">
        <w:rPr>
          <w:rFonts w:ascii="Verdana" w:hAnsi="Verdana" w:cs="Arial"/>
          <w:shd w:val="clear" w:color="auto" w:fill="FFFFFF"/>
        </w:rPr>
        <w:t xml:space="preserve">LinkedIn: </w:t>
      </w:r>
      <w:r w:rsidRPr="00BD43CF">
        <w:rPr>
          <w:rStyle w:val="Hipervnculo"/>
          <w:rFonts w:ascii="Verdana" w:hAnsi="Verdana"/>
          <w:lang w:val="es-ES"/>
        </w:rPr>
        <w:t>Agencia Nacional de Contratación Pública - Colombia Compra Eficiente</w:t>
      </w:r>
      <w:r w:rsidRPr="00BD43CF">
        <w:rPr>
          <w:rFonts w:ascii="Verdana" w:hAnsi="Verdana" w:cs="Arial"/>
          <w:color w:val="0000FF"/>
          <w:shd w:val="clear" w:color="auto" w:fill="FFFFFF"/>
        </w:rPr>
        <w:t xml:space="preserve"> </w:t>
      </w:r>
    </w:p>
    <w:p w14:paraId="1B9AE626" w14:textId="77777777" w:rsidR="009C0AD3" w:rsidRPr="00BD43CF" w:rsidRDefault="009C0AD3" w:rsidP="009C0AD3">
      <w:pPr>
        <w:spacing w:after="0" w:line="276" w:lineRule="auto"/>
        <w:jc w:val="both"/>
        <w:rPr>
          <w:rFonts w:ascii="Verdana" w:hAnsi="Verdana" w:cs="Arial"/>
          <w:shd w:val="clear" w:color="auto" w:fill="FFFFFF"/>
        </w:rPr>
      </w:pPr>
      <w:r w:rsidRPr="00BD43CF">
        <w:rPr>
          <w:rFonts w:ascii="Verdana" w:hAnsi="Verdana" w:cs="Arial"/>
          <w:shd w:val="clear" w:color="auto" w:fill="FFFFFF"/>
        </w:rPr>
        <w:t xml:space="preserve">Instagram: </w:t>
      </w:r>
      <w:r w:rsidRPr="00BD43CF">
        <w:rPr>
          <w:rStyle w:val="Hipervnculo"/>
          <w:rFonts w:ascii="Verdana" w:hAnsi="Verdana"/>
          <w:lang w:val="es-ES"/>
        </w:rPr>
        <w:t>@colombiacompraeficiente_cce</w:t>
      </w:r>
    </w:p>
    <w:p w14:paraId="207BFBE6" w14:textId="77777777" w:rsidR="009C0AD3" w:rsidRPr="00BD43CF" w:rsidRDefault="009C0AD3" w:rsidP="009C0AD3">
      <w:pPr>
        <w:widowControl w:val="0"/>
        <w:autoSpaceDE w:val="0"/>
        <w:autoSpaceDN w:val="0"/>
        <w:spacing w:after="0" w:line="276" w:lineRule="auto"/>
        <w:jc w:val="both"/>
        <w:rPr>
          <w:rFonts w:ascii="Verdana" w:hAnsi="Verdana" w:cs="Arial"/>
          <w:lang w:val="es-ES"/>
        </w:rPr>
      </w:pPr>
    </w:p>
    <w:p w14:paraId="4F7B73F4" w14:textId="77777777" w:rsidR="009C0AD3" w:rsidRPr="00BD43CF" w:rsidRDefault="009C0AD3" w:rsidP="009C0AD3">
      <w:pPr>
        <w:widowControl w:val="0"/>
        <w:autoSpaceDE w:val="0"/>
        <w:autoSpaceDN w:val="0"/>
        <w:spacing w:after="0" w:line="276" w:lineRule="auto"/>
        <w:jc w:val="both"/>
        <w:rPr>
          <w:rFonts w:ascii="Verdana" w:hAnsi="Verdana" w:cs="Arial"/>
          <w:lang w:val="es-ES"/>
        </w:rPr>
      </w:pPr>
      <w:r w:rsidRPr="00BD43CF">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4E1C49D5" w14:textId="77777777" w:rsidR="009C0AD3" w:rsidRPr="00BD43CF" w:rsidRDefault="009C0AD3" w:rsidP="009C0AD3">
      <w:pPr>
        <w:widowControl w:val="0"/>
        <w:autoSpaceDE w:val="0"/>
        <w:autoSpaceDN w:val="0"/>
        <w:spacing w:after="0" w:line="276" w:lineRule="auto"/>
        <w:jc w:val="both"/>
        <w:rPr>
          <w:rFonts w:ascii="Verdana" w:hAnsi="Verdana" w:cs="Arial"/>
          <w:lang w:val="es-ES"/>
        </w:rPr>
      </w:pPr>
    </w:p>
    <w:p w14:paraId="4BA8A3EA" w14:textId="5BCA7AE0" w:rsidR="009C0AD3" w:rsidRPr="00BD43CF" w:rsidRDefault="0084396E" w:rsidP="009C0AD3">
      <w:pPr>
        <w:spacing w:after="0" w:line="276" w:lineRule="auto"/>
        <w:rPr>
          <w:rFonts w:ascii="Verdana" w:hAnsi="Verdana" w:cs="Arial"/>
          <w:lang w:val="es-ES" w:eastAsia="es-CO"/>
        </w:rPr>
      </w:pPr>
      <w:r w:rsidRPr="00E366D2">
        <w:rPr>
          <w:rFonts w:ascii="Verdana" w:hAnsi="Verdana"/>
          <w:noProof/>
          <w:color w:val="EE0000"/>
        </w:rPr>
        <w:drawing>
          <wp:anchor distT="0" distB="0" distL="114300" distR="114300" simplePos="0" relativeHeight="251659264" behindDoc="1" locked="0" layoutInCell="1" allowOverlap="1" wp14:anchorId="5CE0F7B3" wp14:editId="01D8DB90">
            <wp:simplePos x="0" y="0"/>
            <wp:positionH relativeFrom="margin">
              <wp:align>center</wp:align>
            </wp:positionH>
            <wp:positionV relativeFrom="paragraph">
              <wp:posOffset>190169</wp:posOffset>
            </wp:positionV>
            <wp:extent cx="2762636" cy="1190791"/>
            <wp:effectExtent l="0" t="0" r="0" b="9525"/>
            <wp:wrapTight wrapText="bothSides">
              <wp:wrapPolygon edited="0">
                <wp:start x="0" y="0"/>
                <wp:lineTo x="0" y="21427"/>
                <wp:lineTo x="21451" y="21427"/>
                <wp:lineTo x="21451" y="0"/>
                <wp:lineTo x="0" y="0"/>
              </wp:wrapPolygon>
            </wp:wrapTight>
            <wp:docPr id="11824299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29957" name=""/>
                    <pic:cNvPicPr/>
                  </pic:nvPicPr>
                  <pic:blipFill>
                    <a:blip r:embed="rId13">
                      <a:extLst>
                        <a:ext uri="{28A0092B-C50C-407E-A947-70E740481C1C}">
                          <a14:useLocalDpi xmlns:a14="http://schemas.microsoft.com/office/drawing/2010/main" val="0"/>
                        </a:ext>
                      </a:extLst>
                    </a:blip>
                    <a:stretch>
                      <a:fillRect/>
                    </a:stretch>
                  </pic:blipFill>
                  <pic:spPr>
                    <a:xfrm>
                      <a:off x="0" y="0"/>
                      <a:ext cx="2762636" cy="1190791"/>
                    </a:xfrm>
                    <a:prstGeom prst="rect">
                      <a:avLst/>
                    </a:prstGeom>
                  </pic:spPr>
                </pic:pic>
              </a:graphicData>
            </a:graphic>
          </wp:anchor>
        </w:drawing>
      </w:r>
      <w:r w:rsidR="009C0AD3" w:rsidRPr="00BD43CF">
        <w:rPr>
          <w:rFonts w:ascii="Verdana" w:eastAsia="Times New Roman" w:hAnsi="Verdana" w:cs="Arial"/>
          <w:lang w:val="es-ES" w:eastAsia="es-CO"/>
        </w:rPr>
        <w:t>Atentamente,</w:t>
      </w:r>
      <w:r w:rsidR="009C0AD3" w:rsidRPr="00BD43CF">
        <w:rPr>
          <w:rFonts w:ascii="Verdana" w:hAnsi="Verdana" w:cs="Arial"/>
          <w:lang w:val="es-ES" w:eastAsia="es-CO"/>
        </w:rPr>
        <w:t xml:space="preserve"> </w:t>
      </w:r>
    </w:p>
    <w:p w14:paraId="34D71C3E" w14:textId="379EA270" w:rsidR="009C0AD3" w:rsidRDefault="009C0AD3" w:rsidP="00231DAF">
      <w:pPr>
        <w:spacing w:after="0" w:line="276" w:lineRule="auto"/>
        <w:jc w:val="center"/>
        <w:rPr>
          <w:rFonts w:ascii="Verdana" w:hAnsi="Verdana"/>
          <w:noProof/>
          <w:color w:val="EE0000"/>
        </w:rPr>
      </w:pPr>
    </w:p>
    <w:p w14:paraId="01213DC8" w14:textId="77777777" w:rsidR="0084396E" w:rsidRDefault="0084396E" w:rsidP="00231DAF">
      <w:pPr>
        <w:spacing w:after="0" w:line="276" w:lineRule="auto"/>
        <w:jc w:val="center"/>
        <w:rPr>
          <w:rFonts w:ascii="Verdana" w:hAnsi="Verdana"/>
          <w:noProof/>
          <w:color w:val="EE0000"/>
        </w:rPr>
      </w:pPr>
    </w:p>
    <w:p w14:paraId="0C326B73" w14:textId="77777777" w:rsidR="0084396E" w:rsidRDefault="0084396E" w:rsidP="00231DAF">
      <w:pPr>
        <w:spacing w:after="0" w:line="276" w:lineRule="auto"/>
        <w:jc w:val="center"/>
        <w:rPr>
          <w:rFonts w:ascii="Verdana" w:hAnsi="Verdana"/>
          <w:noProof/>
          <w:color w:val="EE0000"/>
        </w:rPr>
      </w:pPr>
    </w:p>
    <w:p w14:paraId="08DA1BB8" w14:textId="77777777" w:rsidR="0084396E" w:rsidRDefault="0084396E" w:rsidP="00231DAF">
      <w:pPr>
        <w:spacing w:after="0" w:line="276" w:lineRule="auto"/>
        <w:jc w:val="center"/>
        <w:rPr>
          <w:rFonts w:ascii="Verdana" w:hAnsi="Verdana"/>
          <w:noProof/>
          <w:color w:val="EE0000"/>
        </w:rPr>
      </w:pPr>
    </w:p>
    <w:p w14:paraId="118639E1" w14:textId="77777777" w:rsidR="0084396E" w:rsidRDefault="0084396E" w:rsidP="00231DAF">
      <w:pPr>
        <w:spacing w:after="0" w:line="276" w:lineRule="auto"/>
        <w:jc w:val="center"/>
        <w:rPr>
          <w:rFonts w:ascii="Verdana" w:hAnsi="Verdana"/>
          <w:noProof/>
          <w:color w:val="EE0000"/>
        </w:rPr>
      </w:pPr>
    </w:p>
    <w:p w14:paraId="3F5FFA42" w14:textId="77777777" w:rsidR="0084396E" w:rsidRDefault="0084396E" w:rsidP="00231DAF">
      <w:pPr>
        <w:spacing w:after="0" w:line="276" w:lineRule="auto"/>
        <w:jc w:val="center"/>
        <w:rPr>
          <w:rFonts w:ascii="Verdana" w:hAnsi="Verdana"/>
          <w:noProof/>
          <w:color w:val="EE0000"/>
        </w:rPr>
      </w:pPr>
    </w:p>
    <w:p w14:paraId="753F240B" w14:textId="77777777" w:rsidR="0084396E" w:rsidRPr="00231DAF" w:rsidRDefault="0084396E" w:rsidP="00231DAF">
      <w:pPr>
        <w:spacing w:after="0" w:line="276" w:lineRule="auto"/>
        <w:jc w:val="center"/>
        <w:rPr>
          <w:rFonts w:ascii="Verdana" w:hAnsi="Verdana"/>
          <w:noProof/>
          <w:color w:val="EE0000"/>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9C0AD3" w:rsidRPr="00BD43CF" w14:paraId="331A3570" w14:textId="77777777" w:rsidTr="00ED22CF">
        <w:trPr>
          <w:trHeight w:val="315"/>
        </w:trPr>
        <w:tc>
          <w:tcPr>
            <w:tcW w:w="893" w:type="dxa"/>
            <w:vAlign w:val="center"/>
            <w:hideMark/>
          </w:tcPr>
          <w:p w14:paraId="3B635648" w14:textId="77777777" w:rsidR="009C0AD3" w:rsidRPr="00BD43CF" w:rsidRDefault="009C0AD3" w:rsidP="00ED22CF">
            <w:pPr>
              <w:contextualSpacing/>
              <w:rPr>
                <w:rFonts w:ascii="Verdana" w:hAnsi="Verdana" w:cs="Arial"/>
                <w:sz w:val="16"/>
                <w:szCs w:val="16"/>
                <w:lang w:val="es-ES" w:eastAsia="es-ES"/>
              </w:rPr>
            </w:pPr>
            <w:r w:rsidRPr="00BD43CF">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6CF1E73D" w14:textId="77777777" w:rsidR="009C0AD3" w:rsidRPr="00BD43CF" w:rsidRDefault="009C0AD3" w:rsidP="00ED22CF">
            <w:pPr>
              <w:rPr>
                <w:rFonts w:ascii="Verdana" w:eastAsia="Times New Roman" w:hAnsi="Verdana" w:cs="Arial"/>
                <w:sz w:val="16"/>
                <w:szCs w:val="16"/>
                <w:lang w:eastAsia="es-ES"/>
              </w:rPr>
            </w:pPr>
            <w:r w:rsidRPr="00BD43CF">
              <w:rPr>
                <w:rFonts w:ascii="Verdana" w:eastAsia="Times New Roman" w:hAnsi="Verdana" w:cs="Arial"/>
                <w:sz w:val="16"/>
                <w:szCs w:val="16"/>
                <w:lang w:eastAsia="es-ES"/>
              </w:rPr>
              <w:t>Camila Alejandra Naranjo Gómez</w:t>
            </w:r>
          </w:p>
          <w:p w14:paraId="1740FC42" w14:textId="77777777" w:rsidR="009C0AD3" w:rsidRPr="00BD43CF" w:rsidRDefault="009C0AD3" w:rsidP="00ED22CF">
            <w:pPr>
              <w:contextualSpacing/>
              <w:rPr>
                <w:rFonts w:ascii="Verdana" w:eastAsia="Arial" w:hAnsi="Verdana" w:cs="Arial"/>
                <w:sz w:val="16"/>
                <w:szCs w:val="16"/>
                <w:lang w:val="es-ES"/>
              </w:rPr>
            </w:pPr>
            <w:r w:rsidRPr="00BD43CF">
              <w:rPr>
                <w:rFonts w:ascii="Verdana" w:eastAsia="Times New Roman" w:hAnsi="Verdana" w:cs="Arial"/>
                <w:sz w:val="16"/>
                <w:szCs w:val="16"/>
                <w:lang w:eastAsia="es-ES"/>
              </w:rPr>
              <w:t>Analista T2-02 de la Subdirección de Gestión Contractual</w:t>
            </w:r>
          </w:p>
        </w:tc>
      </w:tr>
      <w:tr w:rsidR="009C0AD3" w:rsidRPr="00BD43CF" w14:paraId="1C38D4F6" w14:textId="77777777" w:rsidTr="00ED22CF">
        <w:trPr>
          <w:trHeight w:val="330"/>
        </w:trPr>
        <w:tc>
          <w:tcPr>
            <w:tcW w:w="893" w:type="dxa"/>
            <w:vAlign w:val="center"/>
            <w:hideMark/>
          </w:tcPr>
          <w:p w14:paraId="0F80CBC7" w14:textId="77777777" w:rsidR="009C0AD3" w:rsidRPr="00BD43CF" w:rsidRDefault="009C0AD3" w:rsidP="00ED22CF">
            <w:pPr>
              <w:contextualSpacing/>
              <w:rPr>
                <w:rFonts w:ascii="Verdana" w:hAnsi="Verdana" w:cs="Arial"/>
                <w:sz w:val="16"/>
                <w:szCs w:val="16"/>
                <w:lang w:val="es-ES" w:eastAsia="es-ES"/>
              </w:rPr>
            </w:pPr>
            <w:r w:rsidRPr="00BD43CF">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B164CB6" w14:textId="77777777" w:rsidR="009C0AD3" w:rsidRPr="00BD43CF" w:rsidRDefault="009C0AD3" w:rsidP="00ED22CF">
            <w:pPr>
              <w:rPr>
                <w:rFonts w:ascii="Verdana" w:eastAsia="Times New Roman" w:hAnsi="Verdana" w:cs="Arial"/>
                <w:sz w:val="16"/>
                <w:szCs w:val="16"/>
                <w:lang w:eastAsia="es-ES"/>
              </w:rPr>
            </w:pPr>
            <w:r w:rsidRPr="00BD43CF">
              <w:rPr>
                <w:rFonts w:ascii="Verdana" w:eastAsia="Times New Roman" w:hAnsi="Verdana" w:cs="Arial"/>
                <w:sz w:val="16"/>
                <w:szCs w:val="16"/>
                <w:lang w:eastAsia="es-ES"/>
              </w:rPr>
              <w:t>Diana Lucia Saavedra Castañeda</w:t>
            </w:r>
          </w:p>
          <w:p w14:paraId="0189BD89" w14:textId="77777777" w:rsidR="009C0AD3" w:rsidRPr="00BD43CF" w:rsidRDefault="009C0AD3" w:rsidP="00ED22CF">
            <w:pPr>
              <w:pStyle w:val="paragraph"/>
              <w:spacing w:before="0" w:beforeAutospacing="0" w:after="0" w:afterAutospacing="0"/>
              <w:contextualSpacing/>
              <w:textAlignment w:val="baseline"/>
              <w:rPr>
                <w:rFonts w:ascii="Verdana" w:hAnsi="Verdana" w:cs="Segoe UI"/>
                <w:sz w:val="16"/>
                <w:szCs w:val="16"/>
                <w:lang w:val="es-ES"/>
              </w:rPr>
            </w:pPr>
            <w:r w:rsidRPr="00BD43CF">
              <w:rPr>
                <w:rFonts w:ascii="Verdana" w:hAnsi="Verdana" w:cs="Arial"/>
                <w:sz w:val="16"/>
                <w:szCs w:val="16"/>
                <w:lang w:eastAsia="es-ES"/>
              </w:rPr>
              <w:t>Contratista de la Subdirección de Gestión Contractual</w:t>
            </w:r>
          </w:p>
        </w:tc>
      </w:tr>
      <w:tr w:rsidR="009C0AD3" w:rsidRPr="00BD43CF" w14:paraId="750A4E01" w14:textId="77777777" w:rsidTr="00ED22CF">
        <w:trPr>
          <w:trHeight w:val="300"/>
        </w:trPr>
        <w:tc>
          <w:tcPr>
            <w:tcW w:w="893" w:type="dxa"/>
            <w:vAlign w:val="center"/>
          </w:tcPr>
          <w:p w14:paraId="4B4EB0F1" w14:textId="77777777" w:rsidR="009C0AD3" w:rsidRPr="00BD43CF" w:rsidRDefault="009C0AD3" w:rsidP="00ED22CF">
            <w:pPr>
              <w:contextualSpacing/>
              <w:rPr>
                <w:rFonts w:ascii="Verdana" w:hAnsi="Verdana" w:cs="Arial"/>
                <w:sz w:val="16"/>
                <w:szCs w:val="16"/>
                <w:lang w:val="es-ES" w:eastAsia="es-ES"/>
              </w:rPr>
            </w:pPr>
            <w:r w:rsidRPr="00BD43CF">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24E6EF26" w14:textId="77777777" w:rsidR="009C0AD3" w:rsidRPr="00BD43CF" w:rsidRDefault="009C0AD3" w:rsidP="00ED22CF">
            <w:pPr>
              <w:contextualSpacing/>
              <w:rPr>
                <w:rFonts w:ascii="Verdana" w:eastAsia="Calibri" w:hAnsi="Verdana" w:cs="Arial"/>
                <w:sz w:val="16"/>
                <w:szCs w:val="16"/>
                <w:lang w:val="es-ES" w:eastAsia="es-ES"/>
              </w:rPr>
            </w:pPr>
            <w:r w:rsidRPr="00BD43CF">
              <w:rPr>
                <w:rFonts w:ascii="Verdana" w:eastAsia="Calibri" w:hAnsi="Verdana" w:cs="Arial"/>
                <w:sz w:val="16"/>
                <w:szCs w:val="16"/>
                <w:lang w:val="es-ES" w:eastAsia="es-ES"/>
              </w:rPr>
              <w:t>Carolina Quintero Gacharná</w:t>
            </w:r>
          </w:p>
          <w:p w14:paraId="4A713BA7" w14:textId="77777777" w:rsidR="009C0AD3" w:rsidRPr="00BD43CF" w:rsidRDefault="009C0AD3" w:rsidP="00ED22CF">
            <w:pPr>
              <w:contextualSpacing/>
              <w:rPr>
                <w:rFonts w:ascii="Verdana" w:eastAsia="Calibri" w:hAnsi="Verdana" w:cs="Arial"/>
                <w:sz w:val="16"/>
                <w:szCs w:val="16"/>
                <w:lang w:val="es-ES" w:eastAsia="es-ES"/>
              </w:rPr>
            </w:pPr>
            <w:r w:rsidRPr="00BD43CF">
              <w:rPr>
                <w:rFonts w:ascii="Verdana" w:eastAsia="Calibri" w:hAnsi="Verdana" w:cs="Arial"/>
                <w:sz w:val="16"/>
                <w:szCs w:val="16"/>
                <w:lang w:val="es-ES" w:eastAsia="es-ES"/>
              </w:rPr>
              <w:t>Subdirectora de Gestión Contractual ANCP – CCE</w:t>
            </w:r>
          </w:p>
        </w:tc>
      </w:tr>
      <w:bookmarkEnd w:id="0"/>
    </w:tbl>
    <w:p w14:paraId="275F827D" w14:textId="77777777" w:rsidR="009C0AD3" w:rsidRPr="00BD43CF" w:rsidRDefault="009C0AD3" w:rsidP="009C0AD3"/>
    <w:p w14:paraId="161DAE49" w14:textId="1F3AF57F" w:rsidR="009C0AD3" w:rsidRPr="00FE55BD" w:rsidRDefault="009C0AD3" w:rsidP="009C0AD3"/>
    <w:p w14:paraId="0F293BF4" w14:textId="31AD2E8D" w:rsidR="00127233" w:rsidRPr="009C0AD3" w:rsidRDefault="00127233" w:rsidP="009C0AD3"/>
    <w:sectPr w:rsidR="00127233" w:rsidRPr="009C0AD3"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08A10" w14:textId="77777777" w:rsidR="00565D17" w:rsidRDefault="00565D17" w:rsidP="004A1847">
      <w:pPr>
        <w:spacing w:after="0" w:line="240" w:lineRule="auto"/>
      </w:pPr>
      <w:r>
        <w:separator/>
      </w:r>
    </w:p>
  </w:endnote>
  <w:endnote w:type="continuationSeparator" w:id="0">
    <w:p w14:paraId="50139092" w14:textId="77777777" w:rsidR="00565D17" w:rsidRDefault="00565D1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652C2" w14:textId="77777777" w:rsidR="00565D17" w:rsidRDefault="00565D17" w:rsidP="004A1847">
      <w:pPr>
        <w:spacing w:after="0" w:line="240" w:lineRule="auto"/>
      </w:pPr>
      <w:r>
        <w:separator/>
      </w:r>
    </w:p>
  </w:footnote>
  <w:footnote w:type="continuationSeparator" w:id="0">
    <w:p w14:paraId="651E7CBE" w14:textId="77777777" w:rsidR="00565D17" w:rsidRDefault="00565D17" w:rsidP="004A1847">
      <w:pPr>
        <w:spacing w:after="0" w:line="240" w:lineRule="auto"/>
      </w:pPr>
      <w:r>
        <w:continuationSeparator/>
      </w:r>
    </w:p>
  </w:footnote>
  <w:footnote w:id="1">
    <w:p w14:paraId="68E4D46B" w14:textId="77777777" w:rsidR="009C0AD3" w:rsidRPr="0022171B" w:rsidRDefault="009C0AD3" w:rsidP="009C0AD3">
      <w:pPr>
        <w:spacing w:after="0" w:line="240" w:lineRule="auto"/>
        <w:ind w:firstLine="708"/>
        <w:jc w:val="both"/>
        <w:rPr>
          <w:rFonts w:ascii="Verdana" w:eastAsia="Calibri" w:hAnsi="Verdana" w:cs="Arial"/>
          <w:sz w:val="16"/>
          <w:szCs w:val="16"/>
          <w:lang w:val="es-ES_tradnl"/>
        </w:rPr>
      </w:pPr>
      <w:r w:rsidRPr="0022171B">
        <w:rPr>
          <w:rStyle w:val="Refdenotaalpie"/>
          <w:rFonts w:ascii="Verdana" w:hAnsi="Verdana" w:cs="Arial"/>
          <w:sz w:val="16"/>
          <w:szCs w:val="16"/>
        </w:rPr>
        <w:footnoteRef/>
      </w:r>
      <w:r w:rsidRPr="0022171B">
        <w:rPr>
          <w:rFonts w:ascii="Verdana" w:hAnsi="Verdana" w:cs="Arial"/>
          <w:sz w:val="16"/>
          <w:szCs w:val="16"/>
        </w:rPr>
        <w:t xml:space="preserve"> </w:t>
      </w:r>
      <w:r w:rsidRPr="0022171B">
        <w:rPr>
          <w:rFonts w:ascii="Verdana" w:hAnsi="Verdana" w:cs="Arial"/>
          <w:sz w:val="16"/>
          <w:szCs w:val="16"/>
          <w:lang w:val="es-ES_tradnl"/>
        </w:rPr>
        <w:t>La jurisprudencia delimita su sentido y alcance de la siguiente manera –</w:t>
      </w:r>
      <w:r w:rsidRPr="0022171B">
        <w:rPr>
          <w:rFonts w:ascii="Verdana" w:hAnsi="Verdana" w:cs="Arial"/>
          <w:sz w:val="16"/>
          <w:szCs w:val="16"/>
          <w:lang w:val="es-ES"/>
        </w:rPr>
        <w:t>CORTE SUPREMA DE JUSTICIA. Sala de Casación Civil. Sentencia 20 de noviembre de 1989. MP. Alberto Ospina Botero. Publicada en la Gaceta Judicial. Tomo CXCVI. N° 2435. p. 93</w:t>
      </w:r>
      <w:r w:rsidRPr="0022171B">
        <w:rPr>
          <w:rFonts w:ascii="Verdana" w:hAnsi="Verdana" w:cs="Arial"/>
          <w:sz w:val="16"/>
          <w:szCs w:val="16"/>
          <w:lang w:val="es-ES_tradnl"/>
        </w:rPr>
        <w:t>–:</w:t>
      </w:r>
    </w:p>
    <w:p w14:paraId="2DB60189" w14:textId="77777777" w:rsidR="009C0AD3" w:rsidRPr="0022171B" w:rsidRDefault="009C0AD3" w:rsidP="009C0AD3">
      <w:pPr>
        <w:spacing w:after="0" w:line="240" w:lineRule="auto"/>
        <w:ind w:right="49" w:firstLine="708"/>
        <w:jc w:val="both"/>
        <w:rPr>
          <w:rFonts w:ascii="Verdana" w:eastAsia="Calibri" w:hAnsi="Verdana" w:cs="Arial"/>
          <w:sz w:val="16"/>
          <w:szCs w:val="16"/>
          <w:lang w:val="es-ES_tradnl"/>
        </w:rPr>
      </w:pPr>
      <w:r w:rsidRPr="0022171B">
        <w:rPr>
          <w:rFonts w:ascii="Verdana" w:eastAsia="Calibri" w:hAnsi="Verdana" w:cs="Arial"/>
          <w:sz w:val="16"/>
          <w:szCs w:val="16"/>
          <w:lang w:val="es-ES_tradnl"/>
        </w:rPr>
        <w:t>“6. […] la fuerza mayor o caso fortuito se configura por la concurrencia de dos factores:</w:t>
      </w:r>
    </w:p>
    <w:p w14:paraId="3A65B77E" w14:textId="77777777" w:rsidR="009C0AD3" w:rsidRPr="0022171B" w:rsidRDefault="009C0AD3" w:rsidP="009C0AD3">
      <w:pPr>
        <w:spacing w:after="0" w:line="240" w:lineRule="auto"/>
        <w:ind w:right="49" w:firstLine="708"/>
        <w:jc w:val="both"/>
        <w:rPr>
          <w:rFonts w:ascii="Verdana" w:eastAsia="Calibri" w:hAnsi="Verdana" w:cs="Arial"/>
          <w:sz w:val="16"/>
          <w:szCs w:val="16"/>
          <w:lang w:val="es-ES_tradnl"/>
        </w:rPr>
      </w:pPr>
      <w:r w:rsidRPr="0022171B">
        <w:rPr>
          <w:rFonts w:ascii="Verdana" w:eastAsia="Calibri" w:hAnsi="Verdana" w:cs="Arial"/>
          <w:sz w:val="16"/>
          <w:szCs w:val="16"/>
          <w:lang w:val="es-ES_tradnl"/>
        </w:rPr>
        <w:t>a) Que el hecho sea imprevisible, esto es, que dentro de las circunstancias normales de la vida, no sea posible contemplar por anticipado su ocurrencia. Por el contrario, si el hecho razonablemente hubiera podido preverse, por ser un acontecimiento normal o de ocurrencia frecuente, tal hecho no estructura el elemento imprevisible, y</w:t>
      </w:r>
    </w:p>
    <w:p w14:paraId="6B3D24A1" w14:textId="77777777" w:rsidR="009C0AD3" w:rsidRPr="0022171B" w:rsidRDefault="009C0AD3" w:rsidP="009C0AD3">
      <w:pPr>
        <w:spacing w:after="0" w:line="240" w:lineRule="auto"/>
        <w:ind w:right="49" w:firstLine="708"/>
        <w:jc w:val="both"/>
        <w:rPr>
          <w:rFonts w:ascii="Verdana" w:eastAsia="Calibri" w:hAnsi="Verdana" w:cs="Arial"/>
          <w:sz w:val="16"/>
          <w:szCs w:val="16"/>
          <w:lang w:val="es-ES_tradnl"/>
        </w:rPr>
      </w:pPr>
      <w:r w:rsidRPr="0022171B">
        <w:rPr>
          <w:rFonts w:ascii="Verdana" w:eastAsia="Calibri" w:hAnsi="Verdana" w:cs="Arial"/>
          <w:sz w:val="16"/>
          <w:szCs w:val="16"/>
          <w:lang w:val="es-ES_tradnl"/>
        </w:rPr>
        <w:t>b) Que el hecho sea irresistible, o sea, que el agente no pueda evitar su acaecimiento ni superar sus consecuencias.</w:t>
      </w:r>
    </w:p>
    <w:p w14:paraId="23B315BF" w14:textId="77777777" w:rsidR="009C0AD3" w:rsidRPr="0022171B" w:rsidRDefault="009C0AD3" w:rsidP="009C0AD3">
      <w:pPr>
        <w:spacing w:after="0" w:line="240" w:lineRule="auto"/>
        <w:ind w:right="49" w:firstLine="708"/>
        <w:jc w:val="both"/>
        <w:rPr>
          <w:rFonts w:ascii="Verdana" w:eastAsia="Calibri" w:hAnsi="Verdana" w:cs="Arial"/>
          <w:sz w:val="16"/>
          <w:szCs w:val="16"/>
          <w:lang w:val="es-ES_tradnl"/>
        </w:rPr>
      </w:pPr>
      <w:r w:rsidRPr="0022171B">
        <w:rPr>
          <w:rFonts w:ascii="Verdana" w:eastAsia="Calibri" w:hAnsi="Verdana" w:cs="Arial"/>
          <w:sz w:val="16"/>
          <w:szCs w:val="16"/>
          <w:lang w:val="es-ES_tradnl"/>
        </w:rPr>
        <w:t xml:space="preserve">En este preciso punto es indispensable anotar la diferencia existente entre la imposibilidad para resistir o superar el hecho y la dificultad para enfrentarlo. Porque un hecho no constituye caso fortuito o fuerza mayor, por la sola circunstancia de que se haga </w:t>
      </w:r>
      <w:proofErr w:type="gramStart"/>
      <w:r w:rsidRPr="0022171B">
        <w:rPr>
          <w:rFonts w:ascii="Verdana" w:eastAsia="Calibri" w:hAnsi="Verdana" w:cs="Arial"/>
          <w:sz w:val="16"/>
          <w:szCs w:val="16"/>
          <w:lang w:val="es-ES_tradnl"/>
        </w:rPr>
        <w:t>más difícil o más onerosa</w:t>
      </w:r>
      <w:proofErr w:type="gramEnd"/>
      <w:r w:rsidRPr="0022171B">
        <w:rPr>
          <w:rFonts w:ascii="Verdana" w:eastAsia="Calibri" w:hAnsi="Verdana" w:cs="Arial"/>
          <w:sz w:val="16"/>
          <w:szCs w:val="16"/>
          <w:lang w:val="es-ES_tradnl"/>
        </w:rPr>
        <w:t xml:space="preserve"> de lo previsto inicialmente.</w:t>
      </w:r>
    </w:p>
    <w:p w14:paraId="28561189" w14:textId="77777777" w:rsidR="009C0AD3" w:rsidRPr="0022171B" w:rsidRDefault="009C0AD3" w:rsidP="009C0AD3">
      <w:pPr>
        <w:spacing w:after="0" w:line="240" w:lineRule="auto"/>
        <w:ind w:right="49" w:firstLine="708"/>
        <w:jc w:val="both"/>
        <w:rPr>
          <w:rFonts w:ascii="Verdana" w:eastAsia="Calibri" w:hAnsi="Verdana" w:cs="Arial"/>
          <w:sz w:val="16"/>
          <w:szCs w:val="16"/>
          <w:lang w:val="es-ES_tradnl"/>
        </w:rPr>
      </w:pPr>
      <w:r w:rsidRPr="0022171B">
        <w:rPr>
          <w:rFonts w:ascii="Verdana" w:eastAsia="Calibri" w:hAnsi="Verdana" w:cs="Arial"/>
          <w:sz w:val="16"/>
          <w:szCs w:val="16"/>
          <w:lang w:val="es-ES_tradnl"/>
        </w:rPr>
        <w:t>7. Según el verdadero sentido o inteligencia […] los elementos integrantes del caso fortuito o fuerza mayor, antes reseñados, deben ser concurrentes, lo cual se traduce en que si el hecho o suceso ciertamente es imprevisible pero se le puede resistir, no se da tal fenómeno, como tampoco se configura cuando a pesar de ser irresistible pudo preverse</w:t>
      </w:r>
    </w:p>
    <w:p w14:paraId="08EB83BF" w14:textId="77777777" w:rsidR="009C0AD3" w:rsidRPr="0022171B" w:rsidRDefault="009C0AD3" w:rsidP="009C0AD3">
      <w:pPr>
        <w:spacing w:after="0" w:line="240" w:lineRule="auto"/>
        <w:ind w:right="49"/>
        <w:jc w:val="both"/>
        <w:rPr>
          <w:rFonts w:ascii="Verdana" w:eastAsia="Calibri" w:hAnsi="Verdana" w:cs="Arial"/>
          <w:sz w:val="16"/>
          <w:szCs w:val="16"/>
          <w:lang w:val="es-ES_tradnl"/>
        </w:rPr>
      </w:pPr>
      <w:r w:rsidRPr="0022171B">
        <w:rPr>
          <w:rFonts w:ascii="Verdana" w:eastAsia="Calibri" w:hAnsi="Verdana" w:cs="Arial"/>
          <w:sz w:val="16"/>
          <w:szCs w:val="16"/>
          <w:lang w:val="es-ES_tradnl"/>
        </w:rPr>
        <w:t>[…]</w:t>
      </w:r>
    </w:p>
    <w:p w14:paraId="4E29FB18" w14:textId="77777777" w:rsidR="009C0AD3" w:rsidRPr="0022171B" w:rsidRDefault="009C0AD3" w:rsidP="009C0AD3">
      <w:pPr>
        <w:pStyle w:val="Textonotapie"/>
        <w:ind w:right="49" w:firstLine="708"/>
        <w:jc w:val="both"/>
        <w:rPr>
          <w:rFonts w:ascii="Verdana" w:hAnsi="Verdana" w:cs="Arial"/>
          <w:sz w:val="16"/>
          <w:szCs w:val="16"/>
          <w:lang w:val="es-CO"/>
        </w:rPr>
      </w:pPr>
      <w:r w:rsidRPr="0022171B">
        <w:rPr>
          <w:rFonts w:ascii="Verdana" w:eastAsia="Calibri" w:hAnsi="Verdana" w:cs="Arial"/>
          <w:sz w:val="16"/>
          <w:szCs w:val="16"/>
          <w:lang w:val="es-ES_tradnl"/>
        </w:rPr>
        <w:t>8. Si, sólo puede calificarse como caso fortuito o fuerza mayor el hecho que concurrentemente contemple los caracteres de imprevisible e irresistible, no resulta propio elaborar un listado de los acontecimientos que constituyen tal fenómeno, ni de los que no lo constituyen. Por tal virtud, ha sostenido la doctrina nacional y foránea que un acontecimiento determinado no puede calificarse fatalmente, por sí mismo y por fuerza de su naturaleza específica como constitutivo de fuerza mayor o caso fortuito, puesto que es indispensable, en cada caso o acontecimiento, analizar y ponderar todas las circunstancias que rodearon el hecho”.</w:t>
      </w:r>
    </w:p>
  </w:footnote>
  <w:footnote w:id="2">
    <w:p w14:paraId="3B92B736" w14:textId="77777777" w:rsidR="009C0AD3" w:rsidRPr="00196ABA" w:rsidRDefault="009C0AD3" w:rsidP="009C0AD3">
      <w:pPr>
        <w:pStyle w:val="Textonotapie"/>
        <w:ind w:firstLine="708"/>
        <w:jc w:val="both"/>
        <w:rPr>
          <w:rFonts w:ascii="Verdana" w:hAnsi="Verdana" w:cs="Arial"/>
          <w:sz w:val="16"/>
          <w:szCs w:val="16"/>
          <w:lang w:val="es-ES"/>
        </w:rPr>
      </w:pPr>
      <w:r w:rsidRPr="00196ABA">
        <w:rPr>
          <w:rStyle w:val="Refdenotaalpie"/>
          <w:rFonts w:ascii="Verdana" w:hAnsi="Verdana" w:cs="Arial"/>
          <w:sz w:val="16"/>
          <w:szCs w:val="16"/>
        </w:rPr>
        <w:footnoteRef/>
      </w:r>
      <w:r w:rsidRPr="00196ABA">
        <w:rPr>
          <w:rFonts w:ascii="Verdana" w:hAnsi="Verdana" w:cs="Arial"/>
          <w:sz w:val="16"/>
          <w:szCs w:val="16"/>
        </w:rPr>
        <w:t xml:space="preserve"> “</w:t>
      </w:r>
      <w:r w:rsidRPr="00196ABA">
        <w:rPr>
          <w:rFonts w:ascii="Verdana" w:hAnsi="Verdana" w:cs="Arial"/>
          <w:sz w:val="16"/>
          <w:szCs w:val="16"/>
          <w:lang w:val="es-ES"/>
        </w:rPr>
        <w:t>Artículo 56. Declaratoria de situación de desastre. Previa recomendación del Consejo Nacional, el Presidente de la República declarará mediante decreto la existencia de una situación de desastre y, en el mismo acto, la clasificará según su magnitud y efectos como de carácter nacional, regional, departamental, distrital o municipal, y pondrá en vigor las normas pertinentes propias del régimen especial para situaciones de desastre.</w:t>
      </w:r>
    </w:p>
    <w:p w14:paraId="068B7740" w14:textId="77777777" w:rsidR="009C0AD3" w:rsidRPr="00196ABA" w:rsidRDefault="009C0AD3" w:rsidP="009C0AD3">
      <w:pPr>
        <w:pStyle w:val="Textonotapie"/>
        <w:ind w:firstLine="708"/>
        <w:jc w:val="both"/>
        <w:rPr>
          <w:rFonts w:ascii="Verdana" w:hAnsi="Verdana" w:cs="Arial"/>
          <w:sz w:val="16"/>
          <w:szCs w:val="16"/>
          <w:lang w:val="es-ES"/>
        </w:rPr>
      </w:pPr>
      <w:r w:rsidRPr="00196ABA">
        <w:rPr>
          <w:rFonts w:ascii="Verdana" w:hAnsi="Verdana" w:cs="Arial"/>
          <w:sz w:val="16"/>
          <w:szCs w:val="16"/>
          <w:lang w:val="es-ES"/>
        </w:rPr>
        <w:t>1. Nacional. Existirá una situación de desastre nacional:</w:t>
      </w:r>
    </w:p>
    <w:p w14:paraId="2F6A838E" w14:textId="77777777" w:rsidR="009C0AD3" w:rsidRPr="00196ABA" w:rsidRDefault="009C0AD3" w:rsidP="009C0AD3">
      <w:pPr>
        <w:pStyle w:val="Textonotapie"/>
        <w:ind w:firstLine="708"/>
        <w:jc w:val="both"/>
        <w:rPr>
          <w:rFonts w:ascii="Verdana" w:hAnsi="Verdana" w:cs="Arial"/>
          <w:sz w:val="16"/>
          <w:szCs w:val="16"/>
          <w:lang w:val="es-ES"/>
        </w:rPr>
      </w:pPr>
      <w:r w:rsidRPr="00196ABA">
        <w:rPr>
          <w:rFonts w:ascii="Verdana" w:hAnsi="Verdana" w:cs="Arial"/>
          <w:sz w:val="16"/>
          <w:szCs w:val="16"/>
          <w:lang w:val="es-ES"/>
        </w:rPr>
        <w:t>a). Cuando la materialización del riesgo afecte de manera desfavorable y grave los bienes jurídicos protegidos de las personas, de la colectividad nacional y de las instituciones de la Administración Pública Nacional, en todo el territorio nacional o en parte considerable del mismo.</w:t>
      </w:r>
    </w:p>
    <w:p w14:paraId="2445A5FF" w14:textId="77777777" w:rsidR="009C0AD3" w:rsidRPr="00196ABA" w:rsidRDefault="009C0AD3" w:rsidP="009C0AD3">
      <w:pPr>
        <w:pStyle w:val="Textonotapie"/>
        <w:ind w:firstLine="708"/>
        <w:jc w:val="both"/>
        <w:rPr>
          <w:rFonts w:ascii="Verdana" w:hAnsi="Verdana" w:cs="Arial"/>
          <w:sz w:val="16"/>
          <w:szCs w:val="16"/>
          <w:lang w:val="es-ES"/>
        </w:rPr>
      </w:pPr>
      <w:r w:rsidRPr="00196ABA">
        <w:rPr>
          <w:rFonts w:ascii="Verdana" w:hAnsi="Verdana" w:cs="Arial"/>
          <w:sz w:val="16"/>
          <w:szCs w:val="16"/>
          <w:lang w:val="es-ES"/>
        </w:rPr>
        <w:t>b). Cuando se hayan producido efectos adversos en uno (1) o más departamentos y su impacto rebase la capacidad técnica y los recursos de las administraciones departamentales y municipales involucradas.</w:t>
      </w:r>
    </w:p>
    <w:p w14:paraId="1EFDDF16" w14:textId="77777777" w:rsidR="009C0AD3" w:rsidRPr="00196ABA" w:rsidRDefault="009C0AD3" w:rsidP="009C0AD3">
      <w:pPr>
        <w:pStyle w:val="Textonotapie"/>
        <w:ind w:firstLine="708"/>
        <w:jc w:val="both"/>
        <w:rPr>
          <w:rFonts w:ascii="Verdana" w:hAnsi="Verdana" w:cs="Arial"/>
          <w:sz w:val="16"/>
          <w:szCs w:val="16"/>
          <w:lang w:val="es-ES"/>
        </w:rPr>
      </w:pPr>
      <w:r w:rsidRPr="00196ABA">
        <w:rPr>
          <w:rFonts w:ascii="Verdana" w:hAnsi="Verdana" w:cs="Arial"/>
          <w:sz w:val="16"/>
          <w:szCs w:val="16"/>
          <w:lang w:val="es-ES"/>
        </w:rPr>
        <w:t>c). Cuando la emergencia tenga la capacidad de impactar de manera desfavorable y grave la economía nacional, las redes de servicios nacionales en su totalidad o en parte significativa de las mismas, el distrito capital y otros centros urbanos de importancia regional en la red de ciudades.</w:t>
      </w:r>
    </w:p>
    <w:p w14:paraId="0C64125B" w14:textId="77777777" w:rsidR="009C0AD3" w:rsidRPr="00196ABA" w:rsidRDefault="009C0AD3" w:rsidP="009C0AD3">
      <w:pPr>
        <w:pStyle w:val="Textonotapie"/>
        <w:ind w:firstLine="708"/>
        <w:jc w:val="both"/>
        <w:rPr>
          <w:rFonts w:ascii="Verdana" w:hAnsi="Verdana" w:cs="Arial"/>
          <w:sz w:val="16"/>
          <w:szCs w:val="16"/>
          <w:lang w:val="es-ES"/>
        </w:rPr>
      </w:pPr>
      <w:r w:rsidRPr="00196ABA">
        <w:rPr>
          <w:rFonts w:ascii="Verdana" w:hAnsi="Verdana" w:cs="Arial"/>
          <w:sz w:val="16"/>
          <w:szCs w:val="16"/>
          <w:lang w:val="es-ES"/>
        </w:rPr>
        <w:t>2. Departamental. Existirá una situación de desastre departamental cuando la materialización del riesgo afecte de manera desfavorable y grave los bienes jurídicos protegidos de los habitantes de un (1) departamento y de la administración pública departamental. El desastre de orden departamental puede presentarse en todo el departamento o en parte sustancial de su territorio rebasando la capacidad técnica y de recursos de los municipios afectados.</w:t>
      </w:r>
    </w:p>
    <w:p w14:paraId="7620EBD8" w14:textId="77777777" w:rsidR="009C0AD3" w:rsidRDefault="009C0AD3" w:rsidP="009C0AD3">
      <w:pPr>
        <w:pStyle w:val="Textonotapie"/>
        <w:ind w:firstLine="708"/>
        <w:jc w:val="both"/>
        <w:rPr>
          <w:rFonts w:ascii="Verdana" w:hAnsi="Verdana" w:cs="Arial"/>
          <w:sz w:val="16"/>
          <w:szCs w:val="16"/>
          <w:lang w:val="es-ES"/>
        </w:rPr>
      </w:pPr>
      <w:r w:rsidRPr="00196ABA">
        <w:rPr>
          <w:rFonts w:ascii="Verdana" w:hAnsi="Verdana" w:cs="Arial"/>
          <w:sz w:val="16"/>
          <w:szCs w:val="16"/>
          <w:lang w:val="es-ES"/>
        </w:rPr>
        <w:t>3. Distrital o Municipal. Existirá una situación de desastre municipal o distrital cuando la materialización del riesgo afecte de manera desfavorable y grave los bienes jurídicos protegidos de los habitantes del municipio o distrito impactado y de la administración pública distrital. El desastre de orden distrital o municipal puede presentarse en todo el distrito o municipio o en parte sustancial del territorio de su jurisdicción, rebasando su capacidad técnica y de recursos […]”.</w:t>
      </w:r>
    </w:p>
    <w:p w14:paraId="6804C5E9" w14:textId="77777777" w:rsidR="009C0AD3" w:rsidRPr="00196ABA" w:rsidRDefault="009C0AD3" w:rsidP="009C0AD3">
      <w:pPr>
        <w:pStyle w:val="Textonotapie"/>
        <w:ind w:firstLine="708"/>
        <w:jc w:val="both"/>
        <w:rPr>
          <w:rFonts w:ascii="Verdana" w:hAnsi="Verdana" w:cs="Arial"/>
          <w:sz w:val="16"/>
          <w:szCs w:val="16"/>
          <w:lang w:val="es-ES"/>
        </w:rPr>
      </w:pPr>
    </w:p>
  </w:footnote>
  <w:footnote w:id="3">
    <w:p w14:paraId="1A297302" w14:textId="77777777" w:rsidR="009C0AD3" w:rsidRPr="00196ABA" w:rsidRDefault="009C0AD3" w:rsidP="009C0AD3">
      <w:pPr>
        <w:pStyle w:val="Textonotapie"/>
        <w:ind w:firstLine="708"/>
        <w:jc w:val="both"/>
        <w:rPr>
          <w:rFonts w:ascii="Verdana" w:hAnsi="Verdana" w:cs="Arial"/>
          <w:sz w:val="16"/>
          <w:szCs w:val="16"/>
          <w:lang w:val="es-CO"/>
        </w:rPr>
      </w:pPr>
      <w:r w:rsidRPr="00196ABA">
        <w:rPr>
          <w:rStyle w:val="Refdenotaalpie"/>
          <w:rFonts w:ascii="Verdana" w:hAnsi="Verdana" w:cs="Arial"/>
          <w:sz w:val="16"/>
          <w:szCs w:val="16"/>
        </w:rPr>
        <w:footnoteRef/>
      </w:r>
      <w:r w:rsidRPr="00196ABA">
        <w:rPr>
          <w:rFonts w:ascii="Verdana" w:hAnsi="Verdana" w:cs="Arial"/>
          <w:sz w:val="16"/>
          <w:szCs w:val="16"/>
        </w:rPr>
        <w:t xml:space="preserve"> “</w:t>
      </w:r>
      <w:r w:rsidRPr="00196ABA">
        <w:rPr>
          <w:rFonts w:ascii="Verdana" w:hAnsi="Verdana" w:cs="Arial"/>
          <w:sz w:val="16"/>
          <w:szCs w:val="16"/>
          <w:lang w:val="es-ES"/>
        </w:rPr>
        <w:t xml:space="preserve">Artículo 57. Declaratoria de situación de calamidad pública. </w:t>
      </w:r>
      <w:bookmarkStart w:id="8" w:name="_Hlk132729568"/>
      <w:r w:rsidRPr="00196ABA">
        <w:rPr>
          <w:rFonts w:ascii="Verdana" w:hAnsi="Verdana" w:cs="Arial"/>
          <w:sz w:val="16"/>
          <w:szCs w:val="16"/>
          <w:lang w:val="es-ES"/>
        </w:rPr>
        <w:t>Los gobernadores y alcaldes, previo concepto favorable del Consejo Departamental, Distrital o Municipal de Gestión del Riesgo, podrán declararla situación de calamidad pública en su respectiva jurisdicción. Las declaratorias de situación de calamidad pública se producirán y aplicarán, en lo pertinente, de conformidad con las reglas de la declaratoria de la situación de desastre</w:t>
      </w:r>
      <w:bookmarkEnd w:id="8"/>
      <w:r w:rsidRPr="00196ABA">
        <w:rPr>
          <w:rFonts w:ascii="Verdana" w:hAnsi="Verdana" w:cs="Arial"/>
          <w:sz w:val="16"/>
          <w:szCs w:val="16"/>
          <w:lang w:val="es-ES"/>
        </w:rPr>
        <w:t>”.</w:t>
      </w:r>
    </w:p>
  </w:footnote>
  <w:footnote w:id="4">
    <w:p w14:paraId="432DD4C4" w14:textId="77777777" w:rsidR="009C0AD3" w:rsidRPr="00196ABA" w:rsidRDefault="009C0AD3" w:rsidP="009C0AD3">
      <w:pPr>
        <w:pStyle w:val="Textonotapie"/>
        <w:ind w:firstLine="708"/>
        <w:jc w:val="both"/>
        <w:rPr>
          <w:rFonts w:ascii="Verdana" w:hAnsi="Verdana" w:cs="Arial"/>
          <w:sz w:val="16"/>
          <w:szCs w:val="16"/>
          <w:lang w:val="es-ES"/>
        </w:rPr>
      </w:pPr>
      <w:r w:rsidRPr="00196ABA">
        <w:rPr>
          <w:rStyle w:val="Refdenotaalpie"/>
          <w:rFonts w:ascii="Verdana" w:hAnsi="Verdana"/>
          <w:sz w:val="16"/>
          <w:szCs w:val="16"/>
        </w:rPr>
        <w:footnoteRef/>
      </w:r>
      <w:r w:rsidRPr="00196ABA">
        <w:rPr>
          <w:rFonts w:ascii="Verdana" w:hAnsi="Verdana"/>
          <w:sz w:val="16"/>
          <w:szCs w:val="16"/>
        </w:rPr>
        <w:t xml:space="preserve"> </w:t>
      </w:r>
      <w:r w:rsidRPr="00196ABA">
        <w:rPr>
          <w:rFonts w:ascii="Verdana" w:hAnsi="Verdana" w:cs="Arial"/>
          <w:sz w:val="16"/>
          <w:szCs w:val="16"/>
          <w:lang w:val="es-ES"/>
        </w:rPr>
        <w:t>El inciso 1 de la norma en comento dispone que “El Fondo Nacional de Calamidades [ahora denominado Fondo Nacional de Gestión de Riesgo de Desastres, en virtud del artículo 47 de la Ley 1543 de 2012] será manejado por la Sociedad Fiduciaria La Previsora Limitada, empresa industrial y comercial del Estado, vinculada al Ministerio de Hacienda y Crédito Público” (Corchetes fuera de texto).</w:t>
      </w:r>
    </w:p>
  </w:footnote>
  <w:footnote w:id="5">
    <w:p w14:paraId="50483027" w14:textId="77777777" w:rsidR="009C0AD3" w:rsidRPr="00196ABA" w:rsidRDefault="009C0AD3" w:rsidP="009C0AD3">
      <w:pPr>
        <w:pStyle w:val="Textonotapie"/>
        <w:ind w:firstLine="708"/>
        <w:jc w:val="both"/>
        <w:rPr>
          <w:rFonts w:ascii="Verdana" w:hAnsi="Verdana"/>
          <w:sz w:val="16"/>
          <w:szCs w:val="16"/>
          <w:lang w:val="es-CO"/>
        </w:rPr>
      </w:pPr>
      <w:r w:rsidRPr="00196ABA">
        <w:rPr>
          <w:rStyle w:val="Refdenotaalpie"/>
          <w:rFonts w:ascii="Verdana" w:hAnsi="Verdana"/>
          <w:sz w:val="16"/>
          <w:szCs w:val="16"/>
        </w:rPr>
        <w:footnoteRef/>
      </w:r>
      <w:r w:rsidRPr="00196ABA">
        <w:rPr>
          <w:rFonts w:ascii="Verdana" w:hAnsi="Verdana"/>
          <w:sz w:val="16"/>
          <w:szCs w:val="16"/>
        </w:rPr>
        <w:t xml:space="preserve"> La norma citada prescribe que “Salvo lo dispuesto para los contratos de empréstito interno y externo, los contratos que celebre la sociedad fiduciaria para la ejecución de los bienes, derechos e intereses del Fondo Nacional de Calamidades se someterán únicamente a los requisitos y formalidades que exige la ley para la contratación entre particulares, dando aplicación a los artículos 14 a 18 de la Ley 80 de 1993 y 13 de la Ley 1150 de 2007”. Por lo demás, el </w:t>
      </w:r>
      <w:proofErr w:type="spellStart"/>
      <w:r w:rsidRPr="00196ABA">
        <w:rPr>
          <w:rFonts w:ascii="Verdana" w:hAnsi="Verdana"/>
          <w:sz w:val="16"/>
          <w:szCs w:val="16"/>
        </w:rPr>
        <w:t>el</w:t>
      </w:r>
      <w:proofErr w:type="spellEnd"/>
      <w:r w:rsidRPr="00196ABA">
        <w:rPr>
          <w:rFonts w:ascii="Verdana" w:hAnsi="Verdana"/>
          <w:sz w:val="16"/>
          <w:szCs w:val="16"/>
        </w:rPr>
        <w:t xml:space="preserve"> inciso segundo del artículo 96 de la Ley 1523 de 2012 indica que “[…] mantendrán plena vigencia los artículos 2°, 3°, 4°, 9° y 10 del Decreto-ley 4702 de 2010 […]”.</w:t>
      </w:r>
    </w:p>
  </w:footnote>
  <w:footnote w:id="6">
    <w:p w14:paraId="7C6C36E9" w14:textId="77777777" w:rsidR="009C0AD3" w:rsidRPr="00196ABA" w:rsidRDefault="009C0AD3" w:rsidP="009C0AD3">
      <w:pPr>
        <w:pStyle w:val="NormalWeb"/>
        <w:spacing w:before="0" w:beforeAutospacing="0" w:after="0" w:afterAutospacing="0"/>
        <w:ind w:firstLine="708"/>
        <w:jc w:val="both"/>
        <w:rPr>
          <w:rFonts w:ascii="Verdana" w:hAnsi="Verdana" w:cs="Arial"/>
          <w:sz w:val="16"/>
          <w:szCs w:val="16"/>
          <w:lang w:eastAsia="es-ES_tradnl"/>
        </w:rPr>
      </w:pPr>
      <w:r w:rsidRPr="00196ABA">
        <w:rPr>
          <w:rStyle w:val="Refdenotaalpie"/>
          <w:rFonts w:ascii="Verdana" w:hAnsi="Verdana" w:cs="Arial"/>
          <w:sz w:val="16"/>
          <w:szCs w:val="16"/>
        </w:rPr>
        <w:footnoteRef/>
      </w:r>
      <w:r w:rsidRPr="00196ABA">
        <w:rPr>
          <w:rFonts w:ascii="Verdana" w:hAnsi="Verdana" w:cs="Arial"/>
          <w:sz w:val="16"/>
          <w:szCs w:val="16"/>
        </w:rPr>
        <w:t xml:space="preserve"> </w:t>
      </w:r>
      <w:bookmarkStart w:id="18" w:name="54"/>
      <w:r w:rsidRPr="00196ABA">
        <w:rPr>
          <w:rFonts w:ascii="Verdana" w:hAnsi="Verdana" w:cs="Arial"/>
          <w:sz w:val="16"/>
          <w:szCs w:val="16"/>
        </w:rPr>
        <w:t>“</w:t>
      </w:r>
      <w:r w:rsidRPr="00196ABA">
        <w:rPr>
          <w:rFonts w:ascii="Verdana" w:hAnsi="Verdana" w:cs="Arial"/>
          <w:sz w:val="16"/>
          <w:szCs w:val="16"/>
          <w:lang w:eastAsia="es-ES_tradnl"/>
        </w:rPr>
        <w:t>Artículo 54. Fondos territoriales.</w:t>
      </w:r>
      <w:bookmarkEnd w:id="18"/>
      <w:r w:rsidRPr="00196ABA">
        <w:rPr>
          <w:rFonts w:ascii="Verdana" w:hAnsi="Verdana" w:cs="Arial"/>
          <w:sz w:val="16"/>
          <w:szCs w:val="16"/>
          <w:lang w:eastAsia="es-ES_tradnl"/>
        </w:rPr>
        <w:t> Las administraciones departamentales, distritales y municipales, en un plazo no mayor a noventa (90) días posteriores a la fecha en que se sancione la presente ley, constituirán sus propios fondos de gestión del riesgo bajo el esquema del Fondo Nacional, como cuentas especiales con autonomía técnica y financiera, con el propósito de invertir, destinar y ejecutar sus recursos en la adopción de medidas de conocimiento y reducción del riesgo de desastre, preparación, respuesta, rehabilitación y reconstrucción. Podrá establecer mecanismos de financiación dirigidos a las entidades involucradas en los procesos y a la población afectada por la ocurrencia de desastres o calamidad. El Fondo podrá crear subcuentas para los diferentes procesos de la gestión del riesgo. </w:t>
      </w:r>
    </w:p>
    <w:p w14:paraId="5E837451" w14:textId="77777777" w:rsidR="009C0AD3" w:rsidRPr="00196ABA" w:rsidRDefault="009C0AD3" w:rsidP="009C0AD3">
      <w:pPr>
        <w:spacing w:after="0" w:line="240" w:lineRule="auto"/>
        <w:ind w:firstLine="708"/>
        <w:jc w:val="both"/>
        <w:rPr>
          <w:rFonts w:ascii="Verdana" w:eastAsia="Times New Roman" w:hAnsi="Verdana" w:cs="Arial"/>
          <w:sz w:val="16"/>
          <w:szCs w:val="16"/>
          <w:lang w:eastAsia="es-ES_tradnl"/>
        </w:rPr>
      </w:pPr>
      <w:r w:rsidRPr="00196ABA">
        <w:rPr>
          <w:rFonts w:ascii="Verdana" w:eastAsia="Times New Roman" w:hAnsi="Verdana" w:cs="Arial"/>
          <w:sz w:val="16"/>
          <w:szCs w:val="16"/>
          <w:lang w:eastAsia="es-ES_tradnl"/>
        </w:rPr>
        <w:t xml:space="preserve">Parágrafo. Los recursos destinados a los fondos de los que habla este </w:t>
      </w:r>
      <w:proofErr w:type="gramStart"/>
      <w:r w:rsidRPr="00196ABA">
        <w:rPr>
          <w:rFonts w:ascii="Verdana" w:eastAsia="Times New Roman" w:hAnsi="Verdana" w:cs="Arial"/>
          <w:sz w:val="16"/>
          <w:szCs w:val="16"/>
          <w:lang w:eastAsia="es-ES_tradnl"/>
        </w:rPr>
        <w:t>artículo,</w:t>
      </w:r>
      <w:proofErr w:type="gramEnd"/>
      <w:r w:rsidRPr="00196ABA">
        <w:rPr>
          <w:rFonts w:ascii="Verdana" w:eastAsia="Times New Roman" w:hAnsi="Verdana" w:cs="Arial"/>
          <w:sz w:val="16"/>
          <w:szCs w:val="16"/>
          <w:lang w:eastAsia="es-ES_tradnl"/>
        </w:rPr>
        <w:t xml:space="preserve"> serán de carácter acumulativo y no podrán en ningún caso ser retirados del mismo, por motivos diferentes a la gestión del riesgo. En todo caso el monto de los recursos deberá guardar coherencia con los niveles de riesgo de desastre que enfrenta el departamento, distrito o municipio”.</w:t>
      </w:r>
    </w:p>
  </w:footnote>
  <w:footnote w:id="7">
    <w:p w14:paraId="74122203" w14:textId="77777777" w:rsidR="009C0AD3" w:rsidRPr="00C9667E" w:rsidRDefault="009C0AD3" w:rsidP="009C0AD3">
      <w:pPr>
        <w:pStyle w:val="Textonotapie"/>
        <w:ind w:firstLine="708"/>
        <w:jc w:val="both"/>
        <w:rPr>
          <w:rFonts w:ascii="Verdana" w:hAnsi="Verdana"/>
          <w:sz w:val="16"/>
          <w:szCs w:val="16"/>
          <w:lang w:val="es-ES"/>
        </w:rPr>
      </w:pPr>
      <w:r w:rsidRPr="00C9667E">
        <w:rPr>
          <w:rStyle w:val="Refdenotaalpie"/>
          <w:rFonts w:ascii="Verdana" w:hAnsi="Verdana"/>
          <w:sz w:val="16"/>
          <w:szCs w:val="16"/>
        </w:rPr>
        <w:footnoteRef/>
      </w:r>
      <w:r w:rsidRPr="00C9667E">
        <w:rPr>
          <w:rFonts w:ascii="Verdana" w:hAnsi="Verdana"/>
          <w:sz w:val="16"/>
          <w:szCs w:val="16"/>
        </w:rPr>
        <w:t xml:space="preserve"> </w:t>
      </w:r>
      <w:r w:rsidRPr="00C9667E">
        <w:rPr>
          <w:rFonts w:ascii="Verdana" w:hAnsi="Verdana"/>
          <w:sz w:val="16"/>
          <w:szCs w:val="16"/>
          <w:lang w:val="es-ES"/>
        </w:rPr>
        <w:t>La doctrina chilena ilustra su aplicación en los siguientes términos:</w:t>
      </w:r>
      <w:r>
        <w:rPr>
          <w:rFonts w:ascii="Verdana" w:hAnsi="Verdana"/>
          <w:sz w:val="16"/>
          <w:szCs w:val="16"/>
          <w:lang w:val="es-ES"/>
        </w:rPr>
        <w:t xml:space="preserve"> </w:t>
      </w:r>
      <w:r w:rsidRPr="00C9667E">
        <w:rPr>
          <w:rFonts w:ascii="Verdana" w:hAnsi="Verdana"/>
          <w:sz w:val="16"/>
          <w:szCs w:val="16"/>
          <w:lang w:val="es-ES"/>
        </w:rPr>
        <w:t xml:space="preserve">“La ley se ha de entender general e indistintamente. Cuando la ley no hace excepción alguna, pudiendo haberla hecho, no podemos separarnos de su disposición general por medio de una distinción que ella no ha formulado. </w:t>
      </w:r>
      <w:proofErr w:type="spellStart"/>
      <w:r w:rsidRPr="00C9667E">
        <w:rPr>
          <w:rFonts w:ascii="Verdana" w:hAnsi="Verdana"/>
          <w:i/>
          <w:iCs/>
          <w:sz w:val="16"/>
          <w:szCs w:val="16"/>
          <w:lang w:val="es-ES"/>
        </w:rPr>
        <w:t>Ubi</w:t>
      </w:r>
      <w:proofErr w:type="spellEnd"/>
      <w:r w:rsidRPr="00C9667E">
        <w:rPr>
          <w:rFonts w:ascii="Verdana" w:hAnsi="Verdana"/>
          <w:i/>
          <w:iCs/>
          <w:sz w:val="16"/>
          <w:szCs w:val="16"/>
          <w:lang w:val="es-ES"/>
        </w:rPr>
        <w:t xml:space="preserve"> lex non </w:t>
      </w:r>
      <w:proofErr w:type="spellStart"/>
      <w:r w:rsidRPr="00C9667E">
        <w:rPr>
          <w:rFonts w:ascii="Verdana" w:hAnsi="Verdana"/>
          <w:i/>
          <w:iCs/>
          <w:sz w:val="16"/>
          <w:szCs w:val="16"/>
          <w:lang w:val="es-ES"/>
        </w:rPr>
        <w:t>distinguit</w:t>
      </w:r>
      <w:proofErr w:type="spellEnd"/>
      <w:r w:rsidRPr="00C9667E">
        <w:rPr>
          <w:rFonts w:ascii="Verdana" w:hAnsi="Verdana"/>
          <w:i/>
          <w:iCs/>
          <w:sz w:val="16"/>
          <w:szCs w:val="16"/>
          <w:lang w:val="es-ES"/>
        </w:rPr>
        <w:t xml:space="preserve"> </w:t>
      </w:r>
      <w:proofErr w:type="spellStart"/>
      <w:r w:rsidRPr="00C9667E">
        <w:rPr>
          <w:rFonts w:ascii="Verdana" w:hAnsi="Verdana"/>
          <w:i/>
          <w:iCs/>
          <w:sz w:val="16"/>
          <w:szCs w:val="16"/>
          <w:lang w:val="es-ES"/>
        </w:rPr>
        <w:t>nec</w:t>
      </w:r>
      <w:proofErr w:type="spellEnd"/>
      <w:r w:rsidRPr="00C9667E">
        <w:rPr>
          <w:rFonts w:ascii="Verdana" w:hAnsi="Verdana"/>
          <w:i/>
          <w:iCs/>
          <w:sz w:val="16"/>
          <w:szCs w:val="16"/>
          <w:lang w:val="es-ES"/>
        </w:rPr>
        <w:t xml:space="preserve"> nos </w:t>
      </w:r>
      <w:proofErr w:type="spellStart"/>
      <w:r w:rsidRPr="00C9667E">
        <w:rPr>
          <w:rFonts w:ascii="Verdana" w:hAnsi="Verdana"/>
          <w:i/>
          <w:iCs/>
          <w:sz w:val="16"/>
          <w:szCs w:val="16"/>
          <w:lang w:val="es-ES"/>
        </w:rPr>
        <w:t>distinguere</w:t>
      </w:r>
      <w:proofErr w:type="spellEnd"/>
      <w:r w:rsidRPr="00C9667E">
        <w:rPr>
          <w:rFonts w:ascii="Verdana" w:hAnsi="Verdana"/>
          <w:i/>
          <w:iCs/>
          <w:sz w:val="16"/>
          <w:szCs w:val="16"/>
          <w:lang w:val="es-ES"/>
        </w:rPr>
        <w:t xml:space="preserve"> </w:t>
      </w:r>
      <w:proofErr w:type="spellStart"/>
      <w:r w:rsidRPr="00C9667E">
        <w:rPr>
          <w:rFonts w:ascii="Verdana" w:hAnsi="Verdana"/>
          <w:i/>
          <w:iCs/>
          <w:sz w:val="16"/>
          <w:szCs w:val="16"/>
          <w:lang w:val="es-ES"/>
        </w:rPr>
        <w:t>debemus</w:t>
      </w:r>
      <w:proofErr w:type="spellEnd"/>
      <w:r w:rsidRPr="00C9667E">
        <w:rPr>
          <w:rFonts w:ascii="Verdana" w:hAnsi="Verdana"/>
          <w:sz w:val="16"/>
          <w:szCs w:val="16"/>
          <w:lang w:val="es-ES"/>
        </w:rPr>
        <w:t>, ‘donde la ley no distingue no puede el hombre distinguir’. ‘La extensión que deba dársele a la ley se determinará por su genuino sentido y según las reglas de interpretación precedentes’, dice el artículo 23.</w:t>
      </w:r>
    </w:p>
    <w:p w14:paraId="76AFBE14" w14:textId="77777777" w:rsidR="009C0AD3" w:rsidRPr="00C9667E" w:rsidRDefault="009C0AD3" w:rsidP="009C0AD3">
      <w:pPr>
        <w:pStyle w:val="Textonotapie"/>
        <w:ind w:firstLine="708"/>
        <w:jc w:val="both"/>
        <w:rPr>
          <w:rFonts w:ascii="Verdana" w:hAnsi="Verdana"/>
          <w:sz w:val="16"/>
          <w:szCs w:val="16"/>
          <w:lang w:val="es-CO"/>
        </w:rPr>
      </w:pPr>
      <w:r w:rsidRPr="00C9667E">
        <w:rPr>
          <w:rFonts w:ascii="Verdana" w:hAnsi="Verdana"/>
          <w:sz w:val="16"/>
          <w:szCs w:val="16"/>
          <w:lang w:val="es-ES"/>
        </w:rPr>
        <w:t xml:space="preserve">En el derecho antiguo y en el derecho canónico se distinguían las leyes en favorables y odiosas, para ampliar o restringir su interpretación. </w:t>
      </w:r>
      <w:r w:rsidRPr="00C9667E">
        <w:rPr>
          <w:rFonts w:ascii="Verdana" w:hAnsi="Verdana"/>
          <w:i/>
          <w:iCs/>
          <w:sz w:val="16"/>
          <w:szCs w:val="16"/>
          <w:lang w:val="es-ES"/>
        </w:rPr>
        <w:t xml:space="preserve">Odia restringí et favores </w:t>
      </w:r>
      <w:proofErr w:type="spellStart"/>
      <w:r w:rsidRPr="00C9667E">
        <w:rPr>
          <w:rFonts w:ascii="Verdana" w:hAnsi="Verdana"/>
          <w:i/>
          <w:iCs/>
          <w:sz w:val="16"/>
          <w:szCs w:val="16"/>
          <w:lang w:val="es-ES"/>
        </w:rPr>
        <w:t>convenit</w:t>
      </w:r>
      <w:proofErr w:type="spellEnd"/>
      <w:r w:rsidRPr="00C9667E">
        <w:rPr>
          <w:rFonts w:ascii="Verdana" w:hAnsi="Verdana"/>
          <w:i/>
          <w:iCs/>
          <w:sz w:val="16"/>
          <w:szCs w:val="16"/>
          <w:lang w:val="es-ES"/>
        </w:rPr>
        <w:t xml:space="preserve"> </w:t>
      </w:r>
      <w:proofErr w:type="spellStart"/>
      <w:r w:rsidRPr="00C9667E">
        <w:rPr>
          <w:rFonts w:ascii="Verdana" w:hAnsi="Verdana"/>
          <w:i/>
          <w:iCs/>
          <w:sz w:val="16"/>
          <w:szCs w:val="16"/>
          <w:lang w:val="es-ES"/>
        </w:rPr>
        <w:t>ampliari</w:t>
      </w:r>
      <w:proofErr w:type="spellEnd"/>
      <w:r w:rsidRPr="00C9667E">
        <w:rPr>
          <w:rFonts w:ascii="Verdana" w:hAnsi="Verdana"/>
          <w:sz w:val="16"/>
          <w:szCs w:val="16"/>
          <w:lang w:val="es-ES"/>
        </w:rPr>
        <w:t>. Según esto se tomaban las palabras en su más amplia y extensa significación en materia favorable y se procuraba limitar en lo posible, en caso de duda, en materia odiosa. Estas reglas de aplicación de las leyes eran contrarias a los principios de una correcta interpretación, que no tiene otro objeto que reconstruir el pensamiento del legislador y llegar por este medio al conocimiento completo de la ley. Por este motivo el Código no las admite […]”</w:t>
      </w:r>
      <w:r>
        <w:rPr>
          <w:rFonts w:ascii="Verdana" w:hAnsi="Verdana"/>
          <w:sz w:val="16"/>
          <w:szCs w:val="16"/>
          <w:lang w:val="es-ES"/>
        </w:rPr>
        <w:t xml:space="preserve"> (Cfr. </w:t>
      </w:r>
      <w:r w:rsidRPr="008A44AC">
        <w:rPr>
          <w:rFonts w:ascii="Verdana" w:hAnsi="Verdana"/>
          <w:sz w:val="16"/>
          <w:szCs w:val="16"/>
        </w:rPr>
        <w:t>CLARO SOLAR, Luis. Explicaciones de derecho civil chileno y comparado. Volumen I. Tomo I. Santiago: Editorial Jurídica de Chile, 2013. p. 11</w:t>
      </w:r>
      <w:r>
        <w:rPr>
          <w:rFonts w:ascii="Verdana" w:hAnsi="Verdana"/>
          <w:sz w:val="16"/>
          <w:szCs w:val="16"/>
        </w:rPr>
        <w:t>9</w:t>
      </w:r>
      <w:r w:rsidRPr="008A44AC">
        <w:rPr>
          <w:rFonts w:ascii="Verdana" w:hAnsi="Verdana"/>
          <w:sz w:val="16"/>
          <w:szCs w:val="16"/>
        </w:rPr>
        <w:t>. Énfasis dentro del texto</w:t>
      </w:r>
      <w:r>
        <w:rPr>
          <w:rFonts w:ascii="Verdana" w:hAnsi="Verdana"/>
          <w:sz w:val="16"/>
          <w:szCs w:val="16"/>
        </w:rPr>
        <w:t>).</w:t>
      </w:r>
    </w:p>
  </w:footnote>
  <w:footnote w:id="8">
    <w:p w14:paraId="4F1C022C" w14:textId="77777777" w:rsidR="009C0AD3" w:rsidRPr="001244F3" w:rsidRDefault="009C0AD3" w:rsidP="009C0AD3">
      <w:pPr>
        <w:pStyle w:val="Textonotapie"/>
        <w:ind w:firstLine="709"/>
        <w:jc w:val="both"/>
        <w:rPr>
          <w:rFonts w:ascii="Verdana" w:hAnsi="Verdana" w:cs="Arial"/>
          <w:color w:val="000000" w:themeColor="text1"/>
          <w:sz w:val="16"/>
          <w:szCs w:val="16"/>
        </w:rPr>
      </w:pPr>
      <w:r w:rsidRPr="001244F3">
        <w:rPr>
          <w:rStyle w:val="Refdenotaalpie"/>
          <w:rFonts w:ascii="Verdana" w:hAnsi="Verdana" w:cs="Arial"/>
          <w:color w:val="000000" w:themeColor="text1"/>
          <w:sz w:val="16"/>
          <w:szCs w:val="16"/>
        </w:rPr>
        <w:footnoteRef/>
      </w:r>
      <w:r w:rsidRPr="001244F3">
        <w:rPr>
          <w:rFonts w:ascii="Verdana" w:hAnsi="Verdana" w:cs="Arial"/>
          <w:color w:val="000000" w:themeColor="text1"/>
          <w:sz w:val="16"/>
          <w:szCs w:val="16"/>
        </w:rPr>
        <w:t xml:space="preserve"> Agencia Nacional de Contratación Pública - Colombia Compra Eficiente. Guía para las Entidades Estatales con régimen especial de contratación: </w:t>
      </w:r>
      <w:r>
        <w:rPr>
          <w:rFonts w:ascii="Verdana" w:hAnsi="Verdana" w:cs="Arial"/>
          <w:color w:val="000000" w:themeColor="text1"/>
          <w:sz w:val="16"/>
          <w:szCs w:val="16"/>
        </w:rPr>
        <w:t>“</w:t>
      </w:r>
      <w:r w:rsidRPr="001244F3">
        <w:rPr>
          <w:rFonts w:ascii="Verdana" w:hAnsi="Verdana" w:cs="Arial"/>
          <w:color w:val="000000" w:themeColor="text1"/>
          <w:sz w:val="16"/>
          <w:szCs w:val="16"/>
        </w:rPr>
        <w:t>Entidad Estatal de régimen especial: Entidad Estatal que realiza sus Procesos de Contratación con un régimen distinto al previsto en las Leyes 80 de 1993 y 1150 de 2007</w:t>
      </w:r>
      <w:r>
        <w:rPr>
          <w:rFonts w:ascii="Verdana" w:hAnsi="Verdana" w:cs="Arial"/>
          <w:color w:val="000000" w:themeColor="text1"/>
          <w:sz w:val="16"/>
          <w:szCs w:val="16"/>
        </w:rPr>
        <w:t>”</w:t>
      </w:r>
      <w:r w:rsidRPr="001244F3">
        <w:rPr>
          <w:rFonts w:ascii="Verdana" w:hAnsi="Verdana" w:cs="Arial"/>
          <w:color w:val="000000" w:themeColor="text1"/>
          <w:sz w:val="16"/>
          <w:szCs w:val="16"/>
        </w:rPr>
        <w:t>.</w:t>
      </w:r>
    </w:p>
  </w:footnote>
  <w:footnote w:id="9">
    <w:p w14:paraId="008C2409" w14:textId="77777777" w:rsidR="009C0AD3" w:rsidRPr="001244F3" w:rsidRDefault="009C0AD3" w:rsidP="009C0AD3">
      <w:pPr>
        <w:pStyle w:val="Textonotapie"/>
        <w:ind w:firstLine="709"/>
        <w:jc w:val="both"/>
        <w:rPr>
          <w:rFonts w:ascii="Verdana" w:hAnsi="Verdana" w:cs="Arial"/>
          <w:color w:val="000000" w:themeColor="text1"/>
          <w:sz w:val="16"/>
          <w:szCs w:val="16"/>
        </w:rPr>
      </w:pPr>
      <w:r w:rsidRPr="001244F3">
        <w:rPr>
          <w:rStyle w:val="Refdenotaalpie"/>
          <w:rFonts w:ascii="Verdana" w:hAnsi="Verdana" w:cs="Arial"/>
          <w:color w:val="000000" w:themeColor="text1"/>
          <w:sz w:val="16"/>
          <w:szCs w:val="16"/>
        </w:rPr>
        <w:footnoteRef/>
      </w:r>
      <w:r w:rsidRPr="001244F3">
        <w:rPr>
          <w:rFonts w:ascii="Verdana" w:hAnsi="Verdana" w:cs="Arial"/>
          <w:color w:val="000000" w:themeColor="text1"/>
          <w:sz w:val="16"/>
          <w:szCs w:val="16"/>
        </w:rPr>
        <w:t xml:space="preserve"> CONSEJO DE ESTADO. Sección Tercera. Radicado No. 45.607 del 24 de octubre de 2016. Consejera Ponente: María Nubia Velásquez Rico.</w:t>
      </w:r>
    </w:p>
  </w:footnote>
  <w:footnote w:id="10">
    <w:p w14:paraId="1B4F1CC7" w14:textId="77777777" w:rsidR="009C0AD3" w:rsidRPr="001244F3" w:rsidRDefault="009C0AD3" w:rsidP="009C0AD3">
      <w:pPr>
        <w:pStyle w:val="Textonotapie"/>
        <w:ind w:firstLine="709"/>
        <w:jc w:val="both"/>
        <w:rPr>
          <w:rFonts w:ascii="Verdana" w:hAnsi="Verdana" w:cs="Arial"/>
          <w:color w:val="000000" w:themeColor="text1"/>
          <w:sz w:val="16"/>
          <w:szCs w:val="16"/>
        </w:rPr>
      </w:pPr>
      <w:r w:rsidRPr="001244F3">
        <w:rPr>
          <w:rStyle w:val="Refdenotaalpie"/>
          <w:rFonts w:ascii="Verdana" w:hAnsi="Verdana" w:cs="Arial"/>
          <w:color w:val="000000" w:themeColor="text1"/>
          <w:sz w:val="16"/>
          <w:szCs w:val="16"/>
        </w:rPr>
        <w:footnoteRef/>
      </w:r>
      <w:r w:rsidRPr="001244F3">
        <w:rPr>
          <w:rFonts w:ascii="Verdana" w:hAnsi="Verdana" w:cs="Arial"/>
          <w:color w:val="000000" w:themeColor="text1"/>
          <w:sz w:val="16"/>
          <w:szCs w:val="16"/>
        </w:rPr>
        <w:t xml:space="preserve"> Este fenómeno también se ha presentado, en los últimos años, en España. Al respecto, ver: SÁNCHEZ MORÓN, Miguel. El retorno del derecho administrativo. En: Revista de Administración Pública. </w:t>
      </w:r>
      <w:proofErr w:type="spellStart"/>
      <w:r w:rsidRPr="001244F3">
        <w:rPr>
          <w:rFonts w:ascii="Verdana" w:hAnsi="Verdana" w:cs="Arial"/>
          <w:color w:val="000000" w:themeColor="text1"/>
          <w:sz w:val="16"/>
          <w:szCs w:val="16"/>
        </w:rPr>
        <w:t>Nº</w:t>
      </w:r>
      <w:proofErr w:type="spellEnd"/>
      <w:r w:rsidRPr="001244F3">
        <w:rPr>
          <w:rFonts w:ascii="Verdana" w:hAnsi="Verdana" w:cs="Arial"/>
          <w:color w:val="000000" w:themeColor="text1"/>
          <w:sz w:val="16"/>
          <w:szCs w:val="16"/>
        </w:rPr>
        <w:t xml:space="preserve"> 216 (2018). Disponible en: </w:t>
      </w:r>
      <w:hyperlink r:id="rId1" w:history="1">
        <w:r w:rsidRPr="000C3FF3">
          <w:rPr>
            <w:rStyle w:val="Hipervnculo"/>
            <w:rFonts w:ascii="Verdana" w:hAnsi="Verdana" w:cs="Arial"/>
            <w:sz w:val="16"/>
            <w:szCs w:val="16"/>
          </w:rPr>
          <w:t>https://recyt.fecyt.es/index.php/RAP/article/view/67033</w:t>
        </w:r>
      </w:hyperlink>
      <w:r w:rsidRPr="001244F3">
        <w:rPr>
          <w:rFonts w:ascii="Verdana" w:hAnsi="Verdana" w:cs="Arial"/>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675A6FB0"/>
    <w:lvl w:ilvl="0" w:tplc="15EC6280">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318926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3536F"/>
    <w:rsid w:val="0015699B"/>
    <w:rsid w:val="001A33BF"/>
    <w:rsid w:val="001E4177"/>
    <w:rsid w:val="001F0B24"/>
    <w:rsid w:val="001F7DC6"/>
    <w:rsid w:val="0022400B"/>
    <w:rsid w:val="00231DAF"/>
    <w:rsid w:val="0023783C"/>
    <w:rsid w:val="002421BB"/>
    <w:rsid w:val="0025796E"/>
    <w:rsid w:val="002707A2"/>
    <w:rsid w:val="002951A0"/>
    <w:rsid w:val="002962BC"/>
    <w:rsid w:val="002A093D"/>
    <w:rsid w:val="002A0DD0"/>
    <w:rsid w:val="002A49AC"/>
    <w:rsid w:val="002A64FD"/>
    <w:rsid w:val="002C7A84"/>
    <w:rsid w:val="002D3FF0"/>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32580"/>
    <w:rsid w:val="005566E8"/>
    <w:rsid w:val="00565D17"/>
    <w:rsid w:val="00574867"/>
    <w:rsid w:val="00591460"/>
    <w:rsid w:val="0059229A"/>
    <w:rsid w:val="005A65E0"/>
    <w:rsid w:val="005C3777"/>
    <w:rsid w:val="005C5CDC"/>
    <w:rsid w:val="005D476C"/>
    <w:rsid w:val="006200BF"/>
    <w:rsid w:val="006219F8"/>
    <w:rsid w:val="006302F7"/>
    <w:rsid w:val="00646B9F"/>
    <w:rsid w:val="00665D70"/>
    <w:rsid w:val="006900D9"/>
    <w:rsid w:val="00706C16"/>
    <w:rsid w:val="007340C3"/>
    <w:rsid w:val="0075235A"/>
    <w:rsid w:val="00754187"/>
    <w:rsid w:val="00756841"/>
    <w:rsid w:val="007649AB"/>
    <w:rsid w:val="00771D0C"/>
    <w:rsid w:val="007833AC"/>
    <w:rsid w:val="007925CC"/>
    <w:rsid w:val="007B268C"/>
    <w:rsid w:val="007B7171"/>
    <w:rsid w:val="007C0C0F"/>
    <w:rsid w:val="007C3DC2"/>
    <w:rsid w:val="007E5497"/>
    <w:rsid w:val="00806F5F"/>
    <w:rsid w:val="00820278"/>
    <w:rsid w:val="008258C9"/>
    <w:rsid w:val="0084396E"/>
    <w:rsid w:val="00844AE9"/>
    <w:rsid w:val="00863CAB"/>
    <w:rsid w:val="00867F95"/>
    <w:rsid w:val="008843B6"/>
    <w:rsid w:val="00891928"/>
    <w:rsid w:val="008A446D"/>
    <w:rsid w:val="008B25F1"/>
    <w:rsid w:val="008D180B"/>
    <w:rsid w:val="008D2E11"/>
    <w:rsid w:val="008E3149"/>
    <w:rsid w:val="008F0EA7"/>
    <w:rsid w:val="008F0FAA"/>
    <w:rsid w:val="008F6AF0"/>
    <w:rsid w:val="00923EEF"/>
    <w:rsid w:val="009419F9"/>
    <w:rsid w:val="0095685E"/>
    <w:rsid w:val="00961B09"/>
    <w:rsid w:val="00965334"/>
    <w:rsid w:val="0097093E"/>
    <w:rsid w:val="009920AE"/>
    <w:rsid w:val="009A0DFA"/>
    <w:rsid w:val="009A1C6F"/>
    <w:rsid w:val="009B2D26"/>
    <w:rsid w:val="009C0AD3"/>
    <w:rsid w:val="009C71FA"/>
    <w:rsid w:val="009C72E7"/>
    <w:rsid w:val="009C7F7E"/>
    <w:rsid w:val="009D3058"/>
    <w:rsid w:val="009F2684"/>
    <w:rsid w:val="009F3A13"/>
    <w:rsid w:val="00A122D3"/>
    <w:rsid w:val="00A14468"/>
    <w:rsid w:val="00A17F13"/>
    <w:rsid w:val="00A20739"/>
    <w:rsid w:val="00A23AF9"/>
    <w:rsid w:val="00A33C78"/>
    <w:rsid w:val="00AB0ADB"/>
    <w:rsid w:val="00AC497D"/>
    <w:rsid w:val="00AD729D"/>
    <w:rsid w:val="00B00C0E"/>
    <w:rsid w:val="00B01B1A"/>
    <w:rsid w:val="00B0267E"/>
    <w:rsid w:val="00B0381D"/>
    <w:rsid w:val="00B44A47"/>
    <w:rsid w:val="00B72CD3"/>
    <w:rsid w:val="00B72FFF"/>
    <w:rsid w:val="00BC3D36"/>
    <w:rsid w:val="00BD54A6"/>
    <w:rsid w:val="00BD7F72"/>
    <w:rsid w:val="00BF6D6F"/>
    <w:rsid w:val="00BF7425"/>
    <w:rsid w:val="00C04FB3"/>
    <w:rsid w:val="00C11D8B"/>
    <w:rsid w:val="00C15139"/>
    <w:rsid w:val="00C330EB"/>
    <w:rsid w:val="00C50D69"/>
    <w:rsid w:val="00C5365C"/>
    <w:rsid w:val="00C754BE"/>
    <w:rsid w:val="00C76B1C"/>
    <w:rsid w:val="00C925AC"/>
    <w:rsid w:val="00CB6357"/>
    <w:rsid w:val="00CC1B26"/>
    <w:rsid w:val="00D16DA1"/>
    <w:rsid w:val="00D361FD"/>
    <w:rsid w:val="00D423A2"/>
    <w:rsid w:val="00D44E26"/>
    <w:rsid w:val="00D520D8"/>
    <w:rsid w:val="00D63AC2"/>
    <w:rsid w:val="00D7383B"/>
    <w:rsid w:val="00D7788A"/>
    <w:rsid w:val="00DA231B"/>
    <w:rsid w:val="00DC39FC"/>
    <w:rsid w:val="00DF5254"/>
    <w:rsid w:val="00E02524"/>
    <w:rsid w:val="00E06C03"/>
    <w:rsid w:val="00E16408"/>
    <w:rsid w:val="00E20894"/>
    <w:rsid w:val="00E245AB"/>
    <w:rsid w:val="00E2764C"/>
    <w:rsid w:val="00E27F2E"/>
    <w:rsid w:val="00E366D2"/>
    <w:rsid w:val="00E50AFE"/>
    <w:rsid w:val="00E75C92"/>
    <w:rsid w:val="00E771DC"/>
    <w:rsid w:val="00E8772A"/>
    <w:rsid w:val="00E90F6B"/>
    <w:rsid w:val="00E92C27"/>
    <w:rsid w:val="00EA0E3D"/>
    <w:rsid w:val="00EC38A7"/>
    <w:rsid w:val="00ED22CF"/>
    <w:rsid w:val="00EE1AA8"/>
    <w:rsid w:val="00F23FEA"/>
    <w:rsid w:val="00F31EDC"/>
    <w:rsid w:val="00F462B3"/>
    <w:rsid w:val="00F5664F"/>
    <w:rsid w:val="00F666C4"/>
    <w:rsid w:val="00F76AFC"/>
    <w:rsid w:val="00F9756D"/>
    <w:rsid w:val="00FA47C0"/>
    <w:rsid w:val="00FB346F"/>
    <w:rsid w:val="00FB5DD1"/>
    <w:rsid w:val="00FC2B5D"/>
    <w:rsid w:val="00FF1449"/>
    <w:rsid w:val="00FF7963"/>
    <w:rsid w:val="071B8F93"/>
    <w:rsid w:val="07C73DD1"/>
    <w:rsid w:val="09908A09"/>
    <w:rsid w:val="0EFE6349"/>
    <w:rsid w:val="0FF4CCA8"/>
    <w:rsid w:val="13CFC91B"/>
    <w:rsid w:val="19A2EC2C"/>
    <w:rsid w:val="1F554EED"/>
    <w:rsid w:val="21779BE6"/>
    <w:rsid w:val="2859CA1B"/>
    <w:rsid w:val="2C4D2425"/>
    <w:rsid w:val="2EE1E026"/>
    <w:rsid w:val="2F44F38F"/>
    <w:rsid w:val="30821638"/>
    <w:rsid w:val="32A4F9CF"/>
    <w:rsid w:val="33A1FF93"/>
    <w:rsid w:val="356CEDFD"/>
    <w:rsid w:val="3C591AFD"/>
    <w:rsid w:val="42183F0A"/>
    <w:rsid w:val="545B112A"/>
    <w:rsid w:val="5BEB1497"/>
    <w:rsid w:val="69614A15"/>
    <w:rsid w:val="710EE4F8"/>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DC0A83F5-EBC1-4086-AB13-17515774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9C0AD3"/>
    <w:pPr>
      <w:spacing w:line="240" w:lineRule="exact"/>
    </w:pPr>
    <w:rPr>
      <w:vertAlign w:val="superscript"/>
    </w:rPr>
  </w:style>
  <w:style w:type="character" w:customStyle="1" w:styleId="NormalWebCar">
    <w:name w:val="Normal (Web) Car"/>
    <w:link w:val="NormalWeb"/>
    <w:uiPriority w:val="99"/>
    <w:locked/>
    <w:rsid w:val="009C0AD3"/>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mineoriente@gmai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recyt.fecyt.es/index.php/RAP/article/view/6703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B08145-4B46-416F-96BF-4FF69641AD08}"/>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118</TotalTime>
  <Pages>19</Pages>
  <Words>6269</Words>
  <Characters>34483</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Camila Alejandra Naranjo Gómez</cp:lastModifiedBy>
  <cp:revision>5</cp:revision>
  <cp:lastPrinted>2023-01-10T21:18:00Z</cp:lastPrinted>
  <dcterms:created xsi:type="dcterms:W3CDTF">2026-06-10T21:21:00Z</dcterms:created>
  <dcterms:modified xsi:type="dcterms:W3CDTF">2026-06-11T16:05:00Z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