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4F22" w14:textId="77777777" w:rsidR="00783B55" w:rsidRDefault="00783B55" w:rsidP="00783B55">
      <w:pPr>
        <w:jc w:val="both"/>
        <w:rPr>
          <w:rFonts w:ascii="Verdana" w:eastAsia="Times New Roman" w:hAnsi="Verdana" w:cs="Times New Roman"/>
          <w:b/>
          <w:bCs/>
          <w:lang w:eastAsia="es-ES_tradnl"/>
        </w:rPr>
      </w:pPr>
      <w:bookmarkStart w:id="0" w:name="_Hlk143780582"/>
      <w:r w:rsidRPr="0027726E">
        <w:rPr>
          <w:rFonts w:ascii="Verdana" w:eastAsia="Times New Roman" w:hAnsi="Verdana" w:cs="Times New Roman"/>
          <w:b/>
          <w:bCs/>
          <w:lang w:eastAsia="es-ES_tradnl"/>
        </w:rPr>
        <w:t xml:space="preserve">INTERMEDIACIÓN DE SEGUROS – Naturaleza jurídica – Normativa </w:t>
      </w:r>
    </w:p>
    <w:p w14:paraId="7D45C9D4" w14:textId="77777777" w:rsidR="00783B55" w:rsidRDefault="00783B55" w:rsidP="00783B55">
      <w:pPr>
        <w:spacing w:after="0" w:line="240" w:lineRule="auto"/>
        <w:jc w:val="both"/>
        <w:rPr>
          <w:rFonts w:ascii="Verdana" w:eastAsia="Times New Roman" w:hAnsi="Verdana" w:cs="Times New Roman"/>
          <w:sz w:val="20"/>
          <w:szCs w:val="20"/>
          <w:lang w:eastAsia="es-ES_tradnl"/>
        </w:rPr>
      </w:pPr>
      <w:r w:rsidRPr="00DA1D8D">
        <w:rPr>
          <w:rFonts w:ascii="Verdana" w:eastAsia="Times New Roman" w:hAnsi="Verdana" w:cs="Times New Roman"/>
          <w:sz w:val="20"/>
          <w:szCs w:val="20"/>
          <w:lang w:eastAsia="es-ES_tradnl"/>
        </w:rPr>
        <w:t>Los corredores o intermediarios de seguros constituyen uno de los canales más comunes que se usan en el mercado de seguros para comercializar y distribuir productos de aseguramiento. Estos intermediarios suelen cumplir un rol dirigido a asesorar a las partes que intervienen en un contrato de seguros, gestionar pagos de indemnizaciones, recaudar de primas, entre otras actividades, a cambio de una remuneración. Esta contraprestación consiste en una comisión calculada como un porcentaje de la prima pagada por el asegurado, la cual, por disposición expresa del artículo 1341 debe ser pagada de forma directa por la compañía de seguros.</w:t>
      </w:r>
    </w:p>
    <w:p w14:paraId="795CBB3B" w14:textId="77777777" w:rsidR="00783B55" w:rsidRDefault="00783B55" w:rsidP="00783B55">
      <w:pPr>
        <w:spacing w:after="0" w:line="240" w:lineRule="auto"/>
        <w:jc w:val="both"/>
        <w:rPr>
          <w:rFonts w:ascii="Verdana" w:eastAsia="Times New Roman" w:hAnsi="Verdana" w:cs="Times New Roman"/>
          <w:sz w:val="20"/>
          <w:szCs w:val="20"/>
          <w:lang w:eastAsia="es-ES_tradnl"/>
        </w:rPr>
      </w:pPr>
    </w:p>
    <w:p w14:paraId="7587B1F4" w14:textId="77777777" w:rsidR="00783B55" w:rsidRDefault="00783B55" w:rsidP="00783B55">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En ese contexto, es importante concluir que al ser aplicables las normas del derecho privado en la contratación estatal, dentro de los límites constitucionales y legales, para la celebración de los contratos como el contrato corretaje, el Código de Comercio en sus artículos 1340 a 1346, regula de manera general dicho negocio jurídico, definiendo la figura del corredor como “La persona que, por su especial conocimiento de los mercados, se ocupa como agente intermediario en la tarea de poner en relación a dos o más personas, con el fin de que celebren un negocio comercial, sin estar vinculado a las partes por relaciones de colaboración, dependencia, mandato o representación”. No obstante, en los artículos 1347 a 1353 establece una regulación especial para los corredores de seguros.</w:t>
      </w:r>
    </w:p>
    <w:p w14:paraId="71C2D0A7" w14:textId="77777777" w:rsidR="00783B55" w:rsidRDefault="00783B55" w:rsidP="00783B55">
      <w:pPr>
        <w:spacing w:after="0" w:line="240" w:lineRule="auto"/>
        <w:jc w:val="both"/>
        <w:rPr>
          <w:rFonts w:ascii="Verdana" w:eastAsia="Times New Roman" w:hAnsi="Verdana" w:cs="Times New Roman"/>
          <w:sz w:val="20"/>
          <w:szCs w:val="20"/>
          <w:lang w:eastAsia="es-ES_tradnl"/>
        </w:rPr>
      </w:pPr>
    </w:p>
    <w:p w14:paraId="59CB8FFA" w14:textId="77777777" w:rsidR="00783B55" w:rsidRDefault="00783B55" w:rsidP="00783B55">
      <w:pPr>
        <w:spacing w:after="0" w:line="240" w:lineRule="auto"/>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p>
    <w:p w14:paraId="715F46A7" w14:textId="77777777" w:rsidR="00783B55" w:rsidRPr="00902AAF" w:rsidRDefault="00783B55" w:rsidP="00783B55">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El Decreto Ley 663 de 1993 o Estatuto Orgánico del Sistema Financiero, si bien no los define, se refiere a los intermediarios de seguros en los artículos 5 y 40, estableciendo que los corredores de seguros, agencias o agentes son quienes se encuentran autorizados para desarrollar dicha labor. Tales normas a su vez remiten a los artículos 1347 y siguientes del Código de Comercio, normas aplicables a los corredores de seguros, en las que se determina que solo podrán desempeñarse como tales “(…)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p>
    <w:p w14:paraId="6F2676E4" w14:textId="77777777" w:rsidR="00783B55" w:rsidRDefault="00783B55" w:rsidP="00783B55">
      <w:pPr>
        <w:spacing w:after="0" w:line="240" w:lineRule="auto"/>
        <w:jc w:val="both"/>
        <w:rPr>
          <w:rFonts w:ascii="Verdana" w:eastAsia="Times New Roman" w:hAnsi="Verdana" w:cs="Times New Roman"/>
          <w:sz w:val="20"/>
          <w:szCs w:val="20"/>
          <w:lang w:eastAsia="es-ES_tradnl"/>
        </w:rPr>
      </w:pPr>
    </w:p>
    <w:p w14:paraId="31ABFD58" w14:textId="77777777" w:rsidR="00783B55" w:rsidRDefault="00783B55" w:rsidP="00783B55">
      <w:pPr>
        <w:spacing w:after="0" w:line="240" w:lineRule="auto"/>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p>
    <w:p w14:paraId="2E22DDD4" w14:textId="77777777" w:rsidR="00783B55" w:rsidRDefault="00783B55" w:rsidP="00783B55">
      <w:pPr>
        <w:spacing w:after="0" w:line="240" w:lineRule="auto"/>
        <w:jc w:val="both"/>
        <w:rPr>
          <w:rFonts w:ascii="Verdana" w:eastAsia="Times New Roman" w:hAnsi="Verdana" w:cs="Times New Roman"/>
          <w:sz w:val="20"/>
          <w:szCs w:val="20"/>
          <w:lang w:eastAsia="es-ES_tradnl"/>
        </w:rPr>
      </w:pPr>
    </w:p>
    <w:p w14:paraId="0AA4E516" w14:textId="77777777" w:rsidR="00783B55" w:rsidRPr="00902AAF" w:rsidRDefault="00783B55" w:rsidP="00783B55">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Conforme a lo anterior, la jurisprudencia y la doctrina coinciden en que el contrato de corretaje o intermediación de seguros reviste una naturaleza jurídica propia y autónoma, regida por disposiciones del Código de Comercio y las normas que regulan la actividad aseguradora. De acuerdo con lo aquí explicado, el corredor de seguros celebra los contratos de intermediación con el tomador y con el asegurador, adquiriendo obligaciones que cumple, en el primer caso, de manera gratuita, y en el segundo, a cambio de una comisión aleatoria, pagadera en caso de concretarse la celebración de un contrato de seguro.</w:t>
      </w:r>
    </w:p>
    <w:p w14:paraId="72F53303" w14:textId="77777777" w:rsidR="00783B55" w:rsidRPr="0027726E" w:rsidRDefault="00783B55" w:rsidP="00783B55">
      <w:pPr>
        <w:spacing w:after="0" w:line="240" w:lineRule="auto"/>
        <w:jc w:val="both"/>
        <w:rPr>
          <w:rFonts w:ascii="Verdana" w:eastAsia="Times New Roman" w:hAnsi="Verdana" w:cs="Times New Roman"/>
          <w:b/>
          <w:bCs/>
          <w:lang w:eastAsia="es-ES_tradnl"/>
        </w:rPr>
      </w:pPr>
    </w:p>
    <w:p w14:paraId="43B2F8DE" w14:textId="77777777" w:rsidR="00783B55" w:rsidRDefault="00783B55" w:rsidP="00783B55">
      <w:pPr>
        <w:spacing w:after="0" w:line="240" w:lineRule="auto"/>
        <w:jc w:val="both"/>
        <w:rPr>
          <w:rFonts w:ascii="Verdana" w:eastAsia="Times New Roman" w:hAnsi="Verdana" w:cs="Times New Roman"/>
          <w:b/>
          <w:bCs/>
          <w:lang w:eastAsia="es-ES_tradnl"/>
        </w:rPr>
      </w:pPr>
      <w:r w:rsidRPr="0027726E">
        <w:rPr>
          <w:rFonts w:ascii="Verdana" w:eastAsia="Times New Roman" w:hAnsi="Verdana" w:cs="Times New Roman"/>
          <w:b/>
          <w:bCs/>
          <w:lang w:eastAsia="es-ES_tradnl"/>
        </w:rPr>
        <w:t xml:space="preserve">INTERMEDIACIÓN DE SEGUROS </w:t>
      </w:r>
      <w:r w:rsidRPr="00854DC2">
        <w:rPr>
          <w:rFonts w:ascii="Verdana" w:eastAsia="Times New Roman" w:hAnsi="Verdana" w:cs="Times New Roman"/>
          <w:b/>
          <w:bCs/>
          <w:lang w:eastAsia="es-ES_tradnl"/>
        </w:rPr>
        <w:t>– Autonomía</w:t>
      </w:r>
      <w:r w:rsidRPr="00854DC2">
        <w:rPr>
          <w:rFonts w:ascii="Verdana" w:eastAsia="Calibri" w:hAnsi="Verdana" w:cs="Arial"/>
          <w:b/>
          <w:bCs/>
          <w:lang w:val="es-ES" w:eastAsia="es-ES"/>
        </w:rPr>
        <w:t xml:space="preserve"> </w:t>
      </w:r>
      <w:r w:rsidRPr="00854DC2">
        <w:rPr>
          <w:rFonts w:ascii="Verdana" w:eastAsia="Times New Roman" w:hAnsi="Verdana" w:cs="Times New Roman"/>
          <w:b/>
          <w:bCs/>
          <w:lang w:eastAsia="es-ES_tradnl"/>
        </w:rPr>
        <w:t>–</w:t>
      </w:r>
      <w:r>
        <w:rPr>
          <w:rFonts w:ascii="Verdana" w:eastAsia="Times New Roman" w:hAnsi="Verdana" w:cs="Times New Roman"/>
          <w:b/>
          <w:bCs/>
          <w:lang w:eastAsia="es-ES_tradnl"/>
        </w:rPr>
        <w:t xml:space="preserve"> </w:t>
      </w:r>
      <w:r w:rsidRPr="00854DC2">
        <w:rPr>
          <w:rFonts w:ascii="Verdana" w:eastAsia="Calibri" w:hAnsi="Verdana" w:cs="Arial"/>
          <w:b/>
          <w:bCs/>
          <w:lang w:val="es-ES" w:eastAsia="es-ES"/>
        </w:rPr>
        <w:t>Comisión</w:t>
      </w:r>
      <w:r w:rsidRPr="005767C2">
        <w:rPr>
          <w:rFonts w:ascii="Verdana" w:eastAsia="Calibri" w:hAnsi="Verdana" w:cs="Arial"/>
          <w:lang w:val="es-ES" w:eastAsia="es-ES"/>
        </w:rPr>
        <w:t xml:space="preserve"> </w:t>
      </w:r>
    </w:p>
    <w:p w14:paraId="44024360" w14:textId="77777777" w:rsidR="00783B55" w:rsidRDefault="00783B55" w:rsidP="00783B55">
      <w:pPr>
        <w:spacing w:after="0" w:line="240" w:lineRule="auto"/>
        <w:jc w:val="both"/>
        <w:rPr>
          <w:rFonts w:ascii="Verdana" w:eastAsia="Times New Roman" w:hAnsi="Verdana" w:cs="Times New Roman"/>
          <w:sz w:val="20"/>
          <w:szCs w:val="20"/>
          <w:lang w:eastAsia="es-ES_tradnl"/>
        </w:rPr>
      </w:pPr>
      <w:r w:rsidRPr="004E2E2C">
        <w:rPr>
          <w:rFonts w:ascii="Verdana" w:eastAsia="Times New Roman" w:hAnsi="Verdana" w:cs="Times New Roman"/>
          <w:sz w:val="20"/>
          <w:szCs w:val="20"/>
          <w:lang w:eastAsia="es-ES_tradnl"/>
        </w:rPr>
        <w:lastRenderedPageBreak/>
        <w:t>Bajo estas consideraciones, se tiene que el contrato de intermediación de seguros constituye un negocio jurídico autónomo e independiente del contrato de seguro, que se suscribe con la entidad estatal. En efecto, como lo ha señalado la jurisprudencia, aunque la labor del intermediario, por regla general, se extiende a la etapa de ejecución del contrato de seguros mediante actividades de asesoría y acompañamiento al tomador o asegurado, ello no significa que el contrato de intermediación de seguros adquiera un carácter accesorio respecto del contrato de seguro ni que su existencia o ejecución se confunda con la de este último. Por el contrario, las actividades del intermediario durante la ejecución del contrato de seguro responden al contenido propio de las obligaciones asumidas en el contrato de intermediación con la entidad estatal, sin afectar su naturaleza jurídica autónoma.</w:t>
      </w:r>
    </w:p>
    <w:p w14:paraId="25DF94D7" w14:textId="77777777" w:rsidR="00783B55" w:rsidRPr="004E2E2C" w:rsidRDefault="00783B55" w:rsidP="00783B55">
      <w:pPr>
        <w:spacing w:after="0" w:line="240" w:lineRule="auto"/>
        <w:jc w:val="both"/>
        <w:rPr>
          <w:rFonts w:ascii="Verdana" w:eastAsia="Times New Roman" w:hAnsi="Verdana" w:cs="Times New Roman"/>
          <w:sz w:val="20"/>
          <w:szCs w:val="20"/>
          <w:lang w:eastAsia="es-ES_tradnl"/>
        </w:rPr>
      </w:pPr>
    </w:p>
    <w:p w14:paraId="0D5DC337" w14:textId="77777777" w:rsidR="00783B55" w:rsidRDefault="00783B55" w:rsidP="00783B55">
      <w:pPr>
        <w:spacing w:after="0" w:line="240" w:lineRule="auto"/>
        <w:jc w:val="both"/>
        <w:rPr>
          <w:rFonts w:ascii="Verdana" w:eastAsia="Times New Roman" w:hAnsi="Verdana" w:cs="Times New Roman"/>
          <w:sz w:val="20"/>
          <w:szCs w:val="20"/>
          <w:lang w:eastAsia="es-ES_tradnl"/>
        </w:rPr>
      </w:pPr>
      <w:r w:rsidRPr="004E2E2C">
        <w:rPr>
          <w:rFonts w:ascii="Verdana" w:eastAsia="Times New Roman" w:hAnsi="Verdana" w:cs="Times New Roman"/>
          <w:sz w:val="20"/>
          <w:szCs w:val="20"/>
          <w:lang w:eastAsia="es-ES_tradnl"/>
        </w:rPr>
        <w:t>De igual forma, el hecho de que la comisión del intermediario sea asumida por la compañía aseguradora, en los términos previstos en la regulación aplicable, tampoco desvirtúa la independencia del contrato de intermediación. La forma en que se remunera la actividad del corredor constituye un aspecto propio de este tipo de contratos pero no modifica la naturaleza de la relación jurídica existente entre las partes ni implica que el contrato de intermediación quede supeditado al contrato de seguro.</w:t>
      </w:r>
    </w:p>
    <w:p w14:paraId="6116D6EA" w14:textId="77777777" w:rsidR="00783B55" w:rsidRPr="004E2E2C" w:rsidRDefault="00783B55" w:rsidP="00783B55">
      <w:pPr>
        <w:spacing w:after="0" w:line="240" w:lineRule="auto"/>
        <w:jc w:val="both"/>
        <w:rPr>
          <w:rFonts w:ascii="Verdana" w:eastAsia="Times New Roman" w:hAnsi="Verdana" w:cs="Times New Roman"/>
          <w:sz w:val="20"/>
          <w:szCs w:val="20"/>
          <w:lang w:eastAsia="es-ES_tradnl"/>
        </w:rPr>
      </w:pPr>
    </w:p>
    <w:p w14:paraId="443FC937" w14:textId="77777777" w:rsidR="00783B55" w:rsidRDefault="00783B55" w:rsidP="00783B55">
      <w:pPr>
        <w:spacing w:after="0" w:line="240" w:lineRule="auto"/>
        <w:jc w:val="both"/>
        <w:rPr>
          <w:rFonts w:ascii="Verdana" w:eastAsia="Times New Roman" w:hAnsi="Verdana" w:cs="Times New Roman"/>
          <w:sz w:val="20"/>
          <w:szCs w:val="20"/>
          <w:lang w:eastAsia="es-ES_tradnl"/>
        </w:rPr>
      </w:pPr>
      <w:r w:rsidRPr="00D45A47">
        <w:rPr>
          <w:rFonts w:ascii="Verdana" w:eastAsia="Times New Roman" w:hAnsi="Verdana" w:cs="Times New Roman"/>
          <w:sz w:val="20"/>
          <w:szCs w:val="20"/>
          <w:lang w:eastAsia="es-ES_tradnl"/>
        </w:rPr>
        <w:t>En ese sentido, el carácter autónomo del contrato de intermediación supone que este cuenta con un objeto propio, obligaciones específicas, condiciones particulares y un plazo de ejecución. Así, aun cuando las actividades de intermediación puedan desarrollarse de manera paralela a la ejecución del contrato de seguro y tengan relación con las pólizas expedidas en el marco de este, la obligación del intermediario de prestar sus servicios se encuentra limitada por el término de ejecución pactado en el respectivo contrato de intermediación de seguros. En consecuencia, una vez finalizada las condiciones en cuanto al plazo de ejecución y cumplidas las obligaciones contractuales, cesa el deber del intermediario de continuar prestando los servicios para los cuales fue contratado.</w:t>
      </w:r>
    </w:p>
    <w:p w14:paraId="5E1726A2" w14:textId="77777777" w:rsidR="00783B55" w:rsidRDefault="00783B55" w:rsidP="00783B55">
      <w:pPr>
        <w:spacing w:after="0"/>
        <w:rPr>
          <w:rFonts w:ascii="Verdana" w:eastAsia="Verdana" w:hAnsi="Verdana" w:cs="Verdana"/>
        </w:rPr>
      </w:pPr>
    </w:p>
    <w:p w14:paraId="39320505" w14:textId="77777777" w:rsidR="00783B55" w:rsidRDefault="00783B55" w:rsidP="00783B55">
      <w:pPr>
        <w:spacing w:after="0"/>
        <w:rPr>
          <w:rFonts w:ascii="Verdana" w:eastAsia="Verdana" w:hAnsi="Verdana" w:cs="Verdana"/>
        </w:rPr>
      </w:pPr>
    </w:p>
    <w:p w14:paraId="4EF7676F" w14:textId="77777777" w:rsidR="00783B55" w:rsidRDefault="00783B55" w:rsidP="00783B55">
      <w:pPr>
        <w:spacing w:after="0"/>
        <w:rPr>
          <w:rFonts w:ascii="Verdana" w:eastAsia="Verdana" w:hAnsi="Verdana" w:cs="Verdana"/>
        </w:rPr>
      </w:pPr>
    </w:p>
    <w:p w14:paraId="0447E645" w14:textId="77777777" w:rsidR="00783B55" w:rsidRDefault="00783B55" w:rsidP="00783B55">
      <w:pPr>
        <w:spacing w:after="0"/>
        <w:rPr>
          <w:rFonts w:ascii="Verdana" w:eastAsia="Verdana" w:hAnsi="Verdana" w:cs="Verdana"/>
        </w:rPr>
      </w:pPr>
    </w:p>
    <w:p w14:paraId="5559897B" w14:textId="77777777" w:rsidR="00783B55" w:rsidRDefault="00783B55" w:rsidP="00783B55">
      <w:pPr>
        <w:spacing w:after="0"/>
        <w:rPr>
          <w:rFonts w:ascii="Verdana" w:eastAsia="Verdana" w:hAnsi="Verdana" w:cs="Verdana"/>
        </w:rPr>
      </w:pPr>
    </w:p>
    <w:p w14:paraId="66FC1829" w14:textId="77777777" w:rsidR="00783B55" w:rsidRDefault="00783B55" w:rsidP="00783B55">
      <w:pPr>
        <w:spacing w:after="0"/>
        <w:rPr>
          <w:rFonts w:ascii="Verdana" w:eastAsia="Verdana" w:hAnsi="Verdana" w:cs="Verdana"/>
        </w:rPr>
      </w:pPr>
    </w:p>
    <w:p w14:paraId="7037CCFC" w14:textId="77777777" w:rsidR="00783B55" w:rsidRDefault="00783B55" w:rsidP="00783B55">
      <w:pPr>
        <w:spacing w:after="0"/>
        <w:rPr>
          <w:rFonts w:ascii="Verdana" w:eastAsia="Verdana" w:hAnsi="Verdana" w:cs="Verdana"/>
        </w:rPr>
      </w:pPr>
    </w:p>
    <w:p w14:paraId="27BFD590" w14:textId="77777777" w:rsidR="00783B55" w:rsidRDefault="00783B55" w:rsidP="00783B55">
      <w:pPr>
        <w:spacing w:after="0"/>
        <w:rPr>
          <w:rFonts w:ascii="Verdana" w:eastAsia="Verdana" w:hAnsi="Verdana" w:cs="Verdana"/>
        </w:rPr>
      </w:pPr>
    </w:p>
    <w:p w14:paraId="0570AC17" w14:textId="77777777" w:rsidR="00783B55" w:rsidRDefault="00783B55" w:rsidP="00783B55">
      <w:pPr>
        <w:spacing w:after="0"/>
        <w:rPr>
          <w:rFonts w:ascii="Verdana" w:eastAsia="Verdana" w:hAnsi="Verdana" w:cs="Verdana"/>
        </w:rPr>
      </w:pPr>
    </w:p>
    <w:p w14:paraId="4E86995D" w14:textId="77777777" w:rsidR="00783B55" w:rsidRDefault="00783B55" w:rsidP="00783B55">
      <w:pPr>
        <w:spacing w:after="0"/>
        <w:rPr>
          <w:rFonts w:ascii="Verdana" w:eastAsia="Verdana" w:hAnsi="Verdana" w:cs="Verdana"/>
        </w:rPr>
      </w:pPr>
    </w:p>
    <w:p w14:paraId="1CB668AB" w14:textId="77777777" w:rsidR="00783B55" w:rsidRDefault="00783B55" w:rsidP="00783B55">
      <w:pPr>
        <w:spacing w:after="0"/>
        <w:rPr>
          <w:rFonts w:ascii="Verdana" w:eastAsia="Verdana" w:hAnsi="Verdana" w:cs="Verdana"/>
        </w:rPr>
      </w:pPr>
    </w:p>
    <w:p w14:paraId="1CDA2078" w14:textId="77777777" w:rsidR="00783B55" w:rsidRDefault="00783B55" w:rsidP="00783B55">
      <w:pPr>
        <w:spacing w:after="0"/>
        <w:rPr>
          <w:rFonts w:ascii="Verdana" w:eastAsia="Verdana" w:hAnsi="Verdana" w:cs="Verdana"/>
        </w:rPr>
      </w:pPr>
    </w:p>
    <w:p w14:paraId="771C65D8" w14:textId="77777777" w:rsidR="00783B55" w:rsidRDefault="00783B55" w:rsidP="00783B55">
      <w:pPr>
        <w:spacing w:after="0"/>
        <w:rPr>
          <w:rFonts w:ascii="Verdana" w:eastAsia="Verdana" w:hAnsi="Verdana" w:cs="Verdana"/>
        </w:rPr>
      </w:pPr>
    </w:p>
    <w:p w14:paraId="177C0FE6" w14:textId="77777777" w:rsidR="00783B55" w:rsidRDefault="00783B55" w:rsidP="00783B55">
      <w:pPr>
        <w:spacing w:after="0"/>
        <w:rPr>
          <w:rFonts w:ascii="Verdana" w:eastAsia="Verdana" w:hAnsi="Verdana" w:cs="Verdana"/>
        </w:rPr>
      </w:pPr>
    </w:p>
    <w:p w14:paraId="0D7AAAEC" w14:textId="77777777" w:rsidR="00783B55" w:rsidRDefault="00783B55" w:rsidP="00783B55">
      <w:pPr>
        <w:spacing w:after="0"/>
        <w:rPr>
          <w:rFonts w:ascii="Verdana" w:eastAsia="Verdana" w:hAnsi="Verdana" w:cs="Verdana"/>
        </w:rPr>
      </w:pPr>
    </w:p>
    <w:p w14:paraId="35FBD456" w14:textId="5E310F02" w:rsidR="00783B55" w:rsidRDefault="00783B55" w:rsidP="00783B55">
      <w:pPr>
        <w:spacing w:after="0"/>
      </w:pPr>
      <w:r w:rsidRPr="30821638">
        <w:rPr>
          <w:rFonts w:ascii="Verdana" w:eastAsia="Verdana" w:hAnsi="Verdana" w:cs="Verdana"/>
        </w:rPr>
        <w:lastRenderedPageBreak/>
        <w:t xml:space="preserve">Bogotá D.C., </w:t>
      </w:r>
      <w:r w:rsidR="009C1270">
        <w:rPr>
          <w:rFonts w:ascii="Verdana" w:eastAsia="Geomanist Light" w:hAnsi="Verdana" w:cs="Arial"/>
          <w:color w:val="201F1E"/>
        </w:rPr>
        <w:t>3 de julio de 2026</w:t>
      </w:r>
    </w:p>
    <w:p w14:paraId="190DAE5A" w14:textId="1253A990" w:rsidR="00783B55" w:rsidRPr="0024624F" w:rsidRDefault="00783B55" w:rsidP="00783B55">
      <w:pPr>
        <w:spacing w:after="0"/>
        <w:jc w:val="right"/>
        <w:rPr>
          <w:rFonts w:ascii="Verdana" w:eastAsia="Verdana" w:hAnsi="Verdana" w:cs="Verdana"/>
        </w:rPr>
      </w:pPr>
      <w:r>
        <w:br/>
      </w:r>
      <w:r w:rsidR="009C1270" w:rsidRPr="009C1270">
        <w:rPr>
          <w:noProof/>
        </w:rPr>
        <w:drawing>
          <wp:anchor distT="0" distB="0" distL="114300" distR="114300" simplePos="0" relativeHeight="251658240" behindDoc="0" locked="0" layoutInCell="1" allowOverlap="1" wp14:anchorId="269CD575" wp14:editId="4ED8EF00">
            <wp:simplePos x="0" y="0"/>
            <wp:positionH relativeFrom="column">
              <wp:posOffset>3362325</wp:posOffset>
            </wp:positionH>
            <wp:positionV relativeFrom="paragraph">
              <wp:posOffset>182245</wp:posOffset>
            </wp:positionV>
            <wp:extent cx="2026920" cy="777240"/>
            <wp:effectExtent l="0" t="0" r="0" b="3810"/>
            <wp:wrapSquare wrapText="bothSides"/>
            <wp:docPr id="21030562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26920" cy="777240"/>
                    </a:xfrm>
                    <a:prstGeom prst="rect">
                      <a:avLst/>
                    </a:prstGeom>
                    <a:noFill/>
                    <a:ln>
                      <a:noFill/>
                    </a:ln>
                  </pic:spPr>
                </pic:pic>
              </a:graphicData>
            </a:graphic>
          </wp:anchor>
        </w:drawing>
      </w:r>
      <w:r>
        <w:tab/>
      </w:r>
    </w:p>
    <w:p w14:paraId="3CE674A2" w14:textId="77777777" w:rsidR="00783B55" w:rsidRDefault="00783B55" w:rsidP="00783B55">
      <w:pPr>
        <w:spacing w:after="0" w:line="240" w:lineRule="auto"/>
        <w:jc w:val="both"/>
        <w:rPr>
          <w:rFonts w:ascii="Verdana" w:eastAsia="Calibri" w:hAnsi="Verdana" w:cs="Arial"/>
          <w:lang w:eastAsia="es-ES"/>
        </w:rPr>
      </w:pPr>
      <w:bookmarkStart w:id="1" w:name="_Hlk214366482"/>
      <w:r w:rsidRPr="00154D7C">
        <w:rPr>
          <w:rFonts w:ascii="Verdana" w:eastAsia="Calibri" w:hAnsi="Verdana" w:cs="Arial"/>
          <w:lang w:eastAsia="es-ES"/>
        </w:rPr>
        <w:t>Señora</w:t>
      </w:r>
    </w:p>
    <w:p w14:paraId="70153EB2" w14:textId="77777777" w:rsidR="00783B55" w:rsidRPr="00154D7C" w:rsidRDefault="00783B55" w:rsidP="00783B55">
      <w:pPr>
        <w:spacing w:after="0" w:line="240" w:lineRule="auto"/>
        <w:jc w:val="both"/>
        <w:rPr>
          <w:rFonts w:ascii="Verdana" w:eastAsia="Calibri" w:hAnsi="Verdana" w:cs="Arial"/>
          <w:b/>
          <w:bCs/>
          <w:lang w:eastAsia="es-ES"/>
        </w:rPr>
      </w:pPr>
      <w:r w:rsidRPr="00154D7C">
        <w:rPr>
          <w:rFonts w:ascii="Verdana" w:eastAsia="Calibri" w:hAnsi="Verdana" w:cs="Arial"/>
          <w:b/>
          <w:bCs/>
          <w:lang w:eastAsia="es-ES"/>
        </w:rPr>
        <w:t xml:space="preserve">Ingrit Lineth Vasquez Cely </w:t>
      </w:r>
    </w:p>
    <w:p w14:paraId="7A131651" w14:textId="77777777" w:rsidR="00783B55" w:rsidRDefault="00783B55" w:rsidP="00783B55">
      <w:pPr>
        <w:spacing w:after="0" w:line="240" w:lineRule="auto"/>
        <w:jc w:val="both"/>
        <w:rPr>
          <w:rFonts w:ascii="Verdana" w:eastAsia="Calibri" w:hAnsi="Verdana" w:cs="Arial"/>
          <w:lang w:eastAsia="es-ES"/>
        </w:rPr>
      </w:pPr>
      <w:r w:rsidRPr="00154D7C">
        <w:rPr>
          <w:rFonts w:ascii="Verdana" w:eastAsia="Calibri" w:hAnsi="Verdana" w:cs="Arial"/>
          <w:lang w:eastAsia="es-ES"/>
        </w:rPr>
        <w:t xml:space="preserve">Secretaría General </w:t>
      </w:r>
    </w:p>
    <w:p w14:paraId="494C11BE" w14:textId="77777777" w:rsidR="00783B55" w:rsidRDefault="00783B55" w:rsidP="00783B55">
      <w:pPr>
        <w:spacing w:after="0" w:line="240" w:lineRule="auto"/>
        <w:jc w:val="both"/>
        <w:rPr>
          <w:rFonts w:ascii="Verdana" w:eastAsia="Calibri" w:hAnsi="Verdana" w:cs="Arial"/>
          <w:lang w:eastAsia="es-ES"/>
        </w:rPr>
      </w:pPr>
      <w:r w:rsidRPr="00154D7C">
        <w:rPr>
          <w:rFonts w:ascii="Verdana" w:eastAsia="Calibri" w:hAnsi="Verdana" w:cs="Arial"/>
          <w:lang w:eastAsia="es-ES"/>
        </w:rPr>
        <w:t>Instituto Nacional de Salud – IN</w:t>
      </w:r>
    </w:p>
    <w:p w14:paraId="06518AA8" w14:textId="77777777" w:rsidR="00783B55" w:rsidRPr="00154D7C" w:rsidRDefault="00783B55" w:rsidP="00783B55">
      <w:pPr>
        <w:spacing w:after="0" w:line="240" w:lineRule="auto"/>
        <w:jc w:val="both"/>
        <w:rPr>
          <w:rFonts w:ascii="Verdana" w:eastAsia="Calibri" w:hAnsi="Verdana" w:cs="Arial"/>
          <w:lang w:eastAsia="es-ES"/>
        </w:rPr>
      </w:pPr>
      <w:hyperlink r:id="rId11" w:history="1">
        <w:r w:rsidRPr="000572BF">
          <w:rPr>
            <w:rStyle w:val="Hipervnculo"/>
            <w:rFonts w:ascii="Verdana" w:eastAsia="Calibri" w:hAnsi="Verdana" w:cs="Arial"/>
            <w:lang w:eastAsia="es-ES"/>
          </w:rPr>
          <w:t>jrubiano@ins.gov.co</w:t>
        </w:r>
      </w:hyperlink>
      <w:r>
        <w:rPr>
          <w:rFonts w:ascii="Verdana" w:eastAsia="Calibri" w:hAnsi="Verdana" w:cs="Arial"/>
          <w:lang w:eastAsia="es-ES"/>
        </w:rPr>
        <w:t xml:space="preserve"> </w:t>
      </w:r>
    </w:p>
    <w:p w14:paraId="01410057" w14:textId="77777777" w:rsidR="00783B55" w:rsidRDefault="00783B55" w:rsidP="00783B55">
      <w:pPr>
        <w:spacing w:after="0" w:line="240" w:lineRule="auto"/>
        <w:jc w:val="both"/>
        <w:rPr>
          <w:rFonts w:ascii="Verdana" w:hAnsi="Verdana"/>
        </w:rPr>
      </w:pPr>
      <w:r>
        <w:rPr>
          <w:rFonts w:ascii="Verdana" w:hAnsi="Verdana"/>
        </w:rPr>
        <w:t xml:space="preserve">Ciudad </w:t>
      </w:r>
    </w:p>
    <w:p w14:paraId="35B6AAA6" w14:textId="77777777" w:rsidR="00783B55" w:rsidRPr="007F2AEC" w:rsidRDefault="00783B55" w:rsidP="00783B55">
      <w:pPr>
        <w:spacing w:after="0" w:line="240" w:lineRule="auto"/>
        <w:jc w:val="both"/>
        <w:rPr>
          <w:rFonts w:ascii="Verdana" w:hAnsi="Verdana"/>
        </w:rPr>
      </w:pPr>
    </w:p>
    <w:p w14:paraId="3BBD801E" w14:textId="77777777" w:rsidR="00783B55" w:rsidRPr="007F2AEC" w:rsidRDefault="00783B55" w:rsidP="00783B55">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83B55" w:rsidRPr="005644FE" w14:paraId="0A04F15C" w14:textId="77777777" w:rsidTr="0044414F">
        <w:trPr>
          <w:trHeight w:val="162"/>
        </w:trPr>
        <w:tc>
          <w:tcPr>
            <w:tcW w:w="3119" w:type="dxa"/>
          </w:tcPr>
          <w:p w14:paraId="6FE8CDB8" w14:textId="77777777" w:rsidR="00783B55" w:rsidRPr="007F2AEC" w:rsidRDefault="00783B55" w:rsidP="0044414F">
            <w:pPr>
              <w:jc w:val="both"/>
              <w:rPr>
                <w:rFonts w:ascii="Verdana" w:eastAsia="Calibri" w:hAnsi="Verdana" w:cs="Arial"/>
                <w:b/>
                <w:bCs/>
                <w:color w:val="7030A0"/>
                <w:lang w:eastAsia="es-ES_tradnl"/>
              </w:rPr>
            </w:pPr>
          </w:p>
        </w:tc>
        <w:tc>
          <w:tcPr>
            <w:tcW w:w="5670" w:type="dxa"/>
          </w:tcPr>
          <w:p w14:paraId="51290F58" w14:textId="77777777" w:rsidR="00783B55" w:rsidRPr="005644FE" w:rsidRDefault="00783B55" w:rsidP="0044414F">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750 de 2026</w:t>
            </w:r>
          </w:p>
          <w:p w14:paraId="2F3E746B" w14:textId="77777777" w:rsidR="00783B55" w:rsidRPr="005644FE" w:rsidRDefault="00783B55" w:rsidP="0044414F">
            <w:pPr>
              <w:jc w:val="both"/>
              <w:rPr>
                <w:rFonts w:ascii="Verdana" w:eastAsia="Calibri" w:hAnsi="Verdana" w:cs="Arial"/>
                <w:b/>
                <w:bCs/>
                <w:color w:val="7030A0"/>
                <w:lang w:eastAsia="es-ES"/>
              </w:rPr>
            </w:pPr>
          </w:p>
        </w:tc>
      </w:tr>
      <w:tr w:rsidR="00783B55" w:rsidRPr="005767C2" w14:paraId="34D23F1F" w14:textId="77777777" w:rsidTr="0044414F">
        <w:trPr>
          <w:trHeight w:val="884"/>
        </w:trPr>
        <w:tc>
          <w:tcPr>
            <w:tcW w:w="3119" w:type="dxa"/>
          </w:tcPr>
          <w:p w14:paraId="7AAC0AA5" w14:textId="77777777" w:rsidR="00783B55" w:rsidRPr="005644FE" w:rsidRDefault="00783B55" w:rsidP="0044414F">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35214CEF" w14:textId="77777777" w:rsidR="00783B55" w:rsidRPr="005767C2" w:rsidRDefault="00783B55" w:rsidP="0044414F">
            <w:pPr>
              <w:spacing w:line="276" w:lineRule="auto"/>
              <w:jc w:val="both"/>
              <w:rPr>
                <w:rFonts w:ascii="Verdana" w:eastAsia="Times New Roman" w:hAnsi="Verdana" w:cs="Times New Roman"/>
                <w:lang w:val="es-ES" w:eastAsia="es-ES_tradnl"/>
              </w:rPr>
            </w:pPr>
            <w:r w:rsidRPr="005767C2">
              <w:rPr>
                <w:rFonts w:ascii="Verdana" w:eastAsia="Times New Roman" w:hAnsi="Verdana" w:cs="Times New Roman"/>
                <w:lang w:eastAsia="es-ES_tradnl"/>
              </w:rPr>
              <w:t xml:space="preserve">INTERMEDIACIÓN DE SEGUROS – Naturaleza jurídica – Normativa / INTERMEDIACIÓN DE SEGUROS – </w:t>
            </w:r>
            <w:r>
              <w:rPr>
                <w:rFonts w:ascii="Verdana" w:eastAsia="Times New Roman" w:hAnsi="Verdana" w:cs="Times New Roman"/>
                <w:lang w:eastAsia="es-ES_tradnl"/>
              </w:rPr>
              <w:t xml:space="preserve">Autonomía </w:t>
            </w:r>
            <w:r w:rsidRPr="005767C2">
              <w:rPr>
                <w:rFonts w:ascii="Verdana" w:eastAsia="Calibri" w:hAnsi="Verdana" w:cs="Arial"/>
                <w:lang w:val="es-ES" w:eastAsia="es-ES"/>
              </w:rPr>
              <w:t xml:space="preserve">- Comisión </w:t>
            </w:r>
          </w:p>
          <w:p w14:paraId="5991435D" w14:textId="77777777" w:rsidR="00783B55" w:rsidRPr="005767C2" w:rsidRDefault="00783B55" w:rsidP="0044414F">
            <w:pPr>
              <w:spacing w:line="276" w:lineRule="auto"/>
              <w:jc w:val="both"/>
              <w:rPr>
                <w:rFonts w:ascii="Verdana" w:eastAsia="Times New Roman" w:hAnsi="Verdana" w:cs="Times New Roman"/>
                <w:lang w:val="es-ES" w:eastAsia="es-ES_tradnl"/>
              </w:rPr>
            </w:pPr>
          </w:p>
        </w:tc>
      </w:tr>
      <w:tr w:rsidR="00783B55" w:rsidRPr="005644FE" w14:paraId="29F86141" w14:textId="77777777" w:rsidTr="0044414F">
        <w:tc>
          <w:tcPr>
            <w:tcW w:w="3119" w:type="dxa"/>
          </w:tcPr>
          <w:p w14:paraId="00CC572A" w14:textId="77777777" w:rsidR="00783B55" w:rsidRPr="005644FE" w:rsidRDefault="00783B55" w:rsidP="0044414F">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3A38A400" w14:textId="77777777" w:rsidR="00783B55" w:rsidRPr="00F04657" w:rsidRDefault="00783B55" w:rsidP="0044414F">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s Nos. </w:t>
            </w:r>
            <w:r w:rsidRPr="00A2324A">
              <w:rPr>
                <w:rFonts w:ascii="Verdana" w:eastAsia="Calibri" w:hAnsi="Verdana" w:cs="Arial"/>
                <w:lang w:eastAsia="es-ES"/>
              </w:rPr>
              <w:t>1_2026_06_11_007914 y 1_2026_06_12_007986</w:t>
            </w:r>
            <w:r>
              <w:rPr>
                <w:rFonts w:ascii="Verdana" w:eastAsia="Calibri" w:hAnsi="Verdana" w:cs="Arial"/>
                <w:lang w:eastAsia="es-ES"/>
              </w:rPr>
              <w:t xml:space="preserve"> – Acumulados -</w:t>
            </w:r>
          </w:p>
        </w:tc>
      </w:tr>
    </w:tbl>
    <w:p w14:paraId="38B7C3F8" w14:textId="77777777" w:rsidR="00783B55" w:rsidRPr="005644FE" w:rsidRDefault="00783B55" w:rsidP="00783B55">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7CE5D443" w14:textId="77777777" w:rsidR="00783B55" w:rsidRPr="005644FE" w:rsidRDefault="00783B55" w:rsidP="00783B55">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Vasquez: </w:t>
      </w:r>
    </w:p>
    <w:p w14:paraId="180D0002" w14:textId="77777777" w:rsidR="00783B55" w:rsidRPr="00E02524" w:rsidRDefault="00783B55" w:rsidP="00783B55">
      <w:pPr>
        <w:spacing w:after="0" w:line="240" w:lineRule="auto"/>
        <w:jc w:val="both"/>
        <w:rPr>
          <w:rFonts w:ascii="Verdana" w:hAnsi="Verdana"/>
          <w:lang w:val="es-MX"/>
        </w:rPr>
      </w:pPr>
    </w:p>
    <w:p w14:paraId="45C61555" w14:textId="77777777" w:rsidR="00783B55" w:rsidRDefault="00783B55" w:rsidP="00783B55">
      <w:pPr>
        <w:spacing w:after="12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D20014">
        <w:rPr>
          <w:rFonts w:ascii="Verdana" w:eastAsia="Aptos" w:hAnsi="Verdana" w:cs="Arial"/>
        </w:rPr>
        <w:t xml:space="preserve">como lo establecido en </w:t>
      </w:r>
      <w:r>
        <w:rPr>
          <w:rFonts w:ascii="Verdana" w:eastAsia="Aptos" w:hAnsi="Verdana" w:cs="Arial"/>
        </w:rPr>
        <w:t xml:space="preserve">la </w:t>
      </w:r>
      <w:r w:rsidRPr="00713B63">
        <w:rPr>
          <w:rFonts w:ascii="Verdana" w:hAnsi="Verdana" w:cs="Arial"/>
        </w:rPr>
        <w:t xml:space="preserve">Resolución 469 de 2025 </w:t>
      </w:r>
      <w:r w:rsidRPr="00D20014">
        <w:rPr>
          <w:rFonts w:ascii="Verdana" w:eastAsia="Aptos" w:hAnsi="Verdana" w:cs="Arial"/>
        </w:rPr>
        <w:t>expedida por esta Entidad</w:t>
      </w:r>
      <w:r w:rsidRPr="00FC6F34">
        <w:rPr>
          <w:rFonts w:ascii="Verdana" w:hAnsi="Verdana" w:cs="Arial"/>
          <w:color w:val="000000" w:themeColor="text1"/>
          <w:lang w:val="es-ES"/>
        </w:rPr>
        <w:t xml:space="preserve">,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11</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junio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en la cual manifiesta lo siguiente</w:t>
      </w:r>
      <w:r>
        <w:rPr>
          <w:rFonts w:ascii="Verdana" w:eastAsia="Calibri" w:hAnsi="Verdana" w:cs="Arial"/>
          <w:color w:val="000000" w:themeColor="text1"/>
          <w:lang w:val="es-ES" w:eastAsia="es-ES"/>
        </w:rPr>
        <w:t xml:space="preserve">: </w:t>
      </w:r>
    </w:p>
    <w:p w14:paraId="5B2D3817" w14:textId="77777777" w:rsidR="00783B55" w:rsidRPr="007A7621" w:rsidRDefault="00783B55" w:rsidP="00783B55">
      <w:pPr>
        <w:spacing w:after="0" w:line="276" w:lineRule="auto"/>
        <w:jc w:val="both"/>
        <w:rPr>
          <w:rFonts w:ascii="Verdana" w:eastAsia="Calibri" w:hAnsi="Verdana" w:cs="Arial"/>
          <w:color w:val="000000" w:themeColor="text1"/>
          <w:lang w:val="es-ES" w:eastAsia="es-ES"/>
        </w:rPr>
      </w:pPr>
    </w:p>
    <w:p w14:paraId="70CDBEDE" w14:textId="77777777" w:rsidR="00783B55" w:rsidRDefault="00783B55" w:rsidP="00783B55">
      <w:pPr>
        <w:spacing w:after="0" w:line="240" w:lineRule="auto"/>
        <w:ind w:left="709" w:right="709"/>
        <w:jc w:val="both"/>
        <w:rPr>
          <w:rFonts w:ascii="Verdana" w:hAnsi="Verdana"/>
          <w:sz w:val="20"/>
          <w:szCs w:val="20"/>
        </w:rPr>
      </w:pPr>
      <w:r>
        <w:rPr>
          <w:rFonts w:ascii="Verdana" w:hAnsi="Verdana"/>
          <w:sz w:val="20"/>
          <w:szCs w:val="20"/>
        </w:rPr>
        <w:t xml:space="preserve">“(…) </w:t>
      </w:r>
    </w:p>
    <w:p w14:paraId="202035CC" w14:textId="77777777" w:rsidR="00783B55" w:rsidRDefault="00783B55" w:rsidP="00783B55">
      <w:pPr>
        <w:spacing w:after="0" w:line="240" w:lineRule="auto"/>
        <w:ind w:left="709" w:right="709"/>
        <w:jc w:val="both"/>
        <w:rPr>
          <w:rFonts w:ascii="Verdana" w:hAnsi="Verdana"/>
          <w:sz w:val="20"/>
          <w:szCs w:val="20"/>
        </w:rPr>
      </w:pPr>
    </w:p>
    <w:p w14:paraId="0EBCA35C" w14:textId="77777777" w:rsidR="00783B55" w:rsidRDefault="00783B55" w:rsidP="00783B55">
      <w:pPr>
        <w:spacing w:after="0" w:line="240" w:lineRule="auto"/>
        <w:ind w:left="709" w:right="709"/>
        <w:jc w:val="both"/>
        <w:rPr>
          <w:rFonts w:ascii="Verdana" w:hAnsi="Verdana"/>
          <w:sz w:val="20"/>
          <w:szCs w:val="20"/>
        </w:rPr>
      </w:pPr>
      <w:r w:rsidRPr="004925E2">
        <w:rPr>
          <w:rFonts w:ascii="Verdana" w:hAnsi="Verdana"/>
          <w:sz w:val="20"/>
          <w:szCs w:val="20"/>
        </w:rPr>
        <w:t xml:space="preserve">Actualmente el Instituto Nacional de Salud – INS, se encuentra en el proceso de estructuración del contrato del intermediario de seguros dado que el contrato actual viene desde vigencias anteriores y en cumplimiento al principio de planeación, debe iniciarse un nuevo proceso contractual para la contratación de su nuevo intermediario, por lo que, se requiere se emita concepto por parte de su despacho frente a </w:t>
      </w:r>
      <w:proofErr w:type="gramStart"/>
      <w:r w:rsidRPr="004925E2">
        <w:rPr>
          <w:rFonts w:ascii="Verdana" w:hAnsi="Verdana"/>
          <w:sz w:val="20"/>
          <w:szCs w:val="20"/>
        </w:rPr>
        <w:t>la siguientes inquietudes</w:t>
      </w:r>
      <w:proofErr w:type="gramEnd"/>
      <w:r w:rsidRPr="004925E2">
        <w:rPr>
          <w:rFonts w:ascii="Verdana" w:hAnsi="Verdana"/>
          <w:sz w:val="20"/>
          <w:szCs w:val="20"/>
        </w:rPr>
        <w:t xml:space="preserve">: </w:t>
      </w:r>
    </w:p>
    <w:p w14:paraId="75D3C880" w14:textId="77777777" w:rsidR="00783B55" w:rsidRDefault="00783B55" w:rsidP="00783B55">
      <w:pPr>
        <w:spacing w:after="0" w:line="240" w:lineRule="auto"/>
        <w:ind w:left="709" w:right="709"/>
        <w:jc w:val="both"/>
        <w:rPr>
          <w:rFonts w:ascii="Verdana" w:hAnsi="Verdana"/>
          <w:sz w:val="20"/>
          <w:szCs w:val="20"/>
        </w:rPr>
      </w:pPr>
    </w:p>
    <w:p w14:paraId="58BFCCA9" w14:textId="77777777" w:rsidR="00783B55" w:rsidRDefault="00783B55" w:rsidP="00783B55">
      <w:pPr>
        <w:spacing w:after="0" w:line="240" w:lineRule="auto"/>
        <w:ind w:left="709" w:right="709"/>
        <w:jc w:val="both"/>
        <w:rPr>
          <w:rFonts w:ascii="Verdana" w:hAnsi="Verdana"/>
          <w:sz w:val="20"/>
          <w:szCs w:val="20"/>
        </w:rPr>
      </w:pPr>
      <w:proofErr w:type="gramStart"/>
      <w:r w:rsidRPr="004925E2">
        <w:rPr>
          <w:rFonts w:ascii="Verdana" w:hAnsi="Verdana"/>
          <w:sz w:val="20"/>
          <w:szCs w:val="20"/>
        </w:rPr>
        <w:lastRenderedPageBreak/>
        <w:t>1.¿</w:t>
      </w:r>
      <w:proofErr w:type="gramEnd"/>
      <w:r w:rsidRPr="004925E2">
        <w:rPr>
          <w:rFonts w:ascii="Verdana" w:hAnsi="Verdana"/>
          <w:sz w:val="20"/>
          <w:szCs w:val="20"/>
        </w:rPr>
        <w:t xml:space="preserve">Ante un cambio de intermediario durante la ejecución del contrato de seguros, el nuevo intermediario puede gestionar ante la aseguradora las solicitudes, reclamaciones y modificaciones de la póliza que presente la entidad aun cuando no haya sido el que intervino en la suscripción y estructuración del contrato de seguros? </w:t>
      </w:r>
    </w:p>
    <w:p w14:paraId="511B5A77" w14:textId="77777777" w:rsidR="00783B55" w:rsidRDefault="00783B55" w:rsidP="00783B55">
      <w:pPr>
        <w:spacing w:after="0" w:line="240" w:lineRule="auto"/>
        <w:ind w:left="709" w:right="709"/>
        <w:jc w:val="both"/>
        <w:rPr>
          <w:rFonts w:ascii="Verdana" w:hAnsi="Verdana"/>
          <w:sz w:val="20"/>
          <w:szCs w:val="20"/>
        </w:rPr>
      </w:pPr>
    </w:p>
    <w:p w14:paraId="216A76BA" w14:textId="77777777" w:rsidR="00783B55" w:rsidRDefault="00783B55" w:rsidP="00783B55">
      <w:pPr>
        <w:spacing w:after="0" w:line="240" w:lineRule="auto"/>
        <w:ind w:left="709" w:right="709"/>
        <w:jc w:val="both"/>
        <w:rPr>
          <w:rFonts w:ascii="Verdana" w:hAnsi="Verdana"/>
          <w:sz w:val="20"/>
          <w:szCs w:val="20"/>
        </w:rPr>
      </w:pPr>
      <w:proofErr w:type="gramStart"/>
      <w:r w:rsidRPr="004925E2">
        <w:rPr>
          <w:rFonts w:ascii="Verdana" w:hAnsi="Verdana"/>
          <w:sz w:val="20"/>
          <w:szCs w:val="20"/>
        </w:rPr>
        <w:t>2.¿</w:t>
      </w:r>
      <w:proofErr w:type="gramEnd"/>
      <w:r w:rsidRPr="004925E2">
        <w:rPr>
          <w:rFonts w:ascii="Verdana" w:hAnsi="Verdana"/>
          <w:sz w:val="20"/>
          <w:szCs w:val="20"/>
        </w:rPr>
        <w:t xml:space="preserve">En caso de realizar cambio de intermediario en el marco de la ejecución del contrato de seguros, a quien, de los corredores, se le haría reconocimiento y pago respecto a la gestión de una eventual adición y prórroga </w:t>
      </w:r>
      <w:proofErr w:type="gramStart"/>
      <w:r w:rsidRPr="004925E2">
        <w:rPr>
          <w:rFonts w:ascii="Verdana" w:hAnsi="Verdana"/>
          <w:sz w:val="20"/>
          <w:szCs w:val="20"/>
        </w:rPr>
        <w:t>del mismo</w:t>
      </w:r>
      <w:proofErr w:type="gramEnd"/>
      <w:r w:rsidRPr="004925E2">
        <w:rPr>
          <w:rFonts w:ascii="Verdana" w:hAnsi="Verdana"/>
          <w:sz w:val="20"/>
          <w:szCs w:val="20"/>
        </w:rPr>
        <w:t>?</w:t>
      </w:r>
      <w:r>
        <w:rPr>
          <w:rFonts w:ascii="Verdana" w:hAnsi="Verdana"/>
          <w:sz w:val="20"/>
          <w:szCs w:val="20"/>
        </w:rPr>
        <w:t>”.</w:t>
      </w:r>
    </w:p>
    <w:p w14:paraId="0C597BD7" w14:textId="77777777" w:rsidR="00783B55" w:rsidRPr="00647D77" w:rsidRDefault="00783B55" w:rsidP="00783B55">
      <w:pPr>
        <w:spacing w:after="0" w:line="276" w:lineRule="auto"/>
        <w:ind w:right="709"/>
        <w:jc w:val="both"/>
        <w:rPr>
          <w:rFonts w:ascii="Verdana" w:hAnsi="Verdana"/>
        </w:rPr>
      </w:pPr>
    </w:p>
    <w:p w14:paraId="5FF09868" w14:textId="77777777" w:rsidR="00783B55" w:rsidRPr="00F64722" w:rsidRDefault="00783B55" w:rsidP="00783B55">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C13BB8E" w14:textId="77777777" w:rsidR="00783B55" w:rsidRPr="00DB6A18" w:rsidRDefault="00783B55" w:rsidP="00783B55">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pero señalando algunas consideraciones sobre las normas generales relacionadas </w:t>
      </w:r>
      <w:r w:rsidRPr="00DB6A18">
        <w:rPr>
          <w:rFonts w:ascii="Verdana" w:eastAsia="Calibri" w:hAnsi="Verdana" w:cs="Arial"/>
          <w:color w:val="000000"/>
          <w:lang w:eastAsia="es-ES"/>
        </w:rPr>
        <w:t>a los problemas jurídicos de su consulta.</w:t>
      </w:r>
      <w:r w:rsidRPr="00DB6A18">
        <w:rPr>
          <w:rFonts w:ascii="Verdana" w:eastAsia="Calibri" w:hAnsi="Verdana" w:cs="Arial"/>
          <w:lang w:eastAsia="es-ES"/>
        </w:rPr>
        <w:t xml:space="preserve">  </w:t>
      </w:r>
    </w:p>
    <w:p w14:paraId="0C0EEE09" w14:textId="77777777" w:rsidR="00783B55" w:rsidRPr="00DB6A18" w:rsidRDefault="00783B55" w:rsidP="00783B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B6A18">
        <w:rPr>
          <w:rFonts w:ascii="Verdana" w:eastAsia="Century Gothic" w:hAnsi="Verdana" w:cs="Century Gothic"/>
          <w:b/>
          <w:bCs/>
        </w:rPr>
        <w:t>Problema planteado:</w:t>
      </w:r>
    </w:p>
    <w:p w14:paraId="33CE92A2" w14:textId="77777777" w:rsidR="00783B55" w:rsidRPr="00DB6A18" w:rsidRDefault="00783B55" w:rsidP="00783B55">
      <w:pPr>
        <w:spacing w:after="0" w:line="240" w:lineRule="auto"/>
        <w:jc w:val="both"/>
        <w:rPr>
          <w:rFonts w:ascii="Verdana" w:eastAsia="Calibri" w:hAnsi="Verdana" w:cs="Arial"/>
          <w:color w:val="000000"/>
          <w:lang w:eastAsia="es-ES"/>
        </w:rPr>
      </w:pPr>
    </w:p>
    <w:p w14:paraId="16DC0FA5" w14:textId="77777777" w:rsidR="00783B55" w:rsidRDefault="00783B55" w:rsidP="00783B55">
      <w:pPr>
        <w:spacing w:after="0" w:line="276" w:lineRule="auto"/>
        <w:jc w:val="both"/>
        <w:rPr>
          <w:rFonts w:ascii="Verdana" w:hAnsi="Verdana"/>
        </w:rPr>
      </w:pPr>
      <w:r w:rsidRPr="00DB6A18">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w:t>
      </w:r>
      <w:r w:rsidRPr="00DB6A18">
        <w:rPr>
          <w:rFonts w:ascii="Verdana" w:eastAsia="Calibri" w:hAnsi="Verdana" w:cs="Arial"/>
          <w:color w:val="000000"/>
          <w:lang w:eastAsia="es-ES"/>
        </w:rPr>
        <w:t xml:space="preserve"> siguiente problema jurídico</w:t>
      </w:r>
      <w:r>
        <w:rPr>
          <w:rFonts w:ascii="Verdana" w:eastAsia="Calibri" w:hAnsi="Verdana" w:cs="Arial"/>
          <w:color w:val="000000"/>
          <w:lang w:eastAsia="es-ES"/>
        </w:rPr>
        <w:t xml:space="preserve">: </w:t>
      </w:r>
      <w:r w:rsidRPr="007620A2">
        <w:rPr>
          <w:rFonts w:ascii="Verdana" w:hAnsi="Verdana"/>
        </w:rPr>
        <w:t>¿Cuál es la</w:t>
      </w:r>
      <w:r>
        <w:rPr>
          <w:rFonts w:ascii="Verdana" w:hAnsi="Verdana"/>
        </w:rPr>
        <w:t xml:space="preserve"> naturaleza jurídica del contrato de </w:t>
      </w:r>
      <w:r w:rsidRPr="007620A2">
        <w:rPr>
          <w:rFonts w:ascii="Verdana" w:hAnsi="Verdana"/>
        </w:rPr>
        <w:t xml:space="preserve">intermediación o </w:t>
      </w:r>
      <w:r>
        <w:rPr>
          <w:rFonts w:ascii="Verdana" w:hAnsi="Verdana"/>
        </w:rPr>
        <w:t xml:space="preserve">contrato de </w:t>
      </w:r>
      <w:r w:rsidRPr="007620A2">
        <w:rPr>
          <w:rFonts w:ascii="Verdana" w:hAnsi="Verdana"/>
        </w:rPr>
        <w:t>corretaje de seguros</w:t>
      </w:r>
      <w:r>
        <w:rPr>
          <w:rFonts w:ascii="Verdana" w:hAnsi="Verdana"/>
        </w:rPr>
        <w:t xml:space="preserve"> en contratación estatal</w:t>
      </w:r>
      <w:r w:rsidRPr="007620A2">
        <w:rPr>
          <w:rFonts w:ascii="Verdana" w:hAnsi="Verdana"/>
        </w:rPr>
        <w:t xml:space="preserve">? </w:t>
      </w:r>
    </w:p>
    <w:p w14:paraId="1350E8AA" w14:textId="77777777" w:rsidR="00783B55" w:rsidRPr="007620A2" w:rsidRDefault="00783B55" w:rsidP="00783B55">
      <w:pPr>
        <w:spacing w:after="0" w:line="240" w:lineRule="auto"/>
        <w:jc w:val="both"/>
        <w:rPr>
          <w:rFonts w:ascii="Verdana" w:hAnsi="Verdana"/>
        </w:rPr>
      </w:pPr>
      <w:r>
        <w:rPr>
          <w:rFonts w:ascii="Verdana" w:hAnsi="Verdana"/>
        </w:rPr>
        <w:t xml:space="preserve"> </w:t>
      </w:r>
    </w:p>
    <w:p w14:paraId="21FA6C52" w14:textId="77777777" w:rsidR="00783B55" w:rsidRPr="00C97CA6" w:rsidRDefault="00783B55" w:rsidP="00783B55">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1F1A3FDC" w14:textId="77777777" w:rsidR="00783B55" w:rsidRPr="005644FE" w:rsidRDefault="00783B55" w:rsidP="00783B55">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783B55" w:rsidRPr="005644FE" w14:paraId="406CB742" w14:textId="77777777" w:rsidTr="0044414F">
        <w:tc>
          <w:tcPr>
            <w:tcW w:w="8828" w:type="dxa"/>
          </w:tcPr>
          <w:p w14:paraId="4D10ABFE" w14:textId="77777777" w:rsidR="00783B55" w:rsidRDefault="00783B55" w:rsidP="0044414F">
            <w:pPr>
              <w:spacing w:after="120" w:line="276" w:lineRule="auto"/>
              <w:jc w:val="both"/>
              <w:rPr>
                <w:rFonts w:ascii="Verdana" w:eastAsia="Times New Roman" w:hAnsi="Verdana" w:cs="Times New Roman"/>
                <w:lang w:eastAsia="es-ES_tradnl"/>
              </w:rPr>
            </w:pPr>
            <w:r>
              <w:rPr>
                <w:rFonts w:ascii="Verdana" w:eastAsia="Times New Roman" w:hAnsi="Verdana" w:cs="Times New Roman"/>
                <w:lang w:eastAsia="es-ES_tradnl"/>
              </w:rPr>
              <w:lastRenderedPageBreak/>
              <w:t>L</w:t>
            </w:r>
            <w:r w:rsidRPr="003535A7">
              <w:rPr>
                <w:rFonts w:ascii="Verdana" w:eastAsia="Times New Roman" w:hAnsi="Verdana" w:cs="Times New Roman"/>
                <w:lang w:eastAsia="es-ES_tradnl"/>
              </w:rPr>
              <w:t>a jurisprudencia y la doctrina coinciden en que el contrato de corretaje o intermediación de seguros reviste una naturaleza jurídica propia y autónoma, regida por disposiciones del Código de Comercio y las normas que regulan la actividad aseguradora. De acuerdo con lo aquí explicado, el corredor de seguros celebra los contratos de intermediación con el tomador y con el asegurador, adquiriendo obligaciones que cumple, en el primer caso, de manera gratuita, y en el segundo, a cambio de una comisión aleatoria, pagadera en caso de concretarse la celebración de un contrato de seguro.</w:t>
            </w:r>
          </w:p>
          <w:p w14:paraId="13A31DA5" w14:textId="77777777" w:rsidR="00783B55" w:rsidRDefault="00783B55" w:rsidP="0044414F">
            <w:pPr>
              <w:spacing w:after="120" w:line="276" w:lineRule="auto"/>
              <w:ind w:firstLine="709"/>
              <w:jc w:val="both"/>
              <w:rPr>
                <w:rFonts w:ascii="Verdana" w:eastAsia="Times New Roman" w:hAnsi="Verdana" w:cs="Times New Roman"/>
                <w:lang w:eastAsia="es-ES_tradnl"/>
              </w:rPr>
            </w:pPr>
            <w:r w:rsidRPr="003535A7">
              <w:rPr>
                <w:rFonts w:ascii="Verdana" w:eastAsia="Times New Roman" w:hAnsi="Verdana" w:cs="Times New Roman"/>
                <w:lang w:eastAsia="es-ES_tradnl"/>
              </w:rPr>
              <w:t>En la práctica negocial de las Entidades Estatales</w:t>
            </w:r>
            <w:r>
              <w:rPr>
                <w:rFonts w:ascii="Verdana" w:eastAsia="Times New Roman" w:hAnsi="Verdana" w:cs="Times New Roman"/>
                <w:lang w:eastAsia="es-ES_tradnl"/>
              </w:rPr>
              <w:t>,</w:t>
            </w:r>
            <w:r w:rsidRPr="003535A7">
              <w:rPr>
                <w:rFonts w:ascii="Verdana" w:eastAsia="Times New Roman" w:hAnsi="Verdana" w:cs="Times New Roman"/>
                <w:lang w:eastAsia="es-ES_tradnl"/>
              </w:rPr>
              <w:t xml:space="preserve"> es común la contratación de intermediarios de seguros, a quienes, por lo general, se acude en aras de contar con un tercero con un amplio conocimiento del mercado de seguros que le facilite tomar las mejores decisiones para satisfacer la demanda de aseguramiento de los bienes e intereses patrimoniales de las entidades, de conformidad </w:t>
            </w:r>
            <w:r>
              <w:rPr>
                <w:rFonts w:ascii="Verdana" w:eastAsia="Times New Roman" w:hAnsi="Verdana" w:cs="Times New Roman"/>
                <w:lang w:eastAsia="es-ES_tradnl"/>
              </w:rPr>
              <w:t xml:space="preserve">con </w:t>
            </w:r>
            <w:r w:rsidRPr="003535A7">
              <w:rPr>
                <w:rFonts w:ascii="Verdana" w:eastAsia="Times New Roman" w:hAnsi="Verdana" w:cs="Times New Roman"/>
                <w:lang w:eastAsia="es-ES_tradnl"/>
              </w:rPr>
              <w:t xml:space="preserve">lo </w:t>
            </w:r>
            <w:r>
              <w:rPr>
                <w:rFonts w:ascii="Verdana" w:eastAsia="Times New Roman" w:hAnsi="Verdana" w:cs="Times New Roman"/>
                <w:lang w:eastAsia="es-ES_tradnl"/>
              </w:rPr>
              <w:t>señalado en</w:t>
            </w:r>
            <w:r w:rsidRPr="003535A7">
              <w:rPr>
                <w:rFonts w:ascii="Verdana" w:eastAsia="Times New Roman" w:hAnsi="Verdana" w:cs="Times New Roman"/>
                <w:lang w:eastAsia="es-ES_tradnl"/>
              </w:rPr>
              <w:t xml:space="preserve"> los artículos 38, 57 y 62 de la Ley 1952 de 2019, el artículo 107 de la Ley 42 de 1993, el artículo 62 de la Ley 45 de 1990, la Ley 80 de 1993, la Ley 1150 de 2007, la Ley 1474 de 2011, el Decreto Ley 019 de 2012, entre otras disposiciones que obligan a las entidades a contar con diferentes tipos de amparos. </w:t>
            </w:r>
          </w:p>
          <w:p w14:paraId="73B50BC5" w14:textId="77777777" w:rsidR="00783B55" w:rsidRDefault="00783B55" w:rsidP="0044414F">
            <w:pPr>
              <w:spacing w:after="120" w:line="276" w:lineRule="auto"/>
              <w:ind w:firstLine="709"/>
              <w:jc w:val="both"/>
              <w:rPr>
                <w:rFonts w:ascii="Verdana" w:eastAsia="Times New Roman" w:hAnsi="Verdana" w:cs="Times New Roman"/>
                <w:lang w:eastAsia="es-ES_tradnl"/>
              </w:rPr>
            </w:pPr>
            <w:r w:rsidRPr="003535A7">
              <w:rPr>
                <w:rFonts w:ascii="Verdana" w:eastAsia="Times New Roman" w:hAnsi="Verdana" w:cs="Times New Roman"/>
                <w:lang w:eastAsia="es-ES_tradnl"/>
              </w:rPr>
              <w:t>Tal relación entre los intermediarios de seguros y las Entidades Estatales desde luego debe concretarse a través de un contrato estatal con las formalidades previstas en los artículos 39, 40 y 41 de la Ley 80 de 1993, así como en otras disposiciones del EGCAP.</w:t>
            </w:r>
          </w:p>
          <w:p w14:paraId="039173B0" w14:textId="77777777" w:rsidR="00783B55" w:rsidRDefault="00783B55" w:rsidP="0044414F">
            <w:pPr>
              <w:spacing w:after="120" w:line="276" w:lineRule="auto"/>
              <w:ind w:firstLine="709"/>
              <w:jc w:val="both"/>
              <w:rPr>
                <w:rFonts w:ascii="Verdana" w:eastAsia="Times New Roman" w:hAnsi="Verdana" w:cs="Times New Roman"/>
                <w:lang w:eastAsia="es-ES_tradnl"/>
              </w:rPr>
            </w:pPr>
            <w:r w:rsidRPr="002A0260">
              <w:rPr>
                <w:rFonts w:ascii="Verdana" w:eastAsia="Times New Roman" w:hAnsi="Verdana" w:cs="Times New Roman"/>
                <w:lang w:eastAsia="es-ES_tradnl"/>
              </w:rPr>
              <w:t>Bajo estas consideraciones, se tiene que el contrato de intermediación de seguros constituye un negocio jurídico autónomo e independiente del contrato de seguro</w:t>
            </w:r>
            <w:r>
              <w:rPr>
                <w:rFonts w:ascii="Verdana" w:eastAsia="Times New Roman" w:hAnsi="Verdana" w:cs="Times New Roman"/>
                <w:lang w:eastAsia="es-ES_tradnl"/>
              </w:rPr>
              <w:t>, que se suscribe con la entidad estatal</w:t>
            </w:r>
            <w:r w:rsidRPr="002A0260">
              <w:rPr>
                <w:rFonts w:ascii="Verdana" w:eastAsia="Times New Roman" w:hAnsi="Verdana" w:cs="Times New Roman"/>
                <w:lang w:eastAsia="es-ES_tradnl"/>
              </w:rPr>
              <w:t xml:space="preserve">. En efecto, como lo ha señalado la jurisprudencia, aunque la labor del intermediario, por regla general, se extiende a </w:t>
            </w:r>
            <w:r>
              <w:rPr>
                <w:rFonts w:ascii="Verdana" w:eastAsia="Times New Roman" w:hAnsi="Verdana" w:cs="Times New Roman"/>
                <w:lang w:eastAsia="es-ES_tradnl"/>
              </w:rPr>
              <w:t>la</w:t>
            </w:r>
            <w:r w:rsidRPr="002A0260">
              <w:rPr>
                <w:rFonts w:ascii="Verdana" w:eastAsia="Times New Roman" w:hAnsi="Verdana" w:cs="Times New Roman"/>
                <w:lang w:eastAsia="es-ES_tradnl"/>
              </w:rPr>
              <w:t xml:space="preserve"> etapa de ejecución </w:t>
            </w:r>
            <w:r>
              <w:rPr>
                <w:rFonts w:ascii="Verdana" w:eastAsia="Times New Roman" w:hAnsi="Verdana" w:cs="Times New Roman"/>
                <w:lang w:eastAsia="es-ES_tradnl"/>
              </w:rPr>
              <w:t xml:space="preserve">del contrato de seguros </w:t>
            </w:r>
            <w:r w:rsidRPr="002A0260">
              <w:rPr>
                <w:rFonts w:ascii="Verdana" w:eastAsia="Times New Roman" w:hAnsi="Verdana" w:cs="Times New Roman"/>
                <w:lang w:eastAsia="es-ES_tradnl"/>
              </w:rPr>
              <w:t>mediante actividades de asesoría y acompañamiento al tomador o asegurado</w:t>
            </w:r>
            <w:r>
              <w:rPr>
                <w:rFonts w:ascii="Verdana" w:eastAsia="Times New Roman" w:hAnsi="Verdana" w:cs="Times New Roman"/>
                <w:lang w:eastAsia="es-ES_tradnl"/>
              </w:rPr>
              <w:t xml:space="preserve">, </w:t>
            </w:r>
            <w:r w:rsidRPr="002A0260">
              <w:rPr>
                <w:rFonts w:ascii="Verdana" w:eastAsia="Times New Roman" w:hAnsi="Verdana" w:cs="Times New Roman"/>
                <w:lang w:eastAsia="es-ES_tradnl"/>
              </w:rPr>
              <w:t xml:space="preserve">ello no significa que el contrato de intermediación </w:t>
            </w:r>
            <w:r>
              <w:rPr>
                <w:rFonts w:ascii="Verdana" w:eastAsia="Times New Roman" w:hAnsi="Verdana" w:cs="Times New Roman"/>
                <w:lang w:eastAsia="es-ES_tradnl"/>
              </w:rPr>
              <w:t xml:space="preserve">de seguros </w:t>
            </w:r>
            <w:r w:rsidRPr="002A0260">
              <w:rPr>
                <w:rFonts w:ascii="Verdana" w:eastAsia="Times New Roman" w:hAnsi="Verdana" w:cs="Times New Roman"/>
                <w:lang w:eastAsia="es-ES_tradnl"/>
              </w:rPr>
              <w:t>adquiera un carácter accesorio respecto del contrato de seguro ni que su existencia o ejecución se confunda con la de este último. Por el contrario, la</w:t>
            </w:r>
            <w:r>
              <w:rPr>
                <w:rFonts w:ascii="Verdana" w:eastAsia="Times New Roman" w:hAnsi="Verdana" w:cs="Times New Roman"/>
                <w:lang w:eastAsia="es-ES_tradnl"/>
              </w:rPr>
              <w:t>s</w:t>
            </w:r>
            <w:r w:rsidRPr="002A0260">
              <w:rPr>
                <w:rFonts w:ascii="Verdana" w:eastAsia="Times New Roman" w:hAnsi="Verdana" w:cs="Times New Roman"/>
                <w:lang w:eastAsia="es-ES_tradnl"/>
              </w:rPr>
              <w:t xml:space="preserve"> actividad</w:t>
            </w:r>
            <w:r>
              <w:rPr>
                <w:rFonts w:ascii="Verdana" w:eastAsia="Times New Roman" w:hAnsi="Verdana" w:cs="Times New Roman"/>
                <w:lang w:eastAsia="es-ES_tradnl"/>
              </w:rPr>
              <w:t>es</w:t>
            </w:r>
            <w:r w:rsidRPr="002A0260">
              <w:rPr>
                <w:rFonts w:ascii="Verdana" w:eastAsia="Times New Roman" w:hAnsi="Verdana" w:cs="Times New Roman"/>
                <w:lang w:eastAsia="es-ES_tradnl"/>
              </w:rPr>
              <w:t xml:space="preserve"> del intermediario durante la ejecución del contrato de seguro responde</w:t>
            </w:r>
            <w:r>
              <w:rPr>
                <w:rFonts w:ascii="Verdana" w:eastAsia="Times New Roman" w:hAnsi="Verdana" w:cs="Times New Roman"/>
                <w:lang w:eastAsia="es-ES_tradnl"/>
              </w:rPr>
              <w:t>n</w:t>
            </w:r>
            <w:r w:rsidRPr="002A0260">
              <w:rPr>
                <w:rFonts w:ascii="Verdana" w:eastAsia="Times New Roman" w:hAnsi="Verdana" w:cs="Times New Roman"/>
                <w:lang w:eastAsia="es-ES_tradnl"/>
              </w:rPr>
              <w:t xml:space="preserve"> al contenido propio de las obligaciones asumidas en el contrato de intermediación</w:t>
            </w:r>
            <w:r>
              <w:rPr>
                <w:rFonts w:ascii="Verdana" w:eastAsia="Times New Roman" w:hAnsi="Verdana" w:cs="Times New Roman"/>
                <w:lang w:eastAsia="es-ES_tradnl"/>
              </w:rPr>
              <w:t xml:space="preserve"> con la entidad estatal</w:t>
            </w:r>
            <w:r w:rsidRPr="002A0260">
              <w:rPr>
                <w:rFonts w:ascii="Verdana" w:eastAsia="Times New Roman" w:hAnsi="Verdana" w:cs="Times New Roman"/>
                <w:lang w:eastAsia="es-ES_tradnl"/>
              </w:rPr>
              <w:t>, sin afectar su naturaleza jurídica autónoma.</w:t>
            </w:r>
          </w:p>
          <w:p w14:paraId="7E0FE8CC" w14:textId="77777777" w:rsidR="00783B55" w:rsidRDefault="00783B55" w:rsidP="0044414F">
            <w:pPr>
              <w:spacing w:after="120" w:line="276" w:lineRule="auto"/>
              <w:ind w:firstLine="709"/>
              <w:jc w:val="both"/>
              <w:rPr>
                <w:rFonts w:ascii="Verdana" w:eastAsia="Times New Roman" w:hAnsi="Verdana" w:cs="Times New Roman"/>
                <w:lang w:eastAsia="es-ES_tradnl"/>
              </w:rPr>
            </w:pPr>
            <w:r w:rsidRPr="002A0260">
              <w:rPr>
                <w:rFonts w:ascii="Verdana" w:eastAsia="Times New Roman" w:hAnsi="Verdana" w:cs="Times New Roman"/>
                <w:lang w:eastAsia="es-ES_tradnl"/>
              </w:rPr>
              <w:lastRenderedPageBreak/>
              <w:t>En ese sentido, el carácter autónomo del contrato de intermediación supone que este cuenta con un objeto propio, obligaciones específicas, condiciones particulares y un plazo</w:t>
            </w:r>
            <w:r>
              <w:rPr>
                <w:rFonts w:ascii="Verdana" w:eastAsia="Times New Roman" w:hAnsi="Verdana" w:cs="Times New Roman"/>
                <w:lang w:eastAsia="es-ES_tradnl"/>
              </w:rPr>
              <w:t xml:space="preserve"> de ejecución</w:t>
            </w:r>
            <w:r w:rsidRPr="002A0260">
              <w:rPr>
                <w:rFonts w:ascii="Verdana" w:eastAsia="Times New Roman" w:hAnsi="Verdana" w:cs="Times New Roman"/>
                <w:lang w:eastAsia="es-ES_tradnl"/>
              </w:rPr>
              <w:t>. Así, aun cuando las actividades de intermediación puedan desarrollarse de manera paralela a la ejecución del contrato de seguro</w:t>
            </w:r>
            <w:r>
              <w:rPr>
                <w:rFonts w:ascii="Verdana" w:eastAsia="Times New Roman" w:hAnsi="Verdana" w:cs="Times New Roman"/>
                <w:lang w:eastAsia="es-ES_tradnl"/>
              </w:rPr>
              <w:t xml:space="preserve"> y tengan relación con las pólizas expedidas en el marco de este</w:t>
            </w:r>
            <w:r w:rsidRPr="002A0260">
              <w:rPr>
                <w:rFonts w:ascii="Verdana" w:eastAsia="Times New Roman" w:hAnsi="Verdana" w:cs="Times New Roman"/>
                <w:lang w:eastAsia="es-ES_tradnl"/>
              </w:rPr>
              <w:t>, la obligación del intermediario de prestar sus servicios se encuentra limitada por el término de ejecución pactado en el respectivo contrato de intermediación</w:t>
            </w:r>
            <w:r>
              <w:rPr>
                <w:rFonts w:ascii="Verdana" w:eastAsia="Times New Roman" w:hAnsi="Verdana" w:cs="Times New Roman"/>
                <w:lang w:eastAsia="es-ES_tradnl"/>
              </w:rPr>
              <w:t xml:space="preserve"> de seguros</w:t>
            </w:r>
            <w:r w:rsidRPr="002A0260">
              <w:rPr>
                <w:rFonts w:ascii="Verdana" w:eastAsia="Times New Roman" w:hAnsi="Verdana" w:cs="Times New Roman"/>
                <w:lang w:eastAsia="es-ES_tradnl"/>
              </w:rPr>
              <w:t>. En consecuencia, una vez finalizad</w:t>
            </w:r>
            <w:r>
              <w:rPr>
                <w:rFonts w:ascii="Verdana" w:eastAsia="Times New Roman" w:hAnsi="Verdana" w:cs="Times New Roman"/>
                <w:lang w:eastAsia="es-ES_tradnl"/>
              </w:rPr>
              <w:t>a las condiciones en cuanto al plazo de ejecución</w:t>
            </w:r>
            <w:r w:rsidRPr="002A0260">
              <w:rPr>
                <w:rFonts w:ascii="Verdana" w:eastAsia="Times New Roman" w:hAnsi="Verdana" w:cs="Times New Roman"/>
                <w:lang w:eastAsia="es-ES_tradnl"/>
              </w:rPr>
              <w:t xml:space="preserve"> y cumplidas las obligacione</w:t>
            </w:r>
            <w:r>
              <w:rPr>
                <w:rFonts w:ascii="Verdana" w:eastAsia="Times New Roman" w:hAnsi="Verdana" w:cs="Times New Roman"/>
                <w:lang w:eastAsia="es-ES_tradnl"/>
              </w:rPr>
              <w:t>s contractuales</w:t>
            </w:r>
            <w:r w:rsidRPr="002A0260">
              <w:rPr>
                <w:rFonts w:ascii="Verdana" w:eastAsia="Times New Roman" w:hAnsi="Verdana" w:cs="Times New Roman"/>
                <w:lang w:eastAsia="es-ES_tradnl"/>
              </w:rPr>
              <w:t>, cesa el deber del intermediario de continuar prestando los servicios para los cuales fue contratado</w:t>
            </w:r>
            <w:r>
              <w:rPr>
                <w:rFonts w:ascii="Verdana" w:eastAsia="Times New Roman" w:hAnsi="Verdana" w:cs="Times New Roman"/>
                <w:lang w:eastAsia="es-ES_tradnl"/>
              </w:rPr>
              <w:t>.</w:t>
            </w:r>
          </w:p>
          <w:p w14:paraId="4362CD59" w14:textId="77777777" w:rsidR="00783B55" w:rsidRPr="00BD1BC3" w:rsidRDefault="00783B55" w:rsidP="0044414F">
            <w:pPr>
              <w:spacing w:after="120" w:line="276" w:lineRule="auto"/>
              <w:ind w:firstLine="709"/>
              <w:jc w:val="both"/>
              <w:rPr>
                <w:rFonts w:ascii="Verdana" w:eastAsia="Times New Roman" w:hAnsi="Verdana" w:cs="Times New Roman"/>
                <w:lang w:eastAsia="es-ES_tradnl"/>
              </w:rPr>
            </w:pPr>
            <w:r w:rsidRPr="009A3F03">
              <w:rPr>
                <w:rFonts w:ascii="Verdana" w:eastAsia="Times New Roman" w:hAnsi="Verdana" w:cs="Times New Roman"/>
                <w:lang w:eastAsia="es-ES_tradnl"/>
              </w:rPr>
              <w:t xml:space="preserve">Bajo esta lógica, </w:t>
            </w:r>
            <w:r>
              <w:rPr>
                <w:rFonts w:ascii="Verdana" w:eastAsia="Times New Roman" w:hAnsi="Verdana" w:cs="Times New Roman"/>
                <w:lang w:eastAsia="es-ES_tradnl"/>
              </w:rPr>
              <w:t xml:space="preserve">el corredor de seguros adelantará su gestión ateniendo </w:t>
            </w:r>
            <w:r w:rsidRPr="009A3F03">
              <w:rPr>
                <w:rFonts w:ascii="Verdana" w:eastAsia="Times New Roman" w:hAnsi="Verdana" w:cs="Times New Roman"/>
                <w:lang w:eastAsia="es-ES_tradnl"/>
              </w:rPr>
              <w:t xml:space="preserve">al alcance de las obligaciones </w:t>
            </w:r>
            <w:r>
              <w:rPr>
                <w:rFonts w:ascii="Verdana" w:eastAsia="Times New Roman" w:hAnsi="Verdana" w:cs="Times New Roman"/>
                <w:lang w:eastAsia="es-ES_tradnl"/>
              </w:rPr>
              <w:t>pactadas</w:t>
            </w:r>
            <w:r w:rsidRPr="009A3F03">
              <w:rPr>
                <w:rFonts w:ascii="Verdana" w:eastAsia="Times New Roman" w:hAnsi="Verdana" w:cs="Times New Roman"/>
                <w:lang w:eastAsia="es-ES_tradnl"/>
              </w:rPr>
              <w:t xml:space="preserve">, así como a las reglas relativas al plazo de ejecución, vigencia y terminación del contrato de corretaje establecidas </w:t>
            </w:r>
            <w:r>
              <w:rPr>
                <w:rFonts w:ascii="Verdana" w:eastAsia="Times New Roman" w:hAnsi="Verdana" w:cs="Times New Roman"/>
                <w:lang w:eastAsia="es-ES_tradnl"/>
              </w:rPr>
              <w:t xml:space="preserve">por </w:t>
            </w:r>
            <w:r w:rsidRPr="009A3F03">
              <w:rPr>
                <w:rFonts w:ascii="Verdana" w:eastAsia="Times New Roman" w:hAnsi="Verdana" w:cs="Times New Roman"/>
                <w:lang w:eastAsia="es-ES_tradnl"/>
              </w:rPr>
              <w:t>la entidad estatal.</w:t>
            </w:r>
            <w:r>
              <w:rPr>
                <w:rFonts w:ascii="Verdana" w:eastAsia="Times New Roman" w:hAnsi="Verdana" w:cs="Times New Roman"/>
                <w:lang w:eastAsia="es-ES_tradnl"/>
              </w:rPr>
              <w:t xml:space="preserve"> Por consiguiente</w:t>
            </w:r>
            <w:r w:rsidRPr="009A3F03">
              <w:rPr>
                <w:rFonts w:ascii="Verdana" w:eastAsia="Times New Roman" w:hAnsi="Verdana" w:cs="Times New Roman"/>
                <w:lang w:eastAsia="es-ES_tradnl"/>
              </w:rPr>
              <w:t>, el derecho al reconocimiento de la comisión se encuentra vinculado a la efectiva ejecución de las actividades que, conforme al contrato de intermediación, correspondan al corredor de seguros durante el plazo de ejecución y la vigencia previst</w:t>
            </w:r>
            <w:r>
              <w:rPr>
                <w:rFonts w:ascii="Verdana" w:eastAsia="Times New Roman" w:hAnsi="Verdana" w:cs="Times New Roman"/>
                <w:lang w:eastAsia="es-ES_tradnl"/>
              </w:rPr>
              <w:t>a</w:t>
            </w:r>
            <w:r w:rsidRPr="009A3F03">
              <w:rPr>
                <w:rFonts w:ascii="Verdana" w:eastAsia="Times New Roman" w:hAnsi="Verdana" w:cs="Times New Roman"/>
                <w:lang w:eastAsia="es-ES_tradnl"/>
              </w:rPr>
              <w:t xml:space="preserve"> para el desarrollo de tales obligaciones. Así, en la medida en que el corredor ejecute las gestiones que le son exigibles en los términos del contrato de corretaje, </w:t>
            </w:r>
            <w:r>
              <w:rPr>
                <w:rFonts w:ascii="Verdana" w:eastAsia="Times New Roman" w:hAnsi="Verdana" w:cs="Times New Roman"/>
                <w:lang w:eastAsia="es-ES_tradnl"/>
              </w:rPr>
              <w:t xml:space="preserve">en principio, </w:t>
            </w:r>
            <w:r w:rsidRPr="009A3F03">
              <w:rPr>
                <w:rFonts w:ascii="Verdana" w:eastAsia="Times New Roman" w:hAnsi="Verdana" w:cs="Times New Roman"/>
                <w:lang w:eastAsia="es-ES_tradnl"/>
              </w:rPr>
              <w:t>surgirá para la compañía aseguradora el deber de reconocer la comisión correspondiente, de acuerdo con las condiciones y porcentajes establecidos en dicho contrato y en la regulación aplicable, sin perjuicio de las particularidades que la entidad estatal haya previsto respecto de la terminación del contrato de intermediació</w:t>
            </w:r>
            <w:r>
              <w:rPr>
                <w:rFonts w:ascii="Verdana" w:eastAsia="Times New Roman" w:hAnsi="Verdana" w:cs="Times New Roman"/>
                <w:lang w:eastAsia="es-ES_tradnl"/>
              </w:rPr>
              <w:t>n.</w:t>
            </w:r>
          </w:p>
        </w:tc>
      </w:tr>
    </w:tbl>
    <w:p w14:paraId="25BF3658" w14:textId="77777777" w:rsidR="00783B55" w:rsidRDefault="00783B55" w:rsidP="00783B55">
      <w:pPr>
        <w:tabs>
          <w:tab w:val="left" w:pos="142"/>
          <w:tab w:val="left" w:pos="284"/>
        </w:tabs>
        <w:spacing w:after="0" w:line="276" w:lineRule="auto"/>
        <w:jc w:val="both"/>
        <w:rPr>
          <w:rFonts w:ascii="Verdana" w:eastAsia="Century Gothic" w:hAnsi="Verdana" w:cs="Century Gothic"/>
          <w:b/>
          <w:bCs/>
        </w:rPr>
      </w:pPr>
    </w:p>
    <w:p w14:paraId="33949FDE" w14:textId="77777777" w:rsidR="00783B55" w:rsidRPr="005644FE" w:rsidRDefault="00783B55" w:rsidP="00783B55">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67C5CF94" w14:textId="77777777" w:rsidR="00783B55" w:rsidRPr="005644FE" w:rsidRDefault="00783B55" w:rsidP="00783B55">
      <w:pPr>
        <w:pStyle w:val="Prrafodelista"/>
        <w:tabs>
          <w:tab w:val="left" w:pos="142"/>
          <w:tab w:val="left" w:pos="284"/>
        </w:tabs>
        <w:spacing w:after="0" w:line="240" w:lineRule="auto"/>
        <w:ind w:left="0"/>
        <w:contextualSpacing w:val="0"/>
        <w:jc w:val="both"/>
        <w:rPr>
          <w:rFonts w:ascii="Verdana" w:eastAsia="Calibri" w:hAnsi="Verdana" w:cs="Arial"/>
        </w:rPr>
      </w:pPr>
    </w:p>
    <w:p w14:paraId="2AB948FE" w14:textId="77777777" w:rsidR="00783B55" w:rsidRDefault="00783B55" w:rsidP="00783B55">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21320527" w14:textId="77777777" w:rsidR="00783B55" w:rsidRDefault="00783B55" w:rsidP="00783B55">
      <w:pPr>
        <w:tabs>
          <w:tab w:val="left" w:pos="142"/>
          <w:tab w:val="left" w:pos="284"/>
          <w:tab w:val="left" w:pos="6975"/>
        </w:tabs>
        <w:spacing w:after="0" w:line="276" w:lineRule="auto"/>
        <w:jc w:val="both"/>
        <w:rPr>
          <w:rFonts w:ascii="Verdana" w:eastAsia="Calibri" w:hAnsi="Verdana" w:cs="Arial"/>
        </w:rPr>
      </w:pPr>
    </w:p>
    <w:p w14:paraId="16FC6A95" w14:textId="77777777" w:rsidR="00783B55" w:rsidRPr="003535A7" w:rsidRDefault="00783B55" w:rsidP="00783B55">
      <w:pPr>
        <w:spacing w:after="120" w:line="276" w:lineRule="auto"/>
        <w:jc w:val="both"/>
        <w:rPr>
          <w:rFonts w:ascii="Verdana" w:eastAsia="Times New Roman" w:hAnsi="Verdana" w:cs="Times New Roman"/>
          <w:lang w:eastAsia="es-ES_tradnl"/>
        </w:rPr>
      </w:pPr>
      <w:r>
        <w:rPr>
          <w:rFonts w:ascii="Verdana" w:eastAsia="Times New Roman" w:hAnsi="Verdana" w:cs="Times New Roman"/>
          <w:lang w:eastAsia="es-ES_tradnl"/>
        </w:rPr>
        <w:t>E</w:t>
      </w:r>
      <w:r w:rsidRPr="003535A7">
        <w:rPr>
          <w:rFonts w:ascii="Verdana" w:eastAsia="Times New Roman" w:hAnsi="Verdana" w:cs="Times New Roman"/>
          <w:lang w:eastAsia="es-ES_tradnl"/>
        </w:rPr>
        <w:t xml:space="preserve">l Código de Comercio en sus artículos 1340 a 1346, regula de manera general </w:t>
      </w:r>
      <w:r>
        <w:rPr>
          <w:rFonts w:ascii="Verdana" w:eastAsia="Times New Roman" w:hAnsi="Verdana" w:cs="Times New Roman"/>
          <w:lang w:eastAsia="es-ES_tradnl"/>
        </w:rPr>
        <w:t>el corretaje</w:t>
      </w:r>
      <w:r w:rsidRPr="003535A7">
        <w:rPr>
          <w:rFonts w:ascii="Verdana" w:eastAsia="Times New Roman" w:hAnsi="Verdana" w:cs="Times New Roman"/>
          <w:lang w:eastAsia="es-ES_tradnl"/>
        </w:rPr>
        <w:t xml:space="preserve">, definiendo la figura del corredor como “La persona que, por su especial conocimiento de los mercados, se ocupa como agente intermediario en la tarea de poner </w:t>
      </w:r>
      <w:proofErr w:type="gramStart"/>
      <w:r w:rsidRPr="003535A7">
        <w:rPr>
          <w:rFonts w:ascii="Verdana" w:eastAsia="Times New Roman" w:hAnsi="Verdana" w:cs="Times New Roman"/>
          <w:lang w:eastAsia="es-ES_tradnl"/>
        </w:rPr>
        <w:t>en relación a</w:t>
      </w:r>
      <w:proofErr w:type="gramEnd"/>
      <w:r w:rsidRPr="003535A7">
        <w:rPr>
          <w:rFonts w:ascii="Verdana" w:eastAsia="Times New Roman" w:hAnsi="Verdana" w:cs="Times New Roman"/>
          <w:lang w:eastAsia="es-ES_tradnl"/>
        </w:rPr>
        <w:t xml:space="preserve"> dos o más personas, con el fin de que celebren un negocio comercial, sin estar vinculado a las partes por relaciones de colaboración, dependencia, mandato o representación”. No obstante, en los </w:t>
      </w:r>
      <w:r w:rsidRPr="003535A7">
        <w:rPr>
          <w:rFonts w:ascii="Verdana" w:eastAsia="Times New Roman" w:hAnsi="Verdana" w:cs="Times New Roman"/>
          <w:lang w:eastAsia="es-ES_tradnl"/>
        </w:rPr>
        <w:lastRenderedPageBreak/>
        <w:t>artículos 1347 a 1353 establece una regulación especial para los corredores de seguros</w:t>
      </w:r>
      <w:r w:rsidRPr="003535A7">
        <w:rPr>
          <w:rFonts w:ascii="Verdana" w:eastAsia="Times New Roman" w:hAnsi="Verdana" w:cs="Times New Roman"/>
          <w:vertAlign w:val="superscript"/>
          <w:lang w:eastAsia="es-ES_tradnl"/>
        </w:rPr>
        <w:footnoteReference w:id="1"/>
      </w:r>
      <w:r>
        <w:rPr>
          <w:rFonts w:ascii="Verdana" w:eastAsia="Times New Roman" w:hAnsi="Verdana" w:cs="Times New Roman"/>
          <w:lang w:eastAsia="es-ES_tradnl"/>
        </w:rPr>
        <w:t>.</w:t>
      </w:r>
    </w:p>
    <w:p w14:paraId="6C919F8E" w14:textId="77777777" w:rsidR="00783B55" w:rsidRPr="003535A7" w:rsidRDefault="00783B55" w:rsidP="00783B55">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Los corredores o intermediarios de seguros constituyen uno de los canales más comunes que se usan en el mercado de seguros para comercializar y distribuir productos de aseguramiento. Estos intermediarios suelen cumplir un rol dirigido a asesorar a las partes que intervienen en un contrato de seguros, gestionar pagos de indemnizaciones, recaudar de primas, entre otras actividades, a cambio de una remuneración. Esta contraprestación consiste en una comisión calculada como un porcentaje de la prima pagada por el asegurado, la cual, por disposición expresa del artículo 1341 debe ser pagada de forma directa por la compañía de seguros.</w:t>
      </w:r>
    </w:p>
    <w:p w14:paraId="29A30B17" w14:textId="77777777" w:rsidR="00783B55" w:rsidRPr="003535A7" w:rsidRDefault="00783B55" w:rsidP="00783B55">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Sobre el rol que cumplen los intermediarios de seguros, la doctrina nacional se ha expresado en los siguientes términos: “Tales son los “Intermediarios” lato sensu, eslabones entre “el tomador” y “asegurador”, dignos de la confianza de uno y otro, cuyo común denominador radica en su tarea profesional de aproximarlos a la celebración del contrato de seguro, a trueque –claro está– de una prestación económica a cargo del “asegurador” que, no sobra decirlo, hace parte de la prima”</w:t>
      </w:r>
      <w:r w:rsidRPr="003535A7">
        <w:rPr>
          <w:rFonts w:ascii="Verdana" w:eastAsia="Times New Roman" w:hAnsi="Verdana" w:cs="Times New Roman"/>
          <w:vertAlign w:val="superscript"/>
          <w:lang w:eastAsia="es-ES_tradnl"/>
        </w:rPr>
        <w:footnoteReference w:id="2"/>
      </w:r>
      <w:r w:rsidRPr="003535A7">
        <w:rPr>
          <w:rFonts w:ascii="Verdana" w:eastAsia="Times New Roman" w:hAnsi="Verdana" w:cs="Times New Roman"/>
          <w:lang w:eastAsia="es-ES_tradnl"/>
        </w:rPr>
        <w:t>.</w:t>
      </w:r>
    </w:p>
    <w:p w14:paraId="6EED389C" w14:textId="77777777" w:rsidR="00783B55" w:rsidRPr="003535A7" w:rsidRDefault="00783B55" w:rsidP="00783B55">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El Decreto Ley 663 de 1993 o Estatuto Orgánico del Sistema Financiero, si bien no los define, se refiere a los intermediarios de seguros en los artículos 5 y 40</w:t>
      </w:r>
      <w:r w:rsidRPr="003535A7">
        <w:rPr>
          <w:rFonts w:ascii="Verdana" w:eastAsia="Times New Roman" w:hAnsi="Verdana" w:cs="Times New Roman"/>
          <w:vertAlign w:val="superscript"/>
          <w:lang w:eastAsia="es-ES_tradnl"/>
        </w:rPr>
        <w:footnoteReference w:id="3"/>
      </w:r>
      <w:r w:rsidRPr="003535A7">
        <w:rPr>
          <w:rFonts w:ascii="Verdana" w:eastAsia="Times New Roman" w:hAnsi="Verdana" w:cs="Times New Roman"/>
          <w:lang w:eastAsia="es-ES_tradnl"/>
        </w:rPr>
        <w:t xml:space="preserve">, estableciendo que los corredores de seguros, agencias o agentes son </w:t>
      </w:r>
      <w:r w:rsidRPr="003535A7">
        <w:rPr>
          <w:rFonts w:ascii="Verdana" w:eastAsia="Times New Roman" w:hAnsi="Verdana" w:cs="Times New Roman"/>
          <w:lang w:eastAsia="es-ES_tradnl"/>
        </w:rPr>
        <w:lastRenderedPageBreak/>
        <w:t>quienes se encuentran autorizados para desarrollar dicha labor. Tales normas a su vez remiten a los artículos 1347 y siguientes del Código de Comercio, normas aplicables a los corredores de seguros, en las que se determina que solo podrán desempeñarse como tales “</w:t>
      </w:r>
      <w:r>
        <w:rPr>
          <w:rFonts w:ascii="Verdana" w:eastAsia="Times New Roman" w:hAnsi="Verdana" w:cs="Times New Roman"/>
          <w:lang w:eastAsia="es-ES_tradnl"/>
        </w:rPr>
        <w:t xml:space="preserve">(…) </w:t>
      </w:r>
      <w:r w:rsidRPr="003535A7">
        <w:rPr>
          <w:rFonts w:ascii="Verdana" w:eastAsia="Times New Roman" w:hAnsi="Verdana" w:cs="Times New Roman"/>
          <w:lang w:eastAsia="es-ES_tradnl"/>
        </w:rPr>
        <w:t>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p>
    <w:p w14:paraId="1DA1AEE9" w14:textId="77777777" w:rsidR="00783B55" w:rsidRPr="003535A7" w:rsidRDefault="00783B55" w:rsidP="00783B55">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Conforme a esto, el objeto social de los intermediarios de seguros está orientado a la oferta, promoción y renovación de seguros, además deben contar con personal especializado que permita brindar asesoría a los consumidores de seguros. Los intermediarios de seguros reducen la asimetría de información, en la medida en que, las compañías de seguros no tienen información completa sobre el perfil de riesgo de los compradores, mientras que estos compradores en principio desconocen cuál es la mejor oferta disponible en el mercado, por lo que los intermediarios transmiten la información de una forma clara a cada una de las partes, lo que se traduce en la toma de mejores decisiones. En ese sentido, los intermediarios de seguros fungen como unos terceros en la celebración del contrato de seguros, de conformidad con el artículo 1039 del Código de Comercio</w:t>
      </w:r>
      <w:r w:rsidRPr="003535A7">
        <w:rPr>
          <w:rFonts w:ascii="Verdana" w:eastAsia="Times New Roman" w:hAnsi="Verdana" w:cs="Times New Roman"/>
          <w:vertAlign w:val="superscript"/>
          <w:lang w:eastAsia="es-ES_tradnl"/>
        </w:rPr>
        <w:footnoteReference w:id="4"/>
      </w:r>
      <w:r w:rsidRPr="003535A7">
        <w:rPr>
          <w:rFonts w:ascii="Verdana" w:eastAsia="Times New Roman" w:hAnsi="Verdana" w:cs="Times New Roman"/>
          <w:lang w:eastAsia="es-ES_tradnl"/>
        </w:rPr>
        <w:t xml:space="preserve">. </w:t>
      </w:r>
    </w:p>
    <w:p w14:paraId="5EBFEC65" w14:textId="77777777" w:rsidR="00783B55" w:rsidRDefault="00783B55" w:rsidP="00783B55">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lastRenderedPageBreak/>
        <w:t xml:space="preserve">Si bien no existe una definición legal de intermediario de seguro, la Corte Constitucional, en la sentencia C-479 de 1999 al estudiar distintas disposiciones del Estatuto Orgánico del Sistema Financiero, se refirió a los mismos dando ciertas luces sobre la labor que desempeñan los intermediarios de seguros. Al respecto manifestó: </w:t>
      </w:r>
    </w:p>
    <w:p w14:paraId="03DCD109" w14:textId="77777777" w:rsidR="00783B55" w:rsidRPr="003535A7" w:rsidRDefault="00783B55" w:rsidP="00783B55">
      <w:pPr>
        <w:spacing w:after="0" w:line="240" w:lineRule="auto"/>
        <w:ind w:firstLine="709"/>
        <w:jc w:val="both"/>
        <w:rPr>
          <w:rFonts w:ascii="Verdana" w:eastAsia="Times New Roman" w:hAnsi="Verdana" w:cs="Times New Roman"/>
          <w:lang w:eastAsia="es-ES_tradnl"/>
        </w:rPr>
      </w:pPr>
    </w:p>
    <w:p w14:paraId="494C00CA" w14:textId="77777777" w:rsidR="00783B55" w:rsidRDefault="00783B55" w:rsidP="00783B55">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 xml:space="preserve">“El artículo 1° del EOSF11, acogiendo un criterio orgánico, determina que el sistema financiero y asegurador se encuentra conformado entre otros, por los intermediarios de seguros y reaseguros. El artículo 40 </w:t>
      </w:r>
      <w:proofErr w:type="spellStart"/>
      <w:r w:rsidRPr="00787101">
        <w:rPr>
          <w:rFonts w:ascii="Verdana" w:eastAsia="Times New Roman" w:hAnsi="Verdana" w:cs="Times New Roman"/>
          <w:sz w:val="20"/>
          <w:szCs w:val="20"/>
          <w:lang w:eastAsia="es-ES_tradnl"/>
        </w:rPr>
        <w:t>ibídem</w:t>
      </w:r>
      <w:proofErr w:type="spellEnd"/>
      <w:r w:rsidRPr="00787101">
        <w:rPr>
          <w:rFonts w:ascii="Verdana" w:eastAsia="Times New Roman" w:hAnsi="Verdana" w:cs="Times New Roman"/>
          <w:sz w:val="20"/>
          <w:szCs w:val="20"/>
          <w:lang w:eastAsia="es-ES_tradnl"/>
        </w:rPr>
        <w:t xml:space="preserve">, define que son intermediarios de seguros las sociedades corredoras de seguros, y los agentes y agencias de seguros. Estas tres últimas categorías se distinguen en que las primeras son empresas que se constituyen como sociedades comerciales, colectivas o de responsabilidad limitada cuyo objeto social exclusivo consiste en ofrecer seguros y promover la celebración y renovación del respectivo contrato, interviniendo a título de intermediario entre el asegurado y el asegurador, al paso que los agentes son personas naturales que llevan </w:t>
      </w:r>
      <w:proofErr w:type="spellStart"/>
      <w:r w:rsidRPr="00787101">
        <w:rPr>
          <w:rFonts w:ascii="Verdana" w:eastAsia="Times New Roman" w:hAnsi="Verdana" w:cs="Times New Roman"/>
          <w:sz w:val="20"/>
          <w:szCs w:val="20"/>
          <w:lang w:eastAsia="es-ES_tradnl"/>
        </w:rPr>
        <w:t>acabo</w:t>
      </w:r>
      <w:proofErr w:type="spellEnd"/>
      <w:r w:rsidRPr="00787101">
        <w:rPr>
          <w:rFonts w:ascii="Verdana" w:eastAsia="Times New Roman" w:hAnsi="Verdana" w:cs="Times New Roman"/>
          <w:sz w:val="20"/>
          <w:szCs w:val="20"/>
          <w:lang w:eastAsia="es-ES_tradnl"/>
        </w:rPr>
        <w:t xml:space="preserve"> la misma actividad, en relación con una o varias compañías de seguros. Las agencias, por su parte, tienen como facultad la de promover la celebración de contratos de seguros por </w:t>
      </w:r>
      <w:proofErr w:type="spellStart"/>
      <w:r w:rsidRPr="00787101">
        <w:rPr>
          <w:rFonts w:ascii="Verdana" w:eastAsia="Times New Roman" w:hAnsi="Verdana" w:cs="Times New Roman"/>
          <w:sz w:val="20"/>
          <w:szCs w:val="20"/>
          <w:lang w:eastAsia="es-ES_tradnl"/>
        </w:rPr>
        <w:t>si</w:t>
      </w:r>
      <w:proofErr w:type="spellEnd"/>
      <w:r w:rsidRPr="00787101">
        <w:rPr>
          <w:rFonts w:ascii="Verdana" w:eastAsia="Times New Roman" w:hAnsi="Verdana" w:cs="Times New Roman"/>
          <w:sz w:val="20"/>
          <w:szCs w:val="20"/>
          <w:lang w:eastAsia="es-ES_tradnl"/>
        </w:rPr>
        <w:t xml:space="preserve"> mismas o por medio de agentes colocadores. Así las cosas, los intermediarios de seguros, en cualquiera de sus modalidades, son entidades o personas que, sin expedir pólizas ni ser parte en el contrato de seguro, ponen en contacto a las compañías de seguros con los tomadores de las pólizas. Esta es, por esencia, la actividad a la que se dedican, aunque la intermediación de seguros no se reduzca a ella sino que se proyecte más allá de la simple colocación de pólizas, en una serie de operaciones complementarias de tipo técnico como pueden serlo, v.g., la inspección de riesgos o la intervención en salvamentos”</w:t>
      </w:r>
      <w:r w:rsidRPr="00787101">
        <w:rPr>
          <w:rFonts w:ascii="Verdana" w:eastAsia="Times New Roman" w:hAnsi="Verdana" w:cs="Times New Roman"/>
          <w:sz w:val="20"/>
          <w:szCs w:val="20"/>
          <w:vertAlign w:val="superscript"/>
          <w:lang w:eastAsia="es-ES_tradnl"/>
        </w:rPr>
        <w:footnoteReference w:id="5"/>
      </w:r>
      <w:r>
        <w:rPr>
          <w:rFonts w:ascii="Verdana" w:eastAsia="Times New Roman" w:hAnsi="Verdana" w:cs="Times New Roman"/>
          <w:sz w:val="20"/>
          <w:szCs w:val="20"/>
          <w:lang w:eastAsia="es-ES_tradnl"/>
        </w:rPr>
        <w:t>.</w:t>
      </w:r>
    </w:p>
    <w:p w14:paraId="03C719E8" w14:textId="77777777" w:rsidR="00783B55" w:rsidRPr="00274784" w:rsidRDefault="00783B55" w:rsidP="00783B55">
      <w:pPr>
        <w:spacing w:after="0" w:line="240" w:lineRule="auto"/>
        <w:ind w:left="709" w:right="709"/>
        <w:jc w:val="both"/>
        <w:rPr>
          <w:rFonts w:ascii="Verdana" w:eastAsia="Times New Roman" w:hAnsi="Verdana" w:cs="Times New Roman"/>
          <w:sz w:val="20"/>
          <w:szCs w:val="20"/>
          <w:lang w:eastAsia="es-ES_tradnl"/>
        </w:rPr>
      </w:pPr>
    </w:p>
    <w:p w14:paraId="08398891" w14:textId="77777777" w:rsidR="00783B55" w:rsidRDefault="00783B55" w:rsidP="00783B55">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De otra parte, la Sección Tercera del Consejo de Estado también ha realizado importantes consideraciones dirigidas a precisar el alcance del contrato de intermediación de seguros, distinguiéndolo del contrato de prestación de servicios. Al respecto ha manifestado:</w:t>
      </w:r>
    </w:p>
    <w:p w14:paraId="2238C765" w14:textId="77777777" w:rsidR="00783B55" w:rsidRPr="003535A7" w:rsidRDefault="00783B55" w:rsidP="00783B55">
      <w:pPr>
        <w:spacing w:after="0" w:line="240" w:lineRule="auto"/>
        <w:ind w:firstLine="709"/>
        <w:jc w:val="both"/>
        <w:rPr>
          <w:rFonts w:ascii="Verdana" w:eastAsia="Times New Roman" w:hAnsi="Verdana" w:cs="Times New Roman"/>
          <w:lang w:eastAsia="es-ES_tradnl"/>
        </w:rPr>
      </w:pPr>
    </w:p>
    <w:p w14:paraId="77462150" w14:textId="77777777" w:rsidR="00783B55" w:rsidRPr="00787101" w:rsidRDefault="00783B55" w:rsidP="00783B55">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 xml:space="preserve">“[E]s importante </w:t>
      </w:r>
      <w:proofErr w:type="gramStart"/>
      <w:r w:rsidRPr="00787101">
        <w:rPr>
          <w:rFonts w:ascii="Verdana" w:eastAsia="Times New Roman" w:hAnsi="Verdana" w:cs="Times New Roman"/>
          <w:sz w:val="20"/>
          <w:szCs w:val="20"/>
          <w:lang w:eastAsia="es-ES_tradnl"/>
        </w:rPr>
        <w:t>precisar</w:t>
      </w:r>
      <w:proofErr w:type="gramEnd"/>
      <w:r w:rsidRPr="00787101">
        <w:rPr>
          <w:rFonts w:ascii="Verdana" w:eastAsia="Times New Roman" w:hAnsi="Verdana" w:cs="Times New Roman"/>
          <w:sz w:val="20"/>
          <w:szCs w:val="20"/>
          <w:lang w:eastAsia="es-ES_tradnl"/>
        </w:rPr>
        <w:t xml:space="preserve"> que el objeto de la intermediación del corredor será el ofrecimiento de seguros, la promoción de su celebración y la obtención de la renovación de </w:t>
      </w:r>
      <w:proofErr w:type="gramStart"/>
      <w:r w:rsidRPr="00787101">
        <w:rPr>
          <w:rFonts w:ascii="Verdana" w:eastAsia="Times New Roman" w:hAnsi="Verdana" w:cs="Times New Roman"/>
          <w:sz w:val="20"/>
          <w:szCs w:val="20"/>
          <w:lang w:eastAsia="es-ES_tradnl"/>
        </w:rPr>
        <w:t>los mismos</w:t>
      </w:r>
      <w:proofErr w:type="gramEnd"/>
      <w:r w:rsidRPr="00787101">
        <w:rPr>
          <w:rFonts w:ascii="Verdana" w:eastAsia="Times New Roman" w:hAnsi="Verdana" w:cs="Times New Roman"/>
          <w:sz w:val="20"/>
          <w:szCs w:val="20"/>
          <w:lang w:eastAsia="es-ES_tradnl"/>
        </w:rPr>
        <w:t xml:space="preserve">, y se entenderá cumplido siempre que éste último realice sus obligaciones a cabalidad, independientemente de que el respectivo contrato de seguro se celebre. En efecto, la circunstancia de que sólo cuando esto sucede tiene el </w:t>
      </w:r>
      <w:r w:rsidRPr="00787101">
        <w:rPr>
          <w:rFonts w:ascii="Verdana" w:eastAsia="Times New Roman" w:hAnsi="Verdana" w:cs="Times New Roman"/>
          <w:sz w:val="20"/>
          <w:szCs w:val="20"/>
          <w:lang w:eastAsia="es-ES_tradnl"/>
        </w:rPr>
        <w:lastRenderedPageBreak/>
        <w:t>corredor derecho a recibir la comisión, según lo dispuesto en el artículo 1341 del C. de Co., no puede dar lugar a obtener una conclusión diferente; el corredor de seguros celebra los contratos de intermediación con el tomador y con el asegurador, adquiriendo obligaciones que cumple, en el primer caso, de manera gratuita, y en el segundo, a cambio de una comisión aleatoria, esto es, condicionada a la celebración del contrato de seguro objeto de la intermediación.</w:t>
      </w:r>
    </w:p>
    <w:p w14:paraId="58790008" w14:textId="77777777" w:rsidR="00783B55" w:rsidRPr="00787101" w:rsidRDefault="00783B55" w:rsidP="00783B55">
      <w:pPr>
        <w:spacing w:after="0" w:line="240" w:lineRule="auto"/>
        <w:ind w:left="709" w:right="709"/>
        <w:jc w:val="both"/>
        <w:rPr>
          <w:rFonts w:ascii="Verdana" w:eastAsia="Times New Roman" w:hAnsi="Verdana" w:cs="Times New Roman"/>
          <w:sz w:val="20"/>
          <w:szCs w:val="20"/>
          <w:lang w:eastAsia="es-ES_tradnl"/>
        </w:rPr>
      </w:pPr>
    </w:p>
    <w:p w14:paraId="35032A6B" w14:textId="77777777" w:rsidR="00783B55" w:rsidRPr="00787101" w:rsidRDefault="00783B55" w:rsidP="00783B55">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Es evidente, por lo anterior, que el contrato de corretaje de seguros constituye un contrato autónomo, que, como bien lo dice el profesor Ossa, en el aparte transcrito anteriormente, sobrevive, en muchas ocasiones, a la celebración del contrato de seguro. Al respecto, es importante anotar que la labor de intermediación se extiende, por lo general, a la etapa de ejecución del contrato celebrado entre el asegurador y el tomador, en la cual pueden presentarse situaciones que requieran la realización de diversos trámites, especialmente cuando el riesgo se realiza o hay necesidad de efectuar ajustes al contrato de seguro. Finalmente, la intervención del corredor en la etapa posterior a la celebración de este último resulta muy importante para efectos de obtener su renovación, tarea que, como se ha visto, constituye uno de los objetivos específicos de la intermediación. Por esta misma razón, el autor citado no duda en afirmar que el corretaje de seguros constituye un contrato de tracto sucesivo, sin que el hecho de que dicho contrato comparta tal característica del contrato de seguro (artículo 1036 del Código de Comercio) permita considerar, ni por asomo, que el primero sea accesorio del segundo, como lo pretende el demandante</w:t>
      </w:r>
      <w:r>
        <w:rPr>
          <w:rFonts w:ascii="Verdana" w:eastAsia="Times New Roman" w:hAnsi="Verdana" w:cs="Times New Roman"/>
          <w:sz w:val="20"/>
          <w:szCs w:val="20"/>
          <w:lang w:eastAsia="es-ES_tradnl"/>
        </w:rPr>
        <w:t xml:space="preserve"> (…)</w:t>
      </w:r>
    </w:p>
    <w:p w14:paraId="557F19D8" w14:textId="77777777" w:rsidR="00783B55" w:rsidRDefault="00783B55" w:rsidP="00783B55">
      <w:pPr>
        <w:spacing w:after="0" w:line="240" w:lineRule="auto"/>
        <w:ind w:left="709" w:right="709"/>
        <w:jc w:val="both"/>
        <w:rPr>
          <w:rFonts w:ascii="Verdana" w:eastAsia="Times New Roman" w:hAnsi="Verdana" w:cs="Times New Roman"/>
          <w:sz w:val="20"/>
          <w:szCs w:val="20"/>
          <w:lang w:eastAsia="es-ES_tradnl"/>
        </w:rPr>
      </w:pPr>
    </w:p>
    <w:p w14:paraId="080F5E8C" w14:textId="77777777" w:rsidR="00783B55" w:rsidRPr="00787101" w:rsidRDefault="00783B55" w:rsidP="00783B55">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[C]</w:t>
      </w:r>
      <w:proofErr w:type="spellStart"/>
      <w:r w:rsidRPr="00787101">
        <w:rPr>
          <w:rFonts w:ascii="Verdana" w:eastAsia="Times New Roman" w:hAnsi="Verdana" w:cs="Times New Roman"/>
          <w:sz w:val="20"/>
          <w:szCs w:val="20"/>
          <w:lang w:eastAsia="es-ES_tradnl"/>
        </w:rPr>
        <w:t>onsidera</w:t>
      </w:r>
      <w:proofErr w:type="spellEnd"/>
      <w:r w:rsidRPr="00787101">
        <w:rPr>
          <w:rFonts w:ascii="Verdana" w:eastAsia="Times New Roman" w:hAnsi="Verdana" w:cs="Times New Roman"/>
          <w:sz w:val="20"/>
          <w:szCs w:val="20"/>
          <w:lang w:eastAsia="es-ES_tradnl"/>
        </w:rPr>
        <w:t xml:space="preserve"> la Sala que los contratos de intermediación de seguros constituyen un tipo específico de contratos, cuyo objeto está claramente determinado y delimitado en las normas especiales que los regulan y, por lo tanto, no pueden confundirse con el de prestación de servicios profesionales a que se refiere la norma citada. Además, la incompatibilidad entre las dos figuras puede resultar evidente, si se tiene en cuenta que en los contratos de prestación de servicios, la remuneración se causa por la realización de las actividades que constituyen el servicio específico, mientras que en los contratos de intermediación de seguros, como se ha visto, el cumplimiento de las obligaciones del contratista no le garantiza la obtención de la comisión, que sólo recibirá si se celebra el contrato de seguro entre las partes. </w:t>
      </w:r>
    </w:p>
    <w:p w14:paraId="50AAC3A0" w14:textId="77777777" w:rsidR="00783B55" w:rsidRPr="00787101" w:rsidRDefault="00783B55" w:rsidP="00783B55">
      <w:pPr>
        <w:spacing w:after="0" w:line="240" w:lineRule="auto"/>
        <w:ind w:left="709" w:right="709"/>
        <w:jc w:val="both"/>
        <w:rPr>
          <w:rFonts w:ascii="Verdana" w:eastAsia="Times New Roman" w:hAnsi="Verdana" w:cs="Times New Roman"/>
          <w:sz w:val="20"/>
          <w:szCs w:val="20"/>
          <w:lang w:eastAsia="es-ES_tradnl"/>
        </w:rPr>
      </w:pPr>
    </w:p>
    <w:p w14:paraId="421FB5C1" w14:textId="77777777" w:rsidR="00783B55" w:rsidRPr="00787101" w:rsidRDefault="00783B55" w:rsidP="00783B55">
      <w:pPr>
        <w:spacing w:after="0" w:line="240" w:lineRule="auto"/>
        <w:ind w:left="709" w:right="709"/>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p>
    <w:p w14:paraId="558C84C7" w14:textId="77777777" w:rsidR="00783B55" w:rsidRPr="00787101" w:rsidRDefault="00783B55" w:rsidP="00783B55">
      <w:pPr>
        <w:spacing w:after="0" w:line="240" w:lineRule="auto"/>
        <w:ind w:left="709" w:right="709"/>
        <w:jc w:val="both"/>
        <w:rPr>
          <w:rFonts w:ascii="Verdana" w:eastAsia="Times New Roman" w:hAnsi="Verdana" w:cs="Times New Roman"/>
          <w:sz w:val="20"/>
          <w:szCs w:val="20"/>
          <w:lang w:eastAsia="es-ES_tradnl"/>
        </w:rPr>
      </w:pPr>
    </w:p>
    <w:p w14:paraId="0ACEB411" w14:textId="77777777" w:rsidR="00783B55" w:rsidRPr="00787101" w:rsidRDefault="00783B55" w:rsidP="00783B55">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 xml:space="preserve">No cabe duda de que las obligaciones de los intermediarios de seguros se cumplen, en gran medida, mediante el desarrollo de labores de asesoría, especialmente en favor del tomador, quien requiere de una ilustración detallada en relación con los diferentes aspectos del seguro a contratar, </w:t>
      </w:r>
      <w:r w:rsidRPr="00787101">
        <w:rPr>
          <w:rFonts w:ascii="Verdana" w:eastAsia="Times New Roman" w:hAnsi="Verdana" w:cs="Times New Roman"/>
          <w:sz w:val="20"/>
          <w:szCs w:val="20"/>
          <w:lang w:eastAsia="es-ES_tradnl"/>
        </w:rPr>
        <w:lastRenderedPageBreak/>
        <w:t>muchos de ellos de carácter estrictamente técnico; sin embargo, es claro que dichas labores están íntimamente ligadas al cumplimiento del objeto principal y único de la intermediación, esto es, poner en relación a dos o más personas para que celebren el contrato de seguros o lo renueven. Por esta razón, la asesoría es considerada como una obligación complementaria o accesoria a la intermediación, y su prestación no implica el pago de una suma adicional, dado que se trata de una actividad dirigida a cumplir el objeto del contrato de corretaje o agencia, cuya remuneración, en forma de una comisión, es pagada por el asegurador”</w:t>
      </w:r>
      <w:r w:rsidRPr="00787101">
        <w:rPr>
          <w:rFonts w:ascii="Verdana" w:eastAsia="Times New Roman" w:hAnsi="Verdana" w:cs="Times New Roman"/>
          <w:sz w:val="20"/>
          <w:szCs w:val="20"/>
          <w:vertAlign w:val="superscript"/>
          <w:lang w:eastAsia="es-ES_tradnl"/>
        </w:rPr>
        <w:footnoteReference w:id="6"/>
      </w:r>
      <w:r w:rsidRPr="00787101">
        <w:rPr>
          <w:rFonts w:ascii="Verdana" w:eastAsia="Times New Roman" w:hAnsi="Verdana" w:cs="Times New Roman"/>
          <w:sz w:val="20"/>
          <w:szCs w:val="20"/>
          <w:lang w:eastAsia="es-ES_tradnl"/>
        </w:rPr>
        <w:t>.</w:t>
      </w:r>
    </w:p>
    <w:p w14:paraId="36DEA7A0" w14:textId="77777777" w:rsidR="00783B55" w:rsidRPr="00787101" w:rsidRDefault="00783B55" w:rsidP="00783B55">
      <w:pPr>
        <w:spacing w:after="0" w:line="240" w:lineRule="auto"/>
        <w:jc w:val="both"/>
        <w:rPr>
          <w:rFonts w:ascii="Verdana" w:eastAsia="Times New Roman" w:hAnsi="Verdana" w:cs="Times New Roman"/>
          <w:sz w:val="20"/>
          <w:szCs w:val="20"/>
          <w:lang w:eastAsia="es-ES_tradnl"/>
        </w:rPr>
      </w:pPr>
    </w:p>
    <w:p w14:paraId="16D1687D" w14:textId="77777777" w:rsidR="00783B55" w:rsidRDefault="00783B55" w:rsidP="00783B55">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Por su parte, la Sala de Casación Civil de la Corte Suprema de Justicia también se pronunció en su momento sobre el alcance del contrato de corretaje de seguros. Sobre el particular manifestó lo siguiente:</w:t>
      </w:r>
    </w:p>
    <w:p w14:paraId="7AA24232" w14:textId="77777777" w:rsidR="00783B55" w:rsidRPr="003535A7" w:rsidRDefault="00783B55" w:rsidP="00783B55">
      <w:pPr>
        <w:spacing w:after="0" w:line="240" w:lineRule="auto"/>
        <w:ind w:firstLine="709"/>
        <w:jc w:val="both"/>
        <w:rPr>
          <w:rFonts w:ascii="Verdana" w:eastAsia="Times New Roman" w:hAnsi="Verdana" w:cs="Times New Roman"/>
          <w:lang w:eastAsia="es-ES_tradnl"/>
        </w:rPr>
      </w:pPr>
    </w:p>
    <w:p w14:paraId="3DD2809C" w14:textId="77777777" w:rsidR="00783B55" w:rsidRPr="00D650AC" w:rsidRDefault="00783B55" w:rsidP="00783B55">
      <w:pPr>
        <w:spacing w:after="0" w:line="240" w:lineRule="auto"/>
        <w:ind w:left="709" w:right="709"/>
        <w:jc w:val="both"/>
        <w:rPr>
          <w:rFonts w:ascii="Verdana" w:eastAsia="Times New Roman" w:hAnsi="Verdana" w:cs="Times New Roman"/>
          <w:sz w:val="20"/>
          <w:szCs w:val="20"/>
          <w:lang w:eastAsia="es-ES_tradnl"/>
        </w:rPr>
      </w:pPr>
      <w:r w:rsidRPr="00D650AC">
        <w:rPr>
          <w:rFonts w:ascii="Verdana" w:eastAsia="Times New Roman" w:hAnsi="Verdana" w:cs="Times New Roman"/>
          <w:sz w:val="20"/>
          <w:szCs w:val="20"/>
          <w:lang w:eastAsia="es-ES_tradnl"/>
        </w:rPr>
        <w:t xml:space="preserve">“El corredor, dicen las actas de la Comisión Revisora del Proyecto de Código de Comercio (1958), “toma la iniciativa del negocio y busca a los interesados a quienes proponérselo o insinuárselo, e, igualmente, relaciona a éstos con todas las personas que pueden servir a los fines del negocio en proyecto”. La labor del corredor se encamina a facilitar a las personas el acercamiento entre sí, la búsqueda, hallazgo y conclusión de los negocios, agregan las mismas actas. </w:t>
      </w:r>
    </w:p>
    <w:p w14:paraId="4F9CB1AB" w14:textId="77777777" w:rsidR="00783B55" w:rsidRDefault="00783B55" w:rsidP="00783B55">
      <w:pPr>
        <w:spacing w:after="0" w:line="240" w:lineRule="auto"/>
        <w:ind w:left="709" w:right="709"/>
        <w:jc w:val="both"/>
        <w:rPr>
          <w:rFonts w:ascii="Verdana" w:eastAsia="Times New Roman" w:hAnsi="Verdana" w:cs="Times New Roman"/>
          <w:sz w:val="20"/>
          <w:szCs w:val="20"/>
          <w:lang w:eastAsia="es-ES_tradnl"/>
        </w:rPr>
      </w:pPr>
    </w:p>
    <w:p w14:paraId="4958D486" w14:textId="77777777" w:rsidR="00783B55" w:rsidRPr="00D650AC" w:rsidRDefault="00783B55" w:rsidP="00783B55">
      <w:pPr>
        <w:spacing w:after="0" w:line="240" w:lineRule="auto"/>
        <w:ind w:left="709" w:right="709"/>
        <w:jc w:val="both"/>
        <w:rPr>
          <w:rFonts w:ascii="Verdana" w:eastAsia="Times New Roman" w:hAnsi="Verdana" w:cs="Times New Roman"/>
          <w:sz w:val="20"/>
          <w:szCs w:val="20"/>
          <w:lang w:eastAsia="es-ES_tradnl"/>
        </w:rPr>
      </w:pPr>
      <w:r w:rsidRPr="00D650AC">
        <w:rPr>
          <w:rFonts w:ascii="Verdana" w:eastAsia="Times New Roman" w:hAnsi="Verdana" w:cs="Times New Roman"/>
          <w:sz w:val="20"/>
          <w:szCs w:val="20"/>
          <w:lang w:eastAsia="es-ES_tradnl"/>
        </w:rPr>
        <w:t xml:space="preserve">De manera que los corredores son aquellas personas que por virtud del conocimiento del mercado, y con él la idoneidad y el grado de calificación que éste otorga, tienen como rol profesional y funcional, amén de típico, la intermediación que se ha venido explicando, sin vinculación con ninguna de las partes del futuro contrato, ya por trabajo, ora por mandato o representación, puesto que son independientes, y los de seguros, constituidos como empresa con ese objeto social... </w:t>
      </w:r>
    </w:p>
    <w:p w14:paraId="6FDDE5A1" w14:textId="77777777" w:rsidR="00783B55" w:rsidRDefault="00783B55" w:rsidP="00783B55">
      <w:pPr>
        <w:spacing w:after="0" w:line="240" w:lineRule="auto"/>
        <w:ind w:left="709" w:right="709"/>
        <w:jc w:val="both"/>
        <w:rPr>
          <w:rFonts w:ascii="Verdana" w:eastAsia="Times New Roman" w:hAnsi="Verdana" w:cs="Times New Roman"/>
          <w:sz w:val="20"/>
          <w:szCs w:val="20"/>
          <w:lang w:eastAsia="es-ES_tradnl"/>
        </w:rPr>
      </w:pPr>
    </w:p>
    <w:p w14:paraId="2EBF403C" w14:textId="77777777" w:rsidR="00783B55" w:rsidRPr="00D650AC" w:rsidRDefault="00783B55" w:rsidP="00783B55">
      <w:pPr>
        <w:spacing w:after="0" w:line="240" w:lineRule="auto"/>
        <w:ind w:left="709" w:right="709"/>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r w:rsidRPr="00D650AC">
        <w:rPr>
          <w:rFonts w:ascii="Verdana" w:eastAsia="Times New Roman" w:hAnsi="Verdana" w:cs="Times New Roman"/>
          <w:sz w:val="20"/>
          <w:szCs w:val="20"/>
          <w:lang w:eastAsia="es-ES_tradnl"/>
        </w:rPr>
        <w:t xml:space="preserve"> </w:t>
      </w:r>
    </w:p>
    <w:p w14:paraId="7A100341" w14:textId="77777777" w:rsidR="00783B55" w:rsidRDefault="00783B55" w:rsidP="00783B55">
      <w:pPr>
        <w:spacing w:after="0" w:line="240" w:lineRule="auto"/>
        <w:ind w:left="709" w:right="709"/>
        <w:jc w:val="both"/>
        <w:rPr>
          <w:rFonts w:ascii="Verdana" w:eastAsia="Times New Roman" w:hAnsi="Verdana" w:cs="Times New Roman"/>
          <w:sz w:val="20"/>
          <w:szCs w:val="20"/>
          <w:lang w:eastAsia="es-ES_tradnl"/>
        </w:rPr>
      </w:pPr>
    </w:p>
    <w:p w14:paraId="5359BD10" w14:textId="77777777" w:rsidR="00783B55" w:rsidRPr="00D650AC" w:rsidRDefault="00783B55" w:rsidP="00783B55">
      <w:pPr>
        <w:spacing w:after="0" w:line="240" w:lineRule="auto"/>
        <w:ind w:left="709" w:right="709"/>
        <w:jc w:val="both"/>
        <w:rPr>
          <w:rFonts w:ascii="Verdana" w:eastAsia="Times New Roman" w:hAnsi="Verdana" w:cs="Times New Roman"/>
          <w:sz w:val="20"/>
          <w:szCs w:val="20"/>
          <w:lang w:eastAsia="es-ES_tradnl"/>
        </w:rPr>
      </w:pPr>
      <w:r w:rsidRPr="00D650AC">
        <w:rPr>
          <w:rFonts w:ascii="Verdana" w:eastAsia="Times New Roman" w:hAnsi="Verdana" w:cs="Times New Roman"/>
          <w:sz w:val="20"/>
          <w:szCs w:val="20"/>
          <w:lang w:eastAsia="es-ES_tradnl"/>
        </w:rPr>
        <w:t>Por lo demás..., resulta importante anotar que en los tiempos de hoy se admite como labor apropiada, sin que tal circunstancia afecte la esencia de la institución, aquella que se sitúa en la fase precontractual de promoción del contrato de seguro, o en la ejecución y desarrollo del mismo, como ejercicio de una asesoría encuadrada dentro de un ámbito de conexidad o complementariedad del objeto social exclusivo de los corredores; descartándose, eso sí, en consideración a esa capacidad jurídica y al objeto social, gestiones de asesoramiento desligadas de la actividad fundamental y principal.</w:t>
      </w:r>
    </w:p>
    <w:p w14:paraId="34B6F0BF" w14:textId="77777777" w:rsidR="00783B55" w:rsidRDefault="00783B55" w:rsidP="00783B55">
      <w:pPr>
        <w:spacing w:after="0" w:line="240" w:lineRule="auto"/>
        <w:ind w:left="709" w:right="709"/>
        <w:jc w:val="both"/>
        <w:rPr>
          <w:rFonts w:ascii="Verdana" w:eastAsia="Times New Roman" w:hAnsi="Verdana" w:cs="Times New Roman"/>
          <w:sz w:val="20"/>
          <w:szCs w:val="20"/>
          <w:lang w:eastAsia="es-ES_tradnl"/>
        </w:rPr>
      </w:pPr>
    </w:p>
    <w:p w14:paraId="693E925F" w14:textId="77777777" w:rsidR="00783B55" w:rsidRPr="00D650AC" w:rsidRDefault="00783B55" w:rsidP="00783B55">
      <w:pPr>
        <w:spacing w:after="0" w:line="240" w:lineRule="auto"/>
        <w:ind w:left="709" w:right="709"/>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r w:rsidRPr="00D650AC">
        <w:rPr>
          <w:rFonts w:ascii="Verdana" w:eastAsia="Times New Roman" w:hAnsi="Verdana" w:cs="Times New Roman"/>
          <w:sz w:val="20"/>
          <w:szCs w:val="20"/>
          <w:lang w:eastAsia="es-ES_tradnl"/>
        </w:rPr>
        <w:t xml:space="preserve"> En este orden de ideas, la Corte considera que sólo en la medida en que se verificara una actividad dirigida a ofrecer seguros, promover su celebración y obtener su renovación, que es la actividad intermediadora que establece el artículo 1347 del C. de Comercio, se estaría en presencia de un contrato de corretaje. Otras funciones, entre ellas la asesoría para la elaboración del pliego de licitación (sic), puede adicionar o complementar la actividad del corredor, pero per se y aisladamente consideradas, no pueden estructurar el contrato de corretaje. De modo que la asesoría así prestada... correspondería con independencia de su eficacia a un contrato de prestación de servicios o a otro de naturaleza similar, pero no a uno de corretaje, pues se repite como colofón, las labores propias del corredor como actividad subsiguiente a la asesoría para la elaboración del pliego de licitación, no se logran verificar, así sea cierto que el resultado de la convocatoria pública haya sido la celebración de diferentes contratos de seguro con varias compañías aseguradoras”</w:t>
      </w:r>
      <w:r w:rsidRPr="00D650AC">
        <w:rPr>
          <w:rFonts w:ascii="Verdana" w:eastAsia="Times New Roman" w:hAnsi="Verdana" w:cs="Times New Roman"/>
          <w:sz w:val="20"/>
          <w:szCs w:val="20"/>
          <w:vertAlign w:val="superscript"/>
          <w:lang w:eastAsia="es-ES_tradnl"/>
        </w:rPr>
        <w:footnoteReference w:id="7"/>
      </w:r>
      <w:r w:rsidRPr="00D650AC">
        <w:rPr>
          <w:rFonts w:ascii="Verdana" w:eastAsia="Times New Roman" w:hAnsi="Verdana" w:cs="Times New Roman"/>
          <w:sz w:val="20"/>
          <w:szCs w:val="20"/>
          <w:lang w:eastAsia="es-ES_tradnl"/>
        </w:rPr>
        <w:t>.</w:t>
      </w:r>
    </w:p>
    <w:p w14:paraId="20822F30" w14:textId="77777777" w:rsidR="00783B55" w:rsidRDefault="00783B55" w:rsidP="00783B55">
      <w:pPr>
        <w:spacing w:after="0" w:line="240" w:lineRule="auto"/>
        <w:ind w:firstLine="709"/>
        <w:jc w:val="both"/>
        <w:rPr>
          <w:rFonts w:ascii="Verdana" w:eastAsia="Times New Roman" w:hAnsi="Verdana" w:cs="Times New Roman"/>
          <w:lang w:eastAsia="es-ES_tradnl"/>
        </w:rPr>
      </w:pPr>
    </w:p>
    <w:p w14:paraId="3D5914C3" w14:textId="77777777" w:rsidR="00783B55" w:rsidRPr="003535A7" w:rsidRDefault="00783B55" w:rsidP="00783B55">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 xml:space="preserve">En </w:t>
      </w:r>
      <w:r>
        <w:rPr>
          <w:rFonts w:ascii="Verdana" w:eastAsia="Times New Roman" w:hAnsi="Verdana" w:cs="Times New Roman"/>
          <w:lang w:eastAsia="es-ES_tradnl"/>
        </w:rPr>
        <w:t>línea</w:t>
      </w:r>
      <w:r w:rsidRPr="003535A7">
        <w:rPr>
          <w:rFonts w:ascii="Verdana" w:eastAsia="Times New Roman" w:hAnsi="Verdana" w:cs="Times New Roman"/>
          <w:lang w:eastAsia="es-ES_tradnl"/>
        </w:rPr>
        <w:t xml:space="preserve"> con las posturas señaladas, desde un sector de la doctrina nacional se ha explicado que las actividades que comprenden de manera esencial el contrato de intermediación o corretaje de seguros son aquellas a concretar el acercamiento entre el comprador del seguro y la compañía aseguradora. En particular resultan relevantes la siguientes consideraciones: “[P]</w:t>
      </w:r>
      <w:proofErr w:type="spellStart"/>
      <w:r w:rsidRPr="003535A7">
        <w:rPr>
          <w:rFonts w:ascii="Verdana" w:eastAsia="Times New Roman" w:hAnsi="Verdana" w:cs="Times New Roman"/>
          <w:lang w:eastAsia="es-ES_tradnl"/>
        </w:rPr>
        <w:t>articipa</w:t>
      </w:r>
      <w:proofErr w:type="spellEnd"/>
      <w:r w:rsidRPr="003535A7">
        <w:rPr>
          <w:rFonts w:ascii="Verdana" w:eastAsia="Times New Roman" w:hAnsi="Verdana" w:cs="Times New Roman"/>
          <w:lang w:eastAsia="es-ES_tradnl"/>
        </w:rPr>
        <w:t xml:space="preserve"> de una estructura especial que permite distinguirlo como un contrato autónomo e independiente, como, por ejemplo, las específicas exigencias de idoneidad, profesionalismo y moralidad exigidas para su ejercicio, el régimen de remuneración, así como que la esencia de la intermediación se encuentra en el acercamiento entre las partes del futuro negocio y no propiamente en la asesoría que se presta luego del perfeccionamiento del contrato de seguros, la cual es un elemento adicional y complementario a la gestión de promoción y aproximación ética del negocio”</w:t>
      </w:r>
      <w:r w:rsidRPr="003535A7">
        <w:rPr>
          <w:rFonts w:ascii="Verdana" w:eastAsia="Times New Roman" w:hAnsi="Verdana" w:cs="Times New Roman"/>
          <w:vertAlign w:val="superscript"/>
          <w:lang w:eastAsia="es-ES_tradnl"/>
        </w:rPr>
        <w:footnoteReference w:id="8"/>
      </w:r>
      <w:r w:rsidRPr="003535A7">
        <w:rPr>
          <w:rFonts w:ascii="Verdana" w:eastAsia="Times New Roman" w:hAnsi="Verdana" w:cs="Times New Roman"/>
          <w:lang w:eastAsia="es-ES_tradnl"/>
        </w:rPr>
        <w:t>.</w:t>
      </w:r>
    </w:p>
    <w:p w14:paraId="1D7E4BE4" w14:textId="77777777" w:rsidR="00783B55" w:rsidRDefault="00783B55" w:rsidP="00783B55">
      <w:pPr>
        <w:spacing w:after="120" w:line="276" w:lineRule="auto"/>
        <w:jc w:val="both"/>
        <w:rPr>
          <w:rFonts w:ascii="Verdana" w:eastAsia="Times New Roman" w:hAnsi="Verdana" w:cs="Times New Roman"/>
          <w:lang w:eastAsia="es-ES_tradnl"/>
        </w:rPr>
      </w:pPr>
      <w:r w:rsidRPr="003535A7">
        <w:rPr>
          <w:rFonts w:ascii="Verdana" w:eastAsia="Times New Roman" w:hAnsi="Verdana" w:cs="Times New Roman"/>
          <w:lang w:eastAsia="es-ES_tradnl"/>
        </w:rPr>
        <w:t xml:space="preserve">     </w:t>
      </w:r>
      <w:r w:rsidRPr="003535A7">
        <w:rPr>
          <w:rFonts w:ascii="Verdana" w:eastAsia="Times New Roman" w:hAnsi="Verdana" w:cs="Times New Roman"/>
          <w:lang w:eastAsia="es-ES_tradnl"/>
        </w:rPr>
        <w:tab/>
        <w:t xml:space="preserve">Conforme a lo anterior, la jurisprudencia y la doctrina coinciden en que el contrato de corretaje o intermediación de seguros reviste una naturaleza jurídica propia y autónoma, regida por disposiciones del Código de Comercio y las normas que regulan la actividad aseguradora. De acuerdo con lo aquí explicado, el corredor de seguros celebra los contratos de intermediación con el tomador y </w:t>
      </w:r>
      <w:r w:rsidRPr="003535A7">
        <w:rPr>
          <w:rFonts w:ascii="Verdana" w:eastAsia="Times New Roman" w:hAnsi="Verdana" w:cs="Times New Roman"/>
          <w:lang w:eastAsia="es-ES_tradnl"/>
        </w:rPr>
        <w:lastRenderedPageBreak/>
        <w:t>con el asegurador, adquiriendo obligaciones que cumple, en el primer caso, de manera gratuita, y en el segundo, a cambio de una comisión aleatoria, pagadera en caso de concretarse la celebración de un contrato de seguro.</w:t>
      </w:r>
    </w:p>
    <w:p w14:paraId="11323582" w14:textId="77777777" w:rsidR="00783B55" w:rsidRDefault="00783B55" w:rsidP="00783B55">
      <w:pPr>
        <w:spacing w:after="120" w:line="276" w:lineRule="auto"/>
        <w:ind w:firstLine="709"/>
        <w:jc w:val="both"/>
        <w:rPr>
          <w:rFonts w:ascii="Verdana" w:eastAsia="Times New Roman" w:hAnsi="Verdana" w:cs="Times New Roman"/>
          <w:lang w:eastAsia="es-ES_tradnl"/>
        </w:rPr>
      </w:pPr>
      <w:r w:rsidRPr="003535A7">
        <w:rPr>
          <w:rFonts w:ascii="Verdana" w:eastAsia="Times New Roman" w:hAnsi="Verdana" w:cs="Times New Roman"/>
          <w:lang w:eastAsia="es-ES_tradnl"/>
        </w:rPr>
        <w:t>En la práctica negocial de las Entidades Estatales</w:t>
      </w:r>
      <w:r>
        <w:rPr>
          <w:rFonts w:ascii="Verdana" w:eastAsia="Times New Roman" w:hAnsi="Verdana" w:cs="Times New Roman"/>
          <w:lang w:eastAsia="es-ES_tradnl"/>
        </w:rPr>
        <w:t>,</w:t>
      </w:r>
      <w:r w:rsidRPr="003535A7">
        <w:rPr>
          <w:rFonts w:ascii="Verdana" w:eastAsia="Times New Roman" w:hAnsi="Verdana" w:cs="Times New Roman"/>
          <w:lang w:eastAsia="es-ES_tradnl"/>
        </w:rPr>
        <w:t xml:space="preserve"> es común la contratación de intermediarios de seguros, a quienes, por lo general, se acude en aras de contar con un tercero con un amplio conocimiento del mercado de seguros que le facilite tomar las mejores decisiones para satisfacer la demanda de aseguramiento de los bienes e intereses patrimoniales de las entidades, de conformidad </w:t>
      </w:r>
      <w:r>
        <w:rPr>
          <w:rFonts w:ascii="Verdana" w:eastAsia="Times New Roman" w:hAnsi="Verdana" w:cs="Times New Roman"/>
          <w:lang w:eastAsia="es-ES_tradnl"/>
        </w:rPr>
        <w:t xml:space="preserve">con </w:t>
      </w:r>
      <w:r w:rsidRPr="003535A7">
        <w:rPr>
          <w:rFonts w:ascii="Verdana" w:eastAsia="Times New Roman" w:hAnsi="Verdana" w:cs="Times New Roman"/>
          <w:lang w:eastAsia="es-ES_tradnl"/>
        </w:rPr>
        <w:t xml:space="preserve">lo </w:t>
      </w:r>
      <w:r>
        <w:rPr>
          <w:rFonts w:ascii="Verdana" w:eastAsia="Times New Roman" w:hAnsi="Verdana" w:cs="Times New Roman"/>
          <w:lang w:eastAsia="es-ES_tradnl"/>
        </w:rPr>
        <w:t>señalado en</w:t>
      </w:r>
      <w:r w:rsidRPr="003535A7">
        <w:rPr>
          <w:rFonts w:ascii="Verdana" w:eastAsia="Times New Roman" w:hAnsi="Verdana" w:cs="Times New Roman"/>
          <w:lang w:eastAsia="es-ES_tradnl"/>
        </w:rPr>
        <w:t xml:space="preserve"> los artículos 38, 57 y 62 de la Ley 1952 de 2019, el artículo 107 de la Ley 42 de 1993, el artículo 62 de la Ley 45 de 1990, la Ley 80 de 1993, la Ley 1150 de 2007, la Ley 1474 de 2011, el Decreto Ley 019 de 2012, entre otras disposiciones que obligan a las entidades a contar con diferentes tipos de amparos. </w:t>
      </w:r>
    </w:p>
    <w:p w14:paraId="4E3B813C" w14:textId="77777777" w:rsidR="00783B55" w:rsidRDefault="00783B55" w:rsidP="00783B55">
      <w:pPr>
        <w:spacing w:after="120" w:line="276" w:lineRule="auto"/>
        <w:ind w:firstLine="709"/>
        <w:jc w:val="both"/>
        <w:rPr>
          <w:rFonts w:ascii="Verdana" w:eastAsia="Times New Roman" w:hAnsi="Verdana" w:cs="Times New Roman"/>
          <w:lang w:eastAsia="es-ES_tradnl"/>
        </w:rPr>
      </w:pPr>
      <w:r w:rsidRPr="003535A7">
        <w:rPr>
          <w:rFonts w:ascii="Verdana" w:eastAsia="Times New Roman" w:hAnsi="Verdana" w:cs="Times New Roman"/>
          <w:lang w:eastAsia="es-ES_tradnl"/>
        </w:rPr>
        <w:t>Tal relación entre los intermediarios de seguros y las Entidades Estatales desde luego debe concretarse a través de un contrato estatal con las formalidades previstas en los artículos 39, 40 y 41 de la Ley 80 de 1993, así como en otras disposiciones del EGCAP.</w:t>
      </w:r>
      <w:r>
        <w:rPr>
          <w:rFonts w:ascii="Verdana" w:eastAsia="Times New Roman" w:hAnsi="Verdana" w:cs="Times New Roman"/>
          <w:lang w:eastAsia="es-ES_tradnl"/>
        </w:rPr>
        <w:t xml:space="preserve"> En este sentido, l</w:t>
      </w:r>
      <w:r w:rsidRPr="003535A7">
        <w:rPr>
          <w:rFonts w:ascii="Verdana" w:eastAsia="Times New Roman" w:hAnsi="Verdana" w:cs="Times New Roman"/>
          <w:lang w:eastAsia="es-ES_tradnl"/>
        </w:rPr>
        <w:t>os contratos estatales de intermediación de seguros tampoco están exentos del deber de selección objetiva, por lo que deben ser celebrados con los intermediarios que realicen los ofrecimientos más favorables a la entidad y a los fines que ella busca, sin tener en consideración factores de afecto o de interés</w:t>
      </w:r>
      <w:r>
        <w:rPr>
          <w:rFonts w:ascii="Verdana" w:eastAsia="Times New Roman" w:hAnsi="Verdana" w:cs="Times New Roman"/>
          <w:lang w:eastAsia="es-ES_tradnl"/>
        </w:rPr>
        <w:t>, a través del procedimiento contractual que corresponda</w:t>
      </w:r>
      <w:r w:rsidRPr="003535A7">
        <w:rPr>
          <w:rFonts w:ascii="Verdana" w:eastAsia="Times New Roman" w:hAnsi="Verdana" w:cs="Times New Roman"/>
          <w:lang w:eastAsia="es-ES_tradnl"/>
        </w:rPr>
        <w:t xml:space="preserve">. </w:t>
      </w:r>
    </w:p>
    <w:p w14:paraId="5BD9BFCD" w14:textId="77777777" w:rsidR="00783B55" w:rsidRPr="003535A7" w:rsidRDefault="00783B55" w:rsidP="00783B55">
      <w:pPr>
        <w:spacing w:after="120" w:line="276" w:lineRule="auto"/>
        <w:ind w:firstLine="708"/>
        <w:jc w:val="both"/>
        <w:rPr>
          <w:rFonts w:ascii="Verdana" w:eastAsia="Times New Roman" w:hAnsi="Verdana" w:cs="Times New Roman"/>
          <w:lang w:eastAsia="es-ES_tradnl"/>
        </w:rPr>
      </w:pPr>
      <w:r>
        <w:rPr>
          <w:rFonts w:ascii="Verdana" w:eastAsia="Times New Roman" w:hAnsi="Verdana" w:cs="Times New Roman"/>
          <w:lang w:eastAsia="es-ES_tradnl"/>
        </w:rPr>
        <w:t xml:space="preserve">Al respecto, es pertinente señalar que </w:t>
      </w:r>
      <w:r w:rsidRPr="003535A7">
        <w:rPr>
          <w:rFonts w:ascii="Verdana" w:eastAsia="Times New Roman" w:hAnsi="Verdana" w:cs="Times New Roman"/>
          <w:lang w:eastAsia="es-ES_tradnl"/>
        </w:rPr>
        <w:t>en el Decreto 1082 de 2015, reglamentación vigente del EGCAP, no se contempló una norma se estable</w:t>
      </w:r>
      <w:r>
        <w:rPr>
          <w:rFonts w:ascii="Verdana" w:eastAsia="Times New Roman" w:hAnsi="Verdana" w:cs="Times New Roman"/>
          <w:lang w:eastAsia="es-ES_tradnl"/>
        </w:rPr>
        <w:t>zca</w:t>
      </w:r>
      <w:r w:rsidRPr="003535A7">
        <w:rPr>
          <w:rFonts w:ascii="Verdana" w:eastAsia="Times New Roman" w:hAnsi="Verdana" w:cs="Times New Roman"/>
          <w:lang w:eastAsia="es-ES_tradnl"/>
        </w:rPr>
        <w:t xml:space="preserve"> de manera expresa el procedimiento de selección aplicable a la contratación de intermediarios de seguros. En consideración esto, estima esta Agencia que </w:t>
      </w:r>
      <w:r>
        <w:rPr>
          <w:rFonts w:ascii="Verdana" w:eastAsia="Times New Roman" w:hAnsi="Verdana" w:cs="Times New Roman"/>
          <w:lang w:eastAsia="es-ES_tradnl"/>
        </w:rPr>
        <w:t>este</w:t>
      </w:r>
      <w:r w:rsidRPr="003535A7">
        <w:rPr>
          <w:rFonts w:ascii="Verdana" w:eastAsia="Times New Roman" w:hAnsi="Verdana" w:cs="Times New Roman"/>
          <w:lang w:eastAsia="es-ES_tradnl"/>
        </w:rPr>
        <w:t xml:space="preserve"> </w:t>
      </w:r>
      <w:r w:rsidRPr="003670EC">
        <w:rPr>
          <w:rFonts w:ascii="Verdana" w:eastAsia="Times New Roman" w:hAnsi="Verdana" w:cs="Times New Roman"/>
          <w:lang w:eastAsia="es-ES_tradnl"/>
        </w:rPr>
        <w:t xml:space="preserve">tipo de contrato debe necesariamente celebrarse de conformidad con lo dispuesto en el artículo 2.1 de la Ley 1150 de 2007, el cual establece que </w:t>
      </w:r>
      <w:r>
        <w:rPr>
          <w:rFonts w:ascii="Verdana" w:eastAsia="Times New Roman" w:hAnsi="Verdana" w:cs="Times New Roman"/>
          <w:lang w:eastAsia="es-ES_tradnl"/>
        </w:rPr>
        <w:t>“</w:t>
      </w:r>
      <w:r w:rsidRPr="003670EC">
        <w:rPr>
          <w:rFonts w:ascii="Verdana" w:eastAsia="Times New Roman" w:hAnsi="Verdana" w:cs="Times New Roman"/>
          <w:lang w:eastAsia="es-ES_tradnl"/>
        </w:rPr>
        <w:t>La escogencia del contratista se efectuará por regla general a través de licitación pública, con las excepciones que se señalan en los numerales 2, 3 y 4 del presente artículo”.</w:t>
      </w:r>
    </w:p>
    <w:p w14:paraId="4B9FEF9E" w14:textId="77777777" w:rsidR="00783B55" w:rsidRPr="003535A7" w:rsidRDefault="00783B55" w:rsidP="00783B55">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 xml:space="preserve">Lo anterior comoquiera que, de las características y naturaleza jurídica del contrato de intermediación de seguros, en principio, no se colige que el mismo se encuadre en alguna de las causales de contratación en atención a las cuales operan los procedimientos de selección abreviada, concurso de méritos o </w:t>
      </w:r>
      <w:r w:rsidRPr="003535A7">
        <w:rPr>
          <w:rFonts w:ascii="Verdana" w:eastAsia="Times New Roman" w:hAnsi="Verdana" w:cs="Times New Roman"/>
          <w:lang w:eastAsia="es-ES_tradnl"/>
        </w:rPr>
        <w:lastRenderedPageBreak/>
        <w:t>contratación directa. Esto además considerando que, en virtud de lo dispuesto en el artículo 1341 del Código de Comercio son las compañías aseguradoras quienes generalmente efectúan el pago de las comisiones, por lo que la modalidad de selección aplicable no puede ser la de mínima cuantía, en la que el único factor de evaluación es el menor precio, el cual no está determinado en este caso el caso de los contratos de intermediación de seguros pura y simple</w:t>
      </w:r>
      <w:r w:rsidRPr="003535A7">
        <w:rPr>
          <w:rFonts w:ascii="Verdana" w:eastAsia="Times New Roman" w:hAnsi="Verdana" w:cs="Times New Roman"/>
          <w:vertAlign w:val="superscript"/>
          <w:lang w:eastAsia="es-ES_tradnl"/>
        </w:rPr>
        <w:footnoteReference w:id="9"/>
      </w:r>
      <w:r w:rsidRPr="003535A7">
        <w:rPr>
          <w:rFonts w:ascii="Verdana" w:eastAsia="Times New Roman" w:hAnsi="Verdana" w:cs="Times New Roman"/>
          <w:lang w:eastAsia="es-ES_tradnl"/>
        </w:rPr>
        <w:t>.</w:t>
      </w:r>
    </w:p>
    <w:p w14:paraId="51B85990" w14:textId="77777777" w:rsidR="00783B55" w:rsidRDefault="00783B55" w:rsidP="00783B55">
      <w:pPr>
        <w:spacing w:after="120" w:line="276" w:lineRule="auto"/>
        <w:ind w:firstLine="709"/>
        <w:jc w:val="both"/>
        <w:rPr>
          <w:rFonts w:ascii="Verdana" w:eastAsia="Times New Roman" w:hAnsi="Verdana" w:cs="Times New Roman"/>
          <w:lang w:eastAsia="es-ES_tradnl"/>
        </w:rPr>
      </w:pPr>
      <w:r w:rsidRPr="003535A7">
        <w:rPr>
          <w:rFonts w:ascii="Verdana" w:eastAsia="Times New Roman" w:hAnsi="Verdana" w:cs="Times New Roman"/>
          <w:lang w:eastAsia="es-ES_tradnl"/>
        </w:rPr>
        <w:t>Sin perjuicio de lo anterior, es común que la contratación de la intermediación se haga en marco de contratos con objetos mixtos que tienden a incluir la formulación de planes de seguros en el marco de los cuales se concreta la demanda de aseguramiento de las entidades. Estos objetos tienden a incluir actividades como el manejo, seguimiento y administración de los referidos, las cuales son adicionales a la intermediación de los seguros en estricto sentido, en principio dirigida a satisfacer las necesidades de aseguramiento. A este tipo de contratistas se suele encargar incluso la elaboración de los Pliegos de Condiciones para la escogencia de las compañías de seguros, y en general, actividades de asesoría, cuestión que puede tener incidencia en la modalidad de selección aplicable, en caso del contrato a celebrarse cumpla con los elementos propios de una consultoría en los términos del artículo 32.2 de la Ley 80 de 1993</w:t>
      </w:r>
      <w:r>
        <w:rPr>
          <w:rFonts w:ascii="Verdana" w:eastAsia="Times New Roman" w:hAnsi="Verdana" w:cs="Times New Roman"/>
          <w:lang w:eastAsia="es-ES_tradnl"/>
        </w:rPr>
        <w:t xml:space="preserve">. </w:t>
      </w:r>
    </w:p>
    <w:p w14:paraId="2850C8FF" w14:textId="77777777" w:rsidR="00783B55" w:rsidRPr="002A0260" w:rsidRDefault="00783B55" w:rsidP="00783B55">
      <w:pPr>
        <w:spacing w:after="120" w:line="276" w:lineRule="auto"/>
        <w:ind w:firstLine="709"/>
        <w:jc w:val="both"/>
        <w:rPr>
          <w:rFonts w:ascii="Verdana" w:eastAsia="Times New Roman" w:hAnsi="Verdana" w:cs="Times New Roman"/>
          <w:lang w:eastAsia="es-ES_tradnl"/>
        </w:rPr>
      </w:pPr>
      <w:r w:rsidRPr="002A0260">
        <w:rPr>
          <w:rFonts w:ascii="Verdana" w:eastAsia="Times New Roman" w:hAnsi="Verdana" w:cs="Times New Roman"/>
          <w:lang w:eastAsia="es-ES_tradnl"/>
        </w:rPr>
        <w:t>Bajo estas consideraciones, se tiene que el contrato de intermediación de seguros constituye un negocio jurídico autónomo e independiente del contrato de seguro</w:t>
      </w:r>
      <w:r>
        <w:rPr>
          <w:rFonts w:ascii="Verdana" w:eastAsia="Times New Roman" w:hAnsi="Verdana" w:cs="Times New Roman"/>
          <w:lang w:eastAsia="es-ES_tradnl"/>
        </w:rPr>
        <w:t>, que se suscribe con la entidad estatal</w:t>
      </w:r>
      <w:r w:rsidRPr="002A0260">
        <w:rPr>
          <w:rFonts w:ascii="Verdana" w:eastAsia="Times New Roman" w:hAnsi="Verdana" w:cs="Times New Roman"/>
          <w:lang w:eastAsia="es-ES_tradnl"/>
        </w:rPr>
        <w:t xml:space="preserve">. En efecto, como lo ha señalado la jurisprudencia, aunque la labor del intermediario, por regla general, se extiende a </w:t>
      </w:r>
      <w:r>
        <w:rPr>
          <w:rFonts w:ascii="Verdana" w:eastAsia="Times New Roman" w:hAnsi="Verdana" w:cs="Times New Roman"/>
          <w:lang w:eastAsia="es-ES_tradnl"/>
        </w:rPr>
        <w:t>la</w:t>
      </w:r>
      <w:r w:rsidRPr="002A0260">
        <w:rPr>
          <w:rFonts w:ascii="Verdana" w:eastAsia="Times New Roman" w:hAnsi="Verdana" w:cs="Times New Roman"/>
          <w:lang w:eastAsia="es-ES_tradnl"/>
        </w:rPr>
        <w:t xml:space="preserve"> etapa de ejecución </w:t>
      </w:r>
      <w:r>
        <w:rPr>
          <w:rFonts w:ascii="Verdana" w:eastAsia="Times New Roman" w:hAnsi="Verdana" w:cs="Times New Roman"/>
          <w:lang w:eastAsia="es-ES_tradnl"/>
        </w:rPr>
        <w:t xml:space="preserve">del contrato de seguros </w:t>
      </w:r>
      <w:r w:rsidRPr="002A0260">
        <w:rPr>
          <w:rFonts w:ascii="Verdana" w:eastAsia="Times New Roman" w:hAnsi="Verdana" w:cs="Times New Roman"/>
          <w:lang w:eastAsia="es-ES_tradnl"/>
        </w:rPr>
        <w:t>mediante actividades de asesoría y acompañamiento al tomador o asegurado</w:t>
      </w:r>
      <w:r>
        <w:rPr>
          <w:rFonts w:ascii="Verdana" w:eastAsia="Times New Roman" w:hAnsi="Verdana" w:cs="Times New Roman"/>
          <w:lang w:eastAsia="es-ES_tradnl"/>
        </w:rPr>
        <w:t xml:space="preserve">, </w:t>
      </w:r>
      <w:r w:rsidRPr="002A0260">
        <w:rPr>
          <w:rFonts w:ascii="Verdana" w:eastAsia="Times New Roman" w:hAnsi="Verdana" w:cs="Times New Roman"/>
          <w:lang w:eastAsia="es-ES_tradnl"/>
        </w:rPr>
        <w:t xml:space="preserve">ello no significa que el contrato de intermediación </w:t>
      </w:r>
      <w:r>
        <w:rPr>
          <w:rFonts w:ascii="Verdana" w:eastAsia="Times New Roman" w:hAnsi="Verdana" w:cs="Times New Roman"/>
          <w:lang w:eastAsia="es-ES_tradnl"/>
        </w:rPr>
        <w:t xml:space="preserve">de seguros </w:t>
      </w:r>
      <w:r w:rsidRPr="002A0260">
        <w:rPr>
          <w:rFonts w:ascii="Verdana" w:eastAsia="Times New Roman" w:hAnsi="Verdana" w:cs="Times New Roman"/>
          <w:lang w:eastAsia="es-ES_tradnl"/>
        </w:rPr>
        <w:t>adquiera un carácter accesorio respecto del contrato de seguro ni que su existencia o ejecución se confunda con la de este último. Por el contrario, la</w:t>
      </w:r>
      <w:r>
        <w:rPr>
          <w:rFonts w:ascii="Verdana" w:eastAsia="Times New Roman" w:hAnsi="Verdana" w:cs="Times New Roman"/>
          <w:lang w:eastAsia="es-ES_tradnl"/>
        </w:rPr>
        <w:t>s</w:t>
      </w:r>
      <w:r w:rsidRPr="002A0260">
        <w:rPr>
          <w:rFonts w:ascii="Verdana" w:eastAsia="Times New Roman" w:hAnsi="Verdana" w:cs="Times New Roman"/>
          <w:lang w:eastAsia="es-ES_tradnl"/>
        </w:rPr>
        <w:t xml:space="preserve"> actividad</w:t>
      </w:r>
      <w:r>
        <w:rPr>
          <w:rFonts w:ascii="Verdana" w:eastAsia="Times New Roman" w:hAnsi="Verdana" w:cs="Times New Roman"/>
          <w:lang w:eastAsia="es-ES_tradnl"/>
        </w:rPr>
        <w:t>es</w:t>
      </w:r>
      <w:r w:rsidRPr="002A0260">
        <w:rPr>
          <w:rFonts w:ascii="Verdana" w:eastAsia="Times New Roman" w:hAnsi="Verdana" w:cs="Times New Roman"/>
          <w:lang w:eastAsia="es-ES_tradnl"/>
        </w:rPr>
        <w:t xml:space="preserve"> del intermediario durante la ejecución del contrato de seguro responde</w:t>
      </w:r>
      <w:r>
        <w:rPr>
          <w:rFonts w:ascii="Verdana" w:eastAsia="Times New Roman" w:hAnsi="Verdana" w:cs="Times New Roman"/>
          <w:lang w:eastAsia="es-ES_tradnl"/>
        </w:rPr>
        <w:t>n</w:t>
      </w:r>
      <w:r w:rsidRPr="002A0260">
        <w:rPr>
          <w:rFonts w:ascii="Verdana" w:eastAsia="Times New Roman" w:hAnsi="Verdana" w:cs="Times New Roman"/>
          <w:lang w:eastAsia="es-ES_tradnl"/>
        </w:rPr>
        <w:t xml:space="preserve"> al contenido propio de las obligaciones asumidas en el contrato de intermediación</w:t>
      </w:r>
      <w:r>
        <w:rPr>
          <w:rFonts w:ascii="Verdana" w:eastAsia="Times New Roman" w:hAnsi="Verdana" w:cs="Times New Roman"/>
          <w:lang w:eastAsia="es-ES_tradnl"/>
        </w:rPr>
        <w:t xml:space="preserve"> con la entidad estatal</w:t>
      </w:r>
      <w:r w:rsidRPr="002A0260">
        <w:rPr>
          <w:rFonts w:ascii="Verdana" w:eastAsia="Times New Roman" w:hAnsi="Verdana" w:cs="Times New Roman"/>
          <w:lang w:eastAsia="es-ES_tradnl"/>
        </w:rPr>
        <w:t>, sin afectar su naturaleza jurídica autónoma.</w:t>
      </w:r>
    </w:p>
    <w:p w14:paraId="3E3BB6C1" w14:textId="77777777" w:rsidR="00783B55" w:rsidRPr="002A0260" w:rsidRDefault="00783B55" w:rsidP="00783B55">
      <w:pPr>
        <w:spacing w:after="120" w:line="276" w:lineRule="auto"/>
        <w:ind w:firstLine="709"/>
        <w:jc w:val="both"/>
        <w:rPr>
          <w:rFonts w:ascii="Verdana" w:eastAsia="Times New Roman" w:hAnsi="Verdana" w:cs="Times New Roman"/>
          <w:lang w:eastAsia="es-ES_tradnl"/>
        </w:rPr>
      </w:pPr>
      <w:r w:rsidRPr="002A0260">
        <w:rPr>
          <w:rFonts w:ascii="Verdana" w:eastAsia="Times New Roman" w:hAnsi="Verdana" w:cs="Times New Roman"/>
          <w:lang w:eastAsia="es-ES_tradnl"/>
        </w:rPr>
        <w:t xml:space="preserve">De igual forma, el hecho de que la comisión del intermediario sea asumida por la compañía aseguradora, en los términos previstos en la regulación </w:t>
      </w:r>
      <w:r w:rsidRPr="002A0260">
        <w:rPr>
          <w:rFonts w:ascii="Verdana" w:eastAsia="Times New Roman" w:hAnsi="Verdana" w:cs="Times New Roman"/>
          <w:lang w:eastAsia="es-ES_tradnl"/>
        </w:rPr>
        <w:lastRenderedPageBreak/>
        <w:t>aplicable, tampoco desvirtúa la independencia del contrato de intermediación. La forma en que se remunera la actividad del corredor constituye un aspecto propio de</w:t>
      </w:r>
      <w:r>
        <w:rPr>
          <w:rFonts w:ascii="Verdana" w:eastAsia="Times New Roman" w:hAnsi="Verdana" w:cs="Times New Roman"/>
          <w:lang w:eastAsia="es-ES_tradnl"/>
        </w:rPr>
        <w:t xml:space="preserve"> este tipo de contratos</w:t>
      </w:r>
      <w:r w:rsidRPr="002A0260">
        <w:rPr>
          <w:rFonts w:ascii="Verdana" w:eastAsia="Times New Roman" w:hAnsi="Verdana" w:cs="Times New Roman"/>
          <w:lang w:eastAsia="es-ES_tradnl"/>
        </w:rPr>
        <w:t xml:space="preserve"> pero no modifica la naturaleza de la relación jurídica existente entre las partes ni implica que el contrato de intermediación quede supeditado al contrato de seguro.</w:t>
      </w:r>
    </w:p>
    <w:p w14:paraId="13DED4F8" w14:textId="77777777" w:rsidR="00783B55" w:rsidRDefault="00783B55" w:rsidP="00783B55">
      <w:pPr>
        <w:spacing w:after="120" w:line="276" w:lineRule="auto"/>
        <w:ind w:firstLine="709"/>
        <w:jc w:val="both"/>
        <w:rPr>
          <w:rFonts w:ascii="Verdana" w:eastAsia="Times New Roman" w:hAnsi="Verdana" w:cs="Times New Roman"/>
          <w:lang w:eastAsia="es-ES_tradnl"/>
        </w:rPr>
      </w:pPr>
      <w:bookmarkStart w:id="2" w:name="_Hlk91231640"/>
      <w:r w:rsidRPr="002A0260">
        <w:rPr>
          <w:rFonts w:ascii="Verdana" w:eastAsia="Times New Roman" w:hAnsi="Verdana" w:cs="Times New Roman"/>
          <w:lang w:eastAsia="es-ES_tradnl"/>
        </w:rPr>
        <w:t>En ese sentido, el carácter autónomo del contrato de intermediación supone que este cuenta con un objeto propio, obligaciones específicas, condiciones particulares y un plazo</w:t>
      </w:r>
      <w:r>
        <w:rPr>
          <w:rFonts w:ascii="Verdana" w:eastAsia="Times New Roman" w:hAnsi="Verdana" w:cs="Times New Roman"/>
          <w:lang w:eastAsia="es-ES_tradnl"/>
        </w:rPr>
        <w:t xml:space="preserve"> de ejecución</w:t>
      </w:r>
      <w:r w:rsidRPr="002A0260">
        <w:rPr>
          <w:rFonts w:ascii="Verdana" w:eastAsia="Times New Roman" w:hAnsi="Verdana" w:cs="Times New Roman"/>
          <w:lang w:eastAsia="es-ES_tradnl"/>
        </w:rPr>
        <w:t>. Así, aun cuando las actividades de intermediación puedan desarrollarse de manera paralela a la ejecución del contrato de seguro</w:t>
      </w:r>
      <w:r>
        <w:rPr>
          <w:rFonts w:ascii="Verdana" w:eastAsia="Times New Roman" w:hAnsi="Verdana" w:cs="Times New Roman"/>
          <w:lang w:eastAsia="es-ES_tradnl"/>
        </w:rPr>
        <w:t xml:space="preserve"> y tengan relación con las pólizas expedidas en el marco de este</w:t>
      </w:r>
      <w:r w:rsidRPr="002A0260">
        <w:rPr>
          <w:rFonts w:ascii="Verdana" w:eastAsia="Times New Roman" w:hAnsi="Verdana" w:cs="Times New Roman"/>
          <w:lang w:eastAsia="es-ES_tradnl"/>
        </w:rPr>
        <w:t>, la obligación del intermediario de prestar sus servicios se encuentra limitada por el término de ejecución pactado en el respectivo contrato de intermediación</w:t>
      </w:r>
      <w:r>
        <w:rPr>
          <w:rFonts w:ascii="Verdana" w:eastAsia="Times New Roman" w:hAnsi="Verdana" w:cs="Times New Roman"/>
          <w:lang w:eastAsia="es-ES_tradnl"/>
        </w:rPr>
        <w:t xml:space="preserve"> de seguros</w:t>
      </w:r>
      <w:r w:rsidRPr="002A0260">
        <w:rPr>
          <w:rFonts w:ascii="Verdana" w:eastAsia="Times New Roman" w:hAnsi="Verdana" w:cs="Times New Roman"/>
          <w:lang w:eastAsia="es-ES_tradnl"/>
        </w:rPr>
        <w:t>. En consecuencia, una vez finalizad</w:t>
      </w:r>
      <w:r>
        <w:rPr>
          <w:rFonts w:ascii="Verdana" w:eastAsia="Times New Roman" w:hAnsi="Verdana" w:cs="Times New Roman"/>
          <w:lang w:eastAsia="es-ES_tradnl"/>
        </w:rPr>
        <w:t>a las condiciones en cuanto al plazo de ejecución</w:t>
      </w:r>
      <w:r w:rsidRPr="002A0260">
        <w:rPr>
          <w:rFonts w:ascii="Verdana" w:eastAsia="Times New Roman" w:hAnsi="Verdana" w:cs="Times New Roman"/>
          <w:lang w:eastAsia="es-ES_tradnl"/>
        </w:rPr>
        <w:t xml:space="preserve"> y cumplidas las obligacione</w:t>
      </w:r>
      <w:r>
        <w:rPr>
          <w:rFonts w:ascii="Verdana" w:eastAsia="Times New Roman" w:hAnsi="Verdana" w:cs="Times New Roman"/>
          <w:lang w:eastAsia="es-ES_tradnl"/>
        </w:rPr>
        <w:t>s contractuales</w:t>
      </w:r>
      <w:r w:rsidRPr="002A0260">
        <w:rPr>
          <w:rFonts w:ascii="Verdana" w:eastAsia="Times New Roman" w:hAnsi="Verdana" w:cs="Times New Roman"/>
          <w:lang w:eastAsia="es-ES_tradnl"/>
        </w:rPr>
        <w:t>, cesa el deber del intermediario de continuar prestando los servicios para los cuales fue contratado</w:t>
      </w:r>
      <w:r>
        <w:rPr>
          <w:rFonts w:ascii="Verdana" w:eastAsia="Times New Roman" w:hAnsi="Verdana" w:cs="Times New Roman"/>
          <w:lang w:eastAsia="es-ES_tradnl"/>
        </w:rPr>
        <w:t>.</w:t>
      </w:r>
    </w:p>
    <w:p w14:paraId="669CF32D" w14:textId="77777777" w:rsidR="00783B55" w:rsidRDefault="00783B55" w:rsidP="00783B55">
      <w:pPr>
        <w:spacing w:after="120" w:line="276" w:lineRule="auto"/>
        <w:ind w:firstLine="709"/>
        <w:jc w:val="both"/>
        <w:rPr>
          <w:rFonts w:ascii="Verdana" w:eastAsia="Times New Roman" w:hAnsi="Verdana" w:cs="Times New Roman"/>
          <w:lang w:eastAsia="es-ES_tradnl"/>
        </w:rPr>
      </w:pPr>
      <w:r w:rsidRPr="009A3F03">
        <w:rPr>
          <w:rFonts w:ascii="Verdana" w:eastAsia="Times New Roman" w:hAnsi="Verdana" w:cs="Times New Roman"/>
          <w:lang w:eastAsia="es-ES_tradnl"/>
        </w:rPr>
        <w:t xml:space="preserve">Bajo esta lógica, </w:t>
      </w:r>
      <w:r>
        <w:rPr>
          <w:rFonts w:ascii="Verdana" w:eastAsia="Times New Roman" w:hAnsi="Verdana" w:cs="Times New Roman"/>
          <w:lang w:eastAsia="es-ES_tradnl"/>
        </w:rPr>
        <w:t xml:space="preserve">el corredor de seguros adelantará su gestión ateniendo </w:t>
      </w:r>
      <w:r w:rsidRPr="009A3F03">
        <w:rPr>
          <w:rFonts w:ascii="Verdana" w:eastAsia="Times New Roman" w:hAnsi="Verdana" w:cs="Times New Roman"/>
          <w:lang w:eastAsia="es-ES_tradnl"/>
        </w:rPr>
        <w:t xml:space="preserve">al alcance de las obligaciones </w:t>
      </w:r>
      <w:r>
        <w:rPr>
          <w:rFonts w:ascii="Verdana" w:eastAsia="Times New Roman" w:hAnsi="Verdana" w:cs="Times New Roman"/>
          <w:lang w:eastAsia="es-ES_tradnl"/>
        </w:rPr>
        <w:t>pactadas</w:t>
      </w:r>
      <w:r w:rsidRPr="009A3F03">
        <w:rPr>
          <w:rFonts w:ascii="Verdana" w:eastAsia="Times New Roman" w:hAnsi="Verdana" w:cs="Times New Roman"/>
          <w:lang w:eastAsia="es-ES_tradnl"/>
        </w:rPr>
        <w:t xml:space="preserve">, así como a las reglas relativas al plazo de ejecución, vigencia y terminación del contrato de corretaje establecidas </w:t>
      </w:r>
      <w:r>
        <w:rPr>
          <w:rFonts w:ascii="Verdana" w:eastAsia="Times New Roman" w:hAnsi="Verdana" w:cs="Times New Roman"/>
          <w:lang w:eastAsia="es-ES_tradnl"/>
        </w:rPr>
        <w:t xml:space="preserve">por </w:t>
      </w:r>
      <w:r w:rsidRPr="009A3F03">
        <w:rPr>
          <w:rFonts w:ascii="Verdana" w:eastAsia="Times New Roman" w:hAnsi="Verdana" w:cs="Times New Roman"/>
          <w:lang w:eastAsia="es-ES_tradnl"/>
        </w:rPr>
        <w:t>la entidad estatal.</w:t>
      </w:r>
      <w:r>
        <w:rPr>
          <w:rFonts w:ascii="Verdana" w:eastAsia="Times New Roman" w:hAnsi="Verdana" w:cs="Times New Roman"/>
          <w:lang w:eastAsia="es-ES_tradnl"/>
        </w:rPr>
        <w:t xml:space="preserve"> Por consiguiente</w:t>
      </w:r>
      <w:r w:rsidRPr="009A3F03">
        <w:rPr>
          <w:rFonts w:ascii="Verdana" w:eastAsia="Times New Roman" w:hAnsi="Verdana" w:cs="Times New Roman"/>
          <w:lang w:eastAsia="es-ES_tradnl"/>
        </w:rPr>
        <w:t>, el derecho al reconocimiento de la comisión se encuentra vinculado a la efectiva ejecución de las actividades que, conforme al contrato de intermediación, correspondan al corredor de seguros durante el plazo de ejecución y la vigencia previst</w:t>
      </w:r>
      <w:r>
        <w:rPr>
          <w:rFonts w:ascii="Verdana" w:eastAsia="Times New Roman" w:hAnsi="Verdana" w:cs="Times New Roman"/>
          <w:lang w:eastAsia="es-ES_tradnl"/>
        </w:rPr>
        <w:t>a</w:t>
      </w:r>
      <w:r w:rsidRPr="009A3F03">
        <w:rPr>
          <w:rFonts w:ascii="Verdana" w:eastAsia="Times New Roman" w:hAnsi="Verdana" w:cs="Times New Roman"/>
          <w:lang w:eastAsia="es-ES_tradnl"/>
        </w:rPr>
        <w:t xml:space="preserve"> para el desarrollo de tales obligaciones. Así, en la medida en que el corredor ejecute las gestiones que le son exigibles en los términos del contrato de corretaje, </w:t>
      </w:r>
      <w:r>
        <w:rPr>
          <w:rFonts w:ascii="Verdana" w:eastAsia="Times New Roman" w:hAnsi="Verdana" w:cs="Times New Roman"/>
          <w:lang w:eastAsia="es-ES_tradnl"/>
        </w:rPr>
        <w:t xml:space="preserve">en principio, </w:t>
      </w:r>
      <w:r w:rsidRPr="009A3F03">
        <w:rPr>
          <w:rFonts w:ascii="Verdana" w:eastAsia="Times New Roman" w:hAnsi="Verdana" w:cs="Times New Roman"/>
          <w:lang w:eastAsia="es-ES_tradnl"/>
        </w:rPr>
        <w:t>surgirá para la compañía aseguradora el deber de reconocer la comisión correspondiente, de acuerdo con las condiciones y porcentajes establecidos en dicho contrato y en la regulación aplicable, sin perjuicio de las particularidades que la entidad estatal haya previsto respecto de la terminación del contrato de intermediació</w:t>
      </w:r>
      <w:r>
        <w:rPr>
          <w:rFonts w:ascii="Verdana" w:eastAsia="Times New Roman" w:hAnsi="Verdana" w:cs="Times New Roman"/>
          <w:lang w:eastAsia="es-ES_tradnl"/>
        </w:rPr>
        <w:t>n.</w:t>
      </w:r>
    </w:p>
    <w:p w14:paraId="2E29F152" w14:textId="77777777" w:rsidR="00783B55" w:rsidRPr="000305E5" w:rsidRDefault="00783B55" w:rsidP="00783B55">
      <w:pPr>
        <w:spacing w:after="120" w:line="276" w:lineRule="auto"/>
        <w:ind w:firstLine="709"/>
        <w:jc w:val="both"/>
        <w:rPr>
          <w:rFonts w:ascii="Verdana" w:eastAsia="Arial" w:hAnsi="Verdana" w:cs="Arial"/>
          <w:color w:val="000000"/>
          <w:lang w:eastAsia="es-CO"/>
        </w:rPr>
      </w:pPr>
      <w:r w:rsidRPr="001450CA">
        <w:rPr>
          <w:rFonts w:ascii="Verdana"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w:t>
      </w:r>
      <w:r w:rsidRPr="001450CA">
        <w:rPr>
          <w:rFonts w:ascii="Verdana" w:hAnsi="Verdana" w:cs="Arial"/>
          <w:bCs/>
          <w:color w:val="000000" w:themeColor="text1"/>
        </w:rPr>
        <w:lastRenderedPageBreak/>
        <w:t>solución de situaciones particulares corresponde a los interesados adoptar la decisión correspondiente y, en caso de conflicto, a las autoridades judiciales, fiscales y disciplinarias.</w:t>
      </w:r>
    </w:p>
    <w:p w14:paraId="1A1BA6D1" w14:textId="77777777" w:rsidR="00783B55" w:rsidRPr="001450CA" w:rsidRDefault="00783B55" w:rsidP="00783B55">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1DB531A" w14:textId="77777777" w:rsidR="00783B55" w:rsidRDefault="00783B55" w:rsidP="00783B55">
      <w:pPr>
        <w:spacing w:after="0" w:line="276" w:lineRule="auto"/>
        <w:jc w:val="both"/>
        <w:rPr>
          <w:rFonts w:ascii="Verdana" w:eastAsia="Century Gothic" w:hAnsi="Verdana" w:cs="Century Gothic"/>
          <w:b/>
          <w:bCs/>
        </w:rPr>
      </w:pPr>
      <w:bookmarkStart w:id="3" w:name="_Hlk204854194"/>
      <w:bookmarkEnd w:id="2"/>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
    </w:p>
    <w:p w14:paraId="460FE89B" w14:textId="77777777" w:rsidR="00783B55" w:rsidRPr="000B6E79" w:rsidRDefault="00783B55" w:rsidP="00783B55">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83B55" w:rsidRPr="002D2C18" w14:paraId="73FFB124" w14:textId="77777777" w:rsidTr="0044414F">
        <w:trPr>
          <w:trHeight w:val="56"/>
          <w:jc w:val="center"/>
        </w:trPr>
        <w:tc>
          <w:tcPr>
            <w:tcW w:w="8647" w:type="dxa"/>
          </w:tcPr>
          <w:p w14:paraId="6B5B6C2E" w14:textId="77777777" w:rsidR="00783B55" w:rsidRDefault="00783B55" w:rsidP="0044414F">
            <w:pPr>
              <w:pStyle w:val="Prrafodelista"/>
              <w:numPr>
                <w:ilvl w:val="0"/>
                <w:numId w:val="17"/>
              </w:numPr>
              <w:spacing w:after="120" w:line="276" w:lineRule="auto"/>
              <w:ind w:left="714" w:hanging="357"/>
              <w:jc w:val="both"/>
              <w:rPr>
                <w:rFonts w:ascii="Verdana" w:hAnsi="Verdana" w:cs="Arial"/>
                <w:lang w:eastAsia="es-ES"/>
              </w:rPr>
            </w:pPr>
            <w:r>
              <w:rPr>
                <w:rFonts w:ascii="Verdana" w:hAnsi="Verdana" w:cs="Arial"/>
                <w:lang w:eastAsia="es-ES"/>
              </w:rPr>
              <w:t xml:space="preserve">Código de Comercio. Artículos 1340 a 1353. </w:t>
            </w:r>
          </w:p>
          <w:p w14:paraId="2D5213CD" w14:textId="77777777" w:rsidR="00783B55" w:rsidRDefault="00783B55" w:rsidP="0044414F">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Times New Roman"/>
                <w:lang w:eastAsia="es-ES_tradnl"/>
              </w:rPr>
              <w:t xml:space="preserve">Decreto </w:t>
            </w:r>
            <w:r w:rsidRPr="003535A7">
              <w:rPr>
                <w:rFonts w:ascii="Verdana" w:eastAsia="Times New Roman" w:hAnsi="Verdana" w:cs="Times New Roman"/>
                <w:lang w:eastAsia="es-ES_tradnl"/>
              </w:rPr>
              <w:t>Ley 663 de 1993</w:t>
            </w:r>
            <w:r>
              <w:rPr>
                <w:rFonts w:ascii="Verdana" w:eastAsia="Times New Roman" w:hAnsi="Verdana" w:cs="Times New Roman"/>
                <w:lang w:eastAsia="es-ES_tradnl"/>
              </w:rPr>
              <w:t xml:space="preserve">. Artículos 5 y 40. </w:t>
            </w:r>
          </w:p>
          <w:p w14:paraId="40CE7950" w14:textId="77777777" w:rsidR="00783B55" w:rsidRDefault="00783B55" w:rsidP="0044414F">
            <w:pPr>
              <w:pStyle w:val="Prrafodelista"/>
              <w:numPr>
                <w:ilvl w:val="0"/>
                <w:numId w:val="17"/>
              </w:numPr>
              <w:spacing w:after="120" w:line="276" w:lineRule="auto"/>
              <w:ind w:left="714" w:hanging="357"/>
              <w:jc w:val="both"/>
              <w:rPr>
                <w:rFonts w:ascii="Verdana" w:hAnsi="Verdana" w:cs="Arial"/>
                <w:lang w:eastAsia="es-ES"/>
              </w:rPr>
            </w:pPr>
            <w:r>
              <w:rPr>
                <w:rFonts w:ascii="Verdana" w:hAnsi="Verdana" w:cs="Arial"/>
                <w:lang w:eastAsia="es-ES"/>
              </w:rPr>
              <w:t xml:space="preserve">Ley 80 de 1993. Artículos 2, 13, 25, 29, 32, 39, 40 y 41. </w:t>
            </w:r>
          </w:p>
          <w:p w14:paraId="4C10C3BC" w14:textId="77777777" w:rsidR="00783B55" w:rsidRPr="0045276D" w:rsidRDefault="00783B55" w:rsidP="0044414F">
            <w:pPr>
              <w:pStyle w:val="Prrafodelista"/>
              <w:numPr>
                <w:ilvl w:val="0"/>
                <w:numId w:val="17"/>
              </w:numPr>
              <w:spacing w:after="120" w:line="276" w:lineRule="auto"/>
              <w:ind w:left="714" w:hanging="357"/>
              <w:jc w:val="both"/>
              <w:rPr>
                <w:rFonts w:ascii="Verdana" w:hAnsi="Verdana" w:cs="Arial"/>
                <w:lang w:eastAsia="es-ES"/>
              </w:rPr>
            </w:pPr>
            <w:r w:rsidRPr="003535A7">
              <w:rPr>
                <w:rFonts w:ascii="Verdana" w:eastAsia="Times New Roman" w:hAnsi="Verdana" w:cs="Times New Roman"/>
                <w:lang w:eastAsia="es-ES_tradnl"/>
              </w:rPr>
              <w:t>Ley 42 de 1993</w:t>
            </w:r>
            <w:r>
              <w:rPr>
                <w:rFonts w:ascii="Verdana" w:eastAsia="Times New Roman" w:hAnsi="Verdana" w:cs="Times New Roman"/>
                <w:lang w:eastAsia="es-ES_tradnl"/>
              </w:rPr>
              <w:t>. Artículos 107.</w:t>
            </w:r>
          </w:p>
          <w:p w14:paraId="3A31DCB0" w14:textId="77777777" w:rsidR="00783B55" w:rsidRPr="0045276D" w:rsidRDefault="00783B55" w:rsidP="0044414F">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Times New Roman"/>
                <w:lang w:eastAsia="es-ES_tradnl"/>
              </w:rPr>
              <w:t xml:space="preserve">Ley 1150 de 2007. Artículo 2 numeral 1. </w:t>
            </w:r>
          </w:p>
          <w:p w14:paraId="25EC1A2A" w14:textId="77777777" w:rsidR="00783B55" w:rsidRPr="00357964" w:rsidRDefault="00783B55" w:rsidP="0044414F">
            <w:pPr>
              <w:pStyle w:val="Prrafodelista"/>
              <w:numPr>
                <w:ilvl w:val="0"/>
                <w:numId w:val="17"/>
              </w:numPr>
              <w:spacing w:after="120" w:line="276" w:lineRule="auto"/>
              <w:ind w:left="714" w:hanging="357"/>
              <w:jc w:val="both"/>
              <w:rPr>
                <w:rFonts w:ascii="Verdana" w:hAnsi="Verdana" w:cs="Arial"/>
                <w:lang w:eastAsia="es-ES"/>
              </w:rPr>
            </w:pPr>
            <w:r w:rsidRPr="003535A7">
              <w:rPr>
                <w:rFonts w:ascii="Verdana" w:eastAsia="Times New Roman" w:hAnsi="Verdana" w:cs="Times New Roman"/>
                <w:lang w:eastAsia="es-ES_tradnl"/>
              </w:rPr>
              <w:t>Ley 1474 de 2011</w:t>
            </w:r>
            <w:r>
              <w:rPr>
                <w:rFonts w:ascii="Verdana" w:eastAsia="Times New Roman" w:hAnsi="Verdana" w:cs="Times New Roman"/>
                <w:lang w:eastAsia="es-ES_tradnl"/>
              </w:rPr>
              <w:t>.</w:t>
            </w:r>
          </w:p>
          <w:p w14:paraId="6DB48902" w14:textId="77777777" w:rsidR="00783B55" w:rsidRPr="0045276D" w:rsidRDefault="00783B55" w:rsidP="0044414F">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Times New Roman"/>
                <w:lang w:eastAsia="es-ES_tradnl"/>
              </w:rPr>
              <w:t xml:space="preserve">Decreto 1082 de 2015. Artículo </w:t>
            </w:r>
            <w:r w:rsidRPr="007A2CB0">
              <w:rPr>
                <w:rFonts w:ascii="Verdana" w:hAnsi="Verdana" w:cs="Arial"/>
              </w:rPr>
              <w:t>2.2.1.1.2.1.1</w:t>
            </w:r>
            <w:r>
              <w:rPr>
                <w:rFonts w:ascii="Verdana" w:hAnsi="Verdana" w:cs="Arial"/>
              </w:rPr>
              <w:t xml:space="preserve">., </w:t>
            </w:r>
            <w:r w:rsidRPr="007A2CB0">
              <w:rPr>
                <w:rFonts w:ascii="Verdana" w:eastAsia="Calibri" w:hAnsi="Verdana" w:cs="Arial"/>
                <w:bCs/>
                <w:lang w:val="es-ES_tradnl"/>
              </w:rPr>
              <w:t>2.2.1.1.1.6.1</w:t>
            </w:r>
            <w:r>
              <w:rPr>
                <w:rFonts w:ascii="Verdana" w:eastAsia="Calibri" w:hAnsi="Verdana" w:cs="Arial"/>
                <w:bCs/>
                <w:lang w:val="es-ES_tradnl"/>
              </w:rPr>
              <w:t>.</w:t>
            </w:r>
          </w:p>
          <w:p w14:paraId="41F90411" w14:textId="77777777" w:rsidR="00783B55" w:rsidRPr="0045276D" w:rsidRDefault="00783B55" w:rsidP="0044414F">
            <w:pPr>
              <w:pStyle w:val="Prrafodelista"/>
              <w:numPr>
                <w:ilvl w:val="0"/>
                <w:numId w:val="17"/>
              </w:numPr>
              <w:spacing w:after="120" w:line="276" w:lineRule="auto"/>
              <w:ind w:left="714" w:hanging="357"/>
              <w:jc w:val="both"/>
              <w:rPr>
                <w:rFonts w:ascii="Verdana" w:hAnsi="Verdana" w:cs="Arial"/>
                <w:lang w:eastAsia="es-ES"/>
              </w:rPr>
            </w:pPr>
            <w:r w:rsidRPr="003535A7">
              <w:rPr>
                <w:rFonts w:ascii="Verdana" w:eastAsia="Times New Roman" w:hAnsi="Verdana" w:cs="Times New Roman"/>
                <w:lang w:eastAsia="es-ES_tradnl"/>
              </w:rPr>
              <w:t>Ley 1952 de 2019</w:t>
            </w:r>
            <w:r>
              <w:rPr>
                <w:rFonts w:ascii="Verdana" w:eastAsia="Times New Roman" w:hAnsi="Verdana" w:cs="Times New Roman"/>
                <w:lang w:eastAsia="es-ES_tradnl"/>
              </w:rPr>
              <w:t>. A</w:t>
            </w:r>
            <w:r w:rsidRPr="003535A7">
              <w:rPr>
                <w:rFonts w:ascii="Verdana" w:eastAsia="Times New Roman" w:hAnsi="Verdana" w:cs="Times New Roman"/>
                <w:lang w:eastAsia="es-ES_tradnl"/>
              </w:rPr>
              <w:t>rtículos 38, 57 y 62</w:t>
            </w:r>
            <w:r>
              <w:rPr>
                <w:rFonts w:ascii="Verdana" w:eastAsia="Times New Roman" w:hAnsi="Verdana" w:cs="Times New Roman"/>
                <w:lang w:eastAsia="es-ES_tradnl"/>
              </w:rPr>
              <w:t>.</w:t>
            </w:r>
          </w:p>
          <w:p w14:paraId="091DE136" w14:textId="77777777" w:rsidR="00783B55" w:rsidRDefault="00783B55" w:rsidP="0044414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 xml:space="preserve">Consejo de Estado. Sala de lo Contencioso Administrativo. Sección Tercera. Sentencia del 22 de marzo de 2001. </w:t>
            </w:r>
            <w:proofErr w:type="spellStart"/>
            <w:r w:rsidRPr="0045276D">
              <w:rPr>
                <w:rFonts w:ascii="Verdana" w:hAnsi="Verdana" w:cs="Arial"/>
                <w:lang w:eastAsia="es-ES"/>
              </w:rPr>
              <w:t>Exp</w:t>
            </w:r>
            <w:proofErr w:type="spellEnd"/>
            <w:r w:rsidRPr="0045276D">
              <w:rPr>
                <w:rFonts w:ascii="Verdana" w:hAnsi="Verdana" w:cs="Arial"/>
                <w:lang w:eastAsia="es-ES"/>
              </w:rPr>
              <w:t>. No. 9840. C.P. Alier Eduardo Hernández Enríquez.</w:t>
            </w:r>
          </w:p>
          <w:p w14:paraId="5A5590B5" w14:textId="77777777" w:rsidR="00783B55" w:rsidRDefault="00783B55" w:rsidP="0044414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Corte Constitucional. Sentencia C-479 del 7 de julio de 1999. M.P. Vladimiro Naranjo Mesa.</w:t>
            </w:r>
          </w:p>
          <w:p w14:paraId="1F9D6385" w14:textId="77777777" w:rsidR="00783B55" w:rsidRPr="00BD6DE5" w:rsidRDefault="00783B55" w:rsidP="0044414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 xml:space="preserve">Corte Suprema De Justica. Sala de Casación Civil. Sentencia del 8 de agosto de 2000, </w:t>
            </w:r>
            <w:proofErr w:type="spellStart"/>
            <w:r w:rsidRPr="0045276D">
              <w:rPr>
                <w:rFonts w:ascii="Verdana" w:hAnsi="Verdana" w:cs="Arial"/>
                <w:lang w:eastAsia="es-ES"/>
              </w:rPr>
              <w:t>Exp</w:t>
            </w:r>
            <w:proofErr w:type="spellEnd"/>
            <w:r w:rsidRPr="0045276D">
              <w:rPr>
                <w:rFonts w:ascii="Verdana" w:hAnsi="Verdana" w:cs="Arial"/>
                <w:lang w:eastAsia="es-ES"/>
              </w:rPr>
              <w:t>. No 5383, M.P. José Fernando Ramírez Gómez.</w:t>
            </w:r>
          </w:p>
        </w:tc>
      </w:tr>
    </w:tbl>
    <w:p w14:paraId="333BAB63" w14:textId="77777777" w:rsidR="00783B55" w:rsidRDefault="00783B55" w:rsidP="00783B55">
      <w:pPr>
        <w:tabs>
          <w:tab w:val="left" w:pos="142"/>
          <w:tab w:val="left" w:pos="284"/>
          <w:tab w:val="left" w:pos="3828"/>
        </w:tabs>
        <w:spacing w:after="0" w:line="276" w:lineRule="auto"/>
        <w:jc w:val="both"/>
        <w:rPr>
          <w:rFonts w:ascii="Verdana" w:eastAsia="Century Gothic" w:hAnsi="Verdana" w:cs="Century Gothic"/>
          <w:b/>
          <w:bCs/>
        </w:rPr>
      </w:pPr>
    </w:p>
    <w:p w14:paraId="132AD1CE" w14:textId="77777777" w:rsidR="00783B55" w:rsidRPr="0091091D" w:rsidRDefault="00783B55" w:rsidP="00783B55">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6CBF8155" w14:textId="77777777" w:rsidR="00783B55" w:rsidRPr="007A3DD4" w:rsidRDefault="00783B55" w:rsidP="00783B55">
      <w:pPr>
        <w:widowControl w:val="0"/>
        <w:autoSpaceDE w:val="0"/>
        <w:autoSpaceDN w:val="0"/>
        <w:spacing w:after="0" w:line="240" w:lineRule="auto"/>
        <w:jc w:val="both"/>
        <w:rPr>
          <w:rStyle w:val="normaltextrun"/>
          <w:rFonts w:ascii="Verdana" w:hAnsi="Verdana" w:cs="Arial"/>
          <w:shd w:val="clear" w:color="auto" w:fill="FFFFFF"/>
        </w:rPr>
      </w:pPr>
    </w:p>
    <w:p w14:paraId="09D18E3F" w14:textId="77777777" w:rsidR="00783B55" w:rsidRDefault="00783B55" w:rsidP="00783B55">
      <w:pPr>
        <w:widowControl w:val="0"/>
        <w:autoSpaceDE w:val="0"/>
        <w:autoSpaceDN w:val="0"/>
        <w:spacing w:after="120" w:line="276" w:lineRule="auto"/>
        <w:jc w:val="both"/>
        <w:rPr>
          <w:rFonts w:ascii="Verdana" w:hAnsi="Verdana" w:cs="Arial"/>
          <w:color w:val="000000" w:themeColor="text1"/>
          <w:shd w:val="clear" w:color="auto" w:fill="FFFFFF"/>
        </w:rPr>
      </w:pPr>
      <w:r w:rsidRPr="007A50A7">
        <w:rPr>
          <w:rFonts w:ascii="Verdana" w:hAnsi="Verdana" w:cs="Arial"/>
          <w:shd w:val="clear" w:color="auto" w:fill="FFFFFF"/>
        </w:rPr>
        <w:t xml:space="preserve">Esta Subdirección se ha pronunciado sobre el contrato de intermediación de seguros o contrato de corretaje en los conceptos C-087 del 7 de junio de 2024, C-199 del 16 de agosto de 2024, C-837 del 28 de julio de 2025, entre otros. Por </w:t>
      </w:r>
      <w:r w:rsidRPr="007A50A7">
        <w:rPr>
          <w:rFonts w:ascii="Verdana" w:hAnsi="Verdana" w:cs="Arial"/>
          <w:shd w:val="clear" w:color="auto" w:fill="FFFFFF"/>
        </w:rPr>
        <w:lastRenderedPageBreak/>
        <w:t xml:space="preserve">su parte, sobre el deber de planeación de las entidades estatales, la Subdirección se ha pronunciado en los conceptos </w:t>
      </w:r>
      <w:r w:rsidRPr="007A50A7">
        <w:rPr>
          <w:rFonts w:ascii="Verdana" w:hAnsi="Verdana" w:cs="Arial"/>
          <w:shd w:val="clear" w:color="auto" w:fill="FFFFFF"/>
          <w:lang w:val="es-ES"/>
        </w:rPr>
        <w:t xml:space="preserve">C-742 del 27 de diciembre de 2021, C-519 del 13 de septiembre de 2022, C-716 del 15 de noviembre de 2022, C-680 del 19 de septiembre de 2022, C-856 del 13 de diciembre de 2022, C-235 del 5 de julio de 2023, C-124 del 24 de julio de 2024, C-168 del 25 de julio 2024, C-258 del 12 de agosto de 2024, C-255 del 14 de agosto de 2024, C-297 del 11 de septiembre de 2024, C-101 de 5 de marzo de 2025, </w:t>
      </w:r>
      <w:r>
        <w:rPr>
          <w:rFonts w:ascii="Verdana" w:hAnsi="Verdana" w:cs="Arial"/>
          <w:shd w:val="clear" w:color="auto" w:fill="FFFFFF"/>
          <w:lang w:val="es-ES"/>
        </w:rPr>
        <w:t xml:space="preserve">C-444 de 2026, </w:t>
      </w:r>
      <w:r w:rsidRPr="007A50A7">
        <w:rPr>
          <w:rFonts w:ascii="Verdana" w:hAnsi="Verdana" w:cs="Arial"/>
          <w:shd w:val="clear" w:color="auto" w:fill="FFFFFF"/>
          <w:lang w:val="es-ES"/>
        </w:rPr>
        <w:t xml:space="preserve">entre otros. </w:t>
      </w:r>
      <w:r w:rsidRPr="007A50A7">
        <w:rPr>
          <w:rFonts w:ascii="Verdana" w:hAnsi="Verdana" w:cs="Arial"/>
        </w:rPr>
        <w:t xml:space="preserve">Estos y otros </w:t>
      </w:r>
      <w:r w:rsidRPr="007A50A7">
        <w:rPr>
          <w:rFonts w:ascii="Verdana" w:hAnsi="Verdana"/>
        </w:rPr>
        <w:t>conceptos se encuentran disponibles para consulta en el Sistema de relatoría de la Agencia, al cual se puede acceder a través del siguiente enlace:</w:t>
      </w:r>
      <w:r w:rsidRPr="007A50A7">
        <w:rPr>
          <w:rFonts w:ascii="Verdana" w:hAnsi="Verdana" w:cs="Arial"/>
          <w:shd w:val="clear" w:color="auto" w:fill="FFFFFF"/>
        </w:rPr>
        <w:t xml:space="preserve"> </w:t>
      </w:r>
      <w:hyperlink r:id="rId12" w:history="1">
        <w:r w:rsidRPr="007A50A7">
          <w:rPr>
            <w:rFonts w:ascii="Verdana" w:hAnsi="Verdana" w:cs="Arial"/>
            <w:color w:val="0563C1" w:themeColor="hyperlink"/>
            <w:u w:val="single"/>
            <w:shd w:val="clear" w:color="auto" w:fill="FFFFFF"/>
          </w:rPr>
          <w:t>https://relatoria.colombiacompra.gov.co/busqueda/conceptos</w:t>
        </w:r>
      </w:hyperlink>
      <w:r w:rsidRPr="007A50A7">
        <w:rPr>
          <w:rFonts w:ascii="Verdana" w:hAnsi="Verdana" w:cs="Arial"/>
          <w:shd w:val="clear" w:color="auto" w:fill="FFFFFF"/>
        </w:rPr>
        <w:t>.</w:t>
      </w:r>
      <w:r w:rsidRPr="00147D6A">
        <w:rPr>
          <w:rFonts w:ascii="Verdana" w:hAnsi="Verdana" w:cs="Arial"/>
          <w:color w:val="FF0000"/>
          <w:shd w:val="clear" w:color="auto" w:fill="FFFFFF"/>
        </w:rPr>
        <w:t xml:space="preserve"> </w:t>
      </w:r>
    </w:p>
    <w:p w14:paraId="474ABDCF" w14:textId="77777777" w:rsidR="00783B55" w:rsidRPr="00AB4B99" w:rsidRDefault="00783B55" w:rsidP="00783B55">
      <w:pPr>
        <w:widowControl w:val="0"/>
        <w:autoSpaceDE w:val="0"/>
        <w:autoSpaceDN w:val="0"/>
        <w:spacing w:after="120" w:line="276" w:lineRule="auto"/>
        <w:jc w:val="both"/>
        <w:rPr>
          <w:rFonts w:ascii="Verdana" w:hAnsi="Verdana" w:cs="Arial"/>
          <w:shd w:val="clear" w:color="auto" w:fill="FFFFFF"/>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8746BD">
          <w:rPr>
            <w:rStyle w:val="Hipervnculo"/>
            <w:rFonts w:ascii="Verdana" w:hAnsi="Verdana"/>
          </w:rPr>
          <w:t>https://formacionvirtual.colombiacompra.gov.co/mod/page/view.php?id=3718</w:t>
        </w:r>
      </w:hyperlink>
    </w:p>
    <w:p w14:paraId="19608D83" w14:textId="77777777" w:rsidR="00783B55" w:rsidRPr="000E1EA7" w:rsidRDefault="00783B55" w:rsidP="00783B55">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E1EA7">
          <w:rPr>
            <w:rStyle w:val="Hipervnculo"/>
            <w:rFonts w:ascii="Verdana" w:hAnsi="Verdana"/>
          </w:rPr>
          <w:t>https://www.colombiacompra.gov.co/normativa-y-relatoria/documentos-tipo</w:t>
        </w:r>
      </w:hyperlink>
    </w:p>
    <w:p w14:paraId="28218FDE" w14:textId="77777777" w:rsidR="00783B55" w:rsidRDefault="00783B55" w:rsidP="00783B55">
      <w:pPr>
        <w:widowControl w:val="0"/>
        <w:autoSpaceDE w:val="0"/>
        <w:autoSpaceDN w:val="0"/>
        <w:spacing w:after="0" w:line="240" w:lineRule="auto"/>
        <w:jc w:val="both"/>
        <w:rPr>
          <w:rFonts w:ascii="Verdana" w:hAnsi="Verdana"/>
        </w:rPr>
      </w:pPr>
    </w:p>
    <w:p w14:paraId="2A98F0BF" w14:textId="77777777" w:rsidR="00783B55" w:rsidRDefault="00783B55" w:rsidP="00783B55">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w:t>
      </w:r>
      <w:r w:rsidRPr="00797327">
        <w:rPr>
          <w:rFonts w:ascii="Verdana" w:hAnsi="Verdana"/>
        </w:rPr>
        <w:lastRenderedPageBreak/>
        <w:t>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5"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8589299" w14:textId="77777777" w:rsidR="00783B55" w:rsidRPr="007A3DD4" w:rsidRDefault="00783B55" w:rsidP="00783B55">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08FCCECD" w14:textId="77777777" w:rsidR="00783B55" w:rsidRPr="00116940" w:rsidRDefault="00783B55" w:rsidP="00783B55">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596526E" w14:textId="77777777" w:rsidR="00783B55" w:rsidRPr="00116940" w:rsidRDefault="00783B55" w:rsidP="00783B55">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2E53C7F" w14:textId="77777777" w:rsidR="00783B55" w:rsidRPr="00116940" w:rsidRDefault="00783B55" w:rsidP="00783B55">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3F4EBB9D" w14:textId="77777777" w:rsidR="00783B55" w:rsidRPr="00116940" w:rsidRDefault="00783B55" w:rsidP="00783B55">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A8049F4" w14:textId="77777777" w:rsidR="00783B55" w:rsidRDefault="00783B55" w:rsidP="00783B55">
      <w:pPr>
        <w:spacing w:after="0" w:line="240" w:lineRule="auto"/>
        <w:jc w:val="both"/>
        <w:rPr>
          <w:rFonts w:ascii="Verdana" w:hAnsi="Verdana"/>
        </w:rPr>
      </w:pPr>
    </w:p>
    <w:p w14:paraId="36A20044" w14:textId="77777777" w:rsidR="00783B55" w:rsidRDefault="00783B55" w:rsidP="00783B55">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7FF0F662" w14:textId="77777777" w:rsidR="00783B55" w:rsidRDefault="00783B55" w:rsidP="00783B55">
      <w:pPr>
        <w:spacing w:after="0" w:line="240" w:lineRule="auto"/>
        <w:jc w:val="both"/>
        <w:rPr>
          <w:rFonts w:ascii="Verdana" w:hAnsi="Verdana"/>
        </w:rPr>
      </w:pPr>
    </w:p>
    <w:p w14:paraId="5A290AF5" w14:textId="77777777" w:rsidR="00783B55" w:rsidRPr="00116940" w:rsidRDefault="00783B55" w:rsidP="00783B55">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3962E7F" w14:textId="77777777" w:rsidR="00783B55" w:rsidRPr="008746BD" w:rsidRDefault="00783B55" w:rsidP="00783B55">
      <w:pPr>
        <w:spacing w:after="0" w:line="240" w:lineRule="auto"/>
        <w:jc w:val="both"/>
        <w:rPr>
          <w:rFonts w:ascii="Verdana" w:hAnsi="Verdana"/>
        </w:rPr>
      </w:pPr>
    </w:p>
    <w:p w14:paraId="6382A1A4" w14:textId="77777777" w:rsidR="00783B55" w:rsidRPr="00116940" w:rsidRDefault="00783B55" w:rsidP="00783B55">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57FF2D0" w14:textId="77777777" w:rsidR="00783B55" w:rsidRPr="00116940" w:rsidRDefault="00783B55" w:rsidP="00783B55">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892CE0F" w14:textId="77777777" w:rsidR="00783B55" w:rsidRPr="00116940" w:rsidRDefault="00783B55" w:rsidP="00783B55">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2F7EDA3" w14:textId="77777777" w:rsidR="00783B55" w:rsidRDefault="00783B55" w:rsidP="00783B55">
      <w:pPr>
        <w:spacing w:after="0" w:line="240" w:lineRule="auto"/>
        <w:jc w:val="both"/>
        <w:rPr>
          <w:rFonts w:ascii="Century Gothic" w:eastAsia="Century Gothic" w:hAnsi="Century Gothic" w:cs="Century Gothic"/>
          <w:lang w:val="es-ES" w:eastAsia="es-ES_tradnl"/>
        </w:rPr>
      </w:pPr>
    </w:p>
    <w:p w14:paraId="2C647E67" w14:textId="77777777" w:rsidR="00783B55" w:rsidRPr="00842775" w:rsidRDefault="00783B55" w:rsidP="00783B55">
      <w:pPr>
        <w:spacing w:after="0" w:line="276" w:lineRule="auto"/>
        <w:jc w:val="both"/>
        <w:rPr>
          <w:rFonts w:ascii="Verdana" w:hAnsi="Verdana"/>
          <w:lang w:val="es-MX"/>
        </w:rPr>
      </w:pPr>
      <w:r w:rsidRPr="00842775">
        <w:rPr>
          <w:rFonts w:ascii="Verdana" w:eastAsia="Century Gothic" w:hAnsi="Verdana" w:cs="Century Gothic"/>
          <w:lang w:val="es-ES" w:eastAsia="es-ES_tradnl"/>
        </w:rPr>
        <w:t xml:space="preserve">Este concepto tiene el alcance previsto en el artículo 28 del Código de Procedimiento Administrativo y de lo Contencioso Administrativo y las </w:t>
      </w:r>
      <w:r w:rsidRPr="00842775">
        <w:rPr>
          <w:rFonts w:ascii="Verdana" w:eastAsia="Century Gothic" w:hAnsi="Verdana" w:cs="Century Gothic"/>
          <w:lang w:val="es-ES" w:eastAsia="es-ES_tradnl"/>
        </w:rPr>
        <w:lastRenderedPageBreak/>
        <w:t>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2651F662" w14:textId="77777777" w:rsidR="00783B55" w:rsidRDefault="00783B55" w:rsidP="00783B55">
      <w:pPr>
        <w:spacing w:after="0" w:line="276" w:lineRule="auto"/>
        <w:jc w:val="both"/>
        <w:rPr>
          <w:rFonts w:ascii="Verdana" w:hAnsi="Verdana"/>
          <w:lang w:val="es-MX"/>
        </w:rPr>
      </w:pPr>
    </w:p>
    <w:p w14:paraId="3165D396" w14:textId="77777777" w:rsidR="00783B55" w:rsidRPr="00330029" w:rsidRDefault="00783B55" w:rsidP="00783B55">
      <w:pPr>
        <w:spacing w:after="0" w:line="276" w:lineRule="auto"/>
        <w:jc w:val="both"/>
        <w:rPr>
          <w:rFonts w:ascii="Verdana" w:hAnsi="Verdana"/>
          <w:lang w:val="es-MX"/>
        </w:rPr>
      </w:pPr>
      <w:r w:rsidRPr="00E02524">
        <w:rPr>
          <w:rFonts w:ascii="Verdana" w:hAnsi="Verdana"/>
          <w:lang w:val="es-MX"/>
        </w:rPr>
        <w:t>Cordialmente,</w:t>
      </w:r>
    </w:p>
    <w:bookmarkEnd w:id="0"/>
    <w:bookmarkEnd w:id="1"/>
    <w:p w14:paraId="2A72EDFF" w14:textId="3BAB06CF" w:rsidR="00783B55" w:rsidRPr="00790F0C" w:rsidRDefault="00EB0187" w:rsidP="00783B55">
      <w:pPr>
        <w:spacing w:line="276" w:lineRule="auto"/>
        <w:jc w:val="center"/>
        <w:rPr>
          <w:rFonts w:ascii="Verdana" w:hAnsi="Verdana" w:cs="Arial"/>
          <w:color w:val="000000"/>
          <w:lang w:eastAsia="es-CO"/>
        </w:rPr>
      </w:pPr>
      <w:r>
        <w:rPr>
          <w:noProof/>
        </w:rPr>
        <w:drawing>
          <wp:inline distT="0" distB="0" distL="0" distR="0" wp14:anchorId="2B310F96" wp14:editId="142FC5E9">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83B55" w:rsidRPr="00790F0C" w14:paraId="7C9CF268" w14:textId="77777777" w:rsidTr="0044414F">
        <w:trPr>
          <w:trHeight w:val="315"/>
        </w:trPr>
        <w:tc>
          <w:tcPr>
            <w:tcW w:w="893" w:type="dxa"/>
            <w:vAlign w:val="center"/>
            <w:hideMark/>
          </w:tcPr>
          <w:p w14:paraId="16211493" w14:textId="77777777" w:rsidR="00783B55" w:rsidRPr="00790F0C" w:rsidRDefault="00783B55" w:rsidP="0044414F">
            <w:pPr>
              <w:contextualSpacing/>
              <w:rPr>
                <w:rFonts w:ascii="Verdana" w:hAnsi="Verdana" w:cs="Arial"/>
                <w:sz w:val="16"/>
                <w:szCs w:val="16"/>
                <w:lang w:eastAsia="es-ES"/>
              </w:rPr>
            </w:pPr>
            <w:r w:rsidRPr="00790F0C">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E1F0314" w14:textId="77777777" w:rsidR="00783B55" w:rsidRPr="00790F0C" w:rsidRDefault="00783B55" w:rsidP="0044414F">
            <w:pPr>
              <w:contextualSpacing/>
              <w:rPr>
                <w:rFonts w:ascii="Verdana" w:hAnsi="Verdana"/>
                <w:sz w:val="16"/>
                <w:szCs w:val="16"/>
              </w:rPr>
            </w:pPr>
            <w:r w:rsidRPr="00790F0C">
              <w:rPr>
                <w:rFonts w:ascii="Verdana" w:hAnsi="Verdana"/>
                <w:sz w:val="16"/>
                <w:szCs w:val="16"/>
              </w:rPr>
              <w:t>Tatiana Baquero Iguarán</w:t>
            </w:r>
          </w:p>
          <w:p w14:paraId="56C5C82B" w14:textId="77777777" w:rsidR="00783B55" w:rsidRPr="00790F0C" w:rsidRDefault="00783B55" w:rsidP="0044414F">
            <w:pPr>
              <w:contextualSpacing/>
              <w:rPr>
                <w:rFonts w:ascii="Verdana" w:eastAsia="Arial" w:hAnsi="Verdana" w:cs="Arial"/>
                <w:sz w:val="16"/>
                <w:szCs w:val="16"/>
              </w:rPr>
            </w:pPr>
            <w:r w:rsidRPr="00790F0C">
              <w:rPr>
                <w:rFonts w:ascii="Verdana" w:hAnsi="Verdana"/>
                <w:sz w:val="16"/>
                <w:szCs w:val="16"/>
              </w:rPr>
              <w:t>Contratista de la Subdirección de Gestión Contractual</w:t>
            </w:r>
          </w:p>
        </w:tc>
      </w:tr>
      <w:tr w:rsidR="00783B55" w:rsidRPr="00790F0C" w14:paraId="5F5FC504" w14:textId="77777777" w:rsidTr="0044414F">
        <w:trPr>
          <w:trHeight w:val="330"/>
        </w:trPr>
        <w:tc>
          <w:tcPr>
            <w:tcW w:w="893" w:type="dxa"/>
            <w:vAlign w:val="center"/>
            <w:hideMark/>
          </w:tcPr>
          <w:p w14:paraId="2C0C895A" w14:textId="77777777" w:rsidR="00783B55" w:rsidRPr="00790F0C" w:rsidRDefault="00783B55" w:rsidP="0044414F">
            <w:pPr>
              <w:contextualSpacing/>
              <w:rPr>
                <w:rFonts w:ascii="Verdana" w:hAnsi="Verdana" w:cs="Arial"/>
                <w:sz w:val="16"/>
                <w:szCs w:val="16"/>
                <w:lang w:eastAsia="es-ES"/>
              </w:rPr>
            </w:pPr>
            <w:r w:rsidRPr="00790F0C">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FE080D" w14:textId="77777777" w:rsidR="00783B55" w:rsidRPr="00790F0C" w:rsidRDefault="00783B55" w:rsidP="0044414F">
            <w:pPr>
              <w:textAlignment w:val="baseline"/>
              <w:rPr>
                <w:rFonts w:ascii="Verdana" w:eastAsia="Times New Roman" w:hAnsi="Verdana" w:cs="Arial"/>
                <w:sz w:val="16"/>
                <w:szCs w:val="16"/>
                <w:lang w:val="es-MX" w:eastAsia="es-CO"/>
              </w:rPr>
            </w:pPr>
            <w:r w:rsidRPr="00790F0C">
              <w:rPr>
                <w:rFonts w:ascii="Verdana" w:eastAsia="Times New Roman" w:hAnsi="Verdana" w:cs="Arial"/>
                <w:sz w:val="16"/>
                <w:szCs w:val="16"/>
                <w:lang w:val="es-MX" w:eastAsia="es-CO"/>
              </w:rPr>
              <w:t>Alejandro Raúl Sarmiento Cantillo</w:t>
            </w:r>
          </w:p>
          <w:p w14:paraId="6787CA10" w14:textId="77777777" w:rsidR="00783B55" w:rsidRPr="00790F0C" w:rsidRDefault="00783B55" w:rsidP="0044414F">
            <w:pPr>
              <w:spacing w:before="100" w:beforeAutospacing="1" w:after="100" w:afterAutospacing="1"/>
              <w:contextualSpacing/>
              <w:textAlignment w:val="baseline"/>
              <w:rPr>
                <w:rFonts w:ascii="Verdana" w:eastAsia="Times New Roman" w:hAnsi="Verdana" w:cs="Segoe UI"/>
                <w:sz w:val="16"/>
                <w:szCs w:val="16"/>
                <w:lang w:eastAsia="es-ES_tradnl"/>
              </w:rPr>
            </w:pPr>
            <w:r w:rsidRPr="00790F0C">
              <w:rPr>
                <w:rFonts w:ascii="Verdana" w:eastAsia="Times New Roman" w:hAnsi="Verdana" w:cs="Arial"/>
                <w:sz w:val="16"/>
                <w:szCs w:val="16"/>
                <w:lang w:val="es-MX" w:eastAsia="es-CO"/>
              </w:rPr>
              <w:t>Gestor T1-15 de la Subdirección de Gestión Contractual</w:t>
            </w:r>
          </w:p>
        </w:tc>
      </w:tr>
      <w:tr w:rsidR="00783B55" w:rsidRPr="00790F0C" w14:paraId="60616F13" w14:textId="77777777" w:rsidTr="0044414F">
        <w:trPr>
          <w:trHeight w:val="300"/>
        </w:trPr>
        <w:tc>
          <w:tcPr>
            <w:tcW w:w="893" w:type="dxa"/>
            <w:vAlign w:val="center"/>
          </w:tcPr>
          <w:p w14:paraId="7816184B" w14:textId="77777777" w:rsidR="00783B55" w:rsidRPr="00790F0C" w:rsidRDefault="00783B55" w:rsidP="0044414F">
            <w:pPr>
              <w:contextualSpacing/>
              <w:rPr>
                <w:rFonts w:ascii="Verdana" w:hAnsi="Verdana" w:cs="Arial"/>
                <w:sz w:val="16"/>
                <w:szCs w:val="16"/>
                <w:lang w:eastAsia="es-ES"/>
              </w:rPr>
            </w:pPr>
            <w:r w:rsidRPr="00790F0C">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2AF0064" w14:textId="77777777" w:rsidR="00783B55" w:rsidRPr="00790F0C" w:rsidRDefault="00783B55" w:rsidP="0044414F">
            <w:pPr>
              <w:contextualSpacing/>
              <w:rPr>
                <w:rFonts w:ascii="Verdana" w:eastAsia="Calibri" w:hAnsi="Verdana" w:cs="Arial"/>
                <w:sz w:val="16"/>
                <w:szCs w:val="16"/>
                <w:lang w:eastAsia="es-ES"/>
              </w:rPr>
            </w:pPr>
            <w:r w:rsidRPr="00790F0C">
              <w:rPr>
                <w:rFonts w:ascii="Verdana" w:eastAsia="Calibri" w:hAnsi="Verdana" w:cs="Arial"/>
                <w:sz w:val="16"/>
                <w:szCs w:val="16"/>
                <w:lang w:eastAsia="es-ES"/>
              </w:rPr>
              <w:t>Carolina Quintero Gacharná</w:t>
            </w:r>
          </w:p>
          <w:p w14:paraId="0EAEBBA5" w14:textId="77777777" w:rsidR="00783B55" w:rsidRPr="00790F0C" w:rsidRDefault="00783B55" w:rsidP="0044414F">
            <w:pPr>
              <w:contextualSpacing/>
              <w:rPr>
                <w:rFonts w:ascii="Verdana" w:eastAsia="Calibri" w:hAnsi="Verdana" w:cs="Arial"/>
                <w:sz w:val="16"/>
                <w:szCs w:val="16"/>
                <w:lang w:eastAsia="es-ES"/>
              </w:rPr>
            </w:pPr>
            <w:r w:rsidRPr="00790F0C">
              <w:rPr>
                <w:rFonts w:ascii="Verdana" w:eastAsia="Calibri" w:hAnsi="Verdana" w:cs="Arial"/>
                <w:sz w:val="16"/>
                <w:szCs w:val="16"/>
                <w:lang w:eastAsia="es-ES"/>
              </w:rPr>
              <w:t>Subdirectora de Gestión Contractual ANCP – CCE</w:t>
            </w:r>
          </w:p>
        </w:tc>
      </w:tr>
      <w:tr w:rsidR="00783B55" w:rsidRPr="00790F0C" w14:paraId="6C23A09C" w14:textId="77777777" w:rsidTr="0044414F">
        <w:trPr>
          <w:gridAfter w:val="1"/>
          <w:wAfter w:w="5628" w:type="dxa"/>
          <w:trHeight w:val="300"/>
        </w:trPr>
        <w:tc>
          <w:tcPr>
            <w:tcW w:w="893" w:type="dxa"/>
            <w:vAlign w:val="center"/>
          </w:tcPr>
          <w:p w14:paraId="14EF1D59" w14:textId="77777777" w:rsidR="00783B55" w:rsidRDefault="00783B55" w:rsidP="0044414F">
            <w:pPr>
              <w:contextualSpacing/>
              <w:rPr>
                <w:rFonts w:ascii="Verdana" w:hAnsi="Verdana" w:cs="Arial"/>
                <w:sz w:val="16"/>
                <w:szCs w:val="16"/>
                <w:lang w:eastAsia="es-ES"/>
              </w:rPr>
            </w:pPr>
          </w:p>
          <w:p w14:paraId="344592F5" w14:textId="77777777" w:rsidR="00783B55" w:rsidRPr="00790F0C" w:rsidRDefault="00783B55" w:rsidP="0044414F">
            <w:pPr>
              <w:contextualSpacing/>
              <w:rPr>
                <w:rFonts w:ascii="Verdana" w:hAnsi="Verdana" w:cs="Arial"/>
                <w:sz w:val="16"/>
                <w:szCs w:val="16"/>
                <w:lang w:eastAsia="es-ES"/>
              </w:rPr>
            </w:pPr>
          </w:p>
        </w:tc>
      </w:tr>
    </w:tbl>
    <w:p w14:paraId="2DD5782F" w14:textId="440A0CB3" w:rsidR="00783B55" w:rsidRPr="00790F0C" w:rsidRDefault="00783B55" w:rsidP="00783B55">
      <w:pPr>
        <w:spacing w:after="0" w:line="240" w:lineRule="auto"/>
        <w:textAlignment w:val="baseline"/>
      </w:pPr>
    </w:p>
    <w:p w14:paraId="7170721F" w14:textId="77777777" w:rsidR="00783B55" w:rsidRDefault="00783B55" w:rsidP="00783B55"/>
    <w:p w14:paraId="01D7014F" w14:textId="77777777" w:rsidR="00783B55" w:rsidRPr="00C932D5" w:rsidRDefault="00783B55" w:rsidP="00783B55"/>
    <w:p w14:paraId="3059D27F" w14:textId="77777777" w:rsidR="00783B55" w:rsidRPr="003A07E4" w:rsidRDefault="00783B55" w:rsidP="00783B55"/>
    <w:p w14:paraId="65254987" w14:textId="27BDEA93" w:rsidR="00BA4EC9" w:rsidRPr="00783B55" w:rsidRDefault="00BA4EC9" w:rsidP="00783B55"/>
    <w:sectPr w:rsidR="00BA4EC9" w:rsidRPr="00783B55"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C3181" w14:textId="77777777" w:rsidR="00987693" w:rsidRDefault="00987693" w:rsidP="004A1847">
      <w:pPr>
        <w:spacing w:after="0" w:line="240" w:lineRule="auto"/>
      </w:pPr>
      <w:r>
        <w:separator/>
      </w:r>
    </w:p>
  </w:endnote>
  <w:endnote w:type="continuationSeparator" w:id="0">
    <w:p w14:paraId="5E324B10" w14:textId="77777777" w:rsidR="00987693" w:rsidRDefault="0098769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altName w:val="Calibri"/>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5A5FD" w14:textId="77777777" w:rsidR="00987693" w:rsidRDefault="00987693" w:rsidP="004A1847">
      <w:pPr>
        <w:spacing w:after="0" w:line="240" w:lineRule="auto"/>
      </w:pPr>
      <w:r>
        <w:separator/>
      </w:r>
    </w:p>
  </w:footnote>
  <w:footnote w:type="continuationSeparator" w:id="0">
    <w:p w14:paraId="26EF06CE" w14:textId="77777777" w:rsidR="00987693" w:rsidRDefault="00987693" w:rsidP="004A1847">
      <w:pPr>
        <w:spacing w:after="0" w:line="240" w:lineRule="auto"/>
      </w:pPr>
      <w:r>
        <w:continuationSeparator/>
      </w:r>
    </w:p>
  </w:footnote>
  <w:footnote w:id="1">
    <w:p w14:paraId="1BEF4DE3" w14:textId="77777777" w:rsidR="00783B55" w:rsidRDefault="00783B55" w:rsidP="00783B55">
      <w:pPr>
        <w:pStyle w:val="Textonotapie"/>
        <w:ind w:firstLine="708"/>
        <w:contextualSpacing/>
        <w:jc w:val="both"/>
        <w:rPr>
          <w:rFonts w:ascii="Verdana" w:hAnsi="Verdana"/>
          <w:sz w:val="16"/>
          <w:szCs w:val="16"/>
        </w:rPr>
      </w:pPr>
      <w:r w:rsidRPr="00A73E68">
        <w:rPr>
          <w:rStyle w:val="Refdenotaalpie"/>
          <w:rFonts w:ascii="Verdana" w:hAnsi="Verdana"/>
          <w:sz w:val="16"/>
          <w:szCs w:val="16"/>
        </w:rPr>
        <w:footnoteRef/>
      </w:r>
      <w:r w:rsidRPr="00A73E68">
        <w:rPr>
          <w:rFonts w:ascii="Verdana" w:hAnsi="Verdana"/>
          <w:sz w:val="16"/>
          <w:szCs w:val="16"/>
        </w:rPr>
        <w:t xml:space="preserve"> Código de Comercio: “Artículo 1347. Corredores de seguros Son corredores de seguros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p>
    <w:p w14:paraId="468BC582" w14:textId="77777777" w:rsidR="00783B55" w:rsidRDefault="00783B55" w:rsidP="00783B55">
      <w:pPr>
        <w:pStyle w:val="Textonotapie"/>
        <w:ind w:firstLine="708"/>
        <w:contextualSpacing/>
        <w:jc w:val="both"/>
        <w:rPr>
          <w:rFonts w:ascii="Verdana" w:hAnsi="Verdana"/>
          <w:sz w:val="16"/>
          <w:szCs w:val="16"/>
        </w:rPr>
      </w:pPr>
      <w:r w:rsidRPr="00A73E68">
        <w:rPr>
          <w:rFonts w:ascii="Verdana" w:hAnsi="Verdana"/>
          <w:sz w:val="16"/>
          <w:szCs w:val="16"/>
        </w:rPr>
        <w:t>Artículo 1348. Control y vigilancia de la Superintendencia Bancaria Las sociedades que se dediquen al corretaje de seguros estarán sometidas al control y vigilancia de la Superintendencia Bancaria y deberán tener un capital mínimo y una organización técnica y contable, con sujeción a las normas que dicte al efecto la misma Superintendencia.</w:t>
      </w:r>
    </w:p>
    <w:p w14:paraId="7B24EBB8" w14:textId="77777777" w:rsidR="00783B55" w:rsidRPr="00A73E68" w:rsidRDefault="00783B55" w:rsidP="00783B55">
      <w:pPr>
        <w:pStyle w:val="Textonotapie"/>
        <w:ind w:firstLine="708"/>
        <w:contextualSpacing/>
        <w:jc w:val="both"/>
        <w:rPr>
          <w:rFonts w:ascii="Verdana" w:hAnsi="Verdana"/>
          <w:sz w:val="16"/>
          <w:szCs w:val="16"/>
        </w:rPr>
      </w:pPr>
      <w:r w:rsidRPr="00A73E68">
        <w:rPr>
          <w:rFonts w:ascii="Verdana" w:hAnsi="Verdana"/>
          <w:sz w:val="16"/>
          <w:szCs w:val="16"/>
        </w:rPr>
        <w:t>Artículo 1349.Deber de inscribirse en la Superintendencia Bancaria La sociedad corredora de seguros deberá inscribirse en la Superintendencia Bancaria, organismo que la proveerá de un certificado que la acredite como corredor, con el cual podrá ejercer las actividades propias de su objeto social ante todos los aseguradores y el público en general”.</w:t>
      </w:r>
    </w:p>
    <w:p w14:paraId="5273F21F" w14:textId="77777777" w:rsidR="00783B55" w:rsidRPr="00A73E68" w:rsidRDefault="00783B55" w:rsidP="00783B55">
      <w:pPr>
        <w:pStyle w:val="Textonotapie"/>
        <w:contextualSpacing/>
        <w:jc w:val="both"/>
        <w:rPr>
          <w:rFonts w:ascii="Verdana" w:hAnsi="Verdana"/>
          <w:sz w:val="16"/>
          <w:szCs w:val="16"/>
          <w:lang w:val="es-CO"/>
        </w:rPr>
      </w:pPr>
    </w:p>
  </w:footnote>
  <w:footnote w:id="2">
    <w:p w14:paraId="451C67E7" w14:textId="77777777" w:rsidR="00783B55" w:rsidRPr="00CF1350" w:rsidRDefault="00783B55" w:rsidP="00783B55">
      <w:pPr>
        <w:pStyle w:val="Textonotapie"/>
        <w:ind w:firstLine="708"/>
        <w:contextualSpacing/>
        <w:jc w:val="both"/>
        <w:rPr>
          <w:rFonts w:ascii="Verdana" w:hAnsi="Verdana"/>
          <w:sz w:val="16"/>
          <w:szCs w:val="16"/>
          <w:lang w:val="es-CO"/>
        </w:rPr>
      </w:pPr>
      <w:r w:rsidRPr="00CF1350">
        <w:rPr>
          <w:rStyle w:val="Refdenotaalpie"/>
          <w:rFonts w:ascii="Verdana" w:hAnsi="Verdana"/>
          <w:sz w:val="16"/>
          <w:szCs w:val="16"/>
        </w:rPr>
        <w:footnoteRef/>
      </w:r>
      <w:r w:rsidRPr="00CF1350">
        <w:rPr>
          <w:rFonts w:ascii="Verdana" w:hAnsi="Verdana"/>
          <w:sz w:val="16"/>
          <w:szCs w:val="16"/>
        </w:rPr>
        <w:t xml:space="preserve"> OSSA G., J. Efrén, Teoría General del Seguro La Institución, Editorial Temis S.A., 1998, Bogotá, pp. 446.</w:t>
      </w:r>
    </w:p>
  </w:footnote>
  <w:footnote w:id="3">
    <w:p w14:paraId="6DCADE2F" w14:textId="77777777" w:rsidR="00783B55" w:rsidRDefault="00783B55" w:rsidP="00783B55">
      <w:pPr>
        <w:pStyle w:val="Textonotapie"/>
        <w:contextualSpacing/>
        <w:jc w:val="both"/>
        <w:rPr>
          <w:rFonts w:ascii="Verdana" w:hAnsi="Verdana"/>
          <w:sz w:val="16"/>
          <w:szCs w:val="16"/>
        </w:rPr>
      </w:pPr>
    </w:p>
    <w:p w14:paraId="1ABAA60A" w14:textId="77777777" w:rsidR="00783B55" w:rsidRPr="00CF1350" w:rsidRDefault="00783B55" w:rsidP="00783B55">
      <w:pPr>
        <w:pStyle w:val="Textonotapie"/>
        <w:ind w:firstLine="709"/>
        <w:contextualSpacing/>
        <w:jc w:val="both"/>
        <w:rPr>
          <w:rFonts w:ascii="Verdana" w:hAnsi="Verdana"/>
          <w:sz w:val="16"/>
          <w:szCs w:val="16"/>
        </w:rPr>
      </w:pPr>
      <w:r w:rsidRPr="00CF1350">
        <w:rPr>
          <w:rStyle w:val="Refdenotaalpie"/>
          <w:rFonts w:ascii="Verdana" w:hAnsi="Verdana"/>
          <w:sz w:val="16"/>
          <w:szCs w:val="16"/>
        </w:rPr>
        <w:footnoteRef/>
      </w:r>
      <w:r w:rsidRPr="00CF1350">
        <w:rPr>
          <w:rFonts w:ascii="Verdana" w:hAnsi="Verdana"/>
          <w:sz w:val="16"/>
          <w:szCs w:val="16"/>
        </w:rPr>
        <w:t xml:space="preserve"> Decreto ley 663 de 1993: «Artículo 5.- ENTIDADES ASEGURADORAS E INTERMEDIARIOS</w:t>
      </w:r>
      <w:r>
        <w:rPr>
          <w:rFonts w:ascii="Verdana" w:hAnsi="Verdana"/>
          <w:sz w:val="16"/>
          <w:szCs w:val="16"/>
        </w:rPr>
        <w:t>.</w:t>
      </w:r>
    </w:p>
    <w:p w14:paraId="058095F1" w14:textId="77777777" w:rsidR="00783B55" w:rsidRPr="00CF1350" w:rsidRDefault="00783B55" w:rsidP="00783B55">
      <w:pPr>
        <w:pStyle w:val="Textonotapie"/>
        <w:ind w:firstLine="709"/>
        <w:contextualSpacing/>
        <w:jc w:val="both"/>
        <w:rPr>
          <w:rFonts w:ascii="Verdana" w:hAnsi="Verdana"/>
          <w:sz w:val="16"/>
          <w:szCs w:val="16"/>
        </w:rPr>
      </w:pPr>
      <w:r w:rsidRPr="00CF1350">
        <w:rPr>
          <w:rFonts w:ascii="Verdana" w:hAnsi="Verdana"/>
          <w:sz w:val="16"/>
          <w:szCs w:val="16"/>
        </w:rPr>
        <w:t>1. Entidades aseguradoras. Son entidades aseguradoras las compañías y cooperativas de seguros y las de reaseguros.</w:t>
      </w:r>
    </w:p>
    <w:p w14:paraId="3104FCE4" w14:textId="77777777" w:rsidR="00783B55" w:rsidRPr="00CF1350" w:rsidRDefault="00783B55" w:rsidP="00783B55">
      <w:pPr>
        <w:pStyle w:val="Textonotapie"/>
        <w:ind w:firstLine="709"/>
        <w:contextualSpacing/>
        <w:jc w:val="both"/>
        <w:rPr>
          <w:rFonts w:ascii="Verdana" w:hAnsi="Verdana"/>
          <w:sz w:val="16"/>
          <w:szCs w:val="16"/>
        </w:rPr>
      </w:pPr>
      <w:r w:rsidRPr="00CF1350">
        <w:rPr>
          <w:rFonts w:ascii="Verdana" w:hAnsi="Verdana"/>
          <w:sz w:val="16"/>
          <w:szCs w:val="16"/>
        </w:rPr>
        <w:t>2. Intermediarios de seguros. Son intermediarios de seguros los corredores, las agencias y los agentes, cuya función consiste en la realización de las actividades contempladas en el presente Estatuto.</w:t>
      </w:r>
    </w:p>
    <w:p w14:paraId="27669577" w14:textId="77777777" w:rsidR="00783B55" w:rsidRPr="00CF1350" w:rsidRDefault="00783B55" w:rsidP="00783B55">
      <w:pPr>
        <w:pStyle w:val="Textonotapie"/>
        <w:ind w:firstLine="709"/>
        <w:contextualSpacing/>
        <w:jc w:val="both"/>
        <w:rPr>
          <w:rFonts w:ascii="Verdana" w:hAnsi="Verdana"/>
          <w:sz w:val="16"/>
          <w:szCs w:val="16"/>
        </w:rPr>
      </w:pPr>
      <w:r w:rsidRPr="00CF1350">
        <w:rPr>
          <w:rFonts w:ascii="Verdana" w:hAnsi="Verdana"/>
          <w:sz w:val="16"/>
          <w:szCs w:val="16"/>
        </w:rPr>
        <w:t>3. Intermediarios de reaseguros. Son intermediarios de reaseguros los corredores de reaseguros</w:t>
      </w:r>
    </w:p>
    <w:p w14:paraId="2580B985" w14:textId="77777777" w:rsidR="00783B55" w:rsidRPr="00CF1350" w:rsidRDefault="00783B55" w:rsidP="00783B55">
      <w:pPr>
        <w:pStyle w:val="Textonotapie"/>
        <w:ind w:firstLine="709"/>
        <w:contextualSpacing/>
        <w:jc w:val="both"/>
        <w:rPr>
          <w:rFonts w:ascii="Verdana" w:hAnsi="Verdana"/>
          <w:sz w:val="16"/>
          <w:szCs w:val="16"/>
        </w:rPr>
      </w:pPr>
      <w:r w:rsidRPr="00CF1350">
        <w:rPr>
          <w:rFonts w:ascii="Verdana" w:hAnsi="Verdana"/>
          <w:sz w:val="16"/>
          <w:szCs w:val="16"/>
        </w:rPr>
        <w:t>[…]</w:t>
      </w:r>
    </w:p>
    <w:p w14:paraId="5659DB23" w14:textId="77777777" w:rsidR="00783B55" w:rsidRPr="00CF1350" w:rsidRDefault="00783B55" w:rsidP="00783B55">
      <w:pPr>
        <w:pStyle w:val="Textonotapie"/>
        <w:ind w:firstLine="709"/>
        <w:contextualSpacing/>
        <w:jc w:val="both"/>
        <w:rPr>
          <w:rFonts w:ascii="Verdana" w:hAnsi="Verdana"/>
          <w:sz w:val="16"/>
          <w:szCs w:val="16"/>
        </w:rPr>
      </w:pPr>
      <w:r w:rsidRPr="00CF1350">
        <w:rPr>
          <w:rFonts w:ascii="Verdana" w:hAnsi="Verdana"/>
          <w:sz w:val="16"/>
          <w:szCs w:val="16"/>
        </w:rPr>
        <w:t xml:space="preserve">Artículo 40.- Sociedades corredoras de seguros </w:t>
      </w:r>
    </w:p>
    <w:p w14:paraId="5038B3EB" w14:textId="77777777" w:rsidR="00783B55" w:rsidRPr="00CF1350" w:rsidRDefault="00783B55" w:rsidP="00783B55">
      <w:pPr>
        <w:pStyle w:val="Textonotapie"/>
        <w:ind w:firstLine="709"/>
        <w:contextualSpacing/>
        <w:jc w:val="both"/>
        <w:rPr>
          <w:rFonts w:ascii="Verdana" w:hAnsi="Verdana"/>
          <w:sz w:val="16"/>
          <w:szCs w:val="16"/>
        </w:rPr>
      </w:pPr>
      <w:r w:rsidRPr="00CF1350">
        <w:rPr>
          <w:rFonts w:ascii="Verdana" w:hAnsi="Verdana"/>
          <w:sz w:val="16"/>
          <w:szCs w:val="16"/>
        </w:rPr>
        <w:t xml:space="preserve">1. Definición. De acuerdo con el artículo 1347 del Código de Comercio, son corredores de seguros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 </w:t>
      </w:r>
    </w:p>
    <w:p w14:paraId="2A5B0EEC" w14:textId="77777777" w:rsidR="00783B55" w:rsidRPr="00CF1350" w:rsidRDefault="00783B55" w:rsidP="00783B55">
      <w:pPr>
        <w:pStyle w:val="Textonotapie"/>
        <w:ind w:firstLine="709"/>
        <w:contextualSpacing/>
        <w:jc w:val="both"/>
        <w:rPr>
          <w:rFonts w:ascii="Verdana" w:hAnsi="Verdana"/>
          <w:sz w:val="16"/>
          <w:szCs w:val="16"/>
        </w:rPr>
      </w:pPr>
      <w:r w:rsidRPr="00CF1350">
        <w:rPr>
          <w:rFonts w:ascii="Verdana" w:hAnsi="Verdana"/>
          <w:sz w:val="16"/>
          <w:szCs w:val="16"/>
        </w:rPr>
        <w:t>2. Control y vigilancia. De acuerdo con el artículo 1348 del Código de Comercio, las sociedades que se dediquen al corretaje de seguros estarán sometidas al control y vigilancia de la Superintendencia Bancaria, y deberán tener un capital mínimo</w:t>
      </w:r>
    </w:p>
    <w:p w14:paraId="02583154" w14:textId="77777777" w:rsidR="00783B55" w:rsidRPr="00CF1350" w:rsidRDefault="00783B55" w:rsidP="00783B55">
      <w:pPr>
        <w:pStyle w:val="Textonotapie"/>
        <w:ind w:firstLine="709"/>
        <w:contextualSpacing/>
        <w:jc w:val="both"/>
        <w:rPr>
          <w:rFonts w:ascii="Verdana" w:hAnsi="Verdana"/>
          <w:sz w:val="16"/>
          <w:szCs w:val="16"/>
        </w:rPr>
      </w:pPr>
      <w:r w:rsidRPr="00CF1350">
        <w:rPr>
          <w:rFonts w:ascii="Verdana" w:hAnsi="Verdana"/>
          <w:sz w:val="16"/>
          <w:szCs w:val="16"/>
        </w:rPr>
        <w:t xml:space="preserve">y una organización técnica y contable, con sujeción a las normas que dicte al efecto la misma Superintendencia. </w:t>
      </w:r>
    </w:p>
    <w:p w14:paraId="0C6922D5" w14:textId="77777777" w:rsidR="00783B55" w:rsidRPr="00CF1350" w:rsidRDefault="00783B55" w:rsidP="00783B55">
      <w:pPr>
        <w:pStyle w:val="Textonotapie"/>
        <w:ind w:firstLine="709"/>
        <w:contextualSpacing/>
        <w:jc w:val="both"/>
        <w:rPr>
          <w:rFonts w:ascii="Verdana" w:hAnsi="Verdana"/>
          <w:sz w:val="16"/>
          <w:szCs w:val="16"/>
        </w:rPr>
      </w:pPr>
      <w:r w:rsidRPr="00CF1350">
        <w:rPr>
          <w:rFonts w:ascii="Verdana" w:hAnsi="Verdana"/>
          <w:sz w:val="16"/>
          <w:szCs w:val="16"/>
        </w:rPr>
        <w:t>3. Condiciones para el ejercicio. De acuerdo con el artículo 1351 del Código de Comercio, sólo podrán usar el título de corredores de seguros y ejercer esta profesión las sociedades debidamente inscritas en la Superintendencia Bancaria, que tengan vigente el certificado expedido por dicho organismo”.</w:t>
      </w:r>
    </w:p>
    <w:p w14:paraId="386A0B84" w14:textId="77777777" w:rsidR="00783B55" w:rsidRPr="005836A0" w:rsidRDefault="00783B55" w:rsidP="00783B55">
      <w:pPr>
        <w:pStyle w:val="Textonotapie"/>
        <w:ind w:firstLine="709"/>
        <w:contextualSpacing/>
        <w:jc w:val="both"/>
        <w:rPr>
          <w:rFonts w:ascii="Century Gothic" w:hAnsi="Century Gothic"/>
          <w:sz w:val="18"/>
          <w:szCs w:val="18"/>
        </w:rPr>
      </w:pPr>
    </w:p>
  </w:footnote>
  <w:footnote w:id="4">
    <w:p w14:paraId="57489205" w14:textId="77777777" w:rsidR="00783B55" w:rsidRPr="00787101" w:rsidRDefault="00783B55" w:rsidP="00783B55">
      <w:pPr>
        <w:pStyle w:val="Textonotapie"/>
        <w:ind w:firstLine="708"/>
        <w:contextualSpacing/>
        <w:jc w:val="both"/>
        <w:rPr>
          <w:rFonts w:ascii="Verdana" w:hAnsi="Verdana"/>
          <w:sz w:val="16"/>
          <w:szCs w:val="16"/>
        </w:rPr>
      </w:pPr>
      <w:r w:rsidRPr="00787101">
        <w:rPr>
          <w:rStyle w:val="Refdenotaalpie"/>
          <w:rFonts w:ascii="Verdana" w:hAnsi="Verdana"/>
          <w:sz w:val="16"/>
          <w:szCs w:val="16"/>
        </w:rPr>
        <w:footnoteRef/>
      </w:r>
      <w:r w:rsidRPr="00787101">
        <w:rPr>
          <w:rFonts w:ascii="Verdana" w:hAnsi="Verdana"/>
          <w:sz w:val="16"/>
          <w:szCs w:val="16"/>
        </w:rPr>
        <w:t xml:space="preserve"> “Artículo 1039. SEGURO POR CUENTA DE UN TERCERO Y OBLIGACIONES DE LAS PARTES. El seguro puede ser contratado por cuenta de un tercero determinado o determinable. En tal caso, al tomador incumben las obligaciones y al tercero corresponde el derecho a la prestación asegurada. </w:t>
      </w:r>
    </w:p>
    <w:p w14:paraId="1616BAE3" w14:textId="77777777" w:rsidR="00783B55" w:rsidRPr="00DC7A05" w:rsidRDefault="00783B55" w:rsidP="00783B55">
      <w:pPr>
        <w:pStyle w:val="Textonotapie"/>
        <w:ind w:firstLine="709"/>
        <w:contextualSpacing/>
        <w:jc w:val="both"/>
        <w:rPr>
          <w:rFonts w:ascii="Verdana" w:hAnsi="Verdana"/>
          <w:sz w:val="16"/>
          <w:szCs w:val="16"/>
        </w:rPr>
      </w:pPr>
      <w:r w:rsidRPr="00787101">
        <w:rPr>
          <w:rFonts w:ascii="Verdana" w:hAnsi="Verdana"/>
          <w:sz w:val="16"/>
          <w:szCs w:val="16"/>
        </w:rPr>
        <w:t>No obstante, al asegurado corresponden aquellas obligaciones que no puedan ser cumplidas más que por él mismo”.</w:t>
      </w:r>
    </w:p>
  </w:footnote>
  <w:footnote w:id="5">
    <w:p w14:paraId="010C4D9E" w14:textId="77777777" w:rsidR="00783B55" w:rsidRPr="0037559D" w:rsidRDefault="00783B55" w:rsidP="00783B55">
      <w:pPr>
        <w:pStyle w:val="Textonotapie"/>
        <w:ind w:firstLine="708"/>
        <w:contextualSpacing/>
        <w:jc w:val="both"/>
        <w:rPr>
          <w:rFonts w:ascii="Verdana" w:hAnsi="Verdana"/>
          <w:sz w:val="16"/>
          <w:szCs w:val="16"/>
        </w:rPr>
      </w:pPr>
      <w:r w:rsidRPr="00787101">
        <w:rPr>
          <w:rStyle w:val="Refdenotaalpie"/>
          <w:rFonts w:ascii="Verdana" w:hAnsi="Verdana"/>
          <w:sz w:val="16"/>
          <w:szCs w:val="16"/>
        </w:rPr>
        <w:footnoteRef/>
      </w:r>
      <w:r w:rsidRPr="00787101">
        <w:rPr>
          <w:rFonts w:ascii="Verdana" w:hAnsi="Verdana"/>
          <w:sz w:val="16"/>
          <w:szCs w:val="16"/>
        </w:rPr>
        <w:t xml:space="preserve">  Corte Constitucional. Sentencia C-479 del 7 de julio de 1999. M.P. Vladimiro Naranjo Mesa.</w:t>
      </w:r>
    </w:p>
  </w:footnote>
  <w:footnote w:id="6">
    <w:p w14:paraId="500A4DE3" w14:textId="77777777" w:rsidR="00783B55" w:rsidRPr="00274784" w:rsidRDefault="00783B55" w:rsidP="00783B55">
      <w:pPr>
        <w:pStyle w:val="Textonotapie"/>
        <w:ind w:firstLine="708"/>
        <w:contextualSpacing/>
        <w:jc w:val="both"/>
        <w:rPr>
          <w:rFonts w:ascii="Verdana" w:hAnsi="Verdana"/>
          <w:sz w:val="16"/>
          <w:szCs w:val="16"/>
        </w:rPr>
      </w:pPr>
      <w:r w:rsidRPr="00274784">
        <w:rPr>
          <w:rStyle w:val="Refdenotaalpie"/>
          <w:rFonts w:ascii="Verdana" w:hAnsi="Verdana"/>
          <w:sz w:val="16"/>
          <w:szCs w:val="16"/>
        </w:rPr>
        <w:footnoteRef/>
      </w:r>
      <w:r w:rsidRPr="00274784">
        <w:rPr>
          <w:rFonts w:ascii="Verdana" w:hAnsi="Verdana"/>
          <w:sz w:val="16"/>
          <w:szCs w:val="16"/>
        </w:rPr>
        <w:t xml:space="preserve"> Consejo de Estado. Sala de lo Contencioso Administrativo. Sección Tercera. Sentencia del 22 de marzo de 2001. Exp. No. 9840. C.P. Alier Eduardo Hernández Enríquez.</w:t>
      </w:r>
    </w:p>
    <w:p w14:paraId="365ACCBE" w14:textId="77777777" w:rsidR="00783B55" w:rsidRPr="00274784" w:rsidRDefault="00783B55" w:rsidP="00783B55">
      <w:pPr>
        <w:pStyle w:val="Textonotapie"/>
        <w:ind w:firstLine="708"/>
        <w:contextualSpacing/>
        <w:jc w:val="both"/>
        <w:rPr>
          <w:rFonts w:ascii="Verdana" w:hAnsi="Verdana"/>
          <w:sz w:val="16"/>
          <w:szCs w:val="16"/>
          <w:lang w:val="es-CO"/>
        </w:rPr>
      </w:pPr>
    </w:p>
  </w:footnote>
  <w:footnote w:id="7">
    <w:p w14:paraId="546D5AB5" w14:textId="77777777" w:rsidR="00783B55" w:rsidRPr="00D650AC" w:rsidRDefault="00783B55" w:rsidP="00783B55">
      <w:pPr>
        <w:pStyle w:val="Textonotapie"/>
        <w:ind w:firstLine="708"/>
        <w:contextualSpacing/>
        <w:jc w:val="both"/>
        <w:rPr>
          <w:rFonts w:ascii="Verdana" w:hAnsi="Verdana"/>
          <w:sz w:val="16"/>
          <w:szCs w:val="16"/>
        </w:rPr>
      </w:pPr>
      <w:r w:rsidRPr="00D650AC">
        <w:rPr>
          <w:rStyle w:val="Refdenotaalpie"/>
          <w:rFonts w:ascii="Verdana" w:hAnsi="Verdana"/>
          <w:sz w:val="16"/>
          <w:szCs w:val="16"/>
        </w:rPr>
        <w:footnoteRef/>
      </w:r>
      <w:r w:rsidRPr="00D650AC">
        <w:rPr>
          <w:rFonts w:ascii="Verdana" w:hAnsi="Verdana"/>
          <w:sz w:val="16"/>
          <w:szCs w:val="16"/>
        </w:rPr>
        <w:t xml:space="preserve"> Corte Suprema De Justica. Sala de Casación Civil. Sentencia del 8 de agosto de 2000, Exp. No 5383, M.P. José Fernando Ramírez Gómez.</w:t>
      </w:r>
    </w:p>
  </w:footnote>
  <w:footnote w:id="8">
    <w:p w14:paraId="023DA8C0" w14:textId="77777777" w:rsidR="00783B55" w:rsidRPr="00D650AC" w:rsidRDefault="00783B55" w:rsidP="00783B55">
      <w:pPr>
        <w:pStyle w:val="Textonotapie"/>
        <w:ind w:firstLine="708"/>
        <w:contextualSpacing/>
        <w:jc w:val="both"/>
        <w:rPr>
          <w:rFonts w:ascii="Verdana" w:hAnsi="Verdana"/>
          <w:sz w:val="16"/>
          <w:szCs w:val="16"/>
        </w:rPr>
      </w:pPr>
      <w:r w:rsidRPr="00D650AC">
        <w:rPr>
          <w:rStyle w:val="Refdenotaalpie"/>
          <w:rFonts w:ascii="Verdana" w:hAnsi="Verdana"/>
          <w:sz w:val="16"/>
          <w:szCs w:val="16"/>
        </w:rPr>
        <w:footnoteRef/>
      </w:r>
      <w:r w:rsidRPr="00D650AC">
        <w:rPr>
          <w:rFonts w:ascii="Verdana" w:hAnsi="Verdana"/>
          <w:sz w:val="16"/>
          <w:szCs w:val="16"/>
        </w:rPr>
        <w:t xml:space="preserve"> ARIZA VESGA, Rafael A. Reflexiones sobre la naturaleza jurídica del intermediario de seguros en Colombia, en Revista Ibero-Latinoamericana de Seguros, Vol 17, No 29, julio-diciembre de 2008, Pontificia Universidad Javeriana, pp. 95-126.</w:t>
      </w:r>
    </w:p>
    <w:p w14:paraId="127F7CCF" w14:textId="77777777" w:rsidR="00783B55" w:rsidRPr="00D650AC" w:rsidRDefault="00783B55" w:rsidP="00783B55">
      <w:pPr>
        <w:pStyle w:val="Textonotapie"/>
        <w:ind w:firstLine="708"/>
        <w:contextualSpacing/>
        <w:jc w:val="both"/>
        <w:rPr>
          <w:rFonts w:ascii="Verdana" w:hAnsi="Verdana"/>
          <w:sz w:val="16"/>
          <w:szCs w:val="16"/>
          <w:lang w:val="es-CO"/>
        </w:rPr>
      </w:pPr>
    </w:p>
  </w:footnote>
  <w:footnote w:id="9">
    <w:p w14:paraId="3FE3C760" w14:textId="77777777" w:rsidR="00783B55" w:rsidRPr="00854DC2" w:rsidRDefault="00783B55" w:rsidP="00783B55">
      <w:pPr>
        <w:pStyle w:val="Textonotapie"/>
        <w:ind w:firstLine="708"/>
        <w:contextualSpacing/>
        <w:jc w:val="both"/>
        <w:rPr>
          <w:rFonts w:ascii="Verdana" w:hAnsi="Verdana"/>
          <w:sz w:val="16"/>
          <w:szCs w:val="16"/>
        </w:rPr>
      </w:pPr>
      <w:r w:rsidRPr="003670EC">
        <w:rPr>
          <w:rStyle w:val="Refdenotaalpie"/>
          <w:rFonts w:ascii="Verdana" w:hAnsi="Verdana"/>
          <w:sz w:val="16"/>
          <w:szCs w:val="16"/>
        </w:rPr>
        <w:footnoteRef/>
      </w:r>
      <w:r w:rsidRPr="003670EC">
        <w:rPr>
          <w:rFonts w:ascii="Verdana" w:hAnsi="Verdana"/>
          <w:sz w:val="16"/>
          <w:szCs w:val="16"/>
        </w:rPr>
        <w:t xml:space="preserve"> Sin embargo, es importante tener en cuenta que la entidad estatal paga la comisión del corredor cuando paga a la entidad aseguradora la prima de los seguros que adquiere.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903CB1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F24ED3"/>
    <w:multiLevelType w:val="hybridMultilevel"/>
    <w:tmpl w:val="A1E433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1358431546">
    <w:abstractNumId w:val="3"/>
  </w:num>
  <w:num w:numId="18" w16cid:durableId="19454593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CA5"/>
    <w:rsid w:val="00016F78"/>
    <w:rsid w:val="00033928"/>
    <w:rsid w:val="00033AF7"/>
    <w:rsid w:val="00042693"/>
    <w:rsid w:val="00046945"/>
    <w:rsid w:val="00055B38"/>
    <w:rsid w:val="00061B2A"/>
    <w:rsid w:val="00082362"/>
    <w:rsid w:val="00085F9F"/>
    <w:rsid w:val="000A21F8"/>
    <w:rsid w:val="000A683E"/>
    <w:rsid w:val="000B0795"/>
    <w:rsid w:val="000B19B9"/>
    <w:rsid w:val="000D0334"/>
    <w:rsid w:val="000D5DA7"/>
    <w:rsid w:val="000E1118"/>
    <w:rsid w:val="000F6486"/>
    <w:rsid w:val="000F717C"/>
    <w:rsid w:val="00116940"/>
    <w:rsid w:val="001212FF"/>
    <w:rsid w:val="00125105"/>
    <w:rsid w:val="00127233"/>
    <w:rsid w:val="00154D7C"/>
    <w:rsid w:val="0015699B"/>
    <w:rsid w:val="00177FDA"/>
    <w:rsid w:val="00184B6F"/>
    <w:rsid w:val="001A33BF"/>
    <w:rsid w:val="001D5C45"/>
    <w:rsid w:val="001E4177"/>
    <w:rsid w:val="001F0B24"/>
    <w:rsid w:val="001F7DC6"/>
    <w:rsid w:val="0022400B"/>
    <w:rsid w:val="002421BB"/>
    <w:rsid w:val="0025796E"/>
    <w:rsid w:val="002707A2"/>
    <w:rsid w:val="0027726E"/>
    <w:rsid w:val="00281612"/>
    <w:rsid w:val="0029350B"/>
    <w:rsid w:val="002951A0"/>
    <w:rsid w:val="00296208"/>
    <w:rsid w:val="002962BC"/>
    <w:rsid w:val="002A0260"/>
    <w:rsid w:val="002A093D"/>
    <w:rsid w:val="002A0DD0"/>
    <w:rsid w:val="002A49AC"/>
    <w:rsid w:val="002A582E"/>
    <w:rsid w:val="002A64FD"/>
    <w:rsid w:val="002C7A84"/>
    <w:rsid w:val="002D7DB6"/>
    <w:rsid w:val="002E2BF8"/>
    <w:rsid w:val="002E349E"/>
    <w:rsid w:val="002E4FD9"/>
    <w:rsid w:val="0030657A"/>
    <w:rsid w:val="00322A85"/>
    <w:rsid w:val="00324168"/>
    <w:rsid w:val="00330834"/>
    <w:rsid w:val="00341693"/>
    <w:rsid w:val="003448F4"/>
    <w:rsid w:val="00345683"/>
    <w:rsid w:val="00357964"/>
    <w:rsid w:val="00374F5E"/>
    <w:rsid w:val="0037559D"/>
    <w:rsid w:val="00377E3E"/>
    <w:rsid w:val="00380C40"/>
    <w:rsid w:val="003A6DBD"/>
    <w:rsid w:val="003A779E"/>
    <w:rsid w:val="003B7C24"/>
    <w:rsid w:val="003C010B"/>
    <w:rsid w:val="003D0F4D"/>
    <w:rsid w:val="003D2D45"/>
    <w:rsid w:val="003D5B0D"/>
    <w:rsid w:val="003E045F"/>
    <w:rsid w:val="003E0499"/>
    <w:rsid w:val="003E4F80"/>
    <w:rsid w:val="003E6439"/>
    <w:rsid w:val="003F3941"/>
    <w:rsid w:val="00406575"/>
    <w:rsid w:val="00414C74"/>
    <w:rsid w:val="0042722E"/>
    <w:rsid w:val="00442D30"/>
    <w:rsid w:val="0044528D"/>
    <w:rsid w:val="00463B77"/>
    <w:rsid w:val="00466E39"/>
    <w:rsid w:val="00472A7E"/>
    <w:rsid w:val="004852D8"/>
    <w:rsid w:val="004925E2"/>
    <w:rsid w:val="004A1847"/>
    <w:rsid w:val="004A305D"/>
    <w:rsid w:val="004A4430"/>
    <w:rsid w:val="004B4BBC"/>
    <w:rsid w:val="004C0E6A"/>
    <w:rsid w:val="004E2E2C"/>
    <w:rsid w:val="004F21C4"/>
    <w:rsid w:val="004F685F"/>
    <w:rsid w:val="00515460"/>
    <w:rsid w:val="0052241F"/>
    <w:rsid w:val="00523529"/>
    <w:rsid w:val="005566E8"/>
    <w:rsid w:val="005713FB"/>
    <w:rsid w:val="00574867"/>
    <w:rsid w:val="005767C2"/>
    <w:rsid w:val="005801A9"/>
    <w:rsid w:val="00586101"/>
    <w:rsid w:val="00591460"/>
    <w:rsid w:val="005A65E0"/>
    <w:rsid w:val="005B3EB6"/>
    <w:rsid w:val="005C3777"/>
    <w:rsid w:val="005C5CDC"/>
    <w:rsid w:val="005D476C"/>
    <w:rsid w:val="005F7F7E"/>
    <w:rsid w:val="00605C2F"/>
    <w:rsid w:val="00614E7B"/>
    <w:rsid w:val="006200BF"/>
    <w:rsid w:val="006219F8"/>
    <w:rsid w:val="006302F7"/>
    <w:rsid w:val="00646B9F"/>
    <w:rsid w:val="00646D13"/>
    <w:rsid w:val="006539D1"/>
    <w:rsid w:val="00663C3E"/>
    <w:rsid w:val="0066567E"/>
    <w:rsid w:val="00665D70"/>
    <w:rsid w:val="00681831"/>
    <w:rsid w:val="00682533"/>
    <w:rsid w:val="006900D9"/>
    <w:rsid w:val="006C2250"/>
    <w:rsid w:val="0070393B"/>
    <w:rsid w:val="00706C16"/>
    <w:rsid w:val="007073B4"/>
    <w:rsid w:val="00721D9D"/>
    <w:rsid w:val="007340C3"/>
    <w:rsid w:val="0075235A"/>
    <w:rsid w:val="00754F85"/>
    <w:rsid w:val="00756841"/>
    <w:rsid w:val="007649AB"/>
    <w:rsid w:val="00771D0C"/>
    <w:rsid w:val="007833AC"/>
    <w:rsid w:val="00783B55"/>
    <w:rsid w:val="007934D8"/>
    <w:rsid w:val="007A7621"/>
    <w:rsid w:val="007B268C"/>
    <w:rsid w:val="007B7171"/>
    <w:rsid w:val="007C0562"/>
    <w:rsid w:val="007C0C0F"/>
    <w:rsid w:val="007C1A6C"/>
    <w:rsid w:val="007C3DC2"/>
    <w:rsid w:val="007E47AF"/>
    <w:rsid w:val="007E5497"/>
    <w:rsid w:val="007F0A3B"/>
    <w:rsid w:val="007F0D18"/>
    <w:rsid w:val="00806F5F"/>
    <w:rsid w:val="00820278"/>
    <w:rsid w:val="00823B5B"/>
    <w:rsid w:val="008258C9"/>
    <w:rsid w:val="00826946"/>
    <w:rsid w:val="00834B43"/>
    <w:rsid w:val="00844AE9"/>
    <w:rsid w:val="008474CC"/>
    <w:rsid w:val="00850994"/>
    <w:rsid w:val="00854DC2"/>
    <w:rsid w:val="008601F3"/>
    <w:rsid w:val="00867F95"/>
    <w:rsid w:val="008843B6"/>
    <w:rsid w:val="00891928"/>
    <w:rsid w:val="00891B39"/>
    <w:rsid w:val="008959AC"/>
    <w:rsid w:val="008A446D"/>
    <w:rsid w:val="008B25F1"/>
    <w:rsid w:val="008D180B"/>
    <w:rsid w:val="008D3F22"/>
    <w:rsid w:val="008F0EA7"/>
    <w:rsid w:val="00902AAF"/>
    <w:rsid w:val="00923EEF"/>
    <w:rsid w:val="009274F3"/>
    <w:rsid w:val="0093158D"/>
    <w:rsid w:val="00932DB1"/>
    <w:rsid w:val="009419F9"/>
    <w:rsid w:val="0095685E"/>
    <w:rsid w:val="00961B09"/>
    <w:rsid w:val="00965334"/>
    <w:rsid w:val="0097093E"/>
    <w:rsid w:val="00987693"/>
    <w:rsid w:val="009A0DFA"/>
    <w:rsid w:val="009A1C6F"/>
    <w:rsid w:val="009A3F03"/>
    <w:rsid w:val="009A71E2"/>
    <w:rsid w:val="009B2D26"/>
    <w:rsid w:val="009C1270"/>
    <w:rsid w:val="009C71FA"/>
    <w:rsid w:val="009C72E7"/>
    <w:rsid w:val="009C7F7E"/>
    <w:rsid w:val="009D165C"/>
    <w:rsid w:val="009D3058"/>
    <w:rsid w:val="009D54CD"/>
    <w:rsid w:val="009F3A13"/>
    <w:rsid w:val="00A122D3"/>
    <w:rsid w:val="00A14468"/>
    <w:rsid w:val="00A17F13"/>
    <w:rsid w:val="00A20739"/>
    <w:rsid w:val="00A2324A"/>
    <w:rsid w:val="00A23AF9"/>
    <w:rsid w:val="00A33C78"/>
    <w:rsid w:val="00A670B3"/>
    <w:rsid w:val="00A7565E"/>
    <w:rsid w:val="00A93965"/>
    <w:rsid w:val="00AA0421"/>
    <w:rsid w:val="00AB0ADB"/>
    <w:rsid w:val="00AD51E4"/>
    <w:rsid w:val="00AF4347"/>
    <w:rsid w:val="00B00C0E"/>
    <w:rsid w:val="00B01B1A"/>
    <w:rsid w:val="00B0381D"/>
    <w:rsid w:val="00B2422A"/>
    <w:rsid w:val="00B44A47"/>
    <w:rsid w:val="00B610FF"/>
    <w:rsid w:val="00B653AA"/>
    <w:rsid w:val="00B72CD3"/>
    <w:rsid w:val="00B72FFF"/>
    <w:rsid w:val="00B736DA"/>
    <w:rsid w:val="00BA204F"/>
    <w:rsid w:val="00BA303E"/>
    <w:rsid w:val="00BA4EC9"/>
    <w:rsid w:val="00BA54D3"/>
    <w:rsid w:val="00BC0EB7"/>
    <w:rsid w:val="00BC3D36"/>
    <w:rsid w:val="00BD1BC3"/>
    <w:rsid w:val="00BD1ECB"/>
    <w:rsid w:val="00BD54A6"/>
    <w:rsid w:val="00BD6DE5"/>
    <w:rsid w:val="00BD7191"/>
    <w:rsid w:val="00BD7F72"/>
    <w:rsid w:val="00BF7425"/>
    <w:rsid w:val="00C014F4"/>
    <w:rsid w:val="00C04FB3"/>
    <w:rsid w:val="00C11D8B"/>
    <w:rsid w:val="00C15139"/>
    <w:rsid w:val="00C24408"/>
    <w:rsid w:val="00C330EB"/>
    <w:rsid w:val="00C36694"/>
    <w:rsid w:val="00C37576"/>
    <w:rsid w:val="00C50739"/>
    <w:rsid w:val="00C50D69"/>
    <w:rsid w:val="00C5365C"/>
    <w:rsid w:val="00C754BE"/>
    <w:rsid w:val="00C76B1C"/>
    <w:rsid w:val="00C925AC"/>
    <w:rsid w:val="00C932D5"/>
    <w:rsid w:val="00CB6357"/>
    <w:rsid w:val="00CC1B26"/>
    <w:rsid w:val="00CC78E0"/>
    <w:rsid w:val="00CD3779"/>
    <w:rsid w:val="00D13648"/>
    <w:rsid w:val="00D17BC3"/>
    <w:rsid w:val="00D24430"/>
    <w:rsid w:val="00D2603F"/>
    <w:rsid w:val="00D361FD"/>
    <w:rsid w:val="00D40699"/>
    <w:rsid w:val="00D423A2"/>
    <w:rsid w:val="00D44E26"/>
    <w:rsid w:val="00D45A47"/>
    <w:rsid w:val="00D520D8"/>
    <w:rsid w:val="00D52233"/>
    <w:rsid w:val="00D63AC2"/>
    <w:rsid w:val="00D7383B"/>
    <w:rsid w:val="00D7788A"/>
    <w:rsid w:val="00D84125"/>
    <w:rsid w:val="00D96650"/>
    <w:rsid w:val="00DA1D8D"/>
    <w:rsid w:val="00DA231B"/>
    <w:rsid w:val="00DB32BC"/>
    <w:rsid w:val="00DC217E"/>
    <w:rsid w:val="00DC39FC"/>
    <w:rsid w:val="00DC4E9E"/>
    <w:rsid w:val="00DD5971"/>
    <w:rsid w:val="00DF5254"/>
    <w:rsid w:val="00E02524"/>
    <w:rsid w:val="00E06479"/>
    <w:rsid w:val="00E06F10"/>
    <w:rsid w:val="00E16408"/>
    <w:rsid w:val="00E20894"/>
    <w:rsid w:val="00E245AB"/>
    <w:rsid w:val="00E2764C"/>
    <w:rsid w:val="00E27F2E"/>
    <w:rsid w:val="00E50AFE"/>
    <w:rsid w:val="00E75C92"/>
    <w:rsid w:val="00E771DC"/>
    <w:rsid w:val="00E8772A"/>
    <w:rsid w:val="00E90DE5"/>
    <w:rsid w:val="00E90F6B"/>
    <w:rsid w:val="00E92C27"/>
    <w:rsid w:val="00EA0E3D"/>
    <w:rsid w:val="00EB0187"/>
    <w:rsid w:val="00EC38A7"/>
    <w:rsid w:val="00EC7CEF"/>
    <w:rsid w:val="00ED1947"/>
    <w:rsid w:val="00EE1AA8"/>
    <w:rsid w:val="00F00C3D"/>
    <w:rsid w:val="00F23FEA"/>
    <w:rsid w:val="00F31EDC"/>
    <w:rsid w:val="00F32866"/>
    <w:rsid w:val="00F3317B"/>
    <w:rsid w:val="00F3733D"/>
    <w:rsid w:val="00F462B3"/>
    <w:rsid w:val="00F477BD"/>
    <w:rsid w:val="00F51F06"/>
    <w:rsid w:val="00F5664F"/>
    <w:rsid w:val="00F61A78"/>
    <w:rsid w:val="00F666C4"/>
    <w:rsid w:val="00F717E5"/>
    <w:rsid w:val="00F76AFC"/>
    <w:rsid w:val="00F8461D"/>
    <w:rsid w:val="00FA47C0"/>
    <w:rsid w:val="00FB5DD1"/>
    <w:rsid w:val="00FC0DA5"/>
    <w:rsid w:val="00FC2B5D"/>
    <w:rsid w:val="00FC355A"/>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3F15ECC"/>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C0B0F8B-F169-4762-98B9-E69E785A6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E2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014F4"/>
    <w:rPr>
      <w:rFonts w:ascii="Geomanist Light" w:hAnsi="Geomanist Light"/>
      <w:lang w:val="es-ES"/>
    </w:rPr>
  </w:style>
  <w:style w:type="paragraph" w:customStyle="1" w:styleId="Appelnotedebasde">
    <w:name w:val="Appel note de bas de..."/>
    <w:basedOn w:val="Normal"/>
    <w:link w:val="Refdenotaalpie"/>
    <w:uiPriority w:val="99"/>
    <w:rsid w:val="00C014F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rubiano@ins.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6B96394-EAC1-4578-B387-87983B37F7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19</Pages>
  <Words>6370</Words>
  <Characters>35038</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2023-01-10T18:18:00Z</cp:lastPrinted>
  <dcterms:created xsi:type="dcterms:W3CDTF">2026-07-06T14:51:00Z</dcterms:created>
  <dcterms:modified xsi:type="dcterms:W3CDTF">2026-07-07T13:45:00Z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