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E9281" w14:textId="77777777" w:rsidR="003E7593" w:rsidRDefault="003E7593" w:rsidP="003E7593">
      <w:pPr>
        <w:snapToGrid w:val="0"/>
        <w:spacing w:after="0" w:line="240" w:lineRule="auto"/>
        <w:contextualSpacing/>
        <w:jc w:val="both"/>
        <w:rPr>
          <w:rFonts w:ascii="Verdana" w:eastAsia="Aptos" w:hAnsi="Verdana" w:cs="Arial"/>
          <w:b/>
          <w:bCs/>
          <w:kern w:val="2"/>
          <w:lang w:val="es-MX"/>
          <w14:ligatures w14:val="standardContextual"/>
        </w:rPr>
      </w:pPr>
      <w:bookmarkStart w:id="0" w:name="_Hlk143780582"/>
      <w:r w:rsidRPr="007A2BBB">
        <w:rPr>
          <w:rFonts w:ascii="Verdana" w:eastAsia="Aptos" w:hAnsi="Verdana" w:cs="Arial"/>
          <w:b/>
          <w:bCs/>
          <w:kern w:val="2"/>
          <w:lang w:val="es-MX"/>
          <w14:ligatures w14:val="standardContextual"/>
        </w:rPr>
        <w:t>CONTRATO DE INTERVENTORÍA – Características – Finalidad</w:t>
      </w:r>
    </w:p>
    <w:p w14:paraId="5F471E40" w14:textId="77777777" w:rsidR="003E7593" w:rsidRPr="00753814" w:rsidRDefault="003E7593" w:rsidP="003E7593">
      <w:pPr>
        <w:tabs>
          <w:tab w:val="left" w:pos="709"/>
        </w:tabs>
        <w:snapToGrid w:val="0"/>
        <w:spacing w:after="0" w:line="240" w:lineRule="auto"/>
        <w:contextualSpacing/>
        <w:jc w:val="both"/>
        <w:rPr>
          <w:rFonts w:ascii="Verdana" w:eastAsia="Aptos" w:hAnsi="Verdana" w:cs="Arial"/>
          <w:bCs/>
          <w:sz w:val="20"/>
          <w:szCs w:val="20"/>
        </w:rPr>
      </w:pPr>
    </w:p>
    <w:p w14:paraId="466070B7" w14:textId="77777777" w:rsidR="003E7593" w:rsidRDefault="003E7593" w:rsidP="003E7593">
      <w:pPr>
        <w:tabs>
          <w:tab w:val="left" w:pos="709"/>
        </w:tabs>
        <w:snapToGrid w:val="0"/>
        <w:spacing w:after="0" w:line="240" w:lineRule="auto"/>
        <w:contextualSpacing/>
        <w:jc w:val="both"/>
        <w:rPr>
          <w:rFonts w:ascii="Verdana" w:eastAsia="Aptos" w:hAnsi="Verdana" w:cs="Arial"/>
          <w:bCs/>
          <w:sz w:val="20"/>
          <w:szCs w:val="20"/>
        </w:rPr>
      </w:pPr>
      <w:r w:rsidRPr="00A90B76">
        <w:rPr>
          <w:rFonts w:ascii="Verdana" w:eastAsia="Aptos" w:hAnsi="Verdana" w:cs="Arial"/>
          <w:bCs/>
          <w:sz w:val="20"/>
          <w:szCs w:val="20"/>
        </w:rPr>
        <w:t xml:space="preserve">De este modo, la interventoría puede caracterizarse de la siguiente manera: (i) es un mecanismo de vigilancia contingente en la medida que solo es obligatorio para el seguimiento de los contratos de obra adjudicados por licitación pública –art. 32, numeral 1; en los demás casos se requerirá cuando “el seguimiento del contrato suponga conocimiento especializado en la materia, o cuando la complejidad o la extensión </w:t>
      </w:r>
      <w:proofErr w:type="gramStart"/>
      <w:r w:rsidRPr="00A90B76">
        <w:rPr>
          <w:rFonts w:ascii="Verdana" w:eastAsia="Aptos" w:hAnsi="Verdana" w:cs="Arial"/>
          <w:bCs/>
          <w:sz w:val="20"/>
          <w:szCs w:val="20"/>
        </w:rPr>
        <w:t>del mismo</w:t>
      </w:r>
      <w:proofErr w:type="gramEnd"/>
      <w:r w:rsidRPr="00A90B76">
        <w:rPr>
          <w:rFonts w:ascii="Verdana" w:eastAsia="Aptos" w:hAnsi="Verdana" w:cs="Arial"/>
          <w:bCs/>
          <w:sz w:val="20"/>
          <w:szCs w:val="20"/>
        </w:rPr>
        <w:t xml:space="preserve"> lo justifique” –art, 83, Ley 1474 de 2011–. (</w:t>
      </w:r>
      <w:proofErr w:type="spellStart"/>
      <w:r w:rsidRPr="00A90B76">
        <w:rPr>
          <w:rFonts w:ascii="Verdana" w:eastAsia="Aptos" w:hAnsi="Verdana" w:cs="Arial"/>
          <w:bCs/>
          <w:sz w:val="20"/>
          <w:szCs w:val="20"/>
        </w:rPr>
        <w:t>ii</w:t>
      </w:r>
      <w:proofErr w:type="spellEnd"/>
      <w:r w:rsidRPr="00A90B76">
        <w:rPr>
          <w:rFonts w:ascii="Verdana" w:eastAsia="Aptos" w:hAnsi="Verdana" w:cs="Arial"/>
          <w:bCs/>
          <w:sz w:val="20"/>
          <w:szCs w:val="20"/>
        </w:rPr>
        <w:t>) También es un mecanismo de vigilancia que exige, en su ejecución, la utilización de conocimientos especializados. (</w:t>
      </w:r>
      <w:proofErr w:type="spellStart"/>
      <w:r w:rsidRPr="00A90B76">
        <w:rPr>
          <w:rFonts w:ascii="Verdana" w:eastAsia="Aptos" w:hAnsi="Verdana" w:cs="Arial"/>
          <w:bCs/>
          <w:sz w:val="20"/>
          <w:szCs w:val="20"/>
        </w:rPr>
        <w:t>iii</w:t>
      </w:r>
      <w:proofErr w:type="spellEnd"/>
      <w:r w:rsidRPr="00A90B76">
        <w:rPr>
          <w:rFonts w:ascii="Verdana" w:eastAsia="Aptos" w:hAnsi="Verdana" w:cs="Arial"/>
          <w:bCs/>
          <w:sz w:val="20"/>
          <w:szCs w:val="20"/>
        </w:rPr>
        <w:t>) Por lo anterior, la entidad contrata un experto, por regla general, mediante la modalidad de selección de concurso de méritos, al tratarse de una especie del contrato de consultoría –art. 32, numeral 2, inciso 2, Ley 80 de 1993‒, de manera que la interventoría es realizada por “una persona natural o jurídica contratada para tal fin por la Entidad Estatal” –art. 83, Ley 1474–. Adicionalmente, (</w:t>
      </w:r>
      <w:proofErr w:type="spellStart"/>
      <w:r w:rsidRPr="00A90B76">
        <w:rPr>
          <w:rFonts w:ascii="Verdana" w:eastAsia="Aptos" w:hAnsi="Verdana" w:cs="Arial"/>
          <w:bCs/>
          <w:sz w:val="20"/>
          <w:szCs w:val="20"/>
        </w:rPr>
        <w:t>iv</w:t>
      </w:r>
      <w:proofErr w:type="spellEnd"/>
      <w:r w:rsidRPr="00A90B76">
        <w:rPr>
          <w:rFonts w:ascii="Verdana" w:eastAsia="Aptos" w:hAnsi="Verdana" w:cs="Arial"/>
          <w:bCs/>
          <w:sz w:val="20"/>
          <w:szCs w:val="20"/>
        </w:rPr>
        <w:t>) el seguimiento técnico es inherente a la interventoría para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Finalmente, (v) en caso de que no se encomiende al interventor el seguimiento total del contrato, en el contrato de interventoría “se deberán indicar las actividades técnicas a cargo del interventor y las demás quedarán a cargo de la Entidad a través del supervisor” –art. 83, inciso 3–. En cualquier caso (vi) el contrato de interventoría será supervisado directamente por la entidad –art. 23, inciso 4–.</w:t>
      </w:r>
    </w:p>
    <w:p w14:paraId="6A4AEA27" w14:textId="77777777" w:rsidR="003E7593" w:rsidRDefault="003E7593" w:rsidP="003E7593">
      <w:pPr>
        <w:tabs>
          <w:tab w:val="left" w:pos="709"/>
        </w:tabs>
        <w:snapToGrid w:val="0"/>
        <w:spacing w:after="0" w:line="240" w:lineRule="auto"/>
        <w:contextualSpacing/>
        <w:jc w:val="both"/>
        <w:rPr>
          <w:rFonts w:ascii="Verdana" w:eastAsia="Aptos" w:hAnsi="Verdana" w:cs="Arial"/>
          <w:bCs/>
          <w:sz w:val="20"/>
          <w:szCs w:val="20"/>
        </w:rPr>
      </w:pPr>
    </w:p>
    <w:p w14:paraId="14F8D891" w14:textId="77777777" w:rsidR="003E7593" w:rsidRDefault="003E7593" w:rsidP="003E7593">
      <w:pPr>
        <w:snapToGrid w:val="0"/>
        <w:spacing w:after="0" w:line="240" w:lineRule="auto"/>
        <w:contextualSpacing/>
        <w:jc w:val="both"/>
        <w:rPr>
          <w:rFonts w:ascii="Verdana" w:eastAsia="Geomanist Light" w:hAnsi="Verdana" w:cs="Arial"/>
          <w:b/>
          <w:bCs/>
          <w:lang w:val="es-MX"/>
        </w:rPr>
      </w:pPr>
      <w:r w:rsidRPr="007A2BBB">
        <w:rPr>
          <w:rFonts w:ascii="Verdana" w:eastAsia="Geomanist Light" w:hAnsi="Verdana" w:cs="Arial"/>
          <w:b/>
          <w:bCs/>
          <w:lang w:val="es-MX"/>
        </w:rPr>
        <w:t>CONTRATO DE INTERVENTORÍA – Término – Plazo – Contrato objeto de seguimiento</w:t>
      </w:r>
    </w:p>
    <w:p w14:paraId="2998F810" w14:textId="77777777" w:rsidR="003E7593" w:rsidRDefault="003E7593" w:rsidP="003E7593">
      <w:pPr>
        <w:snapToGrid w:val="0"/>
        <w:spacing w:after="0" w:line="240" w:lineRule="auto"/>
        <w:contextualSpacing/>
        <w:jc w:val="both"/>
        <w:rPr>
          <w:rFonts w:ascii="Verdana" w:eastAsia="Geomanist Light" w:hAnsi="Verdana" w:cs="Arial"/>
          <w:b/>
          <w:bCs/>
          <w:lang w:val="es-MX"/>
        </w:rPr>
      </w:pPr>
    </w:p>
    <w:p w14:paraId="6C7138EE" w14:textId="77777777" w:rsidR="003E7593" w:rsidRPr="00A90B76" w:rsidRDefault="003E7593" w:rsidP="003E7593">
      <w:pPr>
        <w:pStyle w:val="Sinespaciado"/>
        <w:snapToGrid w:val="0"/>
        <w:contextualSpacing/>
        <w:jc w:val="both"/>
        <w:rPr>
          <w:rFonts w:ascii="Verdana" w:hAnsi="Verdana" w:cs="Arial"/>
          <w:sz w:val="20"/>
          <w:szCs w:val="20"/>
        </w:rPr>
      </w:pPr>
      <w:r w:rsidRPr="00A90B76">
        <w:rPr>
          <w:rFonts w:ascii="Verdana" w:eastAsia="Calibri" w:hAnsi="Verdana" w:cs="Arial"/>
          <w:color w:val="000000"/>
          <w:kern w:val="2"/>
          <w:sz w:val="20"/>
          <w:szCs w:val="20"/>
          <w14:ligatures w14:val="standardContextual"/>
        </w:rPr>
        <w:t xml:space="preserve">Ahora bien, el contrato de interventoría supone la existencia de otro contrato –es decir, el contrato vigilado–, y por eso la jurisprudencia ha caracterizado la interventoría como un negocio jurídico íntimamente relacionado en su objeto con el contrato respecto del que ejerce las actividades del interventor. No obstante, a pesar de lo anterior, el contrato de interventoría es </w:t>
      </w:r>
      <w:r w:rsidRPr="00A90B76">
        <w:rPr>
          <w:rFonts w:ascii="Verdana" w:eastAsia="Calibri" w:hAnsi="Verdana" w:cs="Arial"/>
          <w:i/>
          <w:iCs/>
          <w:color w:val="000000"/>
          <w:kern w:val="2"/>
          <w:sz w:val="20"/>
          <w:szCs w:val="20"/>
          <w14:ligatures w14:val="standardContextual"/>
        </w:rPr>
        <w:t xml:space="preserve">independiente del otro contrato </w:t>
      </w:r>
      <w:r w:rsidRPr="00A90B76">
        <w:rPr>
          <w:rFonts w:ascii="Verdana" w:eastAsia="Calibri" w:hAnsi="Verdana" w:cs="Arial"/>
          <w:color w:val="000000"/>
          <w:kern w:val="2"/>
          <w:sz w:val="20"/>
          <w:szCs w:val="20"/>
          <w14:ligatures w14:val="standardContextual"/>
        </w:rPr>
        <w:t xml:space="preserve">en aspectos específicos como, por ejemplo, la prórroga y el incumplimiento. En efecto, la prórroga de la obra no implica de suyo la del interventor, aunque puede realizarse cumpliendo las solemnidades de ley; además, el incumplimiento del contrato vigilado, como lo sería un contrato de obra, no significa por sí solo el incumplimiento del de interventoría.  </w:t>
      </w:r>
    </w:p>
    <w:p w14:paraId="125D00EA" w14:textId="77777777" w:rsidR="003E7593" w:rsidRPr="00A90B76" w:rsidRDefault="003E7593" w:rsidP="003E7593">
      <w:pPr>
        <w:tabs>
          <w:tab w:val="left" w:pos="709"/>
        </w:tabs>
        <w:snapToGrid w:val="0"/>
        <w:spacing w:after="0" w:line="240" w:lineRule="auto"/>
        <w:contextualSpacing/>
        <w:jc w:val="both"/>
        <w:rPr>
          <w:rFonts w:ascii="Verdana" w:eastAsia="Aptos" w:hAnsi="Verdana" w:cs="Arial"/>
          <w:bCs/>
          <w:sz w:val="20"/>
          <w:szCs w:val="20"/>
        </w:rPr>
      </w:pPr>
    </w:p>
    <w:p w14:paraId="5459FDF3" w14:textId="77777777" w:rsidR="003E7593" w:rsidRDefault="003E7593" w:rsidP="003E7593">
      <w:pPr>
        <w:spacing w:after="0" w:line="240" w:lineRule="auto"/>
        <w:jc w:val="both"/>
        <w:rPr>
          <w:rFonts w:ascii="Verdana" w:hAnsi="Verdana" w:cs="Arial"/>
          <w:b/>
          <w:lang w:eastAsia="es-ES" w:bidi="es-ES"/>
        </w:rPr>
      </w:pPr>
      <w:r w:rsidRPr="0002306B">
        <w:rPr>
          <w:rFonts w:ascii="Verdana" w:hAnsi="Verdana" w:cs="Arial"/>
          <w:b/>
          <w:lang w:eastAsia="es-ES" w:bidi="es-ES"/>
        </w:rPr>
        <w:t>MODIFICACION DE LOS CONTRATOS ESTATALES – Aspectos generales – Límites</w:t>
      </w:r>
    </w:p>
    <w:p w14:paraId="1B7023AE" w14:textId="77777777" w:rsidR="003E7593" w:rsidRDefault="003E7593" w:rsidP="003E7593">
      <w:pPr>
        <w:spacing w:after="0" w:line="240" w:lineRule="auto"/>
        <w:jc w:val="both"/>
        <w:rPr>
          <w:rFonts w:ascii="Verdana" w:hAnsi="Verdana" w:cs="Arial"/>
          <w:b/>
          <w:lang w:eastAsia="es-ES" w:bidi="es-ES"/>
        </w:rPr>
      </w:pPr>
    </w:p>
    <w:p w14:paraId="381579DE" w14:textId="77777777" w:rsidR="003E7593" w:rsidRPr="0002306B" w:rsidRDefault="003E7593" w:rsidP="003E7593">
      <w:pPr>
        <w:spacing w:after="0" w:line="240" w:lineRule="auto"/>
        <w:jc w:val="both"/>
        <w:rPr>
          <w:rFonts w:ascii="Verdana" w:eastAsia="Calibri" w:hAnsi="Verdana" w:cs="Arial"/>
          <w:color w:val="000000"/>
          <w:sz w:val="20"/>
          <w:szCs w:val="20"/>
        </w:rPr>
      </w:pPr>
      <w:r w:rsidRPr="0002306B">
        <w:rPr>
          <w:rFonts w:ascii="Verdana" w:eastAsia="Calibri" w:hAnsi="Verdana" w:cs="Arial"/>
          <w:color w:val="000000"/>
          <w:sz w:val="20"/>
          <w:szCs w:val="20"/>
        </w:rPr>
        <w:t xml:space="preserve">El </w:t>
      </w:r>
      <w:r w:rsidRPr="0002306B">
        <w:rPr>
          <w:rFonts w:ascii="Verdana" w:eastAsia="Calibri" w:hAnsi="Verdana" w:cs="Arial"/>
          <w:color w:val="000000" w:themeColor="text1"/>
          <w:sz w:val="20"/>
          <w:szCs w:val="20"/>
        </w:rPr>
        <w:t xml:space="preserve">Estatuto General de Contratación de la Administración Pública […] </w:t>
      </w:r>
      <w:r w:rsidRPr="0002306B">
        <w:rPr>
          <w:rFonts w:ascii="Verdana" w:eastAsia="Calibri" w:hAnsi="Verdana" w:cs="Arial"/>
          <w:color w:val="000000"/>
          <w:sz w:val="20"/>
          <w:szCs w:val="20"/>
        </w:rPr>
        <w:t>no establece una regulación expresa sobre la posibilidad de modificar los contratos celebrados por las Entidades Estatales, salvo la potestad exorbitante de modificación unilateral y la regulación que fija los porcentajes límite para adicionar los valores inicialmente pactados, como es el caso del artículo 40 de la Ley 80 de 1993.</w:t>
      </w:r>
    </w:p>
    <w:p w14:paraId="2AF10135" w14:textId="77777777" w:rsidR="003E7593" w:rsidRPr="0002306B" w:rsidRDefault="003E7593" w:rsidP="003E7593">
      <w:pPr>
        <w:spacing w:after="0" w:line="240" w:lineRule="auto"/>
        <w:jc w:val="both"/>
        <w:rPr>
          <w:rFonts w:ascii="Verdana" w:eastAsia="Calibri" w:hAnsi="Verdana" w:cs="Arial"/>
          <w:color w:val="000000"/>
          <w:sz w:val="20"/>
          <w:szCs w:val="20"/>
        </w:rPr>
      </w:pPr>
    </w:p>
    <w:p w14:paraId="7AC813A2" w14:textId="77777777" w:rsidR="003E7593" w:rsidRPr="0002306B" w:rsidRDefault="003E7593" w:rsidP="003E7593">
      <w:pPr>
        <w:tabs>
          <w:tab w:val="left" w:pos="284"/>
        </w:tabs>
        <w:spacing w:after="0" w:line="240" w:lineRule="auto"/>
        <w:jc w:val="both"/>
        <w:rPr>
          <w:rFonts w:ascii="Verdana" w:eastAsia="Calibri" w:hAnsi="Verdana" w:cs="Arial"/>
          <w:color w:val="000000"/>
          <w:sz w:val="20"/>
          <w:szCs w:val="20"/>
        </w:rPr>
      </w:pPr>
      <w:r w:rsidRPr="0002306B">
        <w:rPr>
          <w:rFonts w:ascii="Verdana" w:eastAsia="Calibri" w:hAnsi="Verdana" w:cs="Arial"/>
          <w:color w:val="000000"/>
          <w:sz w:val="20"/>
          <w:szCs w:val="20"/>
        </w:rPr>
        <w:t xml:space="preserve">En principio, los contratos deben ejecutarse en las condiciones pactadas inicialmente, pues estas fueron estipuladas luego de que la entidad estatal surtiera todos los procedimientos previstos para la selección de su contratista y definiera los aspectos, técnicos, legales y financieros propios de cada caso, con observancia de los principios de planeación, transparencia, economía y responsabilidad, así como los demás principios de la función administrativa aplicables al proceso de gestión contractual. </w:t>
      </w:r>
    </w:p>
    <w:p w14:paraId="68A635B2" w14:textId="77777777" w:rsidR="003E7593" w:rsidRDefault="003E7593" w:rsidP="003E7593">
      <w:pPr>
        <w:spacing w:after="0" w:line="240" w:lineRule="auto"/>
        <w:jc w:val="both"/>
        <w:rPr>
          <w:rFonts w:ascii="Verdana" w:eastAsia="Calibri" w:hAnsi="Verdana" w:cs="Arial"/>
          <w:color w:val="000000"/>
          <w:sz w:val="20"/>
          <w:szCs w:val="20"/>
        </w:rPr>
      </w:pPr>
    </w:p>
    <w:p w14:paraId="4B66D3A4" w14:textId="77777777" w:rsidR="003E7593" w:rsidRPr="0002306B" w:rsidRDefault="003E7593" w:rsidP="003E7593">
      <w:pPr>
        <w:spacing w:after="0" w:line="240" w:lineRule="auto"/>
        <w:jc w:val="both"/>
        <w:rPr>
          <w:rFonts w:ascii="Verdana" w:eastAsia="Calibri" w:hAnsi="Verdana" w:cs="Arial"/>
          <w:color w:val="000000"/>
          <w:sz w:val="20"/>
          <w:szCs w:val="20"/>
        </w:rPr>
      </w:pPr>
      <w:r w:rsidRPr="0002306B">
        <w:rPr>
          <w:rFonts w:ascii="Verdana" w:eastAsia="Calibri" w:hAnsi="Verdana" w:cs="Arial"/>
          <w:color w:val="000000"/>
          <w:sz w:val="20"/>
          <w:szCs w:val="20"/>
        </w:rPr>
        <w:t>Ahora bien, no existe restricción expresa para modificar los contratos estatales y los principios antes referidos puede evidenciar la necesidad de cambiar las estipulaciones establecidas en un comienzo. En este contexto, la jurisprudencia ha fijado pautas generales conforme a las cuales la Administración Pública debe evaluar si es procedente modificar los contratos que ha celebrado según las particularidades de cada caso.</w:t>
      </w:r>
    </w:p>
    <w:p w14:paraId="42D21C96" w14:textId="77777777" w:rsidR="003E7593" w:rsidRPr="0002306B" w:rsidRDefault="003E7593" w:rsidP="003E7593">
      <w:pPr>
        <w:spacing w:after="0" w:line="240" w:lineRule="auto"/>
        <w:jc w:val="both"/>
        <w:rPr>
          <w:rFonts w:ascii="Verdana" w:eastAsia="Calibri" w:hAnsi="Verdana" w:cs="Arial"/>
          <w:color w:val="000000"/>
          <w:sz w:val="20"/>
          <w:szCs w:val="20"/>
        </w:rPr>
      </w:pPr>
    </w:p>
    <w:p w14:paraId="32ECB2CC" w14:textId="2C53A5CC" w:rsidR="003E7593" w:rsidRDefault="003E7593" w:rsidP="003E7593">
      <w:pPr>
        <w:spacing w:after="0" w:line="240" w:lineRule="auto"/>
        <w:jc w:val="both"/>
        <w:rPr>
          <w:rFonts w:ascii="Verdana" w:hAnsi="Verdana"/>
          <w:bCs/>
          <w:sz w:val="20"/>
          <w:szCs w:val="20"/>
        </w:rPr>
      </w:pPr>
      <w:r w:rsidRPr="0002306B">
        <w:rPr>
          <w:rFonts w:ascii="Verdana" w:eastAsia="Calibri" w:hAnsi="Verdana" w:cs="Arial"/>
          <w:color w:val="000000"/>
          <w:sz w:val="20"/>
          <w:szCs w:val="20"/>
        </w:rPr>
        <w:t xml:space="preserve">[…] </w:t>
      </w:r>
      <w:r w:rsidRPr="0002306B">
        <w:rPr>
          <w:rFonts w:ascii="Verdana" w:eastAsia="Arial" w:hAnsi="Verdana" w:cs="Arial"/>
          <w:sz w:val="20"/>
          <w:szCs w:val="20"/>
          <w:lang w:val="es-MX" w:eastAsia="es-ES" w:bidi="es-ES"/>
        </w:rPr>
        <w:t>En efecto, aunque no existe un desarrollo legal o reglamentario sobre las reglas aplicables a la modificación del contrato estatal, los aportes de la jurisprudencia y de la doctrina han permitido estructurar los límites y requisitos de orden temporal, formal, material y axiológico para la modificación del contrato estatal. Estos límites deben ser respetados por la entidad contratante para preservar los principios de origen legal, como el de planeación, selección objetiva, libre concurrencia, transparencia, igualdad, entre otros.</w:t>
      </w:r>
    </w:p>
    <w:p w14:paraId="138ABCA5" w14:textId="77777777" w:rsidR="003E7593" w:rsidRPr="003E7593" w:rsidRDefault="003E7593" w:rsidP="003E7593">
      <w:pPr>
        <w:spacing w:after="0" w:line="240" w:lineRule="auto"/>
        <w:jc w:val="both"/>
        <w:rPr>
          <w:rFonts w:ascii="Verdana" w:hAnsi="Verdana"/>
          <w:bCs/>
          <w:sz w:val="20"/>
          <w:szCs w:val="20"/>
        </w:rPr>
      </w:pPr>
    </w:p>
    <w:p w14:paraId="55FD5EE8" w14:textId="77777777" w:rsidR="003E7593" w:rsidRPr="0002306B" w:rsidRDefault="003E7593" w:rsidP="003E7593">
      <w:pPr>
        <w:spacing w:after="0" w:line="240" w:lineRule="auto"/>
        <w:jc w:val="both"/>
        <w:rPr>
          <w:rFonts w:ascii="Verdana" w:hAnsi="Verdana"/>
          <w:b/>
        </w:rPr>
      </w:pPr>
      <w:r w:rsidRPr="0002306B">
        <w:rPr>
          <w:rFonts w:ascii="Verdana" w:hAnsi="Verdana" w:cs="Arial"/>
          <w:b/>
          <w:lang w:eastAsia="es-ES" w:bidi="es-ES"/>
        </w:rPr>
        <w:t>MODIFICACION DE LOS CONTRATOS ESTATALES – Carácter Excepciona</w:t>
      </w:r>
      <w:r>
        <w:rPr>
          <w:rFonts w:ascii="Verdana" w:hAnsi="Verdana" w:cs="Arial"/>
          <w:b/>
          <w:lang w:eastAsia="es-ES" w:bidi="es-ES"/>
        </w:rPr>
        <w:t>l</w:t>
      </w:r>
    </w:p>
    <w:p w14:paraId="742EDE28" w14:textId="77777777" w:rsidR="003E7593" w:rsidRDefault="003E7593" w:rsidP="003E7593">
      <w:pPr>
        <w:spacing w:after="0" w:line="240" w:lineRule="auto"/>
        <w:jc w:val="both"/>
        <w:rPr>
          <w:rFonts w:ascii="Verdana" w:hAnsi="Verdana"/>
        </w:rPr>
      </w:pPr>
    </w:p>
    <w:p w14:paraId="450D8E08" w14:textId="77777777" w:rsidR="003E7593" w:rsidRPr="0002306B" w:rsidRDefault="003E7593" w:rsidP="003E7593">
      <w:pPr>
        <w:widowControl w:val="0"/>
        <w:autoSpaceDE w:val="0"/>
        <w:autoSpaceDN w:val="0"/>
        <w:spacing w:after="0" w:line="240" w:lineRule="auto"/>
        <w:jc w:val="both"/>
        <w:rPr>
          <w:rFonts w:ascii="Verdana" w:eastAsia="Arial" w:hAnsi="Verdana" w:cs="Arial"/>
          <w:color w:val="000000"/>
          <w:sz w:val="20"/>
          <w:szCs w:val="20"/>
          <w:lang w:val="es-ES" w:eastAsia="es-ES" w:bidi="es-ES"/>
        </w:rPr>
      </w:pPr>
      <w:r w:rsidRPr="0002306B">
        <w:rPr>
          <w:rFonts w:ascii="Verdana" w:eastAsia="Arial" w:hAnsi="Verdana" w:cs="Arial"/>
          <w:color w:val="000000"/>
          <w:sz w:val="20"/>
          <w:szCs w:val="20"/>
          <w:lang w:val="es-ES" w:eastAsia="es-ES" w:bidi="es-ES"/>
        </w:rPr>
        <w:t xml:space="preserve">Es claro, entonces, que según el marco jurídico y los parámetros fijados por el Consejo de Estado y la Corte Constitucional, los cuales comparte esta Agencia, es viable jurídicamente modificar los contratos estatales, pero esta medida tienen </w:t>
      </w:r>
      <w:r w:rsidRPr="0002306B">
        <w:rPr>
          <w:rFonts w:ascii="Verdana" w:eastAsia="Arial" w:hAnsi="Verdana" w:cs="Arial"/>
          <w:i/>
          <w:iCs/>
          <w:color w:val="000000"/>
          <w:sz w:val="20"/>
          <w:szCs w:val="20"/>
          <w:lang w:val="es-ES" w:eastAsia="es-ES" w:bidi="es-ES"/>
        </w:rPr>
        <w:t>carácter excepcional</w:t>
      </w:r>
      <w:r w:rsidRPr="0002306B">
        <w:rPr>
          <w:rFonts w:ascii="Verdana" w:eastAsia="Arial" w:hAnsi="Verdana" w:cs="Arial"/>
          <w:color w:val="000000"/>
          <w:sz w:val="20"/>
          <w:szCs w:val="20"/>
          <w:lang w:val="es-ES" w:eastAsia="es-ES" w:bidi="es-ES"/>
        </w:rPr>
        <w:t xml:space="preserve"> y solo procede cuando: se pretenda garantizar el interés público, la entidad haya verificado y cualquiera pueda constatar que la causa de la modificación es real y cierta, y la modificación cumpla con las limitaciones y condiciones que establezca la ley. En otras palabras, la modificación contractual encuentra sustento no solo en circunstancias fácticas propias de la ejecución del contrato, sino además debe cumplir con los principios y fines de la contratación estatal, así como con las condiciones y restricciones legales. </w:t>
      </w:r>
    </w:p>
    <w:p w14:paraId="20A43120" w14:textId="77777777" w:rsidR="003E7593" w:rsidRDefault="003E7593" w:rsidP="003E7593">
      <w:pPr>
        <w:jc w:val="both"/>
        <w:rPr>
          <w:rFonts w:ascii="Verdana" w:eastAsia="Geomanist Light" w:hAnsi="Verdana" w:cs="Arial"/>
          <w:lang w:val="es-ES"/>
        </w:rPr>
      </w:pPr>
    </w:p>
    <w:p w14:paraId="2232F84A" w14:textId="77777777" w:rsidR="00FD6A82" w:rsidRDefault="00FD6A82" w:rsidP="00FD6A82">
      <w:pPr>
        <w:spacing w:after="0" w:line="240" w:lineRule="auto"/>
        <w:jc w:val="both"/>
        <w:rPr>
          <w:rFonts w:ascii="Verdana" w:hAnsi="Verdana" w:cs="Arial"/>
          <w:b/>
          <w:lang w:eastAsia="es-ES" w:bidi="es-ES"/>
        </w:rPr>
      </w:pPr>
      <w:r w:rsidRPr="0002306B">
        <w:rPr>
          <w:rFonts w:ascii="Verdana" w:hAnsi="Verdana" w:cs="Arial"/>
          <w:b/>
          <w:lang w:eastAsia="es-ES" w:bidi="es-ES"/>
        </w:rPr>
        <w:t>ADICIÓN – Concepto – Distintos supuestos – Prohibición – Adición en más del 50%</w:t>
      </w:r>
    </w:p>
    <w:p w14:paraId="186BEDAD" w14:textId="77777777" w:rsidR="00FD6A82" w:rsidRDefault="00FD6A82" w:rsidP="00FD6A82">
      <w:pPr>
        <w:spacing w:after="0" w:line="240" w:lineRule="auto"/>
        <w:jc w:val="both"/>
        <w:rPr>
          <w:rFonts w:ascii="Verdana" w:hAnsi="Verdana" w:cs="Arial"/>
          <w:b/>
          <w:lang w:eastAsia="es-ES" w:bidi="es-ES"/>
        </w:rPr>
      </w:pPr>
    </w:p>
    <w:p w14:paraId="7F89C190" w14:textId="77777777" w:rsidR="00FD6A82" w:rsidRDefault="00FD6A82" w:rsidP="00FD6A82">
      <w:pPr>
        <w:widowControl w:val="0"/>
        <w:autoSpaceDE w:val="0"/>
        <w:autoSpaceDN w:val="0"/>
        <w:spacing w:after="0" w:line="240" w:lineRule="auto"/>
        <w:jc w:val="both"/>
        <w:rPr>
          <w:rFonts w:ascii="Verdana" w:eastAsia="Arial" w:hAnsi="Verdana" w:cs="Arial"/>
          <w:color w:val="000000"/>
          <w:sz w:val="20"/>
          <w:szCs w:val="20"/>
          <w:lang w:val="es-ES" w:eastAsia="es-ES" w:bidi="es-ES"/>
        </w:rPr>
      </w:pPr>
      <w:r w:rsidRPr="0002306B">
        <w:rPr>
          <w:rFonts w:ascii="Verdana" w:eastAsia="Arial" w:hAnsi="Verdana" w:cs="Arial"/>
          <w:color w:val="000000"/>
          <w:sz w:val="20"/>
          <w:szCs w:val="20"/>
          <w:lang w:val="es-ES" w:eastAsia="es-ES" w:bidi="es-ES"/>
        </w:rPr>
        <w:t xml:space="preserve">En esta medida, las modificaciones se refieren a alteraciones, variaciones, cambios, correcciones en las condiciones y cláusulas del contrato. Estas deben ser suscritas por las partes, sujetándose a lo previsto en la ley, esto es, que </w:t>
      </w:r>
      <w:r w:rsidRPr="0002306B">
        <w:rPr>
          <w:rFonts w:ascii="Verdana" w:eastAsia="Arial" w:hAnsi="Verdana" w:cs="Arial"/>
          <w:i/>
          <w:iCs/>
          <w:color w:val="000000"/>
          <w:sz w:val="20"/>
          <w:szCs w:val="20"/>
          <w:lang w:val="es-ES" w:eastAsia="es-ES" w:bidi="es-ES"/>
        </w:rPr>
        <w:t>se encuentren debidamente justificadas</w:t>
      </w:r>
      <w:r w:rsidRPr="0002306B">
        <w:rPr>
          <w:rFonts w:ascii="Verdana" w:eastAsia="Arial" w:hAnsi="Verdana" w:cs="Arial"/>
          <w:color w:val="000000"/>
          <w:sz w:val="20"/>
          <w:szCs w:val="20"/>
          <w:lang w:val="es-ES" w:eastAsia="es-ES" w:bidi="es-ES"/>
        </w:rPr>
        <w:t xml:space="preserve">, que </w:t>
      </w:r>
      <w:r w:rsidRPr="0002306B">
        <w:rPr>
          <w:rFonts w:ascii="Verdana" w:eastAsia="Arial" w:hAnsi="Verdana" w:cs="Arial"/>
          <w:i/>
          <w:iCs/>
          <w:color w:val="000000"/>
          <w:sz w:val="20"/>
          <w:szCs w:val="20"/>
          <w:lang w:val="es-ES" w:eastAsia="es-ES" w:bidi="es-ES"/>
        </w:rPr>
        <w:t>no sean el resultado de una indebida planeación</w:t>
      </w:r>
      <w:r w:rsidRPr="0002306B">
        <w:rPr>
          <w:rFonts w:ascii="Verdana" w:eastAsia="Arial" w:hAnsi="Verdana" w:cs="Arial"/>
          <w:color w:val="000000"/>
          <w:sz w:val="20"/>
          <w:szCs w:val="20"/>
          <w:lang w:val="es-ES" w:eastAsia="es-ES" w:bidi="es-ES"/>
        </w:rPr>
        <w:t xml:space="preserve"> y que consten por escrito, de tal manera que de las mismas se predique su existencia, validez y eficacia. </w:t>
      </w:r>
    </w:p>
    <w:p w14:paraId="62D3A899" w14:textId="77777777" w:rsidR="00FD6A82" w:rsidRDefault="00FD6A82" w:rsidP="00FD6A82">
      <w:pPr>
        <w:widowControl w:val="0"/>
        <w:autoSpaceDE w:val="0"/>
        <w:autoSpaceDN w:val="0"/>
        <w:spacing w:after="0" w:line="240" w:lineRule="auto"/>
        <w:jc w:val="both"/>
        <w:rPr>
          <w:rFonts w:ascii="Verdana" w:eastAsia="Arial" w:hAnsi="Verdana" w:cs="Arial"/>
          <w:color w:val="000000"/>
          <w:sz w:val="20"/>
          <w:szCs w:val="20"/>
          <w:lang w:val="es-ES" w:eastAsia="es-ES" w:bidi="es-ES"/>
        </w:rPr>
      </w:pPr>
    </w:p>
    <w:p w14:paraId="6CF7D603" w14:textId="77777777" w:rsidR="00FD6A82" w:rsidRDefault="00FD6A82" w:rsidP="00FD6A82">
      <w:pPr>
        <w:widowControl w:val="0"/>
        <w:autoSpaceDE w:val="0"/>
        <w:autoSpaceDN w:val="0"/>
        <w:spacing w:after="0" w:line="240" w:lineRule="auto"/>
        <w:jc w:val="both"/>
        <w:rPr>
          <w:rFonts w:ascii="Verdana" w:eastAsia="Arial" w:hAnsi="Verdana" w:cs="Arial"/>
          <w:color w:val="000000"/>
          <w:sz w:val="20"/>
          <w:szCs w:val="20"/>
          <w:lang w:val="es-ES" w:eastAsia="es-ES" w:bidi="es-ES"/>
        </w:rPr>
      </w:pPr>
      <w:r w:rsidRPr="0002306B">
        <w:rPr>
          <w:rFonts w:ascii="Verdana" w:hAnsi="Verdana" w:cs="Arial"/>
          <w:bCs/>
          <w:sz w:val="20"/>
          <w:szCs w:val="20"/>
          <w:lang w:val="es-ES" w:eastAsia="es-ES" w:bidi="es-ES"/>
        </w:rPr>
        <w:t>Según el artículo 14</w:t>
      </w:r>
      <w:r>
        <w:rPr>
          <w:rFonts w:ascii="Verdana" w:hAnsi="Verdana" w:cs="Arial"/>
          <w:bCs/>
          <w:sz w:val="20"/>
          <w:szCs w:val="20"/>
          <w:lang w:val="es-ES" w:eastAsia="es-ES" w:bidi="es-ES"/>
        </w:rPr>
        <w:t xml:space="preserve"> </w:t>
      </w:r>
      <w:r w:rsidRPr="0002306B">
        <w:rPr>
          <w:rFonts w:ascii="Verdana" w:hAnsi="Verdana" w:cs="Arial"/>
          <w:bCs/>
          <w:sz w:val="20"/>
          <w:szCs w:val="20"/>
          <w:lang w:val="es-ES" w:eastAsia="es-ES" w:bidi="es-ES"/>
        </w:rPr>
        <w:t xml:space="preserve">de la Ley 80 de 1993, otro mecanismo con el que cuentan las </w:t>
      </w:r>
      <w:r w:rsidRPr="0002306B">
        <w:rPr>
          <w:rFonts w:ascii="Verdana" w:hAnsi="Verdana" w:cs="Arial"/>
          <w:bCs/>
          <w:sz w:val="20"/>
          <w:szCs w:val="20"/>
          <w:lang w:val="es-ES" w:eastAsia="es-ES" w:bidi="es-ES"/>
        </w:rPr>
        <w:lastRenderedPageBreak/>
        <w:t>entidades estatales es el uso de la facultad excepcional de modificación unilateral del contrato, la cual procede siempre y cuando se trate de un contrato que incorpore esta facultad de manera obligatoria o facultativa. En este sentido, el legislador estableció la posibilidad de pactar esta cláusula excepcional en los contratos que tengan por objeto el ejercicio de una actividad que constituya monopolio estatal, la prestación de servicios públicos o la explotación y concesión de bienes del Estado, en los contratos de obra, así como los contratos relacionados con el programa de alimentación escolar.</w:t>
      </w:r>
    </w:p>
    <w:p w14:paraId="7ADA2886" w14:textId="77777777" w:rsidR="00FD6A82" w:rsidRDefault="00FD6A82" w:rsidP="00FD6A82">
      <w:pPr>
        <w:widowControl w:val="0"/>
        <w:autoSpaceDE w:val="0"/>
        <w:autoSpaceDN w:val="0"/>
        <w:spacing w:after="0" w:line="240" w:lineRule="auto"/>
        <w:jc w:val="both"/>
        <w:rPr>
          <w:rFonts w:ascii="Verdana" w:eastAsia="Arial" w:hAnsi="Verdana" w:cs="Arial"/>
          <w:color w:val="000000"/>
          <w:sz w:val="20"/>
          <w:szCs w:val="20"/>
          <w:lang w:val="es-ES" w:eastAsia="es-ES" w:bidi="es-ES"/>
        </w:rPr>
      </w:pPr>
    </w:p>
    <w:p w14:paraId="1E518B34" w14:textId="77777777" w:rsidR="00FD6A82" w:rsidRPr="0002306B" w:rsidRDefault="00FD6A82" w:rsidP="00FD6A82">
      <w:pPr>
        <w:widowControl w:val="0"/>
        <w:autoSpaceDE w:val="0"/>
        <w:autoSpaceDN w:val="0"/>
        <w:spacing w:after="0" w:line="240" w:lineRule="auto"/>
        <w:jc w:val="both"/>
        <w:rPr>
          <w:rFonts w:ascii="Verdana" w:eastAsia="Arial" w:hAnsi="Verdana" w:cs="Arial"/>
          <w:color w:val="000000"/>
          <w:sz w:val="20"/>
          <w:szCs w:val="20"/>
          <w:lang w:val="es-ES" w:eastAsia="es-ES" w:bidi="es-ES"/>
        </w:rPr>
      </w:pPr>
      <w:r w:rsidRPr="0002306B">
        <w:rPr>
          <w:rFonts w:ascii="Verdana" w:hAnsi="Verdana" w:cs="Arial"/>
          <w:bCs/>
          <w:sz w:val="20"/>
          <w:szCs w:val="20"/>
          <w:lang w:val="es-ES" w:eastAsia="es-ES" w:bidi="es-ES"/>
        </w:rPr>
        <w:t>Conforme a lo anterior, la modificación unilateral es la facultad que tiene la entidad estatal durante de introducir variaciones al contrato, siempre y cuando no haya acuerdo con el contratista sobre estas. En este caso, la entidad estatal podrá modificar de manera unilateral el contrato a través de acto administrativo motivado. A su vez, la modificación unilateral sólo procede cuando la entidad estatal evidencie que existe una situación que puede afectar o paralizar de manera grave la ejecución.</w:t>
      </w:r>
    </w:p>
    <w:p w14:paraId="3955FA5F" w14:textId="77777777" w:rsidR="00FD6A82" w:rsidRPr="0002306B" w:rsidRDefault="00FD6A82" w:rsidP="00FD6A82">
      <w:pPr>
        <w:spacing w:after="0" w:line="240" w:lineRule="auto"/>
        <w:jc w:val="both"/>
        <w:rPr>
          <w:rFonts w:ascii="Verdana" w:hAnsi="Verdana" w:cs="Arial"/>
          <w:bCs/>
          <w:sz w:val="20"/>
          <w:szCs w:val="20"/>
          <w:lang w:val="es-ES" w:eastAsia="es-ES" w:bidi="es-ES"/>
        </w:rPr>
      </w:pPr>
    </w:p>
    <w:p w14:paraId="3272D5FF" w14:textId="77777777" w:rsidR="00FD6A82" w:rsidRDefault="00FD6A82" w:rsidP="00FD6A82">
      <w:pPr>
        <w:spacing w:after="0" w:line="240" w:lineRule="auto"/>
        <w:jc w:val="both"/>
        <w:rPr>
          <w:rFonts w:ascii="Verdana" w:hAnsi="Verdana" w:cs="Arial"/>
          <w:bCs/>
          <w:sz w:val="20"/>
          <w:szCs w:val="20"/>
          <w:lang w:val="es-ES" w:eastAsia="es-ES" w:bidi="es-ES"/>
        </w:rPr>
      </w:pPr>
      <w:r w:rsidRPr="0002306B">
        <w:rPr>
          <w:rFonts w:ascii="Verdana" w:hAnsi="Verdana" w:cs="Arial"/>
          <w:bCs/>
          <w:sz w:val="20"/>
          <w:szCs w:val="20"/>
          <w:lang w:val="es-ES" w:eastAsia="es-ES" w:bidi="es-ES"/>
        </w:rPr>
        <w:t>Sin perjuicio de lo anterior, las modificaciones no pueden suponer la variación del objeto del contrato, pues esto implica la alteración de su esencia y lo convierte en otro tipo de negocio jurídico. En estos casos, lo indicado no sería modificar el contrato sino celebrar uno nuevo. Sobre este último punto, la doctrina ha precisado que cuando “se alude a la modificación del contrato se lo hace para referirse a alteraciones, variaciones, sustituciones de calidad, componentes o número de obras, bienes o servicios. No implican la sustitución del género del contrato sino modificaciones que responden a necesidades sobrevivientes o a errores en la fase previa”.</w:t>
      </w:r>
    </w:p>
    <w:p w14:paraId="7A88560C" w14:textId="77777777" w:rsidR="00FD6A82" w:rsidRDefault="00FD6A82" w:rsidP="00FD6A82">
      <w:pPr>
        <w:spacing w:after="0" w:line="240" w:lineRule="auto"/>
        <w:jc w:val="both"/>
        <w:rPr>
          <w:rFonts w:ascii="Verdana" w:hAnsi="Verdana" w:cs="Arial"/>
          <w:bCs/>
          <w:sz w:val="20"/>
          <w:szCs w:val="20"/>
          <w:lang w:val="es-ES" w:eastAsia="es-ES" w:bidi="es-ES"/>
        </w:rPr>
      </w:pPr>
    </w:p>
    <w:p w14:paraId="2E8E3FD1" w14:textId="4B1BB0F7" w:rsidR="00FD6A82" w:rsidRDefault="00FD6A82" w:rsidP="00163A2E">
      <w:pPr>
        <w:spacing w:after="0" w:line="240" w:lineRule="auto"/>
        <w:jc w:val="both"/>
        <w:rPr>
          <w:rFonts w:ascii="Verdana" w:hAnsi="Verdana" w:cs="Arial"/>
          <w:bCs/>
          <w:sz w:val="20"/>
          <w:szCs w:val="20"/>
          <w:lang w:eastAsia="es-ES" w:bidi="es-ES"/>
        </w:rPr>
      </w:pPr>
      <w:r>
        <w:rPr>
          <w:rFonts w:ascii="Verdana" w:hAnsi="Verdana" w:cs="Arial"/>
          <w:bCs/>
          <w:sz w:val="20"/>
          <w:szCs w:val="20"/>
          <w:lang w:val="es-ES" w:eastAsia="es-ES" w:bidi="es-ES"/>
        </w:rPr>
        <w:t xml:space="preserve">[…] </w:t>
      </w:r>
      <w:r w:rsidRPr="00254229">
        <w:rPr>
          <w:rFonts w:ascii="Verdana" w:hAnsi="Verdana" w:cs="Arial"/>
          <w:bCs/>
          <w:sz w:val="20"/>
          <w:szCs w:val="20"/>
          <w:lang w:val="es-ES" w:eastAsia="es-ES" w:bidi="es-ES"/>
        </w:rPr>
        <w:t>Una de las manifestaciones de modificación de los contratos es la adición al valor pactado. Los contratos estatales pueden ser objeto de situaciones que impliquen la necesidad de adicionar o modificar las condiciones inicialmente pactadas, conforme lo establece el artículo 40 de la Ley 80 de 1993.</w:t>
      </w:r>
    </w:p>
    <w:p w14:paraId="1F89CB62" w14:textId="77777777" w:rsidR="00163A2E" w:rsidRPr="00163A2E" w:rsidRDefault="00163A2E" w:rsidP="00163A2E">
      <w:pPr>
        <w:spacing w:after="0" w:line="240" w:lineRule="auto"/>
        <w:jc w:val="both"/>
        <w:rPr>
          <w:rFonts w:ascii="Verdana" w:hAnsi="Verdana" w:cs="Arial"/>
          <w:bCs/>
          <w:sz w:val="20"/>
          <w:szCs w:val="20"/>
          <w:lang w:eastAsia="es-ES" w:bidi="es-ES"/>
        </w:rPr>
      </w:pPr>
    </w:p>
    <w:p w14:paraId="31007BBB" w14:textId="6DB16FD2" w:rsidR="00FD6A82" w:rsidRPr="000D2D1C" w:rsidRDefault="003E7593" w:rsidP="003E7593">
      <w:pPr>
        <w:jc w:val="both"/>
        <w:rPr>
          <w:rFonts w:ascii="Verdana" w:eastAsia="Geomanist Light" w:hAnsi="Verdana" w:cs="Arial"/>
          <w:b/>
          <w:bCs/>
          <w:lang w:val="es-ES"/>
        </w:rPr>
      </w:pPr>
      <w:r w:rsidRPr="000D2D1C">
        <w:rPr>
          <w:rFonts w:ascii="Verdana" w:eastAsia="Geomanist Light" w:hAnsi="Verdana" w:cs="Arial"/>
          <w:b/>
          <w:bCs/>
          <w:lang w:val="es-ES"/>
        </w:rPr>
        <w:t>ADICIÓN – Límite del 50</w:t>
      </w:r>
      <w:r w:rsidR="00163A2E" w:rsidRPr="000D2D1C">
        <w:rPr>
          <w:rFonts w:ascii="Verdana" w:eastAsia="Geomanist Light" w:hAnsi="Verdana" w:cs="Arial"/>
          <w:b/>
          <w:bCs/>
          <w:lang w:val="es-ES"/>
        </w:rPr>
        <w:t xml:space="preserve">% – </w:t>
      </w:r>
      <w:r w:rsidR="00163A2E">
        <w:rPr>
          <w:rFonts w:ascii="Verdana" w:eastAsia="Geomanist Light" w:hAnsi="Verdana" w:cs="Arial"/>
          <w:b/>
          <w:bCs/>
          <w:lang w:val="es-ES"/>
        </w:rPr>
        <w:t>I</w:t>
      </w:r>
      <w:r w:rsidR="00163A2E" w:rsidRPr="000D2D1C">
        <w:rPr>
          <w:rFonts w:ascii="Verdana" w:eastAsia="Geomanist Light" w:hAnsi="Verdana" w:cs="Arial"/>
          <w:b/>
          <w:bCs/>
          <w:lang w:val="es-ES"/>
        </w:rPr>
        <w:t>nterventoría</w:t>
      </w:r>
      <w:r w:rsidRPr="000D2D1C">
        <w:rPr>
          <w:rFonts w:ascii="Verdana" w:eastAsia="Geomanist Light" w:hAnsi="Verdana" w:cs="Arial"/>
          <w:b/>
          <w:bCs/>
          <w:lang w:val="es-ES"/>
        </w:rPr>
        <w:t xml:space="preserve"> – No aplica </w:t>
      </w:r>
    </w:p>
    <w:p w14:paraId="3183F3DA" w14:textId="77777777" w:rsidR="000D2D1C" w:rsidRPr="000D2D1C" w:rsidRDefault="000D2D1C" w:rsidP="000D2D1C">
      <w:pPr>
        <w:pStyle w:val="NormalWeb"/>
        <w:spacing w:before="0" w:beforeAutospacing="0" w:after="120" w:afterAutospacing="0"/>
        <w:jc w:val="both"/>
        <w:rPr>
          <w:rFonts w:ascii="Verdana" w:hAnsi="Verdana" w:cs="Arial"/>
          <w:color w:val="000000"/>
          <w:sz w:val="20"/>
          <w:szCs w:val="20"/>
        </w:rPr>
      </w:pPr>
      <w:r w:rsidRPr="000D2D1C">
        <w:rPr>
          <w:rFonts w:ascii="Verdana" w:hAnsi="Verdana" w:cs="Arial"/>
          <w:color w:val="000000"/>
          <w:sz w:val="20"/>
          <w:szCs w:val="20"/>
        </w:rPr>
        <w:t>Actualmente existe una posibilidad para adicionar contratos estatales en más del 50%, que es la contenida en el artículo 85 de la Ley 1474 de 2011 para los contratos de interventoría que, por su naturaleza de seguimiento técnico a otro contrato Estatal, podrá prorrogarse por el plazo en que haya sido prorrogado el contrato objeto de vigilancia, sin que resulte aplicable el tope establecido en el parágrafo del artículo 40 de la Ley 80 de 1993, en relación con el monto de las eventuales adiciones. La disposición de la Ley 1474 de 2011 pretende fortalecer la figura de la interventoría, como una herramienta integral, para proteger los intereses públicos y evitar que se cause un eventual daño antijurídico al abandonar la vigilancia del contrato principal, por limitaciones en cuanto al monto de sus posibles adiciones.</w:t>
      </w:r>
    </w:p>
    <w:p w14:paraId="7A977B70" w14:textId="77777777" w:rsidR="00FD6A82" w:rsidRDefault="00FD6A82" w:rsidP="00FD6A82">
      <w:pPr>
        <w:snapToGrid w:val="0"/>
        <w:spacing w:after="0" w:line="240" w:lineRule="auto"/>
        <w:contextualSpacing/>
        <w:jc w:val="both"/>
        <w:rPr>
          <w:rFonts w:ascii="Verdana" w:eastAsia="Geomanist Light" w:hAnsi="Verdana" w:cs="Arial"/>
          <w:b/>
          <w:bCs/>
          <w:lang w:val="es-MX"/>
        </w:rPr>
      </w:pPr>
      <w:r w:rsidRPr="007A2BBB">
        <w:rPr>
          <w:rFonts w:ascii="Verdana" w:eastAsia="Geomanist Light" w:hAnsi="Verdana" w:cs="Arial"/>
          <w:b/>
          <w:bCs/>
          <w:lang w:val="es-MX"/>
        </w:rPr>
        <w:t>CONTRATO DE INTERVENTORÍA – Forma de pago – Sujeción a avance de la obra – Límites</w:t>
      </w:r>
    </w:p>
    <w:p w14:paraId="206774F8" w14:textId="77777777" w:rsidR="00FD6A82" w:rsidRPr="007A2BBB" w:rsidRDefault="00FD6A82" w:rsidP="00FD6A82">
      <w:pPr>
        <w:snapToGrid w:val="0"/>
        <w:spacing w:after="0" w:line="240" w:lineRule="auto"/>
        <w:contextualSpacing/>
        <w:jc w:val="both"/>
        <w:rPr>
          <w:rFonts w:ascii="Verdana" w:eastAsia="Geomanist Light" w:hAnsi="Verdana" w:cs="Arial"/>
          <w:b/>
          <w:bCs/>
          <w:lang w:val="es-MX"/>
        </w:rPr>
      </w:pPr>
    </w:p>
    <w:p w14:paraId="3BFF1C8B" w14:textId="77777777" w:rsidR="00FD6A82" w:rsidRPr="00A90B76" w:rsidRDefault="00FD6A82" w:rsidP="00FD6A82">
      <w:pPr>
        <w:widowControl w:val="0"/>
        <w:tabs>
          <w:tab w:val="left" w:pos="709"/>
        </w:tabs>
        <w:autoSpaceDE w:val="0"/>
        <w:autoSpaceDN w:val="0"/>
        <w:snapToGrid w:val="0"/>
        <w:spacing w:after="0" w:line="240" w:lineRule="auto"/>
        <w:contextualSpacing/>
        <w:jc w:val="both"/>
        <w:outlineLvl w:val="0"/>
        <w:rPr>
          <w:rFonts w:ascii="Verdana" w:eastAsia="Arial" w:hAnsi="Verdana" w:cstheme="majorHAnsi"/>
          <w:sz w:val="20"/>
          <w:szCs w:val="20"/>
          <w:lang w:val="es-ES"/>
        </w:rPr>
      </w:pPr>
      <w:r w:rsidRPr="00A90B76">
        <w:rPr>
          <w:rFonts w:ascii="Verdana" w:eastAsia="Arial" w:hAnsi="Verdana" w:cstheme="majorHAnsi"/>
          <w:sz w:val="20"/>
          <w:szCs w:val="20"/>
          <w:lang w:val="es-ES"/>
        </w:rPr>
        <w:t xml:space="preserve">En este sentido, frente a la materia objeto de consulta, se resalta que no existe </w:t>
      </w:r>
      <w:r w:rsidRPr="00A90B76">
        <w:rPr>
          <w:rFonts w:ascii="Verdana" w:eastAsia="Arial" w:hAnsi="Verdana" w:cstheme="majorHAnsi"/>
          <w:sz w:val="20"/>
          <w:szCs w:val="20"/>
          <w:lang w:val="es-ES"/>
        </w:rPr>
        <w:lastRenderedPageBreak/>
        <w:t xml:space="preserve">disposición alguna en el ordenamiento jurídico que impida a las entidades pactar mecanismos que supediten el pago de la interventoría a avances en la ejecución de los contratos de obra. Por el contrario, en virtud de la autonomía de la voluntad, las entidades pueden incluir las condiciones de pago que consideren necesarias y convenientes, siempre que no contraríen el ordenamiento jurídico. Así, podrán pactar una condición positiva casual para la exigibilidad de la obligación de pago de la contraprestación a cargo de la entidad contratante, tal como lo posibilitan los artículos 1530, 1531, 1532 y 1534 del Código Civil. </w:t>
      </w:r>
    </w:p>
    <w:p w14:paraId="44F6E127" w14:textId="77777777" w:rsidR="00FD6A82" w:rsidRDefault="00FD6A82" w:rsidP="00FD6A82">
      <w:pPr>
        <w:snapToGrid w:val="0"/>
        <w:spacing w:after="0" w:line="240" w:lineRule="auto"/>
        <w:contextualSpacing/>
        <w:rPr>
          <w:rFonts w:ascii="Verdana" w:eastAsia="Arial" w:hAnsi="Verdana" w:cstheme="majorHAnsi"/>
          <w:sz w:val="20"/>
          <w:szCs w:val="20"/>
          <w:lang w:val="es-ES"/>
        </w:rPr>
      </w:pPr>
    </w:p>
    <w:p w14:paraId="4E287B25" w14:textId="77777777" w:rsidR="00FD6A82" w:rsidRPr="00A90B76" w:rsidRDefault="00FD6A82" w:rsidP="00FD6A82">
      <w:pPr>
        <w:snapToGrid w:val="0"/>
        <w:spacing w:after="0" w:line="240" w:lineRule="auto"/>
        <w:contextualSpacing/>
        <w:rPr>
          <w:rFonts w:ascii="Verdana" w:eastAsia="Arial" w:hAnsi="Verdana" w:cstheme="majorHAnsi"/>
          <w:sz w:val="20"/>
          <w:szCs w:val="20"/>
          <w:lang w:val="es-ES"/>
        </w:rPr>
      </w:pPr>
      <w:r w:rsidRPr="00A90B76">
        <w:rPr>
          <w:rFonts w:ascii="Verdana" w:eastAsia="Arial" w:hAnsi="Verdana" w:cstheme="majorHAnsi"/>
          <w:sz w:val="20"/>
          <w:szCs w:val="20"/>
          <w:lang w:val="es-ES"/>
        </w:rPr>
        <w:t xml:space="preserve">Se deriva de lo anterior, que las entidades pueden pactar el pago contra avances de la obra objeto de interventoría, siempre que esta decisión se encuentre soportada en una debida planeación que justifique que la estipulación es razonable para el caso concreto. Sin embargo, esto no implica que las entidades puedan supeditar el pago de la interventoría </w:t>
      </w:r>
      <w:r w:rsidRPr="00A90B76">
        <w:rPr>
          <w:rFonts w:ascii="Verdana" w:eastAsia="Arial" w:hAnsi="Verdana" w:cstheme="majorHAnsi"/>
          <w:i/>
          <w:iCs/>
          <w:sz w:val="20"/>
          <w:szCs w:val="20"/>
          <w:lang w:val="es-ES"/>
        </w:rPr>
        <w:t>en su totalidad o de manera exclusiva</w:t>
      </w:r>
      <w:r w:rsidRPr="00A90B76">
        <w:rPr>
          <w:rFonts w:ascii="Verdana" w:eastAsia="Arial" w:hAnsi="Verdana" w:cstheme="majorHAnsi"/>
          <w:sz w:val="20"/>
          <w:szCs w:val="20"/>
          <w:lang w:val="es-ES"/>
        </w:rPr>
        <w:t xml:space="preserve"> al cumplimiento del contrato de obra.</w:t>
      </w:r>
    </w:p>
    <w:p w14:paraId="02091C74" w14:textId="77777777" w:rsidR="00FD6A82" w:rsidRDefault="00FD6A82" w:rsidP="00FD6A82">
      <w:pPr>
        <w:snapToGrid w:val="0"/>
        <w:spacing w:after="0" w:line="240" w:lineRule="auto"/>
        <w:ind w:right="49"/>
        <w:contextualSpacing/>
        <w:jc w:val="both"/>
        <w:textAlignment w:val="baseline"/>
        <w:rPr>
          <w:rFonts w:ascii="Verdana" w:eastAsia="Arial" w:hAnsi="Verdana" w:cstheme="majorHAnsi"/>
          <w:sz w:val="20"/>
          <w:szCs w:val="20"/>
          <w:lang w:val="es-ES"/>
        </w:rPr>
      </w:pPr>
    </w:p>
    <w:p w14:paraId="329531BC" w14:textId="42679ACD" w:rsidR="00FD6A82" w:rsidRPr="00A90B76" w:rsidRDefault="00FD6A82" w:rsidP="00FD6A82">
      <w:pPr>
        <w:snapToGrid w:val="0"/>
        <w:spacing w:after="0" w:line="240" w:lineRule="auto"/>
        <w:ind w:right="49"/>
        <w:contextualSpacing/>
        <w:jc w:val="both"/>
        <w:textAlignment w:val="baseline"/>
        <w:rPr>
          <w:rFonts w:ascii="Verdana" w:hAnsi="Verdana" w:cs="Arial"/>
          <w:sz w:val="20"/>
          <w:szCs w:val="20"/>
        </w:rPr>
      </w:pPr>
      <w:r w:rsidRPr="00A90B76">
        <w:rPr>
          <w:rFonts w:ascii="Verdana" w:eastAsia="Arial" w:hAnsi="Verdana" w:cstheme="majorHAnsi"/>
          <w:sz w:val="20"/>
          <w:szCs w:val="20"/>
          <w:lang w:val="es-ES"/>
        </w:rPr>
        <w:t xml:space="preserve">[…] Es decir, las Entidades Estatales no podrán sujetar </w:t>
      </w:r>
      <w:r w:rsidRPr="00A90B76">
        <w:rPr>
          <w:rFonts w:ascii="Verdana" w:eastAsia="Arial" w:hAnsi="Verdana" w:cstheme="majorHAnsi"/>
          <w:i/>
          <w:iCs/>
          <w:sz w:val="20"/>
          <w:szCs w:val="20"/>
          <w:lang w:val="es-ES"/>
        </w:rPr>
        <w:t>la totalidad</w:t>
      </w:r>
      <w:r w:rsidRPr="00A90B76">
        <w:rPr>
          <w:rFonts w:ascii="Verdana" w:eastAsia="Arial" w:hAnsi="Verdana" w:cstheme="majorHAnsi"/>
          <w:sz w:val="20"/>
          <w:szCs w:val="20"/>
          <w:lang w:val="es-ES"/>
        </w:rPr>
        <w:t xml:space="preserve"> del pago de interventoría a la ejecución o cumplimiento del contrato de obra vigilado, so pena de que dicha cláusula sea ineficaz de pleno al derecho por disposición expresa del </w:t>
      </w:r>
      <w:r w:rsidRPr="00A90B76">
        <w:rPr>
          <w:rFonts w:ascii="Verdana" w:eastAsia="Arial" w:hAnsi="Verdana" w:cstheme="majorHAnsi"/>
          <w:sz w:val="20"/>
          <w:szCs w:val="20"/>
        </w:rPr>
        <w:t>literal d) numeral 5 del artículo 24 de la Ley 80 de 1993, pues el supeditar el pago a la acción de un tercero implica que se ha pactado una cláusula de imposible cumplimiento para el interventor. Adicionalmente, este tipo de acuerdo de pago contraría la naturaleza del contrato de interventoría porque desconoce que el incumplimiento del contratista vigilado “</w:t>
      </w:r>
      <w:r w:rsidRPr="00A90B76">
        <w:rPr>
          <w:rFonts w:ascii="Verdana" w:hAnsi="Verdana" w:cs="Arial"/>
          <w:sz w:val="20"/>
          <w:szCs w:val="20"/>
        </w:rPr>
        <w:t xml:space="preserve">no se traduce en que […] la labor de la </w:t>
      </w:r>
      <w:r w:rsidR="000D2D1C" w:rsidRPr="00A90B76">
        <w:rPr>
          <w:rFonts w:ascii="Verdana" w:hAnsi="Verdana" w:cs="Arial"/>
          <w:sz w:val="20"/>
          <w:szCs w:val="20"/>
        </w:rPr>
        <w:t>interventoría</w:t>
      </w:r>
      <w:r w:rsidRPr="00A90B76">
        <w:rPr>
          <w:rFonts w:ascii="Verdana" w:hAnsi="Verdana" w:cs="Arial"/>
          <w:sz w:val="20"/>
          <w:szCs w:val="20"/>
        </w:rPr>
        <w:t xml:space="preserve"> </w:t>
      </w:r>
      <w:r w:rsidR="000D2D1C" w:rsidRPr="00A90B76">
        <w:rPr>
          <w:rFonts w:ascii="Verdana" w:hAnsi="Verdana" w:cs="Arial"/>
          <w:sz w:val="20"/>
          <w:szCs w:val="20"/>
        </w:rPr>
        <w:t>automáticamente</w:t>
      </w:r>
      <w:r w:rsidRPr="00A90B76">
        <w:rPr>
          <w:rFonts w:ascii="Verdana" w:hAnsi="Verdana" w:cs="Arial"/>
          <w:sz w:val="20"/>
          <w:szCs w:val="20"/>
        </w:rPr>
        <w:t xml:space="preserve"> adolezca del mismo reproche o que ese hecho pueda entenderse o equipararse como una </w:t>
      </w:r>
      <w:r w:rsidR="000D2D1C" w:rsidRPr="00A90B76">
        <w:rPr>
          <w:rFonts w:ascii="Verdana" w:hAnsi="Verdana" w:cs="Arial"/>
          <w:sz w:val="20"/>
          <w:szCs w:val="20"/>
        </w:rPr>
        <w:t>desatención</w:t>
      </w:r>
      <w:r w:rsidRPr="00A90B76">
        <w:rPr>
          <w:rFonts w:ascii="Verdana" w:hAnsi="Verdana" w:cs="Arial"/>
          <w:sz w:val="20"/>
          <w:szCs w:val="20"/>
        </w:rPr>
        <w:t xml:space="preserve"> de las obligaciones </w:t>
      </w:r>
      <w:r w:rsidR="000D2D1C" w:rsidRPr="00A90B76">
        <w:rPr>
          <w:rFonts w:ascii="Verdana" w:hAnsi="Verdana" w:cs="Arial"/>
          <w:sz w:val="20"/>
          <w:szCs w:val="20"/>
        </w:rPr>
        <w:t>contraídas</w:t>
      </w:r>
      <w:r w:rsidRPr="00A90B76">
        <w:rPr>
          <w:rFonts w:ascii="Verdana" w:hAnsi="Verdana" w:cs="Arial"/>
          <w:sz w:val="20"/>
          <w:szCs w:val="20"/>
        </w:rPr>
        <w:t xml:space="preserve"> en el marco de este vínculo negocial”. </w:t>
      </w:r>
    </w:p>
    <w:p w14:paraId="7887B087" w14:textId="77777777" w:rsidR="00163A2E" w:rsidRDefault="00163A2E" w:rsidP="003E7593">
      <w:pPr>
        <w:jc w:val="both"/>
        <w:rPr>
          <w:rFonts w:ascii="Verdana" w:eastAsia="Geomanist Light" w:hAnsi="Verdana" w:cs="Arial"/>
          <w:lang w:val="es-ES"/>
        </w:rPr>
      </w:pPr>
    </w:p>
    <w:p w14:paraId="1FF4DDC3" w14:textId="695D3DB4" w:rsidR="003E7593" w:rsidRDefault="003E7593" w:rsidP="003E7593">
      <w:pPr>
        <w:jc w:val="both"/>
        <w:rPr>
          <w:rFonts w:ascii="Verdana" w:eastAsia="Geomanist Light" w:hAnsi="Verdana" w:cs="Arial"/>
          <w:b/>
          <w:bCs/>
          <w:lang w:val="es-ES"/>
        </w:rPr>
      </w:pPr>
      <w:r w:rsidRPr="000D2D1C">
        <w:rPr>
          <w:rFonts w:ascii="Verdana" w:eastAsia="Geomanist Light" w:hAnsi="Verdana" w:cs="Arial"/>
          <w:b/>
          <w:bCs/>
          <w:lang w:val="es-ES"/>
        </w:rPr>
        <w:t>CONTRATO DE INTERVENTORÍA –</w:t>
      </w:r>
      <w:r w:rsidR="00963DF7">
        <w:rPr>
          <w:rFonts w:ascii="Verdana" w:eastAsia="Geomanist Light" w:hAnsi="Verdana" w:cs="Arial"/>
          <w:b/>
          <w:bCs/>
          <w:lang w:val="es-ES"/>
        </w:rPr>
        <w:t xml:space="preserve"> </w:t>
      </w:r>
      <w:r w:rsidRPr="000D2D1C">
        <w:rPr>
          <w:rFonts w:ascii="Verdana" w:eastAsia="Geomanist Light" w:hAnsi="Verdana" w:cs="Arial"/>
          <w:b/>
          <w:bCs/>
          <w:lang w:val="es-ES"/>
        </w:rPr>
        <w:t xml:space="preserve">Modalidad de Remuneración – Forma de pago pactada – Distinción </w:t>
      </w:r>
    </w:p>
    <w:p w14:paraId="0EE52834" w14:textId="537BEC31" w:rsidR="003E2213" w:rsidRPr="003E2213" w:rsidRDefault="003E2213" w:rsidP="003E2213">
      <w:pPr>
        <w:snapToGrid w:val="0"/>
        <w:spacing w:before="120" w:after="120" w:line="240" w:lineRule="auto"/>
        <w:ind w:right="49"/>
        <w:jc w:val="both"/>
        <w:textAlignment w:val="baseline"/>
        <w:rPr>
          <w:rFonts w:ascii="Verdana" w:eastAsia="Geomanist Light" w:hAnsi="Verdana" w:cs="Arial"/>
          <w:sz w:val="20"/>
          <w:szCs w:val="20"/>
          <w:lang w:val="es-ES"/>
        </w:rPr>
      </w:pPr>
      <w:r w:rsidRPr="003E2213">
        <w:rPr>
          <w:rFonts w:ascii="Verdana" w:hAnsi="Verdana" w:cs="Arial"/>
          <w:sz w:val="20"/>
          <w:szCs w:val="20"/>
          <w:lang w:val="es-ES"/>
        </w:rPr>
        <w:t xml:space="preserve">En este marco, el Consejo de Estado evaluó recientemente la relación existente entre la </w:t>
      </w:r>
      <w:r w:rsidRPr="003E2213">
        <w:rPr>
          <w:rFonts w:ascii="Verdana" w:hAnsi="Verdana" w:cs="Arial"/>
          <w:i/>
          <w:iCs/>
          <w:sz w:val="20"/>
          <w:szCs w:val="20"/>
          <w:lang w:val="es-ES"/>
        </w:rPr>
        <w:t>modalidad de remuneración</w:t>
      </w:r>
      <w:r w:rsidRPr="003E2213">
        <w:rPr>
          <w:rFonts w:ascii="Verdana" w:hAnsi="Verdana" w:cs="Arial"/>
          <w:sz w:val="20"/>
          <w:szCs w:val="20"/>
          <w:lang w:val="es-ES"/>
        </w:rPr>
        <w:t xml:space="preserve"> y la forma de pago pactada en los contratos de interventoría, así como el impacto de esto en la asignación de riesgos entre las partes. Al respecto, señaló que se trata de conceptos distintos, en los siguientes términos:</w:t>
      </w:r>
      <w:r w:rsidRPr="003E2213">
        <w:rPr>
          <w:rFonts w:ascii="Verdana" w:eastAsia="Geomanist Light" w:hAnsi="Verdana" w:cs="Arial"/>
          <w:sz w:val="20"/>
          <w:szCs w:val="20"/>
          <w:lang w:val="es-ES"/>
        </w:rPr>
        <w:t xml:space="preserve"> “La modalidad de remuneración define cuánto se debe al consultor, es decir, el precio pactado por la prestación del servicio; la forma de pago, por su parte, regula cómo se efectúa el desembolso de dicho precio”.</w:t>
      </w:r>
    </w:p>
    <w:p w14:paraId="7F349741" w14:textId="0844114F" w:rsidR="000D2D1C" w:rsidRPr="003E2213" w:rsidRDefault="003E2213" w:rsidP="003E2213">
      <w:pPr>
        <w:spacing w:line="240" w:lineRule="auto"/>
        <w:jc w:val="both"/>
        <w:rPr>
          <w:rFonts w:ascii="Verdana" w:eastAsia="Geomanist Light" w:hAnsi="Verdana" w:cs="Arial"/>
          <w:b/>
          <w:bCs/>
          <w:sz w:val="20"/>
          <w:szCs w:val="20"/>
          <w:lang w:val="es-ES"/>
        </w:rPr>
      </w:pPr>
      <w:r w:rsidRPr="003E2213">
        <w:rPr>
          <w:rFonts w:ascii="Verdana" w:eastAsia="Geomanist Light" w:hAnsi="Verdana" w:cs="Arial"/>
          <w:sz w:val="20"/>
          <w:szCs w:val="20"/>
          <w:lang w:val="es-ES"/>
        </w:rPr>
        <w:t xml:space="preserve">Esta distinción entre ambos conceptos permitió a la Sala concluir que nada obsta para que una Entidad Estatal pacte como modalidad de remuneración del contrato de interventoría un precio fijo por el servicio prestado, acordando que este valor tendrá un cronograma de desembolsos para el pago sujeto al avance en la ejecución de la obra. Para el Consejo de Estado, en este supuesto el interventor que cumpla sus obligaciones tendrá derecho al pago de la totalidad del precio acordado, pues se trata de una suma fija, aun si dicho valor se paga según el porcentaje de ejecución de la obra. En este sentido, los retrasos en la obra no implican que el interventor pierda el derecho a recibir </w:t>
      </w:r>
      <w:r w:rsidRPr="003E2213">
        <w:rPr>
          <w:rFonts w:ascii="Verdana" w:eastAsia="Geomanist Light" w:hAnsi="Verdana" w:cs="Arial"/>
          <w:sz w:val="20"/>
          <w:szCs w:val="20"/>
          <w:lang w:val="es-ES"/>
        </w:rPr>
        <w:lastRenderedPageBreak/>
        <w:t>la suma pactada; sino que deberá asumir el riesgo derivado de que sus ingresos y flujo de caja pueda disminuir, pese a que sus costos operativos, derivados, por ejemplo, del pago del equipo de trabajo o personal, permanezcan constantes.</w:t>
      </w:r>
    </w:p>
    <w:p w14:paraId="1AF577CB" w14:textId="77777777" w:rsidR="003E7593" w:rsidRDefault="003E7593" w:rsidP="00A96C6F">
      <w:pPr>
        <w:spacing w:after="0"/>
        <w:rPr>
          <w:rFonts w:ascii="Verdana" w:hAnsi="Verdana"/>
          <w:lang w:val="es-ES"/>
        </w:rPr>
      </w:pPr>
    </w:p>
    <w:p w14:paraId="0E607D38" w14:textId="77777777" w:rsidR="003E2213" w:rsidRDefault="003E2213" w:rsidP="00A96C6F">
      <w:pPr>
        <w:spacing w:after="0"/>
        <w:rPr>
          <w:rFonts w:ascii="Verdana" w:hAnsi="Verdana"/>
          <w:lang w:val="es-ES"/>
        </w:rPr>
      </w:pPr>
    </w:p>
    <w:p w14:paraId="5D08816D" w14:textId="77777777" w:rsidR="003E2213" w:rsidRDefault="003E2213" w:rsidP="00A96C6F">
      <w:pPr>
        <w:spacing w:after="0"/>
        <w:rPr>
          <w:rFonts w:ascii="Verdana" w:hAnsi="Verdana"/>
          <w:lang w:val="es-ES"/>
        </w:rPr>
      </w:pPr>
    </w:p>
    <w:p w14:paraId="5B067D15" w14:textId="77777777" w:rsidR="003E2213" w:rsidRDefault="003E2213" w:rsidP="00A96C6F">
      <w:pPr>
        <w:spacing w:after="0"/>
        <w:rPr>
          <w:rFonts w:ascii="Verdana" w:hAnsi="Verdana"/>
          <w:lang w:val="es-ES"/>
        </w:rPr>
      </w:pPr>
    </w:p>
    <w:p w14:paraId="5876AF3E" w14:textId="77777777" w:rsidR="003E2213" w:rsidRDefault="003E2213" w:rsidP="00A96C6F">
      <w:pPr>
        <w:spacing w:after="0"/>
        <w:rPr>
          <w:rFonts w:ascii="Verdana" w:hAnsi="Verdana"/>
          <w:lang w:val="es-ES"/>
        </w:rPr>
      </w:pPr>
    </w:p>
    <w:p w14:paraId="6336218E" w14:textId="77777777" w:rsidR="003E2213" w:rsidRDefault="003E2213" w:rsidP="00A96C6F">
      <w:pPr>
        <w:spacing w:after="0"/>
        <w:rPr>
          <w:rFonts w:ascii="Verdana" w:hAnsi="Verdana"/>
          <w:lang w:val="es-ES"/>
        </w:rPr>
      </w:pPr>
    </w:p>
    <w:p w14:paraId="05FAA299" w14:textId="77777777" w:rsidR="003E2213" w:rsidRDefault="003E2213" w:rsidP="00A96C6F">
      <w:pPr>
        <w:spacing w:after="0"/>
        <w:rPr>
          <w:rFonts w:ascii="Verdana" w:hAnsi="Verdana"/>
          <w:lang w:val="es-ES"/>
        </w:rPr>
      </w:pPr>
    </w:p>
    <w:p w14:paraId="57A35EA4" w14:textId="77777777" w:rsidR="003E2213" w:rsidRDefault="003E2213" w:rsidP="00A96C6F">
      <w:pPr>
        <w:spacing w:after="0"/>
        <w:rPr>
          <w:rFonts w:ascii="Verdana" w:hAnsi="Verdana"/>
          <w:lang w:val="es-ES"/>
        </w:rPr>
      </w:pPr>
    </w:p>
    <w:p w14:paraId="15882AC9" w14:textId="77777777" w:rsidR="003E2213" w:rsidRDefault="003E2213" w:rsidP="00A96C6F">
      <w:pPr>
        <w:spacing w:after="0"/>
        <w:rPr>
          <w:rFonts w:ascii="Verdana" w:hAnsi="Verdana"/>
          <w:lang w:val="es-ES"/>
        </w:rPr>
      </w:pPr>
    </w:p>
    <w:p w14:paraId="1A3DD861" w14:textId="77777777" w:rsidR="003E2213" w:rsidRDefault="003E2213" w:rsidP="00A96C6F">
      <w:pPr>
        <w:spacing w:after="0"/>
        <w:rPr>
          <w:rFonts w:ascii="Verdana" w:hAnsi="Verdana"/>
          <w:lang w:val="es-ES"/>
        </w:rPr>
      </w:pPr>
    </w:p>
    <w:p w14:paraId="6CB90298" w14:textId="77777777" w:rsidR="003E2213" w:rsidRDefault="003E2213" w:rsidP="00A96C6F">
      <w:pPr>
        <w:spacing w:after="0"/>
        <w:rPr>
          <w:rFonts w:ascii="Verdana" w:hAnsi="Verdana"/>
          <w:lang w:val="es-ES"/>
        </w:rPr>
      </w:pPr>
    </w:p>
    <w:p w14:paraId="371B2CBA" w14:textId="77777777" w:rsidR="003E2213" w:rsidRDefault="003E2213" w:rsidP="00A96C6F">
      <w:pPr>
        <w:spacing w:after="0"/>
        <w:rPr>
          <w:rFonts w:ascii="Verdana" w:hAnsi="Verdana"/>
          <w:lang w:val="es-ES"/>
        </w:rPr>
      </w:pPr>
    </w:p>
    <w:p w14:paraId="28D3D57D" w14:textId="77777777" w:rsidR="003E2213" w:rsidRDefault="003E2213" w:rsidP="00A96C6F">
      <w:pPr>
        <w:spacing w:after="0"/>
        <w:rPr>
          <w:rFonts w:ascii="Verdana" w:hAnsi="Verdana"/>
          <w:lang w:val="es-ES"/>
        </w:rPr>
      </w:pPr>
    </w:p>
    <w:p w14:paraId="7E1F2205" w14:textId="77777777" w:rsidR="003E2213" w:rsidRDefault="003E2213" w:rsidP="00A96C6F">
      <w:pPr>
        <w:spacing w:after="0"/>
        <w:rPr>
          <w:rFonts w:ascii="Verdana" w:hAnsi="Verdana"/>
          <w:lang w:val="es-ES"/>
        </w:rPr>
      </w:pPr>
    </w:p>
    <w:p w14:paraId="5A8DDE2F" w14:textId="77777777" w:rsidR="003E2213" w:rsidRDefault="003E2213" w:rsidP="00A96C6F">
      <w:pPr>
        <w:spacing w:after="0"/>
        <w:rPr>
          <w:rFonts w:ascii="Verdana" w:hAnsi="Verdana"/>
          <w:lang w:val="es-ES"/>
        </w:rPr>
      </w:pPr>
    </w:p>
    <w:p w14:paraId="60E67E02" w14:textId="77777777" w:rsidR="003E2213" w:rsidRDefault="003E2213" w:rsidP="00A96C6F">
      <w:pPr>
        <w:spacing w:after="0"/>
        <w:rPr>
          <w:rFonts w:ascii="Verdana" w:hAnsi="Verdana"/>
          <w:lang w:val="es-ES"/>
        </w:rPr>
      </w:pPr>
    </w:p>
    <w:p w14:paraId="298B6ECD" w14:textId="77777777" w:rsidR="003E2213" w:rsidRDefault="003E2213" w:rsidP="00A96C6F">
      <w:pPr>
        <w:spacing w:after="0"/>
        <w:rPr>
          <w:rFonts w:ascii="Verdana" w:hAnsi="Verdana"/>
          <w:lang w:val="es-ES"/>
        </w:rPr>
      </w:pPr>
    </w:p>
    <w:p w14:paraId="0D998CAB" w14:textId="77777777" w:rsidR="003E2213" w:rsidRDefault="003E2213" w:rsidP="00A96C6F">
      <w:pPr>
        <w:spacing w:after="0"/>
        <w:rPr>
          <w:rFonts w:ascii="Verdana" w:hAnsi="Verdana"/>
          <w:lang w:val="es-ES"/>
        </w:rPr>
      </w:pPr>
    </w:p>
    <w:p w14:paraId="250DC09C" w14:textId="77777777" w:rsidR="003E2213" w:rsidRDefault="003E2213" w:rsidP="00A96C6F">
      <w:pPr>
        <w:spacing w:after="0"/>
        <w:rPr>
          <w:rFonts w:ascii="Verdana" w:hAnsi="Verdana"/>
          <w:lang w:val="es-ES"/>
        </w:rPr>
      </w:pPr>
    </w:p>
    <w:p w14:paraId="55EFEB15" w14:textId="77777777" w:rsidR="003E2213" w:rsidRDefault="003E2213" w:rsidP="00A96C6F">
      <w:pPr>
        <w:spacing w:after="0"/>
        <w:rPr>
          <w:rFonts w:ascii="Verdana" w:hAnsi="Verdana"/>
          <w:lang w:val="es-ES"/>
        </w:rPr>
      </w:pPr>
    </w:p>
    <w:p w14:paraId="3DA15F09" w14:textId="77777777" w:rsidR="003E2213" w:rsidRDefault="003E2213" w:rsidP="00A96C6F">
      <w:pPr>
        <w:spacing w:after="0"/>
        <w:rPr>
          <w:rFonts w:ascii="Verdana" w:hAnsi="Verdana"/>
          <w:lang w:val="es-ES"/>
        </w:rPr>
      </w:pPr>
    </w:p>
    <w:p w14:paraId="7149315C" w14:textId="77777777" w:rsidR="003E2213" w:rsidRDefault="003E2213" w:rsidP="00A96C6F">
      <w:pPr>
        <w:spacing w:after="0"/>
        <w:rPr>
          <w:rFonts w:ascii="Verdana" w:hAnsi="Verdana"/>
          <w:lang w:val="es-ES"/>
        </w:rPr>
      </w:pPr>
    </w:p>
    <w:p w14:paraId="77ADD1A1" w14:textId="77777777" w:rsidR="003E2213" w:rsidRDefault="003E2213" w:rsidP="00A96C6F">
      <w:pPr>
        <w:spacing w:after="0"/>
        <w:rPr>
          <w:rFonts w:ascii="Verdana" w:hAnsi="Verdana"/>
          <w:lang w:val="es-ES"/>
        </w:rPr>
      </w:pPr>
    </w:p>
    <w:p w14:paraId="31F3CA9A" w14:textId="77777777" w:rsidR="003E2213" w:rsidRDefault="003E2213" w:rsidP="00A96C6F">
      <w:pPr>
        <w:spacing w:after="0"/>
        <w:rPr>
          <w:rFonts w:ascii="Verdana" w:hAnsi="Verdana"/>
          <w:lang w:val="es-ES"/>
        </w:rPr>
      </w:pPr>
    </w:p>
    <w:p w14:paraId="3425E3E5" w14:textId="77777777" w:rsidR="003E2213" w:rsidRDefault="003E2213" w:rsidP="00A96C6F">
      <w:pPr>
        <w:spacing w:after="0"/>
        <w:rPr>
          <w:rFonts w:ascii="Verdana" w:hAnsi="Verdana"/>
          <w:lang w:val="es-ES"/>
        </w:rPr>
      </w:pPr>
    </w:p>
    <w:p w14:paraId="4167AFE8" w14:textId="77777777" w:rsidR="003E2213" w:rsidRDefault="003E2213" w:rsidP="00A96C6F">
      <w:pPr>
        <w:spacing w:after="0"/>
        <w:rPr>
          <w:rFonts w:ascii="Verdana" w:hAnsi="Verdana"/>
          <w:lang w:val="es-ES"/>
        </w:rPr>
      </w:pPr>
    </w:p>
    <w:p w14:paraId="06A0AA97" w14:textId="77777777" w:rsidR="003E2213" w:rsidRDefault="003E2213" w:rsidP="00A96C6F">
      <w:pPr>
        <w:spacing w:after="0"/>
        <w:rPr>
          <w:rFonts w:ascii="Verdana" w:hAnsi="Verdana"/>
          <w:lang w:val="es-ES"/>
        </w:rPr>
      </w:pPr>
    </w:p>
    <w:p w14:paraId="5CACD0F2" w14:textId="77777777" w:rsidR="003E2213" w:rsidRDefault="003E2213" w:rsidP="00A96C6F">
      <w:pPr>
        <w:spacing w:after="0"/>
        <w:rPr>
          <w:rFonts w:ascii="Verdana" w:hAnsi="Verdana"/>
          <w:lang w:val="es-ES"/>
        </w:rPr>
      </w:pPr>
    </w:p>
    <w:p w14:paraId="533D6C5E" w14:textId="77777777" w:rsidR="003E2213" w:rsidRDefault="003E2213" w:rsidP="00A96C6F">
      <w:pPr>
        <w:spacing w:after="0"/>
        <w:rPr>
          <w:rFonts w:ascii="Verdana" w:hAnsi="Verdana"/>
          <w:lang w:val="es-ES"/>
        </w:rPr>
      </w:pPr>
    </w:p>
    <w:p w14:paraId="3A06EA9E" w14:textId="77777777" w:rsidR="003E2213" w:rsidRDefault="003E2213" w:rsidP="00A96C6F">
      <w:pPr>
        <w:spacing w:after="0"/>
        <w:rPr>
          <w:rFonts w:ascii="Verdana" w:hAnsi="Verdana"/>
          <w:lang w:val="es-ES"/>
        </w:rPr>
      </w:pPr>
    </w:p>
    <w:p w14:paraId="2560A624" w14:textId="77777777" w:rsidR="003E2213" w:rsidRDefault="003E2213" w:rsidP="00A96C6F">
      <w:pPr>
        <w:spacing w:after="0"/>
        <w:rPr>
          <w:rFonts w:ascii="Verdana" w:hAnsi="Verdana"/>
          <w:lang w:val="es-ES"/>
        </w:rPr>
      </w:pPr>
    </w:p>
    <w:p w14:paraId="324FB23C" w14:textId="77777777" w:rsidR="003E2213" w:rsidRDefault="003E2213" w:rsidP="00A96C6F">
      <w:pPr>
        <w:spacing w:after="0"/>
        <w:rPr>
          <w:rFonts w:ascii="Verdana" w:hAnsi="Verdana"/>
          <w:lang w:val="es-ES"/>
        </w:rPr>
      </w:pPr>
    </w:p>
    <w:p w14:paraId="54AA9F82" w14:textId="77777777" w:rsidR="003E2213" w:rsidRDefault="003E2213" w:rsidP="00A96C6F">
      <w:pPr>
        <w:spacing w:after="0"/>
        <w:rPr>
          <w:rFonts w:ascii="Verdana" w:hAnsi="Verdana"/>
          <w:lang w:val="es-ES"/>
        </w:rPr>
      </w:pPr>
    </w:p>
    <w:p w14:paraId="01DA3EDE" w14:textId="77777777" w:rsidR="00163A2E" w:rsidRDefault="00163A2E" w:rsidP="00A96C6F">
      <w:pPr>
        <w:spacing w:after="0"/>
        <w:rPr>
          <w:rFonts w:ascii="Verdana" w:hAnsi="Verdana"/>
          <w:lang w:val="es-ES"/>
        </w:rPr>
      </w:pPr>
    </w:p>
    <w:p w14:paraId="2087E7E7" w14:textId="77777777" w:rsidR="00163A2E" w:rsidRDefault="00163A2E" w:rsidP="00A96C6F">
      <w:pPr>
        <w:spacing w:after="0"/>
        <w:rPr>
          <w:rFonts w:ascii="Verdana" w:hAnsi="Verdana"/>
          <w:lang w:val="es-ES"/>
        </w:rPr>
      </w:pPr>
    </w:p>
    <w:p w14:paraId="3A808124" w14:textId="77777777" w:rsidR="00163A2E" w:rsidRDefault="00163A2E" w:rsidP="00A96C6F">
      <w:pPr>
        <w:spacing w:after="0"/>
        <w:rPr>
          <w:rFonts w:ascii="Verdana" w:hAnsi="Verdana"/>
          <w:lang w:val="es-ES"/>
        </w:rPr>
      </w:pPr>
    </w:p>
    <w:p w14:paraId="03AED15E" w14:textId="18D83BF2" w:rsidR="00A96C6F" w:rsidRPr="00F53971" w:rsidRDefault="00A96C6F" w:rsidP="00A96C6F">
      <w:pPr>
        <w:spacing w:after="0"/>
        <w:rPr>
          <w:rFonts w:ascii="Verdana" w:hAnsi="Verdana"/>
          <w:lang w:val="es-ES"/>
        </w:rPr>
      </w:pPr>
      <w:r w:rsidRPr="00F53971">
        <w:rPr>
          <w:rFonts w:ascii="Verdana" w:hAnsi="Verdana"/>
          <w:lang w:val="es-ES"/>
        </w:rPr>
        <w:lastRenderedPageBreak/>
        <w:t xml:space="preserve">Bogotá D.C., </w:t>
      </w:r>
      <w:r w:rsidR="00733316">
        <w:rPr>
          <w:rFonts w:ascii="Verdana" w:hAnsi="Verdana"/>
          <w:lang w:val="es-ES"/>
        </w:rPr>
        <w:t>19 de junio de 2026</w:t>
      </w:r>
    </w:p>
    <w:p w14:paraId="64A2C17D" w14:textId="36C3C303" w:rsidR="00A96C6F" w:rsidRPr="00F53971" w:rsidRDefault="00733316" w:rsidP="00A96C6F">
      <w:pPr>
        <w:spacing w:after="0"/>
        <w:rPr>
          <w:rFonts w:ascii="Verdana" w:hAnsi="Verdana"/>
          <w:lang w:val="es-ES"/>
        </w:rPr>
      </w:pPr>
      <w:r>
        <w:rPr>
          <w:rFonts w:ascii="Verdana" w:eastAsia="Calibri" w:hAnsi="Verdana" w:cs="Arial"/>
          <w:noProof/>
          <w:color w:val="000000" w:themeColor="text1"/>
          <w:lang w:val="es-ES" w:eastAsia="es-ES"/>
        </w:rPr>
        <w:drawing>
          <wp:anchor distT="0" distB="0" distL="114300" distR="114300" simplePos="0" relativeHeight="251661313" behindDoc="0" locked="0" layoutInCell="1" allowOverlap="1" wp14:anchorId="513EBB01" wp14:editId="331B21C6">
            <wp:simplePos x="0" y="0"/>
            <wp:positionH relativeFrom="column">
              <wp:posOffset>3300730</wp:posOffset>
            </wp:positionH>
            <wp:positionV relativeFrom="paragraph">
              <wp:posOffset>184150</wp:posOffset>
            </wp:positionV>
            <wp:extent cx="2170430" cy="691515"/>
            <wp:effectExtent l="0" t="0" r="1270" b="0"/>
            <wp:wrapSquare wrapText="bothSides"/>
            <wp:docPr id="297716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16702" name="Picture 297716702"/>
                    <pic:cNvPicPr/>
                  </pic:nvPicPr>
                  <pic:blipFill>
                    <a:blip r:embed="rId10">
                      <a:extLst>
                        <a:ext uri="{28A0092B-C50C-407E-A947-70E740481C1C}">
                          <a14:useLocalDpi xmlns:a14="http://schemas.microsoft.com/office/drawing/2010/main" val="0"/>
                        </a:ext>
                      </a:extLst>
                    </a:blip>
                    <a:stretch>
                      <a:fillRect/>
                    </a:stretch>
                  </pic:blipFill>
                  <pic:spPr>
                    <a:xfrm>
                      <a:off x="0" y="0"/>
                      <a:ext cx="2170430" cy="691515"/>
                    </a:xfrm>
                    <a:prstGeom prst="rect">
                      <a:avLst/>
                    </a:prstGeom>
                  </pic:spPr>
                </pic:pic>
              </a:graphicData>
            </a:graphic>
            <wp14:sizeRelH relativeFrom="page">
              <wp14:pctWidth>0</wp14:pctWidth>
            </wp14:sizeRelH>
            <wp14:sizeRelV relativeFrom="page">
              <wp14:pctHeight>0</wp14:pctHeight>
            </wp14:sizeRelV>
          </wp:anchor>
        </w:drawing>
      </w:r>
    </w:p>
    <w:p w14:paraId="52E5B70B" w14:textId="7B2432F4" w:rsidR="00A96C6F" w:rsidRPr="00F53971" w:rsidRDefault="00A96C6F" w:rsidP="00A96C6F">
      <w:pPr>
        <w:spacing w:after="0" w:line="240" w:lineRule="auto"/>
        <w:jc w:val="both"/>
        <w:rPr>
          <w:rFonts w:ascii="Verdana" w:eastAsia="Calibri" w:hAnsi="Verdana" w:cs="Arial"/>
          <w:color w:val="000000" w:themeColor="text1"/>
          <w:lang w:val="es-ES" w:eastAsia="es-ES"/>
        </w:rPr>
      </w:pPr>
      <w:r w:rsidRPr="00F53971">
        <w:rPr>
          <w:rFonts w:ascii="Verdana" w:eastAsia="Calibri" w:hAnsi="Verdana" w:cs="Arial"/>
          <w:color w:val="000000" w:themeColor="text1"/>
          <w:lang w:val="es-ES" w:eastAsia="es-ES"/>
        </w:rPr>
        <w:t>Señor</w:t>
      </w:r>
    </w:p>
    <w:p w14:paraId="51AC0AA5" w14:textId="23169676" w:rsidR="00A96C6F" w:rsidRPr="00F53971" w:rsidRDefault="00954812" w:rsidP="00A96C6F">
      <w:pPr>
        <w:spacing w:after="0" w:line="240" w:lineRule="auto"/>
        <w:rPr>
          <w:rFonts w:ascii="Verdana" w:eastAsia="Calibri" w:hAnsi="Verdana" w:cs="Arial"/>
          <w:b/>
          <w:bCs/>
          <w:color w:val="000000" w:themeColor="text1"/>
          <w:lang w:val="es-ES" w:eastAsia="es-ES"/>
        </w:rPr>
      </w:pPr>
      <w:r w:rsidRPr="00F53971">
        <w:rPr>
          <w:rFonts w:ascii="Verdana" w:eastAsia="Calibri" w:hAnsi="Verdana" w:cs="Arial"/>
          <w:b/>
          <w:bCs/>
          <w:color w:val="000000" w:themeColor="text1"/>
          <w:lang w:val="es-ES" w:eastAsia="es-ES"/>
        </w:rPr>
        <w:t>Iván</w:t>
      </w:r>
      <w:r w:rsidR="00A96C6F" w:rsidRPr="00F53971">
        <w:rPr>
          <w:rFonts w:ascii="Verdana" w:eastAsia="Calibri" w:hAnsi="Verdana" w:cs="Arial"/>
          <w:b/>
          <w:bCs/>
          <w:color w:val="000000" w:themeColor="text1"/>
          <w:lang w:val="es-ES" w:eastAsia="es-ES"/>
        </w:rPr>
        <w:t xml:space="preserve"> Darío Gutiérrez Cardozo </w:t>
      </w:r>
    </w:p>
    <w:p w14:paraId="50213A20" w14:textId="77777777" w:rsidR="00A96C6F" w:rsidRPr="00F53971" w:rsidRDefault="00A96C6F" w:rsidP="00A96C6F">
      <w:pPr>
        <w:spacing w:after="0" w:line="240" w:lineRule="auto"/>
        <w:rPr>
          <w:rFonts w:ascii="Verdana" w:eastAsia="Calibri" w:hAnsi="Verdana" w:cs="Arial"/>
          <w:color w:val="000000" w:themeColor="text1"/>
          <w:lang w:val="es-ES" w:eastAsia="es-ES"/>
        </w:rPr>
      </w:pPr>
      <w:hyperlink r:id="rId11" w:history="1">
        <w:r w:rsidRPr="00F53971">
          <w:rPr>
            <w:rStyle w:val="Hipervnculo"/>
            <w:rFonts w:ascii="Verdana" w:eastAsia="Calibri" w:hAnsi="Verdana" w:cs="Arial"/>
            <w:lang w:val="es-ES" w:eastAsia="es-ES"/>
          </w:rPr>
          <w:t>ivandariog@hotmail.com</w:t>
        </w:r>
      </w:hyperlink>
      <w:r w:rsidRPr="00F53971">
        <w:rPr>
          <w:rFonts w:ascii="Verdana" w:eastAsia="Calibri" w:hAnsi="Verdana" w:cs="Arial"/>
          <w:color w:val="000000" w:themeColor="text1"/>
          <w:lang w:val="es-ES" w:eastAsia="es-ES"/>
        </w:rPr>
        <w:t xml:space="preserve">  </w:t>
      </w:r>
    </w:p>
    <w:p w14:paraId="25BFC3D4" w14:textId="77777777" w:rsidR="00A96C6F" w:rsidRPr="00F53971" w:rsidRDefault="00A96C6F" w:rsidP="00A96C6F">
      <w:pPr>
        <w:spacing w:after="0" w:line="240" w:lineRule="auto"/>
        <w:rPr>
          <w:rFonts w:ascii="Verdana" w:eastAsia="Calibri" w:hAnsi="Verdana" w:cs="Arial"/>
          <w:color w:val="000000" w:themeColor="text1"/>
          <w:lang w:val="es-ES" w:eastAsia="es-ES_tradnl"/>
        </w:rPr>
      </w:pPr>
      <w:r w:rsidRPr="00F53971">
        <w:rPr>
          <w:rFonts w:ascii="Verdana" w:eastAsia="Calibri" w:hAnsi="Verdana" w:cs="Arial"/>
          <w:color w:val="000000" w:themeColor="text1"/>
          <w:lang w:val="es-ES" w:eastAsia="es-ES_tradnl"/>
        </w:rPr>
        <w:t>Bogotá D.C.</w:t>
      </w:r>
    </w:p>
    <w:p w14:paraId="48C86C90" w14:textId="77777777" w:rsidR="00A96C6F" w:rsidRPr="00F53971" w:rsidRDefault="00A96C6F" w:rsidP="00A96C6F">
      <w:pPr>
        <w:spacing w:after="0" w:line="240" w:lineRule="auto"/>
        <w:rPr>
          <w:rFonts w:ascii="Verdana" w:eastAsia="Calibri" w:hAnsi="Verdana" w:cs="Arial"/>
          <w:b/>
          <w:bCs/>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A96C6F" w:rsidRPr="00F53971" w14:paraId="2E5F51BD" w14:textId="77777777" w:rsidTr="00AB1CBB">
        <w:trPr>
          <w:gridAfter w:val="1"/>
          <w:wAfter w:w="4179" w:type="dxa"/>
          <w:trHeight w:val="304"/>
        </w:trPr>
        <w:tc>
          <w:tcPr>
            <w:tcW w:w="2689" w:type="dxa"/>
          </w:tcPr>
          <w:p w14:paraId="4BF9B444" w14:textId="77777777" w:rsidR="00A96C6F" w:rsidRPr="00F53971" w:rsidRDefault="00A96C6F" w:rsidP="00AB1CBB">
            <w:pPr>
              <w:jc w:val="both"/>
              <w:rPr>
                <w:rFonts w:ascii="Verdana" w:eastAsia="Calibri" w:hAnsi="Verdana" w:cs="Arial"/>
                <w:b/>
                <w:bCs/>
                <w:color w:val="000000" w:themeColor="text1"/>
                <w:lang w:val="es-ES" w:eastAsia="es-ES_tradnl"/>
              </w:rPr>
            </w:pPr>
          </w:p>
        </w:tc>
        <w:tc>
          <w:tcPr>
            <w:tcW w:w="6100" w:type="dxa"/>
          </w:tcPr>
          <w:p w14:paraId="45857A61" w14:textId="789E054B" w:rsidR="00A96C6F" w:rsidRPr="00F53971" w:rsidRDefault="00A96C6F" w:rsidP="00AB1CBB">
            <w:pPr>
              <w:jc w:val="both"/>
              <w:rPr>
                <w:rFonts w:ascii="Verdana" w:eastAsia="Calibri" w:hAnsi="Verdana" w:cs="Arial"/>
                <w:b/>
                <w:bCs/>
                <w:color w:val="000000" w:themeColor="text1"/>
                <w:lang w:val="es-ES" w:eastAsia="es-ES"/>
              </w:rPr>
            </w:pPr>
            <w:r w:rsidRPr="00F53971">
              <w:rPr>
                <w:rFonts w:ascii="Verdana" w:eastAsia="Calibri" w:hAnsi="Verdana" w:cs="Arial"/>
                <w:b/>
                <w:bCs/>
                <w:color w:val="000000" w:themeColor="text1"/>
                <w:lang w:val="es-ES" w:eastAsia="es-ES"/>
              </w:rPr>
              <w:t>Concepto C-</w:t>
            </w:r>
            <w:r w:rsidR="00954812">
              <w:rPr>
                <w:rFonts w:ascii="Verdana" w:eastAsia="Calibri" w:hAnsi="Verdana" w:cs="Arial"/>
                <w:b/>
                <w:bCs/>
                <w:color w:val="000000" w:themeColor="text1"/>
                <w:lang w:val="es-ES" w:eastAsia="es-ES"/>
              </w:rPr>
              <w:t>753</w:t>
            </w:r>
            <w:r w:rsidRPr="00F53971">
              <w:rPr>
                <w:rFonts w:ascii="Verdana" w:eastAsia="Calibri" w:hAnsi="Verdana" w:cs="Arial"/>
                <w:b/>
                <w:bCs/>
                <w:color w:val="000000" w:themeColor="text1"/>
                <w:lang w:val="es-ES" w:eastAsia="es-ES"/>
              </w:rPr>
              <w:t xml:space="preserve"> de 2026</w:t>
            </w:r>
          </w:p>
          <w:p w14:paraId="2CB4C7BC" w14:textId="77777777" w:rsidR="00A96C6F" w:rsidRPr="00F53971" w:rsidRDefault="00A96C6F" w:rsidP="00AB1CBB">
            <w:pPr>
              <w:jc w:val="both"/>
              <w:rPr>
                <w:rFonts w:ascii="Verdana" w:eastAsia="Calibri" w:hAnsi="Verdana" w:cs="Arial"/>
                <w:b/>
                <w:bCs/>
                <w:color w:val="000000" w:themeColor="text1"/>
                <w:lang w:val="es-ES" w:eastAsia="es-ES"/>
              </w:rPr>
            </w:pPr>
          </w:p>
        </w:tc>
      </w:tr>
      <w:tr w:rsidR="00A96C6F" w:rsidRPr="00F53971" w14:paraId="08E365E7" w14:textId="77777777" w:rsidTr="00AB1CBB">
        <w:trPr>
          <w:trHeight w:val="884"/>
        </w:trPr>
        <w:tc>
          <w:tcPr>
            <w:tcW w:w="2689" w:type="dxa"/>
          </w:tcPr>
          <w:p w14:paraId="19CF7C5B" w14:textId="77777777" w:rsidR="00A96C6F" w:rsidRPr="00F53971" w:rsidRDefault="00A96C6F" w:rsidP="00AB1CBB">
            <w:pPr>
              <w:jc w:val="both"/>
              <w:rPr>
                <w:rFonts w:ascii="Verdana" w:eastAsia="Calibri" w:hAnsi="Verdana" w:cs="Arial"/>
                <w:color w:val="000000" w:themeColor="text1"/>
                <w:lang w:val="es-ES" w:eastAsia="es-ES_tradnl"/>
              </w:rPr>
            </w:pPr>
            <w:r w:rsidRPr="00F53971">
              <w:rPr>
                <w:rFonts w:ascii="Verdana" w:eastAsia="Calibri" w:hAnsi="Verdana" w:cs="Arial"/>
                <w:b/>
                <w:color w:val="000000" w:themeColor="text1"/>
                <w:lang w:val="es-ES" w:eastAsia="es-ES_tradnl"/>
              </w:rPr>
              <w:t>Temas:</w:t>
            </w:r>
            <w:r w:rsidRPr="00F53971">
              <w:rPr>
                <w:rFonts w:ascii="Verdana" w:eastAsia="Calibri" w:hAnsi="Verdana" w:cs="Arial"/>
                <w:color w:val="000000" w:themeColor="text1"/>
                <w:lang w:val="es-ES" w:eastAsia="es-ES_tradnl"/>
              </w:rPr>
              <w:t xml:space="preserve">                   </w:t>
            </w:r>
          </w:p>
        </w:tc>
        <w:tc>
          <w:tcPr>
            <w:tcW w:w="6100" w:type="dxa"/>
          </w:tcPr>
          <w:p w14:paraId="47E2677B" w14:textId="77777777" w:rsidR="00A96C6F" w:rsidRPr="00F53971" w:rsidRDefault="00A96C6F" w:rsidP="00AB1CBB">
            <w:pPr>
              <w:jc w:val="both"/>
              <w:rPr>
                <w:rFonts w:ascii="Verdana" w:eastAsia="Geomanist Light" w:hAnsi="Verdana" w:cs="Arial"/>
                <w:lang w:val="es-ES"/>
              </w:rPr>
            </w:pPr>
            <w:r w:rsidRPr="00F53971">
              <w:rPr>
                <w:rFonts w:ascii="Verdana" w:eastAsia="Geomanist Light" w:hAnsi="Verdana" w:cs="Arial"/>
                <w:lang w:val="es-ES"/>
              </w:rPr>
              <w:t xml:space="preserve">CONTRATO DE INTERVENTORÍA – Características – Finalidad / CONTRATO DE INTERVENTORÍA – Término – Plazo – Contrato objeto de seguimiento / MODIFICACION DE LOS CONTRATOS ESTATALES – Aspectos generales – Límites / MODIFICACION DE LOS CONTRATOS ESTATALES – Carácter Excepcional / ADICIÓN – Concepto – Distintos supuestos – Prohibición – Adición en más del 50% / ADICIÓN – Límite del 50%  –  interventoría – No aplica /  CONTRATO DE INTERVENTORÍA – Forma de pago – Sujeción a avance de la obra / CONTRATO DE INTERVENTORÍA –Modalidad de </w:t>
            </w:r>
            <w:r>
              <w:rPr>
                <w:rFonts w:ascii="Verdana" w:eastAsia="Geomanist Light" w:hAnsi="Verdana" w:cs="Arial"/>
                <w:lang w:val="es-ES"/>
              </w:rPr>
              <w:t>R</w:t>
            </w:r>
            <w:r w:rsidRPr="00F53971">
              <w:rPr>
                <w:rFonts w:ascii="Verdana" w:eastAsia="Geomanist Light" w:hAnsi="Verdana" w:cs="Arial"/>
                <w:lang w:val="es-ES"/>
              </w:rPr>
              <w:t xml:space="preserve">emuneración – Forma de pago pactada – Distinción </w:t>
            </w:r>
          </w:p>
          <w:p w14:paraId="53A8AAE8" w14:textId="77777777" w:rsidR="00A96C6F" w:rsidRPr="00F53971" w:rsidRDefault="00A96C6F" w:rsidP="00AB1CBB">
            <w:pPr>
              <w:spacing w:line="276" w:lineRule="auto"/>
              <w:jc w:val="both"/>
              <w:rPr>
                <w:rFonts w:ascii="Verdana" w:eastAsia="Calibri" w:hAnsi="Verdana" w:cs="Arial"/>
                <w:color w:val="000000" w:themeColor="text1"/>
                <w:lang w:val="es-ES" w:eastAsia="es-ES"/>
              </w:rPr>
            </w:pPr>
          </w:p>
        </w:tc>
        <w:tc>
          <w:tcPr>
            <w:tcW w:w="4179" w:type="dxa"/>
          </w:tcPr>
          <w:p w14:paraId="08B15C3A" w14:textId="77777777" w:rsidR="00A96C6F" w:rsidRPr="00F53971" w:rsidRDefault="00A96C6F" w:rsidP="00AB1CBB">
            <w:pPr>
              <w:spacing w:line="276" w:lineRule="auto"/>
              <w:jc w:val="both"/>
              <w:rPr>
                <w:rFonts w:ascii="Verdana" w:eastAsia="Calibri" w:hAnsi="Verdana" w:cs="Arial"/>
                <w:b/>
                <w:bCs/>
                <w:color w:val="000000" w:themeColor="text1"/>
                <w:lang w:val="es-ES" w:eastAsia="es-ES"/>
              </w:rPr>
            </w:pPr>
          </w:p>
          <w:p w14:paraId="172BDDA9" w14:textId="77777777" w:rsidR="00A96C6F" w:rsidRPr="00F53971" w:rsidRDefault="00A96C6F" w:rsidP="00AB1CBB">
            <w:pPr>
              <w:rPr>
                <w:rFonts w:ascii="Verdana" w:hAnsi="Verdana"/>
                <w:lang w:val="es-ES"/>
              </w:rPr>
            </w:pPr>
          </w:p>
        </w:tc>
      </w:tr>
      <w:tr w:rsidR="00A96C6F" w:rsidRPr="00F53971" w14:paraId="2B751E92" w14:textId="77777777" w:rsidTr="00AB1CBB">
        <w:trPr>
          <w:gridAfter w:val="1"/>
          <w:wAfter w:w="4179" w:type="dxa"/>
        </w:trPr>
        <w:tc>
          <w:tcPr>
            <w:tcW w:w="2689" w:type="dxa"/>
          </w:tcPr>
          <w:p w14:paraId="16C909AA" w14:textId="77777777" w:rsidR="00A96C6F" w:rsidRPr="00F53971" w:rsidRDefault="00A96C6F" w:rsidP="00AB1CBB">
            <w:pPr>
              <w:jc w:val="both"/>
              <w:rPr>
                <w:rFonts w:ascii="Verdana" w:eastAsia="Calibri" w:hAnsi="Verdana" w:cs="Arial"/>
                <w:b/>
                <w:color w:val="000000" w:themeColor="text1"/>
                <w:lang w:val="es-ES" w:eastAsia="es-ES_tradnl"/>
              </w:rPr>
            </w:pPr>
            <w:r w:rsidRPr="00F53971">
              <w:rPr>
                <w:rFonts w:ascii="Verdana" w:eastAsia="Calibri" w:hAnsi="Verdana" w:cs="Arial"/>
                <w:b/>
                <w:color w:val="000000" w:themeColor="text1"/>
                <w:lang w:val="es-ES" w:eastAsia="es-ES_tradnl"/>
              </w:rPr>
              <w:t>Radicación:</w:t>
            </w:r>
            <w:r w:rsidRPr="00F53971">
              <w:rPr>
                <w:rFonts w:ascii="Verdana" w:eastAsia="Calibri" w:hAnsi="Verdana" w:cs="Arial"/>
                <w:color w:val="000000" w:themeColor="text1"/>
                <w:lang w:val="es-ES" w:eastAsia="es-ES_tradnl"/>
              </w:rPr>
              <w:t xml:space="preserve">               </w:t>
            </w:r>
          </w:p>
        </w:tc>
        <w:tc>
          <w:tcPr>
            <w:tcW w:w="6100" w:type="dxa"/>
          </w:tcPr>
          <w:p w14:paraId="398481D2" w14:textId="77777777" w:rsidR="00A96C6F" w:rsidRPr="00F53971" w:rsidRDefault="00A96C6F" w:rsidP="00AB1CBB">
            <w:pPr>
              <w:jc w:val="both"/>
              <w:rPr>
                <w:rFonts w:ascii="Verdana" w:eastAsia="Calibri" w:hAnsi="Verdana" w:cs="Arial"/>
                <w:color w:val="000000" w:themeColor="text1"/>
                <w:lang w:val="es-ES" w:eastAsia="es-ES_tradnl"/>
              </w:rPr>
            </w:pPr>
            <w:r w:rsidRPr="00F53971">
              <w:rPr>
                <w:rFonts w:ascii="Verdana" w:eastAsia="Calibri" w:hAnsi="Verdana" w:cs="Arial"/>
                <w:color w:val="000000" w:themeColor="text1"/>
                <w:lang w:val="es-ES" w:eastAsia="es-ES_tradnl"/>
              </w:rPr>
              <w:t>Respuesta a consulta con radicado No. 1_2026_05_05_006087</w:t>
            </w:r>
          </w:p>
        </w:tc>
      </w:tr>
    </w:tbl>
    <w:p w14:paraId="4722933E" w14:textId="77777777" w:rsidR="00A96C6F" w:rsidRPr="00F53971" w:rsidRDefault="00A96C6F" w:rsidP="00A96C6F">
      <w:pPr>
        <w:spacing w:after="0" w:line="276" w:lineRule="auto"/>
        <w:jc w:val="both"/>
        <w:rPr>
          <w:rFonts w:ascii="Verdana" w:eastAsia="Calibri" w:hAnsi="Verdana" w:cs="Arial"/>
          <w:color w:val="000000" w:themeColor="text1"/>
          <w:lang w:val="es-ES" w:eastAsia="es-ES_tradnl"/>
        </w:rPr>
      </w:pPr>
    </w:p>
    <w:p w14:paraId="147780F3" w14:textId="77777777" w:rsidR="00A96C6F" w:rsidRPr="00F53971" w:rsidRDefault="00A96C6F" w:rsidP="00A96C6F">
      <w:pPr>
        <w:spacing w:after="0" w:line="276" w:lineRule="auto"/>
        <w:jc w:val="both"/>
        <w:rPr>
          <w:rFonts w:ascii="Verdana" w:eastAsia="Calibri" w:hAnsi="Verdana" w:cs="Arial"/>
          <w:color w:val="000000" w:themeColor="text1"/>
          <w:lang w:val="es-ES" w:eastAsia="es-ES_tradnl"/>
        </w:rPr>
      </w:pPr>
    </w:p>
    <w:p w14:paraId="479AB26F" w14:textId="77777777" w:rsidR="00A96C6F" w:rsidRPr="00F53971" w:rsidRDefault="00A96C6F" w:rsidP="00A96C6F">
      <w:pPr>
        <w:spacing w:after="0" w:line="276" w:lineRule="auto"/>
        <w:jc w:val="both"/>
        <w:rPr>
          <w:rFonts w:ascii="Verdana" w:eastAsia="Calibri" w:hAnsi="Verdana" w:cs="Arial"/>
          <w:color w:val="000000" w:themeColor="text1"/>
          <w:lang w:val="es-ES" w:eastAsia="es-ES"/>
        </w:rPr>
      </w:pPr>
      <w:r w:rsidRPr="00F53971">
        <w:rPr>
          <w:rFonts w:ascii="Verdana" w:eastAsia="Calibri" w:hAnsi="Verdana" w:cs="Arial"/>
          <w:color w:val="000000" w:themeColor="text1"/>
          <w:lang w:val="es-ES" w:eastAsia="es-ES"/>
        </w:rPr>
        <w:t xml:space="preserve">Estimado Señor Gutiérrez: </w:t>
      </w:r>
    </w:p>
    <w:p w14:paraId="14BC2318" w14:textId="77777777" w:rsidR="00A96C6F" w:rsidRPr="00F53971" w:rsidRDefault="00A96C6F" w:rsidP="00A96C6F">
      <w:pPr>
        <w:tabs>
          <w:tab w:val="left" w:pos="3768"/>
        </w:tabs>
        <w:spacing w:after="0" w:line="276" w:lineRule="auto"/>
        <w:jc w:val="both"/>
        <w:rPr>
          <w:rFonts w:ascii="Verdana" w:eastAsia="Calibri" w:hAnsi="Verdana" w:cs="Arial"/>
          <w:color w:val="000000" w:themeColor="text1"/>
          <w:lang w:val="es-ES" w:eastAsia="es-ES"/>
        </w:rPr>
      </w:pPr>
      <w:r w:rsidRPr="00F53971">
        <w:rPr>
          <w:rFonts w:ascii="Verdana" w:eastAsia="Calibri" w:hAnsi="Verdana" w:cs="Arial"/>
          <w:color w:val="000000" w:themeColor="text1"/>
          <w:lang w:val="es-ES" w:eastAsia="es-ES"/>
        </w:rPr>
        <w:tab/>
      </w:r>
    </w:p>
    <w:p w14:paraId="109B103C" w14:textId="77777777" w:rsidR="00A96C6F" w:rsidRPr="00F53971" w:rsidRDefault="00A96C6F" w:rsidP="00A96C6F">
      <w:pPr>
        <w:spacing w:after="0" w:line="276" w:lineRule="auto"/>
        <w:jc w:val="both"/>
        <w:rPr>
          <w:rFonts w:ascii="Verdana" w:eastAsia="Calibri" w:hAnsi="Verdana" w:cs="Arial"/>
          <w:color w:val="000000" w:themeColor="text1"/>
          <w:lang w:val="es-ES" w:eastAsia="es-ES"/>
        </w:rPr>
      </w:pPr>
      <w:r w:rsidRPr="00F53971">
        <w:rPr>
          <w:rFonts w:ascii="Verdana" w:eastAsia="Calibri" w:hAnsi="Verdana" w:cs="Arial"/>
          <w:color w:val="000000" w:themeColor="text1"/>
          <w:lang w:val="es-ES" w:eastAsia="es-ES"/>
        </w:rPr>
        <w:t>En ejercicio de la competencia otorgada por los artículos 3, numeral 5º, y 11, numeral 8º, del Decreto Ley 4170 de 2011,</w:t>
      </w:r>
      <w:r w:rsidRPr="00F53971">
        <w:rPr>
          <w:rFonts w:ascii="Verdana" w:eastAsia="Arial MT" w:hAnsi="Verdana" w:cs="Arial MT"/>
          <w:color w:val="000000" w:themeColor="text1"/>
          <w:lang w:val="es-ES" w:eastAsia="es-ES"/>
        </w:rPr>
        <w:t xml:space="preserve"> </w:t>
      </w:r>
      <w:r w:rsidRPr="00F53971">
        <w:rPr>
          <w:rFonts w:ascii="Verdana" w:hAnsi="Verdana" w:cs="Arial"/>
          <w:color w:val="000000" w:themeColor="text1"/>
          <w:lang w:val="es-ES"/>
        </w:rPr>
        <w:t>así como lo establecido en el artículo 4 de la Resolución 1707 de 2018 expedida por esta Entidad, la Agencia Nacional de Contratación Pública – Colombia Compra Eficiente– responde su solicitud de concepto del 05 de mayo de 2026, en la cual manifiesta lo siguiente:</w:t>
      </w:r>
      <w:r w:rsidRPr="00F53971">
        <w:rPr>
          <w:rFonts w:ascii="Verdana" w:eastAsia="Calibri" w:hAnsi="Verdana" w:cs="Arial"/>
          <w:color w:val="000000" w:themeColor="text1"/>
          <w:lang w:val="es-ES" w:eastAsia="es-ES"/>
        </w:rPr>
        <w:t xml:space="preserve"> </w:t>
      </w:r>
    </w:p>
    <w:p w14:paraId="27CA9056" w14:textId="77777777" w:rsidR="00A96C6F" w:rsidRPr="00F53971" w:rsidRDefault="00A96C6F" w:rsidP="00A96C6F">
      <w:pPr>
        <w:spacing w:after="0" w:line="276" w:lineRule="auto"/>
        <w:jc w:val="both"/>
        <w:rPr>
          <w:rFonts w:ascii="Verdana" w:eastAsia="Calibri" w:hAnsi="Verdana" w:cs="Arial"/>
          <w:color w:val="000000" w:themeColor="text1"/>
          <w:lang w:val="es-ES" w:eastAsia="es-ES"/>
        </w:rPr>
      </w:pPr>
    </w:p>
    <w:p w14:paraId="210FF21C" w14:textId="77777777" w:rsidR="00A96C6F" w:rsidRPr="00F53971" w:rsidRDefault="00A96C6F" w:rsidP="00A96C6F">
      <w:pPr>
        <w:spacing w:after="0"/>
        <w:ind w:left="709" w:right="709"/>
        <w:contextualSpacing/>
        <w:jc w:val="both"/>
        <w:rPr>
          <w:rFonts w:ascii="Verdana" w:eastAsia="Century Gothic" w:hAnsi="Verdana" w:cs="Century Gothic"/>
          <w:i/>
          <w:iCs/>
          <w:color w:val="000000" w:themeColor="text1"/>
          <w:sz w:val="20"/>
          <w:szCs w:val="20"/>
          <w:lang w:val="es-ES"/>
        </w:rPr>
      </w:pPr>
      <w:r w:rsidRPr="00F53971">
        <w:rPr>
          <w:rFonts w:ascii="Verdana" w:eastAsia="Century Gothic" w:hAnsi="Verdana" w:cs="Century Gothic"/>
          <w:i/>
          <w:iCs/>
          <w:color w:val="000000" w:themeColor="text1"/>
          <w:sz w:val="20"/>
          <w:szCs w:val="20"/>
          <w:lang w:val="es-ES"/>
        </w:rPr>
        <w:t xml:space="preserve">“[…] ¿es posible pactar un contrato de </w:t>
      </w:r>
      <w:proofErr w:type="spellStart"/>
      <w:r w:rsidRPr="00F53971">
        <w:rPr>
          <w:rFonts w:ascii="Verdana" w:eastAsia="Century Gothic" w:hAnsi="Verdana" w:cs="Century Gothic"/>
          <w:i/>
          <w:iCs/>
          <w:color w:val="000000" w:themeColor="text1"/>
          <w:sz w:val="20"/>
          <w:szCs w:val="20"/>
          <w:lang w:val="es-ES"/>
        </w:rPr>
        <w:t>interventoría</w:t>
      </w:r>
      <w:proofErr w:type="spellEnd"/>
      <w:r w:rsidRPr="00F53971">
        <w:rPr>
          <w:rFonts w:ascii="Verdana" w:eastAsia="Century Gothic" w:hAnsi="Verdana" w:cs="Century Gothic"/>
          <w:i/>
          <w:iCs/>
          <w:color w:val="000000" w:themeColor="text1"/>
          <w:sz w:val="20"/>
          <w:szCs w:val="20"/>
          <w:lang w:val="es-ES"/>
        </w:rPr>
        <w:t xml:space="preserve"> a todo costo?.</w:t>
      </w:r>
      <w:r w:rsidRPr="00F53971">
        <w:rPr>
          <w:rFonts w:ascii="Verdana" w:eastAsia="Century Gothic" w:hAnsi="Verdana" w:cs="Century Gothic"/>
          <w:i/>
          <w:iCs/>
          <w:color w:val="000000" w:themeColor="text1"/>
          <w:sz w:val="20"/>
          <w:szCs w:val="20"/>
          <w:lang w:val="es-ES"/>
        </w:rPr>
        <w:br/>
        <w:t>¿</w:t>
      </w:r>
      <w:proofErr w:type="spellStart"/>
      <w:proofErr w:type="gramStart"/>
      <w:r w:rsidRPr="00F53971">
        <w:rPr>
          <w:rFonts w:ascii="Verdana" w:eastAsia="Century Gothic" w:hAnsi="Verdana" w:cs="Century Gothic"/>
          <w:i/>
          <w:iCs/>
          <w:color w:val="000000" w:themeColor="text1"/>
          <w:sz w:val="20"/>
          <w:szCs w:val="20"/>
          <w:lang w:val="es-ES"/>
        </w:rPr>
        <w:t>cuando</w:t>
      </w:r>
      <w:proofErr w:type="spellEnd"/>
      <w:proofErr w:type="gramEnd"/>
      <w:r w:rsidRPr="00F53971">
        <w:rPr>
          <w:rFonts w:ascii="Verdana" w:eastAsia="Century Gothic" w:hAnsi="Verdana" w:cs="Century Gothic"/>
          <w:i/>
          <w:iCs/>
          <w:color w:val="000000" w:themeColor="text1"/>
          <w:sz w:val="20"/>
          <w:szCs w:val="20"/>
          <w:lang w:val="es-ES"/>
        </w:rPr>
        <w:t xml:space="preserve"> la </w:t>
      </w:r>
      <w:proofErr w:type="spellStart"/>
      <w:r w:rsidRPr="00F53971">
        <w:rPr>
          <w:rFonts w:ascii="Verdana" w:eastAsia="Century Gothic" w:hAnsi="Verdana" w:cs="Century Gothic"/>
          <w:i/>
          <w:iCs/>
          <w:color w:val="000000" w:themeColor="text1"/>
          <w:sz w:val="20"/>
          <w:szCs w:val="20"/>
          <w:lang w:val="es-ES"/>
        </w:rPr>
        <w:t>interventoria</w:t>
      </w:r>
      <w:proofErr w:type="spellEnd"/>
      <w:r w:rsidRPr="00F53971">
        <w:rPr>
          <w:rFonts w:ascii="Verdana" w:eastAsia="Century Gothic" w:hAnsi="Verdana" w:cs="Century Gothic"/>
          <w:i/>
          <w:iCs/>
          <w:color w:val="000000" w:themeColor="text1"/>
          <w:sz w:val="20"/>
          <w:szCs w:val="20"/>
          <w:lang w:val="es-ES"/>
        </w:rPr>
        <w:t xml:space="preserve"> corresponde aun % de la obra o proyecto y esta se pacta a todo costo es susceptible de </w:t>
      </w:r>
      <w:proofErr w:type="spellStart"/>
      <w:r w:rsidRPr="00F53971">
        <w:rPr>
          <w:rFonts w:ascii="Verdana" w:eastAsia="Century Gothic" w:hAnsi="Verdana" w:cs="Century Gothic"/>
          <w:i/>
          <w:iCs/>
          <w:color w:val="000000" w:themeColor="text1"/>
          <w:sz w:val="20"/>
          <w:szCs w:val="20"/>
          <w:lang w:val="es-ES"/>
        </w:rPr>
        <w:t>adicion</w:t>
      </w:r>
      <w:proofErr w:type="spellEnd"/>
      <w:r w:rsidRPr="00F53971">
        <w:rPr>
          <w:rFonts w:ascii="Verdana" w:eastAsia="Century Gothic" w:hAnsi="Verdana" w:cs="Century Gothic"/>
          <w:i/>
          <w:iCs/>
          <w:color w:val="000000" w:themeColor="text1"/>
          <w:sz w:val="20"/>
          <w:szCs w:val="20"/>
          <w:lang w:val="es-ES"/>
        </w:rPr>
        <w:t>?</w:t>
      </w:r>
      <w:r w:rsidRPr="00F53971">
        <w:rPr>
          <w:rFonts w:ascii="Verdana" w:eastAsia="Century Gothic" w:hAnsi="Verdana" w:cs="Century Gothic"/>
          <w:i/>
          <w:iCs/>
          <w:color w:val="000000" w:themeColor="text1"/>
          <w:sz w:val="20"/>
          <w:szCs w:val="20"/>
          <w:lang w:val="es-ES"/>
        </w:rPr>
        <w:br/>
        <w:t xml:space="preserve">¿ </w:t>
      </w:r>
      <w:proofErr w:type="spellStart"/>
      <w:r w:rsidRPr="00F53971">
        <w:rPr>
          <w:rFonts w:ascii="Verdana" w:eastAsia="Century Gothic" w:hAnsi="Verdana" w:cs="Century Gothic"/>
          <w:i/>
          <w:iCs/>
          <w:color w:val="000000" w:themeColor="text1"/>
          <w:sz w:val="20"/>
          <w:szCs w:val="20"/>
          <w:lang w:val="es-ES"/>
        </w:rPr>
        <w:t>que</w:t>
      </w:r>
      <w:proofErr w:type="spellEnd"/>
      <w:r w:rsidRPr="00F53971">
        <w:rPr>
          <w:rFonts w:ascii="Verdana" w:eastAsia="Century Gothic" w:hAnsi="Verdana" w:cs="Century Gothic"/>
          <w:i/>
          <w:iCs/>
          <w:color w:val="000000" w:themeColor="text1"/>
          <w:sz w:val="20"/>
          <w:szCs w:val="20"/>
          <w:lang w:val="es-ES"/>
        </w:rPr>
        <w:t xml:space="preserve"> ocurre cuando en el contrato de </w:t>
      </w:r>
      <w:proofErr w:type="spellStart"/>
      <w:r w:rsidRPr="00F53971">
        <w:rPr>
          <w:rFonts w:ascii="Verdana" w:eastAsia="Century Gothic" w:hAnsi="Verdana" w:cs="Century Gothic"/>
          <w:i/>
          <w:iCs/>
          <w:color w:val="000000" w:themeColor="text1"/>
          <w:sz w:val="20"/>
          <w:szCs w:val="20"/>
          <w:lang w:val="es-ES"/>
        </w:rPr>
        <w:t>interventoria</w:t>
      </w:r>
      <w:proofErr w:type="spellEnd"/>
      <w:r w:rsidRPr="00F53971">
        <w:rPr>
          <w:rFonts w:ascii="Verdana" w:eastAsia="Century Gothic" w:hAnsi="Verdana" w:cs="Century Gothic"/>
          <w:i/>
          <w:iCs/>
          <w:color w:val="000000" w:themeColor="text1"/>
          <w:sz w:val="20"/>
          <w:szCs w:val="20"/>
          <w:lang w:val="es-ES"/>
        </w:rPr>
        <w:t xml:space="preserve">, cuando coexiste el </w:t>
      </w:r>
      <w:r w:rsidRPr="00F53971">
        <w:rPr>
          <w:rFonts w:ascii="Verdana" w:eastAsia="Century Gothic" w:hAnsi="Verdana" w:cs="Century Gothic"/>
          <w:i/>
          <w:iCs/>
          <w:color w:val="000000" w:themeColor="text1"/>
          <w:sz w:val="20"/>
          <w:szCs w:val="20"/>
          <w:lang w:val="es-ES"/>
        </w:rPr>
        <w:lastRenderedPageBreak/>
        <w:t xml:space="preserve">pago por mensualidad vencida de los perfiles requeridos en </w:t>
      </w:r>
      <w:proofErr w:type="spellStart"/>
      <w:r w:rsidRPr="00F53971">
        <w:rPr>
          <w:rFonts w:ascii="Verdana" w:eastAsia="Century Gothic" w:hAnsi="Verdana" w:cs="Century Gothic"/>
          <w:i/>
          <w:iCs/>
          <w:color w:val="000000" w:themeColor="text1"/>
          <w:sz w:val="20"/>
          <w:szCs w:val="20"/>
          <w:lang w:val="es-ES"/>
        </w:rPr>
        <w:t>ejecucion</w:t>
      </w:r>
      <w:proofErr w:type="spellEnd"/>
      <w:r w:rsidRPr="00F53971">
        <w:rPr>
          <w:rFonts w:ascii="Verdana" w:eastAsia="Century Gothic" w:hAnsi="Verdana" w:cs="Century Gothic"/>
          <w:i/>
          <w:iCs/>
          <w:color w:val="000000" w:themeColor="text1"/>
          <w:sz w:val="20"/>
          <w:szCs w:val="20"/>
          <w:lang w:val="es-ES"/>
        </w:rPr>
        <w:t xml:space="preserve"> y la </w:t>
      </w:r>
      <w:proofErr w:type="spellStart"/>
      <w:r w:rsidRPr="00F53971">
        <w:rPr>
          <w:rFonts w:ascii="Verdana" w:eastAsia="Century Gothic" w:hAnsi="Verdana" w:cs="Century Gothic"/>
          <w:i/>
          <w:iCs/>
          <w:color w:val="000000" w:themeColor="text1"/>
          <w:sz w:val="20"/>
          <w:szCs w:val="20"/>
          <w:lang w:val="es-ES"/>
        </w:rPr>
        <w:t>posibibilidad</w:t>
      </w:r>
      <w:proofErr w:type="spellEnd"/>
      <w:r w:rsidRPr="00F53971">
        <w:rPr>
          <w:rFonts w:ascii="Verdana" w:eastAsia="Century Gothic" w:hAnsi="Verdana" w:cs="Century Gothic"/>
          <w:i/>
          <w:iCs/>
          <w:color w:val="000000" w:themeColor="text1"/>
          <w:sz w:val="20"/>
          <w:szCs w:val="20"/>
          <w:lang w:val="es-ES"/>
        </w:rPr>
        <w:t xml:space="preserve"> de que se pague contra avance de obra? </w:t>
      </w:r>
      <w:r w:rsidRPr="00F53971">
        <w:rPr>
          <w:rFonts w:ascii="Verdana" w:eastAsia="Times New Roman" w:hAnsi="Verdana" w:cs="Times New Roman"/>
          <w:i/>
          <w:iCs/>
          <w:sz w:val="20"/>
          <w:szCs w:val="20"/>
          <w:lang w:val="es-ES"/>
        </w:rPr>
        <w:t>[…]”</w:t>
      </w:r>
    </w:p>
    <w:p w14:paraId="7BC7DEDB" w14:textId="77777777" w:rsidR="00A96C6F" w:rsidRPr="00F53971" w:rsidRDefault="00A96C6F" w:rsidP="00A96C6F">
      <w:pPr>
        <w:spacing w:after="0"/>
        <w:ind w:left="709" w:right="709"/>
        <w:jc w:val="both"/>
        <w:rPr>
          <w:rFonts w:ascii="Verdana" w:eastAsia="Century Gothic" w:hAnsi="Verdana" w:cs="Century Gothic"/>
          <w:i/>
          <w:iCs/>
          <w:color w:val="000000" w:themeColor="text1"/>
          <w:sz w:val="20"/>
          <w:szCs w:val="20"/>
          <w:lang w:val="es-ES"/>
        </w:rPr>
      </w:pPr>
    </w:p>
    <w:p w14:paraId="3DBD6AB9" w14:textId="77777777" w:rsidR="00A96C6F" w:rsidRPr="00F53971" w:rsidRDefault="00A96C6F" w:rsidP="00A96C6F">
      <w:pPr>
        <w:spacing w:after="0" w:line="276" w:lineRule="auto"/>
        <w:contextualSpacing/>
        <w:jc w:val="both"/>
        <w:rPr>
          <w:rFonts w:ascii="Verdana" w:eastAsia="Calibri" w:hAnsi="Verdana" w:cs="Arial"/>
          <w:color w:val="000000" w:themeColor="text1"/>
          <w:szCs w:val="24"/>
          <w:lang w:val="es-ES" w:eastAsia="es-ES_tradnl"/>
        </w:rPr>
      </w:pPr>
      <w:r w:rsidRPr="00F53971">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F53971">
        <w:rPr>
          <w:rFonts w:ascii="Verdana" w:eastAsia="Calibri" w:hAnsi="Verdana" w:cs="Arial"/>
          <w:color w:val="000000" w:themeColor="text1"/>
          <w:szCs w:val="24"/>
          <w:lang w:val="es-ES" w:eastAsia="es-ES_tradnl"/>
        </w:rPr>
        <w:tab/>
      </w:r>
    </w:p>
    <w:p w14:paraId="26B41C17" w14:textId="77777777" w:rsidR="00A96C6F" w:rsidRPr="00F53971" w:rsidRDefault="00A96C6F" w:rsidP="00A96C6F">
      <w:pPr>
        <w:spacing w:before="120" w:after="120" w:line="276" w:lineRule="auto"/>
        <w:ind w:firstLine="709"/>
        <w:jc w:val="both"/>
        <w:rPr>
          <w:rFonts w:ascii="Verdana" w:eastAsia="Calibri" w:hAnsi="Verdana" w:cs="Arial"/>
          <w:color w:val="000000" w:themeColor="text1"/>
          <w:lang w:val="es-ES" w:eastAsia="es-ES"/>
        </w:rPr>
      </w:pPr>
      <w:r w:rsidRPr="00F53971">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66A672DF" w14:textId="77777777" w:rsidR="00A96C6F" w:rsidRPr="00F53971" w:rsidRDefault="00A96C6F" w:rsidP="00A96C6F">
      <w:pPr>
        <w:spacing w:after="0" w:line="276" w:lineRule="auto"/>
        <w:jc w:val="both"/>
        <w:rPr>
          <w:rFonts w:ascii="Verdana" w:eastAsia="Calibri" w:hAnsi="Verdana" w:cs="Arial"/>
          <w:color w:val="000000" w:themeColor="text1"/>
          <w:lang w:val="es-ES" w:eastAsia="es-ES"/>
        </w:rPr>
      </w:pPr>
    </w:p>
    <w:p w14:paraId="1A91D105" w14:textId="77777777" w:rsidR="00A96C6F" w:rsidRPr="00F53971" w:rsidRDefault="00A96C6F" w:rsidP="00A96C6F">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F53971">
        <w:rPr>
          <w:rFonts w:ascii="Verdana" w:eastAsia="Century Gothic" w:hAnsi="Verdana" w:cs="Century Gothic"/>
          <w:b/>
          <w:bCs/>
          <w:color w:val="000000" w:themeColor="text1"/>
        </w:rPr>
        <w:t>Problema planteado:</w:t>
      </w:r>
    </w:p>
    <w:p w14:paraId="670C77E4" w14:textId="77777777" w:rsidR="00A96C6F" w:rsidRPr="00F53971" w:rsidRDefault="00A96C6F" w:rsidP="00A96C6F">
      <w:pPr>
        <w:tabs>
          <w:tab w:val="left" w:pos="426"/>
        </w:tabs>
        <w:spacing w:after="0" w:line="276" w:lineRule="auto"/>
        <w:jc w:val="both"/>
        <w:rPr>
          <w:rFonts w:ascii="Verdana" w:eastAsia="Century Gothic" w:hAnsi="Verdana" w:cs="Century Gothic"/>
          <w:color w:val="000000" w:themeColor="text1"/>
          <w:lang w:val="es-ES"/>
        </w:rPr>
      </w:pPr>
    </w:p>
    <w:p w14:paraId="6460662E" w14:textId="77777777" w:rsidR="00A96C6F" w:rsidRPr="00F53971" w:rsidRDefault="00A96C6F" w:rsidP="00A96C6F">
      <w:pPr>
        <w:spacing w:after="0" w:line="276" w:lineRule="auto"/>
        <w:jc w:val="both"/>
        <w:rPr>
          <w:rFonts w:ascii="Verdana" w:eastAsia="Century Gothic" w:hAnsi="Verdana" w:cs="Century Gothic"/>
          <w:color w:val="000000" w:themeColor="text1"/>
          <w:lang w:val="es-ES"/>
        </w:rPr>
      </w:pPr>
      <w:r w:rsidRPr="00F53971">
        <w:rPr>
          <w:rFonts w:ascii="Verdana" w:eastAsia="Century Gothic" w:hAnsi="Verdana" w:cs="Century Gothic"/>
          <w:color w:val="000000" w:themeColor="text1"/>
          <w:lang w:val="es-ES"/>
        </w:rPr>
        <w:t xml:space="preserve">De acuerdo con el contenido de su solicitud, esta Agencia resolverá los siguientes problemas jurídicos: i) ¿es posible pactar un contrato de interventoría a todo costo?; </w:t>
      </w:r>
      <w:proofErr w:type="spellStart"/>
      <w:r w:rsidRPr="00F53971">
        <w:rPr>
          <w:rFonts w:ascii="Verdana" w:eastAsia="Century Gothic" w:hAnsi="Verdana" w:cs="Century Gothic"/>
          <w:color w:val="000000" w:themeColor="text1"/>
          <w:lang w:val="es-ES"/>
        </w:rPr>
        <w:t>ii</w:t>
      </w:r>
      <w:proofErr w:type="spellEnd"/>
      <w:r w:rsidRPr="00F53971">
        <w:rPr>
          <w:rFonts w:ascii="Verdana" w:eastAsia="Century Gothic" w:hAnsi="Verdana" w:cs="Century Gothic"/>
          <w:color w:val="000000" w:themeColor="text1"/>
          <w:lang w:val="es-ES"/>
        </w:rPr>
        <w:t xml:space="preserve">) ¿es posible adicionar un contrato de interventoría que corresponde a un porcentaje de la obra y se pacta a todo costo?; y </w:t>
      </w:r>
      <w:proofErr w:type="spellStart"/>
      <w:r w:rsidRPr="00F53971">
        <w:rPr>
          <w:rFonts w:ascii="Verdana" w:eastAsia="Century Gothic" w:hAnsi="Verdana" w:cs="Century Gothic"/>
          <w:color w:val="000000" w:themeColor="text1"/>
          <w:lang w:val="es-ES"/>
        </w:rPr>
        <w:t>iii</w:t>
      </w:r>
      <w:proofErr w:type="spellEnd"/>
      <w:r w:rsidRPr="00F53971">
        <w:rPr>
          <w:rFonts w:ascii="Verdana" w:eastAsia="Century Gothic" w:hAnsi="Verdana" w:cs="Century Gothic"/>
          <w:color w:val="000000" w:themeColor="text1"/>
          <w:lang w:val="es-ES"/>
        </w:rPr>
        <w:t>) ¿qué ocurre cuando en el contrato de interventoría coexiste el pago por mensualidad vencida de los perfiles requeridos en ejecución y la posibilidad de que se pague contra avance de obra?</w:t>
      </w:r>
      <w:r w:rsidRPr="00F53971">
        <w:rPr>
          <w:rFonts w:ascii="Verdana" w:eastAsia="Century Gothic" w:hAnsi="Verdana" w:cs="Century Gothic"/>
          <w:lang w:val="es-ES"/>
        </w:rPr>
        <w:t xml:space="preserve"> </w:t>
      </w:r>
    </w:p>
    <w:p w14:paraId="613CD251" w14:textId="77777777" w:rsidR="00A96C6F" w:rsidRPr="00F53971" w:rsidRDefault="00A96C6F" w:rsidP="00A96C6F">
      <w:pPr>
        <w:spacing w:after="0" w:line="276" w:lineRule="auto"/>
        <w:jc w:val="both"/>
        <w:rPr>
          <w:rFonts w:ascii="Verdana" w:eastAsia="Calibri" w:hAnsi="Verdana" w:cs="Arial"/>
          <w:color w:val="000000" w:themeColor="text1"/>
          <w:lang w:val="es-ES"/>
        </w:rPr>
      </w:pPr>
    </w:p>
    <w:p w14:paraId="755D64EF" w14:textId="77777777" w:rsidR="00A96C6F" w:rsidRPr="00F53971" w:rsidRDefault="00A96C6F" w:rsidP="00A96C6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F53971">
        <w:rPr>
          <w:rFonts w:ascii="Verdana" w:eastAsia="Century Gothic" w:hAnsi="Verdana" w:cs="Century Gothic"/>
          <w:b/>
          <w:bCs/>
          <w:color w:val="000000" w:themeColor="text1"/>
        </w:rPr>
        <w:t>Respuesta:</w:t>
      </w:r>
    </w:p>
    <w:p w14:paraId="1AF61A2A" w14:textId="77777777" w:rsidR="00A96C6F" w:rsidRPr="00F53971" w:rsidRDefault="00A96C6F" w:rsidP="00A96C6F">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A96C6F" w:rsidRPr="00F53971" w14:paraId="4085E205" w14:textId="77777777" w:rsidTr="00AB1CBB">
        <w:tc>
          <w:tcPr>
            <w:tcW w:w="8828" w:type="dxa"/>
          </w:tcPr>
          <w:p w14:paraId="6E56821D" w14:textId="77777777" w:rsidR="00A96C6F" w:rsidRPr="00F53971" w:rsidRDefault="00A96C6F" w:rsidP="00AB1CBB">
            <w:pPr>
              <w:spacing w:before="120" w:after="120" w:line="276" w:lineRule="auto"/>
              <w:jc w:val="both"/>
              <w:rPr>
                <w:rFonts w:ascii="Verdana" w:eastAsia="Calibri" w:hAnsi="Verdana" w:cs="Arial"/>
                <w:color w:val="000000"/>
                <w:kern w:val="2"/>
                <w:lang w:val="es-ES"/>
                <w14:ligatures w14:val="standardContextual"/>
              </w:rPr>
            </w:pPr>
            <w:r w:rsidRPr="00F53971">
              <w:rPr>
                <w:rFonts w:ascii="Verdana" w:eastAsia="Calibri" w:hAnsi="Verdana" w:cs="Arial"/>
                <w:color w:val="000000"/>
                <w:kern w:val="2"/>
                <w:lang w:val="es-ES"/>
                <w14:ligatures w14:val="standardContextual"/>
              </w:rPr>
              <w:lastRenderedPageBreak/>
              <w:t xml:space="preserve">El contrato de interventoría supone la existencia de otro contrato –es decir, el contrato vigilado–, y por eso la jurisprudencia ha caracterizado la interventoría como un negocio jurídico íntimamente relacionado en su objeto con el contrato respecto del que ejerce las actividades del interventor. No obstante, a pesar de lo anterior, el contrato de interventoría es </w:t>
            </w:r>
            <w:r w:rsidRPr="00F53971">
              <w:rPr>
                <w:rFonts w:ascii="Verdana" w:eastAsia="Calibri" w:hAnsi="Verdana" w:cs="Arial"/>
                <w:i/>
                <w:iCs/>
                <w:color w:val="000000"/>
                <w:kern w:val="2"/>
                <w:lang w:val="es-ES"/>
                <w14:ligatures w14:val="standardContextual"/>
              </w:rPr>
              <w:t xml:space="preserve">independiente del otro contrato </w:t>
            </w:r>
            <w:r w:rsidRPr="00F53971">
              <w:rPr>
                <w:rFonts w:ascii="Verdana" w:eastAsia="Calibri" w:hAnsi="Verdana" w:cs="Arial"/>
                <w:color w:val="000000"/>
                <w:kern w:val="2"/>
                <w:lang w:val="es-ES"/>
                <w14:ligatures w14:val="standardContextual"/>
              </w:rPr>
              <w:t xml:space="preserve">en aspectos específicos como, por ejemplo, la prórroga y el incumplimiento. En efecto, la prórroga de la obra no implica de suyo la del interventor, aunque puede realizarse cumpliendo las solemnidades de ley; además, el incumplimiento del contrato vigilado, como lo sería un contrato de obra, no significa por sí solo el incumplimiento del de interventoría.  </w:t>
            </w:r>
          </w:p>
          <w:p w14:paraId="07CA8FF8" w14:textId="77777777" w:rsidR="00A96C6F" w:rsidRPr="00F53971" w:rsidRDefault="00A96C6F" w:rsidP="00AB1CBB">
            <w:pPr>
              <w:pStyle w:val="Sinespaciado"/>
              <w:spacing w:before="120" w:line="276" w:lineRule="auto"/>
              <w:ind w:firstLine="708"/>
              <w:jc w:val="both"/>
              <w:rPr>
                <w:rFonts w:ascii="Verdana" w:hAnsi="Verdana" w:cs="Arial"/>
                <w:sz w:val="22"/>
                <w:lang w:val="es-ES"/>
              </w:rPr>
            </w:pPr>
            <w:r w:rsidRPr="00F53971">
              <w:rPr>
                <w:rFonts w:ascii="Verdana" w:hAnsi="Verdana" w:cs="Arial"/>
                <w:sz w:val="22"/>
                <w:lang w:val="es-ES"/>
              </w:rPr>
              <w:t xml:space="preserve">Es así como el contrato de interventoría es un contrato bilateral, conmutativo y oneroso, por lo que crea obligaciones tanto para la entidad contratante como para el contratista interventor. Estas obligaciones deben guardar una correlativa equivalencia entre las prestaciones y derechos de ambas partes, por las que a su vez cada una de ellas recibe un beneficio. Por lo tanto, el interventor tiene derecho a recibir el pago de una contraprestación, remuneración o precio, en los términos pactados en el contrato, por la adecuada y oportuna ejecución del objeto contractual, derecho que se encuentra reconocido en el numeral 1 del artículo 5 de la Ley 80 de 1993. </w:t>
            </w:r>
          </w:p>
          <w:p w14:paraId="0101D345" w14:textId="77777777" w:rsidR="00A96C6F" w:rsidRPr="00F53971" w:rsidRDefault="00A96C6F" w:rsidP="00AB1CBB">
            <w:pPr>
              <w:spacing w:before="120" w:after="120" w:line="276" w:lineRule="auto"/>
              <w:ind w:firstLine="742"/>
              <w:jc w:val="both"/>
              <w:rPr>
                <w:rFonts w:ascii="Verdana" w:eastAsia="Arial" w:hAnsi="Verdana" w:cstheme="majorHAnsi"/>
                <w:lang w:val="es-ES"/>
              </w:rPr>
            </w:pPr>
            <w:r w:rsidRPr="00F53971">
              <w:rPr>
                <w:rFonts w:ascii="Verdana" w:eastAsia="Arial" w:hAnsi="Verdana" w:cstheme="majorHAnsi"/>
                <w:lang w:val="es-ES"/>
              </w:rPr>
              <w:t xml:space="preserve">Desde la etapa de planeación, en la fase precontractual, las entidades estatales deben calcular el presupuesto oficial, mediante la realización del análisis del sector –que incluye el estudio del mercado– y definir la metodología con la cual estructurarán el contrato. De esta manera, tanto la definición del esquema para estipular el precio como la forma de pago hacen parte de los estudios previos. En todo caso, </w:t>
            </w:r>
            <w:r w:rsidRPr="00F53971">
              <w:rPr>
                <w:rFonts w:ascii="Verdana" w:hAnsi="Verdana" w:cs="Arial"/>
                <w:lang w:val="es-ES"/>
              </w:rPr>
              <w:t xml:space="preserve">el interventor y la entidad cuentan con </w:t>
            </w:r>
            <w:r w:rsidRPr="00F53971">
              <w:rPr>
                <w:rFonts w:ascii="Verdana" w:hAnsi="Verdana" w:cs="Arial"/>
                <w:i/>
                <w:iCs/>
                <w:lang w:val="es-ES"/>
              </w:rPr>
              <w:t>libertad negocial</w:t>
            </w:r>
            <w:r w:rsidRPr="00F53971">
              <w:rPr>
                <w:rFonts w:ascii="Verdana" w:hAnsi="Verdana" w:cs="Arial"/>
                <w:lang w:val="es-ES"/>
              </w:rPr>
              <w:t xml:space="preserve"> para determinar los aspectos del contrato, entendiéndose incluida en esta libertad la capacidad de definir la modalidad de la remuneración y la forma de pago </w:t>
            </w:r>
            <w:r w:rsidRPr="00F53971">
              <w:rPr>
                <w:rFonts w:ascii="Verdana" w:eastAsia="Arial" w:hAnsi="Verdana" w:cstheme="majorHAnsi"/>
                <w:lang w:val="es-ES"/>
              </w:rPr>
              <w:t>más apropiada para satisfacer los fines de la contratación y cumplir con los objetivos de vigilancia del contrato de interventoría. Para las entidades que se rigen por el Estatuto General de Contratación de la Administración Pública, esta autonomía está reconocida en los artículos 13, 32 y 40 de la Ley 80 de 1993. En virtud de su autonomía negocial, pueden incluir las condiciones de pago que consideren necesarias y convenientes, siempre que no contraríen el ordenamiento jurídico. Con base en lo anterior:</w:t>
            </w:r>
          </w:p>
          <w:p w14:paraId="3E12BE0E" w14:textId="77777777" w:rsidR="00A96C6F" w:rsidRPr="00F53971" w:rsidRDefault="00A96C6F" w:rsidP="00AB1CBB">
            <w:pPr>
              <w:spacing w:before="120" w:after="120" w:line="276" w:lineRule="auto"/>
              <w:jc w:val="both"/>
              <w:rPr>
                <w:rFonts w:ascii="Verdana" w:eastAsia="Arial" w:hAnsi="Verdana" w:cstheme="majorHAnsi"/>
                <w:lang w:val="es-ES"/>
              </w:rPr>
            </w:pPr>
            <w:r w:rsidRPr="00F53971">
              <w:rPr>
                <w:rFonts w:ascii="Verdana" w:eastAsia="Arial" w:hAnsi="Verdana" w:cstheme="majorHAnsi"/>
                <w:lang w:val="es-ES"/>
              </w:rPr>
              <w:lastRenderedPageBreak/>
              <w:t xml:space="preserve">i) Frente al primer problema jurídico planteado, se aclara que no existe disposición alguna en el ordenamiento que impida a las entidades pactar en el contrato de interventoría “a todo costo”, entendido este como la metodología de remuneración por precio global. Por el contrario, las entidades pueden, bajo el postulado de la autonomía de la voluntad, determinar diversas </w:t>
            </w:r>
            <w:r w:rsidRPr="00F81D71">
              <w:rPr>
                <w:rFonts w:ascii="Verdana" w:eastAsia="Arial" w:hAnsi="Verdana" w:cstheme="majorHAnsi"/>
                <w:lang w:val="es-ES"/>
              </w:rPr>
              <w:t>metodologías para estimar el valor de los contratos de interventoría en la etapa de planeación</w:t>
            </w:r>
            <w:r w:rsidRPr="00F53971">
              <w:rPr>
                <w:rFonts w:ascii="Verdana" w:eastAsia="Arial" w:hAnsi="Verdana" w:cstheme="majorHAnsi"/>
                <w:lang w:val="es-ES"/>
              </w:rPr>
              <w:t xml:space="preserve">, </w:t>
            </w:r>
            <w:r w:rsidRPr="00F81D71">
              <w:rPr>
                <w:rFonts w:ascii="Verdana" w:eastAsia="Arial" w:hAnsi="Verdana" w:cstheme="majorHAnsi"/>
                <w:lang w:val="es-ES"/>
              </w:rPr>
              <w:t>para definir la modalidad de remuneración</w:t>
            </w:r>
            <w:r w:rsidRPr="00F53971">
              <w:rPr>
                <w:rFonts w:ascii="Verdana" w:eastAsia="Arial" w:hAnsi="Verdana" w:cstheme="majorHAnsi"/>
                <w:lang w:val="es-ES"/>
              </w:rPr>
              <w:t xml:space="preserve"> del contrato</w:t>
            </w:r>
            <w:r w:rsidRPr="00F81D71">
              <w:rPr>
                <w:rFonts w:ascii="Verdana" w:eastAsia="Arial" w:hAnsi="Verdana" w:cstheme="majorHAnsi"/>
                <w:lang w:val="es-ES"/>
              </w:rPr>
              <w:t xml:space="preserve"> o la forma de pag</w:t>
            </w:r>
            <w:r w:rsidRPr="00F53971">
              <w:rPr>
                <w:rFonts w:ascii="Verdana" w:eastAsia="Arial" w:hAnsi="Verdana" w:cstheme="majorHAnsi"/>
                <w:lang w:val="es-ES"/>
              </w:rPr>
              <w:t>o</w:t>
            </w:r>
            <w:r w:rsidRPr="00F81D71">
              <w:rPr>
                <w:rFonts w:ascii="Verdana" w:eastAsia="Arial" w:hAnsi="Verdana" w:cstheme="majorHAnsi"/>
                <w:lang w:val="es-ES"/>
              </w:rPr>
              <w:t xml:space="preserve">. </w:t>
            </w:r>
            <w:r w:rsidRPr="00F53971">
              <w:rPr>
                <w:rFonts w:ascii="Verdana" w:eastAsia="Arial" w:hAnsi="Verdana" w:cstheme="majorHAnsi"/>
                <w:lang w:val="es-ES"/>
              </w:rPr>
              <w:t xml:space="preserve">De esta forma, cuentan con un </w:t>
            </w:r>
            <w:r w:rsidRPr="00F81D71">
              <w:rPr>
                <w:rFonts w:ascii="Verdana" w:eastAsia="Arial" w:hAnsi="Verdana" w:cstheme="majorHAnsi"/>
                <w:lang w:val="es-ES"/>
              </w:rPr>
              <w:t xml:space="preserve">margen de configuración </w:t>
            </w:r>
            <w:r w:rsidRPr="00F53971">
              <w:rPr>
                <w:rFonts w:ascii="Verdana" w:eastAsia="Arial" w:hAnsi="Verdana" w:cstheme="majorHAnsi"/>
                <w:lang w:val="es-ES"/>
              </w:rPr>
              <w:t xml:space="preserve">reconocido por el </w:t>
            </w:r>
            <w:r w:rsidRPr="00F81D71">
              <w:rPr>
                <w:rFonts w:ascii="Verdana" w:eastAsia="Arial" w:hAnsi="Verdana" w:cstheme="majorHAnsi"/>
                <w:lang w:val="es-ES"/>
              </w:rPr>
              <w:t xml:space="preserve">ordenamiento jurídico, </w:t>
            </w:r>
            <w:r w:rsidRPr="00F53971">
              <w:rPr>
                <w:rFonts w:ascii="Verdana" w:eastAsia="Arial" w:hAnsi="Verdana" w:cstheme="majorHAnsi"/>
                <w:lang w:val="es-ES"/>
              </w:rPr>
              <w:t xml:space="preserve">que les permite </w:t>
            </w:r>
            <w:r w:rsidRPr="00F81D71">
              <w:rPr>
                <w:rFonts w:ascii="Verdana" w:eastAsia="Arial" w:hAnsi="Verdana" w:cstheme="majorHAnsi"/>
                <w:lang w:val="es-ES"/>
              </w:rPr>
              <w:t xml:space="preserve">—con la debida justificación— adoptar la combinación que mejor se adecue a la naturaleza, complejidad y riesgos del proyecto objeto de vigilancia. </w:t>
            </w:r>
          </w:p>
          <w:p w14:paraId="7011FD92" w14:textId="77777777" w:rsidR="00A96C6F" w:rsidRDefault="00A96C6F" w:rsidP="00AB1CBB">
            <w:pPr>
              <w:spacing w:before="120" w:after="120" w:line="276" w:lineRule="auto"/>
              <w:jc w:val="both"/>
              <w:rPr>
                <w:rFonts w:ascii="Verdana" w:eastAsia="Arial" w:hAnsi="Verdana" w:cstheme="majorHAnsi"/>
              </w:rPr>
            </w:pPr>
            <w:proofErr w:type="spellStart"/>
            <w:r w:rsidRPr="00F53971">
              <w:rPr>
                <w:rFonts w:ascii="Verdana" w:eastAsia="Arial" w:hAnsi="Verdana" w:cstheme="majorHAnsi"/>
                <w:lang w:val="es-ES"/>
              </w:rPr>
              <w:t>ii</w:t>
            </w:r>
            <w:proofErr w:type="spellEnd"/>
            <w:r w:rsidRPr="00F53971">
              <w:rPr>
                <w:rFonts w:ascii="Verdana" w:eastAsia="Arial" w:hAnsi="Verdana" w:cstheme="majorHAnsi"/>
                <w:lang w:val="es-ES"/>
              </w:rPr>
              <w:t xml:space="preserve">) </w:t>
            </w:r>
            <w:r>
              <w:rPr>
                <w:rFonts w:ascii="Verdana" w:eastAsia="Arial" w:hAnsi="Verdana" w:cstheme="majorHAnsi"/>
                <w:lang w:val="es-ES"/>
              </w:rPr>
              <w:t>C</w:t>
            </w:r>
            <w:proofErr w:type="spellStart"/>
            <w:r w:rsidRPr="00827664">
              <w:rPr>
                <w:rFonts w:ascii="Verdana" w:eastAsia="Arial" w:hAnsi="Verdana" w:cstheme="majorHAnsi"/>
              </w:rPr>
              <w:t>on</w:t>
            </w:r>
            <w:proofErr w:type="spellEnd"/>
            <w:r w:rsidRPr="00827664">
              <w:rPr>
                <w:rFonts w:ascii="Verdana" w:eastAsia="Arial" w:hAnsi="Verdana" w:cstheme="majorHAnsi"/>
              </w:rPr>
              <w:t xml:space="preserve"> respecto al segundo problema jurídico, es preciso aclarar que los contratos estatales pueden ser objeto de situaciones que impliquen la necesidad de adicionar o modificar las condiciones inicialmente pactadas, conforme lo establece el artículo 40 de la Ley 80 de 1993. </w:t>
            </w:r>
            <w:r>
              <w:rPr>
                <w:rFonts w:ascii="Verdana" w:eastAsia="Arial" w:hAnsi="Verdana" w:cstheme="majorHAnsi"/>
              </w:rPr>
              <w:t>Esta</w:t>
            </w:r>
            <w:r w:rsidRPr="00827664">
              <w:rPr>
                <w:rFonts w:ascii="Verdana" w:eastAsia="Arial" w:hAnsi="Verdana" w:cstheme="majorHAnsi"/>
              </w:rPr>
              <w:t xml:space="preserve"> norma, además de consagrar una prohibición, trae implícita una autorización: los contratos no podrán adicionarse en más del cincuenta por ciento (50%) de su valor inicial, expresado en salarios mínimos legales mensuales, de manera que, frente a cualquier incremento del valor inicial del contrato</w:t>
            </w:r>
            <w:r>
              <w:rPr>
                <w:rFonts w:ascii="Verdana" w:eastAsia="Arial" w:hAnsi="Verdana" w:cstheme="majorHAnsi"/>
              </w:rPr>
              <w:t xml:space="preserve">, </w:t>
            </w:r>
            <w:r w:rsidRPr="00827664">
              <w:rPr>
                <w:rFonts w:ascii="Verdana" w:eastAsia="Arial" w:hAnsi="Verdana" w:cstheme="majorHAnsi"/>
              </w:rPr>
              <w:t>independientemente del nombre que se dé al acuerd</w:t>
            </w:r>
            <w:r>
              <w:rPr>
                <w:rFonts w:ascii="Verdana" w:eastAsia="Arial" w:hAnsi="Verdana" w:cstheme="majorHAnsi"/>
              </w:rPr>
              <w:t>a</w:t>
            </w:r>
            <w:r w:rsidRPr="00827664">
              <w:rPr>
                <w:rFonts w:ascii="Verdana" w:eastAsia="Arial" w:hAnsi="Verdana" w:cstheme="majorHAnsi"/>
              </w:rPr>
              <w:t xml:space="preserve">, aplica dicho límite. </w:t>
            </w:r>
          </w:p>
          <w:p w14:paraId="7D39B136" w14:textId="77777777" w:rsidR="00A96C6F" w:rsidRDefault="00A96C6F" w:rsidP="00AB1CBB">
            <w:pPr>
              <w:spacing w:before="120" w:after="120" w:line="276" w:lineRule="auto"/>
              <w:ind w:firstLine="738"/>
              <w:jc w:val="both"/>
              <w:rPr>
                <w:rFonts w:ascii="Verdana" w:eastAsia="Arial" w:hAnsi="Verdana" w:cstheme="majorHAnsi"/>
              </w:rPr>
            </w:pPr>
            <w:r w:rsidRPr="00827664">
              <w:rPr>
                <w:rFonts w:ascii="Verdana" w:eastAsia="Arial" w:hAnsi="Verdana" w:cstheme="majorHAnsi"/>
              </w:rPr>
              <w:t xml:space="preserve">No obstante lo anterior, cuando se requiera adicionar un contrato que tenga por objeto la interventoría de otro contrato porque el contrato vigilado no ha concluido —ya sea porque se amplió </w:t>
            </w:r>
            <w:r>
              <w:rPr>
                <w:rFonts w:ascii="Verdana" w:eastAsia="Arial" w:hAnsi="Verdana" w:cstheme="majorHAnsi"/>
              </w:rPr>
              <w:t xml:space="preserve">o suspendió </w:t>
            </w:r>
            <w:r w:rsidRPr="00827664">
              <w:rPr>
                <w:rFonts w:ascii="Verdana" w:eastAsia="Arial" w:hAnsi="Verdana" w:cstheme="majorHAnsi"/>
              </w:rPr>
              <w:t xml:space="preserve">su plazo de ejecución—, la situación se regirá por la norma especial contenida en el artículo 85 de la Ley 1474 de 2011, conforme a la cual los contratos de interventoría podrán prorrogarse por el mismo plazo que se haya prorrogado el contrato objeto de vigilancia, y el valor podrá ajustarse en atención a las obligaciones del objeto de interventoría, sin que resulte aplicable </w:t>
            </w:r>
            <w:r>
              <w:rPr>
                <w:rFonts w:ascii="Verdana" w:eastAsia="Arial" w:hAnsi="Verdana" w:cstheme="majorHAnsi"/>
              </w:rPr>
              <w:t xml:space="preserve">el límite establecido </w:t>
            </w:r>
            <w:r w:rsidRPr="00827664">
              <w:rPr>
                <w:rFonts w:ascii="Verdana" w:eastAsia="Arial" w:hAnsi="Verdana" w:cstheme="majorHAnsi"/>
              </w:rPr>
              <w:t>en el parágrafo del artículo 40 de la Ley 80 de 1993.</w:t>
            </w:r>
          </w:p>
          <w:p w14:paraId="29506977" w14:textId="77777777" w:rsidR="00A96C6F" w:rsidRPr="00827664" w:rsidRDefault="00A96C6F" w:rsidP="00AB1CBB">
            <w:pPr>
              <w:spacing w:before="120" w:after="120" w:line="276" w:lineRule="auto"/>
              <w:ind w:firstLine="738"/>
              <w:jc w:val="both"/>
              <w:rPr>
                <w:rFonts w:ascii="Verdana" w:eastAsia="Arial" w:hAnsi="Verdana" w:cstheme="majorHAnsi"/>
              </w:rPr>
            </w:pPr>
            <w:r w:rsidRPr="00827664">
              <w:rPr>
                <w:rFonts w:ascii="Verdana" w:eastAsia="Arial" w:hAnsi="Verdana" w:cstheme="majorHAnsi"/>
              </w:rPr>
              <w:t>Sin perjuicio de lo anterior, la procedencia de la adición del contrato de interventoría pactado a todo costo —entendido este como la metodología de remuneración por precio global— está condicionada por la causa que la motiva y por</w:t>
            </w:r>
            <w:r>
              <w:rPr>
                <w:rFonts w:ascii="Verdana" w:eastAsia="Arial" w:hAnsi="Verdana" w:cstheme="majorHAnsi"/>
              </w:rPr>
              <w:t xml:space="preserve"> las condiciones pactadas</w:t>
            </w:r>
            <w:r w:rsidRPr="00827664">
              <w:rPr>
                <w:rFonts w:ascii="Verdana" w:eastAsia="Arial" w:hAnsi="Verdana" w:cstheme="majorHAnsi"/>
              </w:rPr>
              <w:t xml:space="preserve">. En efecto, la entidad no puede pretender adicionar un contrato pactado a precio global con el fin de cubrir costos cuyo riesgo asumió el contratista, pues la causa de la adición debe ser concordante </w:t>
            </w:r>
            <w:r w:rsidRPr="00827664">
              <w:rPr>
                <w:rFonts w:ascii="Verdana" w:eastAsia="Arial" w:hAnsi="Verdana" w:cstheme="majorHAnsi"/>
              </w:rPr>
              <w:lastRenderedPageBreak/>
              <w:t xml:space="preserve">con las reglas </w:t>
            </w:r>
            <w:r>
              <w:rPr>
                <w:rFonts w:ascii="Verdana" w:eastAsia="Arial" w:hAnsi="Verdana" w:cstheme="majorHAnsi"/>
              </w:rPr>
              <w:t xml:space="preserve">de </w:t>
            </w:r>
            <w:r w:rsidRPr="00827664">
              <w:rPr>
                <w:rFonts w:ascii="Verdana" w:eastAsia="Arial" w:hAnsi="Verdana" w:cstheme="majorHAnsi"/>
              </w:rPr>
              <w:t xml:space="preserve">la modalidad de remuneración pactada y </w:t>
            </w:r>
            <w:r>
              <w:rPr>
                <w:rFonts w:ascii="Verdana" w:eastAsia="Arial" w:hAnsi="Verdana" w:cstheme="majorHAnsi"/>
              </w:rPr>
              <w:t xml:space="preserve">con </w:t>
            </w:r>
            <w:proofErr w:type="gramStart"/>
            <w:r>
              <w:rPr>
                <w:rFonts w:ascii="Verdana" w:eastAsia="Arial" w:hAnsi="Verdana" w:cstheme="majorHAnsi"/>
              </w:rPr>
              <w:t>las</w:t>
            </w:r>
            <w:r w:rsidRPr="00827664">
              <w:rPr>
                <w:rFonts w:ascii="Verdana" w:eastAsia="Arial" w:hAnsi="Verdana" w:cstheme="majorHAnsi"/>
              </w:rPr>
              <w:t xml:space="preserve"> distribución</w:t>
            </w:r>
            <w:proofErr w:type="gramEnd"/>
            <w:r w:rsidRPr="00827664">
              <w:rPr>
                <w:rFonts w:ascii="Verdana" w:eastAsia="Arial" w:hAnsi="Verdana" w:cstheme="majorHAnsi"/>
              </w:rPr>
              <w:t xml:space="preserve"> de riesgos derivada de esta. De esta manera, corresponde a cada entidad estatal realizar el análisis de la procedencia de modificar el contrato de interventoría atendiendo a las condiciones que fueron pactadas con respecto al precio, verificando que la causa de la modificación sea real y cierta, que esté contemplada en la ley, y que cumpla con los principios y fines de la contratación estatal, así como con las condiciones y restricciones legales aplicables.</w:t>
            </w:r>
          </w:p>
          <w:p w14:paraId="0CEAD605" w14:textId="77777777" w:rsidR="00A96C6F" w:rsidRDefault="00A96C6F" w:rsidP="00AB1CBB">
            <w:pPr>
              <w:spacing w:before="120" w:after="120" w:line="276" w:lineRule="auto"/>
              <w:ind w:firstLine="738"/>
              <w:jc w:val="both"/>
              <w:rPr>
                <w:rFonts w:ascii="Verdana" w:eastAsia="Arial" w:hAnsi="Verdana" w:cstheme="majorHAnsi"/>
              </w:rPr>
            </w:pPr>
            <w:r w:rsidRPr="00827664">
              <w:rPr>
                <w:rFonts w:ascii="Verdana" w:eastAsia="Arial" w:hAnsi="Verdana" w:cstheme="majorHAnsi"/>
              </w:rPr>
              <w:t xml:space="preserve">iii) Finalmente, con respecto al tercer problema jurídico planteado, es importante aclarar que no existe disposición alguna en el ordenamiento jurídico que impida a las entidades pactar mecanismos que supediten el pago de la interventoría a avances en la ejecución del contrato de obra, pues en virtud de la autonomía de la voluntad podrán </w:t>
            </w:r>
            <w:r>
              <w:rPr>
                <w:rFonts w:ascii="Verdana" w:eastAsia="Arial" w:hAnsi="Verdana" w:cstheme="majorHAnsi"/>
              </w:rPr>
              <w:t xml:space="preserve">incluir </w:t>
            </w:r>
            <w:r w:rsidRPr="00827664">
              <w:rPr>
                <w:rFonts w:ascii="Verdana" w:eastAsia="Arial" w:hAnsi="Verdana" w:cstheme="majorHAnsi"/>
              </w:rPr>
              <w:t>condiciones positivas casuales para la exigibilidad de la obligación de pago, tal como lo posibilitan los artículos 1530, 1531, 1532 y 1534 del Código Civil. Sin embargo, lo anterior no implica que las entidades puedan sujetar la totalidad del pago de la interventoría al cumplimiento del contrato de obra vigilado, so pena de que dicha cláusula sea ineficaz de pleno derecho por disposición expresa del literal d) numeral 5 del artículo 24 de la Ley 80 de 1993</w:t>
            </w:r>
            <w:r>
              <w:rPr>
                <w:rFonts w:ascii="Verdana" w:eastAsia="Arial" w:hAnsi="Verdana" w:cstheme="majorHAnsi"/>
              </w:rPr>
              <w:t>.</w:t>
            </w:r>
          </w:p>
          <w:p w14:paraId="282144DA" w14:textId="77777777" w:rsidR="00A96C6F" w:rsidRPr="00827664" w:rsidRDefault="00A96C6F" w:rsidP="00AB1CBB">
            <w:pPr>
              <w:spacing w:before="120" w:after="120" w:line="276" w:lineRule="auto"/>
              <w:ind w:firstLine="738"/>
              <w:jc w:val="both"/>
              <w:rPr>
                <w:rFonts w:ascii="Verdana" w:eastAsia="Arial" w:hAnsi="Verdana" w:cstheme="majorHAnsi"/>
              </w:rPr>
            </w:pPr>
            <w:r>
              <w:rPr>
                <w:rFonts w:ascii="Verdana" w:eastAsia="Arial" w:hAnsi="Verdana" w:cstheme="majorHAnsi"/>
              </w:rPr>
              <w:t>Por otra parte, p</w:t>
            </w:r>
            <w:r w:rsidRPr="00827664">
              <w:rPr>
                <w:rFonts w:ascii="Verdana" w:eastAsia="Arial" w:hAnsi="Verdana" w:cstheme="majorHAnsi"/>
              </w:rPr>
              <w:t>ara efectos de resolver la coexistencia entre el pago</w:t>
            </w:r>
            <w:r>
              <w:rPr>
                <w:rFonts w:ascii="Verdana" w:eastAsia="Arial" w:hAnsi="Verdana" w:cstheme="majorHAnsi"/>
              </w:rPr>
              <w:t xml:space="preserve"> que realiza el interventor al equipo de trabajo</w:t>
            </w:r>
            <w:r w:rsidRPr="00827664">
              <w:rPr>
                <w:rFonts w:ascii="Verdana" w:eastAsia="Arial" w:hAnsi="Verdana" w:cstheme="majorHAnsi"/>
              </w:rPr>
              <w:t xml:space="preserve"> por mensualidad vencida y el pago </w:t>
            </w:r>
            <w:r>
              <w:rPr>
                <w:rFonts w:ascii="Verdana" w:eastAsia="Arial" w:hAnsi="Verdana" w:cstheme="majorHAnsi"/>
              </w:rPr>
              <w:t xml:space="preserve">que recibe </w:t>
            </w:r>
            <w:r w:rsidRPr="00827664">
              <w:rPr>
                <w:rFonts w:ascii="Verdana" w:eastAsia="Arial" w:hAnsi="Verdana" w:cstheme="majorHAnsi"/>
              </w:rPr>
              <w:t xml:space="preserve">contra avance </w:t>
            </w:r>
            <w:r>
              <w:rPr>
                <w:rFonts w:ascii="Verdana" w:eastAsia="Arial" w:hAnsi="Verdana" w:cstheme="majorHAnsi"/>
              </w:rPr>
              <w:t xml:space="preserve">en la ejecución del contrato de </w:t>
            </w:r>
            <w:r w:rsidRPr="00827664">
              <w:rPr>
                <w:rFonts w:ascii="Verdana" w:eastAsia="Arial" w:hAnsi="Verdana" w:cstheme="majorHAnsi"/>
              </w:rPr>
              <w:t xml:space="preserve">obra, resulta necesario distinguir entre la </w:t>
            </w:r>
            <w:r w:rsidRPr="00827664">
              <w:rPr>
                <w:rFonts w:ascii="Verdana" w:eastAsia="Arial" w:hAnsi="Verdana" w:cstheme="majorHAnsi"/>
                <w:i/>
              </w:rPr>
              <w:t>modalidad de remuneración</w:t>
            </w:r>
            <w:r>
              <w:rPr>
                <w:rFonts w:ascii="Verdana" w:eastAsia="Arial" w:hAnsi="Verdana" w:cstheme="majorHAnsi"/>
              </w:rPr>
              <w:t xml:space="preserve">, </w:t>
            </w:r>
            <w:r w:rsidRPr="00827664">
              <w:rPr>
                <w:rFonts w:ascii="Verdana" w:eastAsia="Arial" w:hAnsi="Verdana" w:cstheme="majorHAnsi"/>
              </w:rPr>
              <w:t>que define cuánto se debe al consultor, esto es, el precio pactado por la prestación del servicio</w:t>
            </w:r>
            <w:r>
              <w:rPr>
                <w:rFonts w:ascii="Verdana" w:eastAsia="Arial" w:hAnsi="Verdana" w:cstheme="majorHAnsi"/>
              </w:rPr>
              <w:t>,</w:t>
            </w:r>
            <w:r w:rsidRPr="00827664">
              <w:rPr>
                <w:rFonts w:ascii="Verdana" w:eastAsia="Arial" w:hAnsi="Verdana" w:cstheme="majorHAnsi"/>
              </w:rPr>
              <w:t xml:space="preserve"> y la </w:t>
            </w:r>
            <w:r w:rsidRPr="00827664">
              <w:rPr>
                <w:rFonts w:ascii="Verdana" w:eastAsia="Arial" w:hAnsi="Verdana" w:cstheme="majorHAnsi"/>
                <w:i/>
              </w:rPr>
              <w:t>forma de pago</w:t>
            </w:r>
            <w:r>
              <w:rPr>
                <w:rFonts w:ascii="Verdana" w:eastAsia="Arial" w:hAnsi="Verdana" w:cstheme="majorHAnsi"/>
              </w:rPr>
              <w:t xml:space="preserve">, </w:t>
            </w:r>
            <w:r w:rsidRPr="00827664">
              <w:rPr>
                <w:rFonts w:ascii="Verdana" w:eastAsia="Arial" w:hAnsi="Verdana" w:cstheme="majorHAnsi"/>
              </w:rPr>
              <w:t>que regula cómo se efectúa el desembolso de dicho precio, pues se trata de conceptos distintos con consecuencias jurídicas diferenciadas.</w:t>
            </w:r>
          </w:p>
          <w:p w14:paraId="1F5B1A2B" w14:textId="77777777" w:rsidR="00A96C6F" w:rsidRDefault="00A96C6F" w:rsidP="00AB1CBB">
            <w:pPr>
              <w:spacing w:before="120" w:after="120" w:line="276" w:lineRule="auto"/>
              <w:ind w:firstLine="738"/>
              <w:jc w:val="both"/>
              <w:rPr>
                <w:rFonts w:ascii="Verdana" w:eastAsia="Arial" w:hAnsi="Verdana" w:cstheme="majorHAnsi"/>
              </w:rPr>
            </w:pPr>
            <w:r w:rsidRPr="00827664">
              <w:rPr>
                <w:rFonts w:ascii="Verdana" w:eastAsia="Arial" w:hAnsi="Verdana" w:cstheme="majorHAnsi"/>
              </w:rPr>
              <w:t xml:space="preserve">Bajo este entendido, nada obsta para que una </w:t>
            </w:r>
            <w:r>
              <w:rPr>
                <w:rFonts w:ascii="Verdana" w:eastAsia="Arial" w:hAnsi="Verdana" w:cstheme="majorHAnsi"/>
              </w:rPr>
              <w:t>E</w:t>
            </w:r>
            <w:r w:rsidRPr="00827664">
              <w:rPr>
                <w:rFonts w:ascii="Verdana" w:eastAsia="Arial" w:hAnsi="Verdana" w:cstheme="majorHAnsi"/>
              </w:rPr>
              <w:t xml:space="preserve">ntidad </w:t>
            </w:r>
            <w:r>
              <w:rPr>
                <w:rFonts w:ascii="Verdana" w:eastAsia="Arial" w:hAnsi="Verdana" w:cstheme="majorHAnsi"/>
              </w:rPr>
              <w:t>E</w:t>
            </w:r>
            <w:r w:rsidRPr="00827664">
              <w:rPr>
                <w:rFonts w:ascii="Verdana" w:eastAsia="Arial" w:hAnsi="Verdana" w:cstheme="majorHAnsi"/>
              </w:rPr>
              <w:t xml:space="preserve">statal pacte como modalidad de remuneración del contrato de interventoría un precio fijo, acordando que este valor tendrá un cronograma de desembolsos determinado por el avance en la ejecución del contrato objeto de vigilancia. En este supuesto, el interventor que cumpla sus obligaciones tendrá derecho al pago de la totalidad del precio acordado, aun si dicho valor se paga según el porcentaje de ejecución de la obra, de manera que la consecuencia jurídica de los retrasos en la obra no implica que el interventor pierda el derecho a recibir la suma pactada; el pago del ciento por ciento (100%) del precio simplemente </w:t>
            </w:r>
            <w:r w:rsidRPr="00827664">
              <w:rPr>
                <w:rFonts w:ascii="Verdana" w:eastAsia="Arial" w:hAnsi="Verdana" w:cstheme="majorHAnsi"/>
              </w:rPr>
              <w:lastRenderedPageBreak/>
              <w:t>se desplazará en el tiempo, debiendo la entidad estatal, al momento de la terminación y liquidación del contrato, haber cumplido íntegramente su obligación para quedar a paz y salvo, de conformidad con el artículo 60 de la Ley 80 de 1993.</w:t>
            </w:r>
          </w:p>
          <w:p w14:paraId="0507953A" w14:textId="77777777" w:rsidR="00A96C6F" w:rsidRPr="00827664" w:rsidRDefault="00A96C6F" w:rsidP="00AB1CBB">
            <w:pPr>
              <w:spacing w:before="120" w:after="120" w:line="276" w:lineRule="auto"/>
              <w:ind w:firstLine="738"/>
              <w:jc w:val="both"/>
              <w:rPr>
                <w:rFonts w:ascii="Verdana" w:eastAsia="Arial" w:hAnsi="Verdana" w:cstheme="majorHAnsi"/>
              </w:rPr>
            </w:pPr>
            <w:r w:rsidRPr="00827664">
              <w:rPr>
                <w:rFonts w:ascii="Verdana" w:eastAsia="Arial" w:hAnsi="Verdana" w:cstheme="majorHAnsi"/>
              </w:rPr>
              <w:t xml:space="preserve"> Lo anterior no obsta para que el interventor asuma el riesgo financiero derivado de que sus ingresos y flujo de caja puedan disminuir cuando el avance de la obra no sea significativo, pese a que sus costos operativos permanezcan constantes, debiendo en ese caso cubrir con recursos propios o mediante financiación externa los compromisos derivados de sus obligaciones contractuales, como el pago de salarios, prestaciones sociales y demás cargas laborales del equipo de trabajo.</w:t>
            </w:r>
          </w:p>
          <w:p w14:paraId="0EF48EFE" w14:textId="77777777" w:rsidR="00A96C6F" w:rsidRPr="00F53971" w:rsidRDefault="00A96C6F" w:rsidP="00AB1CBB">
            <w:pPr>
              <w:spacing w:before="120" w:after="120" w:line="276" w:lineRule="auto"/>
              <w:ind w:firstLine="879"/>
              <w:jc w:val="both"/>
              <w:rPr>
                <w:rFonts w:ascii="Verdana" w:eastAsia="Arial" w:hAnsi="Verdana" w:cstheme="majorHAnsi"/>
                <w:lang w:val="es-ES"/>
              </w:rPr>
            </w:pPr>
            <w:r w:rsidRPr="00F53971">
              <w:rPr>
                <w:rFonts w:ascii="Verdana" w:eastAsia="Arial" w:hAnsi="Verdana" w:cstheme="majorHAnsi"/>
                <w:lang w:val="es-ES"/>
              </w:rPr>
              <w:t xml:space="preserve">Sin embargo, en ejercicio de dicha autonomía, las entidades </w:t>
            </w:r>
            <w:r w:rsidRPr="00F53971">
              <w:rPr>
                <w:rFonts w:ascii="Verdana" w:eastAsia="Arial" w:hAnsi="Verdana" w:cstheme="majorHAnsi"/>
                <w:i/>
                <w:iCs/>
                <w:lang w:val="es-ES"/>
              </w:rPr>
              <w:t>no</w:t>
            </w:r>
            <w:r w:rsidRPr="00F53971">
              <w:rPr>
                <w:rFonts w:ascii="Verdana" w:eastAsia="Arial" w:hAnsi="Verdana" w:cstheme="majorHAnsi"/>
                <w:lang w:val="es-ES"/>
              </w:rPr>
              <w:t xml:space="preserve"> podrán sujetar </w:t>
            </w:r>
            <w:r w:rsidRPr="00F53971">
              <w:rPr>
                <w:rFonts w:ascii="Verdana" w:eastAsia="Arial" w:hAnsi="Verdana" w:cstheme="majorHAnsi"/>
                <w:i/>
                <w:iCs/>
                <w:lang w:val="es-ES"/>
              </w:rPr>
              <w:t>la totalidad</w:t>
            </w:r>
            <w:r w:rsidRPr="00F53971">
              <w:rPr>
                <w:rFonts w:ascii="Verdana" w:eastAsia="Arial" w:hAnsi="Verdana" w:cstheme="majorHAnsi"/>
                <w:lang w:val="es-ES"/>
              </w:rPr>
              <w:t xml:space="preserve"> del pago de interventoría a la ejecución o cumplimiento del contrato de obra vigilado, so pena de que dicha cláusula sea ineficaz de pleno derecho por disposición expresa del literal d) numeral 5 del artículo 24 de la Ley 80 de 1993, pues el supeditar el pago a la acción de un tercero implica que se ha pactado una cláusula de imposible cumplimiento para el interventor. </w:t>
            </w:r>
          </w:p>
          <w:p w14:paraId="571E4D3C" w14:textId="77777777" w:rsidR="00A96C6F" w:rsidRPr="00F53971" w:rsidRDefault="00A96C6F" w:rsidP="00AB1CBB">
            <w:pPr>
              <w:widowControl w:val="0"/>
              <w:autoSpaceDE w:val="0"/>
              <w:autoSpaceDN w:val="0"/>
              <w:spacing w:before="120" w:after="120" w:line="276" w:lineRule="auto"/>
              <w:ind w:firstLine="708"/>
              <w:jc w:val="both"/>
              <w:rPr>
                <w:rFonts w:ascii="Verdana" w:eastAsia="Arial" w:hAnsi="Verdana" w:cs="Arial"/>
                <w:color w:val="000000"/>
                <w:lang w:val="es-ES"/>
              </w:rPr>
            </w:pPr>
            <w:r w:rsidRPr="00F53971">
              <w:rPr>
                <w:rFonts w:ascii="Verdana" w:eastAsia="Calibri" w:hAnsi="Verdana" w:cs="Arial"/>
                <w:color w:val="000000" w:themeColor="text1"/>
                <w:lang w:val="es-ES"/>
              </w:rPr>
              <w:t xml:space="preserve">Finalmente, se advierte que </w:t>
            </w:r>
            <w:r w:rsidRPr="00F53971">
              <w:rPr>
                <w:rFonts w:ascii="Verdana" w:hAnsi="Verdana" w:cs="Arial"/>
                <w:lang w:val="es-ES"/>
              </w:rPr>
              <w:t xml:space="preserve">el análisis requerido para </w:t>
            </w:r>
            <w:r w:rsidRPr="00F53971">
              <w:rPr>
                <w:rFonts w:ascii="Verdana" w:eastAsia="Calibri" w:hAnsi="Verdana" w:cs="Arial"/>
                <w:color w:val="000000"/>
                <w:lang w:val="es-ES" w:eastAsia="es-ES"/>
              </w:rPr>
              <w:t xml:space="preserve">estipular el esquema de pago de la interventoría </w:t>
            </w:r>
            <w:r w:rsidRPr="00F53971">
              <w:rPr>
                <w:rFonts w:ascii="Verdana" w:hAnsi="Verdana" w:cs="Arial"/>
                <w:lang w:val="es-ES"/>
              </w:rPr>
              <w:t>debe ser realizado por quienes tengan interés en ello según las particularidades del caso, de acuerdo con lo explicado anteriormente. De esta manera, la entidad contratante definirá en cada caso concreto lo relacionado con la forma de pago, considerando en todo caso la procedencia e inalterabilidad de las condiciones que para ello establezcan los Documentos Tipo adoptados por esta Agencia.</w:t>
            </w:r>
          </w:p>
        </w:tc>
      </w:tr>
    </w:tbl>
    <w:p w14:paraId="6B3CB0E1" w14:textId="77777777" w:rsidR="00A96C6F" w:rsidRPr="00F53971" w:rsidRDefault="00A96C6F" w:rsidP="00A96C6F">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125AAA7E" w14:textId="77777777" w:rsidR="00A96C6F" w:rsidRPr="00F53971" w:rsidRDefault="00A96C6F" w:rsidP="00A96C6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F53971">
        <w:rPr>
          <w:rFonts w:ascii="Verdana" w:eastAsia="Century Gothic" w:hAnsi="Verdana" w:cs="Century Gothic"/>
          <w:b/>
          <w:bCs/>
          <w:color w:val="000000" w:themeColor="text1"/>
        </w:rPr>
        <w:t>Razones de la respuesta:</w:t>
      </w:r>
    </w:p>
    <w:p w14:paraId="3B4B55E7" w14:textId="77777777" w:rsidR="00A96C6F" w:rsidRPr="00F53971" w:rsidRDefault="00A96C6F" w:rsidP="00A96C6F">
      <w:pPr>
        <w:spacing w:after="0" w:line="276" w:lineRule="auto"/>
        <w:jc w:val="both"/>
        <w:rPr>
          <w:rFonts w:ascii="Verdana" w:eastAsia="Calibri" w:hAnsi="Verdana" w:cs="Arial"/>
          <w:color w:val="000000" w:themeColor="text1"/>
          <w:lang w:val="es-ES"/>
        </w:rPr>
      </w:pPr>
    </w:p>
    <w:p w14:paraId="542B4640" w14:textId="77777777" w:rsidR="00A96C6F" w:rsidRPr="00F53971" w:rsidRDefault="00A96C6F" w:rsidP="00A96C6F">
      <w:pPr>
        <w:spacing w:after="0" w:line="276" w:lineRule="auto"/>
        <w:jc w:val="both"/>
        <w:rPr>
          <w:rFonts w:ascii="Verdana" w:eastAsia="Calibri" w:hAnsi="Verdana" w:cs="Arial"/>
          <w:color w:val="000000" w:themeColor="text1"/>
          <w:lang w:val="es-ES"/>
        </w:rPr>
      </w:pPr>
      <w:r w:rsidRPr="00F53971">
        <w:rPr>
          <w:rFonts w:ascii="Verdana" w:eastAsia="Calibri" w:hAnsi="Verdana" w:cs="Arial"/>
          <w:color w:val="000000" w:themeColor="text1"/>
          <w:lang w:val="es-ES"/>
        </w:rPr>
        <w:t xml:space="preserve">Lo anterior se sustenta en las siguientes consideraciones: </w:t>
      </w:r>
    </w:p>
    <w:p w14:paraId="1B32DC18" w14:textId="77777777" w:rsidR="00A96C6F" w:rsidRPr="00F53971" w:rsidRDefault="00A96C6F" w:rsidP="00A96C6F">
      <w:pPr>
        <w:spacing w:after="0" w:line="276" w:lineRule="auto"/>
        <w:jc w:val="both"/>
        <w:rPr>
          <w:rFonts w:ascii="Verdana" w:eastAsia="Calibri" w:hAnsi="Verdana" w:cs="Arial"/>
          <w:lang w:val="es-ES"/>
        </w:rPr>
      </w:pPr>
    </w:p>
    <w:p w14:paraId="09324C34" w14:textId="77777777" w:rsidR="00A96C6F" w:rsidRPr="00F53971" w:rsidRDefault="00A96C6F" w:rsidP="00A96C6F">
      <w:pPr>
        <w:snapToGrid w:val="0"/>
        <w:spacing w:after="120" w:line="276" w:lineRule="auto"/>
        <w:jc w:val="both"/>
        <w:rPr>
          <w:rFonts w:ascii="Verdana" w:eastAsia="Calibri" w:hAnsi="Verdana" w:cs="Arial"/>
          <w:shd w:val="clear" w:color="auto" w:fill="FFFFFF"/>
          <w:lang w:val="es-ES"/>
        </w:rPr>
      </w:pPr>
      <w:r w:rsidRPr="00F53971">
        <w:rPr>
          <w:rFonts w:ascii="Verdana" w:eastAsia="Calibri" w:hAnsi="Verdana" w:cs="Arial"/>
          <w:lang w:val="es-ES"/>
        </w:rPr>
        <w:t>i.</w:t>
      </w:r>
      <w:r w:rsidRPr="00F53971">
        <w:rPr>
          <w:rFonts w:ascii="Verdana" w:eastAsia="Calibri" w:hAnsi="Verdana" w:cs="Arial"/>
          <w:color w:val="000000" w:themeColor="text1"/>
          <w:lang w:val="es-ES"/>
        </w:rPr>
        <w:t xml:space="preserve"> </w:t>
      </w:r>
      <w:r w:rsidRPr="00F53971">
        <w:rPr>
          <w:rFonts w:ascii="Verdana" w:eastAsia="Calibri" w:hAnsi="Verdana" w:cs="Arial"/>
          <w:shd w:val="clear" w:color="auto" w:fill="FFFFFF"/>
          <w:lang w:val="es-ES"/>
        </w:rPr>
        <w:t xml:space="preserve">La Ley 80 de 1993 establece en sus artículos 4, 5, 12, 14 y 26, entre otros aspectos, la obligación de las Entidades Estatales de velar por el correcto y oportuno cumplimiento de las prestaciones del contrato, las especificaciones de los bienes, obras y servicios de este, las condiciones de calidad ofrecidas, etc. Esta obligación se predica, en principio, del jefe o representante legal de la entidad, por tener la responsabilidad de la dirección y manejo de la actividad </w:t>
      </w:r>
      <w:r w:rsidRPr="00F53971">
        <w:rPr>
          <w:rFonts w:ascii="Verdana" w:eastAsia="Calibri" w:hAnsi="Verdana" w:cs="Arial"/>
          <w:shd w:val="clear" w:color="auto" w:fill="FFFFFF"/>
          <w:lang w:val="es-ES"/>
        </w:rPr>
        <w:lastRenderedPageBreak/>
        <w:t>contractual, pero también de los servidores públicos que intervienen en ella. En ese sentido, las Entidades Estatales deben ejercer el control de la ejecución del contrato y, de ser el caso, tomar medidas para exigir su adecuado cumplimiento.</w:t>
      </w:r>
    </w:p>
    <w:p w14:paraId="69A2254E" w14:textId="77777777" w:rsidR="00A96C6F" w:rsidRPr="00F53971" w:rsidRDefault="00A96C6F" w:rsidP="00A96C6F">
      <w:pPr>
        <w:snapToGrid w:val="0"/>
        <w:spacing w:before="120" w:after="120" w:line="276" w:lineRule="auto"/>
        <w:ind w:firstLine="708"/>
        <w:jc w:val="both"/>
        <w:textAlignment w:val="baseline"/>
        <w:rPr>
          <w:rFonts w:ascii="Verdana" w:eastAsia="Aptos" w:hAnsi="Verdana" w:cs="Arial"/>
          <w:lang w:val="es-ES" w:eastAsia="es-MX"/>
        </w:rPr>
      </w:pPr>
      <w:r w:rsidRPr="00F53971">
        <w:rPr>
          <w:rFonts w:ascii="Verdana" w:eastAsia="Aptos" w:hAnsi="Verdana" w:cs="Arial"/>
          <w:lang w:val="es-ES" w:eastAsia="es-MX"/>
        </w:rPr>
        <w:t>Por su parte, las Leyes 1150 de 2007 y 1474 de 2011, complementan el régimen jurídico de la obligación de vigilar la correcta ejecución de los contratos estatales. En dichas normas se establecen los límites de la responsabilidad del representante legal ante la delegación de sus funciones en materia contractual</w:t>
      </w:r>
      <w:r w:rsidRPr="00F53971">
        <w:rPr>
          <w:rFonts w:ascii="Verdana" w:eastAsia="Aptos" w:hAnsi="Verdana" w:cs="Times New Roman"/>
          <w:kern w:val="2"/>
          <w:sz w:val="24"/>
          <w:szCs w:val="24"/>
          <w:vertAlign w:val="superscript"/>
          <w:lang w:val="es-ES" w:eastAsia="es-MX"/>
          <w14:ligatures w14:val="standardContextual"/>
        </w:rPr>
        <w:footnoteReference w:id="2"/>
      </w:r>
      <w:r w:rsidRPr="00F53971">
        <w:rPr>
          <w:rFonts w:ascii="Verdana" w:eastAsia="Aptos" w:hAnsi="Verdana" w:cs="Arial"/>
          <w:lang w:val="es-ES" w:eastAsia="es-MX"/>
        </w:rPr>
        <w:t xml:space="preserve"> y se regula la supervisión y la interventoría de los contratos estatales</w:t>
      </w:r>
      <w:r w:rsidRPr="00F53971">
        <w:rPr>
          <w:rFonts w:ascii="Verdana" w:eastAsia="Aptos" w:hAnsi="Verdana" w:cs="Times New Roman"/>
          <w:kern w:val="2"/>
          <w:sz w:val="24"/>
          <w:szCs w:val="24"/>
          <w:vertAlign w:val="superscript"/>
          <w:lang w:val="es-ES" w:eastAsia="es-MX"/>
          <w14:ligatures w14:val="standardContextual"/>
        </w:rPr>
        <w:footnoteReference w:id="3"/>
      </w:r>
      <w:r w:rsidRPr="00F53971">
        <w:rPr>
          <w:rFonts w:ascii="Verdana" w:eastAsia="Aptos" w:hAnsi="Verdana" w:cs="Arial"/>
          <w:lang w:val="es-ES" w:eastAsia="es-MX"/>
        </w:rPr>
        <w:t>.</w:t>
      </w:r>
    </w:p>
    <w:p w14:paraId="0C7E06F1" w14:textId="77777777" w:rsidR="00A96C6F" w:rsidRPr="00F53971" w:rsidRDefault="00A96C6F" w:rsidP="00A96C6F">
      <w:pPr>
        <w:snapToGrid w:val="0"/>
        <w:spacing w:before="120" w:after="0" w:line="276" w:lineRule="auto"/>
        <w:ind w:firstLine="708"/>
        <w:jc w:val="both"/>
        <w:textAlignment w:val="baseline"/>
        <w:rPr>
          <w:rFonts w:ascii="Verdana" w:eastAsia="Aptos" w:hAnsi="Verdana" w:cs="Arial"/>
          <w:lang w:val="es-ES" w:eastAsia="es-MX"/>
        </w:rPr>
      </w:pPr>
      <w:r w:rsidRPr="00F53971">
        <w:rPr>
          <w:rFonts w:ascii="Verdana" w:eastAsia="Aptos" w:hAnsi="Verdana" w:cs="Arial"/>
          <w:lang w:val="es-ES" w:eastAsia="es-MX"/>
        </w:rPr>
        <w:t xml:space="preserve">En particular, la Ley 1474 de 2011 enmarcó el seguimiento, control y vigilancia de la ejecución del contrato estatal dentro del principio de moralidad administrativa. El artículo 83 de la referida ley, establece que “con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 El legislador además definió las nociones de supervisión e interventoría como mecanismos que pueden usar las Entidades Estatales para vigilar el contrato, en estos términos: </w:t>
      </w:r>
    </w:p>
    <w:p w14:paraId="59DD0AB7" w14:textId="77777777" w:rsidR="00A96C6F" w:rsidRPr="00F53971" w:rsidRDefault="00A96C6F" w:rsidP="00A96C6F">
      <w:pPr>
        <w:snapToGrid w:val="0"/>
        <w:spacing w:after="0" w:line="276" w:lineRule="auto"/>
        <w:ind w:firstLine="708"/>
        <w:jc w:val="both"/>
        <w:textAlignment w:val="baseline"/>
        <w:rPr>
          <w:rFonts w:ascii="Verdana" w:eastAsia="Aptos" w:hAnsi="Verdana" w:cs="Arial"/>
          <w:lang w:val="es-ES" w:eastAsia="es-MX"/>
        </w:rPr>
      </w:pPr>
    </w:p>
    <w:p w14:paraId="0FF0ED0B" w14:textId="77777777" w:rsidR="00A96C6F" w:rsidRPr="00F53971" w:rsidRDefault="00A96C6F" w:rsidP="00A96C6F">
      <w:pPr>
        <w:snapToGrid w:val="0"/>
        <w:spacing w:after="0" w:line="240" w:lineRule="auto"/>
        <w:ind w:left="709" w:right="709"/>
        <w:jc w:val="both"/>
        <w:textAlignment w:val="baseline"/>
        <w:rPr>
          <w:rFonts w:ascii="Verdana" w:eastAsia="Aptos" w:hAnsi="Verdana" w:cs="Arial"/>
          <w:sz w:val="20"/>
          <w:szCs w:val="20"/>
          <w:lang w:val="es-ES" w:eastAsia="es-MX"/>
        </w:rPr>
      </w:pPr>
      <w:r w:rsidRPr="00F53971">
        <w:rPr>
          <w:rFonts w:ascii="Verdana" w:eastAsia="Aptos" w:hAnsi="Verdana" w:cs="Arial"/>
          <w:sz w:val="20"/>
          <w:szCs w:val="20"/>
          <w:lang w:val="es-ES" w:eastAsia="es-MX"/>
        </w:rPr>
        <w:t>“Con el fin de proteger la moralidad administrativa, de prevenir la ocurrencia de actos de corrupción y de tutelar la transparencia de la actividad contractual, las entidades públicas están obligadas a vigilar permanentemente la correcta ejecución del objeto contratado a través de un supervisor o un interventor, según corresponda. </w:t>
      </w:r>
    </w:p>
    <w:p w14:paraId="28C27B51" w14:textId="77777777" w:rsidR="00A96C6F" w:rsidRPr="00F53971" w:rsidRDefault="00A96C6F" w:rsidP="00A96C6F">
      <w:pPr>
        <w:snapToGrid w:val="0"/>
        <w:spacing w:after="0" w:line="240" w:lineRule="auto"/>
        <w:ind w:left="709" w:right="709"/>
        <w:jc w:val="both"/>
        <w:textAlignment w:val="baseline"/>
        <w:rPr>
          <w:rFonts w:ascii="Verdana" w:eastAsia="Aptos" w:hAnsi="Verdana" w:cs="Arial"/>
          <w:sz w:val="20"/>
          <w:szCs w:val="20"/>
          <w:lang w:val="es-ES" w:eastAsia="es-MX"/>
        </w:rPr>
      </w:pPr>
    </w:p>
    <w:p w14:paraId="48018E5E" w14:textId="77777777" w:rsidR="00A96C6F" w:rsidRPr="00F53971" w:rsidRDefault="00A96C6F" w:rsidP="00A96C6F">
      <w:pPr>
        <w:snapToGrid w:val="0"/>
        <w:spacing w:after="0" w:line="240" w:lineRule="auto"/>
        <w:ind w:left="709" w:right="709"/>
        <w:jc w:val="both"/>
        <w:textAlignment w:val="baseline"/>
        <w:rPr>
          <w:rFonts w:ascii="Verdana" w:eastAsia="Aptos" w:hAnsi="Verdana" w:cs="Arial"/>
          <w:sz w:val="20"/>
          <w:szCs w:val="20"/>
          <w:lang w:val="es-ES" w:eastAsia="es-MX"/>
        </w:rPr>
      </w:pPr>
      <w:r w:rsidRPr="00F53971">
        <w:rPr>
          <w:rFonts w:ascii="Verdana" w:eastAsia="Aptos" w:hAnsi="Verdana" w:cs="Arial"/>
          <w:sz w:val="20"/>
          <w:szCs w:val="20"/>
          <w:lang w:val="es-ES" w:eastAsia="es-MX"/>
        </w:rPr>
        <w:t xml:space="preserve">La supervisión consistirá en el seguimiento técnico, administrativo, financiero, contable, y jurídico </w:t>
      </w:r>
      <w:proofErr w:type="gramStart"/>
      <w:r w:rsidRPr="00F53971">
        <w:rPr>
          <w:rFonts w:ascii="Verdana" w:eastAsia="Aptos" w:hAnsi="Verdana" w:cs="Arial"/>
          <w:sz w:val="20"/>
          <w:szCs w:val="20"/>
          <w:lang w:val="es-ES" w:eastAsia="es-MX"/>
        </w:rPr>
        <w:t>que</w:t>
      </w:r>
      <w:proofErr w:type="gramEnd"/>
      <w:r w:rsidRPr="00F53971">
        <w:rPr>
          <w:rFonts w:ascii="Verdana" w:eastAsia="Aptos" w:hAnsi="Verdana" w:cs="Arial"/>
          <w:sz w:val="20"/>
          <w:szCs w:val="20"/>
          <w:lang w:val="es-ES" w:eastAsia="es-MX"/>
        </w:rPr>
        <w:t xml:space="preserv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 </w:t>
      </w:r>
    </w:p>
    <w:p w14:paraId="7EBF91F9" w14:textId="77777777" w:rsidR="00A96C6F" w:rsidRPr="00F53971" w:rsidRDefault="00A96C6F" w:rsidP="00A96C6F">
      <w:pPr>
        <w:snapToGrid w:val="0"/>
        <w:spacing w:after="0" w:line="240" w:lineRule="auto"/>
        <w:ind w:left="709" w:right="709"/>
        <w:jc w:val="both"/>
        <w:textAlignment w:val="baseline"/>
        <w:rPr>
          <w:rFonts w:ascii="Verdana" w:eastAsia="Aptos" w:hAnsi="Verdana" w:cs="Arial"/>
          <w:sz w:val="20"/>
          <w:szCs w:val="20"/>
          <w:lang w:val="es-ES" w:eastAsia="es-MX"/>
        </w:rPr>
      </w:pPr>
    </w:p>
    <w:p w14:paraId="164FF7E5" w14:textId="77777777" w:rsidR="00A96C6F" w:rsidRPr="00F53971" w:rsidRDefault="00A96C6F" w:rsidP="00A96C6F">
      <w:pPr>
        <w:snapToGrid w:val="0"/>
        <w:spacing w:after="0" w:line="240" w:lineRule="auto"/>
        <w:ind w:left="709" w:right="709"/>
        <w:jc w:val="both"/>
        <w:textAlignment w:val="baseline"/>
        <w:rPr>
          <w:rFonts w:ascii="Verdana" w:eastAsia="Aptos" w:hAnsi="Verdana" w:cs="Arial"/>
          <w:sz w:val="20"/>
          <w:szCs w:val="20"/>
          <w:lang w:val="es-ES" w:eastAsia="es-MX"/>
        </w:rPr>
      </w:pPr>
      <w:r w:rsidRPr="00F53971">
        <w:rPr>
          <w:rFonts w:ascii="Verdana" w:eastAsia="Aptos" w:hAnsi="Verdana" w:cs="Arial"/>
          <w:sz w:val="20"/>
          <w:szCs w:val="20"/>
          <w:lang w:val="es-ES" w:eastAsia="es-MX"/>
        </w:rPr>
        <w:t xml:space="preserve">La interventoría consistirá en el seguimiento técnico que sobre el cumplimiento del contrato realice una persona natural o jurídica contratada para tal fin por la Entidad Estatal, cuando el seguimiento del </w:t>
      </w:r>
      <w:r w:rsidRPr="00F53971">
        <w:rPr>
          <w:rFonts w:ascii="Verdana" w:eastAsia="Aptos" w:hAnsi="Verdana" w:cs="Arial"/>
          <w:sz w:val="20"/>
          <w:szCs w:val="20"/>
          <w:lang w:val="es-ES" w:eastAsia="es-MX"/>
        </w:rPr>
        <w:lastRenderedPageBreak/>
        <w:t xml:space="preserve">contrato suponga conocimiento especializado en la materia, o cuando la complejidad o la extensión </w:t>
      </w:r>
      <w:proofErr w:type="gramStart"/>
      <w:r w:rsidRPr="00F53971">
        <w:rPr>
          <w:rFonts w:ascii="Verdana" w:eastAsia="Aptos" w:hAnsi="Verdana" w:cs="Arial"/>
          <w:sz w:val="20"/>
          <w:szCs w:val="20"/>
          <w:lang w:val="es-ES" w:eastAsia="es-MX"/>
        </w:rPr>
        <w:t>del mismo</w:t>
      </w:r>
      <w:proofErr w:type="gramEnd"/>
      <w:r w:rsidRPr="00F53971">
        <w:rPr>
          <w:rFonts w:ascii="Verdana" w:eastAsia="Aptos" w:hAnsi="Verdana" w:cs="Arial"/>
          <w:sz w:val="20"/>
          <w:szCs w:val="20"/>
          <w:lang w:val="es-ES" w:eastAsia="es-MX"/>
        </w:rPr>
        <w:t xml:space="preserve"> lo justifiquen. No obstante, lo anterior cuando la entidad lo encuentre justificado y acorde a la naturaleza del contrato principal, podrá contratar el seguimiento administrativo, técnico, financiero, contable, jurídico del objeto o contrato dentro de la interventoría […]”.</w:t>
      </w:r>
      <w:r w:rsidRPr="00F53971">
        <w:rPr>
          <w:rFonts w:ascii="Verdana" w:eastAsia="Aptos" w:hAnsi="Verdana" w:cs="Arial"/>
          <w:sz w:val="20"/>
          <w:szCs w:val="20"/>
          <w:vertAlign w:val="superscript"/>
          <w:lang w:val="es-ES" w:eastAsia="es-MX"/>
        </w:rPr>
        <w:footnoteReference w:id="4"/>
      </w:r>
    </w:p>
    <w:p w14:paraId="14E5B82D" w14:textId="77777777" w:rsidR="00A96C6F" w:rsidRPr="00F53971" w:rsidRDefault="00A96C6F" w:rsidP="00A96C6F">
      <w:pPr>
        <w:snapToGrid w:val="0"/>
        <w:spacing w:after="0" w:line="240" w:lineRule="auto"/>
        <w:ind w:left="709" w:right="709"/>
        <w:jc w:val="both"/>
        <w:textAlignment w:val="baseline"/>
        <w:rPr>
          <w:rFonts w:ascii="Verdana" w:eastAsia="Aptos" w:hAnsi="Verdana" w:cs="Arial"/>
          <w:sz w:val="20"/>
          <w:szCs w:val="20"/>
          <w:highlight w:val="lightGray"/>
          <w:lang w:val="es-ES" w:eastAsia="es-MX"/>
        </w:rPr>
      </w:pPr>
    </w:p>
    <w:p w14:paraId="4BD761BA" w14:textId="77777777" w:rsidR="00A96C6F" w:rsidRPr="00F53971" w:rsidRDefault="00A96C6F" w:rsidP="00A96C6F">
      <w:pPr>
        <w:tabs>
          <w:tab w:val="left" w:pos="709"/>
        </w:tabs>
        <w:snapToGrid w:val="0"/>
        <w:spacing w:after="120" w:line="276" w:lineRule="auto"/>
        <w:jc w:val="both"/>
        <w:rPr>
          <w:rFonts w:ascii="Verdana" w:eastAsia="Aptos" w:hAnsi="Verdana" w:cs="Arial"/>
          <w:bCs/>
          <w:lang w:val="es-ES"/>
        </w:rPr>
      </w:pPr>
      <w:r w:rsidRPr="00F53971">
        <w:rPr>
          <w:rFonts w:ascii="Verdana" w:eastAsia="Aptos" w:hAnsi="Verdana" w:cs="Arial"/>
          <w:bCs/>
          <w:lang w:val="es-ES"/>
        </w:rPr>
        <w:tab/>
        <w:t xml:space="preserve">De este modo, la interventoría puede caracterizarse de la siguiente manera: (i) es un mecanismo de vigilancia contingente en la medida que solo es obligatorio para el seguimiento de los contratos de obra adjudicados por licitación pública –art. 32, numeral 1; en los demás casos se requerirá cuando “el seguimiento del contrato suponga conocimiento especializado en la materia, o cuando la complejidad o la extensión </w:t>
      </w:r>
      <w:proofErr w:type="gramStart"/>
      <w:r w:rsidRPr="00F53971">
        <w:rPr>
          <w:rFonts w:ascii="Verdana" w:eastAsia="Aptos" w:hAnsi="Verdana" w:cs="Arial"/>
          <w:bCs/>
          <w:lang w:val="es-ES"/>
        </w:rPr>
        <w:t>del mismo</w:t>
      </w:r>
      <w:proofErr w:type="gramEnd"/>
      <w:r w:rsidRPr="00F53971">
        <w:rPr>
          <w:rFonts w:ascii="Verdana" w:eastAsia="Aptos" w:hAnsi="Verdana" w:cs="Arial"/>
          <w:bCs/>
          <w:lang w:val="es-ES"/>
        </w:rPr>
        <w:t xml:space="preserve"> lo justifique” –art, 83, Ley 1474 de 2011–. (</w:t>
      </w:r>
      <w:proofErr w:type="spellStart"/>
      <w:r w:rsidRPr="00F53971">
        <w:rPr>
          <w:rFonts w:ascii="Verdana" w:eastAsia="Aptos" w:hAnsi="Verdana" w:cs="Arial"/>
          <w:bCs/>
          <w:lang w:val="es-ES"/>
        </w:rPr>
        <w:t>ii</w:t>
      </w:r>
      <w:proofErr w:type="spellEnd"/>
      <w:r w:rsidRPr="00F53971">
        <w:rPr>
          <w:rFonts w:ascii="Verdana" w:eastAsia="Aptos" w:hAnsi="Verdana" w:cs="Arial"/>
          <w:bCs/>
          <w:lang w:val="es-ES"/>
        </w:rPr>
        <w:t>) También es un mecanismo de vigilancia que exige, en su ejecución, la utilización de conocimientos especializados. (</w:t>
      </w:r>
      <w:proofErr w:type="spellStart"/>
      <w:r w:rsidRPr="00F53971">
        <w:rPr>
          <w:rFonts w:ascii="Verdana" w:eastAsia="Aptos" w:hAnsi="Verdana" w:cs="Arial"/>
          <w:bCs/>
          <w:lang w:val="es-ES"/>
        </w:rPr>
        <w:t>iii</w:t>
      </w:r>
      <w:proofErr w:type="spellEnd"/>
      <w:r w:rsidRPr="00F53971">
        <w:rPr>
          <w:rFonts w:ascii="Verdana" w:eastAsia="Aptos" w:hAnsi="Verdana" w:cs="Arial"/>
          <w:bCs/>
          <w:lang w:val="es-ES"/>
        </w:rPr>
        <w:t>) Por lo anterior, la entidad contrata un experto, por regla general, mediante la modalidad de selección de concurso de méritos, al tratarse de una especie del contrato de consultoría –art. 32, numeral 2, inciso 2, Ley 80 de 1993</w:t>
      </w:r>
      <w:r w:rsidRPr="00F53971">
        <w:rPr>
          <w:rFonts w:ascii="Verdana" w:eastAsia="Aptos" w:hAnsi="Verdana" w:cs="Times New Roman"/>
          <w:kern w:val="2"/>
          <w:sz w:val="24"/>
          <w:szCs w:val="24"/>
          <w:vertAlign w:val="superscript"/>
          <w:lang w:val="es-ES"/>
          <w14:ligatures w14:val="standardContextual"/>
        </w:rPr>
        <w:footnoteReference w:id="5"/>
      </w:r>
      <w:r w:rsidRPr="00F53971">
        <w:rPr>
          <w:rFonts w:ascii="Verdana" w:eastAsia="Aptos" w:hAnsi="Verdana" w:cs="Arial"/>
          <w:bCs/>
          <w:lang w:val="es-ES"/>
        </w:rPr>
        <w:t>‒, de manera que la interventoría es realizada por “una persona natural o jurídica contratada para tal fin por la Entidad Estatal” –art. 83, Ley 1474–. Adicionalmente, (</w:t>
      </w:r>
      <w:proofErr w:type="spellStart"/>
      <w:r w:rsidRPr="00F53971">
        <w:rPr>
          <w:rFonts w:ascii="Verdana" w:eastAsia="Aptos" w:hAnsi="Verdana" w:cs="Arial"/>
          <w:bCs/>
          <w:lang w:val="es-ES"/>
        </w:rPr>
        <w:t>iv</w:t>
      </w:r>
      <w:proofErr w:type="spellEnd"/>
      <w:r w:rsidRPr="00F53971">
        <w:rPr>
          <w:rFonts w:ascii="Verdana" w:eastAsia="Aptos" w:hAnsi="Verdana" w:cs="Arial"/>
          <w:bCs/>
          <w:lang w:val="es-ES"/>
        </w:rPr>
        <w:t>) el seguimiento técnico es inherente a la interventoría para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Finalmente, (v) en caso de que no se encomiende al interventor el seguimiento total del contrato, en el contrato de interventoría “se deberán indicar las actividades técnicas a cargo del interventor y las demás quedarán a cargo de la Entidad a través del supervisor” –art. 83, inciso 3–. En cualquier caso (vi) el contrato de interventoría será supervisado directamente por la entidad –art. 23, inciso 4–.</w:t>
      </w:r>
    </w:p>
    <w:p w14:paraId="20CCEC12" w14:textId="77777777" w:rsidR="00A96C6F" w:rsidRPr="00F53971" w:rsidRDefault="00A96C6F" w:rsidP="00A96C6F">
      <w:pPr>
        <w:pStyle w:val="Sinespaciado"/>
        <w:spacing w:line="276" w:lineRule="auto"/>
        <w:jc w:val="both"/>
        <w:rPr>
          <w:rFonts w:ascii="Verdana" w:hAnsi="Verdana" w:cs="Arial"/>
          <w:sz w:val="22"/>
          <w:lang w:val="es-ES"/>
        </w:rPr>
      </w:pPr>
      <w:r w:rsidRPr="00F53971">
        <w:rPr>
          <w:rFonts w:ascii="Verdana" w:eastAsia="Calibri" w:hAnsi="Verdana" w:cs="Arial"/>
          <w:kern w:val="2"/>
          <w:sz w:val="22"/>
          <w:lang w:val="es-ES"/>
          <w14:ligatures w14:val="standardContextual"/>
        </w:rPr>
        <w:tab/>
        <w:t xml:space="preserve">Ahora bien, el contrato de interventoría supone la existencia de otro contrato –es decir, el contrato vigilado–, y por eso la jurisprudencia ha caracterizado la interventoría como un negocio jurídico íntimamente relacionado en su objeto con el contrato respecto del que ejerce las actividades del </w:t>
      </w:r>
      <w:r w:rsidRPr="00F53971">
        <w:rPr>
          <w:rFonts w:ascii="Verdana" w:eastAsia="Calibri" w:hAnsi="Verdana" w:cs="Arial"/>
          <w:kern w:val="2"/>
          <w:sz w:val="22"/>
          <w:lang w:val="es-ES"/>
          <w14:ligatures w14:val="standardContextual"/>
        </w:rPr>
        <w:lastRenderedPageBreak/>
        <w:t>interventor</w:t>
      </w:r>
      <w:r w:rsidRPr="00F53971">
        <w:rPr>
          <w:rFonts w:ascii="Verdana" w:eastAsia="Aptos" w:hAnsi="Verdana" w:cs="Times New Roman"/>
          <w:kern w:val="2"/>
          <w:sz w:val="22"/>
          <w:vertAlign w:val="superscript"/>
          <w:lang w:val="es-ES"/>
          <w14:ligatures w14:val="standardContextual"/>
        </w:rPr>
        <w:footnoteReference w:id="6"/>
      </w:r>
      <w:r w:rsidRPr="00F53971">
        <w:rPr>
          <w:rFonts w:ascii="Verdana" w:eastAsia="Calibri" w:hAnsi="Verdana" w:cs="Arial"/>
          <w:kern w:val="2"/>
          <w:sz w:val="22"/>
          <w:lang w:val="es-ES"/>
          <w14:ligatures w14:val="standardContextual"/>
        </w:rPr>
        <w:t xml:space="preserve">. No obstante, a pesar de lo anterior, el contrato de interventoría es </w:t>
      </w:r>
      <w:r w:rsidRPr="00F53971">
        <w:rPr>
          <w:rFonts w:ascii="Verdana" w:eastAsia="Calibri" w:hAnsi="Verdana" w:cs="Arial"/>
          <w:i/>
          <w:iCs/>
          <w:kern w:val="2"/>
          <w:sz w:val="22"/>
          <w:lang w:val="es-ES"/>
          <w14:ligatures w14:val="standardContextual"/>
        </w:rPr>
        <w:t xml:space="preserve">independiente del otro contrato </w:t>
      </w:r>
      <w:r w:rsidRPr="00F53971">
        <w:rPr>
          <w:rFonts w:ascii="Verdana" w:eastAsia="Calibri" w:hAnsi="Verdana" w:cs="Arial"/>
          <w:kern w:val="2"/>
          <w:sz w:val="22"/>
          <w:lang w:val="es-ES"/>
          <w14:ligatures w14:val="standardContextual"/>
        </w:rPr>
        <w:t>en aspectos específicos como, por ejemplo, la prórroga y el incumplimiento. En efecto, la prórroga de la obra no implica de suyo la del interventor, aunque puede realizarse cumpliendo las solemnidades de ley; además, el incumplimiento del contrato vigilado, como lo sería un contrato de obra, no significa por sí solo el incumplimiento del de interventoría</w:t>
      </w:r>
      <w:r w:rsidRPr="00F53971">
        <w:rPr>
          <w:rFonts w:ascii="Verdana" w:eastAsia="Aptos" w:hAnsi="Verdana" w:cs="Times New Roman"/>
          <w:kern w:val="2"/>
          <w:sz w:val="22"/>
          <w:vertAlign w:val="superscript"/>
          <w:lang w:val="es-ES"/>
          <w14:ligatures w14:val="standardContextual"/>
        </w:rPr>
        <w:footnoteReference w:id="7"/>
      </w:r>
      <w:r w:rsidRPr="00F53971">
        <w:rPr>
          <w:rFonts w:ascii="Verdana" w:eastAsia="Calibri" w:hAnsi="Verdana" w:cs="Arial"/>
          <w:kern w:val="2"/>
          <w:sz w:val="22"/>
          <w:lang w:val="es-ES"/>
          <w14:ligatures w14:val="standardContextual"/>
        </w:rPr>
        <w:t xml:space="preserve">.  </w:t>
      </w:r>
    </w:p>
    <w:p w14:paraId="70893DA9" w14:textId="77777777" w:rsidR="00A96C6F" w:rsidRPr="003D18D4" w:rsidRDefault="00A96C6F" w:rsidP="00A96C6F">
      <w:pPr>
        <w:pStyle w:val="Sinespaciado"/>
        <w:spacing w:before="120" w:line="276" w:lineRule="auto"/>
        <w:ind w:firstLine="708"/>
        <w:jc w:val="both"/>
        <w:rPr>
          <w:rFonts w:ascii="Verdana" w:hAnsi="Verdana" w:cs="Arial"/>
          <w:sz w:val="22"/>
          <w:lang w:val="es-ES"/>
        </w:rPr>
      </w:pPr>
      <w:r w:rsidRPr="00F53971">
        <w:rPr>
          <w:rFonts w:ascii="Verdana" w:hAnsi="Verdana" w:cs="Arial"/>
          <w:sz w:val="22"/>
          <w:lang w:val="es-ES"/>
        </w:rPr>
        <w:t xml:space="preserve">Es así como el contrato de interventoría es un contrato bilateral, </w:t>
      </w:r>
      <w:r w:rsidRPr="003D18D4">
        <w:rPr>
          <w:rFonts w:ascii="Verdana" w:hAnsi="Verdana" w:cs="Arial"/>
          <w:sz w:val="22"/>
          <w:lang w:val="es-ES"/>
        </w:rPr>
        <w:t>conmutativo y oneroso, por lo que crea obligaciones tanto para la entidad contratante como para el contratista interventor. Estas obligaciones deben guardar una correlativa equivalencia entre las prestaciones y derechos de ambas partes, por las que a su vez cada una de ellas recibe un beneficio. Por lo tanto, el interventor tiene derecho a recibir el pago de una contraprestación, remuneración o precio</w:t>
      </w:r>
      <w:r w:rsidRPr="003D18D4">
        <w:rPr>
          <w:rFonts w:ascii="Verdana" w:hAnsi="Verdana"/>
          <w:sz w:val="22"/>
          <w:vertAlign w:val="superscript"/>
          <w:lang w:val="es-ES"/>
        </w:rPr>
        <w:footnoteReference w:id="8"/>
      </w:r>
      <w:r w:rsidRPr="003D18D4">
        <w:rPr>
          <w:rFonts w:ascii="Verdana" w:hAnsi="Verdana" w:cs="Arial"/>
          <w:sz w:val="22"/>
          <w:lang w:val="es-ES"/>
        </w:rPr>
        <w:t>, en los términos pactados en el contrato, por la adecuada y oportuna ejecución del objeto contractual, derecho que se encuentra reconocido en el numeral 1 del artículo 5 de la Ley 80 de 1993</w:t>
      </w:r>
      <w:r w:rsidRPr="003D18D4">
        <w:rPr>
          <w:rFonts w:ascii="Verdana" w:hAnsi="Verdana"/>
          <w:sz w:val="22"/>
          <w:vertAlign w:val="superscript"/>
          <w:lang w:val="es-ES"/>
        </w:rPr>
        <w:footnoteReference w:id="9"/>
      </w:r>
      <w:r w:rsidRPr="003D18D4">
        <w:rPr>
          <w:rFonts w:ascii="Verdana" w:hAnsi="Verdana" w:cs="Arial"/>
          <w:sz w:val="22"/>
          <w:lang w:val="es-ES"/>
        </w:rPr>
        <w:t xml:space="preserve">. </w:t>
      </w:r>
    </w:p>
    <w:p w14:paraId="5C0F7567" w14:textId="77777777" w:rsidR="00A96C6F" w:rsidRDefault="00A96C6F" w:rsidP="00A96C6F">
      <w:pPr>
        <w:pStyle w:val="Sinespaciado"/>
        <w:spacing w:before="120" w:line="276" w:lineRule="auto"/>
        <w:ind w:firstLine="708"/>
        <w:jc w:val="both"/>
        <w:rPr>
          <w:rFonts w:ascii="Verdana" w:eastAsia="Arial" w:hAnsi="Verdana" w:cstheme="majorHAnsi"/>
          <w:sz w:val="22"/>
          <w:lang w:val="es-ES"/>
        </w:rPr>
      </w:pPr>
      <w:r w:rsidRPr="003D18D4">
        <w:rPr>
          <w:rFonts w:ascii="Verdana" w:eastAsia="Arial" w:hAnsi="Verdana" w:cstheme="majorHAnsi"/>
          <w:sz w:val="22"/>
          <w:lang w:val="es-ES"/>
        </w:rPr>
        <w:t xml:space="preserve">En este sentido, frente a la materia objeto de consulta, se resalta que no existe disposición alguna en el ordenamiento jurídico que impida a las entidades pactar el precio global en el contrato de interventoría. Por el contrario, en virtud de la autonomía de la voluntad, las entidades pueden adoptar los mecanismos </w:t>
      </w:r>
      <w:r w:rsidRPr="003D18D4">
        <w:rPr>
          <w:rFonts w:ascii="Verdana" w:eastAsia="Arial" w:hAnsi="Verdana" w:cstheme="majorHAnsi"/>
          <w:sz w:val="22"/>
          <w:lang w:val="es-ES"/>
        </w:rPr>
        <w:lastRenderedPageBreak/>
        <w:t>para determinar el precio que consideren necesarios y convenientes, siempre que no contraríen el ordenamiento jurídico.</w:t>
      </w:r>
    </w:p>
    <w:p w14:paraId="5817D7BE" w14:textId="77777777" w:rsidR="00A96C6F" w:rsidRPr="003D18D4" w:rsidRDefault="00A96C6F" w:rsidP="00A96C6F">
      <w:pPr>
        <w:pStyle w:val="Sinespaciado"/>
        <w:spacing w:line="276" w:lineRule="auto"/>
        <w:ind w:firstLine="708"/>
        <w:jc w:val="both"/>
        <w:rPr>
          <w:rFonts w:ascii="Verdana" w:hAnsi="Verdana" w:cs="Arial"/>
          <w:sz w:val="22"/>
          <w:lang w:val="es-ES"/>
        </w:rPr>
      </w:pPr>
      <w:r w:rsidRPr="003D18D4">
        <w:rPr>
          <w:rFonts w:ascii="Verdana" w:eastAsia="Arial" w:hAnsi="Verdana" w:cstheme="majorHAnsi"/>
          <w:sz w:val="22"/>
          <w:lang w:val="es-ES"/>
        </w:rPr>
        <w:t xml:space="preserve"> </w:t>
      </w:r>
    </w:p>
    <w:p w14:paraId="25BC805F" w14:textId="77777777" w:rsidR="00A96C6F" w:rsidRPr="003D18D4" w:rsidRDefault="00A96C6F" w:rsidP="00A96C6F">
      <w:pPr>
        <w:spacing w:after="120" w:line="276" w:lineRule="auto"/>
        <w:jc w:val="both"/>
        <w:rPr>
          <w:rFonts w:ascii="Verdana" w:hAnsi="Verdana" w:cs="Arial"/>
          <w:lang w:val="es-ES"/>
        </w:rPr>
      </w:pPr>
      <w:proofErr w:type="spellStart"/>
      <w:r w:rsidRPr="003D18D4">
        <w:rPr>
          <w:rFonts w:ascii="Verdana" w:eastAsia="Calibri" w:hAnsi="Verdana" w:cs="Arial"/>
          <w:lang w:val="es-ES"/>
        </w:rPr>
        <w:t>ii</w:t>
      </w:r>
      <w:proofErr w:type="spellEnd"/>
      <w:r w:rsidRPr="003D18D4">
        <w:rPr>
          <w:rFonts w:ascii="Verdana" w:eastAsia="Calibri" w:hAnsi="Verdana" w:cs="Arial"/>
          <w:lang w:val="es-ES"/>
        </w:rPr>
        <w:t xml:space="preserve">. </w:t>
      </w:r>
      <w:r w:rsidRPr="003D18D4">
        <w:rPr>
          <w:rFonts w:ascii="Verdana" w:hAnsi="Verdana" w:cs="Arial"/>
          <w:lang w:val="es-ES"/>
        </w:rPr>
        <w:t xml:space="preserve">Ahora bien, uno de los elementos más comunes en los contratos estatales es el </w:t>
      </w:r>
      <w:r w:rsidRPr="003D18D4">
        <w:rPr>
          <w:rFonts w:ascii="Verdana" w:hAnsi="Verdana" w:cs="Arial"/>
          <w:i/>
          <w:iCs/>
          <w:lang w:val="es-ES"/>
        </w:rPr>
        <w:t>precio</w:t>
      </w:r>
      <w:r w:rsidRPr="003D18D4">
        <w:rPr>
          <w:rFonts w:ascii="Verdana" w:hAnsi="Verdana" w:cs="Arial"/>
          <w:lang w:val="es-ES"/>
        </w:rPr>
        <w:t>, también conocido como valor. Aunque no todo contrato lo incluye –pues también existen negocios gratuitos– lo usual es que los contratos estatales se perfeccionen como onerosos y, la mayoría de las veces, como conmutativos. Adicionalmente, el precio suele ser el elemento más importante para el contratista, porque equivale a la remuneración que la entidad contratante le pagará por la ejecución del objeto contractual.</w:t>
      </w:r>
    </w:p>
    <w:p w14:paraId="4B958903" w14:textId="77777777" w:rsidR="00A96C6F" w:rsidRPr="00F53971" w:rsidRDefault="00A96C6F" w:rsidP="00A96C6F">
      <w:pPr>
        <w:spacing w:before="120" w:after="120" w:line="276" w:lineRule="auto"/>
        <w:ind w:firstLine="709"/>
        <w:jc w:val="both"/>
        <w:rPr>
          <w:rFonts w:ascii="Verdana" w:hAnsi="Verdana" w:cs="Arial"/>
          <w:bCs/>
          <w:lang w:val="es-ES"/>
        </w:rPr>
      </w:pPr>
      <w:r w:rsidRPr="00F53971">
        <w:rPr>
          <w:rFonts w:ascii="Verdana" w:hAnsi="Verdana" w:cs="Arial"/>
          <w:bCs/>
          <w:lang w:val="es-ES"/>
        </w:rPr>
        <w:t>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entidad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F53971">
        <w:rPr>
          <w:rStyle w:val="Refdenotaalpie"/>
          <w:rFonts w:ascii="Verdana" w:hAnsi="Verdana" w:cs="Arial"/>
          <w:bCs/>
          <w:lang w:val="es-ES"/>
        </w:rPr>
        <w:footnoteReference w:id="10"/>
      </w:r>
      <w:r w:rsidRPr="00F53971">
        <w:rPr>
          <w:rFonts w:ascii="Verdana" w:hAnsi="Verdana" w:cs="Arial"/>
          <w:bCs/>
          <w:lang w:val="es-ES"/>
        </w:rPr>
        <w:t>.</w:t>
      </w:r>
    </w:p>
    <w:p w14:paraId="42B62363" w14:textId="77777777" w:rsidR="00A96C6F" w:rsidRPr="00F53971" w:rsidRDefault="00A96C6F" w:rsidP="00A96C6F">
      <w:pPr>
        <w:spacing w:before="120" w:after="120" w:line="276" w:lineRule="auto"/>
        <w:ind w:firstLine="709"/>
        <w:jc w:val="both"/>
        <w:rPr>
          <w:rFonts w:ascii="Verdana" w:hAnsi="Verdana" w:cs="Arial"/>
          <w:lang w:val="es-ES"/>
        </w:rPr>
      </w:pPr>
      <w:r w:rsidRPr="00F53971">
        <w:rPr>
          <w:rFonts w:ascii="Verdana" w:hAnsi="Verdana" w:cs="Arial"/>
          <w:lang w:val="es-ES"/>
        </w:rPr>
        <w:t xml:space="preserve">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w:t>
      </w:r>
      <w:r w:rsidRPr="00F53971">
        <w:rPr>
          <w:rFonts w:ascii="Verdana" w:hAnsi="Verdana" w:cs="Arial"/>
          <w:lang w:val="es-ES"/>
        </w:rPr>
        <w:lastRenderedPageBreak/>
        <w:t xml:space="preserve">establecimiento del precio pueden citarse, entre otros: i) los precios unitarios –calculados de acuerdo con las unidades que componen el objeto del contrato–, </w:t>
      </w:r>
      <w:proofErr w:type="spellStart"/>
      <w:r w:rsidRPr="00F53971">
        <w:rPr>
          <w:rFonts w:ascii="Verdana" w:hAnsi="Verdana" w:cs="Arial"/>
          <w:lang w:val="es-ES"/>
        </w:rPr>
        <w:t>ii</w:t>
      </w:r>
      <w:proofErr w:type="spellEnd"/>
      <w:r w:rsidRPr="00F53971">
        <w:rPr>
          <w:rFonts w:ascii="Verdana" w:hAnsi="Verdana" w:cs="Arial"/>
          <w:lang w:val="es-ES"/>
        </w:rPr>
        <w:t xml:space="preserve">) el precio global –que equivale al monto total, sin discriminar unidades–, y </w:t>
      </w:r>
      <w:proofErr w:type="spellStart"/>
      <w:r w:rsidRPr="00F53971">
        <w:rPr>
          <w:rFonts w:ascii="Verdana" w:hAnsi="Verdana" w:cs="Arial"/>
          <w:lang w:val="es-ES"/>
        </w:rPr>
        <w:t>iii</w:t>
      </w:r>
      <w:proofErr w:type="spellEnd"/>
      <w:r w:rsidRPr="00F53971">
        <w:rPr>
          <w:rFonts w:ascii="Verdana" w:hAnsi="Verdana" w:cs="Arial"/>
          <w:lang w:val="es-ES"/>
        </w:rPr>
        <w:t>) la administración delegada de recursos –en la que se distinguen los costos de inversión de los honorarios del administrador–.</w:t>
      </w:r>
    </w:p>
    <w:p w14:paraId="60786B00" w14:textId="77777777" w:rsidR="00A96C6F" w:rsidRPr="00F53971" w:rsidRDefault="00A96C6F" w:rsidP="00A96C6F">
      <w:pPr>
        <w:spacing w:line="276" w:lineRule="auto"/>
        <w:ind w:firstLine="709"/>
        <w:jc w:val="both"/>
        <w:rPr>
          <w:rFonts w:ascii="Verdana" w:hAnsi="Verdana" w:cs="Arial"/>
          <w:sz w:val="21"/>
          <w:szCs w:val="21"/>
          <w:lang w:val="es-ES"/>
        </w:rPr>
      </w:pPr>
      <w:r w:rsidRPr="00F53971">
        <w:rPr>
          <w:rFonts w:ascii="Verdana" w:hAnsi="Verdana" w:cs="Arial"/>
          <w:bCs/>
          <w:lang w:val="es-ES"/>
        </w:rPr>
        <w:t xml:space="preserve">Por ejemplo, en los contratos cuyo precio se estructura a partir del sistema de precios unitarios, ha hecho parte de la práctica de los negocios que el contratante le solicite al potencial contratista que separe en su propuesta los costos directos –es decir, los que están directamente implicados en la ejecución del objeto–, de los costos indirectos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En tal sentido, mientras que los costos directos se evidencian en el análisis de precios unitarios –APU–, como la sumatoria de los valores de los </w:t>
      </w:r>
      <w:r w:rsidRPr="00F53971">
        <w:rPr>
          <w:rFonts w:ascii="Verdana" w:hAnsi="Verdana" w:cs="Arial"/>
          <w:bCs/>
          <w:i/>
          <w:iCs/>
          <w:lang w:val="es-ES"/>
        </w:rPr>
        <w:t>ítems</w:t>
      </w:r>
      <w:r w:rsidRPr="00F53971">
        <w:rPr>
          <w:rFonts w:ascii="Verdana" w:hAnsi="Verdana" w:cs="Arial"/>
          <w:bCs/>
          <w:lang w:val="es-ES"/>
        </w:rPr>
        <w:t xml:space="preserve"> según su unidad de medida, los costos indirectos se suelen abreviar en las variables que integran el acrónimo AIU –Administración, Imprevistos y Utilidad–, que se calcula como un porcentaje aplicado a los costos indirectos</w:t>
      </w:r>
      <w:r w:rsidRPr="00F53971">
        <w:rPr>
          <w:rStyle w:val="Refdenotaalpie"/>
          <w:rFonts w:ascii="Verdana" w:hAnsi="Verdana" w:cs="Arial"/>
          <w:sz w:val="21"/>
          <w:szCs w:val="21"/>
          <w:lang w:val="es-ES"/>
        </w:rPr>
        <w:footnoteReference w:id="11"/>
      </w:r>
      <w:r w:rsidRPr="00F53971">
        <w:rPr>
          <w:rFonts w:ascii="Verdana" w:hAnsi="Verdana" w:cs="Arial"/>
          <w:sz w:val="21"/>
          <w:szCs w:val="21"/>
          <w:lang w:val="es-ES"/>
        </w:rPr>
        <w:t>.</w:t>
      </w:r>
    </w:p>
    <w:p w14:paraId="06ADB745" w14:textId="77777777" w:rsidR="00A96C6F" w:rsidRPr="00F53971" w:rsidRDefault="00A96C6F" w:rsidP="00A96C6F">
      <w:pPr>
        <w:spacing w:after="120" w:line="276" w:lineRule="auto"/>
        <w:ind w:firstLine="709"/>
        <w:jc w:val="both"/>
        <w:rPr>
          <w:rFonts w:ascii="Verdana" w:hAnsi="Verdana" w:cs="Arial"/>
          <w:lang w:val="es-ES"/>
        </w:rPr>
      </w:pPr>
      <w:r w:rsidRPr="00F53971">
        <w:rPr>
          <w:rFonts w:ascii="Verdana" w:hAnsi="Verdana" w:cs="Arial"/>
          <w:lang w:val="es-ES"/>
        </w:rPr>
        <w:t>De igual forma, para efectos de la consultorías e interventorías, el factor multiplicador es una metodología permite imputar al contrato los costos directos asociados a prestaciones laborales y sociales del personal vinculado con carácter exclusivo al proyecto, la utilidad del ingeniero y los costos de administración asociados al personal, afectando el valor parcial de la oferta por un factor multiplicador</w:t>
      </w:r>
      <w:r w:rsidRPr="00F53971">
        <w:rPr>
          <w:rStyle w:val="Refdenotaalpie"/>
          <w:rFonts w:ascii="Verdana" w:hAnsi="Verdana" w:cs="Arial"/>
          <w:lang w:val="es-ES"/>
        </w:rPr>
        <w:footnoteReference w:id="12"/>
      </w:r>
      <w:r w:rsidRPr="00F53971">
        <w:rPr>
          <w:rFonts w:ascii="Verdana" w:hAnsi="Verdana" w:cs="Arial"/>
          <w:lang w:val="es-ES"/>
        </w:rPr>
        <w:t xml:space="preserve">. De esta manera se obtiene un subtotal de costos directos a partir de la sumatoria de los valores correspondientes los salarios del personal, incrementado a partir de su multiplicación por un factor que suele consistir en una cifra de dos dígitos, con una parte entera y otra decimal. Esto sin perjuicio de la incorporación de otros costos directos como viáticos, alquiler de equipos, </w:t>
      </w:r>
      <w:r w:rsidRPr="00F53971">
        <w:rPr>
          <w:rFonts w:ascii="Verdana" w:hAnsi="Verdana" w:cs="Arial"/>
          <w:lang w:val="es-ES"/>
        </w:rPr>
        <w:lastRenderedPageBreak/>
        <w:t xml:space="preserve">oficinas, etc., cuya discriminación se exige de manera separada de los costos de personal, para ser sumados al valor resultante la aplicación del factor multiplicador. </w:t>
      </w:r>
    </w:p>
    <w:p w14:paraId="515C847E" w14:textId="77777777" w:rsidR="00A96C6F" w:rsidRPr="00F53971" w:rsidRDefault="00A96C6F" w:rsidP="00A96C6F">
      <w:pPr>
        <w:spacing w:after="120" w:line="276" w:lineRule="auto"/>
        <w:ind w:firstLine="709"/>
        <w:jc w:val="both"/>
        <w:textAlignment w:val="baseline"/>
        <w:rPr>
          <w:rFonts w:ascii="Verdana" w:eastAsia="Times New Roman" w:hAnsi="Verdana" w:cs="Arial"/>
          <w:bCs/>
          <w:color w:val="00B0F0"/>
          <w:lang w:val="es-ES" w:eastAsia="es-CO"/>
        </w:rPr>
      </w:pPr>
      <w:r w:rsidRPr="00F53971">
        <w:rPr>
          <w:rFonts w:ascii="Verdana" w:eastAsia="Times New Roman" w:hAnsi="Verdana" w:cs="Arial"/>
          <w:lang w:val="es-ES" w:eastAsia="es-CO"/>
        </w:rPr>
        <w:t xml:space="preserve">En ese contexto, las metodologías señaladas están asociadas, por un lado, a la estimación del valor del contrato por parte de la Entidad Estatal en el marco de lo requerido por la planeación correspondiente, </w:t>
      </w:r>
      <w:proofErr w:type="gramStart"/>
      <w:r w:rsidRPr="00F53971">
        <w:rPr>
          <w:rFonts w:ascii="Verdana" w:eastAsia="Times New Roman" w:hAnsi="Verdana" w:cs="Arial"/>
          <w:lang w:val="es-ES" w:eastAsia="es-CO"/>
        </w:rPr>
        <w:t>y</w:t>
      </w:r>
      <w:proofErr w:type="gramEnd"/>
      <w:r w:rsidRPr="00F53971">
        <w:rPr>
          <w:rFonts w:ascii="Verdana" w:eastAsia="Times New Roman" w:hAnsi="Verdana" w:cs="Arial"/>
          <w:lang w:val="es-ES" w:eastAsia="es-CO"/>
        </w:rPr>
        <w:t xml:space="preserve"> por otro lado, a la determinación del precio del contrato en el marco del proceso de selección, en la medida en que se tornan relevantes para la presentación de la oferta económica. Sin embargo, debe advertirse que no son asuntos expresamente regulados en el conjunto de las disposiciones legales y reglamentarias que integran la normativa contractual del Estado. La justificación de estas formas de establecer o cotizar el precio procede, incluso, de la formación universitaria que reciben los ingenieros, a quienes se les enseña esta metodología para elaborar las ofertas. En ese sentido, estas metodologías para la configuración del precio del contrato, determinantes para la elaboración de la propuesta económica, no proceden de la ley ni del reglamento, sino de la costumbre</w:t>
      </w:r>
      <w:r w:rsidRPr="00F53971">
        <w:rPr>
          <w:rFonts w:ascii="Verdana" w:eastAsia="Times New Roman" w:hAnsi="Verdana" w:cs="Arial"/>
          <w:vertAlign w:val="superscript"/>
          <w:lang w:val="es-ES" w:eastAsia="es-CO"/>
        </w:rPr>
        <w:footnoteReference w:id="13"/>
      </w:r>
      <w:r w:rsidRPr="00F53971">
        <w:rPr>
          <w:rFonts w:ascii="Verdana" w:eastAsia="Times New Roman" w:hAnsi="Verdana" w:cs="Arial"/>
          <w:bCs/>
          <w:lang w:val="es-ES" w:eastAsia="es-CO"/>
        </w:rPr>
        <w:t>.</w:t>
      </w:r>
    </w:p>
    <w:p w14:paraId="6553B8FA" w14:textId="77777777" w:rsidR="00A96C6F" w:rsidRPr="00F53971" w:rsidRDefault="00A96C6F" w:rsidP="00A96C6F">
      <w:pPr>
        <w:spacing w:after="120" w:line="276" w:lineRule="auto"/>
        <w:ind w:firstLine="709"/>
        <w:jc w:val="both"/>
        <w:rPr>
          <w:rFonts w:ascii="Verdana" w:hAnsi="Verdana" w:cs="Arial"/>
          <w:lang w:val="es-ES"/>
        </w:rPr>
      </w:pPr>
      <w:r w:rsidRPr="00F53971">
        <w:rPr>
          <w:rFonts w:ascii="Verdana" w:hAnsi="Verdana" w:cs="Arial"/>
          <w:lang w:val="es-ES"/>
        </w:rPr>
        <w:t>Pese a que el Estatuto General de Contratación de la Administración Pública, en adelante EGCAP, no establece una regulación integral o detallada conforme a la cual se debe dar la estructuración del valor del contrato cuando se usa el sistema de precios unitarios, el Decreto 1082 de 2015 impone taxativamente una carga justificativa para las entidades que utilicen dicho sistema. Al respecto, el artículo 2.2.1.1.2.1.1 del Decreto 1082 de 2015 que regula el contenido del estudio del sector, indica en su numeral 4 que: “Cuando el valor del contrato esté determinado por precios unitarios, la Entidad Estatal debe incluir la forma como los calculó y soportar sus cálculos presupuestales en la estimación de aquello”. En todo caso, esta Agencia estima que, si bien el factor multiplicador no está mencionado en el referido artículo, ello no implica que la entidad esté exenta del deber de incluir en los estudios previos, la razón por la cual determinó la viabilidad o conveniencia de usar tal metodología para estimar el valor del contrato, esto, independientemente del método que haya utilizado para calcularlo.</w:t>
      </w:r>
    </w:p>
    <w:p w14:paraId="57EC3B8A" w14:textId="77777777" w:rsidR="00A96C6F" w:rsidRPr="00F53971" w:rsidRDefault="00A96C6F" w:rsidP="00A96C6F">
      <w:pPr>
        <w:spacing w:after="120" w:line="276" w:lineRule="auto"/>
        <w:ind w:firstLine="709"/>
        <w:jc w:val="both"/>
        <w:rPr>
          <w:rFonts w:ascii="Verdana" w:hAnsi="Verdana" w:cs="Arial"/>
          <w:lang w:val="es-ES"/>
        </w:rPr>
      </w:pPr>
      <w:r w:rsidRPr="00F53971">
        <w:rPr>
          <w:rFonts w:ascii="Verdana" w:hAnsi="Verdana" w:cs="Arial"/>
          <w:lang w:val="es-ES"/>
        </w:rPr>
        <w:t xml:space="preserve">El principal sustento para que las Entidades Estatales sujetas al EGCAP, como las excluidas de este, apliquen las referidas metodologías, es la autonomía </w:t>
      </w:r>
      <w:r w:rsidRPr="00F53971">
        <w:rPr>
          <w:rFonts w:ascii="Verdana" w:hAnsi="Verdana" w:cs="Arial"/>
          <w:lang w:val="es-ES"/>
        </w:rPr>
        <w:lastRenderedPageBreak/>
        <w:t xml:space="preserve">de la que gozan para la estructuración de las condiciones del negocio jurídico, determinando el sistema más apropiado para satisfacer los fines de la contratación, respetando los límites previstos en el ordenamiento. </w:t>
      </w:r>
      <w:r w:rsidRPr="00F53971">
        <w:rPr>
          <w:rFonts w:ascii="Verdana" w:hAnsi="Verdana" w:cs="Arial"/>
          <w:bCs/>
          <w:lang w:val="es-ES"/>
        </w:rPr>
        <w:t xml:space="preserve">Para las entidades que se rigen por el Estatuto General de Contratación de la Administración Pública, tal autonomía está reconocida en los artículos 13, 32 y 40 de la Ley 80 de 1993. </w:t>
      </w:r>
      <w:r w:rsidRPr="00F53971">
        <w:rPr>
          <w:rFonts w:ascii="Verdana" w:hAnsi="Verdana" w:cs="Arial"/>
          <w:lang w:val="es-ES"/>
        </w:rPr>
        <w:t>De ahí que, las entidades cuenten con la discrecionalidad para disponer en los documentos del proceso, la aplicación de metodologías como las explicadas, siempre que resulten adecuadas y proporcionales al objeto del contrato.</w:t>
      </w:r>
    </w:p>
    <w:p w14:paraId="1CB50C7B" w14:textId="77777777" w:rsidR="00A96C6F" w:rsidRPr="00F53971" w:rsidRDefault="00A96C6F" w:rsidP="00A96C6F">
      <w:pPr>
        <w:spacing w:after="120" w:line="276" w:lineRule="auto"/>
        <w:ind w:firstLine="709"/>
        <w:jc w:val="both"/>
        <w:rPr>
          <w:rFonts w:ascii="Verdana" w:hAnsi="Verdana" w:cs="Arial"/>
          <w:lang w:val="es-ES"/>
        </w:rPr>
      </w:pPr>
      <w:r w:rsidRPr="00F53971">
        <w:rPr>
          <w:rFonts w:ascii="Verdana" w:hAnsi="Verdana" w:cs="Arial"/>
          <w:lang w:val="es-ES"/>
        </w:rPr>
        <w:t>En este orden de ideas, ante la ausencia de un marco normativo particularmente aplicable a las referidas metodologías, corresponderá a las Entidades Estatales establecer las reglas para su aplicación, con el propósito de dar a conocer los aspectos que deben tenerse en cuenta a la hora de configurar las ofertas. A partir de tales reglas, la entidad podrá exigir el desglose de determinados factores imputables a costos directos de cierta forma, realizar una tasación del AIU o el factor multiplicador, y en general, establecer parámetros que garanticen el desarrollo de principios de la función administrativa y de la gestión fiscal, dentro de los cuales se encuentra el principio de economía, postulado este, que exige la optimización de los recursos públicos.</w:t>
      </w:r>
    </w:p>
    <w:p w14:paraId="68AC7B03" w14:textId="77777777" w:rsidR="00A96C6F" w:rsidRPr="00F53971" w:rsidRDefault="00A96C6F" w:rsidP="00A96C6F">
      <w:pPr>
        <w:spacing w:before="120" w:after="0" w:line="276" w:lineRule="auto"/>
        <w:ind w:firstLine="708"/>
        <w:jc w:val="both"/>
        <w:rPr>
          <w:rFonts w:ascii="Verdana" w:eastAsia="Arial" w:hAnsi="Verdana" w:cstheme="majorHAnsi"/>
          <w:lang w:val="es-ES"/>
        </w:rPr>
      </w:pPr>
      <w:r w:rsidRPr="00F53971">
        <w:rPr>
          <w:rFonts w:ascii="Verdana" w:eastAsia="Arial" w:hAnsi="Verdana" w:cstheme="majorHAnsi"/>
          <w:lang w:val="es-ES"/>
        </w:rPr>
        <w:t>Así las cosas, las entidades gozan de autonomía para configurar el precio y las adiciones presupuestales para satisfacer los fines de la contratación y cumplir con los objetivos de vigilancia del contrato de interventoría, respetando los límites previstos en el ordenamiento. Para las entidades que se rigen por el Estatuto General de Contratación de la Administración Pública, esta autonomía está reconocida en los artículos 13</w:t>
      </w:r>
      <w:r w:rsidRPr="00F53971">
        <w:rPr>
          <w:rStyle w:val="Refdenotaalpie"/>
          <w:rFonts w:ascii="Verdana" w:eastAsia="Arial" w:hAnsi="Verdana" w:cstheme="majorHAnsi"/>
          <w:lang w:val="es-ES"/>
        </w:rPr>
        <w:footnoteReference w:id="14"/>
      </w:r>
      <w:r w:rsidRPr="00F53971">
        <w:rPr>
          <w:rFonts w:ascii="Verdana" w:eastAsia="Arial" w:hAnsi="Verdana" w:cstheme="majorHAnsi"/>
          <w:lang w:val="es-ES"/>
        </w:rPr>
        <w:t>, 32</w:t>
      </w:r>
      <w:r w:rsidRPr="00F53971">
        <w:rPr>
          <w:rStyle w:val="Refdenotaalpie"/>
          <w:rFonts w:ascii="Verdana" w:eastAsia="Arial" w:hAnsi="Verdana" w:cstheme="majorHAnsi"/>
          <w:lang w:val="es-ES"/>
        </w:rPr>
        <w:footnoteReference w:id="15"/>
      </w:r>
      <w:r w:rsidRPr="00F53971">
        <w:rPr>
          <w:rFonts w:ascii="Verdana" w:eastAsia="Arial" w:hAnsi="Verdana" w:cstheme="majorHAnsi"/>
          <w:lang w:val="es-ES"/>
        </w:rPr>
        <w:t xml:space="preserve"> y 40 de la Ley 80 de 1993. En particular, éste último señala que:</w:t>
      </w:r>
    </w:p>
    <w:p w14:paraId="3BF80200" w14:textId="77777777" w:rsidR="00A96C6F" w:rsidRPr="00F53971" w:rsidRDefault="00A96C6F" w:rsidP="00A96C6F">
      <w:pPr>
        <w:spacing w:after="0" w:line="276" w:lineRule="auto"/>
        <w:ind w:firstLine="708"/>
        <w:jc w:val="both"/>
        <w:rPr>
          <w:rFonts w:ascii="Verdana" w:eastAsia="Arial" w:hAnsi="Verdana" w:cstheme="majorHAnsi"/>
          <w:lang w:val="es-ES"/>
        </w:rPr>
      </w:pPr>
    </w:p>
    <w:p w14:paraId="347180A9" w14:textId="77777777" w:rsidR="00A96C6F" w:rsidRPr="00F53971" w:rsidRDefault="00A96C6F" w:rsidP="00A96C6F">
      <w:pPr>
        <w:snapToGrid w:val="0"/>
        <w:spacing w:after="120" w:line="240" w:lineRule="auto"/>
        <w:ind w:left="709" w:right="709"/>
        <w:jc w:val="both"/>
        <w:textAlignment w:val="baseline"/>
        <w:rPr>
          <w:rFonts w:ascii="Verdana" w:eastAsia="Aptos" w:hAnsi="Verdana" w:cs="Arial"/>
          <w:sz w:val="20"/>
          <w:szCs w:val="20"/>
          <w:lang w:val="es-ES" w:eastAsia="es-MX"/>
        </w:rPr>
      </w:pPr>
      <w:r w:rsidRPr="00F53971">
        <w:rPr>
          <w:rFonts w:ascii="Verdana" w:eastAsia="Aptos" w:hAnsi="Verdana" w:cs="Arial"/>
          <w:sz w:val="20"/>
          <w:szCs w:val="20"/>
          <w:lang w:val="es-ES" w:eastAsia="es-MX"/>
        </w:rPr>
        <w:t xml:space="preserve">“Las estipulaciones de los contratos serán las </w:t>
      </w:r>
      <w:proofErr w:type="gramStart"/>
      <w:r w:rsidRPr="00F53971">
        <w:rPr>
          <w:rFonts w:ascii="Verdana" w:eastAsia="Aptos" w:hAnsi="Verdana" w:cs="Arial"/>
          <w:sz w:val="20"/>
          <w:szCs w:val="20"/>
          <w:lang w:val="es-ES" w:eastAsia="es-MX"/>
        </w:rPr>
        <w:t>que</w:t>
      </w:r>
      <w:proofErr w:type="gramEnd"/>
      <w:r w:rsidRPr="00F53971">
        <w:rPr>
          <w:rFonts w:ascii="Verdana" w:eastAsia="Aptos" w:hAnsi="Verdana" w:cs="Arial"/>
          <w:sz w:val="20"/>
          <w:szCs w:val="20"/>
          <w:lang w:val="es-ES" w:eastAsia="es-MX"/>
        </w:rPr>
        <w:t xml:space="preserve"> de acuerdo con las normas civiles, comerciales y las previstas en esta Ley, correspondan a su esencia y naturaleza.</w:t>
      </w:r>
    </w:p>
    <w:p w14:paraId="016191E4" w14:textId="77777777" w:rsidR="00A96C6F" w:rsidRPr="00F53971" w:rsidRDefault="00A96C6F" w:rsidP="00A96C6F">
      <w:pPr>
        <w:snapToGrid w:val="0"/>
        <w:spacing w:before="120" w:after="120" w:line="240" w:lineRule="auto"/>
        <w:ind w:left="709" w:right="709"/>
        <w:jc w:val="both"/>
        <w:textAlignment w:val="baseline"/>
        <w:rPr>
          <w:rFonts w:ascii="Verdana" w:eastAsia="Aptos" w:hAnsi="Verdana" w:cs="Arial"/>
          <w:sz w:val="20"/>
          <w:szCs w:val="20"/>
          <w:lang w:val="es-ES" w:eastAsia="es-MX"/>
        </w:rPr>
      </w:pPr>
      <w:r w:rsidRPr="00F53971">
        <w:rPr>
          <w:rFonts w:ascii="Verdana" w:eastAsia="Aptos" w:hAnsi="Verdana" w:cs="Arial"/>
          <w:sz w:val="20"/>
          <w:szCs w:val="20"/>
          <w:lang w:val="es-ES" w:eastAsia="es-MX"/>
        </w:rPr>
        <w:lastRenderedPageBreak/>
        <w:t>Las entidades podrán celebrar los contratos y acuerdos que permitan la autonomía de la voluntad y requieran el cumplimiento de los fines estatales.</w:t>
      </w:r>
    </w:p>
    <w:p w14:paraId="172677AD" w14:textId="77777777" w:rsidR="00A96C6F" w:rsidRPr="00F53971" w:rsidRDefault="00A96C6F" w:rsidP="00A96C6F">
      <w:pPr>
        <w:snapToGrid w:val="0"/>
        <w:spacing w:before="120" w:after="120" w:line="240" w:lineRule="auto"/>
        <w:ind w:left="709" w:right="709"/>
        <w:jc w:val="both"/>
        <w:textAlignment w:val="baseline"/>
        <w:rPr>
          <w:rFonts w:ascii="Verdana" w:eastAsia="Aptos" w:hAnsi="Verdana" w:cs="Arial"/>
          <w:sz w:val="20"/>
          <w:szCs w:val="20"/>
          <w:lang w:val="es-ES" w:eastAsia="es-MX"/>
        </w:rPr>
      </w:pPr>
      <w:r w:rsidRPr="00F53971">
        <w:rPr>
          <w:rFonts w:ascii="Verdana" w:eastAsia="Aptos" w:hAnsi="Verdana" w:cs="Arial"/>
          <w:sz w:val="20"/>
          <w:szCs w:val="20"/>
          <w:lang w:val="es-ES" w:eastAsia="es-MX"/>
        </w:rPr>
        <w:t>En los contratos que celebren las entidades estatales podrán incluirse las modalidades, condiciones y, en general, las cláusulas o estipulaciones que las partes consideren necesarias y convenientes, siempre que no sean contrarias a la Constitución, la ley, el orden público y a los principios y finalidades de esta Ley y a los de la buena administración.</w:t>
      </w:r>
    </w:p>
    <w:p w14:paraId="39C9E2E5" w14:textId="77777777" w:rsidR="00A96C6F" w:rsidRPr="00F53971" w:rsidRDefault="00A96C6F" w:rsidP="00A96C6F">
      <w:pPr>
        <w:snapToGrid w:val="0"/>
        <w:spacing w:before="120" w:after="0" w:line="240" w:lineRule="auto"/>
        <w:ind w:left="709" w:right="709"/>
        <w:jc w:val="both"/>
        <w:textAlignment w:val="baseline"/>
        <w:rPr>
          <w:rFonts w:ascii="Verdana" w:eastAsia="Aptos" w:hAnsi="Verdana" w:cs="Arial"/>
          <w:sz w:val="20"/>
          <w:szCs w:val="20"/>
          <w:lang w:val="es-ES" w:eastAsia="es-MX"/>
        </w:rPr>
      </w:pPr>
      <w:r w:rsidRPr="00F53971">
        <w:rPr>
          <w:rFonts w:ascii="Verdana" w:eastAsia="Aptos" w:hAnsi="Verdana" w:cs="Arial"/>
          <w:sz w:val="20"/>
          <w:szCs w:val="20"/>
          <w:lang w:val="es-ES" w:eastAsia="es-MX"/>
        </w:rPr>
        <w:t>En los contratos de empréstito o cualquier otra forma de financiación de organismos multilaterales, podrán incluirse las previsiones y particularidades contempladas en los reglamentos de tales entidades, que no sean contrarias a la Constitución o a la ley […]”</w:t>
      </w:r>
    </w:p>
    <w:p w14:paraId="11122F44" w14:textId="77777777" w:rsidR="00A96C6F" w:rsidRPr="00F53971" w:rsidRDefault="00A96C6F" w:rsidP="00A96C6F">
      <w:pPr>
        <w:widowControl w:val="0"/>
        <w:tabs>
          <w:tab w:val="left" w:pos="709"/>
        </w:tabs>
        <w:autoSpaceDE w:val="0"/>
        <w:autoSpaceDN w:val="0"/>
        <w:spacing w:after="0" w:line="276" w:lineRule="auto"/>
        <w:jc w:val="both"/>
        <w:outlineLvl w:val="0"/>
        <w:rPr>
          <w:rFonts w:ascii="Verdana" w:eastAsia="Arial" w:hAnsi="Verdana" w:cstheme="majorHAnsi"/>
          <w:lang w:val="es-ES"/>
        </w:rPr>
      </w:pPr>
    </w:p>
    <w:p w14:paraId="01AC0B30" w14:textId="77777777" w:rsidR="00A96C6F" w:rsidRPr="00F53971" w:rsidRDefault="00A96C6F" w:rsidP="00A96C6F">
      <w:pPr>
        <w:spacing w:after="120" w:line="276" w:lineRule="auto"/>
        <w:ind w:firstLine="709"/>
        <w:jc w:val="both"/>
        <w:rPr>
          <w:rFonts w:ascii="Verdana" w:hAnsi="Verdana" w:cs="Arial"/>
          <w:lang w:val="es-ES"/>
        </w:rPr>
      </w:pPr>
      <w:r w:rsidRPr="00F53971">
        <w:rPr>
          <w:rFonts w:ascii="Verdana" w:hAnsi="Verdana" w:cs="Arial"/>
          <w:lang w:val="es-ES"/>
        </w:rPr>
        <w:t>Bajo esta órbita, se aclara que los proponentes al momento de estructurar sus ofertas tienen la obligación, respecto del proceso de selección, de conocer las normas que lo rigen, sus características, condiciones de ejecución del contrato y riesgos previsibles. Esto, en razón a que, mediante la presentación de la oferta se pone en contexto a la entidad contratante frente a una serie de documentos que en conjunto conforman un acervo probatorio, de los requisitos que se pretenden hacer valer y que permiten determinar, entre varias ofertas, la que represente la mejor condición de elegibilidad.</w:t>
      </w:r>
    </w:p>
    <w:p w14:paraId="4035EEDA" w14:textId="77777777" w:rsidR="00A96C6F" w:rsidRPr="00F53971" w:rsidRDefault="00A96C6F" w:rsidP="00A96C6F">
      <w:pPr>
        <w:spacing w:after="120"/>
        <w:jc w:val="both"/>
        <w:rPr>
          <w:rFonts w:ascii="Verdana" w:hAnsi="Verdana" w:cs="Arial"/>
          <w:lang w:val="es-ES"/>
        </w:rPr>
      </w:pPr>
      <w:proofErr w:type="spellStart"/>
      <w:r w:rsidRPr="00F53971">
        <w:rPr>
          <w:rFonts w:ascii="Verdana" w:hAnsi="Verdana" w:cs="Arial"/>
          <w:lang w:val="es-ES"/>
        </w:rPr>
        <w:t>i</w:t>
      </w:r>
      <w:r>
        <w:rPr>
          <w:rFonts w:ascii="Verdana" w:hAnsi="Verdana" w:cs="Arial"/>
          <w:lang w:val="es-ES"/>
        </w:rPr>
        <w:t>i</w:t>
      </w:r>
      <w:r w:rsidRPr="00F53971">
        <w:rPr>
          <w:rFonts w:ascii="Verdana" w:hAnsi="Verdana" w:cs="Arial"/>
          <w:lang w:val="es-ES"/>
        </w:rPr>
        <w:t>i</w:t>
      </w:r>
      <w:proofErr w:type="spellEnd"/>
      <w:r w:rsidRPr="00F53971">
        <w:rPr>
          <w:rFonts w:ascii="Verdana" w:hAnsi="Verdana" w:cs="Arial"/>
          <w:lang w:val="es-ES"/>
        </w:rPr>
        <w:t xml:space="preserve">. Con respecto al segundo problema jurídico planteado es preciso aclarar que los contratos estatales pueden ser objeto de situaciones que impliquen la necesidad de adicionar o modificar las condiciones inicialmente pactadas, conforme lo establece el artículo 40 de la Ley 80 de 1993, pudiendo incluirse las modalidades, condiciones y, en general, las cláusulas o estipulaciones que las partes consideren necesarias para el cabal cumplimiento del objeto contractual. </w:t>
      </w:r>
    </w:p>
    <w:p w14:paraId="701906CC" w14:textId="77777777" w:rsidR="00A96C6F" w:rsidRPr="00F53971" w:rsidRDefault="00A96C6F" w:rsidP="00A96C6F">
      <w:pPr>
        <w:spacing w:after="120"/>
        <w:ind w:firstLine="709"/>
        <w:jc w:val="both"/>
        <w:rPr>
          <w:rFonts w:ascii="Verdana" w:hAnsi="Verdana" w:cs="Arial"/>
          <w:lang w:val="es-ES"/>
        </w:rPr>
      </w:pPr>
      <w:r w:rsidRPr="00F53971">
        <w:rPr>
          <w:rFonts w:ascii="Verdana" w:hAnsi="Verdana" w:cs="Arial"/>
          <w:lang w:val="es-ES"/>
        </w:rPr>
        <w:t xml:space="preserve">La ejecución de los contratos estatales está sujeta a los cambios propios del paso del tiempo. Así, durante la etapa de planeación, las entidades públicas estiman y determinan las prestaciones que demanda el cumplimiento de la necesidad de interés general que pretende satisfacer. No obstante, durante la ejecución del contrato, las partes pueden identificar alguna de las siguientes situaciones: i) la necesidad de mayores cantidades de bienes o actividades inicialmente previstos, a lo que se le conoce como “mayores cantidades de obra”, “obras adicionales” o adición de “ítems contractuales”; y </w:t>
      </w:r>
      <w:proofErr w:type="spellStart"/>
      <w:r w:rsidRPr="00F53971">
        <w:rPr>
          <w:rFonts w:ascii="Verdana" w:hAnsi="Verdana" w:cs="Arial"/>
          <w:lang w:val="es-ES"/>
        </w:rPr>
        <w:t>ii</w:t>
      </w:r>
      <w:proofErr w:type="spellEnd"/>
      <w:r w:rsidRPr="00F53971">
        <w:rPr>
          <w:rFonts w:ascii="Verdana" w:hAnsi="Verdana" w:cs="Arial"/>
          <w:lang w:val="es-ES"/>
        </w:rPr>
        <w:t xml:space="preserve">) la necesidad de ampliar las prestaciones contractuales, mediante la ejecución de nuevos ítems o actividades, no incluidos en el contrato inicial, para lo que en la práctica las entidades ejecutan “obras extra” o “amplían el alcance” del contrato mediante </w:t>
      </w:r>
      <w:r w:rsidRPr="00F53971">
        <w:rPr>
          <w:rFonts w:ascii="Verdana" w:hAnsi="Verdana" w:cs="Arial"/>
          <w:lang w:val="es-ES"/>
        </w:rPr>
        <w:lastRenderedPageBreak/>
        <w:t>la celebración de un “contrato adicional”. No obstante, estos términos –algunos de ellos usualmente empleados en contratos de obra– son nociones doctrinarias que se utilizan en la práctica por las entidades estatales, que actualmente no tienen un fundamento particular en el ordenamiento jurídico, el cual no le asigna efectos específicos a cada uno de ellos.</w:t>
      </w:r>
    </w:p>
    <w:p w14:paraId="0B26BCA5" w14:textId="77777777" w:rsidR="00A96C6F" w:rsidRPr="00F53971" w:rsidRDefault="00A96C6F" w:rsidP="00A96C6F">
      <w:pPr>
        <w:spacing w:after="120"/>
        <w:ind w:firstLine="709"/>
        <w:jc w:val="both"/>
        <w:rPr>
          <w:rFonts w:ascii="Verdana" w:hAnsi="Verdana" w:cs="Arial"/>
          <w:lang w:val="es-ES"/>
        </w:rPr>
      </w:pPr>
      <w:r w:rsidRPr="00F53971">
        <w:rPr>
          <w:rFonts w:ascii="Verdana" w:hAnsi="Verdana" w:cs="Arial"/>
          <w:lang w:val="es-ES"/>
        </w:rPr>
        <w:t>Lo importante es que, frente a cualquier incremento del valor inicial del contrato,</w:t>
      </w:r>
      <w:r w:rsidRPr="00F53971">
        <w:rPr>
          <w:rFonts w:ascii="Verdana" w:hAnsi="Verdana" w:cs="Arial"/>
          <w:i/>
          <w:iCs/>
          <w:lang w:val="es-ES"/>
        </w:rPr>
        <w:t xml:space="preserve"> </w:t>
      </w:r>
      <w:r w:rsidRPr="00F53971">
        <w:rPr>
          <w:rFonts w:ascii="Verdana" w:hAnsi="Verdana" w:cs="Arial"/>
          <w:lang w:val="es-ES"/>
        </w:rPr>
        <w:t>por cualquiera de los dos supuestos señalados previamente, e independiente del nombre que se le dé al acuerdo, aplica el límite previsto en el parágrafo del artículo 40 de la Ley 80 de 1993: “Los contratos no podrán adicionarse en más del cincuenta por ciento (50%) de su valor inicial, expresado éste en salarios mínimos legales mensuales”. De manera que, aunque es posible celebrar todos los tipos de acuerdos indicados, siempre debe observarse esta última disposición</w:t>
      </w:r>
      <w:r w:rsidRPr="00F53971">
        <w:rPr>
          <w:rStyle w:val="Refdenotaalpie"/>
          <w:rFonts w:ascii="Verdana" w:hAnsi="Verdana" w:cs="Arial"/>
          <w:lang w:val="es-ES"/>
        </w:rPr>
        <w:footnoteReference w:id="16"/>
      </w:r>
      <w:r w:rsidRPr="00F53971">
        <w:rPr>
          <w:rFonts w:ascii="Verdana" w:hAnsi="Verdana" w:cs="Arial"/>
          <w:lang w:val="es-ES"/>
        </w:rPr>
        <w:t>.</w:t>
      </w:r>
    </w:p>
    <w:p w14:paraId="681FB538" w14:textId="77777777" w:rsidR="00A96C6F" w:rsidRPr="00F53971" w:rsidRDefault="00A96C6F" w:rsidP="00A96C6F">
      <w:pPr>
        <w:spacing w:after="120"/>
        <w:ind w:firstLine="709"/>
        <w:jc w:val="both"/>
        <w:rPr>
          <w:rFonts w:ascii="Verdana" w:hAnsi="Verdana" w:cs="Arial"/>
          <w:lang w:val="es-ES"/>
        </w:rPr>
      </w:pPr>
      <w:r w:rsidRPr="00F53971">
        <w:rPr>
          <w:rFonts w:ascii="Verdana" w:hAnsi="Verdana" w:cs="Arial"/>
          <w:lang w:val="es-ES"/>
        </w:rPr>
        <w:t>Dicha norma además de consagrar una prohibición trae implícita una autorización, consistente en la posibilidad de adicionar los contratos estatales, siempre que no se supere el tope establecido. Debe tenerse en cuenta que el límite debe establecerse en salarios mínimos para que el cálculo del tope sea preciso; de manera que para adicionar un contrato debe dividirse el valor inicial por el salario mínimo vigente al momento de la suscripción del contrato, y luego dividirlo por 2; el resultado obtenido constituirá el número de SMLMV por los cuales podrá adicionarse el contrato. En este sentido, para evitar equivocaciones, lo ideal es que cada vez que se efectúe una adición, se estime su valor en salarios mínimos, los cuales se calcularán con base en el salario vigente al momento de la adición, de manera que se descuenten estos de los salarios mínimos que restan por adicionar. Esto teniendo en cuenta que las modificaciones podrían hacerse en diferentes años, porque si el contrato se ejecuta sin existir variación en el valor del salario mínimo la operación sería la misma si se toma el monto en pesos o en salarios mínimos.</w:t>
      </w:r>
    </w:p>
    <w:p w14:paraId="237816CA" w14:textId="77777777" w:rsidR="00A96C6F" w:rsidRPr="00F53971" w:rsidRDefault="00A96C6F" w:rsidP="00A96C6F">
      <w:pPr>
        <w:spacing w:after="120"/>
        <w:ind w:firstLine="709"/>
        <w:jc w:val="both"/>
        <w:rPr>
          <w:rFonts w:ascii="Verdana" w:hAnsi="Verdana" w:cs="Arial"/>
          <w:lang w:val="es-ES"/>
        </w:rPr>
      </w:pPr>
      <w:r w:rsidRPr="00F53971">
        <w:rPr>
          <w:rFonts w:ascii="Verdana" w:hAnsi="Verdana" w:cs="Arial"/>
          <w:lang w:val="es-ES"/>
        </w:rPr>
        <w:t xml:space="preserve">El razonamiento anterior se fundamenta en la forma en que la Ley 80 de 1993 estableció el tope para las adiciones, acudiendo a una forma de actualización del valor, de acuerdo con los incrementos que tenga el salario mínimo, lo que resulta especialmente relevante en contratos de larga duración. </w:t>
      </w:r>
    </w:p>
    <w:p w14:paraId="510EF702" w14:textId="77777777" w:rsidR="00A96C6F" w:rsidRPr="00F53971" w:rsidRDefault="00A96C6F" w:rsidP="00A96C6F">
      <w:pPr>
        <w:spacing w:after="0"/>
        <w:ind w:firstLine="709"/>
        <w:jc w:val="both"/>
        <w:rPr>
          <w:rFonts w:ascii="Verdana" w:hAnsi="Verdana" w:cs="Arial"/>
          <w:lang w:val="es-ES"/>
        </w:rPr>
      </w:pPr>
      <w:r w:rsidRPr="00F53971">
        <w:rPr>
          <w:rFonts w:ascii="Verdana" w:hAnsi="Verdana" w:cs="Arial"/>
          <w:lang w:val="es-ES"/>
        </w:rPr>
        <w:lastRenderedPageBreak/>
        <w:t xml:space="preserve">No obstante, lo anterior, que constituye la regla general en los contratos estatales sometidos al EGCAP, en los casos en que se requiera adicionar un contrato que tenga por objeto la interventoría de otro contrato, por cuanto el contrato objeto de vigilancia no ha concluido, ya sea porque fue suspendido el plazo o porque se amplió el plazo de ejecución, la situación se regirá por una norma especial, contenida en el artículo 85 de la Ley 1474 de 2011. Dicha norma establece: </w:t>
      </w:r>
    </w:p>
    <w:p w14:paraId="4626E756" w14:textId="77777777" w:rsidR="00A96C6F" w:rsidRPr="00F53971" w:rsidRDefault="00A96C6F" w:rsidP="00A96C6F">
      <w:pPr>
        <w:spacing w:after="0"/>
        <w:ind w:firstLine="709"/>
        <w:jc w:val="both"/>
        <w:rPr>
          <w:rFonts w:ascii="Verdana" w:hAnsi="Verdana" w:cs="Arial"/>
          <w:lang w:val="es-ES"/>
        </w:rPr>
      </w:pPr>
    </w:p>
    <w:p w14:paraId="5D859F63" w14:textId="692E240A" w:rsidR="00A96C6F" w:rsidRPr="00F53971" w:rsidRDefault="00C72D02" w:rsidP="00A96C6F">
      <w:pPr>
        <w:spacing w:after="120" w:line="240" w:lineRule="auto"/>
        <w:ind w:left="709" w:right="709"/>
        <w:jc w:val="both"/>
        <w:rPr>
          <w:rFonts w:ascii="Verdana" w:hAnsi="Verdana" w:cs="Arial"/>
          <w:sz w:val="20"/>
          <w:szCs w:val="20"/>
          <w:lang w:val="es-ES"/>
        </w:rPr>
      </w:pPr>
      <w:r>
        <w:rPr>
          <w:rFonts w:ascii="Verdana" w:hAnsi="Verdana" w:cs="Arial"/>
          <w:sz w:val="20"/>
          <w:szCs w:val="20"/>
          <w:lang w:val="es-ES"/>
        </w:rPr>
        <w:t>“</w:t>
      </w:r>
      <w:r w:rsidR="00A96C6F" w:rsidRPr="00F53971">
        <w:rPr>
          <w:rFonts w:ascii="Verdana" w:hAnsi="Verdana" w:cs="Arial"/>
          <w:sz w:val="20"/>
          <w:szCs w:val="20"/>
          <w:lang w:val="es-ES"/>
        </w:rPr>
        <w:t>Artículo 85. Continuidad de la interventoría. Los contratos de interventoría podrán prorrogarse por el mismo plazo que se haya prorrogado el contrato objeto de vigilancia. En tal caso el valor podrá ajustarse en atención a las obligaciones del objeto de interventoría, sin que resulte aplicable lo dispuesto en el parágrafo del artículo 40 de la Ley 80 de 1993.</w:t>
      </w:r>
    </w:p>
    <w:p w14:paraId="6A408E4D" w14:textId="59421261" w:rsidR="00A96C6F" w:rsidRPr="00F53971" w:rsidRDefault="00A96C6F" w:rsidP="00A96C6F">
      <w:pPr>
        <w:spacing w:after="0" w:line="240" w:lineRule="auto"/>
        <w:ind w:left="709" w:right="709" w:firstLine="1"/>
        <w:jc w:val="both"/>
        <w:rPr>
          <w:rFonts w:ascii="Verdana" w:hAnsi="Verdana" w:cs="Arial"/>
          <w:sz w:val="20"/>
          <w:szCs w:val="20"/>
          <w:lang w:val="es-ES"/>
        </w:rPr>
      </w:pPr>
      <w:r w:rsidRPr="00F53971">
        <w:rPr>
          <w:rFonts w:ascii="Verdana" w:hAnsi="Verdana" w:cs="Arial"/>
          <w:sz w:val="20"/>
          <w:szCs w:val="20"/>
          <w:lang w:val="es-ES"/>
        </w:rPr>
        <w:t>Parágrafo. Para la ejecución de los contratos de interventoría es obligatoria la constitución y aprobación de la garantía de cumplimiento hasta por el mismo término de la garantía de estabilidad del contrato principal; el Gobierno Nacional regulará la materia. En este evento podrá darse aplicación al artículo 7° de la Ley 1150, en cuanto a la posibilidad de que la garantía pueda ser dividida teniendo en cuenta las etapas o riesgos relativos a la ejecución del respectivo contrato</w:t>
      </w:r>
      <w:r w:rsidR="00C72D02">
        <w:rPr>
          <w:rFonts w:ascii="Verdana" w:hAnsi="Verdana" w:cs="Arial"/>
          <w:sz w:val="20"/>
          <w:szCs w:val="20"/>
          <w:lang w:val="es-ES"/>
        </w:rPr>
        <w:t>”</w:t>
      </w:r>
      <w:r w:rsidRPr="00F53971">
        <w:rPr>
          <w:rFonts w:ascii="Verdana" w:hAnsi="Verdana" w:cs="Arial"/>
          <w:sz w:val="20"/>
          <w:szCs w:val="20"/>
          <w:lang w:val="es-ES"/>
        </w:rPr>
        <w:t>.</w:t>
      </w:r>
    </w:p>
    <w:p w14:paraId="49A00B0B" w14:textId="77777777" w:rsidR="00A96C6F" w:rsidRPr="00F53971" w:rsidRDefault="00A96C6F" w:rsidP="00A96C6F">
      <w:pPr>
        <w:spacing w:after="0" w:line="240" w:lineRule="auto"/>
        <w:ind w:left="709" w:right="709" w:firstLine="1"/>
        <w:jc w:val="both"/>
        <w:rPr>
          <w:rFonts w:ascii="Verdana" w:hAnsi="Verdana" w:cs="Arial"/>
          <w:sz w:val="20"/>
          <w:szCs w:val="20"/>
          <w:lang w:val="es-ES"/>
        </w:rPr>
      </w:pPr>
    </w:p>
    <w:p w14:paraId="1BD4947E" w14:textId="77777777" w:rsidR="00A96C6F" w:rsidRPr="00F53971" w:rsidRDefault="00A96C6F" w:rsidP="00A96C6F">
      <w:pPr>
        <w:spacing w:after="120"/>
        <w:ind w:firstLine="709"/>
        <w:jc w:val="both"/>
        <w:rPr>
          <w:rFonts w:ascii="Verdana" w:hAnsi="Verdana" w:cs="Arial"/>
          <w:lang w:val="es-ES"/>
        </w:rPr>
      </w:pPr>
      <w:r w:rsidRPr="00F53971">
        <w:rPr>
          <w:rFonts w:ascii="Verdana" w:hAnsi="Verdana" w:cs="Arial"/>
          <w:lang w:val="es-ES"/>
        </w:rPr>
        <w:t>Este supuesto normativo, que materializa la “continuidad de la interventoría”, establece una excepción a la regla general de adición de los contratos estatales, en la medida en que no se tendrá en cuenta el límite del 50% del valor inicial del contrato, siempre que se trate de adicionar un contrato cuyo objeto corresponda al de interventoría, en los términos explicados en el numeral anterior de este concepto. En este sentido, la doctrina ha manifestado sobre esta disposición que “el artículo 85 no contiene impedimento para adicionar sin límite el contrato de interventoría, con una ventaja adicional: que puede ser para cualquier objeto de contrato que haya requerido contratar externamente la interventoría”</w:t>
      </w:r>
      <w:r w:rsidRPr="00F53971">
        <w:rPr>
          <w:rStyle w:val="Refdenotaalpie"/>
          <w:rFonts w:ascii="Verdana" w:hAnsi="Verdana" w:cs="Arial"/>
          <w:lang w:val="es-ES"/>
        </w:rPr>
        <w:footnoteReference w:id="17"/>
      </w:r>
      <w:r w:rsidRPr="00F53971">
        <w:rPr>
          <w:rFonts w:ascii="Verdana" w:hAnsi="Verdana" w:cs="Arial"/>
          <w:lang w:val="es-ES"/>
        </w:rPr>
        <w:t xml:space="preserve">. </w:t>
      </w:r>
    </w:p>
    <w:p w14:paraId="4551640A" w14:textId="77777777" w:rsidR="00A96C6F" w:rsidRPr="00F53971" w:rsidRDefault="00A96C6F" w:rsidP="00A96C6F">
      <w:pPr>
        <w:spacing w:after="120"/>
        <w:ind w:firstLine="709"/>
        <w:jc w:val="both"/>
        <w:rPr>
          <w:rFonts w:ascii="Verdana" w:hAnsi="Verdana" w:cs="Arial"/>
          <w:lang w:val="es-ES"/>
        </w:rPr>
      </w:pPr>
      <w:r w:rsidRPr="00F53971">
        <w:rPr>
          <w:rFonts w:ascii="Verdana" w:hAnsi="Verdana" w:cs="Arial"/>
          <w:lang w:val="es-ES"/>
        </w:rPr>
        <w:t xml:space="preserve">La disposición anterior tiene como finalidad que se mantenga la vigilancia frente a la ejecución de los contratos estatales, mediante el mecanismo especializado de la interventoría, sin que este seguimiento sea afectado por el tope establecido en el inciso segundo del parágrafo del artículo 40 de la Ley 80 de 1993. En tal sentido, la excepción se establece de forma especial frente a un </w:t>
      </w:r>
      <w:r w:rsidRPr="00F53971">
        <w:rPr>
          <w:rFonts w:ascii="Verdana" w:hAnsi="Verdana" w:cs="Arial"/>
          <w:lang w:val="es-ES"/>
        </w:rPr>
        <w:lastRenderedPageBreak/>
        <w:t>objeto contractual específico, que hace parte de la tipología contractual de la consultoría, consistente en que se trate de un contrato de interventoría. De esta manera, independientemente de la modalidad de selección o del sujeto con quien se celebre el contrato de interventoría aplica la norma especial del artículo 85 de la Ley 1474 de 2011, por lo que incluso en un contrato interadministrativo, cuyo objeto sea la interventoría de un contrato estatal, se debe tener en cuenta esta última disposición, por lo que no aplicaría el tope establecido en el inciso segundo del parágrafo del artículo 40 de la Ley 80 de 1993. Lo anterior, se reitera, siempre que el contrato a adicionar tenga por objeto la interventoría de otro u otros contratos.</w:t>
      </w:r>
    </w:p>
    <w:p w14:paraId="5E77AB4C" w14:textId="77777777" w:rsidR="00A96C6F" w:rsidRPr="00F53971" w:rsidRDefault="00A96C6F" w:rsidP="00A96C6F">
      <w:pPr>
        <w:tabs>
          <w:tab w:val="left" w:pos="284"/>
        </w:tabs>
        <w:ind w:firstLine="709"/>
        <w:jc w:val="both"/>
        <w:rPr>
          <w:rFonts w:ascii="Verdana" w:eastAsia="Calibri" w:hAnsi="Verdana" w:cs="Arial"/>
          <w:color w:val="000000"/>
          <w:lang w:val="es-ES"/>
        </w:rPr>
      </w:pPr>
      <w:r w:rsidRPr="00F53971">
        <w:rPr>
          <w:rFonts w:ascii="Verdana" w:hAnsi="Verdana" w:cs="Arial"/>
          <w:lang w:val="es-ES"/>
        </w:rPr>
        <w:t xml:space="preserve">Dentro de este marco, </w:t>
      </w:r>
      <w:r w:rsidRPr="00F53971">
        <w:rPr>
          <w:rFonts w:ascii="Verdana" w:eastAsia="Calibri" w:hAnsi="Verdana" w:cs="Arial"/>
          <w:color w:val="000000"/>
          <w:lang w:val="es-ES"/>
        </w:rPr>
        <w:t xml:space="preserve">en principio, los contratos deben ejecutarse en las condiciones pactadas inicialmente, pues estas fueron estipuladas luego de que la entidad estatal surtiera todos los procedimientos previstos para la selección de su contratista y definiera los aspectos, técnicos, legales y financieros propios de cada caso, con observancia de los principios de planeación, transparencia, economía y responsabilidad, así como los demás principios de la función administrativa aplicables al proceso de gestión contractual. </w:t>
      </w:r>
    </w:p>
    <w:p w14:paraId="2FF37061" w14:textId="77777777" w:rsidR="00A96C6F" w:rsidRPr="00F53971" w:rsidRDefault="00A96C6F" w:rsidP="00A96C6F">
      <w:pPr>
        <w:tabs>
          <w:tab w:val="left" w:pos="284"/>
        </w:tabs>
        <w:ind w:firstLine="709"/>
        <w:jc w:val="both"/>
        <w:rPr>
          <w:rFonts w:ascii="Verdana" w:eastAsia="Calibri" w:hAnsi="Verdana" w:cs="Arial"/>
          <w:color w:val="000000"/>
          <w:lang w:val="es-ES"/>
        </w:rPr>
      </w:pPr>
      <w:r w:rsidRPr="00F53971">
        <w:rPr>
          <w:rFonts w:ascii="Verdana" w:eastAsia="Calibri" w:hAnsi="Verdana" w:cs="Arial"/>
          <w:color w:val="000000"/>
          <w:lang w:val="es-ES"/>
        </w:rPr>
        <w:t>En este contexto, la jurisprudencia ha fijado pautas generales conforme a las cuales la Administración Pública debe evaluar si es procedente modificar los contratos que ha celebrado según las particularidades de cada caso. Al respecto, la Corte Constitucional, mediante sentencia C–300 de 2012</w:t>
      </w:r>
      <w:r w:rsidRPr="00F53971">
        <w:rPr>
          <w:rFonts w:ascii="Verdana" w:eastAsia="Calibri" w:hAnsi="Verdana" w:cs="Arial"/>
          <w:color w:val="000000"/>
          <w:vertAlign w:val="superscript"/>
          <w:lang w:val="es-ES"/>
        </w:rPr>
        <w:footnoteReference w:id="18"/>
      </w:r>
      <w:r w:rsidRPr="00F53971">
        <w:rPr>
          <w:rFonts w:ascii="Verdana" w:eastAsia="Calibri" w:hAnsi="Verdana" w:cs="Arial"/>
          <w:color w:val="000000"/>
          <w:lang w:val="es-ES"/>
        </w:rPr>
        <w:t>, se refirió a la posibilidad de modificar los contratos estatales así:</w:t>
      </w:r>
    </w:p>
    <w:p w14:paraId="292B170D" w14:textId="77777777" w:rsidR="00A96C6F" w:rsidRPr="00F53971" w:rsidRDefault="00A96C6F" w:rsidP="00A96C6F">
      <w:pPr>
        <w:tabs>
          <w:tab w:val="left" w:pos="284"/>
        </w:tabs>
        <w:snapToGrid w:val="0"/>
        <w:spacing w:after="0" w:line="240" w:lineRule="auto"/>
        <w:ind w:left="709" w:right="709"/>
        <w:jc w:val="both"/>
        <w:rPr>
          <w:rFonts w:ascii="Verdana" w:eastAsia="Calibri" w:hAnsi="Verdana" w:cs="Arial"/>
          <w:bCs/>
          <w:color w:val="000000"/>
          <w:sz w:val="20"/>
          <w:szCs w:val="20"/>
          <w:lang w:val="es-ES"/>
        </w:rPr>
      </w:pPr>
      <w:r w:rsidRPr="00F53971">
        <w:rPr>
          <w:rFonts w:ascii="Verdana" w:eastAsia="Calibri" w:hAnsi="Verdana" w:cs="Arial"/>
          <w:color w:val="000000"/>
          <w:sz w:val="20"/>
          <w:szCs w:val="20"/>
          <w:lang w:val="es-ES"/>
        </w:rPr>
        <w:t>“</w:t>
      </w:r>
      <w:r w:rsidRPr="00F53971">
        <w:rPr>
          <w:rFonts w:ascii="Verdana" w:eastAsia="Calibri" w:hAnsi="Verdana" w:cs="Arial"/>
          <w:bCs/>
          <w:color w:val="000000"/>
          <w:sz w:val="20"/>
          <w:szCs w:val="20"/>
          <w:lang w:val="es-ES"/>
        </w:rPr>
        <w:t xml:space="preserve">Por regla general, </w:t>
      </w:r>
      <w:r w:rsidRPr="00F53971">
        <w:rPr>
          <w:rFonts w:ascii="Verdana" w:eastAsia="Calibri" w:hAnsi="Verdana" w:cs="Arial"/>
          <w:b/>
          <w:bCs/>
          <w:color w:val="000000"/>
          <w:sz w:val="20"/>
          <w:szCs w:val="20"/>
          <w:lang w:val="es-ES"/>
        </w:rPr>
        <w:t>los contratos estatales pueden ser modificados cuando sea necesario para lograr su finalidad y en aras de la realización de los fines del Estado</w:t>
      </w:r>
      <w:r w:rsidRPr="00F53971">
        <w:rPr>
          <w:rFonts w:ascii="Verdana" w:eastAsia="Calibri" w:hAnsi="Verdana" w:cs="Arial"/>
          <w:bCs/>
          <w:color w:val="000000"/>
          <w:sz w:val="20"/>
          <w:szCs w:val="20"/>
          <w:lang w:val="es-ES"/>
        </w:rPr>
        <w:t>, a los cuales sirve el contrato.</w:t>
      </w:r>
      <w:r w:rsidRPr="00F53971">
        <w:rPr>
          <w:rFonts w:ascii="Verdana" w:eastAsia="Calibri" w:hAnsi="Verdana" w:cs="Arial"/>
          <w:bCs/>
          <w:color w:val="000000"/>
          <w:sz w:val="20"/>
          <w:szCs w:val="20"/>
          <w:vertAlign w:val="superscript"/>
          <w:lang w:val="es-ES"/>
        </w:rPr>
        <w:footnoteReference w:id="19"/>
      </w:r>
      <w:r w:rsidRPr="00F53971">
        <w:rPr>
          <w:rFonts w:ascii="Verdana" w:eastAsia="Calibri" w:hAnsi="Verdana" w:cs="Arial"/>
          <w:bCs/>
          <w:color w:val="000000"/>
          <w:sz w:val="20"/>
          <w:szCs w:val="20"/>
          <w:lang w:val="es-ES"/>
        </w:rPr>
        <w:t xml:space="preserve"> Así lo prevén por ejemplo los artículos 14 y 16 de la ley 80, los cuales facultan a la entidades contratantes a modificar los contratos de común acuerdo o de forma unilateral, para “(…) evitar la paralización o la afectación grave de los servicios públicos a su cargo y asegurar la inmediata, continua y adecuada prestación”, entre otros. En el mismo sentido, en la </w:t>
      </w:r>
      <w:r w:rsidRPr="00F53971">
        <w:rPr>
          <w:rFonts w:ascii="Verdana" w:eastAsia="Calibri" w:hAnsi="Verdana" w:cs="Arial"/>
          <w:b/>
          <w:bCs/>
          <w:color w:val="000000"/>
          <w:sz w:val="20"/>
          <w:szCs w:val="20"/>
          <w:lang w:val="es-ES"/>
        </w:rPr>
        <w:t>sentencia C-949 de 2001</w:t>
      </w:r>
      <w:r w:rsidRPr="00F53971">
        <w:rPr>
          <w:rFonts w:ascii="Verdana" w:eastAsia="Calibri" w:hAnsi="Verdana" w:cs="Arial"/>
          <w:bCs/>
          <w:color w:val="000000"/>
          <w:sz w:val="20"/>
          <w:szCs w:val="20"/>
          <w:vertAlign w:val="superscript"/>
          <w:lang w:val="es-ES"/>
        </w:rPr>
        <w:footnoteReference w:id="20"/>
      </w:r>
      <w:r w:rsidRPr="00F53971">
        <w:rPr>
          <w:rFonts w:ascii="Verdana" w:eastAsia="Calibri" w:hAnsi="Verdana" w:cs="Arial"/>
          <w:bCs/>
          <w:color w:val="000000"/>
          <w:sz w:val="20"/>
          <w:szCs w:val="20"/>
          <w:lang w:val="es-ES"/>
        </w:rPr>
        <w:t>, la Corte Constitucional señaló que las prórrogas de los contratos –como especie de modificación- pueden ser un instrumento útil para lograr los fines propios de la contratación estatal</w:t>
      </w:r>
      <w:r w:rsidRPr="00F53971">
        <w:rPr>
          <w:rFonts w:ascii="Verdana" w:eastAsia="Calibri" w:hAnsi="Verdana" w:cs="Arial"/>
          <w:bCs/>
          <w:color w:val="000000"/>
          <w:sz w:val="20"/>
          <w:szCs w:val="20"/>
          <w:vertAlign w:val="superscript"/>
          <w:lang w:val="es-ES"/>
        </w:rPr>
        <w:footnoteReference w:id="21"/>
      </w:r>
      <w:r w:rsidRPr="00F53971">
        <w:rPr>
          <w:rFonts w:ascii="Verdana" w:eastAsia="Calibri" w:hAnsi="Verdana" w:cs="Arial"/>
          <w:bCs/>
          <w:color w:val="000000"/>
          <w:sz w:val="20"/>
          <w:szCs w:val="20"/>
          <w:lang w:val="es-ES"/>
        </w:rPr>
        <w:t xml:space="preserve">. </w:t>
      </w:r>
    </w:p>
    <w:p w14:paraId="75201115" w14:textId="77777777" w:rsidR="00A96C6F" w:rsidRPr="00F53971" w:rsidRDefault="00A96C6F" w:rsidP="00A96C6F">
      <w:pPr>
        <w:tabs>
          <w:tab w:val="left" w:pos="284"/>
        </w:tabs>
        <w:snapToGrid w:val="0"/>
        <w:spacing w:after="0" w:line="240" w:lineRule="auto"/>
        <w:ind w:left="709" w:right="709"/>
        <w:jc w:val="both"/>
        <w:rPr>
          <w:rFonts w:ascii="Verdana" w:eastAsia="Calibri" w:hAnsi="Verdana" w:cs="Arial"/>
          <w:bCs/>
          <w:color w:val="000000"/>
          <w:sz w:val="20"/>
          <w:szCs w:val="20"/>
          <w:lang w:val="es-ES"/>
        </w:rPr>
      </w:pPr>
    </w:p>
    <w:p w14:paraId="6A3C37C8" w14:textId="77777777" w:rsidR="00A96C6F" w:rsidRPr="00F53971" w:rsidRDefault="00A96C6F" w:rsidP="00A96C6F">
      <w:pPr>
        <w:tabs>
          <w:tab w:val="left" w:pos="284"/>
        </w:tabs>
        <w:snapToGrid w:val="0"/>
        <w:spacing w:after="0" w:line="240" w:lineRule="auto"/>
        <w:ind w:left="709" w:right="709"/>
        <w:jc w:val="both"/>
        <w:rPr>
          <w:rFonts w:ascii="Verdana" w:eastAsia="Calibri" w:hAnsi="Verdana" w:cs="Arial"/>
          <w:bCs/>
          <w:color w:val="000000"/>
          <w:sz w:val="20"/>
          <w:szCs w:val="20"/>
          <w:lang w:val="es-ES"/>
        </w:rPr>
      </w:pPr>
      <w:r w:rsidRPr="00F53971">
        <w:rPr>
          <w:rFonts w:ascii="Verdana" w:eastAsia="Calibri" w:hAnsi="Verdana" w:cs="Arial"/>
          <w:bCs/>
          <w:color w:val="000000"/>
          <w:sz w:val="20"/>
          <w:szCs w:val="20"/>
          <w:lang w:val="es-ES"/>
        </w:rPr>
        <w:t>(…)</w:t>
      </w:r>
    </w:p>
    <w:p w14:paraId="2334D5E4" w14:textId="77777777" w:rsidR="00A96C6F" w:rsidRPr="00F53971" w:rsidRDefault="00A96C6F" w:rsidP="00A96C6F">
      <w:pPr>
        <w:tabs>
          <w:tab w:val="left" w:pos="284"/>
        </w:tabs>
        <w:spacing w:after="0" w:line="240" w:lineRule="auto"/>
        <w:ind w:left="709" w:right="709"/>
        <w:jc w:val="both"/>
        <w:rPr>
          <w:rFonts w:ascii="Verdana" w:eastAsia="Calibri" w:hAnsi="Verdana" w:cs="Arial"/>
          <w:bCs/>
          <w:color w:val="000000"/>
          <w:sz w:val="20"/>
          <w:szCs w:val="20"/>
          <w:lang w:val="es-ES"/>
        </w:rPr>
      </w:pPr>
    </w:p>
    <w:p w14:paraId="3CFE4453" w14:textId="77777777" w:rsidR="00A96C6F" w:rsidRPr="00F53971" w:rsidRDefault="00A96C6F" w:rsidP="00A96C6F">
      <w:pPr>
        <w:tabs>
          <w:tab w:val="left" w:pos="284"/>
        </w:tabs>
        <w:spacing w:after="0" w:line="240" w:lineRule="auto"/>
        <w:ind w:left="709" w:right="709"/>
        <w:jc w:val="both"/>
        <w:rPr>
          <w:rFonts w:ascii="Verdana" w:eastAsia="Calibri" w:hAnsi="Verdana" w:cs="Arial"/>
          <w:bCs/>
          <w:color w:val="000000"/>
          <w:sz w:val="20"/>
          <w:szCs w:val="20"/>
          <w:lang w:val="es-ES"/>
        </w:rPr>
      </w:pPr>
      <w:r w:rsidRPr="00F53971">
        <w:rPr>
          <w:rFonts w:ascii="Verdana" w:eastAsia="Calibri" w:hAnsi="Verdana" w:cs="Arial"/>
          <w:bCs/>
          <w:color w:val="000000"/>
          <w:sz w:val="20"/>
          <w:szCs w:val="20"/>
          <w:lang w:val="es-ES"/>
        </w:rPr>
        <w:t xml:space="preserve">La modificación de los contratos estatales es especialmente importante en aquellos por naturaleza </w:t>
      </w:r>
      <w:r w:rsidRPr="00F53971">
        <w:rPr>
          <w:rFonts w:ascii="Verdana" w:eastAsia="Calibri" w:hAnsi="Verdana" w:cs="Arial"/>
          <w:b/>
          <w:color w:val="000000"/>
          <w:sz w:val="20"/>
          <w:szCs w:val="20"/>
          <w:lang w:val="es-ES"/>
        </w:rPr>
        <w:t>incompletos</w:t>
      </w:r>
      <w:r w:rsidRPr="00F53971">
        <w:rPr>
          <w:rFonts w:ascii="Verdana" w:eastAsia="Calibri" w:hAnsi="Verdana" w:cs="Arial"/>
          <w:bCs/>
          <w:color w:val="000000"/>
          <w:sz w:val="20"/>
          <w:szCs w:val="20"/>
          <w:lang w:val="es-ES"/>
        </w:rPr>
        <w:t xml:space="preserve">, es decir, </w:t>
      </w:r>
      <w:r w:rsidRPr="00F53971">
        <w:rPr>
          <w:rFonts w:ascii="Verdana" w:eastAsia="Calibri" w:hAnsi="Verdana" w:cs="Arial"/>
          <w:b/>
          <w:color w:val="000000"/>
          <w:sz w:val="20"/>
          <w:szCs w:val="20"/>
          <w:lang w:val="es-ES"/>
        </w:rPr>
        <w:t xml:space="preserve">(i) </w:t>
      </w:r>
      <w:r w:rsidRPr="00F53971">
        <w:rPr>
          <w:rFonts w:ascii="Verdana" w:eastAsia="Calibri" w:hAnsi="Verdana" w:cs="Arial"/>
          <w:bCs/>
          <w:color w:val="000000"/>
          <w:sz w:val="20"/>
          <w:szCs w:val="20"/>
          <w:lang w:val="es-ES"/>
        </w:rPr>
        <w:t xml:space="preserve">los afectados por asimetrías de información que impiden la previsión de todas las contingencias que pueden afectar su ejecución, y </w:t>
      </w:r>
      <w:r w:rsidRPr="00F53971">
        <w:rPr>
          <w:rFonts w:ascii="Verdana" w:eastAsia="Calibri" w:hAnsi="Verdana" w:cs="Arial"/>
          <w:b/>
          <w:color w:val="000000"/>
          <w:sz w:val="20"/>
          <w:szCs w:val="20"/>
          <w:lang w:val="es-ES"/>
        </w:rPr>
        <w:t>(</w:t>
      </w:r>
      <w:proofErr w:type="spellStart"/>
      <w:r w:rsidRPr="00F53971">
        <w:rPr>
          <w:rFonts w:ascii="Verdana" w:eastAsia="Calibri" w:hAnsi="Verdana" w:cs="Arial"/>
          <w:b/>
          <w:color w:val="000000"/>
          <w:sz w:val="20"/>
          <w:szCs w:val="20"/>
          <w:lang w:val="es-ES"/>
        </w:rPr>
        <w:t>ii</w:t>
      </w:r>
      <w:proofErr w:type="spellEnd"/>
      <w:r w:rsidRPr="00F53971">
        <w:rPr>
          <w:rFonts w:ascii="Verdana" w:eastAsia="Calibri" w:hAnsi="Verdana" w:cs="Arial"/>
          <w:b/>
          <w:color w:val="000000"/>
          <w:sz w:val="20"/>
          <w:szCs w:val="20"/>
          <w:lang w:val="es-ES"/>
        </w:rPr>
        <w:t xml:space="preserve">) </w:t>
      </w:r>
      <w:r w:rsidRPr="00F53971">
        <w:rPr>
          <w:rFonts w:ascii="Verdana" w:eastAsia="Calibri" w:hAnsi="Verdana" w:cs="Arial"/>
          <w:bCs/>
          <w:color w:val="000000"/>
          <w:sz w:val="20"/>
          <w:szCs w:val="20"/>
          <w:lang w:val="es-ES"/>
        </w:rPr>
        <w:t xml:space="preserve">en el marco de los cuales, por esa misma razón, es difícil prever </w:t>
      </w:r>
      <w:r w:rsidRPr="00F53971">
        <w:rPr>
          <w:rFonts w:ascii="Verdana" w:eastAsia="Calibri" w:hAnsi="Verdana" w:cs="Arial"/>
          <w:bCs/>
          <w:i/>
          <w:iCs/>
          <w:color w:val="000000"/>
          <w:sz w:val="20"/>
          <w:szCs w:val="20"/>
          <w:lang w:val="es-ES"/>
        </w:rPr>
        <w:t xml:space="preserve">ex ante </w:t>
      </w:r>
      <w:r w:rsidRPr="00F53971">
        <w:rPr>
          <w:rFonts w:ascii="Verdana" w:eastAsia="Calibri" w:hAnsi="Verdana" w:cs="Arial"/>
          <w:bCs/>
          <w:color w:val="000000"/>
          <w:sz w:val="20"/>
          <w:szCs w:val="20"/>
          <w:lang w:val="es-ES"/>
        </w:rPr>
        <w:t>los remedios necesarios para afrontar tales contingencias, como ocurre por lo general con los contratos de largo plazo.</w:t>
      </w:r>
      <w:r w:rsidRPr="00F53971">
        <w:rPr>
          <w:rFonts w:ascii="Verdana" w:eastAsia="Calibri" w:hAnsi="Verdana" w:cs="Arial"/>
          <w:bCs/>
          <w:color w:val="000000"/>
          <w:sz w:val="20"/>
          <w:szCs w:val="20"/>
          <w:vertAlign w:val="superscript"/>
          <w:lang w:val="es-ES"/>
        </w:rPr>
        <w:footnoteReference w:id="22"/>
      </w:r>
      <w:r w:rsidRPr="00F53971">
        <w:rPr>
          <w:rFonts w:ascii="Verdana" w:eastAsia="Calibri" w:hAnsi="Verdana" w:cs="Arial"/>
          <w:bCs/>
          <w:color w:val="000000"/>
          <w:sz w:val="20"/>
          <w:szCs w:val="20"/>
          <w:lang w:val="es-ES"/>
        </w:rPr>
        <w:t xml:space="preserve"> En efecto, con el paso del tiempo, pueden surgir nuevas exigencias sociales, tecnológicas, culturales, etc. sobre la forma cómo el Estado debe cumplir sus fines y sobre cómo se deben prestar los servicios públicos, o simplemente pueden aparecer circunstancias extraordinarias e imprevisibles al momento del diseño del negocio, para las que tampoco era posible, en dicho momento, prever un remedio adecuado y específico. En este tipo de contratos es preciso entonces el diseño de reglas que permitan la adaptación y la resolución pacífica de las controversias para evitar el fracaso” (énfasis dentro del texto).</w:t>
      </w:r>
    </w:p>
    <w:p w14:paraId="018FFC59" w14:textId="77777777" w:rsidR="00A96C6F" w:rsidRPr="00F53971" w:rsidRDefault="00A96C6F" w:rsidP="00A96C6F">
      <w:pPr>
        <w:tabs>
          <w:tab w:val="left" w:pos="284"/>
        </w:tabs>
        <w:spacing w:after="0" w:line="240" w:lineRule="auto"/>
        <w:ind w:left="1049" w:right="709"/>
        <w:jc w:val="both"/>
        <w:rPr>
          <w:rFonts w:ascii="Verdana" w:eastAsia="Arial MT" w:hAnsi="Verdana" w:cs="Arial"/>
          <w:color w:val="000000"/>
          <w:lang w:val="es-ES"/>
        </w:rPr>
      </w:pPr>
    </w:p>
    <w:p w14:paraId="0BD08DCB" w14:textId="77777777" w:rsidR="00A96C6F" w:rsidRPr="00F53971" w:rsidRDefault="00A96C6F" w:rsidP="00A96C6F">
      <w:pPr>
        <w:widowControl w:val="0"/>
        <w:autoSpaceDE w:val="0"/>
        <w:autoSpaceDN w:val="0"/>
        <w:spacing w:after="0" w:line="276" w:lineRule="auto"/>
        <w:ind w:right="-2" w:firstLine="709"/>
        <w:jc w:val="both"/>
        <w:rPr>
          <w:rFonts w:ascii="Verdana" w:eastAsia="Calibri" w:hAnsi="Verdana" w:cs="Arial"/>
          <w:color w:val="000000"/>
          <w:lang w:val="es-ES"/>
        </w:rPr>
      </w:pPr>
      <w:r w:rsidRPr="00F53971">
        <w:rPr>
          <w:rFonts w:ascii="Verdana" w:eastAsia="Calibri" w:hAnsi="Verdana" w:cs="Arial"/>
          <w:color w:val="000000"/>
          <w:lang w:val="es-ES"/>
        </w:rPr>
        <w:t>A su turno, el Consejo de Estado</w:t>
      </w:r>
      <w:r w:rsidRPr="00F53971">
        <w:rPr>
          <w:rFonts w:ascii="Verdana" w:eastAsia="Calibri" w:hAnsi="Verdana" w:cs="Arial"/>
          <w:color w:val="000000"/>
          <w:vertAlign w:val="superscript"/>
          <w:lang w:val="es-ES"/>
        </w:rPr>
        <w:footnoteReference w:id="23"/>
      </w:r>
      <w:r w:rsidRPr="00F53971">
        <w:rPr>
          <w:rFonts w:ascii="Verdana" w:eastAsia="Calibri" w:hAnsi="Verdana" w:cs="Arial"/>
          <w:color w:val="000000"/>
          <w:lang w:val="es-ES"/>
        </w:rPr>
        <w:t xml:space="preserve"> ha resaltado que la necesidad de modificar los contratos estatales persigue el cumplimiento de ciertos fines. De esta manera, aunque estos contratos se puedan modificar por acuerdo de la voluntad de las partes, este no puede ser el único fundamento. Señala entonces que las modificaciones deben obedecer a causas reales y ciertas derivadas de la ley y no únicamente de la voluntad de las partes:</w:t>
      </w:r>
    </w:p>
    <w:p w14:paraId="5ADC65B5" w14:textId="77777777" w:rsidR="00A96C6F" w:rsidRPr="00F53971" w:rsidRDefault="00A96C6F" w:rsidP="00A96C6F">
      <w:pPr>
        <w:widowControl w:val="0"/>
        <w:autoSpaceDE w:val="0"/>
        <w:autoSpaceDN w:val="0"/>
        <w:spacing w:after="0" w:line="240" w:lineRule="auto"/>
        <w:ind w:firstLine="709"/>
        <w:jc w:val="both"/>
        <w:rPr>
          <w:rFonts w:ascii="Verdana" w:eastAsia="Calibri" w:hAnsi="Verdana" w:cs="Arial"/>
          <w:color w:val="000000"/>
          <w:lang w:val="es-ES"/>
        </w:rPr>
      </w:pPr>
    </w:p>
    <w:p w14:paraId="5436C89A"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r w:rsidRPr="00F53971">
        <w:rPr>
          <w:rFonts w:ascii="Verdana" w:eastAsia="Calibri" w:hAnsi="Verdana" w:cs="Arial"/>
          <w:color w:val="000000"/>
          <w:sz w:val="20"/>
          <w:szCs w:val="20"/>
          <w:lang w:val="es-ES"/>
        </w:rPr>
        <w:lastRenderedPageBreak/>
        <w:t xml:space="preserve">“(…) la posibilidad de modificar los contratos estatales es una especial forma de hacer prevalecer la finalidad del contrato sobre los restantes elementos </w:t>
      </w:r>
      <w:proofErr w:type="gramStart"/>
      <w:r w:rsidRPr="00F53971">
        <w:rPr>
          <w:rFonts w:ascii="Verdana" w:eastAsia="Calibri" w:hAnsi="Verdana" w:cs="Arial"/>
          <w:color w:val="000000"/>
          <w:sz w:val="20"/>
          <w:szCs w:val="20"/>
          <w:lang w:val="es-ES"/>
        </w:rPr>
        <w:t>del mismo</w:t>
      </w:r>
      <w:proofErr w:type="gramEnd"/>
      <w:r w:rsidRPr="00F53971">
        <w:rPr>
          <w:rFonts w:ascii="Verdana" w:eastAsia="Calibri" w:hAnsi="Verdana" w:cs="Arial"/>
          <w:color w:val="000000"/>
          <w:sz w:val="20"/>
          <w:szCs w:val="20"/>
          <w:lang w:val="es-ES"/>
        </w:rPr>
        <w:t>. Por mutabilidad del contrato estatal se entiende el derecho que tiene la administración de variar, dadas ciertas condiciones, las obligaciones a cargo del contratista particular, cuando sea necesario para el cumplimiento del objeto y de los fines generales del Estado.</w:t>
      </w:r>
    </w:p>
    <w:p w14:paraId="54BA970F"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p>
    <w:p w14:paraId="1541EF7F"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r w:rsidRPr="00F53971">
        <w:rPr>
          <w:rFonts w:ascii="Verdana" w:eastAsia="Calibri" w:hAnsi="Verdana" w:cs="Arial"/>
          <w:color w:val="000000"/>
          <w:sz w:val="20"/>
          <w:szCs w:val="20"/>
          <w:lang w:val="es-ES"/>
        </w:rPr>
        <w:t>(…)</w:t>
      </w:r>
    </w:p>
    <w:p w14:paraId="1D8D94D5"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p>
    <w:p w14:paraId="5B9383F9"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r w:rsidRPr="00F53971">
        <w:rPr>
          <w:rFonts w:ascii="Verdana" w:eastAsia="Calibri" w:hAnsi="Verdana" w:cs="Arial"/>
          <w:color w:val="000000"/>
          <w:sz w:val="20"/>
          <w:szCs w:val="20"/>
          <w:lang w:val="es-ES"/>
        </w:rPr>
        <w:t>La ley permite una cierta discrecionalidad en la toma de las decisiones de modificar los contratos, pues es muy difícil regular detalladamente el tema, en especial ante la infinidad de situaciones que pueden presentarse durante la ejecución. Por esto utiliza locuciones relativamente amplias, a las que debe someterse la administración (…) Nótese que, sin embargo, en ellas van inmersas las ideas de una causa cierta y unos fines públicos que hay que salvaguardar.</w:t>
      </w:r>
    </w:p>
    <w:p w14:paraId="453AC412"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p>
    <w:p w14:paraId="7A80AD7E"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r w:rsidRPr="00F53971">
        <w:rPr>
          <w:rFonts w:ascii="Verdana" w:eastAsia="Calibri" w:hAnsi="Verdana" w:cs="Arial"/>
          <w:color w:val="000000"/>
          <w:sz w:val="20"/>
          <w:szCs w:val="20"/>
          <w:lang w:val="es-ES"/>
        </w:rPr>
        <w:t xml:space="preserve">Puede adicionarse una razón a las expuestas para justificar que </w:t>
      </w:r>
      <w:r w:rsidRPr="00F53971">
        <w:rPr>
          <w:rFonts w:ascii="Verdana" w:eastAsia="Calibri" w:hAnsi="Verdana" w:cs="Arial"/>
          <w:i/>
          <w:iCs/>
          <w:color w:val="000000"/>
          <w:sz w:val="20"/>
          <w:szCs w:val="20"/>
          <w:u w:val="single"/>
          <w:lang w:val="es-ES"/>
        </w:rPr>
        <w:t>la simple voluntad de las partes no es causa de modificación de los contratos estatales, la cual consiste en el respeto por el principio de igualdad de los oferentes</w:t>
      </w:r>
      <w:r w:rsidRPr="00F53971">
        <w:rPr>
          <w:rFonts w:ascii="Verdana" w:eastAsia="Calibri" w:hAnsi="Verdana" w:cs="Arial"/>
          <w:color w:val="000000"/>
          <w:sz w:val="20"/>
          <w:szCs w:val="20"/>
          <w:lang w:val="es-ES"/>
        </w:rPr>
        <w:t xml:space="preserve">. Si se acepta que los contratos pueden modificarse por el simple común acuerdo, fácilmente se podría licitar determinado objeto con el fin de adjudicárselo a cierta persona, a sabiendas de que se cambiarán las obligaciones, una vez celebrado. </w:t>
      </w:r>
    </w:p>
    <w:p w14:paraId="358CBB80"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p>
    <w:p w14:paraId="7301F9BC"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r w:rsidRPr="00F53971">
        <w:rPr>
          <w:rFonts w:ascii="Verdana" w:eastAsia="Calibri" w:hAnsi="Verdana" w:cs="Arial"/>
          <w:color w:val="000000"/>
          <w:sz w:val="20"/>
          <w:szCs w:val="20"/>
          <w:lang w:val="es-ES"/>
        </w:rPr>
        <w:t xml:space="preserve">De lo expuesto, y a manera de solución al interrogante planteado, surgen estas dos ideas que han servido de hilo conductor al análisis que aquí se hace: el mutuo acuerdo es una forma de modificación del contrato estatal, la más usada en la práctica y preferida por la legislación vigente; advirtiendo, y esta es la segunda idea, que </w:t>
      </w:r>
      <w:r w:rsidRPr="00F53971">
        <w:rPr>
          <w:rFonts w:ascii="Verdana" w:eastAsia="Calibri" w:hAnsi="Verdana" w:cs="Arial"/>
          <w:i/>
          <w:iCs/>
          <w:color w:val="000000"/>
          <w:sz w:val="20"/>
          <w:szCs w:val="20"/>
          <w:u w:val="single"/>
          <w:lang w:val="es-ES"/>
        </w:rPr>
        <w:t>toda modificación debe tener una causa real y cierta, contemplada en la ley, diferente de la mera voluntad de los contratantes</w:t>
      </w:r>
      <w:r w:rsidRPr="00F53971">
        <w:rPr>
          <w:rFonts w:ascii="Verdana" w:eastAsia="Calibri" w:hAnsi="Verdana" w:cs="Arial"/>
          <w:color w:val="000000"/>
          <w:sz w:val="20"/>
          <w:szCs w:val="20"/>
          <w:lang w:val="es-ES"/>
        </w:rPr>
        <w:t>”.</w:t>
      </w:r>
    </w:p>
    <w:p w14:paraId="2DD69224" w14:textId="77777777" w:rsidR="00A96C6F" w:rsidRPr="00F53971" w:rsidRDefault="00A96C6F" w:rsidP="00A96C6F">
      <w:pPr>
        <w:tabs>
          <w:tab w:val="left" w:pos="284"/>
        </w:tabs>
        <w:spacing w:after="0" w:line="276" w:lineRule="auto"/>
        <w:ind w:left="709" w:right="709"/>
        <w:jc w:val="both"/>
        <w:rPr>
          <w:rFonts w:ascii="Verdana" w:eastAsia="Calibri" w:hAnsi="Verdana" w:cs="Arial"/>
          <w:color w:val="000000"/>
          <w:lang w:val="es-ES"/>
        </w:rPr>
      </w:pPr>
    </w:p>
    <w:p w14:paraId="1BB137D6" w14:textId="77777777" w:rsidR="00A96C6F" w:rsidRPr="00F53971" w:rsidRDefault="00A96C6F" w:rsidP="00A96C6F">
      <w:pPr>
        <w:widowControl w:val="0"/>
        <w:autoSpaceDE w:val="0"/>
        <w:autoSpaceDN w:val="0"/>
        <w:spacing w:after="0"/>
        <w:ind w:firstLine="709"/>
        <w:jc w:val="both"/>
        <w:rPr>
          <w:rFonts w:ascii="Verdana" w:eastAsia="Arial" w:hAnsi="Verdana" w:cs="Arial"/>
          <w:color w:val="000000"/>
          <w:lang w:val="es-ES" w:eastAsia="es-ES" w:bidi="es-ES"/>
        </w:rPr>
      </w:pPr>
      <w:r w:rsidRPr="00F53971">
        <w:rPr>
          <w:rFonts w:ascii="Verdana" w:eastAsia="Arial" w:hAnsi="Verdana" w:cs="Arial"/>
          <w:color w:val="000000"/>
          <w:lang w:val="es-ES" w:eastAsia="es-ES" w:bidi="es-ES"/>
        </w:rPr>
        <w:t>En el mismo sentido, en el Concepto 2263 del 17 de marzo del 2016, la Sala de Consulta y Servicio Civil del Consejo de Estado precisó que la regla general es la no modificación del contrato, y la vía excepcional su modificación, sometida a los siguientes límites legales:</w:t>
      </w:r>
    </w:p>
    <w:p w14:paraId="78B7CE87" w14:textId="77777777" w:rsidR="00A96C6F" w:rsidRPr="00F53971" w:rsidRDefault="00A96C6F" w:rsidP="00A96C6F">
      <w:pPr>
        <w:widowControl w:val="0"/>
        <w:autoSpaceDE w:val="0"/>
        <w:autoSpaceDN w:val="0"/>
        <w:spacing w:after="0"/>
        <w:ind w:firstLine="709"/>
        <w:jc w:val="both"/>
        <w:rPr>
          <w:rFonts w:ascii="Verdana" w:eastAsia="Arial" w:hAnsi="Verdana" w:cs="Arial"/>
          <w:color w:val="000000"/>
          <w:lang w:val="es-ES" w:eastAsia="es-ES" w:bidi="es-ES"/>
        </w:rPr>
      </w:pPr>
    </w:p>
    <w:p w14:paraId="3E7AFD51"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r w:rsidRPr="00F53971">
        <w:rPr>
          <w:rFonts w:ascii="Verdana" w:eastAsia="Calibri" w:hAnsi="Verdana" w:cs="Arial"/>
          <w:color w:val="000000"/>
          <w:sz w:val="20"/>
          <w:szCs w:val="20"/>
          <w:lang w:val="es-ES"/>
        </w:rPr>
        <w:t xml:space="preserve">“1. La necesidad de preservar los principios de igualdad, transparencia y libertad de concurrencia, durante la fase de ejecución del contrato. </w:t>
      </w:r>
    </w:p>
    <w:p w14:paraId="0F54D20A"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p>
    <w:p w14:paraId="440A734B"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r w:rsidRPr="00F53971">
        <w:rPr>
          <w:rFonts w:ascii="Verdana" w:eastAsia="Calibri" w:hAnsi="Verdana" w:cs="Arial"/>
          <w:color w:val="000000"/>
          <w:sz w:val="20"/>
          <w:szCs w:val="20"/>
          <w:lang w:val="es-ES"/>
        </w:rPr>
        <w:t xml:space="preserve">Este límite encuentra sustento en el hecho de que, para celebrar contratos estatales las entidades públicas eligen, dentro de un “régimen de concurrencia y de igualdad, las mejores condiciones de costo, calidad e idoneidad de la prestación requerida”, lo que supone que la selección </w:t>
      </w:r>
      <w:r w:rsidRPr="00F53971">
        <w:rPr>
          <w:rFonts w:ascii="Verdana" w:eastAsia="Calibri" w:hAnsi="Verdana" w:cs="Arial"/>
          <w:color w:val="000000"/>
          <w:sz w:val="20"/>
          <w:szCs w:val="20"/>
          <w:lang w:val="es-ES"/>
        </w:rPr>
        <w:lastRenderedPageBreak/>
        <w:t>objetiva de la oferta más favorable, se dirige a salvaguardar el interés público y, por lo tanto, celebrado el contrato en esas condiciones,  su eventual modificación debe asegurar que lo adjudicado, y posteriormente alterado, consulte la mejor opción para el servicio público.</w:t>
      </w:r>
    </w:p>
    <w:p w14:paraId="5FF5DDC9"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p>
    <w:p w14:paraId="764A442E"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r w:rsidRPr="00F53971">
        <w:rPr>
          <w:rFonts w:ascii="Verdana" w:eastAsia="Calibri" w:hAnsi="Verdana" w:cs="Arial"/>
          <w:color w:val="000000"/>
          <w:sz w:val="20"/>
          <w:szCs w:val="20"/>
          <w:lang w:val="es-ES"/>
        </w:rPr>
        <w:t>Así, según lo expuesto en el concepto en cuestión “la aplicación de los principios de transparencia, de libertad de concurrencia y de igualdad, consagrados en el Estatuto Contractual, y las reglas sustanciales del pliego de condiciones, que permitieron elegir la mejor oferta, previo cumplimiento de los requisitos habilitantes y de ponderación, deben ser de estricta observancia por la Administración y por el contratista, y sus efectos trascienden y se aplican durante la ejecución del contrato y en su liquidación, como garantía de inalterabilidad de lo pactado y de acatamiento a la legalidad de las reglas aplicadas en la actuación previa.</w:t>
      </w:r>
    </w:p>
    <w:p w14:paraId="1A268296"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p>
    <w:p w14:paraId="526C814B"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r w:rsidRPr="00F53971">
        <w:rPr>
          <w:rFonts w:ascii="Verdana" w:eastAsia="Calibri" w:hAnsi="Verdana" w:cs="Arial"/>
          <w:color w:val="000000"/>
          <w:sz w:val="20"/>
          <w:szCs w:val="20"/>
          <w:lang w:val="es-ES"/>
        </w:rPr>
        <w:t xml:space="preserve">2.Límites de orden temporal, entre los que están comprendidos: i) la vigencia del contrato, pues no podría modificarse un contrato cuyo plazo ha culminado y </w:t>
      </w:r>
      <w:proofErr w:type="spellStart"/>
      <w:r w:rsidRPr="00F53971">
        <w:rPr>
          <w:rFonts w:ascii="Verdana" w:eastAsia="Calibri" w:hAnsi="Verdana" w:cs="Arial"/>
          <w:color w:val="000000"/>
          <w:sz w:val="20"/>
          <w:szCs w:val="20"/>
          <w:lang w:val="es-ES"/>
        </w:rPr>
        <w:t>ii</w:t>
      </w:r>
      <w:proofErr w:type="spellEnd"/>
      <w:r w:rsidRPr="00F53971">
        <w:rPr>
          <w:rFonts w:ascii="Verdana" w:eastAsia="Calibri" w:hAnsi="Verdana" w:cs="Arial"/>
          <w:color w:val="000000"/>
          <w:sz w:val="20"/>
          <w:szCs w:val="20"/>
          <w:lang w:val="es-ES"/>
        </w:rPr>
        <w:t>) la prohibición de consagrar prórrogas automáticas, sucesivas o indefinidas, en tanto resultan contrarias al derecho esencial de la libertad de competencia.</w:t>
      </w:r>
    </w:p>
    <w:p w14:paraId="27A8FB0E" w14:textId="77777777" w:rsidR="00A96C6F" w:rsidRPr="00F53971" w:rsidRDefault="00A96C6F" w:rsidP="00A96C6F">
      <w:pPr>
        <w:tabs>
          <w:tab w:val="left" w:pos="284"/>
        </w:tabs>
        <w:spacing w:after="0" w:line="240" w:lineRule="auto"/>
        <w:ind w:right="709"/>
        <w:jc w:val="both"/>
        <w:rPr>
          <w:rFonts w:ascii="Verdana" w:eastAsia="Calibri" w:hAnsi="Verdana" w:cs="Arial"/>
          <w:color w:val="000000"/>
          <w:sz w:val="20"/>
          <w:szCs w:val="20"/>
          <w:lang w:val="es-ES"/>
        </w:rPr>
      </w:pPr>
    </w:p>
    <w:p w14:paraId="18B415A4"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r w:rsidRPr="00F53971">
        <w:rPr>
          <w:rFonts w:ascii="Verdana" w:eastAsia="Calibri" w:hAnsi="Verdana" w:cs="Arial"/>
          <w:color w:val="000000"/>
          <w:sz w:val="20"/>
          <w:szCs w:val="20"/>
          <w:lang w:val="es-ES"/>
        </w:rPr>
        <w:t>3. Límites de orden formal, que comprenden: i) La solemnidad del contrato de modificación, derivada del carácter solemne del contrato estatal, que exige que la modificación de los contratos conste por escrito</w:t>
      </w:r>
      <w:r w:rsidRPr="00F53971">
        <w:rPr>
          <w:rFonts w:ascii="Verdana" w:eastAsia="Calibri" w:hAnsi="Verdana" w:cs="Arial"/>
          <w:color w:val="000000"/>
          <w:sz w:val="20"/>
          <w:szCs w:val="20"/>
          <w:vertAlign w:val="superscript"/>
          <w:lang w:val="es-ES"/>
        </w:rPr>
        <w:footnoteReference w:id="24"/>
      </w:r>
      <w:r w:rsidRPr="00F53971">
        <w:rPr>
          <w:rFonts w:ascii="Verdana" w:eastAsia="Calibri" w:hAnsi="Verdana" w:cs="Arial"/>
          <w:color w:val="000000"/>
          <w:sz w:val="20"/>
          <w:szCs w:val="20"/>
          <w:lang w:val="es-ES"/>
        </w:rPr>
        <w:t xml:space="preserve">; </w:t>
      </w:r>
      <w:proofErr w:type="spellStart"/>
      <w:r w:rsidRPr="00F53971">
        <w:rPr>
          <w:rFonts w:ascii="Verdana" w:eastAsia="Calibri" w:hAnsi="Verdana" w:cs="Arial"/>
          <w:color w:val="000000"/>
          <w:sz w:val="20"/>
          <w:szCs w:val="20"/>
          <w:lang w:val="es-ES"/>
        </w:rPr>
        <w:t>ii</w:t>
      </w:r>
      <w:proofErr w:type="spellEnd"/>
      <w:r w:rsidRPr="00F53971">
        <w:rPr>
          <w:rFonts w:ascii="Verdana" w:eastAsia="Calibri" w:hAnsi="Verdana" w:cs="Arial"/>
          <w:color w:val="000000"/>
          <w:sz w:val="20"/>
          <w:szCs w:val="20"/>
          <w:lang w:val="es-ES"/>
        </w:rPr>
        <w:t>) la motivación y justificación de la modificación, la cual constituye un elemento esencial que permite determinar la juridicidad y la necesidad de una modificación determinada; así como su racionalidad y la proporcionalidad de su contenido.</w:t>
      </w:r>
    </w:p>
    <w:p w14:paraId="4FAEE7FA"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p>
    <w:p w14:paraId="040652E4"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sz w:val="20"/>
          <w:szCs w:val="20"/>
          <w:lang w:val="es-ES"/>
        </w:rPr>
      </w:pPr>
      <w:r w:rsidRPr="00F53971">
        <w:rPr>
          <w:rFonts w:ascii="Verdana" w:eastAsia="Calibri" w:hAnsi="Verdana" w:cs="Arial"/>
          <w:color w:val="000000"/>
          <w:sz w:val="20"/>
          <w:szCs w:val="20"/>
          <w:lang w:val="es-ES"/>
        </w:rPr>
        <w:t>4. Límites de orden material, que corresponden a: i) la prohibición de modificar las condiciones sustanciales del contrato, que se presentará en los casos en que se incluyan elementos que, “habiendo figurado en el procedimiento inicial, hubiera permitido la participación de otros interesados aparte de los inicialmente admitidos, o seleccionar una oferta distinta de la inicialmente seleccionada”.</w:t>
      </w:r>
    </w:p>
    <w:p w14:paraId="01A6ABFB" w14:textId="77777777" w:rsidR="00A96C6F" w:rsidRPr="00F53971" w:rsidRDefault="00A96C6F" w:rsidP="00A96C6F">
      <w:pPr>
        <w:tabs>
          <w:tab w:val="left" w:pos="284"/>
        </w:tabs>
        <w:spacing w:after="0" w:line="240" w:lineRule="auto"/>
        <w:ind w:left="709" w:right="709"/>
        <w:jc w:val="both"/>
        <w:rPr>
          <w:rFonts w:ascii="Verdana" w:eastAsia="Calibri" w:hAnsi="Verdana" w:cs="Arial"/>
          <w:color w:val="000000"/>
          <w:lang w:val="es-ES"/>
        </w:rPr>
      </w:pPr>
    </w:p>
    <w:p w14:paraId="722063AB" w14:textId="77777777" w:rsidR="00A96C6F" w:rsidRPr="00F53971" w:rsidRDefault="00A96C6F" w:rsidP="00A96C6F">
      <w:pPr>
        <w:widowControl w:val="0"/>
        <w:autoSpaceDE w:val="0"/>
        <w:autoSpaceDN w:val="0"/>
        <w:spacing w:after="0"/>
        <w:ind w:right="102" w:firstLine="709"/>
        <w:jc w:val="both"/>
        <w:rPr>
          <w:rFonts w:ascii="Verdana" w:eastAsia="Arial" w:hAnsi="Verdana" w:cs="Arial"/>
          <w:color w:val="000000"/>
          <w:lang w:val="es-ES" w:eastAsia="es-ES" w:bidi="es-ES"/>
        </w:rPr>
      </w:pPr>
      <w:r w:rsidRPr="00F53971">
        <w:rPr>
          <w:rFonts w:ascii="Verdana" w:eastAsia="Arial" w:hAnsi="Verdana" w:cs="Arial"/>
          <w:color w:val="000000"/>
          <w:lang w:val="es-ES" w:eastAsia="es-ES" w:bidi="es-ES"/>
        </w:rPr>
        <w:t>Sobre el alcance de dicha prohibición, la Sala de Consulta y Servicio Civil expresó lo siguiente</w:t>
      </w:r>
      <w:r w:rsidRPr="00F53971">
        <w:rPr>
          <w:rFonts w:ascii="Verdana" w:eastAsia="Arial" w:hAnsi="Verdana" w:cs="Arial"/>
          <w:color w:val="000000"/>
          <w:vertAlign w:val="superscript"/>
          <w:lang w:val="es-ES" w:eastAsia="es-ES" w:bidi="es-ES"/>
        </w:rPr>
        <w:footnoteReference w:id="25"/>
      </w:r>
      <w:r w:rsidRPr="00F53971">
        <w:rPr>
          <w:rFonts w:ascii="Verdana" w:eastAsia="Arial" w:hAnsi="Verdana" w:cs="Arial"/>
          <w:color w:val="000000"/>
          <w:lang w:val="es-ES" w:eastAsia="es-ES" w:bidi="es-ES"/>
        </w:rPr>
        <w:t>:</w:t>
      </w:r>
    </w:p>
    <w:p w14:paraId="5F9C8CC2" w14:textId="77777777" w:rsidR="00A96C6F" w:rsidRPr="00F53971" w:rsidRDefault="00A96C6F" w:rsidP="00A96C6F">
      <w:pPr>
        <w:widowControl w:val="0"/>
        <w:autoSpaceDE w:val="0"/>
        <w:autoSpaceDN w:val="0"/>
        <w:spacing w:after="0"/>
        <w:ind w:right="102" w:firstLine="709"/>
        <w:jc w:val="both"/>
        <w:rPr>
          <w:rFonts w:ascii="Verdana" w:eastAsia="Arial" w:hAnsi="Verdana" w:cs="Arial"/>
          <w:color w:val="000000"/>
          <w:lang w:val="es-ES" w:eastAsia="es-ES" w:bidi="es-ES"/>
        </w:rPr>
      </w:pPr>
    </w:p>
    <w:p w14:paraId="13D0DA9A"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53971">
        <w:rPr>
          <w:rFonts w:ascii="Verdana" w:eastAsia="Arial" w:hAnsi="Verdana" w:cs="Arial"/>
          <w:bCs/>
          <w:iCs/>
          <w:color w:val="000000"/>
          <w:sz w:val="20"/>
          <w:szCs w:val="20"/>
          <w:lang w:val="es-ES" w:eastAsia="es-ES" w:bidi="es-ES"/>
        </w:rPr>
        <w:lastRenderedPageBreak/>
        <w:t>“Así, frente a circunstancias excepcionales la Administración podría usar su poder de modificación unilateral o realizar las modificaciones de mutuo acuerdo, con el cumplimiento de los requisitos de ley. Se trataría de la excepción a la regla general de intangibilidad del contrato. La doctrina y algunos pronunciamientos de la Sección Tercera del Consejo de Estado aportan los elementos necesarios que permiten orientar a la Administración sobre esta vía excepcional y sus requisitos:</w:t>
      </w:r>
    </w:p>
    <w:p w14:paraId="4E5EFD8B"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p>
    <w:p w14:paraId="2D318ECB"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53971">
        <w:rPr>
          <w:rFonts w:ascii="Verdana" w:eastAsia="Arial" w:hAnsi="Verdana" w:cs="Arial"/>
          <w:bCs/>
          <w:iCs/>
          <w:color w:val="000000"/>
          <w:sz w:val="20"/>
          <w:szCs w:val="20"/>
          <w:lang w:val="es-ES" w:eastAsia="es-ES" w:bidi="es-ES"/>
        </w:rPr>
        <w:t>- No podría aceptarse un poder ilimitado o absoluto de modificación, aun frente a circunstancias excepcionales. Por ello la modificación no podrá afectar el núcleo esencial del objeto, o la naturaleza global del contrato. Con independencia de las razones y circunstancias imprevisibles que puedan presentarse, no es posible que el contrato mute o se transforme en un contrato sustancialmente distinto. Si se sustituyen las obras, los suministros o los servicios pactados por otros diferentes, o se modifica el tipo de contratación, o el núcleo esencial del objeto, se presentaría una novación del negocio jurídico y su objeto.</w:t>
      </w:r>
    </w:p>
    <w:p w14:paraId="613FDEA8"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p>
    <w:p w14:paraId="6A4DB5DC"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53971">
        <w:rPr>
          <w:rFonts w:ascii="Verdana" w:eastAsia="Arial" w:hAnsi="Verdana" w:cs="Arial"/>
          <w:bCs/>
          <w:iCs/>
          <w:color w:val="000000"/>
          <w:sz w:val="20"/>
          <w:szCs w:val="20"/>
          <w:lang w:val="es-ES" w:eastAsia="es-ES" w:bidi="es-ES"/>
        </w:rPr>
        <w:t>[…]</w:t>
      </w:r>
    </w:p>
    <w:p w14:paraId="4246A92A"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p>
    <w:p w14:paraId="2BD48DD8"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53971">
        <w:rPr>
          <w:rFonts w:ascii="Verdana" w:eastAsia="Arial" w:hAnsi="Verdana" w:cs="Arial"/>
          <w:bCs/>
          <w:iCs/>
          <w:color w:val="000000"/>
          <w:sz w:val="20"/>
          <w:szCs w:val="20"/>
          <w:lang w:val="es-ES" w:eastAsia="es-ES" w:bidi="es-ES"/>
        </w:rPr>
        <w:t xml:space="preserve">-Las causas que justificarían la modificación del contrato deben obedecer al acaecimiento de situaciones o circunstancias imposibles de prever, con una diligencia debida, que hagan imperiosa o necesaria la modificación de algunas estipulaciones del contrato, como única manera de conjurarlas. Debe tratarse de la existencia de circunstancias surgidas de un riesgo imprevisible, no necesariamente de una situación no prevista, que pueda razonablemente considerarse en un futuro mediato o que debieron ser previstas en la etapa de planeación del contrato. Ello supone la existencia de circunstancias posteriores, externas a las partes y no agravadas por su acción u omisión, puestas de manifiesto o imposibles de advertir en la etapa precontractual, que, además, muestren la imposibilidad de cumplir lo pactado inicialmente, o su falta de idoneidad. Estas circunstancias pueden obedecer a razones de tipo geológico, medioambiental o de otra índole, que no pudieron ser razonablemente previstas. </w:t>
      </w:r>
    </w:p>
    <w:p w14:paraId="14526C4A"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p>
    <w:p w14:paraId="39111E09"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53971">
        <w:rPr>
          <w:rFonts w:ascii="Verdana" w:eastAsia="Arial" w:hAnsi="Verdana" w:cs="Arial"/>
          <w:bCs/>
          <w:iCs/>
          <w:color w:val="000000"/>
          <w:sz w:val="20"/>
          <w:szCs w:val="20"/>
          <w:lang w:val="es-ES" w:eastAsia="es-ES" w:bidi="es-ES"/>
        </w:rPr>
        <w:t>[…]</w:t>
      </w:r>
    </w:p>
    <w:p w14:paraId="60BA203A"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p>
    <w:p w14:paraId="5F732C8E"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53971">
        <w:rPr>
          <w:rFonts w:ascii="Verdana" w:eastAsia="Arial" w:hAnsi="Verdana" w:cs="Arial"/>
          <w:bCs/>
          <w:iCs/>
          <w:color w:val="000000"/>
          <w:sz w:val="20"/>
          <w:szCs w:val="20"/>
          <w:lang w:val="es-ES" w:eastAsia="es-ES" w:bidi="es-ES"/>
        </w:rPr>
        <w:t>-La existencia de una necesidad de servicio público que justifique la modificación, hasta el punto de conjurar la nueva necesidad. La acreditación de estas circunstancias estará a cargo de la entidad estatal, justificada en los estudios previos y en la debida motivación del contrato modificatorio.</w:t>
      </w:r>
    </w:p>
    <w:p w14:paraId="60813B78"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p>
    <w:p w14:paraId="58D35C69"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53971">
        <w:rPr>
          <w:rFonts w:ascii="Verdana" w:eastAsia="Arial" w:hAnsi="Verdana" w:cs="Arial"/>
          <w:bCs/>
          <w:iCs/>
          <w:color w:val="000000"/>
          <w:sz w:val="20"/>
          <w:szCs w:val="20"/>
          <w:lang w:val="es-ES" w:eastAsia="es-ES" w:bidi="es-ES"/>
        </w:rPr>
        <w:t xml:space="preserve">-El cumplimiento del límite cuantitativo consagrado en la ley para los contratos adicionales. </w:t>
      </w:r>
    </w:p>
    <w:p w14:paraId="3F8CFE9D"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p>
    <w:p w14:paraId="1F10980A"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53971">
        <w:rPr>
          <w:rFonts w:ascii="Verdana" w:eastAsia="Arial" w:hAnsi="Verdana" w:cs="Arial"/>
          <w:bCs/>
          <w:iCs/>
          <w:color w:val="000000"/>
          <w:sz w:val="20"/>
          <w:szCs w:val="20"/>
          <w:lang w:val="es-ES" w:eastAsia="es-ES" w:bidi="es-ES"/>
        </w:rPr>
        <w:lastRenderedPageBreak/>
        <w:t>[…]</w:t>
      </w:r>
    </w:p>
    <w:p w14:paraId="5AA58AA7"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p>
    <w:p w14:paraId="1BC50C66" w14:textId="77777777" w:rsidR="00A96C6F" w:rsidRPr="00F53971" w:rsidRDefault="00A96C6F" w:rsidP="00A96C6F">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53971">
        <w:rPr>
          <w:rFonts w:ascii="Verdana" w:eastAsia="Arial" w:hAnsi="Verdana" w:cs="Arial"/>
          <w:bCs/>
          <w:iCs/>
          <w:color w:val="000000"/>
          <w:sz w:val="20"/>
          <w:szCs w:val="20"/>
          <w:lang w:val="es-ES" w:eastAsia="es-ES" w:bidi="es-ES"/>
        </w:rPr>
        <w:t>-Debe tratarse de prestaciones necesarias e inseparables técnica o económicamente del contrato inicial, que no permitan su uso o aprovechamiento independiente. La modificación de las condiciones de la prestación o del contrato debe presuponer que no pueda ser materia de un nuevo proceso de selección, o de su contratación con un tercero, en razón a que, por su naturaleza, resulte inseparable técnica o económicamente de la prestación pactada en el contrato inicial”.</w:t>
      </w:r>
    </w:p>
    <w:p w14:paraId="717975D3" w14:textId="77777777" w:rsidR="00A96C6F" w:rsidRPr="00F53971" w:rsidRDefault="00A96C6F" w:rsidP="00A96C6F">
      <w:pPr>
        <w:widowControl w:val="0"/>
        <w:autoSpaceDE w:val="0"/>
        <w:autoSpaceDN w:val="0"/>
        <w:spacing w:after="0" w:line="276" w:lineRule="auto"/>
        <w:ind w:right="49" w:firstLine="708"/>
        <w:jc w:val="both"/>
        <w:rPr>
          <w:rFonts w:ascii="Verdana" w:eastAsia="Arial" w:hAnsi="Verdana" w:cs="Arial"/>
          <w:lang w:val="es-ES" w:eastAsia="es-ES" w:bidi="es-ES"/>
        </w:rPr>
      </w:pPr>
    </w:p>
    <w:p w14:paraId="5BAA1883" w14:textId="77777777" w:rsidR="00A96C6F" w:rsidRPr="00F53971" w:rsidRDefault="00A96C6F" w:rsidP="00A96C6F">
      <w:pPr>
        <w:widowControl w:val="0"/>
        <w:autoSpaceDE w:val="0"/>
        <w:autoSpaceDN w:val="0"/>
        <w:ind w:right="51" w:firstLine="709"/>
        <w:jc w:val="both"/>
        <w:rPr>
          <w:rFonts w:ascii="Verdana" w:eastAsia="Arial" w:hAnsi="Verdana" w:cs="Arial"/>
          <w:lang w:val="es-ES" w:eastAsia="es-ES" w:bidi="es-ES"/>
        </w:rPr>
      </w:pPr>
      <w:r w:rsidRPr="00F53971">
        <w:rPr>
          <w:rFonts w:ascii="Verdana" w:eastAsia="Arial" w:hAnsi="Verdana" w:cs="Arial"/>
          <w:lang w:val="es-ES" w:eastAsia="es-ES" w:bidi="es-ES"/>
        </w:rPr>
        <w:t>En efecto, aunque no existe un desarrollo legal o reglamentario sobre las reglas aplicables a la modificación del contrato estatal, los aportes de la jurisprudencia y de la doctrina han permitido estructurar los límites y requisitos de orden temporal, formal, material y axiológico para la modificación del contrato estatal. Estos límites deben ser respetados por la entidad contratante para preservar los principios de origen legal, como el de planeación, selección objetiva, libre concurrencia, transparencia, igualdad, entre otros</w:t>
      </w:r>
      <w:r w:rsidRPr="00F53971">
        <w:rPr>
          <w:rFonts w:ascii="Verdana" w:eastAsia="Arial" w:hAnsi="Verdana" w:cs="Arial"/>
          <w:vertAlign w:val="superscript"/>
          <w:lang w:val="es-ES" w:eastAsia="es-ES" w:bidi="es-ES"/>
        </w:rPr>
        <w:footnoteReference w:id="26"/>
      </w:r>
      <w:r w:rsidRPr="00F53971">
        <w:rPr>
          <w:rFonts w:ascii="Verdana" w:eastAsia="Arial" w:hAnsi="Verdana" w:cs="Arial"/>
          <w:lang w:val="es-ES" w:eastAsia="es-ES" w:bidi="es-ES"/>
        </w:rPr>
        <w:t xml:space="preserve">. </w:t>
      </w:r>
    </w:p>
    <w:p w14:paraId="277B32FB" w14:textId="77777777" w:rsidR="00A96C6F" w:rsidRPr="00F53971" w:rsidRDefault="00A96C6F" w:rsidP="00A96C6F">
      <w:pPr>
        <w:widowControl w:val="0"/>
        <w:autoSpaceDE w:val="0"/>
        <w:autoSpaceDN w:val="0"/>
        <w:ind w:firstLine="709"/>
        <w:jc w:val="both"/>
        <w:rPr>
          <w:rFonts w:ascii="Verdana" w:eastAsia="Arial" w:hAnsi="Verdana" w:cs="Arial"/>
          <w:color w:val="000000"/>
          <w:lang w:val="es-ES" w:eastAsia="es-ES" w:bidi="es-ES"/>
        </w:rPr>
      </w:pPr>
      <w:r w:rsidRPr="00F53971">
        <w:rPr>
          <w:rFonts w:ascii="Verdana" w:eastAsia="Arial" w:hAnsi="Verdana" w:cs="Arial"/>
          <w:color w:val="000000"/>
          <w:lang w:val="es-ES" w:eastAsia="es-ES" w:bidi="es-ES"/>
        </w:rPr>
        <w:t xml:space="preserve">Es claro, entonces, que según el marco jurídico y los parámetros fijados por el Consejo de Estado y la Corte Constitucional, los cuales comparte esta Agencia, es viable jurídicamente modificar los contratos estatales, pero esta medida tienen </w:t>
      </w:r>
      <w:r w:rsidRPr="00F53971">
        <w:rPr>
          <w:rFonts w:ascii="Verdana" w:eastAsia="Arial" w:hAnsi="Verdana" w:cs="Arial"/>
          <w:i/>
          <w:iCs/>
          <w:color w:val="000000"/>
          <w:lang w:val="es-ES" w:eastAsia="es-ES" w:bidi="es-ES"/>
        </w:rPr>
        <w:t>carácter excepcional</w:t>
      </w:r>
      <w:r w:rsidRPr="00F53971">
        <w:rPr>
          <w:rFonts w:ascii="Verdana" w:eastAsia="Arial" w:hAnsi="Verdana" w:cs="Arial"/>
          <w:color w:val="000000"/>
          <w:lang w:val="es-ES" w:eastAsia="es-ES" w:bidi="es-ES"/>
        </w:rPr>
        <w:t xml:space="preserve"> y solo procede cuando: se pretenda garantizar el interés público, la entidad haya verificado y cualquiera pueda constatar que la causa de la modificación es real y cierta, y la modificación cumpla con las limitaciones y condiciones que establezca la ley. En otras palabras, la modificación contractual encuentra sustento no solo en circunstancias fácticas propias de la ejecución del contrato, sino además debe cumplir con los principios y fines de la contratación estatal, así como con las condiciones y restricciones legales. </w:t>
      </w:r>
    </w:p>
    <w:p w14:paraId="3C5F9569" w14:textId="77777777" w:rsidR="00A96C6F" w:rsidRPr="00F53971" w:rsidRDefault="00A96C6F" w:rsidP="00A96C6F">
      <w:pPr>
        <w:widowControl w:val="0"/>
        <w:autoSpaceDE w:val="0"/>
        <w:autoSpaceDN w:val="0"/>
        <w:ind w:firstLine="709"/>
        <w:jc w:val="both"/>
        <w:rPr>
          <w:rFonts w:ascii="Verdana" w:eastAsia="Arial" w:hAnsi="Verdana" w:cs="Arial"/>
          <w:color w:val="000000"/>
          <w:lang w:val="es-ES" w:eastAsia="es-ES" w:bidi="es-ES"/>
        </w:rPr>
      </w:pPr>
      <w:r w:rsidRPr="00F53971">
        <w:rPr>
          <w:rFonts w:ascii="Verdana" w:eastAsia="Arial" w:hAnsi="Verdana" w:cs="Arial"/>
          <w:color w:val="000000" w:themeColor="text1"/>
          <w:lang w:val="es-ES" w:eastAsia="es-ES" w:bidi="es-ES"/>
        </w:rPr>
        <w:t xml:space="preserve">En este marco, corresponderá a cada Entidad Estatal realizar el análisis respecto a la precedencia de modificar determinado contrato estatal, o ejecutarlo por encima del valor inicial estimado, en el entendido que se respeten las reglas establecidas en el ordenamiento jurídico, de acuerdo con lo expuesto anteriormente, además de definir previamente su procedencia desde la perspectiva jurídica, técnica y financiera. Con todo, según la jurisprudencia reciente del Consejo de Estado, el valor inicial de los contratos no puede ser interpretado de manera desproporcionada e irrazonable, </w:t>
      </w:r>
      <w:proofErr w:type="gramStart"/>
      <w:r w:rsidRPr="00F53971">
        <w:rPr>
          <w:rFonts w:ascii="Verdana" w:eastAsia="Arial" w:hAnsi="Verdana" w:cs="Arial"/>
          <w:color w:val="000000" w:themeColor="text1"/>
          <w:lang w:val="es-ES" w:eastAsia="es-ES" w:bidi="es-ES"/>
        </w:rPr>
        <w:t>ya que</w:t>
      </w:r>
      <w:proofErr w:type="gramEnd"/>
      <w:r w:rsidRPr="00F53971">
        <w:rPr>
          <w:rFonts w:ascii="Verdana" w:eastAsia="Arial" w:hAnsi="Verdana" w:cs="Arial"/>
          <w:color w:val="000000" w:themeColor="text1"/>
          <w:lang w:val="es-ES" w:eastAsia="es-ES" w:bidi="es-ES"/>
        </w:rPr>
        <w:t xml:space="preserve"> de acuerdo con lo aquí explicado, ello no solo puede evidenciar infracciones a al deber de </w:t>
      </w:r>
      <w:r w:rsidRPr="00F53971">
        <w:rPr>
          <w:rFonts w:ascii="Verdana" w:eastAsia="Arial" w:hAnsi="Verdana" w:cs="Arial"/>
          <w:color w:val="000000" w:themeColor="text1"/>
          <w:lang w:val="es-ES" w:eastAsia="es-ES" w:bidi="es-ES"/>
        </w:rPr>
        <w:lastRenderedPageBreak/>
        <w:t xml:space="preserve">planeación y al principio de selección objetiva, sino que también puede atentar contra los principios de la gestión administrativa conduciendo a detrimentos del recurso público.   </w:t>
      </w:r>
    </w:p>
    <w:p w14:paraId="39F3A8E6" w14:textId="77777777" w:rsidR="00A96C6F" w:rsidRPr="00F53971" w:rsidRDefault="00A96C6F" w:rsidP="00A96C6F">
      <w:pPr>
        <w:widowControl w:val="0"/>
        <w:autoSpaceDE w:val="0"/>
        <w:autoSpaceDN w:val="0"/>
        <w:spacing w:after="0"/>
        <w:ind w:firstLine="709"/>
        <w:jc w:val="both"/>
        <w:rPr>
          <w:rFonts w:ascii="Verdana" w:eastAsia="Arial" w:hAnsi="Verdana" w:cs="Arial"/>
          <w:color w:val="000000" w:themeColor="text1"/>
          <w:lang w:val="es-ES" w:eastAsia="es-ES" w:bidi="es-ES"/>
        </w:rPr>
      </w:pPr>
      <w:r w:rsidRPr="00F53971">
        <w:rPr>
          <w:rFonts w:ascii="Verdana" w:eastAsia="Arial" w:hAnsi="Verdana" w:cs="Arial"/>
          <w:color w:val="000000" w:themeColor="text1"/>
          <w:lang w:val="es-ES" w:eastAsia="es-ES" w:bidi="es-ES"/>
        </w:rPr>
        <w:t xml:space="preserve">Lo </w:t>
      </w:r>
      <w:r>
        <w:rPr>
          <w:rFonts w:ascii="Verdana" w:eastAsia="Arial" w:hAnsi="Verdana" w:cs="Arial"/>
          <w:color w:val="000000" w:themeColor="text1"/>
          <w:lang w:val="es-ES" w:eastAsia="es-ES" w:bidi="es-ES"/>
        </w:rPr>
        <w:t>anterior implica que l</w:t>
      </w:r>
      <w:r w:rsidRPr="00367244">
        <w:rPr>
          <w:rFonts w:ascii="Verdana" w:eastAsia="Arial" w:hAnsi="Verdana" w:cs="Arial"/>
          <w:color w:val="000000" w:themeColor="text1"/>
          <w:lang w:eastAsia="es-ES" w:bidi="es-ES"/>
        </w:rPr>
        <w:t>a procedencia de la adición del contrato de interventoría pactado a todo costo —entendido este como la metodología de remuneración por precio global— está condicionada por la causa que la motiva y por</w:t>
      </w:r>
      <w:r>
        <w:rPr>
          <w:rFonts w:ascii="Verdana" w:eastAsia="Arial" w:hAnsi="Verdana" w:cs="Arial"/>
          <w:color w:val="000000" w:themeColor="text1"/>
          <w:lang w:eastAsia="es-ES" w:bidi="es-ES"/>
        </w:rPr>
        <w:t xml:space="preserve"> las condiciones pactadas</w:t>
      </w:r>
      <w:r w:rsidRPr="00367244">
        <w:rPr>
          <w:rFonts w:ascii="Verdana" w:eastAsia="Arial" w:hAnsi="Verdana" w:cs="Arial"/>
          <w:color w:val="000000" w:themeColor="text1"/>
          <w:lang w:eastAsia="es-ES" w:bidi="es-ES"/>
        </w:rPr>
        <w:t xml:space="preserve">. En efecto, la entidad no puede pretender adicionar un contrato pactado a precio global con el fin de cubrir costos cuyo riesgo asumió el contratista, pues la causa de la adición debe ser concordante con las reglas </w:t>
      </w:r>
      <w:r>
        <w:rPr>
          <w:rFonts w:ascii="Verdana" w:eastAsia="Arial" w:hAnsi="Verdana" w:cs="Arial"/>
          <w:color w:val="000000" w:themeColor="text1"/>
          <w:lang w:eastAsia="es-ES" w:bidi="es-ES"/>
        </w:rPr>
        <w:t xml:space="preserve">de </w:t>
      </w:r>
      <w:r w:rsidRPr="00367244">
        <w:rPr>
          <w:rFonts w:ascii="Verdana" w:eastAsia="Arial" w:hAnsi="Verdana" w:cs="Arial"/>
          <w:color w:val="000000" w:themeColor="text1"/>
          <w:lang w:eastAsia="es-ES" w:bidi="es-ES"/>
        </w:rPr>
        <w:t xml:space="preserve">la modalidad de remuneración pactada y </w:t>
      </w:r>
      <w:r>
        <w:rPr>
          <w:rFonts w:ascii="Verdana" w:eastAsia="Arial" w:hAnsi="Verdana" w:cs="Arial"/>
          <w:color w:val="000000" w:themeColor="text1"/>
          <w:lang w:eastAsia="es-ES" w:bidi="es-ES"/>
        </w:rPr>
        <w:t>con la</w:t>
      </w:r>
      <w:r w:rsidRPr="00367244">
        <w:rPr>
          <w:rFonts w:ascii="Verdana" w:eastAsia="Arial" w:hAnsi="Verdana" w:cs="Arial"/>
          <w:color w:val="000000" w:themeColor="text1"/>
          <w:lang w:eastAsia="es-ES" w:bidi="es-ES"/>
        </w:rPr>
        <w:t xml:space="preserve"> distribución de riesgos derivada de esta. De esta manera, corresponde a cada entidad estatal realizar el análisis de la procedencia de modificar el contrato de interventoría atendiendo a las condiciones que fueron pactadas con respecto al precio, verificando que la causa de la modificación sea real y cierta, que esté contemplada en la ley, y que cumpla con los principios y fines de la contratación estatal, así como con las condiciones y restricciones legales aplicables.</w:t>
      </w:r>
    </w:p>
    <w:p w14:paraId="53A34B88" w14:textId="77777777" w:rsidR="00A96C6F" w:rsidRPr="00F53971" w:rsidRDefault="00A96C6F" w:rsidP="00A96C6F">
      <w:pPr>
        <w:widowControl w:val="0"/>
        <w:autoSpaceDE w:val="0"/>
        <w:autoSpaceDN w:val="0"/>
        <w:spacing w:after="0"/>
        <w:ind w:firstLine="709"/>
        <w:jc w:val="both"/>
        <w:rPr>
          <w:rFonts w:ascii="Verdana" w:eastAsia="Arial" w:hAnsi="Verdana" w:cs="Arial"/>
          <w:color w:val="000000"/>
          <w:lang w:val="es-ES" w:eastAsia="es-ES" w:bidi="es-ES"/>
        </w:rPr>
      </w:pPr>
    </w:p>
    <w:p w14:paraId="3A95814A" w14:textId="77777777" w:rsidR="00A96C6F" w:rsidRPr="00F53971" w:rsidRDefault="00A96C6F" w:rsidP="00A96C6F">
      <w:pPr>
        <w:spacing w:after="120" w:line="276" w:lineRule="auto"/>
        <w:jc w:val="both"/>
        <w:rPr>
          <w:rFonts w:ascii="Verdana" w:eastAsia="Arial" w:hAnsi="Verdana" w:cstheme="majorHAnsi"/>
          <w:lang w:val="es-ES"/>
        </w:rPr>
      </w:pPr>
      <w:proofErr w:type="spellStart"/>
      <w:r w:rsidRPr="00F53971">
        <w:rPr>
          <w:rFonts w:ascii="Verdana" w:hAnsi="Verdana" w:cs="Arial"/>
          <w:lang w:val="es-ES"/>
        </w:rPr>
        <w:t>i</w:t>
      </w:r>
      <w:r>
        <w:rPr>
          <w:rFonts w:ascii="Verdana" w:hAnsi="Verdana" w:cs="Arial"/>
          <w:lang w:val="es-ES"/>
        </w:rPr>
        <w:t>v</w:t>
      </w:r>
      <w:proofErr w:type="spellEnd"/>
      <w:r w:rsidRPr="00F53971">
        <w:rPr>
          <w:rFonts w:ascii="Verdana" w:hAnsi="Verdana" w:cs="Arial"/>
          <w:lang w:val="es-ES"/>
        </w:rPr>
        <w:t xml:space="preserve">. </w:t>
      </w:r>
      <w:r w:rsidRPr="00F53971">
        <w:rPr>
          <w:rFonts w:ascii="Verdana" w:eastAsia="Arial" w:hAnsi="Verdana" w:cstheme="majorHAnsi"/>
          <w:lang w:val="es-ES"/>
        </w:rPr>
        <w:t>Con respecto al tercer problema jurídico planteado es importante aclarar que no existe disposición alguna en el ordenamiento jurídico que impida a las entidades pactar mecanismos que supediten el pago de la interventoría a avances en la ejecución de los contratos de obra. Por el contrario, en virtud de la autonomía de la voluntad, las entidades pueden incluir estas condiciones pago, siempre que no contraríen el ordenamiento jurídico. Así, podrán pactar una condición positiva casual para la exigibilidad de la obligación de pago de la contraprestación a cargo de la entidad contratante, tal como lo posibilitan los artículos 1530, 1531, 1532 y 1534 del Código Civil</w:t>
      </w:r>
      <w:r w:rsidRPr="00F53971">
        <w:rPr>
          <w:rFonts w:ascii="Verdana" w:eastAsia="Arial" w:hAnsi="Verdana" w:cstheme="majorHAnsi"/>
          <w:vertAlign w:val="superscript"/>
          <w:lang w:val="es-ES"/>
        </w:rPr>
        <w:footnoteReference w:id="27"/>
      </w:r>
      <w:r w:rsidRPr="00F53971">
        <w:rPr>
          <w:rFonts w:ascii="Verdana" w:eastAsia="Arial" w:hAnsi="Verdana" w:cstheme="majorHAnsi"/>
          <w:lang w:val="es-ES"/>
        </w:rPr>
        <w:t xml:space="preserve">. </w:t>
      </w:r>
    </w:p>
    <w:p w14:paraId="148DC868" w14:textId="77777777" w:rsidR="00A96C6F" w:rsidRPr="00F53971" w:rsidRDefault="00A96C6F" w:rsidP="00A96C6F">
      <w:pPr>
        <w:spacing w:after="0" w:line="276" w:lineRule="auto"/>
        <w:ind w:firstLine="709"/>
        <w:jc w:val="both"/>
        <w:rPr>
          <w:rFonts w:ascii="Verdana" w:eastAsia="Arial" w:hAnsi="Verdana" w:cstheme="majorHAnsi"/>
          <w:lang w:val="es-ES"/>
        </w:rPr>
      </w:pPr>
      <w:r w:rsidRPr="00F53971">
        <w:rPr>
          <w:rFonts w:ascii="Verdana" w:eastAsia="Arial" w:hAnsi="Verdana" w:cstheme="majorHAnsi"/>
          <w:lang w:val="es-ES"/>
        </w:rPr>
        <w:lastRenderedPageBreak/>
        <w:t xml:space="preserve">Se deriva de lo anterior, que las entidades pueden pactar el pago contra avances de la obra objeto de interventoría, siempre que esta decisión se encuentre soportada en una debida planeación que justifique que la estipulación es razonable para el caso concreto. Sin embargo, esto no implica que las entidades puedan supeditar el pago de la interventoría </w:t>
      </w:r>
      <w:r w:rsidRPr="00F53971">
        <w:rPr>
          <w:rFonts w:ascii="Verdana" w:eastAsia="Arial" w:hAnsi="Verdana" w:cstheme="majorHAnsi"/>
          <w:i/>
          <w:iCs/>
          <w:lang w:val="es-ES"/>
        </w:rPr>
        <w:t>en su totalidad o de manera exclusiva</w:t>
      </w:r>
      <w:r w:rsidRPr="00F53971">
        <w:rPr>
          <w:rFonts w:ascii="Verdana" w:eastAsia="Arial" w:hAnsi="Verdana" w:cstheme="majorHAnsi"/>
          <w:lang w:val="es-ES"/>
        </w:rPr>
        <w:t xml:space="preserve"> al cumplimiento del contrato de obra. Este límite fue señalado por el Consejo de Estado de la siguiente forma:</w:t>
      </w:r>
    </w:p>
    <w:p w14:paraId="1E4DED10" w14:textId="77777777" w:rsidR="00A96C6F" w:rsidRPr="00F53971" w:rsidRDefault="00A96C6F" w:rsidP="00A96C6F">
      <w:pPr>
        <w:spacing w:after="0" w:line="276" w:lineRule="auto"/>
        <w:ind w:firstLine="709"/>
        <w:jc w:val="both"/>
        <w:rPr>
          <w:rFonts w:ascii="Verdana" w:eastAsia="Arial" w:hAnsi="Verdana" w:cstheme="majorHAnsi"/>
          <w:lang w:val="es-ES"/>
        </w:rPr>
      </w:pPr>
    </w:p>
    <w:p w14:paraId="2E8C49E4" w14:textId="77777777" w:rsidR="00A96C6F" w:rsidRPr="00F53971" w:rsidRDefault="00A96C6F" w:rsidP="00A96C6F">
      <w:pPr>
        <w:snapToGrid w:val="0"/>
        <w:spacing w:after="0" w:line="240" w:lineRule="auto"/>
        <w:ind w:left="709" w:right="709"/>
        <w:jc w:val="both"/>
        <w:textAlignment w:val="baseline"/>
        <w:rPr>
          <w:rFonts w:ascii="Verdana" w:eastAsia="Aptos" w:hAnsi="Verdana" w:cs="Arial"/>
          <w:sz w:val="20"/>
          <w:szCs w:val="20"/>
          <w:lang w:val="es-ES" w:eastAsia="es-MX"/>
        </w:rPr>
      </w:pPr>
      <w:r w:rsidRPr="00F53971">
        <w:rPr>
          <w:rFonts w:ascii="Verdana" w:eastAsia="Aptos" w:hAnsi="Verdana" w:cs="Arial"/>
          <w:sz w:val="20"/>
          <w:szCs w:val="20"/>
          <w:lang w:val="es-ES" w:eastAsia="es-MX"/>
        </w:rPr>
        <w:t>“[…] la sujeción del pago de la contraprestación atinente al contrato de interventoría, subordinada en un ciento por ciento al cumplimiento del contrato supervisado, eventualmente y, en principio, podría encajar en el supuesto previsto en el literal d) numeral 5 del artículo 24 de la Ley 80 de 1993, que castiga con ineficacia de pleno derecho una estipulación de imposible cumplimiento, toda vez que, como se precisó́, el objeto del contrato de interventoría en línea con su naturaleza no se traduce en la garantía de la satisfacción del objeto del negocio jurídico intervenido, por lo que no resulta posible ofrecer que las obligaciones del contrato objeto de seguimiento serán acatadas a plenitud, ya que tal circunstancia no depende de manera directa del que se obliga a que así sea, sino de la actuación y voluntad de un tercero”</w:t>
      </w:r>
      <w:r w:rsidRPr="00F53971">
        <w:rPr>
          <w:rStyle w:val="Refdenotaalpie"/>
          <w:rFonts w:ascii="Verdana" w:eastAsia="Arial" w:hAnsi="Verdana" w:cstheme="majorHAnsi"/>
          <w:sz w:val="20"/>
          <w:szCs w:val="20"/>
          <w:lang w:val="es-ES"/>
        </w:rPr>
        <w:t xml:space="preserve"> </w:t>
      </w:r>
      <w:r w:rsidRPr="00F53971">
        <w:rPr>
          <w:rStyle w:val="Refdenotaalpie"/>
          <w:rFonts w:ascii="Verdana" w:eastAsia="Arial" w:hAnsi="Verdana" w:cstheme="majorHAnsi"/>
          <w:sz w:val="20"/>
          <w:szCs w:val="20"/>
          <w:lang w:val="es-ES"/>
        </w:rPr>
        <w:footnoteReference w:id="28"/>
      </w:r>
      <w:r w:rsidRPr="00F53971">
        <w:rPr>
          <w:rFonts w:ascii="Verdana" w:eastAsia="Aptos" w:hAnsi="Verdana" w:cs="Arial"/>
          <w:sz w:val="20"/>
          <w:szCs w:val="20"/>
          <w:lang w:val="es-ES" w:eastAsia="es-MX"/>
        </w:rPr>
        <w:t xml:space="preserve">. </w:t>
      </w:r>
    </w:p>
    <w:p w14:paraId="56FB89D1" w14:textId="77777777" w:rsidR="00A96C6F" w:rsidRPr="00F53971" w:rsidRDefault="00A96C6F" w:rsidP="00A96C6F">
      <w:pPr>
        <w:snapToGrid w:val="0"/>
        <w:spacing w:after="0" w:line="240" w:lineRule="auto"/>
        <w:ind w:left="709" w:right="709"/>
        <w:jc w:val="both"/>
        <w:textAlignment w:val="baseline"/>
        <w:rPr>
          <w:rFonts w:ascii="Verdana" w:eastAsia="Aptos" w:hAnsi="Verdana" w:cs="Arial"/>
          <w:sz w:val="21"/>
          <w:szCs w:val="21"/>
          <w:lang w:val="es-ES" w:eastAsia="es-MX"/>
        </w:rPr>
      </w:pPr>
    </w:p>
    <w:p w14:paraId="0AE2F68A" w14:textId="77777777" w:rsidR="00A96C6F" w:rsidRPr="00F53971" w:rsidRDefault="00A96C6F" w:rsidP="00A96C6F">
      <w:pPr>
        <w:snapToGrid w:val="0"/>
        <w:spacing w:after="0" w:line="276" w:lineRule="auto"/>
        <w:ind w:right="49" w:firstLine="708"/>
        <w:jc w:val="both"/>
        <w:textAlignment w:val="baseline"/>
        <w:rPr>
          <w:rFonts w:ascii="Verdana" w:hAnsi="Verdana" w:cs="Arial"/>
          <w:lang w:val="es-ES"/>
        </w:rPr>
      </w:pPr>
      <w:r w:rsidRPr="00F53971">
        <w:rPr>
          <w:rFonts w:ascii="Verdana" w:eastAsia="Arial" w:hAnsi="Verdana" w:cstheme="majorHAnsi"/>
          <w:lang w:val="es-ES"/>
        </w:rPr>
        <w:t xml:space="preserve">Es decir, las Entidades Estatales no podrán sujetar </w:t>
      </w:r>
      <w:r w:rsidRPr="00F53971">
        <w:rPr>
          <w:rFonts w:ascii="Verdana" w:eastAsia="Arial" w:hAnsi="Verdana" w:cstheme="majorHAnsi"/>
          <w:i/>
          <w:iCs/>
          <w:lang w:val="es-ES"/>
        </w:rPr>
        <w:t>la totalidad</w:t>
      </w:r>
      <w:r w:rsidRPr="00F53971">
        <w:rPr>
          <w:rFonts w:ascii="Verdana" w:eastAsia="Arial" w:hAnsi="Verdana" w:cstheme="majorHAnsi"/>
          <w:lang w:val="es-ES"/>
        </w:rPr>
        <w:t xml:space="preserve"> del pago de interventoría a la ejecución o cumplimiento del contrato de obra vigilado, so pena de que dicha cláusula sea ineficaz de pleno al derecho por disposición expresa del literal d) numeral 5 del artículo 24 de la Ley 80 de 1993</w:t>
      </w:r>
      <w:r w:rsidRPr="00F53971">
        <w:rPr>
          <w:rStyle w:val="Refdenotaalpie"/>
          <w:rFonts w:ascii="Verdana" w:eastAsia="Arial" w:hAnsi="Verdana" w:cstheme="majorHAnsi"/>
          <w:lang w:val="es-ES"/>
        </w:rPr>
        <w:footnoteReference w:id="29"/>
      </w:r>
      <w:r w:rsidRPr="00F53971">
        <w:rPr>
          <w:rFonts w:ascii="Verdana" w:eastAsia="Arial" w:hAnsi="Verdana" w:cstheme="majorHAnsi"/>
          <w:lang w:val="es-ES"/>
        </w:rPr>
        <w:t>, pues el supeditar el pago a la acción de un tercero implica que se ha pactado una cláusula de imposible cumplimiento para el interventor. Adicionalmente, este tipo de acuerdo de pago contraría la naturaleza del contrato de interventoría porque desconoce que el incumplimiento del contratista vigilado “</w:t>
      </w:r>
      <w:r w:rsidRPr="00F53971">
        <w:rPr>
          <w:rFonts w:ascii="Verdana" w:hAnsi="Verdana" w:cs="Arial"/>
          <w:lang w:val="es-ES"/>
        </w:rPr>
        <w:t xml:space="preserve">no se traduce en que […] la labor de la interventoría automáticamente adolezca del mismo reproche o que ese hecho pueda entenderse o equipararse como una desatención de las obligaciones contraídas en el marco de este vínculo </w:t>
      </w:r>
      <w:r w:rsidRPr="00F53971">
        <w:rPr>
          <w:rFonts w:ascii="Verdana" w:hAnsi="Verdana" w:cs="Arial"/>
          <w:lang w:val="es-ES"/>
        </w:rPr>
        <w:lastRenderedPageBreak/>
        <w:t>negocial”</w:t>
      </w:r>
      <w:r w:rsidRPr="00F53971">
        <w:rPr>
          <w:rStyle w:val="Refdenotaalpie"/>
          <w:rFonts w:ascii="Verdana" w:hAnsi="Verdana" w:cs="Arial"/>
          <w:lang w:val="es-ES"/>
        </w:rPr>
        <w:footnoteReference w:id="30"/>
      </w:r>
      <w:r w:rsidRPr="00F53971">
        <w:rPr>
          <w:rFonts w:ascii="Verdana" w:hAnsi="Verdana" w:cs="Arial"/>
          <w:lang w:val="es-ES"/>
        </w:rPr>
        <w:t xml:space="preserve">. Lo anterior se desprende de la autonomía que caracteriza a los contratos de interventoría con respecto al contrato que es objeto de vigilancia. Tal como se mencionó antes, el nexo entre ambos negocios jurídicos no desvirtúa su carácter autónomo, muestra de esto es que la prórroga del contrato de obra no implica la del contrato de interventoría, ni el incumplimiento de las obligaciones del contratista </w:t>
      </w:r>
      <w:proofErr w:type="gramStart"/>
      <w:r w:rsidRPr="00F53971">
        <w:rPr>
          <w:rFonts w:ascii="Verdana" w:hAnsi="Verdana" w:cs="Arial"/>
          <w:lang w:val="es-ES"/>
        </w:rPr>
        <w:t>e</w:t>
      </w:r>
      <w:proofErr w:type="gramEnd"/>
      <w:r w:rsidRPr="00F53971">
        <w:rPr>
          <w:rFonts w:ascii="Verdana" w:hAnsi="Verdana" w:cs="Arial"/>
          <w:lang w:val="es-ES"/>
        </w:rPr>
        <w:t xml:space="preserve"> obra conlleva al del interventor.  </w:t>
      </w:r>
    </w:p>
    <w:p w14:paraId="4018B6EB" w14:textId="77777777" w:rsidR="00A96C6F" w:rsidRPr="00F53971" w:rsidRDefault="00A96C6F" w:rsidP="00A96C6F">
      <w:pPr>
        <w:snapToGrid w:val="0"/>
        <w:spacing w:before="120" w:after="120" w:line="276" w:lineRule="auto"/>
        <w:ind w:right="49" w:firstLine="708"/>
        <w:jc w:val="both"/>
        <w:textAlignment w:val="baseline"/>
        <w:rPr>
          <w:rFonts w:ascii="Verdana" w:eastAsia="Geomanist Light" w:hAnsi="Verdana" w:cs="Arial"/>
          <w:lang w:val="es-ES"/>
        </w:rPr>
      </w:pPr>
      <w:r w:rsidRPr="00F53971">
        <w:rPr>
          <w:rFonts w:ascii="Verdana" w:hAnsi="Verdana" w:cs="Arial"/>
          <w:lang w:val="es-ES"/>
        </w:rPr>
        <w:t xml:space="preserve">En este marco, el Consejo de Estado evaluó recientemente la relación existente entre la </w:t>
      </w:r>
      <w:r w:rsidRPr="00D00DA1">
        <w:rPr>
          <w:rFonts w:ascii="Verdana" w:hAnsi="Verdana" w:cs="Arial"/>
          <w:i/>
          <w:iCs/>
          <w:lang w:val="es-ES"/>
        </w:rPr>
        <w:t>modalidad de remuneración</w:t>
      </w:r>
      <w:r w:rsidRPr="00F53971">
        <w:rPr>
          <w:rFonts w:ascii="Verdana" w:hAnsi="Verdana" w:cs="Arial"/>
          <w:lang w:val="es-ES"/>
        </w:rPr>
        <w:t xml:space="preserve"> y la forma de pago pactada en los contratos de interventoría, así como el impacto de esto en la asignación de riesgos entre las partes</w:t>
      </w:r>
      <w:r>
        <w:rPr>
          <w:rStyle w:val="Refdenotaalpie"/>
          <w:rFonts w:ascii="Verdana" w:hAnsi="Verdana" w:cs="Arial"/>
          <w:lang w:val="es-ES"/>
        </w:rPr>
        <w:footnoteReference w:id="31"/>
      </w:r>
      <w:r w:rsidRPr="00F53971">
        <w:rPr>
          <w:rFonts w:ascii="Verdana" w:hAnsi="Verdana" w:cs="Arial"/>
          <w:lang w:val="es-ES"/>
        </w:rPr>
        <w:t>. Al respecto, señaló que se trata de conceptos distintos, en los siguientes términos:</w:t>
      </w:r>
      <w:r w:rsidRPr="00F53971">
        <w:rPr>
          <w:rFonts w:ascii="Verdana" w:eastAsia="Geomanist Light" w:hAnsi="Verdana" w:cs="Arial"/>
          <w:lang w:val="es-ES"/>
        </w:rPr>
        <w:t xml:space="preserve"> “</w:t>
      </w:r>
      <w:r w:rsidRPr="0011104F">
        <w:rPr>
          <w:rFonts w:ascii="Verdana" w:eastAsia="Geomanist Light" w:hAnsi="Verdana" w:cs="Arial"/>
          <w:lang w:val="es-ES"/>
        </w:rPr>
        <w:t xml:space="preserve">La modalidad de </w:t>
      </w:r>
      <w:r w:rsidRPr="00F53971">
        <w:rPr>
          <w:rFonts w:ascii="Verdana" w:eastAsia="Geomanist Light" w:hAnsi="Verdana" w:cs="Arial"/>
          <w:lang w:val="es-ES"/>
        </w:rPr>
        <w:t>remuneración</w:t>
      </w:r>
      <w:r w:rsidRPr="0011104F">
        <w:rPr>
          <w:rFonts w:ascii="Verdana" w:eastAsia="Geomanist Light" w:hAnsi="Verdana" w:cs="Arial"/>
          <w:lang w:val="es-ES"/>
        </w:rPr>
        <w:t xml:space="preserve"> define </w:t>
      </w:r>
      <w:r w:rsidRPr="00F53971">
        <w:rPr>
          <w:rFonts w:ascii="Verdana" w:eastAsia="Geomanist Light" w:hAnsi="Verdana" w:cs="Arial"/>
          <w:lang w:val="es-ES"/>
        </w:rPr>
        <w:t>cuánto</w:t>
      </w:r>
      <w:r w:rsidRPr="0011104F">
        <w:rPr>
          <w:rFonts w:ascii="Verdana" w:eastAsia="Geomanist Light" w:hAnsi="Verdana" w:cs="Arial"/>
          <w:lang w:val="es-ES"/>
        </w:rPr>
        <w:t xml:space="preserve"> se debe al consultor, es decir, el precio pactado por la </w:t>
      </w:r>
      <w:r w:rsidRPr="00F53971">
        <w:rPr>
          <w:rFonts w:ascii="Verdana" w:eastAsia="Geomanist Light" w:hAnsi="Verdana" w:cs="Arial"/>
          <w:lang w:val="es-ES"/>
        </w:rPr>
        <w:t>prestación</w:t>
      </w:r>
      <w:r w:rsidRPr="0011104F">
        <w:rPr>
          <w:rFonts w:ascii="Verdana" w:eastAsia="Geomanist Light" w:hAnsi="Verdana" w:cs="Arial"/>
          <w:lang w:val="es-ES"/>
        </w:rPr>
        <w:t xml:space="preserve"> del servicio; la forma de pago, por su parte, regula </w:t>
      </w:r>
      <w:r w:rsidRPr="00F53971">
        <w:rPr>
          <w:rFonts w:ascii="Verdana" w:eastAsia="Geomanist Light" w:hAnsi="Verdana" w:cs="Arial"/>
          <w:lang w:val="es-ES"/>
        </w:rPr>
        <w:t>cómo</w:t>
      </w:r>
      <w:r w:rsidRPr="0011104F">
        <w:rPr>
          <w:rFonts w:ascii="Verdana" w:eastAsia="Geomanist Light" w:hAnsi="Verdana" w:cs="Arial"/>
          <w:lang w:val="es-ES"/>
        </w:rPr>
        <w:t xml:space="preserve"> se </w:t>
      </w:r>
      <w:r w:rsidRPr="00F53971">
        <w:rPr>
          <w:rFonts w:ascii="Verdana" w:eastAsia="Geomanist Light" w:hAnsi="Verdana" w:cs="Arial"/>
          <w:lang w:val="es-ES"/>
        </w:rPr>
        <w:t>efectúa</w:t>
      </w:r>
      <w:r w:rsidRPr="0011104F">
        <w:rPr>
          <w:rFonts w:ascii="Verdana" w:eastAsia="Geomanist Light" w:hAnsi="Verdana" w:cs="Arial"/>
          <w:lang w:val="es-ES"/>
        </w:rPr>
        <w:t xml:space="preserve"> el desembolso de dicho precio</w:t>
      </w:r>
      <w:r w:rsidRPr="00F53971">
        <w:rPr>
          <w:rFonts w:ascii="Verdana" w:eastAsia="Geomanist Light" w:hAnsi="Verdana" w:cs="Arial"/>
          <w:lang w:val="es-ES"/>
        </w:rPr>
        <w:t>”.</w:t>
      </w:r>
    </w:p>
    <w:p w14:paraId="0F2E2459" w14:textId="77777777" w:rsidR="00A96C6F" w:rsidRPr="00F53971" w:rsidRDefault="00A96C6F" w:rsidP="00A96C6F">
      <w:pPr>
        <w:snapToGrid w:val="0"/>
        <w:spacing w:after="0" w:line="276" w:lineRule="auto"/>
        <w:ind w:right="49" w:firstLine="708"/>
        <w:jc w:val="both"/>
        <w:textAlignment w:val="baseline"/>
        <w:rPr>
          <w:rFonts w:ascii="Verdana" w:eastAsia="Geomanist Light" w:hAnsi="Verdana" w:cs="Arial"/>
          <w:lang w:val="es-ES"/>
        </w:rPr>
      </w:pPr>
      <w:r w:rsidRPr="00F53971">
        <w:rPr>
          <w:rFonts w:ascii="Verdana" w:eastAsia="Geomanist Light" w:hAnsi="Verdana" w:cs="Arial"/>
          <w:lang w:val="es-ES"/>
        </w:rPr>
        <w:t xml:space="preserve">Esta distinción entre </w:t>
      </w:r>
      <w:r>
        <w:rPr>
          <w:rFonts w:ascii="Verdana" w:eastAsia="Geomanist Light" w:hAnsi="Verdana" w:cs="Arial"/>
          <w:lang w:val="es-ES"/>
        </w:rPr>
        <w:t xml:space="preserve">ambos conceptos </w:t>
      </w:r>
      <w:r w:rsidRPr="00F53971">
        <w:rPr>
          <w:rFonts w:ascii="Verdana" w:eastAsia="Geomanist Light" w:hAnsi="Verdana" w:cs="Arial"/>
          <w:lang w:val="es-ES"/>
        </w:rPr>
        <w:t>permit</w:t>
      </w:r>
      <w:r>
        <w:rPr>
          <w:rFonts w:ascii="Verdana" w:eastAsia="Geomanist Light" w:hAnsi="Verdana" w:cs="Arial"/>
          <w:lang w:val="es-ES"/>
        </w:rPr>
        <w:t>ió</w:t>
      </w:r>
      <w:r w:rsidRPr="00F53971">
        <w:rPr>
          <w:rFonts w:ascii="Verdana" w:eastAsia="Geomanist Light" w:hAnsi="Verdana" w:cs="Arial"/>
          <w:lang w:val="es-ES"/>
        </w:rPr>
        <w:t xml:space="preserve"> a la Sala concluir que nada obsta para que una </w:t>
      </w:r>
      <w:r>
        <w:rPr>
          <w:rFonts w:ascii="Verdana" w:eastAsia="Geomanist Light" w:hAnsi="Verdana" w:cs="Arial"/>
          <w:lang w:val="es-ES"/>
        </w:rPr>
        <w:t>E</w:t>
      </w:r>
      <w:r w:rsidRPr="00F53971">
        <w:rPr>
          <w:rFonts w:ascii="Verdana" w:eastAsia="Geomanist Light" w:hAnsi="Verdana" w:cs="Arial"/>
          <w:lang w:val="es-ES"/>
        </w:rPr>
        <w:t xml:space="preserve">ntidad </w:t>
      </w:r>
      <w:r>
        <w:rPr>
          <w:rFonts w:ascii="Verdana" w:eastAsia="Geomanist Light" w:hAnsi="Verdana" w:cs="Arial"/>
          <w:lang w:val="es-ES"/>
        </w:rPr>
        <w:t>E</w:t>
      </w:r>
      <w:r w:rsidRPr="00F53971">
        <w:rPr>
          <w:rFonts w:ascii="Verdana" w:eastAsia="Geomanist Light" w:hAnsi="Verdana" w:cs="Arial"/>
          <w:lang w:val="es-ES"/>
        </w:rPr>
        <w:t xml:space="preserve">statal pacte como modalidad de remuneración del contrato de interventoría un precio fijo por el servicio prestado, acordando que este valor tendrá un cronograma de desembolsos para el pago </w:t>
      </w:r>
      <w:r>
        <w:rPr>
          <w:rFonts w:ascii="Verdana" w:eastAsia="Geomanist Light" w:hAnsi="Verdana" w:cs="Arial"/>
          <w:lang w:val="es-ES"/>
        </w:rPr>
        <w:t>sujeto a</w:t>
      </w:r>
      <w:r w:rsidRPr="00F53971">
        <w:rPr>
          <w:rFonts w:ascii="Verdana" w:eastAsia="Geomanist Light" w:hAnsi="Verdana" w:cs="Arial"/>
          <w:lang w:val="es-ES"/>
        </w:rPr>
        <w:t>l avance en la ejecución de la obra. Para el Consejo de Estado, en este supuesto el interventor que cumpla sus obligaciones tendrá derecho al pago de la totalidad del precio acordado, pues se trata de una suma fija, aun si dicho valor se pag</w:t>
      </w:r>
      <w:r>
        <w:rPr>
          <w:rFonts w:ascii="Verdana" w:eastAsia="Geomanist Light" w:hAnsi="Verdana" w:cs="Arial"/>
          <w:lang w:val="es-ES"/>
        </w:rPr>
        <w:t>a</w:t>
      </w:r>
      <w:r w:rsidRPr="00F53971">
        <w:rPr>
          <w:rFonts w:ascii="Verdana" w:eastAsia="Geomanist Light" w:hAnsi="Verdana" w:cs="Arial"/>
          <w:lang w:val="es-ES"/>
        </w:rPr>
        <w:t xml:space="preserve"> según el porcentaje de ejecución de la obra. En este sentido, los retrasos en la obra no implica</w:t>
      </w:r>
      <w:r>
        <w:rPr>
          <w:rFonts w:ascii="Verdana" w:eastAsia="Geomanist Light" w:hAnsi="Verdana" w:cs="Arial"/>
          <w:lang w:val="es-ES"/>
        </w:rPr>
        <w:t>n</w:t>
      </w:r>
      <w:r w:rsidRPr="00F53971">
        <w:rPr>
          <w:rFonts w:ascii="Verdana" w:eastAsia="Geomanist Light" w:hAnsi="Verdana" w:cs="Arial"/>
          <w:lang w:val="es-ES"/>
        </w:rPr>
        <w:t xml:space="preserve"> que el interventor pierda el derecho a recibir la suma pactada; sino que deberá asumir el riesgo derivado de que sus ingresos y flujo de caja pueda disminuir, pese a que sus costos operativos, derivados</w:t>
      </w:r>
      <w:r>
        <w:rPr>
          <w:rFonts w:ascii="Verdana" w:eastAsia="Geomanist Light" w:hAnsi="Verdana" w:cs="Arial"/>
          <w:lang w:val="es-ES"/>
        </w:rPr>
        <w:t>,</w:t>
      </w:r>
      <w:r w:rsidRPr="00F53971">
        <w:rPr>
          <w:rFonts w:ascii="Verdana" w:eastAsia="Geomanist Light" w:hAnsi="Verdana" w:cs="Arial"/>
          <w:lang w:val="es-ES"/>
        </w:rPr>
        <w:t xml:space="preserve"> por ejemplo, del pago del equipo de trabajo o personal, permanezcan constantes. En este sentido, analiza la Sala </w:t>
      </w:r>
      <w:proofErr w:type="gramStart"/>
      <w:r w:rsidRPr="00F53971">
        <w:rPr>
          <w:rFonts w:ascii="Verdana" w:eastAsia="Geomanist Light" w:hAnsi="Verdana" w:cs="Arial"/>
          <w:lang w:val="es-ES"/>
        </w:rPr>
        <w:t>que :</w:t>
      </w:r>
      <w:proofErr w:type="gramEnd"/>
    </w:p>
    <w:p w14:paraId="78352F0A" w14:textId="77777777" w:rsidR="00A96C6F" w:rsidRPr="00F53971" w:rsidRDefault="00A96C6F" w:rsidP="00A96C6F">
      <w:pPr>
        <w:snapToGrid w:val="0"/>
        <w:spacing w:after="0" w:line="240" w:lineRule="auto"/>
        <w:ind w:left="709" w:right="709"/>
        <w:jc w:val="both"/>
        <w:textAlignment w:val="baseline"/>
        <w:rPr>
          <w:rFonts w:ascii="Verdana" w:eastAsia="Geomanist Light" w:hAnsi="Verdana" w:cs="Arial"/>
          <w:lang w:val="es-ES"/>
        </w:rPr>
      </w:pPr>
    </w:p>
    <w:p w14:paraId="2B5A8221" w14:textId="77777777" w:rsidR="00A96C6F" w:rsidRPr="00F53971" w:rsidRDefault="00A96C6F" w:rsidP="00A96C6F">
      <w:pPr>
        <w:snapToGrid w:val="0"/>
        <w:spacing w:after="0" w:line="240" w:lineRule="auto"/>
        <w:ind w:left="709" w:right="709"/>
        <w:jc w:val="both"/>
        <w:textAlignment w:val="baseline"/>
        <w:rPr>
          <w:rFonts w:ascii="Verdana" w:eastAsia="Geomanist Light" w:hAnsi="Verdana" w:cs="Arial"/>
          <w:sz w:val="20"/>
          <w:szCs w:val="20"/>
          <w:lang w:val="es-ES"/>
        </w:rPr>
      </w:pPr>
      <w:r w:rsidRPr="00F53971">
        <w:rPr>
          <w:rFonts w:ascii="Verdana" w:eastAsia="Geomanist Light" w:hAnsi="Verdana" w:cs="Arial"/>
          <w:sz w:val="20"/>
          <w:szCs w:val="20"/>
          <w:lang w:val="es-ES"/>
        </w:rPr>
        <w:t>“</w:t>
      </w:r>
      <w:r w:rsidRPr="00CD5109">
        <w:rPr>
          <w:rFonts w:ascii="Verdana" w:eastAsia="Geomanist Light" w:hAnsi="Verdana" w:cs="Arial"/>
          <w:sz w:val="20"/>
          <w:szCs w:val="20"/>
          <w:lang w:val="es-ES"/>
        </w:rPr>
        <w:t xml:space="preserve">Por ello, el pago del ciento por ciento (100 %) del precio se desplazará en el tiempo, debiendo la entidad estatal, al momento de la </w:t>
      </w:r>
      <w:r w:rsidRPr="00F53971">
        <w:rPr>
          <w:rFonts w:ascii="Verdana" w:eastAsia="Geomanist Light" w:hAnsi="Verdana" w:cs="Arial"/>
          <w:sz w:val="20"/>
          <w:szCs w:val="20"/>
          <w:lang w:val="es-ES"/>
        </w:rPr>
        <w:t>terminación</w:t>
      </w:r>
      <w:r w:rsidRPr="00CD5109">
        <w:rPr>
          <w:rFonts w:ascii="Verdana" w:eastAsia="Geomanist Light" w:hAnsi="Verdana" w:cs="Arial"/>
          <w:sz w:val="20"/>
          <w:szCs w:val="20"/>
          <w:lang w:val="es-ES"/>
        </w:rPr>
        <w:t xml:space="preserve"> y </w:t>
      </w:r>
      <w:r w:rsidRPr="00F53971">
        <w:rPr>
          <w:rFonts w:ascii="Verdana" w:eastAsia="Geomanist Light" w:hAnsi="Verdana" w:cs="Arial"/>
          <w:sz w:val="20"/>
          <w:szCs w:val="20"/>
          <w:lang w:val="es-ES"/>
        </w:rPr>
        <w:t>liquidación</w:t>
      </w:r>
      <w:r w:rsidRPr="00CD5109">
        <w:rPr>
          <w:rFonts w:ascii="Verdana" w:eastAsia="Geomanist Light" w:hAnsi="Verdana" w:cs="Arial"/>
          <w:sz w:val="20"/>
          <w:szCs w:val="20"/>
          <w:lang w:val="es-ES"/>
        </w:rPr>
        <w:t xml:space="preserve"> del contrato, haber cumplido </w:t>
      </w:r>
      <w:r w:rsidRPr="00F53971">
        <w:rPr>
          <w:rFonts w:ascii="Verdana" w:eastAsia="Geomanist Light" w:hAnsi="Verdana" w:cs="Arial"/>
          <w:sz w:val="20"/>
          <w:szCs w:val="20"/>
          <w:lang w:val="es-ES"/>
        </w:rPr>
        <w:t>íntegramente</w:t>
      </w:r>
      <w:r w:rsidRPr="00CD5109">
        <w:rPr>
          <w:rFonts w:ascii="Verdana" w:eastAsia="Geomanist Light" w:hAnsi="Verdana" w:cs="Arial"/>
          <w:sz w:val="20"/>
          <w:szCs w:val="20"/>
          <w:lang w:val="es-ES"/>
        </w:rPr>
        <w:t xml:space="preserve"> su obligación para quedar a paz y salvo (Ley 80 de 1993, art. 60). </w:t>
      </w:r>
    </w:p>
    <w:p w14:paraId="4A3EEA41" w14:textId="77777777" w:rsidR="00A96C6F" w:rsidRPr="00F53971" w:rsidRDefault="00A96C6F" w:rsidP="00A96C6F">
      <w:pPr>
        <w:snapToGrid w:val="0"/>
        <w:spacing w:after="0" w:line="240" w:lineRule="auto"/>
        <w:ind w:left="709" w:right="709"/>
        <w:jc w:val="both"/>
        <w:textAlignment w:val="baseline"/>
        <w:rPr>
          <w:rFonts w:ascii="Verdana" w:eastAsia="Geomanist Light" w:hAnsi="Verdana" w:cs="Arial"/>
          <w:sz w:val="20"/>
          <w:szCs w:val="20"/>
          <w:lang w:val="es-ES"/>
        </w:rPr>
      </w:pPr>
    </w:p>
    <w:p w14:paraId="6AAD9747" w14:textId="77777777" w:rsidR="00A96C6F" w:rsidRPr="00F53971" w:rsidRDefault="00A96C6F" w:rsidP="00A96C6F">
      <w:pPr>
        <w:snapToGrid w:val="0"/>
        <w:spacing w:after="0" w:line="240" w:lineRule="auto"/>
        <w:ind w:left="709" w:right="709"/>
        <w:jc w:val="both"/>
        <w:textAlignment w:val="baseline"/>
        <w:rPr>
          <w:rFonts w:ascii="Verdana" w:eastAsia="Geomanist Light" w:hAnsi="Verdana" w:cs="Arial"/>
          <w:sz w:val="20"/>
          <w:szCs w:val="20"/>
          <w:lang w:val="es-ES"/>
        </w:rPr>
      </w:pPr>
      <w:r w:rsidRPr="00F53971">
        <w:rPr>
          <w:rFonts w:ascii="Verdana" w:eastAsia="Geomanist Light" w:hAnsi="Verdana" w:cs="Arial"/>
          <w:sz w:val="20"/>
          <w:szCs w:val="20"/>
          <w:lang w:val="es-ES"/>
        </w:rPr>
        <w:lastRenderedPageBreak/>
        <w:t>[…]</w:t>
      </w:r>
    </w:p>
    <w:p w14:paraId="20916C91" w14:textId="77777777" w:rsidR="00A96C6F" w:rsidRPr="00F53971" w:rsidRDefault="00A96C6F" w:rsidP="00A96C6F">
      <w:pPr>
        <w:snapToGrid w:val="0"/>
        <w:spacing w:after="0" w:line="240" w:lineRule="auto"/>
        <w:ind w:left="709" w:right="709"/>
        <w:jc w:val="both"/>
        <w:textAlignment w:val="baseline"/>
        <w:rPr>
          <w:rFonts w:ascii="Verdana" w:eastAsia="Geomanist Light" w:hAnsi="Verdana" w:cs="Arial"/>
          <w:sz w:val="20"/>
          <w:szCs w:val="20"/>
          <w:lang w:val="es-ES"/>
        </w:rPr>
      </w:pPr>
    </w:p>
    <w:p w14:paraId="05FEAE20" w14:textId="77777777" w:rsidR="00A96C6F" w:rsidRPr="00F53971" w:rsidRDefault="00A96C6F" w:rsidP="00A96C6F">
      <w:pPr>
        <w:snapToGrid w:val="0"/>
        <w:spacing w:after="0" w:line="240" w:lineRule="auto"/>
        <w:ind w:left="709" w:right="709"/>
        <w:jc w:val="both"/>
        <w:textAlignment w:val="baseline"/>
        <w:rPr>
          <w:rFonts w:ascii="Verdana" w:eastAsia="Geomanist Light" w:hAnsi="Verdana" w:cs="Arial"/>
          <w:sz w:val="20"/>
          <w:szCs w:val="20"/>
          <w:lang w:val="es-ES"/>
        </w:rPr>
      </w:pPr>
      <w:r w:rsidRPr="00CD5109">
        <w:rPr>
          <w:rFonts w:ascii="Verdana" w:eastAsia="Geomanist Light" w:hAnsi="Verdana" w:cs="Arial"/>
          <w:sz w:val="20"/>
          <w:szCs w:val="20"/>
          <w:lang w:val="es-ES"/>
        </w:rPr>
        <w:t xml:space="preserve">En consecuencia, el contrato conmutativo se caracteriza porque, desde su celebración, las partes delimitan de forma </w:t>
      </w:r>
      <w:r w:rsidRPr="00F53971">
        <w:rPr>
          <w:rFonts w:ascii="Verdana" w:eastAsia="Geomanist Light" w:hAnsi="Verdana" w:cs="Arial"/>
          <w:sz w:val="20"/>
          <w:szCs w:val="20"/>
          <w:lang w:val="es-ES"/>
        </w:rPr>
        <w:t>recíproca</w:t>
      </w:r>
      <w:r w:rsidRPr="00CD5109">
        <w:rPr>
          <w:rFonts w:ascii="Verdana" w:eastAsia="Geomanist Light" w:hAnsi="Verdana" w:cs="Arial"/>
          <w:sz w:val="20"/>
          <w:szCs w:val="20"/>
          <w:lang w:val="es-ES"/>
        </w:rPr>
        <w:t xml:space="preserve"> y proporcional las obligaciones que </w:t>
      </w:r>
      <w:r w:rsidRPr="00F53971">
        <w:rPr>
          <w:rFonts w:ascii="Verdana" w:eastAsia="Geomanist Light" w:hAnsi="Verdana" w:cs="Arial"/>
          <w:sz w:val="20"/>
          <w:szCs w:val="20"/>
          <w:lang w:val="es-ES"/>
        </w:rPr>
        <w:t>asumirán</w:t>
      </w:r>
      <w:r w:rsidRPr="00CD5109">
        <w:rPr>
          <w:rFonts w:ascii="Verdana" w:eastAsia="Geomanist Light" w:hAnsi="Verdana" w:cs="Arial"/>
          <w:sz w:val="20"/>
          <w:szCs w:val="20"/>
          <w:lang w:val="es-ES"/>
        </w:rPr>
        <w:t xml:space="preserve">, garantizando un equilibrio inicial entre los programas obligacionales de cada contratante. Aunque las partes pueden pactar modalidades relativas a la exigibilidad de la </w:t>
      </w:r>
      <w:r w:rsidRPr="00F53971">
        <w:rPr>
          <w:rFonts w:ascii="Verdana" w:eastAsia="Geomanist Light" w:hAnsi="Verdana" w:cs="Arial"/>
          <w:sz w:val="20"/>
          <w:szCs w:val="20"/>
          <w:lang w:val="es-ES"/>
        </w:rPr>
        <w:t>contraprestación</w:t>
      </w:r>
      <w:r w:rsidRPr="00CD5109">
        <w:rPr>
          <w:rFonts w:ascii="Verdana" w:eastAsia="Geomanist Light" w:hAnsi="Verdana" w:cs="Arial"/>
          <w:sz w:val="20"/>
          <w:szCs w:val="20"/>
          <w:lang w:val="es-ES"/>
        </w:rPr>
        <w:t xml:space="preserve">, tales estipulaciones no alteran la existencia misma del derecho de </w:t>
      </w:r>
      <w:r w:rsidRPr="00F53971">
        <w:rPr>
          <w:rFonts w:ascii="Verdana" w:eastAsia="Geomanist Light" w:hAnsi="Verdana" w:cs="Arial"/>
          <w:sz w:val="20"/>
          <w:szCs w:val="20"/>
          <w:lang w:val="es-ES"/>
        </w:rPr>
        <w:t>crédito</w:t>
      </w:r>
      <w:r w:rsidRPr="00CD5109">
        <w:rPr>
          <w:rFonts w:ascii="Verdana" w:eastAsia="Geomanist Light" w:hAnsi="Verdana" w:cs="Arial"/>
          <w:sz w:val="20"/>
          <w:szCs w:val="20"/>
          <w:lang w:val="es-ES"/>
        </w:rPr>
        <w:t xml:space="preserve">, sino </w:t>
      </w:r>
      <w:r w:rsidRPr="00F53971">
        <w:rPr>
          <w:rFonts w:ascii="Verdana" w:eastAsia="Geomanist Light" w:hAnsi="Verdana" w:cs="Arial"/>
          <w:sz w:val="20"/>
          <w:szCs w:val="20"/>
          <w:lang w:val="es-ES"/>
        </w:rPr>
        <w:t>únicamente</w:t>
      </w:r>
      <w:r w:rsidRPr="00CD5109">
        <w:rPr>
          <w:rFonts w:ascii="Verdana" w:eastAsia="Geomanist Light" w:hAnsi="Verdana" w:cs="Arial"/>
          <w:sz w:val="20"/>
          <w:szCs w:val="20"/>
          <w:lang w:val="es-ES"/>
        </w:rPr>
        <w:t xml:space="preserve"> el momento en que resulta procedente exigir su </w:t>
      </w:r>
      <w:r w:rsidRPr="00F53971">
        <w:rPr>
          <w:rFonts w:ascii="Verdana" w:eastAsia="Geomanist Light" w:hAnsi="Verdana" w:cs="Arial"/>
          <w:sz w:val="20"/>
          <w:szCs w:val="20"/>
          <w:lang w:val="es-ES"/>
        </w:rPr>
        <w:t>satisfacción</w:t>
      </w:r>
      <w:r w:rsidRPr="00CD5109">
        <w:rPr>
          <w:rFonts w:ascii="Verdana" w:eastAsia="Geomanist Light" w:hAnsi="Verdana" w:cs="Arial"/>
          <w:sz w:val="20"/>
          <w:szCs w:val="20"/>
          <w:lang w:val="es-ES"/>
        </w:rPr>
        <w:t>. Ello obedece a que el nacimiento y la exigibilidad de una obligación constituyen momentos diferenciables en su ciclo vital, aunque en ciertos casos puedan concurrir en el tiempo</w:t>
      </w:r>
      <w:r w:rsidRPr="00F53971">
        <w:rPr>
          <w:rFonts w:ascii="Verdana" w:eastAsia="Geomanist Light" w:hAnsi="Verdana" w:cs="Arial"/>
          <w:sz w:val="20"/>
          <w:szCs w:val="20"/>
          <w:lang w:val="es-ES"/>
        </w:rPr>
        <w:t>”</w:t>
      </w:r>
      <w:r>
        <w:rPr>
          <w:rStyle w:val="Refdenotaalpie"/>
          <w:rFonts w:ascii="Verdana" w:eastAsia="Geomanist Light" w:hAnsi="Verdana" w:cs="Arial"/>
          <w:sz w:val="20"/>
          <w:szCs w:val="20"/>
          <w:lang w:val="es-ES"/>
        </w:rPr>
        <w:footnoteReference w:id="32"/>
      </w:r>
      <w:r w:rsidRPr="00CD5109">
        <w:rPr>
          <w:rFonts w:ascii="Verdana" w:eastAsia="Geomanist Light" w:hAnsi="Verdana" w:cs="Arial"/>
          <w:sz w:val="20"/>
          <w:szCs w:val="20"/>
          <w:lang w:val="es-ES"/>
        </w:rPr>
        <w:t xml:space="preserve">. </w:t>
      </w:r>
    </w:p>
    <w:p w14:paraId="166AC4FD" w14:textId="77777777" w:rsidR="00A96C6F" w:rsidRPr="00F53971" w:rsidRDefault="00A96C6F" w:rsidP="00A96C6F">
      <w:pPr>
        <w:snapToGrid w:val="0"/>
        <w:spacing w:after="0" w:line="276" w:lineRule="auto"/>
        <w:ind w:right="49" w:firstLine="708"/>
        <w:jc w:val="both"/>
        <w:textAlignment w:val="baseline"/>
        <w:rPr>
          <w:rFonts w:ascii="Verdana" w:eastAsia="Geomanist Light" w:hAnsi="Verdana" w:cs="Arial"/>
          <w:lang w:val="es-ES"/>
        </w:rPr>
      </w:pPr>
    </w:p>
    <w:p w14:paraId="1913DCB4" w14:textId="77777777" w:rsidR="00A96C6F" w:rsidRPr="00F53971" w:rsidRDefault="00A96C6F" w:rsidP="00A96C6F">
      <w:pPr>
        <w:snapToGrid w:val="0"/>
        <w:spacing w:after="0" w:line="276" w:lineRule="auto"/>
        <w:ind w:right="49" w:firstLine="708"/>
        <w:jc w:val="both"/>
        <w:textAlignment w:val="baseline"/>
        <w:rPr>
          <w:rFonts w:ascii="Verdana" w:eastAsia="Geomanist Light" w:hAnsi="Verdana" w:cs="Arial"/>
          <w:lang w:val="es-ES"/>
        </w:rPr>
      </w:pPr>
      <w:r w:rsidRPr="00F53971">
        <w:rPr>
          <w:rFonts w:ascii="Verdana" w:eastAsia="Geomanist Light" w:hAnsi="Verdana" w:cs="Arial"/>
          <w:lang w:val="es-ES"/>
        </w:rPr>
        <w:t>Resalta el Consejo de Estado que una interpretación en la cual la remuneración varía y depende del porcentaje de avance de la obra contradice el equilibrio entre las prestaciones y derechos que son propios de los contratos conmutativos, como es el caso del de interventoría. Bajo esta perspectiva:</w:t>
      </w:r>
    </w:p>
    <w:p w14:paraId="2A06A11C" w14:textId="77777777" w:rsidR="00A96C6F" w:rsidRPr="00F53971" w:rsidRDefault="00A96C6F" w:rsidP="00A96C6F">
      <w:pPr>
        <w:snapToGrid w:val="0"/>
        <w:spacing w:after="0" w:line="240" w:lineRule="auto"/>
        <w:ind w:left="709" w:right="709" w:firstLine="708"/>
        <w:jc w:val="both"/>
        <w:textAlignment w:val="baseline"/>
        <w:rPr>
          <w:rFonts w:ascii="Verdana" w:eastAsia="Geomanist Light" w:hAnsi="Verdana" w:cs="Arial"/>
          <w:sz w:val="20"/>
          <w:szCs w:val="20"/>
          <w:lang w:val="es-ES"/>
        </w:rPr>
      </w:pPr>
    </w:p>
    <w:p w14:paraId="5B5F8018" w14:textId="77777777" w:rsidR="00A96C6F" w:rsidRPr="00F53971" w:rsidRDefault="00A96C6F" w:rsidP="00A96C6F">
      <w:pPr>
        <w:snapToGrid w:val="0"/>
        <w:spacing w:after="0" w:line="240" w:lineRule="auto"/>
        <w:ind w:left="709" w:right="709"/>
        <w:jc w:val="both"/>
        <w:textAlignment w:val="baseline"/>
        <w:rPr>
          <w:rFonts w:ascii="Verdana" w:eastAsia="Geomanist Light" w:hAnsi="Verdana" w:cs="Arial"/>
          <w:sz w:val="20"/>
          <w:szCs w:val="20"/>
          <w:lang w:val="es-ES"/>
        </w:rPr>
      </w:pPr>
      <w:r w:rsidRPr="00F53971">
        <w:rPr>
          <w:rFonts w:ascii="Verdana" w:eastAsia="Geomanist Light" w:hAnsi="Verdana" w:cs="Arial"/>
          <w:sz w:val="20"/>
          <w:szCs w:val="20"/>
          <w:lang w:val="es-ES"/>
        </w:rPr>
        <w:t xml:space="preserve">“[…] </w:t>
      </w:r>
      <w:proofErr w:type="spellStart"/>
      <w:r w:rsidRPr="00CD5109">
        <w:rPr>
          <w:rFonts w:ascii="Verdana" w:eastAsia="Geomanist Light" w:hAnsi="Verdana" w:cs="Arial"/>
          <w:sz w:val="20"/>
          <w:szCs w:val="20"/>
          <w:lang w:val="es-ES"/>
        </w:rPr>
        <w:t>podría</w:t>
      </w:r>
      <w:proofErr w:type="spellEnd"/>
      <w:r w:rsidRPr="00CD5109">
        <w:rPr>
          <w:rFonts w:ascii="Verdana" w:eastAsia="Geomanist Light" w:hAnsi="Verdana" w:cs="Arial"/>
          <w:sz w:val="20"/>
          <w:szCs w:val="20"/>
          <w:lang w:val="es-ES"/>
        </w:rPr>
        <w:t xml:space="preserve"> configurarse un escenario en el cual, pese a que el Interventor cumpla diligentemente sus obligaciones —manteniendo disponibles los medios personales y </w:t>
      </w:r>
      <w:proofErr w:type="spellStart"/>
      <w:r w:rsidRPr="00CD5109">
        <w:rPr>
          <w:rFonts w:ascii="Verdana" w:eastAsia="Geomanist Light" w:hAnsi="Verdana" w:cs="Arial"/>
          <w:sz w:val="20"/>
          <w:szCs w:val="20"/>
          <w:lang w:val="es-ES"/>
        </w:rPr>
        <w:t>técnicos</w:t>
      </w:r>
      <w:proofErr w:type="spellEnd"/>
      <w:r w:rsidRPr="00CD5109">
        <w:rPr>
          <w:rFonts w:ascii="Verdana" w:eastAsia="Geomanist Light" w:hAnsi="Verdana" w:cs="Arial"/>
          <w:sz w:val="20"/>
          <w:szCs w:val="20"/>
          <w:lang w:val="es-ES"/>
        </w:rPr>
        <w:t xml:space="preserve"> necesarios para ejercer sus funciones de control durante todo el plazo contractual—, se vea privado del ochenta por ciento (80 %) de su </w:t>
      </w:r>
      <w:proofErr w:type="spellStart"/>
      <w:r w:rsidRPr="00CD5109">
        <w:rPr>
          <w:rFonts w:ascii="Verdana" w:eastAsia="Geomanist Light" w:hAnsi="Verdana" w:cs="Arial"/>
          <w:sz w:val="20"/>
          <w:szCs w:val="20"/>
          <w:lang w:val="es-ES"/>
        </w:rPr>
        <w:t>remuneración</w:t>
      </w:r>
      <w:proofErr w:type="spellEnd"/>
      <w:r w:rsidRPr="00CD5109">
        <w:rPr>
          <w:rFonts w:ascii="Verdana" w:eastAsia="Geomanist Light" w:hAnsi="Verdana" w:cs="Arial"/>
          <w:sz w:val="20"/>
          <w:szCs w:val="20"/>
          <w:lang w:val="es-ES"/>
        </w:rPr>
        <w:t xml:space="preserve"> si la obra no avanza por causas ajenas a su </w:t>
      </w:r>
      <w:proofErr w:type="spellStart"/>
      <w:r w:rsidRPr="00CD5109">
        <w:rPr>
          <w:rFonts w:ascii="Verdana" w:eastAsia="Geomanist Light" w:hAnsi="Verdana" w:cs="Arial"/>
          <w:sz w:val="20"/>
          <w:szCs w:val="20"/>
          <w:lang w:val="es-ES"/>
        </w:rPr>
        <w:t>gestión</w:t>
      </w:r>
      <w:proofErr w:type="spellEnd"/>
      <w:r w:rsidRPr="00CD5109">
        <w:rPr>
          <w:rFonts w:ascii="Verdana" w:eastAsia="Geomanist Light" w:hAnsi="Verdana" w:cs="Arial"/>
          <w:sz w:val="20"/>
          <w:szCs w:val="20"/>
          <w:lang w:val="es-ES"/>
        </w:rPr>
        <w:t xml:space="preserve">. Esta circunstancia </w:t>
      </w:r>
      <w:proofErr w:type="spellStart"/>
      <w:r w:rsidRPr="00CD5109">
        <w:rPr>
          <w:rFonts w:ascii="Verdana" w:eastAsia="Geomanist Light" w:hAnsi="Verdana" w:cs="Arial"/>
          <w:sz w:val="20"/>
          <w:szCs w:val="20"/>
          <w:lang w:val="es-ES"/>
        </w:rPr>
        <w:t>implicaría</w:t>
      </w:r>
      <w:proofErr w:type="spellEnd"/>
      <w:r w:rsidRPr="00CD5109">
        <w:rPr>
          <w:rFonts w:ascii="Verdana" w:eastAsia="Geomanist Light" w:hAnsi="Verdana" w:cs="Arial"/>
          <w:sz w:val="20"/>
          <w:szCs w:val="20"/>
          <w:lang w:val="es-ES"/>
        </w:rPr>
        <w:t xml:space="preserve"> que casi la totalidad de la </w:t>
      </w:r>
      <w:proofErr w:type="spellStart"/>
      <w:r w:rsidRPr="00CD5109">
        <w:rPr>
          <w:rFonts w:ascii="Verdana" w:eastAsia="Geomanist Light" w:hAnsi="Verdana" w:cs="Arial"/>
          <w:sz w:val="20"/>
          <w:szCs w:val="20"/>
          <w:lang w:val="es-ES"/>
        </w:rPr>
        <w:t>contraprestación</w:t>
      </w:r>
      <w:proofErr w:type="spellEnd"/>
      <w:r w:rsidRPr="00CD5109">
        <w:rPr>
          <w:rFonts w:ascii="Verdana" w:eastAsia="Geomanist Light" w:hAnsi="Verdana" w:cs="Arial"/>
          <w:sz w:val="20"/>
          <w:szCs w:val="20"/>
          <w:lang w:val="es-ES"/>
        </w:rPr>
        <w:t xml:space="preserve"> por sus servicios </w:t>
      </w:r>
      <w:proofErr w:type="spellStart"/>
      <w:r w:rsidRPr="00CD5109">
        <w:rPr>
          <w:rFonts w:ascii="Verdana" w:eastAsia="Geomanist Light" w:hAnsi="Verdana" w:cs="Arial"/>
          <w:sz w:val="20"/>
          <w:szCs w:val="20"/>
          <w:lang w:val="es-ES"/>
        </w:rPr>
        <w:t>quedaría</w:t>
      </w:r>
      <w:proofErr w:type="spellEnd"/>
      <w:r w:rsidRPr="00CD5109">
        <w:rPr>
          <w:rFonts w:ascii="Verdana" w:eastAsia="Geomanist Light" w:hAnsi="Verdana" w:cs="Arial"/>
          <w:sz w:val="20"/>
          <w:szCs w:val="20"/>
          <w:lang w:val="es-ES"/>
        </w:rPr>
        <w:t xml:space="preserve"> sujeta a un alea, esto es, a un acontecimiento incierto y ajeno al control del contratista, como el avance de la obra. Ello lo </w:t>
      </w:r>
      <w:proofErr w:type="spellStart"/>
      <w:r w:rsidRPr="00CD5109">
        <w:rPr>
          <w:rFonts w:ascii="Verdana" w:eastAsia="Geomanist Light" w:hAnsi="Verdana" w:cs="Arial"/>
          <w:sz w:val="20"/>
          <w:szCs w:val="20"/>
          <w:lang w:val="es-ES"/>
        </w:rPr>
        <w:t>aproximaría</w:t>
      </w:r>
      <w:proofErr w:type="spellEnd"/>
      <w:r w:rsidRPr="00CD5109">
        <w:rPr>
          <w:rFonts w:ascii="Verdana" w:eastAsia="Geomanist Light" w:hAnsi="Verdana" w:cs="Arial"/>
          <w:sz w:val="20"/>
          <w:szCs w:val="20"/>
          <w:lang w:val="es-ES"/>
        </w:rPr>
        <w:t xml:space="preserve"> a un contrato aleatorio, dado que “</w:t>
      </w:r>
      <w:r w:rsidRPr="00CD5109">
        <w:rPr>
          <w:rFonts w:ascii="Verdana" w:eastAsia="Geomanist Light" w:hAnsi="Verdana" w:cs="Arial"/>
          <w:i/>
          <w:iCs/>
          <w:sz w:val="20"/>
          <w:szCs w:val="20"/>
          <w:lang w:val="es-ES"/>
        </w:rPr>
        <w:t xml:space="preserve">el papel que juega el hecho incierto es lo que permite trazar la </w:t>
      </w:r>
      <w:proofErr w:type="spellStart"/>
      <w:r w:rsidRPr="00CD5109">
        <w:rPr>
          <w:rFonts w:ascii="Verdana" w:eastAsia="Geomanist Light" w:hAnsi="Verdana" w:cs="Arial"/>
          <w:i/>
          <w:iCs/>
          <w:sz w:val="20"/>
          <w:szCs w:val="20"/>
          <w:lang w:val="es-ES"/>
        </w:rPr>
        <w:t>línea</w:t>
      </w:r>
      <w:proofErr w:type="spellEnd"/>
      <w:r w:rsidRPr="00CD5109">
        <w:rPr>
          <w:rFonts w:ascii="Verdana" w:eastAsia="Geomanist Light" w:hAnsi="Verdana" w:cs="Arial"/>
          <w:i/>
          <w:iCs/>
          <w:sz w:val="20"/>
          <w:szCs w:val="20"/>
          <w:lang w:val="es-ES"/>
        </w:rPr>
        <w:t xml:space="preserve"> divisoria, toda vez que, como se acaba de decir, en la </w:t>
      </w:r>
      <w:proofErr w:type="spellStart"/>
      <w:r w:rsidRPr="00CD5109">
        <w:rPr>
          <w:rFonts w:ascii="Verdana" w:eastAsia="Geomanist Light" w:hAnsi="Verdana" w:cs="Arial"/>
          <w:i/>
          <w:iCs/>
          <w:sz w:val="20"/>
          <w:szCs w:val="20"/>
          <w:lang w:val="es-ES"/>
        </w:rPr>
        <w:t>condición</w:t>
      </w:r>
      <w:proofErr w:type="spellEnd"/>
      <w:r w:rsidRPr="00CD5109">
        <w:rPr>
          <w:rFonts w:ascii="Verdana" w:eastAsia="Geomanist Light" w:hAnsi="Verdana" w:cs="Arial"/>
          <w:i/>
          <w:iCs/>
          <w:sz w:val="20"/>
          <w:szCs w:val="20"/>
          <w:lang w:val="es-ES"/>
        </w:rPr>
        <w:t xml:space="preserve"> lo que está en juego es la </w:t>
      </w:r>
      <w:proofErr w:type="spellStart"/>
      <w:r w:rsidRPr="00CD5109">
        <w:rPr>
          <w:rFonts w:ascii="Verdana" w:eastAsia="Geomanist Light" w:hAnsi="Verdana" w:cs="Arial"/>
          <w:i/>
          <w:iCs/>
          <w:sz w:val="20"/>
          <w:szCs w:val="20"/>
          <w:lang w:val="es-ES"/>
        </w:rPr>
        <w:t>consolidación</w:t>
      </w:r>
      <w:proofErr w:type="spellEnd"/>
      <w:r w:rsidRPr="00CD5109">
        <w:rPr>
          <w:rFonts w:ascii="Verdana" w:eastAsia="Geomanist Light" w:hAnsi="Verdana" w:cs="Arial"/>
          <w:i/>
          <w:iCs/>
          <w:sz w:val="20"/>
          <w:szCs w:val="20"/>
          <w:lang w:val="es-ES"/>
        </w:rPr>
        <w:t xml:space="preserve"> o la </w:t>
      </w:r>
      <w:proofErr w:type="spellStart"/>
      <w:r w:rsidRPr="00CD5109">
        <w:rPr>
          <w:rFonts w:ascii="Verdana" w:eastAsia="Geomanist Light" w:hAnsi="Verdana" w:cs="Arial"/>
          <w:i/>
          <w:iCs/>
          <w:sz w:val="20"/>
          <w:szCs w:val="20"/>
          <w:lang w:val="es-ES"/>
        </w:rPr>
        <w:t>eliminación</w:t>
      </w:r>
      <w:proofErr w:type="spellEnd"/>
      <w:r w:rsidRPr="00CD5109">
        <w:rPr>
          <w:rFonts w:ascii="Verdana" w:eastAsia="Geomanist Light" w:hAnsi="Verdana" w:cs="Arial"/>
          <w:i/>
          <w:iCs/>
          <w:sz w:val="20"/>
          <w:szCs w:val="20"/>
          <w:lang w:val="es-ES"/>
        </w:rPr>
        <w:t xml:space="preserve"> del negocio jurídico, en tanto que en el contrato aleatorio lo que el hecho contingente determina es el contenido de </w:t>
      </w:r>
      <w:proofErr w:type="spellStart"/>
      <w:r w:rsidRPr="00CD5109">
        <w:rPr>
          <w:rFonts w:ascii="Verdana" w:eastAsia="Geomanist Light" w:hAnsi="Verdana" w:cs="Arial"/>
          <w:i/>
          <w:iCs/>
          <w:sz w:val="20"/>
          <w:szCs w:val="20"/>
          <w:lang w:val="es-ES"/>
        </w:rPr>
        <w:t>él</w:t>
      </w:r>
      <w:proofErr w:type="spellEnd"/>
      <w:r w:rsidRPr="00CD5109">
        <w:rPr>
          <w:rFonts w:ascii="Verdana" w:eastAsia="Geomanist Light" w:hAnsi="Verdana" w:cs="Arial"/>
          <w:i/>
          <w:iCs/>
          <w:sz w:val="20"/>
          <w:szCs w:val="20"/>
          <w:lang w:val="es-ES"/>
        </w:rPr>
        <w:t>”</w:t>
      </w:r>
    </w:p>
    <w:p w14:paraId="79C1F926" w14:textId="77777777" w:rsidR="00A96C6F" w:rsidRPr="00F53971" w:rsidRDefault="00A96C6F" w:rsidP="00A96C6F">
      <w:pPr>
        <w:snapToGrid w:val="0"/>
        <w:spacing w:after="0" w:line="240" w:lineRule="auto"/>
        <w:ind w:left="709" w:right="709"/>
        <w:jc w:val="both"/>
        <w:textAlignment w:val="baseline"/>
        <w:rPr>
          <w:rFonts w:ascii="Verdana" w:eastAsia="Geomanist Light" w:hAnsi="Verdana" w:cs="Arial"/>
          <w:sz w:val="20"/>
          <w:szCs w:val="20"/>
          <w:lang w:val="es-ES"/>
        </w:rPr>
      </w:pPr>
    </w:p>
    <w:p w14:paraId="21801E3E" w14:textId="77777777" w:rsidR="00A96C6F" w:rsidRPr="00F53971" w:rsidRDefault="00A96C6F" w:rsidP="00A96C6F">
      <w:pPr>
        <w:snapToGrid w:val="0"/>
        <w:spacing w:after="0" w:line="276" w:lineRule="auto"/>
        <w:ind w:right="49" w:firstLine="708"/>
        <w:jc w:val="both"/>
        <w:textAlignment w:val="baseline"/>
        <w:rPr>
          <w:rFonts w:ascii="Verdana" w:eastAsia="Geomanist Light" w:hAnsi="Verdana" w:cs="Arial"/>
          <w:lang w:val="es-ES"/>
        </w:rPr>
      </w:pPr>
      <w:r w:rsidRPr="00F53971">
        <w:rPr>
          <w:rFonts w:ascii="Verdana" w:eastAsia="Geomanist Light" w:hAnsi="Verdana" w:cs="Arial"/>
          <w:lang w:val="es-ES"/>
        </w:rPr>
        <w:t xml:space="preserve">Lo anterior evidencia </w:t>
      </w:r>
      <w:proofErr w:type="gramStart"/>
      <w:r w:rsidRPr="00F53971">
        <w:rPr>
          <w:rFonts w:ascii="Verdana" w:eastAsia="Geomanist Light" w:hAnsi="Verdana" w:cs="Arial"/>
          <w:lang w:val="es-ES"/>
        </w:rPr>
        <w:t>que</w:t>
      </w:r>
      <w:proofErr w:type="gramEnd"/>
      <w:r w:rsidRPr="00F53971">
        <w:rPr>
          <w:rFonts w:ascii="Verdana" w:eastAsia="Geomanist Light" w:hAnsi="Verdana" w:cs="Arial"/>
          <w:lang w:val="es-ES"/>
        </w:rPr>
        <w:t xml:space="preserve"> si las partes del contrato de interventoría optan por una modalidad de remuneración a precio fijo, el contratista se compromete a asumir los riesgos que ello implica. Lo mismo sucederá cuando las partes acuerdan que dicha suma se pagará mediante desembolsos asociados al porcentaje de ejecución del contrato de obra. Bajo estas estipulaciones, el contratista, en ejercicio de la autonomía de la voluntad, asume el riesgo de contar con menores ingresos o flujo de caja para asumir los gastos asociados al </w:t>
      </w:r>
      <w:r w:rsidRPr="00F53971">
        <w:rPr>
          <w:rFonts w:ascii="Verdana" w:eastAsia="Geomanist Light" w:hAnsi="Verdana" w:cs="Arial"/>
          <w:lang w:val="es-ES"/>
        </w:rPr>
        <w:lastRenderedPageBreak/>
        <w:t>contrato de interventoría según el contratista de obra se retrase en la ejecución. En cualquier caso, se reitera, tendrá derecho al pago del precio fijo total pactado si cumple con sus obligaciones, aunque el desembolso se retrase en el tiempo, e independientemente de que el contratista de obra cumpla con la ejecución de su contrato. Sobre los riesgos que asume el contratista interventor como resultado de la modalidad de remuneración y la forma de pago pactada, el Consejo de Estado</w:t>
      </w:r>
      <w:r>
        <w:rPr>
          <w:rStyle w:val="Refdenotaalpie"/>
          <w:rFonts w:ascii="Verdana" w:eastAsia="Geomanist Light" w:hAnsi="Verdana" w:cs="Arial"/>
          <w:lang w:val="es-ES"/>
        </w:rPr>
        <w:footnoteReference w:id="33"/>
      </w:r>
      <w:r w:rsidRPr="00F53971">
        <w:rPr>
          <w:rFonts w:ascii="Verdana" w:eastAsia="Geomanist Light" w:hAnsi="Verdana" w:cs="Arial"/>
          <w:lang w:val="es-ES"/>
        </w:rPr>
        <w:t xml:space="preserve"> resaltó que:</w:t>
      </w:r>
    </w:p>
    <w:p w14:paraId="4B14F8AE" w14:textId="77777777" w:rsidR="00A96C6F" w:rsidRPr="00F53971" w:rsidRDefault="00A96C6F" w:rsidP="00A96C6F">
      <w:pPr>
        <w:snapToGrid w:val="0"/>
        <w:spacing w:after="0" w:line="276" w:lineRule="auto"/>
        <w:ind w:right="49" w:firstLine="708"/>
        <w:jc w:val="both"/>
        <w:textAlignment w:val="baseline"/>
        <w:rPr>
          <w:rFonts w:ascii="Verdana" w:eastAsia="Geomanist Light" w:hAnsi="Verdana" w:cs="Arial"/>
          <w:lang w:val="es-ES"/>
        </w:rPr>
      </w:pPr>
    </w:p>
    <w:p w14:paraId="7E9501F9" w14:textId="77777777" w:rsidR="00A96C6F" w:rsidRPr="003F2063" w:rsidRDefault="00A96C6F" w:rsidP="00A96C6F">
      <w:pPr>
        <w:snapToGrid w:val="0"/>
        <w:spacing w:after="120" w:line="240" w:lineRule="auto"/>
        <w:ind w:left="708" w:right="709"/>
        <w:jc w:val="both"/>
        <w:textAlignment w:val="baseline"/>
        <w:rPr>
          <w:rFonts w:ascii="Verdana" w:eastAsia="Geomanist Light" w:hAnsi="Verdana" w:cs="Arial"/>
          <w:sz w:val="20"/>
          <w:szCs w:val="20"/>
          <w:lang w:val="es-ES"/>
        </w:rPr>
      </w:pPr>
      <w:r w:rsidRPr="003F2063">
        <w:rPr>
          <w:rFonts w:ascii="Verdana" w:eastAsia="Geomanist Light" w:hAnsi="Verdana" w:cs="Arial"/>
          <w:sz w:val="20"/>
          <w:szCs w:val="20"/>
          <w:lang w:val="es-ES"/>
        </w:rPr>
        <w:t xml:space="preserve">Al igual que la modalidad de remuneración, la forma de pago pactada también puede implicar una asignación de riesgos entre las partes. Así, si se establece que un precio fijo </w:t>
      </w:r>
      <w:proofErr w:type="spellStart"/>
      <w:r w:rsidRPr="003F2063">
        <w:rPr>
          <w:rFonts w:ascii="Verdana" w:eastAsia="Geomanist Light" w:hAnsi="Verdana" w:cs="Arial"/>
          <w:sz w:val="20"/>
          <w:szCs w:val="20"/>
          <w:lang w:val="es-ES"/>
        </w:rPr>
        <w:t>sera</w:t>
      </w:r>
      <w:proofErr w:type="spellEnd"/>
      <w:r w:rsidRPr="003F2063">
        <w:rPr>
          <w:rFonts w:ascii="Verdana" w:eastAsia="Geomanist Light" w:hAnsi="Verdana" w:cs="Arial"/>
          <w:sz w:val="20"/>
          <w:szCs w:val="20"/>
          <w:lang w:val="es-ES"/>
        </w:rPr>
        <w:t xml:space="preserve">́ desembolsado con base en el avance físico de la obra objeto de seguimiento, el interventor asume un riesgo financiero: si dicho avance no es significativo —incluso por causas no imputables a las partes — sus ingresos y su flujo de caja disminuirán, pese a que sus costos operativos puedan permanecer constantes. En ese escenario, deberá́ cubrir con recursos propios o mediante financiación externa los compromisos derivados de sus obligaciones contractuales, como el pago de salarios, prestaciones sociales y demás cargas laborales. </w:t>
      </w:r>
    </w:p>
    <w:p w14:paraId="3579BAB3" w14:textId="77777777" w:rsidR="00A96C6F" w:rsidRPr="00F53971" w:rsidRDefault="00A96C6F" w:rsidP="00A96C6F">
      <w:pPr>
        <w:snapToGrid w:val="0"/>
        <w:spacing w:after="120" w:line="240" w:lineRule="auto"/>
        <w:ind w:left="709" w:right="709"/>
        <w:jc w:val="both"/>
        <w:textAlignment w:val="baseline"/>
        <w:rPr>
          <w:rFonts w:ascii="Verdana" w:eastAsia="Geomanist Light" w:hAnsi="Verdana" w:cs="Arial"/>
          <w:sz w:val="20"/>
          <w:szCs w:val="20"/>
          <w:lang w:val="es-ES"/>
        </w:rPr>
      </w:pPr>
      <w:r w:rsidRPr="00F53971">
        <w:rPr>
          <w:rFonts w:ascii="Verdana" w:eastAsia="Geomanist Light" w:hAnsi="Verdana" w:cs="Arial"/>
          <w:sz w:val="20"/>
          <w:szCs w:val="20"/>
          <w:lang w:val="es-ES"/>
        </w:rPr>
        <w:t>E</w:t>
      </w:r>
      <w:r w:rsidRPr="003F2063">
        <w:rPr>
          <w:rFonts w:ascii="Verdana" w:eastAsia="Geomanist Light" w:hAnsi="Verdana" w:cs="Arial"/>
          <w:sz w:val="20"/>
          <w:szCs w:val="20"/>
          <w:lang w:val="es-ES"/>
        </w:rPr>
        <w:t xml:space="preserve">n síntesis, las entidades estatales no están obligadas a emplear una metodología específica para estimar el valor de los contratos de interventoría en la etapa de planeación ni para definir la modalidad de remuneración o la forma de pago del contrato adjudicado. Dentro del margen de configuración que reconoce el ordenamiento jurídico, pueden —con la debida justificación— adoptar la combinación que mejor se adecue a la naturaleza, complejidad y riesgos del proyecto objeto de vigilancia. En ese marco, es válido que se establezcan modalidades de remuneración con componentes variables que trasladen al interventor ciertos riesgos previsibles o que permitan compartir los efectos derivados de las vicisitudes que puedan presentarse durante la ejecución del contrato de obra. </w:t>
      </w:r>
    </w:p>
    <w:p w14:paraId="19FC27A4" w14:textId="77777777" w:rsidR="00A96C6F" w:rsidRPr="00F53971" w:rsidRDefault="00A96C6F" w:rsidP="00A96C6F">
      <w:pPr>
        <w:snapToGrid w:val="0"/>
        <w:spacing w:after="0" w:line="240" w:lineRule="auto"/>
        <w:ind w:left="709" w:right="709"/>
        <w:jc w:val="both"/>
        <w:textAlignment w:val="baseline"/>
        <w:rPr>
          <w:rFonts w:ascii="Verdana" w:eastAsia="Geomanist Light" w:hAnsi="Verdana" w:cs="Arial"/>
          <w:sz w:val="20"/>
          <w:szCs w:val="20"/>
          <w:lang w:val="es-ES"/>
        </w:rPr>
      </w:pPr>
      <w:r w:rsidRPr="003F2063">
        <w:rPr>
          <w:rFonts w:ascii="Verdana" w:eastAsia="Geomanist Light" w:hAnsi="Verdana" w:cs="Arial"/>
          <w:sz w:val="20"/>
          <w:szCs w:val="20"/>
          <w:lang w:val="es-ES"/>
        </w:rPr>
        <w:t xml:space="preserve"> La libertad de elección entre alternativas no implica, sin embargo, libertad en los fines que deben perseguirse con la atribución de configurar los pliegos de condiciones y el contenido del contrato de interventoría que se proyecta celebrar. Al definir la modalidad de remuneración y la forma de pago, se debe tener en cuenta que las entidades buscan el cumplimiento de los fines estatales, la continua y eficiente prestación de los servicios públicos y la efectividad de los derechos e intereses de los administrados que colaboran con ellas en la consecución de dichos fines (Ley 80/1993, art. 3). Igualmente, que los contratistas cooperan con ellas en el logro de sus fines y, por tanto, tienen, entre otros derechos, el de recibir oportunamente la remuneración pactada y que el valor intrínseco de la </w:t>
      </w:r>
      <w:r w:rsidRPr="003F2063">
        <w:rPr>
          <w:rFonts w:ascii="Verdana" w:eastAsia="Geomanist Light" w:hAnsi="Verdana" w:cs="Arial"/>
          <w:sz w:val="20"/>
          <w:szCs w:val="20"/>
          <w:lang w:val="es-ES"/>
        </w:rPr>
        <w:lastRenderedPageBreak/>
        <w:t xml:space="preserve">misma no se altere o modifique durante la vigencia del contrato (Ley 80/1993, art. 5.1). </w:t>
      </w:r>
    </w:p>
    <w:p w14:paraId="79898468" w14:textId="77777777" w:rsidR="00A96C6F" w:rsidRPr="00F53971" w:rsidRDefault="00A96C6F" w:rsidP="00A96C6F">
      <w:pPr>
        <w:snapToGrid w:val="0"/>
        <w:spacing w:after="0" w:line="240" w:lineRule="auto"/>
        <w:ind w:left="709" w:right="709"/>
        <w:jc w:val="both"/>
        <w:textAlignment w:val="baseline"/>
        <w:rPr>
          <w:rFonts w:ascii="Verdana" w:eastAsia="Geomanist Light" w:hAnsi="Verdana" w:cs="Arial"/>
          <w:sz w:val="20"/>
          <w:szCs w:val="20"/>
          <w:lang w:val="es-ES"/>
        </w:rPr>
      </w:pPr>
    </w:p>
    <w:p w14:paraId="2BA99513" w14:textId="77777777" w:rsidR="00A96C6F" w:rsidRPr="00F53971" w:rsidRDefault="00A96C6F" w:rsidP="00A96C6F">
      <w:pPr>
        <w:snapToGrid w:val="0"/>
        <w:spacing w:after="0" w:line="276" w:lineRule="auto"/>
        <w:ind w:right="49" w:firstLine="709"/>
        <w:jc w:val="both"/>
        <w:textAlignment w:val="baseline"/>
        <w:rPr>
          <w:rFonts w:ascii="Verdana" w:eastAsia="Geomanist Light" w:hAnsi="Verdana" w:cs="Arial"/>
          <w:lang w:val="es-ES"/>
        </w:rPr>
      </w:pPr>
      <w:r w:rsidRPr="00F53971">
        <w:rPr>
          <w:rFonts w:ascii="Verdana" w:eastAsia="Calibri" w:hAnsi="Verdana" w:cs="Arial"/>
          <w:lang w:val="es-ES"/>
        </w:rPr>
        <w:t xml:space="preserve">Finalmente, es pertinente indicar que Colombia Compra Eficiente,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ello, serán las entidades públicas que adelantan el proceso de contratación, las facultadas para determinar en cada caso particular y concreto, con los principios básicos y las normas que rigen el EGCAP.  </w:t>
      </w:r>
      <w:r w:rsidRPr="00F53971">
        <w:rPr>
          <w:rFonts w:ascii="Verdana" w:eastAsia="Times New Roman" w:hAnsi="Verdana" w:cs="Times New Roman"/>
          <w:lang w:val="es-ES" w:eastAsia="es-ES"/>
        </w:rPr>
        <w:t>En otras palabras, los conceptos de esta Agencia tienen como objeto la interpretación de normas de carácter general, esto es, del ordenamiento jurídico en abstracto, no la resolución de controversias o la asesoría para casos concretos; además, no son vinculantes o de obligatorio cumplimiento para el destinatario, sino que expresan la posición interpretativa del organismo que elabora el concepto.</w:t>
      </w:r>
    </w:p>
    <w:p w14:paraId="23C8C728" w14:textId="77777777" w:rsidR="00A96C6F" w:rsidRPr="00F53971" w:rsidRDefault="00A96C6F" w:rsidP="00A96C6F">
      <w:pPr>
        <w:spacing w:before="120" w:after="0" w:line="276" w:lineRule="auto"/>
        <w:ind w:firstLine="708"/>
        <w:jc w:val="both"/>
        <w:rPr>
          <w:rFonts w:ascii="Verdana" w:eastAsia="Calibri" w:hAnsi="Verdana" w:cs="Arial"/>
          <w:bCs/>
          <w:lang w:val="es-ES"/>
        </w:rPr>
      </w:pPr>
      <w:r w:rsidRPr="00F53971">
        <w:rPr>
          <w:rFonts w:ascii="Verdana" w:eastAsia="Calibri" w:hAnsi="Verdana" w:cs="Arial"/>
          <w:bCs/>
          <w:lang w:val="es-ES"/>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688D076B" w14:textId="77777777" w:rsidR="00A96C6F" w:rsidRPr="00F53971" w:rsidRDefault="00A96C6F" w:rsidP="00A96C6F">
      <w:pPr>
        <w:spacing w:after="0" w:line="276" w:lineRule="auto"/>
        <w:ind w:firstLine="708"/>
        <w:jc w:val="both"/>
        <w:rPr>
          <w:rFonts w:ascii="Verdana" w:hAnsi="Verdana" w:cs="Arial"/>
          <w:lang w:val="es-ES"/>
        </w:rPr>
      </w:pPr>
    </w:p>
    <w:p w14:paraId="0562956D" w14:textId="77777777" w:rsidR="00A96C6F" w:rsidRPr="00F53971" w:rsidRDefault="00A96C6F" w:rsidP="00A96C6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F53971">
        <w:rPr>
          <w:rFonts w:ascii="Verdana" w:eastAsia="Century Gothic" w:hAnsi="Verdana" w:cs="Century Gothic"/>
          <w:b/>
          <w:bCs/>
          <w:color w:val="000000" w:themeColor="text1"/>
        </w:rPr>
        <w:t>Referencias normativas, jurisprudenciales y otras fuentes:</w:t>
      </w:r>
    </w:p>
    <w:p w14:paraId="320B2C3F" w14:textId="77777777" w:rsidR="00A96C6F" w:rsidRPr="00F53971" w:rsidRDefault="00A96C6F" w:rsidP="00A96C6F">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96C6F" w:rsidRPr="00F53971" w14:paraId="6CB5FA06" w14:textId="77777777" w:rsidTr="00AB1CBB">
        <w:trPr>
          <w:trHeight w:val="870"/>
        </w:trPr>
        <w:tc>
          <w:tcPr>
            <w:tcW w:w="8647" w:type="dxa"/>
          </w:tcPr>
          <w:p w14:paraId="71AD48D2" w14:textId="77777777" w:rsidR="00A96C6F" w:rsidRPr="00D05687"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D05687">
              <w:rPr>
                <w:rFonts w:ascii="Verdana" w:eastAsia="Calibri" w:hAnsi="Verdana" w:cs="Arial"/>
                <w:color w:val="000000" w:themeColor="text1"/>
                <w:lang w:val="es-ES"/>
              </w:rPr>
              <w:t>Ley 80 de 1993: artículos 4°, 5° (numeral 1°), 12, 13, 14, 16, 24 (numeral 5°, literal d), 26, 32, 40 y 60.</w:t>
            </w:r>
          </w:p>
          <w:p w14:paraId="1FCF9BA0" w14:textId="77777777" w:rsidR="00A96C6F" w:rsidRPr="00D05687"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D05687">
              <w:rPr>
                <w:rFonts w:ascii="Verdana" w:eastAsia="Calibri" w:hAnsi="Verdana" w:cs="Arial"/>
                <w:color w:val="000000" w:themeColor="text1"/>
                <w:lang w:val="es-ES"/>
              </w:rPr>
              <w:t>Ley 1150 de 2007: artículos 7° y 21.</w:t>
            </w:r>
          </w:p>
          <w:p w14:paraId="7A91FC00" w14:textId="77777777" w:rsidR="00A96C6F" w:rsidRPr="00D05687"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D05687">
              <w:rPr>
                <w:rFonts w:ascii="Verdana" w:eastAsia="Calibri" w:hAnsi="Verdana" w:cs="Arial"/>
                <w:color w:val="000000" w:themeColor="text1"/>
                <w:lang w:val="es-ES"/>
              </w:rPr>
              <w:t>Ley 1474 de 2011: artículos 83, 84, 85 y 86.</w:t>
            </w:r>
          </w:p>
          <w:p w14:paraId="4D7D72A7" w14:textId="77777777" w:rsidR="00A96C6F" w:rsidRPr="00D05687"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D05687">
              <w:rPr>
                <w:rFonts w:ascii="Verdana" w:eastAsia="Calibri" w:hAnsi="Verdana" w:cs="Arial"/>
                <w:color w:val="000000" w:themeColor="text1"/>
                <w:lang w:val="es-ES"/>
              </w:rPr>
              <w:t>Decreto 1082 de 2015: artículo 2.2.1.1.2.1.1 (numeral 4).</w:t>
            </w:r>
          </w:p>
          <w:p w14:paraId="60A444D0" w14:textId="77777777" w:rsidR="00A96C6F"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D05687">
              <w:rPr>
                <w:rFonts w:ascii="Verdana" w:eastAsia="Calibri" w:hAnsi="Verdana" w:cs="Arial"/>
                <w:color w:val="000000" w:themeColor="text1"/>
                <w:lang w:val="es-ES"/>
              </w:rPr>
              <w:t>Código Civil: artículos 1498, 1530, 1531, 1532, 1534, 1864 y 1865.</w:t>
            </w:r>
          </w:p>
          <w:p w14:paraId="18F0B8BB" w14:textId="77777777" w:rsidR="00A96C6F" w:rsidRPr="00D05687"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D05687">
              <w:rPr>
                <w:rFonts w:ascii="Verdana" w:eastAsia="Calibri" w:hAnsi="Verdana" w:cs="Arial"/>
                <w:color w:val="000000" w:themeColor="text1"/>
                <w:lang w:val="es-ES"/>
              </w:rPr>
              <w:t>Consejo de Estado. Sección Tercera. Sentencia del 28 de febrero de 2013. Exp. 24.266 C.P. Danilo Rojas Betancourth.</w:t>
            </w:r>
          </w:p>
          <w:p w14:paraId="65EB9740" w14:textId="77777777" w:rsidR="00A96C6F" w:rsidRPr="00D05687"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D05687">
              <w:rPr>
                <w:rFonts w:ascii="Verdana" w:eastAsia="Calibri" w:hAnsi="Verdana" w:cs="Arial"/>
                <w:color w:val="000000" w:themeColor="text1"/>
                <w:lang w:val="es-ES"/>
              </w:rPr>
              <w:lastRenderedPageBreak/>
              <w:t xml:space="preserve">Consejo de Estado, Sección Tercera. Sentencia del 8 de marzo de 1996, expediente </w:t>
            </w:r>
            <w:proofErr w:type="spellStart"/>
            <w:r w:rsidRPr="00D05687">
              <w:rPr>
                <w:rFonts w:ascii="Verdana" w:eastAsia="Calibri" w:hAnsi="Verdana" w:cs="Arial"/>
                <w:color w:val="000000" w:themeColor="text1"/>
                <w:lang w:val="es-ES"/>
              </w:rPr>
              <w:t>N°</w:t>
            </w:r>
            <w:proofErr w:type="spellEnd"/>
            <w:r w:rsidRPr="00D05687">
              <w:rPr>
                <w:rFonts w:ascii="Verdana" w:eastAsia="Calibri" w:hAnsi="Verdana" w:cs="Arial"/>
                <w:color w:val="000000" w:themeColor="text1"/>
                <w:lang w:val="es-ES"/>
              </w:rPr>
              <w:t xml:space="preserve"> 8070, C.P. Jesús María Carrillo.</w:t>
            </w:r>
          </w:p>
          <w:p w14:paraId="1A1670BB" w14:textId="77777777" w:rsidR="00A96C6F" w:rsidRPr="00D05687"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D05687">
              <w:rPr>
                <w:rFonts w:ascii="Verdana" w:eastAsia="Calibri" w:hAnsi="Verdana" w:cs="Arial"/>
                <w:color w:val="000000" w:themeColor="text1"/>
                <w:lang w:val="es-ES"/>
              </w:rPr>
              <w:t xml:space="preserve">Consejo de Estado, Sala de lo Contencioso Administrativo, Sección Tercera, sentencia del 13 de septiembre de 1991, expediente </w:t>
            </w:r>
            <w:proofErr w:type="spellStart"/>
            <w:r w:rsidRPr="00D05687">
              <w:rPr>
                <w:rFonts w:ascii="Verdana" w:eastAsia="Calibri" w:hAnsi="Verdana" w:cs="Arial"/>
                <w:color w:val="000000" w:themeColor="text1"/>
                <w:lang w:val="es-ES"/>
              </w:rPr>
              <w:t>N°</w:t>
            </w:r>
            <w:proofErr w:type="spellEnd"/>
            <w:r w:rsidRPr="00D05687">
              <w:rPr>
                <w:rFonts w:ascii="Verdana" w:eastAsia="Calibri" w:hAnsi="Verdana" w:cs="Arial"/>
                <w:color w:val="000000" w:themeColor="text1"/>
                <w:lang w:val="es-ES"/>
              </w:rPr>
              <w:t xml:space="preserve"> 5127, C.P. Carlos Betancur.</w:t>
            </w:r>
          </w:p>
          <w:p w14:paraId="69EF80C9" w14:textId="77777777" w:rsidR="00A96C6F" w:rsidRPr="00D05687"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D05687">
              <w:rPr>
                <w:rFonts w:ascii="Verdana" w:eastAsia="Calibri" w:hAnsi="Verdana" w:cs="Arial"/>
                <w:color w:val="000000" w:themeColor="text1"/>
                <w:lang w:val="es-ES"/>
              </w:rPr>
              <w:t xml:space="preserve">Consejo de Estado, Sección Tercera. Sentencia del 20 de noviembre de 2019, expediente </w:t>
            </w:r>
            <w:proofErr w:type="spellStart"/>
            <w:r w:rsidRPr="00D05687">
              <w:rPr>
                <w:rFonts w:ascii="Verdana" w:eastAsia="Calibri" w:hAnsi="Verdana" w:cs="Arial"/>
                <w:color w:val="000000" w:themeColor="text1"/>
                <w:lang w:val="es-ES"/>
              </w:rPr>
              <w:t>N°</w:t>
            </w:r>
            <w:proofErr w:type="spellEnd"/>
            <w:r w:rsidRPr="00D05687">
              <w:rPr>
                <w:rFonts w:ascii="Verdana" w:eastAsia="Calibri" w:hAnsi="Verdana" w:cs="Arial"/>
                <w:color w:val="000000" w:themeColor="text1"/>
                <w:lang w:val="es-ES"/>
              </w:rPr>
              <w:t xml:space="preserve"> 25000-23-36-000-2016-00955-01(62369), M.P. Marta Nubia Velázquez Rico.</w:t>
            </w:r>
          </w:p>
          <w:p w14:paraId="242C8A78" w14:textId="77777777" w:rsidR="00A96C6F" w:rsidRPr="00D05687"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D05687">
              <w:rPr>
                <w:rFonts w:ascii="Verdana" w:eastAsia="Calibri" w:hAnsi="Verdana" w:cs="Arial"/>
                <w:color w:val="000000" w:themeColor="text1"/>
                <w:lang w:val="es-ES"/>
              </w:rPr>
              <w:t>Consejo de Estado. Sección Tercera. Subsección B. Sentencia del 14 de octubre de 2011. Exp. 20811, C.P. Ruth Stella Correa Palacio.</w:t>
            </w:r>
          </w:p>
          <w:p w14:paraId="5BC8E333" w14:textId="77777777" w:rsidR="00A96C6F" w:rsidRPr="00D05687"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D05687">
              <w:rPr>
                <w:rFonts w:ascii="Verdana" w:eastAsia="Calibri" w:hAnsi="Verdana" w:cs="Arial"/>
                <w:color w:val="000000" w:themeColor="text1"/>
                <w:lang w:val="es-ES"/>
              </w:rPr>
              <w:t>Corte Constitucional. Sentencia C-300 de 2012. M.P: Jorge Ignacio Pretelt Chaljub.</w:t>
            </w:r>
          </w:p>
          <w:p w14:paraId="44C111EA" w14:textId="77777777" w:rsidR="00A96C6F" w:rsidRPr="00D05687"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D05687">
              <w:rPr>
                <w:rFonts w:ascii="Verdana" w:eastAsia="Calibri" w:hAnsi="Verdana" w:cs="Arial"/>
                <w:color w:val="000000" w:themeColor="text1"/>
                <w:lang w:val="es-ES"/>
              </w:rPr>
              <w:t>Consejo de Estado. Sala de Consulta y Servicio Civil. Concepto del 13 de agosto de 2009. Radicado: 11001-03-06-000-2009-00033-00 (1952), C.P. Enrique José Arboleda Perdomo.</w:t>
            </w:r>
          </w:p>
          <w:p w14:paraId="3DD9178C" w14:textId="77777777" w:rsidR="00A96C6F" w:rsidRPr="00D05687"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D05687">
              <w:rPr>
                <w:rFonts w:ascii="Verdana" w:eastAsia="Calibri" w:hAnsi="Verdana" w:cs="Arial"/>
                <w:color w:val="000000" w:themeColor="text1"/>
                <w:lang w:val="es-ES"/>
              </w:rPr>
              <w:t>Consejo de Estado. Sala de Consulta y Servicio Civil. C.P.: Óscar Daría Amaya Navas. Concepto del 06 de junio 2018. Radicación número: 2369.</w:t>
            </w:r>
          </w:p>
          <w:p w14:paraId="4C693205" w14:textId="77777777" w:rsidR="00A96C6F"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D05687">
              <w:rPr>
                <w:rFonts w:ascii="Verdana" w:eastAsia="Calibri" w:hAnsi="Verdana" w:cs="Arial"/>
                <w:color w:val="000000" w:themeColor="text1"/>
                <w:lang w:val="es-ES"/>
              </w:rPr>
              <w:t>Consejo de Estado, Sección Tercera. Sentencia del 17 de octubre de 2023. Exp. 69492. C.P. Marta Nubia Velásquez Rico.</w:t>
            </w:r>
          </w:p>
          <w:p w14:paraId="7AB0D3B0" w14:textId="77777777" w:rsidR="00A96C6F" w:rsidRPr="00F53971" w:rsidRDefault="00A96C6F" w:rsidP="00C97037">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693CBB">
              <w:rPr>
                <w:rFonts w:ascii="Verdana" w:eastAsia="Calibri" w:hAnsi="Verdana" w:cs="Arial"/>
                <w:color w:val="000000" w:themeColor="text1"/>
              </w:rPr>
              <w:t>Consejo de Estado, Sala de lo Contencioso Administrativo, Sección Tercera, Subsección A, sentencia del 30 de mayo de 2025, radicación 25000233600020190063001 (70.671), C.P. José Roberto Sáchica Méndez</w:t>
            </w:r>
          </w:p>
        </w:tc>
      </w:tr>
    </w:tbl>
    <w:p w14:paraId="1C45B862" w14:textId="77777777" w:rsidR="00A96C6F" w:rsidRPr="00F53971" w:rsidRDefault="00A96C6F" w:rsidP="00A96C6F">
      <w:pPr>
        <w:widowControl w:val="0"/>
        <w:autoSpaceDE w:val="0"/>
        <w:autoSpaceDN w:val="0"/>
        <w:spacing w:after="0" w:line="276" w:lineRule="auto"/>
        <w:jc w:val="both"/>
        <w:rPr>
          <w:rFonts w:ascii="Verdana" w:hAnsi="Verdana" w:cs="Arial"/>
          <w:color w:val="000000" w:themeColor="text1"/>
          <w:lang w:val="es-ES"/>
        </w:rPr>
      </w:pPr>
    </w:p>
    <w:p w14:paraId="39BF5959" w14:textId="77777777" w:rsidR="00A96C6F" w:rsidRPr="00F53971" w:rsidRDefault="00A96C6F" w:rsidP="00A96C6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F53971">
        <w:rPr>
          <w:rFonts w:ascii="Verdana" w:eastAsia="Century Gothic" w:hAnsi="Verdana" w:cs="Century Gothic"/>
          <w:b/>
          <w:bCs/>
          <w:color w:val="000000" w:themeColor="text1"/>
        </w:rPr>
        <w:t>Doctrina de la Agencia Nacional de Contratación Pública:</w:t>
      </w:r>
    </w:p>
    <w:p w14:paraId="7CD38BB0" w14:textId="77777777" w:rsidR="00A96C6F" w:rsidRPr="00F53971" w:rsidRDefault="00A96C6F" w:rsidP="00A96C6F">
      <w:pPr>
        <w:widowControl w:val="0"/>
        <w:autoSpaceDE w:val="0"/>
        <w:autoSpaceDN w:val="0"/>
        <w:spacing w:after="0" w:line="276" w:lineRule="auto"/>
        <w:jc w:val="both"/>
        <w:rPr>
          <w:rFonts w:ascii="Verdana" w:hAnsi="Verdana" w:cs="Arial"/>
          <w:color w:val="000000" w:themeColor="text1"/>
          <w:lang w:val="es-ES"/>
        </w:rPr>
      </w:pPr>
    </w:p>
    <w:p w14:paraId="5AA2CF67" w14:textId="77777777" w:rsidR="00A96C6F" w:rsidRPr="00F53971" w:rsidRDefault="00A96C6F" w:rsidP="00A96C6F">
      <w:pPr>
        <w:jc w:val="both"/>
        <w:rPr>
          <w:rStyle w:val="normaltextrun"/>
          <w:rFonts w:ascii="Verdana" w:eastAsia="Calibri" w:hAnsi="Verdana" w:cs="Arial"/>
          <w:b/>
          <w:bCs/>
          <w:color w:val="000000" w:themeColor="text1"/>
          <w:lang w:val="es-ES" w:eastAsia="es-ES"/>
        </w:rPr>
      </w:pPr>
      <w:r w:rsidRPr="00F53971">
        <w:rPr>
          <w:rStyle w:val="normaltextrun"/>
          <w:rFonts w:ascii="Verdana" w:hAnsi="Verdana" w:cs="Arial"/>
          <w:color w:val="000000" w:themeColor="text1"/>
          <w:shd w:val="clear" w:color="auto" w:fill="FFFFFF"/>
          <w:lang w:val="es-ES"/>
        </w:rPr>
        <w:t>La Agencia Nacional de Contratación Pública – Colombia Compra Eficiente se refirió</w:t>
      </w:r>
      <w:r w:rsidRPr="00F53971">
        <w:rPr>
          <w:rFonts w:ascii="Verdana" w:eastAsia="Calibri" w:hAnsi="Verdana" w:cs="Arial"/>
          <w:lang w:val="es-ES" w:eastAsia="es-ES"/>
        </w:rPr>
        <w:t xml:space="preserve"> a </w:t>
      </w:r>
      <w:r w:rsidRPr="00F53971">
        <w:rPr>
          <w:rFonts w:ascii="Verdana" w:eastAsia="Calibri" w:hAnsi="Verdana" w:cs="Arial"/>
          <w:shd w:val="clear" w:color="auto" w:fill="FFFFFF"/>
          <w:lang w:val="es-ES"/>
        </w:rPr>
        <w:t>la interventoría en los contratos estatales en los conceptos:</w:t>
      </w:r>
      <w:r w:rsidRPr="00F53971">
        <w:rPr>
          <w:rStyle w:val="normaltextrun"/>
          <w:rFonts w:ascii="Verdana" w:hAnsi="Verdana" w:cs="Arial"/>
          <w:color w:val="000000" w:themeColor="text1"/>
          <w:shd w:val="clear" w:color="auto" w:fill="FFFFFF"/>
          <w:lang w:val="es-ES"/>
        </w:rPr>
        <w:t xml:space="preserve"> </w:t>
      </w:r>
      <w:r w:rsidRPr="00F53971">
        <w:rPr>
          <w:rFonts w:ascii="Verdana" w:eastAsia="Calibri" w:hAnsi="Verdana" w:cs="Arial"/>
          <w:kern w:val="2"/>
          <w:lang w:val="es-ES" w:eastAsia="es-ES_tradnl"/>
          <w14:ligatures w14:val="standardContextual"/>
        </w:rPr>
        <w:t xml:space="preserve">C‒064 del 28 de febrero de 2020, C‒150 del 18 de marzo de 2020, C‒075 del 26 de marzo de 2020, C‒180 del 13 de abril de 2020, C‒344 del 26 de mayo de 2020 y en el C‒765 del 7 de enero de 2021, C-411 del 17 de agosto de 2021, C-650 del 22 de diciembre de 2021, C-238 del 27 de abril de 2022, C-432 del 13 de julio de 2022, C- 590 del 20 de septiembre de 2022, Concepto C – 690 del 19 de octubre de 2022, C-713 del 7 de noviembre de 2024, C-711 del 21 de noviembre de 2024 y </w:t>
      </w:r>
      <w:r w:rsidRPr="00F53971">
        <w:rPr>
          <w:rFonts w:ascii="Verdana" w:eastAsia="Calibri" w:hAnsi="Verdana" w:cs="Arial"/>
          <w:lang w:val="es-ES" w:eastAsia="es-ES"/>
        </w:rPr>
        <w:t>C – 800 del 13 de diciembre de 2024, C-1006 del 28 de agosto de 2025, entre otros</w:t>
      </w:r>
      <w:r w:rsidRPr="00F53971">
        <w:rPr>
          <w:rStyle w:val="normaltextrun"/>
          <w:rFonts w:ascii="Verdana" w:hAnsi="Verdana" w:cs="Arial"/>
          <w:shd w:val="clear" w:color="auto" w:fill="FFFFFF"/>
          <w:lang w:val="es-ES"/>
        </w:rPr>
        <w:t xml:space="preserve">. Asimismo, </w:t>
      </w:r>
      <w:r w:rsidRPr="00F53971">
        <w:rPr>
          <w:rFonts w:ascii="Verdana" w:hAnsi="Verdana" w:cs="Arial"/>
          <w:shd w:val="clear" w:color="auto" w:fill="FFFFFF"/>
          <w:lang w:val="es-ES"/>
        </w:rPr>
        <w:t xml:space="preserve">se ha pronunciado sobre las causales de rechazo y la </w:t>
      </w:r>
      <w:r w:rsidRPr="00F53971">
        <w:rPr>
          <w:rFonts w:ascii="Verdana" w:hAnsi="Verdana" w:cs="Arial"/>
          <w:shd w:val="clear" w:color="auto" w:fill="FFFFFF"/>
          <w:lang w:val="es-ES"/>
        </w:rPr>
        <w:lastRenderedPageBreak/>
        <w:t>terminación unilateral frente al riesgo de lavado de activos en los Conceptos C-419 del 27 de octubre de 2023 y C-494 del 12 de noviembre de 2024</w:t>
      </w:r>
      <w:r w:rsidRPr="00F53971">
        <w:rPr>
          <w:rStyle w:val="normaltextrun"/>
          <w:rFonts w:ascii="Verdana" w:hAnsi="Verdana" w:cs="Arial"/>
          <w:shd w:val="clear" w:color="auto" w:fill="FFFFFF"/>
          <w:lang w:val="es-ES"/>
        </w:rPr>
        <w:t>. Estos y otros conceptos se encuentran disponibles para consulta en el Sistema de relatoría de la Agencia</w:t>
      </w:r>
      <w:r w:rsidRPr="00F53971">
        <w:rPr>
          <w:rFonts w:ascii="Verdana" w:hAnsi="Verdana"/>
          <w:lang w:val="es-ES"/>
        </w:rPr>
        <w:t>, al cual puede accederse a través del siguiente enlace:</w:t>
      </w:r>
      <w:r w:rsidRPr="00F53971">
        <w:rPr>
          <w:rStyle w:val="normaltextrun"/>
          <w:rFonts w:ascii="Verdana" w:hAnsi="Verdana" w:cs="Arial"/>
          <w:shd w:val="clear" w:color="auto" w:fill="FFFFFF"/>
          <w:lang w:val="es-ES"/>
        </w:rPr>
        <w:t xml:space="preserve"> </w:t>
      </w:r>
      <w:hyperlink r:id="rId12" w:history="1">
        <w:r w:rsidRPr="00F53971">
          <w:rPr>
            <w:rStyle w:val="Hipervnculo"/>
            <w:rFonts w:ascii="Verdana" w:hAnsi="Verdana" w:cs="Arial"/>
            <w:shd w:val="clear" w:color="auto" w:fill="FFFFFF"/>
            <w:lang w:val="es-ES"/>
          </w:rPr>
          <w:t>https://relatoria.colombiacompra.gov.co/busqueda/conceptos</w:t>
        </w:r>
      </w:hyperlink>
      <w:r w:rsidRPr="00F53971">
        <w:rPr>
          <w:rStyle w:val="normaltextrun"/>
          <w:rFonts w:ascii="Verdana" w:hAnsi="Verdana" w:cs="Arial"/>
          <w:shd w:val="clear" w:color="auto" w:fill="FFFFFF"/>
          <w:lang w:val="es-ES"/>
        </w:rPr>
        <w:t>.</w:t>
      </w:r>
      <w:r w:rsidRPr="00F53971">
        <w:rPr>
          <w:rStyle w:val="normaltextrun"/>
          <w:rFonts w:ascii="Verdana" w:hAnsi="Verdana" w:cs="Arial"/>
          <w:color w:val="FF0000"/>
          <w:shd w:val="clear" w:color="auto" w:fill="FFFFFF"/>
          <w:lang w:val="es-ES"/>
        </w:rPr>
        <w:t xml:space="preserve"> </w:t>
      </w:r>
    </w:p>
    <w:p w14:paraId="32FB94FC" w14:textId="77777777" w:rsidR="00A96C6F" w:rsidRPr="00F53971" w:rsidRDefault="00A96C6F" w:rsidP="00A96C6F">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788F56F8" w14:textId="77777777" w:rsidR="00A96C6F" w:rsidRPr="00F53971" w:rsidRDefault="00A96C6F" w:rsidP="00A96C6F">
      <w:pPr>
        <w:spacing w:after="0" w:line="276" w:lineRule="auto"/>
        <w:jc w:val="both"/>
        <w:rPr>
          <w:rFonts w:ascii="Verdana" w:hAnsi="Verdana"/>
          <w:lang w:val="es-ES"/>
        </w:rPr>
      </w:pPr>
      <w:r w:rsidRPr="00F53971">
        <w:rPr>
          <w:rFonts w:ascii="Verdana" w:hAnsi="Verdana"/>
          <w:lang w:val="es-ES"/>
        </w:rPr>
        <w:t xml:space="preserve">Por último, lo invitamos a seguirnos en las redes sociales en las cuales se difunde información institucional: </w:t>
      </w:r>
    </w:p>
    <w:p w14:paraId="2E08569D" w14:textId="77777777" w:rsidR="00A96C6F" w:rsidRPr="00F53971" w:rsidRDefault="00A96C6F" w:rsidP="00A96C6F">
      <w:pPr>
        <w:spacing w:after="0" w:line="276" w:lineRule="auto"/>
        <w:jc w:val="both"/>
        <w:rPr>
          <w:rFonts w:ascii="Verdana" w:hAnsi="Verdana"/>
          <w:lang w:val="es-ES"/>
        </w:rPr>
      </w:pPr>
    </w:p>
    <w:p w14:paraId="10EF9BE1" w14:textId="77777777" w:rsidR="00A96C6F" w:rsidRPr="00F53971" w:rsidRDefault="00A96C6F" w:rsidP="00A96C6F">
      <w:pPr>
        <w:spacing w:after="0" w:line="276" w:lineRule="auto"/>
        <w:jc w:val="both"/>
        <w:rPr>
          <w:rFonts w:ascii="Verdana" w:hAnsi="Verdana"/>
          <w:lang w:val="es-ES"/>
        </w:rPr>
      </w:pPr>
      <w:r w:rsidRPr="00F53971">
        <w:rPr>
          <w:rFonts w:ascii="Verdana" w:hAnsi="Verdana"/>
          <w:lang w:val="es-ES"/>
        </w:rPr>
        <w:t xml:space="preserve">Twitter: </w:t>
      </w:r>
      <w:r w:rsidRPr="00F53971">
        <w:rPr>
          <w:rStyle w:val="Hipervnculo"/>
          <w:rFonts w:ascii="Verdana" w:hAnsi="Verdana" w:cs="Arial"/>
          <w:shd w:val="clear" w:color="auto" w:fill="FFFFFF"/>
          <w:lang w:val="es-ES"/>
        </w:rPr>
        <w:t>@colombiacompra</w:t>
      </w:r>
      <w:r w:rsidRPr="00F53971">
        <w:rPr>
          <w:rFonts w:ascii="Verdana" w:hAnsi="Verdana"/>
          <w:color w:val="4472C4" w:themeColor="accent1"/>
          <w:lang w:val="es-ES"/>
        </w:rPr>
        <w:t xml:space="preserve"> </w:t>
      </w:r>
    </w:p>
    <w:p w14:paraId="533BCE38" w14:textId="77777777" w:rsidR="00A96C6F" w:rsidRPr="00F53971" w:rsidRDefault="00A96C6F" w:rsidP="00A96C6F">
      <w:pPr>
        <w:spacing w:after="0" w:line="276" w:lineRule="auto"/>
        <w:jc w:val="both"/>
        <w:rPr>
          <w:rFonts w:ascii="Verdana" w:hAnsi="Verdana"/>
          <w:lang w:val="es-ES"/>
        </w:rPr>
      </w:pPr>
      <w:r w:rsidRPr="00F53971">
        <w:rPr>
          <w:rFonts w:ascii="Verdana" w:hAnsi="Verdana"/>
          <w:lang w:val="es-ES"/>
        </w:rPr>
        <w:t xml:space="preserve">Facebook: </w:t>
      </w:r>
      <w:proofErr w:type="spellStart"/>
      <w:r w:rsidRPr="00F53971">
        <w:rPr>
          <w:rStyle w:val="Hipervnculo"/>
          <w:rFonts w:ascii="Verdana" w:hAnsi="Verdana" w:cs="Arial"/>
          <w:shd w:val="clear" w:color="auto" w:fill="FFFFFF"/>
          <w:lang w:val="es-ES"/>
        </w:rPr>
        <w:t>ColombiaCompraEficiente</w:t>
      </w:r>
      <w:proofErr w:type="spellEnd"/>
    </w:p>
    <w:p w14:paraId="38631F20" w14:textId="77777777" w:rsidR="00A96C6F" w:rsidRPr="00F53971" w:rsidRDefault="00A96C6F" w:rsidP="00A96C6F">
      <w:pPr>
        <w:spacing w:after="0" w:line="276" w:lineRule="auto"/>
        <w:jc w:val="both"/>
        <w:rPr>
          <w:rFonts w:ascii="Verdana" w:hAnsi="Verdana"/>
          <w:lang w:val="es-ES"/>
        </w:rPr>
      </w:pPr>
      <w:r w:rsidRPr="00F53971">
        <w:rPr>
          <w:rFonts w:ascii="Verdana" w:hAnsi="Verdana"/>
          <w:lang w:val="es-ES"/>
        </w:rPr>
        <w:t xml:space="preserve">LinkedIn: </w:t>
      </w:r>
      <w:r w:rsidRPr="00F53971">
        <w:rPr>
          <w:rStyle w:val="Hipervnculo"/>
          <w:rFonts w:ascii="Verdana" w:hAnsi="Verdana" w:cs="Arial"/>
          <w:shd w:val="clear" w:color="auto" w:fill="FFFFFF"/>
          <w:lang w:val="es-ES"/>
        </w:rPr>
        <w:t xml:space="preserve">Agencia Nacional de Contratación Pública - Colombia Compra Eficiente </w:t>
      </w:r>
      <w:r w:rsidRPr="00F53971">
        <w:rPr>
          <w:rFonts w:ascii="Verdana" w:hAnsi="Verdana"/>
          <w:lang w:val="es-ES"/>
        </w:rPr>
        <w:t xml:space="preserve">Instagram: </w:t>
      </w:r>
      <w:r w:rsidRPr="00F53971">
        <w:rPr>
          <w:rStyle w:val="Hipervnculo"/>
          <w:rFonts w:ascii="Verdana" w:hAnsi="Verdana" w:cs="Arial"/>
          <w:shd w:val="clear" w:color="auto" w:fill="FFFFFF"/>
          <w:lang w:val="es-ES"/>
        </w:rPr>
        <w:t>@colombiacompraeficiente_cce</w:t>
      </w:r>
    </w:p>
    <w:p w14:paraId="4DADCDDD" w14:textId="77777777" w:rsidR="00A96C6F" w:rsidRPr="00F53971" w:rsidRDefault="00A96C6F" w:rsidP="00A96C6F">
      <w:pPr>
        <w:widowControl w:val="0"/>
        <w:autoSpaceDE w:val="0"/>
        <w:autoSpaceDN w:val="0"/>
        <w:spacing w:after="0" w:line="276" w:lineRule="auto"/>
        <w:jc w:val="both"/>
        <w:rPr>
          <w:rFonts w:ascii="Verdana" w:hAnsi="Verdana" w:cs="Arial"/>
          <w:color w:val="000000" w:themeColor="text1"/>
          <w:lang w:val="es-ES"/>
        </w:rPr>
      </w:pPr>
    </w:p>
    <w:p w14:paraId="1FBF7CD1" w14:textId="77777777" w:rsidR="00A96C6F" w:rsidRPr="00F53971" w:rsidRDefault="00A96C6F" w:rsidP="00A96C6F">
      <w:pPr>
        <w:widowControl w:val="0"/>
        <w:autoSpaceDE w:val="0"/>
        <w:autoSpaceDN w:val="0"/>
        <w:spacing w:after="0" w:line="276" w:lineRule="auto"/>
        <w:jc w:val="both"/>
        <w:rPr>
          <w:rFonts w:ascii="Verdana" w:hAnsi="Verdana" w:cs="Arial"/>
          <w:color w:val="000000" w:themeColor="text1"/>
          <w:lang w:val="es-ES"/>
        </w:rPr>
      </w:pPr>
      <w:r w:rsidRPr="00F53971">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10241620" w14:textId="77777777" w:rsidR="00A96C6F" w:rsidRPr="00F53971" w:rsidRDefault="00A96C6F" w:rsidP="00A96C6F">
      <w:pPr>
        <w:widowControl w:val="0"/>
        <w:autoSpaceDE w:val="0"/>
        <w:autoSpaceDN w:val="0"/>
        <w:spacing w:after="0" w:line="276" w:lineRule="auto"/>
        <w:jc w:val="both"/>
        <w:rPr>
          <w:rFonts w:ascii="Verdana" w:hAnsi="Verdana" w:cs="Arial"/>
          <w:color w:val="000000" w:themeColor="text1"/>
          <w:lang w:val="es-ES"/>
        </w:rPr>
      </w:pPr>
    </w:p>
    <w:p w14:paraId="537185F1" w14:textId="31F44376" w:rsidR="00A96C6F" w:rsidRDefault="00A96C6F" w:rsidP="00A96C6F">
      <w:pPr>
        <w:spacing w:after="0" w:line="276" w:lineRule="auto"/>
        <w:rPr>
          <w:rFonts w:ascii="Verdana" w:hAnsi="Verdana" w:cs="Arial"/>
          <w:color w:val="000000" w:themeColor="text1"/>
          <w:lang w:val="es-ES" w:eastAsia="es-CO"/>
        </w:rPr>
      </w:pPr>
      <w:r w:rsidRPr="00F53971">
        <w:rPr>
          <w:rFonts w:ascii="Verdana" w:eastAsia="Times New Roman" w:hAnsi="Verdana" w:cs="Arial"/>
          <w:color w:val="000000" w:themeColor="text1"/>
          <w:lang w:val="es-ES" w:eastAsia="es-CO"/>
        </w:rPr>
        <w:t>Atentamente,</w:t>
      </w:r>
      <w:r w:rsidRPr="00F53971">
        <w:rPr>
          <w:rFonts w:ascii="Verdana" w:hAnsi="Verdana" w:cs="Arial"/>
          <w:color w:val="000000" w:themeColor="text1"/>
          <w:lang w:val="es-ES" w:eastAsia="es-CO"/>
        </w:rPr>
        <w:t xml:space="preserve"> </w:t>
      </w:r>
    </w:p>
    <w:p w14:paraId="1B9B5170" w14:textId="02CCD2D3" w:rsidR="00825F6E" w:rsidRPr="00F53971" w:rsidRDefault="00825F6E" w:rsidP="00A96C6F">
      <w:pPr>
        <w:spacing w:after="0" w:line="276" w:lineRule="auto"/>
        <w:rPr>
          <w:rFonts w:ascii="Verdana" w:hAnsi="Verdana" w:cs="Arial"/>
          <w:color w:val="000000" w:themeColor="text1"/>
          <w:lang w:val="es-ES" w:eastAsia="es-CO"/>
        </w:rPr>
      </w:pPr>
      <w:r w:rsidRPr="002C3AD6">
        <w:rPr>
          <w:rFonts w:ascii="Century Gothic" w:hAnsi="Century Gothic"/>
          <w:noProof/>
        </w:rPr>
        <w:drawing>
          <wp:anchor distT="0" distB="0" distL="114300" distR="114300" simplePos="0" relativeHeight="251660289" behindDoc="0" locked="0" layoutInCell="1" allowOverlap="1" wp14:anchorId="71181714" wp14:editId="39DDA3CF">
            <wp:simplePos x="0" y="0"/>
            <wp:positionH relativeFrom="column">
              <wp:posOffset>1133231</wp:posOffset>
            </wp:positionH>
            <wp:positionV relativeFrom="paragraph">
              <wp:posOffset>46453</wp:posOffset>
            </wp:positionV>
            <wp:extent cx="3772426" cy="1400370"/>
            <wp:effectExtent l="0" t="0" r="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3772426" cy="1400370"/>
                    </a:xfrm>
                    <a:prstGeom prst="rect">
                      <a:avLst/>
                    </a:prstGeom>
                  </pic:spPr>
                </pic:pic>
              </a:graphicData>
            </a:graphic>
            <wp14:sizeRelH relativeFrom="page">
              <wp14:pctWidth>0</wp14:pctWidth>
            </wp14:sizeRelH>
            <wp14:sizeRelV relativeFrom="page">
              <wp14:pctHeight>0</wp14:pctHeight>
            </wp14:sizeRelV>
          </wp:anchor>
        </w:drawing>
      </w:r>
    </w:p>
    <w:p w14:paraId="452C50DB" w14:textId="77777777" w:rsidR="00A96C6F" w:rsidRPr="00F53971" w:rsidRDefault="00A96C6F" w:rsidP="00A96C6F">
      <w:pPr>
        <w:spacing w:line="276" w:lineRule="auto"/>
        <w:rPr>
          <w:rFonts w:ascii="Verdana" w:hAnsi="Verdana"/>
          <w:lang w:val="es-ES"/>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A96C6F" w:rsidRPr="00F53971" w14:paraId="761AB51B" w14:textId="77777777" w:rsidTr="00AB1CBB">
        <w:trPr>
          <w:trHeight w:val="315"/>
        </w:trPr>
        <w:tc>
          <w:tcPr>
            <w:tcW w:w="893" w:type="dxa"/>
            <w:vAlign w:val="center"/>
            <w:hideMark/>
          </w:tcPr>
          <w:p w14:paraId="5026C763" w14:textId="77777777" w:rsidR="00A96C6F" w:rsidRPr="00F53971" w:rsidRDefault="00A96C6F" w:rsidP="00AB1CBB">
            <w:pPr>
              <w:contextualSpacing/>
              <w:rPr>
                <w:rFonts w:ascii="Verdana" w:hAnsi="Verdana" w:cs="Arial"/>
                <w:sz w:val="15"/>
                <w:szCs w:val="15"/>
                <w:lang w:val="es-ES" w:eastAsia="es-ES"/>
              </w:rPr>
            </w:pPr>
            <w:r w:rsidRPr="00F53971">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7ABBF508" w14:textId="77777777" w:rsidR="00A96C6F" w:rsidRPr="00F53971" w:rsidRDefault="00A96C6F" w:rsidP="00AB1CBB">
            <w:pPr>
              <w:contextualSpacing/>
              <w:rPr>
                <w:rFonts w:ascii="Verdana" w:eastAsia="Arial" w:hAnsi="Verdana" w:cs="Arial"/>
                <w:color w:val="000000" w:themeColor="text1"/>
                <w:sz w:val="15"/>
                <w:szCs w:val="15"/>
                <w:lang w:val="es-ES"/>
              </w:rPr>
            </w:pPr>
            <w:r w:rsidRPr="00F53971">
              <w:rPr>
                <w:rFonts w:ascii="Verdana" w:eastAsia="Arial" w:hAnsi="Verdana" w:cs="Arial"/>
                <w:color w:val="000000" w:themeColor="text1"/>
                <w:sz w:val="15"/>
                <w:szCs w:val="15"/>
                <w:lang w:val="es-ES"/>
              </w:rPr>
              <w:t>Anamaría Bonilla Prieto</w:t>
            </w:r>
          </w:p>
          <w:p w14:paraId="17B42C78" w14:textId="77777777" w:rsidR="00A96C6F" w:rsidRPr="00F53971" w:rsidRDefault="00A96C6F" w:rsidP="00AB1CBB">
            <w:pPr>
              <w:contextualSpacing/>
              <w:rPr>
                <w:rFonts w:ascii="Verdana" w:eastAsia="Arial" w:hAnsi="Verdana" w:cs="Arial"/>
                <w:sz w:val="15"/>
                <w:szCs w:val="15"/>
                <w:lang w:val="es-ES"/>
              </w:rPr>
            </w:pPr>
            <w:r w:rsidRPr="00F53971">
              <w:rPr>
                <w:rStyle w:val="normaltextrun"/>
                <w:rFonts w:ascii="Verdana" w:eastAsia="Arial" w:hAnsi="Verdana" w:cs="Arial"/>
                <w:color w:val="000000" w:themeColor="text1"/>
                <w:sz w:val="15"/>
                <w:szCs w:val="15"/>
                <w:lang w:val="es-ES"/>
              </w:rPr>
              <w:t xml:space="preserve">Contratista de la Subdirección </w:t>
            </w:r>
            <w:r w:rsidRPr="00F53971">
              <w:rPr>
                <w:rStyle w:val="normaltextrun"/>
                <w:rFonts w:ascii="Verdana" w:eastAsia="Arial" w:hAnsi="Verdana" w:cs="Arial"/>
                <w:sz w:val="15"/>
                <w:szCs w:val="15"/>
                <w:lang w:val="es-ES"/>
              </w:rPr>
              <w:t>de Gestión Contractual</w:t>
            </w:r>
          </w:p>
        </w:tc>
      </w:tr>
      <w:tr w:rsidR="00A96C6F" w:rsidRPr="00F53971" w14:paraId="75B9DBE4" w14:textId="77777777" w:rsidTr="00AB1CBB">
        <w:trPr>
          <w:trHeight w:val="330"/>
        </w:trPr>
        <w:tc>
          <w:tcPr>
            <w:tcW w:w="893" w:type="dxa"/>
            <w:vAlign w:val="center"/>
            <w:hideMark/>
          </w:tcPr>
          <w:p w14:paraId="79A2D1E1" w14:textId="77777777" w:rsidR="00A96C6F" w:rsidRPr="00F53971" w:rsidRDefault="00A96C6F" w:rsidP="00AB1CBB">
            <w:pPr>
              <w:contextualSpacing/>
              <w:rPr>
                <w:rFonts w:ascii="Verdana" w:hAnsi="Verdana" w:cs="Arial"/>
                <w:sz w:val="15"/>
                <w:szCs w:val="15"/>
                <w:lang w:val="es-ES" w:eastAsia="es-ES"/>
              </w:rPr>
            </w:pPr>
            <w:r w:rsidRPr="00F53971">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65A955A" w14:textId="77777777" w:rsidR="00A96C6F" w:rsidRPr="00F53971" w:rsidRDefault="00A96C6F" w:rsidP="00AB1CBB">
            <w:pPr>
              <w:contextualSpacing/>
              <w:rPr>
                <w:rFonts w:ascii="Verdana" w:eastAsia="Arial" w:hAnsi="Verdana" w:cs="Arial"/>
                <w:color w:val="000000" w:themeColor="text1"/>
                <w:sz w:val="15"/>
                <w:szCs w:val="15"/>
                <w:lang w:val="es-ES"/>
              </w:rPr>
            </w:pPr>
            <w:r w:rsidRPr="00F53971">
              <w:rPr>
                <w:rFonts w:ascii="Verdana" w:eastAsia="Arial" w:hAnsi="Verdana" w:cs="Arial"/>
                <w:color w:val="000000" w:themeColor="text1"/>
                <w:sz w:val="15"/>
                <w:szCs w:val="15"/>
                <w:lang w:val="es-ES"/>
              </w:rPr>
              <w:t>Alejandro Sarmiento Cantillo</w:t>
            </w:r>
          </w:p>
          <w:p w14:paraId="0C209E33" w14:textId="77777777" w:rsidR="00A96C6F" w:rsidRPr="00F53971" w:rsidRDefault="00A96C6F" w:rsidP="00AB1CBB">
            <w:pPr>
              <w:pStyle w:val="paragraph"/>
              <w:spacing w:before="0" w:beforeAutospacing="0" w:after="0" w:afterAutospacing="0"/>
              <w:contextualSpacing/>
              <w:textAlignment w:val="baseline"/>
              <w:rPr>
                <w:rFonts w:ascii="Verdana" w:hAnsi="Verdana" w:cs="Segoe UI"/>
                <w:sz w:val="15"/>
                <w:szCs w:val="15"/>
                <w:lang w:val="es-ES"/>
              </w:rPr>
            </w:pPr>
            <w:r w:rsidRPr="00F53971">
              <w:rPr>
                <w:rFonts w:ascii="Verdana" w:eastAsia="Arial" w:hAnsi="Verdana" w:cs="Arial"/>
                <w:color w:val="000000" w:themeColor="text1"/>
                <w:sz w:val="15"/>
                <w:szCs w:val="15"/>
                <w:lang w:val="es-ES"/>
              </w:rPr>
              <w:t>Gestor T1 – 15 de la Subdirección de Gestión Contractual</w:t>
            </w:r>
            <w:r w:rsidRPr="00F53971">
              <w:rPr>
                <w:rFonts w:ascii="Verdana" w:hAnsi="Verdana" w:cs="Segoe UI"/>
                <w:sz w:val="15"/>
                <w:szCs w:val="15"/>
                <w:lang w:val="es-ES"/>
              </w:rPr>
              <w:t> </w:t>
            </w:r>
          </w:p>
          <w:p w14:paraId="5A61D1C8" w14:textId="77777777" w:rsidR="00A96C6F" w:rsidRPr="00F53971" w:rsidRDefault="00A96C6F" w:rsidP="00AB1CBB">
            <w:pPr>
              <w:pStyle w:val="paragraph"/>
              <w:spacing w:before="0" w:beforeAutospacing="0" w:after="0" w:afterAutospacing="0"/>
              <w:contextualSpacing/>
              <w:textAlignment w:val="baseline"/>
              <w:rPr>
                <w:rFonts w:ascii="Verdana" w:hAnsi="Verdana" w:cs="Segoe UI"/>
                <w:sz w:val="15"/>
                <w:szCs w:val="15"/>
                <w:lang w:val="es-ES"/>
              </w:rPr>
            </w:pPr>
          </w:p>
        </w:tc>
      </w:tr>
      <w:tr w:rsidR="00A96C6F" w:rsidRPr="00F53971" w14:paraId="4ECDE0FE" w14:textId="77777777" w:rsidTr="00AB1CBB">
        <w:trPr>
          <w:trHeight w:val="300"/>
        </w:trPr>
        <w:tc>
          <w:tcPr>
            <w:tcW w:w="893" w:type="dxa"/>
            <w:vAlign w:val="center"/>
          </w:tcPr>
          <w:p w14:paraId="7635ABCB" w14:textId="77777777" w:rsidR="00A96C6F" w:rsidRPr="00F53971" w:rsidRDefault="00A96C6F" w:rsidP="00AB1CBB">
            <w:pPr>
              <w:contextualSpacing/>
              <w:rPr>
                <w:rFonts w:ascii="Verdana" w:hAnsi="Verdana" w:cs="Arial"/>
                <w:sz w:val="15"/>
                <w:szCs w:val="15"/>
                <w:lang w:val="es-ES" w:eastAsia="es-ES"/>
              </w:rPr>
            </w:pPr>
            <w:r w:rsidRPr="00F53971">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40C6F3B" w14:textId="77777777" w:rsidR="00A96C6F" w:rsidRPr="00F53971" w:rsidRDefault="00A96C6F" w:rsidP="00AB1CBB">
            <w:pPr>
              <w:contextualSpacing/>
              <w:rPr>
                <w:rFonts w:ascii="Verdana" w:eastAsia="Calibri" w:hAnsi="Verdana" w:cs="Arial"/>
                <w:sz w:val="16"/>
                <w:szCs w:val="16"/>
                <w:lang w:val="es-ES" w:eastAsia="es-ES"/>
              </w:rPr>
            </w:pPr>
            <w:r w:rsidRPr="00F53971">
              <w:rPr>
                <w:rFonts w:ascii="Verdana" w:eastAsia="Calibri" w:hAnsi="Verdana" w:cs="Arial"/>
                <w:sz w:val="16"/>
                <w:szCs w:val="16"/>
                <w:lang w:val="es-ES" w:eastAsia="es-ES"/>
              </w:rPr>
              <w:t>Carolina Quintero Gacharná</w:t>
            </w:r>
          </w:p>
          <w:p w14:paraId="6C13CDDF" w14:textId="77777777" w:rsidR="00A96C6F" w:rsidRPr="00F53971" w:rsidRDefault="00A96C6F" w:rsidP="00AB1CBB">
            <w:pPr>
              <w:contextualSpacing/>
              <w:rPr>
                <w:rFonts w:ascii="Verdana" w:eastAsia="Calibri" w:hAnsi="Verdana" w:cs="Arial"/>
                <w:sz w:val="15"/>
                <w:szCs w:val="15"/>
                <w:lang w:val="es-ES" w:eastAsia="es-ES"/>
              </w:rPr>
            </w:pPr>
            <w:r w:rsidRPr="00F53971">
              <w:rPr>
                <w:rFonts w:ascii="Verdana" w:eastAsia="Calibri" w:hAnsi="Verdana" w:cs="Arial"/>
                <w:sz w:val="16"/>
                <w:szCs w:val="16"/>
                <w:lang w:val="es-ES" w:eastAsia="es-ES"/>
              </w:rPr>
              <w:t>Subdirectora de Gestión Contractual ANCP – CCE</w:t>
            </w:r>
          </w:p>
        </w:tc>
      </w:tr>
      <w:bookmarkEnd w:id="0"/>
    </w:tbl>
    <w:p w14:paraId="4B3D4937" w14:textId="06E2190A" w:rsidR="00A96C6F" w:rsidRPr="00F53971" w:rsidRDefault="00A96C6F" w:rsidP="00A96C6F">
      <w:pPr>
        <w:rPr>
          <w:rFonts w:ascii="Verdana" w:hAnsi="Verdana"/>
          <w:lang w:val="es-ES"/>
        </w:rPr>
      </w:pPr>
    </w:p>
    <w:p w14:paraId="092E8DC3" w14:textId="77777777" w:rsidR="00A96C6F" w:rsidRPr="00F53971" w:rsidRDefault="00A96C6F" w:rsidP="00A96C6F">
      <w:pPr>
        <w:rPr>
          <w:rFonts w:ascii="Verdana" w:hAnsi="Verdana"/>
          <w:lang w:val="es-ES"/>
        </w:rPr>
      </w:pPr>
    </w:p>
    <w:p w14:paraId="5A012FF4" w14:textId="77777777" w:rsidR="00A96C6F" w:rsidRPr="00F53971" w:rsidRDefault="00A96C6F" w:rsidP="00A96C6F">
      <w:pPr>
        <w:rPr>
          <w:rFonts w:ascii="Verdana" w:hAnsi="Verdana"/>
          <w:lang w:val="es-ES"/>
        </w:rPr>
      </w:pPr>
    </w:p>
    <w:p w14:paraId="0F293BF4" w14:textId="30C34548" w:rsidR="00127233" w:rsidRPr="00A96C6F" w:rsidRDefault="00127233" w:rsidP="00A96C6F"/>
    <w:sectPr w:rsidR="00127233" w:rsidRPr="00A96C6F" w:rsidSect="007C0C0F">
      <w:headerReference w:type="default" r:id="rId14"/>
      <w:footerReference w:type="default" r:id="rId1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1D040" w14:textId="77777777" w:rsidR="008F0137" w:rsidRDefault="008F0137" w:rsidP="004A1847">
      <w:pPr>
        <w:spacing w:after="0" w:line="240" w:lineRule="auto"/>
      </w:pPr>
      <w:r>
        <w:separator/>
      </w:r>
    </w:p>
  </w:endnote>
  <w:endnote w:type="continuationSeparator" w:id="0">
    <w:p w14:paraId="2A0364E9" w14:textId="77777777" w:rsidR="008F0137" w:rsidRDefault="008F0137" w:rsidP="004A1847">
      <w:pPr>
        <w:spacing w:after="0" w:line="240" w:lineRule="auto"/>
      </w:pPr>
      <w:r>
        <w:continuationSeparator/>
      </w:r>
    </w:p>
  </w:endnote>
  <w:endnote w:type="continuationNotice" w:id="1">
    <w:p w14:paraId="2785D2F8" w14:textId="77777777" w:rsidR="008F0137" w:rsidRDefault="008F01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4A0E6" w14:textId="77777777" w:rsidR="008F0137" w:rsidRDefault="008F0137" w:rsidP="004A1847">
      <w:pPr>
        <w:spacing w:after="0" w:line="240" w:lineRule="auto"/>
      </w:pPr>
      <w:r>
        <w:separator/>
      </w:r>
    </w:p>
  </w:footnote>
  <w:footnote w:type="continuationSeparator" w:id="0">
    <w:p w14:paraId="03A55C9C" w14:textId="77777777" w:rsidR="008F0137" w:rsidRDefault="008F0137" w:rsidP="004A1847">
      <w:pPr>
        <w:spacing w:after="0" w:line="240" w:lineRule="auto"/>
      </w:pPr>
      <w:r>
        <w:continuationSeparator/>
      </w:r>
    </w:p>
  </w:footnote>
  <w:footnote w:type="continuationNotice" w:id="1">
    <w:p w14:paraId="673D6B1B" w14:textId="77777777" w:rsidR="008F0137" w:rsidRDefault="008F0137">
      <w:pPr>
        <w:spacing w:after="0" w:line="240" w:lineRule="auto"/>
      </w:pPr>
    </w:p>
  </w:footnote>
  <w:footnote w:id="2">
    <w:p w14:paraId="0CE36379" w14:textId="77777777" w:rsidR="00A96C6F" w:rsidRPr="001E3899" w:rsidRDefault="00A96C6F" w:rsidP="00A96C6F">
      <w:pPr>
        <w:pStyle w:val="Textonotapie"/>
        <w:adjustRightInd w:val="0"/>
        <w:snapToGrid w:val="0"/>
        <w:ind w:firstLine="709"/>
        <w:contextualSpacing/>
        <w:jc w:val="both"/>
        <w:rPr>
          <w:rFonts w:ascii="Verdana" w:hAnsi="Verdana"/>
          <w:sz w:val="16"/>
          <w:szCs w:val="16"/>
        </w:rPr>
      </w:pPr>
      <w:r w:rsidRPr="001E3899">
        <w:rPr>
          <w:rStyle w:val="Refdenotaalpie"/>
          <w:rFonts w:ascii="Verdana" w:hAnsi="Verdana"/>
          <w:sz w:val="16"/>
          <w:szCs w:val="16"/>
        </w:rPr>
        <w:footnoteRef/>
      </w:r>
      <w:r w:rsidRPr="001E3899">
        <w:rPr>
          <w:rFonts w:ascii="Verdana" w:hAnsi="Verdana"/>
          <w:sz w:val="16"/>
          <w:szCs w:val="16"/>
        </w:rPr>
        <w:t xml:space="preserve"> Artículo 21 de la Ley 1150 de 2007.</w:t>
      </w:r>
    </w:p>
    <w:p w14:paraId="0A6BCD30" w14:textId="77777777" w:rsidR="00A96C6F" w:rsidRPr="001E3899" w:rsidRDefault="00A96C6F" w:rsidP="00A96C6F">
      <w:pPr>
        <w:pStyle w:val="Textonotapie"/>
        <w:adjustRightInd w:val="0"/>
        <w:snapToGrid w:val="0"/>
        <w:ind w:firstLine="709"/>
        <w:contextualSpacing/>
        <w:jc w:val="both"/>
        <w:rPr>
          <w:rFonts w:ascii="Verdana" w:hAnsi="Verdana"/>
          <w:sz w:val="16"/>
          <w:szCs w:val="16"/>
        </w:rPr>
      </w:pPr>
    </w:p>
  </w:footnote>
  <w:footnote w:id="3">
    <w:p w14:paraId="64AB4EB3" w14:textId="77777777" w:rsidR="00A96C6F" w:rsidRPr="001E3899" w:rsidRDefault="00A96C6F" w:rsidP="00A96C6F">
      <w:pPr>
        <w:pStyle w:val="Textonotapie"/>
        <w:adjustRightInd w:val="0"/>
        <w:snapToGrid w:val="0"/>
        <w:ind w:firstLine="709"/>
        <w:contextualSpacing/>
        <w:jc w:val="both"/>
        <w:rPr>
          <w:rFonts w:ascii="Verdana" w:hAnsi="Verdana"/>
          <w:sz w:val="16"/>
          <w:szCs w:val="16"/>
        </w:rPr>
      </w:pPr>
      <w:r w:rsidRPr="001E3899">
        <w:rPr>
          <w:rStyle w:val="Refdenotaalpie"/>
          <w:rFonts w:ascii="Verdana" w:hAnsi="Verdana"/>
          <w:sz w:val="16"/>
          <w:szCs w:val="16"/>
        </w:rPr>
        <w:footnoteRef/>
      </w:r>
      <w:r w:rsidRPr="001E3899">
        <w:rPr>
          <w:rFonts w:ascii="Verdana" w:hAnsi="Verdana"/>
          <w:sz w:val="16"/>
          <w:szCs w:val="16"/>
        </w:rPr>
        <w:t xml:space="preserve"> Artículos 83 a 86 de la Ley 1474 de 2011.</w:t>
      </w:r>
    </w:p>
    <w:p w14:paraId="1AF725EF" w14:textId="77777777" w:rsidR="00A96C6F" w:rsidRPr="001E3899" w:rsidRDefault="00A96C6F" w:rsidP="00A96C6F">
      <w:pPr>
        <w:pStyle w:val="Textonotapie"/>
        <w:adjustRightInd w:val="0"/>
        <w:snapToGrid w:val="0"/>
        <w:contextualSpacing/>
        <w:jc w:val="both"/>
        <w:rPr>
          <w:rFonts w:ascii="Verdana" w:hAnsi="Verdana"/>
          <w:sz w:val="16"/>
          <w:szCs w:val="16"/>
        </w:rPr>
      </w:pPr>
    </w:p>
  </w:footnote>
  <w:footnote w:id="4">
    <w:p w14:paraId="167713CC" w14:textId="77777777" w:rsidR="00A96C6F" w:rsidRPr="001E3899" w:rsidRDefault="00A96C6F" w:rsidP="00A96C6F">
      <w:pPr>
        <w:pStyle w:val="Textonotapie"/>
        <w:adjustRightInd w:val="0"/>
        <w:snapToGrid w:val="0"/>
        <w:ind w:firstLine="709"/>
        <w:contextualSpacing/>
        <w:jc w:val="both"/>
        <w:rPr>
          <w:rFonts w:ascii="Verdana" w:hAnsi="Verdana"/>
          <w:sz w:val="16"/>
          <w:szCs w:val="16"/>
        </w:rPr>
      </w:pPr>
      <w:r w:rsidRPr="001E3899">
        <w:rPr>
          <w:rStyle w:val="Refdenotaalpie"/>
          <w:rFonts w:ascii="Verdana" w:hAnsi="Verdana"/>
          <w:sz w:val="16"/>
          <w:szCs w:val="16"/>
        </w:rPr>
        <w:footnoteRef/>
      </w:r>
      <w:r w:rsidRPr="001E3899">
        <w:rPr>
          <w:rFonts w:ascii="Verdana" w:hAnsi="Verdana"/>
          <w:sz w:val="16"/>
          <w:szCs w:val="16"/>
        </w:rPr>
        <w:t xml:space="preserve"> Artículo 83 de la Ley 1474 de 2011</w:t>
      </w:r>
    </w:p>
  </w:footnote>
  <w:footnote w:id="5">
    <w:p w14:paraId="713F4802" w14:textId="77777777" w:rsidR="00A96C6F" w:rsidRPr="001E3899" w:rsidRDefault="00A96C6F" w:rsidP="00A96C6F">
      <w:pPr>
        <w:pStyle w:val="Textonotapie"/>
        <w:adjustRightInd w:val="0"/>
        <w:snapToGrid w:val="0"/>
        <w:ind w:firstLine="709"/>
        <w:contextualSpacing/>
        <w:jc w:val="both"/>
        <w:rPr>
          <w:rFonts w:ascii="Verdana" w:hAnsi="Verdana" w:cs="Arial"/>
          <w:color w:val="161616"/>
          <w:sz w:val="16"/>
          <w:szCs w:val="16"/>
        </w:rPr>
      </w:pPr>
      <w:r w:rsidRPr="001E3899">
        <w:rPr>
          <w:rStyle w:val="Refdenotaalpie"/>
          <w:rFonts w:ascii="Verdana" w:hAnsi="Verdana"/>
          <w:sz w:val="16"/>
          <w:szCs w:val="16"/>
        </w:rPr>
        <w:footnoteRef/>
      </w:r>
      <w:r w:rsidRPr="001E3899">
        <w:rPr>
          <w:rFonts w:ascii="Verdana" w:hAnsi="Verdana"/>
          <w:sz w:val="16"/>
          <w:szCs w:val="16"/>
        </w:rPr>
        <w:t xml:space="preserve"> </w:t>
      </w:r>
      <w:r w:rsidRPr="001E3899">
        <w:rPr>
          <w:rFonts w:ascii="Verdana" w:hAnsi="Verdana" w:cs="Arial"/>
          <w:color w:val="161616"/>
          <w:sz w:val="16"/>
          <w:szCs w:val="16"/>
        </w:rPr>
        <w:t>“Son también contratos de consultoría los que tienen por objeto la interventoría […]”</w:t>
      </w:r>
    </w:p>
    <w:p w14:paraId="23BA58D5" w14:textId="77777777" w:rsidR="00A96C6F" w:rsidRPr="001E3899" w:rsidRDefault="00A96C6F" w:rsidP="00A96C6F">
      <w:pPr>
        <w:pStyle w:val="Textonotapie"/>
        <w:adjustRightInd w:val="0"/>
        <w:snapToGrid w:val="0"/>
        <w:ind w:firstLine="709"/>
        <w:contextualSpacing/>
        <w:jc w:val="both"/>
        <w:rPr>
          <w:rFonts w:ascii="Verdana" w:hAnsi="Verdana" w:cs="Arial"/>
          <w:color w:val="161616"/>
          <w:sz w:val="16"/>
          <w:szCs w:val="16"/>
        </w:rPr>
      </w:pPr>
    </w:p>
  </w:footnote>
  <w:footnote w:id="6">
    <w:p w14:paraId="3EEEB0A1" w14:textId="77777777" w:rsidR="00A96C6F" w:rsidRPr="001E3899" w:rsidRDefault="00A96C6F" w:rsidP="00A96C6F">
      <w:pPr>
        <w:pStyle w:val="Textonotapie"/>
        <w:adjustRightInd w:val="0"/>
        <w:snapToGrid w:val="0"/>
        <w:ind w:firstLine="709"/>
        <w:contextualSpacing/>
        <w:jc w:val="both"/>
        <w:rPr>
          <w:rFonts w:ascii="Verdana" w:hAnsi="Verdana" w:cs="Arial"/>
          <w:color w:val="161616"/>
          <w:sz w:val="16"/>
          <w:szCs w:val="16"/>
        </w:rPr>
      </w:pPr>
      <w:r w:rsidRPr="001E3899">
        <w:rPr>
          <w:rStyle w:val="Refdenotaalpie"/>
          <w:rFonts w:ascii="Verdana" w:hAnsi="Verdana" w:cs="Arial"/>
          <w:sz w:val="16"/>
          <w:szCs w:val="16"/>
        </w:rPr>
        <w:footnoteRef/>
      </w:r>
      <w:r w:rsidRPr="001E3899">
        <w:rPr>
          <w:rFonts w:ascii="Verdana" w:hAnsi="Verdana" w:cs="Arial"/>
          <w:sz w:val="16"/>
          <w:szCs w:val="16"/>
        </w:rPr>
        <w:t xml:space="preserve"> </w:t>
      </w:r>
      <w:r w:rsidRPr="001E3899">
        <w:rPr>
          <w:rFonts w:ascii="Verdana" w:hAnsi="Verdana" w:cs="Arial"/>
          <w:color w:val="161616"/>
          <w:sz w:val="16"/>
          <w:szCs w:val="16"/>
        </w:rPr>
        <w:t>Consejo de Estado. Sección Tercera. Sentencia del 28 de febrero de 2013. Exp. 24.266 C.P. Danilo Rojas Betancourth.</w:t>
      </w:r>
    </w:p>
  </w:footnote>
  <w:footnote w:id="7">
    <w:p w14:paraId="65FAF4BE" w14:textId="77777777" w:rsidR="00A96C6F" w:rsidRPr="001E3899" w:rsidRDefault="00A96C6F" w:rsidP="00A96C6F">
      <w:pPr>
        <w:pStyle w:val="Textonotapie"/>
        <w:adjustRightInd w:val="0"/>
        <w:snapToGrid w:val="0"/>
        <w:ind w:firstLine="709"/>
        <w:contextualSpacing/>
        <w:jc w:val="both"/>
        <w:rPr>
          <w:rFonts w:ascii="Verdana" w:hAnsi="Verdana" w:cs="Arial"/>
          <w:sz w:val="16"/>
          <w:szCs w:val="16"/>
        </w:rPr>
      </w:pPr>
      <w:r w:rsidRPr="001E3899">
        <w:rPr>
          <w:rStyle w:val="Refdenotaalpie"/>
          <w:rFonts w:ascii="Verdana" w:hAnsi="Verdana" w:cs="Arial"/>
          <w:sz w:val="16"/>
          <w:szCs w:val="16"/>
        </w:rPr>
        <w:footnoteRef/>
      </w:r>
      <w:r w:rsidRPr="001E3899">
        <w:rPr>
          <w:rFonts w:ascii="Verdana" w:hAnsi="Verdana" w:cs="Arial"/>
          <w:sz w:val="16"/>
          <w:szCs w:val="16"/>
        </w:rPr>
        <w:t xml:space="preserve"> </w:t>
      </w:r>
      <w:r w:rsidRPr="001E3899">
        <w:rPr>
          <w:rFonts w:ascii="Verdana" w:hAnsi="Verdana" w:cs="Arial"/>
          <w:color w:val="161616"/>
          <w:sz w:val="16"/>
          <w:szCs w:val="16"/>
        </w:rPr>
        <w:t>Consejo de Estado, Sección Tercera. Sentencia del 8 de marzo de 1996, expediente N° 8070, C.P. Jesús María Carrillo: “el interventor carece de facultades para exigir del contratante un supuesto derecho a prórrogas, como queriendo hacer valer el contrato de interventoría como un contrato accesorio del contrato de obra, y con esa perspectiva alegar que por la sola naturaleza accesoria "debe" obtener la misma suerte que la del contrato principal”. Consejo de Estado, Sala de lo Contencioso Administrativo, Sección Tercera, sentencia del 13 de septiembre de 1991, expediente N° 5127, C.P. Carlos Betancur: “Debe distinguirse entre el contrato de obra pública y el de interventoría, pues el incumplimiento del contratista de obra no puede imputarse al del interventor como si éste fuera obligado a la ejecución de la obra”.</w:t>
      </w:r>
      <w:r w:rsidRPr="001E3899">
        <w:rPr>
          <w:rFonts w:ascii="Verdana" w:hAnsi="Verdana" w:cs="Arial"/>
          <w:sz w:val="16"/>
          <w:szCs w:val="16"/>
        </w:rPr>
        <w:t xml:space="preserve">  </w:t>
      </w:r>
    </w:p>
  </w:footnote>
  <w:footnote w:id="8">
    <w:p w14:paraId="678BF836" w14:textId="77777777" w:rsidR="00A96C6F" w:rsidRPr="001E3899" w:rsidRDefault="00A96C6F" w:rsidP="00A96C6F">
      <w:pPr>
        <w:pStyle w:val="Textonotapie"/>
        <w:snapToGrid w:val="0"/>
        <w:ind w:firstLine="708"/>
        <w:contextualSpacing/>
        <w:jc w:val="both"/>
        <w:rPr>
          <w:rFonts w:ascii="Verdana" w:hAnsi="Verdana" w:cs="Arial"/>
          <w:iCs/>
          <w:color w:val="1A1A1A" w:themeColor="background1" w:themeShade="1A"/>
          <w:sz w:val="16"/>
          <w:szCs w:val="16"/>
        </w:rPr>
      </w:pPr>
      <w:r w:rsidRPr="001E3899">
        <w:rPr>
          <w:rStyle w:val="Refdenotaalpie"/>
          <w:rFonts w:ascii="Verdana" w:hAnsi="Verdana"/>
          <w:sz w:val="16"/>
          <w:szCs w:val="16"/>
        </w:rPr>
        <w:footnoteRef/>
      </w:r>
      <w:r w:rsidRPr="001E3899">
        <w:rPr>
          <w:rFonts w:ascii="Verdana" w:hAnsi="Verdana"/>
          <w:sz w:val="16"/>
          <w:szCs w:val="16"/>
        </w:rPr>
        <w:t xml:space="preserve"> </w:t>
      </w:r>
      <w:r w:rsidRPr="001E3899">
        <w:rPr>
          <w:rFonts w:ascii="Verdana" w:hAnsi="Verdana" w:cs="Arial"/>
          <w:iCs/>
          <w:color w:val="1A1A1A" w:themeColor="background1" w:themeShade="1A"/>
          <w:sz w:val="16"/>
          <w:szCs w:val="16"/>
        </w:rPr>
        <w:t xml:space="preserve">Consejo de Estado, Sección Tercera. Sentencia del 20 de noviembre de 2019, expediente N° 25000-23-36-000-2016-00955-01(62369), M.P. Marta Nubia Velazquez Rico: </w:t>
      </w:r>
      <w:r w:rsidRPr="001E3899">
        <w:rPr>
          <w:rFonts w:ascii="Verdana" w:hAnsi="Verdana" w:cs="Arial"/>
          <w:color w:val="1A1A1A" w:themeColor="background1" w:themeShade="1A"/>
          <w:sz w:val="16"/>
          <w:szCs w:val="16"/>
        </w:rPr>
        <w:t>“</w:t>
      </w:r>
      <w:r w:rsidRPr="001E3899">
        <w:rPr>
          <w:rFonts w:ascii="Verdana" w:hAnsi="Verdana" w:cs="Arial"/>
          <w:iCs/>
          <w:color w:val="1A1A1A" w:themeColor="background1" w:themeShade="1A"/>
          <w:sz w:val="16"/>
          <w:szCs w:val="16"/>
        </w:rPr>
        <w:t xml:space="preserve">el </w:t>
      </w:r>
      <w:r w:rsidRPr="001E3899">
        <w:rPr>
          <w:rFonts w:ascii="Verdana" w:hAnsi="Verdana" w:cs="Arial"/>
          <w:i/>
          <w:color w:val="1A1A1A" w:themeColor="background1" w:themeShade="1A"/>
          <w:sz w:val="16"/>
          <w:szCs w:val="16"/>
        </w:rPr>
        <w:t>precio del contrato de interventoría</w:t>
      </w:r>
      <w:r w:rsidRPr="001E3899">
        <w:rPr>
          <w:rFonts w:ascii="Verdana" w:hAnsi="Verdana" w:cs="Arial"/>
          <w:iCs/>
          <w:color w:val="1A1A1A" w:themeColor="background1" w:themeShade="1A"/>
          <w:sz w:val="16"/>
          <w:szCs w:val="16"/>
        </w:rPr>
        <w:t xml:space="preserve"> se estructura básicamente con base en los costos de los recursos humanos y técnicos altamente especializados que se requieren para adelantar la interventoría y elaborar los entregables o productos requeridos. No obstante, a su vez, se precisa que la remuneración o precio del contrato de interventoría no necesariamente corresponde a un sistema de simple reembolso de costos y gastos, dado que el contratista interventor otorga su experiencia como organización y se compromete con un sistema de control y vigilancia que colabora y protege los intereses de la entidad pública contratante, al punto de que su labor se ha calificado como una función pública, en la cual el contratista asume un riesgo profesional y patrimonial de importancia”.</w:t>
      </w:r>
    </w:p>
  </w:footnote>
  <w:footnote w:id="9">
    <w:p w14:paraId="7FBE0BA0" w14:textId="77777777" w:rsidR="00A96C6F" w:rsidRPr="001E3899" w:rsidRDefault="00A96C6F" w:rsidP="00A96C6F">
      <w:pPr>
        <w:pStyle w:val="Textonotapie"/>
        <w:snapToGrid w:val="0"/>
        <w:ind w:firstLine="708"/>
        <w:contextualSpacing/>
        <w:jc w:val="both"/>
        <w:rPr>
          <w:rFonts w:ascii="Verdana" w:hAnsi="Verdana" w:cs="Arial"/>
          <w:iCs/>
          <w:color w:val="1A1A1A" w:themeColor="background1" w:themeShade="1A"/>
          <w:sz w:val="16"/>
          <w:szCs w:val="16"/>
        </w:rPr>
      </w:pPr>
      <w:r w:rsidRPr="001E3899">
        <w:rPr>
          <w:rStyle w:val="Refdenotaalpie"/>
          <w:rFonts w:ascii="Verdana" w:hAnsi="Verdana"/>
          <w:sz w:val="16"/>
          <w:szCs w:val="16"/>
        </w:rPr>
        <w:footnoteRef/>
      </w:r>
      <w:r w:rsidRPr="001E3899">
        <w:rPr>
          <w:rFonts w:ascii="Verdana" w:hAnsi="Verdana"/>
          <w:sz w:val="16"/>
          <w:szCs w:val="16"/>
        </w:rPr>
        <w:t xml:space="preserve"> </w:t>
      </w:r>
      <w:r w:rsidRPr="001E3899">
        <w:rPr>
          <w:rFonts w:ascii="Verdana" w:hAnsi="Verdana" w:cs="Arial"/>
          <w:color w:val="1A1A1A" w:themeColor="background1" w:themeShade="1A"/>
          <w:sz w:val="16"/>
          <w:szCs w:val="16"/>
        </w:rPr>
        <w:t>“</w:t>
      </w:r>
      <w:r w:rsidRPr="001E3899">
        <w:rPr>
          <w:rFonts w:ascii="Verdana" w:hAnsi="Verdana" w:cs="Arial"/>
          <w:iCs/>
          <w:color w:val="1A1A1A" w:themeColor="background1" w:themeShade="1A"/>
          <w:sz w:val="16"/>
          <w:szCs w:val="16"/>
        </w:rPr>
        <w:t>Artículo   5º.- De los Derechos y Deberes de los Contratistas. Para la realización de los fines de que trata el artículo 3o. de esta Ley, los contratistas:</w:t>
      </w:r>
    </w:p>
    <w:p w14:paraId="38D0FB6D" w14:textId="77777777" w:rsidR="00A96C6F" w:rsidRPr="001E3899" w:rsidRDefault="00A96C6F" w:rsidP="00A96C6F">
      <w:pPr>
        <w:pStyle w:val="Textonotapie"/>
        <w:snapToGrid w:val="0"/>
        <w:ind w:firstLine="708"/>
        <w:contextualSpacing/>
        <w:jc w:val="both"/>
        <w:rPr>
          <w:rFonts w:ascii="Verdana" w:hAnsi="Verdana" w:cs="Arial"/>
          <w:color w:val="1A1A1A" w:themeColor="background1" w:themeShade="1A"/>
          <w:sz w:val="16"/>
          <w:szCs w:val="16"/>
        </w:rPr>
      </w:pPr>
      <w:r w:rsidRPr="001E3899">
        <w:rPr>
          <w:rFonts w:ascii="Verdana" w:hAnsi="Verdana" w:cs="Arial"/>
          <w:iCs/>
          <w:color w:val="1A1A1A" w:themeColor="background1" w:themeShade="1A"/>
          <w:sz w:val="16"/>
          <w:szCs w:val="16"/>
        </w:rPr>
        <w:t>1o. Tendrán derecho a recibir oportunamente la remuneración pactada y a que el valor intrínseco de la misma no se altere o modifique durante la vigencia del contrato</w:t>
      </w:r>
      <w:r w:rsidRPr="001E3899">
        <w:rPr>
          <w:rFonts w:ascii="Verdana" w:hAnsi="Verdana" w:cs="Arial"/>
          <w:color w:val="1A1A1A" w:themeColor="background1" w:themeShade="1A"/>
          <w:sz w:val="16"/>
          <w:szCs w:val="16"/>
        </w:rPr>
        <w:t>”.</w:t>
      </w:r>
    </w:p>
    <w:p w14:paraId="444A59A4" w14:textId="77777777" w:rsidR="00A96C6F" w:rsidRPr="001E3899" w:rsidRDefault="00A96C6F" w:rsidP="00A96C6F">
      <w:pPr>
        <w:pStyle w:val="Textonotapie"/>
        <w:snapToGrid w:val="0"/>
        <w:ind w:firstLine="708"/>
        <w:contextualSpacing/>
        <w:jc w:val="both"/>
        <w:rPr>
          <w:rFonts w:ascii="Verdana" w:hAnsi="Verdana" w:cs="Arial"/>
          <w:color w:val="1A1A1A" w:themeColor="background1" w:themeShade="1A"/>
          <w:sz w:val="16"/>
          <w:szCs w:val="16"/>
        </w:rPr>
      </w:pPr>
    </w:p>
  </w:footnote>
  <w:footnote w:id="10">
    <w:p w14:paraId="735DC8A2" w14:textId="77777777" w:rsidR="00A96C6F" w:rsidRPr="001E3899" w:rsidRDefault="00A96C6F" w:rsidP="00A96C6F">
      <w:pPr>
        <w:pStyle w:val="Textonotapie"/>
        <w:snapToGrid w:val="0"/>
        <w:ind w:firstLine="709"/>
        <w:contextualSpacing/>
        <w:jc w:val="both"/>
        <w:rPr>
          <w:rFonts w:ascii="Verdana" w:hAnsi="Verdana" w:cs="Arial"/>
          <w:sz w:val="16"/>
          <w:szCs w:val="16"/>
          <w:lang w:val="es-ES"/>
        </w:rPr>
      </w:pPr>
      <w:r w:rsidRPr="001E3899">
        <w:rPr>
          <w:rStyle w:val="Refdenotaalpie"/>
          <w:rFonts w:ascii="Verdana" w:hAnsi="Verdana" w:cs="Arial"/>
          <w:sz w:val="16"/>
          <w:szCs w:val="16"/>
        </w:rPr>
        <w:footnoteRef/>
      </w:r>
      <w:r w:rsidRPr="001E3899">
        <w:rPr>
          <w:rFonts w:ascii="Verdana" w:hAnsi="Verdana" w:cs="Arial"/>
          <w:sz w:val="16"/>
          <w:szCs w:val="16"/>
        </w:rPr>
        <w:t xml:space="preserve"> </w:t>
      </w:r>
      <w:r w:rsidRPr="001E3899">
        <w:rPr>
          <w:rFonts w:ascii="Verdana" w:hAnsi="Verdana" w:cs="Arial"/>
          <w:sz w:val="16"/>
          <w:szCs w:val="16"/>
          <w:lang w:val="es-ES"/>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14:paraId="6FE6E9CE" w14:textId="77777777" w:rsidR="00A96C6F" w:rsidRPr="001E3899" w:rsidRDefault="00A96C6F" w:rsidP="00A96C6F">
      <w:pPr>
        <w:pStyle w:val="Textonotapie"/>
        <w:snapToGrid w:val="0"/>
        <w:ind w:firstLine="709"/>
        <w:contextualSpacing/>
        <w:jc w:val="both"/>
        <w:rPr>
          <w:rFonts w:ascii="Verdana" w:hAnsi="Verdana" w:cs="Arial"/>
          <w:sz w:val="16"/>
          <w:szCs w:val="16"/>
          <w:lang w:val="es-ES"/>
        </w:rPr>
      </w:pPr>
      <w:r w:rsidRPr="001E3899">
        <w:rPr>
          <w:rFonts w:ascii="Verdana" w:hAnsi="Verdana" w:cs="Arial"/>
          <w:sz w:val="16"/>
          <w:szCs w:val="16"/>
          <w:lang w:val="es-ES"/>
        </w:rPr>
        <w:t xml:space="preserve">Sin embargo, en otros negocios, como la obra pública, la concesión y la consultoría, el Estado está acostumbrado a que se desglosen intensamente los costos, exigiendo no sólo el precio total sino una distinción entre los </w:t>
      </w:r>
      <w:r w:rsidRPr="001E3899">
        <w:rPr>
          <w:rFonts w:ascii="Verdana" w:hAnsi="Verdana" w:cs="Arial"/>
          <w:i/>
          <w:iCs/>
          <w:sz w:val="16"/>
          <w:szCs w:val="16"/>
          <w:lang w:val="es-ES"/>
        </w:rPr>
        <w:t>costos directos</w:t>
      </w:r>
      <w:r w:rsidRPr="001E3899">
        <w:rPr>
          <w:rFonts w:ascii="Verdana" w:hAnsi="Verdana" w:cs="Arial"/>
          <w:sz w:val="16"/>
          <w:szCs w:val="16"/>
          <w:lang w:val="es-ES"/>
        </w:rPr>
        <w:t xml:space="preserve"> y los</w:t>
      </w:r>
      <w:r w:rsidRPr="001E3899">
        <w:rPr>
          <w:rFonts w:ascii="Verdana" w:hAnsi="Verdana" w:cs="Arial"/>
          <w:i/>
          <w:iCs/>
          <w:sz w:val="16"/>
          <w:szCs w:val="16"/>
          <w:lang w:val="es-ES"/>
        </w:rPr>
        <w:t xml:space="preserve"> costos indirectos</w:t>
      </w:r>
      <w:r w:rsidRPr="001E3899">
        <w:rPr>
          <w:rFonts w:ascii="Verdana" w:hAnsi="Verdana" w:cs="Arial"/>
          <w:sz w:val="16"/>
          <w:szCs w:val="16"/>
          <w:lang w:val="es-ES"/>
        </w:rPr>
        <w:t xml:space="preserve">.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w:t>
      </w:r>
      <w:r w:rsidRPr="001E3899">
        <w:rPr>
          <w:rFonts w:ascii="Verdana" w:hAnsi="Verdana" w:cs="Arial"/>
          <w:i/>
          <w:iCs/>
          <w:sz w:val="16"/>
          <w:szCs w:val="16"/>
          <w:lang w:val="es-ES"/>
        </w:rPr>
        <w:t>ítems</w:t>
      </w:r>
      <w:r w:rsidRPr="001E3899">
        <w:rPr>
          <w:rFonts w:ascii="Verdana" w:hAnsi="Verdana" w:cs="Arial"/>
          <w:sz w:val="16"/>
          <w:szCs w:val="16"/>
          <w:lang w:val="es-ES"/>
        </w:rPr>
        <w:t xml:space="preserve"> que componen el contrato–. Los costos </w:t>
      </w:r>
      <w:r w:rsidRPr="001E3899">
        <w:rPr>
          <w:rFonts w:ascii="Verdana" w:hAnsi="Verdana" w:cs="Arial"/>
          <w:i/>
          <w:iCs/>
          <w:sz w:val="16"/>
          <w:szCs w:val="16"/>
          <w:lang w:val="es-ES"/>
        </w:rPr>
        <w:t>indirectos</w:t>
      </w:r>
      <w:r w:rsidRPr="001E3899">
        <w:rPr>
          <w:rFonts w:ascii="Verdana" w:hAnsi="Verdana" w:cs="Arial"/>
          <w:sz w:val="16"/>
          <w:szCs w:val="16"/>
          <w:lang w:val="es-ES"/>
        </w:rPr>
        <w:t xml:space="preserve">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footnote>
  <w:footnote w:id="11">
    <w:p w14:paraId="08A486E4" w14:textId="77777777" w:rsidR="00A96C6F" w:rsidRPr="001E3899" w:rsidRDefault="00A96C6F" w:rsidP="00A96C6F">
      <w:pPr>
        <w:pStyle w:val="Textonotapie"/>
        <w:snapToGrid w:val="0"/>
        <w:ind w:firstLine="709"/>
        <w:contextualSpacing/>
        <w:jc w:val="both"/>
        <w:rPr>
          <w:rFonts w:ascii="Verdana" w:hAnsi="Verdana" w:cs="Arial"/>
          <w:sz w:val="16"/>
          <w:szCs w:val="16"/>
        </w:rPr>
      </w:pPr>
      <w:r w:rsidRPr="001E3899">
        <w:rPr>
          <w:rStyle w:val="Refdenotaalpie"/>
          <w:rFonts w:ascii="Verdana" w:hAnsi="Verdana" w:cs="Arial"/>
          <w:sz w:val="16"/>
          <w:szCs w:val="16"/>
        </w:rPr>
        <w:footnoteRef/>
      </w:r>
      <w:r w:rsidRPr="001E3899">
        <w:rPr>
          <w:rFonts w:ascii="Verdana" w:hAnsi="Verdana" w:cs="Arial"/>
          <w:sz w:val="16"/>
          <w:szCs w:val="16"/>
        </w:rPr>
        <w:t xml:space="preserve"> Consejo de Estado. Sección Tercera. Subsección B. Sentencia del 14 de octubre de 2011. Exp. 20811, C.P. Ruth Stella Correa Palacio.</w:t>
      </w:r>
    </w:p>
  </w:footnote>
  <w:footnote w:id="12">
    <w:p w14:paraId="2AD78078" w14:textId="77777777" w:rsidR="00A96C6F" w:rsidRPr="001E3899" w:rsidRDefault="00A96C6F" w:rsidP="00A96C6F">
      <w:pPr>
        <w:pStyle w:val="Textonotapie"/>
        <w:snapToGrid w:val="0"/>
        <w:ind w:firstLine="708"/>
        <w:contextualSpacing/>
        <w:jc w:val="both"/>
        <w:rPr>
          <w:rFonts w:ascii="Verdana" w:hAnsi="Verdana" w:cs="Arial"/>
          <w:sz w:val="16"/>
          <w:szCs w:val="16"/>
          <w:lang w:val="es-ES"/>
        </w:rPr>
      </w:pPr>
      <w:r w:rsidRPr="001E3899">
        <w:rPr>
          <w:rStyle w:val="Refdenotaalpie"/>
          <w:rFonts w:ascii="Verdana" w:hAnsi="Verdana" w:cs="Arial"/>
          <w:sz w:val="16"/>
          <w:szCs w:val="16"/>
        </w:rPr>
        <w:footnoteRef/>
      </w:r>
      <w:r w:rsidRPr="001E3899">
        <w:rPr>
          <w:rFonts w:ascii="Verdana" w:hAnsi="Verdana" w:cs="Arial"/>
          <w:sz w:val="16"/>
          <w:szCs w:val="16"/>
        </w:rPr>
        <w:t xml:space="preserve"> Frente a ello, esta Agencia en respuesta a consulta del 27 de septiembre de 2017, indicó, </w:t>
      </w:r>
      <w:r w:rsidRPr="001E3899">
        <w:rPr>
          <w:rFonts w:ascii="Verdana" w:eastAsia="Calibri" w:hAnsi="Verdana" w:cs="Arial"/>
          <w:sz w:val="16"/>
          <w:szCs w:val="16"/>
        </w:rPr>
        <w:t>“</w:t>
      </w:r>
      <w:r w:rsidRPr="001E3899">
        <w:rPr>
          <w:rFonts w:ascii="Verdana" w:hAnsi="Verdana" w:cs="Arial"/>
          <w:sz w:val="16"/>
          <w:szCs w:val="16"/>
        </w:rPr>
        <w:t>en los concursos de méritos no es obligatorio aplicar el factor multiplicador debido a que no existe norma vigente que lo haya previsto de manera expresa en la forma de pago de los contratos de consultoría y/o interventoría. Pero es viable jurídicamente utilizar el factor multiplicador como fórmula para la determinación de los costos del contrato, caso en el cual, el contratista debe demostrar el gasto de todos los componentes de costo que se tuvieron en cuenta para determinarlo</w:t>
      </w:r>
      <w:r w:rsidRPr="001E3899">
        <w:rPr>
          <w:rFonts w:ascii="Verdana" w:eastAsia="Calibri" w:hAnsi="Verdana" w:cs="Arial"/>
          <w:sz w:val="16"/>
          <w:szCs w:val="16"/>
        </w:rPr>
        <w:t>”</w:t>
      </w:r>
      <w:r w:rsidRPr="001E3899">
        <w:rPr>
          <w:rFonts w:ascii="Verdana" w:hAnsi="Verdana" w:cs="Arial"/>
          <w:sz w:val="16"/>
          <w:szCs w:val="16"/>
        </w:rPr>
        <w:t xml:space="preserve"> </w:t>
      </w:r>
      <w:r w:rsidRPr="001E3899">
        <w:rPr>
          <w:rFonts w:ascii="Verdana" w:hAnsi="Verdana" w:cs="Arial"/>
          <w:sz w:val="16"/>
          <w:szCs w:val="16"/>
          <w:lang w:val="es-ES"/>
        </w:rPr>
        <w:t>Radicación: Respuesta a consulta #4201714000006240 Temas: Contrato de consultoría Tipo de asunto consultado: Cómo se aplica y evalúa el factor multiplicador.</w:t>
      </w:r>
    </w:p>
  </w:footnote>
  <w:footnote w:id="13">
    <w:p w14:paraId="28683271" w14:textId="77777777" w:rsidR="00A96C6F" w:rsidRPr="001E3899" w:rsidRDefault="00A96C6F" w:rsidP="00A96C6F">
      <w:pPr>
        <w:pStyle w:val="Textonotapie"/>
        <w:snapToGrid w:val="0"/>
        <w:ind w:firstLine="708"/>
        <w:contextualSpacing/>
        <w:jc w:val="both"/>
        <w:rPr>
          <w:rFonts w:ascii="Verdana" w:hAnsi="Verdana" w:cs="Arial"/>
          <w:sz w:val="16"/>
          <w:szCs w:val="16"/>
          <w:lang w:val="es-ES"/>
        </w:rPr>
      </w:pPr>
      <w:r w:rsidRPr="001E3899">
        <w:rPr>
          <w:rStyle w:val="Refdenotaalpie"/>
          <w:rFonts w:ascii="Verdana" w:hAnsi="Verdana" w:cs="Arial"/>
          <w:sz w:val="16"/>
          <w:szCs w:val="16"/>
        </w:rPr>
        <w:footnoteRef/>
      </w:r>
      <w:r w:rsidRPr="001E3899">
        <w:rPr>
          <w:rFonts w:ascii="Verdana" w:hAnsi="Verdana" w:cs="Arial"/>
          <w:sz w:val="16"/>
          <w:szCs w:val="16"/>
        </w:rPr>
        <w:t xml:space="preserve"> </w:t>
      </w:r>
      <w:r w:rsidRPr="001E3899">
        <w:rPr>
          <w:rFonts w:ascii="Verdana" w:hAnsi="Verdana" w:cs="Arial"/>
          <w:sz w:val="16"/>
          <w:szCs w:val="16"/>
          <w:lang w:val="es-ES"/>
        </w:rPr>
        <w:t>MARÍN CORTÉS, Op. Cit., pp. 64-65.</w:t>
      </w:r>
    </w:p>
  </w:footnote>
  <w:footnote w:id="14">
    <w:p w14:paraId="4063F164" w14:textId="77777777" w:rsidR="00A96C6F" w:rsidRPr="007B00B2" w:rsidRDefault="00A96C6F" w:rsidP="00A96C6F">
      <w:pPr>
        <w:pStyle w:val="Textonotapie"/>
        <w:snapToGrid w:val="0"/>
        <w:ind w:firstLine="708"/>
        <w:contextualSpacing/>
        <w:jc w:val="both"/>
        <w:rPr>
          <w:rFonts w:ascii="Verdana" w:hAnsi="Verdana"/>
          <w:sz w:val="16"/>
          <w:szCs w:val="16"/>
          <w:lang w:val="es-CO"/>
        </w:rPr>
      </w:pPr>
      <w:r w:rsidRPr="001E3899">
        <w:rPr>
          <w:rStyle w:val="Refdenotaalpie"/>
          <w:rFonts w:ascii="Verdana" w:hAnsi="Verdana"/>
          <w:sz w:val="16"/>
          <w:szCs w:val="16"/>
        </w:rPr>
        <w:footnoteRef/>
      </w:r>
      <w:r w:rsidRPr="001E3899">
        <w:rPr>
          <w:rFonts w:ascii="Verdana" w:hAnsi="Verdana"/>
          <w:sz w:val="16"/>
          <w:szCs w:val="16"/>
        </w:rPr>
        <w:t xml:space="preserve"> Ley 80 de 1993, Artículo 13: “L</w:t>
      </w:r>
      <w:r w:rsidRPr="001E3899">
        <w:rPr>
          <w:rFonts w:ascii="Verdana" w:hAnsi="Verdana"/>
          <w:sz w:val="16"/>
          <w:szCs w:val="16"/>
          <w:lang w:val="es-CO"/>
        </w:rPr>
        <w:t>os contratos que celebren las entidades a que se refiere el artículo 2 del presente estatuto se regirán por las disposiciones comerciales y civiles pertinentes, salvo en las materias particularmente reguladas en esta Ley […]”.</w:t>
      </w:r>
    </w:p>
  </w:footnote>
  <w:footnote w:id="15">
    <w:p w14:paraId="55306916" w14:textId="77777777" w:rsidR="00A96C6F" w:rsidRPr="001E3899" w:rsidRDefault="00A96C6F" w:rsidP="00A96C6F">
      <w:pPr>
        <w:pStyle w:val="Textonotapie"/>
        <w:snapToGrid w:val="0"/>
        <w:ind w:firstLine="708"/>
        <w:contextualSpacing/>
        <w:jc w:val="both"/>
        <w:rPr>
          <w:rFonts w:ascii="Verdana" w:hAnsi="Verdana"/>
          <w:sz w:val="16"/>
          <w:szCs w:val="16"/>
          <w:lang w:val="es-ES"/>
        </w:rPr>
      </w:pPr>
      <w:r w:rsidRPr="001E3899">
        <w:rPr>
          <w:rStyle w:val="Refdenotaalpie"/>
          <w:rFonts w:ascii="Verdana" w:hAnsi="Verdana"/>
          <w:sz w:val="16"/>
          <w:szCs w:val="16"/>
        </w:rPr>
        <w:footnoteRef/>
      </w:r>
      <w:r w:rsidRPr="001E3899">
        <w:rPr>
          <w:rFonts w:ascii="Verdana" w:hAnsi="Verdana"/>
          <w:sz w:val="16"/>
          <w:szCs w:val="16"/>
        </w:rPr>
        <w:t xml:space="preserve"> Ley 80 de 1993. Artículo </w:t>
      </w:r>
      <w:bookmarkStart w:id="1" w:name="BM32"/>
      <w:bookmarkStart w:id="2" w:name="32"/>
      <w:bookmarkEnd w:id="1"/>
      <w:bookmarkEnd w:id="2"/>
      <w:r w:rsidRPr="001E3899">
        <w:rPr>
          <w:rFonts w:ascii="Verdana" w:hAnsi="Verdana"/>
          <w:sz w:val="16"/>
          <w:szCs w:val="16"/>
        </w:rPr>
        <w:t>32: “</w:t>
      </w:r>
      <w:r w:rsidRPr="001E3899">
        <w:rPr>
          <w:rFonts w:ascii="Verdana" w:hAnsi="Verdana"/>
          <w:sz w:val="16"/>
          <w:szCs w:val="16"/>
          <w:lang w:val="es-CO"/>
        </w:rPr>
        <w:t>Son contratos estatales todos los actos jurídicos generadores de obligaciones que celebren las entidades a que se refiere el presente estatuto, previstos en el derecho privado o en disposiciones especiales, o derivados del ejercicio de la autonomía de la voluntad, así como los que, a título enunciativo, se definen a continuación […]”</w:t>
      </w:r>
    </w:p>
  </w:footnote>
  <w:footnote w:id="16">
    <w:p w14:paraId="3D3C5014" w14:textId="77777777" w:rsidR="00A96C6F" w:rsidRPr="001E3899" w:rsidRDefault="00A96C6F" w:rsidP="00A96C6F">
      <w:pPr>
        <w:pStyle w:val="Textonotapie"/>
        <w:snapToGrid w:val="0"/>
        <w:ind w:firstLine="708"/>
        <w:contextualSpacing/>
        <w:jc w:val="both"/>
        <w:rPr>
          <w:rFonts w:ascii="Arial" w:hAnsi="Arial" w:cs="Arial"/>
          <w:color w:val="000000" w:themeColor="text1"/>
          <w:sz w:val="16"/>
          <w:szCs w:val="16"/>
        </w:rPr>
      </w:pPr>
    </w:p>
    <w:p w14:paraId="4DD8D5FF" w14:textId="77777777" w:rsidR="00A96C6F" w:rsidRPr="001E3899" w:rsidRDefault="00A96C6F" w:rsidP="00A96C6F">
      <w:pPr>
        <w:snapToGrid w:val="0"/>
        <w:spacing w:after="0" w:line="240" w:lineRule="auto"/>
        <w:ind w:firstLine="708"/>
        <w:contextualSpacing/>
        <w:jc w:val="both"/>
        <w:rPr>
          <w:rFonts w:ascii="Arial" w:hAnsi="Arial" w:cs="Arial"/>
          <w:sz w:val="16"/>
          <w:szCs w:val="16"/>
        </w:rPr>
      </w:pPr>
      <w:r w:rsidRPr="001E3899">
        <w:rPr>
          <w:rStyle w:val="Refdenotaalpie"/>
          <w:rFonts w:ascii="Arial" w:hAnsi="Arial" w:cs="Arial"/>
          <w:color w:val="000000" w:themeColor="text1"/>
          <w:sz w:val="16"/>
          <w:szCs w:val="16"/>
        </w:rPr>
        <w:footnoteRef/>
      </w:r>
      <w:r w:rsidRPr="001E3899">
        <w:rPr>
          <w:rFonts w:ascii="Arial" w:hAnsi="Arial" w:cs="Arial"/>
          <w:color w:val="000000" w:themeColor="text1"/>
          <w:sz w:val="16"/>
          <w:szCs w:val="16"/>
        </w:rPr>
        <w:t xml:space="preserve"> Lo anterior, sin perjuicio de lo prescrito por la Ley 1474 de 2011, que en su artículo 85, como se explicará, en relación con los contratos de interventoría, excepciona la aplicación de la restricción analizada, de manera que podrán adicionarse sin importar su monto.</w:t>
      </w:r>
    </w:p>
    <w:p w14:paraId="12968376" w14:textId="77777777" w:rsidR="00A96C6F" w:rsidRPr="001E3899" w:rsidRDefault="00A96C6F" w:rsidP="00A96C6F">
      <w:pPr>
        <w:pStyle w:val="Textonotapie"/>
        <w:snapToGrid w:val="0"/>
        <w:contextualSpacing/>
        <w:jc w:val="both"/>
        <w:rPr>
          <w:rFonts w:ascii="Arial" w:hAnsi="Arial" w:cs="Arial"/>
          <w:sz w:val="16"/>
          <w:szCs w:val="16"/>
          <w:lang w:val="es-ES"/>
        </w:rPr>
      </w:pPr>
    </w:p>
  </w:footnote>
  <w:footnote w:id="17">
    <w:p w14:paraId="333E07F4" w14:textId="77777777" w:rsidR="00A96C6F" w:rsidRPr="001E3899" w:rsidRDefault="00A96C6F" w:rsidP="00A96C6F">
      <w:pPr>
        <w:pStyle w:val="Textonotapie"/>
        <w:snapToGrid w:val="0"/>
        <w:ind w:firstLine="708"/>
        <w:contextualSpacing/>
        <w:jc w:val="both"/>
        <w:rPr>
          <w:rFonts w:ascii="Arial" w:hAnsi="Arial" w:cs="Arial"/>
          <w:sz w:val="16"/>
          <w:szCs w:val="16"/>
          <w:lang w:val="es-ES"/>
        </w:rPr>
      </w:pPr>
      <w:r w:rsidRPr="001E3899">
        <w:rPr>
          <w:rStyle w:val="Refdenotaalpie"/>
          <w:rFonts w:ascii="Arial" w:hAnsi="Arial" w:cs="Arial"/>
          <w:sz w:val="16"/>
          <w:szCs w:val="16"/>
        </w:rPr>
        <w:footnoteRef/>
      </w:r>
      <w:r w:rsidRPr="001E3899">
        <w:rPr>
          <w:rFonts w:ascii="Arial" w:hAnsi="Arial" w:cs="Arial"/>
          <w:sz w:val="16"/>
          <w:szCs w:val="16"/>
        </w:rPr>
        <w:t xml:space="preserve"> </w:t>
      </w:r>
      <w:r w:rsidRPr="001E3899">
        <w:rPr>
          <w:rFonts w:ascii="Arial" w:hAnsi="Arial" w:cs="Arial"/>
          <w:sz w:val="16"/>
          <w:szCs w:val="16"/>
          <w:lang w:val="es-ES"/>
        </w:rPr>
        <w:t xml:space="preserve">MATALLANA CAMACHO, Ernesto. Manual de contratación de la administración pública: reforma de la Ley 80 de 1993. 4ª edición. Bogotá: Universidad Externado de Colombia, 2015. p. 971 </w:t>
      </w:r>
    </w:p>
    <w:p w14:paraId="6DC3FD6B" w14:textId="77777777" w:rsidR="00A96C6F" w:rsidRPr="001E3899" w:rsidRDefault="00A96C6F" w:rsidP="00A96C6F">
      <w:pPr>
        <w:pStyle w:val="Textonotapie"/>
        <w:snapToGrid w:val="0"/>
        <w:ind w:firstLine="708"/>
        <w:contextualSpacing/>
        <w:jc w:val="both"/>
        <w:rPr>
          <w:rFonts w:ascii="Arial" w:hAnsi="Arial" w:cs="Arial"/>
          <w:sz w:val="16"/>
          <w:szCs w:val="16"/>
          <w:lang w:val="es-ES"/>
        </w:rPr>
      </w:pPr>
    </w:p>
  </w:footnote>
  <w:footnote w:id="18">
    <w:p w14:paraId="12DDF3A6" w14:textId="77777777" w:rsidR="00A96C6F" w:rsidRPr="001E3899" w:rsidRDefault="00A96C6F" w:rsidP="00A96C6F">
      <w:pPr>
        <w:pStyle w:val="Textonotapie"/>
        <w:snapToGrid w:val="0"/>
        <w:ind w:firstLine="708"/>
        <w:contextualSpacing/>
        <w:jc w:val="both"/>
        <w:rPr>
          <w:rFonts w:ascii="Verdana" w:hAnsi="Verdana"/>
          <w:sz w:val="16"/>
          <w:szCs w:val="16"/>
          <w:lang w:val="pt-BR"/>
        </w:rPr>
      </w:pPr>
      <w:r w:rsidRPr="001E3899">
        <w:rPr>
          <w:rStyle w:val="Refdenotaalpie"/>
          <w:rFonts w:ascii="Verdana" w:hAnsi="Verdana"/>
          <w:sz w:val="16"/>
          <w:szCs w:val="16"/>
        </w:rPr>
        <w:footnoteRef/>
      </w:r>
      <w:r w:rsidRPr="001E3899">
        <w:rPr>
          <w:rFonts w:ascii="Verdana" w:hAnsi="Verdana"/>
          <w:sz w:val="16"/>
          <w:szCs w:val="16"/>
          <w:lang w:val="pt-BR"/>
        </w:rPr>
        <w:t xml:space="preserve"> Corte Constitucional. Sentencia C-300 de 2012. M.P: Jorge Ignacio Pretelt Chaljub. </w:t>
      </w:r>
    </w:p>
    <w:p w14:paraId="67D8F1DB" w14:textId="77777777" w:rsidR="00A96C6F" w:rsidRPr="001E3899" w:rsidRDefault="00A96C6F" w:rsidP="00A96C6F">
      <w:pPr>
        <w:pStyle w:val="Textonotapie"/>
        <w:snapToGrid w:val="0"/>
        <w:ind w:firstLine="708"/>
        <w:contextualSpacing/>
        <w:jc w:val="both"/>
        <w:rPr>
          <w:rFonts w:ascii="Verdana" w:hAnsi="Verdana"/>
          <w:sz w:val="16"/>
          <w:szCs w:val="16"/>
          <w:lang w:val="pt-BR"/>
        </w:rPr>
      </w:pPr>
    </w:p>
  </w:footnote>
  <w:footnote w:id="19">
    <w:p w14:paraId="08C35480" w14:textId="77777777" w:rsidR="00A96C6F" w:rsidRPr="001E3899" w:rsidRDefault="00A96C6F" w:rsidP="00A96C6F">
      <w:pPr>
        <w:pStyle w:val="Textonotapie"/>
        <w:snapToGrid w:val="0"/>
        <w:ind w:firstLine="708"/>
        <w:contextualSpacing/>
        <w:jc w:val="both"/>
        <w:rPr>
          <w:rFonts w:ascii="Verdana" w:hAnsi="Verdana"/>
          <w:sz w:val="16"/>
          <w:szCs w:val="16"/>
        </w:rPr>
      </w:pPr>
      <w:r w:rsidRPr="001E3899">
        <w:rPr>
          <w:rStyle w:val="Refdenotaalpie"/>
          <w:rFonts w:ascii="Verdana" w:hAnsi="Verdana"/>
          <w:sz w:val="16"/>
          <w:szCs w:val="16"/>
        </w:rPr>
        <w:footnoteRef/>
      </w:r>
      <w:r w:rsidRPr="001E3899">
        <w:rPr>
          <w:rFonts w:ascii="Verdana" w:hAnsi="Verdana"/>
          <w:sz w:val="16"/>
          <w:szCs w:val="16"/>
        </w:rPr>
        <w:t xml:space="preserve"> Sobre la naturaleza instrumental del contrato para alcanzar los fines propios del estado social de derecho, ver la sentencia C-932 de 2007, M.P: Marco Gerardo Monroy Cabra.</w:t>
      </w:r>
    </w:p>
  </w:footnote>
  <w:footnote w:id="20">
    <w:p w14:paraId="488D623B" w14:textId="77777777" w:rsidR="00A96C6F" w:rsidRPr="001E3899" w:rsidRDefault="00A96C6F" w:rsidP="00A96C6F">
      <w:pPr>
        <w:pStyle w:val="Textonotapie"/>
        <w:snapToGrid w:val="0"/>
        <w:ind w:firstLine="708"/>
        <w:contextualSpacing/>
        <w:jc w:val="both"/>
        <w:rPr>
          <w:rFonts w:ascii="Verdana" w:hAnsi="Verdana"/>
          <w:sz w:val="16"/>
          <w:szCs w:val="16"/>
        </w:rPr>
      </w:pPr>
      <w:r w:rsidRPr="001E3899">
        <w:rPr>
          <w:rStyle w:val="Refdenotaalpie"/>
          <w:rFonts w:ascii="Verdana" w:hAnsi="Verdana"/>
          <w:sz w:val="16"/>
          <w:szCs w:val="16"/>
        </w:rPr>
        <w:footnoteRef/>
      </w:r>
      <w:r w:rsidRPr="001E3899">
        <w:rPr>
          <w:rFonts w:ascii="Verdana" w:hAnsi="Verdana"/>
          <w:sz w:val="16"/>
          <w:szCs w:val="16"/>
        </w:rPr>
        <w:t xml:space="preserve"> M.P: Clara Inés Vargas Hernández.</w:t>
      </w:r>
    </w:p>
  </w:footnote>
  <w:footnote w:id="21">
    <w:p w14:paraId="72FE3FF5" w14:textId="77777777" w:rsidR="00A96C6F" w:rsidRPr="00F53971" w:rsidRDefault="00A96C6F" w:rsidP="00A96C6F">
      <w:pPr>
        <w:pStyle w:val="Textonotapie"/>
        <w:snapToGrid w:val="0"/>
        <w:ind w:firstLine="708"/>
        <w:contextualSpacing/>
        <w:jc w:val="both"/>
        <w:rPr>
          <w:rFonts w:ascii="Verdana" w:hAnsi="Verdana"/>
          <w:sz w:val="16"/>
          <w:szCs w:val="16"/>
          <w:lang w:val="es-CO"/>
        </w:rPr>
      </w:pPr>
      <w:r w:rsidRPr="001E3899">
        <w:rPr>
          <w:rStyle w:val="Refdenotaalpie"/>
          <w:rFonts w:ascii="Verdana" w:hAnsi="Verdana"/>
          <w:sz w:val="16"/>
          <w:szCs w:val="16"/>
        </w:rPr>
        <w:footnoteRef/>
      </w:r>
      <w:r w:rsidRPr="001E3899">
        <w:rPr>
          <w:rFonts w:ascii="Verdana" w:hAnsi="Verdana"/>
          <w:sz w:val="16"/>
          <w:szCs w:val="16"/>
        </w:rPr>
        <w:t xml:space="preserve"> Ver también la sentencia C-068 de 2009, M.P: Mauricio González Cuervo</w:t>
      </w:r>
      <w:r w:rsidRPr="001E3899">
        <w:rPr>
          <w:rFonts w:ascii="Verdana" w:hAnsi="Verdana"/>
          <w:b/>
          <w:sz w:val="16"/>
          <w:szCs w:val="16"/>
        </w:rPr>
        <w:t xml:space="preserve">, </w:t>
      </w:r>
      <w:r w:rsidRPr="001E3899">
        <w:rPr>
          <w:rFonts w:ascii="Verdana" w:hAnsi="Verdana"/>
          <w:sz w:val="16"/>
          <w:szCs w:val="16"/>
        </w:rPr>
        <w:t>sobre la constitucional</w:t>
      </w:r>
      <w:r w:rsidRPr="001E3899">
        <w:rPr>
          <w:rFonts w:ascii="Verdana" w:hAnsi="Verdana"/>
          <w:b/>
          <w:sz w:val="16"/>
          <w:szCs w:val="16"/>
        </w:rPr>
        <w:t xml:space="preserve"> </w:t>
      </w:r>
      <w:r w:rsidRPr="001E3899">
        <w:rPr>
          <w:rFonts w:ascii="Verdana" w:hAnsi="Verdana"/>
          <w:sz w:val="16"/>
          <w:szCs w:val="16"/>
          <w:lang w:val="es-CO"/>
        </w:rPr>
        <w:t>de la posibilidad de prorrogar los contratos de concesión portuaria (artículo 8º de la ley 1º de 1991).</w:t>
      </w:r>
    </w:p>
  </w:footnote>
  <w:footnote w:id="22">
    <w:p w14:paraId="1EE881A2" w14:textId="77777777" w:rsidR="00A96C6F" w:rsidRPr="001E3899" w:rsidRDefault="00A96C6F" w:rsidP="00A96C6F">
      <w:pPr>
        <w:pStyle w:val="Textonotapie"/>
        <w:snapToGrid w:val="0"/>
        <w:ind w:firstLine="708"/>
        <w:contextualSpacing/>
        <w:jc w:val="both"/>
        <w:rPr>
          <w:rFonts w:ascii="Verdana" w:hAnsi="Verdana"/>
          <w:sz w:val="16"/>
          <w:szCs w:val="16"/>
        </w:rPr>
      </w:pPr>
      <w:r w:rsidRPr="001E3899">
        <w:rPr>
          <w:rStyle w:val="Refdenotaalpie"/>
          <w:rFonts w:ascii="Verdana" w:hAnsi="Verdana"/>
          <w:sz w:val="16"/>
          <w:szCs w:val="16"/>
        </w:rPr>
        <w:footnoteRef/>
      </w:r>
      <w:r w:rsidRPr="001E3899">
        <w:rPr>
          <w:rFonts w:ascii="Verdana" w:hAnsi="Verdana"/>
          <w:sz w:val="16"/>
          <w:szCs w:val="16"/>
        </w:rPr>
        <w:t xml:space="preserve"> Esta clasificación es tomada de la literatura del análisis económico del derecho. </w:t>
      </w:r>
      <w:r w:rsidRPr="001E3899">
        <w:rPr>
          <w:rFonts w:ascii="Verdana" w:hAnsi="Verdana"/>
          <w:sz w:val="16"/>
          <w:szCs w:val="16"/>
          <w:lang w:val="en-US"/>
        </w:rPr>
        <w:t>Ver WILLIAMSON, Oliver E. “Transaction-Cost Economics: The Governance of Contractual Relations”. En: Journal of Law and Economics, Vol. 22, No. 2 (</w:t>
      </w:r>
      <w:proofErr w:type="gramStart"/>
      <w:r w:rsidRPr="001E3899">
        <w:rPr>
          <w:rFonts w:ascii="Verdana" w:hAnsi="Verdana"/>
          <w:sz w:val="16"/>
          <w:szCs w:val="16"/>
          <w:lang w:val="en-US"/>
        </w:rPr>
        <w:t>Oct,</w:t>
      </w:r>
      <w:proofErr w:type="gramEnd"/>
      <w:r w:rsidRPr="001E3899">
        <w:rPr>
          <w:rFonts w:ascii="Verdana" w:hAnsi="Verdana"/>
          <w:sz w:val="16"/>
          <w:szCs w:val="16"/>
          <w:lang w:val="en-US"/>
        </w:rPr>
        <w:t xml:space="preserve"> 1979), pp. 233-261. SHAVELL, Steven. “Foundations of Economic Analysis of Law”. Harvard University Press, 2004. </w:t>
      </w:r>
      <w:r w:rsidRPr="001E3899">
        <w:rPr>
          <w:rFonts w:ascii="Verdana" w:hAnsi="Verdana"/>
          <w:sz w:val="16"/>
          <w:szCs w:val="16"/>
        </w:rPr>
        <w:t>Dentro de esta literatura, también se señalan como causas de los contratos incompletos, (i) los altos costos de estructuración del contrato, esto es, las altas inversiones que deben realizar las partes para prever las contingencias y diseñar remedios; cuando tales costos exceden los beneficios esperados por las partes, estas últimas pueden optar por celebrar contratos incompletos y dejar por fuera, por ejemplo, previsiones o cláusulas relacionadas con contingencias de baja probabilidad. (ii) Los altos costos de hacer cumplir ciertas cláusulas, y (iii) la dificultad posterior de probar en sede judicial la ocurrencia de ciertas contingencias o variables, entre otras. Vale la pena mencionar que por estas razones la mayoría de los contratos tienden a ser incompletos.</w:t>
      </w:r>
    </w:p>
  </w:footnote>
  <w:footnote w:id="23">
    <w:p w14:paraId="58C1DF6B" w14:textId="77777777" w:rsidR="00A96C6F" w:rsidRPr="001E3899" w:rsidRDefault="00A96C6F" w:rsidP="00A96C6F">
      <w:pPr>
        <w:pStyle w:val="Textonotapie"/>
        <w:snapToGrid w:val="0"/>
        <w:ind w:firstLine="708"/>
        <w:contextualSpacing/>
        <w:jc w:val="both"/>
        <w:rPr>
          <w:rFonts w:ascii="Verdana" w:hAnsi="Verdana" w:cs="Arial"/>
          <w:sz w:val="16"/>
          <w:szCs w:val="16"/>
        </w:rPr>
      </w:pPr>
      <w:r w:rsidRPr="001E3899">
        <w:rPr>
          <w:rStyle w:val="Refdenotaalpie"/>
          <w:rFonts w:ascii="Verdana" w:hAnsi="Verdana" w:cs="Arial"/>
          <w:sz w:val="16"/>
          <w:szCs w:val="16"/>
        </w:rPr>
        <w:footnoteRef/>
      </w:r>
      <w:r w:rsidRPr="001E3899">
        <w:rPr>
          <w:rFonts w:ascii="Verdana" w:hAnsi="Verdana" w:cs="Arial"/>
          <w:sz w:val="16"/>
          <w:szCs w:val="16"/>
        </w:rPr>
        <w:t xml:space="preserve"> </w:t>
      </w:r>
      <w:r w:rsidRPr="001E3899">
        <w:rPr>
          <w:rFonts w:ascii="Verdana" w:hAnsi="Verdana" w:cs="Arial"/>
          <w:i/>
          <w:sz w:val="16"/>
          <w:szCs w:val="16"/>
        </w:rPr>
        <w:t xml:space="preserve">Cfr. </w:t>
      </w:r>
      <w:r w:rsidRPr="001E3899">
        <w:rPr>
          <w:rFonts w:ascii="Verdana" w:hAnsi="Verdana" w:cs="Arial"/>
          <w:sz w:val="16"/>
          <w:szCs w:val="16"/>
        </w:rPr>
        <w:t>Consejo de Estado. Sala de Consulta y Servicio Civil. Concepto del 13 de agosto de 2009. Radicado: 11001-03-06-000-2009-00033-00 (</w:t>
      </w:r>
      <w:r w:rsidRPr="001E3899">
        <w:rPr>
          <w:rFonts w:ascii="Verdana" w:hAnsi="Verdana" w:cs="Arial"/>
          <w:bCs/>
          <w:sz w:val="16"/>
          <w:szCs w:val="16"/>
        </w:rPr>
        <w:t>1952), C.P. Enrique José Arboleda Perdomo. En este concepto la Sala de Consulta se ocupó, entre otras preguntas, de la siguiente formulada por el Ministerio de Transporte: “</w:t>
      </w:r>
      <w:r w:rsidRPr="001E3899">
        <w:rPr>
          <w:rFonts w:ascii="Verdana" w:hAnsi="Verdana" w:cs="Arial"/>
          <w:bCs/>
          <w:iCs/>
          <w:sz w:val="16"/>
          <w:szCs w:val="16"/>
          <w:lang w:val="es-ES_tradnl"/>
        </w:rPr>
        <w:t>1. ¿Bajo el supuesto lo que en un contrato de concesión existan razones de conveniencia que permitan una mejora del objeto contratado y una mejor prestación del servicio público encomendado a la entidad estatal contratante, es posible, por fuera de lo dispuesto en el artículo 16 de la Ley 80 de 1993 y en caso de que las partes hubieran pactado una modificación de común acuerdo desde la licitación, acudir a tal previsión y modificar el contrato, teniendo en cuenta, además, que con la modificación se busca un efectivo cumplimiento de los fines estatales y una eficiente prestación de los servicios públicos?”.</w:t>
      </w:r>
    </w:p>
  </w:footnote>
  <w:footnote w:id="24">
    <w:p w14:paraId="20A4F539" w14:textId="77777777" w:rsidR="00A96C6F" w:rsidRPr="001E3899" w:rsidRDefault="00A96C6F" w:rsidP="00A96C6F">
      <w:pPr>
        <w:pStyle w:val="Textonotapie"/>
        <w:snapToGrid w:val="0"/>
        <w:ind w:firstLine="708"/>
        <w:contextualSpacing/>
        <w:jc w:val="both"/>
        <w:rPr>
          <w:rFonts w:ascii="Verdana" w:hAnsi="Verdana" w:cs="Arial"/>
          <w:bCs/>
          <w:iCs/>
          <w:sz w:val="16"/>
          <w:szCs w:val="16"/>
          <w:lang w:val="es-ES_tradnl"/>
        </w:rPr>
      </w:pPr>
      <w:r w:rsidRPr="001E3899">
        <w:rPr>
          <w:rStyle w:val="Refdenotaalpie"/>
          <w:rFonts w:ascii="Verdana" w:hAnsi="Verdana" w:cs="Arial"/>
          <w:sz w:val="16"/>
          <w:szCs w:val="16"/>
        </w:rPr>
        <w:footnoteRef/>
      </w:r>
      <w:r w:rsidRPr="001E3899">
        <w:rPr>
          <w:rFonts w:ascii="Verdana" w:hAnsi="Verdana" w:cs="Arial"/>
          <w:sz w:val="16"/>
          <w:szCs w:val="16"/>
        </w:rPr>
        <w:t xml:space="preserve"> Los acuerdos de voluntades que no cumplan con esta formalidad se consideran inexistentes, por lo tanto, tal como lo ha planteado el Consejo de Estado en el Concepto 2263 del 17 de marzo del 2017, “las eventuales reclamaciones contractuales que pueda presentar un particular sobre prestaciones realizadas, sin la previa modificación del mismo, están llamadas al fracaso, pues la Administración no puede reconocer situaciones de hecho u obligaciones dinerarias con cargo a un contrato que estipula obligaciones distintas</w:t>
      </w:r>
      <w:r w:rsidRPr="001E3899">
        <w:rPr>
          <w:rFonts w:ascii="Verdana" w:hAnsi="Verdana" w:cs="Arial"/>
          <w:bCs/>
          <w:iCs/>
          <w:sz w:val="16"/>
          <w:szCs w:val="16"/>
          <w:lang w:val="es-ES_tradnl"/>
        </w:rPr>
        <w:t>”.</w:t>
      </w:r>
    </w:p>
  </w:footnote>
  <w:footnote w:id="25">
    <w:p w14:paraId="73604E04" w14:textId="77777777" w:rsidR="00A96C6F" w:rsidRPr="001E3899" w:rsidRDefault="00A96C6F" w:rsidP="00A96C6F">
      <w:pPr>
        <w:pStyle w:val="Textonotapie"/>
        <w:snapToGrid w:val="0"/>
        <w:ind w:firstLine="708"/>
        <w:contextualSpacing/>
        <w:jc w:val="both"/>
        <w:rPr>
          <w:rFonts w:ascii="Verdana" w:hAnsi="Verdana" w:cs="Arial"/>
          <w:sz w:val="16"/>
          <w:szCs w:val="16"/>
          <w:lang w:val="es-CO"/>
        </w:rPr>
      </w:pPr>
      <w:r w:rsidRPr="001E3899">
        <w:rPr>
          <w:rStyle w:val="Refdenotaalpie"/>
          <w:rFonts w:ascii="Verdana" w:hAnsi="Verdana" w:cs="Arial"/>
          <w:sz w:val="16"/>
          <w:szCs w:val="16"/>
        </w:rPr>
        <w:footnoteRef/>
      </w:r>
      <w:r w:rsidRPr="001E3899">
        <w:rPr>
          <w:rFonts w:ascii="Verdana" w:hAnsi="Verdana" w:cs="Arial"/>
          <w:sz w:val="16"/>
          <w:szCs w:val="16"/>
        </w:rPr>
        <w:t xml:space="preserve"> Ibídem.</w:t>
      </w:r>
    </w:p>
  </w:footnote>
  <w:footnote w:id="26">
    <w:p w14:paraId="509DE624" w14:textId="77777777" w:rsidR="00A96C6F" w:rsidRPr="001E3899" w:rsidRDefault="00A96C6F" w:rsidP="00A96C6F">
      <w:pPr>
        <w:snapToGrid w:val="0"/>
        <w:spacing w:after="0" w:line="240" w:lineRule="auto"/>
        <w:ind w:firstLine="708"/>
        <w:contextualSpacing/>
        <w:jc w:val="both"/>
        <w:rPr>
          <w:rFonts w:ascii="Verdana" w:hAnsi="Verdana"/>
          <w:sz w:val="16"/>
          <w:szCs w:val="16"/>
        </w:rPr>
      </w:pPr>
      <w:r w:rsidRPr="001E3899">
        <w:rPr>
          <w:rStyle w:val="Refdenotaalpie"/>
          <w:rFonts w:ascii="Verdana" w:hAnsi="Verdana"/>
          <w:sz w:val="16"/>
          <w:szCs w:val="16"/>
        </w:rPr>
        <w:footnoteRef/>
      </w:r>
      <w:r w:rsidRPr="001E3899">
        <w:rPr>
          <w:rFonts w:ascii="Verdana" w:hAnsi="Verdana"/>
          <w:sz w:val="16"/>
          <w:szCs w:val="16"/>
        </w:rPr>
        <w:t xml:space="preserve"> Consejo de Estado. Sala de Consulta y Servicio Civil.</w:t>
      </w:r>
      <w:r w:rsidRPr="001E3899">
        <w:rPr>
          <w:rFonts w:ascii="Verdana" w:hAnsi="Verdana"/>
          <w:i/>
          <w:iCs/>
          <w:sz w:val="16"/>
          <w:szCs w:val="16"/>
        </w:rPr>
        <w:t xml:space="preserve"> </w:t>
      </w:r>
      <w:r w:rsidRPr="001E3899">
        <w:rPr>
          <w:rFonts w:ascii="Verdana" w:hAnsi="Verdana"/>
          <w:sz w:val="16"/>
          <w:szCs w:val="16"/>
        </w:rPr>
        <w:t>Concepto del 06 de junio 2018. Radicado: 2369. C.P: Óscar Darío Amaya Navas.</w:t>
      </w:r>
    </w:p>
  </w:footnote>
  <w:footnote w:id="27">
    <w:p w14:paraId="5492C220" w14:textId="77777777" w:rsidR="00A96C6F" w:rsidRPr="001E3899" w:rsidRDefault="00A96C6F" w:rsidP="00A96C6F">
      <w:pPr>
        <w:pStyle w:val="Textonotapie"/>
        <w:snapToGrid w:val="0"/>
        <w:ind w:firstLine="709"/>
        <w:contextualSpacing/>
        <w:jc w:val="both"/>
        <w:rPr>
          <w:rFonts w:ascii="Verdana" w:hAnsi="Verdana" w:cs="Arial"/>
          <w:sz w:val="16"/>
          <w:szCs w:val="16"/>
          <w:lang w:val="es-ES"/>
        </w:rPr>
      </w:pPr>
      <w:r w:rsidRPr="001E3899">
        <w:rPr>
          <w:rStyle w:val="Refdenotaalpie"/>
          <w:rFonts w:ascii="Verdana" w:hAnsi="Verdana"/>
          <w:sz w:val="16"/>
          <w:szCs w:val="16"/>
        </w:rPr>
        <w:footnoteRef/>
      </w:r>
      <w:r w:rsidRPr="001E3899">
        <w:rPr>
          <w:rFonts w:ascii="Verdana" w:hAnsi="Verdana"/>
          <w:sz w:val="16"/>
          <w:szCs w:val="16"/>
        </w:rPr>
        <w:t xml:space="preserve"> </w:t>
      </w:r>
      <w:r w:rsidRPr="001E3899">
        <w:rPr>
          <w:rFonts w:ascii="Verdana" w:hAnsi="Verdana" w:cs="Arial"/>
          <w:sz w:val="16"/>
          <w:szCs w:val="16"/>
          <w:lang w:val="es-ES"/>
        </w:rPr>
        <w:t>ARTICULO 1530. DEFINICION DE OBLIGACIONES CONDICIONALES. Es obligación condicional la que depende de una condición, esto es, de un acontecimiento futuro, que puede suceder o no.</w:t>
      </w:r>
    </w:p>
    <w:p w14:paraId="1D2E37AB" w14:textId="77777777" w:rsidR="00A96C6F" w:rsidRPr="001E3899" w:rsidRDefault="00A96C6F" w:rsidP="00A96C6F">
      <w:pPr>
        <w:pStyle w:val="Textonotapie"/>
        <w:snapToGrid w:val="0"/>
        <w:ind w:firstLine="709"/>
        <w:contextualSpacing/>
        <w:jc w:val="both"/>
        <w:rPr>
          <w:rFonts w:ascii="Verdana" w:hAnsi="Verdana" w:cs="Arial"/>
          <w:sz w:val="16"/>
          <w:szCs w:val="16"/>
          <w:lang w:val="es-ES"/>
        </w:rPr>
      </w:pPr>
      <w:r w:rsidRPr="001E3899">
        <w:rPr>
          <w:rFonts w:ascii="Verdana" w:hAnsi="Verdana" w:cs="Arial"/>
          <w:sz w:val="16"/>
          <w:szCs w:val="16"/>
          <w:lang w:val="es-ES"/>
        </w:rPr>
        <w:t>ARTICULO 1531. CONDICION POSITIVA O NEGATIVA. La condición es positiva o negativa.</w:t>
      </w:r>
    </w:p>
    <w:p w14:paraId="111A6022" w14:textId="77777777" w:rsidR="00A96C6F" w:rsidRPr="001E3899" w:rsidRDefault="00A96C6F" w:rsidP="00A96C6F">
      <w:pPr>
        <w:pStyle w:val="Textonotapie"/>
        <w:snapToGrid w:val="0"/>
        <w:contextualSpacing/>
        <w:jc w:val="both"/>
        <w:rPr>
          <w:rFonts w:ascii="Verdana" w:hAnsi="Verdana" w:cs="Arial"/>
          <w:sz w:val="16"/>
          <w:szCs w:val="16"/>
          <w:lang w:val="es-ES"/>
        </w:rPr>
      </w:pPr>
      <w:r w:rsidRPr="001E3899">
        <w:rPr>
          <w:rFonts w:ascii="Verdana" w:hAnsi="Verdana" w:cs="Arial"/>
          <w:sz w:val="16"/>
          <w:szCs w:val="16"/>
          <w:lang w:val="es-ES"/>
        </w:rPr>
        <w:t>La positiva consiste en acontecer una cosa; la negativa en que una cosa no acontezca.</w:t>
      </w:r>
    </w:p>
    <w:p w14:paraId="3BE6B6FE" w14:textId="77777777" w:rsidR="00A96C6F" w:rsidRPr="001E3899" w:rsidRDefault="00A96C6F" w:rsidP="00A96C6F">
      <w:pPr>
        <w:pStyle w:val="Textonotapie"/>
        <w:snapToGrid w:val="0"/>
        <w:ind w:firstLine="709"/>
        <w:contextualSpacing/>
        <w:jc w:val="both"/>
        <w:rPr>
          <w:rFonts w:ascii="Verdana" w:hAnsi="Verdana" w:cs="Arial"/>
          <w:sz w:val="16"/>
          <w:szCs w:val="16"/>
          <w:lang w:val="es-ES"/>
        </w:rPr>
      </w:pPr>
      <w:r w:rsidRPr="001E3899">
        <w:rPr>
          <w:rFonts w:ascii="Verdana" w:hAnsi="Verdana" w:cs="Arial"/>
          <w:sz w:val="16"/>
          <w:szCs w:val="16"/>
          <w:lang w:val="es-ES"/>
        </w:rPr>
        <w:t>ARTICULO 1532. POSIBILIDAD Y MORALIDAD DE LAS CONDICIONES POSITIVAS. La condición positiva debe ser física y moralmente posible.</w:t>
      </w:r>
    </w:p>
    <w:p w14:paraId="1D07026C" w14:textId="77777777" w:rsidR="00A96C6F" w:rsidRPr="001E3899" w:rsidRDefault="00A96C6F" w:rsidP="00A96C6F">
      <w:pPr>
        <w:pStyle w:val="Textonotapie"/>
        <w:snapToGrid w:val="0"/>
        <w:ind w:firstLine="708"/>
        <w:contextualSpacing/>
        <w:jc w:val="both"/>
        <w:rPr>
          <w:rFonts w:ascii="Verdana" w:hAnsi="Verdana" w:cs="Arial"/>
          <w:sz w:val="16"/>
          <w:szCs w:val="16"/>
          <w:lang w:val="es-ES"/>
        </w:rPr>
      </w:pPr>
      <w:r w:rsidRPr="001E3899">
        <w:rPr>
          <w:rFonts w:ascii="Verdana" w:hAnsi="Verdana" w:cs="Arial"/>
          <w:sz w:val="16"/>
          <w:szCs w:val="16"/>
          <w:lang w:val="es-ES"/>
        </w:rPr>
        <w:t>Es físicamente imposible la que es contraria a las leyes de la naturaleza física; y moralmente imposible la que consiste en un hecho prohibido por las leyes, o es opuesta a las buenas costumbres o al orden público.</w:t>
      </w:r>
    </w:p>
    <w:p w14:paraId="30F49C09" w14:textId="77777777" w:rsidR="00A96C6F" w:rsidRPr="001E3899" w:rsidRDefault="00A96C6F" w:rsidP="00A96C6F">
      <w:pPr>
        <w:pStyle w:val="Textonotapie"/>
        <w:snapToGrid w:val="0"/>
        <w:ind w:firstLine="708"/>
        <w:contextualSpacing/>
        <w:jc w:val="both"/>
        <w:rPr>
          <w:rFonts w:ascii="Verdana" w:hAnsi="Verdana" w:cs="Arial"/>
          <w:sz w:val="16"/>
          <w:szCs w:val="16"/>
          <w:lang w:val="es-ES"/>
        </w:rPr>
      </w:pPr>
      <w:r w:rsidRPr="001E3899">
        <w:rPr>
          <w:rFonts w:ascii="Verdana" w:hAnsi="Verdana" w:cs="Arial"/>
          <w:sz w:val="16"/>
          <w:szCs w:val="16"/>
          <w:lang w:val="es-ES"/>
        </w:rPr>
        <w:t>Se mirarán también como imposibles las que están concebidas en términos ininteligibles.</w:t>
      </w:r>
    </w:p>
    <w:p w14:paraId="3312E4F4" w14:textId="77777777" w:rsidR="00A96C6F" w:rsidRPr="001E3899" w:rsidRDefault="00A96C6F" w:rsidP="00A96C6F">
      <w:pPr>
        <w:pStyle w:val="Textonotapie"/>
        <w:snapToGrid w:val="0"/>
        <w:ind w:firstLine="709"/>
        <w:contextualSpacing/>
        <w:jc w:val="both"/>
        <w:rPr>
          <w:rFonts w:ascii="Verdana" w:hAnsi="Verdana" w:cs="Arial"/>
          <w:sz w:val="16"/>
          <w:szCs w:val="16"/>
          <w:lang w:val="es-ES"/>
        </w:rPr>
      </w:pPr>
      <w:r w:rsidRPr="001E3899">
        <w:rPr>
          <w:rFonts w:ascii="Verdana" w:hAnsi="Verdana" w:cs="Arial"/>
          <w:sz w:val="16"/>
          <w:szCs w:val="16"/>
          <w:lang w:val="es-ES"/>
        </w:rPr>
        <w:t>[…]</w:t>
      </w:r>
    </w:p>
    <w:p w14:paraId="76E63CC1" w14:textId="77777777" w:rsidR="00A96C6F" w:rsidRPr="001E3899" w:rsidRDefault="00A96C6F" w:rsidP="00A96C6F">
      <w:pPr>
        <w:pStyle w:val="Textonotapie"/>
        <w:snapToGrid w:val="0"/>
        <w:ind w:firstLine="709"/>
        <w:contextualSpacing/>
        <w:jc w:val="both"/>
        <w:rPr>
          <w:rFonts w:ascii="Verdana" w:hAnsi="Verdana" w:cs="Arial"/>
          <w:sz w:val="16"/>
          <w:szCs w:val="16"/>
          <w:lang w:val="es-ES"/>
        </w:rPr>
      </w:pPr>
      <w:r w:rsidRPr="001E3899">
        <w:rPr>
          <w:rFonts w:ascii="Verdana" w:hAnsi="Verdana" w:cs="Arial"/>
          <w:sz w:val="16"/>
          <w:szCs w:val="16"/>
          <w:lang w:val="es-ES"/>
        </w:rPr>
        <w:t>ARTICULO 1534. CONDICION POTESTATIVA, CASUAL Y MIXTA. Se llama condición potestativa la que depende de la voluntad del acreedor o del deudor; casual la que depende de la voluntad de un tercero o de un acaso; mixta la que en parte depende de la voluntad del acreedor y en parte de la voluntad de un tercero o de un acaso.</w:t>
      </w:r>
    </w:p>
  </w:footnote>
  <w:footnote w:id="28">
    <w:p w14:paraId="79B5A954" w14:textId="77777777" w:rsidR="00A96C6F" w:rsidRPr="001E3899" w:rsidRDefault="00A96C6F" w:rsidP="00A96C6F">
      <w:pPr>
        <w:pStyle w:val="Textonotapie"/>
        <w:snapToGrid w:val="0"/>
        <w:ind w:firstLine="708"/>
        <w:contextualSpacing/>
        <w:jc w:val="both"/>
        <w:rPr>
          <w:rFonts w:ascii="Verdana" w:hAnsi="Verdana"/>
          <w:b/>
          <w:sz w:val="16"/>
          <w:szCs w:val="16"/>
        </w:rPr>
      </w:pPr>
      <w:r w:rsidRPr="001E3899">
        <w:rPr>
          <w:rStyle w:val="Refdenotaalpie"/>
          <w:rFonts w:ascii="Verdana" w:hAnsi="Verdana"/>
          <w:sz w:val="16"/>
          <w:szCs w:val="16"/>
        </w:rPr>
        <w:footnoteRef/>
      </w:r>
      <w:r w:rsidRPr="001E3899">
        <w:rPr>
          <w:rFonts w:ascii="Verdana" w:hAnsi="Verdana"/>
          <w:sz w:val="16"/>
          <w:szCs w:val="16"/>
        </w:rPr>
        <w:t xml:space="preserve"> Consejo de Estado, Sección Tercera. Sentencia del 17 de octubre de 2023. Exp. 69492. C.P. Marta Nubia Velásquez Rico.</w:t>
      </w:r>
    </w:p>
  </w:footnote>
  <w:footnote w:id="29">
    <w:p w14:paraId="492DE70A" w14:textId="77777777" w:rsidR="00A96C6F" w:rsidRPr="001E3899" w:rsidRDefault="00A96C6F" w:rsidP="00A96C6F">
      <w:pPr>
        <w:pStyle w:val="Textonotapie"/>
        <w:snapToGrid w:val="0"/>
        <w:ind w:firstLine="708"/>
        <w:contextualSpacing/>
        <w:jc w:val="both"/>
        <w:rPr>
          <w:rFonts w:ascii="Verdana" w:hAnsi="Verdana"/>
          <w:sz w:val="16"/>
          <w:szCs w:val="16"/>
        </w:rPr>
      </w:pPr>
      <w:r w:rsidRPr="001E3899">
        <w:rPr>
          <w:rStyle w:val="Refdenotaalpie"/>
          <w:rFonts w:ascii="Verdana" w:hAnsi="Verdana"/>
          <w:sz w:val="16"/>
          <w:szCs w:val="16"/>
        </w:rPr>
        <w:footnoteRef/>
      </w:r>
      <w:r w:rsidRPr="001E3899">
        <w:rPr>
          <w:rFonts w:ascii="Verdana" w:hAnsi="Verdana"/>
          <w:sz w:val="16"/>
          <w:szCs w:val="16"/>
        </w:rPr>
        <w:t xml:space="preserve"> Ley 80 de 199</w:t>
      </w:r>
      <w:r>
        <w:rPr>
          <w:rFonts w:ascii="Verdana" w:hAnsi="Verdana"/>
          <w:sz w:val="16"/>
          <w:szCs w:val="16"/>
        </w:rPr>
        <w:t>3</w:t>
      </w:r>
      <w:r w:rsidRPr="001E3899">
        <w:rPr>
          <w:rFonts w:ascii="Verdana" w:hAnsi="Verdana"/>
          <w:sz w:val="16"/>
          <w:szCs w:val="16"/>
        </w:rPr>
        <w:t xml:space="preserve">, artículo </w:t>
      </w:r>
      <w:proofErr w:type="gramStart"/>
      <w:r w:rsidRPr="001E3899">
        <w:rPr>
          <w:rFonts w:ascii="Verdana" w:hAnsi="Verdana"/>
          <w:sz w:val="16"/>
          <w:szCs w:val="16"/>
        </w:rPr>
        <w:t>24:“</w:t>
      </w:r>
      <w:proofErr w:type="gramEnd"/>
      <w:r w:rsidRPr="001E3899">
        <w:rPr>
          <w:rFonts w:ascii="Verdana" w:hAnsi="Verdana"/>
          <w:sz w:val="16"/>
          <w:szCs w:val="16"/>
        </w:rPr>
        <w:t xml:space="preserve">[…] </w:t>
      </w:r>
      <w:r w:rsidRPr="001E3899">
        <w:rPr>
          <w:rFonts w:ascii="Verdana" w:hAnsi="Verdana"/>
          <w:sz w:val="16"/>
          <w:szCs w:val="16"/>
          <w:lang w:val="es-CO"/>
        </w:rPr>
        <w:t>5o. </w:t>
      </w:r>
      <w:bookmarkStart w:id="3" w:name="BM24_5"/>
      <w:bookmarkStart w:id="4" w:name="24.5"/>
      <w:bookmarkEnd w:id="3"/>
      <w:bookmarkEnd w:id="4"/>
      <w:r w:rsidRPr="001E3899">
        <w:rPr>
          <w:rFonts w:ascii="Verdana" w:hAnsi="Verdana"/>
          <w:sz w:val="16"/>
          <w:szCs w:val="16"/>
          <w:lang w:val="es-CO"/>
        </w:rPr>
        <w:t>En los pliegos de condiciones o </w:t>
      </w:r>
      <w:r w:rsidRPr="001E3899">
        <w:rPr>
          <w:rFonts w:ascii="Verdana" w:hAnsi="Verdana"/>
          <w:sz w:val="16"/>
          <w:szCs w:val="16"/>
          <w:u w:val="single"/>
          <w:lang w:val="es-CO"/>
        </w:rPr>
        <w:t xml:space="preserve">términos de </w:t>
      </w:r>
      <w:proofErr w:type="gramStart"/>
      <w:r w:rsidRPr="001E3899">
        <w:rPr>
          <w:rFonts w:ascii="Verdana" w:hAnsi="Verdana"/>
          <w:sz w:val="16"/>
          <w:szCs w:val="16"/>
          <w:u w:val="single"/>
          <w:lang w:val="es-CO"/>
        </w:rPr>
        <w:t>referencia</w:t>
      </w:r>
      <w:r w:rsidRPr="001E3899">
        <w:rPr>
          <w:rFonts w:ascii="Verdana" w:hAnsi="Verdana"/>
          <w:sz w:val="16"/>
          <w:szCs w:val="16"/>
          <w:lang w:val="es-CO"/>
        </w:rPr>
        <w:t>:[</w:t>
      </w:r>
      <w:proofErr w:type="gramEnd"/>
      <w:r w:rsidRPr="001E3899">
        <w:rPr>
          <w:rFonts w:ascii="Verdana" w:hAnsi="Verdana"/>
          <w:sz w:val="16"/>
          <w:szCs w:val="16"/>
          <w:lang w:val="es-CO"/>
        </w:rPr>
        <w:t xml:space="preserve">…] d) No se incluirán condiciones y exigencias de imposible cumplimiento, ni exenciones de la responsabilidad derivada de los datos, informes y documentos que se suministren […] </w:t>
      </w:r>
      <w:r w:rsidRPr="001E3899">
        <w:rPr>
          <w:rFonts w:ascii="Verdana" w:hAnsi="Verdana"/>
          <w:sz w:val="16"/>
          <w:szCs w:val="16"/>
        </w:rPr>
        <w:t>Serán ineficaces de pleno derecho las estipulaciones de los pliegos o </w:t>
      </w:r>
      <w:r w:rsidRPr="001E3899">
        <w:rPr>
          <w:rFonts w:ascii="Verdana" w:hAnsi="Verdana"/>
          <w:sz w:val="16"/>
          <w:szCs w:val="16"/>
          <w:u w:val="single"/>
        </w:rPr>
        <w:t>términos de referencia</w:t>
      </w:r>
      <w:r w:rsidRPr="001E3899">
        <w:rPr>
          <w:rFonts w:ascii="Verdana" w:hAnsi="Verdana"/>
          <w:sz w:val="16"/>
          <w:szCs w:val="16"/>
        </w:rPr>
        <w:t> y de los contratos que contravengan lo dispuesto en este numeral, o dispongan renuncias a reclamaciones por la ocurrencia de los hechos aquí enunciados”.</w:t>
      </w:r>
    </w:p>
  </w:footnote>
  <w:footnote w:id="30">
    <w:p w14:paraId="0105374A" w14:textId="77777777" w:rsidR="00A96C6F" w:rsidRPr="001E3899" w:rsidRDefault="00A96C6F" w:rsidP="00A96C6F">
      <w:pPr>
        <w:pStyle w:val="Textonotapie"/>
        <w:snapToGrid w:val="0"/>
        <w:ind w:firstLine="708"/>
        <w:contextualSpacing/>
        <w:jc w:val="both"/>
        <w:rPr>
          <w:sz w:val="16"/>
          <w:szCs w:val="16"/>
          <w:lang w:val="es-ES"/>
        </w:rPr>
      </w:pPr>
      <w:r w:rsidRPr="001E3899">
        <w:rPr>
          <w:rStyle w:val="Refdenotaalpie"/>
          <w:rFonts w:ascii="Verdana" w:hAnsi="Verdana"/>
          <w:sz w:val="16"/>
          <w:szCs w:val="16"/>
        </w:rPr>
        <w:footnoteRef/>
      </w:r>
      <w:r w:rsidRPr="001E3899">
        <w:rPr>
          <w:rFonts w:ascii="Verdana" w:hAnsi="Verdana"/>
          <w:sz w:val="16"/>
          <w:szCs w:val="16"/>
        </w:rPr>
        <w:t xml:space="preserve"> Consejo de Estado, Sección Tercera. Sentencia del 17 de octubre de 2023. Exp. 69492. C.P. Marta Nubia Velásquez Rico.</w:t>
      </w:r>
    </w:p>
  </w:footnote>
  <w:footnote w:id="31">
    <w:p w14:paraId="4026BE64" w14:textId="77777777" w:rsidR="00A96C6F" w:rsidRPr="00D05687" w:rsidRDefault="00A96C6F" w:rsidP="00A96C6F">
      <w:pPr>
        <w:pStyle w:val="Textonotapie"/>
        <w:ind w:firstLine="709"/>
        <w:jc w:val="both"/>
        <w:rPr>
          <w:lang w:val="es-ES"/>
        </w:rPr>
      </w:pPr>
      <w:r>
        <w:rPr>
          <w:rStyle w:val="Refdenotaalpie"/>
        </w:rPr>
        <w:footnoteRef/>
      </w:r>
      <w:r>
        <w:t xml:space="preserve"> </w:t>
      </w:r>
      <w:r w:rsidRPr="00D05687">
        <w:rPr>
          <w:lang w:val="es-CO"/>
        </w:rPr>
        <w:t>Consejo de Estado, Sala de lo Contencioso Administrativo, Sección Tercera, Subsección A, sentencia del 30 de mayo de 2025, radicación 25000233600020190063001 (70.671), C.P. José Roberto Sáchica Méndez</w:t>
      </w:r>
      <w:r>
        <w:rPr>
          <w:lang w:val="es-CO"/>
        </w:rPr>
        <w:t>.</w:t>
      </w:r>
    </w:p>
  </w:footnote>
  <w:footnote w:id="32">
    <w:p w14:paraId="2962D820" w14:textId="77777777" w:rsidR="00A96C6F" w:rsidRPr="00782FDA" w:rsidRDefault="00A96C6F" w:rsidP="00A96C6F">
      <w:pPr>
        <w:pStyle w:val="Textonotapie"/>
        <w:ind w:firstLine="708"/>
        <w:rPr>
          <w:lang w:val="es-ES"/>
        </w:rPr>
      </w:pPr>
      <w:r>
        <w:rPr>
          <w:rStyle w:val="Refdenotaalpie"/>
        </w:rPr>
        <w:footnoteRef/>
      </w:r>
      <w:r>
        <w:t xml:space="preserve"> </w:t>
      </w:r>
      <w:r>
        <w:rPr>
          <w:lang w:val="es-ES"/>
        </w:rPr>
        <w:t>Ibidem.</w:t>
      </w:r>
    </w:p>
  </w:footnote>
  <w:footnote w:id="33">
    <w:p w14:paraId="500A01BD" w14:textId="77777777" w:rsidR="00A96C6F" w:rsidRPr="00782FDA" w:rsidRDefault="00A96C6F" w:rsidP="00A96C6F">
      <w:pPr>
        <w:pStyle w:val="Textonotapie"/>
        <w:ind w:firstLine="708"/>
        <w:rPr>
          <w:lang w:val="es-ES"/>
        </w:rPr>
      </w:pPr>
      <w:r>
        <w:rPr>
          <w:rStyle w:val="Refdenotaalpie"/>
        </w:rPr>
        <w:footnoteRef/>
      </w:r>
      <w:r>
        <w:t xml:space="preserve"> </w:t>
      </w:r>
      <w:r>
        <w:rPr>
          <w:lang w:val="es-CO"/>
        </w:rPr>
        <w:t>Ibidem.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1916AB3"/>
    <w:multiLevelType w:val="hybridMultilevel"/>
    <w:tmpl w:val="D61EC1E6"/>
    <w:lvl w:ilvl="0" w:tplc="73DEAA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571424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2D1C"/>
    <w:rsid w:val="000D5DA7"/>
    <w:rsid w:val="000F6486"/>
    <w:rsid w:val="00116940"/>
    <w:rsid w:val="00125105"/>
    <w:rsid w:val="00127233"/>
    <w:rsid w:val="0015699B"/>
    <w:rsid w:val="00163A2E"/>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16435"/>
    <w:rsid w:val="00322A85"/>
    <w:rsid w:val="00324168"/>
    <w:rsid w:val="00330834"/>
    <w:rsid w:val="003448F4"/>
    <w:rsid w:val="00374F5E"/>
    <w:rsid w:val="00377E3E"/>
    <w:rsid w:val="003A779E"/>
    <w:rsid w:val="003D0F4D"/>
    <w:rsid w:val="003D5B0D"/>
    <w:rsid w:val="003E0499"/>
    <w:rsid w:val="003E2213"/>
    <w:rsid w:val="003E4F80"/>
    <w:rsid w:val="003E6439"/>
    <w:rsid w:val="003E7593"/>
    <w:rsid w:val="003F3941"/>
    <w:rsid w:val="00406575"/>
    <w:rsid w:val="00414C74"/>
    <w:rsid w:val="00423B63"/>
    <w:rsid w:val="0042722E"/>
    <w:rsid w:val="00437D47"/>
    <w:rsid w:val="0044528D"/>
    <w:rsid w:val="00466890"/>
    <w:rsid w:val="00466E39"/>
    <w:rsid w:val="00497CE3"/>
    <w:rsid w:val="004A1847"/>
    <w:rsid w:val="004A305D"/>
    <w:rsid w:val="004F21C4"/>
    <w:rsid w:val="004F685F"/>
    <w:rsid w:val="005566E8"/>
    <w:rsid w:val="00574867"/>
    <w:rsid w:val="00591460"/>
    <w:rsid w:val="005A65E0"/>
    <w:rsid w:val="005C3777"/>
    <w:rsid w:val="005C5CDC"/>
    <w:rsid w:val="005D476C"/>
    <w:rsid w:val="006164FA"/>
    <w:rsid w:val="006200BF"/>
    <w:rsid w:val="006219F8"/>
    <w:rsid w:val="006302F7"/>
    <w:rsid w:val="00646B9F"/>
    <w:rsid w:val="00665D70"/>
    <w:rsid w:val="006900D9"/>
    <w:rsid w:val="006C4560"/>
    <w:rsid w:val="00703418"/>
    <w:rsid w:val="00706C16"/>
    <w:rsid w:val="00733316"/>
    <w:rsid w:val="007340C3"/>
    <w:rsid w:val="0075235A"/>
    <w:rsid w:val="00756841"/>
    <w:rsid w:val="007649AB"/>
    <w:rsid w:val="00771D0C"/>
    <w:rsid w:val="007833AC"/>
    <w:rsid w:val="007B268C"/>
    <w:rsid w:val="007B7171"/>
    <w:rsid w:val="007C0C0F"/>
    <w:rsid w:val="007C3DC2"/>
    <w:rsid w:val="007E4214"/>
    <w:rsid w:val="007E5497"/>
    <w:rsid w:val="00806F5F"/>
    <w:rsid w:val="00820278"/>
    <w:rsid w:val="008258C9"/>
    <w:rsid w:val="00825F6E"/>
    <w:rsid w:val="00843BE0"/>
    <w:rsid w:val="00844AE9"/>
    <w:rsid w:val="00855DE1"/>
    <w:rsid w:val="00867F95"/>
    <w:rsid w:val="008843B6"/>
    <w:rsid w:val="00891928"/>
    <w:rsid w:val="008972AB"/>
    <w:rsid w:val="008A446D"/>
    <w:rsid w:val="008B25F1"/>
    <w:rsid w:val="008D180B"/>
    <w:rsid w:val="008F0137"/>
    <w:rsid w:val="008F0EA7"/>
    <w:rsid w:val="00923EEF"/>
    <w:rsid w:val="009419F9"/>
    <w:rsid w:val="00954812"/>
    <w:rsid w:val="0095685E"/>
    <w:rsid w:val="00961B09"/>
    <w:rsid w:val="00963DF7"/>
    <w:rsid w:val="00965334"/>
    <w:rsid w:val="0097093E"/>
    <w:rsid w:val="00997436"/>
    <w:rsid w:val="009A0DFA"/>
    <w:rsid w:val="009A1A1E"/>
    <w:rsid w:val="009A1C6F"/>
    <w:rsid w:val="009B2D26"/>
    <w:rsid w:val="009C71FA"/>
    <w:rsid w:val="009C72E7"/>
    <w:rsid w:val="009C7F7E"/>
    <w:rsid w:val="009D3058"/>
    <w:rsid w:val="009F3A13"/>
    <w:rsid w:val="00A122D3"/>
    <w:rsid w:val="00A14468"/>
    <w:rsid w:val="00A17F13"/>
    <w:rsid w:val="00A20739"/>
    <w:rsid w:val="00A23AF9"/>
    <w:rsid w:val="00A33C78"/>
    <w:rsid w:val="00A96C6F"/>
    <w:rsid w:val="00AB0ADB"/>
    <w:rsid w:val="00B00C0E"/>
    <w:rsid w:val="00B01B1A"/>
    <w:rsid w:val="00B0381D"/>
    <w:rsid w:val="00B44A47"/>
    <w:rsid w:val="00B72CD3"/>
    <w:rsid w:val="00B72FFF"/>
    <w:rsid w:val="00BA4423"/>
    <w:rsid w:val="00BC3D36"/>
    <w:rsid w:val="00BD54A6"/>
    <w:rsid w:val="00BD7F72"/>
    <w:rsid w:val="00BF7425"/>
    <w:rsid w:val="00C04FB3"/>
    <w:rsid w:val="00C11D8B"/>
    <w:rsid w:val="00C15139"/>
    <w:rsid w:val="00C330EB"/>
    <w:rsid w:val="00C50D69"/>
    <w:rsid w:val="00C5365C"/>
    <w:rsid w:val="00C54016"/>
    <w:rsid w:val="00C72D02"/>
    <w:rsid w:val="00C754BE"/>
    <w:rsid w:val="00C76B1C"/>
    <w:rsid w:val="00C925AC"/>
    <w:rsid w:val="00C97037"/>
    <w:rsid w:val="00CB6357"/>
    <w:rsid w:val="00CC1B26"/>
    <w:rsid w:val="00D361FD"/>
    <w:rsid w:val="00D423A2"/>
    <w:rsid w:val="00D44E26"/>
    <w:rsid w:val="00D520D8"/>
    <w:rsid w:val="00D63AC2"/>
    <w:rsid w:val="00D7383B"/>
    <w:rsid w:val="00D7788A"/>
    <w:rsid w:val="00DA231B"/>
    <w:rsid w:val="00DC39FC"/>
    <w:rsid w:val="00DF5254"/>
    <w:rsid w:val="00E02524"/>
    <w:rsid w:val="00E07C92"/>
    <w:rsid w:val="00E16408"/>
    <w:rsid w:val="00E20894"/>
    <w:rsid w:val="00E245AB"/>
    <w:rsid w:val="00E26C29"/>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D6A82"/>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4E1D3AC6"/>
    <w:rsid w:val="545B112A"/>
    <w:rsid w:val="5BEB1497"/>
    <w:rsid w:val="66F219A8"/>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A96C6F"/>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A96C6F"/>
    <w:rPr>
      <w:rFonts w:ascii="Geomanist Light" w:hAnsi="Geomanist Light"/>
      <w:lang w:val="es-ES"/>
    </w:rPr>
  </w:style>
  <w:style w:type="paragraph" w:styleId="Sinespaciado">
    <w:name w:val="No Spacing"/>
    <w:aliases w:val="No Indent"/>
    <w:link w:val="SinespaciadoCar"/>
    <w:uiPriority w:val="3"/>
    <w:qFormat/>
    <w:rsid w:val="00A96C6F"/>
    <w:pPr>
      <w:spacing w:after="0" w:line="240" w:lineRule="auto"/>
    </w:pPr>
    <w:rPr>
      <w:sz w:val="24"/>
      <w:lang w:val="es-MX"/>
    </w:rPr>
  </w:style>
  <w:style w:type="character" w:customStyle="1" w:styleId="SinespaciadoCar">
    <w:name w:val="Sin espaciado Car"/>
    <w:aliases w:val="No Indent Car"/>
    <w:link w:val="Sinespaciado"/>
    <w:uiPriority w:val="3"/>
    <w:rsid w:val="00A96C6F"/>
    <w:rPr>
      <w:sz w:val="24"/>
      <w:lang w:val="es-MX"/>
    </w:rPr>
  </w:style>
  <w:style w:type="character" w:customStyle="1" w:styleId="NormalWebCar">
    <w:name w:val="Normal (Web) Car"/>
    <w:link w:val="NormalWeb"/>
    <w:uiPriority w:val="99"/>
    <w:rsid w:val="000D2D1C"/>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vandariog@hotmai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D7CC1A29-F2E9-455E-9B2E-BC418E596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18</TotalTime>
  <Pages>35</Pages>
  <Words>12149</Words>
  <Characters>66825</Characters>
  <Application>Microsoft Office Word</Application>
  <DocSecurity>0</DocSecurity>
  <Lines>556</Lines>
  <Paragraphs>157</Paragraphs>
  <ScaleCrop>false</ScaleCrop>
  <Company/>
  <LinksUpToDate>false</LinksUpToDate>
  <CharactersWithSpaces>78817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10</cp:revision>
  <cp:lastPrinted>2023-01-10T21:18:00Z</cp:lastPrinted>
  <dcterms:created xsi:type="dcterms:W3CDTF">2026-06-19T22:10:00Z</dcterms:created>
  <dcterms:modified xsi:type="dcterms:W3CDTF">2026-07-02T21:43:00Z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